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51DD1" w14:textId="7515A075" w:rsidR="0038527C" w:rsidRPr="0038527C" w:rsidRDefault="0038527C">
      <w:pPr>
        <w:rPr>
          <w:b/>
          <w:bCs/>
        </w:rPr>
      </w:pPr>
      <w:r w:rsidRPr="0038527C">
        <w:rPr>
          <w:b/>
          <w:bCs/>
          <w:lang w:val="en-CA"/>
        </w:rPr>
        <w:t>English translation of the judgment of the Court</w:t>
      </w:r>
    </w:p>
    <w:tbl>
      <w:tblPr>
        <w:tblW w:w="9501" w:type="dxa"/>
        <w:tblLayout w:type="fixed"/>
        <w:tblCellMar>
          <w:left w:w="0" w:type="dxa"/>
          <w:right w:w="0" w:type="dxa"/>
        </w:tblCellMar>
        <w:tblLook w:val="0000" w:firstRow="0" w:lastRow="0" w:firstColumn="0" w:lastColumn="0" w:noHBand="0" w:noVBand="0"/>
      </w:tblPr>
      <w:tblGrid>
        <w:gridCol w:w="1030"/>
        <w:gridCol w:w="246"/>
        <w:gridCol w:w="344"/>
        <w:gridCol w:w="2491"/>
        <w:gridCol w:w="3402"/>
        <w:gridCol w:w="1988"/>
      </w:tblGrid>
      <w:tr w:rsidR="0038527C" w:rsidRPr="004F74FF" w14:paraId="7487CD3C" w14:textId="77777777" w:rsidTr="002B0009">
        <w:trPr>
          <w:trHeight w:val="248"/>
        </w:trPr>
        <w:tc>
          <w:tcPr>
            <w:tcW w:w="7513" w:type="dxa"/>
            <w:gridSpan w:val="5"/>
          </w:tcPr>
          <w:p w14:paraId="7487CD3A" w14:textId="75788672" w:rsidR="0038527C" w:rsidRPr="008318C9" w:rsidRDefault="0038527C" w:rsidP="0038527C">
            <w:pPr>
              <w:pStyle w:val="zSoquijdatRepertorie"/>
              <w:rPr>
                <w:sz w:val="24"/>
                <w:lang w:val="en-CA"/>
              </w:rPr>
            </w:pPr>
            <w:r>
              <w:rPr>
                <w:rFonts w:cs="Arial"/>
              </w:rPr>
              <w:t>Hardy c. R.</w:t>
            </w:r>
          </w:p>
        </w:tc>
        <w:tc>
          <w:tcPr>
            <w:tcW w:w="1988" w:type="dxa"/>
          </w:tcPr>
          <w:p w14:paraId="7487CD3B" w14:textId="2BCAC019" w:rsidR="0038527C" w:rsidRPr="00A4178E" w:rsidRDefault="0038527C" w:rsidP="0038527C">
            <w:pPr>
              <w:pStyle w:val="zSoquijdatRefNeutre"/>
              <w:jc w:val="right"/>
              <w:rPr>
                <w:lang w:val="en-CA"/>
              </w:rPr>
            </w:pPr>
            <w:r w:rsidRPr="00C00C2B">
              <w:rPr>
                <w:rFonts w:cs="Arial"/>
              </w:rPr>
              <w:t>2025 QCCA 1165</w:t>
            </w:r>
          </w:p>
        </w:tc>
      </w:tr>
      <w:tr w:rsidR="0038527C" w:rsidRPr="00A4178E" w14:paraId="7487CD3E" w14:textId="77777777" w:rsidTr="002B0009">
        <w:trPr>
          <w:trHeight w:val="247"/>
        </w:trPr>
        <w:tc>
          <w:tcPr>
            <w:tcW w:w="9501" w:type="dxa"/>
            <w:gridSpan w:val="6"/>
          </w:tcPr>
          <w:p w14:paraId="7487CD3D" w14:textId="77777777" w:rsidR="0038527C" w:rsidRPr="00A4178E" w:rsidRDefault="0038527C" w:rsidP="0038527C">
            <w:pPr>
              <w:pStyle w:val="zSoquijlblCour"/>
              <w:rPr>
                <w:lang w:val="en-CA"/>
              </w:rPr>
            </w:pPr>
            <w:r w:rsidRPr="00A4178E">
              <w:rPr>
                <w:bCs/>
                <w:lang w:val="en-CA"/>
              </w:rPr>
              <w:t>COURT OF APPEAL</w:t>
            </w:r>
          </w:p>
        </w:tc>
      </w:tr>
      <w:tr w:rsidR="0038527C" w:rsidRPr="00A4178E" w14:paraId="7487CD40" w14:textId="77777777" w:rsidTr="002B0009">
        <w:trPr>
          <w:trHeight w:val="540"/>
        </w:trPr>
        <w:tc>
          <w:tcPr>
            <w:tcW w:w="9501" w:type="dxa"/>
            <w:gridSpan w:val="6"/>
          </w:tcPr>
          <w:p w14:paraId="7487CD3F" w14:textId="77777777" w:rsidR="0038527C" w:rsidRPr="00A4178E" w:rsidRDefault="0038527C" w:rsidP="0038527C">
            <w:pPr>
              <w:pStyle w:val="zSoquijdatDivision"/>
              <w:rPr>
                <w:lang w:val="en-CA"/>
              </w:rPr>
            </w:pPr>
          </w:p>
        </w:tc>
      </w:tr>
      <w:tr w:rsidR="0038527C" w:rsidRPr="00A4178E" w14:paraId="7487CD42" w14:textId="77777777" w:rsidTr="002B0009">
        <w:tc>
          <w:tcPr>
            <w:tcW w:w="9501" w:type="dxa"/>
            <w:gridSpan w:val="6"/>
          </w:tcPr>
          <w:p w14:paraId="7487CD41" w14:textId="77777777" w:rsidR="0038527C" w:rsidRPr="00A4178E" w:rsidRDefault="0038527C" w:rsidP="0038527C">
            <w:pPr>
              <w:pStyle w:val="zSoquijlblPays"/>
              <w:rPr>
                <w:lang w:val="en-CA"/>
              </w:rPr>
            </w:pPr>
            <w:r w:rsidRPr="00A4178E">
              <w:rPr>
                <w:lang w:val="en-CA"/>
              </w:rPr>
              <w:t>CANADA</w:t>
            </w:r>
          </w:p>
        </w:tc>
      </w:tr>
      <w:tr w:rsidR="0038527C" w:rsidRPr="004F74FF" w14:paraId="7487CD45" w14:textId="77777777" w:rsidTr="002B0009">
        <w:tc>
          <w:tcPr>
            <w:tcW w:w="9501" w:type="dxa"/>
            <w:gridSpan w:val="6"/>
          </w:tcPr>
          <w:p w14:paraId="7487CD43" w14:textId="77777777" w:rsidR="0038527C" w:rsidRPr="00A4178E" w:rsidRDefault="0038527C" w:rsidP="0038527C">
            <w:pPr>
              <w:pStyle w:val="zSoquijlblProvince"/>
              <w:rPr>
                <w:lang w:val="en-CA"/>
              </w:rPr>
            </w:pPr>
            <w:r w:rsidRPr="00A4178E">
              <w:rPr>
                <w:lang w:val="en-CA"/>
              </w:rPr>
              <w:t xml:space="preserve">PROVINCE OF QUEBEC </w:t>
            </w:r>
          </w:p>
          <w:p w14:paraId="7487CD44" w14:textId="77777777" w:rsidR="0038527C" w:rsidRPr="00A4178E" w:rsidRDefault="0038527C" w:rsidP="0038527C">
            <w:pPr>
              <w:pStyle w:val="zSoquijlblProvince"/>
              <w:rPr>
                <w:lang w:val="en-CA"/>
              </w:rPr>
            </w:pPr>
            <w:r w:rsidRPr="00A4178E">
              <w:rPr>
                <w:lang w:val="en-CA"/>
              </w:rPr>
              <w:t>QUEBEC CITY SEAT</w:t>
            </w:r>
          </w:p>
        </w:tc>
      </w:tr>
      <w:tr w:rsidR="0038527C" w:rsidRPr="004F74FF" w14:paraId="7487CD48" w14:textId="77777777" w:rsidTr="002B0009">
        <w:tc>
          <w:tcPr>
            <w:tcW w:w="1276" w:type="dxa"/>
            <w:gridSpan w:val="2"/>
          </w:tcPr>
          <w:p w14:paraId="7487CD46" w14:textId="77777777" w:rsidR="0038527C" w:rsidRPr="00A4178E" w:rsidRDefault="0038527C" w:rsidP="0038527C">
            <w:pPr>
              <w:pStyle w:val="zSoquijlblGreffe"/>
              <w:rPr>
                <w:lang w:val="en-CA"/>
              </w:rPr>
            </w:pPr>
          </w:p>
        </w:tc>
        <w:tc>
          <w:tcPr>
            <w:tcW w:w="8225" w:type="dxa"/>
            <w:gridSpan w:val="4"/>
          </w:tcPr>
          <w:p w14:paraId="7487CD47" w14:textId="77777777" w:rsidR="0038527C" w:rsidRPr="00A4178E" w:rsidRDefault="0038527C" w:rsidP="0038527C">
            <w:pPr>
              <w:pStyle w:val="zSoquijdatGreffe"/>
              <w:rPr>
                <w:lang w:val="en-CA"/>
              </w:rPr>
            </w:pPr>
          </w:p>
        </w:tc>
      </w:tr>
      <w:tr w:rsidR="0038527C" w:rsidRPr="00A4178E" w14:paraId="7487CD4B" w14:textId="77777777" w:rsidTr="002B0009">
        <w:tc>
          <w:tcPr>
            <w:tcW w:w="1030" w:type="dxa"/>
          </w:tcPr>
          <w:p w14:paraId="7487CD49" w14:textId="77777777" w:rsidR="0038527C" w:rsidRPr="00A4178E" w:rsidRDefault="0038527C" w:rsidP="0038527C">
            <w:pPr>
              <w:pStyle w:val="zSoquijlblNoDossier"/>
              <w:rPr>
                <w:lang w:val="en-CA"/>
              </w:rPr>
            </w:pPr>
            <w:r w:rsidRPr="00A4178E">
              <w:rPr>
                <w:lang w:val="en-CA"/>
              </w:rPr>
              <w:t>No.:</w:t>
            </w:r>
          </w:p>
        </w:tc>
        <w:tc>
          <w:tcPr>
            <w:tcW w:w="8471" w:type="dxa"/>
            <w:gridSpan w:val="5"/>
          </w:tcPr>
          <w:p w14:paraId="7487CD4A" w14:textId="77777777" w:rsidR="0038527C" w:rsidRPr="00A4178E" w:rsidRDefault="0038527C" w:rsidP="0038527C">
            <w:pPr>
              <w:pStyle w:val="zSoquijdatNoDossier"/>
              <w:rPr>
                <w:lang w:val="en-CA"/>
              </w:rPr>
            </w:pPr>
            <w:bookmarkStart w:id="0" w:name="NoDossier"/>
            <w:r w:rsidRPr="00A4178E">
              <w:rPr>
                <w:lang w:val="en-CA"/>
              </w:rPr>
              <w:t>200-10-004071-234</w:t>
            </w:r>
            <w:bookmarkEnd w:id="0"/>
          </w:p>
        </w:tc>
      </w:tr>
      <w:tr w:rsidR="0038527C" w:rsidRPr="00A4178E" w14:paraId="7487CD4D" w14:textId="77777777" w:rsidTr="002B0009">
        <w:tc>
          <w:tcPr>
            <w:tcW w:w="9501" w:type="dxa"/>
            <w:gridSpan w:val="6"/>
          </w:tcPr>
          <w:p w14:paraId="7487CD4C" w14:textId="77777777" w:rsidR="0038527C" w:rsidRPr="00A4178E" w:rsidRDefault="0038527C" w:rsidP="0038527C">
            <w:pPr>
              <w:pStyle w:val="zSoquijdatNoDossierAnt"/>
              <w:rPr>
                <w:lang w:val="en-CA"/>
              </w:rPr>
            </w:pPr>
            <w:r w:rsidRPr="00A4178E">
              <w:rPr>
                <w:lang w:val="en-CA"/>
              </w:rPr>
              <w:t>(240-01-010895-191)</w:t>
            </w:r>
          </w:p>
        </w:tc>
      </w:tr>
      <w:tr w:rsidR="0038527C" w:rsidRPr="00A4178E" w14:paraId="7487CD4F" w14:textId="77777777" w:rsidTr="002B0009">
        <w:tc>
          <w:tcPr>
            <w:tcW w:w="9501" w:type="dxa"/>
            <w:gridSpan w:val="6"/>
          </w:tcPr>
          <w:p w14:paraId="7487CD4E" w14:textId="77777777" w:rsidR="0038527C" w:rsidRPr="00A4178E" w:rsidRDefault="0038527C" w:rsidP="0038527C">
            <w:pPr>
              <w:rPr>
                <w:lang w:val="en-CA"/>
              </w:rPr>
            </w:pPr>
          </w:p>
        </w:tc>
      </w:tr>
      <w:tr w:rsidR="0038527C" w:rsidRPr="00A4178E" w14:paraId="7487CD52" w14:textId="77777777" w:rsidTr="002B0009">
        <w:tc>
          <w:tcPr>
            <w:tcW w:w="1030" w:type="dxa"/>
          </w:tcPr>
          <w:p w14:paraId="7487CD50" w14:textId="77777777" w:rsidR="0038527C" w:rsidRPr="00A4178E" w:rsidRDefault="0038527C" w:rsidP="0038527C">
            <w:pPr>
              <w:pStyle w:val="zSoquijlblDateJugement"/>
              <w:rPr>
                <w:lang w:val="en-CA"/>
              </w:rPr>
            </w:pPr>
            <w:r w:rsidRPr="00A4178E">
              <w:rPr>
                <w:lang w:val="en-CA"/>
              </w:rPr>
              <w:t>DATE:</w:t>
            </w:r>
          </w:p>
        </w:tc>
        <w:tc>
          <w:tcPr>
            <w:tcW w:w="8471" w:type="dxa"/>
            <w:gridSpan w:val="5"/>
          </w:tcPr>
          <w:p w14:paraId="7487CD51" w14:textId="77777777" w:rsidR="0038527C" w:rsidRPr="00A4178E" w:rsidRDefault="0038527C" w:rsidP="0038527C">
            <w:pPr>
              <w:pStyle w:val="zSoquijdatDateJugement"/>
              <w:rPr>
                <w:lang w:val="en-CA"/>
              </w:rPr>
            </w:pPr>
            <w:r w:rsidRPr="00A4178E">
              <w:rPr>
                <w:lang w:val="en-CA"/>
              </w:rPr>
              <w:t>September 17, 2025</w:t>
            </w:r>
          </w:p>
        </w:tc>
      </w:tr>
      <w:tr w:rsidR="0038527C" w:rsidRPr="00A4178E" w14:paraId="7487CD54" w14:textId="77777777" w:rsidTr="002B0009">
        <w:tc>
          <w:tcPr>
            <w:tcW w:w="9501" w:type="dxa"/>
            <w:gridSpan w:val="6"/>
            <w:tcBorders>
              <w:bottom w:val="single" w:sz="8" w:space="0" w:color="auto"/>
            </w:tcBorders>
          </w:tcPr>
          <w:p w14:paraId="7487CD53" w14:textId="77777777" w:rsidR="0038527C" w:rsidRPr="00A4178E" w:rsidRDefault="0038527C" w:rsidP="0038527C">
            <w:pPr>
              <w:rPr>
                <w:lang w:val="en-CA"/>
              </w:rPr>
            </w:pPr>
          </w:p>
        </w:tc>
      </w:tr>
      <w:tr w:rsidR="0038527C" w:rsidRPr="00A4178E" w14:paraId="7487CD56" w14:textId="77777777" w:rsidTr="002B0009">
        <w:tc>
          <w:tcPr>
            <w:tcW w:w="9501" w:type="dxa"/>
            <w:gridSpan w:val="6"/>
            <w:tcBorders>
              <w:top w:val="single" w:sz="8" w:space="0" w:color="auto"/>
            </w:tcBorders>
          </w:tcPr>
          <w:p w14:paraId="7487CD55" w14:textId="77777777" w:rsidR="0038527C" w:rsidRPr="00A4178E" w:rsidRDefault="0038527C" w:rsidP="0038527C">
            <w:pPr>
              <w:rPr>
                <w:lang w:val="en-CA"/>
              </w:rPr>
            </w:pPr>
          </w:p>
        </w:tc>
      </w:tr>
      <w:tr w:rsidR="0038527C" w:rsidRPr="00A4178E" w14:paraId="7487CD5C" w14:textId="77777777" w:rsidTr="002B0009">
        <w:tc>
          <w:tcPr>
            <w:tcW w:w="1620" w:type="dxa"/>
            <w:gridSpan w:val="3"/>
          </w:tcPr>
          <w:p w14:paraId="7487CD57" w14:textId="77777777" w:rsidR="0038527C" w:rsidRPr="00A4178E" w:rsidRDefault="0038527C" w:rsidP="0038527C">
            <w:pPr>
              <w:pStyle w:val="zSoquijlblJuge"/>
              <w:ind w:right="-142"/>
              <w:rPr>
                <w:lang w:val="en-CA"/>
              </w:rPr>
            </w:pPr>
            <w:bookmarkStart w:id="1" w:name="FORMATION"/>
            <w:r w:rsidRPr="00A4178E">
              <w:rPr>
                <w:bCs/>
                <w:lang w:val="en-CA"/>
              </w:rPr>
              <w:t>CORAM:</w:t>
            </w:r>
            <w:bookmarkEnd w:id="1"/>
          </w:p>
        </w:tc>
        <w:tc>
          <w:tcPr>
            <w:tcW w:w="2491" w:type="dxa"/>
          </w:tcPr>
          <w:p w14:paraId="7487CD58" w14:textId="77777777" w:rsidR="0038527C" w:rsidRPr="00A4178E" w:rsidRDefault="0038527C" w:rsidP="0038527C">
            <w:pPr>
              <w:pStyle w:val="zSoquijdatQteJuge"/>
              <w:rPr>
                <w:lang w:val="en-CA"/>
              </w:rPr>
            </w:pPr>
            <w:bookmarkStart w:id="2" w:name="Honorables"/>
            <w:r w:rsidRPr="00A4178E">
              <w:rPr>
                <w:bCs/>
                <w:lang w:val="en-CA"/>
              </w:rPr>
              <w:t>THE HONOURABLE</w:t>
            </w:r>
            <w:bookmarkEnd w:id="2"/>
          </w:p>
        </w:tc>
        <w:tc>
          <w:tcPr>
            <w:tcW w:w="5390" w:type="dxa"/>
            <w:gridSpan w:val="2"/>
          </w:tcPr>
          <w:p w14:paraId="7487CD59" w14:textId="77777777" w:rsidR="0038527C" w:rsidRPr="00BB2DF6" w:rsidRDefault="0038527C" w:rsidP="0038527C">
            <w:pPr>
              <w:pStyle w:val="zSoquijdatJuge"/>
              <w:rPr>
                <w:lang w:val="en-CA"/>
              </w:rPr>
            </w:pPr>
            <w:bookmarkStart w:id="3" w:name="NomJuge1"/>
            <w:r w:rsidRPr="00BB2DF6">
              <w:rPr>
                <w:bCs/>
                <w:lang w:val="en-CA"/>
              </w:rPr>
              <w:t>SUZANNE GAGNÉ, J.A.</w:t>
            </w:r>
            <w:bookmarkEnd w:id="3"/>
          </w:p>
          <w:p w14:paraId="7487CD5A" w14:textId="77777777" w:rsidR="0038527C" w:rsidRPr="00BB2DF6" w:rsidRDefault="0038527C" w:rsidP="0038527C">
            <w:pPr>
              <w:pStyle w:val="zSoquijdatJuge"/>
              <w:rPr>
                <w:lang w:val="en-CA"/>
              </w:rPr>
            </w:pPr>
            <w:bookmarkStart w:id="4" w:name="NomJuge2"/>
            <w:r w:rsidRPr="00BB2DF6">
              <w:rPr>
                <w:bCs/>
                <w:lang w:val="en-CA"/>
              </w:rPr>
              <w:t>LORI RENÉE WEITZMAN, J.A.</w:t>
            </w:r>
            <w:bookmarkEnd w:id="4"/>
          </w:p>
          <w:p w14:paraId="7487CD5B" w14:textId="77777777" w:rsidR="0038527C" w:rsidRPr="00A4178E" w:rsidRDefault="0038527C" w:rsidP="0038527C">
            <w:pPr>
              <w:pStyle w:val="zSoquijdatJuge"/>
              <w:rPr>
                <w:lang w:val="en-CA"/>
              </w:rPr>
            </w:pPr>
            <w:bookmarkStart w:id="5" w:name="_Hlt520513784"/>
            <w:bookmarkStart w:id="6" w:name="NomJuge3"/>
            <w:bookmarkEnd w:id="5"/>
            <w:r w:rsidRPr="00A4178E">
              <w:rPr>
                <w:bCs/>
                <w:lang w:val="en-CA"/>
              </w:rPr>
              <w:t>ÉRIC HARDY, J.A.</w:t>
            </w:r>
            <w:bookmarkEnd w:id="6"/>
          </w:p>
        </w:tc>
      </w:tr>
      <w:tr w:rsidR="0038527C" w:rsidRPr="00A4178E" w14:paraId="7487CD5E" w14:textId="77777777" w:rsidTr="002B0009">
        <w:tc>
          <w:tcPr>
            <w:tcW w:w="9501" w:type="dxa"/>
            <w:gridSpan w:val="6"/>
            <w:tcBorders>
              <w:bottom w:val="single" w:sz="8" w:space="0" w:color="auto"/>
            </w:tcBorders>
          </w:tcPr>
          <w:p w14:paraId="7487CD5D" w14:textId="77777777" w:rsidR="0038527C" w:rsidRPr="00A4178E" w:rsidRDefault="0038527C" w:rsidP="0038527C">
            <w:pPr>
              <w:rPr>
                <w:lang w:val="en-CA"/>
              </w:rPr>
            </w:pPr>
          </w:p>
        </w:tc>
      </w:tr>
      <w:tr w:rsidR="0038527C" w:rsidRPr="00A4178E" w14:paraId="7487CD60" w14:textId="77777777" w:rsidTr="002B0009">
        <w:tc>
          <w:tcPr>
            <w:tcW w:w="9501" w:type="dxa"/>
            <w:gridSpan w:val="6"/>
          </w:tcPr>
          <w:p w14:paraId="7487CD5F" w14:textId="77777777" w:rsidR="0038527C" w:rsidRPr="00A4178E" w:rsidRDefault="0038527C" w:rsidP="0038527C">
            <w:pPr>
              <w:pStyle w:val="zSoquijlblTitrePartie"/>
              <w:rPr>
                <w:lang w:val="en-CA"/>
              </w:rPr>
            </w:pPr>
          </w:p>
        </w:tc>
      </w:tr>
      <w:tr w:rsidR="0038527C" w:rsidRPr="00A4178E" w14:paraId="7487CD62" w14:textId="77777777" w:rsidTr="002B0009">
        <w:tc>
          <w:tcPr>
            <w:tcW w:w="9501" w:type="dxa"/>
            <w:gridSpan w:val="6"/>
          </w:tcPr>
          <w:p w14:paraId="7487CD61" w14:textId="77777777" w:rsidR="0038527C" w:rsidRPr="00A4178E" w:rsidRDefault="0038527C" w:rsidP="0038527C">
            <w:pPr>
              <w:pStyle w:val="zSoquijdatNomPartieDem"/>
              <w:rPr>
                <w:lang w:val="en-CA"/>
              </w:rPr>
            </w:pPr>
            <w:r w:rsidRPr="00A4178E">
              <w:rPr>
                <w:lang w:val="en-CA"/>
              </w:rPr>
              <w:t>AKIM HARDY</w:t>
            </w:r>
          </w:p>
        </w:tc>
      </w:tr>
      <w:tr w:rsidR="0038527C" w:rsidRPr="00A4178E" w14:paraId="7487CD64" w14:textId="77777777" w:rsidTr="002B0009">
        <w:tc>
          <w:tcPr>
            <w:tcW w:w="9501" w:type="dxa"/>
            <w:gridSpan w:val="6"/>
          </w:tcPr>
          <w:p w14:paraId="7487CD63" w14:textId="77777777" w:rsidR="0038527C" w:rsidRPr="00A4178E" w:rsidRDefault="0038527C" w:rsidP="0038527C">
            <w:pPr>
              <w:pStyle w:val="zSoquijdatQtePartieDem"/>
              <w:rPr>
                <w:lang w:val="en-CA"/>
              </w:rPr>
            </w:pPr>
            <w:r w:rsidRPr="00A4178E">
              <w:rPr>
                <w:lang w:val="en-CA"/>
              </w:rPr>
              <w:t>APPELLANT – Accused</w:t>
            </w:r>
          </w:p>
        </w:tc>
      </w:tr>
      <w:tr w:rsidR="0038527C" w:rsidRPr="00A4178E" w14:paraId="7487CD66" w14:textId="77777777" w:rsidTr="002B0009">
        <w:tc>
          <w:tcPr>
            <w:tcW w:w="9501" w:type="dxa"/>
            <w:gridSpan w:val="6"/>
          </w:tcPr>
          <w:p w14:paraId="7487CD65" w14:textId="77777777" w:rsidR="0038527C" w:rsidRPr="00A4178E" w:rsidRDefault="0038527C" w:rsidP="0038527C">
            <w:pPr>
              <w:pStyle w:val="zSoquijlblLienParties"/>
              <w:rPr>
                <w:lang w:val="en-CA"/>
              </w:rPr>
            </w:pPr>
            <w:r w:rsidRPr="00A4178E">
              <w:rPr>
                <w:lang w:val="en-CA"/>
              </w:rPr>
              <w:t>v.</w:t>
            </w:r>
          </w:p>
        </w:tc>
      </w:tr>
      <w:tr w:rsidR="0038527C" w:rsidRPr="00A4178E" w14:paraId="7487CD68" w14:textId="77777777" w:rsidTr="002B0009">
        <w:tc>
          <w:tcPr>
            <w:tcW w:w="9501" w:type="dxa"/>
            <w:gridSpan w:val="6"/>
          </w:tcPr>
          <w:p w14:paraId="7487CD67" w14:textId="77777777" w:rsidR="0038527C" w:rsidRPr="00A4178E" w:rsidRDefault="0038527C" w:rsidP="0038527C">
            <w:pPr>
              <w:rPr>
                <w:lang w:val="en-CA"/>
              </w:rPr>
            </w:pPr>
          </w:p>
        </w:tc>
      </w:tr>
      <w:tr w:rsidR="0038527C" w:rsidRPr="00A4178E" w14:paraId="7487CD6A" w14:textId="77777777" w:rsidTr="002B0009">
        <w:tc>
          <w:tcPr>
            <w:tcW w:w="9501" w:type="dxa"/>
            <w:gridSpan w:val="6"/>
          </w:tcPr>
          <w:p w14:paraId="7487CD69" w14:textId="77777777" w:rsidR="0038527C" w:rsidRPr="00A4178E" w:rsidRDefault="0038527C" w:rsidP="0038527C">
            <w:pPr>
              <w:pStyle w:val="zSoquijdatNomPartieDef"/>
              <w:rPr>
                <w:lang w:val="en-CA"/>
              </w:rPr>
            </w:pPr>
            <w:r w:rsidRPr="00A4178E">
              <w:rPr>
                <w:lang w:val="en-CA"/>
              </w:rPr>
              <w:t>HIS MAJESTY THE KING</w:t>
            </w:r>
          </w:p>
        </w:tc>
      </w:tr>
      <w:tr w:rsidR="0038527C" w:rsidRPr="00A4178E" w14:paraId="7487CD6C" w14:textId="77777777" w:rsidTr="002B0009">
        <w:tc>
          <w:tcPr>
            <w:tcW w:w="9501" w:type="dxa"/>
            <w:gridSpan w:val="6"/>
          </w:tcPr>
          <w:p w14:paraId="7487CD6B" w14:textId="77777777" w:rsidR="0038527C" w:rsidRPr="00A4178E" w:rsidRDefault="0038527C" w:rsidP="0038527C">
            <w:pPr>
              <w:pStyle w:val="zSoquijdatQtePartieDef"/>
              <w:rPr>
                <w:lang w:val="en-CA"/>
              </w:rPr>
            </w:pPr>
            <w:r w:rsidRPr="00A4178E">
              <w:rPr>
                <w:lang w:val="en-CA"/>
              </w:rPr>
              <w:t>RESPONDENT – Prosecutor</w:t>
            </w:r>
          </w:p>
        </w:tc>
      </w:tr>
      <w:tr w:rsidR="0038527C" w:rsidRPr="00A4178E" w14:paraId="7487CD6E" w14:textId="77777777" w:rsidTr="002B0009">
        <w:tc>
          <w:tcPr>
            <w:tcW w:w="9501" w:type="dxa"/>
            <w:gridSpan w:val="6"/>
          </w:tcPr>
          <w:p w14:paraId="7487CD6D" w14:textId="77777777" w:rsidR="0038527C" w:rsidRPr="00A4178E" w:rsidRDefault="0038527C" w:rsidP="0038527C">
            <w:pPr>
              <w:rPr>
                <w:lang w:val="en-CA"/>
              </w:rPr>
            </w:pPr>
          </w:p>
        </w:tc>
      </w:tr>
      <w:tr w:rsidR="0038527C" w:rsidRPr="00A4178E" w14:paraId="7487CD70" w14:textId="77777777" w:rsidTr="002B0009">
        <w:tc>
          <w:tcPr>
            <w:tcW w:w="9501" w:type="dxa"/>
            <w:gridSpan w:val="6"/>
            <w:tcBorders>
              <w:top w:val="single" w:sz="8" w:space="0" w:color="auto"/>
            </w:tcBorders>
          </w:tcPr>
          <w:p w14:paraId="7487CD6F" w14:textId="77777777" w:rsidR="0038527C" w:rsidRPr="00A4178E" w:rsidRDefault="0038527C" w:rsidP="0038527C">
            <w:pPr>
              <w:rPr>
                <w:lang w:val="en-CA"/>
              </w:rPr>
            </w:pPr>
          </w:p>
        </w:tc>
      </w:tr>
      <w:tr w:rsidR="0038527C" w:rsidRPr="00A4178E" w14:paraId="7487CD72" w14:textId="77777777" w:rsidTr="002B0009">
        <w:tc>
          <w:tcPr>
            <w:tcW w:w="9501" w:type="dxa"/>
            <w:gridSpan w:val="6"/>
          </w:tcPr>
          <w:p w14:paraId="7487CD71" w14:textId="77777777" w:rsidR="0038527C" w:rsidRPr="00A4178E" w:rsidRDefault="0038527C" w:rsidP="0038527C">
            <w:pPr>
              <w:pStyle w:val="zSoquijlblTypeDocument"/>
              <w:rPr>
                <w:lang w:val="en-CA"/>
              </w:rPr>
            </w:pPr>
            <w:bookmarkStart w:id="7" w:name="TitreDocument"/>
            <w:r w:rsidRPr="00A4178E">
              <w:rPr>
                <w:lang w:val="en-CA"/>
              </w:rPr>
              <w:t>JUDGMENT</w:t>
            </w:r>
            <w:bookmarkEnd w:id="7"/>
          </w:p>
        </w:tc>
      </w:tr>
      <w:tr w:rsidR="0038527C" w:rsidRPr="00A4178E" w14:paraId="7487CD74" w14:textId="77777777" w:rsidTr="002B0009">
        <w:tc>
          <w:tcPr>
            <w:tcW w:w="9501" w:type="dxa"/>
            <w:gridSpan w:val="6"/>
            <w:tcBorders>
              <w:bottom w:val="single" w:sz="8" w:space="0" w:color="auto"/>
            </w:tcBorders>
          </w:tcPr>
          <w:p w14:paraId="7487CD73" w14:textId="77777777" w:rsidR="0038527C" w:rsidRPr="00A4178E" w:rsidRDefault="0038527C" w:rsidP="0038527C">
            <w:pPr>
              <w:rPr>
                <w:lang w:val="en-CA"/>
              </w:rPr>
            </w:pPr>
          </w:p>
        </w:tc>
      </w:tr>
      <w:tr w:rsidR="0038527C" w:rsidRPr="00A4178E" w14:paraId="7487CD76" w14:textId="77777777" w:rsidTr="002B0009">
        <w:tc>
          <w:tcPr>
            <w:tcW w:w="9501" w:type="dxa"/>
            <w:gridSpan w:val="6"/>
            <w:tcBorders>
              <w:top w:val="single" w:sz="8" w:space="0" w:color="auto"/>
            </w:tcBorders>
          </w:tcPr>
          <w:p w14:paraId="7487CD75" w14:textId="77777777" w:rsidR="0038527C" w:rsidRPr="00A4178E" w:rsidRDefault="0038527C" w:rsidP="0038527C">
            <w:pPr>
              <w:rPr>
                <w:lang w:val="en-CA"/>
              </w:rPr>
            </w:pPr>
          </w:p>
        </w:tc>
      </w:tr>
    </w:tbl>
    <w:p w14:paraId="7487CD77" w14:textId="21722309" w:rsidR="00FA7979" w:rsidRPr="00A4178E" w:rsidRDefault="00C04FF8" w:rsidP="00FA7979">
      <w:pPr>
        <w:pStyle w:val="Paragraphe"/>
        <w:numPr>
          <w:ilvl w:val="0"/>
          <w:numId w:val="0"/>
        </w:numPr>
        <w:spacing w:line="280" w:lineRule="exact"/>
        <w:rPr>
          <w:b/>
          <w:bCs/>
          <w:color w:val="000000"/>
          <w:szCs w:val="24"/>
          <w:lang w:val="en-CA"/>
        </w:rPr>
      </w:pPr>
      <w:bookmarkStart w:id="8" w:name="Arret"/>
      <w:r w:rsidRPr="00A4178E">
        <w:rPr>
          <w:b/>
          <w:bCs/>
          <w:color w:val="000000"/>
          <w:szCs w:val="24"/>
          <w:u w:val="single"/>
          <w:lang w:val="en-CA"/>
        </w:rPr>
        <w:t>WARNING:</w:t>
      </w:r>
      <w:r w:rsidRPr="00A4178E">
        <w:rPr>
          <w:bCs/>
          <w:color w:val="000000"/>
          <w:szCs w:val="24"/>
          <w:lang w:val="en-CA"/>
        </w:rPr>
        <w:t xml:space="preserve"> </w:t>
      </w:r>
      <w:r w:rsidRPr="00A4178E">
        <w:rPr>
          <w:b/>
          <w:bCs/>
          <w:color w:val="000000"/>
          <w:szCs w:val="24"/>
          <w:lang w:val="en-CA"/>
        </w:rPr>
        <w:t xml:space="preserve">Order in first instance restricting publication: The trial court made an order under </w:t>
      </w:r>
      <w:r w:rsidR="004F6D1C">
        <w:rPr>
          <w:b/>
          <w:bCs/>
          <w:color w:val="000000"/>
          <w:szCs w:val="24"/>
          <w:lang w:val="en-CA"/>
        </w:rPr>
        <w:t>s. 4</w:t>
      </w:r>
      <w:r w:rsidRPr="00A4178E">
        <w:rPr>
          <w:b/>
          <w:bCs/>
          <w:color w:val="000000"/>
          <w:szCs w:val="24"/>
          <w:lang w:val="en-CA"/>
        </w:rPr>
        <w:t xml:space="preserve">86.4 </w:t>
      </w:r>
      <w:proofErr w:type="spellStart"/>
      <w:r w:rsidRPr="00A4178E">
        <w:rPr>
          <w:b/>
          <w:bCs/>
          <w:i/>
          <w:iCs/>
          <w:color w:val="000000"/>
          <w:szCs w:val="24"/>
          <w:lang w:val="en-CA"/>
        </w:rPr>
        <w:t>Cr.C</w:t>
      </w:r>
      <w:proofErr w:type="spellEnd"/>
      <w:r w:rsidRPr="00A4178E">
        <w:rPr>
          <w:b/>
          <w:bCs/>
          <w:i/>
          <w:iCs/>
          <w:color w:val="000000"/>
          <w:szCs w:val="24"/>
          <w:lang w:val="en-CA"/>
        </w:rPr>
        <w:t>.</w:t>
      </w:r>
      <w:r w:rsidRPr="00A4178E">
        <w:rPr>
          <w:b/>
          <w:bCs/>
          <w:color w:val="000000"/>
          <w:szCs w:val="24"/>
          <w:lang w:val="en-CA"/>
        </w:rPr>
        <w:t xml:space="preserve"> directing that any information that could identify the victim or a witness shall not be published in any document or broadcast or transmitted in any way.</w:t>
      </w:r>
    </w:p>
    <w:p w14:paraId="7487CD78" w14:textId="77777777" w:rsidR="00B167CD" w:rsidRPr="00A4178E" w:rsidRDefault="00C04FF8" w:rsidP="00FA7979">
      <w:pPr>
        <w:pStyle w:val="Paragraphe"/>
        <w:numPr>
          <w:ilvl w:val="0"/>
          <w:numId w:val="0"/>
        </w:numPr>
        <w:spacing w:line="280" w:lineRule="exact"/>
        <w:rPr>
          <w:b/>
          <w:bCs/>
          <w:szCs w:val="24"/>
          <w:lang w:val="en-CA"/>
        </w:rPr>
      </w:pPr>
      <w:r w:rsidRPr="00A4178E">
        <w:rPr>
          <w:b/>
          <w:bCs/>
          <w:color w:val="000000"/>
          <w:szCs w:val="24"/>
          <w:u w:val="single"/>
          <w:lang w:val="en-CA"/>
        </w:rPr>
        <w:t>WARNING:</w:t>
      </w:r>
      <w:r w:rsidRPr="00A4178E">
        <w:rPr>
          <w:bCs/>
          <w:color w:val="000000"/>
          <w:szCs w:val="24"/>
          <w:lang w:val="en-CA"/>
        </w:rPr>
        <w:t xml:space="preserve"> </w:t>
      </w:r>
      <w:r w:rsidRPr="00A4178E">
        <w:rPr>
          <w:b/>
          <w:bCs/>
          <w:color w:val="000000"/>
          <w:szCs w:val="24"/>
          <w:lang w:val="en-CA"/>
        </w:rPr>
        <w:t>On April 30, 2025, the Court of Appeal made an order directing that no one may publish, broadcast or transmit any information about or reference to the nature of any sexual activity of the complainant other than the sexual activity that gave rise to the charge.</w:t>
      </w:r>
    </w:p>
    <w:p w14:paraId="7487CD79" w14:textId="77777777" w:rsidR="008F364A" w:rsidRPr="00A4178E" w:rsidRDefault="00C04FF8" w:rsidP="00C65A17">
      <w:pPr>
        <w:pStyle w:val="Paragraphe"/>
        <w:spacing w:line="280" w:lineRule="exact"/>
        <w:rPr>
          <w:lang w:val="en-CA"/>
        </w:rPr>
      </w:pPr>
      <w:r w:rsidRPr="00A4178E">
        <w:rPr>
          <w:lang w:val="en-CA"/>
        </w:rPr>
        <w:t>The appellant appeals from a judgment rendered on May 3, 2022, by the Court of Québec, Criminal and Penal Division (the Honourable Johanne Roy), that convicted him of sexual assault and assault. He filed an application for leave to appeal from the sentence rendered on January 19, 2023.</w:t>
      </w:r>
    </w:p>
    <w:p w14:paraId="7487CD7A" w14:textId="1CFA9AEF" w:rsidR="00C81690" w:rsidRPr="00A4178E" w:rsidRDefault="00C04FF8" w:rsidP="00C65A17">
      <w:pPr>
        <w:pStyle w:val="Paragraphe"/>
        <w:spacing w:line="280" w:lineRule="exact"/>
        <w:rPr>
          <w:lang w:val="en-CA"/>
        </w:rPr>
      </w:pPr>
      <w:r w:rsidRPr="00A4178E">
        <w:rPr>
          <w:lang w:val="en-CA"/>
        </w:rPr>
        <w:lastRenderedPageBreak/>
        <w:t xml:space="preserve">For the reasons of Gagné, J.A., with which Weitzman and Hardy, JJ.A. agree, </w:t>
      </w:r>
      <w:r w:rsidRPr="00A4178E">
        <w:rPr>
          <w:b/>
          <w:bCs/>
          <w:lang w:val="en-CA"/>
        </w:rPr>
        <w:t>THE</w:t>
      </w:r>
      <w:r w:rsidR="008318C9">
        <w:rPr>
          <w:b/>
          <w:bCs/>
          <w:lang w:val="en-CA"/>
        </w:rPr>
        <w:t> </w:t>
      </w:r>
      <w:r w:rsidRPr="00A4178E">
        <w:rPr>
          <w:b/>
          <w:bCs/>
          <w:lang w:val="en-CA"/>
        </w:rPr>
        <w:t>COURT:</w:t>
      </w:r>
    </w:p>
    <w:p w14:paraId="7487CD7B" w14:textId="77777777" w:rsidR="00C81690" w:rsidRPr="00A4178E" w:rsidRDefault="00C04FF8" w:rsidP="00C65A17">
      <w:pPr>
        <w:pStyle w:val="Paragraphe"/>
        <w:spacing w:line="280" w:lineRule="exact"/>
        <w:rPr>
          <w:lang w:val="en-CA"/>
        </w:rPr>
      </w:pPr>
      <w:r w:rsidRPr="00A4178E">
        <w:rPr>
          <w:b/>
          <w:bCs/>
          <w:lang w:val="en-CA"/>
        </w:rPr>
        <w:t>DISMISSES</w:t>
      </w:r>
      <w:r w:rsidRPr="00A4178E">
        <w:rPr>
          <w:lang w:val="en-CA"/>
        </w:rPr>
        <w:t xml:space="preserve"> the application for leave to adduce fresh </w:t>
      </w:r>
      <w:proofErr w:type="gramStart"/>
      <w:r w:rsidRPr="00A4178E">
        <w:rPr>
          <w:lang w:val="en-CA"/>
        </w:rPr>
        <w:t>evidence;</w:t>
      </w:r>
      <w:proofErr w:type="gramEnd"/>
    </w:p>
    <w:p w14:paraId="7487CD7C" w14:textId="77777777" w:rsidR="00C81690" w:rsidRPr="00A4178E" w:rsidRDefault="00C04FF8" w:rsidP="00C65A17">
      <w:pPr>
        <w:pStyle w:val="Paragraphe"/>
        <w:spacing w:line="280" w:lineRule="exact"/>
        <w:rPr>
          <w:b/>
          <w:bCs/>
          <w:lang w:val="en-CA"/>
        </w:rPr>
      </w:pPr>
      <w:r w:rsidRPr="00A4178E">
        <w:rPr>
          <w:b/>
          <w:bCs/>
          <w:lang w:val="en-CA"/>
        </w:rPr>
        <w:t>DISMISSES</w:t>
      </w:r>
      <w:r w:rsidRPr="00A4178E">
        <w:rPr>
          <w:bCs/>
          <w:lang w:val="en-CA"/>
        </w:rPr>
        <w:t xml:space="preserve"> the appeal from the </w:t>
      </w:r>
      <w:proofErr w:type="gramStart"/>
      <w:r w:rsidRPr="00A4178E">
        <w:rPr>
          <w:bCs/>
          <w:lang w:val="en-CA"/>
        </w:rPr>
        <w:t>conviction;</w:t>
      </w:r>
      <w:proofErr w:type="gramEnd"/>
    </w:p>
    <w:p w14:paraId="7487CD7D" w14:textId="77777777" w:rsidR="00C81690" w:rsidRPr="00A4178E" w:rsidRDefault="00C04FF8" w:rsidP="00C65A17">
      <w:pPr>
        <w:pStyle w:val="Paragraphe"/>
        <w:spacing w:line="280" w:lineRule="exact"/>
        <w:rPr>
          <w:b/>
          <w:bCs/>
          <w:lang w:val="en-CA"/>
        </w:rPr>
      </w:pPr>
      <w:r w:rsidRPr="00A4178E">
        <w:rPr>
          <w:b/>
          <w:bCs/>
          <w:lang w:val="en-CA"/>
        </w:rPr>
        <w:t>DISMISSES</w:t>
      </w:r>
      <w:r w:rsidRPr="00A4178E">
        <w:rPr>
          <w:bCs/>
          <w:lang w:val="en-CA"/>
        </w:rPr>
        <w:t xml:space="preserve"> the application for leave to appeal from the </w:t>
      </w:r>
      <w:proofErr w:type="gramStart"/>
      <w:r w:rsidRPr="00A4178E">
        <w:rPr>
          <w:bCs/>
          <w:lang w:val="en-CA"/>
        </w:rPr>
        <w:t>sentence;</w:t>
      </w:r>
      <w:proofErr w:type="gramEnd"/>
    </w:p>
    <w:p w14:paraId="7487CD7E" w14:textId="77777777" w:rsidR="00C81690" w:rsidRPr="00A4178E" w:rsidRDefault="00C04FF8" w:rsidP="00C65A17">
      <w:pPr>
        <w:pStyle w:val="Paragraphe"/>
        <w:spacing w:line="280" w:lineRule="exact"/>
        <w:rPr>
          <w:b/>
          <w:bCs/>
          <w:lang w:val="en-CA"/>
        </w:rPr>
      </w:pPr>
      <w:r w:rsidRPr="00A4178E">
        <w:rPr>
          <w:b/>
          <w:bCs/>
          <w:lang w:val="en-CA"/>
        </w:rPr>
        <w:t xml:space="preserve">ORDERS </w:t>
      </w:r>
      <w:r w:rsidRPr="00A4178E">
        <w:rPr>
          <w:bCs/>
          <w:lang w:val="en-CA"/>
        </w:rPr>
        <w:t xml:space="preserve">the appellant to surrender to prison authorities within 72 hours of this judgment. </w:t>
      </w:r>
    </w:p>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1997"/>
        <w:gridCol w:w="2685"/>
        <w:gridCol w:w="4680"/>
      </w:tblGrid>
      <w:tr w:rsidR="00445A95" w:rsidRPr="004F74FF" w14:paraId="7487CD80" w14:textId="77777777" w:rsidTr="003E3239">
        <w:trPr>
          <w:trHeight w:val="576"/>
        </w:trPr>
        <w:tc>
          <w:tcPr>
            <w:tcW w:w="9362" w:type="dxa"/>
            <w:gridSpan w:val="3"/>
            <w:tcBorders>
              <w:top w:val="nil"/>
              <w:bottom w:val="nil"/>
            </w:tcBorders>
          </w:tcPr>
          <w:p w14:paraId="7487CD7F" w14:textId="77777777" w:rsidR="008F364A" w:rsidRPr="00A4178E" w:rsidRDefault="008F364A">
            <w:pPr>
              <w:keepNext/>
              <w:rPr>
                <w:lang w:val="en-CA"/>
              </w:rPr>
            </w:pPr>
          </w:p>
        </w:tc>
      </w:tr>
      <w:tr w:rsidR="00445A95" w:rsidRPr="004F74FF" w14:paraId="7487CD83" w14:textId="77777777" w:rsidTr="00117914">
        <w:trPr>
          <w:trHeight w:val="283"/>
        </w:trPr>
        <w:tc>
          <w:tcPr>
            <w:tcW w:w="4682" w:type="dxa"/>
            <w:gridSpan w:val="2"/>
            <w:tcBorders>
              <w:top w:val="nil"/>
              <w:bottom w:val="nil"/>
            </w:tcBorders>
          </w:tcPr>
          <w:p w14:paraId="7487CD81" w14:textId="77777777" w:rsidR="008F364A" w:rsidRPr="00A4178E" w:rsidRDefault="008F364A">
            <w:pPr>
              <w:keepNext/>
              <w:rPr>
                <w:lang w:val="en-CA"/>
              </w:rPr>
            </w:pPr>
          </w:p>
        </w:tc>
        <w:tc>
          <w:tcPr>
            <w:tcW w:w="4680" w:type="dxa"/>
            <w:tcBorders>
              <w:top w:val="nil"/>
              <w:bottom w:val="single" w:sz="8" w:space="0" w:color="auto"/>
            </w:tcBorders>
          </w:tcPr>
          <w:p w14:paraId="7487CD82" w14:textId="77777777" w:rsidR="008F364A" w:rsidRPr="00A4178E" w:rsidRDefault="008F364A">
            <w:pPr>
              <w:keepNext/>
              <w:rPr>
                <w:lang w:val="en-CA"/>
              </w:rPr>
            </w:pPr>
          </w:p>
        </w:tc>
      </w:tr>
      <w:tr w:rsidR="00445A95" w:rsidRPr="00A4178E" w14:paraId="7487CD86" w14:textId="77777777" w:rsidTr="00117914">
        <w:trPr>
          <w:trHeight w:val="283"/>
        </w:trPr>
        <w:tc>
          <w:tcPr>
            <w:tcW w:w="4682" w:type="dxa"/>
            <w:gridSpan w:val="2"/>
            <w:tcBorders>
              <w:top w:val="nil"/>
            </w:tcBorders>
          </w:tcPr>
          <w:p w14:paraId="7487CD84" w14:textId="77777777" w:rsidR="008F364A" w:rsidRPr="00A4178E" w:rsidRDefault="008F364A">
            <w:pPr>
              <w:keepNext/>
              <w:rPr>
                <w:lang w:val="en-CA"/>
              </w:rPr>
            </w:pPr>
          </w:p>
        </w:tc>
        <w:tc>
          <w:tcPr>
            <w:tcW w:w="4680" w:type="dxa"/>
            <w:tcBorders>
              <w:top w:val="single" w:sz="8" w:space="0" w:color="auto"/>
            </w:tcBorders>
          </w:tcPr>
          <w:p w14:paraId="7487CD85" w14:textId="03F564BC" w:rsidR="008F364A" w:rsidRPr="00A4178E" w:rsidRDefault="007C1FA4">
            <w:pPr>
              <w:rPr>
                <w:lang w:val="en-CA"/>
              </w:rPr>
            </w:pPr>
            <w:r w:rsidRPr="007C1FA4">
              <w:rPr>
                <w:lang w:val="en-CA"/>
              </w:rPr>
              <w:t>SUZANNE GAGNÉ, J.A.</w:t>
            </w:r>
          </w:p>
        </w:tc>
      </w:tr>
      <w:tr w:rsidR="00445A95" w:rsidRPr="00A4178E" w14:paraId="7487CD89" w14:textId="77777777" w:rsidTr="00117914">
        <w:trPr>
          <w:trHeight w:val="283"/>
        </w:trPr>
        <w:tc>
          <w:tcPr>
            <w:tcW w:w="4682" w:type="dxa"/>
            <w:gridSpan w:val="2"/>
            <w:tcBorders>
              <w:top w:val="nil"/>
            </w:tcBorders>
          </w:tcPr>
          <w:p w14:paraId="7487CD87" w14:textId="77777777" w:rsidR="008F364A" w:rsidRPr="00A4178E" w:rsidRDefault="008F364A">
            <w:pPr>
              <w:keepNext/>
              <w:rPr>
                <w:lang w:val="en-CA"/>
              </w:rPr>
            </w:pPr>
            <w:bookmarkStart w:id="9" w:name="Signature2"/>
          </w:p>
        </w:tc>
        <w:tc>
          <w:tcPr>
            <w:tcW w:w="4680" w:type="dxa"/>
            <w:tcBorders>
              <w:top w:val="nil"/>
            </w:tcBorders>
          </w:tcPr>
          <w:p w14:paraId="7487CD88" w14:textId="77777777" w:rsidR="008F364A" w:rsidRPr="00A4178E" w:rsidRDefault="008F364A">
            <w:pPr>
              <w:keepNext/>
              <w:rPr>
                <w:lang w:val="en-CA"/>
              </w:rPr>
            </w:pPr>
          </w:p>
        </w:tc>
      </w:tr>
      <w:tr w:rsidR="00445A95" w:rsidRPr="00A4178E" w14:paraId="7487CD8C" w14:textId="77777777" w:rsidTr="00117914">
        <w:trPr>
          <w:trHeight w:val="283"/>
        </w:trPr>
        <w:tc>
          <w:tcPr>
            <w:tcW w:w="4682" w:type="dxa"/>
            <w:gridSpan w:val="2"/>
            <w:tcBorders>
              <w:top w:val="nil"/>
              <w:bottom w:val="nil"/>
            </w:tcBorders>
          </w:tcPr>
          <w:p w14:paraId="7487CD8A" w14:textId="77777777" w:rsidR="008F364A" w:rsidRPr="00A4178E" w:rsidRDefault="008F364A">
            <w:pPr>
              <w:keepNext/>
              <w:rPr>
                <w:lang w:val="en-CA"/>
              </w:rPr>
            </w:pPr>
          </w:p>
        </w:tc>
        <w:tc>
          <w:tcPr>
            <w:tcW w:w="4680" w:type="dxa"/>
            <w:tcBorders>
              <w:top w:val="nil"/>
              <w:bottom w:val="single" w:sz="8" w:space="0" w:color="auto"/>
            </w:tcBorders>
          </w:tcPr>
          <w:p w14:paraId="7487CD8B" w14:textId="77777777" w:rsidR="008F364A" w:rsidRPr="00A4178E" w:rsidRDefault="008F364A">
            <w:pPr>
              <w:keepNext/>
              <w:rPr>
                <w:lang w:val="en-CA"/>
              </w:rPr>
            </w:pPr>
          </w:p>
        </w:tc>
      </w:tr>
      <w:tr w:rsidR="00445A95" w:rsidRPr="00A4178E" w14:paraId="7487CD8F" w14:textId="77777777" w:rsidTr="00117914">
        <w:trPr>
          <w:trHeight w:val="283"/>
        </w:trPr>
        <w:tc>
          <w:tcPr>
            <w:tcW w:w="4682" w:type="dxa"/>
            <w:gridSpan w:val="2"/>
            <w:tcBorders>
              <w:top w:val="nil"/>
            </w:tcBorders>
          </w:tcPr>
          <w:p w14:paraId="7487CD8D" w14:textId="77777777" w:rsidR="008F364A" w:rsidRPr="00A4178E" w:rsidRDefault="008F364A">
            <w:pPr>
              <w:keepNext/>
              <w:rPr>
                <w:lang w:val="en-CA"/>
              </w:rPr>
            </w:pPr>
          </w:p>
        </w:tc>
        <w:tc>
          <w:tcPr>
            <w:tcW w:w="4680" w:type="dxa"/>
            <w:tcBorders>
              <w:top w:val="single" w:sz="8" w:space="0" w:color="auto"/>
            </w:tcBorders>
          </w:tcPr>
          <w:p w14:paraId="7487CD8E" w14:textId="25F5B375" w:rsidR="008F364A" w:rsidRPr="00BB2DF6" w:rsidRDefault="007C1FA4">
            <w:pPr>
              <w:keepNext/>
              <w:rPr>
                <w:lang w:val="en-CA"/>
              </w:rPr>
            </w:pPr>
            <w:r w:rsidRPr="00BB2DF6">
              <w:rPr>
                <w:lang w:val="en-CA"/>
              </w:rPr>
              <w:t>LORI RENÉE WEITZMAN, J.A.</w:t>
            </w:r>
          </w:p>
        </w:tc>
      </w:tr>
      <w:tr w:rsidR="00445A95" w:rsidRPr="00A4178E" w14:paraId="7487CD92" w14:textId="77777777" w:rsidTr="00117914">
        <w:trPr>
          <w:trHeight w:val="283"/>
        </w:trPr>
        <w:tc>
          <w:tcPr>
            <w:tcW w:w="4682" w:type="dxa"/>
            <w:gridSpan w:val="2"/>
            <w:tcBorders>
              <w:top w:val="nil"/>
            </w:tcBorders>
          </w:tcPr>
          <w:p w14:paraId="7487CD90" w14:textId="77777777" w:rsidR="008F364A" w:rsidRPr="00BB2DF6" w:rsidRDefault="008F364A">
            <w:pPr>
              <w:keepNext/>
              <w:rPr>
                <w:lang w:val="en-CA"/>
              </w:rPr>
            </w:pPr>
            <w:bookmarkStart w:id="10" w:name="Signature3"/>
            <w:bookmarkEnd w:id="9"/>
          </w:p>
        </w:tc>
        <w:tc>
          <w:tcPr>
            <w:tcW w:w="4680" w:type="dxa"/>
            <w:tcBorders>
              <w:top w:val="nil"/>
            </w:tcBorders>
          </w:tcPr>
          <w:p w14:paraId="7487CD91" w14:textId="77777777" w:rsidR="008F364A" w:rsidRPr="00BB2DF6" w:rsidRDefault="008F364A">
            <w:pPr>
              <w:keepNext/>
              <w:rPr>
                <w:lang w:val="en-CA"/>
              </w:rPr>
            </w:pPr>
          </w:p>
        </w:tc>
      </w:tr>
      <w:tr w:rsidR="00445A95" w:rsidRPr="00A4178E" w14:paraId="7487CD95" w14:textId="77777777" w:rsidTr="00117914">
        <w:trPr>
          <w:trHeight w:val="283"/>
        </w:trPr>
        <w:tc>
          <w:tcPr>
            <w:tcW w:w="4682" w:type="dxa"/>
            <w:gridSpan w:val="2"/>
            <w:tcBorders>
              <w:top w:val="nil"/>
              <w:bottom w:val="nil"/>
            </w:tcBorders>
          </w:tcPr>
          <w:p w14:paraId="7487CD93" w14:textId="77777777" w:rsidR="008F364A" w:rsidRPr="00BB2DF6" w:rsidRDefault="008F364A">
            <w:pPr>
              <w:keepNext/>
              <w:rPr>
                <w:lang w:val="en-CA"/>
              </w:rPr>
            </w:pPr>
          </w:p>
        </w:tc>
        <w:tc>
          <w:tcPr>
            <w:tcW w:w="4680" w:type="dxa"/>
            <w:tcBorders>
              <w:top w:val="nil"/>
              <w:bottom w:val="single" w:sz="8" w:space="0" w:color="auto"/>
            </w:tcBorders>
          </w:tcPr>
          <w:p w14:paraId="7487CD94" w14:textId="77777777" w:rsidR="008F364A" w:rsidRPr="00BB2DF6" w:rsidRDefault="008F364A">
            <w:pPr>
              <w:keepNext/>
              <w:rPr>
                <w:lang w:val="en-CA"/>
              </w:rPr>
            </w:pPr>
          </w:p>
        </w:tc>
      </w:tr>
      <w:tr w:rsidR="00445A95" w:rsidRPr="00A4178E" w14:paraId="7487CD98" w14:textId="77777777" w:rsidTr="00117914">
        <w:trPr>
          <w:trHeight w:val="283"/>
        </w:trPr>
        <w:tc>
          <w:tcPr>
            <w:tcW w:w="4682" w:type="dxa"/>
            <w:gridSpan w:val="2"/>
            <w:tcBorders>
              <w:top w:val="nil"/>
            </w:tcBorders>
          </w:tcPr>
          <w:p w14:paraId="7487CD96" w14:textId="77777777" w:rsidR="008F364A" w:rsidRPr="00BB2DF6" w:rsidRDefault="008F364A">
            <w:pPr>
              <w:keepNext/>
              <w:rPr>
                <w:lang w:val="en-CA"/>
              </w:rPr>
            </w:pPr>
          </w:p>
        </w:tc>
        <w:tc>
          <w:tcPr>
            <w:tcW w:w="4680" w:type="dxa"/>
            <w:tcBorders>
              <w:top w:val="single" w:sz="8" w:space="0" w:color="auto"/>
            </w:tcBorders>
          </w:tcPr>
          <w:p w14:paraId="7487CD97" w14:textId="072CFB98" w:rsidR="008F364A" w:rsidRPr="00A4178E" w:rsidRDefault="007C1FA4">
            <w:pPr>
              <w:keepNext/>
              <w:rPr>
                <w:lang w:val="en-CA"/>
              </w:rPr>
            </w:pPr>
            <w:r w:rsidRPr="007C1FA4">
              <w:rPr>
                <w:lang w:val="en-CA"/>
              </w:rPr>
              <w:t>ÉRIC HARDY, J.A.</w:t>
            </w:r>
          </w:p>
        </w:tc>
      </w:tr>
      <w:bookmarkEnd w:id="10"/>
      <w:tr w:rsidR="00445A95" w:rsidRPr="00A4178E" w14:paraId="7487CD9A" w14:textId="77777777" w:rsidTr="00DF2D2E">
        <w:tc>
          <w:tcPr>
            <w:tcW w:w="9362" w:type="dxa"/>
            <w:gridSpan w:val="3"/>
            <w:tcBorders>
              <w:bottom w:val="nil"/>
            </w:tcBorders>
          </w:tcPr>
          <w:p w14:paraId="7487CD99" w14:textId="77777777" w:rsidR="005A78BF" w:rsidRPr="00A4178E" w:rsidRDefault="005A78BF" w:rsidP="005A78BF">
            <w:pPr>
              <w:rPr>
                <w:lang w:val="en-CA"/>
              </w:rPr>
            </w:pPr>
          </w:p>
        </w:tc>
      </w:tr>
      <w:tr w:rsidR="00445A95" w:rsidRPr="00A4178E" w14:paraId="7487CD9C" w14:textId="77777777" w:rsidTr="00DF2D2E">
        <w:tc>
          <w:tcPr>
            <w:tcW w:w="9362" w:type="dxa"/>
            <w:gridSpan w:val="3"/>
            <w:tcBorders>
              <w:top w:val="nil"/>
            </w:tcBorders>
          </w:tcPr>
          <w:p w14:paraId="7487CD9B" w14:textId="77777777" w:rsidR="005A78BF" w:rsidRPr="00A4178E" w:rsidRDefault="00C04FF8" w:rsidP="005A78BF">
            <w:pPr>
              <w:pStyle w:val="zSoquijdatNomProcureurDem"/>
              <w:rPr>
                <w:lang w:val="en-CA"/>
              </w:rPr>
            </w:pPr>
            <w:r w:rsidRPr="00A4178E">
              <w:rPr>
                <w:lang w:val="en-CA"/>
              </w:rPr>
              <w:t>Mtre Sébastien Saint-Laurent</w:t>
            </w:r>
          </w:p>
        </w:tc>
      </w:tr>
      <w:tr w:rsidR="00445A95" w:rsidRPr="00A4178E" w14:paraId="7487CD9E" w14:textId="77777777" w:rsidTr="00423DF1">
        <w:tc>
          <w:tcPr>
            <w:tcW w:w="9362" w:type="dxa"/>
            <w:gridSpan w:val="3"/>
          </w:tcPr>
          <w:p w14:paraId="7487CD9D" w14:textId="77777777" w:rsidR="005A78BF" w:rsidRPr="00BB2DF6" w:rsidRDefault="00C04FF8" w:rsidP="005A78BF">
            <w:pPr>
              <w:pStyle w:val="zSoquijdatCabinetProcureurDem"/>
              <w:rPr>
                <w:lang w:val="en-CA"/>
              </w:rPr>
            </w:pPr>
            <w:r w:rsidRPr="00BB2DF6">
              <w:rPr>
                <w:lang w:val="en-CA"/>
              </w:rPr>
              <w:t>MTRE SÉBASTIEN SAINT-LAURENT AVOCAT</w:t>
            </w:r>
          </w:p>
        </w:tc>
      </w:tr>
      <w:tr w:rsidR="00445A95" w:rsidRPr="00A4178E" w14:paraId="7487CDA0" w14:textId="77777777" w:rsidTr="00423DF1">
        <w:tc>
          <w:tcPr>
            <w:tcW w:w="9362" w:type="dxa"/>
            <w:gridSpan w:val="3"/>
          </w:tcPr>
          <w:p w14:paraId="7487CD9F" w14:textId="77777777" w:rsidR="005A78BF" w:rsidRPr="00A4178E" w:rsidRDefault="00C04FF8" w:rsidP="005A78BF">
            <w:pPr>
              <w:pStyle w:val="zSoquijlblProcureurDem"/>
              <w:rPr>
                <w:lang w:val="en-CA"/>
              </w:rPr>
            </w:pPr>
            <w:r w:rsidRPr="00A4178E">
              <w:rPr>
                <w:lang w:val="en-CA"/>
              </w:rPr>
              <w:t>For the appellant</w:t>
            </w:r>
          </w:p>
        </w:tc>
      </w:tr>
      <w:tr w:rsidR="00445A95" w:rsidRPr="00A4178E" w14:paraId="7487CDA2" w14:textId="77777777" w:rsidTr="006F1FC1">
        <w:tc>
          <w:tcPr>
            <w:tcW w:w="9362" w:type="dxa"/>
            <w:gridSpan w:val="3"/>
          </w:tcPr>
          <w:p w14:paraId="7487CDA1" w14:textId="77777777" w:rsidR="00DF2D2E" w:rsidRPr="00A4178E" w:rsidRDefault="00DF2D2E" w:rsidP="006F1FC1">
            <w:pPr>
              <w:rPr>
                <w:lang w:val="en-CA"/>
              </w:rPr>
            </w:pPr>
          </w:p>
        </w:tc>
      </w:tr>
      <w:tr w:rsidR="00445A95" w:rsidRPr="00A4178E" w14:paraId="7487CDA4" w14:textId="77777777" w:rsidTr="006F1FC1">
        <w:tc>
          <w:tcPr>
            <w:tcW w:w="9362" w:type="dxa"/>
            <w:gridSpan w:val="3"/>
          </w:tcPr>
          <w:p w14:paraId="7487CDA3" w14:textId="77777777" w:rsidR="00DF2D2E" w:rsidRPr="00A4178E" w:rsidRDefault="00C04FF8" w:rsidP="006F1FC1">
            <w:pPr>
              <w:pStyle w:val="zSoquijdatNomProcureurDef"/>
              <w:rPr>
                <w:lang w:val="en-CA"/>
              </w:rPr>
            </w:pPr>
            <w:r w:rsidRPr="00A4178E">
              <w:rPr>
                <w:lang w:val="en-CA"/>
              </w:rPr>
              <w:t>Mtre Régis Boisvert</w:t>
            </w:r>
          </w:p>
        </w:tc>
      </w:tr>
      <w:tr w:rsidR="00445A95" w:rsidRPr="004F74FF" w14:paraId="7487CDA6" w14:textId="77777777" w:rsidTr="006F1FC1">
        <w:tc>
          <w:tcPr>
            <w:tcW w:w="9362" w:type="dxa"/>
            <w:gridSpan w:val="3"/>
          </w:tcPr>
          <w:p w14:paraId="7487CDA5" w14:textId="77777777" w:rsidR="00DF2D2E" w:rsidRPr="00A4178E" w:rsidRDefault="00C04FF8" w:rsidP="006F1FC1">
            <w:pPr>
              <w:pStyle w:val="zSoquijdatCabinetProcureurDef"/>
              <w:rPr>
                <w:lang w:val="en-CA"/>
              </w:rPr>
            </w:pPr>
            <w:r w:rsidRPr="00A4178E">
              <w:rPr>
                <w:lang w:val="en-CA"/>
              </w:rPr>
              <w:t>DIRECTOR OF CRIMINAL AND PENAL PROSECUTIONS</w:t>
            </w:r>
          </w:p>
        </w:tc>
      </w:tr>
      <w:tr w:rsidR="00445A95" w:rsidRPr="00A4178E" w14:paraId="7487CDA8" w14:textId="77777777" w:rsidTr="006F1FC1">
        <w:tc>
          <w:tcPr>
            <w:tcW w:w="9362" w:type="dxa"/>
            <w:gridSpan w:val="3"/>
          </w:tcPr>
          <w:p w14:paraId="7487CDA7" w14:textId="77777777" w:rsidR="00DF2D2E" w:rsidRPr="00A4178E" w:rsidRDefault="00C04FF8" w:rsidP="006F1FC1">
            <w:pPr>
              <w:pStyle w:val="zSoquijlblProcureurDef"/>
              <w:rPr>
                <w:lang w:val="en-CA"/>
              </w:rPr>
            </w:pPr>
            <w:r w:rsidRPr="00A4178E">
              <w:rPr>
                <w:lang w:val="en-CA"/>
              </w:rPr>
              <w:t>For the respondent</w:t>
            </w:r>
          </w:p>
        </w:tc>
      </w:tr>
      <w:tr w:rsidR="00445A95" w:rsidRPr="00A4178E" w14:paraId="7487CDAA" w14:textId="77777777" w:rsidTr="00423DF1">
        <w:tc>
          <w:tcPr>
            <w:tcW w:w="9362" w:type="dxa"/>
            <w:gridSpan w:val="3"/>
          </w:tcPr>
          <w:p w14:paraId="7487CDA9" w14:textId="77777777" w:rsidR="005A78BF" w:rsidRPr="00A4178E" w:rsidRDefault="005A78BF" w:rsidP="005A78BF">
            <w:pPr>
              <w:rPr>
                <w:lang w:val="en-CA"/>
              </w:rPr>
            </w:pPr>
          </w:p>
        </w:tc>
      </w:tr>
      <w:tr w:rsidR="00445A95" w:rsidRPr="00A4178E" w14:paraId="7487CDAC" w14:textId="77777777" w:rsidTr="00423DF1">
        <w:tc>
          <w:tcPr>
            <w:tcW w:w="9362" w:type="dxa"/>
            <w:gridSpan w:val="3"/>
          </w:tcPr>
          <w:p w14:paraId="7487CDAB" w14:textId="77777777" w:rsidR="005A78BF" w:rsidRPr="00A4178E" w:rsidRDefault="00C04FF8" w:rsidP="005A78BF">
            <w:pPr>
              <w:pStyle w:val="zSoquijdatNomProcureurDef"/>
              <w:rPr>
                <w:lang w:val="en-CA"/>
              </w:rPr>
            </w:pPr>
            <w:r w:rsidRPr="00A4178E">
              <w:rPr>
                <w:lang w:val="en-CA"/>
              </w:rPr>
              <w:t>Mtre Vincent R. Paquet</w:t>
            </w:r>
          </w:p>
        </w:tc>
      </w:tr>
      <w:tr w:rsidR="00445A95" w:rsidRPr="00A4178E" w14:paraId="7487CDAE" w14:textId="77777777" w:rsidTr="00423DF1">
        <w:tc>
          <w:tcPr>
            <w:tcW w:w="9362" w:type="dxa"/>
            <w:gridSpan w:val="3"/>
          </w:tcPr>
          <w:p w14:paraId="7487CDAD" w14:textId="77777777" w:rsidR="005A78BF" w:rsidRPr="00A4178E" w:rsidRDefault="00C04FF8" w:rsidP="005A78BF">
            <w:pPr>
              <w:pStyle w:val="zSoquijdatCabinetProcureurDef"/>
              <w:rPr>
                <w:lang w:val="en-CA"/>
              </w:rPr>
            </w:pPr>
            <w:r w:rsidRPr="00A4178E">
              <w:rPr>
                <w:lang w:val="en-CA"/>
              </w:rPr>
              <w:t>BOLDUC, PAQUET</w:t>
            </w:r>
          </w:p>
        </w:tc>
      </w:tr>
      <w:tr w:rsidR="00445A95" w:rsidRPr="00A4178E" w14:paraId="7487CDB0" w14:textId="77777777" w:rsidTr="00423DF1">
        <w:tc>
          <w:tcPr>
            <w:tcW w:w="9362" w:type="dxa"/>
            <w:gridSpan w:val="3"/>
          </w:tcPr>
          <w:p w14:paraId="7487CDAF" w14:textId="77777777" w:rsidR="005A78BF" w:rsidRPr="00A4178E" w:rsidRDefault="00C04FF8" w:rsidP="005A78BF">
            <w:pPr>
              <w:pStyle w:val="zSoquijlblProcureurDef"/>
              <w:rPr>
                <w:lang w:val="en-CA"/>
              </w:rPr>
            </w:pPr>
            <w:r w:rsidRPr="00A4178E">
              <w:rPr>
                <w:lang w:val="en-CA"/>
              </w:rPr>
              <w:t>For Mtre François Cauchon, counsel in first instance</w:t>
            </w:r>
          </w:p>
        </w:tc>
      </w:tr>
      <w:tr w:rsidR="00445A95" w:rsidRPr="00A4178E" w14:paraId="7487CDB2" w14:textId="77777777" w:rsidTr="00423DF1">
        <w:tc>
          <w:tcPr>
            <w:tcW w:w="9362" w:type="dxa"/>
            <w:gridSpan w:val="3"/>
          </w:tcPr>
          <w:p w14:paraId="7487CDB1" w14:textId="77777777" w:rsidR="005A78BF" w:rsidRPr="00A4178E" w:rsidRDefault="005A78BF" w:rsidP="005A78BF">
            <w:pPr>
              <w:rPr>
                <w:lang w:val="en-CA"/>
              </w:rPr>
            </w:pPr>
          </w:p>
        </w:tc>
      </w:tr>
      <w:tr w:rsidR="00445A95" w:rsidRPr="00A4178E" w14:paraId="7487CDB5" w14:textId="77777777" w:rsidTr="00423DF1">
        <w:tc>
          <w:tcPr>
            <w:tcW w:w="1997" w:type="dxa"/>
          </w:tcPr>
          <w:p w14:paraId="7487CDB3" w14:textId="77777777" w:rsidR="005A78BF" w:rsidRPr="00A4178E" w:rsidRDefault="00C04FF8" w:rsidP="005A78BF">
            <w:pPr>
              <w:pStyle w:val="zSoquijlblDateAudience"/>
              <w:rPr>
                <w:lang w:val="en-CA"/>
              </w:rPr>
            </w:pPr>
            <w:r w:rsidRPr="00A4178E">
              <w:rPr>
                <w:lang w:val="en-CA"/>
              </w:rPr>
              <w:t>Date of hearing:</w:t>
            </w:r>
          </w:p>
        </w:tc>
        <w:tc>
          <w:tcPr>
            <w:tcW w:w="7365" w:type="dxa"/>
            <w:gridSpan w:val="2"/>
          </w:tcPr>
          <w:p w14:paraId="7487CDB4" w14:textId="77777777" w:rsidR="005A78BF" w:rsidRPr="00A4178E" w:rsidRDefault="00C04FF8" w:rsidP="005A78BF">
            <w:pPr>
              <w:pStyle w:val="zSoquijdatDateAudience"/>
              <w:rPr>
                <w:lang w:val="en-CA"/>
              </w:rPr>
            </w:pPr>
            <w:r w:rsidRPr="00A4178E">
              <w:rPr>
                <w:lang w:val="en-CA"/>
              </w:rPr>
              <w:t>April 30, 2025</w:t>
            </w:r>
          </w:p>
        </w:tc>
      </w:tr>
    </w:tbl>
    <w:p w14:paraId="7487CDB6" w14:textId="77777777" w:rsidR="00314A01" w:rsidRPr="00A4178E" w:rsidRDefault="00314A01" w:rsidP="00314A01">
      <w:pPr>
        <w:rPr>
          <w:lang w:val="en-CA"/>
        </w:rPr>
        <w:sectPr w:rsidR="00314A01" w:rsidRPr="00A4178E" w:rsidSect="00314A01">
          <w:headerReference w:type="default" r:id="rId8"/>
          <w:footerReference w:type="default" r:id="rId9"/>
          <w:pgSz w:w="12242" w:h="15842" w:code="1"/>
          <w:pgMar w:top="1440" w:right="1008" w:bottom="1440" w:left="1872" w:header="1440" w:footer="792" w:gutter="0"/>
          <w:cols w:space="720"/>
          <w:formProt w:val="0"/>
          <w:titlePg/>
        </w:sectPr>
      </w:pPr>
      <w:bookmarkStart w:id="11" w:name="Opinion"/>
      <w:bookmarkEnd w:id="8"/>
    </w:p>
    <w:tbl>
      <w:tblPr>
        <w:tblW w:w="0" w:type="auto"/>
        <w:tblLayout w:type="fixed"/>
        <w:tblCellMar>
          <w:left w:w="0" w:type="dxa"/>
          <w:right w:w="0" w:type="dxa"/>
        </w:tblCellMar>
        <w:tblLook w:val="0000" w:firstRow="0" w:lastRow="0" w:firstColumn="0" w:lastColumn="0" w:noHBand="0" w:noVBand="0"/>
      </w:tblPr>
      <w:tblGrid>
        <w:gridCol w:w="9360"/>
      </w:tblGrid>
      <w:tr w:rsidR="00445A95" w:rsidRPr="00A4178E" w14:paraId="7487CDB8" w14:textId="77777777" w:rsidTr="007F295E">
        <w:tc>
          <w:tcPr>
            <w:tcW w:w="9360" w:type="dxa"/>
            <w:tcBorders>
              <w:bottom w:val="single" w:sz="8" w:space="0" w:color="auto"/>
            </w:tcBorders>
          </w:tcPr>
          <w:p w14:paraId="7487CDB7" w14:textId="77777777" w:rsidR="00314A01" w:rsidRPr="00A4178E" w:rsidRDefault="00C04FF8" w:rsidP="00192F39">
            <w:pPr>
              <w:rPr>
                <w:lang w:val="en-CA"/>
              </w:rPr>
            </w:pPr>
            <w:r w:rsidRPr="00A4178E">
              <w:rPr>
                <w:lang w:val="en-CA"/>
              </w:rPr>
              <w:lastRenderedPageBreak/>
              <w:br w:type="page"/>
            </w:r>
          </w:p>
        </w:tc>
      </w:tr>
      <w:tr w:rsidR="00445A95" w:rsidRPr="00A4178E" w14:paraId="7487CDBA" w14:textId="77777777" w:rsidTr="007F295E">
        <w:tc>
          <w:tcPr>
            <w:tcW w:w="9360" w:type="dxa"/>
            <w:tcBorders>
              <w:top w:val="single" w:sz="8" w:space="0" w:color="auto"/>
            </w:tcBorders>
          </w:tcPr>
          <w:p w14:paraId="7487CDB9" w14:textId="77777777" w:rsidR="00314A01" w:rsidRPr="00A4178E" w:rsidRDefault="00314A01" w:rsidP="007F295E">
            <w:pPr>
              <w:rPr>
                <w:lang w:val="en-CA"/>
              </w:rPr>
            </w:pPr>
          </w:p>
        </w:tc>
      </w:tr>
      <w:tr w:rsidR="00445A95" w:rsidRPr="004F74FF" w14:paraId="7487CDBC" w14:textId="77777777" w:rsidTr="007F295E">
        <w:tc>
          <w:tcPr>
            <w:tcW w:w="9360" w:type="dxa"/>
          </w:tcPr>
          <w:p w14:paraId="7487CDBB" w14:textId="31D77DF4" w:rsidR="00314A01" w:rsidRPr="00A4178E" w:rsidRDefault="007C1FA4" w:rsidP="007F295E">
            <w:pPr>
              <w:pStyle w:val="zSoquijlblOpinionJuge"/>
              <w:rPr>
                <w:lang w:val="en-CA"/>
              </w:rPr>
            </w:pPr>
            <w:r>
              <w:rPr>
                <w:lang w:val="en-CA"/>
              </w:rPr>
              <w:t>REASONS OF GAGNÉ, J.A.</w:t>
            </w:r>
          </w:p>
        </w:tc>
      </w:tr>
      <w:tr w:rsidR="00445A95" w:rsidRPr="004F74FF" w14:paraId="7487CDBE" w14:textId="77777777" w:rsidTr="007F295E">
        <w:tc>
          <w:tcPr>
            <w:tcW w:w="9360" w:type="dxa"/>
            <w:tcBorders>
              <w:bottom w:val="single" w:sz="8" w:space="0" w:color="auto"/>
            </w:tcBorders>
          </w:tcPr>
          <w:p w14:paraId="7487CDBD" w14:textId="77777777" w:rsidR="00314A01" w:rsidRPr="00A4178E" w:rsidRDefault="00314A01" w:rsidP="007F295E">
            <w:pPr>
              <w:rPr>
                <w:lang w:val="en-CA"/>
              </w:rPr>
            </w:pPr>
          </w:p>
        </w:tc>
      </w:tr>
      <w:tr w:rsidR="00445A95" w:rsidRPr="004F74FF" w14:paraId="7487CDC0" w14:textId="77777777" w:rsidTr="007F295E">
        <w:tc>
          <w:tcPr>
            <w:tcW w:w="9360" w:type="dxa"/>
            <w:tcBorders>
              <w:top w:val="single" w:sz="8" w:space="0" w:color="auto"/>
            </w:tcBorders>
          </w:tcPr>
          <w:p w14:paraId="7487CDBF" w14:textId="77777777" w:rsidR="00314A01" w:rsidRPr="00A4178E" w:rsidRDefault="00314A01" w:rsidP="007F295E">
            <w:pPr>
              <w:rPr>
                <w:lang w:val="en-CA"/>
              </w:rPr>
            </w:pPr>
          </w:p>
        </w:tc>
      </w:tr>
    </w:tbl>
    <w:p w14:paraId="7487CDC1" w14:textId="65DC86F3" w:rsidR="00314A01" w:rsidRPr="00A4178E" w:rsidRDefault="00C04FF8" w:rsidP="00314A01">
      <w:pPr>
        <w:pStyle w:val="Paragraphe"/>
        <w:spacing w:line="280" w:lineRule="exact"/>
        <w:rPr>
          <w:lang w:val="en-CA"/>
        </w:rPr>
      </w:pPr>
      <w:r w:rsidRPr="00A4178E">
        <w:rPr>
          <w:lang w:val="en-CA"/>
        </w:rPr>
        <w:t>The appellant was convicted of sexual assault and assault against his intimate partner.</w:t>
      </w:r>
      <w:r w:rsidRPr="00A4178E">
        <w:rPr>
          <w:rStyle w:val="Appelnotedebasdep"/>
          <w:lang w:val="en-CA"/>
        </w:rPr>
        <w:footnoteReference w:id="1"/>
      </w:r>
      <w:r w:rsidRPr="00A4178E">
        <w:rPr>
          <w:lang w:val="en-CA"/>
        </w:rPr>
        <w:t xml:space="preserve"> He was sentenced to a total of 30 months</w:t>
      </w:r>
      <w:r w:rsidR="00D06C3F">
        <w:rPr>
          <w:lang w:val="en-CA"/>
        </w:rPr>
        <w:t>’</w:t>
      </w:r>
      <w:r w:rsidRPr="00A4178E">
        <w:rPr>
          <w:lang w:val="en-CA"/>
        </w:rPr>
        <w:t xml:space="preserve"> imprisonment.</w:t>
      </w:r>
      <w:r w:rsidRPr="00A4178E">
        <w:rPr>
          <w:rStyle w:val="Appelnotedebasdep"/>
          <w:lang w:val="en-CA"/>
        </w:rPr>
        <w:footnoteReference w:id="2"/>
      </w:r>
      <w:r w:rsidRPr="00A4178E">
        <w:rPr>
          <w:lang w:val="en-CA"/>
        </w:rPr>
        <w:t xml:space="preserve"> He appeals his conviction and has filed an application for leave to appeal from the sentence.</w:t>
      </w:r>
    </w:p>
    <w:p w14:paraId="7487CDC2" w14:textId="7639B207" w:rsidR="00314A01" w:rsidRPr="00A4178E" w:rsidRDefault="00C04FF8" w:rsidP="00314A01">
      <w:pPr>
        <w:pStyle w:val="Paragraphe"/>
        <w:spacing w:line="280" w:lineRule="exact"/>
        <w:rPr>
          <w:lang w:val="en-CA"/>
        </w:rPr>
      </w:pPr>
      <w:r w:rsidRPr="00A4178E">
        <w:rPr>
          <w:lang w:val="en-CA"/>
        </w:rPr>
        <w:t>The appeal from the conviction rests on the admissibility of fresh evidence related to the complainant</w:t>
      </w:r>
      <w:r w:rsidR="00D06C3F">
        <w:rPr>
          <w:lang w:val="en-CA"/>
        </w:rPr>
        <w:t>’</w:t>
      </w:r>
      <w:r w:rsidRPr="00A4178E">
        <w:rPr>
          <w:lang w:val="en-CA"/>
        </w:rPr>
        <w:t xml:space="preserve">s prior sexual activity (screenshots </w:t>
      </w:r>
      <w:proofErr w:type="spellStart"/>
      <w:r w:rsidR="00DE5AB6" w:rsidRPr="002376AC">
        <w:rPr>
          <w:b/>
          <w:bCs/>
          <w:highlight w:val="black"/>
          <w:lang w:val="en-CA"/>
        </w:rPr>
        <w:t>xxxxxxx</w:t>
      </w:r>
      <w:proofErr w:type="spellEnd"/>
      <w:r w:rsidR="00DE5AB6" w:rsidRPr="002376AC">
        <w:rPr>
          <w:b/>
          <w:bCs/>
          <w:highlight w:val="black"/>
          <w:lang w:val="en-CA"/>
        </w:rPr>
        <w:t xml:space="preserve"> xxx </w:t>
      </w:r>
      <w:proofErr w:type="spellStart"/>
      <w:r w:rsidR="00DE5AB6" w:rsidRPr="002376AC">
        <w:rPr>
          <w:b/>
          <w:bCs/>
          <w:highlight w:val="black"/>
          <w:lang w:val="en-CA"/>
        </w:rPr>
        <w:t>xxxxxxxxxxx</w:t>
      </w:r>
      <w:proofErr w:type="spellEnd"/>
      <w:r w:rsidR="00DE5AB6" w:rsidRPr="002376AC">
        <w:rPr>
          <w:b/>
          <w:bCs/>
          <w:highlight w:val="black"/>
          <w:lang w:val="en-CA"/>
        </w:rPr>
        <w:t xml:space="preserve"> </w:t>
      </w:r>
      <w:proofErr w:type="spellStart"/>
      <w:r w:rsidR="00DE5AB6" w:rsidRPr="002376AC">
        <w:rPr>
          <w:b/>
          <w:bCs/>
          <w:highlight w:val="black"/>
          <w:lang w:val="en-CA"/>
        </w:rPr>
        <w:t>xxxxx</w:t>
      </w:r>
      <w:proofErr w:type="spellEnd"/>
      <w:r w:rsidR="00DE5AB6" w:rsidRPr="00A4178E">
        <w:rPr>
          <w:lang w:val="en-CA"/>
        </w:rPr>
        <w:t xml:space="preserve"> </w:t>
      </w:r>
      <w:r w:rsidR="00DE5AB6">
        <w:rPr>
          <w:lang w:val="en-CA"/>
        </w:rPr>
        <w:t xml:space="preserve">[nature of the sexual activity] </w:t>
      </w:r>
      <w:r w:rsidRPr="00A4178E">
        <w:rPr>
          <w:lang w:val="en-CA"/>
        </w:rPr>
        <w:t xml:space="preserve">during </w:t>
      </w:r>
      <w:r w:rsidRPr="00A4178E">
        <w:rPr>
          <w:i/>
          <w:iCs/>
          <w:lang w:val="en-CA"/>
        </w:rPr>
        <w:t>FaceTime</w:t>
      </w:r>
      <w:r w:rsidRPr="00A4178E">
        <w:rPr>
          <w:lang w:val="en-CA"/>
        </w:rPr>
        <w:t xml:space="preserve"> conversations) and to the ineffective assistance of the appellant</w:t>
      </w:r>
      <w:r w:rsidR="00D06C3F">
        <w:rPr>
          <w:lang w:val="en-CA"/>
        </w:rPr>
        <w:t>’</w:t>
      </w:r>
      <w:r w:rsidRPr="00A4178E">
        <w:rPr>
          <w:lang w:val="en-CA"/>
        </w:rPr>
        <w:t>s counsel in first instance. This appeal gives the Court the opportunity to specify the analytical framework that applies when evidence of a complainant</w:t>
      </w:r>
      <w:r w:rsidR="00D06C3F">
        <w:rPr>
          <w:lang w:val="en-CA"/>
        </w:rPr>
        <w:t>’</w:t>
      </w:r>
      <w:r w:rsidRPr="00A4178E">
        <w:rPr>
          <w:lang w:val="en-CA"/>
        </w:rPr>
        <w:t>s sexual activity is introduced for the first time on appeal.</w:t>
      </w:r>
    </w:p>
    <w:p w14:paraId="7487CDC3" w14:textId="6199DEF1" w:rsidR="00314A01" w:rsidRPr="00A4178E" w:rsidRDefault="00C04FF8" w:rsidP="00314A01">
      <w:pPr>
        <w:pStyle w:val="Paragraphe"/>
        <w:spacing w:line="280" w:lineRule="exact"/>
        <w:rPr>
          <w:lang w:val="en-CA"/>
        </w:rPr>
      </w:pPr>
      <w:r w:rsidRPr="00A4178E">
        <w:rPr>
          <w:lang w:val="en-CA"/>
        </w:rPr>
        <w:t>As regards leave to appeal from the sentence, the only issue raised is whether the total sentence of 30 months</w:t>
      </w:r>
      <w:r w:rsidR="00D06C3F">
        <w:rPr>
          <w:lang w:val="en-CA"/>
        </w:rPr>
        <w:t>’</w:t>
      </w:r>
      <w:r w:rsidRPr="00A4178E">
        <w:rPr>
          <w:lang w:val="en-CA"/>
        </w:rPr>
        <w:t xml:space="preserve"> imprisonment is demonstrably unfit.</w:t>
      </w:r>
    </w:p>
    <w:p w14:paraId="7487CDC4" w14:textId="77777777" w:rsidR="00314A01" w:rsidRPr="00A4178E" w:rsidRDefault="00C04FF8" w:rsidP="00314A01">
      <w:pPr>
        <w:pStyle w:val="Paragraphe"/>
        <w:spacing w:line="280" w:lineRule="exact"/>
        <w:rPr>
          <w:lang w:val="en-CA"/>
        </w:rPr>
      </w:pPr>
      <w:r w:rsidRPr="00A4178E">
        <w:rPr>
          <w:lang w:val="en-CA"/>
        </w:rPr>
        <w:t>For the following reasons, I would dismiss the appeal from the conviction and the application for leave to appeal from the sentence.</w:t>
      </w:r>
    </w:p>
    <w:p w14:paraId="7487CDC5" w14:textId="77777777" w:rsidR="00314A01" w:rsidRPr="00A4178E" w:rsidRDefault="00C04FF8" w:rsidP="00192F39">
      <w:pPr>
        <w:pStyle w:val="Titre1"/>
        <w:spacing w:before="120" w:after="120" w:line="280" w:lineRule="exact"/>
        <w:rPr>
          <w:lang w:val="en-CA"/>
        </w:rPr>
      </w:pPr>
      <w:r w:rsidRPr="00A4178E">
        <w:rPr>
          <w:bCs/>
          <w:lang w:val="en-CA"/>
        </w:rPr>
        <w:t>Evidence at trial</w:t>
      </w:r>
    </w:p>
    <w:p w14:paraId="7487CDC6" w14:textId="77777777" w:rsidR="00314A01" w:rsidRPr="00A4178E" w:rsidRDefault="00C04FF8" w:rsidP="00314A01">
      <w:pPr>
        <w:pStyle w:val="Paragraphe"/>
        <w:spacing w:line="280" w:lineRule="exact"/>
        <w:rPr>
          <w:lang w:val="en-CA"/>
        </w:rPr>
      </w:pPr>
      <w:r w:rsidRPr="00A4178E">
        <w:rPr>
          <w:lang w:val="en-CA"/>
        </w:rPr>
        <w:t>The trial judge summarized the context of the case as follows:</w:t>
      </w:r>
    </w:p>
    <w:p w14:paraId="6C60EF1E" w14:textId="77777777" w:rsidR="00B17FEF" w:rsidRDefault="00C04FF8" w:rsidP="00314A01">
      <w:pPr>
        <w:pStyle w:val="Citationenretrait"/>
        <w:rPr>
          <w:lang w:val="en-CA"/>
        </w:rPr>
      </w:pPr>
      <w:r w:rsidRPr="00A4178E">
        <w:rPr>
          <w:lang w:val="en-CA"/>
        </w:rPr>
        <w:t>[</w:t>
      </w:r>
      <w:r w:rsidRPr="00B17FEF">
        <w:rPr>
          <w:smallCaps/>
          <w:lang w:val="en-CA"/>
        </w:rPr>
        <w:t>translation</w:t>
      </w:r>
      <w:r w:rsidRPr="00A4178E">
        <w:rPr>
          <w:lang w:val="en-CA"/>
        </w:rPr>
        <w:t>]</w:t>
      </w:r>
    </w:p>
    <w:p w14:paraId="7487CDC7" w14:textId="5DC23673" w:rsidR="00314A01" w:rsidRPr="00A4178E" w:rsidRDefault="00C04FF8" w:rsidP="00314A01">
      <w:pPr>
        <w:pStyle w:val="Citationenretrait"/>
        <w:rPr>
          <w:lang w:val="en-CA"/>
        </w:rPr>
      </w:pPr>
      <w:r w:rsidRPr="00A4178E">
        <w:rPr>
          <w:lang w:val="en-CA"/>
        </w:rPr>
        <w:t>[8]</w:t>
      </w:r>
      <w:r w:rsidRPr="00A4178E">
        <w:rPr>
          <w:lang w:val="en-CA"/>
        </w:rPr>
        <w:tab/>
        <w:t>From 2010 until March 2019, that is, from the ages of 12 to 21, the complainant dated or lived with the accused over the course of three or four separate periods.</w:t>
      </w:r>
    </w:p>
    <w:p w14:paraId="7487CDC8" w14:textId="62FFCDE1" w:rsidR="00314A01" w:rsidRPr="00A4178E" w:rsidRDefault="00C04FF8" w:rsidP="00314A01">
      <w:pPr>
        <w:pStyle w:val="Citationenretrait"/>
        <w:rPr>
          <w:lang w:val="en-CA"/>
        </w:rPr>
      </w:pPr>
      <w:r w:rsidRPr="00A4178E">
        <w:rPr>
          <w:lang w:val="en-CA"/>
        </w:rPr>
        <w:t>[</w:t>
      </w:r>
      <w:bookmarkStart w:id="12" w:name="par9"/>
      <w:r w:rsidRPr="00A4178E">
        <w:rPr>
          <w:lang w:val="en-CA"/>
        </w:rPr>
        <w:t>9</w:t>
      </w:r>
      <w:bookmarkEnd w:id="12"/>
      <w:r w:rsidRPr="00A4178E">
        <w:rPr>
          <w:lang w:val="en-CA"/>
        </w:rPr>
        <w:t>]</w:t>
      </w:r>
      <w:r w:rsidRPr="00A4178E">
        <w:rPr>
          <w:lang w:val="en-CA"/>
        </w:rPr>
        <w:tab/>
        <w:t>The first two break-ups were the result of the accused</w:t>
      </w:r>
      <w:r w:rsidR="00D06C3F">
        <w:rPr>
          <w:lang w:val="en-CA"/>
        </w:rPr>
        <w:t>’</w:t>
      </w:r>
      <w:r w:rsidRPr="00A4178E">
        <w:rPr>
          <w:lang w:val="en-CA"/>
        </w:rPr>
        <w:t xml:space="preserve">s own decision to </w:t>
      </w:r>
      <w:proofErr w:type="gramStart"/>
      <w:r w:rsidRPr="00A4178E">
        <w:rPr>
          <w:lang w:val="en-CA"/>
        </w:rPr>
        <w:t>enter into</w:t>
      </w:r>
      <w:proofErr w:type="gramEnd"/>
      <w:r w:rsidRPr="00A4178E">
        <w:rPr>
          <w:lang w:val="en-CA"/>
        </w:rPr>
        <w:t xml:space="preserve"> another relationship.</w:t>
      </w:r>
    </w:p>
    <w:p w14:paraId="7487CDC9" w14:textId="77777777" w:rsidR="00314A01" w:rsidRPr="00A4178E" w:rsidRDefault="00C04FF8" w:rsidP="00314A01">
      <w:pPr>
        <w:pStyle w:val="Citationenretrait"/>
        <w:rPr>
          <w:lang w:val="en-CA"/>
        </w:rPr>
      </w:pPr>
      <w:r w:rsidRPr="00A4178E">
        <w:rPr>
          <w:lang w:val="en-CA"/>
        </w:rPr>
        <w:t>[</w:t>
      </w:r>
      <w:bookmarkStart w:id="13" w:name="par10"/>
      <w:r w:rsidRPr="00A4178E">
        <w:rPr>
          <w:lang w:val="en-CA"/>
        </w:rPr>
        <w:t>10</w:t>
      </w:r>
      <w:bookmarkEnd w:id="13"/>
      <w:r w:rsidRPr="00A4178E">
        <w:rPr>
          <w:lang w:val="en-CA"/>
        </w:rPr>
        <w:t>]</w:t>
      </w:r>
      <w:r w:rsidRPr="00A4178E">
        <w:rPr>
          <w:lang w:val="en-CA"/>
        </w:rPr>
        <w:tab/>
        <w:t>In 2018, there was a reconciliation and a break-up on two occasions.</w:t>
      </w:r>
    </w:p>
    <w:p w14:paraId="7487CDCA" w14:textId="77777777" w:rsidR="00314A01" w:rsidRPr="00A4178E" w:rsidRDefault="00C04FF8" w:rsidP="00314A01">
      <w:pPr>
        <w:pStyle w:val="Citationenretrait"/>
        <w:rPr>
          <w:lang w:val="en-CA"/>
        </w:rPr>
      </w:pPr>
      <w:r w:rsidRPr="00A4178E">
        <w:rPr>
          <w:lang w:val="en-CA"/>
        </w:rPr>
        <w:lastRenderedPageBreak/>
        <w:t>[</w:t>
      </w:r>
      <w:bookmarkStart w:id="14" w:name="par11"/>
      <w:r w:rsidRPr="00A4178E">
        <w:rPr>
          <w:lang w:val="en-CA"/>
        </w:rPr>
        <w:t>11</w:t>
      </w:r>
      <w:bookmarkEnd w:id="14"/>
      <w:r w:rsidRPr="00A4178E">
        <w:rPr>
          <w:lang w:val="en-CA"/>
        </w:rPr>
        <w:t>]</w:t>
      </w:r>
      <w:r w:rsidRPr="00A4178E">
        <w:rPr>
          <w:lang w:val="en-CA"/>
        </w:rPr>
        <w:tab/>
        <w:t>The first occurred in the fall, but the relationship ended when the accused left the area to take up employment outside the region and rekindled his relationship with his previous partner.</w:t>
      </w:r>
    </w:p>
    <w:p w14:paraId="7487CDCB" w14:textId="77777777" w:rsidR="00314A01" w:rsidRPr="00A4178E" w:rsidRDefault="00C04FF8" w:rsidP="00314A01">
      <w:pPr>
        <w:pStyle w:val="Citationenretrait"/>
        <w:rPr>
          <w:lang w:val="en-CA"/>
        </w:rPr>
      </w:pPr>
      <w:r w:rsidRPr="00A4178E">
        <w:rPr>
          <w:lang w:val="en-CA"/>
        </w:rPr>
        <w:t>[</w:t>
      </w:r>
      <w:bookmarkStart w:id="15" w:name="par12"/>
      <w:r w:rsidRPr="00A4178E">
        <w:rPr>
          <w:lang w:val="en-CA"/>
        </w:rPr>
        <w:t>12</w:t>
      </w:r>
      <w:bookmarkEnd w:id="15"/>
      <w:r w:rsidRPr="00A4178E">
        <w:rPr>
          <w:lang w:val="en-CA"/>
        </w:rPr>
        <w:t>]</w:t>
      </w:r>
      <w:r w:rsidRPr="00A4178E">
        <w:rPr>
          <w:lang w:val="en-CA"/>
        </w:rPr>
        <w:tab/>
        <w:t>There was another reconciliation in December 2018. </w:t>
      </w:r>
    </w:p>
    <w:p w14:paraId="7487CDCC" w14:textId="6DEF93FC" w:rsidR="00314A01" w:rsidRPr="00A4178E" w:rsidRDefault="00C04FF8" w:rsidP="00314A01">
      <w:pPr>
        <w:pStyle w:val="Citationenretrait"/>
        <w:rPr>
          <w:lang w:val="en-CA"/>
        </w:rPr>
      </w:pPr>
      <w:r w:rsidRPr="00A4178E">
        <w:rPr>
          <w:lang w:val="en-CA"/>
        </w:rPr>
        <w:t>[</w:t>
      </w:r>
      <w:bookmarkStart w:id="16" w:name="par13"/>
      <w:r w:rsidRPr="00A4178E">
        <w:rPr>
          <w:lang w:val="en-CA"/>
        </w:rPr>
        <w:t>13</w:t>
      </w:r>
      <w:bookmarkEnd w:id="16"/>
      <w:r w:rsidRPr="00A4178E">
        <w:rPr>
          <w:lang w:val="en-CA"/>
        </w:rPr>
        <w:t>]</w:t>
      </w:r>
      <w:r w:rsidRPr="00A4178E">
        <w:rPr>
          <w:lang w:val="en-CA"/>
        </w:rPr>
        <w:tab/>
        <w:t>During the holiday season, the complainant and the accused saw each other at the home of the latter</w:t>
      </w:r>
      <w:r w:rsidR="00D06C3F">
        <w:rPr>
          <w:lang w:val="en-CA"/>
        </w:rPr>
        <w:t>’</w:t>
      </w:r>
      <w:r w:rsidRPr="00A4178E">
        <w:rPr>
          <w:lang w:val="en-CA"/>
        </w:rPr>
        <w:t>s parents before the accused and the complainant moved into an apartment in early January 2019 for a period of one month, and then into another apartment until they broke up in early March 2019.</w:t>
      </w:r>
    </w:p>
    <w:p w14:paraId="7487CDCD" w14:textId="77777777" w:rsidR="00314A01" w:rsidRPr="00A4178E" w:rsidRDefault="00C04FF8" w:rsidP="00314A01">
      <w:pPr>
        <w:pStyle w:val="Citationenretrait"/>
        <w:rPr>
          <w:lang w:val="en-CA"/>
        </w:rPr>
      </w:pPr>
      <w:r w:rsidRPr="00A4178E">
        <w:rPr>
          <w:lang w:val="en-CA"/>
        </w:rPr>
        <w:t>[</w:t>
      </w:r>
      <w:bookmarkStart w:id="17" w:name="par14"/>
      <w:r w:rsidRPr="00A4178E">
        <w:rPr>
          <w:lang w:val="en-CA"/>
        </w:rPr>
        <w:t>14</w:t>
      </w:r>
      <w:bookmarkEnd w:id="17"/>
      <w:r w:rsidRPr="00A4178E">
        <w:rPr>
          <w:lang w:val="en-CA"/>
        </w:rPr>
        <w:t>]</w:t>
      </w:r>
      <w:r w:rsidRPr="00A4178E">
        <w:rPr>
          <w:lang w:val="en-CA"/>
        </w:rPr>
        <w:tab/>
        <w:t xml:space="preserve">The entire relationship, but the last </w:t>
      </w:r>
      <w:proofErr w:type="gramStart"/>
      <w:r w:rsidRPr="00A4178E">
        <w:rPr>
          <w:lang w:val="en-CA"/>
        </w:rPr>
        <w:t>period in particular, was</w:t>
      </w:r>
      <w:proofErr w:type="gramEnd"/>
      <w:r w:rsidRPr="00A4178E">
        <w:rPr>
          <w:lang w:val="en-CA"/>
        </w:rPr>
        <w:t xml:space="preserve"> punctuated by conflicts, quarrels and separations.</w:t>
      </w:r>
    </w:p>
    <w:p w14:paraId="7487CDCE" w14:textId="1B5A659E" w:rsidR="00314A01" w:rsidRPr="00A4178E" w:rsidRDefault="00C04FF8" w:rsidP="00314A01">
      <w:pPr>
        <w:pStyle w:val="Citationenretrait"/>
        <w:rPr>
          <w:lang w:val="en-CA"/>
        </w:rPr>
      </w:pPr>
      <w:r w:rsidRPr="00A4178E">
        <w:rPr>
          <w:lang w:val="en-CA"/>
        </w:rPr>
        <w:t>[</w:t>
      </w:r>
      <w:bookmarkStart w:id="18" w:name="par15"/>
      <w:r w:rsidRPr="00A4178E">
        <w:rPr>
          <w:lang w:val="en-CA"/>
        </w:rPr>
        <w:t>15</w:t>
      </w:r>
      <w:bookmarkEnd w:id="18"/>
      <w:r w:rsidRPr="00A4178E">
        <w:rPr>
          <w:lang w:val="en-CA"/>
        </w:rPr>
        <w:t>]</w:t>
      </w:r>
      <w:r w:rsidRPr="00A4178E">
        <w:rPr>
          <w:lang w:val="en-CA"/>
        </w:rPr>
        <w:tab/>
        <w:t xml:space="preserve">The complainant described the </w:t>
      </w:r>
      <w:r w:rsidR="00561F88" w:rsidRPr="00561F88">
        <w:rPr>
          <w:lang w:val="en-CA"/>
        </w:rPr>
        <w:t xml:space="preserve">accused’s </w:t>
      </w:r>
      <w:r w:rsidRPr="00A4178E">
        <w:rPr>
          <w:lang w:val="en-CA"/>
        </w:rPr>
        <w:t xml:space="preserve">behaviour as follows: he had constant mood swings, lost his temper under various pretexts and exhibited violent behaviour, in addition to insulting her by using derogatory terms. He said that she was his </w:t>
      </w:r>
      <w:proofErr w:type="gramStart"/>
      <w:r w:rsidRPr="00A4178E">
        <w:rPr>
          <w:lang w:val="en-CA"/>
        </w:rPr>
        <w:t>puppet</w:t>
      </w:r>
      <w:proofErr w:type="gramEnd"/>
      <w:r w:rsidRPr="00A4178E">
        <w:rPr>
          <w:lang w:val="en-CA"/>
        </w:rPr>
        <w:t xml:space="preserve"> and he could do anything, that she would still love him.</w:t>
      </w:r>
    </w:p>
    <w:p w14:paraId="7487CDCF" w14:textId="2CE7D369" w:rsidR="00314A01" w:rsidRPr="00A4178E" w:rsidRDefault="00C04FF8" w:rsidP="00314A01">
      <w:pPr>
        <w:pStyle w:val="Citationenretrait"/>
        <w:rPr>
          <w:lang w:val="en-CA"/>
        </w:rPr>
      </w:pPr>
      <w:r w:rsidRPr="00A4178E">
        <w:rPr>
          <w:lang w:val="en-CA"/>
        </w:rPr>
        <w:t>[</w:t>
      </w:r>
      <w:bookmarkStart w:id="19" w:name="par16"/>
      <w:r w:rsidRPr="00A4178E">
        <w:rPr>
          <w:lang w:val="en-CA"/>
        </w:rPr>
        <w:t>16</w:t>
      </w:r>
      <w:bookmarkEnd w:id="19"/>
      <w:r w:rsidRPr="00A4178E">
        <w:rPr>
          <w:lang w:val="en-CA"/>
        </w:rPr>
        <w:t>]</w:t>
      </w:r>
      <w:r w:rsidRPr="00A4178E">
        <w:rPr>
          <w:lang w:val="en-CA"/>
        </w:rPr>
        <w:tab/>
        <w:t>Following an argument</w:t>
      </w:r>
      <w:r w:rsidR="00312AEA">
        <w:rPr>
          <w:lang w:val="en-CA"/>
        </w:rPr>
        <w:t>,</w:t>
      </w:r>
      <w:r w:rsidRPr="00A4178E">
        <w:rPr>
          <w:lang w:val="en-CA"/>
        </w:rPr>
        <w:t xml:space="preserve"> in early March 2019, the accused used this language.</w:t>
      </w:r>
    </w:p>
    <w:p w14:paraId="7487CDD0" w14:textId="75F91B04" w:rsidR="00314A01" w:rsidRPr="00A4178E" w:rsidRDefault="00C04FF8" w:rsidP="00314A01">
      <w:pPr>
        <w:pStyle w:val="Citationenretrait"/>
        <w:rPr>
          <w:lang w:val="en-CA"/>
        </w:rPr>
      </w:pPr>
      <w:r w:rsidRPr="00A4178E">
        <w:rPr>
          <w:lang w:val="en-CA"/>
        </w:rPr>
        <w:t>[</w:t>
      </w:r>
      <w:bookmarkStart w:id="20" w:name="par17"/>
      <w:r w:rsidRPr="00A4178E">
        <w:rPr>
          <w:lang w:val="en-CA"/>
        </w:rPr>
        <w:t>17</w:t>
      </w:r>
      <w:bookmarkEnd w:id="20"/>
      <w:r w:rsidRPr="00A4178E">
        <w:rPr>
          <w:lang w:val="en-CA"/>
        </w:rPr>
        <w:t>]</w:t>
      </w:r>
      <w:r w:rsidRPr="00A4178E">
        <w:rPr>
          <w:lang w:val="en-CA"/>
        </w:rPr>
        <w:tab/>
        <w:t xml:space="preserve">The complainant threw </w:t>
      </w:r>
      <w:r w:rsidR="0096508F">
        <w:rPr>
          <w:lang w:val="en-CA"/>
        </w:rPr>
        <w:t xml:space="preserve">at the </w:t>
      </w:r>
      <w:r w:rsidR="008960BC">
        <w:rPr>
          <w:lang w:val="en-CA"/>
        </w:rPr>
        <w:t xml:space="preserve">accused </w:t>
      </w:r>
      <w:r w:rsidRPr="00A4178E">
        <w:rPr>
          <w:lang w:val="en-CA"/>
        </w:rPr>
        <w:t>the engagement ring he had given her on February 14, 2019, took her belongings and left the apartment.</w:t>
      </w:r>
    </w:p>
    <w:p w14:paraId="7487CDD1" w14:textId="77777777" w:rsidR="00314A01" w:rsidRPr="00A4178E" w:rsidRDefault="00C04FF8" w:rsidP="00314A01">
      <w:pPr>
        <w:pStyle w:val="Citationenretrait"/>
        <w:rPr>
          <w:lang w:val="en-CA"/>
        </w:rPr>
      </w:pPr>
      <w:r w:rsidRPr="00A4178E">
        <w:rPr>
          <w:lang w:val="en-CA"/>
        </w:rPr>
        <w:t>[</w:t>
      </w:r>
      <w:bookmarkStart w:id="21" w:name="par18"/>
      <w:r w:rsidRPr="00A4178E">
        <w:rPr>
          <w:lang w:val="en-CA"/>
        </w:rPr>
        <w:t>18</w:t>
      </w:r>
      <w:bookmarkEnd w:id="21"/>
      <w:r w:rsidRPr="00A4178E">
        <w:rPr>
          <w:lang w:val="en-CA"/>
        </w:rPr>
        <w:t>]</w:t>
      </w:r>
      <w:r w:rsidRPr="00A4178E">
        <w:rPr>
          <w:lang w:val="en-CA"/>
        </w:rPr>
        <w:tab/>
        <w:t>They continued to speak until April 23, 2019.</w:t>
      </w:r>
    </w:p>
    <w:p w14:paraId="7487CDD2" w14:textId="1B56082F" w:rsidR="00314A01" w:rsidRPr="00A4178E" w:rsidRDefault="00C04FF8" w:rsidP="00314A01">
      <w:pPr>
        <w:pStyle w:val="Citationenretrait"/>
        <w:rPr>
          <w:lang w:val="en-CA"/>
        </w:rPr>
      </w:pPr>
      <w:r w:rsidRPr="00A4178E">
        <w:rPr>
          <w:lang w:val="en-CA"/>
        </w:rPr>
        <w:t>[</w:t>
      </w:r>
      <w:bookmarkStart w:id="22" w:name="par19"/>
      <w:r w:rsidRPr="00A4178E">
        <w:rPr>
          <w:lang w:val="en-CA"/>
        </w:rPr>
        <w:t>19</w:t>
      </w:r>
      <w:bookmarkEnd w:id="22"/>
      <w:r w:rsidRPr="00A4178E">
        <w:rPr>
          <w:lang w:val="en-CA"/>
        </w:rPr>
        <w:t>]</w:t>
      </w:r>
      <w:r w:rsidRPr="00A4178E">
        <w:rPr>
          <w:lang w:val="en-CA"/>
        </w:rPr>
        <w:tab/>
        <w:t>That evening, the complainant was at her grandmother</w:t>
      </w:r>
      <w:r w:rsidR="00D06C3F">
        <w:rPr>
          <w:lang w:val="en-CA"/>
        </w:rPr>
        <w:t>’</w:t>
      </w:r>
      <w:r w:rsidRPr="00A4178E">
        <w:rPr>
          <w:lang w:val="en-CA"/>
        </w:rPr>
        <w:t>s place when the accused called her to ask her to meet him at his place.</w:t>
      </w:r>
    </w:p>
    <w:p w14:paraId="7487CDD3" w14:textId="77777777" w:rsidR="00314A01" w:rsidRPr="00A4178E" w:rsidRDefault="00C04FF8" w:rsidP="00314A01">
      <w:pPr>
        <w:pStyle w:val="Citationenretrait"/>
        <w:rPr>
          <w:lang w:val="en-CA"/>
        </w:rPr>
      </w:pPr>
      <w:r w:rsidRPr="00A4178E">
        <w:rPr>
          <w:lang w:val="en-CA"/>
        </w:rPr>
        <w:t>[</w:t>
      </w:r>
      <w:bookmarkStart w:id="23" w:name="par20"/>
      <w:r w:rsidRPr="00A4178E">
        <w:rPr>
          <w:lang w:val="en-CA"/>
        </w:rPr>
        <w:t>20</w:t>
      </w:r>
      <w:bookmarkEnd w:id="23"/>
      <w:r w:rsidRPr="00A4178E">
        <w:rPr>
          <w:lang w:val="en-CA"/>
        </w:rPr>
        <w:t>]</w:t>
      </w:r>
      <w:r w:rsidRPr="00A4178E">
        <w:rPr>
          <w:lang w:val="en-CA"/>
        </w:rPr>
        <w:tab/>
        <w:t>It was during this evening that sexual intercourse with vaginal penetration occurred, which, according to the complainant, took place despite her objections and, according to the accused, with her consent.</w:t>
      </w:r>
    </w:p>
    <w:p w14:paraId="7487CDD4" w14:textId="708E5745" w:rsidR="00314A01" w:rsidRPr="00A4178E" w:rsidRDefault="00C04FF8" w:rsidP="00314A01">
      <w:pPr>
        <w:pStyle w:val="Citationenretrait"/>
        <w:rPr>
          <w:lang w:val="en-CA"/>
        </w:rPr>
      </w:pPr>
      <w:r w:rsidRPr="00A4178E">
        <w:rPr>
          <w:lang w:val="en-CA"/>
        </w:rPr>
        <w:t>[</w:t>
      </w:r>
      <w:bookmarkStart w:id="24" w:name="par21"/>
      <w:r w:rsidRPr="00A4178E">
        <w:rPr>
          <w:lang w:val="en-CA"/>
        </w:rPr>
        <w:t>21</w:t>
      </w:r>
      <w:bookmarkEnd w:id="24"/>
      <w:r w:rsidRPr="00A4178E">
        <w:rPr>
          <w:lang w:val="en-CA"/>
        </w:rPr>
        <w:t>]</w:t>
      </w:r>
      <w:r w:rsidRPr="00A4178E">
        <w:rPr>
          <w:lang w:val="en-CA"/>
        </w:rPr>
        <w:tab/>
        <w:t>The complainant and the accused provided identical description</w:t>
      </w:r>
      <w:r w:rsidR="008960BC">
        <w:rPr>
          <w:lang w:val="en-CA"/>
        </w:rPr>
        <w:t>s</w:t>
      </w:r>
      <w:r w:rsidRPr="00A4178E">
        <w:rPr>
          <w:lang w:val="en-CA"/>
        </w:rPr>
        <w:t xml:space="preserve"> of the positions they adopted and the sexual acts that occurred, but their testimonies diverged and conflicted regarding the complainant</w:t>
      </w:r>
      <w:r w:rsidR="00D06C3F">
        <w:rPr>
          <w:lang w:val="en-CA"/>
        </w:rPr>
        <w:t>’</w:t>
      </w:r>
      <w:r w:rsidRPr="00A4178E">
        <w:rPr>
          <w:lang w:val="en-CA"/>
        </w:rPr>
        <w:t>s consent and the words uttered by each of them immediately after the sexual intercourse.</w:t>
      </w:r>
    </w:p>
    <w:p w14:paraId="7487CDD5" w14:textId="6982E457" w:rsidR="00314A01" w:rsidRPr="00A4178E" w:rsidRDefault="00C04FF8" w:rsidP="00314A01">
      <w:pPr>
        <w:pStyle w:val="Citationenretrait"/>
        <w:rPr>
          <w:lang w:val="en-CA"/>
        </w:rPr>
      </w:pPr>
      <w:r w:rsidRPr="00A4178E">
        <w:rPr>
          <w:lang w:val="en-CA"/>
        </w:rPr>
        <w:t>[</w:t>
      </w:r>
      <w:bookmarkStart w:id="25" w:name="par22"/>
      <w:r w:rsidRPr="00A4178E">
        <w:rPr>
          <w:lang w:val="en-CA"/>
        </w:rPr>
        <w:t>22</w:t>
      </w:r>
      <w:bookmarkEnd w:id="25"/>
      <w:r w:rsidRPr="00A4178E">
        <w:rPr>
          <w:lang w:val="en-CA"/>
        </w:rPr>
        <w:t>]</w:t>
      </w:r>
      <w:r w:rsidRPr="00A4178E">
        <w:rPr>
          <w:lang w:val="en-CA"/>
        </w:rPr>
        <w:tab/>
        <w:t xml:space="preserve">Nonetheless, according to both versions, the situation thus created </w:t>
      </w:r>
      <w:r w:rsidR="00724DF0">
        <w:rPr>
          <w:lang w:val="en-CA"/>
        </w:rPr>
        <w:t xml:space="preserve">prompted </w:t>
      </w:r>
      <w:r w:rsidRPr="00A4178E">
        <w:rPr>
          <w:lang w:val="en-CA"/>
        </w:rPr>
        <w:t>the complainant to quickly leave the accused</w:t>
      </w:r>
      <w:r w:rsidR="00D06C3F">
        <w:rPr>
          <w:lang w:val="en-CA"/>
        </w:rPr>
        <w:t>’</w:t>
      </w:r>
      <w:r w:rsidRPr="00A4178E">
        <w:rPr>
          <w:lang w:val="en-CA"/>
        </w:rPr>
        <w:t xml:space="preserve">s place while </w:t>
      </w:r>
      <w:r w:rsidR="00724DF0">
        <w:rPr>
          <w:lang w:val="en-CA"/>
        </w:rPr>
        <w:t xml:space="preserve">he </w:t>
      </w:r>
      <w:r w:rsidRPr="00A4178E">
        <w:rPr>
          <w:lang w:val="en-CA"/>
        </w:rPr>
        <w:t>recorded and filmed her</w:t>
      </w:r>
      <w:r w:rsidR="00724DF0" w:rsidRPr="00724DF0">
        <w:rPr>
          <w:lang w:val="en-CA"/>
        </w:rPr>
        <w:t>, using his cellular telephone</w:t>
      </w:r>
      <w:r w:rsidRPr="00A4178E">
        <w:rPr>
          <w:lang w:val="en-CA"/>
        </w:rPr>
        <w:t xml:space="preserve">, repeatedly asking her to confirm that he had not forced her to </w:t>
      </w:r>
      <w:r w:rsidR="00D06C3F">
        <w:rPr>
          <w:lang w:val="en-CA"/>
        </w:rPr>
        <w:t>“</w:t>
      </w:r>
      <w:r w:rsidRPr="00A4178E">
        <w:rPr>
          <w:lang w:val="en-CA"/>
        </w:rPr>
        <w:t>sleep with him</w:t>
      </w:r>
      <w:r w:rsidR="00D06C3F">
        <w:rPr>
          <w:lang w:val="en-CA"/>
        </w:rPr>
        <w:t>”</w:t>
      </w:r>
      <w:r w:rsidRPr="00A4178E">
        <w:rPr>
          <w:lang w:val="en-CA"/>
        </w:rPr>
        <w:t>.</w:t>
      </w:r>
    </w:p>
    <w:p w14:paraId="7487CDD6" w14:textId="113C4872" w:rsidR="00314A01" w:rsidRPr="00A4178E" w:rsidRDefault="00C04FF8" w:rsidP="00314A01">
      <w:pPr>
        <w:pStyle w:val="Paragraphe"/>
        <w:spacing w:line="280" w:lineRule="exact"/>
        <w:rPr>
          <w:lang w:val="en-CA"/>
        </w:rPr>
      </w:pPr>
      <w:r w:rsidRPr="00A4178E">
        <w:rPr>
          <w:lang w:val="en-CA"/>
        </w:rPr>
        <w:lastRenderedPageBreak/>
        <w:t>As the judge pointed out, the testimonies of the complainant and the appellant diverged regarding consent and the words exchanged after the sexual activity. Given the fresh evidence the appellant seeks to adduce in connection with the complainant</w:t>
      </w:r>
      <w:r w:rsidR="00D06C3F">
        <w:rPr>
          <w:lang w:val="en-CA"/>
        </w:rPr>
        <w:t>’</w:t>
      </w:r>
      <w:r w:rsidRPr="00A4178E">
        <w:rPr>
          <w:lang w:val="en-CA"/>
        </w:rPr>
        <w:t>s past sexual conduct, it is helpful to provide a detailed summary of their testimony on these aspects.</w:t>
      </w:r>
    </w:p>
    <w:p w14:paraId="7487CDD7" w14:textId="7BF311CA" w:rsidR="00314A01" w:rsidRPr="00A4178E" w:rsidRDefault="00C04FF8" w:rsidP="00314A01">
      <w:pPr>
        <w:pStyle w:val="Paragraphe"/>
        <w:spacing w:line="280" w:lineRule="exact"/>
        <w:rPr>
          <w:lang w:val="en-CA"/>
        </w:rPr>
      </w:pPr>
      <w:r w:rsidRPr="00A4178E">
        <w:rPr>
          <w:b/>
          <w:bCs/>
          <w:lang w:val="en-CA"/>
        </w:rPr>
        <w:t>The complainant</w:t>
      </w:r>
      <w:r w:rsidR="00D06C3F">
        <w:rPr>
          <w:b/>
          <w:bCs/>
          <w:lang w:val="en-CA"/>
        </w:rPr>
        <w:t>’</w:t>
      </w:r>
      <w:r w:rsidRPr="00A4178E">
        <w:rPr>
          <w:b/>
          <w:bCs/>
          <w:lang w:val="en-CA"/>
        </w:rPr>
        <w:t>s version</w:t>
      </w:r>
      <w:r w:rsidRPr="00A4178E">
        <w:rPr>
          <w:lang w:val="en-CA"/>
        </w:rPr>
        <w:t xml:space="preserve">. Between the March 2019 break-up and the evening of April 23, the appellant sent her messages, photos and videos, telling her that he missed her and would love her for the rest of his life. She would answer </w:t>
      </w:r>
      <w:r w:rsidR="004D08F1">
        <w:rPr>
          <w:lang w:val="en-CA"/>
        </w:rPr>
        <w:t xml:space="preserve">him </w:t>
      </w:r>
      <w:r w:rsidRPr="00A4178E">
        <w:rPr>
          <w:lang w:val="en-CA"/>
        </w:rPr>
        <w:t>[</w:t>
      </w:r>
      <w:r w:rsidRPr="00B17FEF">
        <w:rPr>
          <w:smallCaps/>
          <w:lang w:val="en-CA"/>
        </w:rPr>
        <w:t>translation</w:t>
      </w:r>
      <w:r w:rsidRPr="00A4178E">
        <w:rPr>
          <w:lang w:val="en-CA"/>
        </w:rPr>
        <w:t xml:space="preserve">] </w:t>
      </w:r>
      <w:r w:rsidR="00D06C3F">
        <w:rPr>
          <w:lang w:val="en-CA"/>
        </w:rPr>
        <w:t>“</w:t>
      </w:r>
      <w:r w:rsidRPr="00A4178E">
        <w:rPr>
          <w:lang w:val="en-CA"/>
        </w:rPr>
        <w:t>when [she felt] like it</w:t>
      </w:r>
      <w:r w:rsidR="00D06C3F">
        <w:rPr>
          <w:lang w:val="en-CA"/>
        </w:rPr>
        <w:t>”</w:t>
      </w:r>
      <w:r w:rsidR="00A857D2">
        <w:rPr>
          <w:lang w:val="en-CA"/>
        </w:rPr>
        <w:t>.</w:t>
      </w:r>
      <w:r w:rsidRPr="00A4178E">
        <w:rPr>
          <w:rStyle w:val="Appelnotedebasdep"/>
          <w:lang w:val="en-CA"/>
        </w:rPr>
        <w:footnoteReference w:id="3"/>
      </w:r>
      <w:r w:rsidRPr="00A4178E">
        <w:rPr>
          <w:lang w:val="en-CA"/>
        </w:rPr>
        <w:t xml:space="preserve"> The appellant was no longer one of her </w:t>
      </w:r>
      <w:r w:rsidRPr="00A4178E">
        <w:rPr>
          <w:i/>
          <w:iCs/>
          <w:lang w:val="en-CA"/>
        </w:rPr>
        <w:t>Snapchat</w:t>
      </w:r>
      <w:r w:rsidRPr="00A4178E">
        <w:rPr>
          <w:lang w:val="en-CA"/>
        </w:rPr>
        <w:t xml:space="preserve"> or </w:t>
      </w:r>
      <w:r w:rsidRPr="00A4178E">
        <w:rPr>
          <w:i/>
          <w:iCs/>
          <w:lang w:val="en-CA"/>
        </w:rPr>
        <w:t>Facebook</w:t>
      </w:r>
      <w:r w:rsidRPr="00A4178E">
        <w:rPr>
          <w:lang w:val="en-CA"/>
        </w:rPr>
        <w:t xml:space="preserve"> contacts. </w:t>
      </w:r>
      <w:r w:rsidR="004B3738" w:rsidRPr="00A4178E">
        <w:rPr>
          <w:lang w:val="en-CA"/>
        </w:rPr>
        <w:t xml:space="preserve">She did not send him </w:t>
      </w:r>
      <w:proofErr w:type="spellStart"/>
      <w:r w:rsidR="004B3738" w:rsidRPr="009936EB">
        <w:rPr>
          <w:highlight w:val="black"/>
          <w:lang w:val="en-CA"/>
        </w:rPr>
        <w:t>xxxx</w:t>
      </w:r>
      <w:proofErr w:type="spellEnd"/>
      <w:r w:rsidR="004B3738" w:rsidRPr="00A4178E">
        <w:rPr>
          <w:lang w:val="en-CA"/>
        </w:rPr>
        <w:t xml:space="preserve"> photos </w:t>
      </w:r>
      <w:r w:rsidR="004B3738" w:rsidRPr="009936EB">
        <w:rPr>
          <w:highlight w:val="black"/>
          <w:lang w:val="en-CA"/>
        </w:rPr>
        <w:t xml:space="preserve">xx </w:t>
      </w:r>
      <w:proofErr w:type="spellStart"/>
      <w:r w:rsidR="004B3738" w:rsidRPr="009936EB">
        <w:rPr>
          <w:highlight w:val="black"/>
          <w:lang w:val="en-CA"/>
        </w:rPr>
        <w:t>xxxxxxx</w:t>
      </w:r>
      <w:proofErr w:type="spellEnd"/>
      <w:r w:rsidR="004B3738" w:rsidRPr="00A4178E">
        <w:rPr>
          <w:lang w:val="en-CA"/>
        </w:rPr>
        <w:t xml:space="preserve"> during this period</w:t>
      </w:r>
      <w:r w:rsidRPr="00A4178E">
        <w:rPr>
          <w:lang w:val="en-CA"/>
        </w:rPr>
        <w:t>.</w:t>
      </w:r>
    </w:p>
    <w:p w14:paraId="7487CDD8" w14:textId="76C4D61A" w:rsidR="00314A01" w:rsidRPr="00A4178E" w:rsidRDefault="00C04FF8" w:rsidP="00314A01">
      <w:pPr>
        <w:pStyle w:val="Paragraphe"/>
        <w:spacing w:line="280" w:lineRule="exact"/>
        <w:rPr>
          <w:lang w:val="en-CA"/>
        </w:rPr>
      </w:pPr>
      <w:r w:rsidRPr="00A4178E">
        <w:rPr>
          <w:lang w:val="en-CA"/>
        </w:rPr>
        <w:t>On the evening of April 23, while the complainant was at her grandmother</w:t>
      </w:r>
      <w:r w:rsidR="00D06C3F">
        <w:rPr>
          <w:lang w:val="en-CA"/>
        </w:rPr>
        <w:t>’</w:t>
      </w:r>
      <w:r w:rsidRPr="00A4178E">
        <w:rPr>
          <w:lang w:val="en-CA"/>
        </w:rPr>
        <w:t xml:space="preserve">s place, the appellant called and asked her to come and see him, </w:t>
      </w:r>
      <w:r w:rsidR="0096508F">
        <w:rPr>
          <w:lang w:val="en-CA"/>
        </w:rPr>
        <w:t xml:space="preserve">saying </w:t>
      </w:r>
      <w:r w:rsidRPr="00A4178E">
        <w:rPr>
          <w:lang w:val="en-CA"/>
        </w:rPr>
        <w:t>that he would like to talk to her. She agreed because she wanted their [</w:t>
      </w:r>
      <w:r w:rsidRPr="00B17FEF">
        <w:rPr>
          <w:smallCaps/>
          <w:lang w:val="en-CA"/>
        </w:rPr>
        <w:t>translation</w:t>
      </w:r>
      <w:r w:rsidRPr="00A4178E">
        <w:rPr>
          <w:lang w:val="en-CA"/>
        </w:rPr>
        <w:t xml:space="preserve">] </w:t>
      </w:r>
      <w:r w:rsidR="00D06C3F">
        <w:rPr>
          <w:lang w:val="en-CA"/>
        </w:rPr>
        <w:t>“</w:t>
      </w:r>
      <w:r w:rsidRPr="00A4178E">
        <w:rPr>
          <w:lang w:val="en-CA"/>
        </w:rPr>
        <w:t>relationship to end in a healthy way, like two adults</w:t>
      </w:r>
      <w:r w:rsidR="00D06C3F">
        <w:rPr>
          <w:lang w:val="en-CA"/>
        </w:rPr>
        <w:t>”</w:t>
      </w:r>
      <w:r w:rsidR="00A857D2">
        <w:rPr>
          <w:lang w:val="en-CA"/>
        </w:rPr>
        <w:t>.</w:t>
      </w:r>
      <w:r w:rsidRPr="00A4178E">
        <w:rPr>
          <w:rStyle w:val="Appelnotedebasdep"/>
          <w:lang w:val="en-CA"/>
        </w:rPr>
        <w:footnoteReference w:id="4"/>
      </w:r>
      <w:r w:rsidRPr="00A4178E">
        <w:rPr>
          <w:lang w:val="en-CA"/>
        </w:rPr>
        <w:t xml:space="preserve"> </w:t>
      </w:r>
    </w:p>
    <w:p w14:paraId="7487CDD9" w14:textId="7C92FEB2" w:rsidR="00314A01" w:rsidRPr="00A4178E" w:rsidRDefault="00C04FF8" w:rsidP="00314A01">
      <w:pPr>
        <w:pStyle w:val="Paragraphe"/>
        <w:spacing w:line="280" w:lineRule="exact"/>
        <w:rPr>
          <w:lang w:val="en-CA"/>
        </w:rPr>
      </w:pPr>
      <w:r w:rsidRPr="00A4178E">
        <w:rPr>
          <w:lang w:val="en-CA"/>
        </w:rPr>
        <w:t>She arrived at the appellant</w:t>
      </w:r>
      <w:r w:rsidR="00D06C3F">
        <w:rPr>
          <w:lang w:val="en-CA"/>
        </w:rPr>
        <w:t>’</w:t>
      </w:r>
      <w:r w:rsidRPr="00A4178E">
        <w:rPr>
          <w:lang w:val="en-CA"/>
        </w:rPr>
        <w:t>s place at approximately 9 pm. She sat on the couch in the living room while he was in the kitchen. He began to cry and told her that he was sorry, that he missed her and that he loved her. The complainant got up from the couch, approached him and took him in her arms to comfort him, saying, [</w:t>
      </w:r>
      <w:r w:rsidRPr="00B17FEF">
        <w:rPr>
          <w:smallCaps/>
          <w:lang w:val="en-CA"/>
        </w:rPr>
        <w:t>translation</w:t>
      </w:r>
      <w:r w:rsidRPr="00A4178E">
        <w:rPr>
          <w:lang w:val="en-CA"/>
        </w:rPr>
        <w:t xml:space="preserve">] </w:t>
      </w:r>
      <w:r w:rsidR="00D06C3F">
        <w:rPr>
          <w:lang w:val="en-CA"/>
        </w:rPr>
        <w:t>“</w:t>
      </w:r>
      <w:r w:rsidRPr="00A4178E">
        <w:rPr>
          <w:lang w:val="en-CA"/>
        </w:rPr>
        <w:t>it</w:t>
      </w:r>
      <w:r w:rsidR="00D06C3F">
        <w:rPr>
          <w:lang w:val="en-CA"/>
        </w:rPr>
        <w:t>’</w:t>
      </w:r>
      <w:r w:rsidRPr="00A4178E">
        <w:rPr>
          <w:lang w:val="en-CA"/>
        </w:rPr>
        <w:t>s going to be okay [...] just give it time, it</w:t>
      </w:r>
      <w:r w:rsidR="00D06C3F">
        <w:rPr>
          <w:lang w:val="en-CA"/>
        </w:rPr>
        <w:t>’</w:t>
      </w:r>
      <w:r w:rsidRPr="00A4178E">
        <w:rPr>
          <w:lang w:val="en-CA"/>
        </w:rPr>
        <w:t>s for the best</w:t>
      </w:r>
      <w:r w:rsidR="0078508F">
        <w:rPr>
          <w:lang w:val="en-CA"/>
        </w:rPr>
        <w:t>.</w:t>
      </w:r>
      <w:r w:rsidR="00D06C3F">
        <w:rPr>
          <w:lang w:val="en-CA"/>
        </w:rPr>
        <w:t>”</w:t>
      </w:r>
      <w:r w:rsidRPr="00A4178E">
        <w:rPr>
          <w:rStyle w:val="Appelnotedebasdep"/>
          <w:lang w:val="en-CA"/>
        </w:rPr>
        <w:footnoteReference w:id="5"/>
      </w:r>
      <w:r w:rsidRPr="00A4178E">
        <w:rPr>
          <w:lang w:val="en-CA"/>
        </w:rPr>
        <w:t xml:space="preserve"> The appellant kissed her. She told him [</w:t>
      </w:r>
      <w:r w:rsidRPr="00B17FEF">
        <w:rPr>
          <w:smallCaps/>
          <w:lang w:val="en-CA"/>
        </w:rPr>
        <w:t>translation</w:t>
      </w:r>
      <w:r w:rsidRPr="00A4178E">
        <w:rPr>
          <w:lang w:val="en-CA"/>
        </w:rPr>
        <w:t xml:space="preserve">] </w:t>
      </w:r>
      <w:proofErr w:type="gramStart"/>
      <w:r w:rsidR="00D06C3F">
        <w:rPr>
          <w:lang w:val="en-CA"/>
        </w:rPr>
        <w:t>“</w:t>
      </w:r>
      <w:r w:rsidRPr="00A4178E">
        <w:rPr>
          <w:lang w:val="en-CA"/>
        </w:rPr>
        <w:t>no</w:t>
      </w:r>
      <w:proofErr w:type="gramEnd"/>
      <w:r w:rsidRPr="00A4178E">
        <w:rPr>
          <w:lang w:val="en-CA"/>
        </w:rPr>
        <w:t>,</w:t>
      </w:r>
      <w:r w:rsidR="00D06C3F">
        <w:rPr>
          <w:lang w:val="en-CA"/>
        </w:rPr>
        <w:t>”</w:t>
      </w:r>
      <w:r w:rsidRPr="00A4178E">
        <w:rPr>
          <w:lang w:val="en-CA"/>
        </w:rPr>
        <w:t xml:space="preserve"> adding that she had come to talk to him, not to kiss him.</w:t>
      </w:r>
      <w:r w:rsidRPr="00A4178E">
        <w:rPr>
          <w:rStyle w:val="Appelnotedebasdep"/>
          <w:lang w:val="en-CA"/>
        </w:rPr>
        <w:footnoteReference w:id="6"/>
      </w:r>
      <w:r w:rsidRPr="00A4178E">
        <w:rPr>
          <w:lang w:val="en-CA"/>
        </w:rPr>
        <w:t xml:space="preserve"> He started kissing her again, </w:t>
      </w:r>
      <w:r w:rsidR="001B6159">
        <w:rPr>
          <w:lang w:val="en-CA"/>
        </w:rPr>
        <w:t xml:space="preserve">and </w:t>
      </w:r>
      <w:r w:rsidRPr="00A4178E">
        <w:rPr>
          <w:lang w:val="en-CA"/>
        </w:rPr>
        <w:t>she repeated that she did not want to. He kissed her again; she noticed that he had an erection. She repeated that she had come to talk, not to sleep with him.</w:t>
      </w:r>
    </w:p>
    <w:p w14:paraId="7487CDDA" w14:textId="2E41DCFD" w:rsidR="00314A01" w:rsidRPr="00A4178E" w:rsidRDefault="00C04FF8" w:rsidP="00314A01">
      <w:pPr>
        <w:pStyle w:val="Paragraphe"/>
        <w:spacing w:line="280" w:lineRule="exact"/>
        <w:rPr>
          <w:lang w:val="en-CA"/>
        </w:rPr>
      </w:pPr>
      <w:r w:rsidRPr="00A4178E">
        <w:rPr>
          <w:lang w:val="en-CA"/>
        </w:rPr>
        <w:t>The appellant took the complainant in his arms, led her to his room and lay her on the bed. She was on her back, and he was lying on top of her and kissing her. She told him, [</w:t>
      </w:r>
      <w:r w:rsidRPr="00B17FEF">
        <w:rPr>
          <w:smallCaps/>
          <w:lang w:val="en-CA"/>
        </w:rPr>
        <w:t>translation</w:t>
      </w:r>
      <w:r w:rsidRPr="00A4178E">
        <w:rPr>
          <w:lang w:val="en-CA"/>
        </w:rPr>
        <w:t xml:space="preserve">] </w:t>
      </w:r>
      <w:r w:rsidR="00D06C3F">
        <w:rPr>
          <w:lang w:val="en-CA"/>
        </w:rPr>
        <w:t>“</w:t>
      </w:r>
      <w:r w:rsidRPr="00A4178E">
        <w:rPr>
          <w:lang w:val="en-CA"/>
        </w:rPr>
        <w:t>let go of me</w:t>
      </w:r>
      <w:r w:rsidR="00AB1963">
        <w:rPr>
          <w:lang w:val="en-CA"/>
        </w:rPr>
        <w:t>,</w:t>
      </w:r>
      <w:r w:rsidR="00D06C3F">
        <w:rPr>
          <w:lang w:val="en-CA"/>
        </w:rPr>
        <w:t>”</w:t>
      </w:r>
      <w:r w:rsidRPr="00A4178E">
        <w:rPr>
          <w:lang w:val="en-CA"/>
        </w:rPr>
        <w:t xml:space="preserve"> got up and headed for the front door.</w:t>
      </w:r>
      <w:r w:rsidRPr="00A4178E">
        <w:rPr>
          <w:rStyle w:val="Appelnotedebasdep"/>
          <w:lang w:val="en-CA"/>
        </w:rPr>
        <w:footnoteReference w:id="7"/>
      </w:r>
      <w:r w:rsidRPr="00A4178E">
        <w:rPr>
          <w:lang w:val="en-CA"/>
        </w:rPr>
        <w:t xml:space="preserve"> The appellant followed her to the door, took her in his arms and put her back on the bed. She said, [</w:t>
      </w:r>
      <w:r w:rsidRPr="00B17FEF">
        <w:rPr>
          <w:smallCaps/>
          <w:lang w:val="en-CA"/>
        </w:rPr>
        <w:t>translation</w:t>
      </w:r>
      <w:r w:rsidRPr="00A4178E">
        <w:rPr>
          <w:lang w:val="en-CA"/>
        </w:rPr>
        <w:t xml:space="preserve">] </w:t>
      </w:r>
      <w:r w:rsidR="00D06C3F">
        <w:rPr>
          <w:lang w:val="en-CA"/>
        </w:rPr>
        <w:t>“</w:t>
      </w:r>
      <w:r w:rsidRPr="00A4178E">
        <w:rPr>
          <w:lang w:val="en-CA"/>
        </w:rPr>
        <w:t>leave me alone</w:t>
      </w:r>
      <w:r w:rsidR="00D06C3F">
        <w:rPr>
          <w:lang w:val="en-CA"/>
        </w:rPr>
        <w:t>”</w:t>
      </w:r>
      <w:r w:rsidRPr="00A4178E">
        <w:rPr>
          <w:lang w:val="en-CA"/>
        </w:rPr>
        <w:t xml:space="preserve"> and repeated that she did not want to sleep with him.</w:t>
      </w:r>
      <w:r w:rsidRPr="00A4178E">
        <w:rPr>
          <w:rStyle w:val="Appelnotedebasdep"/>
          <w:lang w:val="en-CA"/>
        </w:rPr>
        <w:footnoteReference w:id="8"/>
      </w:r>
      <w:r w:rsidRPr="00A4178E">
        <w:rPr>
          <w:lang w:val="en-CA"/>
        </w:rPr>
        <w:t xml:space="preserve"> He replied, </w:t>
      </w:r>
      <w:r w:rsidR="00D06C3F">
        <w:rPr>
          <w:lang w:val="en-CA"/>
        </w:rPr>
        <w:t>“</w:t>
      </w:r>
      <w:r w:rsidRPr="00A4178E">
        <w:rPr>
          <w:lang w:val="en-CA"/>
        </w:rPr>
        <w:t xml:space="preserve">I know you love </w:t>
      </w:r>
      <w:proofErr w:type="gramStart"/>
      <w:r w:rsidRPr="00A4178E">
        <w:rPr>
          <w:lang w:val="en-CA"/>
        </w:rPr>
        <w:t>me</w:t>
      </w:r>
      <w:proofErr w:type="gramEnd"/>
      <w:r w:rsidRPr="00A4178E">
        <w:rPr>
          <w:lang w:val="en-CA"/>
        </w:rPr>
        <w:t xml:space="preserve"> and I want you.</w:t>
      </w:r>
      <w:r w:rsidR="00D06C3F">
        <w:rPr>
          <w:lang w:val="en-CA"/>
        </w:rPr>
        <w:t>”</w:t>
      </w:r>
      <w:r w:rsidRPr="00A4178E">
        <w:rPr>
          <w:rStyle w:val="Appelnotedebasdep"/>
          <w:lang w:val="en-CA"/>
        </w:rPr>
        <w:footnoteReference w:id="9"/>
      </w:r>
      <w:r w:rsidRPr="00A4178E">
        <w:rPr>
          <w:lang w:val="en-CA"/>
        </w:rPr>
        <w:t xml:space="preserve"> He removed the complainant</w:t>
      </w:r>
      <w:r w:rsidR="00D06C3F">
        <w:rPr>
          <w:lang w:val="en-CA"/>
        </w:rPr>
        <w:t>’</w:t>
      </w:r>
      <w:r w:rsidRPr="00A4178E">
        <w:rPr>
          <w:lang w:val="en-CA"/>
        </w:rPr>
        <w:t>s pants and underwear.</w:t>
      </w:r>
    </w:p>
    <w:p w14:paraId="7487CDDB" w14:textId="5747DC52" w:rsidR="00314A01" w:rsidRPr="00A4178E" w:rsidRDefault="00C04FF8" w:rsidP="00314A01">
      <w:pPr>
        <w:pStyle w:val="Paragraphe"/>
        <w:spacing w:line="280" w:lineRule="exact"/>
        <w:rPr>
          <w:lang w:val="en-CA"/>
        </w:rPr>
      </w:pPr>
      <w:r w:rsidRPr="00A4178E">
        <w:rPr>
          <w:lang w:val="en-CA"/>
        </w:rPr>
        <w:t>The appellant penetrated the complainant, who was on her back. She was crying and told him to let her go. He wiped her tears with his thumb and said, [</w:t>
      </w:r>
      <w:r w:rsidRPr="00B17FEF">
        <w:rPr>
          <w:smallCaps/>
          <w:lang w:val="en-CA"/>
        </w:rPr>
        <w:t>translation</w:t>
      </w:r>
      <w:r w:rsidRPr="00A4178E">
        <w:rPr>
          <w:lang w:val="en-CA"/>
        </w:rPr>
        <w:t xml:space="preserve">] </w:t>
      </w:r>
      <w:r w:rsidR="00D06C3F">
        <w:rPr>
          <w:lang w:val="en-CA"/>
        </w:rPr>
        <w:t>“</w:t>
      </w:r>
      <w:r w:rsidRPr="00A4178E">
        <w:rPr>
          <w:lang w:val="en-CA"/>
        </w:rPr>
        <w:t xml:space="preserve">I </w:t>
      </w:r>
      <w:r w:rsidRPr="00A4178E">
        <w:rPr>
          <w:lang w:val="en-CA"/>
        </w:rPr>
        <w:lastRenderedPageBreak/>
        <w:t>love you and you love me.</w:t>
      </w:r>
      <w:r w:rsidR="00D06C3F">
        <w:rPr>
          <w:lang w:val="en-CA"/>
        </w:rPr>
        <w:t>”</w:t>
      </w:r>
      <w:r w:rsidRPr="00A4178E">
        <w:rPr>
          <w:rStyle w:val="Appelnotedebasdep"/>
          <w:lang w:val="en-CA"/>
        </w:rPr>
        <w:footnoteReference w:id="10"/>
      </w:r>
      <w:r w:rsidRPr="00A4178E">
        <w:rPr>
          <w:lang w:val="en-CA"/>
        </w:rPr>
        <w:t xml:space="preserve"> He turned the complainant onto her side, wiped away her tears again and repeated, [</w:t>
      </w:r>
      <w:r w:rsidRPr="00B17FEF">
        <w:rPr>
          <w:smallCaps/>
          <w:lang w:val="en-CA"/>
        </w:rPr>
        <w:t>translation</w:t>
      </w:r>
      <w:r w:rsidRPr="00A4178E">
        <w:rPr>
          <w:lang w:val="en-CA"/>
        </w:rPr>
        <w:t xml:space="preserve">] </w:t>
      </w:r>
      <w:r w:rsidR="00D06C3F">
        <w:rPr>
          <w:lang w:val="en-CA"/>
        </w:rPr>
        <w:t>“</w:t>
      </w:r>
      <w:r w:rsidRPr="00A4178E">
        <w:rPr>
          <w:lang w:val="en-CA"/>
        </w:rPr>
        <w:t xml:space="preserve">I know you love </w:t>
      </w:r>
      <w:proofErr w:type="gramStart"/>
      <w:r w:rsidRPr="00A4178E">
        <w:rPr>
          <w:lang w:val="en-CA"/>
        </w:rPr>
        <w:t>me</w:t>
      </w:r>
      <w:proofErr w:type="gramEnd"/>
      <w:r w:rsidRPr="00A4178E">
        <w:rPr>
          <w:lang w:val="en-CA"/>
        </w:rPr>
        <w:t xml:space="preserve"> and you</w:t>
      </w:r>
      <w:r w:rsidR="00D06C3F">
        <w:rPr>
          <w:lang w:val="en-CA"/>
        </w:rPr>
        <w:t>’</w:t>
      </w:r>
      <w:r w:rsidRPr="00A4178E">
        <w:rPr>
          <w:lang w:val="en-CA"/>
        </w:rPr>
        <w:t>ll always love me.</w:t>
      </w:r>
      <w:r w:rsidR="00D06C3F">
        <w:rPr>
          <w:lang w:val="en-CA"/>
        </w:rPr>
        <w:t>”</w:t>
      </w:r>
      <w:r w:rsidRPr="00A4178E">
        <w:rPr>
          <w:rStyle w:val="Appelnotedebasdep"/>
          <w:lang w:val="en-CA"/>
        </w:rPr>
        <w:footnoteReference w:id="11"/>
      </w:r>
      <w:r w:rsidRPr="00A4178E">
        <w:rPr>
          <w:lang w:val="en-CA"/>
        </w:rPr>
        <w:t xml:space="preserve"> The penetration lasted five minutes.</w:t>
      </w:r>
    </w:p>
    <w:p w14:paraId="7487CDDC" w14:textId="00BB944D" w:rsidR="00314A01" w:rsidRPr="00A4178E" w:rsidRDefault="00C04FF8" w:rsidP="00314A01">
      <w:pPr>
        <w:pStyle w:val="Paragraphe"/>
        <w:spacing w:line="280" w:lineRule="exact"/>
        <w:rPr>
          <w:lang w:val="en-CA"/>
        </w:rPr>
      </w:pPr>
      <w:r w:rsidRPr="00A4178E">
        <w:rPr>
          <w:lang w:val="en-CA"/>
        </w:rPr>
        <w:t>The appellant grabbed the complainant</w:t>
      </w:r>
      <w:r w:rsidR="00D06C3F">
        <w:rPr>
          <w:lang w:val="en-CA"/>
        </w:rPr>
        <w:t>’</w:t>
      </w:r>
      <w:r w:rsidRPr="00A4178E">
        <w:rPr>
          <w:lang w:val="en-CA"/>
        </w:rPr>
        <w:t>s legs so that her [</w:t>
      </w:r>
      <w:r w:rsidRPr="00B17FEF">
        <w:rPr>
          <w:smallCaps/>
          <w:lang w:val="en-CA"/>
        </w:rPr>
        <w:t>translation</w:t>
      </w:r>
      <w:r w:rsidRPr="00A4178E">
        <w:rPr>
          <w:lang w:val="en-CA"/>
        </w:rPr>
        <w:t xml:space="preserve">] </w:t>
      </w:r>
      <w:r w:rsidR="00D06C3F">
        <w:rPr>
          <w:lang w:val="en-CA"/>
        </w:rPr>
        <w:t>“</w:t>
      </w:r>
      <w:r w:rsidRPr="00A4178E">
        <w:rPr>
          <w:lang w:val="en-CA"/>
        </w:rPr>
        <w:t>face was underneath</w:t>
      </w:r>
      <w:r w:rsidR="00D06C3F">
        <w:rPr>
          <w:lang w:val="en-CA"/>
        </w:rPr>
        <w:t>”</w:t>
      </w:r>
      <w:r w:rsidRPr="00A4178E">
        <w:rPr>
          <w:lang w:val="en-CA"/>
        </w:rPr>
        <w:t xml:space="preserve"> and he told her that he wanted to ejaculate in her mouth.</w:t>
      </w:r>
      <w:r w:rsidRPr="00A4178E">
        <w:rPr>
          <w:rStyle w:val="Appelnotedebasdep"/>
          <w:lang w:val="en-CA"/>
        </w:rPr>
        <w:footnoteReference w:id="12"/>
      </w:r>
      <w:r w:rsidRPr="00A4178E">
        <w:rPr>
          <w:lang w:val="en-CA"/>
        </w:rPr>
        <w:t xml:space="preserve"> She told him she did not want that.</w:t>
      </w:r>
      <w:r w:rsidRPr="00A4178E">
        <w:rPr>
          <w:rStyle w:val="Appelnotedebasdep"/>
          <w:lang w:val="en-CA"/>
        </w:rPr>
        <w:footnoteReference w:id="13"/>
      </w:r>
      <w:r w:rsidRPr="00A4178E">
        <w:rPr>
          <w:lang w:val="en-CA"/>
        </w:rPr>
        <w:t xml:space="preserve"> He ejaculated on the corner of her mouth, on her hair and on her </w:t>
      </w:r>
      <w:r w:rsidR="004D08F1">
        <w:rPr>
          <w:lang w:val="en-CA"/>
        </w:rPr>
        <w:t>top</w:t>
      </w:r>
      <w:r w:rsidRPr="00A4178E">
        <w:rPr>
          <w:lang w:val="en-CA"/>
        </w:rPr>
        <w:t>.</w:t>
      </w:r>
    </w:p>
    <w:p w14:paraId="7487CDDD" w14:textId="7A4140EB" w:rsidR="00314A01" w:rsidRPr="00A4178E" w:rsidRDefault="00C04FF8" w:rsidP="00314A01">
      <w:pPr>
        <w:pStyle w:val="Paragraphe"/>
        <w:spacing w:line="280" w:lineRule="exact"/>
        <w:rPr>
          <w:lang w:val="en-CA"/>
        </w:rPr>
      </w:pPr>
      <w:r w:rsidRPr="00A4178E">
        <w:rPr>
          <w:lang w:val="en-CA"/>
        </w:rPr>
        <w:t>He got out of bed and told her, [</w:t>
      </w:r>
      <w:r w:rsidRPr="00B17FEF">
        <w:rPr>
          <w:smallCaps/>
          <w:lang w:val="en-CA"/>
        </w:rPr>
        <w:t>translation</w:t>
      </w:r>
      <w:r w:rsidRPr="00A4178E">
        <w:rPr>
          <w:lang w:val="en-CA"/>
        </w:rPr>
        <w:t xml:space="preserve">] </w:t>
      </w:r>
      <w:r w:rsidR="00D06C3F">
        <w:rPr>
          <w:lang w:val="en-CA"/>
        </w:rPr>
        <w:t>“</w:t>
      </w:r>
      <w:r w:rsidRPr="00A4178E">
        <w:rPr>
          <w:lang w:val="en-CA"/>
        </w:rPr>
        <w:t>I</w:t>
      </w:r>
      <w:r w:rsidR="00D06C3F">
        <w:rPr>
          <w:lang w:val="en-CA"/>
        </w:rPr>
        <w:t>’</w:t>
      </w:r>
      <w:r w:rsidRPr="00A4178E">
        <w:rPr>
          <w:lang w:val="en-CA"/>
        </w:rPr>
        <w:t>m going to get the 50 bucks I bet, bitch. I wanted to hurt you as much as you hurt me.</w:t>
      </w:r>
      <w:r w:rsidR="00D06C3F">
        <w:rPr>
          <w:lang w:val="en-CA"/>
        </w:rPr>
        <w:t>”</w:t>
      </w:r>
      <w:r w:rsidRPr="00A4178E">
        <w:rPr>
          <w:rStyle w:val="Appelnotedebasdep"/>
          <w:lang w:val="en-CA"/>
        </w:rPr>
        <w:footnoteReference w:id="14"/>
      </w:r>
      <w:r w:rsidRPr="00A4178E">
        <w:rPr>
          <w:lang w:val="en-CA"/>
        </w:rPr>
        <w:t xml:space="preserve"> In tears, she got dressed and wiped herself with a </w:t>
      </w:r>
      <w:r w:rsidR="004D08F1">
        <w:rPr>
          <w:lang w:val="en-CA"/>
        </w:rPr>
        <w:t>top</w:t>
      </w:r>
      <w:r w:rsidRPr="00A4178E">
        <w:rPr>
          <w:lang w:val="en-CA"/>
        </w:rPr>
        <w:t>. He picked up his phone and filmed her, asking her, [</w:t>
      </w:r>
      <w:r w:rsidRPr="00B17FEF">
        <w:rPr>
          <w:smallCaps/>
          <w:lang w:val="en-CA"/>
        </w:rPr>
        <w:t>translation</w:t>
      </w:r>
      <w:r w:rsidRPr="00A4178E">
        <w:rPr>
          <w:lang w:val="en-CA"/>
        </w:rPr>
        <w:t>]</w:t>
      </w:r>
      <w:r w:rsidR="00F6247A">
        <w:rPr>
          <w:lang w:val="en-CA"/>
        </w:rPr>
        <w:t> </w:t>
      </w:r>
      <w:r w:rsidR="00D06C3F">
        <w:rPr>
          <w:lang w:val="en-CA"/>
        </w:rPr>
        <w:t>“</w:t>
      </w:r>
      <w:r w:rsidRPr="00A4178E">
        <w:rPr>
          <w:lang w:val="en-CA"/>
        </w:rPr>
        <w:t>Did I rape you tonight?</w:t>
      </w:r>
      <w:r w:rsidR="00D06C3F">
        <w:rPr>
          <w:lang w:val="en-CA"/>
        </w:rPr>
        <w:t>”</w:t>
      </w:r>
      <w:r w:rsidRPr="00A4178E">
        <w:rPr>
          <w:rStyle w:val="Appelnotedebasdep"/>
          <w:lang w:val="en-CA"/>
        </w:rPr>
        <w:footnoteReference w:id="15"/>
      </w:r>
      <w:r w:rsidRPr="00A4178E">
        <w:rPr>
          <w:lang w:val="en-CA"/>
        </w:rPr>
        <w:t xml:space="preserve"> She yelled at him to stop and leave her alone. He added, [</w:t>
      </w:r>
      <w:r w:rsidRPr="00B17FEF">
        <w:rPr>
          <w:smallCaps/>
          <w:lang w:val="en-CA"/>
        </w:rPr>
        <w:t>translation</w:t>
      </w:r>
      <w:r w:rsidRPr="00A4178E">
        <w:rPr>
          <w:lang w:val="en-CA"/>
        </w:rPr>
        <w:t xml:space="preserve">] </w:t>
      </w:r>
      <w:r w:rsidR="00D06C3F">
        <w:rPr>
          <w:lang w:val="en-CA"/>
        </w:rPr>
        <w:t>“</w:t>
      </w:r>
      <w:r w:rsidRPr="00A4178E">
        <w:rPr>
          <w:lang w:val="en-CA"/>
        </w:rPr>
        <w:t>If you go to the police, at least I</w:t>
      </w:r>
      <w:r w:rsidR="00D06C3F">
        <w:rPr>
          <w:lang w:val="en-CA"/>
        </w:rPr>
        <w:t>’</w:t>
      </w:r>
      <w:r w:rsidRPr="00A4178E">
        <w:rPr>
          <w:lang w:val="en-CA"/>
        </w:rPr>
        <w:t>ll have proof that it</w:t>
      </w:r>
      <w:r w:rsidR="00D06C3F">
        <w:rPr>
          <w:lang w:val="en-CA"/>
        </w:rPr>
        <w:t>’</w:t>
      </w:r>
      <w:r w:rsidRPr="00A4178E">
        <w:rPr>
          <w:lang w:val="en-CA"/>
        </w:rPr>
        <w:t>s not true</w:t>
      </w:r>
      <w:r w:rsidR="00F6247A">
        <w:rPr>
          <w:lang w:val="en-CA"/>
        </w:rPr>
        <w:t>.</w:t>
      </w:r>
      <w:r w:rsidR="00D06C3F">
        <w:rPr>
          <w:lang w:val="en-CA"/>
        </w:rPr>
        <w:t>”</w:t>
      </w:r>
      <w:r w:rsidRPr="00A4178E">
        <w:rPr>
          <w:rStyle w:val="Appelnotedebasdep"/>
          <w:lang w:val="en-CA"/>
        </w:rPr>
        <w:footnoteReference w:id="16"/>
      </w:r>
      <w:r w:rsidRPr="00A4178E">
        <w:rPr>
          <w:lang w:val="en-CA"/>
        </w:rPr>
        <w:t xml:space="preserve"> She told him to leave her alone and left the apartment. The video in question was found in the deleted files on the appellant</w:t>
      </w:r>
      <w:r w:rsidR="00D06C3F">
        <w:rPr>
          <w:lang w:val="en-CA"/>
        </w:rPr>
        <w:t>’</w:t>
      </w:r>
      <w:r w:rsidRPr="00A4178E">
        <w:rPr>
          <w:lang w:val="en-CA"/>
        </w:rPr>
        <w:t>s phone during a search and introduced at trial as Exhibit P-2 (it was not, however, reproduced in the appeal record). In all, the complainant spent between forty-five minutes and one hour at the appellant</w:t>
      </w:r>
      <w:r w:rsidR="00D06C3F">
        <w:rPr>
          <w:lang w:val="en-CA"/>
        </w:rPr>
        <w:t>’</w:t>
      </w:r>
      <w:r w:rsidRPr="00A4178E">
        <w:rPr>
          <w:lang w:val="en-CA"/>
        </w:rPr>
        <w:t>s place.</w:t>
      </w:r>
    </w:p>
    <w:p w14:paraId="7487CDDE" w14:textId="29F0A5B1" w:rsidR="00314A01" w:rsidRPr="00A4178E" w:rsidRDefault="00C04FF8" w:rsidP="00314A01">
      <w:pPr>
        <w:pStyle w:val="Paragraphe"/>
        <w:spacing w:line="280" w:lineRule="exact"/>
        <w:rPr>
          <w:lang w:val="en-CA"/>
        </w:rPr>
      </w:pPr>
      <w:r w:rsidRPr="00A4178E">
        <w:rPr>
          <w:lang w:val="en-CA"/>
        </w:rPr>
        <w:t xml:space="preserve">The complainant got into her vehicle and drove to a service station. In a panic, she called her friend </w:t>
      </w:r>
      <w:r w:rsidR="009772D1">
        <w:rPr>
          <w:lang w:val="en-CA"/>
        </w:rPr>
        <w:t>K.</w:t>
      </w:r>
      <w:r w:rsidRPr="00A4178E">
        <w:rPr>
          <w:lang w:val="en-CA"/>
        </w:rPr>
        <w:t xml:space="preserve"> </w:t>
      </w:r>
      <w:r w:rsidR="009772D1">
        <w:rPr>
          <w:lang w:val="en-CA"/>
        </w:rPr>
        <w:t>F.</w:t>
      </w:r>
      <w:r w:rsidRPr="00A4178E">
        <w:rPr>
          <w:lang w:val="en-CA"/>
        </w:rPr>
        <w:t xml:space="preserve"> and her grandmother to tell them what had happened. During the night, at around 2 a.m. or 3 a.m., the appellant called to tell her that he was not a rapist, that he wanted to kill himself and that his life [</w:t>
      </w:r>
      <w:r w:rsidRPr="00B17FEF">
        <w:rPr>
          <w:smallCaps/>
          <w:lang w:val="en-CA"/>
        </w:rPr>
        <w:t>translation</w:t>
      </w:r>
      <w:r w:rsidRPr="00A4178E">
        <w:rPr>
          <w:lang w:val="en-CA"/>
        </w:rPr>
        <w:t xml:space="preserve">] </w:t>
      </w:r>
      <w:r w:rsidR="00D06C3F">
        <w:rPr>
          <w:lang w:val="en-CA"/>
        </w:rPr>
        <w:t>“</w:t>
      </w:r>
      <w:r w:rsidRPr="00A4178E">
        <w:rPr>
          <w:lang w:val="en-CA"/>
        </w:rPr>
        <w:t>sucks</w:t>
      </w:r>
      <w:r w:rsidR="00D06C3F">
        <w:rPr>
          <w:lang w:val="en-CA"/>
        </w:rPr>
        <w:t>”</w:t>
      </w:r>
      <w:r w:rsidR="008F2D2E">
        <w:rPr>
          <w:lang w:val="en-CA"/>
        </w:rPr>
        <w:t>.</w:t>
      </w:r>
      <w:r w:rsidRPr="00A4178E">
        <w:rPr>
          <w:rStyle w:val="Appelnotedebasdep"/>
          <w:lang w:val="en-CA"/>
        </w:rPr>
        <w:footnoteReference w:id="17"/>
      </w:r>
    </w:p>
    <w:p w14:paraId="7487CDDF" w14:textId="0ACC4ABA" w:rsidR="00314A01" w:rsidRPr="00A4178E" w:rsidRDefault="00C04FF8" w:rsidP="00314A01">
      <w:pPr>
        <w:pStyle w:val="Paragraphe"/>
        <w:spacing w:line="280" w:lineRule="exact"/>
        <w:rPr>
          <w:lang w:val="en-CA"/>
        </w:rPr>
      </w:pPr>
      <w:r w:rsidRPr="00A4178E">
        <w:rPr>
          <w:lang w:val="en-CA"/>
        </w:rPr>
        <w:t xml:space="preserve">The next day, April 24, 2019, the appellant informed her that he had wired her money by </w:t>
      </w:r>
      <w:proofErr w:type="gramStart"/>
      <w:r w:rsidRPr="00A4178E">
        <w:rPr>
          <w:lang w:val="en-CA"/>
        </w:rPr>
        <w:t>mistake</w:t>
      </w:r>
      <w:proofErr w:type="gramEnd"/>
      <w:r w:rsidRPr="00A4178E">
        <w:rPr>
          <w:lang w:val="en-CA"/>
        </w:rPr>
        <w:t xml:space="preserve"> and he asked her to hand-deliver the sum to him.</w:t>
      </w:r>
    </w:p>
    <w:p w14:paraId="7487CDE0" w14:textId="7D52DCC1" w:rsidR="00314A01" w:rsidRPr="00A4178E" w:rsidRDefault="00C04FF8" w:rsidP="00314A01">
      <w:pPr>
        <w:pStyle w:val="Paragraphe"/>
        <w:spacing w:line="280" w:lineRule="exact"/>
        <w:rPr>
          <w:lang w:val="en-CA"/>
        </w:rPr>
      </w:pPr>
      <w:r w:rsidRPr="00A4178E">
        <w:rPr>
          <w:lang w:val="en-CA"/>
        </w:rPr>
        <w:t>At around noon, the complainant went to the appellant</w:t>
      </w:r>
      <w:r w:rsidR="00D06C3F">
        <w:rPr>
          <w:lang w:val="en-CA"/>
        </w:rPr>
        <w:t>’</w:t>
      </w:r>
      <w:r w:rsidRPr="00A4178E">
        <w:rPr>
          <w:lang w:val="en-CA"/>
        </w:rPr>
        <w:t xml:space="preserve">s place together with her friend </w:t>
      </w:r>
      <w:r w:rsidR="009772D1">
        <w:rPr>
          <w:lang w:val="en-CA"/>
        </w:rPr>
        <w:t>K.</w:t>
      </w:r>
      <w:r w:rsidRPr="00A4178E">
        <w:rPr>
          <w:lang w:val="en-CA"/>
        </w:rPr>
        <w:t>, with the intention of reimbursing him. She knocked on the door, but no one answered.</w:t>
      </w:r>
      <w:r w:rsidRPr="00A4178E">
        <w:rPr>
          <w:rStyle w:val="Appelnotedebasdep"/>
          <w:lang w:val="en-CA"/>
        </w:rPr>
        <w:footnoteReference w:id="18"/>
      </w:r>
      <w:r w:rsidRPr="00A4178E">
        <w:rPr>
          <w:lang w:val="en-CA"/>
        </w:rPr>
        <w:t xml:space="preserve"> Given that the door was unlocked, she entered and noted the presence of personal effects belonging to another woman. There was no one in the apartment. She placed the money on the appellant</w:t>
      </w:r>
      <w:r w:rsidR="00D06C3F">
        <w:rPr>
          <w:lang w:val="en-CA"/>
        </w:rPr>
        <w:t>’</w:t>
      </w:r>
      <w:r w:rsidRPr="00A4178E">
        <w:rPr>
          <w:lang w:val="en-CA"/>
        </w:rPr>
        <w:t>s bed and motioned to her friend to join her so she could show her what she had discovered.</w:t>
      </w:r>
    </w:p>
    <w:p w14:paraId="7487CDE1" w14:textId="2420F120" w:rsidR="00314A01" w:rsidRPr="00A4178E" w:rsidRDefault="00C04FF8" w:rsidP="00314A01">
      <w:pPr>
        <w:pStyle w:val="Paragraphe"/>
        <w:spacing w:line="280" w:lineRule="exact"/>
        <w:rPr>
          <w:kern w:val="24"/>
          <w:sz w:val="22"/>
          <w:lang w:val="en-CA"/>
        </w:rPr>
      </w:pPr>
      <w:r w:rsidRPr="00A4178E">
        <w:rPr>
          <w:lang w:val="en-CA"/>
        </w:rPr>
        <w:lastRenderedPageBreak/>
        <w:t>They then left the apartment. The complainant contacted the appellant to tell him that he was an [</w:t>
      </w:r>
      <w:r w:rsidRPr="00B17FEF">
        <w:rPr>
          <w:smallCaps/>
          <w:lang w:val="en-CA"/>
        </w:rPr>
        <w:t>translation</w:t>
      </w:r>
      <w:r w:rsidRPr="00A4178E">
        <w:rPr>
          <w:lang w:val="en-CA"/>
        </w:rPr>
        <w:t xml:space="preserve">] </w:t>
      </w:r>
      <w:r w:rsidR="00D06C3F">
        <w:rPr>
          <w:lang w:val="en-CA"/>
        </w:rPr>
        <w:t>“</w:t>
      </w:r>
      <w:r w:rsidRPr="00A4178E">
        <w:rPr>
          <w:lang w:val="en-CA"/>
        </w:rPr>
        <w:t>asshole</w:t>
      </w:r>
      <w:r w:rsidR="00D06C3F">
        <w:rPr>
          <w:lang w:val="en-CA"/>
        </w:rPr>
        <w:t>”</w:t>
      </w:r>
      <w:r w:rsidR="008F2D2E">
        <w:rPr>
          <w:lang w:val="en-CA"/>
        </w:rPr>
        <w:t>.</w:t>
      </w:r>
      <w:r w:rsidRPr="00A4178E">
        <w:rPr>
          <w:rStyle w:val="Appelnotedebasdep"/>
          <w:lang w:val="en-CA"/>
        </w:rPr>
        <w:footnoteReference w:id="19"/>
      </w:r>
      <w:r w:rsidRPr="00A4178E">
        <w:rPr>
          <w:lang w:val="en-CA"/>
        </w:rPr>
        <w:t xml:space="preserve"> During cross-examination, she explained that she reacted the way she did because of what he had done to her the previous day and what he had said to her during the night and because of the fact that [</w:t>
      </w:r>
      <w:r w:rsidRPr="00B17FEF">
        <w:rPr>
          <w:smallCaps/>
          <w:lang w:val="en-CA"/>
        </w:rPr>
        <w:t>translation</w:t>
      </w:r>
      <w:r w:rsidRPr="00A4178E">
        <w:rPr>
          <w:lang w:val="en-CA"/>
        </w:rPr>
        <w:t xml:space="preserve">] </w:t>
      </w:r>
      <w:r w:rsidR="00D06C3F">
        <w:rPr>
          <w:lang w:val="en-CA"/>
        </w:rPr>
        <w:t>“</w:t>
      </w:r>
      <w:r w:rsidRPr="00A4178E">
        <w:rPr>
          <w:lang w:val="en-CA"/>
        </w:rPr>
        <w:t>there was already another girl in his bed the next morning</w:t>
      </w:r>
      <w:r w:rsidR="00D06C3F">
        <w:rPr>
          <w:lang w:val="en-CA"/>
        </w:rPr>
        <w:t>”</w:t>
      </w:r>
      <w:r w:rsidRPr="00A4178E">
        <w:rPr>
          <w:lang w:val="en-CA"/>
        </w:rPr>
        <w:t>.</w:t>
      </w:r>
      <w:r w:rsidRPr="00A4178E">
        <w:rPr>
          <w:rStyle w:val="Appelnotedebasdep"/>
          <w:lang w:val="en-CA"/>
        </w:rPr>
        <w:footnoteReference w:id="20"/>
      </w:r>
      <w:r w:rsidRPr="00A4178E">
        <w:rPr>
          <w:lang w:val="en-CA"/>
        </w:rPr>
        <w:t xml:space="preserve"> The appellant called her crazy and passed the phone to his mother. The complainant then went to police headquarters to report the sexual assault.</w:t>
      </w:r>
    </w:p>
    <w:p w14:paraId="7487CDE2" w14:textId="11F41E77" w:rsidR="00314A01" w:rsidRPr="00A4178E" w:rsidRDefault="00C04FF8" w:rsidP="00314A01">
      <w:pPr>
        <w:pStyle w:val="Paragraphe"/>
        <w:spacing w:line="280" w:lineRule="exact"/>
        <w:rPr>
          <w:lang w:val="en-CA"/>
        </w:rPr>
      </w:pPr>
      <w:bookmarkStart w:id="26" w:name="_Ref193121378"/>
      <w:r w:rsidRPr="00A4178E">
        <w:rPr>
          <w:b/>
          <w:bCs/>
          <w:lang w:val="en-CA"/>
        </w:rPr>
        <w:t>The appellant</w:t>
      </w:r>
      <w:r w:rsidR="00D06C3F">
        <w:rPr>
          <w:b/>
          <w:bCs/>
          <w:lang w:val="en-CA"/>
        </w:rPr>
        <w:t>’</w:t>
      </w:r>
      <w:r w:rsidRPr="00A4178E">
        <w:rPr>
          <w:b/>
          <w:bCs/>
          <w:lang w:val="en-CA"/>
        </w:rPr>
        <w:t>s version</w:t>
      </w:r>
      <w:r w:rsidRPr="00A4178E">
        <w:rPr>
          <w:lang w:val="en-CA"/>
        </w:rPr>
        <w:t xml:space="preserve">. Following the March 2019 break-up, the complainant repeatedly asked the appellant to get back together with him. She told him she missed him, and he replied that the feeling was mutual. During this period, they chatted daily via </w:t>
      </w:r>
      <w:r w:rsidRPr="00A4178E">
        <w:rPr>
          <w:i/>
          <w:iCs/>
          <w:lang w:val="en-CA"/>
        </w:rPr>
        <w:t>FaceTime</w:t>
      </w:r>
      <w:r w:rsidRPr="00A4178E">
        <w:rPr>
          <w:lang w:val="en-CA"/>
        </w:rPr>
        <w:t xml:space="preserve"> and sent photos to each other on </w:t>
      </w:r>
      <w:r w:rsidRPr="00A4178E">
        <w:rPr>
          <w:i/>
          <w:iCs/>
          <w:lang w:val="en-CA"/>
        </w:rPr>
        <w:t>Snapchat</w:t>
      </w:r>
      <w:r w:rsidRPr="00A4178E">
        <w:rPr>
          <w:lang w:val="en-CA"/>
        </w:rPr>
        <w:t>, their communications being mainly of a sexual nature. These communications were initiated by both the appellant and the complainant.</w:t>
      </w:r>
    </w:p>
    <w:p w14:paraId="7487CDE3" w14:textId="01A55B38" w:rsidR="00314A01" w:rsidRPr="00A4178E" w:rsidRDefault="00C04FF8" w:rsidP="00314A01">
      <w:pPr>
        <w:pStyle w:val="Paragraphe"/>
        <w:spacing w:line="280" w:lineRule="exact"/>
        <w:rPr>
          <w:lang w:val="en-CA"/>
        </w:rPr>
      </w:pPr>
      <w:r w:rsidRPr="00A4178E">
        <w:rPr>
          <w:lang w:val="en-CA"/>
        </w:rPr>
        <w:t xml:space="preserve">On the evening of April 23, 2019, the appellant was cooking a chicken. As the complainant had contacted him in the afternoon and he had not been able to answer, he called her back and asked her to come see him for a chat. She arrived at his apartment at approximately 7:30 p.m. They talked about this and that and started bickering playfully, as they had often done in the past. At one point, he approached her and kissed her. He took her in his arms and headed to his bed, where they let themselves fall into the bed and kissed. She told him she wanted to have sexual </w:t>
      </w:r>
      <w:proofErr w:type="gramStart"/>
      <w:r w:rsidRPr="00A4178E">
        <w:rPr>
          <w:lang w:val="en-CA"/>
        </w:rPr>
        <w:t>intercourse, but</w:t>
      </w:r>
      <w:proofErr w:type="gramEnd"/>
      <w:r w:rsidRPr="00A4178E">
        <w:rPr>
          <w:lang w:val="en-CA"/>
        </w:rPr>
        <w:t xml:space="preserve"> was afraid of what the appellant</w:t>
      </w:r>
      <w:r w:rsidR="00D06C3F">
        <w:rPr>
          <w:lang w:val="en-CA"/>
        </w:rPr>
        <w:t>’</w:t>
      </w:r>
      <w:r w:rsidRPr="00A4178E">
        <w:rPr>
          <w:lang w:val="en-CA"/>
        </w:rPr>
        <w:t>s friends might think of her. He told her that his friends had [</w:t>
      </w:r>
      <w:r w:rsidRPr="00B17FEF">
        <w:rPr>
          <w:smallCaps/>
          <w:lang w:val="en-CA"/>
        </w:rPr>
        <w:t>translation</w:t>
      </w:r>
      <w:r w:rsidRPr="00A4178E">
        <w:rPr>
          <w:lang w:val="en-CA"/>
        </w:rPr>
        <w:t>]</w:t>
      </w:r>
      <w:r w:rsidR="00517AD2">
        <w:rPr>
          <w:lang w:val="en-CA"/>
        </w:rPr>
        <w:t> </w:t>
      </w:r>
      <w:r w:rsidR="00D06C3F">
        <w:rPr>
          <w:lang w:val="en-CA"/>
        </w:rPr>
        <w:t>“</w:t>
      </w:r>
      <w:r w:rsidRPr="00A4178E">
        <w:rPr>
          <w:lang w:val="en-CA"/>
        </w:rPr>
        <w:t>nothing to do with this</w:t>
      </w:r>
      <w:r w:rsidR="00D06C3F">
        <w:rPr>
          <w:lang w:val="en-CA"/>
        </w:rPr>
        <w:t>”</w:t>
      </w:r>
      <w:r w:rsidRPr="00A4178E">
        <w:rPr>
          <w:lang w:val="en-CA"/>
        </w:rPr>
        <w:t xml:space="preserve"> and they continued kissing.</w:t>
      </w:r>
      <w:r w:rsidRPr="00A4178E">
        <w:rPr>
          <w:rStyle w:val="Appelnotedebasdep"/>
          <w:lang w:val="en-CA"/>
        </w:rPr>
        <w:footnoteReference w:id="21"/>
      </w:r>
    </w:p>
    <w:p w14:paraId="7487CDE4" w14:textId="5981FE18" w:rsidR="00314A01" w:rsidRPr="00A4178E" w:rsidRDefault="00C04FF8" w:rsidP="00314A01">
      <w:pPr>
        <w:pStyle w:val="Paragraphe"/>
        <w:spacing w:line="280" w:lineRule="exact"/>
        <w:rPr>
          <w:lang w:val="en-CA"/>
        </w:rPr>
      </w:pPr>
      <w:r w:rsidRPr="00A4178E">
        <w:rPr>
          <w:lang w:val="en-CA"/>
        </w:rPr>
        <w:t xml:space="preserve">They took off </w:t>
      </w:r>
      <w:r w:rsidR="00A340E8">
        <w:rPr>
          <w:lang w:val="en-CA"/>
        </w:rPr>
        <w:t xml:space="preserve">certain items of </w:t>
      </w:r>
      <w:r w:rsidRPr="00A4178E">
        <w:rPr>
          <w:lang w:val="en-CA"/>
        </w:rPr>
        <w:t>cloth</w:t>
      </w:r>
      <w:r w:rsidR="00A340E8">
        <w:rPr>
          <w:lang w:val="en-CA"/>
        </w:rPr>
        <w:t>ing</w:t>
      </w:r>
      <w:r w:rsidRPr="00A4178E">
        <w:rPr>
          <w:lang w:val="en-CA"/>
        </w:rPr>
        <w:t xml:space="preserve"> and had sexual intercourse. After 30 seconds, the appellant got up to go turn off the </w:t>
      </w:r>
      <w:proofErr w:type="gramStart"/>
      <w:r w:rsidRPr="00A4178E">
        <w:rPr>
          <w:lang w:val="en-CA"/>
        </w:rPr>
        <w:t>oven, but</w:t>
      </w:r>
      <w:proofErr w:type="gramEnd"/>
      <w:r w:rsidRPr="00A4178E">
        <w:rPr>
          <w:lang w:val="en-CA"/>
        </w:rPr>
        <w:t xml:space="preserve"> stopped when the complainant took his hand and pulled him towards her to perform fellatio. He ejaculated partly into her mouth, onto her face and onto her hair.</w:t>
      </w:r>
    </w:p>
    <w:p w14:paraId="7487CDE5" w14:textId="66FF0261" w:rsidR="00314A01" w:rsidRPr="00A4178E" w:rsidRDefault="00C04FF8" w:rsidP="00314A01">
      <w:pPr>
        <w:pStyle w:val="Paragraphe"/>
        <w:spacing w:line="280" w:lineRule="exact"/>
        <w:rPr>
          <w:lang w:val="en-CA"/>
        </w:rPr>
      </w:pPr>
      <w:r w:rsidRPr="00A4178E">
        <w:rPr>
          <w:lang w:val="en-CA"/>
        </w:rPr>
        <w:t>The complainant headed towards the bathroom and, when she returned, he said, while snapping his fingers, [</w:t>
      </w:r>
      <w:r w:rsidRPr="00B17FEF">
        <w:rPr>
          <w:smallCaps/>
          <w:lang w:val="en-CA"/>
        </w:rPr>
        <w:t>translation</w:t>
      </w:r>
      <w:r w:rsidRPr="00A4178E">
        <w:rPr>
          <w:lang w:val="en-CA"/>
        </w:rPr>
        <w:t xml:space="preserve">] </w:t>
      </w:r>
      <w:r w:rsidR="00D06C3F">
        <w:rPr>
          <w:lang w:val="en-CA"/>
        </w:rPr>
        <w:t>“</w:t>
      </w:r>
      <w:r w:rsidRPr="00A4178E">
        <w:rPr>
          <w:lang w:val="en-CA"/>
        </w:rPr>
        <w:t>[o]ops. We slept together again,</w:t>
      </w:r>
      <w:r w:rsidR="00D06C3F">
        <w:rPr>
          <w:lang w:val="en-CA"/>
        </w:rPr>
        <w:t>”</w:t>
      </w:r>
      <w:r w:rsidRPr="00A4178E">
        <w:rPr>
          <w:lang w:val="en-CA"/>
        </w:rPr>
        <w:t xml:space="preserve"> before adding [</w:t>
      </w:r>
      <w:r w:rsidRPr="00B17FEF">
        <w:rPr>
          <w:smallCaps/>
          <w:lang w:val="en-CA"/>
        </w:rPr>
        <w:t>translation</w:t>
      </w:r>
      <w:r w:rsidRPr="00A4178E">
        <w:rPr>
          <w:lang w:val="en-CA"/>
        </w:rPr>
        <w:t xml:space="preserve">] </w:t>
      </w:r>
      <w:r w:rsidR="00D06C3F">
        <w:rPr>
          <w:lang w:val="en-CA"/>
        </w:rPr>
        <w:t>“</w:t>
      </w:r>
      <w:r w:rsidRPr="00A4178E">
        <w:rPr>
          <w:lang w:val="en-CA"/>
        </w:rPr>
        <w:t>[b]</w:t>
      </w:r>
      <w:proofErr w:type="spellStart"/>
      <w:r w:rsidRPr="00A4178E">
        <w:rPr>
          <w:lang w:val="en-CA"/>
        </w:rPr>
        <w:t>ut</w:t>
      </w:r>
      <w:proofErr w:type="spellEnd"/>
      <w:r w:rsidRPr="00A4178E">
        <w:rPr>
          <w:lang w:val="en-CA"/>
        </w:rPr>
        <w:t xml:space="preserve"> you know we probably won</w:t>
      </w:r>
      <w:r w:rsidR="00D06C3F">
        <w:rPr>
          <w:lang w:val="en-CA"/>
        </w:rPr>
        <w:t>’</w:t>
      </w:r>
      <w:r w:rsidRPr="00A4178E">
        <w:rPr>
          <w:lang w:val="en-CA"/>
        </w:rPr>
        <w:t>t get back together anyway.</w:t>
      </w:r>
      <w:r w:rsidR="00D06C3F">
        <w:rPr>
          <w:lang w:val="en-CA"/>
        </w:rPr>
        <w:t>”</w:t>
      </w:r>
      <w:r w:rsidRPr="00A4178E">
        <w:rPr>
          <w:rStyle w:val="Appelnotedebasdep"/>
          <w:lang w:val="en-CA"/>
        </w:rPr>
        <w:footnoteReference w:id="22"/>
      </w:r>
      <w:r w:rsidRPr="00A4178E">
        <w:rPr>
          <w:lang w:val="en-CA"/>
        </w:rPr>
        <w:t xml:space="preserve"> In a panic, the complainant replied, [</w:t>
      </w:r>
      <w:r w:rsidRPr="00B17FEF">
        <w:rPr>
          <w:smallCaps/>
          <w:lang w:val="en-CA"/>
        </w:rPr>
        <w:t>translation</w:t>
      </w:r>
      <w:r w:rsidRPr="00A4178E">
        <w:rPr>
          <w:lang w:val="en-CA"/>
        </w:rPr>
        <w:t xml:space="preserve">] </w:t>
      </w:r>
      <w:r w:rsidR="00D06C3F">
        <w:rPr>
          <w:lang w:val="en-CA"/>
        </w:rPr>
        <w:t>“</w:t>
      </w:r>
      <w:r w:rsidRPr="00A4178E">
        <w:rPr>
          <w:lang w:val="en-CA"/>
        </w:rPr>
        <w:t xml:space="preserve">Damn. Had I known, I should have listened to </w:t>
      </w:r>
      <w:r w:rsidR="009772D1">
        <w:rPr>
          <w:lang w:val="en-CA"/>
        </w:rPr>
        <w:t>K.</w:t>
      </w:r>
      <w:r w:rsidRPr="00A4178E">
        <w:rPr>
          <w:lang w:val="en-CA"/>
        </w:rPr>
        <w:t>.</w:t>
      </w:r>
      <w:r w:rsidR="00D06C3F">
        <w:rPr>
          <w:lang w:val="en-CA"/>
        </w:rPr>
        <w:t>”</w:t>
      </w:r>
      <w:r w:rsidRPr="00A4178E">
        <w:rPr>
          <w:rStyle w:val="Appelnotedebasdep"/>
          <w:lang w:val="en-CA"/>
        </w:rPr>
        <w:footnoteReference w:id="23"/>
      </w:r>
      <w:r w:rsidRPr="00A4178E">
        <w:rPr>
          <w:lang w:val="en-CA"/>
        </w:rPr>
        <w:t xml:space="preserve"> Fearing that this friend might be a bad influence and encourage the complainant to file a complaint, the appellant filmed her and asked, [</w:t>
      </w:r>
      <w:r w:rsidRPr="00B17FEF">
        <w:rPr>
          <w:smallCaps/>
          <w:lang w:val="en-CA"/>
        </w:rPr>
        <w:t>translation</w:t>
      </w:r>
      <w:r w:rsidRPr="00A4178E">
        <w:rPr>
          <w:lang w:val="en-CA"/>
        </w:rPr>
        <w:t>]</w:t>
      </w:r>
      <w:r w:rsidR="00EB2396">
        <w:rPr>
          <w:lang w:val="en-CA"/>
        </w:rPr>
        <w:t> </w:t>
      </w:r>
      <w:r w:rsidR="00D06C3F">
        <w:rPr>
          <w:lang w:val="en-CA"/>
        </w:rPr>
        <w:t>“</w:t>
      </w:r>
      <w:r w:rsidRPr="00A4178E">
        <w:rPr>
          <w:lang w:val="en-CA"/>
        </w:rPr>
        <w:t>Huh? You</w:t>
      </w:r>
      <w:r w:rsidR="00D06C3F">
        <w:rPr>
          <w:lang w:val="en-CA"/>
        </w:rPr>
        <w:t>’</w:t>
      </w:r>
      <w:r w:rsidRPr="00A4178E">
        <w:rPr>
          <w:lang w:val="en-CA"/>
        </w:rPr>
        <w:t xml:space="preserve">re going to </w:t>
      </w:r>
      <w:r w:rsidRPr="00A4178E">
        <w:rPr>
          <w:lang w:val="en-CA"/>
        </w:rPr>
        <w:lastRenderedPageBreak/>
        <w:t>say I forced you to sleep with me.</w:t>
      </w:r>
      <w:r w:rsidR="00D06C3F">
        <w:rPr>
          <w:lang w:val="en-CA"/>
        </w:rPr>
        <w:t>”</w:t>
      </w:r>
      <w:r w:rsidRPr="00A4178E">
        <w:rPr>
          <w:rStyle w:val="Appelnotedebasdep"/>
          <w:lang w:val="en-CA"/>
        </w:rPr>
        <w:footnoteReference w:id="24"/>
      </w:r>
      <w:r w:rsidRPr="00A4178E">
        <w:rPr>
          <w:lang w:val="en-CA"/>
        </w:rPr>
        <w:t xml:space="preserve"> The complainant called him an [</w:t>
      </w:r>
      <w:r w:rsidRPr="00B17FEF">
        <w:rPr>
          <w:smallCaps/>
          <w:lang w:val="en-CA"/>
        </w:rPr>
        <w:t>translation</w:t>
      </w:r>
      <w:r w:rsidRPr="00A4178E">
        <w:rPr>
          <w:lang w:val="en-CA"/>
        </w:rPr>
        <w:t>]</w:t>
      </w:r>
      <w:r w:rsidR="00EB2396">
        <w:rPr>
          <w:lang w:val="en-CA"/>
        </w:rPr>
        <w:t> </w:t>
      </w:r>
      <w:r w:rsidR="00D06C3F">
        <w:rPr>
          <w:lang w:val="en-CA"/>
        </w:rPr>
        <w:t>“</w:t>
      </w:r>
      <w:r w:rsidRPr="00A4178E">
        <w:rPr>
          <w:lang w:val="en-CA"/>
        </w:rPr>
        <w:t>asshole</w:t>
      </w:r>
      <w:r w:rsidR="00D06C3F">
        <w:rPr>
          <w:lang w:val="en-CA"/>
        </w:rPr>
        <w:t>”</w:t>
      </w:r>
      <w:r w:rsidRPr="00A4178E">
        <w:rPr>
          <w:lang w:val="en-CA"/>
        </w:rPr>
        <w:t xml:space="preserve"> and left; it was approximately 8:45 p.m. at that point.</w:t>
      </w:r>
      <w:r w:rsidRPr="00A4178E">
        <w:rPr>
          <w:rStyle w:val="Appelnotedebasdep"/>
          <w:lang w:val="en-CA"/>
        </w:rPr>
        <w:footnoteReference w:id="25"/>
      </w:r>
      <w:r w:rsidRPr="00A4178E">
        <w:rPr>
          <w:lang w:val="en-CA"/>
        </w:rPr>
        <w:t xml:space="preserve"> </w:t>
      </w:r>
    </w:p>
    <w:p w14:paraId="7487CDE6" w14:textId="571072AB" w:rsidR="00314A01" w:rsidRPr="00A4178E" w:rsidRDefault="00C04FF8" w:rsidP="00314A01">
      <w:pPr>
        <w:pStyle w:val="Paragraphe"/>
        <w:spacing w:line="280" w:lineRule="exact"/>
        <w:rPr>
          <w:lang w:val="en-CA"/>
        </w:rPr>
      </w:pPr>
      <w:r w:rsidRPr="00A4178E">
        <w:rPr>
          <w:lang w:val="en-CA"/>
        </w:rPr>
        <w:t>The next day, the appellant mistakenly transferred $375 to the complainant. He asked her to transfer the money back to him or to bring it to him in person; she agreed. In the meantime, he received a phone call from a female friend asking him if she could sleep over at his place. To avoid having the complainant notice the presence of another girl at his place, the appellant called her back and asked her to bring the money to his parents</w:t>
      </w:r>
      <w:r w:rsidR="00D06C3F">
        <w:rPr>
          <w:lang w:val="en-CA"/>
        </w:rPr>
        <w:t>’</w:t>
      </w:r>
      <w:r w:rsidRPr="00A4178E">
        <w:rPr>
          <w:lang w:val="en-CA"/>
        </w:rPr>
        <w:t xml:space="preserve"> place.</w:t>
      </w:r>
    </w:p>
    <w:p w14:paraId="7487CDE7" w14:textId="352C5610" w:rsidR="00314A01" w:rsidRPr="00A4178E" w:rsidRDefault="00C04FF8" w:rsidP="00314A01">
      <w:pPr>
        <w:pStyle w:val="Paragraphe"/>
        <w:spacing w:line="280" w:lineRule="exact"/>
        <w:rPr>
          <w:lang w:val="en-CA"/>
        </w:rPr>
      </w:pPr>
      <w:r w:rsidRPr="00A4178E">
        <w:rPr>
          <w:lang w:val="en-CA"/>
        </w:rPr>
        <w:t>The appellant went to his parents</w:t>
      </w:r>
      <w:r w:rsidR="00D06C3F">
        <w:rPr>
          <w:lang w:val="en-CA"/>
        </w:rPr>
        <w:t>’</w:t>
      </w:r>
      <w:r w:rsidRPr="00A4178E">
        <w:rPr>
          <w:lang w:val="en-CA"/>
        </w:rPr>
        <w:t xml:space="preserve"> place with his female friend. At around noon, he received a call from the complainant, who told him she was at his place and that there was [</w:t>
      </w:r>
      <w:r w:rsidRPr="00B17FEF">
        <w:rPr>
          <w:smallCaps/>
          <w:lang w:val="en-CA"/>
        </w:rPr>
        <w:t>translation</w:t>
      </w:r>
      <w:r w:rsidRPr="00A4178E">
        <w:rPr>
          <w:lang w:val="en-CA"/>
        </w:rPr>
        <w:t>]</w:t>
      </w:r>
      <w:r w:rsidR="006025D7">
        <w:rPr>
          <w:lang w:val="en-CA"/>
        </w:rPr>
        <w:t> </w:t>
      </w:r>
      <w:r w:rsidR="00D06C3F">
        <w:rPr>
          <w:lang w:val="en-CA"/>
        </w:rPr>
        <w:t>“</w:t>
      </w:r>
      <w:r w:rsidRPr="00A4178E">
        <w:rPr>
          <w:lang w:val="en-CA"/>
        </w:rPr>
        <w:t>some girl</w:t>
      </w:r>
      <w:r w:rsidR="00D06C3F">
        <w:rPr>
          <w:lang w:val="en-CA"/>
        </w:rPr>
        <w:t>’</w:t>
      </w:r>
      <w:r w:rsidRPr="00A4178E">
        <w:rPr>
          <w:lang w:val="en-CA"/>
        </w:rPr>
        <w:t>s stuff in [his] room,</w:t>
      </w:r>
      <w:r w:rsidR="00D06C3F">
        <w:rPr>
          <w:lang w:val="en-CA"/>
        </w:rPr>
        <w:t>”</w:t>
      </w:r>
      <w:r w:rsidRPr="00A4178E">
        <w:rPr>
          <w:lang w:val="en-CA"/>
        </w:rPr>
        <w:t xml:space="preserve"> adding that he was an [</w:t>
      </w:r>
      <w:r w:rsidRPr="00B17FEF">
        <w:rPr>
          <w:smallCaps/>
          <w:lang w:val="en-CA"/>
        </w:rPr>
        <w:t>translation</w:t>
      </w:r>
      <w:r w:rsidRPr="00A4178E">
        <w:rPr>
          <w:lang w:val="en-CA"/>
        </w:rPr>
        <w:t>]</w:t>
      </w:r>
      <w:r w:rsidR="006025D7">
        <w:rPr>
          <w:lang w:val="en-CA"/>
        </w:rPr>
        <w:t> </w:t>
      </w:r>
      <w:r w:rsidR="00D06C3F">
        <w:rPr>
          <w:lang w:val="en-CA"/>
        </w:rPr>
        <w:t>“</w:t>
      </w:r>
      <w:r w:rsidRPr="00A4178E">
        <w:rPr>
          <w:lang w:val="en-CA"/>
        </w:rPr>
        <w:t>asshole</w:t>
      </w:r>
      <w:r w:rsidR="00D06C3F">
        <w:rPr>
          <w:lang w:val="en-CA"/>
        </w:rPr>
        <w:t>”</w:t>
      </w:r>
      <w:r w:rsidRPr="00A4178E">
        <w:rPr>
          <w:lang w:val="en-CA"/>
        </w:rPr>
        <w:t xml:space="preserve"> and that she had been convinced they would get back together.</w:t>
      </w:r>
      <w:r w:rsidRPr="00A4178E">
        <w:rPr>
          <w:rStyle w:val="Appelnotedebasdep"/>
          <w:lang w:val="en-CA"/>
        </w:rPr>
        <w:footnoteReference w:id="26"/>
      </w:r>
    </w:p>
    <w:p w14:paraId="7487CDE8" w14:textId="77777777" w:rsidR="00314A01" w:rsidRPr="00A4178E" w:rsidRDefault="00C04FF8" w:rsidP="00747556">
      <w:pPr>
        <w:pStyle w:val="Paragraphe"/>
        <w:numPr>
          <w:ilvl w:val="0"/>
          <w:numId w:val="0"/>
        </w:numPr>
        <w:spacing w:line="280" w:lineRule="exact"/>
        <w:jc w:val="center"/>
        <w:rPr>
          <w:lang w:val="en-CA"/>
        </w:rPr>
      </w:pPr>
      <w:r w:rsidRPr="00A4178E">
        <w:rPr>
          <w:lang w:val="en-CA"/>
        </w:rPr>
        <w:t>***</w:t>
      </w:r>
    </w:p>
    <w:p w14:paraId="7487CDE9" w14:textId="77777777" w:rsidR="00314A01" w:rsidRPr="00A4178E" w:rsidRDefault="00C04FF8" w:rsidP="00747556">
      <w:pPr>
        <w:pStyle w:val="Paragraphe"/>
        <w:spacing w:line="280" w:lineRule="exact"/>
        <w:rPr>
          <w:lang w:val="en-CA"/>
        </w:rPr>
      </w:pPr>
      <w:r w:rsidRPr="00A4178E">
        <w:rPr>
          <w:lang w:val="en-CA"/>
        </w:rPr>
        <w:t xml:space="preserve">In his defence, the appellant called his mother, Lyna </w:t>
      </w:r>
      <w:proofErr w:type="spellStart"/>
      <w:r w:rsidRPr="00A4178E">
        <w:rPr>
          <w:lang w:val="en-CA"/>
        </w:rPr>
        <w:t>Imbeault</w:t>
      </w:r>
      <w:proofErr w:type="spellEnd"/>
      <w:r w:rsidRPr="00A4178E">
        <w:rPr>
          <w:lang w:val="en-CA"/>
        </w:rPr>
        <w:t>, as a witness. The judge summarized that testimony as follows:</w:t>
      </w:r>
    </w:p>
    <w:p w14:paraId="5F8686F4" w14:textId="77777777" w:rsidR="00B17FEF" w:rsidRDefault="00C04FF8" w:rsidP="00314A01">
      <w:pPr>
        <w:pStyle w:val="Citationenretrait"/>
        <w:rPr>
          <w:lang w:val="en-CA" w:eastAsia="fr-CA"/>
        </w:rPr>
      </w:pPr>
      <w:r w:rsidRPr="00A4178E">
        <w:rPr>
          <w:lang w:val="en-CA" w:eastAsia="fr-CA"/>
        </w:rPr>
        <w:t>[</w:t>
      </w:r>
      <w:r w:rsidRPr="00B17FEF">
        <w:rPr>
          <w:smallCaps/>
          <w:lang w:val="en-CA" w:eastAsia="fr-CA"/>
        </w:rPr>
        <w:t>translation</w:t>
      </w:r>
      <w:r w:rsidRPr="00A4178E">
        <w:rPr>
          <w:lang w:val="en-CA" w:eastAsia="fr-CA"/>
        </w:rPr>
        <w:t>]</w:t>
      </w:r>
    </w:p>
    <w:p w14:paraId="7487CDEA" w14:textId="46F41A5A" w:rsidR="00314A01" w:rsidRPr="00A4178E" w:rsidRDefault="00C04FF8" w:rsidP="00314A01">
      <w:pPr>
        <w:pStyle w:val="Citationenretrait"/>
        <w:rPr>
          <w:lang w:val="en-CA" w:eastAsia="fr-CA"/>
        </w:rPr>
      </w:pPr>
      <w:r w:rsidRPr="00A4178E">
        <w:rPr>
          <w:lang w:val="en-CA" w:eastAsia="fr-CA"/>
        </w:rPr>
        <w:t>[</w:t>
      </w:r>
      <w:bookmarkStart w:id="27" w:name="par80"/>
      <w:r w:rsidRPr="00A4178E">
        <w:rPr>
          <w:lang w:val="en-CA" w:eastAsia="fr-CA"/>
        </w:rPr>
        <w:t>80</w:t>
      </w:r>
      <w:bookmarkEnd w:id="27"/>
      <w:r w:rsidRPr="00A4178E">
        <w:rPr>
          <w:lang w:val="en-CA" w:eastAsia="fr-CA"/>
        </w:rPr>
        <w:t>]</w:t>
      </w:r>
      <w:r w:rsidRPr="00A4178E">
        <w:rPr>
          <w:sz w:val="14"/>
          <w:szCs w:val="14"/>
          <w:lang w:val="en-CA"/>
        </w:rPr>
        <w:tab/>
      </w:r>
      <w:r w:rsidRPr="00A4178E">
        <w:rPr>
          <w:lang w:val="en-CA" w:eastAsia="fr-CA"/>
        </w:rPr>
        <w:t>On the morning of April 24, 2019, her son visited her to settle a money transfer issue. He was accompanied by a young girl she had never met.</w:t>
      </w:r>
    </w:p>
    <w:p w14:paraId="7487CDEB" w14:textId="006D1E4A" w:rsidR="00314A01" w:rsidRPr="00A4178E" w:rsidRDefault="00C04FF8" w:rsidP="00314A01">
      <w:pPr>
        <w:pStyle w:val="Citationenretrait"/>
        <w:rPr>
          <w:lang w:val="en-CA"/>
        </w:rPr>
      </w:pPr>
      <w:r w:rsidRPr="00A4178E">
        <w:rPr>
          <w:lang w:val="en-CA"/>
        </w:rPr>
        <w:t>[</w:t>
      </w:r>
      <w:bookmarkStart w:id="28" w:name="par81"/>
      <w:r w:rsidRPr="00A4178E">
        <w:rPr>
          <w:lang w:val="en-CA"/>
        </w:rPr>
        <w:t>81</w:t>
      </w:r>
      <w:bookmarkEnd w:id="28"/>
      <w:r w:rsidRPr="00A4178E">
        <w:rPr>
          <w:lang w:val="en-CA"/>
        </w:rPr>
        <w:t>]</w:t>
      </w:r>
      <w:r w:rsidRPr="00A4178E">
        <w:rPr>
          <w:sz w:val="14"/>
          <w:szCs w:val="14"/>
          <w:lang w:val="en-CA"/>
        </w:rPr>
        <w:tab/>
      </w:r>
      <w:r w:rsidRPr="00A4178E">
        <w:rPr>
          <w:lang w:val="en-CA"/>
        </w:rPr>
        <w:t>The complainant contacted her son, who handed her the phone. The complainant was speaking loudly, was angry, and told her that she had discovered women</w:t>
      </w:r>
      <w:r w:rsidR="00D06C3F">
        <w:rPr>
          <w:lang w:val="en-CA"/>
        </w:rPr>
        <w:t>’</w:t>
      </w:r>
      <w:r w:rsidRPr="00A4178E">
        <w:rPr>
          <w:lang w:val="en-CA"/>
        </w:rPr>
        <w:t>s clothing in the accused</w:t>
      </w:r>
      <w:r w:rsidR="00D06C3F">
        <w:rPr>
          <w:lang w:val="en-CA"/>
        </w:rPr>
        <w:t>’</w:t>
      </w:r>
      <w:r w:rsidRPr="00A4178E">
        <w:rPr>
          <w:lang w:val="en-CA"/>
        </w:rPr>
        <w:t xml:space="preserve">s apartment. She added that they had had sexual intercourse the previous day and that she thought they would get back together, and she advised the mother to kick out the girl since it </w:t>
      </w:r>
      <w:proofErr w:type="gramStart"/>
      <w:r w:rsidRPr="00A4178E">
        <w:rPr>
          <w:lang w:val="en-CA"/>
        </w:rPr>
        <w:t>was</w:t>
      </w:r>
      <w:proofErr w:type="gramEnd"/>
      <w:r w:rsidRPr="00A4178E">
        <w:rPr>
          <w:lang w:val="en-CA"/>
        </w:rPr>
        <w:t xml:space="preserve"> she who should be there.</w:t>
      </w:r>
    </w:p>
    <w:p w14:paraId="7487CDEC" w14:textId="77777777" w:rsidR="00314A01" w:rsidRPr="00A4178E" w:rsidRDefault="00C04FF8" w:rsidP="00314A01">
      <w:pPr>
        <w:pStyle w:val="Citationenretrait"/>
        <w:rPr>
          <w:lang w:val="en-CA"/>
        </w:rPr>
      </w:pPr>
      <w:r w:rsidRPr="00A4178E">
        <w:rPr>
          <w:lang w:val="en-CA"/>
        </w:rPr>
        <w:t>[</w:t>
      </w:r>
      <w:bookmarkStart w:id="29" w:name="par82"/>
      <w:r w:rsidRPr="00A4178E">
        <w:rPr>
          <w:lang w:val="en-CA"/>
        </w:rPr>
        <w:t>82</w:t>
      </w:r>
      <w:bookmarkEnd w:id="29"/>
      <w:r w:rsidRPr="00A4178E">
        <w:rPr>
          <w:lang w:val="en-CA"/>
        </w:rPr>
        <w:t>]</w:t>
      </w:r>
      <w:r w:rsidRPr="00A4178E">
        <w:rPr>
          <w:sz w:val="14"/>
          <w:szCs w:val="14"/>
          <w:lang w:val="en-CA"/>
        </w:rPr>
        <w:tab/>
      </w:r>
      <w:r w:rsidRPr="00A4178E">
        <w:rPr>
          <w:lang w:val="en-CA"/>
        </w:rPr>
        <w:t xml:space="preserve">Ms. </w:t>
      </w:r>
      <w:proofErr w:type="spellStart"/>
      <w:r w:rsidRPr="00A4178E">
        <w:rPr>
          <w:lang w:val="en-CA"/>
        </w:rPr>
        <w:t>Imbeault</w:t>
      </w:r>
      <w:proofErr w:type="spellEnd"/>
      <w:r w:rsidRPr="00A4178E">
        <w:rPr>
          <w:lang w:val="en-CA"/>
        </w:rPr>
        <w:t>, who was unable to get a word in edgewise, ended the conversation.</w:t>
      </w:r>
    </w:p>
    <w:p w14:paraId="7487CDED" w14:textId="3109094A" w:rsidR="00314A01" w:rsidRPr="00A4178E" w:rsidRDefault="00C04FF8" w:rsidP="00314A01">
      <w:pPr>
        <w:pStyle w:val="Paragraphe"/>
        <w:spacing w:line="280" w:lineRule="exact"/>
        <w:rPr>
          <w:lang w:val="en-CA"/>
        </w:rPr>
      </w:pPr>
      <w:r w:rsidRPr="00A4178E">
        <w:rPr>
          <w:lang w:val="en-CA"/>
        </w:rPr>
        <w:t>On the second day of the trial, the judge pointed out to the appellant</w:t>
      </w:r>
      <w:r w:rsidR="00D06C3F">
        <w:rPr>
          <w:lang w:val="en-CA"/>
        </w:rPr>
        <w:t>’</w:t>
      </w:r>
      <w:r w:rsidRPr="00A4178E">
        <w:rPr>
          <w:lang w:val="en-CA"/>
        </w:rPr>
        <w:t>s counsel that the complainant had not been cross-examined about this telephone conversation and asked him [</w:t>
      </w:r>
      <w:r w:rsidRPr="000A3FE6">
        <w:rPr>
          <w:smallCaps/>
          <w:lang w:val="en-CA"/>
        </w:rPr>
        <w:t>translation</w:t>
      </w:r>
      <w:r w:rsidRPr="00A4178E">
        <w:rPr>
          <w:lang w:val="en-CA"/>
        </w:rPr>
        <w:t xml:space="preserve">] </w:t>
      </w:r>
      <w:r w:rsidR="00D06C3F">
        <w:rPr>
          <w:lang w:val="en-CA"/>
        </w:rPr>
        <w:t>“</w:t>
      </w:r>
      <w:r w:rsidRPr="00A4178E">
        <w:rPr>
          <w:lang w:val="en-CA"/>
        </w:rPr>
        <w:t xml:space="preserve">to propose, if necessary, a remedy for this anomaly, at the risk </w:t>
      </w:r>
      <w:r w:rsidRPr="00A4178E">
        <w:rPr>
          <w:lang w:val="en-CA"/>
        </w:rPr>
        <w:lastRenderedPageBreak/>
        <w:t xml:space="preserve">of Ms. </w:t>
      </w:r>
      <w:proofErr w:type="spellStart"/>
      <w:r w:rsidRPr="00A4178E">
        <w:rPr>
          <w:lang w:val="en-CA"/>
        </w:rPr>
        <w:t>Imbeault</w:t>
      </w:r>
      <w:r w:rsidR="00D06C3F">
        <w:rPr>
          <w:lang w:val="en-CA"/>
        </w:rPr>
        <w:t>’</w:t>
      </w:r>
      <w:r w:rsidRPr="00A4178E">
        <w:rPr>
          <w:lang w:val="en-CA"/>
        </w:rPr>
        <w:t>s</w:t>
      </w:r>
      <w:proofErr w:type="spellEnd"/>
      <w:r w:rsidRPr="00A4178E">
        <w:rPr>
          <w:lang w:val="en-CA"/>
        </w:rPr>
        <w:t xml:space="preserve"> testimony on this matter be</w:t>
      </w:r>
      <w:r w:rsidR="00A00F0E">
        <w:rPr>
          <w:lang w:val="en-CA"/>
        </w:rPr>
        <w:t>ing</w:t>
      </w:r>
      <w:r w:rsidRPr="00A4178E">
        <w:rPr>
          <w:lang w:val="en-CA"/>
        </w:rPr>
        <w:t xml:space="preserve"> disregarded</w:t>
      </w:r>
      <w:r w:rsidR="00D06C3F">
        <w:rPr>
          <w:lang w:val="en-CA"/>
        </w:rPr>
        <w:t>”</w:t>
      </w:r>
      <w:r w:rsidRPr="00A4178E">
        <w:rPr>
          <w:lang w:val="en-CA"/>
        </w:rPr>
        <w:t>.</w:t>
      </w:r>
      <w:r w:rsidRPr="00A4178E">
        <w:rPr>
          <w:rStyle w:val="Appelnotedebasdep"/>
          <w:lang w:val="en-CA"/>
        </w:rPr>
        <w:footnoteReference w:id="27"/>
      </w:r>
      <w:r w:rsidRPr="00A4178E">
        <w:rPr>
          <w:lang w:val="en-CA"/>
        </w:rPr>
        <w:t xml:space="preserve"> The appellant</w:t>
      </w:r>
      <w:r w:rsidR="00D06C3F">
        <w:rPr>
          <w:lang w:val="en-CA"/>
        </w:rPr>
        <w:t>’</w:t>
      </w:r>
      <w:r w:rsidRPr="00A4178E">
        <w:rPr>
          <w:lang w:val="en-CA"/>
        </w:rPr>
        <w:t>s counsel made no request and agreed that the testimony should simply be disregarded.</w:t>
      </w:r>
    </w:p>
    <w:p w14:paraId="7487CDEE" w14:textId="77777777" w:rsidR="00314A01" w:rsidRPr="00A4178E" w:rsidRDefault="00C04FF8" w:rsidP="00314A01">
      <w:pPr>
        <w:pStyle w:val="Paragraphe"/>
        <w:spacing w:line="280" w:lineRule="exact"/>
        <w:rPr>
          <w:lang w:val="en-CA"/>
        </w:rPr>
      </w:pPr>
      <w:bookmarkStart w:id="30" w:name="_Ref206752803"/>
      <w:proofErr w:type="gramStart"/>
      <w:r w:rsidRPr="00A4178E">
        <w:rPr>
          <w:lang w:val="en-CA"/>
        </w:rPr>
        <w:t>In the course of</w:t>
      </w:r>
      <w:proofErr w:type="gramEnd"/>
      <w:r w:rsidRPr="00A4178E">
        <w:rPr>
          <w:lang w:val="en-CA"/>
        </w:rPr>
        <w:t xml:space="preserve"> her deliberations, the judge sought to clarify this matter, as appears from the rest of her reasons:</w:t>
      </w:r>
      <w:bookmarkEnd w:id="30"/>
    </w:p>
    <w:p w14:paraId="448C0793" w14:textId="77777777" w:rsidR="000A3FE6" w:rsidRDefault="00C04FF8" w:rsidP="00314A01">
      <w:pPr>
        <w:pStyle w:val="Citationenretrait"/>
        <w:rPr>
          <w:lang w:val="en-CA" w:eastAsia="fr-CA"/>
        </w:rPr>
      </w:pPr>
      <w:r w:rsidRPr="00A4178E">
        <w:rPr>
          <w:lang w:val="en-CA" w:eastAsia="fr-CA"/>
        </w:rPr>
        <w:t>[</w:t>
      </w:r>
      <w:r w:rsidRPr="000A3FE6">
        <w:rPr>
          <w:smallCaps/>
          <w:lang w:val="en-CA" w:eastAsia="fr-CA"/>
        </w:rPr>
        <w:t>translation</w:t>
      </w:r>
      <w:r w:rsidRPr="00A4178E">
        <w:rPr>
          <w:lang w:val="en-CA" w:eastAsia="fr-CA"/>
        </w:rPr>
        <w:t>]</w:t>
      </w:r>
    </w:p>
    <w:p w14:paraId="7487CDEF" w14:textId="4B0B62BA" w:rsidR="00314A01" w:rsidRPr="00A4178E" w:rsidRDefault="00C04FF8" w:rsidP="00314A01">
      <w:pPr>
        <w:pStyle w:val="Citationenretrait"/>
        <w:rPr>
          <w:lang w:val="en-CA" w:eastAsia="fr-CA"/>
        </w:rPr>
      </w:pPr>
      <w:r w:rsidRPr="00A4178E">
        <w:rPr>
          <w:lang w:val="en-CA" w:eastAsia="fr-CA"/>
        </w:rPr>
        <w:t>[</w:t>
      </w:r>
      <w:bookmarkStart w:id="31" w:name="par85"/>
      <w:r w:rsidRPr="00A4178E">
        <w:rPr>
          <w:lang w:val="en-CA" w:eastAsia="fr-CA"/>
        </w:rPr>
        <w:t>85</w:t>
      </w:r>
      <w:bookmarkEnd w:id="31"/>
      <w:r w:rsidRPr="00A4178E">
        <w:rPr>
          <w:lang w:val="en-CA" w:eastAsia="fr-CA"/>
        </w:rPr>
        <w:t>]</w:t>
      </w:r>
      <w:r w:rsidRPr="00A4178E">
        <w:rPr>
          <w:sz w:val="14"/>
          <w:szCs w:val="14"/>
          <w:lang w:val="en-CA"/>
        </w:rPr>
        <w:tab/>
      </w:r>
      <w:r w:rsidRPr="00A4178E">
        <w:rPr>
          <w:lang w:val="en-CA" w:eastAsia="fr-CA"/>
        </w:rPr>
        <w:t>In the course of its deliberations, the Court wished and intended to clarify the matter and requested that the complainant be summoned, without indicating the reason for the re-examination, so that the defence could cross-examine her and give her the opportunity to comment on this telephone conversation.</w:t>
      </w:r>
    </w:p>
    <w:p w14:paraId="7487CDF0" w14:textId="42B6319A" w:rsidR="00314A01" w:rsidRPr="00A4178E" w:rsidRDefault="00C04FF8" w:rsidP="00314A01">
      <w:pPr>
        <w:pStyle w:val="Citationenretrait"/>
        <w:rPr>
          <w:lang w:val="en-CA"/>
        </w:rPr>
      </w:pPr>
      <w:r w:rsidRPr="00A4178E">
        <w:rPr>
          <w:lang w:val="en-CA"/>
        </w:rPr>
        <w:t>[</w:t>
      </w:r>
      <w:bookmarkStart w:id="32" w:name="par86"/>
      <w:r w:rsidRPr="00A4178E">
        <w:rPr>
          <w:lang w:val="en-CA"/>
        </w:rPr>
        <w:t>86</w:t>
      </w:r>
      <w:bookmarkEnd w:id="32"/>
      <w:r w:rsidRPr="00A4178E">
        <w:rPr>
          <w:lang w:val="en-CA"/>
        </w:rPr>
        <w:t>]</w:t>
      </w:r>
      <w:r w:rsidRPr="00A4178E">
        <w:rPr>
          <w:sz w:val="14"/>
          <w:szCs w:val="14"/>
          <w:lang w:val="en-CA"/>
        </w:rPr>
        <w:tab/>
      </w:r>
      <w:r w:rsidRPr="00A4178E">
        <w:rPr>
          <w:lang w:val="en-CA"/>
        </w:rPr>
        <w:t>During this hearing, the complainant denied having made such a statement, adding,</w:t>
      </w:r>
      <w:r w:rsidR="00D73C18">
        <w:rPr>
          <w:lang w:val="en-CA"/>
        </w:rPr>
        <w:t xml:space="preserve"> “</w:t>
      </w:r>
      <w:r w:rsidRPr="00A4178E">
        <w:rPr>
          <w:lang w:val="en-CA"/>
        </w:rPr>
        <w:t>I never said that because it clearly wasn</w:t>
      </w:r>
      <w:r w:rsidR="00D06C3F">
        <w:rPr>
          <w:lang w:val="en-CA"/>
        </w:rPr>
        <w:t>’</w:t>
      </w:r>
      <w:r w:rsidRPr="00A4178E">
        <w:rPr>
          <w:lang w:val="en-CA"/>
        </w:rPr>
        <w:t>t an act of love.</w:t>
      </w:r>
      <w:r w:rsidR="00D06C3F">
        <w:rPr>
          <w:lang w:val="en-CA"/>
        </w:rPr>
        <w:t>”</w:t>
      </w:r>
    </w:p>
    <w:p w14:paraId="7487CDF1" w14:textId="07A960CF" w:rsidR="00314A01" w:rsidRPr="00A4178E" w:rsidRDefault="00C04FF8" w:rsidP="00314A01">
      <w:pPr>
        <w:pStyle w:val="Citationenretrait"/>
        <w:rPr>
          <w:lang w:val="en-CA"/>
        </w:rPr>
      </w:pPr>
      <w:r w:rsidRPr="00A4178E">
        <w:rPr>
          <w:lang w:val="en-CA"/>
        </w:rPr>
        <w:t>[</w:t>
      </w:r>
      <w:bookmarkStart w:id="33" w:name="par87"/>
      <w:r w:rsidRPr="00A4178E">
        <w:rPr>
          <w:lang w:val="en-CA"/>
        </w:rPr>
        <w:t>87</w:t>
      </w:r>
      <w:bookmarkEnd w:id="33"/>
      <w:r w:rsidRPr="00A4178E">
        <w:rPr>
          <w:lang w:val="en-CA"/>
        </w:rPr>
        <w:t>]</w:t>
      </w:r>
      <w:r w:rsidRPr="00A4178E">
        <w:rPr>
          <w:sz w:val="14"/>
          <w:szCs w:val="14"/>
          <w:lang w:val="en-CA"/>
        </w:rPr>
        <w:tab/>
      </w:r>
      <w:r w:rsidRPr="00A4178E">
        <w:rPr>
          <w:lang w:val="en-CA"/>
        </w:rPr>
        <w:t>She also denied having said that she had intended to get back together and that she was the one who should have been at the home of the accused</w:t>
      </w:r>
      <w:r w:rsidR="00D06C3F">
        <w:rPr>
          <w:lang w:val="en-CA"/>
        </w:rPr>
        <w:t>’</w:t>
      </w:r>
      <w:r w:rsidRPr="00A4178E">
        <w:rPr>
          <w:lang w:val="en-CA"/>
        </w:rPr>
        <w:t>s parents rather than the young girl who was there.</w:t>
      </w:r>
    </w:p>
    <w:p w14:paraId="7487CDF2" w14:textId="11EF9FBF" w:rsidR="00314A01" w:rsidRPr="00A4178E" w:rsidRDefault="00C04FF8" w:rsidP="00314A01">
      <w:pPr>
        <w:pStyle w:val="Citationenretrait"/>
        <w:rPr>
          <w:lang w:val="en-CA"/>
        </w:rPr>
      </w:pPr>
      <w:r w:rsidRPr="00A4178E">
        <w:rPr>
          <w:lang w:val="en-CA"/>
        </w:rPr>
        <w:t>[</w:t>
      </w:r>
      <w:bookmarkStart w:id="34" w:name="par88"/>
      <w:r w:rsidRPr="00A4178E">
        <w:rPr>
          <w:lang w:val="en-CA"/>
        </w:rPr>
        <w:t>88</w:t>
      </w:r>
      <w:bookmarkEnd w:id="34"/>
      <w:r w:rsidRPr="00A4178E">
        <w:rPr>
          <w:lang w:val="en-CA"/>
        </w:rPr>
        <w:t>]</w:t>
      </w:r>
      <w:r w:rsidRPr="00A4178E">
        <w:rPr>
          <w:sz w:val="14"/>
          <w:szCs w:val="14"/>
          <w:lang w:val="en-CA"/>
        </w:rPr>
        <w:tab/>
      </w:r>
      <w:r w:rsidRPr="00A4178E">
        <w:rPr>
          <w:lang w:val="en-CA"/>
        </w:rPr>
        <w:t>According to the complainant, during the April 24 conversation, Ms.</w:t>
      </w:r>
      <w:r w:rsidR="00EC4333">
        <w:rPr>
          <w:lang w:val="en-CA"/>
        </w:rPr>
        <w:t> </w:t>
      </w:r>
      <w:proofErr w:type="spellStart"/>
      <w:r w:rsidRPr="00A4178E">
        <w:rPr>
          <w:lang w:val="en-CA"/>
        </w:rPr>
        <w:t>Imbeault</w:t>
      </w:r>
      <w:proofErr w:type="spellEnd"/>
      <w:r w:rsidRPr="00A4178E">
        <w:rPr>
          <w:lang w:val="en-CA"/>
        </w:rPr>
        <w:t>, shouting, criticized her for having entered her son</w:t>
      </w:r>
      <w:r w:rsidR="00D06C3F">
        <w:rPr>
          <w:lang w:val="en-CA"/>
        </w:rPr>
        <w:t>’</w:t>
      </w:r>
      <w:r w:rsidRPr="00A4178E">
        <w:rPr>
          <w:lang w:val="en-CA"/>
        </w:rPr>
        <w:t>s home and stated that she intended to file a complaint against her for breaking and entering.</w:t>
      </w:r>
    </w:p>
    <w:p w14:paraId="7487CDF3" w14:textId="1421DBC6" w:rsidR="00314A01" w:rsidRPr="00A4178E" w:rsidRDefault="00C04FF8" w:rsidP="00314A01">
      <w:pPr>
        <w:pStyle w:val="Citationenretrait"/>
        <w:rPr>
          <w:lang w:val="en-CA"/>
        </w:rPr>
      </w:pPr>
      <w:r w:rsidRPr="00A4178E">
        <w:rPr>
          <w:lang w:val="en-CA"/>
        </w:rPr>
        <w:t>[</w:t>
      </w:r>
      <w:bookmarkStart w:id="35" w:name="par89"/>
      <w:r w:rsidRPr="00A4178E">
        <w:rPr>
          <w:lang w:val="en-CA"/>
        </w:rPr>
        <w:t>89</w:t>
      </w:r>
      <w:bookmarkEnd w:id="35"/>
      <w:r w:rsidRPr="00A4178E">
        <w:rPr>
          <w:lang w:val="en-CA"/>
        </w:rPr>
        <w:t>]</w:t>
      </w:r>
      <w:r w:rsidRPr="00A4178E">
        <w:rPr>
          <w:sz w:val="14"/>
          <w:szCs w:val="14"/>
          <w:lang w:val="en-CA"/>
        </w:rPr>
        <w:tab/>
      </w:r>
      <w:r w:rsidRPr="00A4178E">
        <w:rPr>
          <w:lang w:val="en-CA"/>
        </w:rPr>
        <w:t>The complainant firmly denied having made the statements described, recalling that she had said, in reference to the previous day</w:t>
      </w:r>
      <w:r w:rsidR="00D06C3F">
        <w:rPr>
          <w:lang w:val="en-CA"/>
        </w:rPr>
        <w:t>’</w:t>
      </w:r>
      <w:r w:rsidRPr="00A4178E">
        <w:rPr>
          <w:lang w:val="en-CA"/>
        </w:rPr>
        <w:t>s abuse, that she could not believe the accused had done this to her.</w:t>
      </w:r>
    </w:p>
    <w:p w14:paraId="7487CDF4" w14:textId="77777777" w:rsidR="00314A01" w:rsidRPr="00A4178E" w:rsidRDefault="00C04FF8" w:rsidP="00314A01">
      <w:pPr>
        <w:pStyle w:val="Paragraphe"/>
        <w:spacing w:line="280" w:lineRule="exact"/>
        <w:rPr>
          <w:lang w:val="en-CA"/>
        </w:rPr>
      </w:pPr>
      <w:r w:rsidRPr="00A4178E">
        <w:rPr>
          <w:lang w:val="en-CA"/>
        </w:rPr>
        <w:t>The evidence is therefore also contradictory on this aspect.</w:t>
      </w:r>
      <w:r w:rsidRPr="00A4178E">
        <w:rPr>
          <w:rStyle w:val="Appelnotedebasdep"/>
          <w:lang w:val="en-CA"/>
        </w:rPr>
        <w:footnoteReference w:id="28"/>
      </w:r>
    </w:p>
    <w:bookmarkEnd w:id="26"/>
    <w:p w14:paraId="7487CDF5" w14:textId="77777777" w:rsidR="00314A01" w:rsidRPr="00A4178E" w:rsidRDefault="00C04FF8" w:rsidP="00192F39">
      <w:pPr>
        <w:pStyle w:val="Titre1"/>
        <w:spacing w:before="120" w:after="120" w:line="280" w:lineRule="exact"/>
        <w:rPr>
          <w:lang w:val="en-CA"/>
        </w:rPr>
      </w:pPr>
      <w:r w:rsidRPr="00A4178E">
        <w:rPr>
          <w:bCs/>
          <w:u w:val="single"/>
          <w:lang w:val="en-CA"/>
        </w:rPr>
        <w:t>Proceedings</w:t>
      </w:r>
    </w:p>
    <w:p w14:paraId="7487CDF6" w14:textId="2BBA6CBB" w:rsidR="00314A01" w:rsidRPr="00A4178E" w:rsidRDefault="00C04FF8" w:rsidP="00314A01">
      <w:pPr>
        <w:pStyle w:val="Paragraphe"/>
        <w:spacing w:line="280" w:lineRule="exact"/>
        <w:rPr>
          <w:lang w:val="en-CA"/>
        </w:rPr>
      </w:pPr>
      <w:r w:rsidRPr="00A4178E">
        <w:rPr>
          <w:lang w:val="en-CA"/>
        </w:rPr>
        <w:t>The trial took place on November 4 and 5, 2021. On May 3, 2022, the judge found the appellant guilty of sexual assault and assault against the complainant and ordered that a pre-sentence report be prepared. She rendered the sentencing judgment on January 19, 2023.</w:t>
      </w:r>
    </w:p>
    <w:p w14:paraId="7487CDF7" w14:textId="534537D5" w:rsidR="00314A01" w:rsidRPr="00A4178E" w:rsidRDefault="00C04FF8" w:rsidP="00314A01">
      <w:pPr>
        <w:pStyle w:val="Paragraphe"/>
        <w:spacing w:line="280" w:lineRule="exact"/>
        <w:rPr>
          <w:lang w:val="en-CA"/>
        </w:rPr>
      </w:pPr>
      <w:r w:rsidRPr="00A4178E">
        <w:rPr>
          <w:lang w:val="en-CA"/>
        </w:rPr>
        <w:t>Two or three days later, the appellant</w:t>
      </w:r>
      <w:r w:rsidR="00D06C3F">
        <w:rPr>
          <w:lang w:val="en-CA"/>
        </w:rPr>
        <w:t>’</w:t>
      </w:r>
      <w:r w:rsidRPr="00A4178E">
        <w:rPr>
          <w:lang w:val="en-CA"/>
        </w:rPr>
        <w:t xml:space="preserve">s new spouse found screenshots in </w:t>
      </w:r>
      <w:r w:rsidR="00F84B9C">
        <w:rPr>
          <w:lang w:val="en-CA"/>
        </w:rPr>
        <w:t xml:space="preserve">his </w:t>
      </w:r>
      <w:r w:rsidRPr="00A4178E">
        <w:rPr>
          <w:lang w:val="en-CA"/>
        </w:rPr>
        <w:t>cellular telephone</w:t>
      </w:r>
      <w:r w:rsidR="00D06C3F">
        <w:rPr>
          <w:lang w:val="en-CA"/>
        </w:rPr>
        <w:t>’</w:t>
      </w:r>
      <w:r w:rsidRPr="00A4178E">
        <w:rPr>
          <w:lang w:val="en-CA"/>
        </w:rPr>
        <w:t xml:space="preserve">s </w:t>
      </w:r>
      <w:r w:rsidR="00260E9B" w:rsidRPr="00A4178E">
        <w:rPr>
          <w:lang w:val="en-CA"/>
        </w:rPr>
        <w:t xml:space="preserve">iCloud </w:t>
      </w:r>
      <w:proofErr w:type="spellStart"/>
      <w:r w:rsidR="00260E9B" w:rsidRPr="00AE02B4">
        <w:rPr>
          <w:highlight w:val="black"/>
          <w:lang w:val="en-CA"/>
        </w:rPr>
        <w:t>xxxxxxx</w:t>
      </w:r>
      <w:proofErr w:type="spellEnd"/>
      <w:r w:rsidR="00260E9B" w:rsidRPr="00AE02B4">
        <w:rPr>
          <w:highlight w:val="black"/>
          <w:lang w:val="en-CA"/>
        </w:rPr>
        <w:t xml:space="preserve"> xxx </w:t>
      </w:r>
      <w:proofErr w:type="spellStart"/>
      <w:r w:rsidR="00260E9B" w:rsidRPr="00AE02B4">
        <w:rPr>
          <w:highlight w:val="black"/>
          <w:lang w:val="en-CA"/>
        </w:rPr>
        <w:t>xxxxxxxxxxx</w:t>
      </w:r>
      <w:proofErr w:type="spellEnd"/>
      <w:r w:rsidR="00260E9B" w:rsidRPr="00AE02B4">
        <w:rPr>
          <w:highlight w:val="black"/>
          <w:lang w:val="en-CA"/>
        </w:rPr>
        <w:t xml:space="preserve"> </w:t>
      </w:r>
      <w:proofErr w:type="spellStart"/>
      <w:r w:rsidR="00260E9B" w:rsidRPr="00AE02B4">
        <w:rPr>
          <w:highlight w:val="black"/>
          <w:lang w:val="en-CA"/>
        </w:rPr>
        <w:t>xxxxx</w:t>
      </w:r>
      <w:proofErr w:type="spellEnd"/>
      <w:r w:rsidR="00260E9B" w:rsidRPr="00A4178E">
        <w:rPr>
          <w:lang w:val="en-CA"/>
        </w:rPr>
        <w:t xml:space="preserve"> during</w:t>
      </w:r>
      <w:r w:rsidRPr="00A4178E">
        <w:rPr>
          <w:lang w:val="en-CA"/>
        </w:rPr>
        <w:t xml:space="preserve"> </w:t>
      </w:r>
      <w:r w:rsidRPr="00A4178E">
        <w:rPr>
          <w:i/>
          <w:iCs/>
          <w:lang w:val="en-CA"/>
        </w:rPr>
        <w:t>FaceTime</w:t>
      </w:r>
      <w:r w:rsidRPr="00A4178E">
        <w:rPr>
          <w:lang w:val="en-CA"/>
        </w:rPr>
        <w:t xml:space="preserve"> conversations with the appellant. These conversations of a sexual nature are said to have </w:t>
      </w:r>
      <w:r w:rsidRPr="00A4178E">
        <w:rPr>
          <w:lang w:val="en-CA"/>
        </w:rPr>
        <w:lastRenderedPageBreak/>
        <w:t>occurred on April 13, 14 and 18, 2019, approximately one week before the activity that gave rise to the sexual assault charge.</w:t>
      </w:r>
    </w:p>
    <w:p w14:paraId="7487CDF8" w14:textId="77777777" w:rsidR="00314A01" w:rsidRPr="00A4178E" w:rsidRDefault="00C04FF8" w:rsidP="00314A01">
      <w:pPr>
        <w:pStyle w:val="Paragraphe"/>
        <w:spacing w:line="280" w:lineRule="exact"/>
        <w:rPr>
          <w:lang w:val="en-CA"/>
        </w:rPr>
      </w:pPr>
      <w:r w:rsidRPr="00A4178E">
        <w:rPr>
          <w:lang w:val="en-CA"/>
        </w:rPr>
        <w:t>In the months that followed, the appellant filed applications to extend the time limit for instituting an appeal, for leave to appeal from his conviction and sentence, for leave to adduce fresh evidence and for his release pending the determination of the appeal.</w:t>
      </w:r>
    </w:p>
    <w:p w14:paraId="7487CDF9" w14:textId="1C5BCA65" w:rsidR="00314A01" w:rsidRPr="00A4178E" w:rsidRDefault="00C04FF8" w:rsidP="00314A01">
      <w:pPr>
        <w:pStyle w:val="Paragraphe"/>
        <w:spacing w:line="280" w:lineRule="exact"/>
        <w:rPr>
          <w:lang w:val="en-CA"/>
        </w:rPr>
      </w:pPr>
      <w:r w:rsidRPr="00A4178E">
        <w:rPr>
          <w:lang w:val="en-CA"/>
        </w:rPr>
        <w:t>On August 9, 2023, the Court extended the time limit for instituting an appeal, granted the appellant leave to appeal from his conviction and referred the application for leave to appeal the sentence to this panel. It granted the application for leave to adduce fresh evidence for the sole purpose of gathering the evidence, and it referred the issues regarding its admissibility to this panel. Lastly, the Court ordered the appellant</w:t>
      </w:r>
      <w:r w:rsidR="00D06C3F">
        <w:rPr>
          <w:lang w:val="en-CA"/>
        </w:rPr>
        <w:t>’</w:t>
      </w:r>
      <w:r w:rsidRPr="00A4178E">
        <w:rPr>
          <w:lang w:val="en-CA"/>
        </w:rPr>
        <w:t>s release pending the determination of the appeal, subject to certain conditions.</w:t>
      </w:r>
    </w:p>
    <w:p w14:paraId="7487CDFA" w14:textId="404E620D" w:rsidR="00314A01" w:rsidRPr="00A4178E" w:rsidRDefault="00C04FF8" w:rsidP="00314A01">
      <w:pPr>
        <w:pStyle w:val="Paragraphe"/>
        <w:spacing w:line="280" w:lineRule="exact"/>
        <w:rPr>
          <w:lang w:val="en-CA"/>
        </w:rPr>
      </w:pPr>
      <w:r w:rsidRPr="00A4178E">
        <w:rPr>
          <w:lang w:val="en-CA"/>
        </w:rPr>
        <w:t xml:space="preserve">On the day of the hearing on the merits, the Court made a sealing order </w:t>
      </w:r>
      <w:r w:rsidR="008C264A" w:rsidRPr="00A4178E">
        <w:rPr>
          <w:lang w:val="en-CA"/>
        </w:rPr>
        <w:t xml:space="preserve">regarding </w:t>
      </w:r>
      <w:r w:rsidR="008C264A" w:rsidRPr="002376AC">
        <w:rPr>
          <w:highlight w:val="black"/>
          <w:lang w:val="en-CA"/>
        </w:rPr>
        <w:t>xxx</w:t>
      </w:r>
      <w:r w:rsidR="008C264A" w:rsidRPr="00A4178E">
        <w:rPr>
          <w:lang w:val="en-CA"/>
        </w:rPr>
        <w:t xml:space="preserve"> screenshots </w:t>
      </w:r>
      <w:proofErr w:type="spellStart"/>
      <w:r w:rsidR="008C264A" w:rsidRPr="00863E56">
        <w:rPr>
          <w:highlight w:val="black"/>
          <w:lang w:val="en-CA"/>
        </w:rPr>
        <w:t>xxxxxxx</w:t>
      </w:r>
      <w:proofErr w:type="spellEnd"/>
      <w:r w:rsidR="008C264A" w:rsidRPr="00863E56">
        <w:rPr>
          <w:highlight w:val="black"/>
          <w:lang w:val="en-CA"/>
        </w:rPr>
        <w:t xml:space="preserve"> xxx </w:t>
      </w:r>
      <w:proofErr w:type="spellStart"/>
      <w:r w:rsidR="008C264A" w:rsidRPr="00863E56">
        <w:rPr>
          <w:highlight w:val="black"/>
          <w:lang w:val="en-CA"/>
        </w:rPr>
        <w:t>xxxxxxxxxxx</w:t>
      </w:r>
      <w:proofErr w:type="spellEnd"/>
      <w:r w:rsidR="008C264A" w:rsidRPr="00863E56">
        <w:rPr>
          <w:highlight w:val="black"/>
          <w:lang w:val="en-CA"/>
        </w:rPr>
        <w:t xml:space="preserve"> </w:t>
      </w:r>
      <w:proofErr w:type="spellStart"/>
      <w:r w:rsidR="008C264A" w:rsidRPr="00863E56">
        <w:rPr>
          <w:highlight w:val="black"/>
          <w:lang w:val="en-CA"/>
        </w:rPr>
        <w:t>xxxxx</w:t>
      </w:r>
      <w:proofErr w:type="spellEnd"/>
      <w:r w:rsidR="008C264A" w:rsidRPr="00A4178E">
        <w:rPr>
          <w:lang w:val="en-CA"/>
        </w:rPr>
        <w:t xml:space="preserve"> and</w:t>
      </w:r>
      <w:r w:rsidRPr="00A4178E">
        <w:rPr>
          <w:lang w:val="en-CA"/>
        </w:rPr>
        <w:t xml:space="preserve"> directed that no one may publish, broadcast or transmit any information about or reference to the nature of any sexual activity of the complainant other than the sexual activity that gave rise to the charge.</w:t>
      </w:r>
      <w:r w:rsidRPr="00A4178E">
        <w:rPr>
          <w:rStyle w:val="Appelnotedebasdep"/>
          <w:lang w:val="en-CA"/>
        </w:rPr>
        <w:footnoteReference w:id="29"/>
      </w:r>
    </w:p>
    <w:p w14:paraId="7487CDFB" w14:textId="77777777" w:rsidR="00314A01" w:rsidRPr="00A4178E" w:rsidRDefault="00C04FF8" w:rsidP="00192F39">
      <w:pPr>
        <w:pStyle w:val="Titre1"/>
        <w:spacing w:before="120" w:after="120" w:line="280" w:lineRule="exact"/>
        <w:rPr>
          <w:lang w:val="en-CA"/>
        </w:rPr>
      </w:pPr>
      <w:r w:rsidRPr="00A4178E">
        <w:rPr>
          <w:bCs/>
          <w:lang w:val="en-CA"/>
        </w:rPr>
        <w:t>Appeal from the conviction</w:t>
      </w:r>
    </w:p>
    <w:p w14:paraId="7487CDFC" w14:textId="40281021" w:rsidR="00314A01" w:rsidRPr="00A4178E" w:rsidRDefault="00C04FF8" w:rsidP="00314A01">
      <w:pPr>
        <w:pStyle w:val="Paragraphe"/>
        <w:spacing w:line="280" w:lineRule="exact"/>
        <w:rPr>
          <w:lang w:val="en-CA"/>
        </w:rPr>
      </w:pPr>
      <w:r w:rsidRPr="00A4178E">
        <w:rPr>
          <w:lang w:val="en-CA"/>
        </w:rPr>
        <w:t>As mentioned above, this appeal rests on the admissibility of fresh evidence related to the complainant</w:t>
      </w:r>
      <w:r w:rsidR="00D06C3F">
        <w:rPr>
          <w:lang w:val="en-CA"/>
        </w:rPr>
        <w:t>’</w:t>
      </w:r>
      <w:r w:rsidRPr="00A4178E">
        <w:rPr>
          <w:lang w:val="en-CA"/>
        </w:rPr>
        <w:t>s prior sexual activity and to the ineffective assistance of the appellant</w:t>
      </w:r>
      <w:r w:rsidR="00D06C3F">
        <w:rPr>
          <w:lang w:val="en-CA"/>
        </w:rPr>
        <w:t>’</w:t>
      </w:r>
      <w:r w:rsidRPr="00A4178E">
        <w:rPr>
          <w:lang w:val="en-CA"/>
        </w:rPr>
        <w:t>s counsel in first instance.</w:t>
      </w:r>
    </w:p>
    <w:p w14:paraId="7487CDFD" w14:textId="77777777" w:rsidR="00314A01" w:rsidRPr="00A4178E" w:rsidRDefault="00C04FF8" w:rsidP="00314A01">
      <w:pPr>
        <w:pStyle w:val="Paragraphe"/>
        <w:spacing w:line="280" w:lineRule="exact"/>
        <w:rPr>
          <w:lang w:val="en-CA"/>
        </w:rPr>
      </w:pPr>
      <w:r w:rsidRPr="00A4178E">
        <w:rPr>
          <w:lang w:val="en-CA"/>
        </w:rPr>
        <w:t>Before discussing these items of evidence, it is instructive to briefly recall the principles applicable to fresh evidence.</w:t>
      </w:r>
    </w:p>
    <w:p w14:paraId="7487CDFE" w14:textId="77777777" w:rsidR="00314A01" w:rsidRPr="00A4178E" w:rsidRDefault="00C04FF8" w:rsidP="00192F39">
      <w:pPr>
        <w:pStyle w:val="Titre2"/>
        <w:numPr>
          <w:ilvl w:val="0"/>
          <w:numId w:val="23"/>
        </w:numPr>
        <w:spacing w:before="120" w:after="120"/>
        <w:ind w:left="714" w:hanging="357"/>
        <w:rPr>
          <w:lang w:val="en-CA"/>
        </w:rPr>
      </w:pPr>
      <w:r w:rsidRPr="00A4178E">
        <w:rPr>
          <w:bCs/>
          <w:iCs/>
          <w:lang w:val="en-CA"/>
        </w:rPr>
        <w:t>Principles applicable to fresh evidence</w:t>
      </w:r>
    </w:p>
    <w:p w14:paraId="7487CDFF" w14:textId="77777777" w:rsidR="00314A01" w:rsidRPr="00A4178E" w:rsidRDefault="00C04FF8" w:rsidP="00314A01">
      <w:pPr>
        <w:pStyle w:val="Paragraphe"/>
        <w:spacing w:line="280" w:lineRule="exact"/>
        <w:rPr>
          <w:lang w:val="en-CA"/>
        </w:rPr>
      </w:pPr>
      <w:proofErr w:type="gramStart"/>
      <w:r w:rsidRPr="00A4178E">
        <w:rPr>
          <w:lang w:val="en-CA"/>
        </w:rPr>
        <w:t>As a general rule</w:t>
      </w:r>
      <w:proofErr w:type="gramEnd"/>
      <w:r w:rsidRPr="00A4178E">
        <w:rPr>
          <w:lang w:val="en-CA"/>
        </w:rPr>
        <w:t>, an appellate court must allow or dismiss an appeal based on the evidence adduced in first instance. Exceptionally, it may, when it deems it in the interests of justice, admit fresh evidence.</w:t>
      </w:r>
      <w:r w:rsidRPr="00A4178E">
        <w:rPr>
          <w:rStyle w:val="Appelnotedebasdep"/>
          <w:lang w:val="en-CA"/>
        </w:rPr>
        <w:footnoteReference w:id="30"/>
      </w:r>
      <w:r w:rsidRPr="00A4178E">
        <w:rPr>
          <w:lang w:val="en-CA"/>
        </w:rPr>
        <w:t xml:space="preserve"> This discretion must be exercised in accordance with the principles set out by the Supreme Court in </w:t>
      </w:r>
      <w:r w:rsidRPr="00A4178E">
        <w:rPr>
          <w:i/>
          <w:iCs/>
          <w:lang w:val="en-CA"/>
        </w:rPr>
        <w:t>Palmer v. The Queen</w:t>
      </w:r>
      <w:r w:rsidRPr="00A4178E">
        <w:rPr>
          <w:lang w:val="en-CA"/>
        </w:rPr>
        <w:t>:</w:t>
      </w:r>
    </w:p>
    <w:p w14:paraId="7487CE00" w14:textId="77777777" w:rsidR="00314A01" w:rsidRPr="00A4178E" w:rsidRDefault="00C04FF8" w:rsidP="00314A01">
      <w:pPr>
        <w:pStyle w:val="Citationenretrait"/>
        <w:rPr>
          <w:lang w:val="en-CA" w:eastAsia="fr-CA"/>
        </w:rPr>
      </w:pPr>
      <w:r w:rsidRPr="00A4178E">
        <w:rPr>
          <w:lang w:val="en-CA" w:eastAsia="fr-CA"/>
        </w:rPr>
        <w:t xml:space="preserve">(1) The evidence should generally not be admitted if, by due diligence, it could have been adduced at trial provided that this general principle will not be applied as strictly in a criminal case as in civil cases: see </w:t>
      </w:r>
      <w:r w:rsidRPr="00A4178E">
        <w:rPr>
          <w:i/>
          <w:iCs/>
          <w:lang w:val="en-CA" w:eastAsia="fr-CA"/>
        </w:rPr>
        <w:t>McMartin v. The Queen.</w:t>
      </w:r>
    </w:p>
    <w:p w14:paraId="7487CE01" w14:textId="77777777" w:rsidR="00314A01" w:rsidRPr="00A4178E" w:rsidRDefault="00C04FF8" w:rsidP="00314A01">
      <w:pPr>
        <w:pStyle w:val="Citationenretrait"/>
        <w:rPr>
          <w:lang w:val="en-CA" w:eastAsia="fr-CA"/>
        </w:rPr>
      </w:pPr>
      <w:r w:rsidRPr="00A4178E">
        <w:rPr>
          <w:lang w:val="en-CA" w:eastAsia="fr-CA"/>
        </w:rPr>
        <w:lastRenderedPageBreak/>
        <w:t>(2) The evidence must be relevant in the sense that it bears upon a decisive or potentially decisive issue in the trial.</w:t>
      </w:r>
    </w:p>
    <w:p w14:paraId="7487CE02" w14:textId="77777777" w:rsidR="00314A01" w:rsidRPr="00A4178E" w:rsidRDefault="00C04FF8" w:rsidP="00314A01">
      <w:pPr>
        <w:pStyle w:val="Citationenretrait"/>
        <w:rPr>
          <w:lang w:val="en-CA" w:eastAsia="fr-CA"/>
        </w:rPr>
      </w:pPr>
      <w:r w:rsidRPr="00A4178E">
        <w:rPr>
          <w:lang w:val="en-CA" w:eastAsia="fr-CA"/>
        </w:rPr>
        <w:t>(3) The evidence must be credible in the sense that it is reasonably capable of belief, and</w:t>
      </w:r>
    </w:p>
    <w:p w14:paraId="7487CE03" w14:textId="77777777" w:rsidR="00314A01" w:rsidRPr="00A4178E" w:rsidRDefault="00C04FF8" w:rsidP="00314A01">
      <w:pPr>
        <w:pStyle w:val="Citationenretrait"/>
        <w:rPr>
          <w:lang w:val="en-CA" w:eastAsia="fr-CA"/>
        </w:rPr>
      </w:pPr>
      <w:r w:rsidRPr="00A4178E">
        <w:rPr>
          <w:lang w:val="en-CA" w:eastAsia="fr-CA"/>
        </w:rPr>
        <w:t>(4) It must be such that if believed it could reasonably, when taken with the other evidence adduced at trial, be expected to have affected the result.</w:t>
      </w:r>
      <w:r w:rsidRPr="00A4178E">
        <w:rPr>
          <w:rStyle w:val="Appelnotedebasdep"/>
          <w:lang w:val="en-CA" w:eastAsia="fr-CA"/>
        </w:rPr>
        <w:footnoteReference w:id="31"/>
      </w:r>
    </w:p>
    <w:p w14:paraId="7487CE04" w14:textId="77777777" w:rsidR="00314A01" w:rsidRPr="00A4178E" w:rsidRDefault="00C04FF8" w:rsidP="00747556">
      <w:pPr>
        <w:pStyle w:val="Citationenretrait"/>
        <w:jc w:val="right"/>
        <w:rPr>
          <w:lang w:val="en-CA" w:eastAsia="fr-CA"/>
        </w:rPr>
      </w:pPr>
      <w:r w:rsidRPr="00A4178E">
        <w:rPr>
          <w:lang w:val="en-CA" w:eastAsia="fr-CA"/>
        </w:rPr>
        <w:t>[Reference omitted]</w:t>
      </w:r>
    </w:p>
    <w:p w14:paraId="7487CE05" w14:textId="3517C4D5" w:rsidR="00314A01" w:rsidRPr="00A4178E" w:rsidRDefault="00C04FF8" w:rsidP="00314A01">
      <w:pPr>
        <w:pStyle w:val="Paragraphe"/>
        <w:spacing w:line="280" w:lineRule="exact"/>
        <w:rPr>
          <w:lang w:val="en-CA"/>
        </w:rPr>
      </w:pPr>
      <w:r w:rsidRPr="00A4178E">
        <w:rPr>
          <w:lang w:val="en-CA"/>
        </w:rPr>
        <w:t xml:space="preserve">In addition to these four criteria, an implicit condition can be found in </w:t>
      </w:r>
      <w:r w:rsidRPr="00A4178E">
        <w:rPr>
          <w:i/>
          <w:iCs/>
          <w:lang w:val="en-CA"/>
        </w:rPr>
        <w:t>R. v. O</w:t>
      </w:r>
      <w:r w:rsidR="00D06C3F">
        <w:rPr>
          <w:i/>
          <w:iCs/>
          <w:lang w:val="en-CA"/>
        </w:rPr>
        <w:t>’</w:t>
      </w:r>
      <w:r w:rsidRPr="00A4178E">
        <w:rPr>
          <w:i/>
          <w:iCs/>
          <w:lang w:val="en-CA"/>
        </w:rPr>
        <w:t>Brien</w:t>
      </w:r>
      <w:r w:rsidRPr="00A4178E">
        <w:rPr>
          <w:lang w:val="en-CA"/>
        </w:rPr>
        <w:t xml:space="preserve">: </w:t>
      </w:r>
      <w:r w:rsidR="00D06C3F">
        <w:rPr>
          <w:lang w:val="en-CA"/>
        </w:rPr>
        <w:t>“</w:t>
      </w:r>
      <w:r w:rsidRPr="00A4178E">
        <w:rPr>
          <w:lang w:val="en-CA"/>
        </w:rPr>
        <w:t>It is a prerequisite that any evidence sought to be adduced under the discretion granted by that section be admissible evidence</w:t>
      </w:r>
      <w:r w:rsidR="00967051">
        <w:rPr>
          <w:lang w:val="en-CA"/>
        </w:rPr>
        <w:t>.</w:t>
      </w:r>
      <w:r w:rsidR="00D06C3F">
        <w:rPr>
          <w:lang w:val="en-CA"/>
        </w:rPr>
        <w:t>”</w:t>
      </w:r>
      <w:r w:rsidRPr="00A4178E">
        <w:rPr>
          <w:rStyle w:val="Appelnotedebasdep"/>
          <w:lang w:val="en-CA"/>
        </w:rPr>
        <w:footnoteReference w:id="32"/>
      </w:r>
      <w:r w:rsidRPr="00A4178E">
        <w:rPr>
          <w:lang w:val="en-CA"/>
        </w:rPr>
        <w:t xml:space="preserve"> As the Manitoba Court of Appeal observed in </w:t>
      </w:r>
      <w:r w:rsidRPr="00A4178E">
        <w:rPr>
          <w:i/>
          <w:iCs/>
          <w:lang w:val="en-CA"/>
        </w:rPr>
        <w:t>R. v. S (D)</w:t>
      </w:r>
      <w:r w:rsidRPr="00A4178E">
        <w:rPr>
          <w:lang w:val="en-CA"/>
        </w:rPr>
        <w:t>:</w:t>
      </w:r>
    </w:p>
    <w:p w14:paraId="7487CE06" w14:textId="3FC0F07A" w:rsidR="00314A01" w:rsidRPr="00A4178E" w:rsidRDefault="00C04FF8" w:rsidP="00314A01">
      <w:pPr>
        <w:pStyle w:val="Citationenretrait"/>
        <w:rPr>
          <w:lang w:val="en-CA"/>
        </w:rPr>
      </w:pPr>
      <w:r w:rsidRPr="00A4178E">
        <w:rPr>
          <w:lang w:val="en-CA"/>
        </w:rPr>
        <w:t>[</w:t>
      </w:r>
      <w:bookmarkStart w:id="36" w:name="par58"/>
      <w:r w:rsidRPr="00A4178E">
        <w:rPr>
          <w:lang w:val="en-CA"/>
        </w:rPr>
        <w:t>58</w:t>
      </w:r>
      <w:bookmarkEnd w:id="36"/>
      <w:r w:rsidRPr="00A4178E">
        <w:rPr>
          <w:lang w:val="en-CA"/>
        </w:rPr>
        <w:t>]</w:t>
      </w:r>
      <w:r w:rsidRPr="00A4178E">
        <w:rPr>
          <w:lang w:val="en-CA"/>
        </w:rPr>
        <w:tab/>
        <w:t>Implicit in the consideration of the </w:t>
      </w:r>
      <w:r w:rsidRPr="00A4178E">
        <w:rPr>
          <w:i/>
          <w:iCs/>
          <w:lang w:val="en-CA"/>
        </w:rPr>
        <w:t>Palmer</w:t>
      </w:r>
      <w:r w:rsidRPr="00A4178E">
        <w:rPr>
          <w:lang w:val="en-CA"/>
        </w:rPr>
        <w:t> criteria is that the fresh evidence in question be admissible; if the law of evidence would not otherwise permit the introduction of the evidence at trial, it cannot be admitted on appeal by way of a fresh evidence motion (see </w:t>
      </w:r>
      <w:r w:rsidRPr="00A4178E">
        <w:rPr>
          <w:i/>
          <w:iCs/>
          <w:lang w:val="en-CA"/>
        </w:rPr>
        <w:t>The Queen v O</w:t>
      </w:r>
      <w:r w:rsidR="00D06C3F">
        <w:rPr>
          <w:i/>
          <w:iCs/>
          <w:lang w:val="en-CA"/>
        </w:rPr>
        <w:t>’</w:t>
      </w:r>
      <w:r w:rsidRPr="00A4178E">
        <w:rPr>
          <w:i/>
          <w:iCs/>
          <w:lang w:val="en-CA"/>
        </w:rPr>
        <w:t>Brien</w:t>
      </w:r>
      <w:r w:rsidRPr="00A4178E">
        <w:rPr>
          <w:lang w:val="en-CA"/>
        </w:rPr>
        <w:t>, 1977 CanLII 168 (SCC), [1978] 1 SCR 591 at 602; and </w:t>
      </w:r>
      <w:r w:rsidRPr="00A4178E">
        <w:rPr>
          <w:i/>
          <w:iCs/>
          <w:lang w:val="en-CA"/>
        </w:rPr>
        <w:t>R v Roussin </w:t>
      </w:r>
      <w:r w:rsidRPr="00A4178E">
        <w:rPr>
          <w:lang w:val="en-CA"/>
        </w:rPr>
        <w:t>(</w:t>
      </w:r>
      <w:r w:rsidRPr="00A4178E">
        <w:rPr>
          <w:i/>
          <w:iCs/>
          <w:lang w:val="en-CA"/>
        </w:rPr>
        <w:t>B</w:t>
      </w:r>
      <w:r w:rsidRPr="00A4178E">
        <w:rPr>
          <w:lang w:val="en-CA"/>
        </w:rPr>
        <w:t>), 2014 MBCA 24 at paras 17-18).</w:t>
      </w:r>
      <w:r w:rsidRPr="00A4178E">
        <w:rPr>
          <w:rStyle w:val="Appelnotedebasdep"/>
          <w:lang w:val="en-CA"/>
        </w:rPr>
        <w:footnoteReference w:id="33"/>
      </w:r>
    </w:p>
    <w:p w14:paraId="7487CE07" w14:textId="77777777" w:rsidR="00314A01" w:rsidRPr="00A4178E" w:rsidRDefault="00C04FF8" w:rsidP="00314A01">
      <w:pPr>
        <w:pStyle w:val="Paragraphe"/>
        <w:spacing w:line="280" w:lineRule="exact"/>
        <w:rPr>
          <w:lang w:val="en-CA"/>
        </w:rPr>
      </w:pPr>
      <w:r w:rsidRPr="00A4178E">
        <w:rPr>
          <w:lang w:val="en-CA"/>
        </w:rPr>
        <w:t xml:space="preserve">When ineffective assistance of counsel is invoked, the conditions set out in </w:t>
      </w:r>
      <w:r w:rsidRPr="00A4178E">
        <w:rPr>
          <w:i/>
          <w:iCs/>
          <w:lang w:val="en-CA"/>
        </w:rPr>
        <w:t xml:space="preserve">Palmer </w:t>
      </w:r>
      <w:r w:rsidRPr="00A4178E">
        <w:rPr>
          <w:lang w:val="en-CA"/>
        </w:rPr>
        <w:t>continue to apply, albeit less strictly,</w:t>
      </w:r>
      <w:r w:rsidRPr="00A4178E">
        <w:rPr>
          <w:rStyle w:val="Appelnotedebasdep"/>
          <w:lang w:val="en-CA"/>
        </w:rPr>
        <w:footnoteReference w:id="34"/>
      </w:r>
      <w:r w:rsidRPr="00A4178E">
        <w:rPr>
          <w:lang w:val="en-CA"/>
        </w:rPr>
        <w:t xml:space="preserve"> particularly as regards the due diligence criterion.</w:t>
      </w:r>
      <w:r w:rsidRPr="00A4178E">
        <w:rPr>
          <w:rStyle w:val="Appelnotedebasdep"/>
          <w:lang w:val="en-CA"/>
        </w:rPr>
        <w:footnoteReference w:id="35"/>
      </w:r>
      <w:r w:rsidRPr="00A4178E">
        <w:rPr>
          <w:lang w:val="en-CA"/>
        </w:rPr>
        <w:t xml:space="preserve"> The Court reiterated this in </w:t>
      </w:r>
      <w:r w:rsidRPr="00A4178E">
        <w:rPr>
          <w:i/>
          <w:iCs/>
          <w:lang w:val="en-CA"/>
        </w:rPr>
        <w:t>Lajoie c. R.</w:t>
      </w:r>
      <w:r w:rsidRPr="00A4178E">
        <w:rPr>
          <w:lang w:val="en-CA"/>
        </w:rPr>
        <w:t>:</w:t>
      </w:r>
    </w:p>
    <w:p w14:paraId="7409C770" w14:textId="77777777" w:rsidR="000A3FE6" w:rsidRDefault="00C04FF8" w:rsidP="00314A01">
      <w:pPr>
        <w:pStyle w:val="Citationenretrait"/>
        <w:rPr>
          <w:lang w:val="en-CA" w:eastAsia="fr-CA"/>
        </w:rPr>
      </w:pPr>
      <w:r w:rsidRPr="00A4178E">
        <w:rPr>
          <w:lang w:val="en-CA" w:eastAsia="fr-CA"/>
        </w:rPr>
        <w:t>[</w:t>
      </w:r>
      <w:r w:rsidRPr="000A3FE6">
        <w:rPr>
          <w:smallCaps/>
          <w:lang w:val="en-CA" w:eastAsia="fr-CA"/>
        </w:rPr>
        <w:t>translation</w:t>
      </w:r>
      <w:r w:rsidRPr="00A4178E">
        <w:rPr>
          <w:lang w:val="en-CA" w:eastAsia="fr-CA"/>
        </w:rPr>
        <w:t>]</w:t>
      </w:r>
    </w:p>
    <w:p w14:paraId="7487CE08" w14:textId="7CB6E0EB" w:rsidR="00314A01" w:rsidRPr="00A4178E" w:rsidRDefault="00C04FF8" w:rsidP="00314A01">
      <w:pPr>
        <w:pStyle w:val="Citationenretrait"/>
        <w:rPr>
          <w:lang w:val="en-CA" w:eastAsia="fr-CA"/>
        </w:rPr>
      </w:pPr>
      <w:r w:rsidRPr="00A4178E">
        <w:rPr>
          <w:lang w:val="en-CA" w:eastAsia="fr-CA"/>
        </w:rPr>
        <w:t>[</w:t>
      </w:r>
      <w:bookmarkStart w:id="37" w:name="par8"/>
      <w:r w:rsidRPr="00A4178E">
        <w:rPr>
          <w:lang w:val="en-CA" w:eastAsia="fr-CA"/>
        </w:rPr>
        <w:t>8</w:t>
      </w:r>
      <w:bookmarkEnd w:id="37"/>
      <w:r w:rsidRPr="00A4178E">
        <w:rPr>
          <w:lang w:val="en-CA" w:eastAsia="fr-CA"/>
        </w:rPr>
        <w:t>]</w:t>
      </w:r>
      <w:r w:rsidRPr="00A4178E">
        <w:rPr>
          <w:spacing w:val="-3"/>
          <w:sz w:val="14"/>
          <w:szCs w:val="14"/>
          <w:lang w:val="en-CA"/>
        </w:rPr>
        <w:tab/>
      </w:r>
      <w:r w:rsidRPr="00A4178E">
        <w:rPr>
          <w:lang w:val="en-CA" w:eastAsia="fr-CA"/>
        </w:rPr>
        <w:t xml:space="preserve">[…] When the ineffective assistance of counsel is alleged, the interests of justice are viewed from a slightly different perspective, as the fresh evidence is intended to demonstrate the unfairness of the process by which the accused was </w:t>
      </w:r>
      <w:r w:rsidRPr="00A4178E">
        <w:rPr>
          <w:lang w:val="en-CA" w:eastAsia="fr-CA"/>
        </w:rPr>
        <w:lastRenderedPageBreak/>
        <w:t>convicted. In such a situation, the fresh evidence is generally essential</w:t>
      </w:r>
      <w:r w:rsidR="00967051">
        <w:rPr>
          <w:lang w:val="en-CA" w:eastAsia="fr-CA"/>
        </w:rPr>
        <w:t>,</w:t>
      </w:r>
      <w:r w:rsidRPr="00A4178E">
        <w:rPr>
          <w:lang w:val="en-CA" w:eastAsia="fr-CA"/>
        </w:rPr>
        <w:t xml:space="preserve"> and the admission criteria are less stringent:</w:t>
      </w:r>
    </w:p>
    <w:p w14:paraId="7487CE09" w14:textId="34F44569" w:rsidR="00314A01" w:rsidRPr="00A4178E" w:rsidRDefault="00C04FF8" w:rsidP="00314A01">
      <w:pPr>
        <w:pStyle w:val="CitationdecitationFR"/>
        <w:ind w:right="1440"/>
        <w:rPr>
          <w:sz w:val="20"/>
          <w:szCs w:val="20"/>
          <w:lang w:val="en-CA"/>
        </w:rPr>
      </w:pPr>
      <w:r w:rsidRPr="00A4178E">
        <w:rPr>
          <w:lang w:val="en-CA"/>
        </w:rPr>
        <w:t>[</w:t>
      </w:r>
      <w:r w:rsidRPr="00A4178E">
        <w:rPr>
          <w:sz w:val="20"/>
          <w:szCs w:val="20"/>
          <w:lang w:val="en-CA"/>
        </w:rPr>
        <w:t>37]</w:t>
      </w:r>
      <w:r w:rsidRPr="00A4178E">
        <w:rPr>
          <w:sz w:val="20"/>
          <w:szCs w:val="20"/>
          <w:lang w:val="en-CA"/>
        </w:rPr>
        <w:tab/>
        <w:t>The fresh evidence for demonstrating counsel</w:t>
      </w:r>
      <w:r w:rsidR="00D06C3F">
        <w:rPr>
          <w:sz w:val="20"/>
          <w:szCs w:val="20"/>
          <w:lang w:val="en-CA"/>
        </w:rPr>
        <w:t>’</w:t>
      </w:r>
      <w:r w:rsidRPr="00A4178E">
        <w:rPr>
          <w:sz w:val="20"/>
          <w:szCs w:val="20"/>
          <w:lang w:val="en-CA"/>
        </w:rPr>
        <w:t xml:space="preserve">s incompetence, however, is not subject to the same criteria. Indeed, </w:t>
      </w:r>
      <w:r w:rsidR="00D06C3F">
        <w:rPr>
          <w:sz w:val="20"/>
          <w:szCs w:val="20"/>
          <w:lang w:val="en-CA"/>
        </w:rPr>
        <w:t>“</w:t>
      </w:r>
      <w:r w:rsidRPr="00A4178E">
        <w:rPr>
          <w:sz w:val="20"/>
          <w:szCs w:val="20"/>
          <w:lang w:val="en-CA"/>
        </w:rPr>
        <w:t>[</w:t>
      </w:r>
      <w:proofErr w:type="spellStart"/>
      <w:r w:rsidRPr="00A4178E">
        <w:rPr>
          <w:sz w:val="20"/>
          <w:szCs w:val="20"/>
          <w:lang w:val="en-CA"/>
        </w:rPr>
        <w:t>i</w:t>
      </w:r>
      <w:proofErr w:type="spellEnd"/>
      <w:r w:rsidRPr="00A4178E">
        <w:rPr>
          <w:sz w:val="20"/>
          <w:szCs w:val="20"/>
          <w:lang w:val="en-CA"/>
        </w:rPr>
        <w:t>]n such cases, the evidence is not offered as a foundation for reviewing the decision under appeal, but as a basis for requesting an original remedy in the Court of Appeal</w:t>
      </w:r>
      <w:r w:rsidR="00D06C3F">
        <w:rPr>
          <w:sz w:val="20"/>
          <w:szCs w:val="20"/>
          <w:lang w:val="en-CA"/>
        </w:rPr>
        <w:t>”</w:t>
      </w:r>
      <w:r w:rsidRPr="00A4178E">
        <w:rPr>
          <w:sz w:val="20"/>
          <w:szCs w:val="20"/>
          <w:lang w:val="en-CA"/>
        </w:rPr>
        <w:t>.</w:t>
      </w:r>
      <w:bookmarkStart w:id="38" w:name="_Ref766605"/>
      <w:bookmarkEnd w:id="38"/>
      <w:r w:rsidRPr="00A4178E">
        <w:rPr>
          <w:sz w:val="20"/>
          <w:szCs w:val="20"/>
          <w:lang w:val="en-CA"/>
        </w:rPr>
        <w:t xml:space="preserve"> In such a case, the evidence must be (1) relevant to the remedy sought, (2) credible and, if uncontradicted, (3) sufficiently probative for the Court to make the order.</w:t>
      </w:r>
      <w:bookmarkStart w:id="39" w:name="_Ref765887"/>
      <w:bookmarkEnd w:id="39"/>
    </w:p>
    <w:p w14:paraId="7487CE0A" w14:textId="173631C7" w:rsidR="00314A01" w:rsidRPr="00A4178E" w:rsidRDefault="00C04FF8" w:rsidP="00747556">
      <w:pPr>
        <w:pStyle w:val="CitationdecitationFR"/>
        <w:ind w:right="1440"/>
        <w:rPr>
          <w:lang w:val="en-CA"/>
        </w:rPr>
      </w:pPr>
      <w:r w:rsidRPr="00A4178E">
        <w:rPr>
          <w:sz w:val="20"/>
          <w:szCs w:val="20"/>
          <w:lang w:val="en-CA"/>
        </w:rPr>
        <w:t>[38]</w:t>
      </w:r>
      <w:r w:rsidRPr="00A4178E">
        <w:rPr>
          <w:sz w:val="20"/>
          <w:szCs w:val="20"/>
          <w:lang w:val="en-CA"/>
        </w:rPr>
        <w:tab/>
        <w:t>When counsel</w:t>
      </w:r>
      <w:r w:rsidR="00D06C3F">
        <w:rPr>
          <w:sz w:val="20"/>
          <w:szCs w:val="20"/>
          <w:lang w:val="en-CA"/>
        </w:rPr>
        <w:t>’</w:t>
      </w:r>
      <w:r w:rsidRPr="00A4178E">
        <w:rPr>
          <w:sz w:val="20"/>
          <w:szCs w:val="20"/>
          <w:lang w:val="en-CA"/>
        </w:rPr>
        <w:t>s incompetence is alleged, fresh evidence is generally essential, and the criteria for admission are less stringent.</w:t>
      </w:r>
      <w:bookmarkStart w:id="40" w:name="_Ref84343258"/>
      <w:bookmarkEnd w:id="40"/>
      <w:r w:rsidRPr="00A4178E">
        <w:rPr>
          <w:rStyle w:val="Appelnotedebasdep"/>
          <w:lang w:val="en-CA"/>
        </w:rPr>
        <w:footnoteReference w:id="36"/>
      </w:r>
    </w:p>
    <w:p w14:paraId="7487CE0B" w14:textId="77777777" w:rsidR="00314A01" w:rsidRPr="00A4178E" w:rsidRDefault="00C04FF8" w:rsidP="00747556">
      <w:pPr>
        <w:pStyle w:val="CitationdecitationFR"/>
        <w:ind w:right="1440"/>
        <w:jc w:val="right"/>
        <w:rPr>
          <w:sz w:val="20"/>
          <w:szCs w:val="20"/>
          <w:lang w:val="en-CA"/>
        </w:rPr>
      </w:pPr>
      <w:r w:rsidRPr="00A4178E">
        <w:rPr>
          <w:sz w:val="20"/>
          <w:szCs w:val="20"/>
          <w:lang w:val="en-CA"/>
        </w:rPr>
        <w:t>[References omitted]</w:t>
      </w:r>
    </w:p>
    <w:p w14:paraId="7487CE0C" w14:textId="76704A39" w:rsidR="00314A01" w:rsidRPr="00A4178E" w:rsidRDefault="00C04FF8" w:rsidP="00314A01">
      <w:pPr>
        <w:pStyle w:val="Paragraphe"/>
        <w:spacing w:line="280" w:lineRule="exact"/>
        <w:rPr>
          <w:lang w:val="en-CA"/>
        </w:rPr>
      </w:pPr>
      <w:r w:rsidRPr="00A4178E">
        <w:rPr>
          <w:lang w:val="en-CA"/>
        </w:rPr>
        <w:t xml:space="preserve">Ultimately, if the Court finds that the conditions for admissibility have been met, it will grant the application for leave to adduce fresh evidence and generally order a new trial. It may also render a verdict </w:t>
      </w:r>
      <w:r w:rsidR="00D06C3F">
        <w:rPr>
          <w:lang w:val="en-CA"/>
        </w:rPr>
        <w:t>“</w:t>
      </w:r>
      <w:r w:rsidRPr="00A4178E">
        <w:rPr>
          <w:lang w:val="en-CA"/>
        </w:rPr>
        <w:t>when the proffered evidence is clear and conclusive of the result</w:t>
      </w:r>
      <w:r w:rsidR="00D06C3F">
        <w:rPr>
          <w:lang w:val="en-CA"/>
        </w:rPr>
        <w:t>”</w:t>
      </w:r>
      <w:r w:rsidRPr="00A4178E">
        <w:rPr>
          <w:lang w:val="en-CA"/>
        </w:rPr>
        <w:t>.</w:t>
      </w:r>
      <w:r w:rsidRPr="00A4178E">
        <w:rPr>
          <w:rStyle w:val="Appelnotedebasdep"/>
          <w:lang w:val="en-CA"/>
        </w:rPr>
        <w:footnoteReference w:id="37"/>
      </w:r>
    </w:p>
    <w:p w14:paraId="7487CE0D" w14:textId="1489FBF0" w:rsidR="00314A01" w:rsidRPr="00A4178E" w:rsidRDefault="00C04FF8" w:rsidP="00192F39">
      <w:pPr>
        <w:pStyle w:val="Titre2"/>
        <w:numPr>
          <w:ilvl w:val="0"/>
          <w:numId w:val="23"/>
        </w:numPr>
        <w:spacing w:before="120" w:after="120"/>
        <w:ind w:left="714" w:hanging="357"/>
        <w:rPr>
          <w:lang w:val="en-CA"/>
        </w:rPr>
      </w:pPr>
      <w:r w:rsidRPr="00A4178E">
        <w:rPr>
          <w:bCs/>
          <w:iCs/>
          <w:lang w:val="en-CA"/>
        </w:rPr>
        <w:t>The fresh evidence in connection with the complainant</w:t>
      </w:r>
      <w:r w:rsidR="00D06C3F">
        <w:rPr>
          <w:bCs/>
          <w:iCs/>
          <w:lang w:val="en-CA"/>
        </w:rPr>
        <w:t>’</w:t>
      </w:r>
      <w:r w:rsidRPr="00A4178E">
        <w:rPr>
          <w:bCs/>
          <w:iCs/>
          <w:lang w:val="en-CA"/>
        </w:rPr>
        <w:t>s past sexual activity</w:t>
      </w:r>
    </w:p>
    <w:p w14:paraId="7487CE0E" w14:textId="65B79799" w:rsidR="00314A01" w:rsidRPr="00A4178E" w:rsidRDefault="00C04FF8" w:rsidP="00314A01">
      <w:pPr>
        <w:pStyle w:val="Paragraphe"/>
        <w:spacing w:line="280" w:lineRule="exact"/>
        <w:rPr>
          <w:lang w:val="en-CA"/>
        </w:rPr>
      </w:pPr>
      <w:r w:rsidRPr="00A4178E">
        <w:rPr>
          <w:lang w:val="en-CA"/>
        </w:rPr>
        <w:t xml:space="preserve">It bears reminding that this evidence consists of </w:t>
      </w:r>
      <w:r w:rsidR="00060980" w:rsidRPr="00A4178E">
        <w:rPr>
          <w:lang w:val="en-CA"/>
        </w:rPr>
        <w:t xml:space="preserve">screenshots </w:t>
      </w:r>
      <w:proofErr w:type="spellStart"/>
      <w:r w:rsidR="00060980" w:rsidRPr="008A3E9D">
        <w:rPr>
          <w:highlight w:val="black"/>
          <w:lang w:val="en-CA"/>
        </w:rPr>
        <w:t>xxxxxxx</w:t>
      </w:r>
      <w:proofErr w:type="spellEnd"/>
      <w:r w:rsidR="00060980" w:rsidRPr="008A3E9D">
        <w:rPr>
          <w:highlight w:val="black"/>
          <w:lang w:val="en-CA"/>
        </w:rPr>
        <w:t xml:space="preserve"> xxx </w:t>
      </w:r>
      <w:proofErr w:type="spellStart"/>
      <w:r w:rsidR="00060980" w:rsidRPr="008A3E9D">
        <w:rPr>
          <w:highlight w:val="black"/>
          <w:lang w:val="en-CA"/>
        </w:rPr>
        <w:t>xxxxxxxxxxx</w:t>
      </w:r>
      <w:proofErr w:type="spellEnd"/>
      <w:r w:rsidR="00060980" w:rsidRPr="008A3E9D">
        <w:rPr>
          <w:highlight w:val="black"/>
          <w:lang w:val="en-CA"/>
        </w:rPr>
        <w:t xml:space="preserve"> </w:t>
      </w:r>
      <w:proofErr w:type="spellStart"/>
      <w:r w:rsidR="00060980" w:rsidRPr="008A3E9D">
        <w:rPr>
          <w:highlight w:val="black"/>
          <w:lang w:val="en-CA"/>
        </w:rPr>
        <w:t>xxxxx</w:t>
      </w:r>
      <w:proofErr w:type="spellEnd"/>
      <w:r w:rsidR="00060980" w:rsidRPr="00A4178E">
        <w:rPr>
          <w:lang w:val="en-CA"/>
        </w:rPr>
        <w:t xml:space="preserve"> during</w:t>
      </w:r>
      <w:r w:rsidRPr="00A4178E">
        <w:rPr>
          <w:lang w:val="en-CA"/>
        </w:rPr>
        <w:t xml:space="preserve"> </w:t>
      </w:r>
      <w:r w:rsidRPr="00A4178E">
        <w:rPr>
          <w:i/>
          <w:iCs/>
          <w:lang w:val="en-CA"/>
        </w:rPr>
        <w:t>FaceTime</w:t>
      </w:r>
      <w:r w:rsidRPr="00A4178E">
        <w:rPr>
          <w:lang w:val="en-CA"/>
        </w:rPr>
        <w:t xml:space="preserve"> conversations with the appellant approximately one week before the activity that gave rise to the sexual assault charge. It is clearly covered by </w:t>
      </w:r>
      <w:r w:rsidR="004F6D1C">
        <w:rPr>
          <w:lang w:val="en-CA"/>
        </w:rPr>
        <w:t>s. 2</w:t>
      </w:r>
      <w:r w:rsidRPr="00A4178E">
        <w:rPr>
          <w:lang w:val="en-CA"/>
        </w:rPr>
        <w:t>76 </w:t>
      </w:r>
      <w:proofErr w:type="spellStart"/>
      <w:r w:rsidRPr="00A4178E">
        <w:rPr>
          <w:i/>
          <w:iCs/>
          <w:lang w:val="en-CA"/>
        </w:rPr>
        <w:t>Cr.C</w:t>
      </w:r>
      <w:proofErr w:type="spellEnd"/>
      <w:r w:rsidRPr="00A4178E">
        <w:rPr>
          <w:i/>
          <w:iCs/>
          <w:lang w:val="en-CA"/>
        </w:rPr>
        <w:t>.</w:t>
      </w:r>
      <w:r w:rsidRPr="00A4178E">
        <w:rPr>
          <w:rStyle w:val="Appelnotedebasdep"/>
          <w:lang w:val="en-CA"/>
        </w:rPr>
        <w:footnoteReference w:id="38"/>
      </w:r>
    </w:p>
    <w:p w14:paraId="7487CE0F" w14:textId="591A77D2" w:rsidR="00314A01" w:rsidRPr="00A4178E" w:rsidRDefault="00C04FF8" w:rsidP="00314A01">
      <w:pPr>
        <w:pStyle w:val="Paragraphe"/>
        <w:spacing w:line="280" w:lineRule="exact"/>
        <w:rPr>
          <w:lang w:val="en-CA"/>
        </w:rPr>
      </w:pPr>
      <w:r w:rsidRPr="00A4178E">
        <w:rPr>
          <w:lang w:val="en-CA"/>
        </w:rPr>
        <w:t>According to the appellant, the relevance of this evidence and its effect on the result stem from the complainant</w:t>
      </w:r>
      <w:r w:rsidR="00D06C3F">
        <w:rPr>
          <w:lang w:val="en-CA"/>
        </w:rPr>
        <w:t>’</w:t>
      </w:r>
      <w:r w:rsidRPr="00A4178E">
        <w:rPr>
          <w:lang w:val="en-CA"/>
        </w:rPr>
        <w:t>s [</w:t>
      </w:r>
      <w:r w:rsidRPr="000A3FE6">
        <w:rPr>
          <w:smallCaps/>
          <w:lang w:val="en-CA"/>
        </w:rPr>
        <w:t>translation</w:t>
      </w:r>
      <w:r w:rsidRPr="00A4178E">
        <w:rPr>
          <w:lang w:val="en-CA"/>
        </w:rPr>
        <w:t>]</w:t>
      </w:r>
      <w:r w:rsidR="008331A9">
        <w:rPr>
          <w:lang w:val="en-CA"/>
        </w:rPr>
        <w:t> </w:t>
      </w:r>
      <w:r w:rsidR="00D06C3F">
        <w:rPr>
          <w:lang w:val="en-CA"/>
        </w:rPr>
        <w:t>“</w:t>
      </w:r>
      <w:r w:rsidRPr="00A4178E">
        <w:rPr>
          <w:lang w:val="en-CA"/>
        </w:rPr>
        <w:t>narrative</w:t>
      </w:r>
      <w:r w:rsidR="00D06C3F">
        <w:rPr>
          <w:lang w:val="en-CA"/>
        </w:rPr>
        <w:t>”</w:t>
      </w:r>
      <w:r w:rsidRPr="00A4178E">
        <w:rPr>
          <w:lang w:val="en-CA"/>
        </w:rPr>
        <w:t>.</w:t>
      </w:r>
      <w:r w:rsidRPr="00A4178E">
        <w:rPr>
          <w:rStyle w:val="Appelnotedebasdep"/>
          <w:lang w:val="en-CA"/>
        </w:rPr>
        <w:footnoteReference w:id="39"/>
      </w:r>
      <w:r w:rsidRPr="00A4178E">
        <w:rPr>
          <w:lang w:val="en-CA"/>
        </w:rPr>
        <w:t xml:space="preserve"> She testified that it was he who sent her messages, photos and videos, and that she only replied to him [</w:t>
      </w:r>
      <w:r w:rsidRPr="000A3FE6">
        <w:rPr>
          <w:smallCaps/>
          <w:lang w:val="en-CA"/>
        </w:rPr>
        <w:t>translation</w:t>
      </w:r>
      <w:r w:rsidRPr="00A4178E">
        <w:rPr>
          <w:lang w:val="en-CA"/>
        </w:rPr>
        <w:t>]</w:t>
      </w:r>
      <w:r w:rsidR="00F001D4">
        <w:rPr>
          <w:lang w:val="en-CA"/>
        </w:rPr>
        <w:t> </w:t>
      </w:r>
      <w:r w:rsidR="00D06C3F">
        <w:rPr>
          <w:lang w:val="en-CA"/>
        </w:rPr>
        <w:t>“</w:t>
      </w:r>
      <w:r w:rsidRPr="00A4178E">
        <w:rPr>
          <w:lang w:val="en-CA"/>
        </w:rPr>
        <w:t>when [she] felt like it</w:t>
      </w:r>
      <w:r w:rsidR="00D06C3F">
        <w:rPr>
          <w:lang w:val="en-CA"/>
        </w:rPr>
        <w:t>”</w:t>
      </w:r>
      <w:r w:rsidRPr="00A4178E">
        <w:rPr>
          <w:lang w:val="en-CA"/>
        </w:rPr>
        <w:t>.</w:t>
      </w:r>
      <w:r w:rsidRPr="00A4178E">
        <w:rPr>
          <w:rStyle w:val="Appelnotedebasdep"/>
          <w:lang w:val="en-CA"/>
        </w:rPr>
        <w:footnoteReference w:id="40"/>
      </w:r>
      <w:r w:rsidRPr="00A4178E">
        <w:rPr>
          <w:lang w:val="en-CA"/>
        </w:rPr>
        <w:t xml:space="preserve"> Moreover, she denied having sent </w:t>
      </w:r>
      <w:r w:rsidR="007B25CE" w:rsidRPr="00A4178E">
        <w:rPr>
          <w:lang w:val="en-CA"/>
        </w:rPr>
        <w:t xml:space="preserve">him </w:t>
      </w:r>
      <w:proofErr w:type="spellStart"/>
      <w:r w:rsidR="007B25CE" w:rsidRPr="00B91F0B">
        <w:rPr>
          <w:highlight w:val="black"/>
          <w:lang w:val="en-CA"/>
        </w:rPr>
        <w:t>xxxx</w:t>
      </w:r>
      <w:proofErr w:type="spellEnd"/>
      <w:r w:rsidR="007B25CE" w:rsidRPr="00A4178E">
        <w:rPr>
          <w:lang w:val="en-CA"/>
        </w:rPr>
        <w:t xml:space="preserve"> photos </w:t>
      </w:r>
      <w:r w:rsidR="007B25CE" w:rsidRPr="00B91F0B">
        <w:rPr>
          <w:highlight w:val="black"/>
          <w:lang w:val="en-CA"/>
        </w:rPr>
        <w:t xml:space="preserve">xx </w:t>
      </w:r>
      <w:proofErr w:type="spellStart"/>
      <w:r w:rsidR="007B25CE" w:rsidRPr="00B91F0B">
        <w:rPr>
          <w:highlight w:val="black"/>
          <w:lang w:val="en-CA"/>
        </w:rPr>
        <w:t>xxxxxxx</w:t>
      </w:r>
      <w:proofErr w:type="spellEnd"/>
      <w:r w:rsidR="007B25CE" w:rsidRPr="00A4178E">
        <w:rPr>
          <w:lang w:val="en-CA"/>
        </w:rPr>
        <w:t xml:space="preserve"> after</w:t>
      </w:r>
      <w:r w:rsidRPr="00A4178E">
        <w:rPr>
          <w:lang w:val="en-CA"/>
        </w:rPr>
        <w:t xml:space="preserve"> their break-up in March 2019. Consequently, the screenshots taken in April 2019 would be proof that she lied at trial and would corroborate his own testimony about his chats of a sexual nature with the complainant during this period.</w:t>
      </w:r>
    </w:p>
    <w:p w14:paraId="7487CE10" w14:textId="3B91A672" w:rsidR="00314A01" w:rsidRPr="00A4178E" w:rsidRDefault="00C04FF8" w:rsidP="00314A01">
      <w:pPr>
        <w:pStyle w:val="Paragraphe"/>
        <w:spacing w:line="280" w:lineRule="exact"/>
        <w:rPr>
          <w:lang w:val="en-CA"/>
        </w:rPr>
      </w:pPr>
      <w:r w:rsidRPr="00A4178E">
        <w:rPr>
          <w:lang w:val="en-CA"/>
        </w:rPr>
        <w:lastRenderedPageBreak/>
        <w:t>As for the due diligence criterion, the appellant states that he repeatedly asked his trial lawyer [</w:t>
      </w:r>
      <w:r w:rsidRPr="000A3FE6">
        <w:rPr>
          <w:smallCaps/>
          <w:lang w:val="en-CA"/>
        </w:rPr>
        <w:t>translation</w:t>
      </w:r>
      <w:r w:rsidRPr="00A4178E">
        <w:rPr>
          <w:lang w:val="en-CA"/>
        </w:rPr>
        <w:t>]</w:t>
      </w:r>
      <w:r w:rsidR="00E05AA8">
        <w:rPr>
          <w:lang w:val="en-CA"/>
        </w:rPr>
        <w:t> </w:t>
      </w:r>
      <w:r w:rsidR="00D06C3F">
        <w:rPr>
          <w:lang w:val="en-CA"/>
        </w:rPr>
        <w:t>“</w:t>
      </w:r>
      <w:r w:rsidRPr="00A4178E">
        <w:rPr>
          <w:lang w:val="en-CA"/>
        </w:rPr>
        <w:t>to obtain extracts of the conversations and photographs/videos contained on his cell phone which was in the possession of the police</w:t>
      </w:r>
      <w:r w:rsidR="00D06C3F">
        <w:rPr>
          <w:lang w:val="en-CA"/>
        </w:rPr>
        <w:t>”</w:t>
      </w:r>
      <w:r w:rsidRPr="00A4178E">
        <w:rPr>
          <w:lang w:val="en-CA"/>
        </w:rPr>
        <w:t>.</w:t>
      </w:r>
      <w:r w:rsidRPr="00A4178E">
        <w:rPr>
          <w:rStyle w:val="Appelnotedebasdep"/>
          <w:lang w:val="en-CA"/>
        </w:rPr>
        <w:footnoteReference w:id="41"/>
      </w:r>
      <w:r w:rsidRPr="00A4178E">
        <w:rPr>
          <w:lang w:val="en-CA"/>
        </w:rPr>
        <w:t xml:space="preserve"> The lawyer merely asked Officer Bernard Desbiens a few questions on the subject during his cross</w:t>
      </w:r>
      <w:r w:rsidR="004919AA">
        <w:rPr>
          <w:lang w:val="en-CA"/>
        </w:rPr>
        <w:noBreakHyphen/>
      </w:r>
      <w:r w:rsidRPr="00A4178E">
        <w:rPr>
          <w:lang w:val="en-CA"/>
        </w:rPr>
        <w:t>examination at the trial.</w:t>
      </w:r>
    </w:p>
    <w:p w14:paraId="7487CE11" w14:textId="278600A7" w:rsidR="00314A01" w:rsidRPr="00A4178E" w:rsidRDefault="00C04FF8" w:rsidP="00314A01">
      <w:pPr>
        <w:pStyle w:val="Paragraphe"/>
        <w:spacing w:line="280" w:lineRule="exact"/>
        <w:rPr>
          <w:lang w:val="en-CA"/>
        </w:rPr>
      </w:pPr>
      <w:r w:rsidRPr="00A4178E">
        <w:rPr>
          <w:lang w:val="en-CA"/>
        </w:rPr>
        <w:t xml:space="preserve">I note from the outset that the screenshots alone do not prove that the complainant </w:t>
      </w:r>
      <w:r w:rsidR="00B25467" w:rsidRPr="00A4178E">
        <w:rPr>
          <w:lang w:val="en-CA"/>
        </w:rPr>
        <w:t xml:space="preserve">sent </w:t>
      </w:r>
      <w:proofErr w:type="spellStart"/>
      <w:r w:rsidR="00B25467" w:rsidRPr="00B11805">
        <w:rPr>
          <w:highlight w:val="black"/>
          <w:lang w:val="en-CA"/>
        </w:rPr>
        <w:t>xxxx</w:t>
      </w:r>
      <w:proofErr w:type="spellEnd"/>
      <w:r w:rsidR="00B25467" w:rsidRPr="00A4178E">
        <w:rPr>
          <w:lang w:val="en-CA"/>
        </w:rPr>
        <w:t xml:space="preserve"> photos </w:t>
      </w:r>
      <w:r w:rsidR="00B25467" w:rsidRPr="00B11805">
        <w:rPr>
          <w:highlight w:val="black"/>
          <w:lang w:val="en-CA"/>
        </w:rPr>
        <w:t xml:space="preserve">xx </w:t>
      </w:r>
      <w:proofErr w:type="spellStart"/>
      <w:r w:rsidR="00B25467" w:rsidRPr="00B11805">
        <w:rPr>
          <w:highlight w:val="black"/>
          <w:lang w:val="en-CA"/>
        </w:rPr>
        <w:t>xxxxxxx</w:t>
      </w:r>
      <w:proofErr w:type="spellEnd"/>
      <w:r w:rsidR="00B25467" w:rsidRPr="00A4178E">
        <w:rPr>
          <w:lang w:val="en-CA"/>
        </w:rPr>
        <w:t xml:space="preserve"> to</w:t>
      </w:r>
      <w:r w:rsidRPr="00A4178E">
        <w:rPr>
          <w:lang w:val="en-CA"/>
        </w:rPr>
        <w:t xml:space="preserve"> the appellant. These images may have been recorded without her knowledge, during conversations of a sexual nature.</w:t>
      </w:r>
      <w:r w:rsidRPr="00A4178E">
        <w:rPr>
          <w:rStyle w:val="Appelnotedebasdep"/>
          <w:lang w:val="en-CA"/>
        </w:rPr>
        <w:footnoteReference w:id="42"/>
      </w:r>
    </w:p>
    <w:p w14:paraId="7487CE12" w14:textId="2305B632" w:rsidR="00314A01" w:rsidRPr="00A4178E" w:rsidRDefault="00C04FF8" w:rsidP="00314A01">
      <w:pPr>
        <w:pStyle w:val="Paragraphe"/>
        <w:spacing w:line="280" w:lineRule="exact"/>
        <w:rPr>
          <w:lang w:val="en-CA"/>
        </w:rPr>
      </w:pPr>
      <w:r w:rsidRPr="00A4178E">
        <w:rPr>
          <w:lang w:val="en-CA"/>
        </w:rPr>
        <w:t xml:space="preserve">Regardless, even </w:t>
      </w:r>
      <w:proofErr w:type="gramStart"/>
      <w:r w:rsidRPr="00A4178E">
        <w:rPr>
          <w:lang w:val="en-CA"/>
        </w:rPr>
        <w:t>assuming that</w:t>
      </w:r>
      <w:proofErr w:type="gramEnd"/>
      <w:r w:rsidRPr="00A4178E">
        <w:rPr>
          <w:lang w:val="en-CA"/>
        </w:rPr>
        <w:t xml:space="preserve"> all the criteria of </w:t>
      </w:r>
      <w:r w:rsidRPr="00A4178E">
        <w:rPr>
          <w:i/>
          <w:iCs/>
          <w:lang w:val="en-CA"/>
        </w:rPr>
        <w:t>Palmer v. The Queen</w:t>
      </w:r>
      <w:r w:rsidRPr="00A4178E">
        <w:rPr>
          <w:lang w:val="en-CA"/>
        </w:rPr>
        <w:t xml:space="preserve"> have been met, the screenshot evidence runs headlong into the implicit condition that fresh evidence must be admissible. As we have seen, the Court could not, in the exercise of the discretionary power conferred on it by </w:t>
      </w:r>
      <w:r w:rsidR="004F6D1C">
        <w:rPr>
          <w:lang w:val="en-CA"/>
        </w:rPr>
        <w:t>s. 6</w:t>
      </w:r>
      <w:r w:rsidRPr="00A4178E">
        <w:rPr>
          <w:lang w:val="en-CA"/>
        </w:rPr>
        <w:t xml:space="preserve">83(1) </w:t>
      </w:r>
      <w:proofErr w:type="spellStart"/>
      <w:r w:rsidRPr="00A4178E">
        <w:rPr>
          <w:i/>
          <w:iCs/>
          <w:lang w:val="en-CA"/>
        </w:rPr>
        <w:t>Cr.C</w:t>
      </w:r>
      <w:proofErr w:type="spellEnd"/>
      <w:r w:rsidRPr="00A4178E">
        <w:rPr>
          <w:i/>
          <w:iCs/>
          <w:lang w:val="en-CA"/>
        </w:rPr>
        <w:t>.</w:t>
      </w:r>
      <w:r w:rsidRPr="00A4178E">
        <w:rPr>
          <w:lang w:val="en-CA"/>
        </w:rPr>
        <w:t>, admit evidence that would have been deemed inadmissible at trial.</w:t>
      </w:r>
    </w:p>
    <w:p w14:paraId="7487CE13" w14:textId="71440A83" w:rsidR="00314A01" w:rsidRPr="00A4178E" w:rsidRDefault="00C04FF8" w:rsidP="00314A01">
      <w:pPr>
        <w:pStyle w:val="Paragraphe"/>
        <w:spacing w:line="280" w:lineRule="exact"/>
        <w:rPr>
          <w:lang w:val="en-CA"/>
        </w:rPr>
      </w:pPr>
      <w:r w:rsidRPr="00A4178E">
        <w:rPr>
          <w:lang w:val="en-CA"/>
        </w:rPr>
        <w:t>The admissibility of evidence concerning a complainant</w:t>
      </w:r>
      <w:r w:rsidR="00D06C3F">
        <w:rPr>
          <w:lang w:val="en-CA"/>
        </w:rPr>
        <w:t>’</w:t>
      </w:r>
      <w:r w:rsidRPr="00A4178E">
        <w:rPr>
          <w:lang w:val="en-CA"/>
        </w:rPr>
        <w:t xml:space="preserve">s sexual activity is governed by </w:t>
      </w:r>
      <w:r w:rsidR="004F6D1C">
        <w:rPr>
          <w:lang w:val="en-CA"/>
        </w:rPr>
        <w:t>s. 2</w:t>
      </w:r>
      <w:r w:rsidRPr="00A4178E">
        <w:rPr>
          <w:lang w:val="en-CA"/>
        </w:rPr>
        <w:t>76 </w:t>
      </w:r>
      <w:proofErr w:type="spellStart"/>
      <w:r w:rsidRPr="00A4178E">
        <w:rPr>
          <w:i/>
          <w:iCs/>
          <w:lang w:val="en-CA"/>
        </w:rPr>
        <w:t>Cr.C</w:t>
      </w:r>
      <w:proofErr w:type="spellEnd"/>
      <w:r w:rsidRPr="00A4178E">
        <w:rPr>
          <w:i/>
          <w:iCs/>
          <w:lang w:val="en-CA"/>
        </w:rPr>
        <w:t>.</w:t>
      </w:r>
      <w:r w:rsidRPr="00A4178E">
        <w:rPr>
          <w:lang w:val="en-CA"/>
        </w:rPr>
        <w:t>:</w:t>
      </w:r>
    </w:p>
    <w:tbl>
      <w:tblPr>
        <w:tblW w:w="0" w:type="auto"/>
        <w:tblCellMar>
          <w:left w:w="70" w:type="dxa"/>
          <w:right w:w="70" w:type="dxa"/>
        </w:tblCellMar>
        <w:tblLook w:val="0000" w:firstRow="0" w:lastRow="0" w:firstColumn="0" w:lastColumn="0" w:noHBand="0" w:noVBand="0"/>
      </w:tblPr>
      <w:tblGrid>
        <w:gridCol w:w="4682"/>
        <w:gridCol w:w="4680"/>
      </w:tblGrid>
      <w:tr w:rsidR="00445A95" w:rsidRPr="00A4178E" w14:paraId="7487CE42" w14:textId="77777777" w:rsidTr="007F295E">
        <w:tc>
          <w:tcPr>
            <w:tcW w:w="4682" w:type="dxa"/>
          </w:tcPr>
          <w:p w14:paraId="0233BB20" w14:textId="0424746B" w:rsidR="002E1BEE" w:rsidRPr="002E1BEE" w:rsidRDefault="002E1BEE" w:rsidP="002E1BEE">
            <w:pPr>
              <w:pStyle w:val="Tableaudroiteanglais"/>
              <w:spacing w:before="120" w:after="120"/>
              <w:ind w:left="142"/>
              <w:rPr>
                <w:b/>
                <w:bCs/>
              </w:rPr>
            </w:pPr>
            <w:r w:rsidRPr="002E1BEE">
              <w:rPr>
                <w:b/>
                <w:bCs/>
              </w:rPr>
              <w:t>Evidence of complainant</w:t>
            </w:r>
            <w:r w:rsidR="00D06C3F">
              <w:rPr>
                <w:b/>
                <w:bCs/>
              </w:rPr>
              <w:t>’</w:t>
            </w:r>
            <w:r w:rsidRPr="002E1BEE">
              <w:rPr>
                <w:b/>
                <w:bCs/>
              </w:rPr>
              <w:t>s sexual activity</w:t>
            </w:r>
          </w:p>
          <w:p w14:paraId="159E6975" w14:textId="77777777" w:rsidR="002E1BEE" w:rsidRPr="002E1BEE" w:rsidRDefault="002E1BEE" w:rsidP="002E1BEE">
            <w:pPr>
              <w:pStyle w:val="Tableaudroiteanglais"/>
              <w:spacing w:before="120" w:after="120"/>
            </w:pPr>
            <w:r w:rsidRPr="002E1BEE">
              <w:rPr>
                <w:b/>
                <w:bCs/>
              </w:rPr>
              <w:t>276 (1) </w:t>
            </w:r>
            <w:r w:rsidRPr="002E1BEE">
              <w:t>In proceedings in respect of an offence under section 151, 152, 153, 153.1 or 155, subsection 160(2) or (3) or section 170, 171, 172, 173, 271, 272 or 273, evidence that the complainant has engaged in sexual activity, whether with the accused or with any other person, is not admissible to support an inference that, by reason of the sexual nature of that activity, the complainant</w:t>
            </w:r>
          </w:p>
          <w:p w14:paraId="79407522" w14:textId="77777777" w:rsidR="002E1BEE" w:rsidRPr="002E1BEE" w:rsidRDefault="002E1BEE" w:rsidP="002E1BEE">
            <w:pPr>
              <w:pStyle w:val="Tableaudroiteanglais"/>
              <w:spacing w:before="120" w:after="120"/>
              <w:ind w:left="345"/>
            </w:pPr>
            <w:r w:rsidRPr="002E1BEE">
              <w:rPr>
                <w:b/>
                <w:bCs/>
              </w:rPr>
              <w:t>(a) </w:t>
            </w:r>
            <w:r w:rsidRPr="002E1BEE">
              <w:t>is more likely to have consented to the sexual activity that forms the subject-matter of the charge; or</w:t>
            </w:r>
          </w:p>
          <w:p w14:paraId="38DAA312" w14:textId="77777777" w:rsidR="002E1BEE" w:rsidRPr="002E1BEE" w:rsidRDefault="002E1BEE" w:rsidP="002E1BEE">
            <w:pPr>
              <w:pStyle w:val="Tableaudroiteanglais"/>
              <w:spacing w:before="120" w:after="120"/>
              <w:ind w:left="345"/>
            </w:pPr>
            <w:r w:rsidRPr="002E1BEE">
              <w:rPr>
                <w:b/>
                <w:bCs/>
              </w:rPr>
              <w:lastRenderedPageBreak/>
              <w:t>(b) </w:t>
            </w:r>
            <w:r w:rsidRPr="002E1BEE">
              <w:t>is less worthy of belief.</w:t>
            </w:r>
          </w:p>
          <w:p w14:paraId="36AEBDFC" w14:textId="77777777" w:rsidR="002E1BEE" w:rsidRPr="002E1BEE" w:rsidRDefault="002E1BEE" w:rsidP="002E1BEE">
            <w:pPr>
              <w:pStyle w:val="Tableaudroiteanglais"/>
              <w:spacing w:before="120" w:after="120"/>
              <w:rPr>
                <w:b/>
                <w:bCs/>
              </w:rPr>
            </w:pPr>
            <w:r w:rsidRPr="002E1BEE">
              <w:rPr>
                <w:b/>
                <w:bCs/>
              </w:rPr>
              <w:t>Conditions for admissibility</w:t>
            </w:r>
          </w:p>
          <w:p w14:paraId="68BB3B38" w14:textId="77777777" w:rsidR="002E1BEE" w:rsidRPr="002E1BEE" w:rsidRDefault="002E1BEE" w:rsidP="002E1BEE">
            <w:pPr>
              <w:pStyle w:val="Tableaudroiteanglais"/>
              <w:spacing w:before="120" w:after="120"/>
            </w:pPr>
            <w:r w:rsidRPr="002E1BEE">
              <w:rPr>
                <w:b/>
                <w:bCs/>
              </w:rPr>
              <w:t>(2) </w:t>
            </w:r>
            <w:r w:rsidRPr="002E1BEE">
              <w:t>In proceedings in respect of an offence referred to in subsection (1), evidence shall not be adduced by or on behalf of the accused that the complainant has engaged in sexual activity other than the sexual activity that forms the subject-matter of the charge, whether with the accused or with any other person, unless the judge, provincial court judge or justice determines, in accordance with the procedures set out in sections 278.93 and 278.94, that the evidence</w:t>
            </w:r>
          </w:p>
          <w:p w14:paraId="71DBC8E7" w14:textId="77777777" w:rsidR="002E1BEE" w:rsidRPr="002E1BEE" w:rsidRDefault="002E1BEE" w:rsidP="002E1BEE">
            <w:pPr>
              <w:pStyle w:val="Tableaudroiteanglais"/>
              <w:spacing w:before="120" w:after="120"/>
              <w:ind w:left="345"/>
            </w:pPr>
            <w:r w:rsidRPr="002E1BEE">
              <w:rPr>
                <w:b/>
                <w:bCs/>
              </w:rPr>
              <w:t>(a) </w:t>
            </w:r>
            <w:r w:rsidRPr="002E1BEE">
              <w:t>is not being adduced for the purpose of supporting an inference described in subsection (1</w:t>
            </w:r>
            <w:proofErr w:type="gramStart"/>
            <w:r w:rsidRPr="002E1BEE">
              <w:t>);</w:t>
            </w:r>
            <w:proofErr w:type="gramEnd"/>
          </w:p>
          <w:p w14:paraId="17B745E6" w14:textId="77777777" w:rsidR="002E1BEE" w:rsidRPr="002E1BEE" w:rsidRDefault="002E1BEE" w:rsidP="002E1BEE">
            <w:pPr>
              <w:pStyle w:val="Tableaudroiteanglais"/>
              <w:spacing w:before="420" w:after="120"/>
              <w:ind w:left="346"/>
            </w:pPr>
            <w:r w:rsidRPr="002E1BEE">
              <w:rPr>
                <w:b/>
                <w:bCs/>
              </w:rPr>
              <w:t>(b) </w:t>
            </w:r>
            <w:r w:rsidRPr="002E1BEE">
              <w:t>is relevant to an issue at trial; and</w:t>
            </w:r>
          </w:p>
          <w:p w14:paraId="6D014552" w14:textId="77777777" w:rsidR="002E1BEE" w:rsidRPr="002E1BEE" w:rsidRDefault="002E1BEE" w:rsidP="002E1BEE">
            <w:pPr>
              <w:pStyle w:val="Tableaudroiteanglais"/>
              <w:spacing w:before="120" w:after="120"/>
              <w:ind w:left="345"/>
            </w:pPr>
            <w:r w:rsidRPr="002E1BEE">
              <w:rPr>
                <w:b/>
                <w:bCs/>
              </w:rPr>
              <w:t>(c) </w:t>
            </w:r>
            <w:r w:rsidRPr="002E1BEE">
              <w:t>is of specific instances of sexual activity; and</w:t>
            </w:r>
          </w:p>
          <w:p w14:paraId="64CD408A" w14:textId="77777777" w:rsidR="002E1BEE" w:rsidRPr="002E1BEE" w:rsidRDefault="002E1BEE" w:rsidP="002E1BEE">
            <w:pPr>
              <w:pStyle w:val="Tableaudroiteanglais"/>
              <w:spacing w:before="120" w:after="120"/>
              <w:ind w:left="345"/>
            </w:pPr>
            <w:r w:rsidRPr="002E1BEE">
              <w:rPr>
                <w:b/>
                <w:bCs/>
              </w:rPr>
              <w:t>(d) </w:t>
            </w:r>
            <w:r w:rsidRPr="002E1BEE">
              <w:t>has significant probative value that is not substantially outweighed by the danger of prejudice to the proper administration of justice.</w:t>
            </w:r>
          </w:p>
          <w:p w14:paraId="3131E1C0" w14:textId="77777777" w:rsidR="002E1BEE" w:rsidRPr="002E1BEE" w:rsidRDefault="002E1BEE" w:rsidP="002E1BEE">
            <w:pPr>
              <w:pStyle w:val="Tableaudroiteanglais"/>
              <w:spacing w:before="400" w:after="120"/>
              <w:ind w:left="142"/>
              <w:rPr>
                <w:b/>
                <w:bCs/>
              </w:rPr>
            </w:pPr>
            <w:r w:rsidRPr="002E1BEE">
              <w:rPr>
                <w:b/>
                <w:bCs/>
              </w:rPr>
              <w:t>Factors that judge must consider</w:t>
            </w:r>
          </w:p>
          <w:p w14:paraId="61AE40A4" w14:textId="77777777" w:rsidR="002E1BEE" w:rsidRPr="002E1BEE" w:rsidRDefault="002E1BEE" w:rsidP="002E1BEE">
            <w:pPr>
              <w:pStyle w:val="Tableaudroiteanglais"/>
              <w:spacing w:before="120" w:after="120"/>
            </w:pPr>
            <w:r w:rsidRPr="002E1BEE">
              <w:rPr>
                <w:b/>
                <w:bCs/>
              </w:rPr>
              <w:t>(3) </w:t>
            </w:r>
            <w:r w:rsidRPr="002E1BEE">
              <w:t xml:space="preserve">In determining whether evidence is admissible under subsection (2), the judge, provincial court judge or justice shall </w:t>
            </w:r>
            <w:proofErr w:type="gramStart"/>
            <w:r w:rsidRPr="002E1BEE">
              <w:t>take into account</w:t>
            </w:r>
            <w:proofErr w:type="gramEnd"/>
          </w:p>
          <w:p w14:paraId="74F2AEC3" w14:textId="77777777" w:rsidR="002E1BEE" w:rsidRPr="002E1BEE" w:rsidRDefault="002E1BEE" w:rsidP="00A74413">
            <w:pPr>
              <w:pStyle w:val="Tableaudroiteanglais"/>
              <w:spacing w:before="360" w:after="120"/>
              <w:ind w:left="346"/>
            </w:pPr>
            <w:r w:rsidRPr="002E1BEE">
              <w:rPr>
                <w:b/>
                <w:bCs/>
              </w:rPr>
              <w:lastRenderedPageBreak/>
              <w:t>(a) </w:t>
            </w:r>
            <w:r w:rsidRPr="002E1BEE">
              <w:t xml:space="preserve">the interests of justice, including the right of the accused to make a full answer and </w:t>
            </w:r>
            <w:proofErr w:type="gramStart"/>
            <w:r w:rsidRPr="002E1BEE">
              <w:t>defence;</w:t>
            </w:r>
            <w:proofErr w:type="gramEnd"/>
          </w:p>
          <w:p w14:paraId="1D277138" w14:textId="6D76765B" w:rsidR="002E1BEE" w:rsidRPr="002E1BEE" w:rsidRDefault="002E1BEE" w:rsidP="00A74413">
            <w:pPr>
              <w:pStyle w:val="Tableaudroiteanglais"/>
              <w:spacing w:before="120" w:after="120"/>
              <w:ind w:left="346"/>
            </w:pPr>
            <w:r w:rsidRPr="002E1BEE">
              <w:rPr>
                <w:b/>
                <w:bCs/>
              </w:rPr>
              <w:t>(b) </w:t>
            </w:r>
            <w:r w:rsidRPr="002E1BEE">
              <w:t>society</w:t>
            </w:r>
            <w:r w:rsidR="00D06C3F">
              <w:t>’</w:t>
            </w:r>
            <w:r w:rsidRPr="002E1BEE">
              <w:t xml:space="preserve">s interest in encouraging the reporting of sexual assault </w:t>
            </w:r>
            <w:proofErr w:type="gramStart"/>
            <w:r w:rsidRPr="002E1BEE">
              <w:t>offences;</w:t>
            </w:r>
            <w:proofErr w:type="gramEnd"/>
          </w:p>
          <w:p w14:paraId="64F4DA56" w14:textId="77777777" w:rsidR="002E1BEE" w:rsidRPr="002E1BEE" w:rsidRDefault="002E1BEE" w:rsidP="002E1BEE">
            <w:pPr>
              <w:pStyle w:val="Tableaudroiteanglais"/>
              <w:spacing w:before="120" w:after="120"/>
              <w:ind w:left="345"/>
            </w:pPr>
            <w:r w:rsidRPr="002E1BEE">
              <w:rPr>
                <w:b/>
                <w:bCs/>
              </w:rPr>
              <w:t>(c) </w:t>
            </w:r>
            <w:r w:rsidRPr="002E1BEE">
              <w:t xml:space="preserve">whether there is a reasonable prospect that the evidence will assist in arriving at a just determination in the </w:t>
            </w:r>
            <w:proofErr w:type="gramStart"/>
            <w:r w:rsidRPr="002E1BEE">
              <w:t>case;</w:t>
            </w:r>
            <w:proofErr w:type="gramEnd"/>
          </w:p>
          <w:p w14:paraId="206914B3" w14:textId="77777777" w:rsidR="002E1BEE" w:rsidRPr="002E1BEE" w:rsidRDefault="002E1BEE" w:rsidP="002E1BEE">
            <w:pPr>
              <w:pStyle w:val="Tableaudroiteanglais"/>
              <w:spacing w:before="120" w:after="120"/>
              <w:ind w:left="345"/>
            </w:pPr>
            <w:r w:rsidRPr="002E1BEE">
              <w:rPr>
                <w:b/>
                <w:bCs/>
              </w:rPr>
              <w:t>(d) </w:t>
            </w:r>
            <w:r w:rsidRPr="002E1BEE">
              <w:t xml:space="preserve">the need to remove from the fact-finding process any discriminatory belief or </w:t>
            </w:r>
            <w:proofErr w:type="gramStart"/>
            <w:r w:rsidRPr="002E1BEE">
              <w:t>bias;</w:t>
            </w:r>
            <w:proofErr w:type="gramEnd"/>
          </w:p>
          <w:p w14:paraId="7A4BC960" w14:textId="77777777" w:rsidR="002E1BEE" w:rsidRPr="002E1BEE" w:rsidRDefault="002E1BEE" w:rsidP="00A74413">
            <w:pPr>
              <w:pStyle w:val="Tableaudroiteanglais"/>
              <w:spacing w:before="240" w:after="120"/>
              <w:ind w:left="346"/>
            </w:pPr>
            <w:r w:rsidRPr="002E1BEE">
              <w:rPr>
                <w:b/>
                <w:bCs/>
              </w:rPr>
              <w:t>(e) </w:t>
            </w:r>
            <w:r w:rsidRPr="002E1BEE">
              <w:t xml:space="preserve">the risk that the evidence may unduly arouse sentiments of prejudice, sympathy or hostility in the </w:t>
            </w:r>
            <w:proofErr w:type="gramStart"/>
            <w:r w:rsidRPr="002E1BEE">
              <w:t>jury;</w:t>
            </w:r>
            <w:proofErr w:type="gramEnd"/>
          </w:p>
          <w:p w14:paraId="48796A7A" w14:textId="58955EFB" w:rsidR="002E1BEE" w:rsidRPr="002E1BEE" w:rsidRDefault="002E1BEE" w:rsidP="002E1BEE">
            <w:pPr>
              <w:pStyle w:val="Tableaudroiteanglais"/>
              <w:spacing w:before="120" w:after="120"/>
              <w:ind w:left="345"/>
            </w:pPr>
            <w:r w:rsidRPr="002E1BEE">
              <w:rPr>
                <w:b/>
                <w:bCs/>
              </w:rPr>
              <w:t>(f) </w:t>
            </w:r>
            <w:r w:rsidRPr="002E1BEE">
              <w:t>the potential prejudice to the complainant</w:t>
            </w:r>
            <w:r w:rsidR="00D06C3F">
              <w:t>’</w:t>
            </w:r>
            <w:r w:rsidRPr="002E1BEE">
              <w:t xml:space="preserve">s personal dignity and right of </w:t>
            </w:r>
            <w:proofErr w:type="gramStart"/>
            <w:r w:rsidRPr="002E1BEE">
              <w:t>privacy;</w:t>
            </w:r>
            <w:proofErr w:type="gramEnd"/>
          </w:p>
          <w:p w14:paraId="74F694DF" w14:textId="77777777" w:rsidR="002E1BEE" w:rsidRPr="002E1BEE" w:rsidRDefault="002E1BEE" w:rsidP="002E1BEE">
            <w:pPr>
              <w:pStyle w:val="Tableaudroiteanglais"/>
              <w:spacing w:before="120" w:after="120"/>
              <w:ind w:left="345"/>
            </w:pPr>
            <w:r w:rsidRPr="002E1BEE">
              <w:rPr>
                <w:b/>
                <w:bCs/>
              </w:rPr>
              <w:t>(g) </w:t>
            </w:r>
            <w:r w:rsidRPr="002E1BEE">
              <w:t>the right of the complainant and of every individual to personal security and to the full protection and benefit of the law; and</w:t>
            </w:r>
          </w:p>
          <w:p w14:paraId="32BA24F3" w14:textId="77777777" w:rsidR="002E1BEE" w:rsidRPr="002E1BEE" w:rsidRDefault="002E1BEE" w:rsidP="002E1BEE">
            <w:pPr>
              <w:pStyle w:val="Tableaudroiteanglais"/>
              <w:spacing w:before="120" w:after="120"/>
              <w:ind w:left="345"/>
            </w:pPr>
            <w:r w:rsidRPr="002E1BEE">
              <w:rPr>
                <w:b/>
                <w:bCs/>
              </w:rPr>
              <w:t>(h) </w:t>
            </w:r>
            <w:r w:rsidRPr="002E1BEE">
              <w:t>any other factor that the judge, provincial court judge or justice considers relevant.</w:t>
            </w:r>
          </w:p>
          <w:p w14:paraId="2A285485" w14:textId="77777777" w:rsidR="002E1BEE" w:rsidRPr="002E1BEE" w:rsidRDefault="002E1BEE" w:rsidP="002E1BEE">
            <w:pPr>
              <w:pStyle w:val="Tableaudroiteanglais"/>
              <w:spacing w:before="120" w:after="120"/>
              <w:rPr>
                <w:b/>
                <w:bCs/>
              </w:rPr>
            </w:pPr>
            <w:r w:rsidRPr="002E1BEE">
              <w:rPr>
                <w:b/>
                <w:bCs/>
              </w:rPr>
              <w:t>Interpretation</w:t>
            </w:r>
          </w:p>
          <w:p w14:paraId="7487CE2A" w14:textId="51C45687" w:rsidR="00314A01" w:rsidRPr="00A4178E" w:rsidRDefault="002E1BEE" w:rsidP="00A74413">
            <w:pPr>
              <w:pStyle w:val="Tableaudroiteanglais"/>
              <w:spacing w:before="80" w:after="120"/>
              <w:ind w:left="142"/>
            </w:pPr>
            <w:r w:rsidRPr="002E1BEE">
              <w:rPr>
                <w:b/>
                <w:bCs/>
              </w:rPr>
              <w:t>(4) </w:t>
            </w:r>
            <w:r w:rsidRPr="002E1BEE">
              <w:t xml:space="preserve">For the purpose of this section, </w:t>
            </w:r>
            <w:r w:rsidRPr="002E1BEE">
              <w:rPr>
                <w:b/>
                <w:bCs/>
                <w:i/>
                <w:iCs/>
              </w:rPr>
              <w:t>sexual activity</w:t>
            </w:r>
            <w:r w:rsidRPr="002E1BEE">
              <w:t xml:space="preserve"> includes any </w:t>
            </w:r>
            <w:r w:rsidRPr="00491128">
              <w:t>communication</w:t>
            </w:r>
            <w:r w:rsidRPr="002E1BEE">
              <w:t xml:space="preserve"> made for a sexual purpose or whose content is of a sexual nature</w:t>
            </w:r>
            <w:r w:rsidR="00C04FF8" w:rsidRPr="002E1BEE">
              <w:t>.</w:t>
            </w:r>
          </w:p>
        </w:tc>
        <w:tc>
          <w:tcPr>
            <w:tcW w:w="4680" w:type="dxa"/>
          </w:tcPr>
          <w:p w14:paraId="4E3E149A" w14:textId="77777777" w:rsidR="002E1BEE" w:rsidRPr="002E1BEE" w:rsidRDefault="002E1BEE" w:rsidP="002E1BEE">
            <w:pPr>
              <w:pStyle w:val="Tableaugauchefranais"/>
              <w:spacing w:before="120" w:after="120"/>
              <w:ind w:right="142"/>
              <w:jc w:val="both"/>
              <w:rPr>
                <w:b/>
                <w:bCs/>
              </w:rPr>
            </w:pPr>
            <w:r w:rsidRPr="002E1BEE">
              <w:rPr>
                <w:b/>
                <w:bCs/>
              </w:rPr>
              <w:lastRenderedPageBreak/>
              <w:t>Preuve concernant le comportement sexuel du plaignant</w:t>
            </w:r>
          </w:p>
          <w:p w14:paraId="3EA9274B" w14:textId="147FD001" w:rsidR="002E1BEE" w:rsidRPr="002E1BEE" w:rsidRDefault="002E1BEE" w:rsidP="002E1BEE">
            <w:pPr>
              <w:pStyle w:val="Tableaugauchefranais"/>
              <w:spacing w:before="120" w:after="120"/>
              <w:jc w:val="both"/>
            </w:pPr>
            <w:r w:rsidRPr="002E1BEE">
              <w:rPr>
                <w:b/>
                <w:bCs/>
              </w:rPr>
              <w:t>276 (1) </w:t>
            </w:r>
            <w:r w:rsidRPr="002E1BEE">
              <w:t>Dans les poursuites pour une infraction prévue aux articles 151, 152, 153, 153.1 ou 155, aux paragraphes 160(2) ou (3) ou aux articles 170, 171, 172, 173, 271, 272 ou 273, la preuve de ce que le plaignant a eu une activité sexuelle avec l</w:t>
            </w:r>
            <w:r w:rsidR="00D06C3F">
              <w:t>’</w:t>
            </w:r>
            <w:r w:rsidRPr="002E1BEE">
              <w:t>accusé ou un tiers est inadmissible pour permettre de déduire du caractère sexuel de cette activité qu</w:t>
            </w:r>
            <w:r w:rsidR="00D06C3F">
              <w:t>’</w:t>
            </w:r>
            <w:r w:rsidRPr="002E1BEE">
              <w:t>il est :</w:t>
            </w:r>
          </w:p>
          <w:p w14:paraId="7A554FCB" w14:textId="79EC946C" w:rsidR="002E1BEE" w:rsidRPr="002E1BEE" w:rsidRDefault="002E1BEE" w:rsidP="002E1BEE">
            <w:pPr>
              <w:pStyle w:val="Tableaugauchefranais"/>
              <w:spacing w:before="120" w:after="120"/>
              <w:ind w:left="918"/>
              <w:jc w:val="both"/>
            </w:pPr>
            <w:r w:rsidRPr="002E1BEE">
              <w:rPr>
                <w:b/>
                <w:bCs/>
              </w:rPr>
              <w:t>a) </w:t>
            </w:r>
            <w:r w:rsidRPr="002E1BEE">
              <w:t>soit plus susceptible d</w:t>
            </w:r>
            <w:r w:rsidR="00D06C3F">
              <w:t>’</w:t>
            </w:r>
            <w:r w:rsidRPr="002E1BEE">
              <w:t>avoir consenti à l</w:t>
            </w:r>
            <w:r w:rsidR="00D06C3F">
              <w:t>’</w:t>
            </w:r>
            <w:r w:rsidRPr="002E1BEE">
              <w:t>activité à l</w:t>
            </w:r>
            <w:r w:rsidR="00D06C3F">
              <w:t>’</w:t>
            </w:r>
            <w:r w:rsidRPr="002E1BEE">
              <w:t>origine de l</w:t>
            </w:r>
            <w:r w:rsidR="00D06C3F">
              <w:t>’</w:t>
            </w:r>
            <w:r w:rsidRPr="002E1BEE">
              <w:t>accusation;</w:t>
            </w:r>
          </w:p>
          <w:p w14:paraId="35E32000" w14:textId="77777777" w:rsidR="002E1BEE" w:rsidRPr="002E1BEE" w:rsidRDefault="002E1BEE" w:rsidP="002E1BEE">
            <w:pPr>
              <w:pStyle w:val="Tableaugauchefranais"/>
              <w:spacing w:before="120" w:after="120"/>
              <w:ind w:left="918"/>
              <w:jc w:val="both"/>
            </w:pPr>
            <w:r w:rsidRPr="002E1BEE">
              <w:rPr>
                <w:b/>
                <w:bCs/>
              </w:rPr>
              <w:lastRenderedPageBreak/>
              <w:t>b) </w:t>
            </w:r>
            <w:r w:rsidRPr="002E1BEE">
              <w:t>soit moins digne de foi.</w:t>
            </w:r>
          </w:p>
          <w:p w14:paraId="654F6036" w14:textId="17827AC9" w:rsidR="002E1BEE" w:rsidRPr="002E1BEE" w:rsidRDefault="002E1BEE" w:rsidP="002E1BEE">
            <w:pPr>
              <w:pStyle w:val="Tableaugauchefranais"/>
              <w:spacing w:before="120" w:after="120"/>
              <w:jc w:val="both"/>
              <w:rPr>
                <w:b/>
                <w:bCs/>
              </w:rPr>
            </w:pPr>
            <w:r w:rsidRPr="002E1BEE">
              <w:rPr>
                <w:b/>
                <w:bCs/>
              </w:rPr>
              <w:t>Conditions de l</w:t>
            </w:r>
            <w:r w:rsidR="00D06C3F">
              <w:rPr>
                <w:b/>
                <w:bCs/>
              </w:rPr>
              <w:t>’</w:t>
            </w:r>
            <w:r w:rsidRPr="002E1BEE">
              <w:rPr>
                <w:b/>
                <w:bCs/>
              </w:rPr>
              <w:t>admissibilité</w:t>
            </w:r>
          </w:p>
          <w:p w14:paraId="312AEB02" w14:textId="7EB610D1" w:rsidR="002E1BEE" w:rsidRPr="002E1BEE" w:rsidRDefault="002E1BEE" w:rsidP="002E1BEE">
            <w:pPr>
              <w:pStyle w:val="Tableaugauchefranais"/>
              <w:spacing w:before="120" w:after="120"/>
              <w:jc w:val="both"/>
            </w:pPr>
            <w:r w:rsidRPr="002E1BEE">
              <w:rPr>
                <w:b/>
                <w:bCs/>
              </w:rPr>
              <w:t>(2) </w:t>
            </w:r>
            <w:r w:rsidRPr="002E1BEE">
              <w:t>Dans les poursuites visées au paragraphe (1), l</w:t>
            </w:r>
            <w:r w:rsidR="00D06C3F">
              <w:t>’</w:t>
            </w:r>
            <w:r w:rsidRPr="002E1BEE">
              <w:t>accusé ou son représentant ne peut présenter de preuve de ce que le plaignant a eu une activité sexuelle autre que celle à l</w:t>
            </w:r>
            <w:r w:rsidR="00D06C3F">
              <w:t>’</w:t>
            </w:r>
            <w:r w:rsidRPr="002E1BEE">
              <w:t>origine de l</w:t>
            </w:r>
            <w:r w:rsidR="00D06C3F">
              <w:t>’</w:t>
            </w:r>
            <w:r w:rsidRPr="002E1BEE">
              <w:t>accusation sauf si le juge, le juge de la cour provinciale ou le juge de paix décide, conformément aux articles 278.93 et 278.94, à la fois :</w:t>
            </w:r>
          </w:p>
          <w:p w14:paraId="56867B13" w14:textId="77777777" w:rsidR="002E1BEE" w:rsidRPr="002E1BEE" w:rsidRDefault="002E1BEE" w:rsidP="002E1BEE">
            <w:pPr>
              <w:pStyle w:val="Tableaugauchefranais"/>
              <w:spacing w:before="120" w:after="120"/>
              <w:ind w:left="918"/>
              <w:jc w:val="both"/>
              <w:rPr>
                <w:b/>
                <w:bCs/>
              </w:rPr>
            </w:pPr>
          </w:p>
          <w:p w14:paraId="002C6F75" w14:textId="63F4EAED" w:rsidR="002E1BEE" w:rsidRPr="002E1BEE" w:rsidRDefault="002E1BEE" w:rsidP="00A74413">
            <w:pPr>
              <w:pStyle w:val="Tableaugauchefranais"/>
              <w:spacing w:before="360" w:after="120"/>
              <w:ind w:left="919" w:right="142"/>
              <w:jc w:val="both"/>
            </w:pPr>
            <w:r w:rsidRPr="002E1BEE">
              <w:rPr>
                <w:b/>
                <w:bCs/>
              </w:rPr>
              <w:t>a) </w:t>
            </w:r>
            <w:r w:rsidRPr="002E1BEE">
              <w:t>que cette preuve n</w:t>
            </w:r>
            <w:r w:rsidR="00D06C3F">
              <w:t>’</w:t>
            </w:r>
            <w:r w:rsidRPr="002E1BEE">
              <w:t>est pas présentée afin de permettre les déductions visées au paragraphe (1);</w:t>
            </w:r>
          </w:p>
          <w:p w14:paraId="43BC9007" w14:textId="77777777" w:rsidR="002E1BEE" w:rsidRPr="002E1BEE" w:rsidRDefault="002E1BEE" w:rsidP="002E1BEE">
            <w:pPr>
              <w:pStyle w:val="Tableaugauchefranais"/>
              <w:spacing w:before="240" w:after="120"/>
              <w:ind w:left="919" w:right="142"/>
              <w:jc w:val="both"/>
            </w:pPr>
            <w:r w:rsidRPr="002E1BEE">
              <w:rPr>
                <w:b/>
                <w:bCs/>
              </w:rPr>
              <w:t>b) </w:t>
            </w:r>
            <w:r w:rsidRPr="002E1BEE">
              <w:t>que cette preuve est en rapport avec un élément de la cause;</w:t>
            </w:r>
          </w:p>
          <w:p w14:paraId="33EE430C" w14:textId="0C592375" w:rsidR="002E1BEE" w:rsidRPr="002E1BEE" w:rsidRDefault="002E1BEE" w:rsidP="002E1BEE">
            <w:pPr>
              <w:pStyle w:val="Tableaugauchefranais"/>
              <w:spacing w:before="120" w:after="120"/>
              <w:ind w:left="919" w:right="142"/>
              <w:jc w:val="both"/>
            </w:pPr>
            <w:r w:rsidRPr="002E1BEE">
              <w:rPr>
                <w:b/>
                <w:bCs/>
              </w:rPr>
              <w:t>c) </w:t>
            </w:r>
            <w:r w:rsidRPr="002E1BEE">
              <w:t>que cette preuve porte sur des cas particuliers d</w:t>
            </w:r>
            <w:r w:rsidR="00D06C3F">
              <w:t>’</w:t>
            </w:r>
            <w:r w:rsidRPr="002E1BEE">
              <w:t>activité sexuelle;</w:t>
            </w:r>
          </w:p>
          <w:p w14:paraId="568EF7CD" w14:textId="0C41031D" w:rsidR="002E1BEE" w:rsidRPr="002E1BEE" w:rsidRDefault="002E1BEE" w:rsidP="002E1BEE">
            <w:pPr>
              <w:pStyle w:val="Tableaugauchefranais"/>
              <w:spacing w:before="120" w:after="120"/>
              <w:ind w:left="918"/>
              <w:jc w:val="both"/>
            </w:pPr>
            <w:r w:rsidRPr="002E1BEE">
              <w:rPr>
                <w:b/>
                <w:bCs/>
              </w:rPr>
              <w:t>d) </w:t>
            </w:r>
            <w:r w:rsidRPr="002E1BEE">
              <w:t>que le risque d</w:t>
            </w:r>
            <w:r w:rsidR="00D06C3F">
              <w:t>’</w:t>
            </w:r>
            <w:r w:rsidRPr="002E1BEE">
              <w:t>effet préjudiciable à la bonne administration de la justice de cette preuve ne l</w:t>
            </w:r>
            <w:r w:rsidR="00D06C3F">
              <w:t>’</w:t>
            </w:r>
            <w:r w:rsidRPr="002E1BEE">
              <w:t>emporte pas sensiblement sur sa valeur probante.</w:t>
            </w:r>
          </w:p>
          <w:p w14:paraId="45C56883" w14:textId="77777777" w:rsidR="002E1BEE" w:rsidRPr="002E1BEE" w:rsidRDefault="002E1BEE" w:rsidP="002E1BEE">
            <w:pPr>
              <w:pStyle w:val="Tableaugauchefranais"/>
              <w:spacing w:before="120" w:after="120"/>
              <w:rPr>
                <w:b/>
                <w:bCs/>
              </w:rPr>
            </w:pPr>
            <w:r w:rsidRPr="002E1BEE">
              <w:rPr>
                <w:b/>
                <w:bCs/>
              </w:rPr>
              <w:t>Facteurs à considérer</w:t>
            </w:r>
          </w:p>
          <w:p w14:paraId="414738CA" w14:textId="77777777" w:rsidR="002E1BEE" w:rsidRPr="002E1BEE" w:rsidRDefault="002E1BEE" w:rsidP="002E1BEE">
            <w:pPr>
              <w:pStyle w:val="Tableaugauchefranais"/>
              <w:spacing w:before="120" w:after="120"/>
              <w:jc w:val="both"/>
            </w:pPr>
            <w:r w:rsidRPr="002E1BEE">
              <w:rPr>
                <w:b/>
                <w:bCs/>
              </w:rPr>
              <w:t>(3) </w:t>
            </w:r>
            <w:r w:rsidRPr="002E1BEE">
              <w:t>Pour décider si la preuve est admissible au titre du paragraphe (2), le juge, le juge de la cour provinciale ou le juge de paix prend en considération :</w:t>
            </w:r>
          </w:p>
          <w:p w14:paraId="645A76FF" w14:textId="1E3397C4" w:rsidR="002E1BEE" w:rsidRPr="002E1BEE" w:rsidRDefault="002E1BEE" w:rsidP="00A74413">
            <w:pPr>
              <w:pStyle w:val="Tableaugauchefranais"/>
              <w:spacing w:before="240" w:after="120"/>
              <w:ind w:left="919" w:right="142"/>
              <w:jc w:val="both"/>
            </w:pPr>
            <w:r w:rsidRPr="002E1BEE">
              <w:rPr>
                <w:b/>
                <w:bCs/>
              </w:rPr>
              <w:lastRenderedPageBreak/>
              <w:t>a) </w:t>
            </w:r>
            <w:r w:rsidRPr="002E1BEE">
              <w:t>l</w:t>
            </w:r>
            <w:r w:rsidR="00D06C3F">
              <w:t>’</w:t>
            </w:r>
            <w:r w:rsidRPr="002E1BEE">
              <w:t>intérêt de la justice, y compris le droit de l</w:t>
            </w:r>
            <w:r w:rsidR="00D06C3F">
              <w:t>’</w:t>
            </w:r>
            <w:r w:rsidRPr="002E1BEE">
              <w:t>accusé à une défense pleine et entière;</w:t>
            </w:r>
          </w:p>
          <w:p w14:paraId="7D93F7C3" w14:textId="32E366A9" w:rsidR="002E1BEE" w:rsidRPr="002E1BEE" w:rsidRDefault="002E1BEE" w:rsidP="002E1BEE">
            <w:pPr>
              <w:pStyle w:val="Tableaugauchefranais"/>
              <w:spacing w:before="120" w:after="120"/>
              <w:ind w:left="918"/>
              <w:jc w:val="both"/>
            </w:pPr>
            <w:r w:rsidRPr="002E1BEE">
              <w:rPr>
                <w:b/>
                <w:bCs/>
              </w:rPr>
              <w:t>b) </w:t>
            </w:r>
            <w:r w:rsidRPr="002E1BEE">
              <w:t>l</w:t>
            </w:r>
            <w:r w:rsidR="00D06C3F">
              <w:t>’</w:t>
            </w:r>
            <w:r w:rsidRPr="002E1BEE">
              <w:t>intérêt de la société à encourager la dénonciation des agressions sexuelles;</w:t>
            </w:r>
          </w:p>
          <w:p w14:paraId="3094FFF5" w14:textId="77777777" w:rsidR="002E1BEE" w:rsidRPr="002E1BEE" w:rsidRDefault="002E1BEE" w:rsidP="002E1BEE">
            <w:pPr>
              <w:pStyle w:val="Tableaugauchefranais"/>
              <w:spacing w:before="120" w:after="120"/>
              <w:ind w:left="918"/>
              <w:jc w:val="both"/>
            </w:pPr>
            <w:r w:rsidRPr="002E1BEE">
              <w:rPr>
                <w:b/>
                <w:bCs/>
              </w:rPr>
              <w:t>c) </w:t>
            </w:r>
            <w:r w:rsidRPr="002E1BEE">
              <w:t>la possibilité, dans de bonnes conditions, de parvenir, grâce à elle, à une décision juste;</w:t>
            </w:r>
          </w:p>
          <w:p w14:paraId="5F2C2741" w14:textId="142A9695" w:rsidR="002E1BEE" w:rsidRPr="002E1BEE" w:rsidRDefault="002E1BEE" w:rsidP="00A74413">
            <w:pPr>
              <w:pStyle w:val="Tableaugauchefranais"/>
              <w:spacing w:before="240" w:after="120"/>
              <w:ind w:left="919" w:right="142"/>
              <w:jc w:val="both"/>
            </w:pPr>
            <w:r w:rsidRPr="002E1BEE">
              <w:rPr>
                <w:b/>
                <w:bCs/>
              </w:rPr>
              <w:t>d) </w:t>
            </w:r>
            <w:r w:rsidRPr="002E1BEE">
              <w:t>le besoin d</w:t>
            </w:r>
            <w:r w:rsidR="00D06C3F">
              <w:t>’</w:t>
            </w:r>
            <w:r w:rsidRPr="002E1BEE">
              <w:t xml:space="preserve">écarter de la </w:t>
            </w:r>
            <w:r w:rsidRPr="00491128">
              <w:t>procédure</w:t>
            </w:r>
            <w:r w:rsidRPr="002E1BEE">
              <w:t xml:space="preserve"> de recherche des faits toute opinion ou préjugé discriminatoire;</w:t>
            </w:r>
          </w:p>
          <w:p w14:paraId="3BEACCDE" w14:textId="5C966024" w:rsidR="002E1BEE" w:rsidRPr="002E1BEE" w:rsidRDefault="002E1BEE" w:rsidP="002E1BEE">
            <w:pPr>
              <w:pStyle w:val="Tableaugauchefranais"/>
              <w:spacing w:before="120" w:after="120"/>
              <w:ind w:left="918"/>
              <w:jc w:val="both"/>
            </w:pPr>
            <w:r w:rsidRPr="002E1BEE">
              <w:rPr>
                <w:b/>
                <w:bCs/>
              </w:rPr>
              <w:t>e) </w:t>
            </w:r>
            <w:r w:rsidRPr="002E1BEE">
              <w:t>le risque de susciter abusivement, chez le jury, des préjugés, de la sympathie ou de l</w:t>
            </w:r>
            <w:r w:rsidR="00D06C3F">
              <w:t>’</w:t>
            </w:r>
            <w:r w:rsidRPr="002E1BEE">
              <w:t>hostilité;</w:t>
            </w:r>
          </w:p>
          <w:p w14:paraId="39C23BD6" w14:textId="7D26CCD7" w:rsidR="002E1BEE" w:rsidRPr="002E1BEE" w:rsidRDefault="002E1BEE" w:rsidP="002E1BEE">
            <w:pPr>
              <w:pStyle w:val="Tableaugauchefranais"/>
              <w:spacing w:before="120" w:after="120"/>
              <w:ind w:left="918"/>
              <w:jc w:val="both"/>
            </w:pPr>
            <w:r w:rsidRPr="002E1BEE">
              <w:rPr>
                <w:b/>
                <w:bCs/>
              </w:rPr>
              <w:t>f) </w:t>
            </w:r>
            <w:r w:rsidRPr="002E1BEE">
              <w:t>le risque d</w:t>
            </w:r>
            <w:r w:rsidR="00D06C3F">
              <w:t>’</w:t>
            </w:r>
            <w:r w:rsidRPr="002E1BEE">
              <w:t>atteinte à la dignité du plaignant et à son droit à la vie privée;</w:t>
            </w:r>
          </w:p>
          <w:p w14:paraId="6B7E5CC0" w14:textId="4DD6C1C9" w:rsidR="002E1BEE" w:rsidRPr="002E1BEE" w:rsidRDefault="002E1BEE" w:rsidP="002E1BEE">
            <w:pPr>
              <w:pStyle w:val="Tableaugauchefranais"/>
              <w:spacing w:before="120" w:after="120"/>
              <w:ind w:left="918"/>
              <w:jc w:val="both"/>
            </w:pPr>
            <w:r w:rsidRPr="002E1BEE">
              <w:rPr>
                <w:b/>
                <w:bCs/>
              </w:rPr>
              <w:t>g) </w:t>
            </w:r>
            <w:r w:rsidRPr="002E1BEE">
              <w:t>le droit du plaignant et de chacun à la sécurité de leur personne, ainsi qu</w:t>
            </w:r>
            <w:r w:rsidR="00D06C3F">
              <w:t>’</w:t>
            </w:r>
            <w:r w:rsidRPr="002E1BEE">
              <w:t>à la plénitude de la protection et du bénéfice de la loi;</w:t>
            </w:r>
          </w:p>
          <w:p w14:paraId="69B9340C" w14:textId="5138661D" w:rsidR="002E1BEE" w:rsidRPr="002E1BEE" w:rsidRDefault="002E1BEE" w:rsidP="002E1BEE">
            <w:pPr>
              <w:pStyle w:val="Tableaugauchefranais"/>
              <w:spacing w:before="120" w:after="120"/>
              <w:ind w:left="918"/>
              <w:jc w:val="both"/>
            </w:pPr>
            <w:r w:rsidRPr="002E1BEE">
              <w:rPr>
                <w:b/>
                <w:bCs/>
              </w:rPr>
              <w:t>h) </w:t>
            </w:r>
            <w:r w:rsidRPr="002E1BEE">
              <w:t>tout autre facteur qu</w:t>
            </w:r>
            <w:r w:rsidR="00D06C3F">
              <w:t>’</w:t>
            </w:r>
            <w:r w:rsidRPr="002E1BEE">
              <w:t>il estime applicable en l</w:t>
            </w:r>
            <w:r w:rsidR="00D06C3F">
              <w:t>’</w:t>
            </w:r>
            <w:r w:rsidRPr="002E1BEE">
              <w:t>espèce.</w:t>
            </w:r>
          </w:p>
          <w:p w14:paraId="010EABC5" w14:textId="77777777" w:rsidR="002E1BEE" w:rsidRPr="002E1BEE" w:rsidRDefault="002E1BEE" w:rsidP="003623F8">
            <w:pPr>
              <w:pStyle w:val="Tableaudroiteanglais"/>
              <w:spacing w:before="480" w:after="120"/>
              <w:ind w:left="142"/>
              <w:rPr>
                <w:b/>
                <w:bCs/>
                <w:lang w:val="fr-CA"/>
              </w:rPr>
            </w:pPr>
            <w:r w:rsidRPr="00491128">
              <w:rPr>
                <w:b/>
                <w:bCs/>
                <w:lang w:val="fr-CA"/>
              </w:rPr>
              <w:t>Précision</w:t>
            </w:r>
          </w:p>
          <w:p w14:paraId="7487CE41" w14:textId="6813DB87" w:rsidR="00314A01" w:rsidRPr="002E1BEE" w:rsidRDefault="002E1BEE" w:rsidP="00A74413">
            <w:pPr>
              <w:pStyle w:val="Tableaudroiteanglais"/>
              <w:spacing w:before="80" w:after="120"/>
              <w:ind w:left="142"/>
              <w:rPr>
                <w:lang w:val="fr-CA"/>
              </w:rPr>
            </w:pPr>
            <w:r w:rsidRPr="002E1BEE">
              <w:rPr>
                <w:b/>
                <w:bCs/>
                <w:lang w:val="fr-CA"/>
              </w:rPr>
              <w:t>(4) </w:t>
            </w:r>
            <w:r w:rsidRPr="002E1BEE">
              <w:rPr>
                <w:lang w:val="fr-CA"/>
              </w:rPr>
              <w:t>Il est entendu que, pour l</w:t>
            </w:r>
            <w:r w:rsidR="00D06C3F">
              <w:rPr>
                <w:lang w:val="fr-CA"/>
              </w:rPr>
              <w:t>’</w:t>
            </w:r>
            <w:r w:rsidRPr="002E1BEE">
              <w:rPr>
                <w:lang w:val="fr-CA"/>
              </w:rPr>
              <w:t xml:space="preserve">application du présent article, </w:t>
            </w:r>
            <w:r w:rsidRPr="002E1BEE">
              <w:rPr>
                <w:b/>
                <w:bCs/>
                <w:i/>
                <w:iCs/>
                <w:lang w:val="fr-CA"/>
              </w:rPr>
              <w:t>activité sexuelle</w:t>
            </w:r>
            <w:r w:rsidRPr="002E1BEE">
              <w:rPr>
                <w:lang w:val="fr-CA"/>
              </w:rPr>
              <w:t xml:space="preserve"> s</w:t>
            </w:r>
            <w:r w:rsidR="00D06C3F">
              <w:rPr>
                <w:lang w:val="fr-CA"/>
              </w:rPr>
              <w:t>’</w:t>
            </w:r>
            <w:r w:rsidRPr="002E1BEE">
              <w:rPr>
                <w:lang w:val="fr-CA"/>
              </w:rPr>
              <w:t xml:space="preserve">entend notamment de toute communication à </w:t>
            </w:r>
            <w:r w:rsidRPr="002E1BEE">
              <w:rPr>
                <w:lang w:val="fr-CA"/>
              </w:rPr>
              <w:lastRenderedPageBreak/>
              <w:t>des fins d</w:t>
            </w:r>
            <w:r w:rsidR="00D06C3F">
              <w:rPr>
                <w:lang w:val="fr-CA"/>
              </w:rPr>
              <w:t>’</w:t>
            </w:r>
            <w:r w:rsidRPr="002E1BEE">
              <w:rPr>
                <w:lang w:val="fr-CA"/>
              </w:rPr>
              <w:t>ordre sexuel ou dont le contenu est de nature sexuelle</w:t>
            </w:r>
            <w:r w:rsidR="00C04FF8" w:rsidRPr="002E1BEE">
              <w:rPr>
                <w:lang w:val="fr-CA"/>
              </w:rPr>
              <w:t>.</w:t>
            </w:r>
          </w:p>
        </w:tc>
      </w:tr>
    </w:tbl>
    <w:p w14:paraId="7487CE43" w14:textId="77777777" w:rsidR="00314A01" w:rsidRPr="00A4178E" w:rsidRDefault="00C04FF8" w:rsidP="00314A01">
      <w:pPr>
        <w:pStyle w:val="Paragraphe"/>
        <w:spacing w:line="280" w:lineRule="exact"/>
        <w:rPr>
          <w:lang w:val="en-CA"/>
        </w:rPr>
      </w:pPr>
      <w:r w:rsidRPr="00A4178E">
        <w:rPr>
          <w:lang w:val="en-CA"/>
        </w:rPr>
        <w:lastRenderedPageBreak/>
        <w:t>In a recent judgment written by Wagner, C.J., the Supreme Court reiterated the three purposes of this scheme:</w:t>
      </w:r>
    </w:p>
    <w:p w14:paraId="7487CE44" w14:textId="3630E390" w:rsidR="00314A01" w:rsidRPr="00A4178E" w:rsidRDefault="00C04FF8" w:rsidP="00314A01">
      <w:pPr>
        <w:pStyle w:val="Citationenretrait"/>
        <w:rPr>
          <w:lang w:val="en-CA"/>
        </w:rPr>
      </w:pPr>
      <w:r w:rsidRPr="00A4178E">
        <w:rPr>
          <w:lang w:val="en-CA"/>
        </w:rPr>
        <w:t>[29]</w:t>
      </w:r>
      <w:r w:rsidRPr="00A4178E">
        <w:rPr>
          <w:lang w:val="en-CA"/>
        </w:rPr>
        <w:tab/>
        <w:t xml:space="preserve">[…] This Court has stated that the </w:t>
      </w:r>
      <w:r w:rsidR="004F6D1C">
        <w:rPr>
          <w:lang w:val="en-CA"/>
        </w:rPr>
        <w:t>s. 2</w:t>
      </w:r>
      <w:r w:rsidRPr="00A4178E">
        <w:rPr>
          <w:lang w:val="en-CA"/>
        </w:rPr>
        <w:t>76 regime has three purposes: (1) to protect the integrity of the trial by excluding irrelevant and misleading evidence; (2)</w:t>
      </w:r>
      <w:r w:rsidR="00A64A0A">
        <w:rPr>
          <w:lang w:val="en-CA"/>
        </w:rPr>
        <w:t> </w:t>
      </w:r>
      <w:r w:rsidRPr="00A4178E">
        <w:rPr>
          <w:lang w:val="en-CA"/>
        </w:rPr>
        <w:t>to protect an accused</w:t>
      </w:r>
      <w:r w:rsidR="00D06C3F">
        <w:rPr>
          <w:lang w:val="en-CA"/>
        </w:rPr>
        <w:t>’</w:t>
      </w:r>
      <w:r w:rsidRPr="00A4178E">
        <w:rPr>
          <w:lang w:val="en-CA"/>
        </w:rPr>
        <w:t>s right to a fair trial; and (3) to encourage the reporting of sexual offences by protecting the security, privacy, and equality interests of complainants.</w:t>
      </w:r>
      <w:r w:rsidRPr="00A4178E">
        <w:rPr>
          <w:vertAlign w:val="superscript"/>
          <w:lang w:val="en-CA"/>
        </w:rPr>
        <w:footnoteReference w:id="43"/>
      </w:r>
    </w:p>
    <w:p w14:paraId="7487CE45" w14:textId="43A22BD6" w:rsidR="00314A01" w:rsidRPr="00A4178E" w:rsidRDefault="00C04FF8" w:rsidP="00314A01">
      <w:pPr>
        <w:pStyle w:val="Paragraphe"/>
        <w:spacing w:line="280" w:lineRule="exact"/>
        <w:rPr>
          <w:lang w:val="en-CA"/>
        </w:rPr>
      </w:pPr>
      <w:r w:rsidRPr="00A4178E">
        <w:rPr>
          <w:lang w:val="en-CA"/>
        </w:rPr>
        <w:t>Thus, evidence regarding a complainant</w:t>
      </w:r>
      <w:r w:rsidR="00D06C3F">
        <w:rPr>
          <w:lang w:val="en-CA"/>
        </w:rPr>
        <w:t>’</w:t>
      </w:r>
      <w:r w:rsidRPr="00A4178E">
        <w:rPr>
          <w:lang w:val="en-CA"/>
        </w:rPr>
        <w:t>s sexual activity is presumed inadmissible.</w:t>
      </w:r>
      <w:r w:rsidRPr="00A4178E">
        <w:rPr>
          <w:rStyle w:val="Appelnotedebasdep"/>
          <w:lang w:val="en-CA"/>
        </w:rPr>
        <w:footnoteReference w:id="44"/>
      </w:r>
      <w:r w:rsidRPr="00A4178E">
        <w:rPr>
          <w:lang w:val="en-CA"/>
        </w:rPr>
        <w:t xml:space="preserve"> According to </w:t>
      </w:r>
      <w:r w:rsidR="004F6D1C">
        <w:rPr>
          <w:lang w:val="en-CA"/>
        </w:rPr>
        <w:t>s. 2</w:t>
      </w:r>
      <w:r w:rsidRPr="00A4178E">
        <w:rPr>
          <w:lang w:val="en-CA"/>
        </w:rPr>
        <w:t>76(2) </w:t>
      </w:r>
      <w:proofErr w:type="spellStart"/>
      <w:r w:rsidRPr="00A4178E">
        <w:rPr>
          <w:i/>
          <w:iCs/>
          <w:lang w:val="en-CA"/>
        </w:rPr>
        <w:t>Cr.C</w:t>
      </w:r>
      <w:proofErr w:type="spellEnd"/>
      <w:r w:rsidRPr="00A4178E">
        <w:rPr>
          <w:i/>
          <w:iCs/>
          <w:lang w:val="en-CA"/>
        </w:rPr>
        <w:t>.</w:t>
      </w:r>
      <w:r w:rsidRPr="00A4178E">
        <w:rPr>
          <w:lang w:val="en-CA"/>
        </w:rPr>
        <w:t xml:space="preserve">, if such evidence is sought to be adduced by or on behalf of the accused, it must be shown that the evidence is not being adduced for the purpose of supporting an inference described in </w:t>
      </w:r>
      <w:r w:rsidR="004F6D1C">
        <w:rPr>
          <w:lang w:val="en-CA"/>
        </w:rPr>
        <w:t>s. 2</w:t>
      </w:r>
      <w:r w:rsidRPr="00A4178E">
        <w:rPr>
          <w:lang w:val="en-CA"/>
        </w:rPr>
        <w:t xml:space="preserve">76(1) (commonly referred to as the </w:t>
      </w:r>
      <w:r w:rsidR="00D06C3F">
        <w:rPr>
          <w:lang w:val="en-CA"/>
        </w:rPr>
        <w:t>“</w:t>
      </w:r>
      <w:r w:rsidRPr="00A4178E">
        <w:rPr>
          <w:lang w:val="en-CA"/>
        </w:rPr>
        <w:t>twin myths</w:t>
      </w:r>
      <w:r w:rsidR="00D06C3F">
        <w:rPr>
          <w:lang w:val="en-CA"/>
        </w:rPr>
        <w:t>”</w:t>
      </w:r>
      <w:r w:rsidRPr="00A4178E">
        <w:rPr>
          <w:rStyle w:val="Appelnotedebasdep"/>
          <w:lang w:val="en-CA"/>
        </w:rPr>
        <w:footnoteReference w:id="45"/>
      </w:r>
      <w:r w:rsidRPr="00A4178E">
        <w:rPr>
          <w:lang w:val="en-CA"/>
        </w:rPr>
        <w:t>), that it is relevant to an issue at trial, that it is of specific instances of sexual activity, and that its probative value is not substantially outweighed by its prejudicial effect.</w:t>
      </w:r>
    </w:p>
    <w:p w14:paraId="7487CE46" w14:textId="6E05FDBD" w:rsidR="00314A01" w:rsidRPr="00A4178E" w:rsidRDefault="00C04FF8" w:rsidP="00314A01">
      <w:pPr>
        <w:pStyle w:val="Paragraphe"/>
        <w:spacing w:line="280" w:lineRule="exact"/>
        <w:rPr>
          <w:lang w:val="en-CA"/>
        </w:rPr>
      </w:pPr>
      <w:r w:rsidRPr="00A4178E">
        <w:rPr>
          <w:lang w:val="en-CA"/>
        </w:rPr>
        <w:t>To make this demonstration by or on behalf of the accused, the two-stage process set out in s</w:t>
      </w:r>
      <w:r w:rsidR="004F6D1C">
        <w:rPr>
          <w:lang w:val="en-CA"/>
        </w:rPr>
        <w:t>s. 2</w:t>
      </w:r>
      <w:r w:rsidRPr="00A4178E">
        <w:rPr>
          <w:lang w:val="en-CA"/>
        </w:rPr>
        <w:t>78.93 and 278.94 </w:t>
      </w:r>
      <w:proofErr w:type="spellStart"/>
      <w:r w:rsidRPr="00A4178E">
        <w:rPr>
          <w:i/>
          <w:iCs/>
          <w:lang w:val="en-CA"/>
        </w:rPr>
        <w:t>Cr.C</w:t>
      </w:r>
      <w:proofErr w:type="spellEnd"/>
      <w:r w:rsidRPr="00A4178E">
        <w:rPr>
          <w:i/>
          <w:iCs/>
          <w:lang w:val="en-CA"/>
        </w:rPr>
        <w:t>.</w:t>
      </w:r>
      <w:r w:rsidRPr="00A4178E">
        <w:rPr>
          <w:lang w:val="en-CA"/>
        </w:rPr>
        <w:t xml:space="preserve"> must be followed.</w:t>
      </w:r>
      <w:r w:rsidRPr="00A4178E">
        <w:rPr>
          <w:i/>
          <w:iCs/>
          <w:lang w:val="en-CA"/>
        </w:rPr>
        <w:t xml:space="preserve"> </w:t>
      </w:r>
      <w:r w:rsidRPr="00A4178E">
        <w:rPr>
          <w:lang w:val="en-CA"/>
        </w:rPr>
        <w:t>It is useful to reproduce the full text of these provisions:</w:t>
      </w:r>
    </w:p>
    <w:tbl>
      <w:tblPr>
        <w:tblW w:w="0" w:type="auto"/>
        <w:tblCellMar>
          <w:left w:w="70" w:type="dxa"/>
          <w:right w:w="70" w:type="dxa"/>
        </w:tblCellMar>
        <w:tblLook w:val="0000" w:firstRow="0" w:lastRow="0" w:firstColumn="0" w:lastColumn="0" w:noHBand="0" w:noVBand="0"/>
      </w:tblPr>
      <w:tblGrid>
        <w:gridCol w:w="4682"/>
        <w:gridCol w:w="4680"/>
      </w:tblGrid>
      <w:tr w:rsidR="00445A95" w:rsidRPr="00A4178E" w14:paraId="7487CE77" w14:textId="77777777" w:rsidTr="007F295E">
        <w:tc>
          <w:tcPr>
            <w:tcW w:w="4682" w:type="dxa"/>
          </w:tcPr>
          <w:p w14:paraId="7487CE47" w14:textId="06F79122" w:rsidR="00314A01" w:rsidRPr="00C32343" w:rsidRDefault="003623F8" w:rsidP="007F295E">
            <w:pPr>
              <w:pStyle w:val="Tableaugauchefranais"/>
              <w:spacing w:before="120" w:after="120"/>
              <w:ind w:right="142"/>
              <w:rPr>
                <w:b/>
                <w:bCs/>
                <w:lang w:val="en-CA"/>
              </w:rPr>
            </w:pPr>
            <w:r w:rsidRPr="00C32343">
              <w:rPr>
                <w:b/>
                <w:bCs/>
                <w:lang w:val="en-CA"/>
              </w:rPr>
              <w:t>Application for hearing — sections 276 and 278.92</w:t>
            </w:r>
          </w:p>
          <w:p w14:paraId="7487CE48" w14:textId="2F5E2BF9" w:rsidR="00314A01" w:rsidRPr="00C32343" w:rsidRDefault="00C04FF8" w:rsidP="007F295E">
            <w:pPr>
              <w:pStyle w:val="Tableaugauchefranais"/>
              <w:spacing w:before="120" w:after="120"/>
              <w:jc w:val="both"/>
              <w:rPr>
                <w:lang w:val="en-CA"/>
              </w:rPr>
            </w:pPr>
            <w:r w:rsidRPr="00C32343">
              <w:rPr>
                <w:b/>
                <w:bCs/>
                <w:lang w:val="en-CA"/>
              </w:rPr>
              <w:t>278.93 (1) </w:t>
            </w:r>
            <w:r w:rsidR="003623F8" w:rsidRPr="00C32343">
              <w:rPr>
                <w:lang w:val="en-CA"/>
              </w:rPr>
              <w:t>Application may be made to the judge, provincial court judge or justice by or on behalf of the accused for a hearing under section 278.94 to determine whether evidence is admissible under subsection 276(2) or 278.92(2)</w:t>
            </w:r>
            <w:r w:rsidRPr="00C32343">
              <w:rPr>
                <w:lang w:val="en-CA"/>
              </w:rPr>
              <w:t>.</w:t>
            </w:r>
          </w:p>
          <w:p w14:paraId="7487CE49" w14:textId="019787D5" w:rsidR="00314A01" w:rsidRPr="00C32343" w:rsidRDefault="003623F8" w:rsidP="00D63AA2">
            <w:pPr>
              <w:pStyle w:val="Tableaugauchefranais"/>
              <w:keepNext/>
              <w:spacing w:before="240" w:after="120"/>
              <w:ind w:right="142"/>
              <w:jc w:val="both"/>
              <w:rPr>
                <w:b/>
                <w:bCs/>
                <w:lang w:val="en-CA"/>
              </w:rPr>
            </w:pPr>
            <w:r w:rsidRPr="00C32343">
              <w:rPr>
                <w:b/>
                <w:bCs/>
                <w:lang w:val="en-CA"/>
              </w:rPr>
              <w:lastRenderedPageBreak/>
              <w:t>Form and content of application</w:t>
            </w:r>
          </w:p>
          <w:p w14:paraId="7487CE4A" w14:textId="1817C55F" w:rsidR="00314A01" w:rsidRPr="00C32343" w:rsidRDefault="003623F8" w:rsidP="00D63AA2">
            <w:pPr>
              <w:pStyle w:val="Tableaugauchefranais"/>
              <w:keepNext/>
              <w:spacing w:before="120" w:after="120"/>
              <w:jc w:val="both"/>
              <w:rPr>
                <w:lang w:val="en-CA"/>
              </w:rPr>
            </w:pPr>
            <w:r w:rsidRPr="00C32343">
              <w:rPr>
                <w:b/>
                <w:bCs/>
                <w:lang w:val="en-CA"/>
              </w:rPr>
              <w:t>(2) </w:t>
            </w:r>
            <w:r w:rsidRPr="00C32343">
              <w:rPr>
                <w:lang w:val="en-CA"/>
              </w:rPr>
              <w:t>An application referred to in subsection (1) must be made in writing, setting out detailed particulars of the evidence that the accused seeks to adduce and the relevance of that evidence to an issue at trial, and a copy of the application must be given to the prosecutor and to the clerk of the court</w:t>
            </w:r>
            <w:r w:rsidR="00C04FF8" w:rsidRPr="00C32343">
              <w:rPr>
                <w:lang w:val="en-CA"/>
              </w:rPr>
              <w:t>.</w:t>
            </w:r>
          </w:p>
          <w:p w14:paraId="7487CE4C" w14:textId="1A2AF20A" w:rsidR="00314A01" w:rsidRPr="00C32343" w:rsidRDefault="003623F8" w:rsidP="007F295E">
            <w:pPr>
              <w:pStyle w:val="Tableaugauchefranais"/>
              <w:spacing w:before="160" w:after="120"/>
              <w:ind w:right="142"/>
              <w:jc w:val="both"/>
              <w:rPr>
                <w:b/>
                <w:bCs/>
                <w:lang w:val="en-CA"/>
              </w:rPr>
            </w:pPr>
            <w:r w:rsidRPr="00C32343">
              <w:rPr>
                <w:b/>
                <w:bCs/>
                <w:lang w:val="en-CA"/>
              </w:rPr>
              <w:t>Jury and public excluded</w:t>
            </w:r>
          </w:p>
          <w:p w14:paraId="7487CE4D" w14:textId="37391145" w:rsidR="00314A01" w:rsidRPr="00C32343" w:rsidRDefault="003623F8" w:rsidP="007F295E">
            <w:pPr>
              <w:pStyle w:val="Tableaugauchefranais"/>
              <w:spacing w:before="120" w:after="120"/>
              <w:jc w:val="both"/>
              <w:rPr>
                <w:lang w:val="en-CA"/>
              </w:rPr>
            </w:pPr>
            <w:r w:rsidRPr="00C32343">
              <w:rPr>
                <w:b/>
                <w:bCs/>
                <w:lang w:val="en-CA"/>
              </w:rPr>
              <w:t>(3) </w:t>
            </w:r>
            <w:r w:rsidRPr="00C32343">
              <w:rPr>
                <w:lang w:val="en-CA"/>
              </w:rPr>
              <w:t>The judge, provincial court judge or justice shall consider the application with the jury and the public excluded</w:t>
            </w:r>
            <w:r w:rsidR="00C04FF8" w:rsidRPr="00C32343">
              <w:rPr>
                <w:lang w:val="en-CA"/>
              </w:rPr>
              <w:t>.</w:t>
            </w:r>
          </w:p>
          <w:p w14:paraId="7487CE4F" w14:textId="15AD1265" w:rsidR="00314A01" w:rsidRPr="00C32343" w:rsidRDefault="003623F8" w:rsidP="0052014A">
            <w:pPr>
              <w:pStyle w:val="Tableaugauchefranais"/>
              <w:keepNext/>
              <w:spacing w:before="120" w:after="120"/>
              <w:ind w:right="142"/>
              <w:jc w:val="both"/>
              <w:rPr>
                <w:b/>
                <w:bCs/>
                <w:lang w:val="en-CA"/>
              </w:rPr>
            </w:pPr>
            <w:r w:rsidRPr="00C32343">
              <w:rPr>
                <w:b/>
                <w:bCs/>
                <w:lang w:val="en-CA"/>
              </w:rPr>
              <w:t>Judge may decide to hold hearing</w:t>
            </w:r>
          </w:p>
          <w:p w14:paraId="7487CE50" w14:textId="489E046D" w:rsidR="00314A01" w:rsidRPr="00C32343" w:rsidRDefault="00C04FF8" w:rsidP="00FD7883">
            <w:pPr>
              <w:pStyle w:val="Tableaugauchefranais"/>
              <w:keepNext/>
              <w:spacing w:before="120" w:after="120"/>
              <w:jc w:val="both"/>
              <w:rPr>
                <w:lang w:val="en-CA"/>
              </w:rPr>
            </w:pPr>
            <w:r w:rsidRPr="00C32343">
              <w:rPr>
                <w:b/>
                <w:bCs/>
                <w:lang w:val="en-CA"/>
              </w:rPr>
              <w:t>(4) </w:t>
            </w:r>
            <w:r w:rsidR="003623F8" w:rsidRPr="00C32343">
              <w:rPr>
                <w:lang w:val="en-CA"/>
              </w:rPr>
              <w:t>If the judge, provincial court judge or justice is satisfied that the application was made in accordance with subsection (2), that a copy of the application was given to the prosecutor and to the clerk of the court at least seven days previously, or any shorter interval that the judge, provincial court judge or justice may allow in the interests of justice and that the evidence sought to be adduced is capable of being admissible under subsection 276(2), the judge, provincial court judge or justice shall grant the application and hold a hearing under section 278.94 to determine whether the evidence is admissible under subsection 276(2) or 278.92(2)</w:t>
            </w:r>
            <w:r w:rsidRPr="00C32343">
              <w:rPr>
                <w:lang w:val="en-CA"/>
              </w:rPr>
              <w:t>.</w:t>
            </w:r>
          </w:p>
          <w:p w14:paraId="7487CE53" w14:textId="2FBBB5AC" w:rsidR="00314A01" w:rsidRPr="00C32343" w:rsidRDefault="003623F8" w:rsidP="00B232D5">
            <w:pPr>
              <w:pStyle w:val="Tableaugauchefranais"/>
              <w:keepNext/>
              <w:keepLines/>
              <w:spacing w:before="360" w:after="120"/>
              <w:ind w:right="142"/>
              <w:jc w:val="both"/>
              <w:rPr>
                <w:b/>
                <w:bCs/>
                <w:lang w:val="en-CA"/>
              </w:rPr>
            </w:pPr>
            <w:r w:rsidRPr="00C32343">
              <w:rPr>
                <w:b/>
                <w:bCs/>
                <w:lang w:val="en-CA"/>
              </w:rPr>
              <w:lastRenderedPageBreak/>
              <w:t>Hearing — jury and public excluded</w:t>
            </w:r>
          </w:p>
          <w:p w14:paraId="7487CE54" w14:textId="3DFA2357" w:rsidR="00314A01" w:rsidRPr="00C32343" w:rsidRDefault="00C04FF8" w:rsidP="00B232D5">
            <w:pPr>
              <w:pStyle w:val="Tableaugauchefranais"/>
              <w:keepNext/>
              <w:keepLines/>
              <w:spacing w:before="360" w:after="120"/>
              <w:ind w:right="142"/>
              <w:jc w:val="both"/>
              <w:rPr>
                <w:lang w:val="en-CA"/>
              </w:rPr>
            </w:pPr>
            <w:r w:rsidRPr="00C32343">
              <w:rPr>
                <w:b/>
                <w:bCs/>
                <w:lang w:val="en-CA"/>
              </w:rPr>
              <w:t>278.94 (1) </w:t>
            </w:r>
            <w:r w:rsidR="003623F8" w:rsidRPr="00C32343">
              <w:rPr>
                <w:lang w:val="en-CA"/>
              </w:rPr>
              <w:t>The jury and the public shall be excluded from a hearing to determine whether evidence is admissible under subsection 276(2) or 278.92(2)</w:t>
            </w:r>
            <w:r w:rsidRPr="00C32343">
              <w:rPr>
                <w:lang w:val="en-CA"/>
              </w:rPr>
              <w:t>.</w:t>
            </w:r>
          </w:p>
          <w:p w14:paraId="7487CE55" w14:textId="7B526959" w:rsidR="00314A01" w:rsidRPr="00C32343" w:rsidRDefault="003623F8" w:rsidP="007F295E">
            <w:pPr>
              <w:pStyle w:val="Tableaugauchefranais"/>
              <w:spacing w:before="120" w:after="120"/>
              <w:jc w:val="both"/>
              <w:rPr>
                <w:b/>
                <w:bCs/>
                <w:lang w:val="en-CA"/>
              </w:rPr>
            </w:pPr>
            <w:r w:rsidRPr="00C32343">
              <w:rPr>
                <w:b/>
                <w:bCs/>
                <w:lang w:val="en-CA"/>
              </w:rPr>
              <w:t>Complainant not compellable</w:t>
            </w:r>
          </w:p>
          <w:p w14:paraId="7487CE56" w14:textId="504BCB0E" w:rsidR="00314A01" w:rsidRPr="00C32343" w:rsidRDefault="00C04FF8" w:rsidP="007F295E">
            <w:pPr>
              <w:pStyle w:val="Tableaugauchefranais"/>
              <w:spacing w:before="120" w:after="120"/>
              <w:jc w:val="both"/>
              <w:rPr>
                <w:lang w:val="en-CA"/>
              </w:rPr>
            </w:pPr>
            <w:r w:rsidRPr="00C32343">
              <w:rPr>
                <w:b/>
                <w:bCs/>
                <w:lang w:val="en-CA"/>
              </w:rPr>
              <w:t>(2) </w:t>
            </w:r>
            <w:r w:rsidR="003623F8" w:rsidRPr="00C32343">
              <w:rPr>
                <w:lang w:val="en-CA"/>
              </w:rPr>
              <w:t>The complainant is not a compellable witness at the hearing but may appear and make submissions</w:t>
            </w:r>
            <w:r w:rsidRPr="00C32343">
              <w:rPr>
                <w:lang w:val="en-CA"/>
              </w:rPr>
              <w:t>.</w:t>
            </w:r>
          </w:p>
          <w:p w14:paraId="7487CE57" w14:textId="7CD2D707" w:rsidR="00314A01" w:rsidRPr="00C32343" w:rsidRDefault="003623F8" w:rsidP="00FD7883">
            <w:pPr>
              <w:pStyle w:val="Tableaugauchefranais"/>
              <w:spacing w:before="480" w:after="120"/>
              <w:ind w:right="142"/>
              <w:jc w:val="both"/>
              <w:rPr>
                <w:b/>
                <w:bCs/>
                <w:lang w:val="en-CA"/>
              </w:rPr>
            </w:pPr>
            <w:r w:rsidRPr="00C32343">
              <w:rPr>
                <w:b/>
                <w:bCs/>
                <w:lang w:val="en-CA"/>
              </w:rPr>
              <w:t>Right to counsel</w:t>
            </w:r>
          </w:p>
          <w:p w14:paraId="7487CE58" w14:textId="76077595" w:rsidR="00314A01" w:rsidRPr="00C32343" w:rsidRDefault="00C04FF8" w:rsidP="007F295E">
            <w:pPr>
              <w:pStyle w:val="Tableaugauchefranais"/>
              <w:spacing w:before="120" w:after="120"/>
              <w:jc w:val="both"/>
              <w:rPr>
                <w:lang w:val="en-CA"/>
              </w:rPr>
            </w:pPr>
            <w:r w:rsidRPr="00C32343">
              <w:rPr>
                <w:b/>
                <w:bCs/>
                <w:lang w:val="en-CA"/>
              </w:rPr>
              <w:t>(3) </w:t>
            </w:r>
            <w:r w:rsidR="003623F8" w:rsidRPr="00C32343">
              <w:rPr>
                <w:lang w:val="en-CA"/>
              </w:rPr>
              <w:t>The judge shall, as soon as feasible, inform the complainant who participates in the hearing of their right to be represented by counsel</w:t>
            </w:r>
            <w:r w:rsidRPr="00C32343">
              <w:rPr>
                <w:lang w:val="en-CA"/>
              </w:rPr>
              <w:t>.</w:t>
            </w:r>
          </w:p>
          <w:p w14:paraId="7487CE59" w14:textId="15D26425" w:rsidR="00314A01" w:rsidRPr="00C32343" w:rsidRDefault="003623F8" w:rsidP="007F295E">
            <w:pPr>
              <w:pStyle w:val="Tableaugauchefranais"/>
              <w:spacing w:before="120" w:after="120"/>
              <w:jc w:val="both"/>
              <w:rPr>
                <w:b/>
                <w:bCs/>
                <w:lang w:val="en-CA"/>
              </w:rPr>
            </w:pPr>
            <w:r w:rsidRPr="00C32343">
              <w:rPr>
                <w:b/>
                <w:bCs/>
                <w:lang w:val="en-CA"/>
              </w:rPr>
              <w:t>Judge</w:t>
            </w:r>
            <w:r w:rsidR="00D06C3F">
              <w:rPr>
                <w:b/>
                <w:bCs/>
                <w:lang w:val="en-CA"/>
              </w:rPr>
              <w:t>’</w:t>
            </w:r>
            <w:r w:rsidRPr="00C32343">
              <w:rPr>
                <w:b/>
                <w:bCs/>
                <w:lang w:val="en-CA"/>
              </w:rPr>
              <w:t>s determination and reasons</w:t>
            </w:r>
          </w:p>
          <w:p w14:paraId="7487CE5A" w14:textId="31B9FA38" w:rsidR="00314A01" w:rsidRPr="00C32343" w:rsidRDefault="00C04FF8" w:rsidP="007F295E">
            <w:pPr>
              <w:pStyle w:val="Tableaugauchefranais"/>
              <w:spacing w:before="120" w:after="120"/>
              <w:jc w:val="both"/>
              <w:rPr>
                <w:lang w:val="en-CA"/>
              </w:rPr>
            </w:pPr>
            <w:r w:rsidRPr="00C32343">
              <w:rPr>
                <w:b/>
                <w:bCs/>
                <w:lang w:val="en-CA"/>
              </w:rPr>
              <w:t>(4) </w:t>
            </w:r>
            <w:r w:rsidR="003623F8" w:rsidRPr="00C32343">
              <w:rPr>
                <w:lang w:val="en-CA"/>
              </w:rPr>
              <w:t>At the conclusion of the hearing, the judge, provincial court judge or justice shall determine whether the evidence, or any part of it, is admissible under subsection 276(2) or 278.92(2) and shall provide reasons for that determination, and</w:t>
            </w:r>
          </w:p>
          <w:p w14:paraId="7487CE5B" w14:textId="6816BB12" w:rsidR="00314A01" w:rsidRPr="00C32343" w:rsidRDefault="003623F8" w:rsidP="007F295E">
            <w:pPr>
              <w:pStyle w:val="Tableaugauchefranais"/>
              <w:spacing w:before="120" w:after="120"/>
              <w:ind w:left="1065"/>
              <w:jc w:val="both"/>
              <w:rPr>
                <w:lang w:val="en-CA"/>
              </w:rPr>
            </w:pPr>
            <w:r w:rsidRPr="00C32343">
              <w:rPr>
                <w:b/>
                <w:bCs/>
                <w:lang w:val="en-CA"/>
              </w:rPr>
              <w:t>(</w:t>
            </w:r>
            <w:r w:rsidR="00C04FF8" w:rsidRPr="00C32343">
              <w:rPr>
                <w:b/>
                <w:bCs/>
                <w:lang w:val="en-CA"/>
              </w:rPr>
              <w:t>a) </w:t>
            </w:r>
            <w:r w:rsidRPr="00C32343">
              <w:rPr>
                <w:lang w:val="en-CA"/>
              </w:rPr>
              <w:t xml:space="preserve">if not all of the evidence is to be admitted, the reasons must state the part of the evidence that is to be </w:t>
            </w:r>
            <w:proofErr w:type="gramStart"/>
            <w:r w:rsidRPr="00C32343">
              <w:rPr>
                <w:lang w:val="en-CA"/>
              </w:rPr>
              <w:t>admitted</w:t>
            </w:r>
            <w:r w:rsidR="00C04FF8" w:rsidRPr="00C32343">
              <w:rPr>
                <w:lang w:val="en-CA"/>
              </w:rPr>
              <w:t>;</w:t>
            </w:r>
            <w:proofErr w:type="gramEnd"/>
          </w:p>
          <w:p w14:paraId="7487CE5D" w14:textId="110FA17B" w:rsidR="00314A01" w:rsidRPr="00C32343" w:rsidRDefault="003623F8" w:rsidP="007F295E">
            <w:pPr>
              <w:pStyle w:val="Tableaugauchefranais"/>
              <w:spacing w:before="160" w:after="120"/>
              <w:ind w:left="1066" w:right="142"/>
              <w:jc w:val="both"/>
              <w:rPr>
                <w:lang w:val="en-CA"/>
              </w:rPr>
            </w:pPr>
            <w:r w:rsidRPr="00C32343">
              <w:rPr>
                <w:b/>
                <w:bCs/>
                <w:lang w:val="en-CA"/>
              </w:rPr>
              <w:t>(</w:t>
            </w:r>
            <w:r w:rsidR="00C04FF8" w:rsidRPr="00C32343">
              <w:rPr>
                <w:b/>
                <w:bCs/>
                <w:lang w:val="en-CA"/>
              </w:rPr>
              <w:t>b) </w:t>
            </w:r>
            <w:r w:rsidRPr="00C32343">
              <w:rPr>
                <w:lang w:val="en-CA"/>
              </w:rPr>
              <w:t>the reasons must state the factors referred to in subsection 276(3) or 278.92(3) that affected the determination; and</w:t>
            </w:r>
          </w:p>
          <w:p w14:paraId="7487CE5E" w14:textId="138B394A" w:rsidR="00314A01" w:rsidRPr="00C32343" w:rsidRDefault="003623F8" w:rsidP="00FD7883">
            <w:pPr>
              <w:pStyle w:val="Tableaugauchefranais"/>
              <w:spacing w:before="240" w:after="120"/>
              <w:ind w:left="1066" w:right="142"/>
              <w:jc w:val="both"/>
              <w:rPr>
                <w:lang w:val="en-CA"/>
              </w:rPr>
            </w:pPr>
            <w:r w:rsidRPr="00C32343">
              <w:rPr>
                <w:b/>
                <w:bCs/>
                <w:lang w:val="en-CA"/>
              </w:rPr>
              <w:lastRenderedPageBreak/>
              <w:t>(</w:t>
            </w:r>
            <w:r w:rsidR="00C04FF8" w:rsidRPr="00C32343">
              <w:rPr>
                <w:b/>
                <w:bCs/>
                <w:lang w:val="en-CA"/>
              </w:rPr>
              <w:t>c) </w:t>
            </w:r>
            <w:r w:rsidRPr="00C32343">
              <w:rPr>
                <w:lang w:val="en-CA"/>
              </w:rPr>
              <w:t xml:space="preserve">if all or any part of the evidence is to be admitted, the reasons must state the </w:t>
            </w:r>
            <w:proofErr w:type="gramStart"/>
            <w:r w:rsidRPr="00C32343">
              <w:rPr>
                <w:lang w:val="en-CA"/>
              </w:rPr>
              <w:t>manner in which</w:t>
            </w:r>
            <w:proofErr w:type="gramEnd"/>
            <w:r w:rsidRPr="00C32343">
              <w:rPr>
                <w:lang w:val="en-CA"/>
              </w:rPr>
              <w:t xml:space="preserve"> that evidence is expected to be relevant to an issue at trial</w:t>
            </w:r>
            <w:r w:rsidR="00C04FF8" w:rsidRPr="00C32343">
              <w:rPr>
                <w:lang w:val="en-CA"/>
              </w:rPr>
              <w:t>.</w:t>
            </w:r>
          </w:p>
          <w:p w14:paraId="7487CE60" w14:textId="2885B360" w:rsidR="00314A01" w:rsidRPr="00C32343" w:rsidRDefault="003623F8" w:rsidP="007F295E">
            <w:pPr>
              <w:pStyle w:val="Tableaugauchefranais"/>
              <w:spacing w:before="160" w:after="120"/>
              <w:ind w:right="142"/>
              <w:jc w:val="both"/>
              <w:rPr>
                <w:lang w:val="en-CA"/>
              </w:rPr>
            </w:pPr>
            <w:r w:rsidRPr="00C32343">
              <w:rPr>
                <w:b/>
                <w:bCs/>
                <w:lang w:val="en-CA"/>
              </w:rPr>
              <w:t>Record of reasons</w:t>
            </w:r>
          </w:p>
          <w:p w14:paraId="7487CE61" w14:textId="7A7D7C7E" w:rsidR="00314A01" w:rsidRPr="00A4178E" w:rsidRDefault="00C04FF8" w:rsidP="007F295E">
            <w:pPr>
              <w:pStyle w:val="Tableaugauchefranais"/>
              <w:spacing w:before="120" w:after="120"/>
              <w:jc w:val="both"/>
              <w:rPr>
                <w:lang w:val="en-CA"/>
              </w:rPr>
            </w:pPr>
            <w:r w:rsidRPr="00C32343">
              <w:rPr>
                <w:b/>
                <w:bCs/>
                <w:lang w:val="en-CA"/>
              </w:rPr>
              <w:t>(5) </w:t>
            </w:r>
            <w:r w:rsidR="003623F8" w:rsidRPr="00C32343">
              <w:rPr>
                <w:lang w:val="en-CA"/>
              </w:rPr>
              <w:t>The reasons provided under subsection (4) shall be entered in the record of the proceedings or, if the proceedings are not recorded, shall be provided in writing</w:t>
            </w:r>
            <w:r w:rsidRPr="00A4178E">
              <w:rPr>
                <w:lang w:val="en-CA"/>
              </w:rPr>
              <w:t>.</w:t>
            </w:r>
          </w:p>
        </w:tc>
        <w:tc>
          <w:tcPr>
            <w:tcW w:w="4680" w:type="dxa"/>
          </w:tcPr>
          <w:p w14:paraId="7487CE62" w14:textId="36E3F73D" w:rsidR="00314A01" w:rsidRPr="00C32343" w:rsidRDefault="005E6D11" w:rsidP="007F295E">
            <w:pPr>
              <w:pStyle w:val="Tableaudroiteanglais"/>
              <w:keepNext/>
              <w:spacing w:before="120" w:after="120"/>
              <w:ind w:left="142"/>
              <w:rPr>
                <w:b/>
                <w:bCs/>
                <w:lang w:val="fr-CA"/>
              </w:rPr>
            </w:pPr>
            <w:r w:rsidRPr="00C32343">
              <w:rPr>
                <w:b/>
                <w:bCs/>
                <w:lang w:val="fr-CA"/>
              </w:rPr>
              <w:lastRenderedPageBreak/>
              <w:t>Demande d</w:t>
            </w:r>
            <w:r w:rsidR="00D06C3F">
              <w:rPr>
                <w:b/>
                <w:bCs/>
                <w:lang w:val="fr-CA"/>
              </w:rPr>
              <w:t>’</w:t>
            </w:r>
            <w:r w:rsidRPr="00C32343">
              <w:rPr>
                <w:b/>
                <w:bCs/>
                <w:lang w:val="fr-CA"/>
              </w:rPr>
              <w:t>audience : articles 276 et 278.92</w:t>
            </w:r>
          </w:p>
          <w:p w14:paraId="7487CE63" w14:textId="631E2A63" w:rsidR="00314A01" w:rsidRPr="00C32343" w:rsidRDefault="00C04FF8" w:rsidP="007F295E">
            <w:pPr>
              <w:pStyle w:val="Tableaudroiteanglais"/>
              <w:spacing w:before="120" w:after="120"/>
              <w:rPr>
                <w:lang w:val="fr-CA"/>
              </w:rPr>
            </w:pPr>
            <w:r w:rsidRPr="00C32343">
              <w:rPr>
                <w:b/>
                <w:bCs/>
                <w:lang w:val="fr-CA"/>
              </w:rPr>
              <w:t>278.93 (1) </w:t>
            </w:r>
            <w:r w:rsidR="005E6D11" w:rsidRPr="00C32343">
              <w:rPr>
                <w:lang w:val="fr-CA"/>
              </w:rPr>
              <w:t>L</w:t>
            </w:r>
            <w:r w:rsidR="00D06C3F">
              <w:rPr>
                <w:lang w:val="fr-CA"/>
              </w:rPr>
              <w:t>’</w:t>
            </w:r>
            <w:r w:rsidR="005E6D11" w:rsidRPr="00C32343">
              <w:rPr>
                <w:lang w:val="fr-CA"/>
              </w:rPr>
              <w:t>accusé ou son représentant peut demander au juge, au juge de la cour provinciale ou au juge de paix de tenir une audience conformément à l</w:t>
            </w:r>
            <w:r w:rsidR="00D06C3F">
              <w:rPr>
                <w:lang w:val="fr-CA"/>
              </w:rPr>
              <w:t>’</w:t>
            </w:r>
            <w:r w:rsidR="005E6D11" w:rsidRPr="00C32343">
              <w:rPr>
                <w:lang w:val="fr-CA"/>
              </w:rPr>
              <w:t>article 278.94 en vue de décider si la preuve est admissible au titre des paragraphes 276(2) ou 278.92(2)</w:t>
            </w:r>
            <w:r w:rsidRPr="00C32343">
              <w:rPr>
                <w:lang w:val="fr-CA"/>
              </w:rPr>
              <w:t>.</w:t>
            </w:r>
          </w:p>
          <w:p w14:paraId="7487CE64" w14:textId="5F755F6F" w:rsidR="00314A01" w:rsidRPr="00C32343" w:rsidRDefault="005E6D11" w:rsidP="00D63AA2">
            <w:pPr>
              <w:pStyle w:val="Tableaudroiteanglais"/>
              <w:keepNext/>
              <w:spacing w:before="240" w:after="120"/>
              <w:ind w:left="142"/>
              <w:rPr>
                <w:b/>
                <w:bCs/>
                <w:lang w:val="fr-CA"/>
              </w:rPr>
            </w:pPr>
            <w:r w:rsidRPr="00C32343">
              <w:rPr>
                <w:b/>
                <w:bCs/>
                <w:lang w:val="fr-CA"/>
              </w:rPr>
              <w:lastRenderedPageBreak/>
              <w:t>Forme et contenu</w:t>
            </w:r>
          </w:p>
          <w:p w14:paraId="7487CE65" w14:textId="7FAE48F1" w:rsidR="00314A01" w:rsidRPr="00C32343" w:rsidRDefault="00C04FF8" w:rsidP="00D63AA2">
            <w:pPr>
              <w:pStyle w:val="Tableaudroiteanglais"/>
              <w:keepNext/>
              <w:spacing w:before="120" w:after="120"/>
              <w:rPr>
                <w:lang w:val="fr-CA"/>
              </w:rPr>
            </w:pPr>
            <w:r w:rsidRPr="00C32343">
              <w:rPr>
                <w:b/>
                <w:bCs/>
                <w:lang w:val="fr-CA"/>
              </w:rPr>
              <w:t>(2) </w:t>
            </w:r>
            <w:r w:rsidR="005E6D11" w:rsidRPr="00C32343">
              <w:rPr>
                <w:lang w:val="fr-CA"/>
              </w:rPr>
              <w:t>La demande d</w:t>
            </w:r>
            <w:r w:rsidR="00D06C3F">
              <w:rPr>
                <w:lang w:val="fr-CA"/>
              </w:rPr>
              <w:t>’</w:t>
            </w:r>
            <w:r w:rsidR="005E6D11" w:rsidRPr="00C32343">
              <w:rPr>
                <w:lang w:val="fr-CA"/>
              </w:rPr>
              <w:t>audience est formulée par écrit et énonce toutes précisions utiles au sujet de la preuve en cause et le rapport de celle-ci avec un élément de la cause; une copie en est expédiée au poursuivant et au greffier du tribunal</w:t>
            </w:r>
            <w:r w:rsidRPr="00C32343">
              <w:rPr>
                <w:lang w:val="fr-CA"/>
              </w:rPr>
              <w:t>.</w:t>
            </w:r>
          </w:p>
          <w:p w14:paraId="28387DC6" w14:textId="77777777" w:rsidR="00C32343" w:rsidRDefault="00C32343" w:rsidP="00A971EA">
            <w:pPr>
              <w:pStyle w:val="Tableaudroiteanglais"/>
              <w:spacing w:before="160" w:after="120"/>
              <w:ind w:left="142"/>
              <w:rPr>
                <w:b/>
                <w:bCs/>
                <w:lang w:val="fr-CA"/>
              </w:rPr>
            </w:pPr>
          </w:p>
          <w:p w14:paraId="7487CE66" w14:textId="27FCCC5B" w:rsidR="00314A01" w:rsidRPr="00C32343" w:rsidRDefault="005E6D11" w:rsidP="00C32343">
            <w:pPr>
              <w:pStyle w:val="Tableaudroiteanglais"/>
              <w:spacing w:before="240" w:after="120"/>
              <w:ind w:left="142"/>
              <w:rPr>
                <w:b/>
                <w:bCs/>
                <w:lang w:val="fr-CA"/>
              </w:rPr>
            </w:pPr>
            <w:r w:rsidRPr="00C32343">
              <w:rPr>
                <w:b/>
                <w:bCs/>
                <w:lang w:val="fr-CA"/>
              </w:rPr>
              <w:t>Exclusion du jury et du public</w:t>
            </w:r>
          </w:p>
          <w:p w14:paraId="7487CE67" w14:textId="68C6B4DC" w:rsidR="00314A01" w:rsidRPr="00C32343" w:rsidRDefault="00C04FF8" w:rsidP="007F295E">
            <w:pPr>
              <w:pStyle w:val="Tableaudroiteanglais"/>
              <w:spacing w:before="120" w:after="120"/>
              <w:rPr>
                <w:lang w:val="fr-CA"/>
              </w:rPr>
            </w:pPr>
            <w:r w:rsidRPr="00C32343">
              <w:rPr>
                <w:b/>
                <w:bCs/>
                <w:lang w:val="fr-CA"/>
              </w:rPr>
              <w:t>(3) </w:t>
            </w:r>
            <w:r w:rsidR="005E6D11" w:rsidRPr="00C32343">
              <w:rPr>
                <w:lang w:val="fr-CA"/>
              </w:rPr>
              <w:t>Le jury et le public sont exclus de l</w:t>
            </w:r>
            <w:r w:rsidR="00D06C3F">
              <w:rPr>
                <w:lang w:val="fr-CA"/>
              </w:rPr>
              <w:t>’</w:t>
            </w:r>
            <w:r w:rsidR="005E6D11" w:rsidRPr="00C32343">
              <w:rPr>
                <w:lang w:val="fr-CA"/>
              </w:rPr>
              <w:t>audition de la demande</w:t>
            </w:r>
            <w:r w:rsidRPr="00C32343">
              <w:rPr>
                <w:lang w:val="fr-CA"/>
              </w:rPr>
              <w:t>.</w:t>
            </w:r>
          </w:p>
          <w:p w14:paraId="7487CE68" w14:textId="695962B3" w:rsidR="00314A01" w:rsidRPr="00C32343" w:rsidRDefault="006E0007" w:rsidP="0052014A">
            <w:pPr>
              <w:pStyle w:val="Tableaudroiteanglais"/>
              <w:keepNext/>
              <w:spacing w:before="600" w:after="120"/>
              <w:ind w:left="142"/>
              <w:rPr>
                <w:b/>
                <w:bCs/>
                <w:lang w:val="fr-CA"/>
              </w:rPr>
            </w:pPr>
            <w:r w:rsidRPr="00C32343">
              <w:rPr>
                <w:b/>
                <w:bCs/>
                <w:lang w:val="fr-CA"/>
              </w:rPr>
              <w:t>Audience</w:t>
            </w:r>
          </w:p>
          <w:p w14:paraId="7487CE69" w14:textId="27487192" w:rsidR="00314A01" w:rsidRPr="00C32343" w:rsidRDefault="00C04FF8" w:rsidP="00FD7883">
            <w:pPr>
              <w:pStyle w:val="Tableaudroiteanglais"/>
              <w:keepNext/>
              <w:spacing w:before="120" w:after="120"/>
              <w:ind w:left="142"/>
              <w:rPr>
                <w:lang w:val="fr-CA"/>
              </w:rPr>
            </w:pPr>
            <w:r w:rsidRPr="00C32343">
              <w:rPr>
                <w:b/>
                <w:bCs/>
                <w:lang w:val="fr-CA"/>
              </w:rPr>
              <w:t>(4) </w:t>
            </w:r>
            <w:r w:rsidR="006E0007" w:rsidRPr="00C32343">
              <w:rPr>
                <w:lang w:val="fr-CA"/>
              </w:rPr>
              <w:t>Une fois convaincu que la demande a été établie conformément au paragraphe (2), qu</w:t>
            </w:r>
            <w:r w:rsidR="00D06C3F">
              <w:rPr>
                <w:lang w:val="fr-CA"/>
              </w:rPr>
              <w:t>’</w:t>
            </w:r>
            <w:r w:rsidR="006E0007" w:rsidRPr="00C32343">
              <w:rPr>
                <w:lang w:val="fr-CA"/>
              </w:rPr>
              <w:t>une copie en a été expédiée au poursuivant et au greffier du tribunal au moins sept jours auparavant, ou dans le délai inférieur autorisé par lui dans l</w:t>
            </w:r>
            <w:r w:rsidR="00D06C3F">
              <w:rPr>
                <w:lang w:val="fr-CA"/>
              </w:rPr>
              <w:t>’</w:t>
            </w:r>
            <w:r w:rsidR="006E0007" w:rsidRPr="00C32343">
              <w:rPr>
                <w:lang w:val="fr-CA"/>
              </w:rPr>
              <w:t>intérêt de la justice, et qu</w:t>
            </w:r>
            <w:r w:rsidR="00D06C3F">
              <w:rPr>
                <w:lang w:val="fr-CA"/>
              </w:rPr>
              <w:t>’</w:t>
            </w:r>
            <w:r w:rsidR="006E0007" w:rsidRPr="00C32343">
              <w:rPr>
                <w:lang w:val="fr-CA"/>
              </w:rPr>
              <w:t>il y a des possibilités que la preuve en cause soit admissible, le juge, le juge de la cour provinciale ou le juge de paix accorde la demande et tient une audience pour décider de l</w:t>
            </w:r>
            <w:r w:rsidR="00D06C3F">
              <w:rPr>
                <w:lang w:val="fr-CA"/>
              </w:rPr>
              <w:t>’</w:t>
            </w:r>
            <w:r w:rsidR="006E0007" w:rsidRPr="00C32343">
              <w:rPr>
                <w:lang w:val="fr-CA"/>
              </w:rPr>
              <w:t>admissibilité de la preuve au titre des paragraphes 276(2) ou 278.92(2)</w:t>
            </w:r>
            <w:r w:rsidRPr="00C32343">
              <w:rPr>
                <w:lang w:val="fr-CA"/>
              </w:rPr>
              <w:t>.</w:t>
            </w:r>
          </w:p>
          <w:p w14:paraId="4AFD7FC4" w14:textId="77777777" w:rsidR="00FD7883" w:rsidRDefault="00FD7883" w:rsidP="007F295E">
            <w:pPr>
              <w:pStyle w:val="Tableaudroiteanglais"/>
              <w:spacing w:before="120" w:after="120"/>
              <w:rPr>
                <w:b/>
                <w:bCs/>
                <w:lang w:val="fr-CA"/>
              </w:rPr>
            </w:pPr>
          </w:p>
          <w:p w14:paraId="051A3585" w14:textId="77777777" w:rsidR="00FD7883" w:rsidRDefault="00FD7883" w:rsidP="007F295E">
            <w:pPr>
              <w:pStyle w:val="Tableaudroiteanglais"/>
              <w:spacing w:before="120" w:after="120"/>
              <w:rPr>
                <w:b/>
                <w:bCs/>
                <w:lang w:val="fr-CA"/>
              </w:rPr>
            </w:pPr>
          </w:p>
          <w:p w14:paraId="328C63D6" w14:textId="77777777" w:rsidR="00FD7883" w:rsidRDefault="00FD7883" w:rsidP="007F295E">
            <w:pPr>
              <w:pStyle w:val="Tableaudroiteanglais"/>
              <w:spacing w:before="120" w:after="120"/>
              <w:rPr>
                <w:b/>
                <w:bCs/>
                <w:lang w:val="fr-CA"/>
              </w:rPr>
            </w:pPr>
          </w:p>
          <w:p w14:paraId="7487CE6A" w14:textId="5983DB99" w:rsidR="00314A01" w:rsidRPr="00C32343" w:rsidRDefault="006E0007" w:rsidP="00B232D5">
            <w:pPr>
              <w:pStyle w:val="Tableaudroiteanglais"/>
              <w:spacing w:before="360" w:after="120"/>
              <w:ind w:left="142"/>
              <w:rPr>
                <w:b/>
                <w:bCs/>
                <w:lang w:val="fr-CA"/>
              </w:rPr>
            </w:pPr>
            <w:r w:rsidRPr="00C32343">
              <w:rPr>
                <w:b/>
                <w:bCs/>
                <w:lang w:val="fr-CA"/>
              </w:rPr>
              <w:lastRenderedPageBreak/>
              <w:t>Audience — exclusion du jury et du public</w:t>
            </w:r>
          </w:p>
          <w:p w14:paraId="7487CE6B" w14:textId="07574D02" w:rsidR="00314A01" w:rsidRPr="00C32343" w:rsidRDefault="00C04FF8" w:rsidP="00FD7883">
            <w:pPr>
              <w:pStyle w:val="Tableaudroiteanglais"/>
              <w:spacing w:before="120" w:after="120"/>
              <w:ind w:left="142"/>
              <w:rPr>
                <w:lang w:val="fr-CA"/>
              </w:rPr>
            </w:pPr>
            <w:r w:rsidRPr="00C32343">
              <w:rPr>
                <w:b/>
                <w:bCs/>
                <w:lang w:val="fr-CA"/>
              </w:rPr>
              <w:t>278.94 (1) </w:t>
            </w:r>
            <w:r w:rsidR="006E0007" w:rsidRPr="00C32343">
              <w:rPr>
                <w:lang w:val="fr-CA"/>
              </w:rPr>
              <w:t>Le jury et le public sont exclus de l</w:t>
            </w:r>
            <w:r w:rsidR="00D06C3F">
              <w:rPr>
                <w:lang w:val="fr-CA"/>
              </w:rPr>
              <w:t>’</w:t>
            </w:r>
            <w:r w:rsidR="006E0007" w:rsidRPr="00C32343">
              <w:rPr>
                <w:lang w:val="fr-CA"/>
              </w:rPr>
              <w:t>audience tenue pour décider de l</w:t>
            </w:r>
            <w:r w:rsidR="00D06C3F">
              <w:rPr>
                <w:lang w:val="fr-CA"/>
              </w:rPr>
              <w:t>’</w:t>
            </w:r>
            <w:r w:rsidR="006E0007" w:rsidRPr="00C32343">
              <w:rPr>
                <w:lang w:val="fr-CA"/>
              </w:rPr>
              <w:t>admissibilité de la preuve au titre des paragraphes 276(2) ou 278.92(2)</w:t>
            </w:r>
            <w:r w:rsidRPr="00C32343">
              <w:rPr>
                <w:lang w:val="fr-CA"/>
              </w:rPr>
              <w:t>.</w:t>
            </w:r>
          </w:p>
          <w:p w14:paraId="7487CE6C" w14:textId="308599AA" w:rsidR="00314A01" w:rsidRPr="00C32343" w:rsidRDefault="006E0007" w:rsidP="007F295E">
            <w:pPr>
              <w:pStyle w:val="Tableaudroiteanglais"/>
              <w:spacing w:before="120" w:after="120"/>
              <w:rPr>
                <w:b/>
                <w:bCs/>
                <w:lang w:val="fr-CA"/>
              </w:rPr>
            </w:pPr>
            <w:r w:rsidRPr="00C32343">
              <w:rPr>
                <w:b/>
                <w:bCs/>
                <w:lang w:val="fr-CA"/>
              </w:rPr>
              <w:t>Non-</w:t>
            </w:r>
            <w:proofErr w:type="spellStart"/>
            <w:r w:rsidRPr="00C32343">
              <w:rPr>
                <w:b/>
                <w:bCs/>
                <w:lang w:val="fr-CA"/>
              </w:rPr>
              <w:t>contraignabilité</w:t>
            </w:r>
            <w:proofErr w:type="spellEnd"/>
          </w:p>
          <w:p w14:paraId="7487CE6D" w14:textId="070133C4" w:rsidR="00314A01" w:rsidRPr="00C32343" w:rsidRDefault="00C04FF8" w:rsidP="007F295E">
            <w:pPr>
              <w:pStyle w:val="Tableaudroiteanglais"/>
              <w:spacing w:before="120" w:after="120"/>
              <w:rPr>
                <w:lang w:val="fr-CA"/>
              </w:rPr>
            </w:pPr>
            <w:r w:rsidRPr="00C32343">
              <w:rPr>
                <w:b/>
                <w:bCs/>
                <w:lang w:val="fr-CA"/>
              </w:rPr>
              <w:t>(2) </w:t>
            </w:r>
            <w:r w:rsidR="006E0007" w:rsidRPr="00C32343">
              <w:rPr>
                <w:lang w:val="fr-CA"/>
              </w:rPr>
              <w:t>Le plaignant peut comparaître et présenter ses arguments à l</w:t>
            </w:r>
            <w:r w:rsidR="00D06C3F">
              <w:rPr>
                <w:lang w:val="fr-CA"/>
              </w:rPr>
              <w:t>’</w:t>
            </w:r>
            <w:r w:rsidR="006E0007" w:rsidRPr="00C32343">
              <w:rPr>
                <w:lang w:val="fr-CA"/>
              </w:rPr>
              <w:t>audience, mais ne peut être contraint à témoigner</w:t>
            </w:r>
            <w:r w:rsidRPr="00C32343">
              <w:rPr>
                <w:lang w:val="fr-CA"/>
              </w:rPr>
              <w:t>.</w:t>
            </w:r>
          </w:p>
          <w:p w14:paraId="7487CE6E" w14:textId="3A8D0756" w:rsidR="00314A01" w:rsidRPr="00C32343" w:rsidRDefault="006E0007" w:rsidP="00FD7883">
            <w:pPr>
              <w:pStyle w:val="Tableaudroiteanglais"/>
              <w:spacing w:before="200" w:after="120"/>
              <w:ind w:left="142"/>
              <w:rPr>
                <w:b/>
                <w:bCs/>
                <w:lang w:val="fr-CA"/>
              </w:rPr>
            </w:pPr>
            <w:r w:rsidRPr="00C32343">
              <w:rPr>
                <w:b/>
                <w:bCs/>
                <w:lang w:val="fr-CA"/>
              </w:rPr>
              <w:t>Droit à un avocat</w:t>
            </w:r>
          </w:p>
          <w:p w14:paraId="7487CE6F" w14:textId="12E62EFB" w:rsidR="00314A01" w:rsidRPr="00C32343" w:rsidRDefault="00C04FF8" w:rsidP="007F295E">
            <w:pPr>
              <w:pStyle w:val="Tableaudroiteanglais"/>
              <w:spacing w:before="120" w:after="120"/>
              <w:rPr>
                <w:lang w:val="fr-CA"/>
              </w:rPr>
            </w:pPr>
            <w:r w:rsidRPr="00C32343">
              <w:rPr>
                <w:b/>
                <w:bCs/>
                <w:lang w:val="fr-CA"/>
              </w:rPr>
              <w:t>(3) </w:t>
            </w:r>
            <w:r w:rsidR="006E0007" w:rsidRPr="00C32343">
              <w:rPr>
                <w:lang w:val="fr-CA"/>
              </w:rPr>
              <w:t>Le juge est tenu d</w:t>
            </w:r>
            <w:r w:rsidR="00D06C3F">
              <w:rPr>
                <w:lang w:val="fr-CA"/>
              </w:rPr>
              <w:t>’</w:t>
            </w:r>
            <w:r w:rsidR="006E0007" w:rsidRPr="00C32343">
              <w:rPr>
                <w:lang w:val="fr-CA"/>
              </w:rPr>
              <w:t>aviser dans les meilleurs délais le plaignant qui participe à l</w:t>
            </w:r>
            <w:r w:rsidR="00D06C3F">
              <w:rPr>
                <w:lang w:val="fr-CA"/>
              </w:rPr>
              <w:t>’</w:t>
            </w:r>
            <w:r w:rsidR="006E0007" w:rsidRPr="00C32343">
              <w:rPr>
                <w:lang w:val="fr-CA"/>
              </w:rPr>
              <w:t>audience de son droit d</w:t>
            </w:r>
            <w:r w:rsidR="00D06C3F">
              <w:rPr>
                <w:lang w:val="fr-CA"/>
              </w:rPr>
              <w:t>’</w:t>
            </w:r>
            <w:r w:rsidR="006E0007" w:rsidRPr="00C32343">
              <w:rPr>
                <w:lang w:val="fr-CA"/>
              </w:rPr>
              <w:t>être représenté par un avocat</w:t>
            </w:r>
            <w:r w:rsidRPr="00C32343">
              <w:rPr>
                <w:lang w:val="fr-CA"/>
              </w:rPr>
              <w:t>.</w:t>
            </w:r>
          </w:p>
          <w:p w14:paraId="7487CE70" w14:textId="7FBB2903" w:rsidR="00314A01" w:rsidRPr="00C32343" w:rsidRDefault="006E0007" w:rsidP="007F295E">
            <w:pPr>
              <w:pStyle w:val="Tableaudroiteanglais"/>
              <w:spacing w:before="120" w:after="120"/>
              <w:rPr>
                <w:b/>
                <w:bCs/>
                <w:lang w:val="fr-CA"/>
              </w:rPr>
            </w:pPr>
            <w:r w:rsidRPr="00C32343">
              <w:rPr>
                <w:b/>
                <w:bCs/>
                <w:lang w:val="fr-CA"/>
              </w:rPr>
              <w:t>Motifs</w:t>
            </w:r>
          </w:p>
          <w:p w14:paraId="7487CE71" w14:textId="65582682" w:rsidR="00314A01" w:rsidRPr="00C32343" w:rsidRDefault="00C04FF8" w:rsidP="007F295E">
            <w:pPr>
              <w:pStyle w:val="Tableaudroiteanglais"/>
              <w:spacing w:before="120" w:after="120"/>
              <w:rPr>
                <w:lang w:val="fr-CA"/>
              </w:rPr>
            </w:pPr>
            <w:r w:rsidRPr="00C32343">
              <w:rPr>
                <w:b/>
                <w:bCs/>
                <w:lang w:val="fr-CA"/>
              </w:rPr>
              <w:t>(4) </w:t>
            </w:r>
            <w:r w:rsidR="006E0007" w:rsidRPr="00C32343">
              <w:rPr>
                <w:lang w:val="fr-CA"/>
              </w:rPr>
              <w:t>Le juge, le juge de la cour provinciale ou le juge de paix rend une décision, qu</w:t>
            </w:r>
            <w:r w:rsidR="00D06C3F">
              <w:rPr>
                <w:lang w:val="fr-CA"/>
              </w:rPr>
              <w:t>’</w:t>
            </w:r>
            <w:r w:rsidR="006E0007" w:rsidRPr="00C32343">
              <w:rPr>
                <w:lang w:val="fr-CA"/>
              </w:rPr>
              <w:t>il est tenu de motiver, à la suite de l</w:t>
            </w:r>
            <w:r w:rsidR="00D06C3F">
              <w:rPr>
                <w:lang w:val="fr-CA"/>
              </w:rPr>
              <w:t>’</w:t>
            </w:r>
            <w:r w:rsidR="006E0007" w:rsidRPr="00C32343">
              <w:rPr>
                <w:lang w:val="fr-CA"/>
              </w:rPr>
              <w:t>audience sur l</w:t>
            </w:r>
            <w:r w:rsidR="00D06C3F">
              <w:rPr>
                <w:lang w:val="fr-CA"/>
              </w:rPr>
              <w:t>’</w:t>
            </w:r>
            <w:r w:rsidR="006E0007" w:rsidRPr="00C32343">
              <w:rPr>
                <w:lang w:val="fr-CA"/>
              </w:rPr>
              <w:t>admissibilité de tout ou partie de la preuve au titre des paragraphes 276(2) ou 278.92(2), en précisant les points suivants :</w:t>
            </w:r>
          </w:p>
          <w:p w14:paraId="7487CE72" w14:textId="3DE0226D" w:rsidR="00314A01" w:rsidRDefault="00C04FF8" w:rsidP="007F295E">
            <w:pPr>
              <w:pStyle w:val="Tableaudroiteanglais"/>
              <w:spacing w:before="120" w:after="120"/>
              <w:ind w:left="345"/>
              <w:rPr>
                <w:lang w:val="fr-CA"/>
              </w:rPr>
            </w:pPr>
            <w:r w:rsidRPr="00C32343">
              <w:rPr>
                <w:b/>
                <w:bCs/>
                <w:lang w:val="fr-CA"/>
              </w:rPr>
              <w:t>a) </w:t>
            </w:r>
            <w:r w:rsidR="006E0007" w:rsidRPr="00C32343">
              <w:rPr>
                <w:lang w:val="fr-CA"/>
              </w:rPr>
              <w:t>les éléments de la preuve retenus</w:t>
            </w:r>
            <w:r w:rsidRPr="00C32343">
              <w:rPr>
                <w:lang w:val="fr-CA"/>
              </w:rPr>
              <w:t>;</w:t>
            </w:r>
          </w:p>
          <w:p w14:paraId="0A2ED071" w14:textId="77777777" w:rsidR="00FD7883" w:rsidRPr="00C32343" w:rsidRDefault="00FD7883" w:rsidP="007F295E">
            <w:pPr>
              <w:pStyle w:val="Tableaudroiteanglais"/>
              <w:spacing w:before="120" w:after="120"/>
              <w:ind w:left="345"/>
              <w:rPr>
                <w:lang w:val="fr-CA"/>
              </w:rPr>
            </w:pPr>
          </w:p>
          <w:p w14:paraId="7487CE73" w14:textId="776CAD71" w:rsidR="00314A01" w:rsidRPr="00C32343" w:rsidRDefault="00C04FF8" w:rsidP="007F295E">
            <w:pPr>
              <w:pStyle w:val="Tableaudroiteanglais"/>
              <w:spacing w:before="120" w:after="120"/>
              <w:ind w:left="345"/>
              <w:rPr>
                <w:lang w:val="fr-CA"/>
              </w:rPr>
            </w:pPr>
            <w:r w:rsidRPr="00C32343">
              <w:rPr>
                <w:b/>
                <w:bCs/>
                <w:lang w:val="fr-CA"/>
              </w:rPr>
              <w:t>b) </w:t>
            </w:r>
            <w:r w:rsidR="005F5D1D" w:rsidRPr="00C32343">
              <w:rPr>
                <w:lang w:val="fr-CA"/>
              </w:rPr>
              <w:t xml:space="preserve">ceux des facteurs mentionnés aux paragraphes 276(3) ou 278.92(3) ayant fondé sa </w:t>
            </w:r>
            <w:proofErr w:type="spellStart"/>
            <w:r w:rsidR="005F5D1D" w:rsidRPr="00C32343">
              <w:rPr>
                <w:lang w:val="fr-CA"/>
              </w:rPr>
              <w:t>decision</w:t>
            </w:r>
            <w:proofErr w:type="spellEnd"/>
            <w:r w:rsidR="005F5D1D" w:rsidRPr="00C32343">
              <w:rPr>
                <w:lang w:val="fr-CA"/>
              </w:rPr>
              <w:t>;</w:t>
            </w:r>
          </w:p>
          <w:p w14:paraId="7487CE74" w14:textId="38A15A23" w:rsidR="00314A01" w:rsidRPr="00C32343" w:rsidRDefault="00C04FF8" w:rsidP="003E5B30">
            <w:pPr>
              <w:pStyle w:val="Tableaudroiteanglais"/>
              <w:spacing w:before="240" w:after="120"/>
              <w:ind w:left="346"/>
              <w:rPr>
                <w:lang w:val="fr-CA"/>
              </w:rPr>
            </w:pPr>
            <w:r w:rsidRPr="00C32343">
              <w:rPr>
                <w:b/>
                <w:bCs/>
                <w:lang w:val="fr-CA"/>
              </w:rPr>
              <w:lastRenderedPageBreak/>
              <w:t>c) </w:t>
            </w:r>
            <w:r w:rsidR="005F5D1D" w:rsidRPr="00C32343">
              <w:rPr>
                <w:lang w:val="fr-CA"/>
              </w:rPr>
              <w:t>la façon dont tout ou partie de la preuve à admettre est en rapport avec un élément de la cause</w:t>
            </w:r>
            <w:r w:rsidRPr="00C32343">
              <w:rPr>
                <w:lang w:val="fr-CA"/>
              </w:rPr>
              <w:t>.</w:t>
            </w:r>
          </w:p>
          <w:p w14:paraId="3B143DCE" w14:textId="77777777" w:rsidR="00FD7883" w:rsidRDefault="00FD7883" w:rsidP="007F295E">
            <w:pPr>
              <w:pStyle w:val="Tableaudroiteanglais"/>
              <w:spacing w:before="120" w:after="120"/>
              <w:rPr>
                <w:b/>
                <w:bCs/>
                <w:lang w:val="fr-CA"/>
              </w:rPr>
            </w:pPr>
          </w:p>
          <w:p w14:paraId="7487CE75" w14:textId="5D12F37F" w:rsidR="00314A01" w:rsidRPr="00C32343" w:rsidRDefault="003D6915" w:rsidP="003E5B30">
            <w:pPr>
              <w:pStyle w:val="Tableaudroiteanglais"/>
              <w:spacing w:before="240" w:after="120"/>
              <w:ind w:left="142"/>
              <w:rPr>
                <w:b/>
                <w:bCs/>
                <w:lang w:val="fr-CA"/>
              </w:rPr>
            </w:pPr>
            <w:r w:rsidRPr="00C32343">
              <w:rPr>
                <w:b/>
                <w:bCs/>
                <w:lang w:val="fr-CA"/>
              </w:rPr>
              <w:t>Forme</w:t>
            </w:r>
          </w:p>
          <w:p w14:paraId="7487CE76" w14:textId="7109A6D8" w:rsidR="00314A01" w:rsidRPr="00491128" w:rsidRDefault="00C04FF8" w:rsidP="007F295E">
            <w:pPr>
              <w:pStyle w:val="Tableaudroiteanglais"/>
              <w:spacing w:before="120" w:after="120"/>
              <w:rPr>
                <w:lang w:val="fr-CA"/>
              </w:rPr>
            </w:pPr>
            <w:r w:rsidRPr="00C32343">
              <w:rPr>
                <w:b/>
                <w:bCs/>
                <w:lang w:val="fr-CA"/>
              </w:rPr>
              <w:t>(5) </w:t>
            </w:r>
            <w:r w:rsidR="003D6915" w:rsidRPr="00C32343">
              <w:rPr>
                <w:lang w:val="fr-CA"/>
              </w:rPr>
              <w:t>Les motifs de la décision sont à porter dans le procès-verbal des débats ou, à défaut, donnés par écrit</w:t>
            </w:r>
            <w:r w:rsidRPr="00491128">
              <w:rPr>
                <w:lang w:val="fr-CA"/>
              </w:rPr>
              <w:t>.</w:t>
            </w:r>
          </w:p>
        </w:tc>
      </w:tr>
    </w:tbl>
    <w:p w14:paraId="7487CE78" w14:textId="77777777" w:rsidR="00314A01" w:rsidRPr="00A4178E" w:rsidRDefault="00C04FF8" w:rsidP="00314A01">
      <w:pPr>
        <w:pStyle w:val="Paragraphe"/>
        <w:spacing w:line="280" w:lineRule="exact"/>
        <w:rPr>
          <w:lang w:val="en-CA"/>
        </w:rPr>
      </w:pPr>
      <w:r w:rsidRPr="00A4178E">
        <w:rPr>
          <w:lang w:val="en-CA"/>
        </w:rPr>
        <w:lastRenderedPageBreak/>
        <w:t>In short, a written application for a hearing must first be made by or on behalf of the accused. The purpose of the stage one inquiry is to decide whether an evidentiary hearing should be held, and to reject frivolous applications.</w:t>
      </w:r>
      <w:r w:rsidRPr="00A4178E">
        <w:rPr>
          <w:rStyle w:val="Appelnotedebasdep"/>
          <w:lang w:val="en-CA"/>
        </w:rPr>
        <w:footnoteReference w:id="46"/>
      </w:r>
      <w:r w:rsidRPr="00A4178E">
        <w:rPr>
          <w:lang w:val="en-CA"/>
        </w:rPr>
        <w:t xml:space="preserve"> Stage two is the hearing itself. The complainant may participate in the hearing and has the right to be represented by counsel.</w:t>
      </w:r>
      <w:r w:rsidRPr="00A4178E">
        <w:rPr>
          <w:rStyle w:val="Appelnotedebasdep"/>
          <w:lang w:val="en-CA"/>
        </w:rPr>
        <w:footnoteReference w:id="47"/>
      </w:r>
    </w:p>
    <w:p w14:paraId="7487CE79" w14:textId="2B8ECDD5" w:rsidR="00314A01" w:rsidRPr="00A4178E" w:rsidRDefault="00C04FF8" w:rsidP="00314A01">
      <w:pPr>
        <w:pStyle w:val="Paragraphe"/>
        <w:spacing w:line="280" w:lineRule="exact"/>
        <w:rPr>
          <w:lang w:val="en-CA"/>
        </w:rPr>
      </w:pPr>
      <w:r w:rsidRPr="00A4178E">
        <w:rPr>
          <w:lang w:val="en-CA"/>
        </w:rPr>
        <w:t>This two-stage process deals with issues of evidentiary admissibility, an issue which does not typically arise in appellate proceedings.</w:t>
      </w:r>
      <w:r w:rsidRPr="00A4178E">
        <w:rPr>
          <w:rStyle w:val="Appelnotedebasdep"/>
          <w:lang w:val="en-CA"/>
        </w:rPr>
        <w:footnoteReference w:id="48"/>
      </w:r>
      <w:r w:rsidRPr="00A4178E">
        <w:rPr>
          <w:lang w:val="en-CA"/>
        </w:rPr>
        <w:t xml:space="preserve"> As Bennett, J.A. of the British Columbia Court of Appeal observed in </w:t>
      </w:r>
      <w:r w:rsidRPr="00A4178E">
        <w:rPr>
          <w:i/>
          <w:iCs/>
          <w:lang w:val="en-CA"/>
        </w:rPr>
        <w:t>R. v. Davies</w:t>
      </w:r>
      <w:r w:rsidRPr="00A4178E">
        <w:rPr>
          <w:lang w:val="en-CA"/>
        </w:rPr>
        <w:t>, however, the substantive purpose of the scheme set out in s</w:t>
      </w:r>
      <w:r w:rsidR="004F6D1C">
        <w:rPr>
          <w:lang w:val="en-CA"/>
        </w:rPr>
        <w:t>s. 2</w:t>
      </w:r>
      <w:r w:rsidRPr="00A4178E">
        <w:rPr>
          <w:lang w:val="en-CA"/>
        </w:rPr>
        <w:t xml:space="preserve">76 and following of the </w:t>
      </w:r>
      <w:r w:rsidRPr="00A4178E">
        <w:rPr>
          <w:i/>
          <w:iCs/>
          <w:lang w:val="en-CA"/>
        </w:rPr>
        <w:t>Criminal Code</w:t>
      </w:r>
      <w:r w:rsidRPr="00A4178E">
        <w:rPr>
          <w:lang w:val="en-CA"/>
        </w:rPr>
        <w:t xml:space="preserve"> – namely, protecting the dignity and privacy of complainants – is not limited to the trial process.</w:t>
      </w:r>
      <w:r w:rsidRPr="00A4178E">
        <w:rPr>
          <w:rStyle w:val="Appelnotedebasdep"/>
          <w:lang w:val="en-CA"/>
        </w:rPr>
        <w:footnoteReference w:id="49"/>
      </w:r>
      <w:r w:rsidRPr="00A4178E">
        <w:rPr>
          <w:lang w:val="en-CA"/>
        </w:rPr>
        <w:t xml:space="preserve"> The security, privacy, and equality interests of complainants are still present on appeal.</w:t>
      </w:r>
    </w:p>
    <w:p w14:paraId="7487CE7A" w14:textId="6B67A3EA" w:rsidR="00314A01" w:rsidRPr="00A4178E" w:rsidRDefault="00C04FF8" w:rsidP="00314A01">
      <w:pPr>
        <w:pStyle w:val="Paragraphe"/>
        <w:spacing w:line="280" w:lineRule="exact"/>
        <w:rPr>
          <w:lang w:val="en-CA"/>
        </w:rPr>
      </w:pPr>
      <w:r w:rsidRPr="00A4178E">
        <w:rPr>
          <w:lang w:val="en-CA"/>
        </w:rPr>
        <w:t>The question here, therefore, is what analytical framework applies when evidence of a complainant</w:t>
      </w:r>
      <w:r w:rsidR="00D06C3F">
        <w:rPr>
          <w:lang w:val="en-CA"/>
        </w:rPr>
        <w:t>’</w:t>
      </w:r>
      <w:r w:rsidRPr="00A4178E">
        <w:rPr>
          <w:lang w:val="en-CA"/>
        </w:rPr>
        <w:t xml:space="preserve">s sexual activity is introduced for the first time on appeal? The Court has never addressed this issue, but other Canadian appellate courts have done so. In </w:t>
      </w:r>
      <w:r w:rsidRPr="00A4178E">
        <w:rPr>
          <w:i/>
          <w:iCs/>
          <w:lang w:val="en-CA"/>
        </w:rPr>
        <w:t>R. v. S (D)</w:t>
      </w:r>
      <w:r w:rsidR="008F2D2E">
        <w:rPr>
          <w:lang w:val="en-CA"/>
        </w:rPr>
        <w:t>,</w:t>
      </w:r>
      <w:r w:rsidRPr="00A4178E">
        <w:rPr>
          <w:rStyle w:val="Appelnotedebasdep"/>
          <w:lang w:val="en-CA"/>
        </w:rPr>
        <w:footnoteReference w:id="50"/>
      </w:r>
      <w:r w:rsidRPr="00A4178E">
        <w:rPr>
          <w:lang w:val="en-CA"/>
        </w:rPr>
        <w:t xml:space="preserve"> Simonsen, J.S. of the Manitoba Court of Appeal summarized the rulings in </w:t>
      </w:r>
      <w:r w:rsidRPr="00A4178E">
        <w:rPr>
          <w:i/>
          <w:iCs/>
          <w:lang w:val="en-CA"/>
        </w:rPr>
        <w:t>R.</w:t>
      </w:r>
      <w:r w:rsidR="00A81C96">
        <w:rPr>
          <w:i/>
          <w:iCs/>
          <w:lang w:val="en-CA"/>
        </w:rPr>
        <w:t> </w:t>
      </w:r>
      <w:r w:rsidRPr="00A4178E">
        <w:rPr>
          <w:i/>
          <w:iCs/>
          <w:lang w:val="en-CA"/>
        </w:rPr>
        <w:t>v.</w:t>
      </w:r>
      <w:r w:rsidR="00A81C96">
        <w:rPr>
          <w:i/>
          <w:iCs/>
          <w:lang w:val="en-CA"/>
        </w:rPr>
        <w:t> </w:t>
      </w:r>
      <w:r w:rsidRPr="00A4178E">
        <w:rPr>
          <w:i/>
          <w:iCs/>
          <w:lang w:val="en-CA"/>
        </w:rPr>
        <w:t>S.C.C.</w:t>
      </w:r>
      <w:r w:rsidRPr="00A4178E">
        <w:rPr>
          <w:rStyle w:val="Appelnotedebasdep"/>
          <w:lang w:val="en-CA"/>
        </w:rPr>
        <w:footnoteReference w:id="51"/>
      </w:r>
      <w:r w:rsidRPr="00A4178E">
        <w:rPr>
          <w:lang w:val="en-CA"/>
        </w:rPr>
        <w:t xml:space="preserve"> and </w:t>
      </w:r>
      <w:r w:rsidRPr="00A4178E">
        <w:rPr>
          <w:i/>
          <w:iCs/>
          <w:lang w:val="en-CA"/>
        </w:rPr>
        <w:t>R.</w:t>
      </w:r>
      <w:r w:rsidR="00A81C96">
        <w:rPr>
          <w:i/>
          <w:iCs/>
          <w:lang w:val="en-CA"/>
        </w:rPr>
        <w:t> </w:t>
      </w:r>
      <w:r w:rsidRPr="00A4178E">
        <w:rPr>
          <w:i/>
          <w:iCs/>
          <w:lang w:val="en-CA"/>
        </w:rPr>
        <w:t>v.</w:t>
      </w:r>
      <w:r w:rsidR="00A81C96">
        <w:rPr>
          <w:i/>
          <w:iCs/>
          <w:lang w:val="en-CA"/>
        </w:rPr>
        <w:t> </w:t>
      </w:r>
      <w:r w:rsidRPr="00A4178E">
        <w:rPr>
          <w:i/>
          <w:iCs/>
          <w:lang w:val="en-CA"/>
        </w:rPr>
        <w:t>Davies</w:t>
      </w:r>
      <w:r w:rsidRPr="00A4178E">
        <w:rPr>
          <w:lang w:val="en-CA"/>
        </w:rPr>
        <w:t>,</w:t>
      </w:r>
      <w:r w:rsidRPr="00A4178E">
        <w:rPr>
          <w:rStyle w:val="Appelnotedebasdep"/>
          <w:lang w:val="en-CA"/>
        </w:rPr>
        <w:footnoteReference w:id="52"/>
      </w:r>
      <w:r w:rsidRPr="00A4178E">
        <w:rPr>
          <w:lang w:val="en-CA"/>
        </w:rPr>
        <w:t xml:space="preserve"> both judgments rendered by Bennett, J.A., and I can do no better than to quote her:</w:t>
      </w:r>
    </w:p>
    <w:p w14:paraId="7487CE7B" w14:textId="19881E60" w:rsidR="00314A01" w:rsidRPr="00A4178E" w:rsidRDefault="00C04FF8" w:rsidP="00314A01">
      <w:pPr>
        <w:pStyle w:val="Citationenretrait"/>
        <w:rPr>
          <w:lang w:val="en-CA"/>
        </w:rPr>
      </w:pPr>
      <w:r w:rsidRPr="00A4178E">
        <w:rPr>
          <w:lang w:val="en-CA"/>
        </w:rPr>
        <w:lastRenderedPageBreak/>
        <w:t>[60]</w:t>
      </w:r>
      <w:r w:rsidRPr="00A4178E">
        <w:rPr>
          <w:lang w:val="en-CA"/>
        </w:rPr>
        <w:tab/>
        <w:t xml:space="preserve">Two recent appellate decisions, </w:t>
      </w:r>
      <w:r w:rsidRPr="00A4178E">
        <w:rPr>
          <w:i/>
          <w:iCs/>
          <w:lang w:val="en-CA"/>
        </w:rPr>
        <w:t>R v SCC</w:t>
      </w:r>
      <w:r w:rsidRPr="00A4178E">
        <w:rPr>
          <w:lang w:val="en-CA"/>
        </w:rPr>
        <w:t xml:space="preserve">, 2022 YKCA 2 and </w:t>
      </w:r>
      <w:r w:rsidRPr="00A4178E">
        <w:rPr>
          <w:i/>
          <w:iCs/>
          <w:lang w:val="en-CA"/>
        </w:rPr>
        <w:t>R v Davies</w:t>
      </w:r>
      <w:r w:rsidRPr="00A4178E">
        <w:rPr>
          <w:lang w:val="en-CA"/>
        </w:rPr>
        <w:t xml:space="preserve">, 2022 BCCA 103, with which I agree, have addressed this issue. </w:t>
      </w:r>
      <w:r w:rsidRPr="00A4178E">
        <w:rPr>
          <w:b/>
          <w:bCs/>
          <w:lang w:val="en-CA"/>
        </w:rPr>
        <w:t>In both, Bennett JA, recognizing that section 276(1) bars the introduction of evidence of a complainant</w:t>
      </w:r>
      <w:r w:rsidR="00D06C3F">
        <w:rPr>
          <w:b/>
          <w:bCs/>
          <w:lang w:val="en-CA"/>
        </w:rPr>
        <w:t>’</w:t>
      </w:r>
      <w:r w:rsidRPr="00A4178E">
        <w:rPr>
          <w:b/>
          <w:bCs/>
          <w:lang w:val="en-CA"/>
        </w:rPr>
        <w:t xml:space="preserve">s sexual history in </w:t>
      </w:r>
      <w:r w:rsidR="00D06C3F">
        <w:rPr>
          <w:b/>
          <w:bCs/>
          <w:lang w:val="en-CA"/>
        </w:rPr>
        <w:t>“</w:t>
      </w:r>
      <w:r w:rsidRPr="00A4178E">
        <w:rPr>
          <w:b/>
          <w:bCs/>
          <w:lang w:val="en-CA"/>
        </w:rPr>
        <w:t>proceedings</w:t>
      </w:r>
      <w:r w:rsidR="00D06C3F">
        <w:rPr>
          <w:b/>
          <w:bCs/>
          <w:lang w:val="en-CA"/>
        </w:rPr>
        <w:t>”</w:t>
      </w:r>
      <w:r w:rsidRPr="00A4178E">
        <w:rPr>
          <w:b/>
          <w:bCs/>
          <w:lang w:val="en-CA"/>
        </w:rPr>
        <w:t xml:space="preserve"> if that evidence supports the twin myths, held that the substantive purpose of section 276 is not limited to the trial process and that it applies, to a certain degree, to fresh evidence motions on appeal.</w:t>
      </w:r>
      <w:r w:rsidRPr="00A4178E">
        <w:rPr>
          <w:lang w:val="en-CA"/>
        </w:rPr>
        <w:t xml:space="preserve"> Specifically, she concluded that, where fresh evidence of other sexual activity of a complainant is sought to be adduced on appeal, the procedural provisions of section 278.93 (the first stage) should be complied with. The court of appeal should determine, under section 278.93(4), whether the evidence sought to be adduced is </w:t>
      </w:r>
      <w:r w:rsidR="00D06C3F">
        <w:rPr>
          <w:lang w:val="en-CA"/>
        </w:rPr>
        <w:t>“</w:t>
      </w:r>
      <w:r w:rsidRPr="00A4178E">
        <w:rPr>
          <w:lang w:val="en-CA"/>
        </w:rPr>
        <w:t>capable of being admissible</w:t>
      </w:r>
      <w:r w:rsidR="00D06C3F">
        <w:rPr>
          <w:lang w:val="en-CA"/>
        </w:rPr>
        <w:t>”</w:t>
      </w:r>
      <w:r w:rsidRPr="00A4178E">
        <w:rPr>
          <w:lang w:val="en-CA"/>
        </w:rPr>
        <w:t xml:space="preserve"> in accordance with section 276(2). But the appellate court should generally not go on to hold a hearing under section 278.94 to determine whether the evidence is admissible (the second stage) (see SCC at para 30; and </w:t>
      </w:r>
      <w:r w:rsidRPr="00A4178E">
        <w:rPr>
          <w:i/>
          <w:iCs/>
          <w:lang w:val="en-CA"/>
        </w:rPr>
        <w:t>Davies</w:t>
      </w:r>
      <w:r w:rsidRPr="00A4178E">
        <w:rPr>
          <w:lang w:val="en-CA"/>
        </w:rPr>
        <w:t xml:space="preserve"> at paras 38-41).</w:t>
      </w:r>
    </w:p>
    <w:p w14:paraId="7487CE7C" w14:textId="34776C62" w:rsidR="00314A01" w:rsidRPr="00A4178E" w:rsidRDefault="00C04FF8" w:rsidP="00314A01">
      <w:pPr>
        <w:pStyle w:val="Citationenretrait"/>
        <w:rPr>
          <w:lang w:val="en-CA"/>
        </w:rPr>
      </w:pPr>
      <w:r w:rsidRPr="00A4178E">
        <w:rPr>
          <w:lang w:val="en-CA"/>
        </w:rPr>
        <w:t>[61]</w:t>
      </w:r>
      <w:r w:rsidRPr="00A4178E">
        <w:rPr>
          <w:lang w:val="en-CA"/>
        </w:rPr>
        <w:tab/>
        <w:t xml:space="preserve">The decisions in </w:t>
      </w:r>
      <w:r w:rsidRPr="00A4178E">
        <w:rPr>
          <w:i/>
          <w:iCs/>
          <w:lang w:val="en-CA"/>
        </w:rPr>
        <w:t>SCC</w:t>
      </w:r>
      <w:r w:rsidRPr="00A4178E">
        <w:rPr>
          <w:lang w:val="en-CA"/>
        </w:rPr>
        <w:t xml:space="preserve"> and </w:t>
      </w:r>
      <w:r w:rsidRPr="00A4178E">
        <w:rPr>
          <w:i/>
          <w:iCs/>
          <w:lang w:val="en-CA"/>
        </w:rPr>
        <w:t>Davies</w:t>
      </w:r>
      <w:r w:rsidRPr="00A4178E">
        <w:rPr>
          <w:lang w:val="en-CA"/>
        </w:rPr>
        <w:t xml:space="preserve"> further explain that, if a court determines that the evidence of other sexual activity of a complainant is </w:t>
      </w:r>
      <w:r w:rsidR="00D06C3F">
        <w:rPr>
          <w:lang w:val="en-CA"/>
        </w:rPr>
        <w:t>“</w:t>
      </w:r>
      <w:r w:rsidRPr="00A4178E">
        <w:rPr>
          <w:lang w:val="en-CA"/>
        </w:rPr>
        <w:t>capable of being admissible</w:t>
      </w:r>
      <w:r w:rsidR="00D06C3F">
        <w:rPr>
          <w:lang w:val="en-CA"/>
        </w:rPr>
        <w:t>”</w:t>
      </w:r>
      <w:r w:rsidRPr="00A4178E">
        <w:rPr>
          <w:lang w:val="en-CA"/>
        </w:rPr>
        <w:t xml:space="preserve"> according to section 276(2), and it otherwise meets the </w:t>
      </w:r>
      <w:r w:rsidRPr="00A4178E">
        <w:rPr>
          <w:i/>
          <w:iCs/>
          <w:lang w:val="en-CA"/>
        </w:rPr>
        <w:t>Palmer</w:t>
      </w:r>
      <w:r w:rsidRPr="00A4178E">
        <w:rPr>
          <w:lang w:val="en-CA"/>
        </w:rPr>
        <w:t xml:space="preserve"> criteria for the admission of fresh evidence, then it would be admitted for the purpose of the appeal, and a new trial would be ordered. It would be the responsibility of the new trial judge to hold the section 278.94 hearing and decide if the evidence will be admitted in the new trial (the second stage) (see </w:t>
      </w:r>
      <w:r w:rsidRPr="00A4178E">
        <w:rPr>
          <w:i/>
          <w:iCs/>
          <w:lang w:val="en-CA"/>
        </w:rPr>
        <w:t>Davies</w:t>
      </w:r>
      <w:r w:rsidRPr="00A4178E">
        <w:rPr>
          <w:lang w:val="en-CA"/>
        </w:rPr>
        <w:t xml:space="preserve"> at paras 34).</w:t>
      </w:r>
      <w:r w:rsidRPr="00A4178E">
        <w:rPr>
          <w:rStyle w:val="Appelnotedebasdep"/>
          <w:lang w:val="en-CA"/>
        </w:rPr>
        <w:footnoteReference w:id="53"/>
      </w:r>
    </w:p>
    <w:p w14:paraId="7487CE7D" w14:textId="77777777" w:rsidR="00314A01" w:rsidRPr="00A4178E" w:rsidRDefault="00C04FF8" w:rsidP="00314A01">
      <w:pPr>
        <w:pStyle w:val="Citationenretrait"/>
        <w:jc w:val="right"/>
        <w:rPr>
          <w:lang w:val="en-CA"/>
        </w:rPr>
      </w:pPr>
      <w:r w:rsidRPr="00A4178E">
        <w:rPr>
          <w:lang w:val="en-CA"/>
        </w:rPr>
        <w:t>[Boldface added]</w:t>
      </w:r>
    </w:p>
    <w:p w14:paraId="7487CE7E" w14:textId="180E6BCA" w:rsidR="00314A01" w:rsidRPr="00A4178E" w:rsidRDefault="00C04FF8" w:rsidP="00314A01">
      <w:pPr>
        <w:pStyle w:val="Paragraphe"/>
        <w:spacing w:line="280" w:lineRule="exact"/>
        <w:rPr>
          <w:lang w:val="en-CA"/>
        </w:rPr>
      </w:pPr>
      <w:r w:rsidRPr="00A4178E">
        <w:rPr>
          <w:lang w:val="en-CA"/>
        </w:rPr>
        <w:t>Thus, according to this case law, when fresh evidence adduced on appeal concerns sexual activity other than sexual activity that gave rise to the charge, the appellate court must ask itself two questions: (1) whether the evidence sought to be adduced is capable of being admissible (</w:t>
      </w:r>
      <w:r w:rsidR="00D06C3F">
        <w:rPr>
          <w:lang w:val="en-CA"/>
        </w:rPr>
        <w:t>“</w:t>
      </w:r>
      <w:r w:rsidRPr="00A4178E">
        <w:rPr>
          <w:i/>
          <w:iCs/>
          <w:lang w:val="en-CA"/>
        </w:rPr>
        <w:t xml:space="preserve">il y a des </w:t>
      </w:r>
      <w:proofErr w:type="spellStart"/>
      <w:r w:rsidRPr="00A4178E">
        <w:rPr>
          <w:i/>
          <w:iCs/>
          <w:lang w:val="en-CA"/>
        </w:rPr>
        <w:t>possibilités</w:t>
      </w:r>
      <w:proofErr w:type="spellEnd"/>
      <w:r w:rsidRPr="00A4178E">
        <w:rPr>
          <w:i/>
          <w:iCs/>
          <w:lang w:val="en-CA"/>
        </w:rPr>
        <w:t xml:space="preserve"> que la </w:t>
      </w:r>
      <w:proofErr w:type="spellStart"/>
      <w:r w:rsidRPr="00A4178E">
        <w:rPr>
          <w:i/>
          <w:iCs/>
          <w:lang w:val="en-CA"/>
        </w:rPr>
        <w:t>preuve</w:t>
      </w:r>
      <w:proofErr w:type="spellEnd"/>
      <w:r w:rsidRPr="00A4178E">
        <w:rPr>
          <w:i/>
          <w:iCs/>
          <w:lang w:val="en-CA"/>
        </w:rPr>
        <w:t xml:space="preserve"> en cause </w:t>
      </w:r>
      <w:proofErr w:type="spellStart"/>
      <w:r w:rsidRPr="00A4178E">
        <w:rPr>
          <w:i/>
          <w:iCs/>
          <w:lang w:val="en-CA"/>
        </w:rPr>
        <w:t>soit</w:t>
      </w:r>
      <w:proofErr w:type="spellEnd"/>
      <w:r w:rsidRPr="00A4178E">
        <w:rPr>
          <w:i/>
          <w:iCs/>
          <w:lang w:val="en-CA"/>
        </w:rPr>
        <w:t xml:space="preserve"> admissible</w:t>
      </w:r>
      <w:r w:rsidR="00D06C3F">
        <w:rPr>
          <w:lang w:val="en-CA"/>
        </w:rPr>
        <w:t>”</w:t>
      </w:r>
      <w:r w:rsidRPr="00A4178E">
        <w:rPr>
          <w:lang w:val="en-CA"/>
        </w:rPr>
        <w:t xml:space="preserve">)? and (2) have the </w:t>
      </w:r>
      <w:r w:rsidRPr="00A4178E">
        <w:rPr>
          <w:i/>
          <w:iCs/>
          <w:lang w:val="en-CA"/>
        </w:rPr>
        <w:t>Palmer</w:t>
      </w:r>
      <w:r w:rsidRPr="00A4178E">
        <w:rPr>
          <w:lang w:val="en-CA"/>
        </w:rPr>
        <w:t xml:space="preserve"> criteria been met? If the answer to both questions is yes, the application for leave to adduce fresh evidence is granted and a new trial is ordered.</w:t>
      </w:r>
    </w:p>
    <w:p w14:paraId="7487CE7F" w14:textId="2F48E778" w:rsidR="00314A01" w:rsidRPr="00A4178E" w:rsidRDefault="00C04FF8" w:rsidP="00314A01">
      <w:pPr>
        <w:pStyle w:val="Paragraphe"/>
        <w:spacing w:line="280" w:lineRule="exact"/>
        <w:rPr>
          <w:lang w:val="en-CA"/>
        </w:rPr>
      </w:pPr>
      <w:r w:rsidRPr="00A4178E">
        <w:rPr>
          <w:lang w:val="en-CA"/>
        </w:rPr>
        <w:t xml:space="preserve">Regarding the first question (which corresponds to stage one of </w:t>
      </w:r>
      <w:r w:rsidR="004F6D1C">
        <w:rPr>
          <w:lang w:val="en-CA"/>
        </w:rPr>
        <w:t>s. 2</w:t>
      </w:r>
      <w:r w:rsidRPr="00A4178E">
        <w:rPr>
          <w:lang w:val="en-CA"/>
        </w:rPr>
        <w:t xml:space="preserve">78.93), the threshold is low. The appellate court need merely carry out a superficial examination of the evidence, without embarking on an in-depth assessment of its admissibility, as Bennett, J.A. stated in </w:t>
      </w:r>
      <w:r w:rsidRPr="00A4178E">
        <w:rPr>
          <w:i/>
          <w:iCs/>
          <w:lang w:val="en-CA"/>
        </w:rPr>
        <w:t>R. v. Davies</w:t>
      </w:r>
      <w:r w:rsidRPr="00A4178E">
        <w:rPr>
          <w:lang w:val="en-CA"/>
        </w:rPr>
        <w:t>:</w:t>
      </w:r>
    </w:p>
    <w:p w14:paraId="7487CE80" w14:textId="552FEE90" w:rsidR="00314A01" w:rsidRPr="00A4178E" w:rsidRDefault="00C04FF8" w:rsidP="00314A01">
      <w:pPr>
        <w:pStyle w:val="Citationenretrait"/>
        <w:rPr>
          <w:lang w:val="en-CA"/>
        </w:rPr>
      </w:pPr>
      <w:r w:rsidRPr="00A4178E">
        <w:rPr>
          <w:lang w:val="en-CA"/>
        </w:rPr>
        <w:lastRenderedPageBreak/>
        <w:t>[34]</w:t>
      </w:r>
      <w:r w:rsidRPr="00A4178E">
        <w:rPr>
          <w:lang w:val="en-CA"/>
        </w:rPr>
        <w:tab/>
        <w:t>[…] Other than the initial vetting at the application stage, the Court would not embark on the weighing process in s</w:t>
      </w:r>
      <w:r w:rsidR="004F6D1C">
        <w:rPr>
          <w:lang w:val="en-CA"/>
        </w:rPr>
        <w:t>s. 2</w:t>
      </w:r>
      <w:r w:rsidRPr="00A4178E">
        <w:rPr>
          <w:lang w:val="en-CA"/>
        </w:rPr>
        <w:t xml:space="preserve">76(2) and (3) set out above. That process is better left with the trial judge who will hear </w:t>
      </w:r>
      <w:proofErr w:type="gramStart"/>
      <w:r w:rsidRPr="00A4178E">
        <w:rPr>
          <w:lang w:val="en-CA"/>
        </w:rPr>
        <w:t>all of</w:t>
      </w:r>
      <w:proofErr w:type="gramEnd"/>
      <w:r w:rsidRPr="00A4178E">
        <w:rPr>
          <w:lang w:val="en-CA"/>
        </w:rPr>
        <w:t xml:space="preserve"> the evidence.</w:t>
      </w:r>
      <w:r w:rsidRPr="00A4178E">
        <w:rPr>
          <w:vertAlign w:val="superscript"/>
          <w:lang w:val="en-CA"/>
        </w:rPr>
        <w:footnoteReference w:id="54"/>
      </w:r>
    </w:p>
    <w:p w14:paraId="7487CE81" w14:textId="6CFDDE48" w:rsidR="00314A01" w:rsidRPr="00A4178E" w:rsidRDefault="00C04FF8" w:rsidP="00314A01">
      <w:pPr>
        <w:pStyle w:val="Paragraphe"/>
        <w:spacing w:line="280" w:lineRule="exact"/>
        <w:rPr>
          <w:lang w:val="en-CA"/>
        </w:rPr>
      </w:pPr>
      <w:r w:rsidRPr="00A4178E">
        <w:rPr>
          <w:lang w:val="en-CA"/>
        </w:rPr>
        <w:t xml:space="preserve">In </w:t>
      </w:r>
      <w:r w:rsidRPr="00A4178E">
        <w:rPr>
          <w:i/>
          <w:iCs/>
          <w:lang w:val="en-CA"/>
        </w:rPr>
        <w:t>R. v. S (D)</w:t>
      </w:r>
      <w:r w:rsidRPr="00A4178E">
        <w:rPr>
          <w:lang w:val="en-CA"/>
        </w:rPr>
        <w:t>, Simonsen, J.A. of the Manitoba Court of Appeal also noted that the examination carried out at the first stage is superficial (</w:t>
      </w:r>
      <w:r w:rsidR="00D06C3F">
        <w:rPr>
          <w:lang w:val="en-CA"/>
        </w:rPr>
        <w:t>“</w:t>
      </w:r>
      <w:r w:rsidRPr="00A4178E">
        <w:rPr>
          <w:lang w:val="en-CA"/>
        </w:rPr>
        <w:t>only a facial consideration</w:t>
      </w:r>
      <w:r w:rsidR="00D06C3F">
        <w:rPr>
          <w:lang w:val="en-CA"/>
        </w:rPr>
        <w:t>”</w:t>
      </w:r>
      <w:r w:rsidRPr="00A4178E">
        <w:rPr>
          <w:lang w:val="en-CA"/>
        </w:rPr>
        <w:t>) and that any doubt as to the admissibility of the evidence ought to be resolved at the second stage.</w:t>
      </w:r>
      <w:r w:rsidRPr="00A4178E">
        <w:rPr>
          <w:rStyle w:val="Appelnotedebasdep"/>
          <w:lang w:val="en-CA"/>
        </w:rPr>
        <w:footnoteReference w:id="55"/>
      </w:r>
      <w:r w:rsidRPr="00A4178E">
        <w:rPr>
          <w:lang w:val="en-CA"/>
        </w:rPr>
        <w:t xml:space="preserve"> Consequently, as set out in the following passage, she seems to suggest that the condition set out in </w:t>
      </w:r>
      <w:r w:rsidR="004F6D1C">
        <w:rPr>
          <w:lang w:val="en-CA"/>
        </w:rPr>
        <w:t>s. 2</w:t>
      </w:r>
      <w:r w:rsidRPr="00A4178E">
        <w:rPr>
          <w:lang w:val="en-CA"/>
        </w:rPr>
        <w:t>76(2)(d), which requires that the probative value of the evidence not be substantially outweighed by its prejudicial effect, need not be considered at this stage:</w:t>
      </w:r>
    </w:p>
    <w:p w14:paraId="7487CE82" w14:textId="60043673" w:rsidR="00314A01" w:rsidRPr="00A4178E" w:rsidRDefault="00C04FF8" w:rsidP="00314A01">
      <w:pPr>
        <w:pStyle w:val="Citationenretrait"/>
        <w:rPr>
          <w:lang w:val="en-CA"/>
        </w:rPr>
      </w:pPr>
      <w:r w:rsidRPr="00A4178E">
        <w:rPr>
          <w:lang w:val="en-CA"/>
        </w:rPr>
        <w:t>[73]</w:t>
      </w:r>
      <w:r w:rsidRPr="00A4178E">
        <w:rPr>
          <w:lang w:val="en-CA"/>
        </w:rPr>
        <w:tab/>
        <w:t xml:space="preserve">The probative value/danger of prejudice factor contained in section 276(2)(d) involves a balancing which </w:t>
      </w:r>
      <w:r w:rsidR="00D06C3F">
        <w:rPr>
          <w:lang w:val="en-CA"/>
        </w:rPr>
        <w:t>“</w:t>
      </w:r>
      <w:r w:rsidRPr="00A4178E">
        <w:rPr>
          <w:lang w:val="en-CA"/>
        </w:rPr>
        <w:t>requires judges to pay careful attention to the factors listed in section 276(3) in assessing the potential impact of the evidence on the accused, the complainant and the administration of justice</w:t>
      </w:r>
      <w:r w:rsidR="00D06C3F">
        <w:rPr>
          <w:lang w:val="en-CA"/>
        </w:rPr>
        <w:t>”</w:t>
      </w:r>
      <w:r w:rsidRPr="00A4178E">
        <w:rPr>
          <w:lang w:val="en-CA"/>
        </w:rPr>
        <w:t xml:space="preserve"> (</w:t>
      </w:r>
      <w:r w:rsidRPr="00A4178E">
        <w:rPr>
          <w:i/>
          <w:iCs/>
          <w:lang w:val="en-CA"/>
        </w:rPr>
        <w:t>RV</w:t>
      </w:r>
      <w:r w:rsidRPr="00A4178E">
        <w:rPr>
          <w:lang w:val="en-CA"/>
        </w:rPr>
        <w:t> at para 60).</w:t>
      </w:r>
    </w:p>
    <w:p w14:paraId="7487CE83" w14:textId="463CA1A4" w:rsidR="00314A01" w:rsidRPr="00A4178E" w:rsidRDefault="00C04FF8" w:rsidP="00314A01">
      <w:pPr>
        <w:pStyle w:val="Citationenretrait"/>
        <w:rPr>
          <w:lang w:val="en-CA"/>
        </w:rPr>
      </w:pPr>
      <w:r w:rsidRPr="00A4178E">
        <w:rPr>
          <w:lang w:val="en-CA"/>
        </w:rPr>
        <w:t>[74]</w:t>
      </w:r>
      <w:r w:rsidRPr="00A4178E">
        <w:rPr>
          <w:lang w:val="en-CA"/>
        </w:rPr>
        <w:tab/>
        <w:t>In the present case, as I will later explain, it is not clear that questioning the victim about chlamydia would be highly probative, even as it relates to her credibility.</w:t>
      </w:r>
      <w:r w:rsidR="00644C4A">
        <w:rPr>
          <w:lang w:val="en-CA"/>
        </w:rPr>
        <w:t xml:space="preserve"> </w:t>
      </w:r>
      <w:r w:rsidRPr="00A4178E">
        <w:rPr>
          <w:lang w:val="en-CA"/>
        </w:rPr>
        <w:t xml:space="preserve">Nonetheless, as this is a factor that requires weighing, and the appellate case law suggests only a facial consideration at the first stage, I will assume that the evidence is </w:t>
      </w:r>
      <w:r w:rsidR="00D06C3F">
        <w:rPr>
          <w:lang w:val="en-CA"/>
        </w:rPr>
        <w:t>“</w:t>
      </w:r>
      <w:r w:rsidRPr="00A4178E">
        <w:rPr>
          <w:lang w:val="en-CA"/>
        </w:rPr>
        <w:t>capable of being admissible</w:t>
      </w:r>
      <w:r w:rsidR="00D06C3F">
        <w:rPr>
          <w:lang w:val="en-CA"/>
        </w:rPr>
        <w:t>”</w:t>
      </w:r>
      <w:r w:rsidRPr="00A4178E">
        <w:rPr>
          <w:lang w:val="en-CA"/>
        </w:rPr>
        <w:t xml:space="preserve"> (the </w:t>
      </w:r>
      <w:hyperlink r:id="rId10" w:history="1">
        <w:r w:rsidRPr="00A4178E">
          <w:rPr>
            <w:i/>
            <w:iCs/>
            <w:lang w:val="en-CA"/>
          </w:rPr>
          <w:t>Code</w:t>
        </w:r>
      </w:hyperlink>
      <w:r w:rsidRPr="00A4178E">
        <w:rPr>
          <w:lang w:val="en-CA"/>
        </w:rPr>
        <w:t> at section 278.93(4)) and will consider the test set out in </w:t>
      </w:r>
      <w:r w:rsidRPr="00A4178E">
        <w:rPr>
          <w:i/>
          <w:iCs/>
          <w:lang w:val="en-CA"/>
        </w:rPr>
        <w:t>Palmer</w:t>
      </w:r>
      <w:r w:rsidRPr="00A4178E">
        <w:rPr>
          <w:lang w:val="en-CA"/>
        </w:rPr>
        <w:t>.</w:t>
      </w:r>
      <w:r w:rsidRPr="00A4178E">
        <w:rPr>
          <w:rStyle w:val="Appelnotedebasdep"/>
          <w:lang w:val="en-CA"/>
        </w:rPr>
        <w:footnoteReference w:id="56"/>
      </w:r>
    </w:p>
    <w:p w14:paraId="7487CE84" w14:textId="4F6887DF" w:rsidR="00314A01" w:rsidRPr="00A4178E" w:rsidRDefault="00C04FF8" w:rsidP="00314A01">
      <w:pPr>
        <w:pStyle w:val="Paragraphe"/>
        <w:spacing w:line="280" w:lineRule="exact"/>
        <w:rPr>
          <w:lang w:val="en-CA"/>
        </w:rPr>
      </w:pPr>
      <w:r w:rsidRPr="00A4178E">
        <w:rPr>
          <w:lang w:val="en-CA"/>
        </w:rPr>
        <w:t xml:space="preserve">In short, according to the jurisprudence of these appellate courts, where evidence governed by </w:t>
      </w:r>
      <w:r w:rsidR="004F6D1C">
        <w:rPr>
          <w:lang w:val="en-CA"/>
        </w:rPr>
        <w:t>s. 2</w:t>
      </w:r>
      <w:r w:rsidRPr="00A4178E">
        <w:rPr>
          <w:lang w:val="en-CA"/>
        </w:rPr>
        <w:t xml:space="preserve">76 </w:t>
      </w:r>
      <w:proofErr w:type="spellStart"/>
      <w:r w:rsidRPr="00A4178E">
        <w:rPr>
          <w:i/>
          <w:iCs/>
          <w:lang w:val="en-CA"/>
        </w:rPr>
        <w:t>Cr.C</w:t>
      </w:r>
      <w:proofErr w:type="spellEnd"/>
      <w:r w:rsidRPr="00A4178E">
        <w:rPr>
          <w:i/>
          <w:iCs/>
          <w:lang w:val="en-CA"/>
        </w:rPr>
        <w:t>.</w:t>
      </w:r>
      <w:r w:rsidRPr="00A4178E">
        <w:rPr>
          <w:lang w:val="en-CA"/>
        </w:rPr>
        <w:t xml:space="preserve"> is sought to be adduced on appeal by or on behalf of the accused, this must be done in compliance with the spirit of </w:t>
      </w:r>
      <w:r w:rsidR="004F6D1C">
        <w:rPr>
          <w:lang w:val="en-CA"/>
        </w:rPr>
        <w:t>s. 2</w:t>
      </w:r>
      <w:r w:rsidRPr="00A4178E">
        <w:rPr>
          <w:lang w:val="en-CA"/>
        </w:rPr>
        <w:t xml:space="preserve">78.93 as regards the form and content of the application. </w:t>
      </w:r>
      <w:proofErr w:type="gramStart"/>
      <w:r w:rsidRPr="00A4178E">
        <w:rPr>
          <w:lang w:val="en-CA"/>
        </w:rPr>
        <w:t>As a general rule</w:t>
      </w:r>
      <w:proofErr w:type="gramEnd"/>
      <w:r w:rsidRPr="00A4178E">
        <w:rPr>
          <w:lang w:val="en-CA"/>
        </w:rPr>
        <w:t xml:space="preserve">, the appellate court should only carry out a superficial examination of the evidence and should not hold a hearing under </w:t>
      </w:r>
      <w:r w:rsidR="004F6D1C">
        <w:rPr>
          <w:lang w:val="en-CA"/>
        </w:rPr>
        <w:t>s. 2</w:t>
      </w:r>
      <w:r w:rsidRPr="00A4178E">
        <w:rPr>
          <w:lang w:val="en-CA"/>
        </w:rPr>
        <w:t xml:space="preserve">78.94. Nor should the appellate court weigh the risk that the probative value of the evidence is substantially outweighed by its prejudicial effect, as this condition implies a weighing of the factors set out in </w:t>
      </w:r>
      <w:r w:rsidR="004F6D1C">
        <w:rPr>
          <w:lang w:val="en-CA"/>
        </w:rPr>
        <w:t>s. 2</w:t>
      </w:r>
      <w:r w:rsidRPr="00A4178E">
        <w:rPr>
          <w:lang w:val="en-CA"/>
        </w:rPr>
        <w:t>76(3).</w:t>
      </w:r>
      <w:bookmarkStart w:id="41" w:name="_Ref194072481"/>
      <w:r w:rsidRPr="00A4178E">
        <w:rPr>
          <w:lang w:val="en-CA"/>
        </w:rPr>
        <w:t xml:space="preserve"> If the appellate court concludes that the evidence is capable of being admissible, it must consider whether the evidence satisfies the </w:t>
      </w:r>
      <w:r w:rsidRPr="00A4178E">
        <w:rPr>
          <w:i/>
          <w:iCs/>
          <w:lang w:val="en-CA"/>
        </w:rPr>
        <w:t>Palmer</w:t>
      </w:r>
      <w:r w:rsidRPr="00A4178E">
        <w:rPr>
          <w:lang w:val="en-CA"/>
        </w:rPr>
        <w:t xml:space="preserve"> criteria.</w:t>
      </w:r>
      <w:r w:rsidRPr="00A4178E">
        <w:rPr>
          <w:rStyle w:val="Appelnotedebasdep"/>
          <w:lang w:val="en-CA"/>
        </w:rPr>
        <w:footnoteReference w:id="57"/>
      </w:r>
      <w:bookmarkEnd w:id="41"/>
      <w:r w:rsidRPr="00A4178E">
        <w:rPr>
          <w:lang w:val="en-CA"/>
        </w:rPr>
        <w:t xml:space="preserve"> If so, it must grant the application for leave to adduce fresh evidence.</w:t>
      </w:r>
    </w:p>
    <w:p w14:paraId="7487CE85" w14:textId="6BB4B4BF" w:rsidR="00314A01" w:rsidRPr="00A4178E" w:rsidRDefault="00C04FF8" w:rsidP="00314A01">
      <w:pPr>
        <w:pStyle w:val="Paragraphe"/>
        <w:spacing w:line="280" w:lineRule="exact"/>
        <w:rPr>
          <w:lang w:val="en-CA"/>
        </w:rPr>
      </w:pPr>
      <w:r w:rsidRPr="00A4178E">
        <w:rPr>
          <w:lang w:val="en-CA"/>
        </w:rPr>
        <w:t xml:space="preserve">With all due respect, I cannot fully subscribe to this analytical framework. My disagreement pertains to the scope of the examination to be carried out at the first stage. </w:t>
      </w:r>
      <w:r w:rsidRPr="00A4178E">
        <w:rPr>
          <w:lang w:val="en-CA"/>
        </w:rPr>
        <w:lastRenderedPageBreak/>
        <w:t xml:space="preserve">Unlike the situation in first instance, on appeal the matter does not entail deciding </w:t>
      </w:r>
      <w:proofErr w:type="gramStart"/>
      <w:r w:rsidRPr="00A4178E">
        <w:rPr>
          <w:lang w:val="en-CA"/>
        </w:rPr>
        <w:t>whether or not</w:t>
      </w:r>
      <w:proofErr w:type="gramEnd"/>
      <w:r w:rsidRPr="00A4178E">
        <w:rPr>
          <w:lang w:val="en-CA"/>
        </w:rPr>
        <w:t xml:space="preserve"> to hold an evidentiary hearing (a </w:t>
      </w:r>
      <w:proofErr w:type="spellStart"/>
      <w:r w:rsidRPr="00A4178E">
        <w:rPr>
          <w:i/>
          <w:iCs/>
          <w:lang w:val="en-CA"/>
        </w:rPr>
        <w:t>voir</w:t>
      </w:r>
      <w:proofErr w:type="spellEnd"/>
      <w:r w:rsidRPr="00A4178E">
        <w:rPr>
          <w:i/>
          <w:iCs/>
          <w:lang w:val="en-CA"/>
        </w:rPr>
        <w:t xml:space="preserve"> dire</w:t>
      </w:r>
      <w:r w:rsidRPr="00A4178E">
        <w:rPr>
          <w:lang w:val="en-CA"/>
        </w:rPr>
        <w:t>). The examination of the evidence at this stage forms part of the Court</w:t>
      </w:r>
      <w:r w:rsidR="00D06C3F">
        <w:rPr>
          <w:lang w:val="en-CA"/>
        </w:rPr>
        <w:t>’</w:t>
      </w:r>
      <w:r w:rsidRPr="00A4178E">
        <w:rPr>
          <w:lang w:val="en-CA"/>
        </w:rPr>
        <w:t xml:space="preserve">s exercise of its discretionary power to admit fresh evidence, and </w:t>
      </w:r>
      <w:r w:rsidR="00C90A8C">
        <w:rPr>
          <w:lang w:val="en-CA"/>
        </w:rPr>
        <w:t xml:space="preserve">it </w:t>
      </w:r>
      <w:r w:rsidRPr="00A4178E">
        <w:rPr>
          <w:lang w:val="en-CA"/>
        </w:rPr>
        <w:t xml:space="preserve">may result in a new trial. This is why the Court must not simply follow the first stage set out in </w:t>
      </w:r>
      <w:r w:rsidR="004F6D1C">
        <w:rPr>
          <w:lang w:val="en-CA"/>
        </w:rPr>
        <w:t>s. 2</w:t>
      </w:r>
      <w:r w:rsidRPr="00A4178E">
        <w:rPr>
          <w:lang w:val="en-CA"/>
        </w:rPr>
        <w:t xml:space="preserve">78.93, as if </w:t>
      </w:r>
      <w:r w:rsidR="009F03B1">
        <w:rPr>
          <w:lang w:val="en-CA"/>
        </w:rPr>
        <w:t xml:space="preserve">the Court </w:t>
      </w:r>
      <w:r w:rsidRPr="00A4178E">
        <w:rPr>
          <w:lang w:val="en-CA"/>
        </w:rPr>
        <w:t>were in the place of a judge ruling on an application for a hearing. Rather, it must determine the plausibility that the evidence would have been admitted at the end of the two-stage process set out in s</w:t>
      </w:r>
      <w:r w:rsidR="004F6D1C">
        <w:rPr>
          <w:lang w:val="en-CA"/>
        </w:rPr>
        <w:t>s. 2</w:t>
      </w:r>
      <w:r w:rsidRPr="00A4178E">
        <w:rPr>
          <w:lang w:val="en-CA"/>
        </w:rPr>
        <w:t>78.93 and 278.94.</w:t>
      </w:r>
    </w:p>
    <w:p w14:paraId="7487CE86" w14:textId="38553B34" w:rsidR="00314A01" w:rsidRPr="00A4178E" w:rsidRDefault="00C04FF8" w:rsidP="00314A01">
      <w:pPr>
        <w:pStyle w:val="Paragraphe"/>
        <w:spacing w:line="280" w:lineRule="exact"/>
        <w:rPr>
          <w:lang w:val="en-CA"/>
        </w:rPr>
      </w:pPr>
      <w:r w:rsidRPr="00A4178E">
        <w:rPr>
          <w:lang w:val="en-CA"/>
        </w:rPr>
        <w:t xml:space="preserve">This involves an examination, based on a plausibility test, of whether the evidence satisfies the conditions of </w:t>
      </w:r>
      <w:r w:rsidR="004F6D1C">
        <w:rPr>
          <w:lang w:val="en-CA"/>
        </w:rPr>
        <w:t>s. 2</w:t>
      </w:r>
      <w:r w:rsidRPr="00A4178E">
        <w:rPr>
          <w:lang w:val="en-CA"/>
        </w:rPr>
        <w:t xml:space="preserve">76(2), including the requirement that its probative value is not substantially outweighed by its prejudicial effect. In making this determination, the Court may consider the factors set out in </w:t>
      </w:r>
      <w:r w:rsidR="004F6D1C">
        <w:rPr>
          <w:lang w:val="en-CA"/>
        </w:rPr>
        <w:t>s. 2</w:t>
      </w:r>
      <w:r w:rsidRPr="00A4178E">
        <w:rPr>
          <w:lang w:val="en-CA"/>
        </w:rPr>
        <w:t>76(3).</w:t>
      </w:r>
    </w:p>
    <w:p w14:paraId="7487CE87" w14:textId="6EC37232" w:rsidR="00314A01" w:rsidRPr="00A4178E" w:rsidRDefault="00C04FF8" w:rsidP="00314A01">
      <w:pPr>
        <w:pStyle w:val="Paragraphe"/>
        <w:spacing w:line="280" w:lineRule="exact"/>
        <w:rPr>
          <w:lang w:val="en-CA"/>
        </w:rPr>
      </w:pPr>
      <w:r w:rsidRPr="00A4178E">
        <w:rPr>
          <w:lang w:val="en-CA"/>
        </w:rPr>
        <w:t>In other words, when the Court is seized of an application for leave to adduce fresh evidence concerning a complainant</w:t>
      </w:r>
      <w:r w:rsidR="00D06C3F">
        <w:rPr>
          <w:lang w:val="en-CA"/>
        </w:rPr>
        <w:t>’</w:t>
      </w:r>
      <w:r w:rsidRPr="00A4178E">
        <w:rPr>
          <w:lang w:val="en-CA"/>
        </w:rPr>
        <w:t>s sexual activity, it does not have to decide whether an evidentiary hearing should be held (which is the purpose of the examination carried out at the first stage when an application for a hearing is made in first instance). Instead, it must decide whether it is in the interests of justice to admit evidence that was not adduced at trial.</w:t>
      </w:r>
      <w:r w:rsidRPr="00A4178E">
        <w:rPr>
          <w:rStyle w:val="Appelnotedebasdep"/>
          <w:lang w:val="en-CA"/>
        </w:rPr>
        <w:footnoteReference w:id="58"/>
      </w:r>
      <w:r w:rsidRPr="00A4178E">
        <w:rPr>
          <w:lang w:val="en-CA"/>
        </w:rPr>
        <w:t xml:space="preserve"> It must therefore go further and ask itself whether it is plausible that the evidence would have been admitted under </w:t>
      </w:r>
      <w:r w:rsidR="004F6D1C">
        <w:rPr>
          <w:lang w:val="en-CA"/>
        </w:rPr>
        <w:t>s. 2</w:t>
      </w:r>
      <w:r w:rsidRPr="00A4178E">
        <w:rPr>
          <w:lang w:val="en-CA"/>
        </w:rPr>
        <w:t xml:space="preserve">76(2), which is a more demanding test than that of determining whether </w:t>
      </w:r>
      <w:r w:rsidR="00D06C3F">
        <w:rPr>
          <w:lang w:val="en-CA"/>
        </w:rPr>
        <w:t>“</w:t>
      </w:r>
      <w:r w:rsidRPr="00A4178E">
        <w:rPr>
          <w:lang w:val="en-CA"/>
        </w:rPr>
        <w:t>the evidence is capable of being admissible</w:t>
      </w:r>
      <w:r w:rsidR="00D06C3F">
        <w:rPr>
          <w:lang w:val="en-CA"/>
        </w:rPr>
        <w:t>”</w:t>
      </w:r>
      <w:r w:rsidRPr="00A4178E">
        <w:rPr>
          <w:lang w:val="en-CA"/>
        </w:rPr>
        <w:t xml:space="preserve">, as set out in </w:t>
      </w:r>
      <w:r w:rsidR="004F6D1C">
        <w:rPr>
          <w:lang w:val="en-CA"/>
        </w:rPr>
        <w:t>s. 2</w:t>
      </w:r>
      <w:r w:rsidRPr="00A4178E">
        <w:rPr>
          <w:lang w:val="en-CA"/>
        </w:rPr>
        <w:t>78.93(4).</w:t>
      </w:r>
    </w:p>
    <w:p w14:paraId="7487CE88" w14:textId="0E86FBBA" w:rsidR="00314A01" w:rsidRPr="00A4178E" w:rsidRDefault="00C04FF8" w:rsidP="00314A01">
      <w:pPr>
        <w:pStyle w:val="Paragraphe"/>
        <w:spacing w:line="280" w:lineRule="exact"/>
        <w:rPr>
          <w:lang w:val="en-CA"/>
        </w:rPr>
      </w:pPr>
      <w:r w:rsidRPr="00A4178E">
        <w:rPr>
          <w:lang w:val="en-CA"/>
        </w:rPr>
        <w:t xml:space="preserve">This plausibility test </w:t>
      </w:r>
      <w:r w:rsidR="003E6A17">
        <w:rPr>
          <w:lang w:val="en-CA"/>
        </w:rPr>
        <w:t xml:space="preserve">aligns </w:t>
      </w:r>
      <w:r w:rsidRPr="00A4178E">
        <w:rPr>
          <w:lang w:val="en-CA"/>
        </w:rPr>
        <w:t xml:space="preserve">with the final criterion in </w:t>
      </w:r>
      <w:r w:rsidRPr="00A4178E">
        <w:rPr>
          <w:i/>
          <w:iCs/>
          <w:lang w:val="en-CA"/>
        </w:rPr>
        <w:t>Palmer</w:t>
      </w:r>
      <w:r w:rsidRPr="00A4178E">
        <w:rPr>
          <w:lang w:val="en-CA"/>
        </w:rPr>
        <w:t xml:space="preserve">, according to which new evidence </w:t>
      </w:r>
      <w:r w:rsidR="00D06C3F">
        <w:rPr>
          <w:lang w:val="en-CA"/>
        </w:rPr>
        <w:t>“</w:t>
      </w:r>
      <w:r w:rsidRPr="00A4178E">
        <w:rPr>
          <w:lang w:val="en-CA"/>
        </w:rPr>
        <w:t>must be such that if believed it could reasonably, when taken with the other evidence adduced at trial, be expected to have affected the result</w:t>
      </w:r>
      <w:r w:rsidR="00D06C3F">
        <w:rPr>
          <w:lang w:val="en-CA"/>
        </w:rPr>
        <w:t>”</w:t>
      </w:r>
      <w:r w:rsidRPr="00A4178E">
        <w:rPr>
          <w:lang w:val="en-CA"/>
        </w:rPr>
        <w:t>. If it is not plausible that the evidence of other sexual activity would have been admitted at the end of the two</w:t>
      </w:r>
      <w:r w:rsidR="00BB177D">
        <w:rPr>
          <w:lang w:val="en-CA"/>
        </w:rPr>
        <w:noBreakHyphen/>
      </w:r>
      <w:r w:rsidRPr="00A4178E">
        <w:rPr>
          <w:lang w:val="en-CA"/>
        </w:rPr>
        <w:t>stage process set out in s</w:t>
      </w:r>
      <w:r w:rsidR="004F6D1C">
        <w:rPr>
          <w:lang w:val="en-CA"/>
        </w:rPr>
        <w:t>s. 2</w:t>
      </w:r>
      <w:r w:rsidRPr="00A4178E">
        <w:rPr>
          <w:lang w:val="en-CA"/>
        </w:rPr>
        <w:t>78.93 and 278.94, it is difficult to see how one could reasonably think that the same evidence would have affected the result.</w:t>
      </w:r>
    </w:p>
    <w:p w14:paraId="7487CE89" w14:textId="2D66682D" w:rsidR="00314A01" w:rsidRPr="00A4178E" w:rsidRDefault="00C04FF8" w:rsidP="00314A01">
      <w:pPr>
        <w:pStyle w:val="Paragraphe"/>
        <w:spacing w:line="280" w:lineRule="exact"/>
        <w:rPr>
          <w:lang w:val="en-CA"/>
        </w:rPr>
      </w:pPr>
      <w:r w:rsidRPr="00A4178E">
        <w:rPr>
          <w:lang w:val="en-CA"/>
        </w:rPr>
        <w:t xml:space="preserve">I agree, however, that the Court does not generally have to hold a </w:t>
      </w:r>
      <w:r w:rsidR="004F6D1C">
        <w:rPr>
          <w:lang w:val="en-CA"/>
        </w:rPr>
        <w:t>s. 2</w:t>
      </w:r>
      <w:r w:rsidRPr="00A4178E">
        <w:rPr>
          <w:lang w:val="en-CA"/>
        </w:rPr>
        <w:t xml:space="preserve">78.94 hearing or rule on the admissibility of the evidence. If a new trial is ordered, it will be up to the judge to hold a hearing and decide </w:t>
      </w:r>
      <w:proofErr w:type="gramStart"/>
      <w:r w:rsidRPr="00A4178E">
        <w:rPr>
          <w:lang w:val="en-CA"/>
        </w:rPr>
        <w:t>whether or not</w:t>
      </w:r>
      <w:proofErr w:type="gramEnd"/>
      <w:r w:rsidRPr="00A4178E">
        <w:rPr>
          <w:lang w:val="en-CA"/>
        </w:rPr>
        <w:t xml:space="preserve"> the evidence is admissible.</w:t>
      </w:r>
    </w:p>
    <w:p w14:paraId="7487CE8A" w14:textId="77777777" w:rsidR="00314A01" w:rsidRPr="00A4178E" w:rsidRDefault="00C04FF8" w:rsidP="00314A01">
      <w:pPr>
        <w:pStyle w:val="Paragraphe"/>
        <w:spacing w:line="280" w:lineRule="exact"/>
        <w:rPr>
          <w:lang w:val="en-CA"/>
        </w:rPr>
      </w:pPr>
      <w:r w:rsidRPr="00A4178E">
        <w:rPr>
          <w:lang w:val="en-CA"/>
        </w:rPr>
        <w:t>To summarize:</w:t>
      </w:r>
    </w:p>
    <w:p w14:paraId="7487CE8B" w14:textId="2FB8BCB8" w:rsidR="00314A01" w:rsidRPr="00A4178E" w:rsidRDefault="00C04FF8" w:rsidP="00314A01">
      <w:pPr>
        <w:pStyle w:val="Paragraphe"/>
        <w:numPr>
          <w:ilvl w:val="0"/>
          <w:numId w:val="21"/>
        </w:numPr>
        <w:spacing w:line="280" w:lineRule="exact"/>
        <w:rPr>
          <w:lang w:val="en-CA"/>
        </w:rPr>
      </w:pPr>
      <w:r w:rsidRPr="00A4178E">
        <w:rPr>
          <w:lang w:val="en-CA"/>
        </w:rPr>
        <w:t>Although the scheme set out in s</w:t>
      </w:r>
      <w:r w:rsidR="004F6D1C">
        <w:rPr>
          <w:lang w:val="en-CA"/>
        </w:rPr>
        <w:t>s. 2</w:t>
      </w:r>
      <w:r w:rsidRPr="00A4178E">
        <w:rPr>
          <w:lang w:val="en-CA"/>
        </w:rPr>
        <w:t xml:space="preserve">76 and following of the </w:t>
      </w:r>
      <w:r w:rsidRPr="00A4178E">
        <w:rPr>
          <w:i/>
          <w:iCs/>
          <w:lang w:val="en-CA"/>
        </w:rPr>
        <w:t>Criminal Code</w:t>
      </w:r>
      <w:r w:rsidRPr="00A4178E">
        <w:rPr>
          <w:lang w:val="en-CA"/>
        </w:rPr>
        <w:t xml:space="preserve"> does not, strictly speaking, apply to appeal proceedings, its substantive purpose – namely, protecting the dignity and privacy of complainants – is not limited to the </w:t>
      </w:r>
      <w:r w:rsidRPr="00A4178E">
        <w:rPr>
          <w:lang w:val="en-CA"/>
        </w:rPr>
        <w:lastRenderedPageBreak/>
        <w:t>trial process;</w:t>
      </w:r>
      <w:r w:rsidRPr="00A4178E">
        <w:rPr>
          <w:rStyle w:val="Appelnotedebasdep"/>
          <w:lang w:val="en-CA"/>
        </w:rPr>
        <w:footnoteReference w:id="59"/>
      </w:r>
      <w:r w:rsidRPr="00A4178E">
        <w:rPr>
          <w:lang w:val="en-CA"/>
        </w:rPr>
        <w:t xml:space="preserve"> the security, privacy, and equality interests of complainants are still present on </w:t>
      </w:r>
      <w:proofErr w:type="gramStart"/>
      <w:r w:rsidRPr="00A4178E">
        <w:rPr>
          <w:lang w:val="en-CA"/>
        </w:rPr>
        <w:t>appeal;</w:t>
      </w:r>
      <w:proofErr w:type="gramEnd"/>
    </w:p>
    <w:p w14:paraId="7487CE8C" w14:textId="1F4B81F8" w:rsidR="00314A01" w:rsidRPr="00A4178E" w:rsidRDefault="00C04FF8" w:rsidP="00314A01">
      <w:pPr>
        <w:pStyle w:val="Paragraphe"/>
        <w:numPr>
          <w:ilvl w:val="0"/>
          <w:numId w:val="21"/>
        </w:numPr>
        <w:spacing w:line="280" w:lineRule="exact"/>
        <w:rPr>
          <w:lang w:val="en-CA"/>
        </w:rPr>
      </w:pPr>
      <w:r w:rsidRPr="00A4178E">
        <w:rPr>
          <w:lang w:val="en-CA"/>
        </w:rPr>
        <w:t xml:space="preserve">Where an accused seeks to adduce evidence on appeal under </w:t>
      </w:r>
      <w:r w:rsidR="004F6D1C">
        <w:rPr>
          <w:lang w:val="en-CA"/>
        </w:rPr>
        <w:t>s. 2</w:t>
      </w:r>
      <w:r w:rsidRPr="00A4178E">
        <w:rPr>
          <w:lang w:val="en-CA"/>
        </w:rPr>
        <w:t xml:space="preserve">76 </w:t>
      </w:r>
      <w:proofErr w:type="spellStart"/>
      <w:r w:rsidRPr="00A4178E">
        <w:rPr>
          <w:i/>
          <w:iCs/>
          <w:lang w:val="en-CA"/>
        </w:rPr>
        <w:t>Cr.C</w:t>
      </w:r>
      <w:proofErr w:type="spellEnd"/>
      <w:r w:rsidRPr="00A4178E">
        <w:rPr>
          <w:i/>
          <w:iCs/>
          <w:lang w:val="en-CA"/>
        </w:rPr>
        <w:t>.</w:t>
      </w:r>
      <w:r w:rsidRPr="00A4178E">
        <w:rPr>
          <w:lang w:val="en-CA"/>
        </w:rPr>
        <w:t xml:space="preserve">, this must be done in compliance with the spirit of </w:t>
      </w:r>
      <w:r w:rsidR="004F6D1C">
        <w:rPr>
          <w:lang w:val="en-CA"/>
        </w:rPr>
        <w:t>s. 2</w:t>
      </w:r>
      <w:r w:rsidRPr="00A4178E">
        <w:rPr>
          <w:lang w:val="en-CA"/>
        </w:rPr>
        <w:t xml:space="preserve">78.93 as regards the form and content of the application – i.e., the accused must set out </w:t>
      </w:r>
      <w:r w:rsidR="00D06C3F">
        <w:rPr>
          <w:lang w:val="en-CA"/>
        </w:rPr>
        <w:t>“</w:t>
      </w:r>
      <w:r w:rsidRPr="00A4178E">
        <w:rPr>
          <w:lang w:val="en-CA"/>
        </w:rPr>
        <w:t>detailed particulars of the evidence that the accused seeks to adduce and the relevance of that evidence to an issue at trial</w:t>
      </w:r>
      <w:r w:rsidR="00D06C3F">
        <w:rPr>
          <w:lang w:val="en-CA"/>
        </w:rPr>
        <w:t>”</w:t>
      </w:r>
      <w:r w:rsidRPr="00A4178E">
        <w:rPr>
          <w:lang w:val="en-CA"/>
        </w:rPr>
        <w:t xml:space="preserve"> (278.93(2) </w:t>
      </w:r>
      <w:proofErr w:type="spellStart"/>
      <w:r w:rsidRPr="00A4178E">
        <w:rPr>
          <w:i/>
          <w:iCs/>
          <w:lang w:val="en-CA"/>
        </w:rPr>
        <w:t>Cr.C</w:t>
      </w:r>
      <w:proofErr w:type="spellEnd"/>
      <w:r w:rsidRPr="00A4178E">
        <w:rPr>
          <w:i/>
          <w:iCs/>
          <w:lang w:val="en-CA"/>
        </w:rPr>
        <w:t>.</w:t>
      </w:r>
      <w:r w:rsidRPr="00A4178E">
        <w:rPr>
          <w:lang w:val="en-CA"/>
        </w:rPr>
        <w:t>);</w:t>
      </w:r>
    </w:p>
    <w:p w14:paraId="7487CE8D" w14:textId="758A2291" w:rsidR="00314A01" w:rsidRPr="00A4178E" w:rsidRDefault="00C04FF8" w:rsidP="00314A01">
      <w:pPr>
        <w:pStyle w:val="Paragraphe"/>
        <w:numPr>
          <w:ilvl w:val="0"/>
          <w:numId w:val="21"/>
        </w:numPr>
        <w:spacing w:line="280" w:lineRule="exact"/>
        <w:rPr>
          <w:lang w:val="en-CA"/>
        </w:rPr>
      </w:pPr>
      <w:r w:rsidRPr="00A4178E">
        <w:rPr>
          <w:lang w:val="en-CA"/>
        </w:rPr>
        <w:t>The Court must first determine the plausibility that the evidence would have been admitted at the end of the two-stage process set out in s</w:t>
      </w:r>
      <w:r w:rsidR="004F6D1C">
        <w:rPr>
          <w:lang w:val="en-CA"/>
        </w:rPr>
        <w:t>s. 2</w:t>
      </w:r>
      <w:r w:rsidRPr="00A4178E">
        <w:rPr>
          <w:lang w:val="en-CA"/>
        </w:rPr>
        <w:t xml:space="preserve">78.93 and </w:t>
      </w:r>
      <w:proofErr w:type="gramStart"/>
      <w:r w:rsidRPr="00A4178E">
        <w:rPr>
          <w:lang w:val="en-CA"/>
        </w:rPr>
        <w:t>278.94;</w:t>
      </w:r>
      <w:proofErr w:type="gramEnd"/>
    </w:p>
    <w:p w14:paraId="7487CE8E" w14:textId="3ED4A60F" w:rsidR="00314A01" w:rsidRPr="00A4178E" w:rsidRDefault="00C04FF8" w:rsidP="00314A01">
      <w:pPr>
        <w:pStyle w:val="Paragraphe"/>
        <w:numPr>
          <w:ilvl w:val="0"/>
          <w:numId w:val="21"/>
        </w:numPr>
        <w:spacing w:line="280" w:lineRule="exact"/>
        <w:rPr>
          <w:lang w:val="en-CA"/>
        </w:rPr>
      </w:pPr>
      <w:r w:rsidRPr="00A4178E">
        <w:rPr>
          <w:lang w:val="en-CA"/>
        </w:rPr>
        <w:t xml:space="preserve">This involves an examination, based on a plausibility test, of whether the evidence satisfies the conditions of </w:t>
      </w:r>
      <w:r w:rsidR="004F6D1C">
        <w:rPr>
          <w:lang w:val="en-CA"/>
        </w:rPr>
        <w:t>s. 2</w:t>
      </w:r>
      <w:r w:rsidRPr="00A4178E">
        <w:rPr>
          <w:lang w:val="en-CA"/>
        </w:rPr>
        <w:t xml:space="preserve">76(2), including the requirement that its probative value is not substantially outweighed by its prejudicial </w:t>
      </w:r>
      <w:proofErr w:type="gramStart"/>
      <w:r w:rsidRPr="00A4178E">
        <w:rPr>
          <w:lang w:val="en-CA"/>
        </w:rPr>
        <w:t>effect;</w:t>
      </w:r>
      <w:proofErr w:type="gramEnd"/>
    </w:p>
    <w:p w14:paraId="7487CE8F" w14:textId="58644F5C" w:rsidR="00314A01" w:rsidRPr="00A4178E" w:rsidRDefault="00C04FF8" w:rsidP="00314A01">
      <w:pPr>
        <w:pStyle w:val="Paragraphe"/>
        <w:numPr>
          <w:ilvl w:val="0"/>
          <w:numId w:val="21"/>
        </w:numPr>
        <w:spacing w:line="280" w:lineRule="exact"/>
        <w:rPr>
          <w:lang w:val="en-CA"/>
        </w:rPr>
      </w:pPr>
      <w:r w:rsidRPr="00A4178E">
        <w:rPr>
          <w:lang w:val="en-CA"/>
        </w:rPr>
        <w:t xml:space="preserve">In making this determination, the Court considers the factors set out in </w:t>
      </w:r>
      <w:r w:rsidR="004F6D1C">
        <w:rPr>
          <w:lang w:val="en-CA"/>
        </w:rPr>
        <w:t>s. </w:t>
      </w:r>
      <w:proofErr w:type="gramStart"/>
      <w:r w:rsidR="004F6D1C">
        <w:rPr>
          <w:lang w:val="en-CA"/>
        </w:rPr>
        <w:t>2</w:t>
      </w:r>
      <w:r w:rsidRPr="00A4178E">
        <w:rPr>
          <w:lang w:val="en-CA"/>
        </w:rPr>
        <w:t>76(3);</w:t>
      </w:r>
      <w:proofErr w:type="gramEnd"/>
    </w:p>
    <w:p w14:paraId="7487CE90" w14:textId="4E899452" w:rsidR="00314A01" w:rsidRPr="00A4178E" w:rsidRDefault="00C04FF8" w:rsidP="00314A01">
      <w:pPr>
        <w:pStyle w:val="Paragraphe"/>
        <w:numPr>
          <w:ilvl w:val="0"/>
          <w:numId w:val="21"/>
        </w:numPr>
        <w:spacing w:line="280" w:lineRule="exact"/>
        <w:rPr>
          <w:lang w:val="en-CA"/>
        </w:rPr>
      </w:pPr>
      <w:r w:rsidRPr="00A4178E">
        <w:rPr>
          <w:lang w:val="en-CA"/>
        </w:rPr>
        <w:t xml:space="preserve">The plausibility test is more demanding than that of determining whether </w:t>
      </w:r>
      <w:r w:rsidR="00D06C3F">
        <w:rPr>
          <w:lang w:val="en-CA"/>
        </w:rPr>
        <w:t>“</w:t>
      </w:r>
      <w:r w:rsidRPr="00A4178E">
        <w:rPr>
          <w:lang w:val="en-CA"/>
        </w:rPr>
        <w:t>the evidence is capable of being admissible</w:t>
      </w:r>
      <w:r w:rsidR="00D06C3F">
        <w:rPr>
          <w:lang w:val="en-CA"/>
        </w:rPr>
        <w:t>”</w:t>
      </w:r>
      <w:r w:rsidRPr="00A4178E">
        <w:rPr>
          <w:lang w:val="en-CA"/>
        </w:rPr>
        <w:t xml:space="preserve">, as set out in </w:t>
      </w:r>
      <w:r w:rsidR="004F6D1C">
        <w:rPr>
          <w:lang w:val="en-CA"/>
        </w:rPr>
        <w:t>s. 2</w:t>
      </w:r>
      <w:r w:rsidRPr="00A4178E">
        <w:rPr>
          <w:lang w:val="en-CA"/>
        </w:rPr>
        <w:t xml:space="preserve">78.93(4), because the purpose of the latter test is </w:t>
      </w:r>
      <w:proofErr w:type="gramStart"/>
      <w:r w:rsidRPr="00A4178E">
        <w:rPr>
          <w:lang w:val="en-CA"/>
        </w:rPr>
        <w:t>different;</w:t>
      </w:r>
      <w:proofErr w:type="gramEnd"/>
    </w:p>
    <w:p w14:paraId="7487CE91" w14:textId="58430BD4" w:rsidR="00314A01" w:rsidRPr="00A4178E" w:rsidRDefault="00C04FF8" w:rsidP="00314A01">
      <w:pPr>
        <w:pStyle w:val="Paragraphe"/>
        <w:numPr>
          <w:ilvl w:val="0"/>
          <w:numId w:val="21"/>
        </w:numPr>
        <w:spacing w:line="280" w:lineRule="exact"/>
        <w:rPr>
          <w:lang w:val="en-CA"/>
        </w:rPr>
      </w:pPr>
      <w:r w:rsidRPr="00A4178E">
        <w:rPr>
          <w:lang w:val="en-CA"/>
        </w:rPr>
        <w:t xml:space="preserve">As a general rule, the Court does not have to hold a </w:t>
      </w:r>
      <w:r w:rsidR="004F6D1C">
        <w:rPr>
          <w:lang w:val="en-CA"/>
        </w:rPr>
        <w:t>s. 2</w:t>
      </w:r>
      <w:r w:rsidRPr="00A4178E">
        <w:rPr>
          <w:lang w:val="en-CA"/>
        </w:rPr>
        <w:t xml:space="preserve">78.94 hearing or make a final ruling on the admissibility of the </w:t>
      </w:r>
      <w:proofErr w:type="gramStart"/>
      <w:r w:rsidRPr="00A4178E">
        <w:rPr>
          <w:lang w:val="en-CA"/>
        </w:rPr>
        <w:t>evidence;</w:t>
      </w:r>
      <w:proofErr w:type="gramEnd"/>
    </w:p>
    <w:p w14:paraId="7487CE92" w14:textId="711210E5" w:rsidR="00314A01" w:rsidRPr="00A4178E" w:rsidRDefault="00C04FF8" w:rsidP="00314A01">
      <w:pPr>
        <w:pStyle w:val="Paragraphe"/>
        <w:numPr>
          <w:ilvl w:val="0"/>
          <w:numId w:val="21"/>
        </w:numPr>
        <w:spacing w:line="280" w:lineRule="exact"/>
        <w:rPr>
          <w:lang w:val="en-CA"/>
        </w:rPr>
      </w:pPr>
      <w:r w:rsidRPr="00A4178E">
        <w:rPr>
          <w:lang w:val="en-CA"/>
        </w:rPr>
        <w:t xml:space="preserve">If the Court finds it plausible that the evidence would have been admitted, it then turns to the </w:t>
      </w:r>
      <w:r w:rsidRPr="00A4178E">
        <w:rPr>
          <w:i/>
          <w:iCs/>
          <w:lang w:val="en-CA"/>
        </w:rPr>
        <w:t>Palmer</w:t>
      </w:r>
      <w:r w:rsidRPr="00A4178E">
        <w:rPr>
          <w:lang w:val="en-CA"/>
        </w:rPr>
        <w:t xml:space="preserve"> criteria;</w:t>
      </w:r>
      <w:r w:rsidR="004E57E2">
        <w:rPr>
          <w:lang w:val="en-CA"/>
        </w:rPr>
        <w:t xml:space="preserve"> and</w:t>
      </w:r>
    </w:p>
    <w:p w14:paraId="7487CE93" w14:textId="77777777" w:rsidR="00314A01" w:rsidRPr="00A4178E" w:rsidRDefault="00C04FF8" w:rsidP="00314A01">
      <w:pPr>
        <w:pStyle w:val="Paragraphe"/>
        <w:numPr>
          <w:ilvl w:val="0"/>
          <w:numId w:val="21"/>
        </w:numPr>
        <w:spacing w:line="280" w:lineRule="exact"/>
        <w:rPr>
          <w:lang w:val="en-CA"/>
        </w:rPr>
      </w:pPr>
      <w:r w:rsidRPr="00A4178E">
        <w:rPr>
          <w:lang w:val="en-CA"/>
        </w:rPr>
        <w:t xml:space="preserve">If the Court concludes that the evidence also meets the </w:t>
      </w:r>
      <w:r w:rsidRPr="00A4178E">
        <w:rPr>
          <w:i/>
          <w:iCs/>
          <w:lang w:val="en-CA"/>
        </w:rPr>
        <w:t>Palmer</w:t>
      </w:r>
      <w:r w:rsidRPr="00A4178E">
        <w:rPr>
          <w:lang w:val="en-CA"/>
        </w:rPr>
        <w:t xml:space="preserve"> criteria, it must grant the application for leave to adduce fresh evidence.</w:t>
      </w:r>
    </w:p>
    <w:p w14:paraId="7487CE94" w14:textId="77777777" w:rsidR="00314A01" w:rsidRPr="00A4178E" w:rsidRDefault="00C04FF8" w:rsidP="00A971EA">
      <w:pPr>
        <w:pStyle w:val="Paragraphe"/>
        <w:numPr>
          <w:ilvl w:val="0"/>
          <w:numId w:val="0"/>
        </w:numPr>
        <w:spacing w:line="280" w:lineRule="exact"/>
        <w:jc w:val="center"/>
        <w:rPr>
          <w:lang w:val="en-CA"/>
        </w:rPr>
      </w:pPr>
      <w:r w:rsidRPr="00A4178E">
        <w:rPr>
          <w:lang w:val="en-CA"/>
        </w:rPr>
        <w:t>***</w:t>
      </w:r>
    </w:p>
    <w:p w14:paraId="7487CE95" w14:textId="77777777" w:rsidR="00314A01" w:rsidRPr="00A4178E" w:rsidRDefault="00C04FF8" w:rsidP="00314A01">
      <w:pPr>
        <w:pStyle w:val="Paragraphe"/>
        <w:spacing w:line="280" w:lineRule="exact"/>
        <w:rPr>
          <w:lang w:val="en-CA"/>
        </w:rPr>
      </w:pPr>
      <w:r w:rsidRPr="00A4178E">
        <w:rPr>
          <w:lang w:val="en-CA"/>
        </w:rPr>
        <w:t>How does the foregoing apply to the matter at hand?</w:t>
      </w:r>
    </w:p>
    <w:p w14:paraId="7487CE96" w14:textId="77777777" w:rsidR="00314A01" w:rsidRPr="00A4178E" w:rsidRDefault="00C04FF8" w:rsidP="00314A01">
      <w:pPr>
        <w:pStyle w:val="Paragraphe"/>
        <w:spacing w:line="280" w:lineRule="exact"/>
        <w:rPr>
          <w:lang w:val="en-CA"/>
        </w:rPr>
      </w:pPr>
      <w:r w:rsidRPr="00A4178E">
        <w:rPr>
          <w:lang w:val="en-CA"/>
        </w:rPr>
        <w:t>In his application, the appellant does not clearly mention that the evidence of his conversations of a sexual nature with the complainant is not being proffered to support twin-myth reasoning, and he provides few details about the relevance of that evidence to an issue at trial. The following are the only two paragraphs of his application that deal with his intended use of this evidence:</w:t>
      </w:r>
    </w:p>
    <w:p w14:paraId="57C3041E" w14:textId="77777777" w:rsidR="000A3FE6" w:rsidRDefault="00C04FF8" w:rsidP="00314A01">
      <w:pPr>
        <w:pStyle w:val="Citationenretrait"/>
        <w:tabs>
          <w:tab w:val="left" w:pos="1134"/>
        </w:tabs>
        <w:ind w:left="1134" w:hanging="414"/>
        <w:rPr>
          <w:lang w:val="en-CA"/>
        </w:rPr>
      </w:pPr>
      <w:r w:rsidRPr="00A4178E">
        <w:rPr>
          <w:lang w:val="en-CA"/>
        </w:rPr>
        <w:lastRenderedPageBreak/>
        <w:t>[</w:t>
      </w:r>
      <w:r w:rsidRPr="000A3FE6">
        <w:rPr>
          <w:smallCaps/>
          <w:lang w:val="en-CA"/>
        </w:rPr>
        <w:t>translation</w:t>
      </w:r>
      <w:r w:rsidRPr="00A4178E">
        <w:rPr>
          <w:lang w:val="en-CA"/>
        </w:rPr>
        <w:t>]</w:t>
      </w:r>
    </w:p>
    <w:p w14:paraId="7487CE97" w14:textId="03AC6312" w:rsidR="00314A01" w:rsidRPr="00A4178E" w:rsidRDefault="00C04FF8" w:rsidP="00314A01">
      <w:pPr>
        <w:pStyle w:val="Citationenretrait"/>
        <w:tabs>
          <w:tab w:val="left" w:pos="1134"/>
        </w:tabs>
        <w:ind w:left="1134" w:hanging="414"/>
        <w:rPr>
          <w:lang w:val="en-CA"/>
        </w:rPr>
      </w:pPr>
      <w:r w:rsidRPr="00A4178E">
        <w:rPr>
          <w:lang w:val="en-CA"/>
        </w:rPr>
        <w:t>7.</w:t>
      </w:r>
      <w:r w:rsidRPr="00A4178E">
        <w:rPr>
          <w:lang w:val="en-CA"/>
        </w:rPr>
        <w:tab/>
        <w:t xml:space="preserve">At trial, the complainant testified that in the weeks prior to April 23, 2019, it was the accused who was communicating with her, and that she had not sent him any messages </w:t>
      </w:r>
      <w:r w:rsidR="00350B0E" w:rsidRPr="00A4178E">
        <w:rPr>
          <w:lang w:val="en-CA"/>
        </w:rPr>
        <w:t xml:space="preserve">or </w:t>
      </w:r>
      <w:proofErr w:type="spellStart"/>
      <w:r w:rsidR="00350B0E" w:rsidRPr="008D7BB5">
        <w:rPr>
          <w:highlight w:val="black"/>
          <w:lang w:val="en-CA"/>
        </w:rPr>
        <w:t>xxxx</w:t>
      </w:r>
      <w:proofErr w:type="spellEnd"/>
      <w:r w:rsidR="00350B0E" w:rsidRPr="00A4178E">
        <w:rPr>
          <w:lang w:val="en-CA"/>
        </w:rPr>
        <w:t xml:space="preserve"> photographs and/or videos </w:t>
      </w:r>
      <w:r w:rsidR="00350B0E" w:rsidRPr="008D7BB5">
        <w:rPr>
          <w:highlight w:val="black"/>
          <w:lang w:val="en-CA"/>
        </w:rPr>
        <w:t xml:space="preserve">xx </w:t>
      </w:r>
      <w:proofErr w:type="spellStart"/>
      <w:r w:rsidR="00350B0E" w:rsidRPr="008D7BB5">
        <w:rPr>
          <w:highlight w:val="black"/>
          <w:lang w:val="en-CA"/>
        </w:rPr>
        <w:t>xxxxxxx</w:t>
      </w:r>
      <w:proofErr w:type="spellEnd"/>
      <w:r w:rsidR="00350B0E" w:rsidRPr="00A4178E">
        <w:rPr>
          <w:lang w:val="en-CA"/>
        </w:rPr>
        <w:t xml:space="preserve"> (</w:t>
      </w:r>
      <w:r w:rsidRPr="00A4178E">
        <w:rPr>
          <w:b/>
          <w:bCs/>
          <w:lang w:val="en-CA"/>
        </w:rPr>
        <w:t>Schedule</w:t>
      </w:r>
      <w:r w:rsidR="00157D45">
        <w:rPr>
          <w:b/>
          <w:bCs/>
          <w:lang w:val="en-CA"/>
        </w:rPr>
        <w:t> </w:t>
      </w:r>
      <w:r w:rsidRPr="00A4178E">
        <w:rPr>
          <w:b/>
          <w:bCs/>
          <w:lang w:val="en-CA"/>
        </w:rPr>
        <w:t>6</w:t>
      </w:r>
      <w:r w:rsidRPr="00A4178E">
        <w:rPr>
          <w:lang w:val="en-CA"/>
        </w:rPr>
        <w:t>).</w:t>
      </w:r>
    </w:p>
    <w:p w14:paraId="7487CE98" w14:textId="72C94854" w:rsidR="00314A01" w:rsidRPr="00A4178E" w:rsidRDefault="00C04FF8" w:rsidP="00314A01">
      <w:pPr>
        <w:pStyle w:val="Citationenretrait"/>
        <w:tabs>
          <w:tab w:val="left" w:pos="1134"/>
        </w:tabs>
        <w:ind w:left="1134" w:hanging="414"/>
        <w:rPr>
          <w:lang w:val="en-CA"/>
        </w:rPr>
      </w:pPr>
      <w:r w:rsidRPr="00A4178E">
        <w:rPr>
          <w:lang w:val="en-CA"/>
        </w:rPr>
        <w:t>8.</w:t>
      </w:r>
      <w:r w:rsidRPr="00A4178E">
        <w:rPr>
          <w:lang w:val="en-CA"/>
        </w:rPr>
        <w:tab/>
        <w:t>This element was part of the complainant</w:t>
      </w:r>
      <w:r w:rsidR="00D06C3F">
        <w:rPr>
          <w:lang w:val="en-CA"/>
        </w:rPr>
        <w:t>’</w:t>
      </w:r>
      <w:r w:rsidRPr="00A4178E">
        <w:rPr>
          <w:lang w:val="en-CA"/>
        </w:rPr>
        <w:t>s narrative that the accused did not accept the break-up and wanted to control her, while she no longer wanted contact with him.</w:t>
      </w:r>
    </w:p>
    <w:p w14:paraId="7487CE99" w14:textId="77777777" w:rsidR="00314A01" w:rsidRPr="00A4178E" w:rsidRDefault="00C04FF8" w:rsidP="00A971EA">
      <w:pPr>
        <w:pStyle w:val="Citationenretrait"/>
        <w:tabs>
          <w:tab w:val="left" w:pos="1134"/>
        </w:tabs>
        <w:ind w:left="1134" w:hanging="414"/>
        <w:jc w:val="right"/>
        <w:rPr>
          <w:lang w:val="en-CA"/>
        </w:rPr>
      </w:pPr>
      <w:r w:rsidRPr="00A4178E">
        <w:rPr>
          <w:lang w:val="en-CA"/>
        </w:rPr>
        <w:t>[Boldface in the original]</w:t>
      </w:r>
    </w:p>
    <w:p w14:paraId="7487CE9A" w14:textId="514A2AA7" w:rsidR="00314A01" w:rsidRPr="00A4178E" w:rsidRDefault="00C04FF8" w:rsidP="00314A01">
      <w:pPr>
        <w:pStyle w:val="Paragraphe"/>
        <w:spacing w:line="280" w:lineRule="exact"/>
        <w:rPr>
          <w:kern w:val="24"/>
          <w:sz w:val="22"/>
          <w:lang w:val="en-CA"/>
        </w:rPr>
      </w:pPr>
      <w:r w:rsidRPr="00A4178E">
        <w:rPr>
          <w:lang w:val="en-CA"/>
        </w:rPr>
        <w:t>N</w:t>
      </w:r>
      <w:r w:rsidR="008F2F32">
        <w:rPr>
          <w:lang w:val="en-CA"/>
        </w:rPr>
        <w:t>one</w:t>
      </w:r>
      <w:r w:rsidRPr="00A4178E">
        <w:rPr>
          <w:lang w:val="en-CA"/>
        </w:rPr>
        <w:t>theless, it is apparent that the use he proposes is aimed at the complainant</w:t>
      </w:r>
      <w:r w:rsidR="00D06C3F">
        <w:rPr>
          <w:lang w:val="en-CA"/>
        </w:rPr>
        <w:t>’</w:t>
      </w:r>
      <w:r w:rsidRPr="00A4178E">
        <w:rPr>
          <w:lang w:val="en-CA"/>
        </w:rPr>
        <w:t>s credibility and the context of their relationship, two issues that increase the need for precision.</w:t>
      </w:r>
      <w:r w:rsidRPr="00A4178E">
        <w:rPr>
          <w:vertAlign w:val="superscript"/>
          <w:lang w:val="en-CA"/>
        </w:rPr>
        <w:footnoteReference w:id="60"/>
      </w:r>
      <w:r w:rsidRPr="00A4178E">
        <w:rPr>
          <w:kern w:val="24"/>
          <w:sz w:val="22"/>
          <w:lang w:val="en-CA"/>
        </w:rPr>
        <w:t xml:space="preserve"> </w:t>
      </w:r>
      <w:r w:rsidRPr="00A4178E">
        <w:rPr>
          <w:szCs w:val="24"/>
          <w:lang w:val="en-CA"/>
        </w:rPr>
        <w:t xml:space="preserve">In </w:t>
      </w:r>
      <w:r w:rsidRPr="00A4178E">
        <w:rPr>
          <w:i/>
          <w:iCs/>
          <w:szCs w:val="24"/>
          <w:lang w:val="en-CA"/>
        </w:rPr>
        <w:t xml:space="preserve">R. </w:t>
      </w:r>
      <w:r w:rsidR="00F566D2">
        <w:rPr>
          <w:i/>
          <w:iCs/>
          <w:szCs w:val="24"/>
          <w:lang w:val="en-CA"/>
        </w:rPr>
        <w:t>v</w:t>
      </w:r>
      <w:r w:rsidRPr="00A4178E">
        <w:rPr>
          <w:i/>
          <w:iCs/>
          <w:szCs w:val="24"/>
          <w:lang w:val="en-CA"/>
        </w:rPr>
        <w:t>. T.W.W.</w:t>
      </w:r>
      <w:r w:rsidRPr="00A4178E">
        <w:rPr>
          <w:szCs w:val="24"/>
          <w:lang w:val="en-CA"/>
        </w:rPr>
        <w:t xml:space="preserve">, </w:t>
      </w:r>
      <w:proofErr w:type="spellStart"/>
      <w:r w:rsidRPr="00A4178E">
        <w:rPr>
          <w:szCs w:val="24"/>
          <w:lang w:val="en-CA"/>
        </w:rPr>
        <w:t>O</w:t>
      </w:r>
      <w:r w:rsidR="00D06C3F">
        <w:rPr>
          <w:szCs w:val="24"/>
          <w:lang w:val="en-CA"/>
        </w:rPr>
        <w:t>’</w:t>
      </w:r>
      <w:r w:rsidRPr="00A4178E">
        <w:rPr>
          <w:szCs w:val="24"/>
          <w:lang w:val="en-CA"/>
        </w:rPr>
        <w:t>Bonsawin</w:t>
      </w:r>
      <w:proofErr w:type="spellEnd"/>
      <w:r w:rsidRPr="00A4178E">
        <w:rPr>
          <w:szCs w:val="24"/>
          <w:lang w:val="en-CA"/>
        </w:rPr>
        <w:t>, J. referred to the burden on the party seeking to prove other sexual activity for issues related to credibility or context:</w:t>
      </w:r>
    </w:p>
    <w:p w14:paraId="7487CE9B" w14:textId="3F55A586" w:rsidR="00314A01" w:rsidRPr="00A4178E" w:rsidRDefault="00C04FF8" w:rsidP="00314A01">
      <w:pPr>
        <w:pStyle w:val="Citationenretrait"/>
        <w:rPr>
          <w:lang w:val="en-CA"/>
        </w:rPr>
      </w:pPr>
      <w:r w:rsidRPr="00A4178E">
        <w:rPr>
          <w:lang w:val="en-CA"/>
        </w:rPr>
        <w:t>[27]</w:t>
      </w:r>
      <w:r w:rsidRPr="00A4178E">
        <w:rPr>
          <w:lang w:val="en-CA"/>
        </w:rPr>
        <w:tab/>
        <w:t xml:space="preserve">Other sexual activity evidence may be admissible for issues of credibility or context, but the applicant must establish a specific use for this information that is permitted by the </w:t>
      </w:r>
      <w:r w:rsidR="004F6D1C">
        <w:rPr>
          <w:lang w:val="en-CA"/>
        </w:rPr>
        <w:t>s. 2</w:t>
      </w:r>
      <w:r w:rsidRPr="00A4178E">
        <w:rPr>
          <w:lang w:val="en-CA"/>
        </w:rPr>
        <w:t xml:space="preserve">76 regime. </w:t>
      </w:r>
      <w:r w:rsidRPr="00A4178E">
        <w:rPr>
          <w:i/>
          <w:iCs/>
          <w:lang w:val="en-CA"/>
        </w:rPr>
        <w:t xml:space="preserve">Goldfinch </w:t>
      </w:r>
      <w:r w:rsidRPr="00A4178E">
        <w:rPr>
          <w:lang w:val="en-CA"/>
        </w:rPr>
        <w:t xml:space="preserve">instructs that </w:t>
      </w:r>
      <w:r w:rsidR="00D06C3F">
        <w:rPr>
          <w:lang w:val="en-CA"/>
        </w:rPr>
        <w:t>“</w:t>
      </w:r>
      <w:r w:rsidRPr="00A4178E">
        <w:rPr>
          <w:lang w:val="en-CA"/>
        </w:rPr>
        <w:t xml:space="preserve">[b]are assertions that such evidence will be relevant to context, narrative or credibility cannot satisfy </w:t>
      </w:r>
      <w:r w:rsidR="004F6D1C">
        <w:rPr>
          <w:lang w:val="en-CA"/>
        </w:rPr>
        <w:t>s. 2</w:t>
      </w:r>
      <w:r w:rsidRPr="00A4178E">
        <w:rPr>
          <w:lang w:val="en-CA"/>
        </w:rPr>
        <w:t>76(2)</w:t>
      </w:r>
      <w:r w:rsidR="00D06C3F">
        <w:rPr>
          <w:lang w:val="en-CA"/>
        </w:rPr>
        <w:t>”</w:t>
      </w:r>
      <w:r w:rsidRPr="00A4178E">
        <w:rPr>
          <w:lang w:val="en-CA"/>
        </w:rPr>
        <w:t xml:space="preserve"> (</w:t>
      </w:r>
      <w:r w:rsidR="004F6D1C">
        <w:rPr>
          <w:lang w:val="en-CA"/>
        </w:rPr>
        <w:t>para. 5</w:t>
      </w:r>
      <w:r w:rsidRPr="00A4178E">
        <w:rPr>
          <w:lang w:val="en-CA"/>
        </w:rPr>
        <w:t xml:space="preserve">1; see also </w:t>
      </w:r>
      <w:r w:rsidR="004F6D1C">
        <w:rPr>
          <w:lang w:val="en-CA"/>
        </w:rPr>
        <w:t>para. 6</w:t>
      </w:r>
      <w:r w:rsidRPr="00A4178E">
        <w:rPr>
          <w:lang w:val="en-CA"/>
        </w:rPr>
        <w:t xml:space="preserve">5), and the same caution applies to probative value. In order to be potentially admissible, </w:t>
      </w:r>
      <w:r w:rsidRPr="00A4178E">
        <w:rPr>
          <w:b/>
          <w:bCs/>
          <w:lang w:val="en-CA"/>
        </w:rPr>
        <w:t>the relevance and probative value of the evidence in each case must go beyond a general ability to undermine the complainant</w:t>
      </w:r>
      <w:r w:rsidR="00D06C3F">
        <w:rPr>
          <w:b/>
          <w:bCs/>
          <w:lang w:val="en-CA"/>
        </w:rPr>
        <w:t>’</w:t>
      </w:r>
      <w:r w:rsidRPr="00A4178E">
        <w:rPr>
          <w:b/>
          <w:bCs/>
          <w:lang w:val="en-CA"/>
        </w:rPr>
        <w:t>s credibility or to add helpful context to the circumstances of the case; it must respond to a specific issue at trial that could not be addressed or resolved in the absence of that evidence</w:t>
      </w:r>
      <w:r w:rsidRPr="00A4178E">
        <w:rPr>
          <w:lang w:val="en-CA"/>
        </w:rPr>
        <w:t xml:space="preserve"> (Brown and Witkin, at p</w:t>
      </w:r>
      <w:r w:rsidR="004F6D1C">
        <w:rPr>
          <w:lang w:val="en-CA"/>
        </w:rPr>
        <w:t>p. 3</w:t>
      </w:r>
      <w:r w:rsidRPr="00A4178E">
        <w:rPr>
          <w:lang w:val="en-CA"/>
        </w:rPr>
        <w:t>79-81). The applicant also bears the burden of establishing that any such probative value is not substantially outweighed by prejudicial effect.</w:t>
      </w:r>
    </w:p>
    <w:p w14:paraId="7487CE9C" w14:textId="5E6B3D6A" w:rsidR="00314A01" w:rsidRPr="00A4178E" w:rsidRDefault="00C04FF8" w:rsidP="00314A01">
      <w:pPr>
        <w:pStyle w:val="Citationenretrait"/>
        <w:rPr>
          <w:lang w:val="en-CA"/>
        </w:rPr>
      </w:pPr>
      <w:r w:rsidRPr="00A4178E">
        <w:rPr>
          <w:lang w:val="en-CA"/>
        </w:rPr>
        <w:t>[28]</w:t>
      </w:r>
      <w:r w:rsidRPr="00A4178E">
        <w:rPr>
          <w:lang w:val="en-CA"/>
        </w:rPr>
        <w:tab/>
        <w:t xml:space="preserve">Trial judges must guard against improperly widening the scope of when other sexual activity evidence should be admitted given that, as Karakatsanis J. noted in </w:t>
      </w:r>
      <w:r w:rsidRPr="00A4178E">
        <w:rPr>
          <w:i/>
          <w:iCs/>
          <w:lang w:val="en-CA"/>
        </w:rPr>
        <w:t>Goldfinch</w:t>
      </w:r>
      <w:r w:rsidRPr="00A4178E">
        <w:rPr>
          <w:lang w:val="en-CA"/>
        </w:rPr>
        <w:t xml:space="preserve">, </w:t>
      </w:r>
      <w:r w:rsidR="00D06C3F">
        <w:rPr>
          <w:lang w:val="en-CA"/>
        </w:rPr>
        <w:t>“</w:t>
      </w:r>
      <w:r w:rsidRPr="00A4178E">
        <w:rPr>
          <w:lang w:val="en-CA"/>
        </w:rPr>
        <w:t>[c]</w:t>
      </w:r>
      <w:proofErr w:type="spellStart"/>
      <w:r w:rsidRPr="00A4178E">
        <w:rPr>
          <w:lang w:val="en-CA"/>
        </w:rPr>
        <w:t>redibility</w:t>
      </w:r>
      <w:proofErr w:type="spellEnd"/>
      <w:r w:rsidRPr="00A4178E">
        <w:rPr>
          <w:lang w:val="en-CA"/>
        </w:rPr>
        <w:t xml:space="preserve"> is an issue that pervades most trials</w:t>
      </w:r>
      <w:r w:rsidR="00D06C3F">
        <w:rPr>
          <w:lang w:val="en-CA"/>
        </w:rPr>
        <w:t>”</w:t>
      </w:r>
      <w:r w:rsidRPr="00A4178E">
        <w:rPr>
          <w:lang w:val="en-CA"/>
        </w:rPr>
        <w:t xml:space="preserve"> (</w:t>
      </w:r>
      <w:r w:rsidR="004F6D1C">
        <w:rPr>
          <w:lang w:val="en-CA"/>
        </w:rPr>
        <w:t>para. 5</w:t>
      </w:r>
      <w:r w:rsidRPr="00A4178E">
        <w:rPr>
          <w:lang w:val="en-CA"/>
        </w:rPr>
        <w:t>6); the same is true of the significance of context. Too broad an approach to credibility and context would cast open the doors of admissibility, overturning Parliament</w:t>
      </w:r>
      <w:r w:rsidR="00D06C3F">
        <w:rPr>
          <w:lang w:val="en-CA"/>
        </w:rPr>
        <w:t>’</w:t>
      </w:r>
      <w:r w:rsidRPr="00A4178E">
        <w:rPr>
          <w:lang w:val="en-CA"/>
        </w:rPr>
        <w:t>s specific intention and this Court</w:t>
      </w:r>
      <w:r w:rsidR="00D06C3F">
        <w:rPr>
          <w:lang w:val="en-CA"/>
        </w:rPr>
        <w:t>’</w:t>
      </w:r>
      <w:r w:rsidRPr="00A4178E">
        <w:rPr>
          <w:lang w:val="en-CA"/>
        </w:rPr>
        <w:t xml:space="preserve">s longstanding jurisprudence that evidence of other sexual activity will be admitted only in cases where it is sufficiently specific and essential to the interests of justice. Given the specific thresholds set by Parliament and their underlying objectives, something more is required to show that admission is justified. </w:t>
      </w:r>
      <w:r w:rsidRPr="00A4178E">
        <w:rPr>
          <w:b/>
          <w:bCs/>
          <w:lang w:val="en-CA"/>
        </w:rPr>
        <w:t xml:space="preserve">The applicant must demonstrate with particularity not only that credibility or context is relevant to an issue at trial but that, in </w:t>
      </w:r>
      <w:r w:rsidRPr="00A4178E">
        <w:rPr>
          <w:b/>
          <w:bCs/>
          <w:lang w:val="en-CA"/>
        </w:rPr>
        <w:lastRenderedPageBreak/>
        <w:t xml:space="preserve">the absence of the evidence, their position would be </w:t>
      </w:r>
      <w:r w:rsidR="00D06C3F">
        <w:rPr>
          <w:b/>
          <w:bCs/>
          <w:lang w:val="en-CA"/>
        </w:rPr>
        <w:t>“</w:t>
      </w:r>
      <w:r w:rsidRPr="00A4178E">
        <w:rPr>
          <w:b/>
          <w:bCs/>
          <w:lang w:val="en-CA"/>
        </w:rPr>
        <w:t>untenable</w:t>
      </w:r>
      <w:r w:rsidR="00D06C3F">
        <w:rPr>
          <w:b/>
          <w:bCs/>
          <w:lang w:val="en-CA"/>
        </w:rPr>
        <w:t>”</w:t>
      </w:r>
      <w:r w:rsidRPr="00A4178E">
        <w:rPr>
          <w:b/>
          <w:bCs/>
          <w:lang w:val="en-CA"/>
        </w:rPr>
        <w:t xml:space="preserve"> or </w:t>
      </w:r>
      <w:r w:rsidR="00D06C3F">
        <w:rPr>
          <w:b/>
          <w:bCs/>
          <w:lang w:val="en-CA"/>
        </w:rPr>
        <w:t>“</w:t>
      </w:r>
      <w:r w:rsidRPr="00A4178E">
        <w:rPr>
          <w:b/>
          <w:bCs/>
          <w:lang w:val="en-CA"/>
        </w:rPr>
        <w:t>utterly improbable</w:t>
      </w:r>
      <w:r w:rsidR="00D06C3F">
        <w:rPr>
          <w:b/>
          <w:bCs/>
          <w:lang w:val="en-CA"/>
        </w:rPr>
        <w:t>”</w:t>
      </w:r>
      <w:r w:rsidRPr="00A4178E">
        <w:rPr>
          <w:lang w:val="en-CA"/>
        </w:rPr>
        <w:t xml:space="preserve"> (see </w:t>
      </w:r>
      <w:r w:rsidRPr="00A4178E">
        <w:rPr>
          <w:i/>
          <w:iCs/>
          <w:lang w:val="en-CA"/>
        </w:rPr>
        <w:t>Goldfinch</w:t>
      </w:r>
      <w:r w:rsidRPr="00A4178E">
        <w:rPr>
          <w:lang w:val="en-CA"/>
        </w:rPr>
        <w:t xml:space="preserve">, at </w:t>
      </w:r>
      <w:r w:rsidR="004F6D1C">
        <w:rPr>
          <w:lang w:val="en-CA"/>
        </w:rPr>
        <w:t>para. 6</w:t>
      </w:r>
      <w:r w:rsidRPr="00A4178E">
        <w:rPr>
          <w:lang w:val="en-CA"/>
        </w:rPr>
        <w:t>8).</w:t>
      </w:r>
      <w:r w:rsidRPr="00A4178E">
        <w:rPr>
          <w:rStyle w:val="Appelnotedebasdep"/>
          <w:lang w:val="en-CA"/>
        </w:rPr>
        <w:footnoteReference w:id="61"/>
      </w:r>
    </w:p>
    <w:p w14:paraId="7487CE9D" w14:textId="77777777" w:rsidR="00314A01" w:rsidRPr="00A4178E" w:rsidRDefault="00C04FF8" w:rsidP="00A971EA">
      <w:pPr>
        <w:pStyle w:val="Citationenretrait"/>
        <w:jc w:val="right"/>
        <w:rPr>
          <w:lang w:val="en-CA"/>
        </w:rPr>
      </w:pPr>
      <w:r w:rsidRPr="00A4178E">
        <w:rPr>
          <w:lang w:val="en-CA"/>
        </w:rPr>
        <w:t>[Boldface added]</w:t>
      </w:r>
    </w:p>
    <w:p w14:paraId="7487CE9E" w14:textId="25533431" w:rsidR="00314A01" w:rsidRPr="00A4178E" w:rsidRDefault="00C04FF8" w:rsidP="00314A01">
      <w:pPr>
        <w:pStyle w:val="Paragraphe"/>
        <w:spacing w:line="280" w:lineRule="exact"/>
        <w:rPr>
          <w:lang w:val="en-CA"/>
        </w:rPr>
      </w:pPr>
      <w:r w:rsidRPr="00A4178E">
        <w:rPr>
          <w:lang w:val="en-CA"/>
        </w:rPr>
        <w:t>The appellant is very far from demonstrating this</w:t>
      </w:r>
      <w:r w:rsidRPr="00A4178E">
        <w:rPr>
          <w:i/>
          <w:iCs/>
          <w:lang w:val="en-CA"/>
        </w:rPr>
        <w:t>.</w:t>
      </w:r>
      <w:r w:rsidRPr="00A4178E">
        <w:rPr>
          <w:lang w:val="en-CA"/>
        </w:rPr>
        <w:t xml:space="preserve"> The fact that he had conversations of a sexual nature with the complainant approximately one week before the activity that gave rise to the charge is irrelevant to any issue at trial and, instead, implies reasoning based on the first of the two myths: because she still had a sexual interest in him, she </w:t>
      </w:r>
      <w:r w:rsidR="00F91B10">
        <w:rPr>
          <w:lang w:val="en-CA"/>
        </w:rPr>
        <w:t>i</w:t>
      </w:r>
      <w:r w:rsidRPr="00A4178E">
        <w:rPr>
          <w:lang w:val="en-CA"/>
        </w:rPr>
        <w:t>s more likely to have consented to the activity.</w:t>
      </w:r>
    </w:p>
    <w:p w14:paraId="7487CE9F" w14:textId="2B3F3624" w:rsidR="00314A01" w:rsidRPr="00A4178E" w:rsidRDefault="00C04FF8" w:rsidP="00314A01">
      <w:pPr>
        <w:pStyle w:val="Paragraphe"/>
        <w:spacing w:line="280" w:lineRule="exact"/>
        <w:rPr>
          <w:lang w:val="en-CA"/>
        </w:rPr>
      </w:pPr>
      <w:r w:rsidRPr="00A4178E">
        <w:rPr>
          <w:lang w:val="en-CA"/>
        </w:rPr>
        <w:t xml:space="preserve">That is not all, however. The appellant relies on the fact that the complainant denied having sent </w:t>
      </w:r>
      <w:r w:rsidR="00340702" w:rsidRPr="00A4178E">
        <w:rPr>
          <w:lang w:val="en-CA"/>
        </w:rPr>
        <w:t xml:space="preserve">him </w:t>
      </w:r>
      <w:proofErr w:type="spellStart"/>
      <w:r w:rsidR="00340702" w:rsidRPr="00DA1935">
        <w:rPr>
          <w:highlight w:val="black"/>
          <w:lang w:val="en-CA"/>
        </w:rPr>
        <w:t>xxxx</w:t>
      </w:r>
      <w:proofErr w:type="spellEnd"/>
      <w:r w:rsidR="00340702" w:rsidRPr="00A4178E">
        <w:rPr>
          <w:lang w:val="en-CA"/>
        </w:rPr>
        <w:t xml:space="preserve"> photos </w:t>
      </w:r>
      <w:r w:rsidR="00340702" w:rsidRPr="00DA1935">
        <w:rPr>
          <w:highlight w:val="black"/>
          <w:lang w:val="en-CA"/>
        </w:rPr>
        <w:t xml:space="preserve">xx </w:t>
      </w:r>
      <w:proofErr w:type="spellStart"/>
      <w:r w:rsidR="00340702" w:rsidRPr="00DA1935">
        <w:rPr>
          <w:highlight w:val="black"/>
          <w:lang w:val="en-CA"/>
        </w:rPr>
        <w:t>xxxxxxx</w:t>
      </w:r>
      <w:proofErr w:type="spellEnd"/>
      <w:r w:rsidR="00340702" w:rsidRPr="00A4178E">
        <w:rPr>
          <w:lang w:val="en-CA"/>
        </w:rPr>
        <w:t xml:space="preserve"> after</w:t>
      </w:r>
      <w:r w:rsidRPr="00A4178E">
        <w:rPr>
          <w:lang w:val="en-CA"/>
        </w:rPr>
        <w:t xml:space="preserve"> their break-up in March 2019:</w:t>
      </w:r>
    </w:p>
    <w:p w14:paraId="051281FE" w14:textId="77777777" w:rsidR="000A3FE6" w:rsidRDefault="00C04FF8" w:rsidP="00314A01">
      <w:pPr>
        <w:pStyle w:val="Citationenretrait"/>
        <w:ind w:left="1440" w:hanging="720"/>
        <w:rPr>
          <w:lang w:val="en-CA"/>
        </w:rPr>
      </w:pPr>
      <w:r w:rsidRPr="00A4178E">
        <w:rPr>
          <w:lang w:val="en-CA"/>
        </w:rPr>
        <w:t>[</w:t>
      </w:r>
      <w:r w:rsidRPr="000A3FE6">
        <w:rPr>
          <w:smallCaps/>
          <w:lang w:val="en-CA"/>
        </w:rPr>
        <w:t>translation</w:t>
      </w:r>
      <w:r w:rsidRPr="00A4178E">
        <w:rPr>
          <w:lang w:val="en-CA"/>
        </w:rPr>
        <w:t>]</w:t>
      </w:r>
    </w:p>
    <w:p w14:paraId="7487CEA0" w14:textId="32119BA8" w:rsidR="00314A01" w:rsidRPr="00A4178E" w:rsidRDefault="00C04FF8" w:rsidP="00314A01">
      <w:pPr>
        <w:pStyle w:val="Citationenretrait"/>
        <w:ind w:left="1440" w:hanging="720"/>
        <w:rPr>
          <w:lang w:val="en-CA"/>
        </w:rPr>
      </w:pPr>
      <w:r w:rsidRPr="00A4178E">
        <w:rPr>
          <w:lang w:val="en-CA"/>
        </w:rPr>
        <w:t>Q</w:t>
      </w:r>
      <w:r w:rsidRPr="00A4178E">
        <w:rPr>
          <w:lang w:val="en-CA"/>
        </w:rPr>
        <w:tab/>
        <w:t>Isn</w:t>
      </w:r>
      <w:r w:rsidR="00D06C3F">
        <w:rPr>
          <w:lang w:val="en-CA"/>
        </w:rPr>
        <w:t>’</w:t>
      </w:r>
      <w:r w:rsidRPr="00A4178E">
        <w:rPr>
          <w:lang w:val="en-CA"/>
        </w:rPr>
        <w:t>t it true that during that week, the one preceding April 23, you even sent him photos?</w:t>
      </w:r>
    </w:p>
    <w:p w14:paraId="7487CEA1" w14:textId="77777777" w:rsidR="00314A01" w:rsidRPr="00A4178E" w:rsidRDefault="00C04FF8" w:rsidP="00314A01">
      <w:pPr>
        <w:pStyle w:val="Citationenretrait"/>
        <w:rPr>
          <w:lang w:val="en-CA"/>
        </w:rPr>
      </w:pPr>
      <w:r w:rsidRPr="00A4178E">
        <w:rPr>
          <w:lang w:val="en-CA"/>
        </w:rPr>
        <w:t>A</w:t>
      </w:r>
      <w:r w:rsidRPr="00A4178E">
        <w:rPr>
          <w:lang w:val="en-CA"/>
        </w:rPr>
        <w:tab/>
        <w:t>No.</w:t>
      </w:r>
    </w:p>
    <w:p w14:paraId="7487CEA2" w14:textId="77777777" w:rsidR="00314A01" w:rsidRPr="00A4178E" w:rsidRDefault="00C04FF8" w:rsidP="00314A01">
      <w:pPr>
        <w:pStyle w:val="Citationenretrait"/>
        <w:rPr>
          <w:lang w:val="en-CA"/>
        </w:rPr>
      </w:pPr>
      <w:r w:rsidRPr="00A4178E">
        <w:rPr>
          <w:lang w:val="en-CA"/>
        </w:rPr>
        <w:t>Q</w:t>
      </w:r>
      <w:r w:rsidRPr="00A4178E">
        <w:rPr>
          <w:lang w:val="en-CA"/>
        </w:rPr>
        <w:tab/>
        <w:t>At no time?</w:t>
      </w:r>
    </w:p>
    <w:p w14:paraId="7487CEA3" w14:textId="77777777" w:rsidR="00314A01" w:rsidRPr="00A4178E" w:rsidRDefault="00C04FF8" w:rsidP="00314A01">
      <w:pPr>
        <w:pStyle w:val="Citationenretrait"/>
        <w:rPr>
          <w:lang w:val="en-CA"/>
        </w:rPr>
      </w:pPr>
      <w:r w:rsidRPr="00A4178E">
        <w:rPr>
          <w:lang w:val="en-CA"/>
        </w:rPr>
        <w:t>A</w:t>
      </w:r>
      <w:r w:rsidRPr="00A4178E">
        <w:rPr>
          <w:lang w:val="en-CA"/>
        </w:rPr>
        <w:tab/>
        <w:t>He was the one who… he was the one who was sending me photographs.</w:t>
      </w:r>
    </w:p>
    <w:p w14:paraId="7487CEA4" w14:textId="2C8B1B13" w:rsidR="00314A01" w:rsidRPr="00A4178E" w:rsidRDefault="00C04FF8" w:rsidP="00314A01">
      <w:pPr>
        <w:pStyle w:val="Citationenretrait"/>
        <w:ind w:left="1440" w:hanging="720"/>
        <w:rPr>
          <w:lang w:val="en-CA"/>
        </w:rPr>
      </w:pPr>
      <w:r w:rsidRPr="00A4178E">
        <w:rPr>
          <w:lang w:val="en-CA"/>
        </w:rPr>
        <w:t>Q</w:t>
      </w:r>
      <w:r w:rsidRPr="00A4178E">
        <w:rPr>
          <w:lang w:val="en-CA"/>
        </w:rPr>
        <w:tab/>
        <w:t xml:space="preserve">At no time did you send </w:t>
      </w:r>
      <w:r w:rsidR="00D93BDA" w:rsidRPr="00A4178E">
        <w:rPr>
          <w:lang w:val="en-CA"/>
        </w:rPr>
        <w:t xml:space="preserve">him </w:t>
      </w:r>
      <w:proofErr w:type="spellStart"/>
      <w:r w:rsidR="00D93BDA" w:rsidRPr="00B55151">
        <w:rPr>
          <w:highlight w:val="black"/>
          <w:lang w:val="en-CA"/>
        </w:rPr>
        <w:t>xxxx</w:t>
      </w:r>
      <w:proofErr w:type="spellEnd"/>
      <w:r w:rsidR="00D93BDA" w:rsidRPr="00A4178E">
        <w:rPr>
          <w:lang w:val="en-CA"/>
        </w:rPr>
        <w:t xml:space="preserve"> photos</w:t>
      </w:r>
      <w:r w:rsidRPr="00A4178E">
        <w:rPr>
          <w:lang w:val="en-CA"/>
        </w:rPr>
        <w:t xml:space="preserve"> of yourself?</w:t>
      </w:r>
    </w:p>
    <w:p w14:paraId="7487CEA5" w14:textId="77777777" w:rsidR="00314A01" w:rsidRPr="00A4178E" w:rsidRDefault="00C04FF8" w:rsidP="00314A01">
      <w:pPr>
        <w:pStyle w:val="Citationenretrait"/>
        <w:rPr>
          <w:lang w:val="en-CA"/>
        </w:rPr>
      </w:pPr>
      <w:r w:rsidRPr="00A4178E">
        <w:rPr>
          <w:lang w:val="en-CA"/>
        </w:rPr>
        <w:t>A</w:t>
      </w:r>
      <w:r w:rsidRPr="00A4178E">
        <w:rPr>
          <w:lang w:val="en-CA"/>
        </w:rPr>
        <w:tab/>
        <w:t>Clearly not.</w:t>
      </w:r>
    </w:p>
    <w:p w14:paraId="7487CEA6" w14:textId="77777777" w:rsidR="00314A01" w:rsidRPr="00A4178E" w:rsidRDefault="00C04FF8" w:rsidP="00314A01">
      <w:pPr>
        <w:pStyle w:val="Citationenretrait"/>
        <w:rPr>
          <w:lang w:val="en-CA"/>
        </w:rPr>
      </w:pPr>
      <w:r w:rsidRPr="00A4178E">
        <w:rPr>
          <w:lang w:val="en-CA"/>
        </w:rPr>
        <w:t>Q</w:t>
      </w:r>
      <w:r w:rsidRPr="00A4178E">
        <w:rPr>
          <w:lang w:val="en-CA"/>
        </w:rPr>
        <w:tab/>
        <w:t>Clearly not? Are you sure about that?</w:t>
      </w:r>
    </w:p>
    <w:p w14:paraId="7487CEA7" w14:textId="070FCDA6" w:rsidR="00314A01" w:rsidRPr="00A4178E" w:rsidRDefault="00C04FF8" w:rsidP="00314A01">
      <w:pPr>
        <w:pStyle w:val="Citationenretrait"/>
        <w:ind w:left="1440" w:hanging="720"/>
        <w:rPr>
          <w:lang w:val="en-CA"/>
        </w:rPr>
      </w:pPr>
      <w:r w:rsidRPr="00A4178E">
        <w:rPr>
          <w:lang w:val="en-CA"/>
        </w:rPr>
        <w:t>A</w:t>
      </w:r>
      <w:r w:rsidRPr="00A4178E">
        <w:rPr>
          <w:lang w:val="en-CA"/>
        </w:rPr>
        <w:tab/>
        <w:t>Not that I remember, I</w:t>
      </w:r>
      <w:r w:rsidR="00D06C3F">
        <w:rPr>
          <w:lang w:val="en-CA"/>
        </w:rPr>
        <w:t>’</w:t>
      </w:r>
      <w:r w:rsidRPr="00A4178E">
        <w:rPr>
          <w:lang w:val="en-CA"/>
        </w:rPr>
        <w:t xml:space="preserve">m sure of it. He was the one who </w:t>
      </w:r>
      <w:r w:rsidR="005C4C19" w:rsidRPr="00A4178E">
        <w:rPr>
          <w:lang w:val="en-CA"/>
        </w:rPr>
        <w:t xml:space="preserve">had </w:t>
      </w:r>
      <w:proofErr w:type="spellStart"/>
      <w:r w:rsidR="005C4C19" w:rsidRPr="005E073F">
        <w:rPr>
          <w:highlight w:val="black"/>
          <w:lang w:val="en-CA"/>
        </w:rPr>
        <w:t>xxxx</w:t>
      </w:r>
      <w:proofErr w:type="spellEnd"/>
      <w:r w:rsidR="005C4C19" w:rsidRPr="00A4178E">
        <w:rPr>
          <w:lang w:val="en-CA"/>
        </w:rPr>
        <w:t xml:space="preserve"> pictures </w:t>
      </w:r>
      <w:r w:rsidR="005C4C19" w:rsidRPr="005E073F">
        <w:rPr>
          <w:highlight w:val="black"/>
          <w:lang w:val="en-CA"/>
        </w:rPr>
        <w:t xml:space="preserve">xx </w:t>
      </w:r>
      <w:proofErr w:type="spellStart"/>
      <w:r w:rsidR="005C4C19" w:rsidRPr="005E073F">
        <w:rPr>
          <w:highlight w:val="black"/>
          <w:lang w:val="en-CA"/>
        </w:rPr>
        <w:t>xx</w:t>
      </w:r>
      <w:proofErr w:type="spellEnd"/>
      <w:r w:rsidR="005C4C19" w:rsidRPr="00A4178E">
        <w:rPr>
          <w:lang w:val="en-CA"/>
        </w:rPr>
        <w:t>, and</w:t>
      </w:r>
      <w:r w:rsidRPr="00A4178E">
        <w:rPr>
          <w:lang w:val="en-CA"/>
        </w:rPr>
        <w:t xml:space="preserve"> he was sending them to his friends.</w:t>
      </w:r>
    </w:p>
    <w:p w14:paraId="7487CEA8" w14:textId="5D70D8A5" w:rsidR="00314A01" w:rsidRPr="00A4178E" w:rsidRDefault="00C04FF8" w:rsidP="00314A01">
      <w:pPr>
        <w:pStyle w:val="Paragraphe"/>
        <w:spacing w:line="280" w:lineRule="exact"/>
        <w:rPr>
          <w:lang w:val="en-CA"/>
        </w:rPr>
      </w:pPr>
      <w:r w:rsidRPr="00A4178E">
        <w:rPr>
          <w:lang w:val="en-CA"/>
        </w:rPr>
        <w:t xml:space="preserve">Apart from the fact that the screenshots do not prove that the complainant sent </w:t>
      </w:r>
      <w:r w:rsidR="00D21C22" w:rsidRPr="00A4178E">
        <w:rPr>
          <w:lang w:val="en-CA"/>
        </w:rPr>
        <w:t xml:space="preserve">him </w:t>
      </w:r>
      <w:proofErr w:type="spellStart"/>
      <w:r w:rsidR="00D21C22" w:rsidRPr="00A65972">
        <w:rPr>
          <w:highlight w:val="black"/>
          <w:lang w:val="en-CA"/>
        </w:rPr>
        <w:t>xxxx</w:t>
      </w:r>
      <w:proofErr w:type="spellEnd"/>
      <w:r w:rsidR="00D21C22" w:rsidRPr="00A4178E">
        <w:rPr>
          <w:lang w:val="en-CA"/>
        </w:rPr>
        <w:t xml:space="preserve"> photos </w:t>
      </w:r>
      <w:r w:rsidR="00D21C22" w:rsidRPr="00A65972">
        <w:rPr>
          <w:highlight w:val="black"/>
          <w:lang w:val="en-CA"/>
        </w:rPr>
        <w:t xml:space="preserve">xx </w:t>
      </w:r>
      <w:proofErr w:type="spellStart"/>
      <w:r w:rsidR="00D21C22" w:rsidRPr="00A65972">
        <w:rPr>
          <w:highlight w:val="black"/>
          <w:lang w:val="en-CA"/>
        </w:rPr>
        <w:t>xxxxxxx</w:t>
      </w:r>
      <w:proofErr w:type="spellEnd"/>
      <w:r w:rsidR="00D21C22" w:rsidRPr="00A4178E">
        <w:rPr>
          <w:lang w:val="en-CA"/>
        </w:rPr>
        <w:t>, the</w:t>
      </w:r>
      <w:r w:rsidRPr="00A4178E">
        <w:rPr>
          <w:lang w:val="en-CA"/>
        </w:rPr>
        <w:t xml:space="preserve"> question should not have been allowed. Notwithstanding that the Crown did not object, the judge, as evidentiary gatekeeper,</w:t>
      </w:r>
      <w:r w:rsidRPr="00A4178E">
        <w:rPr>
          <w:rStyle w:val="Appelnotedebasdep"/>
          <w:lang w:val="en-CA"/>
        </w:rPr>
        <w:footnoteReference w:id="62"/>
      </w:r>
      <w:r w:rsidRPr="00A4178E">
        <w:rPr>
          <w:lang w:val="en-CA"/>
        </w:rPr>
        <w:t xml:space="preserve"> should have required the appellant to </w:t>
      </w:r>
      <w:proofErr w:type="gramStart"/>
      <w:r w:rsidRPr="00A4178E">
        <w:rPr>
          <w:lang w:val="en-CA"/>
        </w:rPr>
        <w:t>submit an application</w:t>
      </w:r>
      <w:proofErr w:type="gramEnd"/>
      <w:r w:rsidRPr="00A4178E">
        <w:rPr>
          <w:lang w:val="en-CA"/>
        </w:rPr>
        <w:t xml:space="preserve"> for a hearing under </w:t>
      </w:r>
      <w:r w:rsidR="004F6D1C">
        <w:rPr>
          <w:lang w:val="en-CA"/>
        </w:rPr>
        <w:t>s. 2</w:t>
      </w:r>
      <w:r w:rsidRPr="00A4178E">
        <w:rPr>
          <w:lang w:val="en-CA"/>
        </w:rPr>
        <w:t xml:space="preserve">78.93 </w:t>
      </w:r>
      <w:proofErr w:type="spellStart"/>
      <w:r w:rsidRPr="00A4178E">
        <w:rPr>
          <w:i/>
          <w:iCs/>
          <w:lang w:val="en-CA"/>
        </w:rPr>
        <w:t>Cr.C</w:t>
      </w:r>
      <w:proofErr w:type="spellEnd"/>
      <w:r w:rsidRPr="00A4178E">
        <w:rPr>
          <w:i/>
          <w:iCs/>
          <w:lang w:val="en-CA"/>
        </w:rPr>
        <w:t>.</w:t>
      </w:r>
      <w:r w:rsidRPr="00A4178E">
        <w:rPr>
          <w:lang w:val="en-CA"/>
        </w:rPr>
        <w:t xml:space="preserve"> It is implausible that the appellant would have been able to specify the relevance of the evidence (conversations of a sexual nature approximately one week prior to the activity </w:t>
      </w:r>
      <w:r w:rsidRPr="00A4178E">
        <w:rPr>
          <w:lang w:val="en-CA"/>
        </w:rPr>
        <w:lastRenderedPageBreak/>
        <w:t>that gave rise to the charge) to an issue at trial.</w:t>
      </w:r>
      <w:r w:rsidRPr="00A4178E">
        <w:rPr>
          <w:rStyle w:val="Appelnotedebasdep"/>
          <w:lang w:val="en-CA"/>
        </w:rPr>
        <w:footnoteReference w:id="63"/>
      </w:r>
      <w:r w:rsidRPr="00A4178E">
        <w:rPr>
          <w:lang w:val="en-CA"/>
        </w:rPr>
        <w:t xml:space="preserve"> To paraphrase the above-cited passage from </w:t>
      </w:r>
      <w:r w:rsidRPr="00A4178E">
        <w:rPr>
          <w:i/>
          <w:iCs/>
          <w:lang w:val="en-CA"/>
        </w:rPr>
        <w:t>R. v. T.W.W.</w:t>
      </w:r>
      <w:r w:rsidRPr="00A4178E">
        <w:rPr>
          <w:lang w:val="en-CA"/>
        </w:rPr>
        <w:t>, this evidence did not respond to a specific issue at trial that could not be addressed or resolved in the absence of that evidence.</w:t>
      </w:r>
    </w:p>
    <w:p w14:paraId="7487CEA9" w14:textId="04060862" w:rsidR="00314A01" w:rsidRPr="00A4178E" w:rsidRDefault="00C04FF8" w:rsidP="00314A01">
      <w:pPr>
        <w:pStyle w:val="Paragraphe"/>
        <w:spacing w:line="280" w:lineRule="exact"/>
        <w:rPr>
          <w:lang w:val="en-CA"/>
        </w:rPr>
      </w:pPr>
      <w:r w:rsidRPr="00A4178E">
        <w:rPr>
          <w:lang w:val="en-CA"/>
        </w:rPr>
        <w:t>Admittedly, the complainant testified that the appellant did not accept the break-up and asked her to come back, while, for her part, she wanted their [</w:t>
      </w:r>
      <w:r w:rsidRPr="00AB7110">
        <w:rPr>
          <w:smallCaps/>
          <w:lang w:val="en-CA"/>
        </w:rPr>
        <w:t>translation</w:t>
      </w:r>
      <w:r w:rsidRPr="00A4178E">
        <w:rPr>
          <w:lang w:val="en-CA"/>
        </w:rPr>
        <w:t>]</w:t>
      </w:r>
      <w:r w:rsidR="0021078E">
        <w:rPr>
          <w:lang w:val="en-CA"/>
        </w:rPr>
        <w:t> </w:t>
      </w:r>
      <w:r w:rsidR="00D06C3F">
        <w:rPr>
          <w:lang w:val="en-CA"/>
        </w:rPr>
        <w:t>“</w:t>
      </w:r>
      <w:r w:rsidRPr="00A4178E">
        <w:rPr>
          <w:lang w:val="en-CA"/>
        </w:rPr>
        <w:t>relationship to end in a healthy way, like two adults</w:t>
      </w:r>
      <w:r w:rsidR="00D06C3F">
        <w:rPr>
          <w:lang w:val="en-CA"/>
        </w:rPr>
        <w:t>”</w:t>
      </w:r>
      <w:r w:rsidRPr="00A4178E">
        <w:rPr>
          <w:lang w:val="en-CA"/>
        </w:rPr>
        <w:t>.</w:t>
      </w:r>
      <w:r w:rsidRPr="00A4178E">
        <w:rPr>
          <w:rStyle w:val="Appelnotedebasdep"/>
          <w:lang w:val="en-CA"/>
        </w:rPr>
        <w:footnoteReference w:id="64"/>
      </w:r>
      <w:r w:rsidRPr="00A4178E">
        <w:rPr>
          <w:lang w:val="en-CA"/>
        </w:rPr>
        <w:t xml:space="preserve"> But the evidence in question does not contradict her testimony. She may have had conversations of a sexual nature with the appellant without wanting to get back together with him. A contrary deduction comes close to the first of the two myths: because she engaged in a sexual activity with the appellant, she was still in love with him, so she is more likely to have consented to the activity that gave rise to the charge. </w:t>
      </w:r>
      <w:r w:rsidR="00E7465F">
        <w:rPr>
          <w:lang w:val="en-CA"/>
        </w:rPr>
        <w:t>Consequently</w:t>
      </w:r>
      <w:r w:rsidRPr="00A4178E">
        <w:rPr>
          <w:lang w:val="en-CA"/>
        </w:rPr>
        <w:t>, in my view, the relevance of the evidence to the complainant</w:t>
      </w:r>
      <w:r w:rsidR="00D06C3F">
        <w:rPr>
          <w:lang w:val="en-CA"/>
        </w:rPr>
        <w:t>’</w:t>
      </w:r>
      <w:r w:rsidRPr="00A4178E">
        <w:rPr>
          <w:lang w:val="en-CA"/>
        </w:rPr>
        <w:t>s [</w:t>
      </w:r>
      <w:r w:rsidRPr="00AB7110">
        <w:rPr>
          <w:smallCaps/>
          <w:lang w:val="en-CA"/>
        </w:rPr>
        <w:t>translation</w:t>
      </w:r>
      <w:r w:rsidRPr="00A4178E">
        <w:rPr>
          <w:lang w:val="en-CA"/>
        </w:rPr>
        <w:t xml:space="preserve">] </w:t>
      </w:r>
      <w:r w:rsidR="00D06C3F">
        <w:rPr>
          <w:lang w:val="en-CA"/>
        </w:rPr>
        <w:t>“</w:t>
      </w:r>
      <w:r w:rsidRPr="00A4178E">
        <w:rPr>
          <w:lang w:val="en-CA"/>
        </w:rPr>
        <w:t>narrative</w:t>
      </w:r>
      <w:r w:rsidR="00D06C3F">
        <w:rPr>
          <w:lang w:val="en-CA"/>
        </w:rPr>
        <w:t>”</w:t>
      </w:r>
      <w:r w:rsidRPr="00A4178E">
        <w:rPr>
          <w:lang w:val="en-CA"/>
        </w:rPr>
        <w:t xml:space="preserve"> seems tenuous at best, and I am not convinced that the context here </w:t>
      </w:r>
      <w:r w:rsidR="00D06C3F">
        <w:rPr>
          <w:lang w:val="en-CA"/>
        </w:rPr>
        <w:t>“</w:t>
      </w:r>
      <w:r w:rsidRPr="00A4178E">
        <w:rPr>
          <w:lang w:val="en-CA"/>
        </w:rPr>
        <w:t>is not simply a disguised myth</w:t>
      </w:r>
      <w:r w:rsidR="00D06C3F">
        <w:rPr>
          <w:lang w:val="en-CA"/>
        </w:rPr>
        <w:t>”</w:t>
      </w:r>
      <w:r w:rsidRPr="00A4178E">
        <w:rPr>
          <w:lang w:val="en-CA"/>
        </w:rPr>
        <w:t>.</w:t>
      </w:r>
      <w:r w:rsidRPr="00A4178E">
        <w:rPr>
          <w:rStyle w:val="Appelnotedebasdep"/>
          <w:lang w:val="en-CA"/>
        </w:rPr>
        <w:footnoteReference w:id="65"/>
      </w:r>
    </w:p>
    <w:p w14:paraId="7487CEAA" w14:textId="4E51E7D5" w:rsidR="00314A01" w:rsidRPr="00A4178E" w:rsidRDefault="00C04FF8" w:rsidP="00314A01">
      <w:pPr>
        <w:pStyle w:val="Paragraphe"/>
        <w:spacing w:line="280" w:lineRule="exact"/>
        <w:rPr>
          <w:lang w:val="en-CA"/>
        </w:rPr>
      </w:pPr>
      <w:r w:rsidRPr="00A4178E">
        <w:rPr>
          <w:lang w:val="en-CA"/>
        </w:rPr>
        <w:t>Finally, even if it were possible to link the evidence to a specific element relating to the appellant</w:t>
      </w:r>
      <w:r w:rsidR="00D06C3F">
        <w:rPr>
          <w:lang w:val="en-CA"/>
        </w:rPr>
        <w:t>’</w:t>
      </w:r>
      <w:r w:rsidRPr="00A4178E">
        <w:rPr>
          <w:lang w:val="en-CA"/>
        </w:rPr>
        <w:t>s defence, its admission would not be guaranteed.</w:t>
      </w:r>
      <w:r w:rsidRPr="00A4178E">
        <w:rPr>
          <w:rStyle w:val="Appelnotedebasdep"/>
          <w:lang w:val="en-CA"/>
        </w:rPr>
        <w:footnoteReference w:id="66"/>
      </w:r>
      <w:r w:rsidRPr="00A4178E">
        <w:rPr>
          <w:lang w:val="en-CA"/>
        </w:rPr>
        <w:t xml:space="preserve"> The link between the evidence and the appellant</w:t>
      </w:r>
      <w:r w:rsidR="00D06C3F">
        <w:rPr>
          <w:lang w:val="en-CA"/>
        </w:rPr>
        <w:t>’</w:t>
      </w:r>
      <w:r w:rsidRPr="00A4178E">
        <w:rPr>
          <w:lang w:val="en-CA"/>
        </w:rPr>
        <w:t>s ability to present a full and complete defence is so tenuous that it is undeniable that the significant probative value of the evidence would be substantially outweighed by the danger of prejudice to the proper administration of justice, if only because of the potential prejudice to the complainant</w:t>
      </w:r>
      <w:r w:rsidR="00D06C3F">
        <w:rPr>
          <w:lang w:val="en-CA"/>
        </w:rPr>
        <w:t>’</w:t>
      </w:r>
      <w:r w:rsidRPr="00A4178E">
        <w:rPr>
          <w:lang w:val="en-CA"/>
        </w:rPr>
        <w:t>s personal dignity and right of privacy.</w:t>
      </w:r>
      <w:r w:rsidRPr="00A4178E">
        <w:rPr>
          <w:rStyle w:val="Appelnotedebasdep"/>
          <w:lang w:val="en-CA"/>
        </w:rPr>
        <w:footnoteReference w:id="67"/>
      </w:r>
      <w:r w:rsidRPr="00A4178E">
        <w:rPr>
          <w:lang w:val="en-CA"/>
        </w:rPr>
        <w:t xml:space="preserve"> Indeed, the screenshots </w:t>
      </w:r>
      <w:r w:rsidR="006753EE" w:rsidRPr="00A4178E">
        <w:rPr>
          <w:lang w:val="en-CA"/>
        </w:rPr>
        <w:t xml:space="preserve">show </w:t>
      </w:r>
      <w:proofErr w:type="spellStart"/>
      <w:r w:rsidR="006753EE" w:rsidRPr="004D30CA">
        <w:rPr>
          <w:highlight w:val="black"/>
          <w:lang w:val="en-CA"/>
        </w:rPr>
        <w:t>xxxx</w:t>
      </w:r>
      <w:proofErr w:type="spellEnd"/>
      <w:r w:rsidR="006753EE" w:rsidRPr="004D30CA">
        <w:rPr>
          <w:highlight w:val="black"/>
          <w:lang w:val="en-CA"/>
        </w:rPr>
        <w:t xml:space="preserve"> </w:t>
      </w:r>
      <w:proofErr w:type="spellStart"/>
      <w:r w:rsidR="006753EE" w:rsidRPr="004D30CA">
        <w:rPr>
          <w:highlight w:val="black"/>
          <w:lang w:val="en-CA"/>
        </w:rPr>
        <w:t>xxxxxxxx</w:t>
      </w:r>
      <w:proofErr w:type="spellEnd"/>
      <w:r w:rsidR="006753EE" w:rsidRPr="004D30CA">
        <w:rPr>
          <w:highlight w:val="black"/>
          <w:lang w:val="en-CA"/>
        </w:rPr>
        <w:t xml:space="preserve"> </w:t>
      </w:r>
      <w:proofErr w:type="spellStart"/>
      <w:r w:rsidR="006753EE" w:rsidRPr="004D30CA">
        <w:rPr>
          <w:highlight w:val="black"/>
          <w:lang w:val="en-CA"/>
        </w:rPr>
        <w:t>xxxxxx</w:t>
      </w:r>
      <w:proofErr w:type="spellEnd"/>
      <w:r w:rsidR="006753EE" w:rsidRPr="004D30CA">
        <w:rPr>
          <w:highlight w:val="black"/>
          <w:lang w:val="en-CA"/>
        </w:rPr>
        <w:t xml:space="preserve"> xx xxx </w:t>
      </w:r>
      <w:proofErr w:type="spellStart"/>
      <w:r w:rsidR="006753EE" w:rsidRPr="004D30CA">
        <w:rPr>
          <w:highlight w:val="black"/>
          <w:lang w:val="en-CA"/>
        </w:rPr>
        <w:t>xxxxxxxxxxx</w:t>
      </w:r>
      <w:proofErr w:type="spellEnd"/>
      <w:r w:rsidR="006753EE" w:rsidRPr="004D30CA">
        <w:rPr>
          <w:highlight w:val="black"/>
          <w:lang w:val="en-CA"/>
        </w:rPr>
        <w:t xml:space="preserve"> </w:t>
      </w:r>
      <w:proofErr w:type="spellStart"/>
      <w:r w:rsidR="006753EE" w:rsidRPr="004D30CA">
        <w:rPr>
          <w:highlight w:val="black"/>
          <w:lang w:val="en-CA"/>
        </w:rPr>
        <w:t>xxxx</w:t>
      </w:r>
      <w:proofErr w:type="spellEnd"/>
      <w:r w:rsidR="006753EE" w:rsidRPr="004D30CA">
        <w:rPr>
          <w:highlight w:val="black"/>
          <w:lang w:val="en-CA"/>
        </w:rPr>
        <w:t xml:space="preserve"> </w:t>
      </w:r>
      <w:proofErr w:type="spellStart"/>
      <w:r w:rsidR="006753EE" w:rsidRPr="004D30CA">
        <w:rPr>
          <w:highlight w:val="black"/>
          <w:lang w:val="en-CA"/>
        </w:rPr>
        <w:t>xxxxxxx</w:t>
      </w:r>
      <w:proofErr w:type="spellEnd"/>
      <w:r w:rsidR="006753EE" w:rsidRPr="004D30CA">
        <w:rPr>
          <w:highlight w:val="black"/>
          <w:lang w:val="en-CA"/>
        </w:rPr>
        <w:t xml:space="preserve"> xxx </w:t>
      </w:r>
      <w:proofErr w:type="spellStart"/>
      <w:r w:rsidR="006753EE" w:rsidRPr="004D30CA">
        <w:rPr>
          <w:highlight w:val="black"/>
          <w:lang w:val="en-CA"/>
        </w:rPr>
        <w:t>xxxxxxxxx</w:t>
      </w:r>
      <w:proofErr w:type="spellEnd"/>
      <w:r w:rsidR="006753EE" w:rsidRPr="00A4178E">
        <w:rPr>
          <w:lang w:val="en-CA"/>
        </w:rPr>
        <w:t>.</w:t>
      </w:r>
      <w:r w:rsidRPr="00A4178E">
        <w:rPr>
          <w:lang w:val="en-CA"/>
        </w:rPr>
        <w:t xml:space="preserve"> At the time these screenshots were taken, the complainant had a reasonable expectation of privacy, and she still does. In this regard, it should be noted that the publication (in the broadest sense) of an intimate image of a person knowing that the person did not give their consent to that publication, or being reckless as to such consent, is an offence under the </w:t>
      </w:r>
      <w:r w:rsidRPr="00A4178E">
        <w:rPr>
          <w:i/>
          <w:iCs/>
          <w:lang w:val="en-CA"/>
        </w:rPr>
        <w:t>Criminal Code</w:t>
      </w:r>
      <w:r w:rsidRPr="00A4178E">
        <w:rPr>
          <w:lang w:val="en-CA"/>
        </w:rPr>
        <w:t>.</w:t>
      </w:r>
      <w:r w:rsidRPr="00A4178E">
        <w:rPr>
          <w:rStyle w:val="Appelnotedebasdep"/>
          <w:lang w:val="en-CA"/>
        </w:rPr>
        <w:footnoteReference w:id="68"/>
      </w:r>
    </w:p>
    <w:p w14:paraId="7487CEAB" w14:textId="632E0DFE" w:rsidR="00314A01" w:rsidRPr="00A4178E" w:rsidRDefault="00C04FF8" w:rsidP="00314A01">
      <w:pPr>
        <w:pStyle w:val="Paragraphe"/>
        <w:spacing w:line="280" w:lineRule="exact"/>
        <w:rPr>
          <w:lang w:val="en-CA"/>
        </w:rPr>
      </w:pPr>
      <w:r w:rsidRPr="00A4178E">
        <w:rPr>
          <w:lang w:val="en-CA"/>
        </w:rPr>
        <w:t>I also take into consideration society</w:t>
      </w:r>
      <w:r w:rsidR="00D06C3F">
        <w:rPr>
          <w:lang w:val="en-CA"/>
        </w:rPr>
        <w:t>’</w:t>
      </w:r>
      <w:r w:rsidRPr="00A4178E">
        <w:rPr>
          <w:lang w:val="en-CA"/>
        </w:rPr>
        <w:t>s interest in encouraging the reporting of sexual assault offences, the need to remove any discriminatory belief or bias, and the right of the complainant and of every individual to personal security and to the full protection and benefit of the law.</w:t>
      </w:r>
      <w:r w:rsidRPr="00A4178E">
        <w:rPr>
          <w:rStyle w:val="Appelnotedebasdep"/>
          <w:lang w:val="en-CA"/>
        </w:rPr>
        <w:footnoteReference w:id="69"/>
      </w:r>
      <w:r w:rsidRPr="00A4178E">
        <w:rPr>
          <w:lang w:val="en-CA"/>
        </w:rPr>
        <w:t xml:space="preserve"> Given that the evidence bears marginally on the appellant</w:t>
      </w:r>
      <w:r w:rsidR="00D06C3F">
        <w:rPr>
          <w:lang w:val="en-CA"/>
        </w:rPr>
        <w:t>’</w:t>
      </w:r>
      <w:r w:rsidRPr="00A4178E">
        <w:rPr>
          <w:lang w:val="en-CA"/>
        </w:rPr>
        <w:t xml:space="preserve">s defence, the other factors set out in </w:t>
      </w:r>
      <w:r w:rsidR="004F6D1C">
        <w:rPr>
          <w:lang w:val="en-CA"/>
        </w:rPr>
        <w:t>s. 2</w:t>
      </w:r>
      <w:r w:rsidRPr="00A4178E">
        <w:rPr>
          <w:lang w:val="en-CA"/>
        </w:rPr>
        <w:t xml:space="preserve">76(3) </w:t>
      </w:r>
      <w:proofErr w:type="spellStart"/>
      <w:r w:rsidRPr="00A4178E">
        <w:rPr>
          <w:i/>
          <w:iCs/>
          <w:lang w:val="en-CA"/>
        </w:rPr>
        <w:t>Cr.C</w:t>
      </w:r>
      <w:proofErr w:type="spellEnd"/>
      <w:r w:rsidRPr="00A4178E">
        <w:rPr>
          <w:i/>
          <w:iCs/>
          <w:lang w:val="en-CA"/>
        </w:rPr>
        <w:t>.</w:t>
      </w:r>
      <w:r w:rsidRPr="00A4178E">
        <w:rPr>
          <w:lang w:val="en-CA"/>
        </w:rPr>
        <w:t xml:space="preserve"> have a neutral effect; none of them truly favours admitting the evidence.</w:t>
      </w:r>
    </w:p>
    <w:p w14:paraId="7487CEAC" w14:textId="1FD64123" w:rsidR="00314A01" w:rsidRPr="00A4178E" w:rsidRDefault="00C04FF8" w:rsidP="00314A01">
      <w:pPr>
        <w:pStyle w:val="Paragraphe"/>
        <w:spacing w:line="280" w:lineRule="exact"/>
        <w:rPr>
          <w:lang w:val="en-CA"/>
        </w:rPr>
      </w:pPr>
      <w:r w:rsidRPr="00A4178E">
        <w:rPr>
          <w:lang w:val="en-CA"/>
        </w:rPr>
        <w:t xml:space="preserve">In conclusion, I find it implausible that the screenshot evidence would have been admitted in first instance (or would be admitted in the event of a new trial) at the end of </w:t>
      </w:r>
      <w:r w:rsidRPr="00A4178E">
        <w:rPr>
          <w:lang w:val="en-CA"/>
        </w:rPr>
        <w:lastRenderedPageBreak/>
        <w:t>the two-stage process set out in s</w:t>
      </w:r>
      <w:r w:rsidR="004F6D1C">
        <w:rPr>
          <w:lang w:val="en-CA"/>
        </w:rPr>
        <w:t>s. 2</w:t>
      </w:r>
      <w:r w:rsidRPr="00A4178E">
        <w:rPr>
          <w:lang w:val="en-CA"/>
        </w:rPr>
        <w:t xml:space="preserve">78.93 and 278.94 </w:t>
      </w:r>
      <w:proofErr w:type="spellStart"/>
      <w:r w:rsidRPr="00A4178E">
        <w:rPr>
          <w:i/>
          <w:iCs/>
          <w:lang w:val="en-CA"/>
        </w:rPr>
        <w:t>Cr.C</w:t>
      </w:r>
      <w:proofErr w:type="spellEnd"/>
      <w:r w:rsidRPr="00A4178E">
        <w:rPr>
          <w:lang w:val="en-CA"/>
        </w:rPr>
        <w:t>, which brings the analysis to a close. I would therefore dismiss the application for leave to adduce fresh evidence as regards the evidence in connection with the complainant</w:t>
      </w:r>
      <w:r w:rsidR="00D06C3F">
        <w:rPr>
          <w:lang w:val="en-CA"/>
        </w:rPr>
        <w:t>’</w:t>
      </w:r>
      <w:r w:rsidRPr="00A4178E">
        <w:rPr>
          <w:lang w:val="en-CA"/>
        </w:rPr>
        <w:t>s past sexual activity.</w:t>
      </w:r>
    </w:p>
    <w:p w14:paraId="7487CEAD" w14:textId="77777777" w:rsidR="00314A01" w:rsidRPr="00A4178E" w:rsidRDefault="00C04FF8" w:rsidP="00192F39">
      <w:pPr>
        <w:pStyle w:val="Titre2"/>
        <w:numPr>
          <w:ilvl w:val="0"/>
          <w:numId w:val="23"/>
        </w:numPr>
        <w:spacing w:before="120" w:after="120"/>
        <w:ind w:left="714" w:hanging="357"/>
        <w:rPr>
          <w:lang w:val="en-CA"/>
        </w:rPr>
      </w:pPr>
      <w:r w:rsidRPr="00A4178E">
        <w:rPr>
          <w:bCs/>
          <w:iCs/>
          <w:lang w:val="en-CA"/>
        </w:rPr>
        <w:t>The fresh evidence in connection with the ineffective assistance of counsel</w:t>
      </w:r>
      <w:r w:rsidRPr="00A4178E">
        <w:rPr>
          <w:b w:val="0"/>
          <w:i w:val="0"/>
          <w:lang w:val="en-CA"/>
        </w:rPr>
        <w:t xml:space="preserve"> </w:t>
      </w:r>
    </w:p>
    <w:p w14:paraId="7487CEAE" w14:textId="77777777" w:rsidR="00314A01" w:rsidRPr="00A4178E" w:rsidRDefault="00C04FF8" w:rsidP="00314A01">
      <w:pPr>
        <w:pStyle w:val="Paragraphe"/>
        <w:spacing w:line="280" w:lineRule="exact"/>
        <w:rPr>
          <w:lang w:val="en-CA"/>
        </w:rPr>
      </w:pPr>
      <w:r w:rsidRPr="00A4178E">
        <w:rPr>
          <w:lang w:val="en-CA"/>
        </w:rPr>
        <w:t xml:space="preserve">The ruling in </w:t>
      </w:r>
      <w:r w:rsidRPr="00A4178E">
        <w:rPr>
          <w:i/>
          <w:iCs/>
          <w:lang w:val="en-CA"/>
        </w:rPr>
        <w:t>R. v. G.D.B.</w:t>
      </w:r>
      <w:r w:rsidRPr="00A4178E">
        <w:rPr>
          <w:rStyle w:val="Appelnotedebasdep"/>
          <w:lang w:val="en-CA"/>
        </w:rPr>
        <w:footnoteReference w:id="70"/>
      </w:r>
      <w:r w:rsidRPr="00A4178E">
        <w:rPr>
          <w:lang w:val="en-CA"/>
        </w:rPr>
        <w:t xml:space="preserve"> describes the general approach to </w:t>
      </w:r>
      <w:proofErr w:type="gramStart"/>
      <w:r w:rsidRPr="00A4178E">
        <w:rPr>
          <w:lang w:val="en-CA"/>
        </w:rPr>
        <w:t>an alleged ineffective assistance of counsel</w:t>
      </w:r>
      <w:proofErr w:type="gramEnd"/>
      <w:r w:rsidRPr="00A4178E">
        <w:rPr>
          <w:lang w:val="en-CA"/>
        </w:rPr>
        <w:t>:</w:t>
      </w:r>
    </w:p>
    <w:p w14:paraId="7487CEAF" w14:textId="6D99F0D1" w:rsidR="00314A01" w:rsidRPr="00A4178E" w:rsidRDefault="00C04FF8" w:rsidP="00314A01">
      <w:pPr>
        <w:pStyle w:val="Citationenretrait"/>
        <w:rPr>
          <w:lang w:val="en-CA"/>
        </w:rPr>
      </w:pPr>
      <w:r w:rsidRPr="00A4178E">
        <w:rPr>
          <w:lang w:val="en-CA"/>
        </w:rPr>
        <w:t>[26]</w:t>
      </w:r>
      <w:r w:rsidRPr="00A4178E">
        <w:rPr>
          <w:lang w:val="en-CA"/>
        </w:rPr>
        <w:tab/>
        <w:t>[…] The reasons contain a performance component and a prejudice component. For an appeal to succeed, it must be established, first, that counsel</w:t>
      </w:r>
      <w:r w:rsidR="00D06C3F">
        <w:rPr>
          <w:lang w:val="en-CA"/>
        </w:rPr>
        <w:t>’</w:t>
      </w:r>
      <w:r w:rsidRPr="00A4178E">
        <w:rPr>
          <w:lang w:val="en-CA"/>
        </w:rPr>
        <w:t>s acts or omissions constituted incompetence and second, that a miscarriage of justice resulted.</w:t>
      </w:r>
      <w:r w:rsidRPr="00A4178E">
        <w:rPr>
          <w:vertAlign w:val="superscript"/>
          <w:lang w:val="en-CA"/>
        </w:rPr>
        <w:footnoteReference w:id="71"/>
      </w:r>
    </w:p>
    <w:p w14:paraId="7487CEB0" w14:textId="4BBB20F3" w:rsidR="00314A01" w:rsidRPr="00A4178E" w:rsidRDefault="00C04FF8" w:rsidP="00314A01">
      <w:pPr>
        <w:pStyle w:val="Paragraphe"/>
        <w:spacing w:line="280" w:lineRule="exact"/>
        <w:rPr>
          <w:lang w:val="en-CA"/>
        </w:rPr>
      </w:pPr>
      <w:r w:rsidRPr="00A4178E">
        <w:rPr>
          <w:lang w:val="en-CA"/>
        </w:rPr>
        <w:t xml:space="preserve">Incompetence of counsel is determined </w:t>
      </w:r>
      <w:proofErr w:type="gramStart"/>
      <w:r w:rsidRPr="00A4178E">
        <w:rPr>
          <w:lang w:val="en-CA"/>
        </w:rPr>
        <w:t>on the basis of</w:t>
      </w:r>
      <w:proofErr w:type="gramEnd"/>
      <w:r w:rsidRPr="00A4178E">
        <w:rPr>
          <w:lang w:val="en-CA"/>
        </w:rPr>
        <w:t xml:space="preserve"> reasonableness, while avoiding the trap of the wisdom of hindsight. There is a </w:t>
      </w:r>
      <w:r w:rsidR="00D06C3F">
        <w:rPr>
          <w:lang w:val="en-CA"/>
        </w:rPr>
        <w:t>“</w:t>
      </w:r>
      <w:r w:rsidRPr="00A4178E">
        <w:rPr>
          <w:lang w:val="en-CA"/>
        </w:rPr>
        <w:t>strong presumption that counsel</w:t>
      </w:r>
      <w:r w:rsidR="00D06C3F">
        <w:rPr>
          <w:lang w:val="en-CA"/>
        </w:rPr>
        <w:t>’</w:t>
      </w:r>
      <w:r w:rsidRPr="00A4178E">
        <w:rPr>
          <w:lang w:val="en-CA"/>
        </w:rPr>
        <w:t>s conduct fell within the wide range of reasonable professional assistance</w:t>
      </w:r>
      <w:r w:rsidR="00D06C3F">
        <w:rPr>
          <w:lang w:val="en-CA"/>
        </w:rPr>
        <w:t>”</w:t>
      </w:r>
      <w:r w:rsidRPr="00A4178E">
        <w:rPr>
          <w:lang w:val="en-CA"/>
        </w:rPr>
        <w:t>,</w:t>
      </w:r>
      <w:r w:rsidRPr="00A4178E">
        <w:rPr>
          <w:rStyle w:val="Appelnotedebasdep"/>
          <w:lang w:val="en-CA"/>
        </w:rPr>
        <w:footnoteReference w:id="72"/>
      </w:r>
      <w:r w:rsidRPr="00A4178E">
        <w:rPr>
          <w:lang w:val="en-CA"/>
        </w:rPr>
        <w:t xml:space="preserve"> such that the onus is on the appellant to show [</w:t>
      </w:r>
      <w:r w:rsidRPr="00AB7110">
        <w:rPr>
          <w:smallCaps/>
          <w:lang w:val="en-CA"/>
        </w:rPr>
        <w:t>translation</w:t>
      </w:r>
      <w:r w:rsidRPr="00A4178E">
        <w:rPr>
          <w:lang w:val="en-CA"/>
        </w:rPr>
        <w:t xml:space="preserve">] </w:t>
      </w:r>
      <w:r w:rsidR="00D06C3F">
        <w:rPr>
          <w:lang w:val="en-CA"/>
        </w:rPr>
        <w:t>“</w:t>
      </w:r>
      <w:r w:rsidRPr="00A4178E">
        <w:rPr>
          <w:lang w:val="en-CA"/>
        </w:rPr>
        <w:t>a significant deviation from the standards of ordinarily competent conduct</w:t>
      </w:r>
      <w:r w:rsidR="00D06C3F">
        <w:rPr>
          <w:lang w:val="en-CA"/>
        </w:rPr>
        <w:t>”</w:t>
      </w:r>
      <w:r w:rsidRPr="00A4178E">
        <w:rPr>
          <w:lang w:val="en-CA"/>
        </w:rPr>
        <w:t>.</w:t>
      </w:r>
      <w:r w:rsidRPr="00A4178E">
        <w:rPr>
          <w:rStyle w:val="Appelnotedebasdep"/>
          <w:lang w:val="en-CA"/>
        </w:rPr>
        <w:footnoteReference w:id="73"/>
      </w:r>
    </w:p>
    <w:p w14:paraId="7487CEB1" w14:textId="3341AB67" w:rsidR="00314A01" w:rsidRPr="00A4178E" w:rsidRDefault="00C04FF8" w:rsidP="00314A01">
      <w:pPr>
        <w:pStyle w:val="Paragraphe"/>
        <w:spacing w:line="280" w:lineRule="exact"/>
        <w:rPr>
          <w:lang w:val="en-CA"/>
        </w:rPr>
      </w:pPr>
      <w:r w:rsidRPr="00A4178E">
        <w:rPr>
          <w:lang w:val="en-CA"/>
        </w:rPr>
        <w:t>As for assessing whether there is any prejudice, this depends on the type of miscarriage of justice at issue.</w:t>
      </w:r>
      <w:bookmarkStart w:id="42" w:name="_Ref194929749"/>
      <w:r w:rsidRPr="00A4178E">
        <w:rPr>
          <w:lang w:val="en-CA"/>
        </w:rPr>
        <w:t xml:space="preserve"> In </w:t>
      </w:r>
      <w:r w:rsidRPr="00A4178E">
        <w:rPr>
          <w:i/>
          <w:iCs/>
          <w:lang w:val="en-CA"/>
        </w:rPr>
        <w:t>André c. R.</w:t>
      </w:r>
      <w:r w:rsidRPr="00A4178E">
        <w:rPr>
          <w:lang w:val="en-CA"/>
        </w:rPr>
        <w:t>,</w:t>
      </w:r>
      <w:r w:rsidRPr="00A4178E">
        <w:rPr>
          <w:rStyle w:val="Appelnotedebasdep"/>
          <w:lang w:val="en-CA"/>
        </w:rPr>
        <w:footnoteReference w:id="74"/>
      </w:r>
      <w:r w:rsidRPr="00A4178E">
        <w:rPr>
          <w:lang w:val="en-CA"/>
        </w:rPr>
        <w:t xml:space="preserve"> the Court referred to two types of miscarriage of justice:</w:t>
      </w:r>
      <w:bookmarkEnd w:id="42"/>
      <w:r w:rsidRPr="00A4178E">
        <w:rPr>
          <w:lang w:val="en-CA"/>
        </w:rPr>
        <w:t xml:space="preserve"> [</w:t>
      </w:r>
      <w:r w:rsidRPr="00AB7110">
        <w:rPr>
          <w:smallCaps/>
          <w:lang w:val="en-CA"/>
        </w:rPr>
        <w:t>translation</w:t>
      </w:r>
      <w:r w:rsidRPr="00A4178E">
        <w:rPr>
          <w:lang w:val="en-CA"/>
        </w:rPr>
        <w:t xml:space="preserve">] </w:t>
      </w:r>
      <w:r w:rsidR="00D06C3F">
        <w:rPr>
          <w:lang w:val="en-CA"/>
        </w:rPr>
        <w:t>“</w:t>
      </w:r>
      <w:r w:rsidRPr="00A4178E">
        <w:rPr>
          <w:lang w:val="en-CA"/>
        </w:rPr>
        <w:t>counsel</w:t>
      </w:r>
      <w:r w:rsidR="00D06C3F">
        <w:rPr>
          <w:lang w:val="en-CA"/>
        </w:rPr>
        <w:t>’</w:t>
      </w:r>
      <w:r w:rsidRPr="00A4178E">
        <w:rPr>
          <w:lang w:val="en-CA"/>
        </w:rPr>
        <w:t>s conduct may have compromised procedural fairness or it may have affected the reliability of the verdict</w:t>
      </w:r>
      <w:r w:rsidR="00D06C3F">
        <w:rPr>
          <w:lang w:val="en-CA"/>
        </w:rPr>
        <w:t>”</w:t>
      </w:r>
      <w:r w:rsidRPr="00A4178E">
        <w:rPr>
          <w:lang w:val="en-CA"/>
        </w:rPr>
        <w:t>.</w:t>
      </w:r>
      <w:r w:rsidRPr="00A4178E">
        <w:rPr>
          <w:rStyle w:val="Appelnotedebasdep"/>
          <w:lang w:val="en-CA"/>
        </w:rPr>
        <w:footnoteReference w:id="75"/>
      </w:r>
      <w:r w:rsidRPr="00A4178E">
        <w:rPr>
          <w:lang w:val="en-CA"/>
        </w:rPr>
        <w:t xml:space="preserve"> In the first case, the Court must focus its attention on the effect of counsel</w:t>
      </w:r>
      <w:r w:rsidR="00D06C3F">
        <w:rPr>
          <w:lang w:val="en-CA"/>
        </w:rPr>
        <w:t>’</w:t>
      </w:r>
      <w:r w:rsidRPr="00A4178E">
        <w:rPr>
          <w:lang w:val="en-CA"/>
        </w:rPr>
        <w:t>s incompetence on the fairness of the adjudicative process.</w:t>
      </w:r>
      <w:r w:rsidRPr="00A4178E">
        <w:rPr>
          <w:rStyle w:val="Appelnotedebasdep"/>
          <w:lang w:val="en-CA"/>
        </w:rPr>
        <w:footnoteReference w:id="76"/>
      </w:r>
      <w:r w:rsidRPr="00A4178E">
        <w:rPr>
          <w:lang w:val="en-CA"/>
        </w:rPr>
        <w:t xml:space="preserve"> In the second case, the Court will find prejudice [</w:t>
      </w:r>
      <w:r w:rsidRPr="00AB7110">
        <w:rPr>
          <w:smallCaps/>
          <w:lang w:val="en-CA"/>
        </w:rPr>
        <w:t>translation</w:t>
      </w:r>
      <w:r w:rsidRPr="00A4178E">
        <w:rPr>
          <w:lang w:val="en-CA"/>
        </w:rPr>
        <w:t>]</w:t>
      </w:r>
      <w:r w:rsidR="00374DB8">
        <w:rPr>
          <w:lang w:val="en-CA"/>
        </w:rPr>
        <w:t> </w:t>
      </w:r>
      <w:r w:rsidR="00D06C3F">
        <w:rPr>
          <w:lang w:val="en-CA"/>
        </w:rPr>
        <w:t>“</w:t>
      </w:r>
      <w:r w:rsidRPr="00A4178E">
        <w:rPr>
          <w:lang w:val="en-CA"/>
        </w:rPr>
        <w:t xml:space="preserve">if there is a reasonable probability that the result of the trial would have </w:t>
      </w:r>
      <w:r w:rsidRPr="00A4178E">
        <w:rPr>
          <w:lang w:val="en-CA"/>
        </w:rPr>
        <w:lastRenderedPageBreak/>
        <w:t>been different but for counsel</w:t>
      </w:r>
      <w:r w:rsidR="00D06C3F">
        <w:rPr>
          <w:lang w:val="en-CA"/>
        </w:rPr>
        <w:t>’</w:t>
      </w:r>
      <w:r w:rsidRPr="00A4178E">
        <w:rPr>
          <w:lang w:val="en-CA"/>
        </w:rPr>
        <w:t>s incompetence</w:t>
      </w:r>
      <w:r w:rsidR="00D06C3F">
        <w:rPr>
          <w:lang w:val="en-CA"/>
        </w:rPr>
        <w:t>”</w:t>
      </w:r>
      <w:r w:rsidRPr="00A4178E">
        <w:rPr>
          <w:lang w:val="en-CA"/>
        </w:rPr>
        <w:t>.</w:t>
      </w:r>
      <w:r w:rsidRPr="00A4178E">
        <w:rPr>
          <w:rStyle w:val="Appelnotedebasdep"/>
          <w:lang w:val="en-CA"/>
        </w:rPr>
        <w:footnoteReference w:id="77"/>
      </w:r>
      <w:r w:rsidRPr="00A4178E">
        <w:rPr>
          <w:lang w:val="en-CA"/>
        </w:rPr>
        <w:t xml:space="preserve"> The stronger the Crown</w:t>
      </w:r>
      <w:r w:rsidR="00D06C3F">
        <w:rPr>
          <w:lang w:val="en-CA"/>
        </w:rPr>
        <w:t>’</w:t>
      </w:r>
      <w:r w:rsidRPr="00A4178E">
        <w:rPr>
          <w:lang w:val="en-CA"/>
        </w:rPr>
        <w:t>s evidence, the lower the probability that the verdict could have been different.</w:t>
      </w:r>
      <w:r w:rsidRPr="00A4178E">
        <w:rPr>
          <w:rStyle w:val="Appelnotedebasdep"/>
          <w:lang w:val="en-CA"/>
        </w:rPr>
        <w:footnoteReference w:id="78"/>
      </w:r>
    </w:p>
    <w:p w14:paraId="7487CEB2" w14:textId="36687C54" w:rsidR="00314A01" w:rsidRPr="00A4178E" w:rsidRDefault="00C04FF8" w:rsidP="00314A01">
      <w:pPr>
        <w:pStyle w:val="Paragraphe"/>
        <w:spacing w:line="280" w:lineRule="exact"/>
        <w:rPr>
          <w:rFonts w:ascii="Times New Roman" w:hAnsi="Times New Roman"/>
          <w:szCs w:val="24"/>
          <w:lang w:val="en-CA" w:eastAsia="fr-CA"/>
        </w:rPr>
      </w:pPr>
      <w:r w:rsidRPr="00A4178E">
        <w:rPr>
          <w:lang w:val="en-CA"/>
        </w:rPr>
        <w:t>Finally, when it is apparent that no prejudice has occurred, there is no need to look at the performance component by dissecting all of counsel</w:t>
      </w:r>
      <w:r w:rsidR="00D06C3F">
        <w:rPr>
          <w:lang w:val="en-CA"/>
        </w:rPr>
        <w:t>’</w:t>
      </w:r>
      <w:r w:rsidRPr="00A4178E">
        <w:rPr>
          <w:lang w:val="en-CA"/>
        </w:rPr>
        <w:t>s alleged acts or omissions.</w:t>
      </w:r>
      <w:r w:rsidRPr="00A4178E">
        <w:rPr>
          <w:rStyle w:val="Appelnotedebasdep"/>
          <w:lang w:val="en-CA"/>
        </w:rPr>
        <w:footnoteReference w:id="79"/>
      </w:r>
    </w:p>
    <w:p w14:paraId="7487CEB3" w14:textId="77777777" w:rsidR="00314A01" w:rsidRPr="00A4178E" w:rsidRDefault="00C04FF8" w:rsidP="00A971EA">
      <w:pPr>
        <w:pStyle w:val="Paragraphe"/>
        <w:numPr>
          <w:ilvl w:val="0"/>
          <w:numId w:val="0"/>
        </w:numPr>
        <w:spacing w:line="280" w:lineRule="exact"/>
        <w:jc w:val="center"/>
        <w:rPr>
          <w:lang w:val="en-CA"/>
        </w:rPr>
      </w:pPr>
      <w:r w:rsidRPr="00A4178E">
        <w:rPr>
          <w:lang w:val="en-CA"/>
        </w:rPr>
        <w:t>***</w:t>
      </w:r>
    </w:p>
    <w:p w14:paraId="7487CEB4" w14:textId="37A0096B" w:rsidR="00314A01" w:rsidRPr="00A4178E" w:rsidRDefault="00C04FF8" w:rsidP="00314A01">
      <w:pPr>
        <w:pStyle w:val="Paragraphe"/>
        <w:spacing w:line="280" w:lineRule="exact"/>
        <w:rPr>
          <w:lang w:val="en-CA"/>
        </w:rPr>
      </w:pPr>
      <w:r w:rsidRPr="00A4178E">
        <w:rPr>
          <w:lang w:val="en-CA"/>
        </w:rPr>
        <w:t>In the case at bar, the appellant contends that the ineffective assistance of counsel [</w:t>
      </w:r>
      <w:r w:rsidRPr="00AB7110">
        <w:rPr>
          <w:smallCaps/>
          <w:lang w:val="en-CA"/>
        </w:rPr>
        <w:t>translation</w:t>
      </w:r>
      <w:r w:rsidRPr="00A4178E">
        <w:rPr>
          <w:lang w:val="en-CA"/>
        </w:rPr>
        <w:t>]</w:t>
      </w:r>
      <w:r w:rsidR="00764BC6">
        <w:rPr>
          <w:lang w:val="en-CA"/>
        </w:rPr>
        <w:t> </w:t>
      </w:r>
      <w:r w:rsidR="00D06C3F">
        <w:rPr>
          <w:lang w:val="en-CA"/>
        </w:rPr>
        <w:t>“</w:t>
      </w:r>
      <w:r w:rsidRPr="00A4178E">
        <w:rPr>
          <w:lang w:val="en-CA"/>
        </w:rPr>
        <w:t>prejudiced</w:t>
      </w:r>
      <w:r w:rsidR="00D06C3F">
        <w:rPr>
          <w:lang w:val="en-CA"/>
        </w:rPr>
        <w:t>”</w:t>
      </w:r>
      <w:r w:rsidRPr="00A4178E">
        <w:rPr>
          <w:lang w:val="en-CA"/>
        </w:rPr>
        <w:t xml:space="preserve"> his right to a full and complete defence and to a fair and just trial, and that there is a reasonable possibility that the verdicts would have been different but for this.</w:t>
      </w:r>
      <w:r w:rsidRPr="00A4178E">
        <w:rPr>
          <w:rStyle w:val="Appelnotedebasdep"/>
          <w:lang w:val="en-CA"/>
        </w:rPr>
        <w:footnoteReference w:id="80"/>
      </w:r>
      <w:r w:rsidRPr="00A4178E">
        <w:rPr>
          <w:lang w:val="en-CA"/>
        </w:rPr>
        <w:t xml:space="preserve"> He therefore invokes both types of miscarriage of justice.</w:t>
      </w:r>
    </w:p>
    <w:p w14:paraId="7487CEB5" w14:textId="77777777" w:rsidR="00314A01" w:rsidRPr="00A4178E" w:rsidRDefault="00C04FF8" w:rsidP="00314A01">
      <w:pPr>
        <w:pStyle w:val="Paragraphe"/>
        <w:spacing w:line="280" w:lineRule="exact"/>
        <w:rPr>
          <w:lang w:val="en-CA"/>
        </w:rPr>
      </w:pPr>
      <w:r w:rsidRPr="00A4178E">
        <w:rPr>
          <w:lang w:val="en-CA"/>
        </w:rPr>
        <w:t>His argument is based on three elements: the failure to obtain extracts from the cellular telephone; the failure to carry out a proper cross-examination; and the failure to adequately prepare the testimony of defence witnesses. I turn now to a more detailed examination of these elements.</w:t>
      </w:r>
    </w:p>
    <w:p w14:paraId="7487CEB6" w14:textId="1859EE92" w:rsidR="00314A01" w:rsidRPr="00A4178E" w:rsidRDefault="00C04FF8" w:rsidP="00314A01">
      <w:pPr>
        <w:pStyle w:val="Paragraphe"/>
        <w:spacing w:line="280" w:lineRule="exact"/>
        <w:rPr>
          <w:lang w:val="en-CA"/>
        </w:rPr>
      </w:pPr>
      <w:r w:rsidRPr="00A4178E">
        <w:rPr>
          <w:b/>
          <w:bCs/>
          <w:lang w:val="en-CA"/>
        </w:rPr>
        <w:t>The failure to obtain extracts from the cellular telephone.</w:t>
      </w:r>
      <w:r w:rsidRPr="00A4178E">
        <w:rPr>
          <w:lang w:val="en-CA"/>
        </w:rPr>
        <w:t xml:space="preserve"> I have already concluded that it is implausible that the screenshots found in the iCloud of the appellant</w:t>
      </w:r>
      <w:r w:rsidR="00D06C3F">
        <w:rPr>
          <w:lang w:val="en-CA"/>
        </w:rPr>
        <w:t>’</w:t>
      </w:r>
      <w:r w:rsidRPr="00A4178E">
        <w:rPr>
          <w:lang w:val="en-CA"/>
        </w:rPr>
        <w:t>s cellular telephone would have been admitted into evidence at trial. Given the absence of prejudice, it is not necessary to dwell on this element.</w:t>
      </w:r>
    </w:p>
    <w:p w14:paraId="7487CEB7" w14:textId="767C3D23" w:rsidR="00314A01" w:rsidRPr="00A4178E" w:rsidRDefault="00C04FF8" w:rsidP="00314A01">
      <w:pPr>
        <w:pStyle w:val="Paragraphe"/>
        <w:spacing w:line="280" w:lineRule="exact"/>
        <w:rPr>
          <w:lang w:val="en-CA"/>
        </w:rPr>
      </w:pPr>
      <w:r w:rsidRPr="00A4178E">
        <w:rPr>
          <w:b/>
          <w:bCs/>
          <w:lang w:val="en-CA"/>
        </w:rPr>
        <w:t>The failure to carry out a proper cross-examination.</w:t>
      </w:r>
      <w:r w:rsidRPr="00A4178E">
        <w:rPr>
          <w:lang w:val="en-CA"/>
        </w:rPr>
        <w:t xml:space="preserve"> The appellant criticizes </w:t>
      </w:r>
      <w:r w:rsidR="000B368F">
        <w:rPr>
          <w:lang w:val="en-CA"/>
        </w:rPr>
        <w:t xml:space="preserve">his </w:t>
      </w:r>
      <w:r w:rsidRPr="00A4178E">
        <w:rPr>
          <w:lang w:val="en-CA"/>
        </w:rPr>
        <w:t>lawyer for not having cross-examined the complainant about her telephone conversation with Ms.</w:t>
      </w:r>
      <w:r w:rsidR="000B368F">
        <w:rPr>
          <w:lang w:val="en-CA"/>
        </w:rPr>
        <w:t> </w:t>
      </w:r>
      <w:proofErr w:type="spellStart"/>
      <w:r w:rsidRPr="00A4178E">
        <w:rPr>
          <w:lang w:val="en-CA"/>
        </w:rPr>
        <w:t>Imbeault</w:t>
      </w:r>
      <w:proofErr w:type="spellEnd"/>
      <w:r w:rsidRPr="00A4178E">
        <w:rPr>
          <w:lang w:val="en-CA"/>
        </w:rPr>
        <w:t xml:space="preserve"> the day after the sexual activity. The lawyer claims that he did not wish to put the content of this conversation into evidence, [</w:t>
      </w:r>
      <w:r w:rsidRPr="00AB7110">
        <w:rPr>
          <w:smallCaps/>
          <w:lang w:val="en-CA"/>
        </w:rPr>
        <w:t>translation</w:t>
      </w:r>
      <w:r w:rsidRPr="00A4178E">
        <w:rPr>
          <w:lang w:val="en-CA"/>
        </w:rPr>
        <w:t>]</w:t>
      </w:r>
      <w:r w:rsidR="00A1240B">
        <w:rPr>
          <w:lang w:val="en-CA"/>
        </w:rPr>
        <w:t> </w:t>
      </w:r>
      <w:r w:rsidR="00D06C3F">
        <w:rPr>
          <w:lang w:val="en-CA"/>
        </w:rPr>
        <w:t>“</w:t>
      </w:r>
      <w:r w:rsidRPr="00A4178E">
        <w:rPr>
          <w:lang w:val="en-CA"/>
        </w:rPr>
        <w:t>especially since [he knew] that the complainant</w:t>
      </w:r>
      <w:r w:rsidR="00D06C3F">
        <w:rPr>
          <w:lang w:val="en-CA"/>
        </w:rPr>
        <w:t>’</w:t>
      </w:r>
      <w:r w:rsidRPr="00A4178E">
        <w:rPr>
          <w:lang w:val="en-CA"/>
        </w:rPr>
        <w:t>s statement to the police contradicted Ms.</w:t>
      </w:r>
      <w:r w:rsidR="00A1240B">
        <w:rPr>
          <w:lang w:val="en-CA"/>
        </w:rPr>
        <w:t> </w:t>
      </w:r>
      <w:proofErr w:type="spellStart"/>
      <w:r w:rsidRPr="00A4178E">
        <w:rPr>
          <w:lang w:val="en-CA"/>
        </w:rPr>
        <w:t>Imbeault</w:t>
      </w:r>
      <w:r w:rsidR="00D06C3F">
        <w:rPr>
          <w:lang w:val="en-CA"/>
        </w:rPr>
        <w:t>’</w:t>
      </w:r>
      <w:r w:rsidRPr="00A4178E">
        <w:rPr>
          <w:lang w:val="en-CA"/>
        </w:rPr>
        <w:t>s</w:t>
      </w:r>
      <w:proofErr w:type="spellEnd"/>
      <w:r w:rsidRPr="00A4178E">
        <w:rPr>
          <w:lang w:val="en-CA"/>
        </w:rPr>
        <w:t xml:space="preserve"> version of what had been said on that occasion</w:t>
      </w:r>
      <w:r w:rsidR="00D06C3F">
        <w:rPr>
          <w:lang w:val="en-CA"/>
        </w:rPr>
        <w:t>”</w:t>
      </w:r>
      <w:r w:rsidRPr="00A4178E">
        <w:rPr>
          <w:lang w:val="en-CA"/>
        </w:rPr>
        <w:t>.</w:t>
      </w:r>
      <w:r w:rsidRPr="00A4178E">
        <w:rPr>
          <w:rStyle w:val="Appelnotedebasdep"/>
          <w:lang w:val="en-CA"/>
        </w:rPr>
        <w:footnoteReference w:id="81"/>
      </w:r>
      <w:r w:rsidRPr="00A4178E">
        <w:rPr>
          <w:lang w:val="en-CA"/>
        </w:rPr>
        <w:t xml:space="preserve"> This was therefore a strategic choice which, according to the respondent, [</w:t>
      </w:r>
      <w:r w:rsidRPr="00AB7110">
        <w:rPr>
          <w:smallCaps/>
          <w:lang w:val="en-CA"/>
        </w:rPr>
        <w:t>translation</w:t>
      </w:r>
      <w:r w:rsidRPr="00A4178E">
        <w:rPr>
          <w:lang w:val="en-CA"/>
        </w:rPr>
        <w:t>]</w:t>
      </w:r>
      <w:r w:rsidR="00A1240B">
        <w:rPr>
          <w:lang w:val="en-CA"/>
        </w:rPr>
        <w:t> </w:t>
      </w:r>
      <w:r w:rsidR="00D06C3F">
        <w:rPr>
          <w:lang w:val="en-CA"/>
        </w:rPr>
        <w:t>“</w:t>
      </w:r>
      <w:r w:rsidRPr="00A4178E">
        <w:rPr>
          <w:lang w:val="en-CA"/>
        </w:rPr>
        <w:t>falls within the range of conduct of a competent lawyer</w:t>
      </w:r>
      <w:r w:rsidR="00D06C3F">
        <w:rPr>
          <w:lang w:val="en-CA"/>
        </w:rPr>
        <w:t>”</w:t>
      </w:r>
      <w:r w:rsidRPr="00A4178E">
        <w:rPr>
          <w:lang w:val="en-CA"/>
        </w:rPr>
        <w:t>.</w:t>
      </w:r>
      <w:r w:rsidRPr="00A4178E">
        <w:rPr>
          <w:rStyle w:val="Appelnotedebasdep"/>
          <w:lang w:val="en-CA"/>
        </w:rPr>
        <w:footnoteReference w:id="82"/>
      </w:r>
    </w:p>
    <w:p w14:paraId="7487CEB8" w14:textId="7730448F" w:rsidR="00314A01" w:rsidRPr="00A4178E" w:rsidRDefault="00C04FF8" w:rsidP="00314A01">
      <w:pPr>
        <w:pStyle w:val="Paragraphe"/>
        <w:spacing w:line="280" w:lineRule="exact"/>
        <w:rPr>
          <w:lang w:val="en-CA"/>
        </w:rPr>
      </w:pPr>
      <w:r w:rsidRPr="00A4178E">
        <w:rPr>
          <w:lang w:val="en-CA"/>
        </w:rPr>
        <w:t>Here, too, I do not consider it necessary to examine the lawyer</w:t>
      </w:r>
      <w:r w:rsidR="00D06C3F">
        <w:rPr>
          <w:lang w:val="en-CA"/>
        </w:rPr>
        <w:t>’</w:t>
      </w:r>
      <w:r w:rsidRPr="00A4178E">
        <w:rPr>
          <w:lang w:val="en-CA"/>
        </w:rPr>
        <w:t xml:space="preserve">s work since the judge, as we have seen, summoned the complainant during the deliberation period so </w:t>
      </w:r>
      <w:r w:rsidRPr="00A4178E">
        <w:rPr>
          <w:lang w:val="en-CA"/>
        </w:rPr>
        <w:lastRenderedPageBreak/>
        <w:t>that the defence could cross-examine her about this conversation.</w:t>
      </w:r>
      <w:r w:rsidRPr="00A4178E">
        <w:rPr>
          <w:rStyle w:val="Appelnotedebasdep"/>
          <w:lang w:val="en-CA"/>
        </w:rPr>
        <w:footnoteReference w:id="83"/>
      </w:r>
      <w:r w:rsidRPr="00A4178E">
        <w:rPr>
          <w:lang w:val="en-CA"/>
        </w:rPr>
        <w:t xml:space="preserve"> The complainant denied having made the remarks reported by Ms.</w:t>
      </w:r>
      <w:r w:rsidR="00204EC8">
        <w:rPr>
          <w:lang w:val="en-CA"/>
        </w:rPr>
        <w:t> </w:t>
      </w:r>
      <w:proofErr w:type="spellStart"/>
      <w:r w:rsidRPr="00A4178E">
        <w:rPr>
          <w:lang w:val="en-CA"/>
        </w:rPr>
        <w:t>Imbeault</w:t>
      </w:r>
      <w:proofErr w:type="spellEnd"/>
      <w:r w:rsidRPr="00A4178E">
        <w:rPr>
          <w:lang w:val="en-CA"/>
        </w:rPr>
        <w:t>.</w:t>
      </w:r>
    </w:p>
    <w:p w14:paraId="7487CEB9" w14:textId="03084644" w:rsidR="00314A01" w:rsidRPr="00A4178E" w:rsidRDefault="00C04FF8" w:rsidP="00314A01">
      <w:pPr>
        <w:pStyle w:val="Paragraphe"/>
        <w:spacing w:line="280" w:lineRule="exact"/>
        <w:rPr>
          <w:lang w:val="en-CA"/>
        </w:rPr>
      </w:pPr>
      <w:r w:rsidRPr="00A4178E">
        <w:rPr>
          <w:lang w:val="en-CA"/>
        </w:rPr>
        <w:t xml:space="preserve">Consequently, the only prejudice liable to have occurred relates to the fact that the complainant was cross-examined </w:t>
      </w:r>
      <w:r w:rsidRPr="00A4178E">
        <w:rPr>
          <w:i/>
          <w:iCs/>
          <w:lang w:val="en-CA"/>
        </w:rPr>
        <w:t>after</w:t>
      </w:r>
      <w:r w:rsidRPr="00A4178E">
        <w:rPr>
          <w:lang w:val="en-CA"/>
        </w:rPr>
        <w:t xml:space="preserve"> Ms.</w:t>
      </w:r>
      <w:r w:rsidR="00204EC8">
        <w:rPr>
          <w:lang w:val="en-CA"/>
        </w:rPr>
        <w:t> </w:t>
      </w:r>
      <w:proofErr w:type="spellStart"/>
      <w:r w:rsidRPr="00A4178E">
        <w:rPr>
          <w:lang w:val="en-CA"/>
        </w:rPr>
        <w:t>Imbeault</w:t>
      </w:r>
      <w:proofErr w:type="spellEnd"/>
      <w:r w:rsidRPr="00A4178E">
        <w:rPr>
          <w:lang w:val="en-CA"/>
        </w:rPr>
        <w:t xml:space="preserve"> testified. The appellant, however, who has the burden of showing that this resulted in a miscarriage of justice, did not reproduce in the appeal record the transcript of the complainant</w:t>
      </w:r>
      <w:r w:rsidR="00D06C3F">
        <w:rPr>
          <w:lang w:val="en-CA"/>
        </w:rPr>
        <w:t>’</w:t>
      </w:r>
      <w:r w:rsidRPr="00A4178E">
        <w:rPr>
          <w:lang w:val="en-CA"/>
        </w:rPr>
        <w:t>s cross‑examination about this conversation or her statement to the police. It would therefore be risky to conclude that counsel</w:t>
      </w:r>
      <w:r w:rsidR="00D06C3F">
        <w:rPr>
          <w:lang w:val="en-CA"/>
        </w:rPr>
        <w:t>’</w:t>
      </w:r>
      <w:r w:rsidRPr="00A4178E">
        <w:rPr>
          <w:lang w:val="en-CA"/>
        </w:rPr>
        <w:t>s failure to cross-examine the complainant on this subject undermined procedural fairness or the reliability of the verdict.</w:t>
      </w:r>
    </w:p>
    <w:p w14:paraId="7487CEBA" w14:textId="18B81645" w:rsidR="00314A01" w:rsidRPr="00A4178E" w:rsidRDefault="00C04FF8" w:rsidP="00314A01">
      <w:pPr>
        <w:pStyle w:val="Paragraphe"/>
        <w:spacing w:line="280" w:lineRule="exact"/>
        <w:rPr>
          <w:b/>
          <w:bCs/>
          <w:lang w:val="en-CA"/>
        </w:rPr>
      </w:pPr>
      <w:r w:rsidRPr="00A4178E">
        <w:rPr>
          <w:b/>
          <w:bCs/>
          <w:lang w:val="en-CA"/>
        </w:rPr>
        <w:t>The failure to adequately prepare the testimony of defence witnesses.</w:t>
      </w:r>
      <w:r w:rsidRPr="00A4178E">
        <w:rPr>
          <w:bCs/>
          <w:lang w:val="en-CA"/>
        </w:rPr>
        <w:t xml:space="preserve"> The appellant alleges that he never had a [</w:t>
      </w:r>
      <w:r w:rsidRPr="00AB7110">
        <w:rPr>
          <w:bCs/>
          <w:smallCaps/>
          <w:lang w:val="en-CA"/>
        </w:rPr>
        <w:t>translation</w:t>
      </w:r>
      <w:r w:rsidRPr="00A4178E">
        <w:rPr>
          <w:bCs/>
          <w:lang w:val="en-CA"/>
        </w:rPr>
        <w:t xml:space="preserve">] </w:t>
      </w:r>
      <w:r w:rsidR="00D06C3F">
        <w:rPr>
          <w:bCs/>
          <w:lang w:val="en-CA"/>
        </w:rPr>
        <w:t>“</w:t>
      </w:r>
      <w:r w:rsidRPr="00A4178E">
        <w:rPr>
          <w:bCs/>
          <w:lang w:val="en-CA"/>
        </w:rPr>
        <w:t>productive conversation</w:t>
      </w:r>
      <w:r w:rsidR="00D06C3F">
        <w:rPr>
          <w:bCs/>
          <w:lang w:val="en-CA"/>
        </w:rPr>
        <w:t>”</w:t>
      </w:r>
      <w:r w:rsidRPr="00A4178E">
        <w:rPr>
          <w:bCs/>
          <w:lang w:val="en-CA"/>
        </w:rPr>
        <w:t xml:space="preserve"> with his lawyer about his testimony or his version of </w:t>
      </w:r>
      <w:r w:rsidR="00B1540A">
        <w:rPr>
          <w:bCs/>
          <w:lang w:val="en-CA"/>
        </w:rPr>
        <w:t xml:space="preserve">the </w:t>
      </w:r>
      <w:r w:rsidRPr="00A4178E">
        <w:rPr>
          <w:bCs/>
          <w:lang w:val="en-CA"/>
        </w:rPr>
        <w:t>facts.</w:t>
      </w:r>
      <w:r w:rsidRPr="00A4178E">
        <w:rPr>
          <w:rStyle w:val="Appelnotedebasdep"/>
          <w:lang w:val="en-CA"/>
        </w:rPr>
        <w:footnoteReference w:id="84"/>
      </w:r>
      <w:r w:rsidRPr="00A4178E">
        <w:rPr>
          <w:lang w:val="en-CA"/>
        </w:rPr>
        <w:t xml:space="preserve"> The lawyer reportedly met with him only twice, the first time between March and May 2021 and the second time [</w:t>
      </w:r>
      <w:r w:rsidRPr="00AB7110">
        <w:rPr>
          <w:smallCaps/>
          <w:lang w:val="en-CA"/>
        </w:rPr>
        <w:t>translation</w:t>
      </w:r>
      <w:r w:rsidRPr="00A4178E">
        <w:rPr>
          <w:lang w:val="en-CA"/>
        </w:rPr>
        <w:t>]</w:t>
      </w:r>
      <w:r w:rsidR="00B1540A">
        <w:rPr>
          <w:lang w:val="en-CA"/>
        </w:rPr>
        <w:t> </w:t>
      </w:r>
      <w:r w:rsidR="00D06C3F">
        <w:rPr>
          <w:lang w:val="en-CA"/>
        </w:rPr>
        <w:t>“</w:t>
      </w:r>
      <w:r w:rsidRPr="00A4178E">
        <w:rPr>
          <w:lang w:val="en-CA"/>
        </w:rPr>
        <w:t>not long before the trial began</w:t>
      </w:r>
      <w:r w:rsidR="00D06C3F">
        <w:rPr>
          <w:lang w:val="en-CA"/>
        </w:rPr>
        <w:t>”</w:t>
      </w:r>
      <w:r w:rsidRPr="00A4178E">
        <w:rPr>
          <w:lang w:val="en-CA"/>
        </w:rPr>
        <w:t>.</w:t>
      </w:r>
      <w:r w:rsidRPr="00A4178E">
        <w:rPr>
          <w:rStyle w:val="Appelnotedebasdep"/>
          <w:lang w:val="en-CA"/>
        </w:rPr>
        <w:footnoteReference w:id="85"/>
      </w:r>
      <w:r w:rsidRPr="00A4178E">
        <w:rPr>
          <w:lang w:val="en-CA"/>
        </w:rPr>
        <w:t xml:space="preserve"> As for Ms.</w:t>
      </w:r>
      <w:r w:rsidR="00B1540A">
        <w:rPr>
          <w:lang w:val="en-CA"/>
        </w:rPr>
        <w:t> </w:t>
      </w:r>
      <w:proofErr w:type="spellStart"/>
      <w:r w:rsidRPr="00A4178E">
        <w:rPr>
          <w:lang w:val="en-CA"/>
        </w:rPr>
        <w:t>Imbeault</w:t>
      </w:r>
      <w:proofErr w:type="spellEnd"/>
      <w:r w:rsidRPr="00A4178E">
        <w:rPr>
          <w:lang w:val="en-CA"/>
        </w:rPr>
        <w:t>, he claims that the lawyer never met with her to prepare her testimony, merely asking her to make a note of what she knew about the events, without providing her with any further details.</w:t>
      </w:r>
    </w:p>
    <w:p w14:paraId="7487CEBB" w14:textId="77777777" w:rsidR="00314A01" w:rsidRPr="00A4178E" w:rsidRDefault="00C04FF8" w:rsidP="00314A01">
      <w:pPr>
        <w:pStyle w:val="Paragraphe"/>
        <w:spacing w:line="280" w:lineRule="exact"/>
        <w:rPr>
          <w:lang w:val="en-CA"/>
        </w:rPr>
      </w:pPr>
      <w:r w:rsidRPr="00A4178E">
        <w:rPr>
          <w:lang w:val="en-CA"/>
        </w:rPr>
        <w:t>The appellant has failed to prove these allegations.</w:t>
      </w:r>
    </w:p>
    <w:p w14:paraId="7487CEBC" w14:textId="174267FF" w:rsidR="00314A01" w:rsidRPr="00A4178E" w:rsidRDefault="00C04FF8" w:rsidP="00314A01">
      <w:pPr>
        <w:pStyle w:val="Paragraphe"/>
        <w:spacing w:line="280" w:lineRule="exact"/>
        <w:rPr>
          <w:lang w:val="en-CA"/>
        </w:rPr>
      </w:pPr>
      <w:r w:rsidRPr="00A4178E">
        <w:rPr>
          <w:lang w:val="en-CA"/>
        </w:rPr>
        <w:t>Indeed, the appellant</w:t>
      </w:r>
      <w:r w:rsidR="00D06C3F">
        <w:rPr>
          <w:lang w:val="en-CA"/>
        </w:rPr>
        <w:t>’</w:t>
      </w:r>
      <w:r w:rsidRPr="00A4178E">
        <w:rPr>
          <w:lang w:val="en-CA"/>
        </w:rPr>
        <w:t>s testimony is vague and imprecise. It is contradicted by the lawyer</w:t>
      </w:r>
      <w:r w:rsidR="00D06C3F">
        <w:rPr>
          <w:lang w:val="en-CA"/>
        </w:rPr>
        <w:t>’</w:t>
      </w:r>
      <w:r w:rsidRPr="00A4178E">
        <w:rPr>
          <w:lang w:val="en-CA"/>
        </w:rPr>
        <w:t>s statement that he met with the appellant on four occasions. These meetings lasted over two hours each and are supported by handwritten notes taken on the day of each meeting. The notes state</w:t>
      </w:r>
      <w:proofErr w:type="gramStart"/>
      <w:r w:rsidRPr="00A4178E">
        <w:rPr>
          <w:lang w:val="en-CA"/>
        </w:rPr>
        <w:t>, in particular, that</w:t>
      </w:r>
      <w:proofErr w:type="gramEnd"/>
      <w:r w:rsidRPr="00A4178E">
        <w:rPr>
          <w:lang w:val="en-CA"/>
        </w:rPr>
        <w:t xml:space="preserve"> the lawyer discussed the appellant</w:t>
      </w:r>
      <w:r w:rsidR="00D06C3F">
        <w:rPr>
          <w:lang w:val="en-CA"/>
        </w:rPr>
        <w:t>’</w:t>
      </w:r>
      <w:r w:rsidRPr="00A4178E">
        <w:rPr>
          <w:lang w:val="en-CA"/>
        </w:rPr>
        <w:t>s version of the facts with him and explained how to testify: [</w:t>
      </w:r>
      <w:r w:rsidRPr="00AB7110">
        <w:rPr>
          <w:smallCaps/>
          <w:lang w:val="en-CA"/>
        </w:rPr>
        <w:t>translation</w:t>
      </w:r>
      <w:r w:rsidRPr="00A4178E">
        <w:rPr>
          <w:lang w:val="en-CA"/>
        </w:rPr>
        <w:t>]</w:t>
      </w:r>
      <w:r w:rsidR="0020747A">
        <w:rPr>
          <w:lang w:val="en-CA"/>
        </w:rPr>
        <w:t> </w:t>
      </w:r>
      <w:r w:rsidR="00D06C3F">
        <w:rPr>
          <w:lang w:val="en-CA"/>
        </w:rPr>
        <w:t>“</w:t>
      </w:r>
      <w:r w:rsidRPr="00A4178E">
        <w:rPr>
          <w:lang w:val="en-CA"/>
        </w:rPr>
        <w:t>decorum, politeness, take time to listen to the question, take time [to] answer, tips to deal with nervousness… </w:t>
      </w:r>
      <w:r w:rsidR="00D06C3F">
        <w:rPr>
          <w:lang w:val="en-CA"/>
        </w:rPr>
        <w:t>”</w:t>
      </w:r>
      <w:r w:rsidRPr="00A4178E">
        <w:rPr>
          <w:lang w:val="en-CA"/>
        </w:rPr>
        <w:t>.</w:t>
      </w:r>
      <w:r w:rsidRPr="00A4178E">
        <w:rPr>
          <w:rStyle w:val="Appelnotedebasdep"/>
          <w:lang w:val="en-CA"/>
        </w:rPr>
        <w:footnoteReference w:id="86"/>
      </w:r>
    </w:p>
    <w:p w14:paraId="7487CEBD" w14:textId="699C53E9" w:rsidR="00314A01" w:rsidRPr="00A4178E" w:rsidRDefault="00C04FF8" w:rsidP="00314A01">
      <w:pPr>
        <w:pStyle w:val="Paragraphe"/>
        <w:spacing w:line="280" w:lineRule="exact"/>
        <w:rPr>
          <w:lang w:val="en-CA"/>
        </w:rPr>
      </w:pPr>
      <w:r w:rsidRPr="00A4178E">
        <w:rPr>
          <w:lang w:val="en-CA"/>
        </w:rPr>
        <w:t>Ms.</w:t>
      </w:r>
      <w:r w:rsidR="0068422E">
        <w:rPr>
          <w:lang w:val="en-CA"/>
        </w:rPr>
        <w:t> </w:t>
      </w:r>
      <w:proofErr w:type="spellStart"/>
      <w:r w:rsidRPr="00A4178E">
        <w:rPr>
          <w:lang w:val="en-CA"/>
        </w:rPr>
        <w:t>Imbeault</w:t>
      </w:r>
      <w:r w:rsidR="00D06C3F">
        <w:rPr>
          <w:lang w:val="en-CA"/>
        </w:rPr>
        <w:t>’</w:t>
      </w:r>
      <w:r w:rsidRPr="00A4178E">
        <w:rPr>
          <w:lang w:val="en-CA"/>
        </w:rPr>
        <w:t>s</w:t>
      </w:r>
      <w:proofErr w:type="spellEnd"/>
      <w:r w:rsidRPr="00A4178E">
        <w:rPr>
          <w:lang w:val="en-CA"/>
        </w:rPr>
        <w:t xml:space="preserve"> testimony does not hold water either. She claims that she had no [</w:t>
      </w:r>
      <w:r w:rsidRPr="00AB7110">
        <w:rPr>
          <w:smallCaps/>
          <w:lang w:val="en-CA"/>
        </w:rPr>
        <w:t>translation</w:t>
      </w:r>
      <w:r w:rsidRPr="00A4178E">
        <w:rPr>
          <w:lang w:val="en-CA"/>
        </w:rPr>
        <w:t>]</w:t>
      </w:r>
      <w:r w:rsidR="0068422E">
        <w:rPr>
          <w:lang w:val="en-CA"/>
        </w:rPr>
        <w:t> </w:t>
      </w:r>
      <w:r w:rsidR="00D06C3F">
        <w:rPr>
          <w:lang w:val="en-CA"/>
        </w:rPr>
        <w:t>“</w:t>
      </w:r>
      <w:r w:rsidRPr="00A4178E">
        <w:rPr>
          <w:lang w:val="en-CA"/>
        </w:rPr>
        <w:t>private contact</w:t>
      </w:r>
      <w:r w:rsidR="00D06C3F">
        <w:rPr>
          <w:lang w:val="en-CA"/>
        </w:rPr>
        <w:t>”</w:t>
      </w:r>
      <w:r w:rsidRPr="00A4178E">
        <w:rPr>
          <w:lang w:val="en-CA"/>
        </w:rPr>
        <w:t xml:space="preserve"> or [</w:t>
      </w:r>
      <w:r w:rsidRPr="00AB7110">
        <w:rPr>
          <w:smallCaps/>
          <w:lang w:val="en-CA"/>
        </w:rPr>
        <w:t>translation</w:t>
      </w:r>
      <w:r w:rsidRPr="00A4178E">
        <w:rPr>
          <w:lang w:val="en-CA"/>
        </w:rPr>
        <w:t>]</w:t>
      </w:r>
      <w:r w:rsidR="0068422E">
        <w:rPr>
          <w:lang w:val="en-CA"/>
        </w:rPr>
        <w:t> </w:t>
      </w:r>
      <w:r w:rsidR="00D06C3F">
        <w:rPr>
          <w:lang w:val="en-CA"/>
        </w:rPr>
        <w:t>“</w:t>
      </w:r>
      <w:r w:rsidRPr="00A4178E">
        <w:rPr>
          <w:lang w:val="en-CA"/>
        </w:rPr>
        <w:t>private questioning</w:t>
      </w:r>
      <w:r w:rsidR="00D06C3F">
        <w:rPr>
          <w:lang w:val="en-CA"/>
        </w:rPr>
        <w:t>”</w:t>
      </w:r>
      <w:r w:rsidRPr="00A4178E">
        <w:rPr>
          <w:lang w:val="en-CA"/>
        </w:rPr>
        <w:t xml:space="preserve"> with the lawyer, that [</w:t>
      </w:r>
      <w:r w:rsidRPr="00AB7110">
        <w:rPr>
          <w:smallCaps/>
          <w:lang w:val="en-CA"/>
        </w:rPr>
        <w:t>translation</w:t>
      </w:r>
      <w:r w:rsidRPr="00A4178E">
        <w:rPr>
          <w:lang w:val="en-CA"/>
        </w:rPr>
        <w:t>]</w:t>
      </w:r>
      <w:r w:rsidR="0068422E">
        <w:rPr>
          <w:lang w:val="en-CA"/>
        </w:rPr>
        <w:t> </w:t>
      </w:r>
      <w:r w:rsidR="00D06C3F">
        <w:rPr>
          <w:lang w:val="en-CA"/>
        </w:rPr>
        <w:t>“</w:t>
      </w:r>
      <w:r w:rsidRPr="00A4178E">
        <w:rPr>
          <w:lang w:val="en-CA"/>
        </w:rPr>
        <w:t>everything was done quickly, in a rush</w:t>
      </w:r>
      <w:r w:rsidR="00D06C3F">
        <w:rPr>
          <w:lang w:val="en-CA"/>
        </w:rPr>
        <w:t>”</w:t>
      </w:r>
      <w:r w:rsidRPr="00A4178E">
        <w:rPr>
          <w:lang w:val="en-CA"/>
        </w:rPr>
        <w:t>.</w:t>
      </w:r>
      <w:r w:rsidRPr="00A4178E">
        <w:rPr>
          <w:rStyle w:val="Appelnotedebasdep"/>
          <w:lang w:val="en-CA"/>
        </w:rPr>
        <w:footnoteReference w:id="87"/>
      </w:r>
      <w:r w:rsidRPr="00A4178E">
        <w:rPr>
          <w:lang w:val="en-CA"/>
        </w:rPr>
        <w:t xml:space="preserve"> For his part, the lawyer claims he took the initiative to contact her on February 23, 2021, during his first meeting with the </w:t>
      </w:r>
      <w:r w:rsidR="00AA7E70">
        <w:rPr>
          <w:lang w:val="en-CA"/>
        </w:rPr>
        <w:t>appellant</w:t>
      </w:r>
      <w:r w:rsidRPr="00A4178E">
        <w:rPr>
          <w:lang w:val="en-CA"/>
        </w:rPr>
        <w:t>. He asked her to attend the next meeting scheduled for April 15, 2021. She did not attend either this meeting or the one on October 29, 2021, due to lack of time, as the lawyer</w:t>
      </w:r>
      <w:r w:rsidR="00D06C3F">
        <w:rPr>
          <w:lang w:val="en-CA"/>
        </w:rPr>
        <w:t>’</w:t>
      </w:r>
      <w:r w:rsidRPr="00A4178E">
        <w:rPr>
          <w:lang w:val="en-CA"/>
        </w:rPr>
        <w:t>s notes confirm.</w:t>
      </w:r>
      <w:r w:rsidRPr="00A4178E">
        <w:rPr>
          <w:rStyle w:val="Appelnotedebasdep"/>
          <w:lang w:val="en-CA"/>
        </w:rPr>
        <w:footnoteReference w:id="88"/>
      </w:r>
      <w:r w:rsidRPr="00A4178E">
        <w:rPr>
          <w:lang w:val="en-CA"/>
        </w:rPr>
        <w:t xml:space="preserve"> He finally met her in person on the morning of the trial and took </w:t>
      </w:r>
      <w:r w:rsidRPr="00A4178E">
        <w:rPr>
          <w:lang w:val="en-CA"/>
        </w:rPr>
        <w:lastRenderedPageBreak/>
        <w:t xml:space="preserve">the time to prepare her testimony. Lastly, Ms. </w:t>
      </w:r>
      <w:proofErr w:type="spellStart"/>
      <w:r w:rsidRPr="00A4178E">
        <w:rPr>
          <w:lang w:val="en-CA"/>
        </w:rPr>
        <w:t>Imbeault</w:t>
      </w:r>
      <w:proofErr w:type="spellEnd"/>
      <w:r w:rsidRPr="00A4178E">
        <w:rPr>
          <w:lang w:val="en-CA"/>
        </w:rPr>
        <w:t xml:space="preserve"> did not mention any relevant point on which the lawyer failed to question her.</w:t>
      </w:r>
    </w:p>
    <w:p w14:paraId="7487CEBE" w14:textId="069147B8" w:rsidR="00314A01" w:rsidRPr="00A4178E" w:rsidRDefault="00C04FF8" w:rsidP="00314A01">
      <w:pPr>
        <w:pStyle w:val="Paragraphe"/>
        <w:spacing w:line="280" w:lineRule="exact"/>
        <w:rPr>
          <w:lang w:val="en-CA"/>
        </w:rPr>
      </w:pPr>
      <w:r w:rsidRPr="00A4178E">
        <w:rPr>
          <w:lang w:val="en-CA"/>
        </w:rPr>
        <w:t>Considering the lawyer</w:t>
      </w:r>
      <w:r w:rsidR="00D06C3F">
        <w:rPr>
          <w:lang w:val="en-CA"/>
        </w:rPr>
        <w:t>’</w:t>
      </w:r>
      <w:r w:rsidRPr="00A4178E">
        <w:rPr>
          <w:lang w:val="en-CA"/>
        </w:rPr>
        <w:t>s precise testimony and the notes he took, the allegation that he failed to adequately prepare the testimony of defence witnesses is not credible.</w:t>
      </w:r>
    </w:p>
    <w:p w14:paraId="7487CEBF" w14:textId="77777777" w:rsidR="00314A01" w:rsidRPr="00A4178E" w:rsidRDefault="00C04FF8" w:rsidP="00314A01">
      <w:pPr>
        <w:pStyle w:val="Paragraphe"/>
        <w:spacing w:line="280" w:lineRule="exact"/>
        <w:rPr>
          <w:lang w:val="en-CA"/>
        </w:rPr>
      </w:pPr>
      <w:r w:rsidRPr="00A4178E">
        <w:rPr>
          <w:lang w:val="en-CA"/>
        </w:rPr>
        <w:t>I would therefore also dismiss the application for leave to adduce fresh evidence as regards the ineffective assistance of counsel, which seals the fate of the appeal from the conviction.</w:t>
      </w:r>
    </w:p>
    <w:p w14:paraId="7487CEC0" w14:textId="77777777" w:rsidR="00314A01" w:rsidRPr="00A4178E" w:rsidRDefault="00C04FF8" w:rsidP="00A971EA">
      <w:pPr>
        <w:pStyle w:val="Titre1"/>
        <w:spacing w:before="120" w:after="120" w:line="280" w:lineRule="exact"/>
        <w:rPr>
          <w:lang w:val="en-CA"/>
        </w:rPr>
      </w:pPr>
      <w:r w:rsidRPr="00A4178E">
        <w:rPr>
          <w:bCs/>
          <w:lang w:val="en-CA"/>
        </w:rPr>
        <w:t>Application for leave to appeal from the sentence</w:t>
      </w:r>
    </w:p>
    <w:p w14:paraId="7487CEC1" w14:textId="2D4C0D47" w:rsidR="00314A01" w:rsidRPr="00A4178E" w:rsidRDefault="00C04FF8" w:rsidP="000332F5">
      <w:pPr>
        <w:pStyle w:val="Paragraphe"/>
        <w:spacing w:after="80" w:line="280" w:lineRule="exact"/>
        <w:rPr>
          <w:lang w:val="en-CA"/>
        </w:rPr>
      </w:pPr>
      <w:r w:rsidRPr="00A4178E">
        <w:rPr>
          <w:lang w:val="en-CA"/>
        </w:rPr>
        <w:t>In a carefully reasoned judgment, the judge sentenced the appellant to a total of 30 months</w:t>
      </w:r>
      <w:r w:rsidR="00D06C3F">
        <w:rPr>
          <w:lang w:val="en-CA"/>
        </w:rPr>
        <w:t>’</w:t>
      </w:r>
      <w:r w:rsidRPr="00A4178E">
        <w:rPr>
          <w:lang w:val="en-CA"/>
        </w:rPr>
        <w:t xml:space="preserve"> imprisonment – namely, 27 months on the charge of sexual assault and 3 months on the charge of assault, to be served consecutively. She considered that the nature of the acts </w:t>
      </w:r>
      <w:proofErr w:type="gramStart"/>
      <w:r w:rsidRPr="00A4178E">
        <w:rPr>
          <w:lang w:val="en-CA"/>
        </w:rPr>
        <w:t>committed</w:t>
      </w:r>
      <w:proofErr w:type="gramEnd"/>
      <w:r w:rsidRPr="00A4178E">
        <w:rPr>
          <w:lang w:val="en-CA"/>
        </w:rPr>
        <w:t xml:space="preserve"> and the circumstances of the assault placed the offence in the second category described in </w:t>
      </w:r>
      <w:r w:rsidRPr="00A4178E">
        <w:rPr>
          <w:i/>
          <w:iCs/>
          <w:lang w:val="en-CA"/>
        </w:rPr>
        <w:t>R. v. Cloutier</w:t>
      </w:r>
      <w:r w:rsidRPr="00A4178E">
        <w:rPr>
          <w:rStyle w:val="Appelnotedebasdep"/>
          <w:lang w:val="en-CA"/>
        </w:rPr>
        <w:footnoteReference w:id="89"/>
      </w:r>
      <w:r w:rsidRPr="00A4178E">
        <w:rPr>
          <w:lang w:val="en-CA"/>
        </w:rPr>
        <w:t xml:space="preserve"> – i.e., where sentences range from two years less a day to six years</w:t>
      </w:r>
      <w:r w:rsidR="00D06C3F">
        <w:rPr>
          <w:lang w:val="en-CA"/>
        </w:rPr>
        <w:t>’</w:t>
      </w:r>
      <w:r w:rsidRPr="00A4178E">
        <w:rPr>
          <w:lang w:val="en-CA"/>
        </w:rPr>
        <w:t xml:space="preserve"> imprisonment.</w:t>
      </w:r>
      <w:r w:rsidRPr="00A4178E">
        <w:rPr>
          <w:rStyle w:val="Appelnotedebasdep"/>
          <w:lang w:val="en-CA"/>
        </w:rPr>
        <w:footnoteReference w:id="90"/>
      </w:r>
    </w:p>
    <w:p w14:paraId="7487CEC2" w14:textId="2B871F98" w:rsidR="00314A01" w:rsidRPr="00A4178E" w:rsidRDefault="00C04FF8" w:rsidP="00314A01">
      <w:pPr>
        <w:pStyle w:val="Paragraphe"/>
        <w:spacing w:line="280" w:lineRule="exact"/>
        <w:rPr>
          <w:lang w:val="en-CA"/>
        </w:rPr>
      </w:pPr>
      <w:r w:rsidRPr="00A4178E">
        <w:rPr>
          <w:lang w:val="en-CA"/>
        </w:rPr>
        <w:t>The appellant argues that the sentence is demonstrably unfit, the applicable sentencing range being 12 to 20 months</w:t>
      </w:r>
      <w:r w:rsidR="00D06C3F">
        <w:rPr>
          <w:lang w:val="en-CA"/>
        </w:rPr>
        <w:t>’</w:t>
      </w:r>
      <w:r w:rsidRPr="00A4178E">
        <w:rPr>
          <w:lang w:val="en-CA"/>
        </w:rPr>
        <w:t xml:space="preserve"> imprisonment. In his view, the sentence imposed is therefore [</w:t>
      </w:r>
      <w:r w:rsidRPr="00AB7110">
        <w:rPr>
          <w:smallCaps/>
          <w:lang w:val="en-CA"/>
        </w:rPr>
        <w:t>translation</w:t>
      </w:r>
      <w:r w:rsidRPr="00A4178E">
        <w:rPr>
          <w:lang w:val="en-CA"/>
        </w:rPr>
        <w:t xml:space="preserve">] </w:t>
      </w:r>
      <w:r w:rsidR="00D06C3F">
        <w:rPr>
          <w:lang w:val="en-CA"/>
        </w:rPr>
        <w:t>“</w:t>
      </w:r>
      <w:r w:rsidRPr="00A4178E">
        <w:rPr>
          <w:lang w:val="en-CA"/>
        </w:rPr>
        <w:t>well above the range</w:t>
      </w:r>
      <w:r w:rsidR="00D06C3F">
        <w:rPr>
          <w:lang w:val="en-CA"/>
        </w:rPr>
        <w:t>”</w:t>
      </w:r>
      <w:r w:rsidRPr="00A4178E">
        <w:rPr>
          <w:rStyle w:val="Appelnotedebasdep"/>
          <w:lang w:val="en-CA"/>
        </w:rPr>
        <w:footnoteReference w:id="91"/>
      </w:r>
      <w:r w:rsidRPr="00A4178E">
        <w:rPr>
          <w:lang w:val="en-CA"/>
        </w:rPr>
        <w:t xml:space="preserve"> and the judge committed an error in principle [</w:t>
      </w:r>
      <w:r w:rsidRPr="00AB7110">
        <w:rPr>
          <w:smallCaps/>
          <w:lang w:val="en-CA"/>
        </w:rPr>
        <w:t>translation</w:t>
      </w:r>
      <w:r w:rsidRPr="00A4178E">
        <w:rPr>
          <w:lang w:val="en-CA"/>
        </w:rPr>
        <w:t xml:space="preserve">] </w:t>
      </w:r>
      <w:r w:rsidR="00D06C3F">
        <w:rPr>
          <w:lang w:val="en-CA"/>
        </w:rPr>
        <w:t>“</w:t>
      </w:r>
      <w:r w:rsidRPr="00A4178E">
        <w:rPr>
          <w:lang w:val="en-CA"/>
        </w:rPr>
        <w:t>by not correctly characterizing the offence</w:t>
      </w:r>
      <w:r w:rsidR="00D06C3F">
        <w:rPr>
          <w:lang w:val="en-CA"/>
        </w:rPr>
        <w:t>”</w:t>
      </w:r>
      <w:r w:rsidRPr="00A4178E">
        <w:rPr>
          <w:lang w:val="en-CA"/>
        </w:rPr>
        <w:t>.</w:t>
      </w:r>
      <w:r w:rsidRPr="00A4178E">
        <w:rPr>
          <w:rStyle w:val="Appelnotedebasdep"/>
          <w:lang w:val="en-CA"/>
        </w:rPr>
        <w:footnoteReference w:id="92"/>
      </w:r>
    </w:p>
    <w:p w14:paraId="7487CEC3" w14:textId="5DACF97D" w:rsidR="00314A01" w:rsidRPr="00A4178E" w:rsidRDefault="00C04FF8" w:rsidP="00314A01">
      <w:pPr>
        <w:pStyle w:val="Paragraphe"/>
        <w:spacing w:line="280" w:lineRule="exact"/>
        <w:rPr>
          <w:lang w:val="en-CA"/>
        </w:rPr>
      </w:pPr>
      <w:r w:rsidRPr="00A4178E">
        <w:rPr>
          <w:lang w:val="en-CA"/>
        </w:rPr>
        <w:t xml:space="preserve">This ground has no merit and does not justify granting leave to appeal. Suffice it to say that even if there is a single victim and a single assault, the analysis of the objective gravity of the offence is not limited to these factors alone. It is essential to also consider the nature of the acts committed and the circumstances surrounding the commission of the offence, such as breach of trust, the force used to compel the </w:t>
      </w:r>
      <w:proofErr w:type="gramStart"/>
      <w:r w:rsidRPr="00A4178E">
        <w:rPr>
          <w:lang w:val="en-CA"/>
        </w:rPr>
        <w:t>victim</w:t>
      </w:r>
      <w:proofErr w:type="gramEnd"/>
      <w:r w:rsidRPr="00A4178E">
        <w:rPr>
          <w:lang w:val="en-CA"/>
        </w:rPr>
        <w:t xml:space="preserve"> and the humiliation inflicted </w:t>
      </w:r>
      <w:r w:rsidR="009835F4">
        <w:rPr>
          <w:lang w:val="en-CA"/>
        </w:rPr>
        <w:t>up</w:t>
      </w:r>
      <w:r w:rsidRPr="00A4178E">
        <w:rPr>
          <w:lang w:val="en-CA"/>
        </w:rPr>
        <w:t>on her.</w:t>
      </w:r>
    </w:p>
    <w:p w14:paraId="7487CEC4" w14:textId="77777777" w:rsidR="00314A01" w:rsidRPr="00A4178E" w:rsidRDefault="00C04FF8" w:rsidP="00192F39">
      <w:pPr>
        <w:pStyle w:val="Titre1"/>
        <w:spacing w:before="120" w:after="120" w:line="280" w:lineRule="exact"/>
        <w:rPr>
          <w:lang w:val="en-CA"/>
        </w:rPr>
      </w:pPr>
      <w:r w:rsidRPr="00A4178E">
        <w:rPr>
          <w:bCs/>
          <w:lang w:val="en-CA"/>
        </w:rPr>
        <w:t>Conclusion</w:t>
      </w:r>
    </w:p>
    <w:p w14:paraId="7487CEC5" w14:textId="77777777" w:rsidR="00314A01" w:rsidRPr="00A4178E" w:rsidRDefault="00C04FF8" w:rsidP="00314A01">
      <w:pPr>
        <w:pStyle w:val="Paragraphe"/>
        <w:spacing w:line="280" w:lineRule="exact"/>
        <w:rPr>
          <w:lang w:val="en-CA"/>
        </w:rPr>
      </w:pPr>
      <w:r w:rsidRPr="00A4178E">
        <w:rPr>
          <w:lang w:val="en-CA"/>
        </w:rPr>
        <w:t>For these reasons, I would dismiss the appeal from the conviction and the application for leave to appeal from the sentence.</w:t>
      </w:r>
    </w:p>
    <w:tbl>
      <w:tblPr>
        <w:tblW w:w="0" w:type="auto"/>
        <w:tblInd w:w="70" w:type="dxa"/>
        <w:tblLayout w:type="fixed"/>
        <w:tblCellMar>
          <w:left w:w="70" w:type="dxa"/>
          <w:right w:w="70" w:type="dxa"/>
        </w:tblCellMar>
        <w:tblLook w:val="0000" w:firstRow="0" w:lastRow="0" w:firstColumn="0" w:lastColumn="0" w:noHBand="0" w:noVBand="0"/>
      </w:tblPr>
      <w:tblGrid>
        <w:gridCol w:w="4735"/>
        <w:gridCol w:w="4625"/>
      </w:tblGrid>
      <w:tr w:rsidR="00445A95" w:rsidRPr="004F74FF" w14:paraId="7487CEC7" w14:textId="77777777" w:rsidTr="007F295E">
        <w:trPr>
          <w:cantSplit/>
          <w:trHeight w:val="513"/>
        </w:trPr>
        <w:tc>
          <w:tcPr>
            <w:tcW w:w="9360" w:type="dxa"/>
            <w:gridSpan w:val="2"/>
          </w:tcPr>
          <w:p w14:paraId="7487CEC6" w14:textId="77777777" w:rsidR="00314A01" w:rsidRPr="00A4178E" w:rsidRDefault="00314A01" w:rsidP="007F295E">
            <w:pPr>
              <w:rPr>
                <w:lang w:val="en-CA"/>
              </w:rPr>
            </w:pPr>
          </w:p>
        </w:tc>
      </w:tr>
      <w:tr w:rsidR="00445A95" w:rsidRPr="004F74FF" w14:paraId="7487CECA" w14:textId="77777777" w:rsidTr="007F295E">
        <w:tblPrEx>
          <w:tblCellMar>
            <w:left w:w="0" w:type="dxa"/>
            <w:right w:w="0" w:type="dxa"/>
          </w:tblCellMar>
        </w:tblPrEx>
        <w:trPr>
          <w:cantSplit/>
          <w:trHeight w:val="277"/>
        </w:trPr>
        <w:tc>
          <w:tcPr>
            <w:tcW w:w="4735" w:type="dxa"/>
            <w:vMerge w:val="restart"/>
          </w:tcPr>
          <w:p w14:paraId="7487CEC8" w14:textId="77777777" w:rsidR="00314A01" w:rsidRPr="00A4178E" w:rsidRDefault="00314A01" w:rsidP="007F295E">
            <w:pPr>
              <w:rPr>
                <w:lang w:val="en-CA"/>
              </w:rPr>
            </w:pPr>
          </w:p>
        </w:tc>
        <w:tc>
          <w:tcPr>
            <w:tcW w:w="4625" w:type="dxa"/>
            <w:tcBorders>
              <w:bottom w:val="single" w:sz="8" w:space="0" w:color="auto"/>
            </w:tcBorders>
          </w:tcPr>
          <w:p w14:paraId="7487CEC9" w14:textId="77777777" w:rsidR="00314A01" w:rsidRPr="00A4178E" w:rsidRDefault="00314A01" w:rsidP="007F295E">
            <w:pPr>
              <w:rPr>
                <w:lang w:val="en-CA"/>
              </w:rPr>
            </w:pPr>
          </w:p>
        </w:tc>
      </w:tr>
      <w:tr w:rsidR="00445A95" w:rsidRPr="00A4178E" w14:paraId="7487CECD" w14:textId="77777777" w:rsidTr="007F295E">
        <w:tblPrEx>
          <w:tblCellMar>
            <w:left w:w="0" w:type="dxa"/>
            <w:right w:w="0" w:type="dxa"/>
          </w:tblCellMar>
        </w:tblPrEx>
        <w:trPr>
          <w:cantSplit/>
          <w:trHeight w:val="276"/>
        </w:trPr>
        <w:tc>
          <w:tcPr>
            <w:tcW w:w="4735" w:type="dxa"/>
            <w:vMerge/>
          </w:tcPr>
          <w:p w14:paraId="7487CECB" w14:textId="77777777" w:rsidR="00314A01" w:rsidRPr="00A4178E" w:rsidRDefault="00314A01" w:rsidP="007F295E">
            <w:pPr>
              <w:rPr>
                <w:lang w:val="en-CA"/>
              </w:rPr>
            </w:pPr>
          </w:p>
        </w:tc>
        <w:tc>
          <w:tcPr>
            <w:tcW w:w="4625" w:type="dxa"/>
          </w:tcPr>
          <w:p w14:paraId="7487CECC" w14:textId="5AF190F2" w:rsidR="00314A01" w:rsidRPr="00A4178E" w:rsidRDefault="00175E68" w:rsidP="007F295E">
            <w:pPr>
              <w:rPr>
                <w:lang w:val="en-CA"/>
              </w:rPr>
            </w:pPr>
            <w:r w:rsidRPr="00175E68">
              <w:rPr>
                <w:lang w:val="en-CA"/>
              </w:rPr>
              <w:t>SUZANNE GAGNÉ, J.A.</w:t>
            </w:r>
          </w:p>
        </w:tc>
      </w:tr>
      <w:bookmarkEnd w:id="11"/>
    </w:tbl>
    <w:p w14:paraId="7487CECE" w14:textId="77777777" w:rsidR="00740A17" w:rsidRPr="00A4178E" w:rsidRDefault="00740A17" w:rsidP="000332F5">
      <w:pPr>
        <w:rPr>
          <w:lang w:val="en-CA"/>
        </w:rPr>
      </w:pPr>
    </w:p>
    <w:sectPr w:rsidR="00740A17" w:rsidRPr="00A4178E" w:rsidSect="00314A01">
      <w:headerReference w:type="default" r:id="rId11"/>
      <w:pgSz w:w="12242" w:h="15842" w:code="1"/>
      <w:pgMar w:top="1440" w:right="1008" w:bottom="1440" w:left="1872" w:header="1440" w:footer="792"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53ED7" w14:textId="77777777" w:rsidR="000B16E0" w:rsidRDefault="000B16E0">
      <w:pPr>
        <w:spacing w:line="240" w:lineRule="auto"/>
      </w:pPr>
      <w:r>
        <w:separator/>
      </w:r>
    </w:p>
  </w:endnote>
  <w:endnote w:type="continuationSeparator" w:id="0">
    <w:p w14:paraId="0337A80E" w14:textId="77777777" w:rsidR="000B16E0" w:rsidRDefault="000B16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E7D5D" w14:textId="31DEA4A5" w:rsidR="009A3371" w:rsidRPr="008318C9" w:rsidRDefault="009A3371" w:rsidP="009A3371">
    <w:pPr>
      <w:pStyle w:val="Pieddepage"/>
      <w:jc w:val="right"/>
      <w:rPr>
        <w:b/>
        <w:bCs/>
        <w:lang w:val="en-CA"/>
      </w:rPr>
    </w:pPr>
    <w:r w:rsidRPr="008318C9">
      <w:rPr>
        <w:b/>
        <w:bCs/>
        <w:lang w:val="en-CA"/>
      </w:rPr>
      <w:t>English translation of the judgment of the Court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47B31" w14:textId="77777777" w:rsidR="000B16E0" w:rsidRDefault="000B16E0">
      <w:r>
        <w:separator/>
      </w:r>
    </w:p>
  </w:footnote>
  <w:footnote w:type="continuationSeparator" w:id="0">
    <w:p w14:paraId="219AF0D2" w14:textId="77777777" w:rsidR="000B16E0" w:rsidRDefault="000B16E0">
      <w:r>
        <w:continuationSeparator/>
      </w:r>
    </w:p>
  </w:footnote>
  <w:footnote w:id="1">
    <w:p w14:paraId="7487CED5" w14:textId="77777777" w:rsidR="00314A01" w:rsidRPr="00A4178E" w:rsidRDefault="00C04FF8" w:rsidP="00314A01">
      <w:pPr>
        <w:pStyle w:val="Notedebasdepage"/>
        <w:rPr>
          <w:lang w:val="en-CA"/>
        </w:rPr>
      </w:pPr>
      <w:r w:rsidRPr="00A4178E">
        <w:rPr>
          <w:rStyle w:val="Appelnotedebasdep"/>
          <w:lang w:val="en-CA"/>
        </w:rPr>
        <w:footnoteRef/>
      </w:r>
      <w:r w:rsidRPr="00A4178E">
        <w:rPr>
          <w:lang w:val="en-CA"/>
        </w:rPr>
        <w:tab/>
      </w:r>
      <w:r w:rsidRPr="00A4178E">
        <w:rPr>
          <w:i/>
          <w:iCs/>
          <w:lang w:val="en-CA"/>
        </w:rPr>
        <w:t>R. c. Hardy</w:t>
      </w:r>
      <w:r w:rsidRPr="00A4178E">
        <w:rPr>
          <w:lang w:val="en-CA"/>
        </w:rPr>
        <w:t>, 2022 QCCQ 2643 [Judgment on guilt].</w:t>
      </w:r>
    </w:p>
  </w:footnote>
  <w:footnote w:id="2">
    <w:p w14:paraId="7487CED6" w14:textId="21E9DE5A" w:rsidR="00314A01" w:rsidRPr="00A4178E" w:rsidRDefault="00C04FF8" w:rsidP="00314A01">
      <w:pPr>
        <w:pStyle w:val="Notedebasdepage"/>
        <w:rPr>
          <w:lang w:val="en-CA"/>
        </w:rPr>
      </w:pPr>
      <w:r w:rsidRPr="00A4178E">
        <w:rPr>
          <w:rStyle w:val="Appelnotedebasdep"/>
          <w:lang w:val="en-CA"/>
        </w:rPr>
        <w:footnoteRef/>
      </w:r>
      <w:r w:rsidRPr="00A4178E">
        <w:rPr>
          <w:lang w:val="en-CA"/>
        </w:rPr>
        <w:tab/>
        <w:t xml:space="preserve">27 months on the charge of sexual assault and 3 months on the charge of assault, to be served consecutively: </w:t>
      </w:r>
      <w:r w:rsidRPr="00A4178E">
        <w:rPr>
          <w:i/>
          <w:iCs/>
          <w:lang w:val="en-CA"/>
        </w:rPr>
        <w:t>Sa Majesté le Roi c. Akim Hardy</w:t>
      </w:r>
      <w:r w:rsidRPr="00A4178E">
        <w:rPr>
          <w:lang w:val="en-CA"/>
        </w:rPr>
        <w:t>, C.Q. Crim. &amp; Pen., Charlevoix, No.</w:t>
      </w:r>
      <w:r w:rsidR="00583472">
        <w:rPr>
          <w:lang w:val="en-CA"/>
        </w:rPr>
        <w:t> </w:t>
      </w:r>
      <w:r w:rsidRPr="00A4178E">
        <w:rPr>
          <w:lang w:val="en-CA"/>
        </w:rPr>
        <w:t>240</w:t>
      </w:r>
      <w:r w:rsidR="00583472">
        <w:rPr>
          <w:lang w:val="en-CA"/>
        </w:rPr>
        <w:noBreakHyphen/>
      </w:r>
      <w:r w:rsidRPr="00A4178E">
        <w:rPr>
          <w:lang w:val="en-CA"/>
        </w:rPr>
        <w:t>01</w:t>
      </w:r>
      <w:r w:rsidR="00583472">
        <w:rPr>
          <w:lang w:val="en-CA"/>
        </w:rPr>
        <w:noBreakHyphen/>
      </w:r>
      <w:r w:rsidRPr="00A4178E">
        <w:rPr>
          <w:lang w:val="en-CA"/>
        </w:rPr>
        <w:t>010895</w:t>
      </w:r>
      <w:r w:rsidR="00583472">
        <w:rPr>
          <w:lang w:val="en-CA"/>
        </w:rPr>
        <w:noBreakHyphen/>
      </w:r>
      <w:r w:rsidRPr="00A4178E">
        <w:rPr>
          <w:lang w:val="en-CA"/>
        </w:rPr>
        <w:t>191, January 19, 2023, Roy, J.C.Q. [Sentence].</w:t>
      </w:r>
    </w:p>
  </w:footnote>
  <w:footnote w:id="3">
    <w:p w14:paraId="7487CED7" w14:textId="7F841181" w:rsidR="00314A01" w:rsidRPr="00A4178E" w:rsidRDefault="00C04FF8" w:rsidP="00314A01">
      <w:pPr>
        <w:pStyle w:val="Notedebasdepage"/>
        <w:rPr>
          <w:lang w:val="en-CA"/>
        </w:rPr>
      </w:pPr>
      <w:r w:rsidRPr="00A4178E">
        <w:rPr>
          <w:rStyle w:val="Appelnotedebasdep"/>
          <w:lang w:val="en-CA"/>
        </w:rPr>
        <w:footnoteRef/>
      </w:r>
      <w:r w:rsidRPr="00A4178E">
        <w:rPr>
          <w:lang w:val="en-CA"/>
        </w:rPr>
        <w:t xml:space="preserve"> </w:t>
      </w:r>
      <w:r w:rsidRPr="00A4178E">
        <w:rPr>
          <w:lang w:val="en-CA"/>
        </w:rPr>
        <w:tab/>
        <w:t xml:space="preserve">Testimony of </w:t>
      </w:r>
      <w:r w:rsidR="00DC6614">
        <w:rPr>
          <w:lang w:val="en-CA"/>
        </w:rPr>
        <w:t>S.</w:t>
      </w:r>
      <w:r w:rsidRPr="00A4178E">
        <w:rPr>
          <w:lang w:val="en-CA"/>
        </w:rPr>
        <w:t> </w:t>
      </w:r>
      <w:r w:rsidR="00DC6614">
        <w:rPr>
          <w:lang w:val="en-CA"/>
        </w:rPr>
        <w:t>G.</w:t>
      </w:r>
      <w:r w:rsidRPr="00A4178E">
        <w:rPr>
          <w:lang w:val="en-CA"/>
        </w:rPr>
        <w:t xml:space="preserve">, November 4, 2021, </w:t>
      </w:r>
      <w:r w:rsidR="004F6D1C">
        <w:rPr>
          <w:lang w:val="en-CA"/>
        </w:rPr>
        <w:t>p. 1</w:t>
      </w:r>
      <w:r w:rsidRPr="00A4178E">
        <w:rPr>
          <w:lang w:val="en-CA"/>
        </w:rPr>
        <w:t>44.</w:t>
      </w:r>
    </w:p>
  </w:footnote>
  <w:footnote w:id="4">
    <w:p w14:paraId="7487CED8" w14:textId="17E89EF0" w:rsidR="00314A01" w:rsidRPr="00A4178E" w:rsidRDefault="00C04FF8" w:rsidP="00314A01">
      <w:pPr>
        <w:pStyle w:val="Notedebasdepage"/>
        <w:rPr>
          <w:lang w:val="en-CA"/>
        </w:rPr>
      </w:pPr>
      <w:r w:rsidRPr="00A4178E">
        <w:rPr>
          <w:rStyle w:val="Appelnotedebasdep"/>
          <w:lang w:val="en-CA"/>
        </w:rPr>
        <w:footnoteRef/>
      </w:r>
      <w:r w:rsidRPr="00A4178E">
        <w:rPr>
          <w:lang w:val="en-CA"/>
        </w:rPr>
        <w:t xml:space="preserve"> </w:t>
      </w:r>
      <w:r w:rsidRPr="00A4178E">
        <w:rPr>
          <w:lang w:val="en-CA"/>
        </w:rPr>
        <w:tab/>
      </w:r>
      <w:r w:rsidRPr="00A4178E">
        <w:rPr>
          <w:i/>
          <w:iCs/>
          <w:lang w:val="en-CA"/>
        </w:rPr>
        <w:t>Id</w:t>
      </w:r>
      <w:r w:rsidRPr="00A4178E">
        <w:rPr>
          <w:lang w:val="en-CA"/>
        </w:rPr>
        <w:t xml:space="preserve">., </w:t>
      </w:r>
      <w:r w:rsidR="004F6D1C">
        <w:rPr>
          <w:lang w:val="en-CA"/>
        </w:rPr>
        <w:t>p. 4</w:t>
      </w:r>
      <w:r w:rsidRPr="00A4178E">
        <w:rPr>
          <w:lang w:val="en-CA"/>
        </w:rPr>
        <w:t>6.</w:t>
      </w:r>
    </w:p>
  </w:footnote>
  <w:footnote w:id="5">
    <w:p w14:paraId="7487CED9" w14:textId="194BD315" w:rsidR="00314A01" w:rsidRPr="00A4178E" w:rsidRDefault="00C04FF8" w:rsidP="00314A01">
      <w:pPr>
        <w:pStyle w:val="Notedebasdepage"/>
        <w:rPr>
          <w:lang w:val="en-CA"/>
        </w:rPr>
      </w:pPr>
      <w:r w:rsidRPr="00A4178E">
        <w:rPr>
          <w:rStyle w:val="Appelnotedebasdep"/>
          <w:lang w:val="en-CA"/>
        </w:rPr>
        <w:footnoteRef/>
      </w:r>
      <w:r w:rsidRPr="00A4178E">
        <w:rPr>
          <w:lang w:val="en-CA"/>
        </w:rPr>
        <w:t xml:space="preserve"> </w:t>
      </w:r>
      <w:r w:rsidRPr="00A4178E">
        <w:rPr>
          <w:lang w:val="en-CA"/>
        </w:rPr>
        <w:tab/>
      </w:r>
      <w:r w:rsidRPr="00A4178E">
        <w:rPr>
          <w:i/>
          <w:iCs/>
          <w:lang w:val="en-CA"/>
        </w:rPr>
        <w:t>Id</w:t>
      </w:r>
      <w:r w:rsidRPr="00A4178E">
        <w:rPr>
          <w:lang w:val="en-CA"/>
        </w:rPr>
        <w:t>., p</w:t>
      </w:r>
      <w:r w:rsidR="004F6D1C">
        <w:rPr>
          <w:lang w:val="en-CA"/>
        </w:rPr>
        <w:t>p. 4</w:t>
      </w:r>
      <w:r w:rsidRPr="00A4178E">
        <w:rPr>
          <w:lang w:val="en-CA"/>
        </w:rPr>
        <w:t>6, 91-92 and 147.</w:t>
      </w:r>
    </w:p>
  </w:footnote>
  <w:footnote w:id="6">
    <w:p w14:paraId="7487CEDA" w14:textId="1001CA58" w:rsidR="00314A01" w:rsidRPr="00A4178E" w:rsidRDefault="00C04FF8" w:rsidP="00314A01">
      <w:pPr>
        <w:pStyle w:val="Notedebasdepage"/>
        <w:rPr>
          <w:lang w:val="en-CA"/>
        </w:rPr>
      </w:pPr>
      <w:r w:rsidRPr="00A4178E">
        <w:rPr>
          <w:rStyle w:val="Appelnotedebasdep"/>
          <w:lang w:val="en-CA"/>
        </w:rPr>
        <w:footnoteRef/>
      </w:r>
      <w:r w:rsidRPr="00A4178E">
        <w:rPr>
          <w:lang w:val="en-CA"/>
        </w:rPr>
        <w:t xml:space="preserve"> </w:t>
      </w:r>
      <w:r w:rsidRPr="00A4178E">
        <w:rPr>
          <w:lang w:val="en-CA"/>
        </w:rPr>
        <w:tab/>
      </w:r>
      <w:r w:rsidRPr="00A4178E">
        <w:rPr>
          <w:i/>
          <w:iCs/>
          <w:lang w:val="en-CA"/>
        </w:rPr>
        <w:t>Id</w:t>
      </w:r>
      <w:r w:rsidRPr="00A4178E">
        <w:rPr>
          <w:lang w:val="en-CA"/>
        </w:rPr>
        <w:t xml:space="preserve">., </w:t>
      </w:r>
      <w:r w:rsidR="004F6D1C">
        <w:rPr>
          <w:lang w:val="en-CA"/>
        </w:rPr>
        <w:t>p. 4</w:t>
      </w:r>
      <w:r w:rsidRPr="00A4178E">
        <w:rPr>
          <w:lang w:val="en-CA"/>
        </w:rPr>
        <w:t>7.</w:t>
      </w:r>
    </w:p>
  </w:footnote>
  <w:footnote w:id="7">
    <w:p w14:paraId="7487CEDB" w14:textId="65453223" w:rsidR="00314A01" w:rsidRPr="00A4178E" w:rsidRDefault="00C04FF8" w:rsidP="00314A01">
      <w:pPr>
        <w:pStyle w:val="Notedebasdepage"/>
        <w:rPr>
          <w:lang w:val="en-CA"/>
        </w:rPr>
      </w:pPr>
      <w:r w:rsidRPr="00A4178E">
        <w:rPr>
          <w:rStyle w:val="Appelnotedebasdep"/>
          <w:lang w:val="en-CA"/>
        </w:rPr>
        <w:footnoteRef/>
      </w:r>
      <w:r w:rsidRPr="00A4178E">
        <w:rPr>
          <w:lang w:val="en-CA"/>
        </w:rPr>
        <w:t xml:space="preserve"> </w:t>
      </w:r>
      <w:r w:rsidRPr="00A4178E">
        <w:rPr>
          <w:lang w:val="en-CA"/>
        </w:rPr>
        <w:tab/>
      </w:r>
      <w:r w:rsidRPr="00A4178E">
        <w:rPr>
          <w:i/>
          <w:iCs/>
          <w:lang w:val="en-CA"/>
        </w:rPr>
        <w:t>Id</w:t>
      </w:r>
      <w:r w:rsidRPr="00A4178E">
        <w:rPr>
          <w:lang w:val="en-CA"/>
        </w:rPr>
        <w:t>., p</w:t>
      </w:r>
      <w:r w:rsidR="004F6D1C">
        <w:rPr>
          <w:lang w:val="en-CA"/>
        </w:rPr>
        <w:t>p. 4</w:t>
      </w:r>
      <w:r w:rsidRPr="00A4178E">
        <w:rPr>
          <w:lang w:val="en-CA"/>
        </w:rPr>
        <w:t>8 and 97.</w:t>
      </w:r>
    </w:p>
  </w:footnote>
  <w:footnote w:id="8">
    <w:p w14:paraId="7487CEDC" w14:textId="172A5B84" w:rsidR="00314A01" w:rsidRPr="00A4178E" w:rsidRDefault="00C04FF8" w:rsidP="00314A01">
      <w:pPr>
        <w:pStyle w:val="Notedebasdepage"/>
        <w:rPr>
          <w:lang w:val="en-CA"/>
        </w:rPr>
      </w:pPr>
      <w:r w:rsidRPr="00A4178E">
        <w:rPr>
          <w:rStyle w:val="Appelnotedebasdep"/>
          <w:lang w:val="en-CA"/>
        </w:rPr>
        <w:footnoteRef/>
      </w:r>
      <w:r w:rsidRPr="00A4178E">
        <w:rPr>
          <w:lang w:val="en-CA"/>
        </w:rPr>
        <w:t xml:space="preserve"> </w:t>
      </w:r>
      <w:r w:rsidRPr="00A4178E">
        <w:rPr>
          <w:lang w:val="en-CA"/>
        </w:rPr>
        <w:tab/>
      </w:r>
      <w:r w:rsidRPr="00A4178E">
        <w:rPr>
          <w:i/>
          <w:iCs/>
          <w:lang w:val="en-CA"/>
        </w:rPr>
        <w:t>Id</w:t>
      </w:r>
      <w:r w:rsidRPr="00A4178E">
        <w:rPr>
          <w:lang w:val="en-CA"/>
        </w:rPr>
        <w:t>., p</w:t>
      </w:r>
      <w:r w:rsidR="004F6D1C">
        <w:rPr>
          <w:lang w:val="en-CA"/>
        </w:rPr>
        <w:t>p. 5</w:t>
      </w:r>
      <w:r w:rsidRPr="00A4178E">
        <w:rPr>
          <w:lang w:val="en-CA"/>
        </w:rPr>
        <w:t>0-52 and 99-100.</w:t>
      </w:r>
    </w:p>
  </w:footnote>
  <w:footnote w:id="9">
    <w:p w14:paraId="7487CEDD" w14:textId="25820E45" w:rsidR="00314A01" w:rsidRPr="00A4178E" w:rsidRDefault="00C04FF8" w:rsidP="00314A01">
      <w:pPr>
        <w:pStyle w:val="Notedebasdepage"/>
        <w:rPr>
          <w:lang w:val="en-CA"/>
        </w:rPr>
      </w:pPr>
      <w:r w:rsidRPr="00A4178E">
        <w:rPr>
          <w:rStyle w:val="Appelnotedebasdep"/>
          <w:lang w:val="en-CA"/>
        </w:rPr>
        <w:footnoteRef/>
      </w:r>
      <w:r w:rsidRPr="00A4178E">
        <w:rPr>
          <w:lang w:val="en-CA"/>
        </w:rPr>
        <w:t xml:space="preserve"> </w:t>
      </w:r>
      <w:r w:rsidRPr="00A4178E">
        <w:rPr>
          <w:lang w:val="en-CA"/>
        </w:rPr>
        <w:tab/>
      </w:r>
      <w:r w:rsidRPr="00A4178E">
        <w:rPr>
          <w:i/>
          <w:iCs/>
          <w:lang w:val="en-CA"/>
        </w:rPr>
        <w:t>Id</w:t>
      </w:r>
      <w:r w:rsidRPr="00A4178E">
        <w:rPr>
          <w:lang w:val="en-CA"/>
        </w:rPr>
        <w:t xml:space="preserve">., </w:t>
      </w:r>
      <w:r w:rsidR="004F6D1C">
        <w:rPr>
          <w:lang w:val="en-CA"/>
        </w:rPr>
        <w:t>p. 5</w:t>
      </w:r>
      <w:r w:rsidRPr="00A4178E">
        <w:rPr>
          <w:lang w:val="en-CA"/>
        </w:rPr>
        <w:t>2.</w:t>
      </w:r>
    </w:p>
  </w:footnote>
  <w:footnote w:id="10">
    <w:p w14:paraId="7487CEDE" w14:textId="4901B410" w:rsidR="00314A01" w:rsidRPr="00A4178E" w:rsidRDefault="00C04FF8" w:rsidP="00314A01">
      <w:pPr>
        <w:pStyle w:val="Notedebasdepage"/>
        <w:rPr>
          <w:lang w:val="en-CA"/>
        </w:rPr>
      </w:pPr>
      <w:r w:rsidRPr="00A4178E">
        <w:rPr>
          <w:rStyle w:val="Appelnotedebasdep"/>
          <w:lang w:val="en-CA"/>
        </w:rPr>
        <w:footnoteRef/>
      </w:r>
      <w:r w:rsidRPr="00A4178E">
        <w:rPr>
          <w:lang w:val="en-CA"/>
        </w:rPr>
        <w:t xml:space="preserve"> </w:t>
      </w:r>
      <w:r w:rsidRPr="00A4178E">
        <w:rPr>
          <w:lang w:val="en-CA"/>
        </w:rPr>
        <w:tab/>
      </w:r>
      <w:r w:rsidRPr="00A4178E">
        <w:rPr>
          <w:i/>
          <w:iCs/>
          <w:lang w:val="en-CA"/>
        </w:rPr>
        <w:t>Id</w:t>
      </w:r>
      <w:r w:rsidRPr="00A4178E">
        <w:rPr>
          <w:lang w:val="en-CA"/>
        </w:rPr>
        <w:t xml:space="preserve">., </w:t>
      </w:r>
      <w:r w:rsidR="004F6D1C">
        <w:rPr>
          <w:lang w:val="en-CA"/>
        </w:rPr>
        <w:t>p. 5</w:t>
      </w:r>
      <w:r w:rsidRPr="00A4178E">
        <w:rPr>
          <w:lang w:val="en-CA"/>
        </w:rPr>
        <w:t>3.</w:t>
      </w:r>
    </w:p>
  </w:footnote>
  <w:footnote w:id="11">
    <w:p w14:paraId="7487CEDF" w14:textId="12F952B5" w:rsidR="00314A01" w:rsidRPr="00A4178E" w:rsidRDefault="00C04FF8" w:rsidP="00314A01">
      <w:pPr>
        <w:pStyle w:val="Notedebasdepage"/>
        <w:rPr>
          <w:lang w:val="en-CA"/>
        </w:rPr>
      </w:pPr>
      <w:r w:rsidRPr="00A4178E">
        <w:rPr>
          <w:rStyle w:val="Appelnotedebasdep"/>
          <w:lang w:val="en-CA"/>
        </w:rPr>
        <w:footnoteRef/>
      </w:r>
      <w:r w:rsidRPr="00A4178E">
        <w:rPr>
          <w:lang w:val="en-CA"/>
        </w:rPr>
        <w:t xml:space="preserve"> </w:t>
      </w:r>
      <w:r w:rsidRPr="00A4178E">
        <w:rPr>
          <w:lang w:val="en-CA"/>
        </w:rPr>
        <w:tab/>
      </w:r>
      <w:r w:rsidRPr="00A4178E">
        <w:rPr>
          <w:i/>
          <w:iCs/>
          <w:lang w:val="en-CA"/>
        </w:rPr>
        <w:t>Id</w:t>
      </w:r>
      <w:r w:rsidRPr="00A4178E">
        <w:rPr>
          <w:lang w:val="en-CA"/>
        </w:rPr>
        <w:t>., p</w:t>
      </w:r>
      <w:r w:rsidR="004F6D1C">
        <w:rPr>
          <w:lang w:val="en-CA"/>
        </w:rPr>
        <w:t>p. 5</w:t>
      </w:r>
      <w:r w:rsidRPr="00A4178E">
        <w:rPr>
          <w:lang w:val="en-CA"/>
        </w:rPr>
        <w:t>3 and 55-56.</w:t>
      </w:r>
    </w:p>
  </w:footnote>
  <w:footnote w:id="12">
    <w:p w14:paraId="7487CEE0" w14:textId="05E8C098" w:rsidR="00314A01" w:rsidRPr="00A4178E" w:rsidRDefault="00C04FF8" w:rsidP="00314A01">
      <w:pPr>
        <w:pStyle w:val="Notedebasdepage"/>
        <w:rPr>
          <w:lang w:val="en-CA"/>
        </w:rPr>
      </w:pPr>
      <w:r w:rsidRPr="00A4178E">
        <w:rPr>
          <w:rStyle w:val="Appelnotedebasdep"/>
          <w:lang w:val="en-CA"/>
        </w:rPr>
        <w:footnoteRef/>
      </w:r>
      <w:r w:rsidRPr="00A4178E">
        <w:rPr>
          <w:lang w:val="en-CA"/>
        </w:rPr>
        <w:t xml:space="preserve"> </w:t>
      </w:r>
      <w:r w:rsidRPr="00A4178E">
        <w:rPr>
          <w:lang w:val="en-CA"/>
        </w:rPr>
        <w:tab/>
      </w:r>
      <w:r w:rsidRPr="00A4178E">
        <w:rPr>
          <w:i/>
          <w:iCs/>
          <w:lang w:val="en-CA"/>
        </w:rPr>
        <w:t>Id</w:t>
      </w:r>
      <w:r w:rsidRPr="00A4178E">
        <w:rPr>
          <w:lang w:val="en-CA"/>
        </w:rPr>
        <w:t>., p</w:t>
      </w:r>
      <w:r w:rsidR="004F6D1C">
        <w:rPr>
          <w:lang w:val="en-CA"/>
        </w:rPr>
        <w:t>p. 5</w:t>
      </w:r>
      <w:r w:rsidRPr="00A4178E">
        <w:rPr>
          <w:lang w:val="en-CA"/>
        </w:rPr>
        <w:t>4 and 56.</w:t>
      </w:r>
    </w:p>
  </w:footnote>
  <w:footnote w:id="13">
    <w:p w14:paraId="7487CEE1" w14:textId="74C26609" w:rsidR="00314A01" w:rsidRPr="00A4178E" w:rsidRDefault="00C04FF8" w:rsidP="00314A01">
      <w:pPr>
        <w:pStyle w:val="Notedebasdepage"/>
        <w:rPr>
          <w:lang w:val="en-CA"/>
        </w:rPr>
      </w:pPr>
      <w:r w:rsidRPr="00A4178E">
        <w:rPr>
          <w:rStyle w:val="Appelnotedebasdep"/>
          <w:lang w:val="en-CA"/>
        </w:rPr>
        <w:footnoteRef/>
      </w:r>
      <w:r w:rsidRPr="00A4178E">
        <w:rPr>
          <w:lang w:val="en-CA"/>
        </w:rPr>
        <w:t xml:space="preserve"> </w:t>
      </w:r>
      <w:r w:rsidRPr="00A4178E">
        <w:rPr>
          <w:lang w:val="en-CA"/>
        </w:rPr>
        <w:tab/>
      </w:r>
      <w:r w:rsidRPr="00A4178E">
        <w:rPr>
          <w:i/>
          <w:iCs/>
          <w:lang w:val="en-CA"/>
        </w:rPr>
        <w:t>Id</w:t>
      </w:r>
      <w:r w:rsidRPr="00A4178E">
        <w:rPr>
          <w:lang w:val="en-CA"/>
        </w:rPr>
        <w:t xml:space="preserve">., </w:t>
      </w:r>
      <w:r w:rsidR="004F6D1C">
        <w:rPr>
          <w:lang w:val="en-CA"/>
        </w:rPr>
        <w:t>p. 5</w:t>
      </w:r>
      <w:r w:rsidRPr="00A4178E">
        <w:rPr>
          <w:lang w:val="en-CA"/>
        </w:rPr>
        <w:t>6.</w:t>
      </w:r>
    </w:p>
  </w:footnote>
  <w:footnote w:id="14">
    <w:p w14:paraId="7487CEE2" w14:textId="5856AE80" w:rsidR="00314A01" w:rsidRPr="00A4178E" w:rsidRDefault="00C04FF8" w:rsidP="00314A01">
      <w:pPr>
        <w:pStyle w:val="Notedebasdepage"/>
        <w:rPr>
          <w:lang w:val="en-CA"/>
        </w:rPr>
      </w:pPr>
      <w:r w:rsidRPr="00A4178E">
        <w:rPr>
          <w:rStyle w:val="Appelnotedebasdep"/>
          <w:lang w:val="en-CA"/>
        </w:rPr>
        <w:footnoteRef/>
      </w:r>
      <w:r w:rsidRPr="00A4178E">
        <w:rPr>
          <w:lang w:val="en-CA"/>
        </w:rPr>
        <w:t xml:space="preserve"> </w:t>
      </w:r>
      <w:r w:rsidRPr="00A4178E">
        <w:rPr>
          <w:lang w:val="en-CA"/>
        </w:rPr>
        <w:tab/>
      </w:r>
      <w:r w:rsidRPr="00A4178E">
        <w:rPr>
          <w:i/>
          <w:iCs/>
          <w:lang w:val="en-CA"/>
        </w:rPr>
        <w:t>Id</w:t>
      </w:r>
      <w:r w:rsidRPr="00A4178E">
        <w:rPr>
          <w:lang w:val="en-CA"/>
        </w:rPr>
        <w:t>., p</w:t>
      </w:r>
      <w:r w:rsidR="004F6D1C">
        <w:rPr>
          <w:lang w:val="en-CA"/>
        </w:rPr>
        <w:t>p. 5</w:t>
      </w:r>
      <w:r w:rsidRPr="00A4178E">
        <w:rPr>
          <w:lang w:val="en-CA"/>
        </w:rPr>
        <w:t>7-58 and 100-101.</w:t>
      </w:r>
    </w:p>
  </w:footnote>
  <w:footnote w:id="15">
    <w:p w14:paraId="7487CEE3" w14:textId="636301EC" w:rsidR="00314A01" w:rsidRPr="004D08F1" w:rsidRDefault="00C04FF8" w:rsidP="00314A01">
      <w:pPr>
        <w:pStyle w:val="Notedebasdepage"/>
        <w:rPr>
          <w:lang w:val="en-CA"/>
        </w:rPr>
      </w:pPr>
      <w:r w:rsidRPr="00A4178E">
        <w:rPr>
          <w:rStyle w:val="Appelnotedebasdep"/>
          <w:lang w:val="en-CA"/>
        </w:rPr>
        <w:footnoteRef/>
      </w:r>
      <w:r w:rsidRPr="00A4178E">
        <w:rPr>
          <w:lang w:val="en-CA"/>
        </w:rPr>
        <w:t xml:space="preserve"> </w:t>
      </w:r>
      <w:r w:rsidRPr="00A4178E">
        <w:rPr>
          <w:lang w:val="en-CA"/>
        </w:rPr>
        <w:tab/>
      </w:r>
      <w:r w:rsidRPr="004D08F1">
        <w:rPr>
          <w:i/>
          <w:iCs/>
          <w:lang w:val="en-CA"/>
        </w:rPr>
        <w:t>Id</w:t>
      </w:r>
      <w:r w:rsidRPr="004D08F1">
        <w:rPr>
          <w:lang w:val="en-CA"/>
        </w:rPr>
        <w:t>., p</w:t>
      </w:r>
      <w:r w:rsidR="004F6D1C" w:rsidRPr="004D08F1">
        <w:rPr>
          <w:lang w:val="en-CA"/>
        </w:rPr>
        <w:t>p. 5</w:t>
      </w:r>
      <w:r w:rsidRPr="004D08F1">
        <w:rPr>
          <w:lang w:val="en-CA"/>
        </w:rPr>
        <w:t xml:space="preserve">8 and 72; Judgment on guilt, </w:t>
      </w:r>
      <w:r w:rsidR="004F6D1C" w:rsidRPr="004D08F1">
        <w:rPr>
          <w:lang w:val="en-CA"/>
        </w:rPr>
        <w:t>para. 2</w:t>
      </w:r>
      <w:r w:rsidRPr="004D08F1">
        <w:rPr>
          <w:lang w:val="en-CA"/>
        </w:rPr>
        <w:t>2.</w:t>
      </w:r>
    </w:p>
  </w:footnote>
  <w:footnote w:id="16">
    <w:p w14:paraId="7487CEE4" w14:textId="11822E4D" w:rsidR="00314A01" w:rsidRPr="004D08F1" w:rsidRDefault="00C04FF8" w:rsidP="00314A01">
      <w:pPr>
        <w:pStyle w:val="Notedebasdepage"/>
        <w:rPr>
          <w:lang w:val="en-CA"/>
        </w:rPr>
      </w:pPr>
      <w:r w:rsidRPr="004D08F1">
        <w:rPr>
          <w:rStyle w:val="Appelnotedebasdep"/>
          <w:lang w:val="en-CA"/>
        </w:rPr>
        <w:footnoteRef/>
      </w:r>
      <w:r w:rsidRPr="004D08F1">
        <w:rPr>
          <w:lang w:val="en-CA"/>
        </w:rPr>
        <w:t xml:space="preserve"> </w:t>
      </w:r>
      <w:r w:rsidRPr="004D08F1">
        <w:rPr>
          <w:lang w:val="en-CA"/>
        </w:rPr>
        <w:tab/>
        <w:t xml:space="preserve">Testimony of </w:t>
      </w:r>
      <w:r w:rsidR="00DC6614">
        <w:rPr>
          <w:lang w:val="en-CA"/>
        </w:rPr>
        <w:t>S.</w:t>
      </w:r>
      <w:r w:rsidRPr="004D08F1">
        <w:rPr>
          <w:lang w:val="en-CA"/>
        </w:rPr>
        <w:t> </w:t>
      </w:r>
      <w:r w:rsidR="00DC6614">
        <w:rPr>
          <w:lang w:val="en-CA"/>
        </w:rPr>
        <w:t>G.</w:t>
      </w:r>
      <w:r w:rsidRPr="004D08F1">
        <w:rPr>
          <w:lang w:val="en-CA"/>
        </w:rPr>
        <w:t xml:space="preserve">, November 4, 2021, </w:t>
      </w:r>
      <w:r w:rsidR="004F6D1C" w:rsidRPr="004D08F1">
        <w:rPr>
          <w:lang w:val="en-CA"/>
        </w:rPr>
        <w:t>p. 5</w:t>
      </w:r>
      <w:r w:rsidRPr="004D08F1">
        <w:rPr>
          <w:lang w:val="en-CA"/>
        </w:rPr>
        <w:t>9.</w:t>
      </w:r>
    </w:p>
  </w:footnote>
  <w:footnote w:id="17">
    <w:p w14:paraId="7487CEE5" w14:textId="3CB20E8F" w:rsidR="00314A01" w:rsidRPr="00A4178E" w:rsidRDefault="00C04FF8" w:rsidP="00314A01">
      <w:pPr>
        <w:pStyle w:val="Notedebasdepage"/>
        <w:rPr>
          <w:lang w:val="en-CA"/>
        </w:rPr>
      </w:pPr>
      <w:r w:rsidRPr="004D08F1">
        <w:rPr>
          <w:rStyle w:val="Appelnotedebasdep"/>
          <w:lang w:val="en-CA"/>
        </w:rPr>
        <w:footnoteRef/>
      </w:r>
      <w:r w:rsidRPr="004D08F1">
        <w:rPr>
          <w:lang w:val="en-CA"/>
        </w:rPr>
        <w:t xml:space="preserve"> </w:t>
      </w:r>
      <w:r w:rsidRPr="004D08F1">
        <w:rPr>
          <w:lang w:val="en-CA"/>
        </w:rPr>
        <w:tab/>
      </w:r>
      <w:r w:rsidRPr="00A4178E">
        <w:rPr>
          <w:i/>
          <w:iCs/>
          <w:lang w:val="en-CA"/>
        </w:rPr>
        <w:t>Id</w:t>
      </w:r>
      <w:r w:rsidRPr="00A4178E">
        <w:rPr>
          <w:lang w:val="en-CA"/>
        </w:rPr>
        <w:t xml:space="preserve">., </w:t>
      </w:r>
      <w:r w:rsidR="004F6D1C">
        <w:rPr>
          <w:lang w:val="en-CA"/>
        </w:rPr>
        <w:t>p. 7</w:t>
      </w:r>
      <w:r w:rsidRPr="00A4178E">
        <w:rPr>
          <w:lang w:val="en-CA"/>
        </w:rPr>
        <w:t>6.</w:t>
      </w:r>
    </w:p>
  </w:footnote>
  <w:footnote w:id="18">
    <w:p w14:paraId="7487CEE6" w14:textId="1C23765C" w:rsidR="00314A01" w:rsidRPr="00A4178E" w:rsidRDefault="00C04FF8" w:rsidP="00314A01">
      <w:pPr>
        <w:pStyle w:val="Notedebasdepage"/>
        <w:rPr>
          <w:lang w:val="en-CA"/>
        </w:rPr>
      </w:pPr>
      <w:r w:rsidRPr="00A4178E">
        <w:rPr>
          <w:rStyle w:val="Appelnotedebasdep"/>
          <w:lang w:val="en-CA"/>
        </w:rPr>
        <w:footnoteRef/>
      </w:r>
      <w:r w:rsidRPr="00A4178E">
        <w:rPr>
          <w:lang w:val="en-CA"/>
        </w:rPr>
        <w:t xml:space="preserve"> </w:t>
      </w:r>
      <w:r w:rsidRPr="00A4178E">
        <w:rPr>
          <w:lang w:val="en-CA"/>
        </w:rPr>
        <w:tab/>
      </w:r>
      <w:r w:rsidRPr="00A4178E">
        <w:rPr>
          <w:i/>
          <w:iCs/>
          <w:lang w:val="en-CA"/>
        </w:rPr>
        <w:t>Id</w:t>
      </w:r>
      <w:r w:rsidRPr="00A4178E">
        <w:rPr>
          <w:lang w:val="en-CA"/>
        </w:rPr>
        <w:t xml:space="preserve">., </w:t>
      </w:r>
      <w:r w:rsidR="004F6D1C">
        <w:rPr>
          <w:lang w:val="en-CA"/>
        </w:rPr>
        <w:t>p. 7</w:t>
      </w:r>
      <w:r w:rsidRPr="00A4178E">
        <w:rPr>
          <w:lang w:val="en-CA"/>
        </w:rPr>
        <w:t>7.</w:t>
      </w:r>
    </w:p>
  </w:footnote>
  <w:footnote w:id="19">
    <w:p w14:paraId="7487CEE7" w14:textId="52D5BAFF" w:rsidR="00314A01" w:rsidRPr="00A4178E" w:rsidRDefault="00C04FF8" w:rsidP="00314A01">
      <w:pPr>
        <w:pStyle w:val="Notedebasdepage"/>
        <w:rPr>
          <w:lang w:val="en-CA"/>
        </w:rPr>
      </w:pPr>
      <w:r w:rsidRPr="00A4178E">
        <w:rPr>
          <w:rStyle w:val="Appelnotedebasdep"/>
          <w:lang w:val="en-CA"/>
        </w:rPr>
        <w:footnoteRef/>
      </w:r>
      <w:r w:rsidRPr="00A4178E">
        <w:rPr>
          <w:lang w:val="en-CA"/>
        </w:rPr>
        <w:t xml:space="preserve"> </w:t>
      </w:r>
      <w:r w:rsidRPr="00A4178E">
        <w:rPr>
          <w:lang w:val="en-CA"/>
        </w:rPr>
        <w:tab/>
      </w:r>
      <w:r w:rsidRPr="00A4178E">
        <w:rPr>
          <w:i/>
          <w:iCs/>
          <w:lang w:val="en-CA"/>
        </w:rPr>
        <w:t>Id</w:t>
      </w:r>
      <w:r w:rsidRPr="00A4178E">
        <w:rPr>
          <w:lang w:val="en-CA"/>
        </w:rPr>
        <w:t>., p</w:t>
      </w:r>
      <w:r w:rsidR="004F6D1C">
        <w:rPr>
          <w:lang w:val="en-CA"/>
        </w:rPr>
        <w:t>p. 8</w:t>
      </w:r>
      <w:r w:rsidRPr="00A4178E">
        <w:rPr>
          <w:lang w:val="en-CA"/>
        </w:rPr>
        <w:t xml:space="preserve">1, 143 and 153-154; Judgment on guilt, </w:t>
      </w:r>
      <w:r w:rsidR="004F6D1C">
        <w:rPr>
          <w:lang w:val="en-CA"/>
        </w:rPr>
        <w:t>para. 2</w:t>
      </w:r>
      <w:r w:rsidRPr="00A4178E">
        <w:rPr>
          <w:lang w:val="en-CA"/>
        </w:rPr>
        <w:t>6.</w:t>
      </w:r>
    </w:p>
  </w:footnote>
  <w:footnote w:id="20">
    <w:p w14:paraId="7487CEE8" w14:textId="3AD860EC" w:rsidR="00314A01" w:rsidRPr="00A4178E" w:rsidRDefault="00C04FF8" w:rsidP="00314A01">
      <w:pPr>
        <w:pStyle w:val="Notedebasdepage"/>
        <w:rPr>
          <w:lang w:val="en-CA"/>
        </w:rPr>
      </w:pPr>
      <w:r w:rsidRPr="00A4178E">
        <w:rPr>
          <w:rStyle w:val="Appelnotedebasdep"/>
          <w:lang w:val="en-CA"/>
        </w:rPr>
        <w:footnoteRef/>
      </w:r>
      <w:r w:rsidRPr="00A4178E">
        <w:rPr>
          <w:lang w:val="en-CA"/>
        </w:rPr>
        <w:t xml:space="preserve"> </w:t>
      </w:r>
      <w:r w:rsidRPr="00A4178E">
        <w:rPr>
          <w:lang w:val="en-CA"/>
        </w:rPr>
        <w:tab/>
        <w:t xml:space="preserve">Testimony of </w:t>
      </w:r>
      <w:r w:rsidR="00DC6614">
        <w:rPr>
          <w:lang w:val="en-CA"/>
        </w:rPr>
        <w:t>S.</w:t>
      </w:r>
      <w:r w:rsidRPr="00A4178E">
        <w:rPr>
          <w:lang w:val="en-CA"/>
        </w:rPr>
        <w:t> </w:t>
      </w:r>
      <w:r w:rsidR="00DC6614">
        <w:rPr>
          <w:lang w:val="en-CA"/>
        </w:rPr>
        <w:t>G.</w:t>
      </w:r>
      <w:r w:rsidRPr="00A4178E">
        <w:rPr>
          <w:lang w:val="en-CA"/>
        </w:rPr>
        <w:t xml:space="preserve">, November 4, 2021, </w:t>
      </w:r>
      <w:r w:rsidR="004F6D1C">
        <w:rPr>
          <w:lang w:val="en-CA"/>
        </w:rPr>
        <w:t>p. 1</w:t>
      </w:r>
      <w:r w:rsidRPr="00A4178E">
        <w:rPr>
          <w:lang w:val="en-CA"/>
        </w:rPr>
        <w:t>54.</w:t>
      </w:r>
    </w:p>
  </w:footnote>
  <w:footnote w:id="21">
    <w:p w14:paraId="7487CEE9" w14:textId="07C81028" w:rsidR="00314A01" w:rsidRPr="00A4178E" w:rsidRDefault="00C04FF8" w:rsidP="00314A01">
      <w:pPr>
        <w:pStyle w:val="Notedebasdepage"/>
        <w:rPr>
          <w:lang w:val="en-CA"/>
        </w:rPr>
      </w:pPr>
      <w:r w:rsidRPr="00A4178E">
        <w:rPr>
          <w:rStyle w:val="Appelnotedebasdep"/>
          <w:lang w:val="en-CA"/>
        </w:rPr>
        <w:footnoteRef/>
      </w:r>
      <w:r w:rsidRPr="00A4178E">
        <w:rPr>
          <w:lang w:val="en-CA"/>
        </w:rPr>
        <w:t xml:space="preserve"> </w:t>
      </w:r>
      <w:r w:rsidRPr="00A4178E">
        <w:rPr>
          <w:lang w:val="en-CA"/>
        </w:rPr>
        <w:tab/>
        <w:t xml:space="preserve">Testimony of Akim Hardy, November 5, 2021, </w:t>
      </w:r>
      <w:r w:rsidR="004F6D1C">
        <w:rPr>
          <w:lang w:val="en-CA"/>
        </w:rPr>
        <w:t>p. 4</w:t>
      </w:r>
      <w:r w:rsidRPr="00A4178E">
        <w:rPr>
          <w:lang w:val="en-CA"/>
        </w:rPr>
        <w:t>4.</w:t>
      </w:r>
    </w:p>
  </w:footnote>
  <w:footnote w:id="22">
    <w:p w14:paraId="7487CEEA" w14:textId="6A695840" w:rsidR="00314A01" w:rsidRPr="00A4178E" w:rsidRDefault="00C04FF8" w:rsidP="00314A01">
      <w:pPr>
        <w:pStyle w:val="Notedebasdepage"/>
        <w:rPr>
          <w:lang w:val="en-CA"/>
        </w:rPr>
      </w:pPr>
      <w:r w:rsidRPr="00A4178E">
        <w:rPr>
          <w:rStyle w:val="Appelnotedebasdep"/>
          <w:lang w:val="en-CA"/>
        </w:rPr>
        <w:footnoteRef/>
      </w:r>
      <w:r w:rsidRPr="00A4178E">
        <w:rPr>
          <w:lang w:val="en-CA"/>
        </w:rPr>
        <w:t xml:space="preserve"> </w:t>
      </w:r>
      <w:r w:rsidRPr="00A4178E">
        <w:rPr>
          <w:lang w:val="en-CA"/>
        </w:rPr>
        <w:tab/>
      </w:r>
      <w:r w:rsidRPr="00A4178E">
        <w:rPr>
          <w:i/>
          <w:iCs/>
          <w:lang w:val="en-CA"/>
        </w:rPr>
        <w:t>Id</w:t>
      </w:r>
      <w:r w:rsidRPr="00A4178E">
        <w:rPr>
          <w:lang w:val="en-CA"/>
        </w:rPr>
        <w:t>., p</w:t>
      </w:r>
      <w:r w:rsidR="004F6D1C">
        <w:rPr>
          <w:lang w:val="en-CA"/>
        </w:rPr>
        <w:t>p. 3</w:t>
      </w:r>
      <w:r w:rsidRPr="00A4178E">
        <w:rPr>
          <w:lang w:val="en-CA"/>
        </w:rPr>
        <w:t>4, 50 and 80.</w:t>
      </w:r>
    </w:p>
  </w:footnote>
  <w:footnote w:id="23">
    <w:p w14:paraId="7487CEEB" w14:textId="47D58207" w:rsidR="00314A01" w:rsidRPr="00A4178E" w:rsidRDefault="00C04FF8" w:rsidP="00314A01">
      <w:pPr>
        <w:pStyle w:val="Notedebasdepage"/>
        <w:rPr>
          <w:lang w:val="en-CA"/>
        </w:rPr>
      </w:pPr>
      <w:r w:rsidRPr="00A4178E">
        <w:rPr>
          <w:rStyle w:val="Appelnotedebasdep"/>
          <w:lang w:val="en-CA"/>
        </w:rPr>
        <w:footnoteRef/>
      </w:r>
      <w:r w:rsidRPr="00A4178E">
        <w:rPr>
          <w:lang w:val="en-CA"/>
        </w:rPr>
        <w:t xml:space="preserve"> </w:t>
      </w:r>
      <w:r w:rsidRPr="00A4178E">
        <w:rPr>
          <w:lang w:val="en-CA"/>
        </w:rPr>
        <w:tab/>
      </w:r>
      <w:r w:rsidRPr="00A4178E">
        <w:rPr>
          <w:i/>
          <w:iCs/>
          <w:lang w:val="en-CA"/>
        </w:rPr>
        <w:t>Id</w:t>
      </w:r>
      <w:r w:rsidRPr="00A4178E">
        <w:rPr>
          <w:lang w:val="en-CA"/>
        </w:rPr>
        <w:t>., p</w:t>
      </w:r>
      <w:r w:rsidR="004F6D1C">
        <w:rPr>
          <w:lang w:val="en-CA"/>
        </w:rPr>
        <w:t>p. 3</w:t>
      </w:r>
      <w:r w:rsidRPr="00A4178E">
        <w:rPr>
          <w:lang w:val="en-CA"/>
        </w:rPr>
        <w:t>4, 80-81 and 93-94.</w:t>
      </w:r>
    </w:p>
  </w:footnote>
  <w:footnote w:id="24">
    <w:p w14:paraId="7487CEEC" w14:textId="04FD405F" w:rsidR="00314A01" w:rsidRPr="00A4178E" w:rsidRDefault="00C04FF8" w:rsidP="00314A01">
      <w:pPr>
        <w:pStyle w:val="Notedebasdepage"/>
        <w:rPr>
          <w:lang w:val="en-CA"/>
        </w:rPr>
      </w:pPr>
      <w:r w:rsidRPr="00A4178E">
        <w:rPr>
          <w:rStyle w:val="Appelnotedebasdep"/>
          <w:lang w:val="en-CA"/>
        </w:rPr>
        <w:footnoteRef/>
      </w:r>
      <w:r w:rsidRPr="00A4178E">
        <w:rPr>
          <w:lang w:val="en-CA"/>
        </w:rPr>
        <w:t xml:space="preserve"> </w:t>
      </w:r>
      <w:r w:rsidRPr="00A4178E">
        <w:rPr>
          <w:lang w:val="en-CA"/>
        </w:rPr>
        <w:tab/>
      </w:r>
      <w:r w:rsidRPr="00A4178E">
        <w:rPr>
          <w:i/>
          <w:iCs/>
          <w:lang w:val="en-CA"/>
        </w:rPr>
        <w:t>Id</w:t>
      </w:r>
      <w:r w:rsidRPr="00A4178E">
        <w:rPr>
          <w:lang w:val="en-CA"/>
        </w:rPr>
        <w:t>., p</w:t>
      </w:r>
      <w:r w:rsidR="004F6D1C">
        <w:rPr>
          <w:lang w:val="en-CA"/>
        </w:rPr>
        <w:t>p. 3</w:t>
      </w:r>
      <w:r w:rsidRPr="00A4178E">
        <w:rPr>
          <w:lang w:val="en-CA"/>
        </w:rPr>
        <w:t>4-36, 50-51, 81-84 and 86-87.</w:t>
      </w:r>
    </w:p>
  </w:footnote>
  <w:footnote w:id="25">
    <w:p w14:paraId="7487CEED" w14:textId="4C1D4104" w:rsidR="00314A01" w:rsidRPr="00A4178E" w:rsidRDefault="00C04FF8" w:rsidP="00314A01">
      <w:pPr>
        <w:pStyle w:val="Notedebasdepage"/>
        <w:rPr>
          <w:lang w:val="en-CA"/>
        </w:rPr>
      </w:pPr>
      <w:r w:rsidRPr="00A4178E">
        <w:rPr>
          <w:rStyle w:val="Appelnotedebasdep"/>
          <w:lang w:val="en-CA"/>
        </w:rPr>
        <w:footnoteRef/>
      </w:r>
      <w:r w:rsidRPr="00A4178E">
        <w:rPr>
          <w:lang w:val="en-CA"/>
        </w:rPr>
        <w:t xml:space="preserve"> </w:t>
      </w:r>
      <w:r w:rsidRPr="00A4178E">
        <w:rPr>
          <w:lang w:val="en-CA"/>
        </w:rPr>
        <w:tab/>
      </w:r>
      <w:r w:rsidRPr="00A4178E">
        <w:rPr>
          <w:i/>
          <w:iCs/>
          <w:lang w:val="en-CA"/>
        </w:rPr>
        <w:t>Id</w:t>
      </w:r>
      <w:r w:rsidRPr="00A4178E">
        <w:rPr>
          <w:lang w:val="en-CA"/>
        </w:rPr>
        <w:t xml:space="preserve">., </w:t>
      </w:r>
      <w:r w:rsidR="004F6D1C">
        <w:rPr>
          <w:lang w:val="en-CA"/>
        </w:rPr>
        <w:t>p. 5</w:t>
      </w:r>
      <w:r w:rsidRPr="00A4178E">
        <w:rPr>
          <w:lang w:val="en-CA"/>
        </w:rPr>
        <w:t>1.</w:t>
      </w:r>
    </w:p>
  </w:footnote>
  <w:footnote w:id="26">
    <w:p w14:paraId="7487CEEE" w14:textId="48A8C2ED" w:rsidR="00314A01" w:rsidRPr="00A4178E" w:rsidRDefault="00C04FF8" w:rsidP="00314A01">
      <w:pPr>
        <w:pStyle w:val="Notedebasdepage"/>
        <w:rPr>
          <w:lang w:val="en-CA"/>
        </w:rPr>
      </w:pPr>
      <w:r w:rsidRPr="00A4178E">
        <w:rPr>
          <w:rStyle w:val="Appelnotedebasdep"/>
          <w:lang w:val="en-CA"/>
        </w:rPr>
        <w:footnoteRef/>
      </w:r>
      <w:r w:rsidRPr="00A4178E">
        <w:rPr>
          <w:lang w:val="en-CA"/>
        </w:rPr>
        <w:t xml:space="preserve"> </w:t>
      </w:r>
      <w:r w:rsidRPr="00A4178E">
        <w:rPr>
          <w:lang w:val="en-CA"/>
        </w:rPr>
        <w:tab/>
      </w:r>
      <w:r w:rsidRPr="00A4178E">
        <w:rPr>
          <w:i/>
          <w:iCs/>
          <w:lang w:val="en-CA"/>
        </w:rPr>
        <w:t>Id</w:t>
      </w:r>
      <w:r w:rsidRPr="00A4178E">
        <w:rPr>
          <w:lang w:val="en-CA"/>
        </w:rPr>
        <w:t xml:space="preserve">., </w:t>
      </w:r>
      <w:r w:rsidR="004F6D1C">
        <w:rPr>
          <w:lang w:val="en-CA"/>
        </w:rPr>
        <w:t>p. 5</w:t>
      </w:r>
      <w:r w:rsidRPr="00A4178E">
        <w:rPr>
          <w:lang w:val="en-CA"/>
        </w:rPr>
        <w:t>4.</w:t>
      </w:r>
    </w:p>
  </w:footnote>
  <w:footnote w:id="27">
    <w:p w14:paraId="7487CEEF" w14:textId="53A25473" w:rsidR="00314A01" w:rsidRPr="00A4178E" w:rsidRDefault="00C04FF8" w:rsidP="00314A01">
      <w:pPr>
        <w:pStyle w:val="Notedebasdepage"/>
        <w:rPr>
          <w:lang w:val="en-CA"/>
        </w:rPr>
      </w:pPr>
      <w:r w:rsidRPr="00A4178E">
        <w:rPr>
          <w:rStyle w:val="Appelnotedebasdep"/>
          <w:lang w:val="en-CA"/>
        </w:rPr>
        <w:footnoteRef/>
      </w:r>
      <w:r w:rsidRPr="00A4178E">
        <w:rPr>
          <w:lang w:val="en-CA"/>
        </w:rPr>
        <w:tab/>
        <w:t xml:space="preserve">Judgment on guilt, </w:t>
      </w:r>
      <w:r w:rsidR="004F6D1C">
        <w:rPr>
          <w:lang w:val="en-CA"/>
        </w:rPr>
        <w:t>para. 8</w:t>
      </w:r>
      <w:r w:rsidRPr="00A4178E">
        <w:rPr>
          <w:lang w:val="en-CA"/>
        </w:rPr>
        <w:t>3.</w:t>
      </w:r>
    </w:p>
  </w:footnote>
  <w:footnote w:id="28">
    <w:p w14:paraId="7487CEF0" w14:textId="6574DFFE" w:rsidR="00314A01" w:rsidRPr="00A4178E" w:rsidRDefault="00C04FF8" w:rsidP="00314A01">
      <w:pPr>
        <w:pStyle w:val="Notedebasdepage"/>
        <w:rPr>
          <w:lang w:val="en-CA"/>
        </w:rPr>
      </w:pPr>
      <w:r w:rsidRPr="00A4178E">
        <w:rPr>
          <w:rStyle w:val="Appelnotedebasdep"/>
          <w:lang w:val="en-CA"/>
        </w:rPr>
        <w:footnoteRef/>
      </w:r>
      <w:r w:rsidRPr="00A4178E">
        <w:rPr>
          <w:lang w:val="en-CA"/>
        </w:rPr>
        <w:tab/>
        <w:t>The appellant did not reproduce in the appeal record the transcript of the complainant</w:t>
      </w:r>
      <w:r w:rsidR="00D06C3F">
        <w:rPr>
          <w:lang w:val="en-CA"/>
        </w:rPr>
        <w:t>’</w:t>
      </w:r>
      <w:r w:rsidRPr="00A4178E">
        <w:rPr>
          <w:lang w:val="en-CA"/>
        </w:rPr>
        <w:t>s cross</w:t>
      </w:r>
      <w:r w:rsidR="00C20E2A">
        <w:rPr>
          <w:lang w:val="en-CA"/>
        </w:rPr>
        <w:noBreakHyphen/>
      </w:r>
      <w:r w:rsidRPr="00A4178E">
        <w:rPr>
          <w:lang w:val="en-CA"/>
        </w:rPr>
        <w:t>examination on this matter.</w:t>
      </w:r>
    </w:p>
  </w:footnote>
  <w:footnote w:id="29">
    <w:p w14:paraId="7487CEF1" w14:textId="725E8F74" w:rsidR="00314A01" w:rsidRPr="00A4178E" w:rsidRDefault="00C04FF8" w:rsidP="00314A01">
      <w:pPr>
        <w:pStyle w:val="Notedebasdepage"/>
        <w:rPr>
          <w:lang w:val="en-CA"/>
        </w:rPr>
      </w:pPr>
      <w:r w:rsidRPr="00A4178E">
        <w:rPr>
          <w:rStyle w:val="Appelnotedebasdep"/>
          <w:lang w:val="en-CA"/>
        </w:rPr>
        <w:footnoteRef/>
      </w:r>
      <w:r w:rsidRPr="00A4178E">
        <w:rPr>
          <w:lang w:val="en-CA"/>
        </w:rPr>
        <w:tab/>
      </w:r>
      <w:r w:rsidRPr="00A4178E">
        <w:rPr>
          <w:i/>
          <w:iCs/>
          <w:lang w:val="en-CA"/>
        </w:rPr>
        <w:t>Hardy c. R</w:t>
      </w:r>
      <w:r w:rsidRPr="00A4178E">
        <w:rPr>
          <w:lang w:val="en-CA"/>
        </w:rPr>
        <w:t>., 2025 QCCA 632. The Court referred to s</w:t>
      </w:r>
      <w:r w:rsidR="004F6D1C">
        <w:rPr>
          <w:lang w:val="en-CA"/>
        </w:rPr>
        <w:t>s. 2</w:t>
      </w:r>
      <w:r w:rsidRPr="00A4178E">
        <w:rPr>
          <w:lang w:val="en-CA"/>
        </w:rPr>
        <w:t xml:space="preserve">78.93(3) and 278.95(1) </w:t>
      </w:r>
      <w:r w:rsidRPr="00A4178E">
        <w:rPr>
          <w:i/>
          <w:iCs/>
          <w:lang w:val="en-CA"/>
        </w:rPr>
        <w:t>Cr.C</w:t>
      </w:r>
      <w:r w:rsidRPr="00A4178E">
        <w:rPr>
          <w:lang w:val="en-CA"/>
        </w:rPr>
        <w:t xml:space="preserve">. and to the principles set out in </w:t>
      </w:r>
      <w:r w:rsidRPr="00A4178E">
        <w:rPr>
          <w:i/>
          <w:iCs/>
          <w:lang w:val="en-CA"/>
        </w:rPr>
        <w:t>R. v. T.W.W.</w:t>
      </w:r>
      <w:r w:rsidRPr="00A4178E">
        <w:rPr>
          <w:lang w:val="en-CA"/>
        </w:rPr>
        <w:t>, 2024 SCC 19, para</w:t>
      </w:r>
      <w:r w:rsidR="004F6D1C">
        <w:rPr>
          <w:lang w:val="en-CA"/>
        </w:rPr>
        <w:t>s. 6</w:t>
      </w:r>
      <w:r w:rsidRPr="00A4178E">
        <w:rPr>
          <w:lang w:val="en-CA"/>
        </w:rPr>
        <w:t>3-69, 77 and 82.</w:t>
      </w:r>
    </w:p>
  </w:footnote>
  <w:footnote w:id="30">
    <w:p w14:paraId="7487CEF2" w14:textId="77777777" w:rsidR="00314A01" w:rsidRPr="00A4178E" w:rsidRDefault="00C04FF8" w:rsidP="00314A01">
      <w:pPr>
        <w:pStyle w:val="Notedebasdepage"/>
        <w:rPr>
          <w:lang w:val="en-CA"/>
        </w:rPr>
      </w:pPr>
      <w:r w:rsidRPr="00A4178E">
        <w:rPr>
          <w:rStyle w:val="Appelnotedebasdep"/>
          <w:lang w:val="en-CA"/>
        </w:rPr>
        <w:footnoteRef/>
      </w:r>
      <w:r w:rsidRPr="00A4178E">
        <w:rPr>
          <w:lang w:val="en-CA"/>
        </w:rPr>
        <w:tab/>
        <w:t>Subsection 683(1) </w:t>
      </w:r>
      <w:r w:rsidRPr="00A4178E">
        <w:rPr>
          <w:i/>
          <w:iCs/>
          <w:lang w:val="en-CA"/>
        </w:rPr>
        <w:t>Cr.C.</w:t>
      </w:r>
    </w:p>
  </w:footnote>
  <w:footnote w:id="31">
    <w:p w14:paraId="7487CEF3" w14:textId="31C75FC1" w:rsidR="00314A01" w:rsidRPr="00A4178E" w:rsidRDefault="00C04FF8" w:rsidP="00314A01">
      <w:pPr>
        <w:pStyle w:val="Notedebasdepage"/>
        <w:rPr>
          <w:lang w:val="en-CA"/>
        </w:rPr>
      </w:pPr>
      <w:r w:rsidRPr="00A4178E">
        <w:rPr>
          <w:rStyle w:val="Appelnotedebasdep"/>
          <w:lang w:val="en-CA"/>
        </w:rPr>
        <w:footnoteRef/>
      </w:r>
      <w:r w:rsidRPr="00A4178E">
        <w:rPr>
          <w:lang w:val="en-CA"/>
        </w:rPr>
        <w:t xml:space="preserve"> </w:t>
      </w:r>
      <w:r w:rsidRPr="00A4178E">
        <w:rPr>
          <w:lang w:val="en-CA"/>
        </w:rPr>
        <w:tab/>
      </w:r>
      <w:r w:rsidRPr="00A4178E">
        <w:rPr>
          <w:i/>
          <w:iCs/>
          <w:lang w:val="en-CA"/>
        </w:rPr>
        <w:t>Palmer v. The Queen</w:t>
      </w:r>
      <w:r w:rsidRPr="00A4178E">
        <w:rPr>
          <w:lang w:val="en-CA"/>
        </w:rPr>
        <w:t xml:space="preserve">, [1980] 1 S.C.R. 759, </w:t>
      </w:r>
      <w:r w:rsidR="004F6D1C">
        <w:rPr>
          <w:lang w:val="en-CA"/>
        </w:rPr>
        <w:t>p. 7</w:t>
      </w:r>
      <w:r w:rsidRPr="00A4178E">
        <w:rPr>
          <w:lang w:val="en-CA"/>
        </w:rPr>
        <w:t xml:space="preserve">75, cited, notably, in </w:t>
      </w:r>
      <w:r w:rsidRPr="00A4178E">
        <w:rPr>
          <w:i/>
          <w:iCs/>
          <w:lang w:val="en-CA"/>
        </w:rPr>
        <w:t>R. v. Taillefer; R. v. Duguay</w:t>
      </w:r>
      <w:r w:rsidRPr="00A4178E">
        <w:rPr>
          <w:lang w:val="en-CA"/>
        </w:rPr>
        <w:t xml:space="preserve">, 2003 SCC 70, </w:t>
      </w:r>
      <w:r w:rsidR="004F6D1C">
        <w:rPr>
          <w:lang w:val="en-CA"/>
        </w:rPr>
        <w:t>para. 7</w:t>
      </w:r>
      <w:r w:rsidRPr="00A4178E">
        <w:rPr>
          <w:lang w:val="en-CA"/>
        </w:rPr>
        <w:t xml:space="preserve">4. See also: </w:t>
      </w:r>
      <w:r w:rsidRPr="00A4178E">
        <w:rPr>
          <w:i/>
          <w:iCs/>
          <w:lang w:val="en-CA"/>
        </w:rPr>
        <w:t>Lajoie c. R</w:t>
      </w:r>
      <w:r w:rsidRPr="00A4178E">
        <w:rPr>
          <w:lang w:val="en-CA"/>
        </w:rPr>
        <w:t xml:space="preserve">., 2021 QCCA 1631, </w:t>
      </w:r>
      <w:r w:rsidR="004F6D1C">
        <w:rPr>
          <w:lang w:val="en-CA"/>
        </w:rPr>
        <w:t>para. 8</w:t>
      </w:r>
      <w:r w:rsidRPr="00A4178E">
        <w:rPr>
          <w:lang w:val="en-CA"/>
        </w:rPr>
        <w:t>.</w:t>
      </w:r>
    </w:p>
  </w:footnote>
  <w:footnote w:id="32">
    <w:p w14:paraId="7487CEF4" w14:textId="7076B7F0" w:rsidR="00314A01" w:rsidRPr="00A4178E" w:rsidRDefault="00C04FF8" w:rsidP="00314A01">
      <w:pPr>
        <w:pStyle w:val="Notedebasdepage"/>
        <w:rPr>
          <w:lang w:val="en-CA"/>
        </w:rPr>
      </w:pPr>
      <w:r w:rsidRPr="00A4178E">
        <w:rPr>
          <w:rStyle w:val="Appelnotedebasdep"/>
          <w:lang w:val="en-CA"/>
        </w:rPr>
        <w:footnoteRef/>
      </w:r>
      <w:r w:rsidRPr="00A4178E">
        <w:rPr>
          <w:lang w:val="en-CA"/>
        </w:rPr>
        <w:tab/>
      </w:r>
      <w:r w:rsidRPr="00A4178E">
        <w:rPr>
          <w:i/>
          <w:iCs/>
          <w:lang w:val="en-CA"/>
        </w:rPr>
        <w:t>R. v. O</w:t>
      </w:r>
      <w:r w:rsidR="00D06C3F">
        <w:rPr>
          <w:i/>
          <w:iCs/>
          <w:lang w:val="en-CA"/>
        </w:rPr>
        <w:t>’</w:t>
      </w:r>
      <w:r w:rsidRPr="00A4178E">
        <w:rPr>
          <w:i/>
          <w:iCs/>
          <w:lang w:val="en-CA"/>
        </w:rPr>
        <w:t>Brien</w:t>
      </w:r>
      <w:r w:rsidRPr="00A4178E">
        <w:rPr>
          <w:lang w:val="en-CA"/>
        </w:rPr>
        <w:t xml:space="preserve">, [1978] 1 S.C.R. 591, </w:t>
      </w:r>
      <w:r w:rsidR="004F6D1C">
        <w:rPr>
          <w:lang w:val="en-CA"/>
        </w:rPr>
        <w:t>p. 6</w:t>
      </w:r>
      <w:r w:rsidRPr="00A4178E">
        <w:rPr>
          <w:lang w:val="en-CA"/>
        </w:rPr>
        <w:t xml:space="preserve">02. See also: </w:t>
      </w:r>
      <w:r w:rsidRPr="00A4178E">
        <w:rPr>
          <w:i/>
          <w:iCs/>
          <w:lang w:val="en-CA"/>
        </w:rPr>
        <w:t>R. v. Phillips</w:t>
      </w:r>
      <w:r w:rsidRPr="00A4178E">
        <w:rPr>
          <w:lang w:val="en-CA"/>
        </w:rPr>
        <w:t xml:space="preserve">, 2008 ONCA 726, </w:t>
      </w:r>
      <w:r w:rsidR="004F6D1C">
        <w:rPr>
          <w:lang w:val="en-CA"/>
        </w:rPr>
        <w:t>para. 4</w:t>
      </w:r>
      <w:r w:rsidRPr="00A4178E">
        <w:rPr>
          <w:lang w:val="en-CA"/>
        </w:rPr>
        <w:t xml:space="preserve">5; </w:t>
      </w:r>
      <w:r w:rsidRPr="00A4178E">
        <w:rPr>
          <w:i/>
          <w:iCs/>
          <w:lang w:val="en-CA"/>
        </w:rPr>
        <w:t>R. v. Dunbar, Pollard, Leiding and Kravit</w:t>
      </w:r>
      <w:r w:rsidRPr="00A4178E">
        <w:rPr>
          <w:lang w:val="en-CA"/>
        </w:rPr>
        <w:t xml:space="preserve">, 2003 BCCA 667, </w:t>
      </w:r>
      <w:r w:rsidR="004F6D1C">
        <w:rPr>
          <w:lang w:val="en-CA"/>
        </w:rPr>
        <w:t>para. 3</w:t>
      </w:r>
      <w:r w:rsidRPr="00A4178E">
        <w:rPr>
          <w:lang w:val="en-CA"/>
        </w:rPr>
        <w:t>7, application for leave to appeal to the Supreme Court dismissed, August 26, 2004, No. 30329.</w:t>
      </w:r>
    </w:p>
  </w:footnote>
  <w:footnote w:id="33">
    <w:p w14:paraId="7487CEF5" w14:textId="3119D4A5" w:rsidR="00314A01" w:rsidRPr="00A4178E" w:rsidRDefault="00C04FF8" w:rsidP="00314A01">
      <w:pPr>
        <w:pStyle w:val="Notedebasdepage"/>
        <w:rPr>
          <w:lang w:val="en-CA"/>
        </w:rPr>
      </w:pPr>
      <w:r w:rsidRPr="00A4178E">
        <w:rPr>
          <w:rStyle w:val="Appelnotedebasdep"/>
          <w:lang w:val="en-CA"/>
        </w:rPr>
        <w:footnoteRef/>
      </w:r>
      <w:r w:rsidRPr="00A4178E">
        <w:rPr>
          <w:lang w:val="en-CA"/>
        </w:rPr>
        <w:t xml:space="preserve"> </w:t>
      </w:r>
      <w:r w:rsidRPr="00A4178E">
        <w:rPr>
          <w:lang w:val="en-CA"/>
        </w:rPr>
        <w:tab/>
      </w:r>
      <w:r w:rsidRPr="00A4178E">
        <w:rPr>
          <w:i/>
          <w:iCs/>
          <w:lang w:val="en-CA"/>
        </w:rPr>
        <w:t>R. v. S (D)</w:t>
      </w:r>
      <w:r w:rsidRPr="00A4178E">
        <w:rPr>
          <w:lang w:val="en-CA"/>
        </w:rPr>
        <w:t xml:space="preserve">, 2022 MBCA 94, </w:t>
      </w:r>
      <w:r w:rsidR="004F6D1C">
        <w:rPr>
          <w:lang w:val="en-CA"/>
        </w:rPr>
        <w:t>para. 5</w:t>
      </w:r>
      <w:r w:rsidRPr="00A4178E">
        <w:rPr>
          <w:lang w:val="en-CA"/>
        </w:rPr>
        <w:t xml:space="preserve">8. See, for example: </w:t>
      </w:r>
      <w:r w:rsidRPr="00A4178E">
        <w:rPr>
          <w:i/>
          <w:iCs/>
          <w:lang w:val="en-CA"/>
        </w:rPr>
        <w:t>R. v. Bakal</w:t>
      </w:r>
      <w:r w:rsidRPr="00A4178E">
        <w:rPr>
          <w:lang w:val="en-CA"/>
        </w:rPr>
        <w:t xml:space="preserve">, 2023 ONCA 177, </w:t>
      </w:r>
      <w:r w:rsidR="004F6D1C">
        <w:rPr>
          <w:lang w:val="en-CA"/>
        </w:rPr>
        <w:t>para. 5</w:t>
      </w:r>
      <w:r w:rsidRPr="00A4178E">
        <w:rPr>
          <w:lang w:val="en-CA"/>
        </w:rPr>
        <w:t>6</w:t>
      </w:r>
      <w:r w:rsidR="0067114D">
        <w:rPr>
          <w:lang w:val="en-CA"/>
        </w:rPr>
        <w:t>,</w:t>
      </w:r>
      <w:r w:rsidRPr="00A4178E">
        <w:rPr>
          <w:lang w:val="en-CA"/>
        </w:rPr>
        <w:t xml:space="preserve"> and </w:t>
      </w:r>
      <w:r w:rsidRPr="00A4178E">
        <w:rPr>
          <w:i/>
          <w:iCs/>
          <w:lang w:val="en-CA"/>
        </w:rPr>
        <w:t>Truscott (Re)</w:t>
      </w:r>
      <w:r w:rsidRPr="00A4178E">
        <w:rPr>
          <w:lang w:val="en-CA"/>
        </w:rPr>
        <w:t xml:space="preserve">, 2007 ONCA 575, </w:t>
      </w:r>
      <w:r w:rsidR="004F6D1C">
        <w:rPr>
          <w:lang w:val="en-CA"/>
        </w:rPr>
        <w:t>para. 9</w:t>
      </w:r>
      <w:r w:rsidRPr="00A4178E">
        <w:rPr>
          <w:lang w:val="en-CA"/>
        </w:rPr>
        <w:t>2.</w:t>
      </w:r>
    </w:p>
  </w:footnote>
  <w:footnote w:id="34">
    <w:p w14:paraId="7487CEF6" w14:textId="2BE75B7C" w:rsidR="00314A01" w:rsidRPr="00A4178E" w:rsidRDefault="00C04FF8" w:rsidP="00314A01">
      <w:pPr>
        <w:pStyle w:val="Notedebasdepage"/>
        <w:rPr>
          <w:lang w:val="en-CA"/>
        </w:rPr>
      </w:pPr>
      <w:r w:rsidRPr="00A4178E">
        <w:rPr>
          <w:rStyle w:val="Appelnotedebasdep"/>
          <w:lang w:val="en-CA"/>
        </w:rPr>
        <w:footnoteRef/>
      </w:r>
      <w:r w:rsidRPr="00A4178E">
        <w:rPr>
          <w:lang w:val="en-CA"/>
        </w:rPr>
        <w:t xml:space="preserve"> </w:t>
      </w:r>
      <w:r w:rsidRPr="00A4178E">
        <w:rPr>
          <w:lang w:val="en-CA"/>
        </w:rPr>
        <w:tab/>
      </w:r>
      <w:r w:rsidRPr="00A4178E">
        <w:rPr>
          <w:i/>
          <w:iCs/>
          <w:lang w:val="en-CA"/>
        </w:rPr>
        <w:t>R. v. S.C.C</w:t>
      </w:r>
      <w:r w:rsidRPr="00A4178E">
        <w:rPr>
          <w:lang w:val="en-CA"/>
        </w:rPr>
        <w:t>., 2022 YKCA 2, para</w:t>
      </w:r>
      <w:r w:rsidR="004F6D1C">
        <w:rPr>
          <w:lang w:val="en-CA"/>
        </w:rPr>
        <w:t>s. 3</w:t>
      </w:r>
      <w:r w:rsidRPr="00A4178E">
        <w:rPr>
          <w:lang w:val="en-CA"/>
        </w:rPr>
        <w:t xml:space="preserve">6-37, citing, among others, </w:t>
      </w:r>
      <w:r w:rsidRPr="00A4178E">
        <w:rPr>
          <w:i/>
          <w:iCs/>
          <w:lang w:val="en-CA"/>
        </w:rPr>
        <w:t>R. v. Dunbar, Pollard, Leiding and Kravit</w:t>
      </w:r>
      <w:r w:rsidRPr="00A4178E">
        <w:rPr>
          <w:lang w:val="en-CA"/>
        </w:rPr>
        <w:t>, 2003 BCCA 667, para</w:t>
      </w:r>
      <w:r w:rsidR="004F6D1C">
        <w:rPr>
          <w:lang w:val="en-CA"/>
        </w:rPr>
        <w:t>s. 3</w:t>
      </w:r>
      <w:r w:rsidRPr="00A4178E">
        <w:rPr>
          <w:lang w:val="en-CA"/>
        </w:rPr>
        <w:t xml:space="preserve">5-37, application for leave to appeal to the Supreme Court dismissed, August 26, 2004, No. 30329; </w:t>
      </w:r>
      <w:r w:rsidRPr="00A4178E">
        <w:rPr>
          <w:i/>
          <w:iCs/>
          <w:lang w:val="en-CA"/>
        </w:rPr>
        <w:t>R. v. Moazami</w:t>
      </w:r>
      <w:r w:rsidRPr="00A4178E">
        <w:rPr>
          <w:lang w:val="en-CA"/>
        </w:rPr>
        <w:t xml:space="preserve">, 2021 BCCA 328, </w:t>
      </w:r>
      <w:r w:rsidR="004F6D1C">
        <w:rPr>
          <w:lang w:val="en-CA"/>
        </w:rPr>
        <w:t>para. 2</w:t>
      </w:r>
      <w:r w:rsidRPr="00A4178E">
        <w:rPr>
          <w:lang w:val="en-CA"/>
        </w:rPr>
        <w:t xml:space="preserve">36, application for leave to appeal to the Supreme Court dismissed, June 30, 2022, No. 40086; </w:t>
      </w:r>
      <w:r w:rsidRPr="00A4178E">
        <w:rPr>
          <w:i/>
          <w:iCs/>
          <w:lang w:val="en-CA"/>
        </w:rPr>
        <w:t>R. v. Tallio</w:t>
      </w:r>
      <w:r w:rsidRPr="00A4178E">
        <w:rPr>
          <w:lang w:val="en-CA"/>
        </w:rPr>
        <w:t xml:space="preserve">, 2021 BCCA 314, </w:t>
      </w:r>
      <w:r w:rsidR="004F6D1C">
        <w:rPr>
          <w:lang w:val="en-CA"/>
        </w:rPr>
        <w:t>para. 8</w:t>
      </w:r>
      <w:r w:rsidRPr="00A4178E">
        <w:rPr>
          <w:lang w:val="en-CA"/>
        </w:rPr>
        <w:t>5, application for leave to appeal to the Supreme Court dismissed, March 24, 2022, No. 39887.</w:t>
      </w:r>
    </w:p>
  </w:footnote>
  <w:footnote w:id="35">
    <w:p w14:paraId="7487CEF7" w14:textId="193D4D69" w:rsidR="00314A01" w:rsidRPr="00A4178E" w:rsidRDefault="00C04FF8" w:rsidP="00314A01">
      <w:pPr>
        <w:pStyle w:val="Notedebasdepage"/>
        <w:rPr>
          <w:lang w:val="en-CA"/>
        </w:rPr>
      </w:pPr>
      <w:r w:rsidRPr="00A4178E">
        <w:rPr>
          <w:rStyle w:val="Appelnotedebasdep"/>
          <w:lang w:val="en-CA"/>
        </w:rPr>
        <w:footnoteRef/>
      </w:r>
      <w:r w:rsidRPr="00491128">
        <w:rPr>
          <w:lang w:val="en-CA"/>
        </w:rPr>
        <w:t xml:space="preserve"> </w:t>
      </w:r>
      <w:r w:rsidRPr="00491128">
        <w:rPr>
          <w:lang w:val="en-CA"/>
        </w:rPr>
        <w:tab/>
      </w:r>
      <w:r w:rsidRPr="00491128">
        <w:rPr>
          <w:i/>
          <w:iCs/>
          <w:lang w:val="en-CA"/>
        </w:rPr>
        <w:t>R. v. Appleton</w:t>
      </w:r>
      <w:r w:rsidRPr="00491128">
        <w:rPr>
          <w:lang w:val="en-CA"/>
        </w:rPr>
        <w:t>, 2001 CanLII 21204, para</w:t>
      </w:r>
      <w:r w:rsidR="004F6D1C" w:rsidRPr="00491128">
        <w:rPr>
          <w:lang w:val="en-CA"/>
        </w:rPr>
        <w:t>s. </w:t>
      </w:r>
      <w:r w:rsidR="004F6D1C">
        <w:rPr>
          <w:lang w:val="en-CA"/>
        </w:rPr>
        <w:t>2</w:t>
      </w:r>
      <w:r w:rsidRPr="00A4178E">
        <w:rPr>
          <w:lang w:val="en-CA"/>
        </w:rPr>
        <w:t>3-24 (Ont. C.A.), repeatedly cited</w:t>
      </w:r>
      <w:proofErr w:type="gramStart"/>
      <w:r w:rsidRPr="00A4178E">
        <w:rPr>
          <w:lang w:val="en-CA"/>
        </w:rPr>
        <w:t>, in particular, in</w:t>
      </w:r>
      <w:proofErr w:type="gramEnd"/>
      <w:r w:rsidRPr="00A4178E">
        <w:rPr>
          <w:lang w:val="en-CA"/>
        </w:rPr>
        <w:t xml:space="preserve"> </w:t>
      </w:r>
      <w:r w:rsidRPr="00A4178E">
        <w:rPr>
          <w:i/>
          <w:iCs/>
          <w:lang w:val="en-CA"/>
        </w:rPr>
        <w:t>R. v. Ross</w:t>
      </w:r>
      <w:r w:rsidRPr="00A4178E">
        <w:rPr>
          <w:lang w:val="en-CA"/>
        </w:rPr>
        <w:t xml:space="preserve">, 2012 NSCA 56, </w:t>
      </w:r>
      <w:r w:rsidR="004F6D1C">
        <w:rPr>
          <w:lang w:val="en-CA"/>
        </w:rPr>
        <w:t>para. 2</w:t>
      </w:r>
      <w:r w:rsidRPr="00A4178E">
        <w:rPr>
          <w:lang w:val="en-CA"/>
        </w:rPr>
        <w:t xml:space="preserve">7, and </w:t>
      </w:r>
      <w:r w:rsidRPr="00A4178E">
        <w:rPr>
          <w:i/>
          <w:iCs/>
          <w:lang w:val="en-CA"/>
        </w:rPr>
        <w:t>R. v. Dunbar, Pollard, Leiding and Kravit</w:t>
      </w:r>
      <w:r w:rsidRPr="00A4178E">
        <w:rPr>
          <w:lang w:val="en-CA"/>
        </w:rPr>
        <w:t xml:space="preserve">, 2003 BCCA 667, </w:t>
      </w:r>
      <w:r w:rsidR="004F6D1C">
        <w:rPr>
          <w:lang w:val="en-CA"/>
        </w:rPr>
        <w:t>para. 3</w:t>
      </w:r>
      <w:r w:rsidRPr="00A4178E">
        <w:rPr>
          <w:lang w:val="en-CA"/>
        </w:rPr>
        <w:t>5, application for leave to appeal to the Supreme Court dismissed, August 26, 2004, No. 30329.</w:t>
      </w:r>
    </w:p>
  </w:footnote>
  <w:footnote w:id="36">
    <w:p w14:paraId="7487CEF8" w14:textId="4A2DF15F" w:rsidR="00314A01" w:rsidRPr="004D08F1" w:rsidRDefault="00C04FF8" w:rsidP="00314A01">
      <w:pPr>
        <w:pStyle w:val="Notedebasdepage"/>
        <w:rPr>
          <w:lang w:val="en-CA"/>
        </w:rPr>
      </w:pPr>
      <w:r w:rsidRPr="00A4178E">
        <w:rPr>
          <w:rStyle w:val="Appelnotedebasdep"/>
          <w:lang w:val="en-CA"/>
        </w:rPr>
        <w:footnoteRef/>
      </w:r>
      <w:r w:rsidRPr="00491128">
        <w:rPr>
          <w:lang w:val="en-CA"/>
        </w:rPr>
        <w:t xml:space="preserve"> </w:t>
      </w:r>
      <w:r w:rsidRPr="00491128">
        <w:rPr>
          <w:lang w:val="en-CA"/>
        </w:rPr>
        <w:tab/>
      </w:r>
      <w:r w:rsidRPr="00491128">
        <w:rPr>
          <w:i/>
          <w:iCs/>
          <w:lang w:val="en-CA"/>
        </w:rPr>
        <w:t>Lajoie c. R</w:t>
      </w:r>
      <w:r w:rsidRPr="00491128">
        <w:rPr>
          <w:lang w:val="en-CA"/>
        </w:rPr>
        <w:t>., 2021 Q</w:t>
      </w:r>
      <w:r w:rsidRPr="004D08F1">
        <w:rPr>
          <w:lang w:val="en-CA"/>
        </w:rPr>
        <w:t xml:space="preserve">CCA 1631, </w:t>
      </w:r>
      <w:r w:rsidR="004F6D1C" w:rsidRPr="004D08F1">
        <w:rPr>
          <w:lang w:val="en-CA"/>
        </w:rPr>
        <w:t>para. 8</w:t>
      </w:r>
      <w:r w:rsidRPr="004D08F1">
        <w:rPr>
          <w:lang w:val="en-CA"/>
        </w:rPr>
        <w:t xml:space="preserve">, citing </w:t>
      </w:r>
      <w:r w:rsidRPr="004D08F1">
        <w:rPr>
          <w:i/>
          <w:iCs/>
          <w:lang w:val="en-CA"/>
        </w:rPr>
        <w:t>André c. R.</w:t>
      </w:r>
      <w:r w:rsidRPr="004D08F1">
        <w:rPr>
          <w:lang w:val="en-CA"/>
        </w:rPr>
        <w:t>, 2019 QCCA 440, para</w:t>
      </w:r>
      <w:r w:rsidR="004F6D1C" w:rsidRPr="004D08F1">
        <w:rPr>
          <w:lang w:val="en-CA"/>
        </w:rPr>
        <w:t>s. 3</w:t>
      </w:r>
      <w:r w:rsidRPr="004D08F1">
        <w:rPr>
          <w:lang w:val="en-CA"/>
        </w:rPr>
        <w:t>7-38.</w:t>
      </w:r>
    </w:p>
  </w:footnote>
  <w:footnote w:id="37">
    <w:p w14:paraId="7487CEF9" w14:textId="7983FD3D" w:rsidR="00314A01" w:rsidRPr="004D08F1" w:rsidRDefault="00C04FF8" w:rsidP="00314A01">
      <w:pPr>
        <w:pStyle w:val="Notedebasdepage"/>
        <w:rPr>
          <w:lang w:val="en-CA"/>
        </w:rPr>
      </w:pPr>
      <w:r w:rsidRPr="004D08F1">
        <w:rPr>
          <w:rStyle w:val="Appelnotedebasdep"/>
          <w:lang w:val="en-CA"/>
        </w:rPr>
        <w:footnoteRef/>
      </w:r>
      <w:r w:rsidRPr="004D08F1">
        <w:rPr>
          <w:lang w:val="en-CA"/>
        </w:rPr>
        <w:t xml:space="preserve"> </w:t>
      </w:r>
      <w:r w:rsidRPr="004D08F1">
        <w:rPr>
          <w:lang w:val="en-CA"/>
        </w:rPr>
        <w:tab/>
      </w:r>
      <w:r w:rsidRPr="004D08F1">
        <w:rPr>
          <w:i/>
          <w:iCs/>
          <w:lang w:val="en-CA"/>
        </w:rPr>
        <w:t>R. v. Stolar</w:t>
      </w:r>
      <w:r w:rsidRPr="004D08F1">
        <w:rPr>
          <w:lang w:val="en-CA"/>
        </w:rPr>
        <w:t>, [1988] R.C.</w:t>
      </w:r>
      <w:r w:rsidR="004F6D1C" w:rsidRPr="004D08F1">
        <w:rPr>
          <w:lang w:val="en-CA"/>
        </w:rPr>
        <w:t>S. 4</w:t>
      </w:r>
      <w:r w:rsidRPr="004D08F1">
        <w:rPr>
          <w:lang w:val="en-CA"/>
        </w:rPr>
        <w:t xml:space="preserve">80, </w:t>
      </w:r>
      <w:r w:rsidR="004F6D1C" w:rsidRPr="004D08F1">
        <w:rPr>
          <w:lang w:val="en-CA"/>
        </w:rPr>
        <w:t>p. 4</w:t>
      </w:r>
      <w:r w:rsidRPr="004D08F1">
        <w:rPr>
          <w:lang w:val="en-CA"/>
        </w:rPr>
        <w:t>92.</w:t>
      </w:r>
    </w:p>
  </w:footnote>
  <w:footnote w:id="38">
    <w:p w14:paraId="7487CEFA" w14:textId="0D5F2D03" w:rsidR="00314A01" w:rsidRPr="00A4178E" w:rsidRDefault="00C04FF8" w:rsidP="00314A01">
      <w:pPr>
        <w:pStyle w:val="Notedebasdepage"/>
        <w:rPr>
          <w:lang w:val="en-CA"/>
        </w:rPr>
      </w:pPr>
      <w:r w:rsidRPr="004D08F1">
        <w:rPr>
          <w:rStyle w:val="Appelnotedebasdep"/>
          <w:lang w:val="en-CA"/>
        </w:rPr>
        <w:footnoteRef/>
      </w:r>
      <w:r w:rsidRPr="004D08F1">
        <w:rPr>
          <w:lang w:val="en-CA"/>
        </w:rPr>
        <w:tab/>
        <w:t xml:space="preserve">See </w:t>
      </w:r>
      <w:r w:rsidR="004F6D1C" w:rsidRPr="004D08F1">
        <w:rPr>
          <w:lang w:val="en-CA"/>
        </w:rPr>
        <w:t>s. 2</w:t>
      </w:r>
      <w:r w:rsidRPr="004D08F1">
        <w:rPr>
          <w:lang w:val="en-CA"/>
        </w:rPr>
        <w:t xml:space="preserve">76(4) </w:t>
      </w:r>
      <w:r w:rsidRPr="004D08F1">
        <w:rPr>
          <w:i/>
          <w:iCs/>
          <w:lang w:val="en-CA"/>
        </w:rPr>
        <w:t>Cr.C.</w:t>
      </w:r>
      <w:r w:rsidRPr="00A4178E">
        <w:rPr>
          <w:lang w:val="en-CA"/>
        </w:rPr>
        <w:t xml:space="preserve">, which specifies that for purposes of this section, </w:t>
      </w:r>
      <w:r w:rsidR="00D06C3F">
        <w:rPr>
          <w:lang w:val="en-CA"/>
        </w:rPr>
        <w:t>“</w:t>
      </w:r>
      <w:r w:rsidRPr="00A4178E">
        <w:rPr>
          <w:b/>
          <w:bCs/>
          <w:lang w:val="en-CA"/>
        </w:rPr>
        <w:t>sexual activity</w:t>
      </w:r>
      <w:r w:rsidRPr="00A4178E">
        <w:rPr>
          <w:lang w:val="en-CA"/>
        </w:rPr>
        <w:t xml:space="preserve"> includes any communication made for a sexual purpose or whose content is of a sexual nature</w:t>
      </w:r>
      <w:r w:rsidR="00D06C3F">
        <w:rPr>
          <w:lang w:val="en-CA"/>
        </w:rPr>
        <w:t>”</w:t>
      </w:r>
      <w:r w:rsidRPr="00A4178E">
        <w:rPr>
          <w:lang w:val="en-CA"/>
        </w:rPr>
        <w:t>.</w:t>
      </w:r>
    </w:p>
  </w:footnote>
  <w:footnote w:id="39">
    <w:p w14:paraId="7487CEFB" w14:textId="71FADC71" w:rsidR="00314A01" w:rsidRPr="00A4178E" w:rsidRDefault="00C04FF8" w:rsidP="00314A01">
      <w:pPr>
        <w:pStyle w:val="Notedebasdepage"/>
        <w:rPr>
          <w:lang w:val="en-CA"/>
        </w:rPr>
      </w:pPr>
      <w:r w:rsidRPr="00A4178E">
        <w:rPr>
          <w:rStyle w:val="Appelnotedebasdep"/>
          <w:lang w:val="en-CA"/>
        </w:rPr>
        <w:footnoteRef/>
      </w:r>
      <w:r w:rsidRPr="00A4178E">
        <w:rPr>
          <w:lang w:val="en-CA"/>
        </w:rPr>
        <w:tab/>
        <w:t xml:space="preserve">Application for leave to adduce fresh evidence, July 19, 2023, </w:t>
      </w:r>
      <w:r w:rsidR="004F6D1C">
        <w:rPr>
          <w:lang w:val="en-CA"/>
        </w:rPr>
        <w:t>para. 8</w:t>
      </w:r>
      <w:r w:rsidRPr="00A4178E">
        <w:rPr>
          <w:lang w:val="en-CA"/>
        </w:rPr>
        <w:t xml:space="preserve">. </w:t>
      </w:r>
    </w:p>
  </w:footnote>
  <w:footnote w:id="40">
    <w:p w14:paraId="7487CEFC" w14:textId="353E2377" w:rsidR="00314A01" w:rsidRPr="00A4178E" w:rsidRDefault="00C04FF8" w:rsidP="00314A01">
      <w:pPr>
        <w:pStyle w:val="Notedebasdepage"/>
        <w:rPr>
          <w:lang w:val="en-CA"/>
        </w:rPr>
      </w:pPr>
      <w:r w:rsidRPr="00A4178E">
        <w:rPr>
          <w:rStyle w:val="Appelnotedebasdep"/>
          <w:lang w:val="en-CA"/>
        </w:rPr>
        <w:footnoteRef/>
      </w:r>
      <w:r w:rsidRPr="00A4178E">
        <w:rPr>
          <w:lang w:val="en-CA"/>
        </w:rPr>
        <w:t xml:space="preserve"> </w:t>
      </w:r>
      <w:r w:rsidRPr="00A4178E">
        <w:rPr>
          <w:lang w:val="en-CA"/>
        </w:rPr>
        <w:tab/>
        <w:t xml:space="preserve">Testimony of </w:t>
      </w:r>
      <w:r w:rsidR="00DC6614">
        <w:rPr>
          <w:lang w:val="en-CA"/>
        </w:rPr>
        <w:t>S.</w:t>
      </w:r>
      <w:r w:rsidRPr="00A4178E">
        <w:rPr>
          <w:lang w:val="en-CA"/>
        </w:rPr>
        <w:t> </w:t>
      </w:r>
      <w:r w:rsidR="00DC6614">
        <w:rPr>
          <w:lang w:val="en-CA"/>
        </w:rPr>
        <w:t>G.</w:t>
      </w:r>
      <w:r w:rsidRPr="00A4178E">
        <w:rPr>
          <w:lang w:val="en-CA"/>
        </w:rPr>
        <w:t>, November 4, 2021, p</w:t>
      </w:r>
      <w:r w:rsidR="004F6D1C">
        <w:rPr>
          <w:lang w:val="en-CA"/>
        </w:rPr>
        <w:t>p. 4</w:t>
      </w:r>
      <w:r w:rsidRPr="00A4178E">
        <w:rPr>
          <w:lang w:val="en-CA"/>
        </w:rPr>
        <w:t xml:space="preserve">4-45 and 144. </w:t>
      </w:r>
    </w:p>
  </w:footnote>
  <w:footnote w:id="41">
    <w:p w14:paraId="7487CEFD" w14:textId="6BD94F5C" w:rsidR="00314A01" w:rsidRPr="00A4178E" w:rsidRDefault="00C04FF8" w:rsidP="00314A01">
      <w:pPr>
        <w:pStyle w:val="Notedebasdepage"/>
        <w:rPr>
          <w:lang w:val="en-CA"/>
        </w:rPr>
      </w:pPr>
      <w:r w:rsidRPr="00A4178E">
        <w:rPr>
          <w:rStyle w:val="Appelnotedebasdep"/>
          <w:lang w:val="en-CA"/>
        </w:rPr>
        <w:footnoteRef/>
      </w:r>
      <w:r w:rsidRPr="00A4178E">
        <w:rPr>
          <w:lang w:val="en-CA"/>
        </w:rPr>
        <w:tab/>
        <w:t xml:space="preserve">Application for leave to adduce fresh evidence, July 19, 2023, </w:t>
      </w:r>
      <w:r w:rsidR="004F6D1C">
        <w:rPr>
          <w:lang w:val="en-CA"/>
        </w:rPr>
        <w:t>para. 1</w:t>
      </w:r>
      <w:r w:rsidRPr="00A4178E">
        <w:rPr>
          <w:lang w:val="en-CA"/>
        </w:rPr>
        <w:t xml:space="preserve">0. </w:t>
      </w:r>
    </w:p>
  </w:footnote>
  <w:footnote w:id="42">
    <w:p w14:paraId="7487CEFE" w14:textId="2569758B" w:rsidR="00314A01" w:rsidRPr="00A4178E" w:rsidRDefault="00C04FF8" w:rsidP="00314A01">
      <w:pPr>
        <w:pStyle w:val="Notedebasdepage"/>
        <w:rPr>
          <w:lang w:val="en-CA"/>
        </w:rPr>
      </w:pPr>
      <w:r w:rsidRPr="00A4178E">
        <w:rPr>
          <w:rStyle w:val="Appelnotedebasdep"/>
          <w:lang w:val="en-CA"/>
        </w:rPr>
        <w:footnoteRef/>
      </w:r>
      <w:r w:rsidRPr="00A4178E">
        <w:rPr>
          <w:lang w:val="en-CA"/>
        </w:rPr>
        <w:tab/>
        <w:t>When cross-examined out of court on this point, the appellant stated that the complainant knew he was taking [translation]</w:t>
      </w:r>
      <w:r w:rsidR="008D7F70">
        <w:rPr>
          <w:lang w:val="en-CA"/>
        </w:rPr>
        <w:t> </w:t>
      </w:r>
      <w:r w:rsidR="00D06C3F">
        <w:rPr>
          <w:lang w:val="en-CA"/>
        </w:rPr>
        <w:t>“</w:t>
      </w:r>
      <w:r w:rsidRPr="00A4178E">
        <w:rPr>
          <w:lang w:val="en-CA"/>
        </w:rPr>
        <w:t>those photographs</w:t>
      </w:r>
      <w:r w:rsidR="00D06C3F">
        <w:rPr>
          <w:lang w:val="en-CA"/>
        </w:rPr>
        <w:t>”</w:t>
      </w:r>
      <w:r w:rsidRPr="00A4178E">
        <w:rPr>
          <w:lang w:val="en-CA"/>
        </w:rPr>
        <w:t xml:space="preserve"> and that, to the best of his recollection, they were [translation]</w:t>
      </w:r>
      <w:r w:rsidR="008D7F70">
        <w:rPr>
          <w:lang w:val="en-CA"/>
        </w:rPr>
        <w:t> </w:t>
      </w:r>
      <w:r w:rsidR="00D06C3F">
        <w:rPr>
          <w:lang w:val="en-CA"/>
        </w:rPr>
        <w:t>“</w:t>
      </w:r>
      <w:r w:rsidRPr="00A4178E">
        <w:rPr>
          <w:lang w:val="en-CA"/>
        </w:rPr>
        <w:t>pictures that were sent</w:t>
      </w:r>
      <w:r w:rsidR="00D06C3F">
        <w:rPr>
          <w:lang w:val="en-CA"/>
        </w:rPr>
        <w:t>”</w:t>
      </w:r>
      <w:r w:rsidRPr="00A4178E">
        <w:rPr>
          <w:lang w:val="en-CA"/>
        </w:rPr>
        <w:t>. See the out-of-court cross-examination of November 14, 2023, p</w:t>
      </w:r>
      <w:r w:rsidR="004F6D1C">
        <w:rPr>
          <w:lang w:val="en-CA"/>
        </w:rPr>
        <w:t>p. 4</w:t>
      </w:r>
      <w:r w:rsidRPr="00A4178E">
        <w:rPr>
          <w:lang w:val="en-CA"/>
        </w:rPr>
        <w:t>9-50.</w:t>
      </w:r>
    </w:p>
  </w:footnote>
  <w:footnote w:id="43">
    <w:p w14:paraId="7487CEFF" w14:textId="134620FB" w:rsidR="00314A01" w:rsidRPr="00A4178E" w:rsidRDefault="00C04FF8" w:rsidP="00314A01">
      <w:pPr>
        <w:pStyle w:val="Notedebasdepage"/>
        <w:rPr>
          <w:lang w:val="en-CA"/>
        </w:rPr>
      </w:pPr>
      <w:r w:rsidRPr="00A4178E">
        <w:rPr>
          <w:rStyle w:val="Appelnotedebasdep"/>
          <w:lang w:val="en-CA"/>
        </w:rPr>
        <w:footnoteRef/>
      </w:r>
      <w:r w:rsidRPr="00A4178E">
        <w:rPr>
          <w:lang w:val="en-CA"/>
        </w:rPr>
        <w:tab/>
      </w:r>
      <w:r w:rsidRPr="00A4178E">
        <w:rPr>
          <w:i/>
          <w:iCs/>
          <w:lang w:val="en-CA"/>
        </w:rPr>
        <w:t>R. v. Kinamore</w:t>
      </w:r>
      <w:r w:rsidRPr="00A4178E">
        <w:rPr>
          <w:lang w:val="en-CA"/>
        </w:rPr>
        <w:t xml:space="preserve">, 2025 SCC 19, </w:t>
      </w:r>
      <w:r w:rsidR="004F6D1C">
        <w:rPr>
          <w:lang w:val="en-CA"/>
        </w:rPr>
        <w:t>para. 2</w:t>
      </w:r>
      <w:r w:rsidRPr="00A4178E">
        <w:rPr>
          <w:lang w:val="en-CA"/>
        </w:rPr>
        <w:t xml:space="preserve">9, referring to: </w:t>
      </w:r>
      <w:r w:rsidRPr="00A4178E">
        <w:rPr>
          <w:i/>
          <w:iCs/>
          <w:lang w:val="en-CA"/>
        </w:rPr>
        <w:t>R. v. Kruk</w:t>
      </w:r>
      <w:r w:rsidRPr="00A4178E">
        <w:rPr>
          <w:lang w:val="en-CA"/>
        </w:rPr>
        <w:t xml:space="preserve">, 2024 SCC 7, </w:t>
      </w:r>
      <w:r w:rsidR="004F6D1C">
        <w:rPr>
          <w:lang w:val="en-CA"/>
        </w:rPr>
        <w:t>para. </w:t>
      </w:r>
      <w:r w:rsidR="004F6D1C" w:rsidRPr="00D32AAA">
        <w:rPr>
          <w:lang w:val="en-CA"/>
        </w:rPr>
        <w:t>4</w:t>
      </w:r>
      <w:r w:rsidRPr="00D32AAA">
        <w:rPr>
          <w:lang w:val="en-CA"/>
        </w:rPr>
        <w:t xml:space="preserve">0; </w:t>
      </w:r>
      <w:r w:rsidRPr="00D32AAA">
        <w:rPr>
          <w:i/>
          <w:iCs/>
          <w:lang w:val="en-CA"/>
        </w:rPr>
        <w:t>R. v. Barton</w:t>
      </w:r>
      <w:r w:rsidRPr="00D32AAA">
        <w:rPr>
          <w:lang w:val="en-CA"/>
        </w:rPr>
        <w:t xml:space="preserve">, 2019 SCC 33, </w:t>
      </w:r>
      <w:r w:rsidR="004F6D1C" w:rsidRPr="00D32AAA">
        <w:rPr>
          <w:lang w:val="en-CA"/>
        </w:rPr>
        <w:t>para. 5</w:t>
      </w:r>
      <w:r w:rsidRPr="00D32AAA">
        <w:rPr>
          <w:lang w:val="en-CA"/>
        </w:rPr>
        <w:t xml:space="preserve">8; </w:t>
      </w:r>
      <w:r w:rsidRPr="00D32AAA">
        <w:rPr>
          <w:i/>
          <w:iCs/>
          <w:lang w:val="en-CA"/>
        </w:rPr>
        <w:t>R. v. Darrach</w:t>
      </w:r>
      <w:r w:rsidRPr="00D32AAA">
        <w:rPr>
          <w:lang w:val="en-CA"/>
        </w:rPr>
        <w:t xml:space="preserve">, 2000 SCC 46, </w:t>
      </w:r>
      <w:r w:rsidR="004F6D1C" w:rsidRPr="00D32AAA">
        <w:rPr>
          <w:lang w:val="en-CA"/>
        </w:rPr>
        <w:t>para. </w:t>
      </w:r>
      <w:r w:rsidR="004F6D1C">
        <w:rPr>
          <w:lang w:val="en-CA"/>
        </w:rPr>
        <w:t>2</w:t>
      </w:r>
      <w:r w:rsidRPr="00A4178E">
        <w:rPr>
          <w:lang w:val="en-CA"/>
        </w:rPr>
        <w:t>5.</w:t>
      </w:r>
    </w:p>
  </w:footnote>
  <w:footnote w:id="44">
    <w:p w14:paraId="7487CF00" w14:textId="33354A34" w:rsidR="00314A01" w:rsidRPr="00A4178E" w:rsidRDefault="00C04FF8" w:rsidP="00314A01">
      <w:pPr>
        <w:pStyle w:val="Notedebasdepage"/>
        <w:rPr>
          <w:lang w:val="en-CA"/>
        </w:rPr>
      </w:pPr>
      <w:r w:rsidRPr="00A4178E">
        <w:rPr>
          <w:rStyle w:val="Appelnotedebasdep"/>
          <w:lang w:val="en-CA"/>
        </w:rPr>
        <w:footnoteRef/>
      </w:r>
      <w:r w:rsidRPr="00A4178E">
        <w:rPr>
          <w:lang w:val="en-CA"/>
        </w:rPr>
        <w:tab/>
        <w:t xml:space="preserve">This applies both to the evidence tendered by the prosecution (the Crown-led evidence) and to the evidence tendered by the defence (the defence-led evidence): </w:t>
      </w:r>
      <w:r w:rsidRPr="00A4178E">
        <w:rPr>
          <w:i/>
          <w:iCs/>
          <w:lang w:val="en-CA"/>
        </w:rPr>
        <w:t>R. v. Kinamore</w:t>
      </w:r>
      <w:r w:rsidRPr="00A4178E">
        <w:rPr>
          <w:lang w:val="en-CA"/>
        </w:rPr>
        <w:t xml:space="preserve">, 2025 SCC 19, </w:t>
      </w:r>
      <w:r w:rsidR="004F6D1C">
        <w:rPr>
          <w:lang w:val="en-CA"/>
        </w:rPr>
        <w:t>para. 3</w:t>
      </w:r>
      <w:r w:rsidRPr="00A4178E">
        <w:rPr>
          <w:lang w:val="en-CA"/>
        </w:rPr>
        <w:t>3.</w:t>
      </w:r>
    </w:p>
  </w:footnote>
  <w:footnote w:id="45">
    <w:p w14:paraId="7487CF01" w14:textId="7B6CC9D2" w:rsidR="00314A01" w:rsidRPr="00A4178E" w:rsidRDefault="00C04FF8" w:rsidP="00314A01">
      <w:pPr>
        <w:pStyle w:val="Notedebasdepage"/>
        <w:rPr>
          <w:lang w:val="en-CA"/>
        </w:rPr>
      </w:pPr>
      <w:r w:rsidRPr="00A4178E">
        <w:rPr>
          <w:rStyle w:val="Appelnotedebasdep"/>
          <w:lang w:val="en-CA"/>
        </w:rPr>
        <w:footnoteRef/>
      </w:r>
      <w:r w:rsidRPr="00A4178E">
        <w:rPr>
          <w:lang w:val="en-CA"/>
        </w:rPr>
        <w:tab/>
      </w:r>
      <w:r w:rsidRPr="00A4178E">
        <w:rPr>
          <w:i/>
          <w:iCs/>
          <w:lang w:val="en-CA"/>
        </w:rPr>
        <w:t>R. v. Kinamore</w:t>
      </w:r>
      <w:r w:rsidRPr="00A4178E">
        <w:rPr>
          <w:lang w:val="en-CA"/>
        </w:rPr>
        <w:t xml:space="preserve">, 2025 SCC 19, </w:t>
      </w:r>
      <w:r w:rsidR="004F6D1C">
        <w:rPr>
          <w:lang w:val="en-CA"/>
        </w:rPr>
        <w:t>para. 2</w:t>
      </w:r>
      <w:r w:rsidRPr="00A4178E">
        <w:rPr>
          <w:lang w:val="en-CA"/>
        </w:rPr>
        <w:t>4.</w:t>
      </w:r>
    </w:p>
  </w:footnote>
  <w:footnote w:id="46">
    <w:p w14:paraId="7487CF02" w14:textId="4FF25792" w:rsidR="00314A01" w:rsidRPr="00A4178E" w:rsidRDefault="00C04FF8" w:rsidP="00314A01">
      <w:pPr>
        <w:pStyle w:val="Notedebasdepage"/>
        <w:rPr>
          <w:lang w:val="en-CA"/>
        </w:rPr>
      </w:pPr>
      <w:r w:rsidRPr="00A4178E">
        <w:rPr>
          <w:rStyle w:val="Appelnotedebasdep"/>
          <w:lang w:val="en-CA"/>
        </w:rPr>
        <w:footnoteRef/>
      </w:r>
      <w:r w:rsidRPr="00A4178E">
        <w:rPr>
          <w:lang w:val="en-CA"/>
        </w:rPr>
        <w:tab/>
      </w:r>
      <w:r w:rsidRPr="00A4178E">
        <w:rPr>
          <w:i/>
          <w:iCs/>
          <w:lang w:val="en-CA"/>
        </w:rPr>
        <w:t>Id</w:t>
      </w:r>
      <w:r w:rsidRPr="00A4178E">
        <w:rPr>
          <w:lang w:val="en-CA"/>
        </w:rPr>
        <w:t xml:space="preserve">., </w:t>
      </w:r>
      <w:r w:rsidR="004F6D1C">
        <w:rPr>
          <w:lang w:val="en-CA"/>
        </w:rPr>
        <w:t>para. 4</w:t>
      </w:r>
      <w:r w:rsidRPr="00A4178E">
        <w:rPr>
          <w:lang w:val="en-CA"/>
        </w:rPr>
        <w:t>9.</w:t>
      </w:r>
    </w:p>
  </w:footnote>
  <w:footnote w:id="47">
    <w:p w14:paraId="7487CF03" w14:textId="77777777" w:rsidR="00314A01" w:rsidRPr="00A4178E" w:rsidRDefault="00C04FF8" w:rsidP="00314A01">
      <w:pPr>
        <w:pStyle w:val="Notedebasdepage"/>
        <w:rPr>
          <w:lang w:val="en-CA"/>
        </w:rPr>
      </w:pPr>
      <w:r w:rsidRPr="00A4178E">
        <w:rPr>
          <w:rStyle w:val="Appelnotedebasdep"/>
          <w:lang w:val="en-CA"/>
        </w:rPr>
        <w:footnoteRef/>
      </w:r>
      <w:r w:rsidRPr="00A4178E">
        <w:rPr>
          <w:lang w:val="en-CA"/>
        </w:rPr>
        <w:tab/>
        <w:t>Subsections 278.94(2) and (3) </w:t>
      </w:r>
      <w:r w:rsidRPr="00A4178E">
        <w:rPr>
          <w:i/>
          <w:iCs/>
          <w:lang w:val="en-CA"/>
        </w:rPr>
        <w:t>Cr.C.</w:t>
      </w:r>
    </w:p>
  </w:footnote>
  <w:footnote w:id="48">
    <w:p w14:paraId="7487CF04" w14:textId="0A69309A" w:rsidR="00314A01" w:rsidRPr="00242D27" w:rsidRDefault="00C04FF8" w:rsidP="00314A01">
      <w:pPr>
        <w:pStyle w:val="Notedebasdepage"/>
        <w:rPr>
          <w:lang w:val="en-CA"/>
        </w:rPr>
      </w:pPr>
      <w:r w:rsidRPr="00A4178E">
        <w:rPr>
          <w:rStyle w:val="Appelnotedebasdep"/>
          <w:lang w:val="en-CA"/>
        </w:rPr>
        <w:footnoteRef/>
      </w:r>
      <w:r w:rsidRPr="00242D27">
        <w:rPr>
          <w:lang w:val="en-CA"/>
        </w:rPr>
        <w:tab/>
      </w:r>
      <w:r w:rsidRPr="00242D27">
        <w:rPr>
          <w:i/>
          <w:iCs/>
          <w:lang w:val="en-CA"/>
        </w:rPr>
        <w:t>R. v. T.W.W.</w:t>
      </w:r>
      <w:r w:rsidRPr="00242D27">
        <w:rPr>
          <w:lang w:val="en-CA"/>
        </w:rPr>
        <w:t xml:space="preserve">, 2024 SCC 19, </w:t>
      </w:r>
      <w:r w:rsidR="004F6D1C" w:rsidRPr="00242D27">
        <w:rPr>
          <w:lang w:val="en-CA"/>
        </w:rPr>
        <w:t>para. 6</w:t>
      </w:r>
      <w:r w:rsidRPr="00242D27">
        <w:rPr>
          <w:lang w:val="en-CA"/>
        </w:rPr>
        <w:t>5.</w:t>
      </w:r>
    </w:p>
  </w:footnote>
  <w:footnote w:id="49">
    <w:p w14:paraId="7487CF05" w14:textId="6BB59B84" w:rsidR="00314A01" w:rsidRPr="00A4178E" w:rsidRDefault="00C04FF8" w:rsidP="00314A01">
      <w:pPr>
        <w:pStyle w:val="Notedebasdepage"/>
        <w:rPr>
          <w:lang w:val="en-CA"/>
        </w:rPr>
      </w:pPr>
      <w:r w:rsidRPr="00A4178E">
        <w:rPr>
          <w:rStyle w:val="Appelnotedebasdep"/>
          <w:lang w:val="en-CA"/>
        </w:rPr>
        <w:footnoteRef/>
      </w:r>
      <w:r w:rsidRPr="00242D27">
        <w:rPr>
          <w:lang w:val="en-CA"/>
        </w:rPr>
        <w:tab/>
      </w:r>
      <w:r w:rsidRPr="00242D27">
        <w:rPr>
          <w:i/>
          <w:iCs/>
          <w:lang w:val="en-CA"/>
        </w:rPr>
        <w:t>R. v. Davies</w:t>
      </w:r>
      <w:r w:rsidRPr="00242D27">
        <w:rPr>
          <w:lang w:val="en-CA"/>
        </w:rPr>
        <w:t xml:space="preserve">, 2022 BCCA 103, </w:t>
      </w:r>
      <w:r w:rsidR="004F6D1C" w:rsidRPr="00242D27">
        <w:rPr>
          <w:lang w:val="en-CA"/>
        </w:rPr>
        <w:t>para. </w:t>
      </w:r>
      <w:r w:rsidR="004F6D1C">
        <w:rPr>
          <w:lang w:val="en-CA"/>
        </w:rPr>
        <w:t>1</w:t>
      </w:r>
      <w:r w:rsidRPr="00A4178E">
        <w:rPr>
          <w:lang w:val="en-CA"/>
        </w:rPr>
        <w:t>8, cited with approval by O</w:t>
      </w:r>
      <w:r w:rsidR="00D06C3F">
        <w:rPr>
          <w:lang w:val="en-CA"/>
        </w:rPr>
        <w:t>’</w:t>
      </w:r>
      <w:r w:rsidRPr="00A4178E">
        <w:rPr>
          <w:lang w:val="en-CA"/>
        </w:rPr>
        <w:t xml:space="preserve">Bonsawin, J. in </w:t>
      </w:r>
      <w:r w:rsidRPr="00A4178E">
        <w:rPr>
          <w:i/>
          <w:iCs/>
          <w:lang w:val="en-CA"/>
        </w:rPr>
        <w:t>R. v. T.W.W.</w:t>
      </w:r>
      <w:r w:rsidRPr="00A4178E">
        <w:rPr>
          <w:lang w:val="en-CA"/>
        </w:rPr>
        <w:t xml:space="preserve">, 2024 SCC 19, </w:t>
      </w:r>
      <w:r w:rsidR="004F6D1C">
        <w:rPr>
          <w:lang w:val="en-CA"/>
        </w:rPr>
        <w:t>para. 6</w:t>
      </w:r>
      <w:r w:rsidRPr="00A4178E">
        <w:rPr>
          <w:lang w:val="en-CA"/>
        </w:rPr>
        <w:t xml:space="preserve">9. See also: </w:t>
      </w:r>
      <w:r w:rsidRPr="00A4178E">
        <w:rPr>
          <w:i/>
          <w:iCs/>
          <w:lang w:val="en-CA"/>
        </w:rPr>
        <w:t>R. v. D.V.</w:t>
      </w:r>
      <w:r w:rsidRPr="00A4178E">
        <w:rPr>
          <w:lang w:val="en-CA"/>
        </w:rPr>
        <w:t xml:space="preserve">, 2025 ONCA 67, </w:t>
      </w:r>
      <w:r w:rsidR="004F6D1C">
        <w:rPr>
          <w:lang w:val="en-CA"/>
        </w:rPr>
        <w:t>para. 2</w:t>
      </w:r>
      <w:r w:rsidRPr="00A4178E">
        <w:rPr>
          <w:lang w:val="en-CA"/>
        </w:rPr>
        <w:t xml:space="preserve">4. </w:t>
      </w:r>
    </w:p>
  </w:footnote>
  <w:footnote w:id="50">
    <w:p w14:paraId="7487CF06" w14:textId="77777777" w:rsidR="00314A01" w:rsidRPr="00A4178E" w:rsidRDefault="00C04FF8" w:rsidP="00314A01">
      <w:pPr>
        <w:pStyle w:val="Notedebasdepage"/>
        <w:rPr>
          <w:lang w:val="en-CA"/>
        </w:rPr>
      </w:pPr>
      <w:r w:rsidRPr="00A4178E">
        <w:rPr>
          <w:rStyle w:val="Appelnotedebasdep"/>
          <w:lang w:val="en-CA"/>
        </w:rPr>
        <w:footnoteRef/>
      </w:r>
      <w:r w:rsidRPr="00A4178E">
        <w:rPr>
          <w:lang w:val="en-CA"/>
        </w:rPr>
        <w:tab/>
      </w:r>
      <w:r w:rsidRPr="00A4178E">
        <w:rPr>
          <w:i/>
          <w:iCs/>
          <w:lang w:val="en-CA"/>
        </w:rPr>
        <w:t>R. v. S (D)</w:t>
      </w:r>
      <w:r w:rsidRPr="00A4178E">
        <w:rPr>
          <w:lang w:val="en-CA"/>
        </w:rPr>
        <w:t>, 2022 MBCA 94.</w:t>
      </w:r>
    </w:p>
  </w:footnote>
  <w:footnote w:id="51">
    <w:p w14:paraId="7487CF07" w14:textId="77777777" w:rsidR="00314A01" w:rsidRPr="00A4178E" w:rsidRDefault="00C04FF8" w:rsidP="00314A01">
      <w:pPr>
        <w:pStyle w:val="Notedebasdepage"/>
        <w:rPr>
          <w:lang w:val="en-CA"/>
        </w:rPr>
      </w:pPr>
      <w:r w:rsidRPr="00A4178E">
        <w:rPr>
          <w:rStyle w:val="Appelnotedebasdep"/>
          <w:lang w:val="en-CA"/>
        </w:rPr>
        <w:footnoteRef/>
      </w:r>
      <w:r w:rsidRPr="00A4178E">
        <w:rPr>
          <w:lang w:val="en-CA"/>
        </w:rPr>
        <w:t xml:space="preserve"> </w:t>
      </w:r>
      <w:r w:rsidRPr="00A4178E">
        <w:rPr>
          <w:lang w:val="en-CA"/>
        </w:rPr>
        <w:tab/>
      </w:r>
      <w:r w:rsidRPr="00A4178E">
        <w:rPr>
          <w:i/>
          <w:iCs/>
          <w:lang w:val="en-CA"/>
        </w:rPr>
        <w:t>R. v. S.C.C</w:t>
      </w:r>
      <w:r w:rsidRPr="00A4178E">
        <w:rPr>
          <w:lang w:val="en-CA"/>
        </w:rPr>
        <w:t>., 2022 YKCA 2.</w:t>
      </w:r>
    </w:p>
  </w:footnote>
  <w:footnote w:id="52">
    <w:p w14:paraId="7487CF08" w14:textId="77777777" w:rsidR="00314A01" w:rsidRPr="00A4178E" w:rsidRDefault="00C04FF8" w:rsidP="00314A01">
      <w:pPr>
        <w:pStyle w:val="Notedebasdepage"/>
        <w:rPr>
          <w:lang w:val="en-CA"/>
        </w:rPr>
      </w:pPr>
      <w:r w:rsidRPr="00A4178E">
        <w:rPr>
          <w:rStyle w:val="Appelnotedebasdep"/>
          <w:lang w:val="en-CA"/>
        </w:rPr>
        <w:footnoteRef/>
      </w:r>
      <w:r w:rsidRPr="00A4178E">
        <w:rPr>
          <w:lang w:val="en-CA"/>
        </w:rPr>
        <w:t xml:space="preserve"> </w:t>
      </w:r>
      <w:r w:rsidRPr="00A4178E">
        <w:rPr>
          <w:lang w:val="en-CA"/>
        </w:rPr>
        <w:tab/>
      </w:r>
      <w:r w:rsidRPr="00A4178E">
        <w:rPr>
          <w:i/>
          <w:iCs/>
          <w:lang w:val="en-CA"/>
        </w:rPr>
        <w:t>R. v. Davies</w:t>
      </w:r>
      <w:r w:rsidRPr="00A4178E">
        <w:rPr>
          <w:lang w:val="en-CA"/>
        </w:rPr>
        <w:t>, 2022 BCCA 103.</w:t>
      </w:r>
    </w:p>
  </w:footnote>
  <w:footnote w:id="53">
    <w:p w14:paraId="7487CF09" w14:textId="42AF37AB" w:rsidR="00314A01" w:rsidRPr="00A4178E" w:rsidRDefault="00C04FF8" w:rsidP="00314A01">
      <w:pPr>
        <w:pStyle w:val="Notedebasdepage"/>
        <w:rPr>
          <w:lang w:val="en-CA"/>
        </w:rPr>
      </w:pPr>
      <w:r w:rsidRPr="00A4178E">
        <w:rPr>
          <w:rStyle w:val="Appelnotedebasdep"/>
          <w:lang w:val="en-CA"/>
        </w:rPr>
        <w:footnoteRef/>
      </w:r>
      <w:r w:rsidRPr="00A4178E">
        <w:rPr>
          <w:lang w:val="en-CA"/>
        </w:rPr>
        <w:t xml:space="preserve"> </w:t>
      </w:r>
      <w:r w:rsidRPr="00A4178E">
        <w:rPr>
          <w:lang w:val="en-CA"/>
        </w:rPr>
        <w:tab/>
      </w:r>
      <w:r w:rsidRPr="00A4178E">
        <w:rPr>
          <w:i/>
          <w:iCs/>
          <w:lang w:val="en-CA"/>
        </w:rPr>
        <w:t>R. v. S (D)</w:t>
      </w:r>
      <w:r w:rsidRPr="00A4178E">
        <w:rPr>
          <w:lang w:val="en-CA"/>
        </w:rPr>
        <w:t>, 2022 MBCA 94, para</w:t>
      </w:r>
      <w:r w:rsidR="004F6D1C">
        <w:rPr>
          <w:lang w:val="en-CA"/>
        </w:rPr>
        <w:t>s. 6</w:t>
      </w:r>
      <w:r w:rsidRPr="00A4178E">
        <w:rPr>
          <w:lang w:val="en-CA"/>
        </w:rPr>
        <w:t>0-61.</w:t>
      </w:r>
    </w:p>
  </w:footnote>
  <w:footnote w:id="54">
    <w:p w14:paraId="7487CF0A" w14:textId="407753C6" w:rsidR="00314A01" w:rsidRPr="00A4178E" w:rsidRDefault="00C04FF8" w:rsidP="00314A01">
      <w:pPr>
        <w:pStyle w:val="Notedebasdepage"/>
        <w:rPr>
          <w:lang w:val="en-CA"/>
        </w:rPr>
      </w:pPr>
      <w:r w:rsidRPr="00A4178E">
        <w:rPr>
          <w:rStyle w:val="Appelnotedebasdep"/>
          <w:lang w:val="en-CA"/>
        </w:rPr>
        <w:footnoteRef/>
      </w:r>
      <w:r w:rsidRPr="00A4178E">
        <w:rPr>
          <w:lang w:val="en-CA"/>
        </w:rPr>
        <w:t xml:space="preserve"> </w:t>
      </w:r>
      <w:r w:rsidRPr="00A4178E">
        <w:rPr>
          <w:lang w:val="en-CA"/>
        </w:rPr>
        <w:tab/>
      </w:r>
      <w:r w:rsidRPr="00A4178E">
        <w:rPr>
          <w:i/>
          <w:iCs/>
          <w:lang w:val="en-CA"/>
        </w:rPr>
        <w:t>R. v. Davies</w:t>
      </w:r>
      <w:r w:rsidRPr="00A4178E">
        <w:rPr>
          <w:lang w:val="en-CA"/>
        </w:rPr>
        <w:t xml:space="preserve">, 2022 BCCA 103, </w:t>
      </w:r>
      <w:r w:rsidR="004F6D1C">
        <w:rPr>
          <w:lang w:val="en-CA"/>
        </w:rPr>
        <w:t>para. 3</w:t>
      </w:r>
      <w:r w:rsidRPr="00A4178E">
        <w:rPr>
          <w:lang w:val="en-CA"/>
        </w:rPr>
        <w:t>4.</w:t>
      </w:r>
    </w:p>
  </w:footnote>
  <w:footnote w:id="55">
    <w:p w14:paraId="7487CF0B" w14:textId="3AE8AB6D" w:rsidR="00314A01" w:rsidRPr="00A4178E" w:rsidRDefault="00C04FF8" w:rsidP="00314A01">
      <w:pPr>
        <w:pStyle w:val="Notedebasdepage"/>
        <w:rPr>
          <w:lang w:val="en-CA"/>
        </w:rPr>
      </w:pPr>
      <w:r w:rsidRPr="00A4178E">
        <w:rPr>
          <w:rStyle w:val="Appelnotedebasdep"/>
          <w:lang w:val="en-CA"/>
        </w:rPr>
        <w:footnoteRef/>
      </w:r>
      <w:r w:rsidRPr="00A4178E">
        <w:rPr>
          <w:lang w:val="en-CA"/>
        </w:rPr>
        <w:tab/>
      </w:r>
      <w:r w:rsidRPr="00A4178E">
        <w:rPr>
          <w:i/>
          <w:iCs/>
          <w:lang w:val="en-CA"/>
        </w:rPr>
        <w:t>R. v. S (D)</w:t>
      </w:r>
      <w:r w:rsidRPr="00A4178E">
        <w:rPr>
          <w:lang w:val="en-CA"/>
        </w:rPr>
        <w:t xml:space="preserve">, 2022 MBCA 94, </w:t>
      </w:r>
      <w:r w:rsidR="004F6D1C">
        <w:rPr>
          <w:lang w:val="en-CA"/>
        </w:rPr>
        <w:t>para. 6</w:t>
      </w:r>
      <w:r w:rsidRPr="00A4178E">
        <w:rPr>
          <w:lang w:val="en-CA"/>
        </w:rPr>
        <w:t xml:space="preserve">9, referring to </w:t>
      </w:r>
      <w:r w:rsidRPr="00A4178E">
        <w:rPr>
          <w:i/>
          <w:iCs/>
          <w:lang w:val="en-CA"/>
        </w:rPr>
        <w:t>R. v. Cortes Rivera</w:t>
      </w:r>
      <w:r w:rsidRPr="00A4178E">
        <w:rPr>
          <w:lang w:val="en-CA"/>
        </w:rPr>
        <w:t xml:space="preserve">, 2020 ABCA 76, </w:t>
      </w:r>
      <w:r w:rsidR="004F6D1C">
        <w:rPr>
          <w:lang w:val="en-CA"/>
        </w:rPr>
        <w:t>para. 1</w:t>
      </w:r>
      <w:r w:rsidRPr="00A4178E">
        <w:rPr>
          <w:lang w:val="en-CA"/>
        </w:rPr>
        <w:t xml:space="preserve">6, </w:t>
      </w:r>
      <w:r w:rsidRPr="00A4178E">
        <w:rPr>
          <w:i/>
          <w:iCs/>
          <w:lang w:val="en-CA"/>
        </w:rPr>
        <w:t>R. v. LeBrocq</w:t>
      </w:r>
      <w:r w:rsidRPr="00A4178E">
        <w:rPr>
          <w:lang w:val="en-CA"/>
        </w:rPr>
        <w:t xml:space="preserve">, 2011 ONCA 405, </w:t>
      </w:r>
      <w:r w:rsidR="004F6D1C">
        <w:rPr>
          <w:lang w:val="en-CA"/>
        </w:rPr>
        <w:t>para. 8</w:t>
      </w:r>
      <w:r w:rsidRPr="00A4178E">
        <w:rPr>
          <w:lang w:val="en-CA"/>
        </w:rPr>
        <w:t xml:space="preserve">, and </w:t>
      </w:r>
      <w:r w:rsidRPr="00A4178E">
        <w:rPr>
          <w:i/>
          <w:iCs/>
          <w:lang w:val="en-CA"/>
        </w:rPr>
        <w:t>R. v. Ecker</w:t>
      </w:r>
      <w:r w:rsidRPr="00A4178E">
        <w:rPr>
          <w:lang w:val="en-CA"/>
        </w:rPr>
        <w:t>, 1995 CanLII 3910 (SK CA), p</w:t>
      </w:r>
      <w:r w:rsidR="004F6D1C">
        <w:rPr>
          <w:lang w:val="en-CA"/>
        </w:rPr>
        <w:t>p. 1</w:t>
      </w:r>
      <w:r w:rsidRPr="00A4178E">
        <w:rPr>
          <w:lang w:val="en-CA"/>
        </w:rPr>
        <w:t>81-82.</w:t>
      </w:r>
    </w:p>
  </w:footnote>
  <w:footnote w:id="56">
    <w:p w14:paraId="7487CF0C" w14:textId="77777777" w:rsidR="00314A01" w:rsidRPr="00A4178E" w:rsidRDefault="00C04FF8" w:rsidP="00314A01">
      <w:pPr>
        <w:pStyle w:val="Notedebasdepage"/>
        <w:rPr>
          <w:lang w:val="en-CA"/>
        </w:rPr>
      </w:pPr>
      <w:r w:rsidRPr="00A4178E">
        <w:rPr>
          <w:rStyle w:val="Appelnotedebasdep"/>
          <w:lang w:val="en-CA"/>
        </w:rPr>
        <w:footnoteRef/>
      </w:r>
      <w:r w:rsidRPr="00A4178E">
        <w:rPr>
          <w:lang w:val="en-CA"/>
        </w:rPr>
        <w:tab/>
      </w:r>
      <w:r w:rsidRPr="00A4178E">
        <w:rPr>
          <w:i/>
          <w:iCs/>
          <w:lang w:val="en-CA"/>
        </w:rPr>
        <w:t>R. v. S (D)</w:t>
      </w:r>
      <w:r w:rsidRPr="00A4178E">
        <w:rPr>
          <w:lang w:val="en-CA"/>
        </w:rPr>
        <w:t>, 2022 MBCA 94, par. 73-74.</w:t>
      </w:r>
    </w:p>
  </w:footnote>
  <w:footnote w:id="57">
    <w:p w14:paraId="7487CF0D" w14:textId="562B0FDF" w:rsidR="00314A01" w:rsidRPr="00A4178E" w:rsidRDefault="00C04FF8" w:rsidP="00314A01">
      <w:pPr>
        <w:pStyle w:val="Notedebasdepage"/>
        <w:rPr>
          <w:lang w:val="en-CA"/>
        </w:rPr>
      </w:pPr>
      <w:r w:rsidRPr="00A4178E">
        <w:rPr>
          <w:rStyle w:val="Appelnotedebasdep"/>
          <w:lang w:val="en-CA"/>
        </w:rPr>
        <w:footnoteRef/>
      </w:r>
      <w:r w:rsidRPr="00A4178E">
        <w:rPr>
          <w:lang w:val="en-CA"/>
        </w:rPr>
        <w:t xml:space="preserve"> </w:t>
      </w:r>
      <w:r w:rsidRPr="00A4178E">
        <w:rPr>
          <w:lang w:val="en-CA"/>
        </w:rPr>
        <w:tab/>
      </w:r>
      <w:r w:rsidRPr="00A4178E">
        <w:rPr>
          <w:i/>
          <w:iCs/>
          <w:lang w:val="en-CA"/>
        </w:rPr>
        <w:t>Id</w:t>
      </w:r>
      <w:r w:rsidRPr="00A4178E">
        <w:rPr>
          <w:lang w:val="en-CA"/>
        </w:rPr>
        <w:t xml:space="preserve">., </w:t>
      </w:r>
      <w:r w:rsidR="004F6D1C">
        <w:rPr>
          <w:lang w:val="en-CA"/>
        </w:rPr>
        <w:t>para. 6</w:t>
      </w:r>
      <w:r w:rsidRPr="00A4178E">
        <w:rPr>
          <w:lang w:val="en-CA"/>
        </w:rPr>
        <w:t xml:space="preserve">0, citing </w:t>
      </w:r>
      <w:r w:rsidRPr="00A4178E">
        <w:rPr>
          <w:i/>
          <w:iCs/>
          <w:lang w:val="en-CA"/>
        </w:rPr>
        <w:t>R. v. Davies</w:t>
      </w:r>
      <w:r w:rsidRPr="00A4178E">
        <w:rPr>
          <w:lang w:val="en-CA"/>
        </w:rPr>
        <w:t>, 2022 BCCA 103, para</w:t>
      </w:r>
      <w:r w:rsidR="004F6D1C">
        <w:rPr>
          <w:lang w:val="en-CA"/>
        </w:rPr>
        <w:t>s. 3</w:t>
      </w:r>
      <w:r w:rsidRPr="00A4178E">
        <w:rPr>
          <w:lang w:val="en-CA"/>
        </w:rPr>
        <w:t xml:space="preserve">8-41, and </w:t>
      </w:r>
      <w:r w:rsidRPr="00A4178E">
        <w:rPr>
          <w:i/>
          <w:iCs/>
          <w:lang w:val="en-CA"/>
        </w:rPr>
        <w:t>R. v. S.C.C</w:t>
      </w:r>
      <w:r w:rsidRPr="00A4178E">
        <w:rPr>
          <w:lang w:val="en-CA"/>
        </w:rPr>
        <w:t xml:space="preserve">., 2022 YKCA 2, </w:t>
      </w:r>
      <w:r w:rsidR="004F6D1C">
        <w:rPr>
          <w:lang w:val="en-CA"/>
        </w:rPr>
        <w:t>para. 3</w:t>
      </w:r>
      <w:r w:rsidRPr="00A4178E">
        <w:rPr>
          <w:lang w:val="en-CA"/>
        </w:rPr>
        <w:t>0.</w:t>
      </w:r>
    </w:p>
  </w:footnote>
  <w:footnote w:id="58">
    <w:p w14:paraId="7487CF0E" w14:textId="77777777" w:rsidR="00314A01" w:rsidRPr="00A4178E" w:rsidRDefault="00C04FF8" w:rsidP="00314A01">
      <w:pPr>
        <w:pStyle w:val="Notedebasdepage"/>
        <w:rPr>
          <w:lang w:val="en-CA"/>
        </w:rPr>
      </w:pPr>
      <w:r w:rsidRPr="00A4178E">
        <w:rPr>
          <w:rStyle w:val="Appelnotedebasdep"/>
          <w:lang w:val="en-CA"/>
        </w:rPr>
        <w:footnoteRef/>
      </w:r>
      <w:r w:rsidRPr="00A4178E">
        <w:rPr>
          <w:lang w:val="en-CA"/>
        </w:rPr>
        <w:tab/>
        <w:t>Subsection 683(1) </w:t>
      </w:r>
      <w:r w:rsidRPr="00A4178E">
        <w:rPr>
          <w:i/>
          <w:iCs/>
          <w:lang w:val="en-CA"/>
        </w:rPr>
        <w:t>Cr.C.</w:t>
      </w:r>
    </w:p>
  </w:footnote>
  <w:footnote w:id="59">
    <w:p w14:paraId="7487CF0F" w14:textId="7B01A2DB" w:rsidR="00314A01" w:rsidRPr="00A4178E" w:rsidRDefault="00C04FF8" w:rsidP="00314A01">
      <w:pPr>
        <w:pStyle w:val="Notedebasdepage"/>
        <w:rPr>
          <w:lang w:val="en-CA"/>
        </w:rPr>
      </w:pPr>
      <w:r w:rsidRPr="00A4178E">
        <w:rPr>
          <w:rStyle w:val="Appelnotedebasdep"/>
          <w:lang w:val="en-CA"/>
        </w:rPr>
        <w:footnoteRef/>
      </w:r>
      <w:r w:rsidRPr="00A4178E">
        <w:rPr>
          <w:lang w:val="en-CA"/>
        </w:rPr>
        <w:tab/>
      </w:r>
      <w:r w:rsidRPr="00A4178E">
        <w:rPr>
          <w:i/>
          <w:iCs/>
          <w:lang w:val="en-CA"/>
        </w:rPr>
        <w:t>R. v. Davies</w:t>
      </w:r>
      <w:r w:rsidRPr="00A4178E">
        <w:rPr>
          <w:lang w:val="en-CA"/>
        </w:rPr>
        <w:t xml:space="preserve">, 2022 BCCA 103, </w:t>
      </w:r>
      <w:r w:rsidR="004F6D1C">
        <w:rPr>
          <w:lang w:val="en-CA"/>
        </w:rPr>
        <w:t>para. 1</w:t>
      </w:r>
      <w:r w:rsidRPr="00A4178E">
        <w:rPr>
          <w:lang w:val="en-CA"/>
        </w:rPr>
        <w:t>8, cited with approval by O</w:t>
      </w:r>
      <w:r w:rsidR="00D06C3F">
        <w:rPr>
          <w:lang w:val="en-CA"/>
        </w:rPr>
        <w:t>’</w:t>
      </w:r>
      <w:r w:rsidRPr="00A4178E">
        <w:rPr>
          <w:lang w:val="en-CA"/>
        </w:rPr>
        <w:t xml:space="preserve">Bonsawin, J. in </w:t>
      </w:r>
      <w:r w:rsidRPr="00A4178E">
        <w:rPr>
          <w:i/>
          <w:iCs/>
          <w:lang w:val="en-CA"/>
        </w:rPr>
        <w:t>R. v. T.W.W.</w:t>
      </w:r>
      <w:r w:rsidRPr="00A4178E">
        <w:rPr>
          <w:lang w:val="en-CA"/>
        </w:rPr>
        <w:t xml:space="preserve">, 2024 SCC 19, </w:t>
      </w:r>
      <w:r w:rsidR="004F6D1C">
        <w:rPr>
          <w:lang w:val="en-CA"/>
        </w:rPr>
        <w:t>para. 6</w:t>
      </w:r>
      <w:r w:rsidRPr="00A4178E">
        <w:rPr>
          <w:lang w:val="en-CA"/>
        </w:rPr>
        <w:t xml:space="preserve">9. See also: </w:t>
      </w:r>
      <w:r w:rsidRPr="00A4178E">
        <w:rPr>
          <w:i/>
          <w:iCs/>
          <w:lang w:val="en-CA"/>
        </w:rPr>
        <w:t>R. v. D.V.</w:t>
      </w:r>
      <w:r w:rsidRPr="00A4178E">
        <w:rPr>
          <w:lang w:val="en-CA"/>
        </w:rPr>
        <w:t xml:space="preserve">, 2025 ONCA 67, </w:t>
      </w:r>
      <w:r w:rsidR="004F6D1C">
        <w:rPr>
          <w:lang w:val="en-CA"/>
        </w:rPr>
        <w:t>para. 2</w:t>
      </w:r>
      <w:r w:rsidRPr="00A4178E">
        <w:rPr>
          <w:lang w:val="en-CA"/>
        </w:rPr>
        <w:t xml:space="preserve">4. </w:t>
      </w:r>
    </w:p>
  </w:footnote>
  <w:footnote w:id="60">
    <w:p w14:paraId="7487CF10" w14:textId="57F2D613" w:rsidR="00314A01" w:rsidRPr="00A4178E" w:rsidRDefault="00C04FF8" w:rsidP="00314A01">
      <w:pPr>
        <w:pStyle w:val="Notedebasdepage"/>
        <w:rPr>
          <w:lang w:val="en-CA"/>
        </w:rPr>
      </w:pPr>
      <w:r w:rsidRPr="00A4178E">
        <w:rPr>
          <w:rStyle w:val="Appelnotedebasdep"/>
          <w:lang w:val="en-CA"/>
        </w:rPr>
        <w:footnoteRef/>
      </w:r>
      <w:r w:rsidRPr="00A4178E">
        <w:rPr>
          <w:lang w:val="en-CA"/>
        </w:rPr>
        <w:tab/>
      </w:r>
      <w:r w:rsidRPr="00A4178E">
        <w:rPr>
          <w:i/>
          <w:iCs/>
          <w:lang w:val="en-CA"/>
        </w:rPr>
        <w:t>R. v. T.W.W.</w:t>
      </w:r>
      <w:r w:rsidRPr="00A4178E">
        <w:rPr>
          <w:lang w:val="en-CA"/>
        </w:rPr>
        <w:t xml:space="preserve">, 2024 SCC 19, </w:t>
      </w:r>
      <w:r w:rsidR="004F6D1C">
        <w:rPr>
          <w:lang w:val="en-CA"/>
        </w:rPr>
        <w:t>para. 2</w:t>
      </w:r>
      <w:r w:rsidRPr="00A4178E">
        <w:rPr>
          <w:lang w:val="en-CA"/>
        </w:rPr>
        <w:t>6.</w:t>
      </w:r>
    </w:p>
  </w:footnote>
  <w:footnote w:id="61">
    <w:p w14:paraId="7487CF11" w14:textId="0C6F23A7" w:rsidR="00314A01" w:rsidRPr="00A4178E" w:rsidRDefault="00C04FF8" w:rsidP="00314A01">
      <w:pPr>
        <w:pStyle w:val="Notedebasdepage"/>
        <w:rPr>
          <w:lang w:val="en-CA"/>
        </w:rPr>
      </w:pPr>
      <w:r w:rsidRPr="00A4178E">
        <w:rPr>
          <w:rStyle w:val="Appelnotedebasdep"/>
          <w:lang w:val="en-CA"/>
        </w:rPr>
        <w:footnoteRef/>
      </w:r>
      <w:r w:rsidRPr="00A4178E">
        <w:rPr>
          <w:lang w:val="en-CA"/>
        </w:rPr>
        <w:tab/>
      </w:r>
      <w:r w:rsidRPr="00A4178E">
        <w:rPr>
          <w:i/>
          <w:iCs/>
          <w:lang w:val="en-CA"/>
        </w:rPr>
        <w:t>Id</w:t>
      </w:r>
      <w:r w:rsidRPr="00A4178E">
        <w:rPr>
          <w:lang w:val="en-CA"/>
        </w:rPr>
        <w:t>., para</w:t>
      </w:r>
      <w:r w:rsidR="004F6D1C">
        <w:rPr>
          <w:lang w:val="en-CA"/>
        </w:rPr>
        <w:t>s. 2</w:t>
      </w:r>
      <w:r w:rsidRPr="00A4178E">
        <w:rPr>
          <w:lang w:val="en-CA"/>
        </w:rPr>
        <w:t>7-28, referring</w:t>
      </w:r>
      <w:proofErr w:type="gramStart"/>
      <w:r w:rsidRPr="00A4178E">
        <w:rPr>
          <w:lang w:val="en-CA"/>
        </w:rPr>
        <w:t>, in particular, to</w:t>
      </w:r>
      <w:proofErr w:type="gramEnd"/>
      <w:r w:rsidRPr="00A4178E">
        <w:rPr>
          <w:lang w:val="en-CA"/>
        </w:rPr>
        <w:t xml:space="preserve"> </w:t>
      </w:r>
      <w:r w:rsidRPr="00A4178E">
        <w:rPr>
          <w:i/>
          <w:iCs/>
          <w:lang w:val="en-CA"/>
        </w:rPr>
        <w:t>R. v. Goldfinch</w:t>
      </w:r>
      <w:r w:rsidRPr="00A4178E">
        <w:rPr>
          <w:lang w:val="en-CA"/>
        </w:rPr>
        <w:t>, 2019 SCC 38, para</w:t>
      </w:r>
      <w:r w:rsidR="004F6D1C">
        <w:rPr>
          <w:lang w:val="en-CA"/>
        </w:rPr>
        <w:t>s. 5</w:t>
      </w:r>
      <w:r w:rsidRPr="00A4178E">
        <w:rPr>
          <w:lang w:val="en-CA"/>
        </w:rPr>
        <w:t xml:space="preserve">1, 56, 65 and 68. See also: </w:t>
      </w:r>
      <w:r w:rsidRPr="00A4178E">
        <w:rPr>
          <w:i/>
          <w:iCs/>
          <w:lang w:val="en-CA"/>
        </w:rPr>
        <w:t>R. v. Kinamore</w:t>
      </w:r>
      <w:r w:rsidRPr="00A4178E">
        <w:rPr>
          <w:lang w:val="en-CA"/>
        </w:rPr>
        <w:t xml:space="preserve">, 2025 SCC 19, </w:t>
      </w:r>
      <w:r w:rsidR="004F6D1C">
        <w:rPr>
          <w:lang w:val="en-CA"/>
        </w:rPr>
        <w:t>para. 8</w:t>
      </w:r>
      <w:r w:rsidRPr="00A4178E">
        <w:rPr>
          <w:lang w:val="en-CA"/>
        </w:rPr>
        <w:t>6.</w:t>
      </w:r>
    </w:p>
  </w:footnote>
  <w:footnote w:id="62">
    <w:p w14:paraId="7487CF12" w14:textId="3961CDF6" w:rsidR="00314A01" w:rsidRPr="00A4178E" w:rsidRDefault="00C04FF8" w:rsidP="00314A01">
      <w:pPr>
        <w:pStyle w:val="Notedebasdepage"/>
        <w:rPr>
          <w:lang w:val="en-CA"/>
        </w:rPr>
      </w:pPr>
      <w:r w:rsidRPr="00A4178E">
        <w:rPr>
          <w:rStyle w:val="Appelnotedebasdep"/>
          <w:lang w:val="en-CA"/>
        </w:rPr>
        <w:footnoteRef/>
      </w:r>
      <w:r w:rsidRPr="00A4178E">
        <w:rPr>
          <w:lang w:val="en-CA"/>
        </w:rPr>
        <w:tab/>
      </w:r>
      <w:r w:rsidRPr="00A4178E">
        <w:rPr>
          <w:i/>
          <w:iCs/>
          <w:lang w:val="en-CA"/>
        </w:rPr>
        <w:t>R. v. Kinamore</w:t>
      </w:r>
      <w:r w:rsidRPr="00A4178E">
        <w:rPr>
          <w:lang w:val="en-CA"/>
        </w:rPr>
        <w:t xml:space="preserve">, 2025 SCC 19, </w:t>
      </w:r>
      <w:r w:rsidR="004F6D1C">
        <w:rPr>
          <w:lang w:val="en-CA"/>
        </w:rPr>
        <w:t>para. 4</w:t>
      </w:r>
      <w:r w:rsidRPr="00A4178E">
        <w:rPr>
          <w:lang w:val="en-CA"/>
        </w:rPr>
        <w:t>4.</w:t>
      </w:r>
    </w:p>
  </w:footnote>
  <w:footnote w:id="63">
    <w:p w14:paraId="7487CF13" w14:textId="60B59E97" w:rsidR="00314A01" w:rsidRPr="00A4178E" w:rsidRDefault="00C04FF8" w:rsidP="00314A01">
      <w:pPr>
        <w:pStyle w:val="Notedebasdepage"/>
        <w:rPr>
          <w:lang w:val="en-CA"/>
        </w:rPr>
      </w:pPr>
      <w:r w:rsidRPr="00A4178E">
        <w:rPr>
          <w:rStyle w:val="Appelnotedebasdep"/>
          <w:lang w:val="en-CA"/>
        </w:rPr>
        <w:footnoteRef/>
      </w:r>
      <w:r w:rsidRPr="00A4178E">
        <w:rPr>
          <w:lang w:val="en-CA"/>
        </w:rPr>
        <w:tab/>
        <w:t xml:space="preserve">It is therefore implausible that the appellant would have passed the first stage under </w:t>
      </w:r>
      <w:r w:rsidR="004F6D1C">
        <w:rPr>
          <w:lang w:val="en-CA"/>
        </w:rPr>
        <w:t>s. 2</w:t>
      </w:r>
      <w:r w:rsidRPr="00A4178E">
        <w:rPr>
          <w:lang w:val="en-CA"/>
        </w:rPr>
        <w:t xml:space="preserve">78.93 </w:t>
      </w:r>
      <w:r w:rsidRPr="00A4178E">
        <w:rPr>
          <w:i/>
          <w:iCs/>
          <w:lang w:val="en-CA"/>
        </w:rPr>
        <w:t>Cr.C.</w:t>
      </w:r>
    </w:p>
  </w:footnote>
  <w:footnote w:id="64">
    <w:p w14:paraId="7487CF14" w14:textId="4C7F4157" w:rsidR="00314A01" w:rsidRPr="00A4178E" w:rsidRDefault="00C04FF8" w:rsidP="00314A01">
      <w:pPr>
        <w:pStyle w:val="Notedebasdepage"/>
        <w:rPr>
          <w:lang w:val="en-CA"/>
        </w:rPr>
      </w:pPr>
      <w:r w:rsidRPr="00A4178E">
        <w:rPr>
          <w:rStyle w:val="Appelnotedebasdep"/>
          <w:lang w:val="en-CA"/>
        </w:rPr>
        <w:footnoteRef/>
      </w:r>
      <w:r w:rsidRPr="00A4178E">
        <w:rPr>
          <w:lang w:val="en-CA"/>
        </w:rPr>
        <w:t xml:space="preserve"> </w:t>
      </w:r>
      <w:r w:rsidRPr="00A4178E">
        <w:rPr>
          <w:lang w:val="en-CA"/>
        </w:rPr>
        <w:tab/>
        <w:t xml:space="preserve">Testimony of </w:t>
      </w:r>
      <w:r w:rsidR="00DC6614">
        <w:rPr>
          <w:lang w:val="en-CA"/>
        </w:rPr>
        <w:t>S.</w:t>
      </w:r>
      <w:r w:rsidRPr="00A4178E">
        <w:rPr>
          <w:lang w:val="en-CA"/>
        </w:rPr>
        <w:t> </w:t>
      </w:r>
      <w:r w:rsidR="00DC6614">
        <w:rPr>
          <w:lang w:val="en-CA"/>
        </w:rPr>
        <w:t>G.</w:t>
      </w:r>
      <w:r w:rsidRPr="00A4178E">
        <w:rPr>
          <w:lang w:val="en-CA"/>
        </w:rPr>
        <w:t xml:space="preserve">, November 4, 2021, </w:t>
      </w:r>
      <w:r w:rsidR="004F6D1C">
        <w:rPr>
          <w:lang w:val="en-CA"/>
        </w:rPr>
        <w:t>p. 4</w:t>
      </w:r>
      <w:r w:rsidRPr="00A4178E">
        <w:rPr>
          <w:lang w:val="en-CA"/>
        </w:rPr>
        <w:t>6.</w:t>
      </w:r>
    </w:p>
  </w:footnote>
  <w:footnote w:id="65">
    <w:p w14:paraId="7487CF15" w14:textId="3E15DCE2" w:rsidR="00314A01" w:rsidRPr="00A4178E" w:rsidRDefault="00C04FF8" w:rsidP="00314A01">
      <w:pPr>
        <w:pStyle w:val="Notedebasdepage"/>
        <w:rPr>
          <w:lang w:val="en-CA"/>
        </w:rPr>
      </w:pPr>
      <w:r w:rsidRPr="00A4178E">
        <w:rPr>
          <w:rStyle w:val="Appelnotedebasdep"/>
          <w:lang w:val="en-CA"/>
        </w:rPr>
        <w:footnoteRef/>
      </w:r>
      <w:r w:rsidRPr="00A4178E">
        <w:rPr>
          <w:lang w:val="en-CA"/>
        </w:rPr>
        <w:tab/>
      </w:r>
      <w:r w:rsidRPr="00A4178E">
        <w:rPr>
          <w:i/>
          <w:iCs/>
          <w:lang w:val="en-CA"/>
        </w:rPr>
        <w:t>R. v. Goldfinch</w:t>
      </w:r>
      <w:r w:rsidRPr="00A4178E">
        <w:rPr>
          <w:lang w:val="en-CA"/>
        </w:rPr>
        <w:t xml:space="preserve">, 2019 SCC 38, </w:t>
      </w:r>
      <w:r w:rsidR="004F6D1C">
        <w:rPr>
          <w:lang w:val="en-CA"/>
        </w:rPr>
        <w:t>para. 5</w:t>
      </w:r>
      <w:r w:rsidRPr="00A4178E">
        <w:rPr>
          <w:lang w:val="en-CA"/>
        </w:rPr>
        <w:t>6.</w:t>
      </w:r>
    </w:p>
  </w:footnote>
  <w:footnote w:id="66">
    <w:p w14:paraId="7487CF16" w14:textId="30E9EC25" w:rsidR="00314A01" w:rsidRPr="00A4178E" w:rsidRDefault="00C04FF8" w:rsidP="00314A01">
      <w:pPr>
        <w:pStyle w:val="Notedebasdepage"/>
        <w:rPr>
          <w:lang w:val="en-CA"/>
        </w:rPr>
      </w:pPr>
      <w:r w:rsidRPr="00A4178E">
        <w:rPr>
          <w:rStyle w:val="Appelnotedebasdep"/>
          <w:lang w:val="en-CA"/>
        </w:rPr>
        <w:footnoteRef/>
      </w:r>
      <w:r w:rsidRPr="00A4178E">
        <w:rPr>
          <w:lang w:val="en-CA"/>
        </w:rPr>
        <w:tab/>
      </w:r>
      <w:r w:rsidRPr="00A4178E">
        <w:rPr>
          <w:i/>
          <w:iCs/>
          <w:lang w:val="en-CA"/>
        </w:rPr>
        <w:t>Id</w:t>
      </w:r>
      <w:r w:rsidRPr="00A4178E">
        <w:rPr>
          <w:lang w:val="en-CA"/>
        </w:rPr>
        <w:t xml:space="preserve">., </w:t>
      </w:r>
      <w:r w:rsidR="004F6D1C">
        <w:rPr>
          <w:lang w:val="en-CA"/>
        </w:rPr>
        <w:t>para. 9</w:t>
      </w:r>
      <w:r w:rsidRPr="00A4178E">
        <w:rPr>
          <w:lang w:val="en-CA"/>
        </w:rPr>
        <w:t>6 (concurring reasons of Moldaver, J.).</w:t>
      </w:r>
    </w:p>
  </w:footnote>
  <w:footnote w:id="67">
    <w:p w14:paraId="7487CF17" w14:textId="77777777" w:rsidR="00314A01" w:rsidRPr="00A4178E" w:rsidRDefault="00C04FF8" w:rsidP="00314A01">
      <w:pPr>
        <w:pStyle w:val="Notedebasdepage"/>
        <w:rPr>
          <w:lang w:val="en-CA"/>
        </w:rPr>
      </w:pPr>
      <w:r w:rsidRPr="00A4178E">
        <w:rPr>
          <w:rStyle w:val="Appelnotedebasdep"/>
          <w:lang w:val="en-CA"/>
        </w:rPr>
        <w:footnoteRef/>
      </w:r>
      <w:r w:rsidRPr="00A4178E">
        <w:rPr>
          <w:lang w:val="en-CA"/>
        </w:rPr>
        <w:tab/>
        <w:t>Paragraph 276(3)(f) </w:t>
      </w:r>
      <w:r w:rsidRPr="00A4178E">
        <w:rPr>
          <w:i/>
          <w:iCs/>
          <w:lang w:val="en-CA"/>
        </w:rPr>
        <w:t>Cr.C.</w:t>
      </w:r>
    </w:p>
  </w:footnote>
  <w:footnote w:id="68">
    <w:p w14:paraId="7487CF18" w14:textId="77777777" w:rsidR="00314A01" w:rsidRPr="00A4178E" w:rsidRDefault="00C04FF8" w:rsidP="00314A01">
      <w:pPr>
        <w:pStyle w:val="Notedebasdepage"/>
        <w:rPr>
          <w:lang w:val="en-CA"/>
        </w:rPr>
      </w:pPr>
      <w:r w:rsidRPr="00A4178E">
        <w:rPr>
          <w:rStyle w:val="Appelnotedebasdep"/>
          <w:lang w:val="en-CA"/>
        </w:rPr>
        <w:footnoteRef/>
      </w:r>
      <w:r w:rsidRPr="00A4178E">
        <w:rPr>
          <w:lang w:val="en-CA"/>
        </w:rPr>
        <w:tab/>
        <w:t>Section 162.1 </w:t>
      </w:r>
      <w:r w:rsidRPr="00A4178E">
        <w:rPr>
          <w:i/>
          <w:iCs/>
          <w:lang w:val="en-CA"/>
        </w:rPr>
        <w:t>Cr.C.</w:t>
      </w:r>
    </w:p>
  </w:footnote>
  <w:footnote w:id="69">
    <w:p w14:paraId="7487CF19" w14:textId="2403E59C" w:rsidR="00314A01" w:rsidRPr="00A4178E" w:rsidRDefault="00C04FF8" w:rsidP="00314A01">
      <w:pPr>
        <w:pStyle w:val="Notedebasdepage"/>
        <w:rPr>
          <w:lang w:val="en-CA"/>
        </w:rPr>
      </w:pPr>
      <w:r w:rsidRPr="00A4178E">
        <w:rPr>
          <w:rStyle w:val="Appelnotedebasdep"/>
          <w:lang w:val="en-CA"/>
        </w:rPr>
        <w:footnoteRef/>
      </w:r>
      <w:r w:rsidRPr="00A4178E">
        <w:rPr>
          <w:lang w:val="en-CA"/>
        </w:rPr>
        <w:tab/>
        <w:t>Paragraphs 276(3)(b), (d)</w:t>
      </w:r>
      <w:r w:rsidR="00F5524B">
        <w:rPr>
          <w:lang w:val="en-CA"/>
        </w:rPr>
        <w:t xml:space="preserve"> and</w:t>
      </w:r>
      <w:r w:rsidRPr="00A4178E">
        <w:rPr>
          <w:lang w:val="en-CA"/>
        </w:rPr>
        <w:t xml:space="preserve"> (g) </w:t>
      </w:r>
      <w:r w:rsidRPr="00A4178E">
        <w:rPr>
          <w:i/>
          <w:iCs/>
          <w:lang w:val="en-CA"/>
        </w:rPr>
        <w:t>Cr.C.</w:t>
      </w:r>
    </w:p>
  </w:footnote>
  <w:footnote w:id="70">
    <w:p w14:paraId="7487CF1A" w14:textId="77777777" w:rsidR="00314A01" w:rsidRPr="00A4178E" w:rsidRDefault="00C04FF8" w:rsidP="00314A01">
      <w:pPr>
        <w:pStyle w:val="Notedebasdepage"/>
        <w:rPr>
          <w:lang w:val="en-CA"/>
        </w:rPr>
      </w:pPr>
      <w:r w:rsidRPr="00A4178E">
        <w:rPr>
          <w:rStyle w:val="Appelnotedebasdep"/>
          <w:lang w:val="en-CA"/>
        </w:rPr>
        <w:footnoteRef/>
      </w:r>
      <w:r w:rsidRPr="00A4178E">
        <w:rPr>
          <w:lang w:val="en-CA"/>
        </w:rPr>
        <w:tab/>
      </w:r>
      <w:r w:rsidRPr="00A4178E">
        <w:rPr>
          <w:i/>
          <w:iCs/>
          <w:lang w:val="en-CA"/>
        </w:rPr>
        <w:t>R. v. G.D.B.</w:t>
      </w:r>
      <w:r w:rsidRPr="00A4178E">
        <w:rPr>
          <w:lang w:val="en-CA"/>
        </w:rPr>
        <w:t>, 2000 SCC 22.</w:t>
      </w:r>
    </w:p>
  </w:footnote>
  <w:footnote w:id="71">
    <w:p w14:paraId="7487CF1B" w14:textId="17C9AE01" w:rsidR="00314A01" w:rsidRPr="00A4178E" w:rsidRDefault="00C04FF8" w:rsidP="00314A01">
      <w:pPr>
        <w:pStyle w:val="Notedebasdepage"/>
        <w:rPr>
          <w:lang w:val="en-CA"/>
        </w:rPr>
      </w:pPr>
      <w:r w:rsidRPr="00A4178E">
        <w:rPr>
          <w:rStyle w:val="Appelnotedebasdep"/>
          <w:lang w:val="en-CA"/>
        </w:rPr>
        <w:footnoteRef/>
      </w:r>
      <w:r w:rsidRPr="00A4178E">
        <w:rPr>
          <w:lang w:val="en-CA"/>
        </w:rPr>
        <w:t xml:space="preserve"> </w:t>
      </w:r>
      <w:r w:rsidRPr="00A4178E">
        <w:rPr>
          <w:lang w:val="en-CA"/>
        </w:rPr>
        <w:tab/>
      </w:r>
      <w:r w:rsidRPr="00A4178E">
        <w:rPr>
          <w:i/>
          <w:iCs/>
          <w:lang w:val="en-CA"/>
        </w:rPr>
        <w:t>Id.</w:t>
      </w:r>
      <w:r w:rsidRPr="00A4178E">
        <w:rPr>
          <w:lang w:val="en-CA"/>
        </w:rPr>
        <w:t xml:space="preserve">, </w:t>
      </w:r>
      <w:r w:rsidR="004F6D1C">
        <w:rPr>
          <w:lang w:val="en-CA"/>
        </w:rPr>
        <w:t>para. 2</w:t>
      </w:r>
      <w:r w:rsidRPr="00A4178E">
        <w:rPr>
          <w:lang w:val="en-CA"/>
        </w:rPr>
        <w:t>6. See also:</w:t>
      </w:r>
      <w:r w:rsidRPr="00A4178E">
        <w:rPr>
          <w:i/>
          <w:iCs/>
          <w:lang w:val="en-CA"/>
        </w:rPr>
        <w:t xml:space="preserve"> Lajoie c. R</w:t>
      </w:r>
      <w:r w:rsidRPr="00A4178E">
        <w:rPr>
          <w:lang w:val="en-CA"/>
        </w:rPr>
        <w:t xml:space="preserve">., 2021 QCCA 1631, </w:t>
      </w:r>
      <w:r w:rsidR="004F6D1C">
        <w:rPr>
          <w:lang w:val="en-CA"/>
        </w:rPr>
        <w:t>para. 1</w:t>
      </w:r>
      <w:r w:rsidRPr="00A4178E">
        <w:rPr>
          <w:lang w:val="en-CA"/>
        </w:rPr>
        <w:t>1, referring</w:t>
      </w:r>
      <w:proofErr w:type="gramStart"/>
      <w:r w:rsidRPr="00A4178E">
        <w:rPr>
          <w:lang w:val="en-CA"/>
        </w:rPr>
        <w:t>, in particular, to</w:t>
      </w:r>
      <w:proofErr w:type="gramEnd"/>
      <w:r w:rsidRPr="00A4178E">
        <w:rPr>
          <w:lang w:val="en-CA"/>
        </w:rPr>
        <w:t xml:space="preserve"> </w:t>
      </w:r>
      <w:r w:rsidRPr="00A4178E">
        <w:rPr>
          <w:i/>
          <w:iCs/>
          <w:lang w:val="en-CA"/>
        </w:rPr>
        <w:t>André c. R</w:t>
      </w:r>
      <w:r w:rsidRPr="00A4178E">
        <w:rPr>
          <w:lang w:val="en-CA"/>
        </w:rPr>
        <w:t xml:space="preserve">., 2019 QCCA 440, and </w:t>
      </w:r>
      <w:r w:rsidRPr="00A4178E">
        <w:rPr>
          <w:i/>
          <w:iCs/>
          <w:lang w:val="en-CA"/>
        </w:rPr>
        <w:t>Vallières c. R</w:t>
      </w:r>
      <w:r w:rsidRPr="00A4178E">
        <w:rPr>
          <w:lang w:val="en-CA"/>
        </w:rPr>
        <w:t xml:space="preserve">., 2020 QCCA 372, </w:t>
      </w:r>
      <w:r w:rsidR="004F6D1C">
        <w:rPr>
          <w:lang w:val="en-CA"/>
        </w:rPr>
        <w:t>para. 1</w:t>
      </w:r>
      <w:r w:rsidRPr="00A4178E">
        <w:rPr>
          <w:lang w:val="en-CA"/>
        </w:rPr>
        <w:t xml:space="preserve">40, overturned for other reasons by </w:t>
      </w:r>
      <w:r w:rsidRPr="00A4178E">
        <w:rPr>
          <w:i/>
          <w:iCs/>
          <w:lang w:val="en-CA"/>
        </w:rPr>
        <w:t>R.</w:t>
      </w:r>
      <w:r w:rsidR="00A968D2">
        <w:rPr>
          <w:i/>
          <w:iCs/>
          <w:lang w:val="en-CA"/>
        </w:rPr>
        <w:t> </w:t>
      </w:r>
      <w:r w:rsidRPr="00A4178E">
        <w:rPr>
          <w:i/>
          <w:iCs/>
          <w:lang w:val="en-CA"/>
        </w:rPr>
        <w:t>v. Vallières</w:t>
      </w:r>
      <w:r w:rsidRPr="00A4178E">
        <w:rPr>
          <w:lang w:val="en-CA"/>
        </w:rPr>
        <w:t>, 2022 SCC 10.</w:t>
      </w:r>
    </w:p>
  </w:footnote>
  <w:footnote w:id="72">
    <w:p w14:paraId="7487CF1C" w14:textId="073F1DB6" w:rsidR="00314A01" w:rsidRPr="00242D27" w:rsidRDefault="00C04FF8" w:rsidP="00314A01">
      <w:pPr>
        <w:pStyle w:val="Notedebasdepage"/>
        <w:rPr>
          <w:lang w:val="en-CA"/>
        </w:rPr>
      </w:pPr>
      <w:r w:rsidRPr="00A4178E">
        <w:rPr>
          <w:rStyle w:val="Appelnotedebasdep"/>
          <w:lang w:val="en-CA"/>
        </w:rPr>
        <w:footnoteRef/>
      </w:r>
      <w:r w:rsidRPr="00A4178E">
        <w:rPr>
          <w:lang w:val="en-CA"/>
        </w:rPr>
        <w:tab/>
      </w:r>
      <w:r w:rsidRPr="00A4178E">
        <w:rPr>
          <w:i/>
          <w:iCs/>
          <w:lang w:val="en-CA"/>
        </w:rPr>
        <w:t>Id</w:t>
      </w:r>
      <w:r w:rsidRPr="00A4178E">
        <w:rPr>
          <w:lang w:val="en-CA"/>
        </w:rPr>
        <w:t xml:space="preserve">., </w:t>
      </w:r>
      <w:r w:rsidR="004F6D1C">
        <w:rPr>
          <w:lang w:val="en-CA"/>
        </w:rPr>
        <w:t>para. </w:t>
      </w:r>
      <w:r w:rsidR="004F6D1C" w:rsidRPr="00242D27">
        <w:rPr>
          <w:lang w:val="en-CA"/>
        </w:rPr>
        <w:t>2</w:t>
      </w:r>
      <w:r w:rsidRPr="00242D27">
        <w:rPr>
          <w:lang w:val="en-CA"/>
        </w:rPr>
        <w:t>7.</w:t>
      </w:r>
    </w:p>
  </w:footnote>
  <w:footnote w:id="73">
    <w:p w14:paraId="7487CF1D" w14:textId="67457D59" w:rsidR="00314A01" w:rsidRPr="00242D27" w:rsidRDefault="00C04FF8" w:rsidP="00314A01">
      <w:pPr>
        <w:pStyle w:val="Notedebasdepage"/>
        <w:rPr>
          <w:lang w:val="en-CA"/>
        </w:rPr>
      </w:pPr>
      <w:r w:rsidRPr="00A4178E">
        <w:rPr>
          <w:rStyle w:val="Appelnotedebasdep"/>
          <w:lang w:val="en-CA"/>
        </w:rPr>
        <w:footnoteRef/>
      </w:r>
      <w:r w:rsidRPr="00242D27">
        <w:rPr>
          <w:lang w:val="en-CA"/>
        </w:rPr>
        <w:t xml:space="preserve"> </w:t>
      </w:r>
      <w:r w:rsidRPr="00242D27">
        <w:rPr>
          <w:lang w:val="en-CA"/>
        </w:rPr>
        <w:tab/>
      </w:r>
      <w:r w:rsidRPr="00242D27">
        <w:rPr>
          <w:i/>
          <w:iCs/>
          <w:lang w:val="en-CA"/>
        </w:rPr>
        <w:t>Ménard c. R.</w:t>
      </w:r>
      <w:r w:rsidRPr="00242D27">
        <w:rPr>
          <w:lang w:val="en-CA"/>
        </w:rPr>
        <w:t xml:space="preserve">, 2018 QCCA 1800, </w:t>
      </w:r>
      <w:r w:rsidR="004F6D1C" w:rsidRPr="00242D27">
        <w:rPr>
          <w:lang w:val="en-CA"/>
        </w:rPr>
        <w:t>para. </w:t>
      </w:r>
      <w:r w:rsidR="004F6D1C">
        <w:rPr>
          <w:lang w:val="en-CA"/>
        </w:rPr>
        <w:t>2</w:t>
      </w:r>
      <w:r w:rsidRPr="00A4178E">
        <w:rPr>
          <w:lang w:val="en-CA"/>
        </w:rPr>
        <w:t xml:space="preserve">5, citing </w:t>
      </w:r>
      <w:r w:rsidRPr="00A4178E">
        <w:rPr>
          <w:i/>
          <w:iCs/>
          <w:lang w:val="en-CA"/>
        </w:rPr>
        <w:t>Renaud c. R</w:t>
      </w:r>
      <w:r w:rsidRPr="00A4178E">
        <w:rPr>
          <w:lang w:val="en-CA"/>
        </w:rPr>
        <w:t xml:space="preserve">., 1998 CanLII 12449, </w:t>
      </w:r>
      <w:r w:rsidR="004F6D1C">
        <w:rPr>
          <w:lang w:val="en-CA"/>
        </w:rPr>
        <w:t>p. 1</w:t>
      </w:r>
      <w:r w:rsidRPr="00A4178E">
        <w:rPr>
          <w:lang w:val="en-CA"/>
        </w:rPr>
        <w:t>7 (C.A.), cited</w:t>
      </w:r>
      <w:proofErr w:type="gramStart"/>
      <w:r w:rsidRPr="00A4178E">
        <w:rPr>
          <w:lang w:val="en-CA"/>
        </w:rPr>
        <w:t>, in particular, in</w:t>
      </w:r>
      <w:proofErr w:type="gramEnd"/>
      <w:r w:rsidRPr="00A4178E">
        <w:rPr>
          <w:lang w:val="en-CA"/>
        </w:rPr>
        <w:t xml:space="preserve"> </w:t>
      </w:r>
      <w:r w:rsidRPr="00A4178E">
        <w:rPr>
          <w:i/>
          <w:iCs/>
          <w:lang w:val="en-CA"/>
        </w:rPr>
        <w:t>Roberge c. R.</w:t>
      </w:r>
      <w:r w:rsidRPr="00A4178E">
        <w:rPr>
          <w:lang w:val="en-CA"/>
        </w:rPr>
        <w:t xml:space="preserve">, 2011 QCCA 1596, </w:t>
      </w:r>
      <w:r w:rsidR="004F6D1C">
        <w:rPr>
          <w:lang w:val="en-CA"/>
        </w:rPr>
        <w:t>para. </w:t>
      </w:r>
      <w:r w:rsidR="004F6D1C" w:rsidRPr="00242D27">
        <w:rPr>
          <w:lang w:val="en-CA"/>
        </w:rPr>
        <w:t>5</w:t>
      </w:r>
      <w:r w:rsidRPr="00242D27">
        <w:rPr>
          <w:lang w:val="en-CA"/>
        </w:rPr>
        <w:t>5.</w:t>
      </w:r>
    </w:p>
  </w:footnote>
  <w:footnote w:id="74">
    <w:p w14:paraId="7487CF1E" w14:textId="77777777" w:rsidR="00314A01" w:rsidRPr="00242D27" w:rsidRDefault="00C04FF8" w:rsidP="00314A01">
      <w:pPr>
        <w:pStyle w:val="Notedebasdepage"/>
        <w:rPr>
          <w:lang w:val="en-CA"/>
        </w:rPr>
      </w:pPr>
      <w:r w:rsidRPr="00A4178E">
        <w:rPr>
          <w:rStyle w:val="Appelnotedebasdep"/>
          <w:lang w:val="en-CA"/>
        </w:rPr>
        <w:footnoteRef/>
      </w:r>
      <w:r w:rsidRPr="00242D27">
        <w:rPr>
          <w:lang w:val="en-CA"/>
        </w:rPr>
        <w:tab/>
      </w:r>
      <w:r w:rsidRPr="00242D27">
        <w:rPr>
          <w:i/>
          <w:iCs/>
          <w:lang w:val="en-CA"/>
        </w:rPr>
        <w:t>André c. R.</w:t>
      </w:r>
      <w:r w:rsidRPr="00242D27">
        <w:rPr>
          <w:lang w:val="en-CA"/>
        </w:rPr>
        <w:t>, 2019 QCCA 440.</w:t>
      </w:r>
    </w:p>
  </w:footnote>
  <w:footnote w:id="75">
    <w:p w14:paraId="7487CF1F" w14:textId="0EBC9D9B" w:rsidR="00314A01" w:rsidRPr="00242D27" w:rsidRDefault="00C04FF8" w:rsidP="00314A01">
      <w:pPr>
        <w:pStyle w:val="Notedebasdepage"/>
        <w:rPr>
          <w:lang w:val="en-CA"/>
        </w:rPr>
      </w:pPr>
      <w:r w:rsidRPr="00A4178E">
        <w:rPr>
          <w:rStyle w:val="Appelnotedebasdep"/>
          <w:lang w:val="en-CA"/>
        </w:rPr>
        <w:footnoteRef/>
      </w:r>
      <w:r w:rsidRPr="00242D27">
        <w:rPr>
          <w:lang w:val="en-CA"/>
        </w:rPr>
        <w:tab/>
      </w:r>
      <w:r w:rsidRPr="00242D27">
        <w:rPr>
          <w:i/>
          <w:iCs/>
          <w:lang w:val="en-CA"/>
        </w:rPr>
        <w:t>Id</w:t>
      </w:r>
      <w:r w:rsidRPr="00242D27">
        <w:rPr>
          <w:lang w:val="en-CA"/>
        </w:rPr>
        <w:t xml:space="preserve">., </w:t>
      </w:r>
      <w:r w:rsidR="004F6D1C" w:rsidRPr="00242D27">
        <w:rPr>
          <w:lang w:val="en-CA"/>
        </w:rPr>
        <w:t>para. 4</w:t>
      </w:r>
      <w:r w:rsidRPr="00242D27">
        <w:rPr>
          <w:lang w:val="en-CA"/>
        </w:rPr>
        <w:t>8.</w:t>
      </w:r>
    </w:p>
  </w:footnote>
  <w:footnote w:id="76">
    <w:p w14:paraId="7487CF20" w14:textId="18273263" w:rsidR="00314A01" w:rsidRPr="00A4178E" w:rsidRDefault="00C04FF8" w:rsidP="00314A01">
      <w:pPr>
        <w:pStyle w:val="Notedebasdepage"/>
        <w:rPr>
          <w:lang w:val="en-CA"/>
        </w:rPr>
      </w:pPr>
      <w:r w:rsidRPr="00A4178E">
        <w:rPr>
          <w:rStyle w:val="Appelnotedebasdep"/>
          <w:lang w:val="en-CA"/>
        </w:rPr>
        <w:footnoteRef/>
      </w:r>
      <w:r w:rsidRPr="00242D27">
        <w:rPr>
          <w:lang w:val="en-CA"/>
        </w:rPr>
        <w:t xml:space="preserve"> </w:t>
      </w:r>
      <w:r w:rsidRPr="00242D27">
        <w:rPr>
          <w:lang w:val="en-CA"/>
        </w:rPr>
        <w:tab/>
      </w:r>
      <w:r w:rsidRPr="00242D27">
        <w:rPr>
          <w:i/>
          <w:iCs/>
          <w:lang w:val="en-CA"/>
        </w:rPr>
        <w:t>R. v. G.D.B.</w:t>
      </w:r>
      <w:r w:rsidRPr="00242D27">
        <w:rPr>
          <w:lang w:val="en-CA"/>
        </w:rPr>
        <w:t xml:space="preserve">, 2000 SCC 22, </w:t>
      </w:r>
      <w:r w:rsidR="004F6D1C" w:rsidRPr="00242D27">
        <w:rPr>
          <w:lang w:val="en-CA"/>
        </w:rPr>
        <w:t>para. 2</w:t>
      </w:r>
      <w:r w:rsidRPr="00242D27">
        <w:rPr>
          <w:lang w:val="en-CA"/>
        </w:rPr>
        <w:t xml:space="preserve">5; Martin Vauclair, Tristan Desjardins and Pauline Lachance, </w:t>
      </w:r>
      <w:r w:rsidRPr="00242D27">
        <w:rPr>
          <w:i/>
          <w:iCs/>
          <w:lang w:val="en-CA"/>
        </w:rPr>
        <w:t>Traité général de preuve et de procédure pénales</w:t>
      </w:r>
      <w:r w:rsidRPr="00242D27">
        <w:rPr>
          <w:lang w:val="en-CA"/>
        </w:rPr>
        <w:t xml:space="preserve">, 30th ed., Montreal, Yvon Blais, 2023, </w:t>
      </w:r>
      <w:r w:rsidR="004F6D1C" w:rsidRPr="00242D27">
        <w:rPr>
          <w:lang w:val="en-CA"/>
        </w:rPr>
        <w:t>p. 2</w:t>
      </w:r>
      <w:r w:rsidRPr="00242D27">
        <w:rPr>
          <w:lang w:val="en-CA"/>
        </w:rPr>
        <w:t xml:space="preserve">10, </w:t>
      </w:r>
      <w:r w:rsidR="004F6D1C" w:rsidRPr="00242D27">
        <w:rPr>
          <w:lang w:val="en-CA"/>
        </w:rPr>
        <w:t>para. </w:t>
      </w:r>
      <w:r w:rsidR="004F6D1C">
        <w:rPr>
          <w:lang w:val="en-CA"/>
        </w:rPr>
        <w:t>9</w:t>
      </w:r>
      <w:r w:rsidRPr="00A4178E">
        <w:rPr>
          <w:lang w:val="en-CA"/>
        </w:rPr>
        <w:t>.111. For example, the Supreme Court recently ruled that the accused</w:t>
      </w:r>
      <w:r w:rsidR="00D06C3F">
        <w:rPr>
          <w:lang w:val="en-CA"/>
        </w:rPr>
        <w:t>’</w:t>
      </w:r>
      <w:r w:rsidRPr="00A4178E">
        <w:rPr>
          <w:lang w:val="en-CA"/>
        </w:rPr>
        <w:t>s mere failure to exercise an informed choice regarding the conduct of his trial was, in the absence of subjective prejudice, insufficient to conclude that the fairness of the trial had been undermined (</w:t>
      </w:r>
      <w:r w:rsidRPr="00A4178E">
        <w:rPr>
          <w:i/>
          <w:iCs/>
          <w:lang w:val="en-CA"/>
        </w:rPr>
        <w:t>R. v. White</w:t>
      </w:r>
      <w:r w:rsidRPr="00A4178E">
        <w:rPr>
          <w:lang w:val="en-CA"/>
        </w:rPr>
        <w:t>, 2022 SCC 7).</w:t>
      </w:r>
    </w:p>
  </w:footnote>
  <w:footnote w:id="77">
    <w:p w14:paraId="7487CF21" w14:textId="43EA31B9" w:rsidR="00314A01" w:rsidRPr="00242D27" w:rsidRDefault="00C04FF8" w:rsidP="00314A01">
      <w:pPr>
        <w:pStyle w:val="Notedebasdepage"/>
        <w:rPr>
          <w:lang w:val="en-CA"/>
        </w:rPr>
      </w:pPr>
      <w:r w:rsidRPr="00A4178E">
        <w:rPr>
          <w:rStyle w:val="Appelnotedebasdep"/>
          <w:lang w:val="en-CA"/>
        </w:rPr>
        <w:footnoteRef/>
      </w:r>
      <w:r w:rsidRPr="00242D27">
        <w:rPr>
          <w:lang w:val="en-CA"/>
        </w:rPr>
        <w:t xml:space="preserve"> </w:t>
      </w:r>
      <w:r w:rsidRPr="00242D27">
        <w:rPr>
          <w:lang w:val="en-CA"/>
        </w:rPr>
        <w:tab/>
      </w:r>
      <w:r w:rsidRPr="00242D27">
        <w:rPr>
          <w:i/>
          <w:iCs/>
          <w:lang w:val="en-CA"/>
        </w:rPr>
        <w:t>Ménard c. R.</w:t>
      </w:r>
      <w:r w:rsidRPr="00242D27">
        <w:rPr>
          <w:lang w:val="en-CA"/>
        </w:rPr>
        <w:t xml:space="preserve">, 2018 QCCA 1800, </w:t>
      </w:r>
      <w:r w:rsidR="004F6D1C" w:rsidRPr="00242D27">
        <w:rPr>
          <w:lang w:val="en-CA"/>
        </w:rPr>
        <w:t>para. 4</w:t>
      </w:r>
      <w:r w:rsidRPr="00242D27">
        <w:rPr>
          <w:lang w:val="en-CA"/>
        </w:rPr>
        <w:t>3.</w:t>
      </w:r>
    </w:p>
  </w:footnote>
  <w:footnote w:id="78">
    <w:p w14:paraId="7487CF22" w14:textId="6F66819F" w:rsidR="00314A01" w:rsidRPr="00242D27" w:rsidRDefault="00C04FF8" w:rsidP="00314A01">
      <w:pPr>
        <w:pStyle w:val="Notedebasdepage"/>
        <w:rPr>
          <w:lang w:val="en-CA"/>
        </w:rPr>
      </w:pPr>
      <w:r w:rsidRPr="00A4178E">
        <w:rPr>
          <w:rStyle w:val="Appelnotedebasdep"/>
          <w:lang w:val="en-CA"/>
        </w:rPr>
        <w:footnoteRef/>
      </w:r>
      <w:r w:rsidRPr="00242D27">
        <w:rPr>
          <w:lang w:val="en-CA"/>
        </w:rPr>
        <w:t xml:space="preserve"> </w:t>
      </w:r>
      <w:r w:rsidRPr="00242D27">
        <w:rPr>
          <w:lang w:val="en-CA"/>
        </w:rPr>
        <w:tab/>
      </w:r>
      <w:r w:rsidRPr="00242D27">
        <w:rPr>
          <w:i/>
          <w:iCs/>
          <w:lang w:val="en-CA"/>
        </w:rPr>
        <w:t>Ménard c. R.</w:t>
      </w:r>
      <w:r w:rsidRPr="00242D27">
        <w:rPr>
          <w:lang w:val="en-CA"/>
        </w:rPr>
        <w:t xml:space="preserve">, 2018 QCCA 1800, </w:t>
      </w:r>
      <w:r w:rsidR="004F6D1C" w:rsidRPr="00242D27">
        <w:rPr>
          <w:lang w:val="en-CA"/>
        </w:rPr>
        <w:t>para. 5</w:t>
      </w:r>
      <w:r w:rsidRPr="00242D27">
        <w:rPr>
          <w:lang w:val="en-CA"/>
        </w:rPr>
        <w:t xml:space="preserve">0; </w:t>
      </w:r>
      <w:r w:rsidRPr="00242D27">
        <w:rPr>
          <w:i/>
          <w:iCs/>
          <w:lang w:val="en-CA"/>
        </w:rPr>
        <w:t>Badio c. R.</w:t>
      </w:r>
      <w:r w:rsidRPr="00242D27">
        <w:rPr>
          <w:lang w:val="en-CA"/>
        </w:rPr>
        <w:t xml:space="preserve">, 2013 QCCA 180; </w:t>
      </w:r>
      <w:r w:rsidRPr="00242D27">
        <w:rPr>
          <w:i/>
          <w:iCs/>
          <w:lang w:val="en-CA"/>
        </w:rPr>
        <w:t>Lavigne c. R.</w:t>
      </w:r>
      <w:r w:rsidRPr="00242D27">
        <w:rPr>
          <w:lang w:val="en-CA"/>
        </w:rPr>
        <w:t xml:space="preserve">, 2008 QCCA 239, </w:t>
      </w:r>
      <w:r w:rsidR="004F6D1C" w:rsidRPr="00242D27">
        <w:rPr>
          <w:lang w:val="en-CA"/>
        </w:rPr>
        <w:t>para. 6</w:t>
      </w:r>
      <w:r w:rsidRPr="00242D27">
        <w:rPr>
          <w:lang w:val="en-CA"/>
        </w:rPr>
        <w:t>.</w:t>
      </w:r>
    </w:p>
  </w:footnote>
  <w:footnote w:id="79">
    <w:p w14:paraId="7487CF23" w14:textId="7DB15197" w:rsidR="00314A01" w:rsidRPr="00242D27" w:rsidRDefault="00C04FF8" w:rsidP="00314A01">
      <w:pPr>
        <w:pStyle w:val="Notedebasdepage"/>
        <w:rPr>
          <w:lang w:val="en-CA"/>
        </w:rPr>
      </w:pPr>
      <w:r w:rsidRPr="00A4178E">
        <w:rPr>
          <w:rStyle w:val="Appelnotedebasdep"/>
          <w:lang w:val="en-CA"/>
        </w:rPr>
        <w:footnoteRef/>
      </w:r>
      <w:r w:rsidRPr="00242D27">
        <w:rPr>
          <w:lang w:val="en-CA"/>
        </w:rPr>
        <w:t xml:space="preserve"> </w:t>
      </w:r>
      <w:r w:rsidRPr="00242D27">
        <w:rPr>
          <w:lang w:val="en-CA"/>
        </w:rPr>
        <w:tab/>
      </w:r>
      <w:r w:rsidRPr="00242D27">
        <w:rPr>
          <w:i/>
          <w:iCs/>
          <w:lang w:val="en-CA"/>
        </w:rPr>
        <w:t>R. v. G.D.B.</w:t>
      </w:r>
      <w:r w:rsidRPr="00242D27">
        <w:rPr>
          <w:lang w:val="en-CA"/>
        </w:rPr>
        <w:t xml:space="preserve">, 2000 SCC 22, </w:t>
      </w:r>
      <w:r w:rsidR="004F6D1C" w:rsidRPr="00242D27">
        <w:rPr>
          <w:lang w:val="en-CA"/>
        </w:rPr>
        <w:t>para. 2</w:t>
      </w:r>
      <w:r w:rsidRPr="00242D27">
        <w:rPr>
          <w:lang w:val="en-CA"/>
        </w:rPr>
        <w:t xml:space="preserve">9; </w:t>
      </w:r>
      <w:r w:rsidRPr="00242D27">
        <w:rPr>
          <w:i/>
          <w:iCs/>
          <w:lang w:val="en-CA"/>
        </w:rPr>
        <w:t>Vdovin c. R</w:t>
      </w:r>
      <w:r w:rsidRPr="00242D27">
        <w:rPr>
          <w:lang w:val="en-CA"/>
        </w:rPr>
        <w:t xml:space="preserve">., 2021 QCCA 1969, </w:t>
      </w:r>
      <w:r w:rsidR="004F6D1C" w:rsidRPr="00242D27">
        <w:rPr>
          <w:lang w:val="en-CA"/>
        </w:rPr>
        <w:t>para. 2</w:t>
      </w:r>
      <w:r w:rsidRPr="00242D27">
        <w:rPr>
          <w:lang w:val="en-CA"/>
        </w:rPr>
        <w:t xml:space="preserve">3; </w:t>
      </w:r>
      <w:r w:rsidRPr="00242D27">
        <w:rPr>
          <w:i/>
          <w:iCs/>
          <w:lang w:val="en-CA"/>
        </w:rPr>
        <w:t>Ménard c. R.</w:t>
      </w:r>
      <w:r w:rsidRPr="00242D27">
        <w:rPr>
          <w:lang w:val="en-CA"/>
        </w:rPr>
        <w:t xml:space="preserve">, 2018 QCCA 1800, </w:t>
      </w:r>
      <w:r w:rsidR="004F6D1C" w:rsidRPr="00242D27">
        <w:rPr>
          <w:lang w:val="en-CA"/>
        </w:rPr>
        <w:t>para. 2</w:t>
      </w:r>
      <w:r w:rsidRPr="00242D27">
        <w:rPr>
          <w:lang w:val="en-CA"/>
        </w:rPr>
        <w:t xml:space="preserve">7; </w:t>
      </w:r>
      <w:r w:rsidRPr="00242D27">
        <w:rPr>
          <w:i/>
          <w:iCs/>
          <w:lang w:val="en-CA"/>
        </w:rPr>
        <w:t>Brabant-Laberge c. R.</w:t>
      </w:r>
      <w:r w:rsidRPr="00242D27">
        <w:rPr>
          <w:lang w:val="en-CA"/>
        </w:rPr>
        <w:t xml:space="preserve">, 2011 QCCA 1846, </w:t>
      </w:r>
      <w:r w:rsidR="004F6D1C" w:rsidRPr="00242D27">
        <w:rPr>
          <w:lang w:val="en-CA"/>
        </w:rPr>
        <w:t>para. 1</w:t>
      </w:r>
      <w:r w:rsidRPr="00242D27">
        <w:rPr>
          <w:lang w:val="en-CA"/>
        </w:rPr>
        <w:t xml:space="preserve">6; </w:t>
      </w:r>
      <w:r w:rsidRPr="00242D27">
        <w:rPr>
          <w:i/>
          <w:iCs/>
          <w:lang w:val="en-CA"/>
        </w:rPr>
        <w:t>R. c. J.C.</w:t>
      </w:r>
      <w:r w:rsidRPr="00242D27">
        <w:rPr>
          <w:lang w:val="en-CA"/>
        </w:rPr>
        <w:t xml:space="preserve">, [2003] R.J.Q. 1022, </w:t>
      </w:r>
      <w:r w:rsidR="004F6D1C" w:rsidRPr="00242D27">
        <w:rPr>
          <w:lang w:val="en-CA"/>
        </w:rPr>
        <w:t>para. 2</w:t>
      </w:r>
      <w:r w:rsidRPr="00242D27">
        <w:rPr>
          <w:lang w:val="en-CA"/>
        </w:rPr>
        <w:t xml:space="preserve">9 (C.A.); </w:t>
      </w:r>
      <w:r w:rsidRPr="00242D27">
        <w:rPr>
          <w:i/>
          <w:iCs/>
          <w:lang w:val="en-CA"/>
        </w:rPr>
        <w:t>R. c. Delisle</w:t>
      </w:r>
      <w:r w:rsidRPr="00242D27">
        <w:rPr>
          <w:lang w:val="en-CA"/>
        </w:rPr>
        <w:t>, [1999] R.J.Q. 129, p</w:t>
      </w:r>
      <w:r w:rsidR="004F6D1C" w:rsidRPr="00242D27">
        <w:rPr>
          <w:lang w:val="en-CA"/>
        </w:rPr>
        <w:t>p. 1</w:t>
      </w:r>
      <w:r w:rsidRPr="00242D27">
        <w:rPr>
          <w:lang w:val="en-CA"/>
        </w:rPr>
        <w:t>1-12 (C.A.).</w:t>
      </w:r>
    </w:p>
  </w:footnote>
  <w:footnote w:id="80">
    <w:p w14:paraId="7487CF24" w14:textId="14E2448A" w:rsidR="00314A01" w:rsidRPr="00A4178E" w:rsidRDefault="00C04FF8" w:rsidP="00314A01">
      <w:pPr>
        <w:pStyle w:val="Notedebasdepage"/>
        <w:rPr>
          <w:lang w:val="en-CA"/>
        </w:rPr>
      </w:pPr>
      <w:r w:rsidRPr="00A4178E">
        <w:rPr>
          <w:rStyle w:val="Appelnotedebasdep"/>
          <w:lang w:val="en-CA"/>
        </w:rPr>
        <w:footnoteRef/>
      </w:r>
      <w:r w:rsidRPr="00A4178E">
        <w:rPr>
          <w:lang w:val="en-CA"/>
        </w:rPr>
        <w:t xml:space="preserve"> </w:t>
      </w:r>
      <w:r w:rsidRPr="00A4178E">
        <w:rPr>
          <w:lang w:val="en-CA"/>
        </w:rPr>
        <w:tab/>
        <w:t>Appellant</w:t>
      </w:r>
      <w:r w:rsidR="00D06C3F">
        <w:rPr>
          <w:lang w:val="en-CA"/>
        </w:rPr>
        <w:t>’</w:t>
      </w:r>
      <w:r w:rsidRPr="00A4178E">
        <w:rPr>
          <w:lang w:val="en-CA"/>
        </w:rPr>
        <w:t xml:space="preserve">s argument, </w:t>
      </w:r>
      <w:r w:rsidR="004F6D1C">
        <w:rPr>
          <w:lang w:val="en-CA"/>
        </w:rPr>
        <w:t>para. 2</w:t>
      </w:r>
      <w:r w:rsidRPr="00A4178E">
        <w:rPr>
          <w:lang w:val="en-CA"/>
        </w:rPr>
        <w:t>6.</w:t>
      </w:r>
    </w:p>
  </w:footnote>
  <w:footnote w:id="81">
    <w:p w14:paraId="7487CF25" w14:textId="464402B0" w:rsidR="00314A01" w:rsidRPr="00A4178E" w:rsidRDefault="00C04FF8" w:rsidP="00314A01">
      <w:pPr>
        <w:pStyle w:val="Notedebasdepage"/>
        <w:rPr>
          <w:lang w:val="en-CA"/>
        </w:rPr>
      </w:pPr>
      <w:r w:rsidRPr="00A4178E">
        <w:rPr>
          <w:rStyle w:val="Appelnotedebasdep"/>
          <w:lang w:val="en-CA"/>
        </w:rPr>
        <w:footnoteRef/>
      </w:r>
      <w:r w:rsidRPr="00A4178E">
        <w:rPr>
          <w:lang w:val="en-CA"/>
        </w:rPr>
        <w:tab/>
        <w:t xml:space="preserve">Affidavit of Mtre François Cauchon in response to the allegations of ineffective assistance, December 1, 2023, </w:t>
      </w:r>
      <w:r w:rsidR="004F6D1C">
        <w:rPr>
          <w:lang w:val="en-CA"/>
        </w:rPr>
        <w:t>para. 4</w:t>
      </w:r>
      <w:r w:rsidRPr="00A4178E">
        <w:rPr>
          <w:lang w:val="en-CA"/>
        </w:rPr>
        <w:t xml:space="preserve">8. </w:t>
      </w:r>
    </w:p>
  </w:footnote>
  <w:footnote w:id="82">
    <w:p w14:paraId="7487CF26" w14:textId="600FF19B" w:rsidR="00314A01" w:rsidRPr="00A4178E" w:rsidRDefault="00C04FF8" w:rsidP="00314A01">
      <w:pPr>
        <w:pStyle w:val="Notedebasdepage"/>
        <w:rPr>
          <w:lang w:val="en-CA"/>
        </w:rPr>
      </w:pPr>
      <w:r w:rsidRPr="00A4178E">
        <w:rPr>
          <w:rStyle w:val="Appelnotedebasdep"/>
          <w:lang w:val="en-CA"/>
        </w:rPr>
        <w:footnoteRef/>
      </w:r>
      <w:r w:rsidRPr="00A4178E">
        <w:rPr>
          <w:lang w:val="en-CA"/>
        </w:rPr>
        <w:tab/>
        <w:t>Respondent</w:t>
      </w:r>
      <w:r w:rsidR="00D06C3F">
        <w:rPr>
          <w:lang w:val="en-CA"/>
        </w:rPr>
        <w:t>’</w:t>
      </w:r>
      <w:r w:rsidRPr="00A4178E">
        <w:rPr>
          <w:lang w:val="en-CA"/>
        </w:rPr>
        <w:t xml:space="preserve">s argument, </w:t>
      </w:r>
      <w:r w:rsidR="004F6D1C">
        <w:rPr>
          <w:lang w:val="en-CA"/>
        </w:rPr>
        <w:t>para. 7</w:t>
      </w:r>
      <w:r w:rsidRPr="00A4178E">
        <w:rPr>
          <w:lang w:val="en-CA"/>
        </w:rPr>
        <w:t>3.</w:t>
      </w:r>
    </w:p>
  </w:footnote>
  <w:footnote w:id="83">
    <w:p w14:paraId="7487CF27" w14:textId="71B0B831" w:rsidR="00314A01" w:rsidRPr="00A4178E" w:rsidRDefault="00C04FF8" w:rsidP="00314A01">
      <w:pPr>
        <w:pStyle w:val="Notedebasdepage"/>
        <w:rPr>
          <w:lang w:val="en-CA"/>
        </w:rPr>
      </w:pPr>
      <w:r w:rsidRPr="00A4178E">
        <w:rPr>
          <w:rStyle w:val="Appelnotedebasdep"/>
          <w:lang w:val="en-CA"/>
        </w:rPr>
        <w:footnoteRef/>
      </w:r>
      <w:r w:rsidRPr="00A4178E">
        <w:rPr>
          <w:lang w:val="en-CA"/>
        </w:rPr>
        <w:tab/>
        <w:t xml:space="preserve">Judgment on guilt, </w:t>
      </w:r>
      <w:r w:rsidR="004F6D1C">
        <w:rPr>
          <w:lang w:val="en-CA"/>
        </w:rPr>
        <w:t>para. 8</w:t>
      </w:r>
      <w:r w:rsidRPr="00A4178E">
        <w:rPr>
          <w:lang w:val="en-CA"/>
        </w:rPr>
        <w:t xml:space="preserve">5. Above, para. </w:t>
      </w:r>
      <w:r w:rsidRPr="00A4178E">
        <w:rPr>
          <w:lang w:val="en-CA"/>
        </w:rPr>
        <w:fldChar w:fldCharType="begin"/>
      </w:r>
      <w:r w:rsidRPr="00A4178E">
        <w:rPr>
          <w:lang w:val="en-CA"/>
        </w:rPr>
        <w:instrText xml:space="preserve"> REF _Ref206752803 \r \h  \* MERGEFORMAT </w:instrText>
      </w:r>
      <w:r w:rsidRPr="00A4178E">
        <w:rPr>
          <w:lang w:val="en-CA"/>
        </w:rPr>
      </w:r>
      <w:r w:rsidRPr="00A4178E">
        <w:rPr>
          <w:lang w:val="en-CA"/>
        </w:rPr>
        <w:fldChar w:fldCharType="separate"/>
      </w:r>
      <w:r w:rsidR="003A1053">
        <w:rPr>
          <w:lang w:val="en-CA"/>
        </w:rPr>
        <w:t>[32]</w:t>
      </w:r>
      <w:r w:rsidRPr="00A4178E">
        <w:rPr>
          <w:lang w:val="en-CA"/>
        </w:rPr>
        <w:fldChar w:fldCharType="end"/>
      </w:r>
      <w:r w:rsidRPr="00A4178E">
        <w:rPr>
          <w:lang w:val="en-CA"/>
        </w:rPr>
        <w:t>.</w:t>
      </w:r>
    </w:p>
  </w:footnote>
  <w:footnote w:id="84">
    <w:p w14:paraId="7487CF28" w14:textId="5244B6AD" w:rsidR="00314A01" w:rsidRPr="00A4178E" w:rsidRDefault="00C04FF8" w:rsidP="00314A01">
      <w:pPr>
        <w:pStyle w:val="Notedebasdepage"/>
        <w:rPr>
          <w:lang w:val="en-CA"/>
        </w:rPr>
      </w:pPr>
      <w:r w:rsidRPr="00A4178E">
        <w:rPr>
          <w:rStyle w:val="Appelnotedebasdep"/>
          <w:lang w:val="en-CA"/>
        </w:rPr>
        <w:footnoteRef/>
      </w:r>
      <w:r w:rsidRPr="00A4178E">
        <w:rPr>
          <w:lang w:val="en-CA"/>
        </w:rPr>
        <w:t xml:space="preserve"> </w:t>
      </w:r>
      <w:r w:rsidRPr="00A4178E">
        <w:rPr>
          <w:lang w:val="en-CA"/>
        </w:rPr>
        <w:tab/>
        <w:t>Appellant</w:t>
      </w:r>
      <w:r w:rsidR="00D06C3F">
        <w:rPr>
          <w:lang w:val="en-CA"/>
        </w:rPr>
        <w:t>’</w:t>
      </w:r>
      <w:r w:rsidRPr="00A4178E">
        <w:rPr>
          <w:lang w:val="en-CA"/>
        </w:rPr>
        <w:t xml:space="preserve">s argument, </w:t>
      </w:r>
      <w:r w:rsidR="004F6D1C">
        <w:rPr>
          <w:lang w:val="en-CA"/>
        </w:rPr>
        <w:t>para. 3</w:t>
      </w:r>
      <w:r w:rsidRPr="00A4178E">
        <w:rPr>
          <w:lang w:val="en-CA"/>
        </w:rPr>
        <w:t xml:space="preserve">6. </w:t>
      </w:r>
    </w:p>
  </w:footnote>
  <w:footnote w:id="85">
    <w:p w14:paraId="7487CF29" w14:textId="0D1F6EC8" w:rsidR="00314A01" w:rsidRPr="00A4178E" w:rsidRDefault="00C04FF8" w:rsidP="00314A01">
      <w:pPr>
        <w:pStyle w:val="Notedebasdepage"/>
        <w:rPr>
          <w:lang w:val="en-CA"/>
        </w:rPr>
      </w:pPr>
      <w:r w:rsidRPr="00A4178E">
        <w:rPr>
          <w:rStyle w:val="Appelnotedebasdep"/>
          <w:lang w:val="en-CA"/>
        </w:rPr>
        <w:footnoteRef/>
      </w:r>
      <w:r w:rsidRPr="00A4178E">
        <w:rPr>
          <w:lang w:val="en-CA"/>
        </w:rPr>
        <w:t xml:space="preserve"> </w:t>
      </w:r>
      <w:r w:rsidRPr="00A4178E">
        <w:rPr>
          <w:lang w:val="en-CA"/>
        </w:rPr>
        <w:tab/>
        <w:t>Out-of-court cross-examination of Akim Hardy, November 14, 2023, p</w:t>
      </w:r>
      <w:r w:rsidR="004F6D1C">
        <w:rPr>
          <w:lang w:val="en-CA"/>
        </w:rPr>
        <w:t>p. 5</w:t>
      </w:r>
      <w:r w:rsidRPr="00A4178E">
        <w:rPr>
          <w:lang w:val="en-CA"/>
        </w:rPr>
        <w:t>5-58.</w:t>
      </w:r>
    </w:p>
  </w:footnote>
  <w:footnote w:id="86">
    <w:p w14:paraId="7487CF2A" w14:textId="77777777" w:rsidR="00314A01" w:rsidRPr="00A4178E" w:rsidRDefault="00C04FF8" w:rsidP="00314A01">
      <w:pPr>
        <w:pStyle w:val="Notedebasdepage"/>
        <w:rPr>
          <w:lang w:val="en-CA"/>
        </w:rPr>
      </w:pPr>
      <w:r w:rsidRPr="00A4178E">
        <w:rPr>
          <w:rStyle w:val="Appelnotedebasdep"/>
          <w:lang w:val="en-CA"/>
        </w:rPr>
        <w:footnoteRef/>
      </w:r>
      <w:r w:rsidRPr="00A4178E">
        <w:rPr>
          <w:lang w:val="en-CA"/>
        </w:rPr>
        <w:tab/>
        <w:t>Affidavit of Mtre François Cauchon in response to the allegations of ineffective assistance, December 1, 2023, Schedule 4, notes taken during the meeting of May 4, 2021.</w:t>
      </w:r>
    </w:p>
  </w:footnote>
  <w:footnote w:id="87">
    <w:p w14:paraId="7487CF2B" w14:textId="49BB1DE2" w:rsidR="00314A01" w:rsidRPr="00A4178E" w:rsidRDefault="00C04FF8" w:rsidP="00314A01">
      <w:pPr>
        <w:pStyle w:val="Notedebasdepage"/>
        <w:rPr>
          <w:lang w:val="en-CA"/>
        </w:rPr>
      </w:pPr>
      <w:r w:rsidRPr="00A4178E">
        <w:rPr>
          <w:rStyle w:val="Appelnotedebasdep"/>
          <w:lang w:val="en-CA"/>
        </w:rPr>
        <w:footnoteRef/>
      </w:r>
      <w:r w:rsidRPr="00A4178E">
        <w:rPr>
          <w:lang w:val="en-CA"/>
        </w:rPr>
        <w:tab/>
        <w:t xml:space="preserve">Out-of-court cross-examination of Lyna Imbeault, November 14, 2023, </w:t>
      </w:r>
      <w:r w:rsidR="004F6D1C">
        <w:rPr>
          <w:lang w:val="en-CA"/>
        </w:rPr>
        <w:t>p. 1</w:t>
      </w:r>
      <w:r w:rsidRPr="00A4178E">
        <w:rPr>
          <w:lang w:val="en-CA"/>
        </w:rPr>
        <w:t>9.</w:t>
      </w:r>
    </w:p>
  </w:footnote>
  <w:footnote w:id="88">
    <w:p w14:paraId="7487CF2C" w14:textId="77777777" w:rsidR="00314A01" w:rsidRPr="00A4178E" w:rsidRDefault="00C04FF8" w:rsidP="00314A01">
      <w:pPr>
        <w:pStyle w:val="Notedebasdepage"/>
        <w:rPr>
          <w:lang w:val="en-CA"/>
        </w:rPr>
      </w:pPr>
      <w:r w:rsidRPr="00A4178E">
        <w:rPr>
          <w:rStyle w:val="Appelnotedebasdep"/>
          <w:lang w:val="en-CA"/>
        </w:rPr>
        <w:footnoteRef/>
      </w:r>
      <w:r w:rsidRPr="00A4178E">
        <w:rPr>
          <w:lang w:val="en-CA"/>
        </w:rPr>
        <w:tab/>
        <w:t>Affidavit of Mtre François Cauchon in response to the allegations of ineffective assistance, December 1, 2023, Schedules 3 and 5, notes taken during the meetings on April 15 and October 29, 2021.</w:t>
      </w:r>
    </w:p>
  </w:footnote>
  <w:footnote w:id="89">
    <w:p w14:paraId="7487CF2D" w14:textId="77777777" w:rsidR="00314A01" w:rsidRPr="00242D27" w:rsidRDefault="00C04FF8" w:rsidP="00314A01">
      <w:pPr>
        <w:pStyle w:val="Notedebasdepage"/>
        <w:rPr>
          <w:lang w:val="en-CA"/>
        </w:rPr>
      </w:pPr>
      <w:r w:rsidRPr="00A4178E">
        <w:rPr>
          <w:rStyle w:val="Appelnotedebasdep"/>
          <w:lang w:val="en-CA"/>
        </w:rPr>
        <w:footnoteRef/>
      </w:r>
      <w:r w:rsidRPr="00242D27">
        <w:rPr>
          <w:lang w:val="en-CA"/>
        </w:rPr>
        <w:tab/>
      </w:r>
      <w:r w:rsidRPr="00242D27">
        <w:rPr>
          <w:i/>
          <w:iCs/>
          <w:lang w:val="en-CA"/>
        </w:rPr>
        <w:t>R. v. Cloutier</w:t>
      </w:r>
      <w:r w:rsidRPr="00242D27">
        <w:rPr>
          <w:lang w:val="en-CA"/>
        </w:rPr>
        <w:t>, [2005] R.J.Q. 287.</w:t>
      </w:r>
    </w:p>
  </w:footnote>
  <w:footnote w:id="90">
    <w:p w14:paraId="7487CF2E" w14:textId="1C8F36AC" w:rsidR="00314A01" w:rsidRPr="00242D27" w:rsidRDefault="00C04FF8" w:rsidP="00314A01">
      <w:pPr>
        <w:pStyle w:val="Notedebasdepage"/>
        <w:rPr>
          <w:lang w:val="en-CA"/>
        </w:rPr>
      </w:pPr>
      <w:r w:rsidRPr="00A4178E">
        <w:rPr>
          <w:rStyle w:val="Appelnotedebasdep"/>
          <w:lang w:val="en-CA"/>
        </w:rPr>
        <w:footnoteRef/>
      </w:r>
      <w:r w:rsidRPr="00242D27">
        <w:rPr>
          <w:lang w:val="en-CA"/>
        </w:rPr>
        <w:tab/>
        <w:t xml:space="preserve">Sentence, </w:t>
      </w:r>
      <w:r w:rsidR="004F6D1C" w:rsidRPr="00242D27">
        <w:rPr>
          <w:lang w:val="en-CA"/>
        </w:rPr>
        <w:t>para. 5</w:t>
      </w:r>
      <w:r w:rsidRPr="00242D27">
        <w:rPr>
          <w:lang w:val="en-CA"/>
        </w:rPr>
        <w:t>2.</w:t>
      </w:r>
    </w:p>
  </w:footnote>
  <w:footnote w:id="91">
    <w:p w14:paraId="7487CF2F" w14:textId="1AD038F7" w:rsidR="00314A01" w:rsidRPr="00A4178E" w:rsidRDefault="00C04FF8" w:rsidP="00314A01">
      <w:pPr>
        <w:pStyle w:val="Notedebasdepage"/>
        <w:rPr>
          <w:lang w:val="en-CA"/>
        </w:rPr>
      </w:pPr>
      <w:r w:rsidRPr="00A4178E">
        <w:rPr>
          <w:rStyle w:val="Appelnotedebasdep"/>
          <w:lang w:val="en-CA"/>
        </w:rPr>
        <w:footnoteRef/>
      </w:r>
      <w:r w:rsidRPr="00242D27">
        <w:rPr>
          <w:lang w:val="en-CA"/>
        </w:rPr>
        <w:tab/>
        <w:t>Appellant</w:t>
      </w:r>
      <w:r w:rsidR="00D06C3F" w:rsidRPr="00242D27">
        <w:rPr>
          <w:lang w:val="en-CA"/>
        </w:rPr>
        <w:t>’</w:t>
      </w:r>
      <w:r w:rsidRPr="00242D27">
        <w:rPr>
          <w:lang w:val="en-CA"/>
        </w:rPr>
        <w:t xml:space="preserve">s memorandum, </w:t>
      </w:r>
      <w:r w:rsidR="004F6D1C" w:rsidRPr="00242D27">
        <w:rPr>
          <w:lang w:val="en-CA"/>
        </w:rPr>
        <w:t>para. </w:t>
      </w:r>
      <w:r w:rsidR="004F6D1C">
        <w:rPr>
          <w:lang w:val="en-CA"/>
        </w:rPr>
        <w:t>2</w:t>
      </w:r>
      <w:r w:rsidRPr="00A4178E">
        <w:rPr>
          <w:lang w:val="en-CA"/>
        </w:rPr>
        <w:t>2.</w:t>
      </w:r>
    </w:p>
  </w:footnote>
  <w:footnote w:id="92">
    <w:p w14:paraId="7487CF30" w14:textId="6C8F7102" w:rsidR="00314A01" w:rsidRDefault="00C04FF8" w:rsidP="00314A01">
      <w:pPr>
        <w:pStyle w:val="Notedebasdepage"/>
      </w:pPr>
      <w:r w:rsidRPr="00A4178E">
        <w:rPr>
          <w:rStyle w:val="Appelnotedebasdep"/>
          <w:lang w:val="en-CA"/>
        </w:rPr>
        <w:footnoteRef/>
      </w:r>
      <w:r w:rsidRPr="00A4178E">
        <w:rPr>
          <w:lang w:val="en-CA"/>
        </w:rPr>
        <w:tab/>
      </w:r>
      <w:r w:rsidRPr="00A4178E">
        <w:rPr>
          <w:i/>
          <w:iCs/>
          <w:lang w:val="en-CA"/>
        </w:rPr>
        <w:t>Id</w:t>
      </w:r>
      <w:r w:rsidRPr="00A4178E">
        <w:rPr>
          <w:lang w:val="en-CA"/>
        </w:rPr>
        <w:t xml:space="preserve">., </w:t>
      </w:r>
      <w:r w:rsidR="004F6D1C">
        <w:rPr>
          <w:lang w:val="en-CA"/>
        </w:rPr>
        <w:t>para. 2</w:t>
      </w:r>
      <w:r w:rsidRPr="00A4178E">
        <w:rPr>
          <w:lang w:val="en-CA"/>
        </w:rPr>
        <w:t>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7CED1" w14:textId="77777777" w:rsidR="00314A01" w:rsidRDefault="00C04FF8" w:rsidP="00E97652">
    <w:pPr>
      <w:tabs>
        <w:tab w:val="center" w:pos="4709"/>
        <w:tab w:val="right" w:pos="9360"/>
      </w:tabs>
      <w:spacing w:line="360" w:lineRule="auto"/>
      <w:ind w:right="524"/>
    </w:pPr>
    <w:r>
      <w:rPr>
        <w:lang w:val="en-CA"/>
      </w:rPr>
      <w:t xml:space="preserve">200-10-004071-234 </w:t>
    </w:r>
    <w:r>
      <w:rPr>
        <w:lang w:val="en-CA"/>
      </w:rPr>
      <w:tab/>
    </w:r>
    <w:r>
      <w:rPr>
        <w:lang w:val="en-CA"/>
      </w:rPr>
      <w:tab/>
      <w:t xml:space="preserve">PAGE: </w:t>
    </w:r>
    <w:r>
      <w:fldChar w:fldCharType="begin"/>
    </w:r>
    <w:r>
      <w:instrText xml:space="preserve"> PAGE </w:instrText>
    </w:r>
    <w:r>
      <w:fldChar w:fldCharType="separate"/>
    </w:r>
    <w:r>
      <w:t>1</w:t>
    </w:r>
    <w:r>
      <w:fldChar w:fldCharType="end"/>
    </w:r>
  </w:p>
  <w:p w14:paraId="7487CED2" w14:textId="77777777" w:rsidR="00192F39" w:rsidRDefault="00192F39" w:rsidP="00E97652">
    <w:pPr>
      <w:tabs>
        <w:tab w:val="center" w:pos="4709"/>
        <w:tab w:val="right" w:pos="9360"/>
      </w:tabs>
      <w:spacing w:line="360" w:lineRule="auto"/>
      <w:ind w:right="52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7CED3" w14:textId="77777777" w:rsidR="007E33E4" w:rsidRDefault="00C04FF8" w:rsidP="00DB2119">
    <w:pPr>
      <w:tabs>
        <w:tab w:val="center" w:pos="4709"/>
        <w:tab w:val="right" w:pos="9360"/>
      </w:tabs>
      <w:spacing w:line="360" w:lineRule="auto"/>
      <w:ind w:right="524"/>
    </w:pPr>
    <w:bookmarkStart w:id="43" w:name="EntDossier"/>
    <w:r>
      <w:rPr>
        <w:lang w:val="en-CA"/>
      </w:rPr>
      <w:t>200-10-004071-234</w:t>
    </w:r>
    <w:bookmarkEnd w:id="43"/>
    <w:r>
      <w:rPr>
        <w:lang w:val="en-CA"/>
      </w:rPr>
      <w:t xml:space="preserve"> </w:t>
    </w:r>
    <w:r>
      <w:rPr>
        <w:lang w:val="en-CA"/>
      </w:rPr>
      <w:tab/>
    </w:r>
    <w:r>
      <w:rPr>
        <w:lang w:val="en-CA"/>
      </w:rPr>
      <w:tab/>
      <w:t xml:space="preserve">PAGE: </w:t>
    </w:r>
    <w:r>
      <w:fldChar w:fldCharType="begin"/>
    </w:r>
    <w:r>
      <w:instrText xml:space="preserve"> PAGE </w:instrText>
    </w:r>
    <w:r>
      <w:fldChar w:fldCharType="separate"/>
    </w:r>
    <w:r w:rsidR="008D18FC">
      <w:rPr>
        <w:noProof/>
      </w:rPr>
      <w:t>2</w:t>
    </w:r>
    <w:r>
      <w:fldChar w:fldCharType="end"/>
    </w:r>
  </w:p>
  <w:p w14:paraId="7487CED4" w14:textId="77777777" w:rsidR="007E33E4" w:rsidRDefault="007E33E4" w:rsidP="00DB2119">
    <w:pPr>
      <w:tabs>
        <w:tab w:val="center" w:pos="4709"/>
        <w:tab w:val="right" w:pos="9360"/>
      </w:tabs>
      <w:spacing w:line="360" w:lineRule="auto"/>
      <w:ind w:right="52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0E1E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F12EA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F2647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51C3B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4EAB8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1219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8070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6436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DCE6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34AE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5635F"/>
    <w:multiLevelType w:val="hybridMultilevel"/>
    <w:tmpl w:val="0AE40B36"/>
    <w:lvl w:ilvl="0" w:tplc="A5727DEA">
      <w:start w:val="1"/>
      <w:numFmt w:val="lowerLetter"/>
      <w:lvlText w:val="%1."/>
      <w:lvlJc w:val="left"/>
      <w:pPr>
        <w:ind w:left="720" w:hanging="360"/>
      </w:pPr>
    </w:lvl>
    <w:lvl w:ilvl="1" w:tplc="EA10112A" w:tentative="1">
      <w:start w:val="1"/>
      <w:numFmt w:val="lowerLetter"/>
      <w:lvlText w:val="%2."/>
      <w:lvlJc w:val="left"/>
      <w:pPr>
        <w:ind w:left="1440" w:hanging="360"/>
      </w:pPr>
    </w:lvl>
    <w:lvl w:ilvl="2" w:tplc="E4F8BA92" w:tentative="1">
      <w:start w:val="1"/>
      <w:numFmt w:val="lowerRoman"/>
      <w:lvlText w:val="%3."/>
      <w:lvlJc w:val="right"/>
      <w:pPr>
        <w:ind w:left="2160" w:hanging="180"/>
      </w:pPr>
    </w:lvl>
    <w:lvl w:ilvl="3" w:tplc="2664510A" w:tentative="1">
      <w:start w:val="1"/>
      <w:numFmt w:val="decimal"/>
      <w:lvlText w:val="%4."/>
      <w:lvlJc w:val="left"/>
      <w:pPr>
        <w:ind w:left="2880" w:hanging="360"/>
      </w:pPr>
    </w:lvl>
    <w:lvl w:ilvl="4" w:tplc="7A62804E" w:tentative="1">
      <w:start w:val="1"/>
      <w:numFmt w:val="lowerLetter"/>
      <w:lvlText w:val="%5."/>
      <w:lvlJc w:val="left"/>
      <w:pPr>
        <w:ind w:left="3600" w:hanging="360"/>
      </w:pPr>
    </w:lvl>
    <w:lvl w:ilvl="5" w:tplc="C9404C5E" w:tentative="1">
      <w:start w:val="1"/>
      <w:numFmt w:val="lowerRoman"/>
      <w:lvlText w:val="%6."/>
      <w:lvlJc w:val="right"/>
      <w:pPr>
        <w:ind w:left="4320" w:hanging="180"/>
      </w:pPr>
    </w:lvl>
    <w:lvl w:ilvl="6" w:tplc="0D04C724" w:tentative="1">
      <w:start w:val="1"/>
      <w:numFmt w:val="decimal"/>
      <w:lvlText w:val="%7."/>
      <w:lvlJc w:val="left"/>
      <w:pPr>
        <w:ind w:left="5040" w:hanging="360"/>
      </w:pPr>
    </w:lvl>
    <w:lvl w:ilvl="7" w:tplc="5330BB94" w:tentative="1">
      <w:start w:val="1"/>
      <w:numFmt w:val="lowerLetter"/>
      <w:lvlText w:val="%8."/>
      <w:lvlJc w:val="left"/>
      <w:pPr>
        <w:ind w:left="5760" w:hanging="360"/>
      </w:pPr>
    </w:lvl>
    <w:lvl w:ilvl="8" w:tplc="B59816D8" w:tentative="1">
      <w:start w:val="1"/>
      <w:numFmt w:val="lowerRoman"/>
      <w:lvlText w:val="%9."/>
      <w:lvlJc w:val="right"/>
      <w:pPr>
        <w:ind w:left="6480" w:hanging="180"/>
      </w:pPr>
    </w:lvl>
  </w:abstractNum>
  <w:abstractNum w:abstractNumId="11" w15:restartNumberingAfterBreak="0">
    <w:nsid w:val="20BC12EF"/>
    <w:multiLevelType w:val="hybridMultilevel"/>
    <w:tmpl w:val="1D689444"/>
    <w:lvl w:ilvl="0" w:tplc="C1E4D0AC">
      <w:start w:val="1"/>
      <w:numFmt w:val="upperLetter"/>
      <w:lvlText w:val="%1."/>
      <w:lvlJc w:val="left"/>
      <w:pPr>
        <w:ind w:left="720" w:hanging="360"/>
      </w:pPr>
      <w:rPr>
        <w:rFonts w:hint="default"/>
      </w:rPr>
    </w:lvl>
    <w:lvl w:ilvl="1" w:tplc="113EE62E" w:tentative="1">
      <w:start w:val="1"/>
      <w:numFmt w:val="lowerLetter"/>
      <w:lvlText w:val="%2."/>
      <w:lvlJc w:val="left"/>
      <w:pPr>
        <w:ind w:left="1440" w:hanging="360"/>
      </w:pPr>
    </w:lvl>
    <w:lvl w:ilvl="2" w:tplc="041C2574" w:tentative="1">
      <w:start w:val="1"/>
      <w:numFmt w:val="lowerRoman"/>
      <w:lvlText w:val="%3."/>
      <w:lvlJc w:val="right"/>
      <w:pPr>
        <w:ind w:left="2160" w:hanging="180"/>
      </w:pPr>
    </w:lvl>
    <w:lvl w:ilvl="3" w:tplc="54DAB312" w:tentative="1">
      <w:start w:val="1"/>
      <w:numFmt w:val="decimal"/>
      <w:lvlText w:val="%4."/>
      <w:lvlJc w:val="left"/>
      <w:pPr>
        <w:ind w:left="2880" w:hanging="360"/>
      </w:pPr>
    </w:lvl>
    <w:lvl w:ilvl="4" w:tplc="34562FE8" w:tentative="1">
      <w:start w:val="1"/>
      <w:numFmt w:val="lowerLetter"/>
      <w:lvlText w:val="%5."/>
      <w:lvlJc w:val="left"/>
      <w:pPr>
        <w:ind w:left="3600" w:hanging="360"/>
      </w:pPr>
    </w:lvl>
    <w:lvl w:ilvl="5" w:tplc="4AA40920" w:tentative="1">
      <w:start w:val="1"/>
      <w:numFmt w:val="lowerRoman"/>
      <w:lvlText w:val="%6."/>
      <w:lvlJc w:val="right"/>
      <w:pPr>
        <w:ind w:left="4320" w:hanging="180"/>
      </w:pPr>
    </w:lvl>
    <w:lvl w:ilvl="6" w:tplc="7ED661E4" w:tentative="1">
      <w:start w:val="1"/>
      <w:numFmt w:val="decimal"/>
      <w:lvlText w:val="%7."/>
      <w:lvlJc w:val="left"/>
      <w:pPr>
        <w:ind w:left="5040" w:hanging="360"/>
      </w:pPr>
    </w:lvl>
    <w:lvl w:ilvl="7" w:tplc="F42268AC" w:tentative="1">
      <w:start w:val="1"/>
      <w:numFmt w:val="lowerLetter"/>
      <w:lvlText w:val="%8."/>
      <w:lvlJc w:val="left"/>
      <w:pPr>
        <w:ind w:left="5760" w:hanging="360"/>
      </w:pPr>
    </w:lvl>
    <w:lvl w:ilvl="8" w:tplc="F064E802" w:tentative="1">
      <w:start w:val="1"/>
      <w:numFmt w:val="lowerRoman"/>
      <w:lvlText w:val="%9."/>
      <w:lvlJc w:val="right"/>
      <w:pPr>
        <w:ind w:left="6480" w:hanging="180"/>
      </w:pPr>
    </w:lvl>
  </w:abstractNum>
  <w:abstractNum w:abstractNumId="12" w15:restartNumberingAfterBreak="0">
    <w:nsid w:val="233E41CA"/>
    <w:multiLevelType w:val="hybridMultilevel"/>
    <w:tmpl w:val="B5B097D0"/>
    <w:lvl w:ilvl="0" w:tplc="D58E23A4">
      <w:start w:val="1"/>
      <w:numFmt w:val="upperLetter"/>
      <w:lvlText w:val="%1."/>
      <w:lvlJc w:val="left"/>
      <w:pPr>
        <w:ind w:left="720" w:hanging="360"/>
      </w:pPr>
      <w:rPr>
        <w:rFonts w:hint="default"/>
      </w:rPr>
    </w:lvl>
    <w:lvl w:ilvl="1" w:tplc="A76EC524" w:tentative="1">
      <w:start w:val="1"/>
      <w:numFmt w:val="lowerLetter"/>
      <w:lvlText w:val="%2."/>
      <w:lvlJc w:val="left"/>
      <w:pPr>
        <w:ind w:left="1440" w:hanging="360"/>
      </w:pPr>
    </w:lvl>
    <w:lvl w:ilvl="2" w:tplc="7F64C150" w:tentative="1">
      <w:start w:val="1"/>
      <w:numFmt w:val="lowerRoman"/>
      <w:lvlText w:val="%3."/>
      <w:lvlJc w:val="right"/>
      <w:pPr>
        <w:ind w:left="2160" w:hanging="180"/>
      </w:pPr>
    </w:lvl>
    <w:lvl w:ilvl="3" w:tplc="A54C01E2" w:tentative="1">
      <w:start w:val="1"/>
      <w:numFmt w:val="decimal"/>
      <w:lvlText w:val="%4."/>
      <w:lvlJc w:val="left"/>
      <w:pPr>
        <w:ind w:left="2880" w:hanging="360"/>
      </w:pPr>
    </w:lvl>
    <w:lvl w:ilvl="4" w:tplc="720CC3A0" w:tentative="1">
      <w:start w:val="1"/>
      <w:numFmt w:val="lowerLetter"/>
      <w:lvlText w:val="%5."/>
      <w:lvlJc w:val="left"/>
      <w:pPr>
        <w:ind w:left="3600" w:hanging="360"/>
      </w:pPr>
    </w:lvl>
    <w:lvl w:ilvl="5" w:tplc="66B24D3A" w:tentative="1">
      <w:start w:val="1"/>
      <w:numFmt w:val="lowerRoman"/>
      <w:lvlText w:val="%6."/>
      <w:lvlJc w:val="right"/>
      <w:pPr>
        <w:ind w:left="4320" w:hanging="180"/>
      </w:pPr>
    </w:lvl>
    <w:lvl w:ilvl="6" w:tplc="06287DC6" w:tentative="1">
      <w:start w:val="1"/>
      <w:numFmt w:val="decimal"/>
      <w:lvlText w:val="%7."/>
      <w:lvlJc w:val="left"/>
      <w:pPr>
        <w:ind w:left="5040" w:hanging="360"/>
      </w:pPr>
    </w:lvl>
    <w:lvl w:ilvl="7" w:tplc="78247F26" w:tentative="1">
      <w:start w:val="1"/>
      <w:numFmt w:val="lowerLetter"/>
      <w:lvlText w:val="%8."/>
      <w:lvlJc w:val="left"/>
      <w:pPr>
        <w:ind w:left="5760" w:hanging="360"/>
      </w:pPr>
    </w:lvl>
    <w:lvl w:ilvl="8" w:tplc="68A28264" w:tentative="1">
      <w:start w:val="1"/>
      <w:numFmt w:val="lowerRoman"/>
      <w:lvlText w:val="%9."/>
      <w:lvlJc w:val="right"/>
      <w:pPr>
        <w:ind w:left="6480" w:hanging="180"/>
      </w:pPr>
    </w:lvl>
  </w:abstractNum>
  <w:abstractNum w:abstractNumId="13" w15:restartNumberingAfterBreak="0">
    <w:nsid w:val="28BB52DE"/>
    <w:multiLevelType w:val="multilevel"/>
    <w:tmpl w:val="FF9ED4FE"/>
    <w:lvl w:ilvl="0">
      <w:start w:val="1"/>
      <w:numFmt w:val="decimal"/>
      <w:pStyle w:val="Paragraphe"/>
      <w:lvlText w:val="[%1]"/>
      <w:lvlJc w:val="left"/>
      <w:pPr>
        <w:tabs>
          <w:tab w:val="num" w:pos="720"/>
        </w:tabs>
        <w:ind w:left="0" w:firstLine="0"/>
      </w:pPr>
      <w:rPr>
        <w:rFonts w:ascii="Arial" w:hAnsi="Arial" w:cs="Arial" w:hint="default"/>
        <w:b w:val="0"/>
        <w:bCs w:val="0"/>
      </w:rPr>
    </w:lvl>
    <w:lvl w:ilvl="1">
      <w:start w:val="1"/>
      <w:numFmt w:val="decimal"/>
      <w:pStyle w:val="Sous-paragraphe"/>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4A9D1B84"/>
    <w:multiLevelType w:val="multilevel"/>
    <w:tmpl w:val="2766DEE4"/>
    <w:lvl w:ilvl="0">
      <w:start w:val="1"/>
      <w:numFmt w:val="bullet"/>
      <w:lvlText w:val=""/>
      <w:lvlJc w:val="left"/>
      <w:pPr>
        <w:tabs>
          <w:tab w:val="num" w:pos="792"/>
        </w:tabs>
        <w:ind w:left="792" w:hanging="72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4C7C7EA7"/>
    <w:multiLevelType w:val="hybridMultilevel"/>
    <w:tmpl w:val="3DF65088"/>
    <w:lvl w:ilvl="0" w:tplc="7F242C90">
      <w:start w:val="1"/>
      <w:numFmt w:val="upperLetter"/>
      <w:lvlText w:val="%1."/>
      <w:lvlJc w:val="left"/>
      <w:pPr>
        <w:ind w:left="720" w:hanging="360"/>
      </w:pPr>
      <w:rPr>
        <w:rFonts w:hint="default"/>
      </w:rPr>
    </w:lvl>
    <w:lvl w:ilvl="1" w:tplc="145EAEA8" w:tentative="1">
      <w:start w:val="1"/>
      <w:numFmt w:val="lowerLetter"/>
      <w:lvlText w:val="%2."/>
      <w:lvlJc w:val="left"/>
      <w:pPr>
        <w:ind w:left="1440" w:hanging="360"/>
      </w:pPr>
    </w:lvl>
    <w:lvl w:ilvl="2" w:tplc="F4FE781C" w:tentative="1">
      <w:start w:val="1"/>
      <w:numFmt w:val="lowerRoman"/>
      <w:lvlText w:val="%3."/>
      <w:lvlJc w:val="right"/>
      <w:pPr>
        <w:ind w:left="2160" w:hanging="180"/>
      </w:pPr>
    </w:lvl>
    <w:lvl w:ilvl="3" w:tplc="5A24A9FC" w:tentative="1">
      <w:start w:val="1"/>
      <w:numFmt w:val="decimal"/>
      <w:lvlText w:val="%4."/>
      <w:lvlJc w:val="left"/>
      <w:pPr>
        <w:ind w:left="2880" w:hanging="360"/>
      </w:pPr>
    </w:lvl>
    <w:lvl w:ilvl="4" w:tplc="A3C41F82" w:tentative="1">
      <w:start w:val="1"/>
      <w:numFmt w:val="lowerLetter"/>
      <w:lvlText w:val="%5."/>
      <w:lvlJc w:val="left"/>
      <w:pPr>
        <w:ind w:left="3600" w:hanging="360"/>
      </w:pPr>
    </w:lvl>
    <w:lvl w:ilvl="5" w:tplc="4986071C" w:tentative="1">
      <w:start w:val="1"/>
      <w:numFmt w:val="lowerRoman"/>
      <w:lvlText w:val="%6."/>
      <w:lvlJc w:val="right"/>
      <w:pPr>
        <w:ind w:left="4320" w:hanging="180"/>
      </w:pPr>
    </w:lvl>
    <w:lvl w:ilvl="6" w:tplc="1124CD52" w:tentative="1">
      <w:start w:val="1"/>
      <w:numFmt w:val="decimal"/>
      <w:lvlText w:val="%7."/>
      <w:lvlJc w:val="left"/>
      <w:pPr>
        <w:ind w:left="5040" w:hanging="360"/>
      </w:pPr>
    </w:lvl>
    <w:lvl w:ilvl="7" w:tplc="80722A26" w:tentative="1">
      <w:start w:val="1"/>
      <w:numFmt w:val="lowerLetter"/>
      <w:lvlText w:val="%8."/>
      <w:lvlJc w:val="left"/>
      <w:pPr>
        <w:ind w:left="5760" w:hanging="360"/>
      </w:pPr>
    </w:lvl>
    <w:lvl w:ilvl="8" w:tplc="3C444D28" w:tentative="1">
      <w:start w:val="1"/>
      <w:numFmt w:val="lowerRoman"/>
      <w:lvlText w:val="%9."/>
      <w:lvlJc w:val="right"/>
      <w:pPr>
        <w:ind w:left="6480" w:hanging="180"/>
      </w:pPr>
    </w:lvl>
  </w:abstractNum>
  <w:abstractNum w:abstractNumId="16" w15:restartNumberingAfterBreak="0">
    <w:nsid w:val="574D6DEA"/>
    <w:multiLevelType w:val="hybridMultilevel"/>
    <w:tmpl w:val="A2B6A2D4"/>
    <w:lvl w:ilvl="0" w:tplc="374CD1CE">
      <w:start w:val="1"/>
      <w:numFmt w:val="upperRoman"/>
      <w:pStyle w:val="Titre1"/>
      <w:lvlText w:val="%1."/>
      <w:lvlJc w:val="left"/>
      <w:pPr>
        <w:ind w:left="720" w:hanging="720"/>
      </w:pPr>
      <w:rPr>
        <w:rFonts w:hint="default"/>
      </w:rPr>
    </w:lvl>
    <w:lvl w:ilvl="1" w:tplc="7B7231D6" w:tentative="1">
      <w:start w:val="1"/>
      <w:numFmt w:val="lowerLetter"/>
      <w:lvlText w:val="%2."/>
      <w:lvlJc w:val="left"/>
      <w:pPr>
        <w:ind w:left="1080" w:hanging="360"/>
      </w:pPr>
    </w:lvl>
    <w:lvl w:ilvl="2" w:tplc="25348C9C" w:tentative="1">
      <w:start w:val="1"/>
      <w:numFmt w:val="lowerRoman"/>
      <w:lvlText w:val="%3."/>
      <w:lvlJc w:val="right"/>
      <w:pPr>
        <w:ind w:left="1800" w:hanging="180"/>
      </w:pPr>
    </w:lvl>
    <w:lvl w:ilvl="3" w:tplc="AE98A0B8" w:tentative="1">
      <w:start w:val="1"/>
      <w:numFmt w:val="decimal"/>
      <w:lvlText w:val="%4."/>
      <w:lvlJc w:val="left"/>
      <w:pPr>
        <w:ind w:left="2520" w:hanging="360"/>
      </w:pPr>
    </w:lvl>
    <w:lvl w:ilvl="4" w:tplc="3244A224" w:tentative="1">
      <w:start w:val="1"/>
      <w:numFmt w:val="lowerLetter"/>
      <w:lvlText w:val="%5."/>
      <w:lvlJc w:val="left"/>
      <w:pPr>
        <w:ind w:left="3240" w:hanging="360"/>
      </w:pPr>
    </w:lvl>
    <w:lvl w:ilvl="5" w:tplc="D5968B38" w:tentative="1">
      <w:start w:val="1"/>
      <w:numFmt w:val="lowerRoman"/>
      <w:lvlText w:val="%6."/>
      <w:lvlJc w:val="right"/>
      <w:pPr>
        <w:ind w:left="3960" w:hanging="180"/>
      </w:pPr>
    </w:lvl>
    <w:lvl w:ilvl="6" w:tplc="8098C03E" w:tentative="1">
      <w:start w:val="1"/>
      <w:numFmt w:val="decimal"/>
      <w:lvlText w:val="%7."/>
      <w:lvlJc w:val="left"/>
      <w:pPr>
        <w:ind w:left="4680" w:hanging="360"/>
      </w:pPr>
    </w:lvl>
    <w:lvl w:ilvl="7" w:tplc="7D523558" w:tentative="1">
      <w:start w:val="1"/>
      <w:numFmt w:val="lowerLetter"/>
      <w:lvlText w:val="%8."/>
      <w:lvlJc w:val="left"/>
      <w:pPr>
        <w:ind w:left="5400" w:hanging="360"/>
      </w:pPr>
    </w:lvl>
    <w:lvl w:ilvl="8" w:tplc="C4A0E926" w:tentative="1">
      <w:start w:val="1"/>
      <w:numFmt w:val="lowerRoman"/>
      <w:lvlText w:val="%9."/>
      <w:lvlJc w:val="right"/>
      <w:pPr>
        <w:ind w:left="6120" w:hanging="180"/>
      </w:pPr>
    </w:lvl>
  </w:abstractNum>
  <w:abstractNum w:abstractNumId="17" w15:restartNumberingAfterBreak="0">
    <w:nsid w:val="609C0DCC"/>
    <w:multiLevelType w:val="multilevel"/>
    <w:tmpl w:val="F11C8164"/>
    <w:lvl w:ilvl="0">
      <w:start w:val="1"/>
      <w:numFmt w:val="decimal"/>
      <w:lvlText w:val="[%1]"/>
      <w:lvlJc w:val="left"/>
      <w:pPr>
        <w:tabs>
          <w:tab w:val="num" w:pos="360"/>
        </w:tabs>
        <w:ind w:left="0" w:firstLine="0"/>
      </w:pPr>
      <w:rPr>
        <w:rFonts w:ascii="Arial" w:hAnsi="Arial" w:hint="default"/>
        <w:b w:val="0"/>
        <w:i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993605647">
    <w:abstractNumId w:val="17"/>
  </w:num>
  <w:num w:numId="2" w16cid:durableId="811824159">
    <w:abstractNumId w:val="17"/>
  </w:num>
  <w:num w:numId="3" w16cid:durableId="1520239084">
    <w:abstractNumId w:val="17"/>
  </w:num>
  <w:num w:numId="4" w16cid:durableId="897206132">
    <w:abstractNumId w:val="8"/>
  </w:num>
  <w:num w:numId="5" w16cid:durableId="1453327025">
    <w:abstractNumId w:val="3"/>
  </w:num>
  <w:num w:numId="6" w16cid:durableId="1492022216">
    <w:abstractNumId w:val="2"/>
  </w:num>
  <w:num w:numId="7" w16cid:durableId="847137996">
    <w:abstractNumId w:val="1"/>
  </w:num>
  <w:num w:numId="8" w16cid:durableId="1560677158">
    <w:abstractNumId w:val="0"/>
  </w:num>
  <w:num w:numId="9" w16cid:durableId="265164010">
    <w:abstractNumId w:val="9"/>
  </w:num>
  <w:num w:numId="10" w16cid:durableId="939878296">
    <w:abstractNumId w:val="7"/>
  </w:num>
  <w:num w:numId="11" w16cid:durableId="1935671392">
    <w:abstractNumId w:val="6"/>
  </w:num>
  <w:num w:numId="12" w16cid:durableId="49769894">
    <w:abstractNumId w:val="5"/>
  </w:num>
  <w:num w:numId="13" w16cid:durableId="1473055410">
    <w:abstractNumId w:val="4"/>
  </w:num>
  <w:num w:numId="14" w16cid:durableId="1985043400">
    <w:abstractNumId w:val="17"/>
  </w:num>
  <w:num w:numId="15" w16cid:durableId="618537887">
    <w:abstractNumId w:val="17"/>
  </w:num>
  <w:num w:numId="16" w16cid:durableId="428045807">
    <w:abstractNumId w:val="17"/>
  </w:num>
  <w:num w:numId="17" w16cid:durableId="1006902218">
    <w:abstractNumId w:val="14"/>
  </w:num>
  <w:num w:numId="18" w16cid:durableId="2098482010">
    <w:abstractNumId w:val="13"/>
  </w:num>
  <w:num w:numId="19" w16cid:durableId="226915389">
    <w:abstractNumId w:val="12"/>
  </w:num>
  <w:num w:numId="20" w16cid:durableId="2139059658">
    <w:abstractNumId w:val="15"/>
  </w:num>
  <w:num w:numId="21" w16cid:durableId="151875372">
    <w:abstractNumId w:val="10"/>
  </w:num>
  <w:num w:numId="22" w16cid:durableId="33044647">
    <w:abstractNumId w:val="16"/>
  </w:num>
  <w:num w:numId="23" w16cid:durableId="1728723750">
    <w:abstractNumId w:val="11"/>
  </w:num>
  <w:num w:numId="24" w16cid:durableId="691229857">
    <w:abstractNumId w:val="16"/>
  </w:num>
  <w:num w:numId="25" w16cid:durableId="1784690123">
    <w:abstractNumId w:val="16"/>
  </w:num>
  <w:num w:numId="26" w16cid:durableId="1095326802">
    <w:abstractNumId w:val="16"/>
  </w:num>
  <w:num w:numId="27" w16cid:durableId="1298331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E958B27-D4CA-4204-8708-62404343036B}"/>
    <w:docVar w:name="dgnword-eventsink" w:val="817791984"/>
    <w:docVar w:name="inNBChoix" w:val="3"/>
    <w:docVar w:name="MotifJuge1" w:val="MOTIFS DE LA JUGE"/>
    <w:docVar w:name="MotifJuge2" w:val="MOTIFS DE LA JUGE"/>
    <w:docVar w:name="MotifJuge3" w:val="MOTIFS DU JUGE"/>
    <w:docVar w:name="NomFamJuge1" w:val="GAGNÉ"/>
    <w:docVar w:name="NomFamJuge2" w:val="WEITZMAN"/>
    <w:docVar w:name="NomFamJuge3" w:val="HARDY"/>
    <w:docVar w:name="NomFamJuge4" w:val="MAILHOT"/>
    <w:docVar w:name="NomFamJuge5" w:val="BAUDOUIN"/>
    <w:docVar w:name="QteJuge1" w:val=", J.C.A."/>
    <w:docVar w:name="QteJuge2" w:val=", J.C.A."/>
    <w:docVar w:name="QteJuge3" w:val=", J.C.A."/>
    <w:docVar w:name="stPremiereFois" w:val="Non"/>
  </w:docVars>
  <w:rsids>
    <w:rsidRoot w:val="00BC252F"/>
    <w:rsid w:val="000131E1"/>
    <w:rsid w:val="000332F5"/>
    <w:rsid w:val="00034F5A"/>
    <w:rsid w:val="0003556B"/>
    <w:rsid w:val="0004394C"/>
    <w:rsid w:val="0004521E"/>
    <w:rsid w:val="00053691"/>
    <w:rsid w:val="00060980"/>
    <w:rsid w:val="00064CD8"/>
    <w:rsid w:val="00074911"/>
    <w:rsid w:val="000757FA"/>
    <w:rsid w:val="00075EA4"/>
    <w:rsid w:val="0007676B"/>
    <w:rsid w:val="00083B68"/>
    <w:rsid w:val="000A0864"/>
    <w:rsid w:val="000A3FE6"/>
    <w:rsid w:val="000A610A"/>
    <w:rsid w:val="000A7516"/>
    <w:rsid w:val="000B16E0"/>
    <w:rsid w:val="000B368F"/>
    <w:rsid w:val="000B42AF"/>
    <w:rsid w:val="000F71C3"/>
    <w:rsid w:val="0010109B"/>
    <w:rsid w:val="0011060E"/>
    <w:rsid w:val="00110B53"/>
    <w:rsid w:val="00111A67"/>
    <w:rsid w:val="00112321"/>
    <w:rsid w:val="00117914"/>
    <w:rsid w:val="001205D5"/>
    <w:rsid w:val="00125065"/>
    <w:rsid w:val="001259D9"/>
    <w:rsid w:val="0013028C"/>
    <w:rsid w:val="001361DC"/>
    <w:rsid w:val="00145799"/>
    <w:rsid w:val="0015610F"/>
    <w:rsid w:val="00157D45"/>
    <w:rsid w:val="00160B31"/>
    <w:rsid w:val="0016183E"/>
    <w:rsid w:val="001633F7"/>
    <w:rsid w:val="00175E68"/>
    <w:rsid w:val="00177334"/>
    <w:rsid w:val="00181F56"/>
    <w:rsid w:val="001847C1"/>
    <w:rsid w:val="00190C1A"/>
    <w:rsid w:val="00190FA7"/>
    <w:rsid w:val="00192F39"/>
    <w:rsid w:val="001972F2"/>
    <w:rsid w:val="001A25B4"/>
    <w:rsid w:val="001A2CEC"/>
    <w:rsid w:val="001B07D0"/>
    <w:rsid w:val="001B0DE6"/>
    <w:rsid w:val="001B51F5"/>
    <w:rsid w:val="001B5452"/>
    <w:rsid w:val="001B6159"/>
    <w:rsid w:val="001C7D72"/>
    <w:rsid w:val="001D2DC1"/>
    <w:rsid w:val="001F3FB0"/>
    <w:rsid w:val="00200DDF"/>
    <w:rsid w:val="00204EC8"/>
    <w:rsid w:val="00205DC4"/>
    <w:rsid w:val="0020747A"/>
    <w:rsid w:val="0021078E"/>
    <w:rsid w:val="0021548E"/>
    <w:rsid w:val="00217063"/>
    <w:rsid w:val="00222879"/>
    <w:rsid w:val="0022692D"/>
    <w:rsid w:val="002273F5"/>
    <w:rsid w:val="00237538"/>
    <w:rsid w:val="00240E6B"/>
    <w:rsid w:val="00242D27"/>
    <w:rsid w:val="00260E9B"/>
    <w:rsid w:val="0026429F"/>
    <w:rsid w:val="00271F71"/>
    <w:rsid w:val="00274261"/>
    <w:rsid w:val="002A4762"/>
    <w:rsid w:val="002B0009"/>
    <w:rsid w:val="002B4A07"/>
    <w:rsid w:val="002B6EA5"/>
    <w:rsid w:val="002C4107"/>
    <w:rsid w:val="002D6C2A"/>
    <w:rsid w:val="002E0520"/>
    <w:rsid w:val="002E1BEE"/>
    <w:rsid w:val="002E1F0E"/>
    <w:rsid w:val="002E229C"/>
    <w:rsid w:val="002E4E2D"/>
    <w:rsid w:val="002E51F1"/>
    <w:rsid w:val="002E7C38"/>
    <w:rsid w:val="002F1350"/>
    <w:rsid w:val="002F4967"/>
    <w:rsid w:val="002F6136"/>
    <w:rsid w:val="00306FEB"/>
    <w:rsid w:val="00311616"/>
    <w:rsid w:val="00312AEA"/>
    <w:rsid w:val="00314A01"/>
    <w:rsid w:val="003174D0"/>
    <w:rsid w:val="00320928"/>
    <w:rsid w:val="00322DE0"/>
    <w:rsid w:val="0032363D"/>
    <w:rsid w:val="0033190E"/>
    <w:rsid w:val="003406C1"/>
    <w:rsid w:val="00340702"/>
    <w:rsid w:val="00343180"/>
    <w:rsid w:val="00345A6B"/>
    <w:rsid w:val="00346410"/>
    <w:rsid w:val="00350B0E"/>
    <w:rsid w:val="00361325"/>
    <w:rsid w:val="003623F8"/>
    <w:rsid w:val="00362849"/>
    <w:rsid w:val="00374888"/>
    <w:rsid w:val="00374DB8"/>
    <w:rsid w:val="00374E40"/>
    <w:rsid w:val="0038527C"/>
    <w:rsid w:val="00392E75"/>
    <w:rsid w:val="003A1053"/>
    <w:rsid w:val="003B2B48"/>
    <w:rsid w:val="003C263B"/>
    <w:rsid w:val="003D186C"/>
    <w:rsid w:val="003D487D"/>
    <w:rsid w:val="003D6915"/>
    <w:rsid w:val="003E3239"/>
    <w:rsid w:val="003E3E3C"/>
    <w:rsid w:val="003E5B30"/>
    <w:rsid w:val="003E6A17"/>
    <w:rsid w:val="00400972"/>
    <w:rsid w:val="00417C6E"/>
    <w:rsid w:val="00421C05"/>
    <w:rsid w:val="004235A7"/>
    <w:rsid w:val="00423DF1"/>
    <w:rsid w:val="00430C58"/>
    <w:rsid w:val="004310C9"/>
    <w:rsid w:val="004331C4"/>
    <w:rsid w:val="0043564D"/>
    <w:rsid w:val="00441C25"/>
    <w:rsid w:val="00444E39"/>
    <w:rsid w:val="00445A95"/>
    <w:rsid w:val="00446452"/>
    <w:rsid w:val="00463D6F"/>
    <w:rsid w:val="00472DC8"/>
    <w:rsid w:val="004802EC"/>
    <w:rsid w:val="004835F1"/>
    <w:rsid w:val="00491128"/>
    <w:rsid w:val="004919AA"/>
    <w:rsid w:val="0049405A"/>
    <w:rsid w:val="004A29F1"/>
    <w:rsid w:val="004A6641"/>
    <w:rsid w:val="004A68E1"/>
    <w:rsid w:val="004A7965"/>
    <w:rsid w:val="004B1E94"/>
    <w:rsid w:val="004B33FF"/>
    <w:rsid w:val="004B3738"/>
    <w:rsid w:val="004D08F1"/>
    <w:rsid w:val="004D2F69"/>
    <w:rsid w:val="004D32C5"/>
    <w:rsid w:val="004E2CC5"/>
    <w:rsid w:val="004E35AF"/>
    <w:rsid w:val="004E4FBA"/>
    <w:rsid w:val="004E57E2"/>
    <w:rsid w:val="004F6D1C"/>
    <w:rsid w:val="004F74FF"/>
    <w:rsid w:val="00503E79"/>
    <w:rsid w:val="005131F1"/>
    <w:rsid w:val="0051484F"/>
    <w:rsid w:val="00516B3E"/>
    <w:rsid w:val="00517AD2"/>
    <w:rsid w:val="0052014A"/>
    <w:rsid w:val="00525795"/>
    <w:rsid w:val="005262C9"/>
    <w:rsid w:val="00527923"/>
    <w:rsid w:val="00531D70"/>
    <w:rsid w:val="005352FD"/>
    <w:rsid w:val="00561F88"/>
    <w:rsid w:val="00566BF6"/>
    <w:rsid w:val="00582E39"/>
    <w:rsid w:val="00583434"/>
    <w:rsid w:val="00583472"/>
    <w:rsid w:val="0058349F"/>
    <w:rsid w:val="00590373"/>
    <w:rsid w:val="00595202"/>
    <w:rsid w:val="005A4488"/>
    <w:rsid w:val="005A4CC4"/>
    <w:rsid w:val="005A78BF"/>
    <w:rsid w:val="005B49BF"/>
    <w:rsid w:val="005B6B4C"/>
    <w:rsid w:val="005C4C19"/>
    <w:rsid w:val="005C7516"/>
    <w:rsid w:val="005D1522"/>
    <w:rsid w:val="005D75B3"/>
    <w:rsid w:val="005E6D11"/>
    <w:rsid w:val="005F5D1D"/>
    <w:rsid w:val="005F5F5F"/>
    <w:rsid w:val="006025D7"/>
    <w:rsid w:val="006070AB"/>
    <w:rsid w:val="00613A14"/>
    <w:rsid w:val="00613F19"/>
    <w:rsid w:val="00620FFE"/>
    <w:rsid w:val="00624770"/>
    <w:rsid w:val="00633BE6"/>
    <w:rsid w:val="0064250B"/>
    <w:rsid w:val="0064367A"/>
    <w:rsid w:val="0064392B"/>
    <w:rsid w:val="00644C4A"/>
    <w:rsid w:val="00645DDE"/>
    <w:rsid w:val="006470E8"/>
    <w:rsid w:val="00662B79"/>
    <w:rsid w:val="0067114D"/>
    <w:rsid w:val="006753EE"/>
    <w:rsid w:val="006766C4"/>
    <w:rsid w:val="006826AA"/>
    <w:rsid w:val="0068356A"/>
    <w:rsid w:val="0068422E"/>
    <w:rsid w:val="00691C48"/>
    <w:rsid w:val="006A0DB0"/>
    <w:rsid w:val="006A6629"/>
    <w:rsid w:val="006C3D46"/>
    <w:rsid w:val="006C5CFB"/>
    <w:rsid w:val="006E0007"/>
    <w:rsid w:val="006E5CAF"/>
    <w:rsid w:val="006F1FC1"/>
    <w:rsid w:val="007065E2"/>
    <w:rsid w:val="00712CA6"/>
    <w:rsid w:val="00716C5B"/>
    <w:rsid w:val="00720576"/>
    <w:rsid w:val="00724DF0"/>
    <w:rsid w:val="00737AC3"/>
    <w:rsid w:val="00740A17"/>
    <w:rsid w:val="007462D6"/>
    <w:rsid w:val="0074738B"/>
    <w:rsid w:val="00747556"/>
    <w:rsid w:val="007531DD"/>
    <w:rsid w:val="0076062E"/>
    <w:rsid w:val="00764677"/>
    <w:rsid w:val="00764BC6"/>
    <w:rsid w:val="00766F17"/>
    <w:rsid w:val="007707C0"/>
    <w:rsid w:val="00771297"/>
    <w:rsid w:val="00777343"/>
    <w:rsid w:val="0078508F"/>
    <w:rsid w:val="0078609D"/>
    <w:rsid w:val="007901CC"/>
    <w:rsid w:val="00792F9F"/>
    <w:rsid w:val="007953F3"/>
    <w:rsid w:val="007A7803"/>
    <w:rsid w:val="007B010B"/>
    <w:rsid w:val="007B01A8"/>
    <w:rsid w:val="007B061E"/>
    <w:rsid w:val="007B2412"/>
    <w:rsid w:val="007B25CE"/>
    <w:rsid w:val="007B48D5"/>
    <w:rsid w:val="007C1FA4"/>
    <w:rsid w:val="007D087C"/>
    <w:rsid w:val="007D3599"/>
    <w:rsid w:val="007D7C77"/>
    <w:rsid w:val="007E1CC0"/>
    <w:rsid w:val="007E33E4"/>
    <w:rsid w:val="007E4CC9"/>
    <w:rsid w:val="007E7590"/>
    <w:rsid w:val="007F295E"/>
    <w:rsid w:val="007F40FD"/>
    <w:rsid w:val="007F7541"/>
    <w:rsid w:val="00800D23"/>
    <w:rsid w:val="0081204E"/>
    <w:rsid w:val="008147D3"/>
    <w:rsid w:val="00814C99"/>
    <w:rsid w:val="00816273"/>
    <w:rsid w:val="00824C6D"/>
    <w:rsid w:val="0082717B"/>
    <w:rsid w:val="00827B04"/>
    <w:rsid w:val="0083032E"/>
    <w:rsid w:val="008318C9"/>
    <w:rsid w:val="008331A9"/>
    <w:rsid w:val="00841907"/>
    <w:rsid w:val="00843BBE"/>
    <w:rsid w:val="008460E7"/>
    <w:rsid w:val="00857851"/>
    <w:rsid w:val="0086036A"/>
    <w:rsid w:val="00861B94"/>
    <w:rsid w:val="008653A3"/>
    <w:rsid w:val="008657A2"/>
    <w:rsid w:val="00866645"/>
    <w:rsid w:val="00882210"/>
    <w:rsid w:val="008960BC"/>
    <w:rsid w:val="00897D4A"/>
    <w:rsid w:val="008A0AB2"/>
    <w:rsid w:val="008A4394"/>
    <w:rsid w:val="008A6185"/>
    <w:rsid w:val="008B5572"/>
    <w:rsid w:val="008C0CF7"/>
    <w:rsid w:val="008C1FE9"/>
    <w:rsid w:val="008C264A"/>
    <w:rsid w:val="008C3604"/>
    <w:rsid w:val="008C7DCE"/>
    <w:rsid w:val="008D18FC"/>
    <w:rsid w:val="008D398B"/>
    <w:rsid w:val="008D76FE"/>
    <w:rsid w:val="008D781C"/>
    <w:rsid w:val="008D7E49"/>
    <w:rsid w:val="008D7F70"/>
    <w:rsid w:val="008E1C1C"/>
    <w:rsid w:val="008E2AA7"/>
    <w:rsid w:val="008E5E9D"/>
    <w:rsid w:val="008F1089"/>
    <w:rsid w:val="008F2D2E"/>
    <w:rsid w:val="008F2F32"/>
    <w:rsid w:val="008F364A"/>
    <w:rsid w:val="008F3F53"/>
    <w:rsid w:val="008F5AD4"/>
    <w:rsid w:val="009103E7"/>
    <w:rsid w:val="00913E03"/>
    <w:rsid w:val="00916F1E"/>
    <w:rsid w:val="009229E9"/>
    <w:rsid w:val="00926953"/>
    <w:rsid w:val="00932703"/>
    <w:rsid w:val="00936469"/>
    <w:rsid w:val="00937153"/>
    <w:rsid w:val="009400B7"/>
    <w:rsid w:val="00941E4C"/>
    <w:rsid w:val="00954DC2"/>
    <w:rsid w:val="00957B92"/>
    <w:rsid w:val="00961CD8"/>
    <w:rsid w:val="00963B30"/>
    <w:rsid w:val="0096508F"/>
    <w:rsid w:val="00967051"/>
    <w:rsid w:val="00970966"/>
    <w:rsid w:val="00974442"/>
    <w:rsid w:val="009772D1"/>
    <w:rsid w:val="009835F4"/>
    <w:rsid w:val="00986E3C"/>
    <w:rsid w:val="009903CC"/>
    <w:rsid w:val="00996A5D"/>
    <w:rsid w:val="00997047"/>
    <w:rsid w:val="009A3371"/>
    <w:rsid w:val="009B03D6"/>
    <w:rsid w:val="009C7269"/>
    <w:rsid w:val="009D38C4"/>
    <w:rsid w:val="009D799D"/>
    <w:rsid w:val="009E4A98"/>
    <w:rsid w:val="009F03B1"/>
    <w:rsid w:val="009F1F69"/>
    <w:rsid w:val="009F4CFE"/>
    <w:rsid w:val="009F6A9A"/>
    <w:rsid w:val="00A00F0E"/>
    <w:rsid w:val="00A02C99"/>
    <w:rsid w:val="00A1240B"/>
    <w:rsid w:val="00A13901"/>
    <w:rsid w:val="00A1715F"/>
    <w:rsid w:val="00A23BF4"/>
    <w:rsid w:val="00A24499"/>
    <w:rsid w:val="00A2593B"/>
    <w:rsid w:val="00A340E8"/>
    <w:rsid w:val="00A34E05"/>
    <w:rsid w:val="00A40AA2"/>
    <w:rsid w:val="00A40F53"/>
    <w:rsid w:val="00A4178E"/>
    <w:rsid w:val="00A43D8B"/>
    <w:rsid w:val="00A454F1"/>
    <w:rsid w:val="00A475D5"/>
    <w:rsid w:val="00A543CC"/>
    <w:rsid w:val="00A570B5"/>
    <w:rsid w:val="00A64A0A"/>
    <w:rsid w:val="00A660F2"/>
    <w:rsid w:val="00A6759A"/>
    <w:rsid w:val="00A676F4"/>
    <w:rsid w:val="00A71705"/>
    <w:rsid w:val="00A74413"/>
    <w:rsid w:val="00A76707"/>
    <w:rsid w:val="00A81C96"/>
    <w:rsid w:val="00A857D2"/>
    <w:rsid w:val="00A93CFF"/>
    <w:rsid w:val="00A95D70"/>
    <w:rsid w:val="00A961B8"/>
    <w:rsid w:val="00A968D2"/>
    <w:rsid w:val="00A96AE8"/>
    <w:rsid w:val="00A971EA"/>
    <w:rsid w:val="00AA1955"/>
    <w:rsid w:val="00AA7E70"/>
    <w:rsid w:val="00AB069D"/>
    <w:rsid w:val="00AB1437"/>
    <w:rsid w:val="00AB1963"/>
    <w:rsid w:val="00AB7110"/>
    <w:rsid w:val="00AB7DD2"/>
    <w:rsid w:val="00AC4CFA"/>
    <w:rsid w:val="00AD12AC"/>
    <w:rsid w:val="00AD446E"/>
    <w:rsid w:val="00AE1B6D"/>
    <w:rsid w:val="00AF05F9"/>
    <w:rsid w:val="00AF0C7C"/>
    <w:rsid w:val="00AF5657"/>
    <w:rsid w:val="00AF6304"/>
    <w:rsid w:val="00B00A96"/>
    <w:rsid w:val="00B01D86"/>
    <w:rsid w:val="00B07E4E"/>
    <w:rsid w:val="00B1159B"/>
    <w:rsid w:val="00B11FD1"/>
    <w:rsid w:val="00B1342F"/>
    <w:rsid w:val="00B137E9"/>
    <w:rsid w:val="00B1540A"/>
    <w:rsid w:val="00B167CD"/>
    <w:rsid w:val="00B17FEF"/>
    <w:rsid w:val="00B232D5"/>
    <w:rsid w:val="00B25467"/>
    <w:rsid w:val="00B30EA2"/>
    <w:rsid w:val="00B34006"/>
    <w:rsid w:val="00B36ED3"/>
    <w:rsid w:val="00B513C9"/>
    <w:rsid w:val="00B5605C"/>
    <w:rsid w:val="00B56EF4"/>
    <w:rsid w:val="00B70485"/>
    <w:rsid w:val="00B82A13"/>
    <w:rsid w:val="00B91D90"/>
    <w:rsid w:val="00B92FF1"/>
    <w:rsid w:val="00B93FCA"/>
    <w:rsid w:val="00BA0E0B"/>
    <w:rsid w:val="00BB177D"/>
    <w:rsid w:val="00BB2DF6"/>
    <w:rsid w:val="00BC252F"/>
    <w:rsid w:val="00BC4E36"/>
    <w:rsid w:val="00BD11CB"/>
    <w:rsid w:val="00BD24B3"/>
    <w:rsid w:val="00BD5456"/>
    <w:rsid w:val="00BF2E61"/>
    <w:rsid w:val="00C009DB"/>
    <w:rsid w:val="00C02AF8"/>
    <w:rsid w:val="00C04FF8"/>
    <w:rsid w:val="00C17E01"/>
    <w:rsid w:val="00C2076B"/>
    <w:rsid w:val="00C20E2A"/>
    <w:rsid w:val="00C31AC4"/>
    <w:rsid w:val="00C32343"/>
    <w:rsid w:val="00C405F5"/>
    <w:rsid w:val="00C409BE"/>
    <w:rsid w:val="00C423CA"/>
    <w:rsid w:val="00C5579A"/>
    <w:rsid w:val="00C55B92"/>
    <w:rsid w:val="00C652ED"/>
    <w:rsid w:val="00C65A17"/>
    <w:rsid w:val="00C723BA"/>
    <w:rsid w:val="00C7793C"/>
    <w:rsid w:val="00C81690"/>
    <w:rsid w:val="00C83ADA"/>
    <w:rsid w:val="00C83FBE"/>
    <w:rsid w:val="00C90A8C"/>
    <w:rsid w:val="00C91067"/>
    <w:rsid w:val="00C913FF"/>
    <w:rsid w:val="00C939A8"/>
    <w:rsid w:val="00C97145"/>
    <w:rsid w:val="00CA063B"/>
    <w:rsid w:val="00CC5128"/>
    <w:rsid w:val="00CD019F"/>
    <w:rsid w:val="00CD169C"/>
    <w:rsid w:val="00CE024D"/>
    <w:rsid w:val="00CF5559"/>
    <w:rsid w:val="00D010FD"/>
    <w:rsid w:val="00D02812"/>
    <w:rsid w:val="00D06C3F"/>
    <w:rsid w:val="00D14CD8"/>
    <w:rsid w:val="00D1525B"/>
    <w:rsid w:val="00D160AA"/>
    <w:rsid w:val="00D20056"/>
    <w:rsid w:val="00D20439"/>
    <w:rsid w:val="00D21C22"/>
    <w:rsid w:val="00D23EC9"/>
    <w:rsid w:val="00D32AAA"/>
    <w:rsid w:val="00D5056D"/>
    <w:rsid w:val="00D54458"/>
    <w:rsid w:val="00D6109A"/>
    <w:rsid w:val="00D63AA2"/>
    <w:rsid w:val="00D73C18"/>
    <w:rsid w:val="00D75FC5"/>
    <w:rsid w:val="00D81195"/>
    <w:rsid w:val="00D85D75"/>
    <w:rsid w:val="00D93BDA"/>
    <w:rsid w:val="00DB2119"/>
    <w:rsid w:val="00DC05BC"/>
    <w:rsid w:val="00DC6614"/>
    <w:rsid w:val="00DD3A24"/>
    <w:rsid w:val="00DE5AB6"/>
    <w:rsid w:val="00DF2D2E"/>
    <w:rsid w:val="00DF3516"/>
    <w:rsid w:val="00E036C6"/>
    <w:rsid w:val="00E03C07"/>
    <w:rsid w:val="00E05AA8"/>
    <w:rsid w:val="00E17270"/>
    <w:rsid w:val="00E20E3C"/>
    <w:rsid w:val="00E36290"/>
    <w:rsid w:val="00E36F7C"/>
    <w:rsid w:val="00E3719E"/>
    <w:rsid w:val="00E672F7"/>
    <w:rsid w:val="00E74021"/>
    <w:rsid w:val="00E7465F"/>
    <w:rsid w:val="00E81E61"/>
    <w:rsid w:val="00E83B0E"/>
    <w:rsid w:val="00E848B4"/>
    <w:rsid w:val="00E91417"/>
    <w:rsid w:val="00E94329"/>
    <w:rsid w:val="00E97652"/>
    <w:rsid w:val="00EB00BC"/>
    <w:rsid w:val="00EB1377"/>
    <w:rsid w:val="00EB2396"/>
    <w:rsid w:val="00EB458B"/>
    <w:rsid w:val="00EC1E33"/>
    <w:rsid w:val="00EC4333"/>
    <w:rsid w:val="00ED1FCD"/>
    <w:rsid w:val="00EE2365"/>
    <w:rsid w:val="00F001D4"/>
    <w:rsid w:val="00F0453A"/>
    <w:rsid w:val="00F07022"/>
    <w:rsid w:val="00F1119E"/>
    <w:rsid w:val="00F25CA1"/>
    <w:rsid w:val="00F26635"/>
    <w:rsid w:val="00F32BC0"/>
    <w:rsid w:val="00F33A37"/>
    <w:rsid w:val="00F33E30"/>
    <w:rsid w:val="00F35A34"/>
    <w:rsid w:val="00F40882"/>
    <w:rsid w:val="00F43559"/>
    <w:rsid w:val="00F47648"/>
    <w:rsid w:val="00F5524B"/>
    <w:rsid w:val="00F566D2"/>
    <w:rsid w:val="00F5789B"/>
    <w:rsid w:val="00F6247A"/>
    <w:rsid w:val="00F75AAB"/>
    <w:rsid w:val="00F75C76"/>
    <w:rsid w:val="00F8374B"/>
    <w:rsid w:val="00F84B9C"/>
    <w:rsid w:val="00F91B10"/>
    <w:rsid w:val="00FA3D0D"/>
    <w:rsid w:val="00FA7979"/>
    <w:rsid w:val="00FC42D1"/>
    <w:rsid w:val="00FC720B"/>
    <w:rsid w:val="00FD047E"/>
    <w:rsid w:val="00FD2AE2"/>
    <w:rsid w:val="00FD7883"/>
    <w:rsid w:val="00FE3FE9"/>
    <w:rsid w:val="00FE6A1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87CD3A"/>
  <w15:chartTrackingRefBased/>
  <w15:docId w15:val="{8596E477-7893-47DF-BB43-02D27FA8F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80" w:lineRule="exact"/>
    </w:pPr>
    <w:rPr>
      <w:rFonts w:ascii="Arial" w:hAnsi="Arial"/>
      <w:sz w:val="24"/>
      <w:lang w:eastAsia="fr-FR"/>
    </w:rPr>
  </w:style>
  <w:style w:type="paragraph" w:styleId="Titre1">
    <w:name w:val="heading 1"/>
    <w:basedOn w:val="Normal"/>
    <w:next w:val="Normal"/>
    <w:qFormat/>
    <w:rsid w:val="00314A01"/>
    <w:pPr>
      <w:keepNext/>
      <w:numPr>
        <w:numId w:val="22"/>
      </w:numPr>
      <w:spacing w:before="240" w:after="60" w:line="500" w:lineRule="exact"/>
      <w:outlineLvl w:val="0"/>
    </w:pPr>
    <w:rPr>
      <w:b/>
      <w:kern w:val="28"/>
      <w:szCs w:val="24"/>
    </w:rPr>
  </w:style>
  <w:style w:type="paragraph" w:styleId="Titre2">
    <w:name w:val="heading 2"/>
    <w:basedOn w:val="Normal"/>
    <w:next w:val="Normal"/>
    <w:qFormat/>
    <w:pPr>
      <w:keepNext/>
      <w:spacing w:before="240" w:after="60"/>
      <w:outlineLvl w:val="1"/>
    </w:pPr>
    <w:rPr>
      <w:b/>
      <w:i/>
    </w:rPr>
  </w:style>
  <w:style w:type="paragraph" w:styleId="Titre3">
    <w:name w:val="heading 3"/>
    <w:basedOn w:val="Normal"/>
    <w:next w:val="Normal"/>
    <w:qFormat/>
    <w:pPr>
      <w:keepNext/>
      <w:spacing w:before="240" w:after="60"/>
      <w:outlineLvl w:val="2"/>
    </w:pPr>
  </w:style>
  <w:style w:type="paragraph" w:styleId="Titre4">
    <w:name w:val="heading 4"/>
    <w:basedOn w:val="Normal"/>
    <w:next w:val="Normal"/>
    <w:qFormat/>
    <w:pPr>
      <w:keepNext/>
      <w:spacing w:before="240" w:after="60"/>
      <w:outlineLvl w:val="3"/>
    </w:pPr>
    <w:rPr>
      <w:b/>
    </w:rPr>
  </w:style>
  <w:style w:type="paragraph" w:styleId="Titre5">
    <w:name w:val="heading 5"/>
    <w:basedOn w:val="Normal"/>
    <w:next w:val="Normal"/>
    <w:qFormat/>
    <w:pPr>
      <w:spacing w:before="240" w:after="60"/>
      <w:outlineLvl w:val="4"/>
    </w:pPr>
    <w:rPr>
      <w:sz w:val="22"/>
    </w:rPr>
  </w:style>
  <w:style w:type="paragraph" w:styleId="Titre6">
    <w:name w:val="heading 6"/>
    <w:basedOn w:val="Normal"/>
    <w:next w:val="Normal"/>
    <w:qFormat/>
    <w:pPr>
      <w:spacing w:before="240" w:after="60"/>
      <w:outlineLvl w:val="5"/>
    </w:pPr>
    <w:rPr>
      <w:i/>
      <w:sz w:val="22"/>
    </w:rPr>
  </w:style>
  <w:style w:type="paragraph" w:styleId="Titre7">
    <w:name w:val="heading 7"/>
    <w:basedOn w:val="Normal"/>
    <w:next w:val="Normal"/>
    <w:qFormat/>
    <w:pPr>
      <w:spacing w:before="240" w:after="60"/>
      <w:outlineLvl w:val="6"/>
    </w:pPr>
    <w:rPr>
      <w:sz w:val="20"/>
    </w:rPr>
  </w:style>
  <w:style w:type="paragraph" w:styleId="Titre8">
    <w:name w:val="heading 8"/>
    <w:basedOn w:val="Normal"/>
    <w:next w:val="Normal"/>
    <w:qFormat/>
    <w:pPr>
      <w:spacing w:before="240" w:after="60"/>
      <w:outlineLvl w:val="7"/>
    </w:pPr>
    <w:rPr>
      <w:i/>
      <w:sz w:val="20"/>
    </w:rPr>
  </w:style>
  <w:style w:type="paragraph" w:styleId="Titre9">
    <w:name w:val="heading 9"/>
    <w:basedOn w:val="Normal"/>
    <w:next w:val="Normal"/>
    <w:qFormat/>
    <w:p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
    <w:name w:val="Paragraphe"/>
    <w:basedOn w:val="Normal"/>
    <w:link w:val="ParagrapheCar"/>
    <w:qFormat/>
    <w:pPr>
      <w:numPr>
        <w:numId w:val="18"/>
      </w:numPr>
      <w:spacing w:before="120" w:after="120" w:line="500" w:lineRule="exact"/>
      <w:jc w:val="both"/>
    </w:pPr>
    <w:rPr>
      <w:kern w:val="28"/>
    </w:rPr>
  </w:style>
  <w:style w:type="paragraph" w:customStyle="1" w:styleId="Citationenretrait">
    <w:name w:val="Citation en retrait"/>
    <w:basedOn w:val="Normal"/>
    <w:link w:val="CitationenretraitCar"/>
    <w:qFormat/>
    <w:pPr>
      <w:spacing w:before="120" w:after="120"/>
      <w:ind w:left="720" w:right="720"/>
      <w:jc w:val="both"/>
    </w:pPr>
    <w:rPr>
      <w:kern w:val="24"/>
      <w:sz w:val="22"/>
    </w:rPr>
  </w:style>
  <w:style w:type="character" w:customStyle="1" w:styleId="Citationintgre">
    <w:name w:val="Citation intégrée"/>
    <w:rPr>
      <w:rFonts w:ascii="Arial" w:hAnsi="Arial"/>
      <w:i/>
      <w:noProof w:val="0"/>
      <w:sz w:val="22"/>
      <w:lang w:val="fr-CA"/>
    </w:rPr>
  </w:style>
  <w:style w:type="paragraph" w:styleId="Corpsdetexte">
    <w:name w:val="Body Text"/>
    <w:basedOn w:val="Normal"/>
    <w:semiHidden/>
    <w:pPr>
      <w:spacing w:after="120"/>
    </w:pPr>
  </w:style>
  <w:style w:type="paragraph" w:styleId="Notedebasdepage">
    <w:name w:val="footnote text"/>
    <w:aliases w:val="Char,Char Char,Char Char Char,Char1 Char1 Char Char,Char1 Char1 Char1,Char1 Char2 Char,Char1 Char3,FA Fu,Footnote Text Char Char Char,Footnote Text Char Char1,Footnote Text Char1 Char,Footnote Text Char2,Footnote text,fn,ft,ft2"/>
    <w:basedOn w:val="Normal"/>
    <w:link w:val="NotedebasdepageCar"/>
    <w:qFormat/>
    <w:pPr>
      <w:spacing w:line="240" w:lineRule="auto"/>
      <w:ind w:left="360" w:hanging="360"/>
      <w:jc w:val="both"/>
    </w:pPr>
    <w:rPr>
      <w:sz w:val="20"/>
    </w:rPr>
  </w:style>
  <w:style w:type="paragraph" w:styleId="Notedefin">
    <w:name w:val="endnote text"/>
    <w:basedOn w:val="Normal"/>
    <w:semiHidden/>
    <w:pPr>
      <w:ind w:left="-360"/>
      <w:jc w:val="both"/>
    </w:pPr>
    <w:rPr>
      <w:sz w:val="20"/>
    </w:rPr>
  </w:style>
  <w:style w:type="paragraph" w:customStyle="1" w:styleId="zSoquijlblCour">
    <w:name w:val="zSoquij_lblCour"/>
    <w:basedOn w:val="Normal"/>
    <w:pPr>
      <w:spacing w:line="500" w:lineRule="exact"/>
      <w:jc w:val="center"/>
    </w:pPr>
    <w:rPr>
      <w:b/>
      <w:sz w:val="36"/>
    </w:rPr>
  </w:style>
  <w:style w:type="paragraph" w:customStyle="1" w:styleId="zSoquijlblPays">
    <w:name w:val="zSoquij_lblPays"/>
    <w:basedOn w:val="Normal"/>
  </w:style>
  <w:style w:type="paragraph" w:customStyle="1" w:styleId="zSoquijlblProvince">
    <w:name w:val="zSoquij_lblProvince"/>
    <w:basedOn w:val="Normal"/>
  </w:style>
  <w:style w:type="paragraph" w:customStyle="1" w:styleId="zSoquijlblGreffe">
    <w:name w:val="zSoquij_lblGreffe"/>
    <w:basedOn w:val="Normal"/>
  </w:style>
  <w:style w:type="paragraph" w:customStyle="1" w:styleId="zSoquijdatGreffe">
    <w:name w:val="zSoquij_datGreffe"/>
    <w:basedOn w:val="Normal"/>
  </w:style>
  <w:style w:type="paragraph" w:customStyle="1" w:styleId="zSoquijdatDivision">
    <w:name w:val="zSoquij_datDivision"/>
    <w:basedOn w:val="Normal"/>
    <w:pPr>
      <w:jc w:val="center"/>
    </w:pPr>
    <w:rPr>
      <w:sz w:val="22"/>
    </w:rPr>
  </w:style>
  <w:style w:type="paragraph" w:customStyle="1" w:styleId="zSoquijlblNoDossier">
    <w:name w:val="zSoquij_lblNoDossier"/>
    <w:basedOn w:val="Normal"/>
  </w:style>
  <w:style w:type="paragraph" w:customStyle="1" w:styleId="zSoquijdatNoDossier">
    <w:name w:val="zSoquij_datNoDossier"/>
    <w:basedOn w:val="Normal"/>
  </w:style>
  <w:style w:type="paragraph" w:customStyle="1" w:styleId="zSoquijdatNoDossierAnt">
    <w:name w:val="zSoquij_datNoDossierAnt"/>
    <w:basedOn w:val="Normal"/>
    <w:pPr>
      <w:ind w:left="950"/>
    </w:pPr>
  </w:style>
  <w:style w:type="paragraph" w:customStyle="1" w:styleId="zSoquijdatDateJugement">
    <w:name w:val="zSoquij_datDateJugement"/>
    <w:basedOn w:val="Normal"/>
  </w:style>
  <w:style w:type="paragraph" w:customStyle="1" w:styleId="zSoquijlblDateJugement">
    <w:name w:val="zSoquij_lblDateJugement"/>
    <w:basedOn w:val="Normal"/>
  </w:style>
  <w:style w:type="paragraph" w:customStyle="1" w:styleId="zSoquijlblJuge">
    <w:name w:val="zSoquij_lblJuge"/>
    <w:basedOn w:val="Normal"/>
    <w:rPr>
      <w:b/>
    </w:rPr>
  </w:style>
  <w:style w:type="paragraph" w:customStyle="1" w:styleId="zSoquijdatQteJuge">
    <w:name w:val="zSoquij_datQteJuge"/>
    <w:basedOn w:val="Normal"/>
    <w:rPr>
      <w:b/>
    </w:rPr>
  </w:style>
  <w:style w:type="paragraph" w:customStyle="1" w:styleId="zSoquijdatJuge">
    <w:name w:val="zSoquij_datJuge"/>
    <w:basedOn w:val="Normal"/>
    <w:rPr>
      <w:b/>
    </w:rPr>
  </w:style>
  <w:style w:type="paragraph" w:customStyle="1" w:styleId="zSoquijdatNomPartieDem">
    <w:name w:val="zSoquij_datNomPartieDem"/>
    <w:basedOn w:val="Normal"/>
    <w:rPr>
      <w:b/>
      <w:bCs/>
    </w:rPr>
  </w:style>
  <w:style w:type="paragraph" w:customStyle="1" w:styleId="zSoquijdatQtePartieDem">
    <w:name w:val="zSoquij_datQtePartieDem"/>
    <w:basedOn w:val="Normal"/>
    <w:pPr>
      <w:ind w:left="708"/>
    </w:pPr>
  </w:style>
  <w:style w:type="paragraph" w:customStyle="1" w:styleId="zSoquijlblLienParties">
    <w:name w:val="zSoquij_lblLienParties"/>
    <w:basedOn w:val="Normal"/>
  </w:style>
  <w:style w:type="paragraph" w:customStyle="1" w:styleId="zSoquijdatNomPartieDef">
    <w:name w:val="zSoquij_datNomPartieDef"/>
    <w:basedOn w:val="Normal"/>
    <w:rPr>
      <w:b/>
      <w:bCs/>
    </w:rPr>
  </w:style>
  <w:style w:type="paragraph" w:customStyle="1" w:styleId="zSoquijdatQtePartieDef">
    <w:name w:val="zSoquij_datQtePartieDef"/>
    <w:basedOn w:val="Normal"/>
    <w:pPr>
      <w:ind w:left="708"/>
    </w:pPr>
  </w:style>
  <w:style w:type="paragraph" w:customStyle="1" w:styleId="zSoquijlblTypeDocument">
    <w:name w:val="zSoquij_lblTypeDocument"/>
    <w:basedOn w:val="Normal"/>
    <w:pPr>
      <w:jc w:val="center"/>
    </w:pPr>
  </w:style>
  <w:style w:type="paragraph" w:customStyle="1" w:styleId="zSoquijlblProcureurDem">
    <w:name w:val="zSoquij_lblProcureurDem"/>
    <w:basedOn w:val="Normal"/>
  </w:style>
  <w:style w:type="paragraph" w:customStyle="1" w:styleId="zSoquijlblProcureurDef">
    <w:name w:val="zSoquij_lblProcureurDef"/>
    <w:basedOn w:val="Normal"/>
  </w:style>
  <w:style w:type="paragraph" w:customStyle="1" w:styleId="zSoquijlblDateAudience">
    <w:name w:val="zSoquij_lblDateAudience"/>
    <w:basedOn w:val="Normal"/>
  </w:style>
  <w:style w:type="paragraph" w:customStyle="1" w:styleId="zSoquijdatDateAudience">
    <w:name w:val="zSoquij_datDateAudience"/>
    <w:basedOn w:val="Normal"/>
  </w:style>
  <w:style w:type="paragraph" w:customStyle="1" w:styleId="zSoquijlblNomChambre">
    <w:name w:val="zSoquij_lblNomChambre"/>
    <w:basedOn w:val="Normal"/>
  </w:style>
  <w:style w:type="paragraph" w:customStyle="1" w:styleId="zSoquijlblOpinionJuge">
    <w:name w:val="zSoquij_lblOpinionJuge"/>
    <w:basedOn w:val="Normal"/>
    <w:pPr>
      <w:jc w:val="center"/>
    </w:pPr>
  </w:style>
  <w:style w:type="character" w:customStyle="1" w:styleId="zSoquijlblEntNoDossier">
    <w:name w:val="zSoquij_lblEntNoDossier"/>
    <w:basedOn w:val="Policepardfaut"/>
    <w:rPr>
      <w:noProof w:val="0"/>
      <w:lang w:val="fr-CA"/>
    </w:rPr>
  </w:style>
  <w:style w:type="paragraph" w:customStyle="1" w:styleId="zSoquijlblTitrePartie">
    <w:name w:val="zSoquij_lblTitrePartie"/>
    <w:basedOn w:val="Normal"/>
  </w:style>
  <w:style w:type="paragraph" w:customStyle="1" w:styleId="zSoquijdatIdJuge">
    <w:name w:val="zSoquij_datIdJuge"/>
    <w:basedOn w:val="Normal"/>
    <w:pPr>
      <w:jc w:val="right"/>
    </w:pPr>
  </w:style>
  <w:style w:type="paragraph" w:customStyle="1" w:styleId="Sous-paragraphe">
    <w:name w:val="Sous-paragraphe"/>
    <w:basedOn w:val="Normal"/>
    <w:qFormat/>
    <w:pPr>
      <w:widowControl w:val="0"/>
      <w:numPr>
        <w:ilvl w:val="1"/>
        <w:numId w:val="18"/>
      </w:numPr>
      <w:spacing w:after="120"/>
      <w:jc w:val="both"/>
    </w:pPr>
    <w:rPr>
      <w:kern w:val="28"/>
    </w:rPr>
  </w:style>
  <w:style w:type="paragraph" w:customStyle="1" w:styleId="zSoquijdatNomProcureurDem">
    <w:name w:val="zSoquij_datNomProcureurDem"/>
    <w:basedOn w:val="zSoquijlblProcureurDem"/>
    <w:pPr>
      <w:keepNext/>
    </w:pPr>
  </w:style>
  <w:style w:type="paragraph" w:customStyle="1" w:styleId="zSoquijdatNomProcureurDef">
    <w:name w:val="zSoquij_datNomProcureurDef"/>
    <w:basedOn w:val="zSoquijlblProcureurDef"/>
    <w:pPr>
      <w:keepNext/>
    </w:pPr>
  </w:style>
  <w:style w:type="paragraph" w:customStyle="1" w:styleId="zSoquijdatCabinetProcureurDem">
    <w:name w:val="zSoquij_datCabinetProcureurDem"/>
    <w:basedOn w:val="Normal"/>
    <w:pPr>
      <w:keepNext/>
    </w:pPr>
  </w:style>
  <w:style w:type="paragraph" w:customStyle="1" w:styleId="zSoquijdatCabinetProcureurDef">
    <w:name w:val="zSoquij_datCabinetProcureurDef"/>
    <w:basedOn w:val="zSoquijlblProcureurDef"/>
    <w:pPr>
      <w:keepNext/>
    </w:pPr>
  </w:style>
  <w:style w:type="paragraph" w:styleId="En-tte">
    <w:name w:val="header"/>
    <w:basedOn w:val="Normal"/>
    <w:semiHidden/>
    <w:pPr>
      <w:tabs>
        <w:tab w:val="center" w:pos="4320"/>
        <w:tab w:val="right" w:pos="8640"/>
      </w:tabs>
    </w:pPr>
  </w:style>
  <w:style w:type="paragraph" w:styleId="Pieddepage">
    <w:name w:val="footer"/>
    <w:basedOn w:val="Normal"/>
    <w:semiHidden/>
    <w:pPr>
      <w:tabs>
        <w:tab w:val="center" w:pos="4320"/>
        <w:tab w:val="right" w:pos="8640"/>
      </w:tabs>
    </w:pPr>
  </w:style>
  <w:style w:type="paragraph" w:customStyle="1" w:styleId="Tableaudroiteanglais">
    <w:name w:val="Tableau droite anglais"/>
    <w:basedOn w:val="Tableaugauchefranais"/>
    <w:pPr>
      <w:ind w:left="144" w:right="720"/>
      <w:jc w:val="both"/>
    </w:pPr>
    <w:rPr>
      <w:lang w:val="en-CA"/>
    </w:rPr>
  </w:style>
  <w:style w:type="paragraph" w:customStyle="1" w:styleId="Tableaugauchefranais">
    <w:name w:val="Tableau gauche français"/>
    <w:basedOn w:val="Normal"/>
    <w:pPr>
      <w:ind w:left="720" w:right="144"/>
    </w:pPr>
    <w:rPr>
      <w:sz w:val="22"/>
    </w:rPr>
  </w:style>
  <w:style w:type="character" w:styleId="Appelnotedebasdep">
    <w:name w:val="footnote reference"/>
    <w:aliases w:val="Char Char6 Char Char Char Char Char Char Char Char Char Char Char Char,Char6 Char Char Char Char Char Char Char Char Char Char Char Char Char,Footnote,Ref,de nota al pie,fr"/>
    <w:uiPriority w:val="99"/>
    <w:qFormat/>
    <w:rPr>
      <w:noProof w:val="0"/>
      <w:vertAlign w:val="superscript"/>
      <w:lang w:val="fr-CA"/>
    </w:rPr>
  </w:style>
  <w:style w:type="paragraph" w:styleId="Corpsdetexte3">
    <w:name w:val="Body Text 3"/>
    <w:basedOn w:val="Normal"/>
    <w:semiHidden/>
    <w:pPr>
      <w:spacing w:after="120"/>
    </w:pPr>
    <w:rPr>
      <w:sz w:val="16"/>
    </w:rPr>
  </w:style>
  <w:style w:type="paragraph" w:customStyle="1" w:styleId="zSoquijdatRepertorie">
    <w:name w:val="zSoquij_datRepertorie"/>
    <w:basedOn w:val="zSoquijlblCour"/>
    <w:pPr>
      <w:spacing w:line="240" w:lineRule="auto"/>
      <w:jc w:val="left"/>
    </w:pPr>
    <w:rPr>
      <w:sz w:val="22"/>
    </w:rPr>
  </w:style>
  <w:style w:type="paragraph" w:customStyle="1" w:styleId="zSoquijdatRefNeutre">
    <w:name w:val="zSoquij_datRefNeutre"/>
    <w:basedOn w:val="zSoquijlblCour"/>
    <w:pPr>
      <w:spacing w:line="240" w:lineRule="auto"/>
      <w:jc w:val="left"/>
    </w:pPr>
    <w:rPr>
      <w:sz w:val="22"/>
    </w:rPr>
  </w:style>
  <w:style w:type="table" w:styleId="Grilledutableau">
    <w:name w:val="Table Grid"/>
    <w:basedOn w:val="TableauNormal"/>
    <w:uiPriority w:val="39"/>
    <w:rsid w:val="00E20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E3239"/>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E3239"/>
    <w:rPr>
      <w:rFonts w:ascii="Segoe UI" w:hAnsi="Segoe UI" w:cs="Segoe UI"/>
      <w:sz w:val="18"/>
      <w:szCs w:val="18"/>
      <w:lang w:eastAsia="fr-FR"/>
    </w:rPr>
  </w:style>
  <w:style w:type="character" w:customStyle="1" w:styleId="ParagrapheCar">
    <w:name w:val="Paragraphe Car"/>
    <w:link w:val="Paragraphe"/>
    <w:qFormat/>
    <w:rsid w:val="00FA7979"/>
    <w:rPr>
      <w:rFonts w:ascii="Arial" w:hAnsi="Arial"/>
      <w:kern w:val="28"/>
      <w:sz w:val="24"/>
      <w:lang w:eastAsia="fr-FR"/>
    </w:rPr>
  </w:style>
  <w:style w:type="character" w:customStyle="1" w:styleId="NotedebasdepageCar">
    <w:name w:val="Note de bas de page Car"/>
    <w:aliases w:val="Char Car,Char Char Car,Char Char Char Car,Char1 Char1 Char Char Car,Char1 Char1 Char1 Car,Char1 Char2 Char Car,Char1 Char3 Car,FA Fu Car,Footnote Text Char Char Char Car,Footnote Text Char Char1 Car,Footnote Text Char1 Char Car"/>
    <w:basedOn w:val="Policepardfaut"/>
    <w:link w:val="Notedebasdepage"/>
    <w:rsid w:val="00314A01"/>
    <w:rPr>
      <w:rFonts w:ascii="Arial" w:hAnsi="Arial"/>
      <w:lang w:eastAsia="fr-FR"/>
    </w:rPr>
  </w:style>
  <w:style w:type="character" w:styleId="Hyperlien">
    <w:name w:val="Hyperlink"/>
    <w:uiPriority w:val="99"/>
    <w:rsid w:val="00314A01"/>
    <w:rPr>
      <w:noProof w:val="0"/>
      <w:color w:val="0000FF"/>
      <w:u w:val="single"/>
      <w:lang w:val="fr-CA"/>
    </w:rPr>
  </w:style>
  <w:style w:type="paragraph" w:customStyle="1" w:styleId="CitationdecitationFR">
    <w:name w:val="Citation de citation FR"/>
    <w:basedOn w:val="Normal"/>
    <w:rsid w:val="00314A01"/>
    <w:pPr>
      <w:spacing w:before="120" w:after="120"/>
      <w:ind w:left="1440" w:right="720"/>
      <w:jc w:val="both"/>
    </w:pPr>
    <w:rPr>
      <w:kern w:val="24"/>
      <w:sz w:val="19"/>
      <w:szCs w:val="19"/>
    </w:rPr>
  </w:style>
  <w:style w:type="character" w:customStyle="1" w:styleId="CitationenretraitCar">
    <w:name w:val="Citation en retrait Car"/>
    <w:link w:val="Citationenretrait"/>
    <w:locked/>
    <w:rsid w:val="00314A01"/>
    <w:rPr>
      <w:rFonts w:ascii="Arial" w:hAnsi="Arial"/>
      <w:kern w:val="24"/>
      <w:sz w:val="22"/>
      <w:lang w:eastAsia="fr-FR"/>
    </w:rPr>
  </w:style>
  <w:style w:type="paragraph" w:styleId="Rvision">
    <w:name w:val="Revision"/>
    <w:hidden/>
    <w:uiPriority w:val="99"/>
    <w:semiHidden/>
    <w:rsid w:val="00314A01"/>
    <w:rPr>
      <w:rFonts w:ascii="Arial" w:hAnsi="Arial"/>
      <w:sz w:val="24"/>
      <w:lang w:eastAsia="fr-FR"/>
    </w:rPr>
  </w:style>
  <w:style w:type="character" w:styleId="Marquedecommentaire">
    <w:name w:val="annotation reference"/>
    <w:basedOn w:val="Policepardfaut"/>
    <w:uiPriority w:val="99"/>
    <w:semiHidden/>
    <w:unhideWhenUsed/>
    <w:rsid w:val="00314A01"/>
    <w:rPr>
      <w:sz w:val="16"/>
      <w:szCs w:val="16"/>
    </w:rPr>
  </w:style>
  <w:style w:type="paragraph" w:styleId="Commentaire">
    <w:name w:val="annotation text"/>
    <w:basedOn w:val="Normal"/>
    <w:link w:val="CommentaireCar"/>
    <w:uiPriority w:val="99"/>
    <w:unhideWhenUsed/>
    <w:rsid w:val="00314A01"/>
    <w:pPr>
      <w:spacing w:line="240" w:lineRule="auto"/>
    </w:pPr>
    <w:rPr>
      <w:sz w:val="20"/>
    </w:rPr>
  </w:style>
  <w:style w:type="character" w:customStyle="1" w:styleId="CommentaireCar">
    <w:name w:val="Commentaire Car"/>
    <w:basedOn w:val="Policepardfaut"/>
    <w:link w:val="Commentaire"/>
    <w:uiPriority w:val="99"/>
    <w:rsid w:val="00314A01"/>
    <w:rPr>
      <w:rFonts w:ascii="Arial" w:hAnsi="Arial"/>
      <w:lang w:eastAsia="fr-FR"/>
    </w:rPr>
  </w:style>
  <w:style w:type="paragraph" w:styleId="Objetducommentaire">
    <w:name w:val="annotation subject"/>
    <w:basedOn w:val="Commentaire"/>
    <w:next w:val="Commentaire"/>
    <w:link w:val="ObjetducommentaireCar"/>
    <w:uiPriority w:val="99"/>
    <w:semiHidden/>
    <w:unhideWhenUsed/>
    <w:rsid w:val="00314A01"/>
    <w:rPr>
      <w:b/>
      <w:bCs/>
    </w:rPr>
  </w:style>
  <w:style w:type="character" w:customStyle="1" w:styleId="ObjetducommentaireCar">
    <w:name w:val="Objet du commentaire Car"/>
    <w:basedOn w:val="CommentaireCar"/>
    <w:link w:val="Objetducommentaire"/>
    <w:uiPriority w:val="99"/>
    <w:semiHidden/>
    <w:rsid w:val="00314A01"/>
    <w:rPr>
      <w:rFonts w:ascii="Arial" w:hAnsi="Arial"/>
      <w:b/>
      <w:bCs/>
      <w:lang w:eastAsia="fr-FR"/>
    </w:rPr>
  </w:style>
  <w:style w:type="paragraph" w:customStyle="1" w:styleId="paragraphe0">
    <w:name w:val="paragraphe"/>
    <w:basedOn w:val="Normal"/>
    <w:rsid w:val="00314A01"/>
    <w:pPr>
      <w:spacing w:before="100" w:beforeAutospacing="1" w:after="100" w:afterAutospacing="1" w:line="240" w:lineRule="auto"/>
    </w:pPr>
    <w:rPr>
      <w:rFonts w:ascii="Times New Roman" w:hAnsi="Times New Roman"/>
      <w:szCs w:val="24"/>
      <w:lang w:eastAsia="fr-CA"/>
    </w:rPr>
  </w:style>
  <w:style w:type="character" w:customStyle="1" w:styleId="Mentionnonrsolue1">
    <w:name w:val="Mention non résolue1"/>
    <w:basedOn w:val="Policepardfaut"/>
    <w:uiPriority w:val="99"/>
    <w:semiHidden/>
    <w:unhideWhenUsed/>
    <w:rsid w:val="00314A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www.canlii.org/en/ca/laws/stat/rsc-1985-c-c-46/latest/rsc-1985-c-c-46.html"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8A525-8000-4EBF-92DB-64B5AB8AA0D3}">
  <ds:schemaRefs>
    <ds:schemaRef ds:uri="http://schemas.openxmlformats.org/officeDocument/2006/bibliography"/>
  </ds:schemaRefs>
</ds:datastoreItem>
</file>

<file path=docMetadata/LabelInfo.xml><?xml version="1.0" encoding="utf-8"?>
<clbl:labelList xmlns:clbl="http://schemas.microsoft.com/office/2020/mipLabelMetadata">
  <clbl:label id="{3f6dec78-7ded-4395-975c-6edbb7d10b16}" enabled="0" method="" siteId="{3f6dec78-7ded-4395-975c-6edbb7d10b16}"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30</Pages>
  <Words>9442</Words>
  <Characters>51935</Characters>
  <Application>Microsoft Office Word</Application>
  <DocSecurity>0</DocSecurity>
  <Lines>432</Lines>
  <Paragraphs>122</Paragraphs>
  <ScaleCrop>false</ScaleCrop>
  <HeadingPairs>
    <vt:vector size="2" baseType="variant">
      <vt:variant>
        <vt:lpstr>Titre</vt:lpstr>
      </vt:variant>
      <vt:variant>
        <vt:i4>1</vt:i4>
      </vt:variant>
    </vt:vector>
  </HeadingPairs>
  <TitlesOfParts>
    <vt:vector size="1" baseType="lpstr">
      <vt:lpstr>Gabarit de jugement pour la cour d'appel</vt:lpstr>
    </vt:vector>
  </TitlesOfParts>
  <Manager>Patrice Tardif</Manager>
  <Company>MJQ</Company>
  <LinksUpToDate>false</LinksUpToDate>
  <CharactersWithSpaces>61255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Gabarit de jugement pour la cour d'appel</dc:title>
  <dc:creator>Lise De Bois Briand</dc:creator>
  <cp:lastModifiedBy>Gauthier, François</cp:lastModifiedBy>
  <cp:revision>7</cp:revision>
  <cp:lastPrinted>2025-09-11T14:11:00Z</cp:lastPrinted>
  <dcterms:created xsi:type="dcterms:W3CDTF">2025-10-24T14:26:00Z</dcterms:created>
  <dcterms:modified xsi:type="dcterms:W3CDTF">2025-10-28T12:20:00Z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quij_Cour">
    <vt:lpwstr>CA</vt:lpwstr>
  </property>
  <property fmtid="{D5CDD505-2E9C-101B-9397-08002B2CF9AE}" pid="3" name="Soquij_DateModification">
    <vt:lpwstr>04-26-2001</vt:lpwstr>
  </property>
  <property fmtid="{D5CDD505-2E9C-101B-9397-08002B2CF9AE}" pid="4" name="Soquij_Langue">
    <vt:lpwstr>Fra</vt:lpwstr>
  </property>
  <property fmtid="{D5CDD505-2E9C-101B-9397-08002B2CF9AE}" pid="5" name="Soquij_Modele">
    <vt:lpwstr>Edj</vt:lpwstr>
  </property>
  <property fmtid="{D5CDD505-2E9C-101B-9397-08002B2CF9AE}" pid="6" name="Soquij_ModifiePar">
    <vt:lpwstr>renste</vt:lpwstr>
  </property>
  <property fmtid="{D5CDD505-2E9C-101B-9397-08002B2CF9AE}" pid="7" name="Soquij_Version">
    <vt:lpwstr>1.6</vt:lpwstr>
  </property>
</Properties>
</file>