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6338" w14:textId="56349F5E" w:rsidR="002C1928" w:rsidRPr="00A32AD3" w:rsidRDefault="002C1928">
      <w:pPr>
        <w:rPr>
          <w:b/>
          <w:bCs/>
          <w:lang w:val="en-CA"/>
        </w:rPr>
      </w:pPr>
      <w:r w:rsidRPr="00A32AD3">
        <w:rPr>
          <w:b/>
          <w:bCs/>
          <w:lang w:val="en-CA"/>
        </w:rPr>
        <w:t xml:space="preserve">English </w:t>
      </w:r>
      <w:r w:rsidR="00F6658F" w:rsidRPr="00A32AD3">
        <w:rPr>
          <w:b/>
          <w:bCs/>
          <w:lang w:val="en-CA"/>
        </w:rPr>
        <w:t>t</w:t>
      </w:r>
      <w:r w:rsidRPr="00A32AD3">
        <w:rPr>
          <w:b/>
          <w:bCs/>
          <w:lang w:val="en-CA"/>
        </w:rPr>
        <w:t xml:space="preserve">ranslation of the </w:t>
      </w:r>
      <w:r w:rsidR="00F6658F" w:rsidRPr="00A32AD3">
        <w:rPr>
          <w:b/>
          <w:bCs/>
          <w:lang w:val="en-CA"/>
        </w:rPr>
        <w:t>j</w:t>
      </w:r>
      <w:r w:rsidRPr="00A32AD3">
        <w:rPr>
          <w:b/>
          <w:bCs/>
          <w:lang w:val="en-CA"/>
        </w:rPr>
        <w:t>udgment of the Court</w:t>
      </w:r>
      <w:r w:rsidR="00F6658F" w:rsidRPr="00A32AD3">
        <w:rPr>
          <w:b/>
          <w:bCs/>
          <w:lang w:val="en-CA"/>
        </w:rPr>
        <w:t xml:space="preserve"> by SOQUIJ</w:t>
      </w:r>
    </w:p>
    <w:tbl>
      <w:tblPr>
        <w:tblW w:w="9360" w:type="dxa"/>
        <w:tblLayout w:type="fixed"/>
        <w:tblCellMar>
          <w:left w:w="0" w:type="dxa"/>
          <w:right w:w="0" w:type="dxa"/>
        </w:tblCellMar>
        <w:tblLook w:val="0000" w:firstRow="0" w:lastRow="0" w:firstColumn="0" w:lastColumn="0" w:noHBand="0" w:noVBand="0"/>
      </w:tblPr>
      <w:tblGrid>
        <w:gridCol w:w="1030"/>
        <w:gridCol w:w="590"/>
        <w:gridCol w:w="81"/>
        <w:gridCol w:w="2269"/>
        <w:gridCol w:w="3402"/>
        <w:gridCol w:w="1988"/>
      </w:tblGrid>
      <w:tr w:rsidR="00743192" w:rsidRPr="00C52D31" w14:paraId="36929B55" w14:textId="77777777" w:rsidTr="008D18FC">
        <w:trPr>
          <w:trHeight w:val="248"/>
        </w:trPr>
        <w:tc>
          <w:tcPr>
            <w:tcW w:w="7372" w:type="dxa"/>
            <w:gridSpan w:val="5"/>
          </w:tcPr>
          <w:p w14:paraId="255F34C7" w14:textId="59052763" w:rsidR="00743192" w:rsidRPr="006A01A8" w:rsidRDefault="00743192" w:rsidP="00743192">
            <w:pPr>
              <w:pStyle w:val="zSoquijdatRepertorie"/>
              <w:rPr>
                <w:lang w:val="en-CA"/>
              </w:rPr>
            </w:pPr>
            <w:r>
              <w:rPr>
                <w:rFonts w:cs="Arial"/>
              </w:rPr>
              <w:t>R. c. Costanzo-Peterson</w:t>
            </w:r>
          </w:p>
        </w:tc>
        <w:tc>
          <w:tcPr>
            <w:tcW w:w="1988" w:type="dxa"/>
          </w:tcPr>
          <w:p w14:paraId="50786A4B" w14:textId="35C4D51C" w:rsidR="00743192" w:rsidRPr="006A01A8" w:rsidRDefault="00743192" w:rsidP="00743192">
            <w:pPr>
              <w:pStyle w:val="zSoquijdatRefNeutre"/>
              <w:jc w:val="right"/>
              <w:rPr>
                <w:lang w:val="en-CA"/>
              </w:rPr>
            </w:pPr>
            <w:r w:rsidRPr="00DB7E05">
              <w:rPr>
                <w:rFonts w:cs="Arial"/>
              </w:rPr>
              <w:t>2024 QCCA 1282</w:t>
            </w:r>
          </w:p>
        </w:tc>
      </w:tr>
      <w:tr w:rsidR="00A35034" w:rsidRPr="006A01A8" w14:paraId="7B9E65DD" w14:textId="77777777" w:rsidTr="008D18FC">
        <w:trPr>
          <w:trHeight w:val="247"/>
        </w:trPr>
        <w:tc>
          <w:tcPr>
            <w:tcW w:w="9360" w:type="dxa"/>
            <w:gridSpan w:val="6"/>
          </w:tcPr>
          <w:p w14:paraId="315DEEC9" w14:textId="77777777" w:rsidR="008F364A" w:rsidRPr="006A01A8" w:rsidRDefault="002C1928">
            <w:pPr>
              <w:pStyle w:val="zSoquijlblCour"/>
              <w:rPr>
                <w:lang w:val="en-CA"/>
              </w:rPr>
            </w:pPr>
            <w:r w:rsidRPr="006A01A8">
              <w:rPr>
                <w:lang w:val="en-CA"/>
              </w:rPr>
              <w:t>COURT OF APPEAL</w:t>
            </w:r>
          </w:p>
        </w:tc>
      </w:tr>
      <w:tr w:rsidR="00A35034" w:rsidRPr="006A01A8" w14:paraId="2E3460E1" w14:textId="77777777" w:rsidTr="008D18FC">
        <w:trPr>
          <w:trHeight w:val="540"/>
        </w:trPr>
        <w:tc>
          <w:tcPr>
            <w:tcW w:w="9360" w:type="dxa"/>
            <w:gridSpan w:val="6"/>
          </w:tcPr>
          <w:p w14:paraId="06B6CF1E" w14:textId="77777777" w:rsidR="008F364A" w:rsidRPr="006A01A8" w:rsidRDefault="008F364A">
            <w:pPr>
              <w:pStyle w:val="zSoquijdatDivision"/>
              <w:rPr>
                <w:lang w:val="en-CA"/>
              </w:rPr>
            </w:pPr>
          </w:p>
        </w:tc>
      </w:tr>
      <w:tr w:rsidR="00A35034" w:rsidRPr="006A01A8" w14:paraId="75EF33CE" w14:textId="77777777" w:rsidTr="008D18FC">
        <w:tc>
          <w:tcPr>
            <w:tcW w:w="9360" w:type="dxa"/>
            <w:gridSpan w:val="6"/>
          </w:tcPr>
          <w:p w14:paraId="2A756D4F" w14:textId="77777777" w:rsidR="008F364A" w:rsidRPr="006A01A8" w:rsidRDefault="002C1928">
            <w:pPr>
              <w:pStyle w:val="zSoquijlblPays"/>
              <w:rPr>
                <w:lang w:val="en-CA"/>
              </w:rPr>
            </w:pPr>
            <w:r w:rsidRPr="006A01A8">
              <w:rPr>
                <w:lang w:val="en-CA"/>
              </w:rPr>
              <w:t>CANADA</w:t>
            </w:r>
          </w:p>
        </w:tc>
      </w:tr>
      <w:tr w:rsidR="00A35034" w:rsidRPr="006A01A8" w14:paraId="3C3237EF" w14:textId="77777777" w:rsidTr="008D18FC">
        <w:tc>
          <w:tcPr>
            <w:tcW w:w="9360" w:type="dxa"/>
            <w:gridSpan w:val="6"/>
          </w:tcPr>
          <w:p w14:paraId="74A36A4E" w14:textId="77777777" w:rsidR="008F364A" w:rsidRPr="006A01A8" w:rsidRDefault="002C1928">
            <w:pPr>
              <w:pStyle w:val="zSoquijlblProvince"/>
              <w:rPr>
                <w:lang w:val="en-CA"/>
              </w:rPr>
            </w:pPr>
            <w:r w:rsidRPr="006A01A8">
              <w:rPr>
                <w:lang w:val="en-CA"/>
              </w:rPr>
              <w:t>PROVINCE OF QUEBEC</w:t>
            </w:r>
          </w:p>
        </w:tc>
      </w:tr>
      <w:tr w:rsidR="00A35034" w:rsidRPr="006A01A8" w14:paraId="5E73B9DF" w14:textId="77777777" w:rsidTr="00FF26B6">
        <w:tc>
          <w:tcPr>
            <w:tcW w:w="1701" w:type="dxa"/>
            <w:gridSpan w:val="3"/>
          </w:tcPr>
          <w:p w14:paraId="6D98A091" w14:textId="77777777" w:rsidR="008F364A" w:rsidRPr="006A01A8" w:rsidRDefault="002C1928">
            <w:pPr>
              <w:pStyle w:val="zSoquijlblGreffe"/>
              <w:rPr>
                <w:lang w:val="en-CA"/>
              </w:rPr>
            </w:pPr>
            <w:r w:rsidRPr="006A01A8">
              <w:rPr>
                <w:lang w:val="en-CA"/>
              </w:rPr>
              <w:t>REGISTRY OF</w:t>
            </w:r>
          </w:p>
          <w:p w14:paraId="1354C53A" w14:textId="77777777" w:rsidR="008F364A" w:rsidRPr="006A01A8" w:rsidRDefault="008F364A">
            <w:pPr>
              <w:pStyle w:val="zSoquijlblGreffe"/>
              <w:rPr>
                <w:lang w:val="en-CA"/>
              </w:rPr>
            </w:pPr>
          </w:p>
        </w:tc>
        <w:tc>
          <w:tcPr>
            <w:tcW w:w="7659" w:type="dxa"/>
            <w:gridSpan w:val="3"/>
          </w:tcPr>
          <w:p w14:paraId="361F00F0" w14:textId="77777777" w:rsidR="008F364A" w:rsidRPr="006A01A8" w:rsidRDefault="002C1928">
            <w:pPr>
              <w:pStyle w:val="zSoquijdatGreffe"/>
              <w:rPr>
                <w:lang w:val="en-CA"/>
              </w:rPr>
            </w:pPr>
            <w:bookmarkStart w:id="0" w:name="NomGreffe"/>
            <w:r w:rsidRPr="006A01A8">
              <w:rPr>
                <w:lang w:val="en-CA"/>
              </w:rPr>
              <w:t>MONTREAL</w:t>
            </w:r>
            <w:bookmarkEnd w:id="0"/>
          </w:p>
        </w:tc>
      </w:tr>
      <w:tr w:rsidR="00A35034" w:rsidRPr="006A01A8" w14:paraId="4B65FA15" w14:textId="77777777" w:rsidTr="00FF26B6">
        <w:tc>
          <w:tcPr>
            <w:tcW w:w="1030" w:type="dxa"/>
          </w:tcPr>
          <w:p w14:paraId="18AE932E" w14:textId="77777777" w:rsidR="008F364A" w:rsidRPr="006A01A8" w:rsidRDefault="002C1928">
            <w:pPr>
              <w:pStyle w:val="zSoquijlblNoDossier"/>
              <w:rPr>
                <w:lang w:val="en-CA"/>
              </w:rPr>
            </w:pPr>
            <w:r w:rsidRPr="006A01A8">
              <w:rPr>
                <w:lang w:val="en-CA"/>
              </w:rPr>
              <w:t>No.:</w:t>
            </w:r>
          </w:p>
        </w:tc>
        <w:tc>
          <w:tcPr>
            <w:tcW w:w="8330" w:type="dxa"/>
            <w:gridSpan w:val="5"/>
          </w:tcPr>
          <w:p w14:paraId="7C510627" w14:textId="77777777" w:rsidR="008F364A" w:rsidRPr="006A01A8" w:rsidRDefault="002C1928">
            <w:pPr>
              <w:pStyle w:val="zSoquijdatNoDossier"/>
              <w:rPr>
                <w:lang w:val="en-CA"/>
              </w:rPr>
            </w:pPr>
            <w:bookmarkStart w:id="1" w:name="NoDossier"/>
            <w:r w:rsidRPr="006A01A8">
              <w:rPr>
                <w:lang w:val="en-CA"/>
              </w:rPr>
              <w:t>500-10-007809-229</w:t>
            </w:r>
            <w:bookmarkEnd w:id="1"/>
          </w:p>
        </w:tc>
      </w:tr>
      <w:tr w:rsidR="00A35034" w:rsidRPr="006A01A8" w14:paraId="526BBA44" w14:textId="77777777" w:rsidTr="008D18FC">
        <w:tc>
          <w:tcPr>
            <w:tcW w:w="9360" w:type="dxa"/>
            <w:gridSpan w:val="6"/>
          </w:tcPr>
          <w:p w14:paraId="2237D178" w14:textId="42E5F2EF" w:rsidR="008A7BDB" w:rsidRPr="006A01A8" w:rsidRDefault="002C1928" w:rsidP="008A7BDB">
            <w:pPr>
              <w:pStyle w:val="zSoquijdatNoDossierAnt"/>
              <w:rPr>
                <w:lang w:val="en-CA"/>
              </w:rPr>
            </w:pPr>
            <w:r w:rsidRPr="006A01A8">
              <w:rPr>
                <w:lang w:val="en-CA"/>
              </w:rPr>
              <w:t>(500-01-205614-206 SEQ. 001 &amp; 002) (500-01-209183-208)</w:t>
            </w:r>
          </w:p>
        </w:tc>
      </w:tr>
      <w:tr w:rsidR="00A35034" w:rsidRPr="006A01A8" w14:paraId="62D212F1" w14:textId="77777777" w:rsidTr="008D18FC">
        <w:tc>
          <w:tcPr>
            <w:tcW w:w="9360" w:type="dxa"/>
            <w:gridSpan w:val="6"/>
          </w:tcPr>
          <w:p w14:paraId="09D59C19" w14:textId="77777777" w:rsidR="008F364A" w:rsidRPr="006A01A8" w:rsidRDefault="008F364A">
            <w:pPr>
              <w:rPr>
                <w:lang w:val="en-CA"/>
              </w:rPr>
            </w:pPr>
          </w:p>
        </w:tc>
      </w:tr>
      <w:tr w:rsidR="00A35034" w:rsidRPr="006A01A8" w14:paraId="50CFFCF7" w14:textId="77777777" w:rsidTr="008D18FC">
        <w:tc>
          <w:tcPr>
            <w:tcW w:w="1030" w:type="dxa"/>
          </w:tcPr>
          <w:p w14:paraId="302D99AB" w14:textId="77777777" w:rsidR="008F364A" w:rsidRPr="006A01A8" w:rsidRDefault="002C1928">
            <w:pPr>
              <w:pStyle w:val="zSoquijlblDateJugement"/>
              <w:rPr>
                <w:lang w:val="en-CA"/>
              </w:rPr>
            </w:pPr>
            <w:r w:rsidRPr="006A01A8">
              <w:rPr>
                <w:lang w:val="en-CA"/>
              </w:rPr>
              <w:t>DATE:</w:t>
            </w:r>
          </w:p>
        </w:tc>
        <w:tc>
          <w:tcPr>
            <w:tcW w:w="8330" w:type="dxa"/>
            <w:gridSpan w:val="5"/>
          </w:tcPr>
          <w:p w14:paraId="606D0119" w14:textId="0FA0B446" w:rsidR="008F364A" w:rsidRPr="006A01A8" w:rsidRDefault="002C1928">
            <w:pPr>
              <w:pStyle w:val="zSoquijdatDateJugement"/>
              <w:rPr>
                <w:lang w:val="en-CA"/>
              </w:rPr>
            </w:pPr>
            <w:r w:rsidRPr="006A01A8">
              <w:rPr>
                <w:lang w:val="en-CA"/>
              </w:rPr>
              <w:fldChar w:fldCharType="begin"/>
            </w:r>
            <w:r w:rsidRPr="006A01A8">
              <w:rPr>
                <w:lang w:val="en-CA"/>
              </w:rPr>
              <w:instrText xml:space="preserve"> QUOTE " " </w:instrText>
            </w:r>
            <w:r w:rsidRPr="006A01A8">
              <w:rPr>
                <w:lang w:val="en-CA"/>
              </w:rPr>
              <w:fldChar w:fldCharType="separate"/>
            </w:r>
            <w:r w:rsidR="008A7BDB" w:rsidRPr="006A01A8">
              <w:rPr>
                <w:lang w:val="en-CA"/>
              </w:rPr>
              <w:t xml:space="preserve"> </w:t>
            </w:r>
            <w:r w:rsidRPr="006A01A8">
              <w:rPr>
                <w:lang w:val="en-CA"/>
              </w:rPr>
              <w:fldChar w:fldCharType="end"/>
            </w:r>
            <w:r w:rsidRPr="006A01A8">
              <w:rPr>
                <w:lang w:val="en-CA"/>
              </w:rPr>
              <w:t>October 3, 2024</w:t>
            </w:r>
          </w:p>
        </w:tc>
      </w:tr>
      <w:tr w:rsidR="00A35034" w:rsidRPr="006A01A8" w14:paraId="669AC0E4" w14:textId="77777777" w:rsidTr="008D18FC">
        <w:tc>
          <w:tcPr>
            <w:tcW w:w="9360" w:type="dxa"/>
            <w:gridSpan w:val="6"/>
            <w:tcBorders>
              <w:bottom w:val="single" w:sz="8" w:space="0" w:color="auto"/>
            </w:tcBorders>
          </w:tcPr>
          <w:p w14:paraId="56286440" w14:textId="77777777" w:rsidR="008F364A" w:rsidRPr="006A01A8" w:rsidRDefault="008F364A">
            <w:pPr>
              <w:rPr>
                <w:lang w:val="en-CA"/>
              </w:rPr>
            </w:pPr>
          </w:p>
        </w:tc>
      </w:tr>
      <w:tr w:rsidR="00A35034" w:rsidRPr="006A01A8" w14:paraId="089D1D0F" w14:textId="77777777" w:rsidTr="008D18FC">
        <w:tc>
          <w:tcPr>
            <w:tcW w:w="9360" w:type="dxa"/>
            <w:gridSpan w:val="6"/>
            <w:tcBorders>
              <w:top w:val="single" w:sz="8" w:space="0" w:color="auto"/>
            </w:tcBorders>
          </w:tcPr>
          <w:p w14:paraId="59E6DC45" w14:textId="77777777" w:rsidR="008F364A" w:rsidRPr="006A01A8" w:rsidRDefault="008F364A">
            <w:pPr>
              <w:rPr>
                <w:lang w:val="en-CA"/>
              </w:rPr>
            </w:pPr>
          </w:p>
        </w:tc>
      </w:tr>
      <w:tr w:rsidR="00A35034" w:rsidRPr="006A01A8" w14:paraId="055BBB16" w14:textId="77777777" w:rsidTr="008D18FC">
        <w:tc>
          <w:tcPr>
            <w:tcW w:w="1620" w:type="dxa"/>
            <w:gridSpan w:val="2"/>
          </w:tcPr>
          <w:p w14:paraId="0E7081B3" w14:textId="2D716BFA" w:rsidR="008F364A" w:rsidRPr="006A01A8" w:rsidRDefault="003428C0" w:rsidP="00423DF1">
            <w:pPr>
              <w:pStyle w:val="zSoquijlblJuge"/>
              <w:ind w:right="-142"/>
              <w:rPr>
                <w:lang w:val="en-CA"/>
              </w:rPr>
            </w:pPr>
            <w:r>
              <w:rPr>
                <w:lang w:val="en-CA"/>
              </w:rPr>
              <w:t>CORAM</w:t>
            </w:r>
            <w:r w:rsidR="002C1928" w:rsidRPr="006A01A8">
              <w:rPr>
                <w:lang w:val="en-CA"/>
              </w:rPr>
              <w:t>:</w:t>
            </w:r>
          </w:p>
        </w:tc>
        <w:tc>
          <w:tcPr>
            <w:tcW w:w="2350" w:type="dxa"/>
            <w:gridSpan w:val="2"/>
          </w:tcPr>
          <w:p w14:paraId="0D2C5AD1" w14:textId="77777777" w:rsidR="008F364A" w:rsidRPr="006A01A8" w:rsidRDefault="002C1928">
            <w:pPr>
              <w:pStyle w:val="zSoquijdatQteJuge"/>
              <w:rPr>
                <w:lang w:val="en-CA"/>
              </w:rPr>
            </w:pPr>
            <w:bookmarkStart w:id="2" w:name="Honorables"/>
            <w:r w:rsidRPr="006A01A8">
              <w:rPr>
                <w:lang w:val="en-CA"/>
              </w:rPr>
              <w:t>THE HONOURABLE</w:t>
            </w:r>
            <w:bookmarkEnd w:id="2"/>
          </w:p>
        </w:tc>
        <w:tc>
          <w:tcPr>
            <w:tcW w:w="5390" w:type="dxa"/>
            <w:gridSpan w:val="2"/>
          </w:tcPr>
          <w:p w14:paraId="79A4AC89" w14:textId="22C130CB" w:rsidR="008F364A" w:rsidRPr="00A32AD3" w:rsidRDefault="002C1928">
            <w:pPr>
              <w:pStyle w:val="zSoquijdatJuge"/>
            </w:pPr>
            <w:r w:rsidRPr="00A32AD3">
              <w:t>MARTIN VAUCLAIR, J.A.</w:t>
            </w:r>
          </w:p>
          <w:p w14:paraId="3D7BEED8" w14:textId="5CE7FC49" w:rsidR="008F364A" w:rsidRPr="00A32AD3" w:rsidRDefault="002C1928">
            <w:pPr>
              <w:pStyle w:val="zSoquijdatJuge"/>
            </w:pPr>
            <w:r w:rsidRPr="00A32AD3">
              <w:t>MARK SCHRAGER, J.A.</w:t>
            </w:r>
          </w:p>
          <w:p w14:paraId="56869DAC" w14:textId="5A676550" w:rsidR="005A78BF" w:rsidRPr="00A32AD3" w:rsidRDefault="002C1928" w:rsidP="008A7BDB">
            <w:pPr>
              <w:pStyle w:val="zSoquijdatJuge"/>
            </w:pPr>
            <w:bookmarkStart w:id="3" w:name="_Hlt520513784"/>
            <w:bookmarkEnd w:id="3"/>
            <w:r w:rsidRPr="00A32AD3">
              <w:t>CHRISTINE BAUDOUIN, J.A.</w:t>
            </w:r>
          </w:p>
        </w:tc>
      </w:tr>
      <w:tr w:rsidR="00A35034" w:rsidRPr="006A01A8" w14:paraId="41EBCE21" w14:textId="77777777" w:rsidTr="008D18FC">
        <w:tc>
          <w:tcPr>
            <w:tcW w:w="9360" w:type="dxa"/>
            <w:gridSpan w:val="6"/>
            <w:tcBorders>
              <w:bottom w:val="single" w:sz="8" w:space="0" w:color="auto"/>
            </w:tcBorders>
          </w:tcPr>
          <w:p w14:paraId="2B24E82D" w14:textId="77777777" w:rsidR="008F364A" w:rsidRPr="00A32AD3" w:rsidRDefault="008F364A"/>
        </w:tc>
      </w:tr>
      <w:tr w:rsidR="00A35034" w:rsidRPr="006A01A8" w14:paraId="201152EA" w14:textId="77777777" w:rsidTr="008D18FC">
        <w:tc>
          <w:tcPr>
            <w:tcW w:w="9360" w:type="dxa"/>
            <w:gridSpan w:val="6"/>
          </w:tcPr>
          <w:p w14:paraId="0E4FA248" w14:textId="77777777" w:rsidR="008F364A" w:rsidRPr="00A32AD3" w:rsidRDefault="008F364A">
            <w:pPr>
              <w:pStyle w:val="zSoquijlblTitrePartie"/>
            </w:pPr>
          </w:p>
        </w:tc>
      </w:tr>
      <w:tr w:rsidR="00A35034" w:rsidRPr="006A01A8" w14:paraId="0863770D" w14:textId="77777777" w:rsidTr="008D18FC">
        <w:tc>
          <w:tcPr>
            <w:tcW w:w="9360" w:type="dxa"/>
            <w:gridSpan w:val="6"/>
          </w:tcPr>
          <w:p w14:paraId="304CABB1" w14:textId="73482B03" w:rsidR="00A526FE" w:rsidRPr="006A01A8" w:rsidRDefault="003428C0" w:rsidP="00A526FE">
            <w:pPr>
              <w:pStyle w:val="zSoquijlblNoDossier"/>
              <w:rPr>
                <w:lang w:val="en-CA"/>
              </w:rPr>
            </w:pPr>
            <w:r>
              <w:rPr>
                <w:lang w:val="en-CA"/>
              </w:rPr>
              <w:t>No</w:t>
            </w:r>
            <w:r w:rsidR="001A7CC1">
              <w:rPr>
                <w:lang w:val="en-CA"/>
              </w:rPr>
              <w:t xml:space="preserve">: </w:t>
            </w:r>
            <w:r w:rsidR="002C1928" w:rsidRPr="006A01A8">
              <w:rPr>
                <w:lang w:val="en-CA"/>
              </w:rPr>
              <w:t>500-10-007809-229 (500-01-205614-206 SEQ. 001)</w:t>
            </w:r>
          </w:p>
        </w:tc>
      </w:tr>
      <w:tr w:rsidR="00A35034" w:rsidRPr="006A01A8" w14:paraId="4CC8BF93" w14:textId="77777777" w:rsidTr="008D18FC">
        <w:tc>
          <w:tcPr>
            <w:tcW w:w="9360" w:type="dxa"/>
            <w:gridSpan w:val="6"/>
          </w:tcPr>
          <w:p w14:paraId="6CBDEA0C" w14:textId="77777777" w:rsidR="00A526FE" w:rsidRPr="006A01A8" w:rsidRDefault="00A526FE" w:rsidP="00A526FE">
            <w:pPr>
              <w:rPr>
                <w:lang w:val="en-CA"/>
              </w:rPr>
            </w:pPr>
          </w:p>
        </w:tc>
      </w:tr>
      <w:tr w:rsidR="00A35034" w:rsidRPr="006A01A8" w14:paraId="39AEE5F5" w14:textId="77777777" w:rsidTr="008D18FC">
        <w:tc>
          <w:tcPr>
            <w:tcW w:w="9360" w:type="dxa"/>
            <w:gridSpan w:val="6"/>
          </w:tcPr>
          <w:p w14:paraId="53A69BAC" w14:textId="068E01D7" w:rsidR="008F364A" w:rsidRPr="006A01A8" w:rsidRDefault="002C1928">
            <w:pPr>
              <w:pStyle w:val="zSoquijdatNomPartieDem"/>
              <w:rPr>
                <w:lang w:val="en-CA"/>
              </w:rPr>
            </w:pPr>
            <w:r w:rsidRPr="006A01A8">
              <w:rPr>
                <w:lang w:val="en-CA"/>
              </w:rPr>
              <w:t>HIS MAJESTY THE KING</w:t>
            </w:r>
          </w:p>
        </w:tc>
      </w:tr>
      <w:tr w:rsidR="00A35034" w:rsidRPr="006A01A8" w14:paraId="1C6A07B6" w14:textId="77777777" w:rsidTr="008D18FC">
        <w:tc>
          <w:tcPr>
            <w:tcW w:w="9360" w:type="dxa"/>
            <w:gridSpan w:val="6"/>
          </w:tcPr>
          <w:p w14:paraId="05B8C4FE" w14:textId="50949F1D" w:rsidR="008F364A" w:rsidRPr="006A01A8" w:rsidRDefault="002C1928">
            <w:pPr>
              <w:pStyle w:val="zSoquijdatQtePartieDem"/>
              <w:rPr>
                <w:lang w:val="en-CA"/>
              </w:rPr>
            </w:pPr>
            <w:r w:rsidRPr="006A01A8">
              <w:rPr>
                <w:lang w:val="en-CA"/>
              </w:rPr>
              <w:t>APPELLANT – prosecu</w:t>
            </w:r>
            <w:r w:rsidR="00047083">
              <w:rPr>
                <w:lang w:val="en-CA"/>
              </w:rPr>
              <w:t>tor</w:t>
            </w:r>
          </w:p>
        </w:tc>
      </w:tr>
      <w:tr w:rsidR="00A35034" w:rsidRPr="006A01A8" w14:paraId="39C6ED56" w14:textId="77777777" w:rsidTr="008D18FC">
        <w:tc>
          <w:tcPr>
            <w:tcW w:w="9360" w:type="dxa"/>
            <w:gridSpan w:val="6"/>
          </w:tcPr>
          <w:p w14:paraId="2AB696E1" w14:textId="77777777" w:rsidR="008F364A" w:rsidRPr="006A01A8" w:rsidRDefault="002C1928">
            <w:pPr>
              <w:pStyle w:val="zSoquijlblLienParties"/>
              <w:rPr>
                <w:lang w:val="en-CA"/>
              </w:rPr>
            </w:pPr>
            <w:r w:rsidRPr="006A01A8">
              <w:rPr>
                <w:lang w:val="en-CA"/>
              </w:rPr>
              <w:t>v.</w:t>
            </w:r>
          </w:p>
        </w:tc>
      </w:tr>
      <w:tr w:rsidR="00A35034" w:rsidRPr="006A01A8" w14:paraId="5159040B" w14:textId="77777777" w:rsidTr="008D18FC">
        <w:tc>
          <w:tcPr>
            <w:tcW w:w="9360" w:type="dxa"/>
            <w:gridSpan w:val="6"/>
          </w:tcPr>
          <w:p w14:paraId="1F8BCD8B" w14:textId="77777777" w:rsidR="008F364A" w:rsidRPr="006A01A8" w:rsidRDefault="008F364A">
            <w:pPr>
              <w:rPr>
                <w:lang w:val="en-CA"/>
              </w:rPr>
            </w:pPr>
          </w:p>
        </w:tc>
      </w:tr>
      <w:tr w:rsidR="00A35034" w:rsidRPr="006A01A8" w14:paraId="2A7C1AE6" w14:textId="77777777" w:rsidTr="008D18FC">
        <w:tc>
          <w:tcPr>
            <w:tcW w:w="9360" w:type="dxa"/>
            <w:gridSpan w:val="6"/>
          </w:tcPr>
          <w:p w14:paraId="5EFCFCD3" w14:textId="08DE8858" w:rsidR="008A7BDB" w:rsidRPr="006A01A8" w:rsidRDefault="002C1928" w:rsidP="003B5031">
            <w:pPr>
              <w:pStyle w:val="zSoquijdatNomPartieDef"/>
              <w:rPr>
                <w:lang w:val="en-CA"/>
              </w:rPr>
            </w:pPr>
            <w:r w:rsidRPr="006A01A8">
              <w:rPr>
                <w:lang w:val="en-CA"/>
              </w:rPr>
              <w:t>FÉLIX COSTANZO-PETERSON</w:t>
            </w:r>
          </w:p>
        </w:tc>
      </w:tr>
      <w:tr w:rsidR="00A35034" w:rsidRPr="006A01A8" w14:paraId="71BE739B" w14:textId="77777777" w:rsidTr="00A526FE">
        <w:tc>
          <w:tcPr>
            <w:tcW w:w="9360" w:type="dxa"/>
            <w:gridSpan w:val="6"/>
          </w:tcPr>
          <w:p w14:paraId="5FAC5825" w14:textId="39B686E5" w:rsidR="00A526FE" w:rsidRPr="006A01A8" w:rsidRDefault="002C1928" w:rsidP="00A526FE">
            <w:pPr>
              <w:pStyle w:val="zSoquijdatQtePartieDef"/>
              <w:rPr>
                <w:lang w:val="en-CA"/>
              </w:rPr>
            </w:pPr>
            <w:r w:rsidRPr="006A01A8">
              <w:rPr>
                <w:lang w:val="en-CA"/>
              </w:rPr>
              <w:t>RESPONDENT – accused</w:t>
            </w:r>
          </w:p>
        </w:tc>
      </w:tr>
      <w:tr w:rsidR="00A35034" w:rsidRPr="006A01A8" w14:paraId="60F2AA6E" w14:textId="77777777" w:rsidTr="00A526FE">
        <w:tc>
          <w:tcPr>
            <w:tcW w:w="9360" w:type="dxa"/>
            <w:gridSpan w:val="6"/>
            <w:tcBorders>
              <w:bottom w:val="single" w:sz="4" w:space="0" w:color="auto"/>
            </w:tcBorders>
          </w:tcPr>
          <w:p w14:paraId="0DD935D3" w14:textId="77777777" w:rsidR="00A526FE" w:rsidRPr="006A01A8" w:rsidRDefault="00A526FE" w:rsidP="00A526FE">
            <w:pPr>
              <w:rPr>
                <w:lang w:val="en-CA"/>
              </w:rPr>
            </w:pPr>
          </w:p>
        </w:tc>
      </w:tr>
      <w:tr w:rsidR="00A35034" w:rsidRPr="006A01A8" w14:paraId="62782FE8" w14:textId="77777777" w:rsidTr="00A526FE">
        <w:tc>
          <w:tcPr>
            <w:tcW w:w="9360" w:type="dxa"/>
            <w:gridSpan w:val="6"/>
            <w:tcBorders>
              <w:top w:val="single" w:sz="4" w:space="0" w:color="auto"/>
            </w:tcBorders>
          </w:tcPr>
          <w:p w14:paraId="5671AFF5" w14:textId="77777777" w:rsidR="00A526FE" w:rsidRPr="006A01A8" w:rsidRDefault="00A526FE" w:rsidP="00A526FE">
            <w:pPr>
              <w:rPr>
                <w:lang w:val="en-CA"/>
              </w:rPr>
            </w:pPr>
          </w:p>
        </w:tc>
      </w:tr>
      <w:tr w:rsidR="00A35034" w:rsidRPr="006A01A8" w14:paraId="5C8D1F76" w14:textId="77777777" w:rsidTr="008D18FC">
        <w:tc>
          <w:tcPr>
            <w:tcW w:w="9360" w:type="dxa"/>
            <w:gridSpan w:val="6"/>
          </w:tcPr>
          <w:p w14:paraId="290FC1DE" w14:textId="32A70016" w:rsidR="00A526FE" w:rsidRPr="006A01A8" w:rsidRDefault="003428C0" w:rsidP="00A526FE">
            <w:pPr>
              <w:rPr>
                <w:lang w:val="en-CA"/>
              </w:rPr>
            </w:pPr>
            <w:r>
              <w:rPr>
                <w:lang w:val="en-CA"/>
              </w:rPr>
              <w:t>No.</w:t>
            </w:r>
            <w:r w:rsidR="001A7CC1">
              <w:rPr>
                <w:lang w:val="en-CA"/>
              </w:rPr>
              <w:t>:</w:t>
            </w:r>
            <w:r w:rsidR="002C1928" w:rsidRPr="006A01A8">
              <w:rPr>
                <w:lang w:val="en-CA"/>
              </w:rPr>
              <w:t xml:space="preserve"> 500-10-007809-229 (500-01-205614-206 SEQ</w:t>
            </w:r>
            <w:r>
              <w:rPr>
                <w:lang w:val="en-CA"/>
              </w:rPr>
              <w:t>.</w:t>
            </w:r>
            <w:r w:rsidR="002C1928" w:rsidRPr="006A01A8">
              <w:rPr>
                <w:lang w:val="en-CA"/>
              </w:rPr>
              <w:t xml:space="preserve"> 002) (500-01-209183-208)</w:t>
            </w:r>
          </w:p>
        </w:tc>
      </w:tr>
      <w:tr w:rsidR="00A35034" w:rsidRPr="006A01A8" w14:paraId="6D0AF3A3" w14:textId="77777777" w:rsidTr="008D18FC">
        <w:tc>
          <w:tcPr>
            <w:tcW w:w="9360" w:type="dxa"/>
            <w:gridSpan w:val="6"/>
          </w:tcPr>
          <w:p w14:paraId="00F25DF3" w14:textId="77777777" w:rsidR="00A526FE" w:rsidRPr="006A01A8" w:rsidRDefault="00A526FE" w:rsidP="00A526FE">
            <w:pPr>
              <w:rPr>
                <w:lang w:val="en-CA"/>
              </w:rPr>
            </w:pPr>
          </w:p>
        </w:tc>
      </w:tr>
      <w:tr w:rsidR="00A35034" w:rsidRPr="006A01A8" w14:paraId="22009413" w14:textId="77777777" w:rsidTr="008D18FC">
        <w:tc>
          <w:tcPr>
            <w:tcW w:w="9360" w:type="dxa"/>
            <w:gridSpan w:val="6"/>
          </w:tcPr>
          <w:p w14:paraId="20DB8EC3" w14:textId="79C3371A" w:rsidR="00132E76" w:rsidRPr="006A01A8" w:rsidRDefault="002C1928" w:rsidP="00132E76">
            <w:pPr>
              <w:pStyle w:val="zSoquijdatNomPartieDem"/>
              <w:rPr>
                <w:lang w:val="en-CA"/>
              </w:rPr>
            </w:pPr>
            <w:r w:rsidRPr="006A01A8">
              <w:rPr>
                <w:lang w:val="en-CA"/>
              </w:rPr>
              <w:t>HIS MAJESTY THE KING</w:t>
            </w:r>
          </w:p>
        </w:tc>
      </w:tr>
      <w:tr w:rsidR="00A35034" w:rsidRPr="006A01A8" w14:paraId="2370D8DF" w14:textId="77777777" w:rsidTr="008D18FC">
        <w:tc>
          <w:tcPr>
            <w:tcW w:w="9360" w:type="dxa"/>
            <w:gridSpan w:val="6"/>
          </w:tcPr>
          <w:p w14:paraId="52BFCEE4" w14:textId="59C12FDD" w:rsidR="00132E76" w:rsidRPr="006A01A8" w:rsidRDefault="00CA70D3" w:rsidP="00132E76">
            <w:pPr>
              <w:pStyle w:val="zSoquijdatQtePartieDem"/>
              <w:rPr>
                <w:lang w:val="en-CA"/>
              </w:rPr>
            </w:pPr>
            <w:r w:rsidRPr="006A01A8">
              <w:rPr>
                <w:lang w:val="en-CA"/>
              </w:rPr>
              <w:t>APPEL</w:t>
            </w:r>
            <w:r w:rsidR="00F044E9">
              <w:rPr>
                <w:lang w:val="en-CA"/>
              </w:rPr>
              <w:t>L</w:t>
            </w:r>
            <w:r w:rsidRPr="006A01A8">
              <w:rPr>
                <w:lang w:val="en-CA"/>
              </w:rPr>
              <w:t>ANT – prosecut</w:t>
            </w:r>
            <w:r w:rsidR="00047083">
              <w:rPr>
                <w:lang w:val="en-CA"/>
              </w:rPr>
              <w:t>or</w:t>
            </w:r>
          </w:p>
        </w:tc>
      </w:tr>
      <w:tr w:rsidR="00A35034" w:rsidRPr="006A01A8" w14:paraId="1F03B9EF" w14:textId="77777777" w:rsidTr="008D18FC">
        <w:tc>
          <w:tcPr>
            <w:tcW w:w="9360" w:type="dxa"/>
            <w:gridSpan w:val="6"/>
          </w:tcPr>
          <w:p w14:paraId="268D8A6A" w14:textId="0014695F" w:rsidR="00132E76" w:rsidRPr="006A01A8" w:rsidRDefault="002C1928" w:rsidP="00132E76">
            <w:pPr>
              <w:pStyle w:val="zSoquijlblLienParties"/>
              <w:rPr>
                <w:lang w:val="en-CA"/>
              </w:rPr>
            </w:pPr>
            <w:r w:rsidRPr="006A01A8">
              <w:rPr>
                <w:lang w:val="en-CA"/>
              </w:rPr>
              <w:t>v.</w:t>
            </w:r>
          </w:p>
        </w:tc>
      </w:tr>
      <w:tr w:rsidR="00A35034" w:rsidRPr="006A01A8" w14:paraId="206727AE" w14:textId="77777777" w:rsidTr="008D18FC">
        <w:tc>
          <w:tcPr>
            <w:tcW w:w="9360" w:type="dxa"/>
            <w:gridSpan w:val="6"/>
          </w:tcPr>
          <w:p w14:paraId="430B37C4" w14:textId="77777777" w:rsidR="00132E76" w:rsidRPr="006A01A8" w:rsidRDefault="00132E76" w:rsidP="00A526FE">
            <w:pPr>
              <w:rPr>
                <w:lang w:val="en-CA"/>
              </w:rPr>
            </w:pPr>
          </w:p>
        </w:tc>
      </w:tr>
      <w:tr w:rsidR="00A35034" w:rsidRPr="006A01A8" w14:paraId="659C1F27" w14:textId="77777777" w:rsidTr="008D18FC">
        <w:tc>
          <w:tcPr>
            <w:tcW w:w="9360" w:type="dxa"/>
            <w:gridSpan w:val="6"/>
          </w:tcPr>
          <w:p w14:paraId="066ED989" w14:textId="0C053054" w:rsidR="003B5031" w:rsidRPr="006A01A8" w:rsidRDefault="002C1928" w:rsidP="003B5031">
            <w:pPr>
              <w:pStyle w:val="zSoquijdatNomPartieDef"/>
              <w:rPr>
                <w:lang w:val="en-CA"/>
              </w:rPr>
            </w:pPr>
            <w:r w:rsidRPr="006A01A8">
              <w:rPr>
                <w:lang w:val="en-CA"/>
              </w:rPr>
              <w:t>JACOB COSTANZO-PETERSON</w:t>
            </w:r>
          </w:p>
        </w:tc>
      </w:tr>
      <w:tr w:rsidR="00A35034" w:rsidRPr="006A01A8" w14:paraId="5CC4C71C" w14:textId="77777777" w:rsidTr="008D18FC">
        <w:tc>
          <w:tcPr>
            <w:tcW w:w="9360" w:type="dxa"/>
            <w:gridSpan w:val="6"/>
          </w:tcPr>
          <w:p w14:paraId="7620A0C6" w14:textId="21D02486" w:rsidR="008F364A" w:rsidRPr="006A01A8" w:rsidRDefault="002C1928">
            <w:pPr>
              <w:pStyle w:val="zSoquijdatQtePartieDef"/>
              <w:rPr>
                <w:lang w:val="en-CA"/>
              </w:rPr>
            </w:pPr>
            <w:r w:rsidRPr="006A01A8">
              <w:rPr>
                <w:lang w:val="en-CA"/>
              </w:rPr>
              <w:t>RESPONDENT – accused</w:t>
            </w:r>
          </w:p>
        </w:tc>
      </w:tr>
      <w:tr w:rsidR="00A35034" w:rsidRPr="006A01A8" w14:paraId="11FE36E6" w14:textId="77777777" w:rsidTr="008D18FC">
        <w:tc>
          <w:tcPr>
            <w:tcW w:w="9360" w:type="dxa"/>
            <w:gridSpan w:val="6"/>
          </w:tcPr>
          <w:p w14:paraId="04176EB1" w14:textId="77777777" w:rsidR="008F364A" w:rsidRPr="006A01A8" w:rsidRDefault="008F364A">
            <w:pPr>
              <w:rPr>
                <w:lang w:val="en-CA"/>
              </w:rPr>
            </w:pPr>
          </w:p>
        </w:tc>
      </w:tr>
      <w:tr w:rsidR="00A35034" w:rsidRPr="006A01A8" w14:paraId="144846BC" w14:textId="77777777" w:rsidTr="008D18FC">
        <w:tc>
          <w:tcPr>
            <w:tcW w:w="9360" w:type="dxa"/>
            <w:gridSpan w:val="6"/>
            <w:tcBorders>
              <w:top w:val="single" w:sz="8" w:space="0" w:color="auto"/>
            </w:tcBorders>
          </w:tcPr>
          <w:p w14:paraId="608CCAAD" w14:textId="77777777" w:rsidR="008F364A" w:rsidRPr="006A01A8" w:rsidRDefault="008F364A">
            <w:pPr>
              <w:rPr>
                <w:lang w:val="en-CA"/>
              </w:rPr>
            </w:pPr>
            <w:bookmarkStart w:id="4" w:name="Arret"/>
          </w:p>
        </w:tc>
      </w:tr>
      <w:tr w:rsidR="00A35034" w:rsidRPr="00FF26B6" w14:paraId="10224D38" w14:textId="77777777" w:rsidTr="008D18FC">
        <w:tc>
          <w:tcPr>
            <w:tcW w:w="9360" w:type="dxa"/>
            <w:gridSpan w:val="6"/>
          </w:tcPr>
          <w:p w14:paraId="7166EE10" w14:textId="77777777" w:rsidR="008F364A" w:rsidRDefault="002C1928">
            <w:pPr>
              <w:pStyle w:val="zSoquijlblTypeDocument"/>
              <w:rPr>
                <w:lang w:val="en-CA"/>
              </w:rPr>
            </w:pPr>
            <w:bookmarkStart w:id="5" w:name="TitreDocument"/>
            <w:r w:rsidRPr="006A01A8">
              <w:rPr>
                <w:lang w:val="en-CA"/>
              </w:rPr>
              <w:t>JUDGMENT</w:t>
            </w:r>
            <w:bookmarkEnd w:id="5"/>
          </w:p>
          <w:p w14:paraId="33CE65C0" w14:textId="4F2C9AA0" w:rsidR="00FF26B6" w:rsidRPr="006A01A8" w:rsidRDefault="00FF26B6">
            <w:pPr>
              <w:pStyle w:val="zSoquijlblTypeDocument"/>
              <w:rPr>
                <w:lang w:val="en-CA"/>
              </w:rPr>
            </w:pPr>
            <w:r>
              <w:rPr>
                <w:lang w:val="en-CA"/>
              </w:rPr>
              <w:t>(corrected on May 16, 2025)</w:t>
            </w:r>
          </w:p>
        </w:tc>
      </w:tr>
      <w:tr w:rsidR="00A35034" w:rsidRPr="00FF26B6" w14:paraId="078DB15B" w14:textId="77777777" w:rsidTr="008D18FC">
        <w:tc>
          <w:tcPr>
            <w:tcW w:w="9360" w:type="dxa"/>
            <w:gridSpan w:val="6"/>
            <w:tcBorders>
              <w:bottom w:val="single" w:sz="8" w:space="0" w:color="auto"/>
            </w:tcBorders>
          </w:tcPr>
          <w:p w14:paraId="0EF9285A" w14:textId="77777777" w:rsidR="008F364A" w:rsidRPr="006A01A8" w:rsidRDefault="008F364A">
            <w:pPr>
              <w:rPr>
                <w:lang w:val="en-CA"/>
              </w:rPr>
            </w:pPr>
          </w:p>
        </w:tc>
      </w:tr>
      <w:tr w:rsidR="00A35034" w:rsidRPr="00FF26B6" w14:paraId="76DEFF5E" w14:textId="77777777" w:rsidTr="008D18FC">
        <w:tc>
          <w:tcPr>
            <w:tcW w:w="9360" w:type="dxa"/>
            <w:gridSpan w:val="6"/>
            <w:tcBorders>
              <w:top w:val="single" w:sz="8" w:space="0" w:color="auto"/>
            </w:tcBorders>
          </w:tcPr>
          <w:p w14:paraId="61D9AD6C" w14:textId="77777777" w:rsidR="008F364A" w:rsidRPr="006A01A8" w:rsidRDefault="008F364A">
            <w:pPr>
              <w:rPr>
                <w:lang w:val="en-CA"/>
              </w:rPr>
            </w:pPr>
          </w:p>
        </w:tc>
      </w:tr>
    </w:tbl>
    <w:p w14:paraId="63F7B202" w14:textId="60B8A2E8" w:rsidR="008F364A" w:rsidRPr="006A01A8" w:rsidRDefault="002C1928" w:rsidP="00730A6C">
      <w:pPr>
        <w:pStyle w:val="Paragraphe"/>
        <w:spacing w:before="240" w:line="280" w:lineRule="exact"/>
        <w:rPr>
          <w:lang w:val="en-CA"/>
        </w:rPr>
      </w:pPr>
      <w:r w:rsidRPr="006A01A8">
        <w:rPr>
          <w:lang w:val="en-CA"/>
        </w:rPr>
        <w:lastRenderedPageBreak/>
        <w:t>The appellant appeals from a stay of proceedings ordered on April 8, 2022, by the Honourable Joëlle Roy</w:t>
      </w:r>
      <w:r w:rsidR="00962BCB">
        <w:rPr>
          <w:lang w:val="en-CA"/>
        </w:rPr>
        <w:t xml:space="preserve"> J.</w:t>
      </w:r>
      <w:r w:rsidR="00AE6964">
        <w:rPr>
          <w:lang w:val="en-CA"/>
        </w:rPr>
        <w:t xml:space="preserve"> of the</w:t>
      </w:r>
      <w:r w:rsidRPr="006A01A8">
        <w:rPr>
          <w:lang w:val="en-CA"/>
        </w:rPr>
        <w:t xml:space="preserve"> Court of Québec, Criminal and Penal Division, District of Montreal.</w:t>
      </w:r>
    </w:p>
    <w:p w14:paraId="3612F4A4" w14:textId="7C5D14B4" w:rsidR="001E0629" w:rsidRPr="006A01A8" w:rsidRDefault="002C1928" w:rsidP="00E007AA">
      <w:pPr>
        <w:pStyle w:val="Paragraphe"/>
        <w:spacing w:line="280" w:lineRule="exact"/>
        <w:rPr>
          <w:lang w:val="en-CA"/>
        </w:rPr>
      </w:pPr>
      <w:r w:rsidRPr="006A01A8">
        <w:rPr>
          <w:lang w:val="en-CA"/>
        </w:rPr>
        <w:t>For the reasons of Vauclair</w:t>
      </w:r>
      <w:r w:rsidR="007F6E4D">
        <w:rPr>
          <w:lang w:val="en-CA"/>
        </w:rPr>
        <w:t>,</w:t>
      </w:r>
      <w:r w:rsidRPr="006A01A8">
        <w:rPr>
          <w:lang w:val="en-CA"/>
        </w:rPr>
        <w:t xml:space="preserve"> J.</w:t>
      </w:r>
      <w:r w:rsidR="006C05B9">
        <w:rPr>
          <w:lang w:val="en-CA"/>
        </w:rPr>
        <w:t>A.</w:t>
      </w:r>
      <w:r w:rsidRPr="006A01A8">
        <w:rPr>
          <w:lang w:val="en-CA"/>
        </w:rPr>
        <w:t>, Schrager and Baudouin</w:t>
      </w:r>
      <w:r w:rsidR="007F6E4D">
        <w:rPr>
          <w:lang w:val="en-CA"/>
        </w:rPr>
        <w:t>,</w:t>
      </w:r>
      <w:r w:rsidRPr="006A01A8">
        <w:rPr>
          <w:lang w:val="en-CA"/>
        </w:rPr>
        <w:t xml:space="preserve"> JJ.A. concurring, </w:t>
      </w:r>
      <w:r w:rsidRPr="006A01A8">
        <w:rPr>
          <w:b/>
          <w:lang w:val="en-CA"/>
        </w:rPr>
        <w:t>THE COURT</w:t>
      </w:r>
      <w:r w:rsidRPr="006A01A8">
        <w:rPr>
          <w:lang w:val="en-CA"/>
        </w:rPr>
        <w:t>:</w:t>
      </w:r>
    </w:p>
    <w:p w14:paraId="0107F891" w14:textId="7779AE13" w:rsidR="001E0629" w:rsidRPr="006A01A8" w:rsidRDefault="002C1928" w:rsidP="00E007AA">
      <w:pPr>
        <w:pStyle w:val="Paragraphe"/>
        <w:spacing w:line="280" w:lineRule="exact"/>
        <w:rPr>
          <w:lang w:val="en-CA"/>
        </w:rPr>
      </w:pPr>
      <w:r w:rsidRPr="006A01A8">
        <w:rPr>
          <w:b/>
          <w:bCs/>
          <w:lang w:val="en-CA"/>
        </w:rPr>
        <w:t>DISMISSES</w:t>
      </w:r>
      <w:r w:rsidRPr="006A01A8">
        <w:rPr>
          <w:bCs/>
          <w:lang w:val="en-CA"/>
        </w:rPr>
        <w:t xml:space="preserve"> the appeal.</w:t>
      </w:r>
    </w:p>
    <w:p w14:paraId="3A738AB8" w14:textId="090F4A07" w:rsidR="001E0629" w:rsidRPr="006A01A8" w:rsidRDefault="001E0629" w:rsidP="00E007AA">
      <w:pPr>
        <w:pStyle w:val="Paragraphe"/>
        <w:numPr>
          <w:ilvl w:val="0"/>
          <w:numId w:val="0"/>
        </w:numPr>
        <w:spacing w:line="280" w:lineRule="exact"/>
        <w:rPr>
          <w:lang w:val="en-CA"/>
        </w:rPr>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A35034" w:rsidRPr="006A01A8" w14:paraId="0C60DD21" w14:textId="77777777" w:rsidTr="003E3239">
        <w:trPr>
          <w:trHeight w:val="576"/>
        </w:trPr>
        <w:tc>
          <w:tcPr>
            <w:tcW w:w="9362" w:type="dxa"/>
            <w:gridSpan w:val="3"/>
            <w:tcBorders>
              <w:top w:val="nil"/>
              <w:bottom w:val="nil"/>
            </w:tcBorders>
          </w:tcPr>
          <w:p w14:paraId="3074D01E" w14:textId="77777777" w:rsidR="008F364A" w:rsidRPr="006A01A8" w:rsidRDefault="008F364A" w:rsidP="00E007AA">
            <w:pPr>
              <w:keepNext/>
              <w:rPr>
                <w:lang w:val="en-CA"/>
              </w:rPr>
            </w:pPr>
          </w:p>
        </w:tc>
      </w:tr>
      <w:tr w:rsidR="00A35034" w:rsidRPr="006A01A8" w14:paraId="7A77E002" w14:textId="77777777" w:rsidTr="00117914">
        <w:trPr>
          <w:trHeight w:val="283"/>
        </w:trPr>
        <w:tc>
          <w:tcPr>
            <w:tcW w:w="4682" w:type="dxa"/>
            <w:gridSpan w:val="2"/>
            <w:tcBorders>
              <w:top w:val="nil"/>
              <w:bottom w:val="nil"/>
            </w:tcBorders>
          </w:tcPr>
          <w:p w14:paraId="7B0FE060" w14:textId="77777777" w:rsidR="008F364A" w:rsidRPr="006A01A8" w:rsidRDefault="008F364A" w:rsidP="00E007AA">
            <w:pPr>
              <w:keepNext/>
              <w:rPr>
                <w:lang w:val="en-CA"/>
              </w:rPr>
            </w:pPr>
          </w:p>
        </w:tc>
        <w:tc>
          <w:tcPr>
            <w:tcW w:w="4680" w:type="dxa"/>
            <w:tcBorders>
              <w:top w:val="nil"/>
              <w:bottom w:val="single" w:sz="8" w:space="0" w:color="auto"/>
            </w:tcBorders>
          </w:tcPr>
          <w:p w14:paraId="2B1FB538" w14:textId="77777777" w:rsidR="008F364A" w:rsidRPr="006A01A8" w:rsidRDefault="008F364A" w:rsidP="00E007AA">
            <w:pPr>
              <w:keepNext/>
              <w:rPr>
                <w:lang w:val="en-CA"/>
              </w:rPr>
            </w:pPr>
          </w:p>
        </w:tc>
      </w:tr>
      <w:tr w:rsidR="00A35034" w:rsidRPr="006A01A8" w14:paraId="25A25AE9" w14:textId="77777777" w:rsidTr="00117914">
        <w:trPr>
          <w:trHeight w:val="283"/>
        </w:trPr>
        <w:tc>
          <w:tcPr>
            <w:tcW w:w="4682" w:type="dxa"/>
            <w:gridSpan w:val="2"/>
            <w:tcBorders>
              <w:top w:val="nil"/>
            </w:tcBorders>
          </w:tcPr>
          <w:p w14:paraId="63D9B58B" w14:textId="77777777" w:rsidR="008F364A" w:rsidRPr="006A01A8" w:rsidRDefault="008F364A" w:rsidP="00E007AA">
            <w:pPr>
              <w:keepNext/>
              <w:rPr>
                <w:lang w:val="en-CA"/>
              </w:rPr>
            </w:pPr>
          </w:p>
        </w:tc>
        <w:tc>
          <w:tcPr>
            <w:tcW w:w="4680" w:type="dxa"/>
            <w:tcBorders>
              <w:top w:val="single" w:sz="8" w:space="0" w:color="auto"/>
            </w:tcBorders>
          </w:tcPr>
          <w:p w14:paraId="32168969" w14:textId="3F3F199C" w:rsidR="008F364A" w:rsidRPr="006A01A8" w:rsidRDefault="002C1928" w:rsidP="00E007AA">
            <w:pPr>
              <w:rPr>
                <w:lang w:val="en-CA"/>
              </w:rPr>
            </w:pPr>
            <w:r w:rsidRPr="006A01A8">
              <w:rPr>
                <w:lang w:val="en-CA"/>
              </w:rPr>
              <w:fldChar w:fldCharType="begin"/>
            </w:r>
            <w:r w:rsidR="0033229B" w:rsidRPr="006A01A8">
              <w:rPr>
                <w:lang w:val="en-CA"/>
              </w:rPr>
              <w:instrText xml:space="preserve"> REF NomJuge1  \* MERGEFORMAT </w:instrText>
            </w:r>
            <w:r w:rsidRPr="006A01A8">
              <w:rPr>
                <w:lang w:val="en-CA"/>
              </w:rPr>
              <w:fldChar w:fldCharType="separate"/>
            </w:r>
            <w:r w:rsidRPr="006A01A8">
              <w:rPr>
                <w:lang w:val="en-CA"/>
              </w:rPr>
              <w:t>MARTIN VAUCLAIR, J.A.</w:t>
            </w:r>
            <w:r w:rsidRPr="006A01A8">
              <w:rPr>
                <w:lang w:val="en-CA"/>
              </w:rPr>
              <w:fldChar w:fldCharType="end"/>
            </w:r>
          </w:p>
        </w:tc>
      </w:tr>
      <w:tr w:rsidR="00A35034" w:rsidRPr="006A01A8" w14:paraId="33D59252" w14:textId="77777777" w:rsidTr="00117914">
        <w:trPr>
          <w:trHeight w:val="283"/>
        </w:trPr>
        <w:tc>
          <w:tcPr>
            <w:tcW w:w="4682" w:type="dxa"/>
            <w:gridSpan w:val="2"/>
            <w:tcBorders>
              <w:top w:val="nil"/>
            </w:tcBorders>
          </w:tcPr>
          <w:p w14:paraId="60866759" w14:textId="77777777" w:rsidR="008F364A" w:rsidRPr="006A01A8" w:rsidRDefault="008F364A" w:rsidP="00E007AA">
            <w:pPr>
              <w:keepNext/>
              <w:rPr>
                <w:lang w:val="en-CA"/>
              </w:rPr>
            </w:pPr>
            <w:bookmarkStart w:id="6" w:name="Signature2"/>
          </w:p>
        </w:tc>
        <w:tc>
          <w:tcPr>
            <w:tcW w:w="4680" w:type="dxa"/>
            <w:tcBorders>
              <w:top w:val="nil"/>
            </w:tcBorders>
          </w:tcPr>
          <w:p w14:paraId="1F379ED8" w14:textId="77777777" w:rsidR="008F364A" w:rsidRPr="006A01A8" w:rsidRDefault="008F364A" w:rsidP="00E007AA">
            <w:pPr>
              <w:keepNext/>
              <w:rPr>
                <w:lang w:val="en-CA"/>
              </w:rPr>
            </w:pPr>
          </w:p>
        </w:tc>
      </w:tr>
      <w:tr w:rsidR="00A35034" w:rsidRPr="006A01A8" w14:paraId="5C71EAB3" w14:textId="77777777" w:rsidTr="00117914">
        <w:trPr>
          <w:trHeight w:val="283"/>
        </w:trPr>
        <w:tc>
          <w:tcPr>
            <w:tcW w:w="4682" w:type="dxa"/>
            <w:gridSpan w:val="2"/>
            <w:tcBorders>
              <w:top w:val="nil"/>
              <w:bottom w:val="nil"/>
            </w:tcBorders>
          </w:tcPr>
          <w:p w14:paraId="235B2311" w14:textId="77777777" w:rsidR="008F364A" w:rsidRPr="006A01A8" w:rsidRDefault="008F364A" w:rsidP="00E007AA">
            <w:pPr>
              <w:keepNext/>
              <w:rPr>
                <w:lang w:val="en-CA"/>
              </w:rPr>
            </w:pPr>
          </w:p>
        </w:tc>
        <w:tc>
          <w:tcPr>
            <w:tcW w:w="4680" w:type="dxa"/>
            <w:tcBorders>
              <w:top w:val="nil"/>
              <w:bottom w:val="single" w:sz="8" w:space="0" w:color="auto"/>
            </w:tcBorders>
          </w:tcPr>
          <w:p w14:paraId="7A5CFD64" w14:textId="77777777" w:rsidR="008F364A" w:rsidRPr="006A01A8" w:rsidRDefault="008F364A" w:rsidP="00E007AA">
            <w:pPr>
              <w:keepNext/>
              <w:rPr>
                <w:lang w:val="en-CA"/>
              </w:rPr>
            </w:pPr>
          </w:p>
        </w:tc>
      </w:tr>
      <w:tr w:rsidR="00A35034" w:rsidRPr="006A01A8" w14:paraId="12629540" w14:textId="77777777" w:rsidTr="00117914">
        <w:trPr>
          <w:trHeight w:val="283"/>
        </w:trPr>
        <w:tc>
          <w:tcPr>
            <w:tcW w:w="4682" w:type="dxa"/>
            <w:gridSpan w:val="2"/>
            <w:tcBorders>
              <w:top w:val="nil"/>
            </w:tcBorders>
          </w:tcPr>
          <w:p w14:paraId="1945BB28" w14:textId="77777777" w:rsidR="008F364A" w:rsidRPr="006A01A8" w:rsidRDefault="008F364A" w:rsidP="00E007AA">
            <w:pPr>
              <w:keepNext/>
              <w:rPr>
                <w:lang w:val="en-CA"/>
              </w:rPr>
            </w:pPr>
          </w:p>
        </w:tc>
        <w:tc>
          <w:tcPr>
            <w:tcW w:w="4680" w:type="dxa"/>
            <w:tcBorders>
              <w:top w:val="single" w:sz="8" w:space="0" w:color="auto"/>
            </w:tcBorders>
          </w:tcPr>
          <w:p w14:paraId="2329B71D" w14:textId="1B2A875D" w:rsidR="008F364A" w:rsidRPr="006A01A8" w:rsidRDefault="002C1928" w:rsidP="00E007AA">
            <w:pPr>
              <w:keepNext/>
              <w:rPr>
                <w:lang w:val="en-CA"/>
              </w:rPr>
            </w:pPr>
            <w:r w:rsidRPr="006A01A8">
              <w:rPr>
                <w:lang w:val="en-CA"/>
              </w:rPr>
              <w:fldChar w:fldCharType="begin"/>
            </w:r>
            <w:r w:rsidR="0033229B" w:rsidRPr="006A01A8">
              <w:rPr>
                <w:lang w:val="en-CA"/>
              </w:rPr>
              <w:instrText xml:space="preserve"> REF NomJuge2  \* MERGEFORMAT </w:instrText>
            </w:r>
            <w:r w:rsidRPr="006A01A8">
              <w:rPr>
                <w:lang w:val="en-CA"/>
              </w:rPr>
              <w:fldChar w:fldCharType="separate"/>
            </w:r>
            <w:r w:rsidRPr="006A01A8">
              <w:rPr>
                <w:lang w:val="en-CA"/>
              </w:rPr>
              <w:t>MARK SCHRAGER, J.A.</w:t>
            </w:r>
            <w:r w:rsidRPr="006A01A8">
              <w:rPr>
                <w:lang w:val="en-CA"/>
              </w:rPr>
              <w:fldChar w:fldCharType="end"/>
            </w:r>
          </w:p>
        </w:tc>
      </w:tr>
      <w:tr w:rsidR="00A35034" w:rsidRPr="006A01A8" w14:paraId="09B0BD43" w14:textId="77777777" w:rsidTr="00117914">
        <w:trPr>
          <w:trHeight w:val="283"/>
        </w:trPr>
        <w:tc>
          <w:tcPr>
            <w:tcW w:w="4682" w:type="dxa"/>
            <w:gridSpan w:val="2"/>
            <w:tcBorders>
              <w:top w:val="nil"/>
            </w:tcBorders>
          </w:tcPr>
          <w:p w14:paraId="6B047730" w14:textId="77777777" w:rsidR="008F364A" w:rsidRPr="006A01A8" w:rsidRDefault="008F364A" w:rsidP="00E007AA">
            <w:pPr>
              <w:keepNext/>
              <w:rPr>
                <w:lang w:val="en-CA"/>
              </w:rPr>
            </w:pPr>
            <w:bookmarkStart w:id="7" w:name="Signature3"/>
            <w:bookmarkEnd w:id="6"/>
          </w:p>
        </w:tc>
        <w:tc>
          <w:tcPr>
            <w:tcW w:w="4680" w:type="dxa"/>
            <w:tcBorders>
              <w:top w:val="nil"/>
            </w:tcBorders>
          </w:tcPr>
          <w:p w14:paraId="255D5C75" w14:textId="77777777" w:rsidR="008F364A" w:rsidRPr="006A01A8" w:rsidRDefault="008F364A" w:rsidP="00E007AA">
            <w:pPr>
              <w:keepNext/>
              <w:rPr>
                <w:lang w:val="en-CA"/>
              </w:rPr>
            </w:pPr>
          </w:p>
        </w:tc>
      </w:tr>
      <w:tr w:rsidR="00A35034" w:rsidRPr="006A01A8" w14:paraId="6A669516" w14:textId="77777777" w:rsidTr="00117914">
        <w:trPr>
          <w:trHeight w:val="283"/>
        </w:trPr>
        <w:tc>
          <w:tcPr>
            <w:tcW w:w="4682" w:type="dxa"/>
            <w:gridSpan w:val="2"/>
            <w:tcBorders>
              <w:top w:val="nil"/>
              <w:bottom w:val="nil"/>
            </w:tcBorders>
          </w:tcPr>
          <w:p w14:paraId="5C597520" w14:textId="77777777" w:rsidR="008F364A" w:rsidRPr="006A01A8" w:rsidRDefault="008F364A" w:rsidP="00E007AA">
            <w:pPr>
              <w:keepNext/>
              <w:rPr>
                <w:lang w:val="en-CA"/>
              </w:rPr>
            </w:pPr>
          </w:p>
        </w:tc>
        <w:tc>
          <w:tcPr>
            <w:tcW w:w="4680" w:type="dxa"/>
            <w:tcBorders>
              <w:top w:val="nil"/>
              <w:bottom w:val="single" w:sz="8" w:space="0" w:color="auto"/>
            </w:tcBorders>
          </w:tcPr>
          <w:p w14:paraId="6EEF38E5" w14:textId="77777777" w:rsidR="008F364A" w:rsidRPr="006A01A8" w:rsidRDefault="008F364A" w:rsidP="00E007AA">
            <w:pPr>
              <w:keepNext/>
              <w:rPr>
                <w:lang w:val="en-CA"/>
              </w:rPr>
            </w:pPr>
          </w:p>
        </w:tc>
      </w:tr>
      <w:tr w:rsidR="00A35034" w:rsidRPr="006A01A8" w14:paraId="7AFB8BC5" w14:textId="77777777" w:rsidTr="00117914">
        <w:trPr>
          <w:trHeight w:val="283"/>
        </w:trPr>
        <w:tc>
          <w:tcPr>
            <w:tcW w:w="4682" w:type="dxa"/>
            <w:gridSpan w:val="2"/>
            <w:tcBorders>
              <w:top w:val="nil"/>
            </w:tcBorders>
          </w:tcPr>
          <w:p w14:paraId="7C725C68" w14:textId="77777777" w:rsidR="008F364A" w:rsidRPr="006A01A8" w:rsidRDefault="008F364A" w:rsidP="00E007AA">
            <w:pPr>
              <w:keepNext/>
              <w:rPr>
                <w:lang w:val="en-CA"/>
              </w:rPr>
            </w:pPr>
          </w:p>
        </w:tc>
        <w:tc>
          <w:tcPr>
            <w:tcW w:w="4680" w:type="dxa"/>
            <w:tcBorders>
              <w:top w:val="single" w:sz="8" w:space="0" w:color="auto"/>
            </w:tcBorders>
          </w:tcPr>
          <w:p w14:paraId="4A5005CE" w14:textId="35959CF9" w:rsidR="008F364A" w:rsidRPr="006A01A8" w:rsidRDefault="002C1928" w:rsidP="00E007AA">
            <w:pPr>
              <w:keepNext/>
              <w:rPr>
                <w:lang w:val="en-CA"/>
              </w:rPr>
            </w:pPr>
            <w:r w:rsidRPr="006A01A8">
              <w:rPr>
                <w:lang w:val="en-CA"/>
              </w:rPr>
              <w:fldChar w:fldCharType="begin"/>
            </w:r>
            <w:r w:rsidR="0033229B" w:rsidRPr="006A01A8">
              <w:rPr>
                <w:lang w:val="en-CA"/>
              </w:rPr>
              <w:instrText xml:space="preserve"> REF NomJuge3  \* MERGEFORMAT </w:instrText>
            </w:r>
            <w:r w:rsidRPr="006A01A8">
              <w:rPr>
                <w:lang w:val="en-CA"/>
              </w:rPr>
              <w:fldChar w:fldCharType="separate"/>
            </w:r>
            <w:r w:rsidRPr="006A01A8">
              <w:rPr>
                <w:lang w:val="en-CA"/>
              </w:rPr>
              <w:t>CHRISTINE BAUDOUIN, J.A.</w:t>
            </w:r>
            <w:r w:rsidRPr="006A01A8">
              <w:rPr>
                <w:lang w:val="en-CA"/>
              </w:rPr>
              <w:fldChar w:fldCharType="end"/>
            </w:r>
          </w:p>
        </w:tc>
      </w:tr>
      <w:bookmarkEnd w:id="7"/>
      <w:tr w:rsidR="00A35034" w:rsidRPr="006A01A8" w14:paraId="42BEF3CB" w14:textId="77777777" w:rsidTr="00423DF1">
        <w:tc>
          <w:tcPr>
            <w:tcW w:w="9362" w:type="dxa"/>
            <w:gridSpan w:val="3"/>
          </w:tcPr>
          <w:p w14:paraId="1F2DFFE7" w14:textId="77777777" w:rsidR="005A78BF" w:rsidRPr="006A01A8" w:rsidRDefault="005A78BF" w:rsidP="00E007AA">
            <w:pPr>
              <w:rPr>
                <w:lang w:val="en-CA"/>
              </w:rPr>
            </w:pPr>
          </w:p>
        </w:tc>
      </w:tr>
      <w:tr w:rsidR="00A35034" w:rsidRPr="006A01A8" w14:paraId="1658B20D" w14:textId="77777777" w:rsidTr="00423DF1">
        <w:tc>
          <w:tcPr>
            <w:tcW w:w="9362" w:type="dxa"/>
            <w:gridSpan w:val="3"/>
          </w:tcPr>
          <w:p w14:paraId="329B9966" w14:textId="50F1A0FC" w:rsidR="008A7BDB" w:rsidRPr="006A01A8" w:rsidRDefault="002C1928" w:rsidP="00E007AA">
            <w:pPr>
              <w:pStyle w:val="zSoquijdatNomProcureurDem"/>
              <w:rPr>
                <w:lang w:val="en-CA"/>
              </w:rPr>
            </w:pPr>
            <w:r w:rsidRPr="006A01A8">
              <w:rPr>
                <w:lang w:val="en-CA"/>
              </w:rPr>
              <w:t>Mtre Julien Gaudet-Lachapelle</w:t>
            </w:r>
          </w:p>
        </w:tc>
      </w:tr>
      <w:tr w:rsidR="00A35034" w:rsidRPr="006A01A8" w14:paraId="64F18A7F" w14:textId="77777777" w:rsidTr="00423DF1">
        <w:tc>
          <w:tcPr>
            <w:tcW w:w="9362" w:type="dxa"/>
            <w:gridSpan w:val="3"/>
          </w:tcPr>
          <w:p w14:paraId="3F1D5FD0" w14:textId="4F056342" w:rsidR="00AA5226" w:rsidRPr="006A01A8" w:rsidRDefault="002C1928" w:rsidP="00E007AA">
            <w:pPr>
              <w:pStyle w:val="zSoquijdatNomProcureurDem"/>
              <w:rPr>
                <w:lang w:val="en-CA"/>
              </w:rPr>
            </w:pPr>
            <w:r w:rsidRPr="006A01A8">
              <w:rPr>
                <w:lang w:val="en-CA"/>
              </w:rPr>
              <w:t>Mtre Nicolas Abran</w:t>
            </w:r>
          </w:p>
        </w:tc>
      </w:tr>
      <w:tr w:rsidR="00A35034" w:rsidRPr="00C52D31" w14:paraId="74A7BD33" w14:textId="77777777" w:rsidTr="00423DF1">
        <w:tc>
          <w:tcPr>
            <w:tcW w:w="9362" w:type="dxa"/>
            <w:gridSpan w:val="3"/>
          </w:tcPr>
          <w:p w14:paraId="63B367F3" w14:textId="376F2956" w:rsidR="005A78BF" w:rsidRPr="006A01A8" w:rsidRDefault="002C1928" w:rsidP="00E007AA">
            <w:pPr>
              <w:pStyle w:val="zSoquijdatCabinetProcureurDem"/>
              <w:rPr>
                <w:lang w:val="en-CA"/>
              </w:rPr>
            </w:pPr>
            <w:r w:rsidRPr="006A01A8">
              <w:rPr>
                <w:lang w:val="en-CA"/>
              </w:rPr>
              <w:t>DIRECTOR OF CRIMINAL AND PENAL PROSECUTIONS</w:t>
            </w:r>
          </w:p>
        </w:tc>
      </w:tr>
      <w:tr w:rsidR="00A35034" w:rsidRPr="006A01A8" w14:paraId="72DDF505" w14:textId="77777777" w:rsidTr="00423DF1">
        <w:tc>
          <w:tcPr>
            <w:tcW w:w="9362" w:type="dxa"/>
            <w:gridSpan w:val="3"/>
          </w:tcPr>
          <w:p w14:paraId="62124B41" w14:textId="73295B20" w:rsidR="005A78BF" w:rsidRPr="006A01A8" w:rsidRDefault="002C1928" w:rsidP="00E007AA">
            <w:pPr>
              <w:pStyle w:val="zSoquijlblProcureurDem"/>
              <w:rPr>
                <w:lang w:val="en-CA"/>
              </w:rPr>
            </w:pPr>
            <w:r w:rsidRPr="006A01A8">
              <w:rPr>
                <w:lang w:val="en-CA"/>
              </w:rPr>
              <w:t>For the Appellant</w:t>
            </w:r>
          </w:p>
        </w:tc>
      </w:tr>
      <w:tr w:rsidR="00A35034" w:rsidRPr="006A01A8" w14:paraId="521A557E" w14:textId="77777777" w:rsidTr="00423DF1">
        <w:tc>
          <w:tcPr>
            <w:tcW w:w="9362" w:type="dxa"/>
            <w:gridSpan w:val="3"/>
          </w:tcPr>
          <w:p w14:paraId="480DBD0C" w14:textId="77777777" w:rsidR="005A78BF" w:rsidRPr="006A01A8" w:rsidRDefault="005A78BF" w:rsidP="00E007AA">
            <w:pPr>
              <w:rPr>
                <w:lang w:val="en-CA"/>
              </w:rPr>
            </w:pPr>
          </w:p>
        </w:tc>
      </w:tr>
      <w:tr w:rsidR="00A35034" w:rsidRPr="006A01A8" w14:paraId="7E1D21BB" w14:textId="77777777" w:rsidTr="00423DF1">
        <w:tc>
          <w:tcPr>
            <w:tcW w:w="9362" w:type="dxa"/>
            <w:gridSpan w:val="3"/>
          </w:tcPr>
          <w:p w14:paraId="574E9E56" w14:textId="6E4CFEAC" w:rsidR="008A7BDB" w:rsidRPr="006A01A8" w:rsidRDefault="002C1928" w:rsidP="00E007AA">
            <w:pPr>
              <w:pStyle w:val="zSoquijdatNomProcureurDef"/>
              <w:rPr>
                <w:lang w:val="en-CA"/>
              </w:rPr>
            </w:pPr>
            <w:r w:rsidRPr="006A01A8">
              <w:rPr>
                <w:lang w:val="en-CA"/>
              </w:rPr>
              <w:t>Mtre Hovsep Dadaghalian</w:t>
            </w:r>
          </w:p>
        </w:tc>
      </w:tr>
      <w:tr w:rsidR="00A35034" w:rsidRPr="006A01A8" w14:paraId="32532755" w14:textId="77777777" w:rsidTr="00423DF1">
        <w:tc>
          <w:tcPr>
            <w:tcW w:w="9362" w:type="dxa"/>
            <w:gridSpan w:val="3"/>
          </w:tcPr>
          <w:p w14:paraId="3EA3F0A1" w14:textId="18C971C4" w:rsidR="005A78BF" w:rsidRPr="006A01A8" w:rsidRDefault="00B20494" w:rsidP="00E007AA">
            <w:pPr>
              <w:pStyle w:val="zSoquijdatCabinetProcureurDef"/>
              <w:rPr>
                <w:lang w:val="en-CA"/>
              </w:rPr>
            </w:pPr>
            <w:r w:rsidRPr="006A01A8">
              <w:rPr>
                <w:lang w:val="en-CA"/>
              </w:rPr>
              <w:t>BROUILLARD, JOYAL, RANCOURT &amp; AVOCATS</w:t>
            </w:r>
          </w:p>
        </w:tc>
      </w:tr>
      <w:tr w:rsidR="00A35034" w:rsidRPr="006A01A8" w14:paraId="3D0C4133" w14:textId="77777777" w:rsidTr="00423DF1">
        <w:tc>
          <w:tcPr>
            <w:tcW w:w="9362" w:type="dxa"/>
            <w:gridSpan w:val="3"/>
          </w:tcPr>
          <w:p w14:paraId="3B18AF5C" w14:textId="2C66FB73" w:rsidR="005A78BF" w:rsidRPr="006A01A8" w:rsidRDefault="002C1928" w:rsidP="00E007AA">
            <w:pPr>
              <w:pStyle w:val="zSoquijlblProcureurDef"/>
              <w:rPr>
                <w:lang w:val="en-CA"/>
              </w:rPr>
            </w:pPr>
            <w:r w:rsidRPr="006A01A8">
              <w:rPr>
                <w:lang w:val="en-CA"/>
              </w:rPr>
              <w:t>For the respondents</w:t>
            </w:r>
          </w:p>
        </w:tc>
      </w:tr>
      <w:tr w:rsidR="00A35034" w:rsidRPr="006A01A8" w14:paraId="77A00283" w14:textId="77777777" w:rsidTr="00423DF1">
        <w:tc>
          <w:tcPr>
            <w:tcW w:w="9362" w:type="dxa"/>
            <w:gridSpan w:val="3"/>
          </w:tcPr>
          <w:p w14:paraId="1A2E2722" w14:textId="77777777" w:rsidR="005A78BF" w:rsidRPr="006A01A8" w:rsidRDefault="005A78BF" w:rsidP="00E007AA">
            <w:pPr>
              <w:rPr>
                <w:lang w:val="en-CA"/>
              </w:rPr>
            </w:pPr>
          </w:p>
        </w:tc>
      </w:tr>
      <w:tr w:rsidR="00A35034" w:rsidRPr="006A01A8" w14:paraId="08654D1E" w14:textId="77777777" w:rsidTr="00423DF1">
        <w:tc>
          <w:tcPr>
            <w:tcW w:w="1997" w:type="dxa"/>
          </w:tcPr>
          <w:p w14:paraId="508D6083" w14:textId="12607558" w:rsidR="005A78BF" w:rsidRPr="006A01A8" w:rsidRDefault="002C1928" w:rsidP="00E007AA">
            <w:pPr>
              <w:pStyle w:val="zSoquijlblDateAudience"/>
              <w:rPr>
                <w:lang w:val="en-CA"/>
              </w:rPr>
            </w:pPr>
            <w:r w:rsidRPr="006A01A8">
              <w:rPr>
                <w:lang w:val="en-CA"/>
              </w:rPr>
              <w:t>Hearing date:</w:t>
            </w:r>
          </w:p>
        </w:tc>
        <w:tc>
          <w:tcPr>
            <w:tcW w:w="7365" w:type="dxa"/>
            <w:gridSpan w:val="2"/>
          </w:tcPr>
          <w:p w14:paraId="5ABC646B" w14:textId="3CF1FCF4" w:rsidR="005A78BF" w:rsidRPr="006A01A8" w:rsidRDefault="002C1928" w:rsidP="00E007AA">
            <w:pPr>
              <w:pStyle w:val="zSoquijdatDateAudience"/>
              <w:rPr>
                <w:lang w:val="en-CA"/>
              </w:rPr>
            </w:pPr>
            <w:r w:rsidRPr="006A01A8">
              <w:rPr>
                <w:lang w:val="en-CA"/>
              </w:rPr>
              <w:t>December 6, 2023</w:t>
            </w:r>
          </w:p>
        </w:tc>
      </w:tr>
    </w:tbl>
    <w:p w14:paraId="360F9115" w14:textId="77777777" w:rsidR="00CC3EEB" w:rsidRPr="006A01A8" w:rsidRDefault="00CC3EEB" w:rsidP="00E007AA">
      <w:pPr>
        <w:rPr>
          <w:lang w:val="en-CA"/>
        </w:rPr>
        <w:sectPr w:rsidR="00CC3EEB" w:rsidRPr="006A01A8" w:rsidSect="00F43559">
          <w:headerReference w:type="default" r:id="rId8"/>
          <w:footerReference w:type="default" r:id="rId9"/>
          <w:pgSz w:w="12242" w:h="15842" w:code="1"/>
          <w:pgMar w:top="1440" w:right="1008" w:bottom="1440" w:left="1872" w:header="1440" w:footer="792" w:gutter="0"/>
          <w:cols w:space="720"/>
          <w:formProt w:val="0"/>
          <w:titlePg/>
        </w:sectPr>
      </w:pPr>
      <w:bookmarkStart w:id="8" w:name="Opinion"/>
      <w:bookmarkEnd w:id="4"/>
    </w:p>
    <w:tbl>
      <w:tblPr>
        <w:tblW w:w="0" w:type="auto"/>
        <w:tblLayout w:type="fixed"/>
        <w:tblCellMar>
          <w:left w:w="0" w:type="dxa"/>
          <w:right w:w="0" w:type="dxa"/>
        </w:tblCellMar>
        <w:tblLook w:val="0000" w:firstRow="0" w:lastRow="0" w:firstColumn="0" w:lastColumn="0" w:noHBand="0" w:noVBand="0"/>
      </w:tblPr>
      <w:tblGrid>
        <w:gridCol w:w="9360"/>
      </w:tblGrid>
      <w:tr w:rsidR="00A35034" w:rsidRPr="006A01A8" w14:paraId="6321ED62" w14:textId="77777777" w:rsidTr="000A582A">
        <w:tc>
          <w:tcPr>
            <w:tcW w:w="9360" w:type="dxa"/>
            <w:tcBorders>
              <w:bottom w:val="single" w:sz="8" w:space="0" w:color="auto"/>
            </w:tcBorders>
          </w:tcPr>
          <w:p w14:paraId="6D61FC88" w14:textId="3F4B2B02" w:rsidR="00CC3EEB" w:rsidRPr="006A01A8" w:rsidRDefault="002C1928" w:rsidP="00E007AA">
            <w:pPr>
              <w:rPr>
                <w:lang w:val="en-CA"/>
              </w:rPr>
            </w:pPr>
            <w:r w:rsidRPr="006A01A8">
              <w:rPr>
                <w:lang w:val="en-CA"/>
              </w:rPr>
              <w:lastRenderedPageBreak/>
              <w:br w:type="page"/>
            </w:r>
          </w:p>
        </w:tc>
      </w:tr>
      <w:tr w:rsidR="00A35034" w:rsidRPr="006A01A8" w14:paraId="40750AB0" w14:textId="77777777" w:rsidTr="000A582A">
        <w:tc>
          <w:tcPr>
            <w:tcW w:w="9360" w:type="dxa"/>
            <w:tcBorders>
              <w:top w:val="single" w:sz="8" w:space="0" w:color="auto"/>
            </w:tcBorders>
          </w:tcPr>
          <w:p w14:paraId="279CABBC" w14:textId="77777777" w:rsidR="00CC3EEB" w:rsidRPr="006A01A8" w:rsidRDefault="00CC3EEB" w:rsidP="00E007AA">
            <w:pPr>
              <w:rPr>
                <w:lang w:val="en-CA"/>
              </w:rPr>
            </w:pPr>
          </w:p>
        </w:tc>
      </w:tr>
      <w:bookmarkStart w:id="9" w:name="MotifJuge1"/>
      <w:tr w:rsidR="00A35034" w:rsidRPr="00C52D31" w14:paraId="433E88F3" w14:textId="77777777" w:rsidTr="000A582A">
        <w:tc>
          <w:tcPr>
            <w:tcW w:w="9360" w:type="dxa"/>
          </w:tcPr>
          <w:p w14:paraId="6527CF09" w14:textId="3F0D8F77" w:rsidR="00CC3EEB" w:rsidRPr="006A01A8" w:rsidRDefault="002C1928" w:rsidP="00E007AA">
            <w:pPr>
              <w:pStyle w:val="zSoquijlblOpinionJuge"/>
              <w:rPr>
                <w:lang w:val="en-CA"/>
              </w:rPr>
            </w:pPr>
            <w:r w:rsidRPr="006A01A8">
              <w:rPr>
                <w:lang w:val="en-CA"/>
              </w:rPr>
              <w:fldChar w:fldCharType="begin"/>
            </w:r>
            <w:r w:rsidRPr="006A01A8">
              <w:rPr>
                <w:lang w:val="en-CA"/>
              </w:rPr>
              <w:instrText xml:space="preserve"> DOCVARIABLE MotifJuge1 </w:instrText>
            </w:r>
            <w:r w:rsidRPr="006A01A8">
              <w:rPr>
                <w:lang w:val="en-CA"/>
              </w:rPr>
              <w:fldChar w:fldCharType="separate"/>
            </w:r>
            <w:r w:rsidR="00962BCB">
              <w:rPr>
                <w:lang w:val="en-CA"/>
              </w:rPr>
              <w:t>REASONS OF</w:t>
            </w:r>
            <w:r w:rsidRPr="006A01A8">
              <w:rPr>
                <w:lang w:val="en-CA"/>
              </w:rPr>
              <w:fldChar w:fldCharType="end"/>
            </w:r>
            <w:bookmarkEnd w:id="9"/>
            <w:r w:rsidRPr="006A01A8">
              <w:rPr>
                <w:lang w:val="en-CA"/>
              </w:rPr>
              <w:t xml:space="preserve"> </w:t>
            </w:r>
            <w:r w:rsidR="009C1512" w:rsidRPr="006A01A8">
              <w:rPr>
                <w:lang w:val="en-CA"/>
              </w:rPr>
              <w:fldChar w:fldCharType="begin"/>
            </w:r>
            <w:r w:rsidR="009C1512" w:rsidRPr="006A01A8">
              <w:rPr>
                <w:lang w:val="en-CA"/>
              </w:rPr>
              <w:instrText xml:space="preserve"> DOCVARIABLE NomFamJuge1 </w:instrText>
            </w:r>
            <w:r w:rsidR="009C1512" w:rsidRPr="006A01A8">
              <w:rPr>
                <w:lang w:val="en-CA"/>
              </w:rPr>
              <w:fldChar w:fldCharType="separate"/>
            </w:r>
            <w:r w:rsidRPr="006A01A8">
              <w:rPr>
                <w:lang w:val="en-CA"/>
              </w:rPr>
              <w:t>VAUCLAIR</w:t>
            </w:r>
            <w:r w:rsidR="009C1512" w:rsidRPr="006A01A8">
              <w:rPr>
                <w:lang w:val="en-CA"/>
              </w:rPr>
              <w:fldChar w:fldCharType="end"/>
            </w:r>
            <w:r w:rsidR="007F6E4D">
              <w:rPr>
                <w:lang w:val="en-CA"/>
              </w:rPr>
              <w:t>,</w:t>
            </w:r>
            <w:r w:rsidR="00962BCB">
              <w:rPr>
                <w:lang w:val="en-CA"/>
              </w:rPr>
              <w:t xml:space="preserve"> J.A.</w:t>
            </w:r>
          </w:p>
        </w:tc>
      </w:tr>
      <w:tr w:rsidR="00A35034" w:rsidRPr="00C52D31" w14:paraId="3BFFBC04" w14:textId="77777777" w:rsidTr="000A582A">
        <w:tc>
          <w:tcPr>
            <w:tcW w:w="9360" w:type="dxa"/>
            <w:tcBorders>
              <w:bottom w:val="single" w:sz="8" w:space="0" w:color="auto"/>
            </w:tcBorders>
          </w:tcPr>
          <w:p w14:paraId="5118B5B5" w14:textId="77777777" w:rsidR="00CC3EEB" w:rsidRPr="006A01A8" w:rsidRDefault="00CC3EEB" w:rsidP="00E007AA">
            <w:pPr>
              <w:rPr>
                <w:lang w:val="en-CA"/>
              </w:rPr>
            </w:pPr>
          </w:p>
        </w:tc>
      </w:tr>
      <w:tr w:rsidR="00A35034" w:rsidRPr="00C52D31" w14:paraId="1D022225" w14:textId="77777777" w:rsidTr="000A582A">
        <w:tc>
          <w:tcPr>
            <w:tcW w:w="9360" w:type="dxa"/>
            <w:tcBorders>
              <w:top w:val="single" w:sz="8" w:space="0" w:color="auto"/>
            </w:tcBorders>
          </w:tcPr>
          <w:p w14:paraId="5CDCC86F" w14:textId="77777777" w:rsidR="00CC3EEB" w:rsidRPr="006A01A8" w:rsidRDefault="00CC3EEB" w:rsidP="00E007AA">
            <w:pPr>
              <w:rPr>
                <w:lang w:val="en-CA"/>
              </w:rPr>
            </w:pPr>
          </w:p>
        </w:tc>
      </w:tr>
    </w:tbl>
    <w:p w14:paraId="75E4946B" w14:textId="4B3648B7" w:rsidR="00CC3EEB" w:rsidRPr="006A01A8" w:rsidRDefault="002C1928" w:rsidP="00E007AA">
      <w:pPr>
        <w:pStyle w:val="Paragraphe"/>
        <w:spacing w:line="280" w:lineRule="exact"/>
        <w:rPr>
          <w:lang w:val="en-CA"/>
        </w:rPr>
      </w:pPr>
      <w:r w:rsidRPr="006A01A8">
        <w:rPr>
          <w:lang w:val="en-CA"/>
        </w:rPr>
        <w:t>The appellant appeals from a stay of proceedings ordered on April 8, 2022, by the Honourable Joëlle Roy</w:t>
      </w:r>
      <w:r w:rsidR="00ED2469">
        <w:rPr>
          <w:lang w:val="en-CA"/>
        </w:rPr>
        <w:t xml:space="preserve">, </w:t>
      </w:r>
      <w:r w:rsidR="00C96721">
        <w:rPr>
          <w:lang w:val="en-CA"/>
        </w:rPr>
        <w:t xml:space="preserve">J. </w:t>
      </w:r>
      <w:r w:rsidR="006D4279">
        <w:rPr>
          <w:lang w:val="en-CA"/>
        </w:rPr>
        <w:t>of the</w:t>
      </w:r>
      <w:r w:rsidRPr="006A01A8">
        <w:rPr>
          <w:lang w:val="en-CA"/>
        </w:rPr>
        <w:t xml:space="preserve"> Court of Québec, District of Montreal. In so doing, the judge </w:t>
      </w:r>
      <w:r w:rsidR="00122BC0">
        <w:rPr>
          <w:lang w:val="en-CA"/>
        </w:rPr>
        <w:t>ended</w:t>
      </w:r>
      <w:r w:rsidR="00122BC0" w:rsidRPr="006A01A8">
        <w:rPr>
          <w:lang w:val="en-CA"/>
        </w:rPr>
        <w:t xml:space="preserve"> </w:t>
      </w:r>
      <w:r w:rsidRPr="006A01A8">
        <w:rPr>
          <w:lang w:val="en-CA"/>
        </w:rPr>
        <w:t xml:space="preserve">two </w:t>
      </w:r>
      <w:r w:rsidR="00BE32F7">
        <w:rPr>
          <w:lang w:val="en-CA"/>
        </w:rPr>
        <w:t xml:space="preserve">files implicating the respondents in cases involving </w:t>
      </w:r>
      <w:r w:rsidRPr="006A01A8">
        <w:rPr>
          <w:lang w:val="en-CA"/>
        </w:rPr>
        <w:t>cybercrime and firearms</w:t>
      </w:r>
      <w:r w:rsidR="00BE32F7">
        <w:rPr>
          <w:lang w:val="en-CA"/>
        </w:rPr>
        <w:t>.</w:t>
      </w:r>
      <w:r w:rsidRPr="006A01A8">
        <w:rPr>
          <w:lang w:val="en-CA"/>
        </w:rPr>
        <w:t xml:space="preserve"> </w:t>
      </w:r>
    </w:p>
    <w:p w14:paraId="5D1EC8CD" w14:textId="3087E344" w:rsidR="00CC3EEB" w:rsidRPr="006A01A8" w:rsidRDefault="002C1928" w:rsidP="00E007AA">
      <w:pPr>
        <w:pStyle w:val="Paragraphe"/>
        <w:spacing w:line="280" w:lineRule="exact"/>
        <w:rPr>
          <w:lang w:val="en-CA"/>
        </w:rPr>
      </w:pPr>
      <w:r w:rsidRPr="006A01A8">
        <w:rPr>
          <w:lang w:val="en-CA"/>
        </w:rPr>
        <w:t xml:space="preserve">The charges </w:t>
      </w:r>
      <w:r w:rsidR="00D14A22">
        <w:rPr>
          <w:lang w:val="en-CA"/>
        </w:rPr>
        <w:t>stem from</w:t>
      </w:r>
      <w:r w:rsidRPr="006A01A8">
        <w:rPr>
          <w:lang w:val="en-CA"/>
        </w:rPr>
        <w:t xml:space="preserve"> a police investigation that began in January 2017 and searches performed in August 2018. An arrest warrant was issued in January 2020.</w:t>
      </w:r>
    </w:p>
    <w:p w14:paraId="010A4B1A" w14:textId="4960B534" w:rsidR="00CC3EEB" w:rsidRPr="006A01A8" w:rsidRDefault="002C1928" w:rsidP="00E007AA">
      <w:pPr>
        <w:pStyle w:val="Paragraphe"/>
        <w:spacing w:line="280" w:lineRule="exact"/>
        <w:rPr>
          <w:lang w:val="en-CA"/>
        </w:rPr>
      </w:pPr>
      <w:r w:rsidRPr="006A01A8">
        <w:rPr>
          <w:lang w:val="en-CA"/>
        </w:rPr>
        <w:t xml:space="preserve">The </w:t>
      </w:r>
      <w:r w:rsidR="00584CED">
        <w:rPr>
          <w:lang w:val="en-CA"/>
        </w:rPr>
        <w:t>files</w:t>
      </w:r>
      <w:r w:rsidR="00584CED" w:rsidRPr="006A01A8">
        <w:rPr>
          <w:lang w:val="en-CA"/>
        </w:rPr>
        <w:t xml:space="preserve"> </w:t>
      </w:r>
      <w:r w:rsidRPr="006A01A8">
        <w:rPr>
          <w:lang w:val="en-CA"/>
        </w:rPr>
        <w:t xml:space="preserve">have </w:t>
      </w:r>
      <w:r w:rsidR="00ED2469">
        <w:rPr>
          <w:lang w:val="en-CA"/>
        </w:rPr>
        <w:t>followed</w:t>
      </w:r>
      <w:r w:rsidRPr="006A01A8">
        <w:rPr>
          <w:lang w:val="en-CA"/>
        </w:rPr>
        <w:t xml:space="preserve"> a chaotic </w:t>
      </w:r>
      <w:r w:rsidR="00ED2469">
        <w:rPr>
          <w:lang w:val="en-CA"/>
        </w:rPr>
        <w:t>course</w:t>
      </w:r>
      <w:r w:rsidRPr="006A01A8">
        <w:rPr>
          <w:lang w:val="en-CA"/>
        </w:rPr>
        <w:t xml:space="preserve">. </w:t>
      </w:r>
      <w:r w:rsidR="0026259D">
        <w:rPr>
          <w:lang w:val="en-CA"/>
        </w:rPr>
        <w:t>No sooner had they begun</w:t>
      </w:r>
      <w:r w:rsidRPr="006A01A8">
        <w:rPr>
          <w:lang w:val="en-CA"/>
        </w:rPr>
        <w:t xml:space="preserve"> when the </w:t>
      </w:r>
      <w:r w:rsidR="000B662C">
        <w:rPr>
          <w:lang w:val="en-CA"/>
        </w:rPr>
        <w:t xml:space="preserve">public </w:t>
      </w:r>
      <w:r w:rsidR="00584CED">
        <w:rPr>
          <w:lang w:val="en-CA"/>
        </w:rPr>
        <w:t>health</w:t>
      </w:r>
      <w:r w:rsidR="00584CED" w:rsidRPr="006A01A8">
        <w:rPr>
          <w:lang w:val="en-CA"/>
        </w:rPr>
        <w:t xml:space="preserve"> </w:t>
      </w:r>
      <w:r w:rsidRPr="006A01A8">
        <w:rPr>
          <w:lang w:val="en-CA"/>
        </w:rPr>
        <w:t xml:space="preserve">measures and the closure of the courts were ordered due to the COVID-19 pandemic. During the debate on the motion to stay proceedings, the appellant adduced evidence to explain </w:t>
      </w:r>
      <w:r w:rsidR="00D14A22">
        <w:rPr>
          <w:lang w:val="en-CA"/>
        </w:rPr>
        <w:t>to the judge</w:t>
      </w:r>
      <w:r w:rsidR="00D14A22" w:rsidRPr="006A01A8">
        <w:rPr>
          <w:lang w:val="en-CA"/>
        </w:rPr>
        <w:t xml:space="preserve"> </w:t>
      </w:r>
      <w:r w:rsidRPr="006A01A8">
        <w:rPr>
          <w:lang w:val="en-CA"/>
        </w:rPr>
        <w:t xml:space="preserve">the challenges created by these circumstances and </w:t>
      </w:r>
      <w:r w:rsidR="007721AD">
        <w:rPr>
          <w:lang w:val="en-CA"/>
        </w:rPr>
        <w:t>their</w:t>
      </w:r>
      <w:r w:rsidRPr="006A01A8">
        <w:rPr>
          <w:lang w:val="en-CA"/>
        </w:rPr>
        <w:t xml:space="preserve"> impact on the delays. The judge determined that the delays exceed</w:t>
      </w:r>
      <w:r w:rsidR="003562AD" w:rsidRPr="006A01A8">
        <w:rPr>
          <w:lang w:val="en-CA"/>
        </w:rPr>
        <w:t>ed</w:t>
      </w:r>
      <w:r w:rsidRPr="006A01A8">
        <w:rPr>
          <w:lang w:val="en-CA"/>
        </w:rPr>
        <w:t xml:space="preserve"> the 18-month ceiling established in </w:t>
      </w:r>
      <w:r w:rsidRPr="006A01A8">
        <w:rPr>
          <w:i/>
          <w:lang w:val="en-CA"/>
        </w:rPr>
        <w:t>Jordan</w:t>
      </w:r>
      <w:r w:rsidRPr="006A01A8">
        <w:rPr>
          <w:lang w:val="en-CA"/>
        </w:rPr>
        <w:t xml:space="preserve">. According to her, the defence was not responsible for any delay. She concluded that no exceptional circumstance, </w:t>
      </w:r>
      <w:r w:rsidR="008C7F08">
        <w:rPr>
          <w:lang w:val="en-CA"/>
        </w:rPr>
        <w:t>including</w:t>
      </w:r>
      <w:r w:rsidR="003562AD" w:rsidRPr="006A01A8">
        <w:rPr>
          <w:lang w:val="en-CA"/>
        </w:rPr>
        <w:t xml:space="preserve"> </w:t>
      </w:r>
      <w:r w:rsidRPr="006A01A8">
        <w:rPr>
          <w:lang w:val="en-CA"/>
        </w:rPr>
        <w:t>the pandemic, had contributed to exceeding the ceiling.</w:t>
      </w:r>
    </w:p>
    <w:p w14:paraId="02EFC3C5" w14:textId="63AABCB7" w:rsidR="00CC3EEB" w:rsidRPr="006A01A8" w:rsidRDefault="002C1928" w:rsidP="00E007AA">
      <w:pPr>
        <w:pStyle w:val="Paragraphe"/>
        <w:spacing w:line="280" w:lineRule="exact"/>
        <w:rPr>
          <w:lang w:val="en-CA"/>
        </w:rPr>
      </w:pPr>
      <w:r w:rsidRPr="006A01A8">
        <w:rPr>
          <w:lang w:val="en-CA"/>
        </w:rPr>
        <w:t>On appe</w:t>
      </w:r>
      <w:r w:rsidR="0026259D">
        <w:rPr>
          <w:lang w:val="en-CA"/>
        </w:rPr>
        <w:t>a</w:t>
      </w:r>
      <w:r w:rsidRPr="006A01A8">
        <w:rPr>
          <w:lang w:val="en-CA"/>
        </w:rPr>
        <w:t xml:space="preserve">l, the Crown </w:t>
      </w:r>
      <w:r w:rsidR="0061703D">
        <w:rPr>
          <w:lang w:val="en-CA"/>
        </w:rPr>
        <w:t>challenged</w:t>
      </w:r>
      <w:r w:rsidRPr="006A01A8">
        <w:rPr>
          <w:lang w:val="en-CA"/>
        </w:rPr>
        <w:t xml:space="preserve"> the characterization of the </w:t>
      </w:r>
      <w:r w:rsidRPr="00C90FE0">
        <w:rPr>
          <w:lang w:val="en-CA"/>
        </w:rPr>
        <w:t>delays</w:t>
      </w:r>
      <w:r w:rsidRPr="006A01A8">
        <w:rPr>
          <w:lang w:val="en-CA"/>
        </w:rPr>
        <w:t xml:space="preserve">, the conclusion on the complexity of the </w:t>
      </w:r>
      <w:r w:rsidR="00E6530E">
        <w:rPr>
          <w:lang w:val="en-CA"/>
        </w:rPr>
        <w:t>case</w:t>
      </w:r>
      <w:r w:rsidRPr="006A01A8">
        <w:rPr>
          <w:lang w:val="en-CA"/>
        </w:rPr>
        <w:t xml:space="preserve">, and the </w:t>
      </w:r>
      <w:r w:rsidR="00E6530E">
        <w:rPr>
          <w:lang w:val="en-CA"/>
        </w:rPr>
        <w:t>finding</w:t>
      </w:r>
      <w:r w:rsidR="00E6530E" w:rsidRPr="006A01A8">
        <w:rPr>
          <w:lang w:val="en-CA"/>
        </w:rPr>
        <w:t xml:space="preserve"> </w:t>
      </w:r>
      <w:r w:rsidRPr="006A01A8">
        <w:rPr>
          <w:lang w:val="en-CA"/>
        </w:rPr>
        <w:t xml:space="preserve">that there was no evidence that the pandemic affected the orderly </w:t>
      </w:r>
      <w:r w:rsidR="00122BC0">
        <w:rPr>
          <w:lang w:val="en-CA"/>
        </w:rPr>
        <w:t>conduct</w:t>
      </w:r>
      <w:r w:rsidR="00122BC0" w:rsidRPr="006A01A8">
        <w:rPr>
          <w:lang w:val="en-CA"/>
        </w:rPr>
        <w:t xml:space="preserve"> </w:t>
      </w:r>
      <w:r w:rsidRPr="006A01A8">
        <w:rPr>
          <w:lang w:val="en-CA"/>
        </w:rPr>
        <w:t>of the case.</w:t>
      </w:r>
    </w:p>
    <w:p w14:paraId="43360D32" w14:textId="127C0CB7" w:rsidR="00CC3EEB" w:rsidRPr="006A01A8" w:rsidRDefault="002C1928" w:rsidP="00E007AA">
      <w:pPr>
        <w:pStyle w:val="Paragraphe"/>
        <w:spacing w:line="280" w:lineRule="exact"/>
        <w:rPr>
          <w:lang w:val="en-CA"/>
        </w:rPr>
      </w:pPr>
      <w:r w:rsidRPr="006A01A8">
        <w:rPr>
          <w:lang w:val="en-CA"/>
        </w:rPr>
        <w:t xml:space="preserve">At the end of the hearing, the Court asked the parties for observations on the appropriateness of </w:t>
      </w:r>
      <w:r w:rsidR="00415FE6">
        <w:rPr>
          <w:lang w:val="en-CA"/>
        </w:rPr>
        <w:t>establishing</w:t>
      </w:r>
      <w:r w:rsidR="00415FE6" w:rsidRPr="006A01A8">
        <w:rPr>
          <w:lang w:val="en-CA"/>
        </w:rPr>
        <w:t xml:space="preserve"> </w:t>
      </w:r>
      <w:r w:rsidRPr="006A01A8">
        <w:rPr>
          <w:lang w:val="en-CA"/>
        </w:rPr>
        <w:t>a presumptive delay to</w:t>
      </w:r>
      <w:r w:rsidR="007721AD">
        <w:rPr>
          <w:lang w:val="en-CA"/>
        </w:rPr>
        <w:t xml:space="preserve"> account for</w:t>
      </w:r>
      <w:r w:rsidRPr="006A01A8">
        <w:rPr>
          <w:lang w:val="en-CA"/>
        </w:rPr>
        <w:t xml:space="preserve"> the pandemic</w:t>
      </w:r>
      <w:r w:rsidR="00EE69A6" w:rsidRPr="006A01A8">
        <w:rPr>
          <w:lang w:val="en-CA"/>
        </w:rPr>
        <w:t>’s effect</w:t>
      </w:r>
      <w:r w:rsidRPr="006A01A8">
        <w:rPr>
          <w:lang w:val="en-CA"/>
        </w:rPr>
        <w:t xml:space="preserve"> on the progress</w:t>
      </w:r>
      <w:r w:rsidR="00415FE6">
        <w:rPr>
          <w:lang w:val="en-CA"/>
        </w:rPr>
        <w:t>ion</w:t>
      </w:r>
      <w:r w:rsidRPr="006A01A8">
        <w:rPr>
          <w:lang w:val="en-CA"/>
        </w:rPr>
        <w:t xml:space="preserve"> of the cases after the courts </w:t>
      </w:r>
      <w:r w:rsidR="008C0B43">
        <w:rPr>
          <w:lang w:val="en-CA"/>
        </w:rPr>
        <w:t>reopened</w:t>
      </w:r>
      <w:r w:rsidRPr="006A01A8">
        <w:rPr>
          <w:lang w:val="en-CA"/>
        </w:rPr>
        <w:t xml:space="preserve">. Although the idea developed following the hearing of three appeals seemed </w:t>
      </w:r>
      <w:r w:rsidR="006F5D13">
        <w:rPr>
          <w:lang w:val="en-CA"/>
        </w:rPr>
        <w:t>worthwhile</w:t>
      </w:r>
      <w:r w:rsidRPr="006A01A8">
        <w:rPr>
          <w:lang w:val="en-CA"/>
        </w:rPr>
        <w:t xml:space="preserve">, in the end I </w:t>
      </w:r>
      <w:r w:rsidR="007721AD">
        <w:rPr>
          <w:lang w:val="en-CA"/>
        </w:rPr>
        <w:t xml:space="preserve">am of the view </w:t>
      </w:r>
      <w:r w:rsidRPr="006A01A8">
        <w:rPr>
          <w:lang w:val="en-CA"/>
        </w:rPr>
        <w:t xml:space="preserve">that it </w:t>
      </w:r>
      <w:r w:rsidR="00415FE6">
        <w:rPr>
          <w:lang w:val="en-CA"/>
        </w:rPr>
        <w:t xml:space="preserve">is </w:t>
      </w:r>
      <w:r w:rsidR="00DC2B86">
        <w:rPr>
          <w:lang w:val="en-CA"/>
        </w:rPr>
        <w:t>in</w:t>
      </w:r>
      <w:r w:rsidRPr="006A01A8">
        <w:rPr>
          <w:lang w:val="en-CA"/>
        </w:rPr>
        <w:t>appropriate to do so, for the reasons</w:t>
      </w:r>
      <w:r w:rsidR="00415FE6">
        <w:rPr>
          <w:lang w:val="en-CA"/>
        </w:rPr>
        <w:t xml:space="preserve"> provided</w:t>
      </w:r>
      <w:r w:rsidRPr="006A01A8">
        <w:rPr>
          <w:lang w:val="en-CA"/>
        </w:rPr>
        <w:t xml:space="preserve"> below.   </w:t>
      </w:r>
    </w:p>
    <w:p w14:paraId="0BA51816" w14:textId="2D489EB5" w:rsidR="00CC3EEB" w:rsidRPr="006A01A8" w:rsidRDefault="002C1928" w:rsidP="00E007AA">
      <w:pPr>
        <w:pStyle w:val="Paragraphe"/>
        <w:spacing w:line="280" w:lineRule="exact"/>
        <w:rPr>
          <w:lang w:val="en-CA"/>
        </w:rPr>
      </w:pPr>
      <w:r w:rsidRPr="006A01A8">
        <w:rPr>
          <w:lang w:val="en-CA"/>
        </w:rPr>
        <w:t>The appeal focusse</w:t>
      </w:r>
      <w:r w:rsidR="00415FE6">
        <w:rPr>
          <w:lang w:val="en-CA"/>
        </w:rPr>
        <w:t>s</w:t>
      </w:r>
      <w:r w:rsidRPr="006A01A8">
        <w:rPr>
          <w:lang w:val="en-CA"/>
        </w:rPr>
        <w:t xml:space="preserve"> on the delays. Accordingly, only the procedural context is </w:t>
      </w:r>
      <w:r w:rsidR="00415FE6">
        <w:rPr>
          <w:lang w:val="en-CA"/>
        </w:rPr>
        <w:t>relevant</w:t>
      </w:r>
      <w:r w:rsidR="0026259D">
        <w:rPr>
          <w:lang w:val="en-CA"/>
        </w:rPr>
        <w:t>,</w:t>
      </w:r>
      <w:r w:rsidRPr="006A01A8">
        <w:rPr>
          <w:lang w:val="en-CA"/>
        </w:rPr>
        <w:t xml:space="preserve"> and I will leave aside the specific facts relating to the offences. A summary of the judgment under appeal is </w:t>
      </w:r>
      <w:r w:rsidR="000066FD">
        <w:rPr>
          <w:lang w:val="en-CA"/>
        </w:rPr>
        <w:t>required</w:t>
      </w:r>
      <w:r w:rsidRPr="006A01A8">
        <w:rPr>
          <w:lang w:val="en-CA"/>
        </w:rPr>
        <w:t>.</w:t>
      </w:r>
    </w:p>
    <w:p w14:paraId="5799B1D9" w14:textId="27C515FB" w:rsidR="00CC3EEB" w:rsidRPr="006A01A8" w:rsidRDefault="002C1928" w:rsidP="00E007AA">
      <w:pPr>
        <w:pStyle w:val="JgtPositionniv1"/>
        <w:spacing w:line="280" w:lineRule="exact"/>
        <w:rPr>
          <w:lang w:val="en-CA"/>
        </w:rPr>
      </w:pPr>
      <w:r w:rsidRPr="006A01A8">
        <w:rPr>
          <w:lang w:val="en-CA"/>
        </w:rPr>
        <w:t>The trial judgment: 2022 QCCQ 1843</w:t>
      </w:r>
    </w:p>
    <w:p w14:paraId="3E48B1F7" w14:textId="7D63DF57" w:rsidR="00CC3EEB" w:rsidRPr="006A01A8" w:rsidRDefault="00E32BF8" w:rsidP="00E007AA">
      <w:pPr>
        <w:pStyle w:val="Paragraphe"/>
        <w:spacing w:line="280" w:lineRule="exact"/>
        <w:rPr>
          <w:lang w:val="en-CA"/>
        </w:rPr>
      </w:pPr>
      <w:r>
        <w:rPr>
          <w:lang w:val="en-CA"/>
        </w:rPr>
        <w:t>The</w:t>
      </w:r>
      <w:r w:rsidR="002C1928" w:rsidRPr="006A01A8">
        <w:rPr>
          <w:lang w:val="en-CA"/>
        </w:rPr>
        <w:t xml:space="preserve"> main points of the trial judge’s reasoning</w:t>
      </w:r>
      <w:r>
        <w:rPr>
          <w:lang w:val="en-CA"/>
        </w:rPr>
        <w:t xml:space="preserve"> are reproduced below</w:t>
      </w:r>
      <w:r w:rsidR="002C1928" w:rsidRPr="006A01A8">
        <w:rPr>
          <w:lang w:val="en-CA"/>
        </w:rPr>
        <w:t xml:space="preserve">. </w:t>
      </w:r>
    </w:p>
    <w:p w14:paraId="05E02C4C" w14:textId="255AD120" w:rsidR="00CC3EEB" w:rsidRPr="006A01A8" w:rsidRDefault="002C1928" w:rsidP="003264B6">
      <w:pPr>
        <w:pStyle w:val="Paragraphe"/>
        <w:keepNext/>
        <w:keepLines/>
        <w:spacing w:line="280" w:lineRule="exact"/>
        <w:rPr>
          <w:lang w:val="en-CA"/>
        </w:rPr>
      </w:pPr>
      <w:r w:rsidRPr="006A01A8">
        <w:rPr>
          <w:lang w:val="en-CA"/>
        </w:rPr>
        <w:lastRenderedPageBreak/>
        <w:t xml:space="preserve">First, the judge </w:t>
      </w:r>
      <w:r w:rsidR="00961D5D">
        <w:rPr>
          <w:lang w:val="en-CA"/>
        </w:rPr>
        <w:t>determined that</w:t>
      </w:r>
      <w:r w:rsidR="00961D5D" w:rsidRPr="006A01A8">
        <w:rPr>
          <w:lang w:val="en-CA"/>
        </w:rPr>
        <w:t xml:space="preserve"> </w:t>
      </w:r>
      <w:r w:rsidRPr="006A01A8">
        <w:rPr>
          <w:lang w:val="en-CA"/>
        </w:rPr>
        <w:t xml:space="preserve">the starting point for all the </w:t>
      </w:r>
      <w:r w:rsidR="00122BC0">
        <w:rPr>
          <w:lang w:val="en-CA"/>
        </w:rPr>
        <w:t>files</w:t>
      </w:r>
      <w:r w:rsidR="00122BC0" w:rsidRPr="006A01A8">
        <w:rPr>
          <w:lang w:val="en-CA"/>
        </w:rPr>
        <w:t xml:space="preserve"> </w:t>
      </w:r>
      <w:r w:rsidR="00122BC0">
        <w:rPr>
          <w:lang w:val="en-CA"/>
        </w:rPr>
        <w:t xml:space="preserve">is </w:t>
      </w:r>
      <w:r w:rsidR="00EE69A6" w:rsidRPr="006A01A8">
        <w:rPr>
          <w:lang w:val="en-CA"/>
        </w:rPr>
        <w:t>in</w:t>
      </w:r>
      <w:r w:rsidRPr="006A01A8">
        <w:rPr>
          <w:lang w:val="en-CA"/>
        </w:rPr>
        <w:t xml:space="preserve"> January 2020. On September 3, 2021, the</w:t>
      </w:r>
      <w:r w:rsidR="00E32BF8">
        <w:rPr>
          <w:lang w:val="en-CA"/>
        </w:rPr>
        <w:t xml:space="preserve"> </w:t>
      </w:r>
      <w:r w:rsidRPr="006A01A8">
        <w:rPr>
          <w:lang w:val="en-CA"/>
        </w:rPr>
        <w:t>dates were chosen for the trial</w:t>
      </w:r>
      <w:r w:rsidR="007222D6">
        <w:rPr>
          <w:lang w:val="en-CA"/>
        </w:rPr>
        <w:t>,</w:t>
      </w:r>
      <w:r w:rsidRPr="006A01A8">
        <w:rPr>
          <w:lang w:val="en-CA"/>
        </w:rPr>
        <w:t xml:space="preserve"> which was to end in July 2022. The judge determined that the applicable ceiling was 18 months and therefore </w:t>
      </w:r>
      <w:r w:rsidR="00E32BF8">
        <w:rPr>
          <w:lang w:val="en-CA"/>
        </w:rPr>
        <w:t xml:space="preserve">that </w:t>
      </w:r>
      <w:r w:rsidRPr="006A01A8">
        <w:rPr>
          <w:lang w:val="en-CA"/>
        </w:rPr>
        <w:t>the ceiling had been exceeded by approximately 12 months.</w:t>
      </w:r>
    </w:p>
    <w:p w14:paraId="041011BE" w14:textId="00F97039" w:rsidR="00CC3EEB" w:rsidRPr="006A01A8" w:rsidRDefault="002C1928" w:rsidP="00E007AA">
      <w:pPr>
        <w:pStyle w:val="Paragraphe"/>
        <w:spacing w:line="280" w:lineRule="exact"/>
        <w:rPr>
          <w:lang w:val="en-CA"/>
        </w:rPr>
      </w:pPr>
      <w:r w:rsidRPr="006A01A8">
        <w:rPr>
          <w:lang w:val="en-CA"/>
        </w:rPr>
        <w:t xml:space="preserve">In </w:t>
      </w:r>
      <w:r w:rsidR="00122BC0">
        <w:rPr>
          <w:lang w:val="en-CA"/>
        </w:rPr>
        <w:t>this context</w:t>
      </w:r>
      <w:r w:rsidRPr="006A01A8">
        <w:rPr>
          <w:lang w:val="en-CA"/>
        </w:rPr>
        <w:t xml:space="preserve">, </w:t>
      </w:r>
      <w:r w:rsidR="00BE32F7" w:rsidRPr="006A01A8">
        <w:rPr>
          <w:lang w:val="en-CA"/>
        </w:rPr>
        <w:t xml:space="preserve">the judge </w:t>
      </w:r>
      <w:r w:rsidRPr="006A01A8">
        <w:rPr>
          <w:lang w:val="en-CA"/>
        </w:rPr>
        <w:t>insisted</w:t>
      </w:r>
      <w:r w:rsidR="00122BC0">
        <w:rPr>
          <w:lang w:val="en-CA"/>
        </w:rPr>
        <w:t xml:space="preserve"> in her judgment</w:t>
      </w:r>
      <w:r w:rsidRPr="006A01A8">
        <w:rPr>
          <w:lang w:val="en-CA"/>
        </w:rPr>
        <w:t xml:space="preserve"> on </w:t>
      </w:r>
      <w:r w:rsidR="00BE32F7">
        <w:rPr>
          <w:lang w:val="en-CA"/>
        </w:rPr>
        <w:t xml:space="preserve">the </w:t>
      </w:r>
      <w:r w:rsidRPr="006A01A8">
        <w:rPr>
          <w:lang w:val="en-CA"/>
        </w:rPr>
        <w:t xml:space="preserve">lack of a concrete prosecution plan to </w:t>
      </w:r>
      <w:r w:rsidR="005709EE">
        <w:rPr>
          <w:lang w:val="en-CA"/>
        </w:rPr>
        <w:t>complete</w:t>
      </w:r>
      <w:r w:rsidR="005709EE" w:rsidRPr="006A01A8">
        <w:rPr>
          <w:lang w:val="en-CA"/>
        </w:rPr>
        <w:t xml:space="preserve"> </w:t>
      </w:r>
      <w:r w:rsidRPr="006A01A8">
        <w:rPr>
          <w:lang w:val="en-CA"/>
        </w:rPr>
        <w:t xml:space="preserve">a trial </w:t>
      </w:r>
      <w:r w:rsidR="00942D5F">
        <w:rPr>
          <w:lang w:val="en-CA"/>
        </w:rPr>
        <w:t>concerning</w:t>
      </w:r>
      <w:r w:rsidRPr="006A01A8">
        <w:rPr>
          <w:lang w:val="en-CA"/>
        </w:rPr>
        <w:t xml:space="preserve"> charges to which the 18-month ceiling clearly </w:t>
      </w:r>
      <w:r w:rsidR="0026259D" w:rsidRPr="006A01A8">
        <w:rPr>
          <w:lang w:val="en-CA"/>
        </w:rPr>
        <w:t>applied,</w:t>
      </w:r>
      <w:r w:rsidRPr="006A01A8">
        <w:rPr>
          <w:lang w:val="en-CA"/>
        </w:rPr>
        <w:t xml:space="preserve"> and which </w:t>
      </w:r>
      <w:r w:rsidR="00942D5F">
        <w:rPr>
          <w:lang w:val="en-CA"/>
        </w:rPr>
        <w:t>resulted from</w:t>
      </w:r>
      <w:r w:rsidRPr="006A01A8">
        <w:rPr>
          <w:lang w:val="en-CA"/>
        </w:rPr>
        <w:t xml:space="preserve"> a police investigation </w:t>
      </w:r>
      <w:r w:rsidR="005709EE">
        <w:rPr>
          <w:lang w:val="en-CA"/>
        </w:rPr>
        <w:t xml:space="preserve">that </w:t>
      </w:r>
      <w:r w:rsidRPr="006A01A8">
        <w:rPr>
          <w:lang w:val="en-CA"/>
        </w:rPr>
        <w:t>beg</w:t>
      </w:r>
      <w:r w:rsidR="00961D5D">
        <w:rPr>
          <w:lang w:val="en-CA"/>
        </w:rPr>
        <w:t>a</w:t>
      </w:r>
      <w:r w:rsidRPr="006A01A8">
        <w:rPr>
          <w:lang w:val="en-CA"/>
        </w:rPr>
        <w:t xml:space="preserve">n in 2017. It </w:t>
      </w:r>
      <w:r w:rsidR="005709EE">
        <w:rPr>
          <w:lang w:val="en-CA"/>
        </w:rPr>
        <w:t>appeared</w:t>
      </w:r>
      <w:r w:rsidR="005709EE" w:rsidRPr="006A01A8">
        <w:rPr>
          <w:lang w:val="en-CA"/>
        </w:rPr>
        <w:t xml:space="preserve"> </w:t>
      </w:r>
      <w:r w:rsidRPr="006A01A8">
        <w:rPr>
          <w:lang w:val="en-CA"/>
        </w:rPr>
        <w:t xml:space="preserve">clear to the judge that the </w:t>
      </w:r>
      <w:r w:rsidR="00FA29F6">
        <w:rPr>
          <w:lang w:val="en-CA"/>
        </w:rPr>
        <w:t>ceiling</w:t>
      </w:r>
      <w:r w:rsidRPr="006A01A8">
        <w:rPr>
          <w:lang w:val="en-CA"/>
        </w:rPr>
        <w:t xml:space="preserve"> was 18 months</w:t>
      </w:r>
      <w:r w:rsidR="00942D5F" w:rsidRPr="00942D5F">
        <w:rPr>
          <w:lang w:val="en-CA"/>
        </w:rPr>
        <w:t xml:space="preserve"> </w:t>
      </w:r>
      <w:r w:rsidR="00942D5F">
        <w:rPr>
          <w:lang w:val="en-CA"/>
        </w:rPr>
        <w:t xml:space="preserve">even </w:t>
      </w:r>
      <w:r w:rsidR="00942D5F" w:rsidRPr="006A01A8">
        <w:rPr>
          <w:lang w:val="en-CA"/>
        </w:rPr>
        <w:t>before proceedings began</w:t>
      </w:r>
      <w:r w:rsidRPr="006A01A8">
        <w:rPr>
          <w:lang w:val="en-CA"/>
        </w:rPr>
        <w:t xml:space="preserve">. This </w:t>
      </w:r>
      <w:r w:rsidR="005709EE">
        <w:rPr>
          <w:lang w:val="en-CA"/>
        </w:rPr>
        <w:t>propos</w:t>
      </w:r>
      <w:r w:rsidR="00B164CC">
        <w:rPr>
          <w:lang w:val="en-CA"/>
        </w:rPr>
        <w:t>al</w:t>
      </w:r>
      <w:r w:rsidR="005709EE" w:rsidRPr="006A01A8">
        <w:rPr>
          <w:lang w:val="en-CA"/>
        </w:rPr>
        <w:t xml:space="preserve"> </w:t>
      </w:r>
      <w:r w:rsidRPr="006A01A8">
        <w:rPr>
          <w:lang w:val="en-CA"/>
        </w:rPr>
        <w:t xml:space="preserve">is </w:t>
      </w:r>
      <w:r w:rsidR="004E24A8" w:rsidRPr="006A01A8">
        <w:rPr>
          <w:lang w:val="en-CA"/>
        </w:rPr>
        <w:t>debatable</w:t>
      </w:r>
      <w:r w:rsidR="004E24A8">
        <w:rPr>
          <w:lang w:val="en-CA"/>
        </w:rPr>
        <w:t>.</w:t>
      </w:r>
      <w:r w:rsidRPr="006A01A8">
        <w:rPr>
          <w:lang w:val="en-CA"/>
        </w:rPr>
        <w:t xml:space="preserve"> I will return to it.</w:t>
      </w:r>
    </w:p>
    <w:p w14:paraId="778546FD" w14:textId="564A63AA" w:rsidR="00CC3EEB" w:rsidRPr="006A01A8" w:rsidRDefault="002C1928" w:rsidP="00E007AA">
      <w:pPr>
        <w:pStyle w:val="Paragraphe"/>
        <w:spacing w:line="280" w:lineRule="exact"/>
        <w:rPr>
          <w:lang w:val="en-CA"/>
        </w:rPr>
      </w:pPr>
      <w:r w:rsidRPr="006A01A8">
        <w:rPr>
          <w:lang w:val="en-CA"/>
        </w:rPr>
        <w:t xml:space="preserve">The judge then assessed the evidence presented by the appellant. The director of the Direction de la performance et de l’intelligence d’affaires </w:t>
      </w:r>
      <w:r w:rsidR="00A60AD9">
        <w:rPr>
          <w:lang w:val="en-CA"/>
        </w:rPr>
        <w:t xml:space="preserve">at the </w:t>
      </w:r>
      <w:r w:rsidR="00B164CC" w:rsidRPr="00A32AD3">
        <w:rPr>
          <w:lang w:val="en-CA"/>
        </w:rPr>
        <w:t>M</w:t>
      </w:r>
      <w:r w:rsidR="00A60AD9" w:rsidRPr="00A32AD3">
        <w:rPr>
          <w:lang w:val="en-CA"/>
        </w:rPr>
        <w:t>inistère de la Justice du Québec</w:t>
      </w:r>
      <w:r w:rsidR="00A60AD9" w:rsidRPr="00A60AD9" w:rsidDel="00A60AD9">
        <w:rPr>
          <w:lang w:val="en-CA"/>
        </w:rPr>
        <w:t xml:space="preserve"> </w:t>
      </w:r>
      <w:r w:rsidRPr="006A01A8">
        <w:rPr>
          <w:lang w:val="en-CA"/>
        </w:rPr>
        <w:t>explained general statistical tables concerning five different judicial districts.</w:t>
      </w:r>
      <w:r w:rsidRPr="006A01A8">
        <w:rPr>
          <w:rFonts w:cs="Arial"/>
          <w:color w:val="000000"/>
          <w:lang w:val="en-CA"/>
        </w:rPr>
        <w:t xml:space="preserve"> </w:t>
      </w:r>
      <w:r w:rsidR="00273D1A">
        <w:rPr>
          <w:rFonts w:cs="Arial"/>
          <w:color w:val="000000"/>
          <w:lang w:val="en-CA"/>
        </w:rPr>
        <w:t>In t</w:t>
      </w:r>
      <w:r w:rsidRPr="006A01A8">
        <w:rPr>
          <w:rFonts w:cs="Arial"/>
          <w:color w:val="000000"/>
          <w:lang w:val="en-CA"/>
        </w:rPr>
        <w:t>he judge</w:t>
      </w:r>
      <w:r w:rsidR="00273D1A">
        <w:rPr>
          <w:rFonts w:cs="Arial"/>
          <w:color w:val="000000"/>
          <w:lang w:val="en-CA"/>
        </w:rPr>
        <w:t>’s view,</w:t>
      </w:r>
      <w:r w:rsidRPr="006A01A8">
        <w:rPr>
          <w:rFonts w:cs="Arial"/>
          <w:color w:val="000000"/>
          <w:lang w:val="en-CA"/>
        </w:rPr>
        <w:t xml:space="preserve"> the tables </w:t>
      </w:r>
      <w:r w:rsidR="00711DEC">
        <w:rPr>
          <w:rFonts w:cs="Arial"/>
          <w:color w:val="000000"/>
          <w:lang w:val="en-CA"/>
        </w:rPr>
        <w:t>[</w:t>
      </w:r>
      <w:r w:rsidRPr="00711DEC">
        <w:rPr>
          <w:rFonts w:cs="Arial"/>
          <w:smallCaps/>
          <w:color w:val="000000"/>
          <w:lang w:val="en-CA"/>
        </w:rPr>
        <w:t>translation</w:t>
      </w:r>
      <w:r w:rsidR="00711DEC">
        <w:rPr>
          <w:rFonts w:cs="Arial"/>
          <w:smallCaps/>
          <w:color w:val="000000"/>
          <w:lang w:val="en-CA"/>
        </w:rPr>
        <w:t>]</w:t>
      </w:r>
      <w:r w:rsidRPr="006A01A8">
        <w:rPr>
          <w:rFonts w:cs="Arial"/>
          <w:color w:val="000000"/>
          <w:lang w:val="en-CA"/>
        </w:rPr>
        <w:t xml:space="preserve"> “do not consider a multitude of human, administrative and day-to-day factors related to the work of criminal lawyers and judges”. She questioned the relevance of not </w:t>
      </w:r>
      <w:r w:rsidR="006A5537">
        <w:rPr>
          <w:rFonts w:cs="Arial"/>
          <w:color w:val="000000"/>
          <w:lang w:val="en-CA"/>
        </w:rPr>
        <w:t>providing</w:t>
      </w:r>
      <w:r w:rsidRPr="006A01A8">
        <w:rPr>
          <w:rFonts w:cs="Arial"/>
          <w:color w:val="000000"/>
          <w:lang w:val="en-CA"/>
        </w:rPr>
        <w:t xml:space="preserve"> data available prior to 2019 for comparison purposes. </w:t>
      </w:r>
    </w:p>
    <w:p w14:paraId="4F01551D" w14:textId="33C4065F" w:rsidR="00CC3EEB" w:rsidRPr="006A01A8" w:rsidRDefault="002C1928" w:rsidP="00E007AA">
      <w:pPr>
        <w:pStyle w:val="Paragraphe"/>
        <w:spacing w:line="280" w:lineRule="exact"/>
        <w:rPr>
          <w:lang w:val="en-CA"/>
        </w:rPr>
      </w:pPr>
      <w:r w:rsidRPr="006A01A8">
        <w:rPr>
          <w:rFonts w:cs="Arial"/>
          <w:color w:val="000000"/>
          <w:lang w:val="en-CA"/>
        </w:rPr>
        <w:t xml:space="preserve">The judge explained that no trial date had been scheduled in the </w:t>
      </w:r>
      <w:r w:rsidR="00273D1A">
        <w:rPr>
          <w:rFonts w:cs="Arial"/>
          <w:color w:val="000000"/>
          <w:lang w:val="en-CA"/>
        </w:rPr>
        <w:t>files</w:t>
      </w:r>
      <w:r w:rsidR="00273D1A" w:rsidRPr="006A01A8">
        <w:rPr>
          <w:rFonts w:cs="Arial"/>
          <w:color w:val="000000"/>
          <w:lang w:val="en-CA"/>
        </w:rPr>
        <w:t xml:space="preserve"> </w:t>
      </w:r>
      <w:r w:rsidRPr="006A01A8">
        <w:rPr>
          <w:rFonts w:cs="Arial"/>
          <w:color w:val="000000"/>
          <w:lang w:val="en-CA"/>
        </w:rPr>
        <w:t xml:space="preserve">at issue when the courts closed in the spring of 2020 and that the disclosure of the evidence had not been completed. In short, the </w:t>
      </w:r>
      <w:r w:rsidR="00C521F1">
        <w:rPr>
          <w:rFonts w:cs="Arial"/>
          <w:color w:val="000000"/>
          <w:lang w:val="en-CA"/>
        </w:rPr>
        <w:t>cases</w:t>
      </w:r>
      <w:r w:rsidR="0014489F" w:rsidRPr="006A01A8">
        <w:rPr>
          <w:rFonts w:cs="Arial"/>
          <w:color w:val="000000"/>
          <w:lang w:val="en-CA"/>
        </w:rPr>
        <w:t xml:space="preserve"> </w:t>
      </w:r>
      <w:r w:rsidRPr="006A01A8">
        <w:rPr>
          <w:rFonts w:cs="Arial"/>
          <w:color w:val="000000"/>
          <w:lang w:val="en-CA"/>
        </w:rPr>
        <w:t xml:space="preserve">were </w:t>
      </w:r>
      <w:r w:rsidR="0014489F">
        <w:rPr>
          <w:rFonts w:cs="Arial"/>
          <w:color w:val="000000"/>
          <w:lang w:val="en-CA"/>
        </w:rPr>
        <w:t>following</w:t>
      </w:r>
      <w:r w:rsidR="0014489F" w:rsidRPr="006A01A8">
        <w:rPr>
          <w:rFonts w:cs="Arial"/>
          <w:color w:val="000000"/>
          <w:lang w:val="en-CA"/>
        </w:rPr>
        <w:t xml:space="preserve"> </w:t>
      </w:r>
      <w:r w:rsidRPr="006A01A8">
        <w:rPr>
          <w:rFonts w:cs="Arial"/>
          <w:color w:val="000000"/>
          <w:lang w:val="en-CA"/>
        </w:rPr>
        <w:t xml:space="preserve">their course. She therefore </w:t>
      </w:r>
      <w:r w:rsidR="0014489F">
        <w:rPr>
          <w:rFonts w:cs="Arial"/>
          <w:color w:val="000000"/>
          <w:lang w:val="en-CA"/>
        </w:rPr>
        <w:t>concluded</w:t>
      </w:r>
      <w:r w:rsidR="0014489F" w:rsidRPr="006A01A8">
        <w:rPr>
          <w:rFonts w:cs="Arial"/>
          <w:color w:val="000000"/>
          <w:lang w:val="en-CA"/>
        </w:rPr>
        <w:t xml:space="preserve"> </w:t>
      </w:r>
      <w:r w:rsidRPr="006A01A8">
        <w:rPr>
          <w:rFonts w:cs="Arial"/>
          <w:color w:val="000000"/>
          <w:lang w:val="en-CA"/>
        </w:rPr>
        <w:t>that there was no connection between the statistical dat</w:t>
      </w:r>
      <w:r w:rsidR="0014489F">
        <w:rPr>
          <w:rFonts w:cs="Arial"/>
          <w:color w:val="000000"/>
          <w:lang w:val="en-CA"/>
        </w:rPr>
        <w:t>a</w:t>
      </w:r>
      <w:r w:rsidRPr="006A01A8">
        <w:rPr>
          <w:rFonts w:cs="Arial"/>
          <w:color w:val="000000"/>
          <w:lang w:val="en-CA"/>
        </w:rPr>
        <w:t xml:space="preserve"> presented and the delays, adding that the evidence did not establish that the progress</w:t>
      </w:r>
      <w:r w:rsidR="0014489F">
        <w:rPr>
          <w:rFonts w:cs="Arial"/>
          <w:color w:val="000000"/>
          <w:lang w:val="en-CA"/>
        </w:rPr>
        <w:t>ion</w:t>
      </w:r>
      <w:r w:rsidRPr="006A01A8">
        <w:rPr>
          <w:rFonts w:cs="Arial"/>
          <w:color w:val="000000"/>
          <w:lang w:val="en-CA"/>
        </w:rPr>
        <w:t xml:space="preserve"> of the files had been affected by a </w:t>
      </w:r>
      <w:r w:rsidR="00B7283C">
        <w:rPr>
          <w:rFonts w:cs="Arial"/>
          <w:color w:val="000000"/>
          <w:lang w:val="en-CA"/>
        </w:rPr>
        <w:t>backlog</w:t>
      </w:r>
      <w:r w:rsidRPr="006A01A8">
        <w:rPr>
          <w:rFonts w:cs="Arial"/>
          <w:color w:val="000000"/>
          <w:lang w:val="en-CA"/>
        </w:rPr>
        <w:t xml:space="preserve"> </w:t>
      </w:r>
      <w:r w:rsidR="0026069B">
        <w:rPr>
          <w:rFonts w:cs="Arial"/>
          <w:color w:val="000000"/>
          <w:lang w:val="en-CA"/>
        </w:rPr>
        <w:t>caused by</w:t>
      </w:r>
      <w:r w:rsidR="0026069B" w:rsidRPr="006A01A8">
        <w:rPr>
          <w:rFonts w:cs="Arial"/>
          <w:color w:val="000000"/>
          <w:lang w:val="en-CA"/>
        </w:rPr>
        <w:t xml:space="preserve"> </w:t>
      </w:r>
      <w:r w:rsidRPr="006A01A8">
        <w:rPr>
          <w:rFonts w:cs="Arial"/>
          <w:color w:val="000000"/>
          <w:lang w:val="en-CA"/>
        </w:rPr>
        <w:t>the pandemic.</w:t>
      </w:r>
    </w:p>
    <w:p w14:paraId="012B2776" w14:textId="6452476E" w:rsidR="00CC3EEB" w:rsidRPr="006A01A8" w:rsidRDefault="00CF0126" w:rsidP="00E007AA">
      <w:pPr>
        <w:pStyle w:val="Paragraphe"/>
        <w:spacing w:line="280" w:lineRule="exact"/>
        <w:rPr>
          <w:lang w:val="en-CA"/>
        </w:rPr>
      </w:pPr>
      <w:r>
        <w:rPr>
          <w:lang w:val="en-CA"/>
        </w:rPr>
        <w:t>However</w:t>
      </w:r>
      <w:r w:rsidR="00251411">
        <w:rPr>
          <w:lang w:val="en-CA"/>
        </w:rPr>
        <w:t>, s</w:t>
      </w:r>
      <w:r w:rsidR="002C1928" w:rsidRPr="006A01A8">
        <w:rPr>
          <w:lang w:val="en-CA"/>
        </w:rPr>
        <w:t>he acknowledged at the outset</w:t>
      </w:r>
      <w:r w:rsidR="00251411">
        <w:rPr>
          <w:lang w:val="en-CA"/>
        </w:rPr>
        <w:t xml:space="preserve"> </w:t>
      </w:r>
      <w:r w:rsidR="002C1928" w:rsidRPr="006A01A8">
        <w:rPr>
          <w:lang w:val="en-CA"/>
        </w:rPr>
        <w:t xml:space="preserve">that the evidence to be disclosed was </w:t>
      </w:r>
      <w:r w:rsidR="00711DEC">
        <w:rPr>
          <w:rFonts w:cs="Arial"/>
          <w:color w:val="000000"/>
          <w:lang w:val="en-CA"/>
        </w:rPr>
        <w:t>[</w:t>
      </w:r>
      <w:r w:rsidR="008C7F08">
        <w:rPr>
          <w:rFonts w:cs="Arial"/>
          <w:smallCaps/>
          <w:color w:val="000000"/>
          <w:lang w:val="en-CA"/>
        </w:rPr>
        <w:t>translation</w:t>
      </w:r>
      <w:r w:rsidR="00CC1A08" w:rsidRPr="00711DEC">
        <w:rPr>
          <w:rFonts w:cs="Arial"/>
          <w:smallCaps/>
          <w:color w:val="000000"/>
          <w:lang w:val="en-CA"/>
        </w:rPr>
        <w:t>] “</w:t>
      </w:r>
      <w:r w:rsidR="007365FB">
        <w:rPr>
          <w:lang w:val="en-CA"/>
        </w:rPr>
        <w:t>v</w:t>
      </w:r>
      <w:r w:rsidR="00433793">
        <w:rPr>
          <w:lang w:val="en-CA"/>
        </w:rPr>
        <w:t>ast</w:t>
      </w:r>
      <w:r w:rsidR="002C1928" w:rsidRPr="006A01A8">
        <w:rPr>
          <w:lang w:val="en-CA"/>
        </w:rPr>
        <w:t xml:space="preserve">” (para. 51). </w:t>
      </w:r>
      <w:r>
        <w:rPr>
          <w:lang w:val="en-CA"/>
        </w:rPr>
        <w:t xml:space="preserve">She </w:t>
      </w:r>
      <w:r w:rsidR="002C1928" w:rsidRPr="006A01A8">
        <w:rPr>
          <w:lang w:val="en-CA"/>
        </w:rPr>
        <w:t>noted</w:t>
      </w:r>
      <w:r>
        <w:rPr>
          <w:lang w:val="en-CA"/>
        </w:rPr>
        <w:t>, however,</w:t>
      </w:r>
      <w:r w:rsidR="002C1928" w:rsidRPr="006A01A8">
        <w:rPr>
          <w:lang w:val="en-CA"/>
        </w:rPr>
        <w:t xml:space="preserve"> that </w:t>
      </w:r>
      <w:r w:rsidR="00711DEC">
        <w:rPr>
          <w:rFonts w:cs="Arial"/>
          <w:color w:val="000000"/>
          <w:lang w:val="en-CA"/>
        </w:rPr>
        <w:t>[</w:t>
      </w:r>
      <w:r w:rsidR="00DC2B86">
        <w:rPr>
          <w:rFonts w:cs="Arial"/>
          <w:smallCaps/>
          <w:color w:val="000000"/>
          <w:lang w:val="en-CA"/>
        </w:rPr>
        <w:t>translation</w:t>
      </w:r>
      <w:r w:rsidR="00CC1A08" w:rsidRPr="00711DEC">
        <w:rPr>
          <w:rFonts w:cs="Arial"/>
          <w:smallCaps/>
          <w:color w:val="000000"/>
          <w:lang w:val="en-CA"/>
        </w:rPr>
        <w:t>] “</w:t>
      </w:r>
      <w:r w:rsidR="00251411" w:rsidRPr="00251411">
        <w:rPr>
          <w:lang w:val="en-CA"/>
        </w:rPr>
        <w:t xml:space="preserve">the Crown had 18 months after the search </w:t>
      </w:r>
      <w:r w:rsidR="002C1928" w:rsidRPr="006A01A8">
        <w:rPr>
          <w:lang w:val="en-CA"/>
        </w:rPr>
        <w:t xml:space="preserve">to develop its theory, study its evidence and lay charges” (para. 30). She recalled that the </w:t>
      </w:r>
      <w:r w:rsidR="00DC2B86">
        <w:rPr>
          <w:lang w:val="en-CA"/>
        </w:rPr>
        <w:t>disclosure</w:t>
      </w:r>
      <w:r w:rsidR="002C1928" w:rsidRPr="006A01A8">
        <w:rPr>
          <w:lang w:val="en-CA"/>
        </w:rPr>
        <w:t xml:space="preserve"> exercise lasted 16 months, that is, from January 31, 2020, to May 26, 2021. She noted that the respondents actively </w:t>
      </w:r>
      <w:r w:rsidR="001B054E">
        <w:rPr>
          <w:lang w:val="en-CA"/>
        </w:rPr>
        <w:t>requested</w:t>
      </w:r>
      <w:r w:rsidR="00D34E61" w:rsidRPr="006A01A8">
        <w:rPr>
          <w:lang w:val="en-CA"/>
        </w:rPr>
        <w:t xml:space="preserve"> </w:t>
      </w:r>
      <w:r w:rsidR="002C1928" w:rsidRPr="006A01A8">
        <w:rPr>
          <w:lang w:val="en-CA"/>
        </w:rPr>
        <w:t xml:space="preserve">clarification, and </w:t>
      </w:r>
      <w:r w:rsidR="00DC2B86">
        <w:rPr>
          <w:lang w:val="en-CA"/>
        </w:rPr>
        <w:t xml:space="preserve">that </w:t>
      </w:r>
      <w:r w:rsidR="000D5B67">
        <w:rPr>
          <w:lang w:val="en-CA"/>
        </w:rPr>
        <w:t>it was necessary to</w:t>
      </w:r>
      <w:r w:rsidR="00D34E61">
        <w:rPr>
          <w:lang w:val="en-CA"/>
        </w:rPr>
        <w:t xml:space="preserve"> </w:t>
      </w:r>
      <w:r w:rsidR="000D5B67">
        <w:rPr>
          <w:lang w:val="en-CA"/>
        </w:rPr>
        <w:t xml:space="preserve">lift </w:t>
      </w:r>
      <w:r w:rsidR="002C1928" w:rsidRPr="006A01A8">
        <w:rPr>
          <w:lang w:val="en-CA"/>
        </w:rPr>
        <w:t>redaction</w:t>
      </w:r>
      <w:r w:rsidR="00D34E61">
        <w:rPr>
          <w:lang w:val="en-CA"/>
        </w:rPr>
        <w:t>s</w:t>
      </w:r>
      <w:r w:rsidR="002C1928" w:rsidRPr="006A01A8">
        <w:rPr>
          <w:lang w:val="en-CA"/>
        </w:rPr>
        <w:t>. The judge was surprised by the confidentiality undertaking imposed on counsel for the respondents</w:t>
      </w:r>
      <w:r w:rsidR="00DC2B86" w:rsidRPr="00DC2B86">
        <w:rPr>
          <w:lang w:val="en-CA"/>
        </w:rPr>
        <w:t xml:space="preserve"> </w:t>
      </w:r>
      <w:r w:rsidR="00DC2B86">
        <w:rPr>
          <w:lang w:val="en-CA"/>
        </w:rPr>
        <w:t>by</w:t>
      </w:r>
      <w:r w:rsidR="00DC2B86" w:rsidRPr="006A01A8">
        <w:rPr>
          <w:lang w:val="en-CA"/>
        </w:rPr>
        <w:t xml:space="preserve"> the appellant</w:t>
      </w:r>
      <w:r w:rsidR="00DC2B86">
        <w:rPr>
          <w:lang w:val="en-CA"/>
        </w:rPr>
        <w:t>—</w:t>
      </w:r>
      <w:r w:rsidR="002C1928" w:rsidRPr="006A01A8">
        <w:rPr>
          <w:lang w:val="en-CA"/>
        </w:rPr>
        <w:t>a rigid approach that required the intervention of a case management judge. A revision of the disclosure of the evidence in March 2021 required clarification</w:t>
      </w:r>
      <w:r w:rsidR="00BE461A">
        <w:rPr>
          <w:lang w:val="en-CA"/>
        </w:rPr>
        <w:t>s</w:t>
      </w:r>
      <w:r w:rsidR="00251411">
        <w:rPr>
          <w:lang w:val="en-CA"/>
        </w:rPr>
        <w:t xml:space="preserve"> </w:t>
      </w:r>
      <w:r w:rsidR="000C5336">
        <w:rPr>
          <w:lang w:val="en-CA"/>
        </w:rPr>
        <w:t>(</w:t>
      </w:r>
      <w:r w:rsidR="00251411">
        <w:rPr>
          <w:lang w:val="en-CA"/>
        </w:rPr>
        <w:t>which were provided in May 2021</w:t>
      </w:r>
      <w:r w:rsidR="000C5336">
        <w:rPr>
          <w:lang w:val="en-CA"/>
        </w:rPr>
        <w:t>)</w:t>
      </w:r>
      <w:r w:rsidR="002C1928" w:rsidRPr="006A01A8">
        <w:rPr>
          <w:lang w:val="en-CA"/>
        </w:rPr>
        <w:t xml:space="preserve"> so that the respondents could navigate it. From May to September 2021, it was necessary to study the evidence, which, according to the judge, </w:t>
      </w:r>
      <w:r w:rsidR="00711DEC">
        <w:rPr>
          <w:rFonts w:cs="Arial"/>
          <w:color w:val="000000"/>
          <w:lang w:val="en-CA"/>
        </w:rPr>
        <w:t>[</w:t>
      </w:r>
      <w:r w:rsidR="00711DEC" w:rsidRPr="00711DEC">
        <w:rPr>
          <w:rFonts w:cs="Arial"/>
          <w:smallCaps/>
          <w:color w:val="000000"/>
          <w:lang w:val="en-CA"/>
        </w:rPr>
        <w:t>translation</w:t>
      </w:r>
      <w:r w:rsidR="00711DEC">
        <w:rPr>
          <w:rFonts w:cs="Arial"/>
          <w:smallCaps/>
          <w:color w:val="000000"/>
          <w:lang w:val="en-CA"/>
        </w:rPr>
        <w:t>]</w:t>
      </w:r>
      <w:r w:rsidR="00711DEC" w:rsidRPr="006A01A8">
        <w:rPr>
          <w:rFonts w:cs="Arial"/>
          <w:color w:val="000000"/>
          <w:lang w:val="en-CA"/>
        </w:rPr>
        <w:t xml:space="preserve"> </w:t>
      </w:r>
      <w:r w:rsidR="002C1928" w:rsidRPr="006A01A8">
        <w:rPr>
          <w:lang w:val="en-CA"/>
        </w:rPr>
        <w:t>“</w:t>
      </w:r>
      <w:r w:rsidR="000C5336">
        <w:rPr>
          <w:lang w:val="en-CA"/>
        </w:rPr>
        <w:t>is</w:t>
      </w:r>
      <w:r w:rsidR="000C5336" w:rsidRPr="006A01A8">
        <w:rPr>
          <w:lang w:val="en-CA"/>
        </w:rPr>
        <w:t xml:space="preserve"> </w:t>
      </w:r>
      <w:r w:rsidR="002C1928" w:rsidRPr="006A01A8">
        <w:rPr>
          <w:lang w:val="en-CA"/>
        </w:rPr>
        <w:t>part of the normal course of judicial proceedings” (para. 68).</w:t>
      </w:r>
    </w:p>
    <w:p w14:paraId="6F9578E3" w14:textId="53863669" w:rsidR="00CC3EEB" w:rsidRPr="006A01A8" w:rsidRDefault="000C5336" w:rsidP="00E007AA">
      <w:pPr>
        <w:pStyle w:val="JgtParagraphe"/>
        <w:spacing w:line="280" w:lineRule="exact"/>
        <w:rPr>
          <w:lang w:val="en-CA"/>
        </w:rPr>
      </w:pPr>
      <w:r>
        <w:rPr>
          <w:lang w:val="en-CA"/>
        </w:rPr>
        <w:t>Recalling</w:t>
      </w:r>
      <w:r w:rsidR="002C1928" w:rsidRPr="006A01A8">
        <w:rPr>
          <w:lang w:val="en-CA"/>
        </w:rPr>
        <w:t xml:space="preserve"> that voluminous evidence is not always an indication of complexity, the judge noted the absence of exceptional circumstances explain</w:t>
      </w:r>
      <w:r w:rsidR="007365FB">
        <w:rPr>
          <w:lang w:val="en-CA"/>
        </w:rPr>
        <w:t>ing</w:t>
      </w:r>
      <w:r w:rsidR="002C1928" w:rsidRPr="006A01A8">
        <w:rPr>
          <w:lang w:val="en-CA"/>
        </w:rPr>
        <w:t xml:space="preserve"> why the </w:t>
      </w:r>
      <w:r w:rsidR="00C521F1">
        <w:rPr>
          <w:lang w:val="en-CA"/>
        </w:rPr>
        <w:t>ceiling</w:t>
      </w:r>
      <w:r w:rsidR="002C1928" w:rsidRPr="006A01A8">
        <w:rPr>
          <w:lang w:val="en-CA"/>
        </w:rPr>
        <w:t xml:space="preserve"> was exceeded by 12 months and concluded that </w:t>
      </w:r>
      <w:r w:rsidR="00E54199">
        <w:rPr>
          <w:lang w:val="en-CA"/>
        </w:rPr>
        <w:t>the Crown</w:t>
      </w:r>
      <w:r w:rsidR="002C1928" w:rsidRPr="006A01A8">
        <w:rPr>
          <w:lang w:val="en-CA"/>
        </w:rPr>
        <w:t xml:space="preserve"> had not established that the matter was </w:t>
      </w:r>
      <w:r w:rsidR="005F024D" w:rsidRPr="006A01A8">
        <w:rPr>
          <w:lang w:val="en-CA"/>
        </w:rPr>
        <w:t>particularly</w:t>
      </w:r>
      <w:r w:rsidR="002C1928" w:rsidRPr="006A01A8">
        <w:rPr>
          <w:lang w:val="en-CA"/>
        </w:rPr>
        <w:t xml:space="preserve"> complex.</w:t>
      </w:r>
    </w:p>
    <w:p w14:paraId="544B7DF2" w14:textId="20D92EE0" w:rsidR="00CC3EEB" w:rsidRPr="006A01A8" w:rsidRDefault="002C1928" w:rsidP="00E1489B">
      <w:pPr>
        <w:pStyle w:val="JgtPositionniv1"/>
        <w:keepNext/>
        <w:spacing w:line="280" w:lineRule="exact"/>
        <w:rPr>
          <w:lang w:val="en-CA"/>
        </w:rPr>
      </w:pPr>
      <w:r w:rsidRPr="006A01A8">
        <w:rPr>
          <w:lang w:val="en-CA"/>
        </w:rPr>
        <w:lastRenderedPageBreak/>
        <w:t xml:space="preserve">Issues </w:t>
      </w:r>
    </w:p>
    <w:p w14:paraId="6F2B9E6E" w14:textId="6BE2DCDA" w:rsidR="00CC3EEB" w:rsidRPr="006A01A8" w:rsidRDefault="002C1928" w:rsidP="00E1489B">
      <w:pPr>
        <w:pStyle w:val="JgtParagraphe"/>
        <w:keepNext/>
        <w:spacing w:line="280" w:lineRule="exact"/>
        <w:rPr>
          <w:lang w:val="en-CA"/>
        </w:rPr>
      </w:pPr>
      <w:r w:rsidRPr="006A01A8">
        <w:rPr>
          <w:lang w:val="en-CA"/>
        </w:rPr>
        <w:t>The appellant raises two major issues</w:t>
      </w:r>
      <w:r w:rsidR="000D5B67">
        <w:rPr>
          <w:lang w:val="en-CA"/>
        </w:rPr>
        <w:t>,</w:t>
      </w:r>
      <w:r w:rsidRPr="006A01A8">
        <w:rPr>
          <w:lang w:val="en-CA"/>
        </w:rPr>
        <w:t xml:space="preserve"> although his brief contains six</w:t>
      </w:r>
      <w:r w:rsidR="00D87C15">
        <w:rPr>
          <w:lang w:val="en-CA"/>
        </w:rPr>
        <w:t xml:space="preserve"> items</w:t>
      </w:r>
      <w:r w:rsidRPr="006A01A8">
        <w:rPr>
          <w:lang w:val="en-CA"/>
        </w:rPr>
        <w:t>, since he subdivided the first issue into five sub-issues. The appellant argues that the judged erred:</w:t>
      </w:r>
    </w:p>
    <w:p w14:paraId="7769C2EA" w14:textId="568E10AA" w:rsidR="00CC3EEB" w:rsidRPr="006A01A8" w:rsidRDefault="002C1928" w:rsidP="00E007AA">
      <w:pPr>
        <w:pStyle w:val="Tiret"/>
        <w:numPr>
          <w:ilvl w:val="0"/>
          <w:numId w:val="21"/>
        </w:numPr>
        <w:spacing w:line="280" w:lineRule="exact"/>
        <w:rPr>
          <w:lang w:val="en-CA"/>
        </w:rPr>
      </w:pPr>
      <w:r w:rsidRPr="006A01A8">
        <w:rPr>
          <w:lang w:val="en-CA"/>
        </w:rPr>
        <w:t xml:space="preserve">In </w:t>
      </w:r>
      <w:r w:rsidR="00DE68BD">
        <w:rPr>
          <w:lang w:val="en-CA"/>
        </w:rPr>
        <w:t xml:space="preserve">providing an incorrect </w:t>
      </w:r>
      <w:r w:rsidR="00E4459E">
        <w:rPr>
          <w:lang w:val="en-CA"/>
        </w:rPr>
        <w:t>legal</w:t>
      </w:r>
      <w:r w:rsidR="00E4459E" w:rsidRPr="006A01A8">
        <w:rPr>
          <w:lang w:val="en-CA"/>
        </w:rPr>
        <w:t xml:space="preserve"> </w:t>
      </w:r>
      <w:r w:rsidRPr="006A01A8">
        <w:rPr>
          <w:lang w:val="en-CA"/>
        </w:rPr>
        <w:t xml:space="preserve">interpretation of </w:t>
      </w:r>
      <w:r w:rsidRPr="006A01A8">
        <w:rPr>
          <w:i/>
          <w:lang w:val="en-CA"/>
        </w:rPr>
        <w:t>R.</w:t>
      </w:r>
      <w:r w:rsidRPr="006A01A8">
        <w:rPr>
          <w:lang w:val="en-CA"/>
        </w:rPr>
        <w:t xml:space="preserve"> c. </w:t>
      </w:r>
      <w:r w:rsidRPr="006A01A8">
        <w:rPr>
          <w:i/>
          <w:lang w:val="en-CA"/>
        </w:rPr>
        <w:t>Ketchate</w:t>
      </w:r>
      <w:r w:rsidRPr="006A01A8">
        <w:rPr>
          <w:lang w:val="en-CA"/>
        </w:rPr>
        <w:t xml:space="preserve">, 2019 QCCA </w:t>
      </w:r>
      <w:proofErr w:type="gramStart"/>
      <w:r w:rsidRPr="006A01A8">
        <w:rPr>
          <w:lang w:val="en-CA"/>
        </w:rPr>
        <w:t>557;</w:t>
      </w:r>
      <w:proofErr w:type="gramEnd"/>
      <w:r w:rsidRPr="006A01A8">
        <w:rPr>
          <w:lang w:val="en-CA"/>
        </w:rPr>
        <w:t xml:space="preserve"> </w:t>
      </w:r>
    </w:p>
    <w:p w14:paraId="2F678D02" w14:textId="2322210D" w:rsidR="00CC3EEB" w:rsidRPr="006A01A8" w:rsidRDefault="007365FB" w:rsidP="00E007AA">
      <w:pPr>
        <w:pStyle w:val="Tiret"/>
        <w:numPr>
          <w:ilvl w:val="0"/>
          <w:numId w:val="21"/>
        </w:numPr>
        <w:spacing w:line="280" w:lineRule="exact"/>
        <w:rPr>
          <w:lang w:val="en-CA"/>
        </w:rPr>
      </w:pPr>
      <w:r>
        <w:rPr>
          <w:lang w:val="en-CA"/>
        </w:rPr>
        <w:t>I</w:t>
      </w:r>
      <w:r w:rsidR="002C1928" w:rsidRPr="006A01A8">
        <w:rPr>
          <w:lang w:val="en-CA"/>
        </w:rPr>
        <w:t xml:space="preserve">n concluding that the charges were necessarily subject to an 18-month ceiling from the start, even though the charges could be subject to an election on the mode of </w:t>
      </w:r>
      <w:proofErr w:type="gramStart"/>
      <w:r w:rsidR="002C1928" w:rsidRPr="006A01A8">
        <w:rPr>
          <w:lang w:val="en-CA"/>
        </w:rPr>
        <w:t>trial</w:t>
      </w:r>
      <w:r w:rsidR="00941058">
        <w:rPr>
          <w:lang w:val="en-CA"/>
        </w:rPr>
        <w:t>;</w:t>
      </w:r>
      <w:proofErr w:type="gramEnd"/>
    </w:p>
    <w:p w14:paraId="32996543" w14:textId="6F5ABAA6" w:rsidR="00CC3EEB" w:rsidRPr="006A01A8" w:rsidRDefault="00433793" w:rsidP="00E007AA">
      <w:pPr>
        <w:pStyle w:val="Tiret"/>
        <w:numPr>
          <w:ilvl w:val="0"/>
          <w:numId w:val="21"/>
        </w:numPr>
        <w:spacing w:line="280" w:lineRule="exact"/>
        <w:rPr>
          <w:lang w:val="en-CA"/>
        </w:rPr>
      </w:pPr>
      <w:r>
        <w:rPr>
          <w:lang w:val="en-CA"/>
        </w:rPr>
        <w:t>I</w:t>
      </w:r>
      <w:r w:rsidR="002C1928" w:rsidRPr="006A01A8">
        <w:rPr>
          <w:lang w:val="en-CA"/>
        </w:rPr>
        <w:t xml:space="preserve">n failing to </w:t>
      </w:r>
      <w:r w:rsidR="005F024D" w:rsidRPr="006A01A8">
        <w:rPr>
          <w:lang w:val="en-CA"/>
        </w:rPr>
        <w:t>characterize</w:t>
      </w:r>
      <w:r>
        <w:rPr>
          <w:lang w:val="en-CA"/>
        </w:rPr>
        <w:t xml:space="preserve"> as an exceptional circumstance</w:t>
      </w:r>
      <w:r w:rsidR="002C1928" w:rsidRPr="006A01A8">
        <w:rPr>
          <w:lang w:val="en-CA"/>
        </w:rPr>
        <w:t xml:space="preserve"> the postponement on April 1, 2020, </w:t>
      </w:r>
      <w:r>
        <w:rPr>
          <w:lang w:val="en-CA"/>
        </w:rPr>
        <w:t>resulting from</w:t>
      </w:r>
      <w:r w:rsidR="002C1928" w:rsidRPr="006A01A8">
        <w:rPr>
          <w:lang w:val="en-CA"/>
        </w:rPr>
        <w:t xml:space="preserve"> </w:t>
      </w:r>
      <w:r w:rsidR="002C1928" w:rsidRPr="00433793">
        <w:rPr>
          <w:lang w:val="en-CA"/>
        </w:rPr>
        <w:t xml:space="preserve">Order in </w:t>
      </w:r>
      <w:r w:rsidR="00941058">
        <w:rPr>
          <w:lang w:val="en-CA"/>
        </w:rPr>
        <w:t>C</w:t>
      </w:r>
      <w:r w:rsidR="002C1928" w:rsidRPr="00433793">
        <w:rPr>
          <w:lang w:val="en-CA"/>
        </w:rPr>
        <w:t>ouncil 177-2020</w:t>
      </w:r>
      <w:r w:rsidR="002C1928" w:rsidRPr="006A01A8">
        <w:rPr>
          <w:lang w:val="en-CA"/>
        </w:rPr>
        <w:t xml:space="preserve"> declaring a </w:t>
      </w:r>
      <w:r w:rsidR="00941058">
        <w:rPr>
          <w:lang w:val="en-CA"/>
        </w:rPr>
        <w:t xml:space="preserve">public </w:t>
      </w:r>
      <w:r w:rsidR="002C1928" w:rsidRPr="006A01A8">
        <w:rPr>
          <w:lang w:val="en-CA"/>
        </w:rPr>
        <w:t xml:space="preserve">health emergency on March 13, 2020, within the meaning of the </w:t>
      </w:r>
      <w:r w:rsidR="002C1928" w:rsidRPr="006A01A8">
        <w:rPr>
          <w:i/>
          <w:lang w:val="en-CA"/>
        </w:rPr>
        <w:t>Public Health Act</w:t>
      </w:r>
      <w:r w:rsidR="002C1928" w:rsidRPr="006A01A8">
        <w:rPr>
          <w:lang w:val="en-CA"/>
        </w:rPr>
        <w:t xml:space="preserve">, R.S.Q., S-2.2. and the subsequent partial suspension of the Court of Québec’s judicial </w:t>
      </w:r>
      <w:proofErr w:type="gramStart"/>
      <w:r w:rsidR="002C1928" w:rsidRPr="006A01A8">
        <w:rPr>
          <w:lang w:val="en-CA"/>
        </w:rPr>
        <w:t>activities;</w:t>
      </w:r>
      <w:proofErr w:type="gramEnd"/>
    </w:p>
    <w:p w14:paraId="41CE8585" w14:textId="781DA8BD" w:rsidR="00CC3EEB" w:rsidRPr="006A01A8" w:rsidRDefault="002C1928" w:rsidP="00E007AA">
      <w:pPr>
        <w:pStyle w:val="Tiret"/>
        <w:numPr>
          <w:ilvl w:val="0"/>
          <w:numId w:val="21"/>
        </w:numPr>
        <w:spacing w:line="280" w:lineRule="exact"/>
        <w:rPr>
          <w:lang w:val="en-CA"/>
        </w:rPr>
      </w:pPr>
      <w:r w:rsidRPr="006A01A8">
        <w:rPr>
          <w:lang w:val="en-CA"/>
        </w:rPr>
        <w:t xml:space="preserve">In failing to attribute any delay to the defence for the various relevant periods in the </w:t>
      </w:r>
      <w:r w:rsidR="0034326C">
        <w:rPr>
          <w:lang w:val="en-CA"/>
        </w:rPr>
        <w:t xml:space="preserve">computation of </w:t>
      </w:r>
      <w:proofErr w:type="gramStart"/>
      <w:r w:rsidR="0034326C">
        <w:rPr>
          <w:lang w:val="en-CA"/>
        </w:rPr>
        <w:t>time</w:t>
      </w:r>
      <w:r w:rsidRPr="006A01A8">
        <w:rPr>
          <w:lang w:val="en-CA"/>
        </w:rPr>
        <w:t>;</w:t>
      </w:r>
      <w:proofErr w:type="gramEnd"/>
    </w:p>
    <w:p w14:paraId="2AE5126A" w14:textId="20C52FF1" w:rsidR="00CC3EEB" w:rsidRPr="006A01A8" w:rsidRDefault="002C1928" w:rsidP="00E007AA">
      <w:pPr>
        <w:pStyle w:val="Tiret"/>
        <w:numPr>
          <w:ilvl w:val="0"/>
          <w:numId w:val="21"/>
        </w:numPr>
        <w:spacing w:line="280" w:lineRule="exact"/>
        <w:rPr>
          <w:lang w:val="en-CA"/>
        </w:rPr>
      </w:pPr>
      <w:r w:rsidRPr="006A01A8">
        <w:rPr>
          <w:lang w:val="en-CA"/>
        </w:rPr>
        <w:t xml:space="preserve">In failing to recognize the complex aspects of the </w:t>
      </w:r>
      <w:r w:rsidR="00941058">
        <w:rPr>
          <w:lang w:val="en-CA"/>
        </w:rPr>
        <w:t>file</w:t>
      </w:r>
      <w:r w:rsidR="00941058" w:rsidRPr="006A01A8">
        <w:rPr>
          <w:lang w:val="en-CA"/>
        </w:rPr>
        <w:t xml:space="preserve"> </w:t>
      </w:r>
      <w:r w:rsidRPr="006A01A8">
        <w:rPr>
          <w:lang w:val="en-CA"/>
        </w:rPr>
        <w:t xml:space="preserve">and their impact on delays involving an 18-month ceiling. </w:t>
      </w:r>
      <w:r w:rsidR="00B3704B">
        <w:rPr>
          <w:lang w:val="en-CA"/>
        </w:rPr>
        <w:t>In particular</w:t>
      </w:r>
      <w:r w:rsidR="00A77B76" w:rsidRPr="006A01A8">
        <w:rPr>
          <w:lang w:val="en-CA"/>
        </w:rPr>
        <w:t>, the contributory delays related to the disclosure of voluminous and complex evidence</w:t>
      </w:r>
      <w:r w:rsidR="00B3704B">
        <w:rPr>
          <w:lang w:val="en-CA"/>
        </w:rPr>
        <w:t>;</w:t>
      </w:r>
      <w:r w:rsidR="00B3704B" w:rsidRPr="006A01A8">
        <w:rPr>
          <w:lang w:val="en-CA"/>
        </w:rPr>
        <w:t xml:space="preserve"> </w:t>
      </w:r>
      <w:r w:rsidR="00A77B76" w:rsidRPr="006A01A8">
        <w:rPr>
          <w:lang w:val="en-CA"/>
        </w:rPr>
        <w:t xml:space="preserve">the period of the offence and the nature of the offences at issue, which </w:t>
      </w:r>
      <w:r w:rsidR="00941058" w:rsidRPr="006A01A8">
        <w:rPr>
          <w:lang w:val="en-CA"/>
        </w:rPr>
        <w:t xml:space="preserve">require </w:t>
      </w:r>
      <w:r w:rsidR="00A77B76" w:rsidRPr="006A01A8">
        <w:rPr>
          <w:lang w:val="en-CA"/>
        </w:rPr>
        <w:t>expert computer evidence</w:t>
      </w:r>
      <w:r w:rsidR="00B3704B">
        <w:rPr>
          <w:lang w:val="en-CA"/>
        </w:rPr>
        <w:t>;</w:t>
      </w:r>
      <w:r w:rsidR="00B3704B" w:rsidRPr="006A01A8">
        <w:rPr>
          <w:lang w:val="en-CA"/>
        </w:rPr>
        <w:t xml:space="preserve"> </w:t>
      </w:r>
      <w:r w:rsidR="00A77B76" w:rsidRPr="006A01A8">
        <w:rPr>
          <w:lang w:val="en-CA"/>
        </w:rPr>
        <w:t xml:space="preserve">a motion respecting </w:t>
      </w:r>
      <w:r w:rsidR="00941058">
        <w:rPr>
          <w:lang w:val="en-CA"/>
        </w:rPr>
        <w:t xml:space="preserve">the </w:t>
      </w:r>
      <w:r w:rsidR="00A77B76" w:rsidRPr="006A01A8">
        <w:rPr>
          <w:lang w:val="en-CA"/>
        </w:rPr>
        <w:t>confidentiality undertakings related to the disclosure of the evidence</w:t>
      </w:r>
      <w:r w:rsidR="00B3704B">
        <w:rPr>
          <w:lang w:val="en-CA"/>
        </w:rPr>
        <w:t>;</w:t>
      </w:r>
      <w:r w:rsidR="00B3704B" w:rsidRPr="006A01A8">
        <w:rPr>
          <w:lang w:val="en-CA"/>
        </w:rPr>
        <w:t xml:space="preserve"> </w:t>
      </w:r>
      <w:r w:rsidR="00B3704B">
        <w:rPr>
          <w:lang w:val="en-CA"/>
        </w:rPr>
        <w:t xml:space="preserve">and </w:t>
      </w:r>
      <w:r w:rsidR="00A77B76" w:rsidRPr="006A01A8">
        <w:rPr>
          <w:lang w:val="en-CA"/>
        </w:rPr>
        <w:t xml:space="preserve">the length of the trial </w:t>
      </w:r>
      <w:proofErr w:type="gramStart"/>
      <w:r w:rsidR="00A77B76" w:rsidRPr="006A01A8">
        <w:rPr>
          <w:lang w:val="en-CA"/>
        </w:rPr>
        <w:t>as a result of</w:t>
      </w:r>
      <w:proofErr w:type="gramEnd"/>
      <w:r w:rsidR="00A77B76" w:rsidRPr="006A01A8">
        <w:rPr>
          <w:lang w:val="en-CA"/>
        </w:rPr>
        <w:t xml:space="preserve"> vast computer evidence</w:t>
      </w:r>
      <w:r w:rsidR="00B3704B">
        <w:rPr>
          <w:lang w:val="en-CA"/>
        </w:rPr>
        <w:t>,</w:t>
      </w:r>
      <w:r w:rsidR="00A77B76" w:rsidRPr="006A01A8">
        <w:rPr>
          <w:lang w:val="en-CA"/>
        </w:rPr>
        <w:t xml:space="preserve"> without</w:t>
      </w:r>
      <w:r w:rsidR="000D5B67">
        <w:rPr>
          <w:lang w:val="en-CA"/>
        </w:rPr>
        <w:t xml:space="preserve"> any</w:t>
      </w:r>
      <w:r w:rsidR="00A77B76" w:rsidRPr="006A01A8">
        <w:rPr>
          <w:lang w:val="en-CA"/>
        </w:rPr>
        <w:t xml:space="preserve"> admission</w:t>
      </w:r>
      <w:r w:rsidR="000D5B67">
        <w:rPr>
          <w:lang w:val="en-CA"/>
        </w:rPr>
        <w:t>s</w:t>
      </w:r>
      <w:r w:rsidR="00A77B76" w:rsidRPr="006A01A8">
        <w:rPr>
          <w:lang w:val="en-CA"/>
        </w:rPr>
        <w:t xml:space="preserve"> and continuously translated.</w:t>
      </w:r>
    </w:p>
    <w:p w14:paraId="310030D8" w14:textId="7672ACAD" w:rsidR="00CC3EEB" w:rsidRPr="006A01A8" w:rsidRDefault="00A77B76" w:rsidP="00E007AA">
      <w:pPr>
        <w:pStyle w:val="Tiret"/>
        <w:numPr>
          <w:ilvl w:val="0"/>
          <w:numId w:val="21"/>
        </w:numPr>
        <w:spacing w:line="280" w:lineRule="exact"/>
        <w:rPr>
          <w:lang w:val="en-CA"/>
        </w:rPr>
      </w:pPr>
      <w:r w:rsidRPr="006A01A8">
        <w:rPr>
          <w:lang w:val="en-CA"/>
        </w:rPr>
        <w:t xml:space="preserve">In concluding that the pandemic had no effect on the delays </w:t>
      </w:r>
      <w:r w:rsidR="000D5B67">
        <w:rPr>
          <w:lang w:val="en-CA"/>
        </w:rPr>
        <w:t>for setting</w:t>
      </w:r>
      <w:r w:rsidRPr="006A01A8">
        <w:rPr>
          <w:lang w:val="en-CA"/>
        </w:rPr>
        <w:t xml:space="preserve"> </w:t>
      </w:r>
      <w:r w:rsidR="004D5006">
        <w:rPr>
          <w:lang w:val="en-CA"/>
        </w:rPr>
        <w:t xml:space="preserve">a </w:t>
      </w:r>
      <w:r w:rsidR="00B3704B">
        <w:rPr>
          <w:lang w:val="en-CA"/>
        </w:rPr>
        <w:t xml:space="preserve">trial </w:t>
      </w:r>
      <w:r w:rsidR="004D5006">
        <w:rPr>
          <w:lang w:val="en-CA"/>
        </w:rPr>
        <w:t>date</w:t>
      </w:r>
      <w:r w:rsidRPr="006A01A8">
        <w:rPr>
          <w:lang w:val="en-CA"/>
        </w:rPr>
        <w:t>.</w:t>
      </w:r>
    </w:p>
    <w:p w14:paraId="6F5E9B1E" w14:textId="7EA90986" w:rsidR="00CC3EEB" w:rsidRPr="006A01A8" w:rsidRDefault="00A77B76" w:rsidP="00E007AA">
      <w:pPr>
        <w:pStyle w:val="JgtParagraphe"/>
        <w:spacing w:line="280" w:lineRule="exact"/>
        <w:rPr>
          <w:lang w:val="en-CA"/>
        </w:rPr>
      </w:pPr>
      <w:r w:rsidRPr="006A01A8">
        <w:rPr>
          <w:lang w:val="en-CA"/>
        </w:rPr>
        <w:t xml:space="preserve">In my view, the first two </w:t>
      </w:r>
      <w:r w:rsidR="008E5FF7">
        <w:rPr>
          <w:lang w:val="en-CA"/>
        </w:rPr>
        <w:t>items</w:t>
      </w:r>
      <w:r w:rsidR="004D5006">
        <w:rPr>
          <w:lang w:val="en-CA"/>
        </w:rPr>
        <w:t xml:space="preserve"> </w:t>
      </w:r>
      <w:r w:rsidRPr="006A01A8">
        <w:rPr>
          <w:lang w:val="en-CA"/>
        </w:rPr>
        <w:t>raise the issue of the starting point and of the applicable ceiling.</w:t>
      </w:r>
      <w:r w:rsidR="002C1928" w:rsidRPr="006A01A8">
        <w:rPr>
          <w:lang w:val="en-CA"/>
        </w:rPr>
        <w:t xml:space="preserve"> </w:t>
      </w:r>
      <w:r w:rsidRPr="006A01A8">
        <w:rPr>
          <w:lang w:val="en-CA"/>
        </w:rPr>
        <w:t xml:space="preserve">I will address </w:t>
      </w:r>
      <w:r w:rsidR="008E5FF7">
        <w:rPr>
          <w:lang w:val="en-CA"/>
        </w:rPr>
        <w:t>issues</w:t>
      </w:r>
      <w:r w:rsidRPr="006A01A8">
        <w:rPr>
          <w:lang w:val="en-CA"/>
        </w:rPr>
        <w:t xml:space="preserve"> 3 and 6 together, as they concern the pandemic.</w:t>
      </w:r>
      <w:r w:rsidR="002C1928" w:rsidRPr="006A01A8">
        <w:rPr>
          <w:lang w:val="en-CA"/>
        </w:rPr>
        <w:t xml:space="preserve"> </w:t>
      </w:r>
      <w:r w:rsidRPr="006A01A8">
        <w:rPr>
          <w:lang w:val="en-CA"/>
        </w:rPr>
        <w:t xml:space="preserve">Then </w:t>
      </w:r>
      <w:r w:rsidR="008E5FF7">
        <w:rPr>
          <w:lang w:val="en-CA"/>
        </w:rPr>
        <w:t>issues</w:t>
      </w:r>
      <w:r w:rsidRPr="006A01A8">
        <w:rPr>
          <w:lang w:val="en-CA"/>
        </w:rPr>
        <w:t xml:space="preserve"> 4 and 5 will be discussed.</w:t>
      </w:r>
    </w:p>
    <w:p w14:paraId="1B71C723" w14:textId="465E1C57" w:rsidR="00CC3EEB" w:rsidRPr="006A01A8" w:rsidRDefault="008E5FF7" w:rsidP="00E007AA">
      <w:pPr>
        <w:pStyle w:val="Paragraphe"/>
        <w:spacing w:line="280" w:lineRule="exact"/>
        <w:rPr>
          <w:lang w:val="en-CA"/>
        </w:rPr>
      </w:pPr>
      <w:r>
        <w:rPr>
          <w:lang w:val="en-CA"/>
        </w:rPr>
        <w:t>Therefore, h</w:t>
      </w:r>
      <w:r w:rsidR="00A77B76" w:rsidRPr="006A01A8">
        <w:rPr>
          <w:lang w:val="en-CA"/>
        </w:rPr>
        <w:t xml:space="preserve">ere are the four </w:t>
      </w:r>
      <w:r w:rsidR="00BB70DC" w:rsidRPr="006A01A8">
        <w:rPr>
          <w:lang w:val="en-CA"/>
        </w:rPr>
        <w:t>issues</w:t>
      </w:r>
      <w:r w:rsidR="00A77B76" w:rsidRPr="006A01A8">
        <w:rPr>
          <w:lang w:val="en-CA"/>
        </w:rPr>
        <w:t xml:space="preserve"> in this appeal:</w:t>
      </w:r>
    </w:p>
    <w:p w14:paraId="76F1394B" w14:textId="5BDABAB5" w:rsidR="00CC3EEB" w:rsidRPr="006A01A8" w:rsidRDefault="00A77B76" w:rsidP="00E007AA">
      <w:pPr>
        <w:pStyle w:val="Paragraphedeliste"/>
        <w:numPr>
          <w:ilvl w:val="0"/>
          <w:numId w:val="22"/>
        </w:numPr>
        <w:rPr>
          <w:lang w:val="en-CA"/>
        </w:rPr>
      </w:pPr>
      <w:r w:rsidRPr="006A01A8">
        <w:rPr>
          <w:lang w:val="en-CA"/>
        </w:rPr>
        <w:t xml:space="preserve">The </w:t>
      </w:r>
      <w:r w:rsidR="0034326C">
        <w:rPr>
          <w:lang w:val="en-CA"/>
        </w:rPr>
        <w:t>computation of time</w:t>
      </w:r>
      <w:r w:rsidRPr="006A01A8">
        <w:rPr>
          <w:lang w:val="en-CA"/>
        </w:rPr>
        <w:t>: starting point, applicable ceiling.</w:t>
      </w:r>
      <w:r w:rsidR="002C1928" w:rsidRPr="006A01A8">
        <w:rPr>
          <w:lang w:val="en-CA"/>
        </w:rPr>
        <w:t xml:space="preserve"> </w:t>
      </w:r>
    </w:p>
    <w:p w14:paraId="1F2FD933" w14:textId="079DABAA" w:rsidR="00CC3EEB" w:rsidRPr="006A01A8" w:rsidRDefault="00A77B76" w:rsidP="00E007AA">
      <w:pPr>
        <w:pStyle w:val="Paragraphe"/>
        <w:numPr>
          <w:ilvl w:val="0"/>
          <w:numId w:val="22"/>
        </w:numPr>
        <w:spacing w:line="280" w:lineRule="exact"/>
        <w:rPr>
          <w:lang w:val="en-CA"/>
        </w:rPr>
      </w:pPr>
      <w:r w:rsidRPr="006A01A8">
        <w:rPr>
          <w:lang w:val="en-CA"/>
        </w:rPr>
        <w:t>The effects of the pandemic.</w:t>
      </w:r>
    </w:p>
    <w:p w14:paraId="09AC432F" w14:textId="1C27AEE4" w:rsidR="00CC3EEB" w:rsidRPr="006A01A8" w:rsidRDefault="00A77B76" w:rsidP="00E007AA">
      <w:pPr>
        <w:pStyle w:val="Paragraphedeliste"/>
        <w:numPr>
          <w:ilvl w:val="0"/>
          <w:numId w:val="22"/>
        </w:numPr>
        <w:rPr>
          <w:kern w:val="28"/>
          <w:lang w:val="en-CA"/>
        </w:rPr>
      </w:pPr>
      <w:r w:rsidRPr="006A01A8">
        <w:rPr>
          <w:lang w:val="en-CA"/>
        </w:rPr>
        <w:t>The defence’s responsibility for the delays.</w:t>
      </w:r>
    </w:p>
    <w:p w14:paraId="309A2AC2" w14:textId="2A1DD596" w:rsidR="00CC3EEB" w:rsidRPr="006A01A8" w:rsidRDefault="00A77B76" w:rsidP="00E007AA">
      <w:pPr>
        <w:pStyle w:val="Paragraphe"/>
        <w:numPr>
          <w:ilvl w:val="0"/>
          <w:numId w:val="22"/>
        </w:numPr>
        <w:spacing w:line="280" w:lineRule="exact"/>
        <w:rPr>
          <w:lang w:val="en-CA"/>
        </w:rPr>
      </w:pPr>
      <w:r w:rsidRPr="006A01A8">
        <w:rPr>
          <w:lang w:val="en-CA"/>
        </w:rPr>
        <w:t>The complexity of the case.</w:t>
      </w:r>
    </w:p>
    <w:p w14:paraId="25670F4C" w14:textId="04003B6C" w:rsidR="00CC3EEB" w:rsidRPr="006A01A8" w:rsidRDefault="00A77B76" w:rsidP="00E007AA">
      <w:pPr>
        <w:pStyle w:val="JgtParagraphe"/>
        <w:spacing w:line="280" w:lineRule="exact"/>
        <w:rPr>
          <w:lang w:val="en-CA"/>
        </w:rPr>
      </w:pPr>
      <w:r w:rsidRPr="006A01A8">
        <w:rPr>
          <w:lang w:val="en-CA"/>
        </w:rPr>
        <w:t>In my view, two starting points had to be attributed in the circumstances.</w:t>
      </w:r>
      <w:r w:rsidR="002C1928" w:rsidRPr="006A01A8">
        <w:rPr>
          <w:lang w:val="en-CA"/>
        </w:rPr>
        <w:t xml:space="preserve"> </w:t>
      </w:r>
      <w:r w:rsidRPr="006A01A8">
        <w:rPr>
          <w:lang w:val="en-CA"/>
        </w:rPr>
        <w:t>Moreover, the applicable ceiling is 18 months.</w:t>
      </w:r>
      <w:r w:rsidR="002C1928" w:rsidRPr="006A01A8">
        <w:rPr>
          <w:lang w:val="en-CA"/>
        </w:rPr>
        <w:t xml:space="preserve"> </w:t>
      </w:r>
      <w:r w:rsidRPr="006A01A8">
        <w:rPr>
          <w:lang w:val="en-CA"/>
        </w:rPr>
        <w:t>In the circumstances, the pandemic had no effect on the delays.</w:t>
      </w:r>
      <w:r w:rsidR="002C1928" w:rsidRPr="006A01A8">
        <w:rPr>
          <w:lang w:val="en-CA"/>
        </w:rPr>
        <w:t xml:space="preserve"> </w:t>
      </w:r>
      <w:r w:rsidRPr="006A01A8">
        <w:rPr>
          <w:lang w:val="en-CA"/>
        </w:rPr>
        <w:t xml:space="preserve">As for the last two </w:t>
      </w:r>
      <w:r w:rsidR="005F024D" w:rsidRPr="006A01A8">
        <w:rPr>
          <w:lang w:val="en-CA"/>
        </w:rPr>
        <w:t>questions, deference</w:t>
      </w:r>
      <w:r w:rsidRPr="006A01A8">
        <w:rPr>
          <w:lang w:val="en-CA"/>
        </w:rPr>
        <w:t xml:space="preserve"> </w:t>
      </w:r>
      <w:r w:rsidR="008E5FF7">
        <w:rPr>
          <w:lang w:val="en-CA"/>
        </w:rPr>
        <w:t xml:space="preserve">is </w:t>
      </w:r>
      <w:r w:rsidRPr="006A01A8">
        <w:rPr>
          <w:lang w:val="en-CA"/>
        </w:rPr>
        <w:t xml:space="preserve">owed to the lower court decision, </w:t>
      </w:r>
      <w:r w:rsidRPr="006A01A8">
        <w:rPr>
          <w:lang w:val="en-CA"/>
        </w:rPr>
        <w:lastRenderedPageBreak/>
        <w:t>and what is more, the appellant failed to establish any ground warranting the Court’s intervention.</w:t>
      </w:r>
    </w:p>
    <w:p w14:paraId="7DC2A0A3" w14:textId="57A2C3EB" w:rsidR="00CC3EEB" w:rsidRPr="006A01A8" w:rsidRDefault="00A77B76" w:rsidP="00E007AA">
      <w:pPr>
        <w:pStyle w:val="JgtPositionniv1"/>
        <w:spacing w:line="280" w:lineRule="exact"/>
        <w:rPr>
          <w:lang w:val="en-CA"/>
        </w:rPr>
      </w:pPr>
      <w:r w:rsidRPr="006A01A8">
        <w:rPr>
          <w:lang w:val="en-CA"/>
        </w:rPr>
        <w:t>Background</w:t>
      </w:r>
      <w:r w:rsidR="002C1928" w:rsidRPr="006A01A8">
        <w:rPr>
          <w:lang w:val="en-CA"/>
        </w:rPr>
        <w:t xml:space="preserve"> </w:t>
      </w:r>
    </w:p>
    <w:p w14:paraId="2E9978BD" w14:textId="12B0DE5B" w:rsidR="00CC3EEB" w:rsidRPr="006A01A8" w:rsidRDefault="00A77B76" w:rsidP="00E007AA">
      <w:pPr>
        <w:pStyle w:val="JgtPositionniv2"/>
        <w:spacing w:line="280" w:lineRule="exact"/>
        <w:rPr>
          <w:lang w:val="en-CA"/>
        </w:rPr>
      </w:pPr>
      <w:r w:rsidRPr="006A01A8">
        <w:rPr>
          <w:lang w:val="en-CA"/>
        </w:rPr>
        <w:t>Procedural evolution</w:t>
      </w:r>
    </w:p>
    <w:p w14:paraId="50B9B750" w14:textId="45A115E6" w:rsidR="00CC3EEB" w:rsidRPr="006A01A8" w:rsidRDefault="00A77B76" w:rsidP="00E007AA">
      <w:pPr>
        <w:pStyle w:val="JgtPositionniv3"/>
        <w:spacing w:line="280" w:lineRule="exact"/>
        <w:rPr>
          <w:lang w:val="en-CA"/>
        </w:rPr>
      </w:pPr>
      <w:r w:rsidRPr="006A01A8">
        <w:rPr>
          <w:lang w:val="en-CA"/>
        </w:rPr>
        <w:t xml:space="preserve">Initial file </w:t>
      </w:r>
      <w:r w:rsidR="008E5FF7">
        <w:rPr>
          <w:lang w:val="en-CA"/>
        </w:rPr>
        <w:t>from</w:t>
      </w:r>
      <w:r w:rsidRPr="006A01A8">
        <w:rPr>
          <w:lang w:val="en-CA"/>
        </w:rPr>
        <w:t xml:space="preserve"> January 2020</w:t>
      </w:r>
    </w:p>
    <w:p w14:paraId="7FBA4AEE" w14:textId="3E1E2C10" w:rsidR="00CC3EEB" w:rsidRPr="006A01A8" w:rsidRDefault="00A77B76" w:rsidP="00E007AA">
      <w:pPr>
        <w:pStyle w:val="Paragraphe"/>
        <w:spacing w:line="280" w:lineRule="exact"/>
        <w:rPr>
          <w:lang w:val="en-CA"/>
        </w:rPr>
      </w:pPr>
      <w:r w:rsidRPr="006A01A8">
        <w:rPr>
          <w:rFonts w:cs="Arial"/>
          <w:lang w:val="en-CA"/>
        </w:rPr>
        <w:t>The respondents, Félix Costanzo-Peterson (</w:t>
      </w:r>
      <w:r w:rsidR="005F024D">
        <w:rPr>
          <w:rFonts w:cs="Arial"/>
          <w:lang w:val="en-CA"/>
        </w:rPr>
        <w:t>“</w:t>
      </w:r>
      <w:r w:rsidRPr="006A01A8">
        <w:rPr>
          <w:rFonts w:cs="Arial"/>
          <w:lang w:val="en-CA"/>
        </w:rPr>
        <w:t>Félix”) and Jacob Costanzo-Peterson (</w:t>
      </w:r>
      <w:r w:rsidR="001A7CC1">
        <w:rPr>
          <w:rFonts w:cs="Arial"/>
          <w:lang w:val="en-CA"/>
        </w:rPr>
        <w:t>“</w:t>
      </w:r>
      <w:r w:rsidR="004E24A8">
        <w:rPr>
          <w:rFonts w:cs="Arial"/>
          <w:lang w:val="en-CA"/>
        </w:rPr>
        <w:t>J</w:t>
      </w:r>
      <w:r w:rsidRPr="006A01A8">
        <w:rPr>
          <w:rFonts w:cs="Arial"/>
          <w:lang w:val="en-CA"/>
        </w:rPr>
        <w:t xml:space="preserve">acob”) were initially </w:t>
      </w:r>
      <w:r w:rsidR="009A3C15">
        <w:rPr>
          <w:rFonts w:cs="Arial"/>
          <w:lang w:val="en-CA"/>
        </w:rPr>
        <w:t>charged</w:t>
      </w:r>
      <w:r w:rsidR="009A3C15" w:rsidRPr="006A01A8">
        <w:rPr>
          <w:rFonts w:cs="Arial"/>
          <w:lang w:val="en-CA"/>
        </w:rPr>
        <w:t xml:space="preserve"> </w:t>
      </w:r>
      <w:r w:rsidRPr="006A01A8">
        <w:rPr>
          <w:rFonts w:cs="Arial"/>
          <w:lang w:val="en-CA"/>
        </w:rPr>
        <w:t xml:space="preserve">in the same file, </w:t>
      </w:r>
      <w:r w:rsidR="001A7CC1">
        <w:rPr>
          <w:rFonts w:cs="Arial"/>
          <w:lang w:val="en-CA"/>
        </w:rPr>
        <w:t>no</w:t>
      </w:r>
      <w:r w:rsidRPr="006A01A8">
        <w:rPr>
          <w:rFonts w:cs="Arial"/>
          <w:lang w:val="en-CA"/>
        </w:rPr>
        <w:t>. 500-01</w:t>
      </w:r>
      <w:r w:rsidR="009A3C15">
        <w:rPr>
          <w:rFonts w:cs="Arial"/>
          <w:lang w:val="en-CA"/>
        </w:rPr>
        <w:t>-</w:t>
      </w:r>
      <w:r w:rsidRPr="006A01A8">
        <w:rPr>
          <w:rFonts w:cs="Arial"/>
          <w:lang w:val="en-CA"/>
        </w:rPr>
        <w:t>0186421-191, which included 20 counts prosecuted by indictment.</w:t>
      </w:r>
      <w:r w:rsidR="002C1928" w:rsidRPr="006A01A8">
        <w:rPr>
          <w:rFonts w:cs="Arial"/>
          <w:lang w:val="en-CA"/>
        </w:rPr>
        <w:t xml:space="preserve"> </w:t>
      </w:r>
      <w:r w:rsidRPr="006A01A8">
        <w:rPr>
          <w:rFonts w:cs="Arial"/>
          <w:lang w:val="en-CA"/>
        </w:rPr>
        <w:t xml:space="preserve">Jacob was charged with </w:t>
      </w:r>
      <w:r w:rsidR="000D5B67">
        <w:rPr>
          <w:rFonts w:cs="Arial"/>
          <w:lang w:val="en-CA"/>
        </w:rPr>
        <w:t>6</w:t>
      </w:r>
      <w:r w:rsidR="000D5B67" w:rsidRPr="006A01A8">
        <w:rPr>
          <w:rFonts w:cs="Arial"/>
          <w:lang w:val="en-CA"/>
        </w:rPr>
        <w:t xml:space="preserve"> </w:t>
      </w:r>
      <w:r w:rsidRPr="006A01A8">
        <w:rPr>
          <w:rFonts w:cs="Arial"/>
          <w:lang w:val="en-CA"/>
        </w:rPr>
        <w:t>counts of possession of various prohibited weapons or devices on a specific day, whereas Félix was charged with 14 counts, some of which were similar while others concerned weapons trafficking for var</w:t>
      </w:r>
      <w:r w:rsidR="001A7CC1">
        <w:rPr>
          <w:rFonts w:cs="Arial"/>
          <w:lang w:val="en-CA"/>
        </w:rPr>
        <w:t>ying</w:t>
      </w:r>
      <w:r w:rsidRPr="006A01A8">
        <w:rPr>
          <w:rFonts w:cs="Arial"/>
          <w:lang w:val="en-CA"/>
        </w:rPr>
        <w:t xml:space="preserve"> periods</w:t>
      </w:r>
      <w:r w:rsidR="001A7CC1">
        <w:rPr>
          <w:rFonts w:cs="Arial"/>
          <w:lang w:val="en-CA"/>
        </w:rPr>
        <w:t>:</w:t>
      </w:r>
      <w:r w:rsidR="002C1928" w:rsidRPr="006A01A8">
        <w:rPr>
          <w:rFonts w:cs="Arial"/>
          <w:lang w:val="en-CA"/>
        </w:rPr>
        <w:t xml:space="preserve"> </w:t>
      </w:r>
      <w:r w:rsidRPr="006A01A8">
        <w:rPr>
          <w:rFonts w:cs="Arial"/>
          <w:lang w:val="en-CA"/>
        </w:rPr>
        <w:t>ss.</w:t>
      </w:r>
      <w:r w:rsidR="002C1928" w:rsidRPr="006A01A8">
        <w:rPr>
          <w:rFonts w:cs="Arial"/>
          <w:lang w:val="en-CA"/>
        </w:rPr>
        <w:t> </w:t>
      </w:r>
      <w:r w:rsidRPr="006A01A8">
        <w:rPr>
          <w:rFonts w:cs="Arial"/>
          <w:lang w:val="en-CA"/>
        </w:rPr>
        <w:t>92, 95 and 99 </w:t>
      </w:r>
      <w:r w:rsidRPr="006A01A8">
        <w:rPr>
          <w:rFonts w:cs="Arial"/>
          <w:i/>
          <w:lang w:val="en-CA"/>
        </w:rPr>
        <w:t>Cr.</w:t>
      </w:r>
      <w:r w:rsidR="008E5FF7">
        <w:rPr>
          <w:rFonts w:cs="Arial"/>
          <w:i/>
          <w:lang w:val="en-CA"/>
        </w:rPr>
        <w:t xml:space="preserve"> C.</w:t>
      </w:r>
      <w:r w:rsidRPr="006A01A8">
        <w:rPr>
          <w:rFonts w:cs="Arial"/>
          <w:i/>
          <w:lang w:val="en-CA"/>
        </w:rPr>
        <w:t xml:space="preserve"> </w:t>
      </w:r>
      <w:r w:rsidR="002C1928" w:rsidRPr="006A01A8">
        <w:rPr>
          <w:lang w:val="en-CA"/>
        </w:rPr>
        <w:t xml:space="preserve"> </w:t>
      </w:r>
      <w:r w:rsidRPr="006A01A8">
        <w:rPr>
          <w:lang w:val="en-CA"/>
        </w:rPr>
        <w:t>An arrest warrant was issued on January 27, 2020.</w:t>
      </w:r>
      <w:r w:rsidR="002C1928" w:rsidRPr="006A01A8">
        <w:rPr>
          <w:lang w:val="en-CA"/>
        </w:rPr>
        <w:t xml:space="preserve"> </w:t>
      </w:r>
    </w:p>
    <w:p w14:paraId="28D9889E" w14:textId="3FB941A3" w:rsidR="00CC3EEB" w:rsidRPr="006A01A8" w:rsidRDefault="00A77B76" w:rsidP="00E007AA">
      <w:pPr>
        <w:pStyle w:val="Paragraphe"/>
        <w:spacing w:line="280" w:lineRule="exact"/>
        <w:rPr>
          <w:lang w:val="en-CA"/>
        </w:rPr>
      </w:pPr>
      <w:r w:rsidRPr="006A01A8">
        <w:rPr>
          <w:lang w:val="en-CA"/>
        </w:rPr>
        <w:t xml:space="preserve">The respondents formally appeared on </w:t>
      </w:r>
      <w:r w:rsidR="005F024D" w:rsidRPr="006A01A8">
        <w:rPr>
          <w:lang w:val="en-CA"/>
        </w:rPr>
        <w:t>January</w:t>
      </w:r>
      <w:r w:rsidRPr="006A01A8">
        <w:rPr>
          <w:lang w:val="en-CA"/>
        </w:rPr>
        <w:t xml:space="preserve"> </w:t>
      </w:r>
      <w:r w:rsidR="009A3C15">
        <w:rPr>
          <w:lang w:val="en-CA"/>
        </w:rPr>
        <w:t>3</w:t>
      </w:r>
      <w:r w:rsidR="009A3C15" w:rsidRPr="006A01A8">
        <w:rPr>
          <w:lang w:val="en-CA"/>
        </w:rPr>
        <w:t>1</w:t>
      </w:r>
      <w:r w:rsidRPr="006A01A8">
        <w:rPr>
          <w:lang w:val="en-CA"/>
        </w:rPr>
        <w:t xml:space="preserve">, 2020, and </w:t>
      </w:r>
      <w:r w:rsidR="00711DEC">
        <w:rPr>
          <w:rFonts w:cs="Arial"/>
          <w:color w:val="000000"/>
          <w:lang w:val="en-CA"/>
        </w:rPr>
        <w:t>[</w:t>
      </w:r>
      <w:r w:rsidR="00711DEC" w:rsidRPr="00711DEC">
        <w:rPr>
          <w:rFonts w:cs="Arial"/>
          <w:smallCaps/>
          <w:color w:val="000000"/>
          <w:lang w:val="en-CA"/>
        </w:rPr>
        <w:t>translation</w:t>
      </w:r>
      <w:r w:rsidR="00711DEC">
        <w:rPr>
          <w:rFonts w:cs="Arial"/>
          <w:smallCaps/>
          <w:color w:val="000000"/>
          <w:lang w:val="en-CA"/>
        </w:rPr>
        <w:t>]</w:t>
      </w:r>
      <w:r w:rsidR="00711DEC" w:rsidRPr="006A01A8">
        <w:rPr>
          <w:rFonts w:cs="Arial"/>
          <w:color w:val="000000"/>
          <w:lang w:val="en-CA"/>
        </w:rPr>
        <w:t xml:space="preserve"> </w:t>
      </w:r>
      <w:r w:rsidRPr="006A01A8">
        <w:rPr>
          <w:lang w:val="en-CA"/>
        </w:rPr>
        <w:t>“reserved their election”.</w:t>
      </w:r>
      <w:r w:rsidR="002C1928" w:rsidRPr="006A01A8">
        <w:rPr>
          <w:lang w:val="en-CA"/>
        </w:rPr>
        <w:t xml:space="preserve"> </w:t>
      </w:r>
      <w:r w:rsidRPr="006A01A8">
        <w:rPr>
          <w:lang w:val="en-CA"/>
        </w:rPr>
        <w:t xml:space="preserve">The </w:t>
      </w:r>
      <w:r w:rsidR="009A3C15">
        <w:rPr>
          <w:lang w:val="en-CA"/>
        </w:rPr>
        <w:t>case was to return before the Court</w:t>
      </w:r>
      <w:r w:rsidR="009A3C15" w:rsidRPr="006A01A8">
        <w:rPr>
          <w:lang w:val="en-CA"/>
        </w:rPr>
        <w:t xml:space="preserve"> </w:t>
      </w:r>
      <w:r w:rsidRPr="006A01A8">
        <w:rPr>
          <w:lang w:val="en-CA"/>
        </w:rPr>
        <w:t>two months later, on April</w:t>
      </w:r>
      <w:r w:rsidR="00E1379D">
        <w:rPr>
          <w:lang w:val="en-CA"/>
        </w:rPr>
        <w:t> 1,</w:t>
      </w:r>
      <w:r w:rsidR="009A3C15">
        <w:rPr>
          <w:lang w:val="en-CA"/>
        </w:rPr>
        <w:t xml:space="preserve"> </w:t>
      </w:r>
      <w:r w:rsidRPr="006A01A8">
        <w:rPr>
          <w:lang w:val="en-CA"/>
        </w:rPr>
        <w:t xml:space="preserve">2020, </w:t>
      </w:r>
      <w:r w:rsidR="001A7CC1">
        <w:rPr>
          <w:lang w:val="en-CA"/>
        </w:rPr>
        <w:t xml:space="preserve">but </w:t>
      </w:r>
      <w:r w:rsidRPr="006A01A8">
        <w:rPr>
          <w:lang w:val="en-CA"/>
        </w:rPr>
        <w:t xml:space="preserve">it was postponed </w:t>
      </w:r>
      <w:r w:rsidR="000D5B67">
        <w:rPr>
          <w:lang w:val="en-CA"/>
        </w:rPr>
        <w:t>on that date</w:t>
      </w:r>
      <w:r w:rsidR="000D5B67" w:rsidRPr="006A01A8">
        <w:rPr>
          <w:lang w:val="en-CA"/>
        </w:rPr>
        <w:t xml:space="preserve"> </w:t>
      </w:r>
      <w:r w:rsidR="00E1379D">
        <w:rPr>
          <w:lang w:val="en-CA"/>
        </w:rPr>
        <w:t>to</w:t>
      </w:r>
      <w:r w:rsidRPr="006A01A8">
        <w:rPr>
          <w:lang w:val="en-CA"/>
        </w:rPr>
        <w:t xml:space="preserve"> June 29, 2020.</w:t>
      </w:r>
      <w:r w:rsidR="002C1928" w:rsidRPr="006A01A8">
        <w:rPr>
          <w:lang w:val="en-CA"/>
        </w:rPr>
        <w:t xml:space="preserve"> </w:t>
      </w:r>
      <w:r w:rsidRPr="006A01A8">
        <w:rPr>
          <w:lang w:val="en-CA"/>
        </w:rPr>
        <w:t xml:space="preserve">This second period of 2 months and 29 days corresponds to the </w:t>
      </w:r>
      <w:r w:rsidR="00E1379D">
        <w:rPr>
          <w:lang w:val="en-CA"/>
        </w:rPr>
        <w:t xml:space="preserve">halt </w:t>
      </w:r>
      <w:r w:rsidRPr="006A01A8">
        <w:rPr>
          <w:lang w:val="en-CA"/>
        </w:rPr>
        <w:t xml:space="preserve">of activities due to the </w:t>
      </w:r>
      <w:r w:rsidR="009A3C15">
        <w:rPr>
          <w:lang w:val="en-CA"/>
        </w:rPr>
        <w:t xml:space="preserve">public </w:t>
      </w:r>
      <w:r w:rsidRPr="006A01A8">
        <w:rPr>
          <w:lang w:val="en-CA"/>
        </w:rPr>
        <w:t>health crisis.</w:t>
      </w:r>
      <w:r w:rsidR="002C1928" w:rsidRPr="006A01A8">
        <w:rPr>
          <w:lang w:val="en-CA"/>
        </w:rPr>
        <w:t xml:space="preserve"> </w:t>
      </w:r>
      <w:r w:rsidRPr="006A01A8">
        <w:rPr>
          <w:lang w:val="en-CA"/>
        </w:rPr>
        <w:t>Everyone agree</w:t>
      </w:r>
      <w:r w:rsidR="00E1379D">
        <w:rPr>
          <w:lang w:val="en-CA"/>
        </w:rPr>
        <w:t>s</w:t>
      </w:r>
      <w:r w:rsidRPr="006A01A8">
        <w:rPr>
          <w:lang w:val="en-CA"/>
        </w:rPr>
        <w:t xml:space="preserve"> that </w:t>
      </w:r>
      <w:r w:rsidR="001A7CC1">
        <w:rPr>
          <w:lang w:val="en-CA"/>
        </w:rPr>
        <w:t>this period</w:t>
      </w:r>
      <w:r w:rsidRPr="006A01A8">
        <w:rPr>
          <w:lang w:val="en-CA"/>
        </w:rPr>
        <w:t xml:space="preserve"> </w:t>
      </w:r>
      <w:r w:rsidR="00E1379D">
        <w:rPr>
          <w:lang w:val="en-CA"/>
        </w:rPr>
        <w:t xml:space="preserve">must </w:t>
      </w:r>
      <w:r w:rsidRPr="006A01A8">
        <w:rPr>
          <w:lang w:val="en-CA"/>
        </w:rPr>
        <w:t>be subtracted from the total delay.</w:t>
      </w:r>
      <w:r w:rsidR="002C1928" w:rsidRPr="006A01A8">
        <w:rPr>
          <w:lang w:val="en-CA"/>
        </w:rPr>
        <w:t xml:space="preserve"> </w:t>
      </w:r>
    </w:p>
    <w:p w14:paraId="3C5AEE7D" w14:textId="12CC87C7" w:rsidR="00CC3EEB" w:rsidRPr="006A01A8" w:rsidRDefault="00A77B76" w:rsidP="00E007AA">
      <w:pPr>
        <w:pStyle w:val="Paragraphe"/>
        <w:spacing w:line="280" w:lineRule="exact"/>
        <w:rPr>
          <w:lang w:val="en-CA"/>
        </w:rPr>
      </w:pPr>
      <w:r w:rsidRPr="006A01A8">
        <w:rPr>
          <w:lang w:val="en-CA"/>
        </w:rPr>
        <w:t xml:space="preserve">On June 29, 2020, the appellant filed additional </w:t>
      </w:r>
      <w:r w:rsidR="003264B6" w:rsidRPr="006A01A8">
        <w:rPr>
          <w:lang w:val="en-CA"/>
        </w:rPr>
        <w:t>evidence,</w:t>
      </w:r>
      <w:r w:rsidRPr="006A01A8">
        <w:rPr>
          <w:lang w:val="en-CA"/>
        </w:rPr>
        <w:t xml:space="preserve"> and the </w:t>
      </w:r>
      <w:r w:rsidR="00567D72">
        <w:rPr>
          <w:lang w:val="en-CA"/>
        </w:rPr>
        <w:t>file</w:t>
      </w:r>
      <w:r w:rsidR="00567D72" w:rsidRPr="006A01A8">
        <w:rPr>
          <w:lang w:val="en-CA"/>
        </w:rPr>
        <w:t xml:space="preserve"> </w:t>
      </w:r>
      <w:r w:rsidRPr="006A01A8">
        <w:rPr>
          <w:lang w:val="en-CA"/>
        </w:rPr>
        <w:t>was postponed to September 3, 2020, that is, 2 months and 4 days later, to allow the respondents to examine it.</w:t>
      </w:r>
      <w:r w:rsidR="002C1928" w:rsidRPr="006A01A8">
        <w:rPr>
          <w:lang w:val="en-CA"/>
        </w:rPr>
        <w:t xml:space="preserve"> </w:t>
      </w:r>
    </w:p>
    <w:p w14:paraId="077C0A21" w14:textId="7B35D13E" w:rsidR="00CC3EEB" w:rsidRPr="006A01A8" w:rsidRDefault="00A77B76" w:rsidP="00E007AA">
      <w:pPr>
        <w:pStyle w:val="Paragraphe"/>
        <w:spacing w:line="280" w:lineRule="exact"/>
        <w:rPr>
          <w:lang w:val="en-CA"/>
        </w:rPr>
      </w:pPr>
      <w:r w:rsidRPr="006A01A8">
        <w:rPr>
          <w:lang w:val="en-CA"/>
        </w:rPr>
        <w:t xml:space="preserve">On September 3, 2020, the appellant withdrew the initial information and filed two others containing both </w:t>
      </w:r>
      <w:r w:rsidR="001A7CC1">
        <w:rPr>
          <w:lang w:val="en-CA"/>
        </w:rPr>
        <w:t xml:space="preserve">the </w:t>
      </w:r>
      <w:r w:rsidRPr="006A01A8">
        <w:rPr>
          <w:lang w:val="en-CA"/>
        </w:rPr>
        <w:t xml:space="preserve">old </w:t>
      </w:r>
      <w:r w:rsidR="00567D72">
        <w:rPr>
          <w:lang w:val="en-CA"/>
        </w:rPr>
        <w:t xml:space="preserve">charges </w:t>
      </w:r>
      <w:r w:rsidRPr="006A01A8">
        <w:rPr>
          <w:lang w:val="en-CA"/>
        </w:rPr>
        <w:t xml:space="preserve">and new </w:t>
      </w:r>
      <w:r w:rsidR="00567D72">
        <w:rPr>
          <w:lang w:val="en-CA"/>
        </w:rPr>
        <w:t>ones</w:t>
      </w:r>
      <w:r w:rsidRPr="006A01A8">
        <w:rPr>
          <w:lang w:val="en-CA"/>
        </w:rPr>
        <w:t xml:space="preserve">, </w:t>
      </w:r>
      <w:r w:rsidR="00567D72">
        <w:rPr>
          <w:lang w:val="en-CA"/>
        </w:rPr>
        <w:t>all of which were</w:t>
      </w:r>
      <w:r w:rsidRPr="006A01A8">
        <w:rPr>
          <w:lang w:val="en-CA"/>
        </w:rPr>
        <w:t xml:space="preserve"> for offences prosecuted by indictment.</w:t>
      </w:r>
    </w:p>
    <w:p w14:paraId="3C9D49DD" w14:textId="0AE9CFED" w:rsidR="00CC3EEB" w:rsidRPr="006A01A8" w:rsidRDefault="00A77B76" w:rsidP="00E007AA">
      <w:pPr>
        <w:pStyle w:val="Paragraphe"/>
        <w:spacing w:line="280" w:lineRule="exact"/>
        <w:rPr>
          <w:lang w:val="en-CA"/>
        </w:rPr>
      </w:pPr>
      <w:r w:rsidRPr="006A01A8">
        <w:rPr>
          <w:lang w:val="en-CA"/>
        </w:rPr>
        <w:t>To conclude this first chapter, we note that 7 months (and 3 days) passed between January 31, 2020, and September 3, 2020.</w:t>
      </w:r>
      <w:r w:rsidR="002C1928" w:rsidRPr="006A01A8">
        <w:rPr>
          <w:lang w:val="en-CA"/>
        </w:rPr>
        <w:t xml:space="preserve"> </w:t>
      </w:r>
    </w:p>
    <w:p w14:paraId="79276DC3" w14:textId="4778F592" w:rsidR="00CC3EEB" w:rsidRPr="006A01A8" w:rsidRDefault="00A77B76" w:rsidP="00E007AA">
      <w:pPr>
        <w:pStyle w:val="JgtPositionniv3"/>
        <w:spacing w:line="280" w:lineRule="exact"/>
        <w:rPr>
          <w:lang w:val="en-CA"/>
        </w:rPr>
      </w:pPr>
      <w:r w:rsidRPr="006A01A8">
        <w:rPr>
          <w:lang w:val="en-CA"/>
        </w:rPr>
        <w:t>New files in September 2020</w:t>
      </w:r>
    </w:p>
    <w:p w14:paraId="78AAC0CE" w14:textId="584E2A77" w:rsidR="00CC3EEB" w:rsidRPr="006A01A8" w:rsidRDefault="001A7CC1" w:rsidP="00E007AA">
      <w:pPr>
        <w:pStyle w:val="Paragraphe"/>
        <w:spacing w:line="280" w:lineRule="exact"/>
        <w:rPr>
          <w:lang w:val="en-CA"/>
        </w:rPr>
      </w:pPr>
      <w:r>
        <w:rPr>
          <w:lang w:val="en-CA"/>
        </w:rPr>
        <w:t>O</w:t>
      </w:r>
      <w:r w:rsidRPr="006A01A8">
        <w:rPr>
          <w:lang w:val="en-CA"/>
        </w:rPr>
        <w:t xml:space="preserve">n September 3, 2020, </w:t>
      </w:r>
      <w:r>
        <w:rPr>
          <w:lang w:val="en-CA"/>
        </w:rPr>
        <w:t>t</w:t>
      </w:r>
      <w:r w:rsidR="00A77B76" w:rsidRPr="006A01A8">
        <w:rPr>
          <w:lang w:val="en-CA"/>
        </w:rPr>
        <w:t>he respondents appeared in the two new files.</w:t>
      </w:r>
      <w:r w:rsidR="002C1928" w:rsidRPr="006A01A8">
        <w:rPr>
          <w:lang w:val="en-CA"/>
        </w:rPr>
        <w:t xml:space="preserve"> </w:t>
      </w:r>
      <w:r w:rsidR="00A77B76" w:rsidRPr="006A01A8">
        <w:rPr>
          <w:lang w:val="en-CA"/>
        </w:rPr>
        <w:t>File 500-01-205614-206 included the 20 counts from the withdrawn file and added</w:t>
      </w:r>
      <w:r w:rsidR="00E1379D" w:rsidRPr="00E1379D">
        <w:rPr>
          <w:lang w:val="en-CA"/>
        </w:rPr>
        <w:t xml:space="preserve"> </w:t>
      </w:r>
      <w:r w:rsidR="00567D72">
        <w:rPr>
          <w:lang w:val="en-CA"/>
        </w:rPr>
        <w:t>9</w:t>
      </w:r>
      <w:r w:rsidR="00567D72" w:rsidRPr="006A01A8">
        <w:rPr>
          <w:lang w:val="en-CA"/>
        </w:rPr>
        <w:t xml:space="preserve"> </w:t>
      </w:r>
      <w:r w:rsidR="00E1379D" w:rsidRPr="006A01A8">
        <w:rPr>
          <w:lang w:val="en-CA"/>
        </w:rPr>
        <w:t>other counts</w:t>
      </w:r>
      <w:r w:rsidR="00A77B76" w:rsidRPr="006A01A8">
        <w:rPr>
          <w:lang w:val="en-CA"/>
        </w:rPr>
        <w:t xml:space="preserve"> against Félix, charging him with cybercrime offences.</w:t>
      </w:r>
      <w:r w:rsidR="002C1928" w:rsidRPr="006A01A8">
        <w:rPr>
          <w:lang w:val="en-CA"/>
        </w:rPr>
        <w:t xml:space="preserve"> </w:t>
      </w:r>
      <w:r w:rsidR="00A77B76" w:rsidRPr="006A01A8">
        <w:rPr>
          <w:lang w:val="en-CA"/>
        </w:rPr>
        <w:t>In file 500</w:t>
      </w:r>
      <w:r w:rsidR="00E1379D">
        <w:rPr>
          <w:lang w:val="en-CA"/>
        </w:rPr>
        <w:noBreakHyphen/>
      </w:r>
      <w:r w:rsidR="00A77B76" w:rsidRPr="006A01A8">
        <w:rPr>
          <w:lang w:val="en-CA"/>
        </w:rPr>
        <w:t>01</w:t>
      </w:r>
      <w:r w:rsidR="00E1379D">
        <w:rPr>
          <w:lang w:val="en-CA"/>
        </w:rPr>
        <w:noBreakHyphen/>
      </w:r>
      <w:r w:rsidR="00A77B76" w:rsidRPr="006A01A8">
        <w:rPr>
          <w:lang w:val="en-CA"/>
        </w:rPr>
        <w:t>209183</w:t>
      </w:r>
      <w:r w:rsidR="00E1379D">
        <w:rPr>
          <w:lang w:val="en-CA"/>
        </w:rPr>
        <w:noBreakHyphen/>
      </w:r>
      <w:r w:rsidR="00A77B76" w:rsidRPr="006A01A8">
        <w:rPr>
          <w:lang w:val="en-CA"/>
        </w:rPr>
        <w:t xml:space="preserve">208, the appellant charged Jacob with </w:t>
      </w:r>
      <w:r w:rsidR="00567D72">
        <w:rPr>
          <w:lang w:val="en-CA"/>
        </w:rPr>
        <w:t>6</w:t>
      </w:r>
      <w:r w:rsidR="00567D72" w:rsidRPr="006A01A8">
        <w:rPr>
          <w:lang w:val="en-CA"/>
        </w:rPr>
        <w:t xml:space="preserve"> </w:t>
      </w:r>
      <w:r w:rsidR="00A77B76" w:rsidRPr="006A01A8">
        <w:rPr>
          <w:lang w:val="en-CA"/>
        </w:rPr>
        <w:t>new counts of possess</w:t>
      </w:r>
      <w:r w:rsidR="000D5B67">
        <w:rPr>
          <w:lang w:val="en-CA"/>
        </w:rPr>
        <w:t>ion of</w:t>
      </w:r>
      <w:r w:rsidR="00A77B76" w:rsidRPr="006A01A8">
        <w:rPr>
          <w:lang w:val="en-CA"/>
        </w:rPr>
        <w:t xml:space="preserve"> </w:t>
      </w:r>
      <w:r w:rsidR="009130C6">
        <w:rPr>
          <w:lang w:val="en-CA"/>
        </w:rPr>
        <w:t xml:space="preserve">a </w:t>
      </w:r>
      <w:r w:rsidR="00A77B76" w:rsidRPr="006A01A8">
        <w:rPr>
          <w:lang w:val="en-CA"/>
        </w:rPr>
        <w:t xml:space="preserve">weapon </w:t>
      </w:r>
      <w:r w:rsidR="00567D72">
        <w:rPr>
          <w:lang w:val="en-CA"/>
        </w:rPr>
        <w:t>contrary to</w:t>
      </w:r>
      <w:r w:rsidR="00A77B76" w:rsidRPr="006A01A8">
        <w:rPr>
          <w:lang w:val="en-CA"/>
        </w:rPr>
        <w:t xml:space="preserve"> an </w:t>
      </w:r>
      <w:r w:rsidR="00A77B76" w:rsidRPr="006A01A8">
        <w:rPr>
          <w:lang w:val="en-CA"/>
        </w:rPr>
        <w:lastRenderedPageBreak/>
        <w:t>order prohibiting him from doing so.</w:t>
      </w:r>
      <w:r w:rsidR="002C1928" w:rsidRPr="006A01A8">
        <w:rPr>
          <w:lang w:val="en-CA"/>
        </w:rPr>
        <w:t xml:space="preserve"> </w:t>
      </w:r>
      <w:r w:rsidR="00A77B76" w:rsidRPr="006A01A8">
        <w:rPr>
          <w:lang w:val="en-CA"/>
        </w:rPr>
        <w:t xml:space="preserve">These </w:t>
      </w:r>
      <w:r w:rsidR="000D5B67">
        <w:rPr>
          <w:lang w:val="en-CA"/>
        </w:rPr>
        <w:t>6</w:t>
      </w:r>
      <w:r w:rsidR="000D5B67" w:rsidRPr="006A01A8">
        <w:rPr>
          <w:lang w:val="en-CA"/>
        </w:rPr>
        <w:t xml:space="preserve"> </w:t>
      </w:r>
      <w:r w:rsidR="00A77B76" w:rsidRPr="006A01A8">
        <w:rPr>
          <w:lang w:val="en-CA"/>
        </w:rPr>
        <w:t xml:space="preserve">new counts correspond to the six cases of possession listed in the </w:t>
      </w:r>
      <w:r w:rsidR="005F024D" w:rsidRPr="006A01A8">
        <w:rPr>
          <w:lang w:val="en-CA"/>
        </w:rPr>
        <w:t>initial</w:t>
      </w:r>
      <w:r w:rsidR="00A77B76" w:rsidRPr="006A01A8">
        <w:rPr>
          <w:lang w:val="en-CA"/>
        </w:rPr>
        <w:t xml:space="preserve"> </w:t>
      </w:r>
      <w:r w:rsidR="005F024D" w:rsidRPr="006A01A8">
        <w:rPr>
          <w:lang w:val="en-CA"/>
        </w:rPr>
        <w:t>information</w:t>
      </w:r>
      <w:r w:rsidR="00A77B76" w:rsidRPr="006A01A8">
        <w:rPr>
          <w:lang w:val="en-CA"/>
        </w:rPr>
        <w:t>.</w:t>
      </w:r>
    </w:p>
    <w:p w14:paraId="49B39F7D" w14:textId="3688BACD" w:rsidR="00CC3EEB" w:rsidRPr="006A01A8" w:rsidRDefault="00A77B76" w:rsidP="00E007AA">
      <w:pPr>
        <w:pStyle w:val="Paragraphe"/>
        <w:spacing w:line="280" w:lineRule="exact"/>
        <w:rPr>
          <w:lang w:val="en-CA"/>
        </w:rPr>
      </w:pPr>
      <w:r w:rsidRPr="006A01A8">
        <w:rPr>
          <w:lang w:val="en-CA"/>
        </w:rPr>
        <w:t xml:space="preserve">Again, the respondents made no </w:t>
      </w:r>
      <w:r w:rsidR="00E1379D">
        <w:rPr>
          <w:lang w:val="en-CA"/>
        </w:rPr>
        <w:t>e</w:t>
      </w:r>
      <w:r w:rsidRPr="006A01A8">
        <w:rPr>
          <w:lang w:val="en-CA"/>
        </w:rPr>
        <w:t>lection at their appearance on September</w:t>
      </w:r>
      <w:r w:rsidR="00E1379D">
        <w:rPr>
          <w:lang w:val="en-CA"/>
        </w:rPr>
        <w:t> </w:t>
      </w:r>
      <w:r w:rsidR="00D654D9" w:rsidRPr="006A01A8">
        <w:rPr>
          <w:lang w:val="en-CA"/>
        </w:rPr>
        <w:t>3,</w:t>
      </w:r>
      <w:r w:rsidR="00D654D9">
        <w:rPr>
          <w:lang w:val="en-CA"/>
        </w:rPr>
        <w:t> 2020</w:t>
      </w:r>
      <w:r w:rsidR="001A7CC1">
        <w:rPr>
          <w:lang w:val="en-CA"/>
        </w:rPr>
        <w:t>, but rather</w:t>
      </w:r>
      <w:r w:rsidRPr="006A01A8">
        <w:rPr>
          <w:lang w:val="en-CA"/>
        </w:rPr>
        <w:t xml:space="preserve"> </w:t>
      </w:r>
      <w:r w:rsidR="00711DEC">
        <w:rPr>
          <w:rFonts w:cs="Arial"/>
          <w:color w:val="000000"/>
          <w:lang w:val="en-CA"/>
        </w:rPr>
        <w:t>[</w:t>
      </w:r>
      <w:r w:rsidR="00711DEC" w:rsidRPr="00711DEC">
        <w:rPr>
          <w:rFonts w:cs="Arial"/>
          <w:smallCaps/>
          <w:color w:val="000000"/>
          <w:lang w:val="en-CA"/>
        </w:rPr>
        <w:t>translation</w:t>
      </w:r>
      <w:r w:rsidR="00711DEC">
        <w:rPr>
          <w:rFonts w:cs="Arial"/>
          <w:smallCaps/>
          <w:color w:val="000000"/>
          <w:lang w:val="en-CA"/>
        </w:rPr>
        <w:t>]</w:t>
      </w:r>
      <w:r w:rsidR="00711DEC" w:rsidRPr="006A01A8">
        <w:rPr>
          <w:rFonts w:cs="Arial"/>
          <w:color w:val="000000"/>
          <w:lang w:val="en-CA"/>
        </w:rPr>
        <w:t xml:space="preserve"> </w:t>
      </w:r>
      <w:r w:rsidRPr="006A01A8">
        <w:rPr>
          <w:lang w:val="en-CA"/>
        </w:rPr>
        <w:t>“reserved their election”.</w:t>
      </w:r>
    </w:p>
    <w:p w14:paraId="0AFA539B" w14:textId="4B32BB4D" w:rsidR="00CC3EEB" w:rsidRPr="006A01A8" w:rsidRDefault="00A77B76" w:rsidP="00E007AA">
      <w:pPr>
        <w:pStyle w:val="Paragraphe"/>
        <w:spacing w:line="280" w:lineRule="exact"/>
        <w:rPr>
          <w:lang w:val="en-CA"/>
        </w:rPr>
      </w:pPr>
      <w:r w:rsidRPr="006A01A8">
        <w:rPr>
          <w:szCs w:val="24"/>
          <w:lang w:val="en-CA" w:eastAsia="en-US"/>
        </w:rPr>
        <w:t xml:space="preserve">The cases were </w:t>
      </w:r>
      <w:r w:rsidR="005F024D" w:rsidRPr="006A01A8">
        <w:rPr>
          <w:szCs w:val="24"/>
          <w:lang w:val="en-CA" w:eastAsia="en-US"/>
        </w:rPr>
        <w:t>postponed</w:t>
      </w:r>
      <w:r w:rsidRPr="006A01A8">
        <w:rPr>
          <w:szCs w:val="24"/>
          <w:lang w:val="en-CA" w:eastAsia="en-US"/>
        </w:rPr>
        <w:t xml:space="preserve"> to </w:t>
      </w:r>
      <w:r w:rsidR="00D97066">
        <w:rPr>
          <w:szCs w:val="24"/>
          <w:lang w:val="en-CA" w:eastAsia="en-US"/>
        </w:rPr>
        <w:t>November</w:t>
      </w:r>
      <w:r w:rsidRPr="006A01A8">
        <w:rPr>
          <w:szCs w:val="24"/>
          <w:lang w:val="en-CA" w:eastAsia="en-US"/>
        </w:rPr>
        <w:t xml:space="preserve"> </w:t>
      </w:r>
      <w:r w:rsidR="00D97066">
        <w:rPr>
          <w:szCs w:val="24"/>
          <w:lang w:val="en-CA" w:eastAsia="en-US"/>
        </w:rPr>
        <w:t>5</w:t>
      </w:r>
      <w:r w:rsidRPr="006A01A8">
        <w:rPr>
          <w:szCs w:val="24"/>
          <w:lang w:val="en-CA" w:eastAsia="en-US"/>
        </w:rPr>
        <w:t>, 2020, then to January 15, 2021.</w:t>
      </w:r>
      <w:r w:rsidR="002C1928" w:rsidRPr="006A01A8">
        <w:rPr>
          <w:szCs w:val="24"/>
          <w:lang w:val="en-CA" w:eastAsia="en-US"/>
        </w:rPr>
        <w:t xml:space="preserve"> </w:t>
      </w:r>
      <w:r w:rsidR="000D5B67">
        <w:rPr>
          <w:szCs w:val="24"/>
          <w:lang w:val="en-CA" w:eastAsia="en-US"/>
        </w:rPr>
        <w:t>Two</w:t>
      </w:r>
      <w:r w:rsidR="000D5B67" w:rsidRPr="006A01A8">
        <w:rPr>
          <w:szCs w:val="24"/>
          <w:lang w:val="en-CA" w:eastAsia="en-US"/>
        </w:rPr>
        <w:t xml:space="preserve"> </w:t>
      </w:r>
      <w:r w:rsidRPr="006A01A8">
        <w:rPr>
          <w:szCs w:val="24"/>
          <w:lang w:val="en-CA" w:eastAsia="en-US"/>
        </w:rPr>
        <w:t xml:space="preserve">months and </w:t>
      </w:r>
      <w:r w:rsidR="001A7CC1">
        <w:rPr>
          <w:szCs w:val="24"/>
          <w:lang w:val="en-CA" w:eastAsia="en-US"/>
        </w:rPr>
        <w:t>10</w:t>
      </w:r>
      <w:r w:rsidRPr="006A01A8">
        <w:rPr>
          <w:szCs w:val="24"/>
          <w:lang w:val="en-CA" w:eastAsia="en-US"/>
        </w:rPr>
        <w:t xml:space="preserve"> days </w:t>
      </w:r>
      <w:r w:rsidR="00567D72">
        <w:rPr>
          <w:szCs w:val="24"/>
          <w:lang w:val="en-CA" w:eastAsia="en-US"/>
        </w:rPr>
        <w:t>elapsed</w:t>
      </w:r>
      <w:r w:rsidR="000D5B67" w:rsidRPr="000D5B67">
        <w:rPr>
          <w:szCs w:val="24"/>
          <w:lang w:val="en-CA" w:eastAsia="en-US"/>
        </w:rPr>
        <w:t xml:space="preserve"> </w:t>
      </w:r>
      <w:r w:rsidR="000D5B67">
        <w:rPr>
          <w:szCs w:val="24"/>
          <w:lang w:val="en-CA" w:eastAsia="en-US"/>
        </w:rPr>
        <w:t>b</w:t>
      </w:r>
      <w:r w:rsidR="000D5B67" w:rsidRPr="006A01A8">
        <w:rPr>
          <w:szCs w:val="24"/>
          <w:lang w:val="en-CA" w:eastAsia="en-US"/>
        </w:rPr>
        <w:t>etween these two dates</w:t>
      </w:r>
      <w:r w:rsidR="00E1379D">
        <w:rPr>
          <w:szCs w:val="24"/>
          <w:lang w:val="en-CA" w:eastAsia="en-US"/>
        </w:rPr>
        <w:t>. During</w:t>
      </w:r>
      <w:r w:rsidRPr="006A01A8">
        <w:rPr>
          <w:szCs w:val="24"/>
          <w:lang w:val="en-CA" w:eastAsia="en-US"/>
        </w:rPr>
        <w:t xml:space="preserve"> </w:t>
      </w:r>
      <w:r w:rsidR="00E1379D">
        <w:rPr>
          <w:szCs w:val="24"/>
          <w:lang w:val="en-CA" w:eastAsia="en-US"/>
        </w:rPr>
        <w:t xml:space="preserve">that </w:t>
      </w:r>
      <w:r w:rsidRPr="006A01A8">
        <w:rPr>
          <w:szCs w:val="24"/>
          <w:lang w:val="en-CA" w:eastAsia="en-US"/>
        </w:rPr>
        <w:t xml:space="preserve">time the parties discussed how to </w:t>
      </w:r>
      <w:r w:rsidR="00E1379D">
        <w:rPr>
          <w:szCs w:val="24"/>
          <w:lang w:val="en-CA" w:eastAsia="en-US"/>
        </w:rPr>
        <w:t xml:space="preserve">resolve </w:t>
      </w:r>
      <w:r w:rsidRPr="006A01A8">
        <w:rPr>
          <w:szCs w:val="24"/>
          <w:lang w:val="en-CA" w:eastAsia="en-US"/>
        </w:rPr>
        <w:t>essentially two aspects:</w:t>
      </w:r>
      <w:r w:rsidR="002C1928" w:rsidRPr="006A01A8">
        <w:rPr>
          <w:szCs w:val="24"/>
          <w:lang w:val="en-CA" w:eastAsia="en-US"/>
        </w:rPr>
        <w:t xml:space="preserve"> </w:t>
      </w:r>
      <w:r w:rsidRPr="006A01A8">
        <w:rPr>
          <w:szCs w:val="24"/>
          <w:lang w:val="en-CA" w:eastAsia="en-US"/>
        </w:rPr>
        <w:t xml:space="preserve">access to the evidence </w:t>
      </w:r>
      <w:r w:rsidR="001A7CC1">
        <w:rPr>
          <w:szCs w:val="24"/>
          <w:lang w:val="en-CA" w:eastAsia="en-US"/>
        </w:rPr>
        <w:t xml:space="preserve">by the respondents </w:t>
      </w:r>
      <w:r w:rsidRPr="006A01A8">
        <w:rPr>
          <w:szCs w:val="24"/>
          <w:lang w:val="en-CA" w:eastAsia="en-US"/>
        </w:rPr>
        <w:t>and understanding the redaction</w:t>
      </w:r>
      <w:r w:rsidR="009130C6">
        <w:rPr>
          <w:szCs w:val="24"/>
          <w:lang w:val="en-CA" w:eastAsia="en-US"/>
        </w:rPr>
        <w:t>s</w:t>
      </w:r>
      <w:r w:rsidRPr="006A01A8">
        <w:rPr>
          <w:szCs w:val="24"/>
          <w:lang w:val="en-CA" w:eastAsia="en-US"/>
        </w:rPr>
        <w:t>.</w:t>
      </w:r>
      <w:r w:rsidR="002C1928" w:rsidRPr="006A01A8">
        <w:rPr>
          <w:lang w:val="en-CA"/>
        </w:rPr>
        <w:t xml:space="preserve"> </w:t>
      </w:r>
    </w:p>
    <w:p w14:paraId="406628F1" w14:textId="242285A4" w:rsidR="00CC3EEB" w:rsidRPr="006A01A8" w:rsidRDefault="00A77B76" w:rsidP="00E007AA">
      <w:pPr>
        <w:pStyle w:val="Paragraphe"/>
        <w:spacing w:line="280" w:lineRule="exact"/>
        <w:rPr>
          <w:lang w:val="en-CA"/>
        </w:rPr>
      </w:pPr>
      <w:r w:rsidRPr="006A01A8">
        <w:rPr>
          <w:lang w:val="en-CA"/>
        </w:rPr>
        <w:t>On January 15, 2021, the respondents elected to be tried by a provincial court judge.</w:t>
      </w:r>
      <w:r w:rsidR="00E1489B" w:rsidRPr="006A01A8">
        <w:rPr>
          <w:lang w:val="en-CA"/>
        </w:rPr>
        <w:t xml:space="preserve"> </w:t>
      </w:r>
      <w:r w:rsidRPr="006A01A8">
        <w:rPr>
          <w:lang w:val="en-CA"/>
        </w:rPr>
        <w:t xml:space="preserve">This was in fact a re-election under the </w:t>
      </w:r>
      <w:r w:rsidRPr="006A01A8">
        <w:rPr>
          <w:i/>
          <w:lang w:val="en-CA"/>
        </w:rPr>
        <w:t>Criminal Code</w:t>
      </w:r>
      <w:r w:rsidR="001A7CC1">
        <w:rPr>
          <w:i/>
          <w:lang w:val="en-CA"/>
        </w:rPr>
        <w:t>.</w:t>
      </w:r>
      <w:r w:rsidRPr="006A01A8">
        <w:rPr>
          <w:lang w:val="en-CA"/>
        </w:rPr>
        <w:t xml:space="preserve"> I will return to this.</w:t>
      </w:r>
    </w:p>
    <w:p w14:paraId="2A3D71E8" w14:textId="578B1BAC" w:rsidR="00CC3EEB" w:rsidRPr="006A01A8" w:rsidRDefault="001A7CC1" w:rsidP="00E007AA">
      <w:pPr>
        <w:pStyle w:val="Paragraphe"/>
        <w:spacing w:line="280" w:lineRule="exact"/>
        <w:rPr>
          <w:lang w:val="en-CA"/>
        </w:rPr>
      </w:pPr>
      <w:r>
        <w:rPr>
          <w:lang w:val="en-CA"/>
        </w:rPr>
        <w:t>S</w:t>
      </w:r>
      <w:r w:rsidRPr="006A01A8">
        <w:rPr>
          <w:lang w:val="en-CA"/>
        </w:rPr>
        <w:t>ince September 3, 2020</w:t>
      </w:r>
      <w:r>
        <w:rPr>
          <w:lang w:val="en-CA"/>
        </w:rPr>
        <w:t>, 4</w:t>
      </w:r>
      <w:r w:rsidR="00A77B76" w:rsidRPr="006A01A8">
        <w:rPr>
          <w:lang w:val="en-CA"/>
        </w:rPr>
        <w:t xml:space="preserve"> months and </w:t>
      </w:r>
      <w:r>
        <w:rPr>
          <w:lang w:val="en-CA"/>
        </w:rPr>
        <w:t>12</w:t>
      </w:r>
      <w:r w:rsidR="00A77B76" w:rsidRPr="006A01A8">
        <w:rPr>
          <w:lang w:val="en-CA"/>
        </w:rPr>
        <w:t xml:space="preserve"> days ha</w:t>
      </w:r>
      <w:r w:rsidR="005F024D">
        <w:rPr>
          <w:lang w:val="en-CA"/>
        </w:rPr>
        <w:t>d</w:t>
      </w:r>
      <w:r w:rsidR="00A77B76" w:rsidRPr="006A01A8">
        <w:rPr>
          <w:lang w:val="en-CA"/>
        </w:rPr>
        <w:t xml:space="preserve"> passed.</w:t>
      </w:r>
      <w:r w:rsidR="002C1928" w:rsidRPr="006A01A8">
        <w:rPr>
          <w:lang w:val="en-CA"/>
        </w:rPr>
        <w:t xml:space="preserve"> </w:t>
      </w:r>
      <w:r w:rsidR="00A77B76" w:rsidRPr="006A01A8">
        <w:rPr>
          <w:lang w:val="en-CA"/>
        </w:rPr>
        <w:t xml:space="preserve">Eleven and a half months </w:t>
      </w:r>
      <w:r w:rsidRPr="006A01A8">
        <w:rPr>
          <w:lang w:val="en-CA"/>
        </w:rPr>
        <w:t>ha</w:t>
      </w:r>
      <w:r>
        <w:rPr>
          <w:lang w:val="en-CA"/>
        </w:rPr>
        <w:t xml:space="preserve">d </w:t>
      </w:r>
      <w:r w:rsidRPr="006A01A8">
        <w:rPr>
          <w:lang w:val="en-CA"/>
        </w:rPr>
        <w:t>passed</w:t>
      </w:r>
      <w:r w:rsidR="00A77B76" w:rsidRPr="006A01A8">
        <w:rPr>
          <w:lang w:val="en-CA"/>
        </w:rPr>
        <w:t xml:space="preserve"> since January 31, 2020.</w:t>
      </w:r>
      <w:r w:rsidR="002C1928" w:rsidRPr="006A01A8">
        <w:rPr>
          <w:lang w:val="en-CA"/>
        </w:rPr>
        <w:t xml:space="preserve"> </w:t>
      </w:r>
    </w:p>
    <w:p w14:paraId="12478848" w14:textId="54EF87EB" w:rsidR="00CC3EEB" w:rsidRPr="006A01A8" w:rsidRDefault="00A77B76" w:rsidP="00E007AA">
      <w:pPr>
        <w:pStyle w:val="Paragraphe"/>
        <w:spacing w:line="280" w:lineRule="exact"/>
        <w:rPr>
          <w:lang w:val="en-CA"/>
        </w:rPr>
      </w:pPr>
      <w:r w:rsidRPr="006A01A8">
        <w:rPr>
          <w:lang w:val="en-CA"/>
        </w:rPr>
        <w:t xml:space="preserve">It is now </w:t>
      </w:r>
      <w:r w:rsidR="001A7CC1">
        <w:rPr>
          <w:lang w:val="en-CA"/>
        </w:rPr>
        <w:t xml:space="preserve">worthwhile </w:t>
      </w:r>
      <w:r w:rsidR="00C908AA">
        <w:rPr>
          <w:lang w:val="en-CA"/>
        </w:rPr>
        <w:t>to describe the broad outlines of</w:t>
      </w:r>
      <w:r w:rsidR="00C908AA" w:rsidRPr="006A01A8">
        <w:rPr>
          <w:lang w:val="en-CA"/>
        </w:rPr>
        <w:t xml:space="preserve"> </w:t>
      </w:r>
      <w:r w:rsidRPr="006A01A8">
        <w:rPr>
          <w:lang w:val="en-CA"/>
        </w:rPr>
        <w:t xml:space="preserve">the difficult </w:t>
      </w:r>
      <w:r w:rsidR="00C908AA" w:rsidRPr="006A01A8">
        <w:rPr>
          <w:lang w:val="en-CA"/>
        </w:rPr>
        <w:t xml:space="preserve">disclosure </w:t>
      </w:r>
      <w:r w:rsidRPr="006A01A8">
        <w:rPr>
          <w:lang w:val="en-CA"/>
        </w:rPr>
        <w:t>exercise and the confidentiality</w:t>
      </w:r>
      <w:r w:rsidR="006A0DAD">
        <w:rPr>
          <w:lang w:val="en-CA"/>
        </w:rPr>
        <w:t xml:space="preserve"> undertaking</w:t>
      </w:r>
      <w:r w:rsidRPr="006A01A8">
        <w:rPr>
          <w:lang w:val="en-CA"/>
        </w:rPr>
        <w:t>.</w:t>
      </w:r>
      <w:r w:rsidR="002C1928" w:rsidRPr="006A01A8">
        <w:rPr>
          <w:lang w:val="en-CA"/>
        </w:rPr>
        <w:t xml:space="preserve"> </w:t>
      </w:r>
    </w:p>
    <w:p w14:paraId="5D43F212" w14:textId="0216EA50" w:rsidR="00CC3EEB" w:rsidRPr="006A01A8" w:rsidRDefault="00A77B76" w:rsidP="00E007AA">
      <w:pPr>
        <w:pStyle w:val="JgtPositionniv2"/>
        <w:spacing w:line="280" w:lineRule="exact"/>
        <w:rPr>
          <w:lang w:val="en-CA"/>
        </w:rPr>
      </w:pPr>
      <w:r w:rsidRPr="006A01A8">
        <w:rPr>
          <w:lang w:val="en-CA"/>
        </w:rPr>
        <w:t>The disclosure of the evidence and the exchanges between the parties</w:t>
      </w:r>
    </w:p>
    <w:p w14:paraId="12AA740F" w14:textId="32157318" w:rsidR="00CC3EEB" w:rsidRPr="006A01A8" w:rsidRDefault="00A77B76" w:rsidP="00E007AA">
      <w:pPr>
        <w:pStyle w:val="Paragraphe"/>
        <w:spacing w:line="280" w:lineRule="exact"/>
        <w:rPr>
          <w:lang w:val="en-CA"/>
        </w:rPr>
      </w:pPr>
      <w:r w:rsidRPr="006A01A8">
        <w:rPr>
          <w:lang w:val="en-CA"/>
        </w:rPr>
        <w:t>The evidence</w:t>
      </w:r>
      <w:r w:rsidR="00482568">
        <w:rPr>
          <w:lang w:val="en-CA"/>
        </w:rPr>
        <w:t>,</w:t>
      </w:r>
      <w:r w:rsidRPr="006A01A8">
        <w:rPr>
          <w:lang w:val="en-CA"/>
        </w:rPr>
        <w:t xml:space="preserve"> disclosed electronically</w:t>
      </w:r>
      <w:r w:rsidR="00482568">
        <w:rPr>
          <w:lang w:val="en-CA"/>
        </w:rPr>
        <w:t>, is</w:t>
      </w:r>
      <w:r w:rsidR="00482568" w:rsidRPr="00482568">
        <w:rPr>
          <w:lang w:val="en-CA"/>
        </w:rPr>
        <w:t xml:space="preserve"> </w:t>
      </w:r>
      <w:r w:rsidR="00482568" w:rsidRPr="006A01A8">
        <w:rPr>
          <w:lang w:val="en-CA"/>
        </w:rPr>
        <w:t>voluminous</w:t>
      </w:r>
      <w:r w:rsidRPr="006A01A8">
        <w:rPr>
          <w:lang w:val="en-CA"/>
        </w:rPr>
        <w:t>.</w:t>
      </w:r>
      <w:r w:rsidR="002C1928" w:rsidRPr="006A01A8">
        <w:rPr>
          <w:lang w:val="en-CA"/>
        </w:rPr>
        <w:t xml:space="preserve"> </w:t>
      </w:r>
      <w:r w:rsidRPr="006A01A8">
        <w:rPr>
          <w:lang w:val="en-CA"/>
        </w:rPr>
        <w:t xml:space="preserve">This </w:t>
      </w:r>
      <w:r w:rsidR="00D654D9">
        <w:rPr>
          <w:lang w:val="en-CA"/>
        </w:rPr>
        <w:t>finding</w:t>
      </w:r>
      <w:r w:rsidRPr="006A01A8">
        <w:rPr>
          <w:lang w:val="en-CA"/>
        </w:rPr>
        <w:t xml:space="preserve"> by the judge is </w:t>
      </w:r>
      <w:r w:rsidR="00D654D9">
        <w:rPr>
          <w:lang w:val="en-CA"/>
        </w:rPr>
        <w:t>un</w:t>
      </w:r>
      <w:r w:rsidRPr="006A01A8">
        <w:rPr>
          <w:lang w:val="en-CA"/>
        </w:rPr>
        <w:t>contested.</w:t>
      </w:r>
      <w:r w:rsidR="002C1928" w:rsidRPr="006A01A8">
        <w:rPr>
          <w:lang w:val="en-CA"/>
        </w:rPr>
        <w:t xml:space="preserve"> </w:t>
      </w:r>
      <w:r w:rsidR="006F5D13" w:rsidRPr="006A01A8">
        <w:rPr>
          <w:lang w:val="en-CA"/>
        </w:rPr>
        <w:t>The volume</w:t>
      </w:r>
      <w:r w:rsidRPr="006A01A8">
        <w:rPr>
          <w:lang w:val="en-CA"/>
        </w:rPr>
        <w:t xml:space="preserve"> </w:t>
      </w:r>
      <w:r w:rsidR="006F5D13" w:rsidRPr="006A01A8">
        <w:rPr>
          <w:lang w:val="en-CA"/>
        </w:rPr>
        <w:t xml:space="preserve">of documents </w:t>
      </w:r>
      <w:r w:rsidR="00D654D9">
        <w:rPr>
          <w:lang w:val="en-CA"/>
        </w:rPr>
        <w:t>increased</w:t>
      </w:r>
      <w:r w:rsidRPr="006A01A8">
        <w:rPr>
          <w:lang w:val="en-CA"/>
        </w:rPr>
        <w:t xml:space="preserve"> from 16 GB to 480 GB over the course of the disclosure</w:t>
      </w:r>
      <w:r w:rsidR="0058735C">
        <w:rPr>
          <w:lang w:val="en-CA"/>
        </w:rPr>
        <w:t xml:space="preserve"> exercise</w:t>
      </w:r>
      <w:r w:rsidRPr="006A01A8">
        <w:rPr>
          <w:lang w:val="en-CA"/>
        </w:rPr>
        <w:t>.</w:t>
      </w:r>
      <w:r w:rsidR="002C1928" w:rsidRPr="006A01A8">
        <w:rPr>
          <w:lang w:val="en-CA"/>
        </w:rPr>
        <w:t xml:space="preserve"> </w:t>
      </w:r>
      <w:r w:rsidRPr="006A01A8">
        <w:rPr>
          <w:lang w:val="en-CA"/>
        </w:rPr>
        <w:t>From the exchanges reproduced in the file</w:t>
      </w:r>
      <w:r w:rsidR="001A7CC1">
        <w:rPr>
          <w:lang w:val="en-CA"/>
        </w:rPr>
        <w:t>,</w:t>
      </w:r>
      <w:r w:rsidRPr="006A01A8">
        <w:rPr>
          <w:lang w:val="en-CA"/>
        </w:rPr>
        <w:t xml:space="preserve"> </w:t>
      </w:r>
      <w:r w:rsidR="0058735C">
        <w:rPr>
          <w:lang w:val="en-CA"/>
        </w:rPr>
        <w:t>we can see</w:t>
      </w:r>
      <w:r w:rsidRPr="006A01A8">
        <w:rPr>
          <w:lang w:val="en-CA"/>
        </w:rPr>
        <w:t xml:space="preserve"> that the volume of </w:t>
      </w:r>
      <w:r w:rsidR="0058735C">
        <w:rPr>
          <w:lang w:val="en-CA"/>
        </w:rPr>
        <w:t xml:space="preserve">the </w:t>
      </w:r>
      <w:r w:rsidRPr="006A01A8">
        <w:rPr>
          <w:lang w:val="en-CA"/>
        </w:rPr>
        <w:t xml:space="preserve">evidence was challenging, but the most important aspect for the respondents’ counsel </w:t>
      </w:r>
      <w:r w:rsidR="0058735C" w:rsidRPr="006A01A8">
        <w:rPr>
          <w:lang w:val="en-CA"/>
        </w:rPr>
        <w:t>remain</w:t>
      </w:r>
      <w:r w:rsidR="0058735C">
        <w:rPr>
          <w:lang w:val="en-CA"/>
        </w:rPr>
        <w:t>ed</w:t>
      </w:r>
      <w:r w:rsidR="0058735C" w:rsidRPr="006A01A8">
        <w:rPr>
          <w:lang w:val="en-CA"/>
        </w:rPr>
        <w:t xml:space="preserve"> </w:t>
      </w:r>
      <w:r w:rsidR="002053EF">
        <w:rPr>
          <w:lang w:val="en-CA"/>
        </w:rPr>
        <w:t>sharing</w:t>
      </w:r>
      <w:r w:rsidRPr="006A01A8">
        <w:rPr>
          <w:lang w:val="en-CA"/>
        </w:rPr>
        <w:t xml:space="preserve"> this </w:t>
      </w:r>
      <w:r w:rsidR="006F5D13" w:rsidRPr="006A01A8">
        <w:rPr>
          <w:lang w:val="en-CA"/>
        </w:rPr>
        <w:t>information</w:t>
      </w:r>
      <w:r w:rsidRPr="006A01A8">
        <w:rPr>
          <w:lang w:val="en-CA"/>
        </w:rPr>
        <w:t xml:space="preserve"> with the respondents themselves due to the </w:t>
      </w:r>
      <w:r w:rsidR="0058735C" w:rsidRPr="006A01A8">
        <w:rPr>
          <w:lang w:val="en-CA"/>
        </w:rPr>
        <w:t xml:space="preserve">confidentiality </w:t>
      </w:r>
      <w:r w:rsidRPr="006A01A8">
        <w:rPr>
          <w:lang w:val="en-CA"/>
        </w:rPr>
        <w:t>undertaking.</w:t>
      </w:r>
      <w:r w:rsidR="002C1928" w:rsidRPr="006A01A8">
        <w:rPr>
          <w:lang w:val="en-CA"/>
        </w:rPr>
        <w:t xml:space="preserve"> </w:t>
      </w:r>
    </w:p>
    <w:p w14:paraId="30331CEC" w14:textId="37C4EBFB" w:rsidR="00CC3EEB" w:rsidRPr="006A01A8" w:rsidRDefault="00A77B76" w:rsidP="00E007AA">
      <w:pPr>
        <w:pStyle w:val="JgtPositionniv3"/>
        <w:spacing w:line="280" w:lineRule="exact"/>
        <w:rPr>
          <w:lang w:val="en-CA"/>
        </w:rPr>
      </w:pPr>
      <w:r w:rsidRPr="006A01A8">
        <w:rPr>
          <w:lang w:val="en-CA"/>
        </w:rPr>
        <w:t>The disclosure in the January 2020</w:t>
      </w:r>
      <w:r w:rsidR="001A7CC1">
        <w:rPr>
          <w:lang w:val="en-CA"/>
        </w:rPr>
        <w:t xml:space="preserve"> file</w:t>
      </w:r>
    </w:p>
    <w:p w14:paraId="33E9496D" w14:textId="3D31F2F3" w:rsidR="00CC3EEB" w:rsidRPr="006A01A8" w:rsidRDefault="002C1928" w:rsidP="00E007AA">
      <w:pPr>
        <w:pStyle w:val="Paragraphe"/>
        <w:spacing w:line="280" w:lineRule="exact"/>
        <w:rPr>
          <w:lang w:val="en-CA"/>
        </w:rPr>
      </w:pPr>
      <w:r w:rsidRPr="006A01A8">
        <w:rPr>
          <w:lang w:val="en-CA"/>
        </w:rPr>
        <w:t xml:space="preserve"> </w:t>
      </w:r>
      <w:r w:rsidR="00BB70DC" w:rsidRPr="006A01A8">
        <w:rPr>
          <w:lang w:val="en-CA"/>
        </w:rPr>
        <w:t xml:space="preserve">At the appearance in January 2020, the appellant made a first </w:t>
      </w:r>
      <w:r w:rsidR="006F5D13" w:rsidRPr="006A01A8">
        <w:rPr>
          <w:lang w:val="en-CA"/>
        </w:rPr>
        <w:t>disclosure</w:t>
      </w:r>
      <w:r w:rsidR="00BB70DC" w:rsidRPr="006A01A8">
        <w:rPr>
          <w:lang w:val="en-CA"/>
        </w:rPr>
        <w:t xml:space="preserve"> of </w:t>
      </w:r>
      <w:r w:rsidR="004E24A8">
        <w:rPr>
          <w:lang w:val="en-CA"/>
        </w:rPr>
        <w:t xml:space="preserve">the </w:t>
      </w:r>
      <w:r w:rsidR="00BB70DC" w:rsidRPr="006A01A8">
        <w:rPr>
          <w:lang w:val="en-CA"/>
        </w:rPr>
        <w:t>evidence electronically and provided a trial book.</w:t>
      </w:r>
      <w:r w:rsidRPr="006A01A8">
        <w:rPr>
          <w:lang w:val="en-CA"/>
        </w:rPr>
        <w:t xml:space="preserve"> </w:t>
      </w:r>
      <w:r w:rsidR="00BB70DC" w:rsidRPr="006A01A8">
        <w:rPr>
          <w:lang w:val="en-CA"/>
        </w:rPr>
        <w:t>This evidence was voluminous and partially redacted.</w:t>
      </w:r>
      <w:r w:rsidRPr="006A01A8">
        <w:rPr>
          <w:lang w:val="en-CA"/>
        </w:rPr>
        <w:t xml:space="preserve"> </w:t>
      </w:r>
      <w:r w:rsidR="00BB70DC" w:rsidRPr="006A01A8">
        <w:rPr>
          <w:lang w:val="en-CA"/>
        </w:rPr>
        <w:t xml:space="preserve">At the outset, the appellant </w:t>
      </w:r>
      <w:r w:rsidR="009A5332">
        <w:rPr>
          <w:lang w:val="en-CA"/>
        </w:rPr>
        <w:t>required</w:t>
      </w:r>
      <w:r w:rsidR="009A5332" w:rsidRPr="006A01A8">
        <w:rPr>
          <w:lang w:val="en-CA"/>
        </w:rPr>
        <w:t xml:space="preserve"> </w:t>
      </w:r>
      <w:r w:rsidR="00BB70DC" w:rsidRPr="006A01A8">
        <w:rPr>
          <w:lang w:val="en-CA"/>
        </w:rPr>
        <w:t xml:space="preserve">a confidentiality undertaking, which the respondents </w:t>
      </w:r>
      <w:r w:rsidR="009A5332">
        <w:rPr>
          <w:lang w:val="en-CA"/>
        </w:rPr>
        <w:t>agreed</w:t>
      </w:r>
      <w:r w:rsidR="009A5332" w:rsidRPr="006A01A8">
        <w:rPr>
          <w:lang w:val="en-CA"/>
        </w:rPr>
        <w:t xml:space="preserve"> </w:t>
      </w:r>
      <w:r w:rsidR="00BB70DC" w:rsidRPr="006A01A8">
        <w:rPr>
          <w:lang w:val="en-CA"/>
        </w:rPr>
        <w:t xml:space="preserve">to sign </w:t>
      </w:r>
      <w:proofErr w:type="gramStart"/>
      <w:r w:rsidR="00BB70DC" w:rsidRPr="006A01A8">
        <w:rPr>
          <w:lang w:val="en-CA"/>
        </w:rPr>
        <w:t>in order to</w:t>
      </w:r>
      <w:proofErr w:type="gramEnd"/>
      <w:r w:rsidR="00BB70DC" w:rsidRPr="006A01A8">
        <w:rPr>
          <w:lang w:val="en-CA"/>
        </w:rPr>
        <w:t xml:space="preserve"> receive the evidence.</w:t>
      </w:r>
      <w:r w:rsidRPr="006A01A8">
        <w:rPr>
          <w:lang w:val="en-CA"/>
        </w:rPr>
        <w:t xml:space="preserve"> </w:t>
      </w:r>
    </w:p>
    <w:p w14:paraId="17B29D36" w14:textId="4042304A" w:rsidR="00CC3EEB" w:rsidRPr="006A01A8" w:rsidRDefault="00BB70DC" w:rsidP="00E007AA">
      <w:pPr>
        <w:pStyle w:val="Paragraphe"/>
        <w:spacing w:line="280" w:lineRule="exact"/>
        <w:rPr>
          <w:lang w:val="en-CA"/>
        </w:rPr>
      </w:pPr>
      <w:r w:rsidRPr="006A01A8">
        <w:rPr>
          <w:lang w:val="en-CA"/>
        </w:rPr>
        <w:t>Then the court</w:t>
      </w:r>
      <w:r w:rsidR="001A7CC1">
        <w:rPr>
          <w:lang w:val="en-CA"/>
        </w:rPr>
        <w:t>s</w:t>
      </w:r>
      <w:r w:rsidRPr="006A01A8">
        <w:rPr>
          <w:lang w:val="en-CA"/>
        </w:rPr>
        <w:t xml:space="preserve"> closed due to the COVID-19 pandemic.</w:t>
      </w:r>
      <w:r w:rsidR="002C1928" w:rsidRPr="006A01A8">
        <w:rPr>
          <w:lang w:val="en-CA"/>
        </w:rPr>
        <w:t xml:space="preserve"> </w:t>
      </w:r>
      <w:r w:rsidR="001A7CC1">
        <w:rPr>
          <w:lang w:val="en-CA"/>
        </w:rPr>
        <w:t>The</w:t>
      </w:r>
      <w:r w:rsidRPr="006A01A8">
        <w:rPr>
          <w:lang w:val="en-CA"/>
        </w:rPr>
        <w:t xml:space="preserve"> police investigation </w:t>
      </w:r>
      <w:r w:rsidR="001A7CC1">
        <w:rPr>
          <w:lang w:val="en-CA"/>
        </w:rPr>
        <w:t xml:space="preserve">appears to have </w:t>
      </w:r>
      <w:r w:rsidRPr="006A01A8">
        <w:rPr>
          <w:lang w:val="en-CA"/>
        </w:rPr>
        <w:t xml:space="preserve">continued during the closure, since on June 29, 2020, when the courts </w:t>
      </w:r>
      <w:r w:rsidR="00D97066">
        <w:rPr>
          <w:lang w:val="en-CA"/>
        </w:rPr>
        <w:t>reopened</w:t>
      </w:r>
      <w:r w:rsidRPr="006A01A8">
        <w:rPr>
          <w:lang w:val="en-CA"/>
        </w:rPr>
        <w:t>, important additional evidence was disclosed.</w:t>
      </w:r>
      <w:r w:rsidR="002C1928" w:rsidRPr="006A01A8">
        <w:rPr>
          <w:lang w:val="en-CA"/>
        </w:rPr>
        <w:t xml:space="preserve"> </w:t>
      </w:r>
      <w:r w:rsidRPr="006A01A8">
        <w:rPr>
          <w:lang w:val="en-CA"/>
        </w:rPr>
        <w:t>The case was therefore postponed to September 3, 2020.</w:t>
      </w:r>
      <w:r w:rsidR="002C1928" w:rsidRPr="006A01A8">
        <w:rPr>
          <w:lang w:val="en-CA"/>
        </w:rPr>
        <w:t xml:space="preserve"> </w:t>
      </w:r>
    </w:p>
    <w:p w14:paraId="3A45E673" w14:textId="0963DB91" w:rsidR="00CC3EEB" w:rsidRPr="006A01A8" w:rsidRDefault="00BB70DC" w:rsidP="001A7CC1">
      <w:pPr>
        <w:pStyle w:val="JgtPositionniv3"/>
        <w:keepNext/>
        <w:spacing w:line="280" w:lineRule="exact"/>
        <w:rPr>
          <w:lang w:val="en-CA"/>
        </w:rPr>
      </w:pPr>
      <w:r w:rsidRPr="006A01A8">
        <w:rPr>
          <w:lang w:val="en-CA"/>
        </w:rPr>
        <w:lastRenderedPageBreak/>
        <w:t>The disclosure with respect to the new charges</w:t>
      </w:r>
    </w:p>
    <w:p w14:paraId="26A6AEB5" w14:textId="6F51C41D" w:rsidR="00CC3EEB" w:rsidRPr="006A01A8" w:rsidRDefault="00BB70DC" w:rsidP="001A7CC1">
      <w:pPr>
        <w:pStyle w:val="Paragraphe"/>
        <w:keepNext/>
        <w:spacing w:line="280" w:lineRule="exact"/>
        <w:rPr>
          <w:lang w:val="en-CA"/>
        </w:rPr>
      </w:pPr>
      <w:r w:rsidRPr="006A01A8">
        <w:rPr>
          <w:lang w:val="en-CA"/>
        </w:rPr>
        <w:t xml:space="preserve">An additional indication that the investigation continued between the first appearance and September 3, 2020, is that new charges were laid and the evidence concerning them was disclosed </w:t>
      </w:r>
      <w:r w:rsidR="000860DA">
        <w:rPr>
          <w:lang w:val="en-CA"/>
        </w:rPr>
        <w:t>that</w:t>
      </w:r>
      <w:r w:rsidRPr="006A01A8">
        <w:rPr>
          <w:lang w:val="en-CA"/>
        </w:rPr>
        <w:t xml:space="preserve"> same da</w:t>
      </w:r>
      <w:r w:rsidR="000860DA">
        <w:rPr>
          <w:lang w:val="en-CA"/>
        </w:rPr>
        <w:t>y</w:t>
      </w:r>
      <w:r w:rsidRPr="006A01A8">
        <w:rPr>
          <w:lang w:val="en-CA"/>
        </w:rPr>
        <w:t>, along with an update of the trial book.</w:t>
      </w:r>
      <w:r w:rsidR="002C1928" w:rsidRPr="006A01A8">
        <w:rPr>
          <w:lang w:val="en-CA"/>
        </w:rPr>
        <w:t xml:space="preserve"> </w:t>
      </w:r>
    </w:p>
    <w:p w14:paraId="638922EE" w14:textId="52CF3AEC" w:rsidR="00CC3EEB" w:rsidRPr="006A01A8" w:rsidRDefault="00BB70DC" w:rsidP="00E007AA">
      <w:pPr>
        <w:pStyle w:val="Paragraphe"/>
        <w:spacing w:line="280" w:lineRule="exact"/>
        <w:rPr>
          <w:lang w:val="en-CA"/>
        </w:rPr>
      </w:pPr>
      <w:r w:rsidRPr="006A01A8">
        <w:rPr>
          <w:lang w:val="en-CA"/>
        </w:rPr>
        <w:t>The case was postponed to November 5.</w:t>
      </w:r>
      <w:r w:rsidR="002C1928" w:rsidRPr="006A01A8">
        <w:rPr>
          <w:lang w:val="en-CA"/>
        </w:rPr>
        <w:t xml:space="preserve"> </w:t>
      </w:r>
      <w:r w:rsidRPr="006A01A8">
        <w:rPr>
          <w:lang w:val="en-CA"/>
        </w:rPr>
        <w:t xml:space="preserve">On October 22, 2020, the appellant took the initiative </w:t>
      </w:r>
      <w:r w:rsidR="00A32AD3">
        <w:rPr>
          <w:lang w:val="en-CA"/>
        </w:rPr>
        <w:t>to</w:t>
      </w:r>
      <w:r w:rsidR="00333407">
        <w:rPr>
          <w:lang w:val="en-CA"/>
        </w:rPr>
        <w:t xml:space="preserve"> call</w:t>
      </w:r>
      <w:r w:rsidRPr="006A01A8">
        <w:rPr>
          <w:lang w:val="en-CA"/>
        </w:rPr>
        <w:t xml:space="preserve"> a meeting with counsel for the respondents to discuss the direction of the files.</w:t>
      </w:r>
    </w:p>
    <w:p w14:paraId="1F0DE1C0" w14:textId="6AC20649" w:rsidR="00CC3EEB" w:rsidRPr="006A01A8" w:rsidRDefault="00BB70DC" w:rsidP="00E007AA">
      <w:pPr>
        <w:pStyle w:val="Paragraphe"/>
        <w:spacing w:line="280" w:lineRule="exact"/>
        <w:rPr>
          <w:lang w:val="en-CA"/>
        </w:rPr>
      </w:pPr>
      <w:r w:rsidRPr="006A01A8">
        <w:rPr>
          <w:lang w:val="en-CA"/>
        </w:rPr>
        <w:t xml:space="preserve">On October 30, 2020, in response to </w:t>
      </w:r>
      <w:r w:rsidR="00A93B3B" w:rsidRPr="006A01A8">
        <w:rPr>
          <w:lang w:val="en-CA"/>
        </w:rPr>
        <w:t>th</w:t>
      </w:r>
      <w:r w:rsidR="00A93B3B">
        <w:rPr>
          <w:lang w:val="en-CA"/>
        </w:rPr>
        <w:t>is</w:t>
      </w:r>
      <w:r w:rsidR="00A93B3B" w:rsidRPr="006A01A8">
        <w:rPr>
          <w:lang w:val="en-CA"/>
        </w:rPr>
        <w:t xml:space="preserve"> </w:t>
      </w:r>
      <w:r w:rsidRPr="006A01A8">
        <w:rPr>
          <w:lang w:val="en-CA"/>
        </w:rPr>
        <w:t>invitation, the respondents told the appellant that consultation of the evidence was difficult due to the</w:t>
      </w:r>
      <w:r w:rsidR="00A32AD3">
        <w:rPr>
          <w:lang w:val="en-CA"/>
        </w:rPr>
        <w:t xml:space="preserve"> use of</w:t>
      </w:r>
      <w:r w:rsidRPr="006A01A8">
        <w:rPr>
          <w:lang w:val="en-CA"/>
        </w:rPr>
        <w:t xml:space="preserve"> three different computer </w:t>
      </w:r>
      <w:r w:rsidR="001A7CC1">
        <w:rPr>
          <w:lang w:val="en-CA"/>
        </w:rPr>
        <w:t xml:space="preserve">media </w:t>
      </w:r>
      <w:r w:rsidRPr="006A01A8">
        <w:rPr>
          <w:lang w:val="en-CA"/>
        </w:rPr>
        <w:t>and the lack of hyperlinks to quickly locate the relevant information.</w:t>
      </w:r>
      <w:r w:rsidR="002C1928" w:rsidRPr="006A01A8">
        <w:rPr>
          <w:lang w:val="en-CA"/>
        </w:rPr>
        <w:t xml:space="preserve"> </w:t>
      </w:r>
      <w:r w:rsidR="00D44B8E">
        <w:rPr>
          <w:lang w:val="en-CA"/>
        </w:rPr>
        <w:t>T</w:t>
      </w:r>
      <w:r w:rsidRPr="006A01A8">
        <w:rPr>
          <w:lang w:val="en-CA"/>
        </w:rPr>
        <w:t xml:space="preserve">he exchanges between the parties, which were filed in the record, </w:t>
      </w:r>
      <w:r w:rsidR="00D44B8E">
        <w:rPr>
          <w:lang w:val="en-CA"/>
        </w:rPr>
        <w:t xml:space="preserve">indicate </w:t>
      </w:r>
      <w:r w:rsidRPr="006A01A8">
        <w:rPr>
          <w:lang w:val="en-CA"/>
        </w:rPr>
        <w:t xml:space="preserve">that a meeting was scheduled for November 3, 2020, but </w:t>
      </w:r>
      <w:r w:rsidR="00A32AD3">
        <w:rPr>
          <w:lang w:val="en-CA"/>
        </w:rPr>
        <w:t>contain no information</w:t>
      </w:r>
      <w:r w:rsidR="000A2978">
        <w:rPr>
          <w:lang w:val="en-CA"/>
        </w:rPr>
        <w:t xml:space="preserve"> about</w:t>
      </w:r>
      <w:r w:rsidRPr="006A01A8">
        <w:rPr>
          <w:lang w:val="en-CA"/>
        </w:rPr>
        <w:t xml:space="preserve"> this</w:t>
      </w:r>
      <w:r w:rsidR="001A7CC1">
        <w:rPr>
          <w:lang w:val="en-CA"/>
        </w:rPr>
        <w:t xml:space="preserve"> meeting</w:t>
      </w:r>
      <w:r w:rsidRPr="006A01A8">
        <w:rPr>
          <w:lang w:val="en-CA"/>
        </w:rPr>
        <w:t>.</w:t>
      </w:r>
      <w:r w:rsidR="002C1928" w:rsidRPr="006A01A8">
        <w:rPr>
          <w:lang w:val="en-CA"/>
        </w:rPr>
        <w:t xml:space="preserve"> </w:t>
      </w:r>
    </w:p>
    <w:p w14:paraId="729A3BB1" w14:textId="20BAA3E1" w:rsidR="00CC3EEB" w:rsidRPr="006A01A8" w:rsidRDefault="001A7CC1" w:rsidP="00E007AA">
      <w:pPr>
        <w:pStyle w:val="Paragraphe"/>
        <w:spacing w:line="280" w:lineRule="exact"/>
        <w:rPr>
          <w:lang w:val="en-CA"/>
        </w:rPr>
      </w:pPr>
      <w:r>
        <w:rPr>
          <w:bCs/>
          <w:lang w:val="en-CA"/>
        </w:rPr>
        <w:t>It</w:t>
      </w:r>
      <w:r w:rsidR="00BB70DC" w:rsidRPr="006A01A8">
        <w:rPr>
          <w:bCs/>
          <w:lang w:val="en-CA"/>
        </w:rPr>
        <w:t xml:space="preserve"> is uncontested that </w:t>
      </w:r>
      <w:r>
        <w:rPr>
          <w:bCs/>
          <w:lang w:val="en-CA"/>
        </w:rPr>
        <w:t>o</w:t>
      </w:r>
      <w:r w:rsidRPr="006A01A8">
        <w:rPr>
          <w:bCs/>
          <w:lang w:val="en-CA"/>
        </w:rPr>
        <w:t xml:space="preserve">n November 4, 2020, </w:t>
      </w:r>
      <w:r w:rsidR="00BB70DC" w:rsidRPr="006A01A8">
        <w:rPr>
          <w:bCs/>
          <w:lang w:val="en-CA"/>
        </w:rPr>
        <w:t>the respondents informed the appellant that they estimated that the trial would take 5 weeks</w:t>
      </w:r>
      <w:r w:rsidR="008C0B43" w:rsidRPr="008C0B43">
        <w:rPr>
          <w:bCs/>
          <w:lang w:val="en-CA"/>
        </w:rPr>
        <w:t xml:space="preserve"> </w:t>
      </w:r>
      <w:r w:rsidR="008C0B43" w:rsidRPr="006A01A8">
        <w:rPr>
          <w:bCs/>
          <w:lang w:val="en-CA"/>
        </w:rPr>
        <w:t xml:space="preserve">if admissions were agreed </w:t>
      </w:r>
      <w:r w:rsidR="00F43E4D">
        <w:rPr>
          <w:bCs/>
          <w:lang w:val="en-CA"/>
        </w:rPr>
        <w:t>on</w:t>
      </w:r>
      <w:r w:rsidR="00BB70DC" w:rsidRPr="006A01A8">
        <w:rPr>
          <w:bCs/>
          <w:lang w:val="en-CA"/>
        </w:rPr>
        <w:t>.</w:t>
      </w:r>
      <w:r w:rsidR="002C1928" w:rsidRPr="006A01A8">
        <w:rPr>
          <w:bCs/>
          <w:lang w:val="en-CA"/>
        </w:rPr>
        <w:t xml:space="preserve"> </w:t>
      </w:r>
      <w:r w:rsidR="00BB70DC" w:rsidRPr="006A01A8">
        <w:rPr>
          <w:bCs/>
          <w:lang w:val="en-CA"/>
        </w:rPr>
        <w:t>Nothing was said about the effect of this information on the parties’ behaviour.</w:t>
      </w:r>
    </w:p>
    <w:p w14:paraId="21F0F74E" w14:textId="11DE5C75" w:rsidR="00CC3EEB" w:rsidRPr="006A01A8" w:rsidRDefault="00BB70DC" w:rsidP="00E007AA">
      <w:pPr>
        <w:pStyle w:val="Paragraphe"/>
        <w:spacing w:line="280" w:lineRule="exact"/>
        <w:rPr>
          <w:lang w:val="en-CA"/>
        </w:rPr>
      </w:pPr>
      <w:r w:rsidRPr="006A01A8">
        <w:rPr>
          <w:lang w:val="en-CA"/>
        </w:rPr>
        <w:t>On December 16 and 17, 2020, counsel for the respondents made two requests of the appellant:</w:t>
      </w:r>
      <w:r w:rsidR="002C1928" w:rsidRPr="006A01A8">
        <w:rPr>
          <w:lang w:val="en-CA"/>
        </w:rPr>
        <w:t xml:space="preserve"> </w:t>
      </w:r>
      <w:r w:rsidRPr="006A01A8">
        <w:rPr>
          <w:lang w:val="en-CA"/>
        </w:rPr>
        <w:t>they wanted additional information related to the evidence disclosed and the possibility of revisiting the confidentiality undertaking to make it possible to study the voluminous evidence with the respondents themselves.</w:t>
      </w:r>
      <w:r w:rsidR="002C1928" w:rsidRPr="006A01A8">
        <w:rPr>
          <w:lang w:val="en-CA"/>
        </w:rPr>
        <w:t xml:space="preserve"> </w:t>
      </w:r>
      <w:r w:rsidRPr="006A01A8">
        <w:rPr>
          <w:lang w:val="en-CA"/>
        </w:rPr>
        <w:t xml:space="preserve">Indeed, </w:t>
      </w:r>
      <w:r w:rsidR="00F43E4D">
        <w:rPr>
          <w:lang w:val="en-CA"/>
        </w:rPr>
        <w:t>according to</w:t>
      </w:r>
      <w:r w:rsidR="00F43E4D" w:rsidRPr="006A01A8">
        <w:rPr>
          <w:lang w:val="en-CA"/>
        </w:rPr>
        <w:t xml:space="preserve"> </w:t>
      </w:r>
      <w:r w:rsidRPr="006A01A8">
        <w:rPr>
          <w:lang w:val="en-CA"/>
        </w:rPr>
        <w:t xml:space="preserve">counsel’s understanding of the undertaking, they could not give the respondents </w:t>
      </w:r>
      <w:r w:rsidR="001A7CC1" w:rsidRPr="006A01A8">
        <w:rPr>
          <w:lang w:val="en-CA"/>
        </w:rPr>
        <w:t xml:space="preserve">the evidence </w:t>
      </w:r>
      <w:r w:rsidR="001A7CC1">
        <w:rPr>
          <w:lang w:val="en-CA"/>
        </w:rPr>
        <w:t>so that the</w:t>
      </w:r>
      <w:r w:rsidR="00A32AD3">
        <w:rPr>
          <w:lang w:val="en-CA"/>
        </w:rPr>
        <w:t xml:space="preserve"> respondents</w:t>
      </w:r>
      <w:r w:rsidR="001A7CC1">
        <w:rPr>
          <w:lang w:val="en-CA"/>
        </w:rPr>
        <w:t xml:space="preserve"> could </w:t>
      </w:r>
      <w:r w:rsidRPr="006A01A8">
        <w:rPr>
          <w:lang w:val="en-CA"/>
        </w:rPr>
        <w:t xml:space="preserve">examine </w:t>
      </w:r>
      <w:proofErr w:type="gramStart"/>
      <w:r w:rsidR="001A7CC1">
        <w:rPr>
          <w:lang w:val="en-CA"/>
        </w:rPr>
        <w:t>it as a whole</w:t>
      </w:r>
      <w:r w:rsidRPr="006A01A8">
        <w:rPr>
          <w:lang w:val="en-CA"/>
        </w:rPr>
        <w:t>, which</w:t>
      </w:r>
      <w:proofErr w:type="gramEnd"/>
      <w:r w:rsidRPr="006A01A8">
        <w:rPr>
          <w:lang w:val="en-CA"/>
        </w:rPr>
        <w:t xml:space="preserve"> made preparation laborious.</w:t>
      </w:r>
      <w:r w:rsidR="002C1928" w:rsidRPr="006A01A8">
        <w:rPr>
          <w:lang w:val="en-CA" w:eastAsia="fr-CA"/>
        </w:rPr>
        <w:t xml:space="preserve"> </w:t>
      </w:r>
      <w:r w:rsidRPr="006A01A8">
        <w:rPr>
          <w:lang w:val="en-CA" w:eastAsia="fr-CA"/>
        </w:rPr>
        <w:t>They wanted to revisit the undertaking.</w:t>
      </w:r>
      <w:r w:rsidR="002C1928" w:rsidRPr="006A01A8">
        <w:rPr>
          <w:lang w:val="en-CA" w:eastAsia="fr-CA"/>
        </w:rPr>
        <w:t xml:space="preserve"> </w:t>
      </w:r>
      <w:r w:rsidRPr="006A01A8">
        <w:rPr>
          <w:lang w:val="en-CA" w:eastAsia="fr-CA"/>
        </w:rPr>
        <w:t xml:space="preserve">Then, on January 3, 2021, </w:t>
      </w:r>
      <w:r w:rsidR="001A7CC1">
        <w:rPr>
          <w:lang w:val="en-CA" w:eastAsia="fr-CA"/>
        </w:rPr>
        <w:t xml:space="preserve">requests were sent to </w:t>
      </w:r>
      <w:r w:rsidRPr="006A01A8">
        <w:rPr>
          <w:lang w:val="en-CA" w:eastAsia="fr-CA"/>
        </w:rPr>
        <w:t>the appellant concerning the redaction of information in the disclosed evidence.</w:t>
      </w:r>
      <w:r w:rsidR="002C1928" w:rsidRPr="006A01A8">
        <w:rPr>
          <w:lang w:val="en-CA"/>
        </w:rPr>
        <w:t xml:space="preserve"> </w:t>
      </w:r>
    </w:p>
    <w:p w14:paraId="344C2482" w14:textId="4048EEE8" w:rsidR="00CC3EEB" w:rsidRPr="006A01A8" w:rsidRDefault="00BB70DC" w:rsidP="00E007AA">
      <w:pPr>
        <w:pStyle w:val="Paragraphe"/>
        <w:spacing w:line="280" w:lineRule="exact"/>
        <w:rPr>
          <w:lang w:val="en-CA"/>
        </w:rPr>
      </w:pPr>
      <w:r w:rsidRPr="006A01A8">
        <w:rPr>
          <w:lang w:val="en-CA"/>
        </w:rPr>
        <w:t>On January 7, 2021, the appellant answered the request the respondents had made in December 2020.</w:t>
      </w:r>
      <w:r w:rsidR="002C1928" w:rsidRPr="006A01A8">
        <w:rPr>
          <w:lang w:val="en-CA"/>
        </w:rPr>
        <w:t xml:space="preserve"> </w:t>
      </w:r>
      <w:r w:rsidRPr="006A01A8">
        <w:rPr>
          <w:lang w:val="en-CA"/>
        </w:rPr>
        <w:t>He agreed to modify the confidentiality undertaking</w:t>
      </w:r>
      <w:r w:rsidR="008F4D28">
        <w:rPr>
          <w:lang w:val="en-CA"/>
        </w:rPr>
        <w:t xml:space="preserve"> and</w:t>
      </w:r>
      <w:r w:rsidRPr="006A01A8">
        <w:rPr>
          <w:lang w:val="en-CA"/>
        </w:rPr>
        <w:t xml:space="preserve"> </w:t>
      </w:r>
      <w:r w:rsidR="00900D01" w:rsidRPr="006A01A8">
        <w:rPr>
          <w:lang w:val="en-CA"/>
        </w:rPr>
        <w:t>accept</w:t>
      </w:r>
      <w:r w:rsidR="00900D01">
        <w:rPr>
          <w:lang w:val="en-CA"/>
        </w:rPr>
        <w:t xml:space="preserve">ed </w:t>
      </w:r>
      <w:r w:rsidRPr="006A01A8">
        <w:rPr>
          <w:lang w:val="en-CA"/>
        </w:rPr>
        <w:t xml:space="preserve">to provide a copy to the respondents </w:t>
      </w:r>
      <w:r w:rsidR="001A7CC1">
        <w:rPr>
          <w:lang w:val="en-CA"/>
        </w:rPr>
        <w:t>that excluded</w:t>
      </w:r>
      <w:r w:rsidRPr="006A01A8">
        <w:rPr>
          <w:lang w:val="en-CA"/>
        </w:rPr>
        <w:t xml:space="preserve"> the </w:t>
      </w:r>
      <w:r w:rsidR="00711DEC">
        <w:rPr>
          <w:rFonts w:cs="Arial"/>
          <w:color w:val="000000"/>
          <w:lang w:val="en-CA"/>
        </w:rPr>
        <w:t>[</w:t>
      </w:r>
      <w:r w:rsidR="00DA1905">
        <w:rPr>
          <w:rFonts w:cs="Arial"/>
          <w:smallCaps/>
          <w:color w:val="000000"/>
          <w:lang w:val="en-CA"/>
        </w:rPr>
        <w:t>translation</w:t>
      </w:r>
      <w:r w:rsidR="00CC1A08" w:rsidRPr="00711DEC">
        <w:rPr>
          <w:rFonts w:cs="Arial"/>
          <w:smallCaps/>
          <w:color w:val="000000"/>
          <w:lang w:val="en-CA"/>
        </w:rPr>
        <w:t>] “</w:t>
      </w:r>
      <w:r w:rsidRPr="006A01A8">
        <w:rPr>
          <w:lang w:val="en-CA"/>
        </w:rPr>
        <w:t>data extraction</w:t>
      </w:r>
      <w:r w:rsidR="00E32206">
        <w:rPr>
          <w:lang w:val="en-CA"/>
        </w:rPr>
        <w:t>s</w:t>
      </w:r>
      <w:r w:rsidRPr="006A01A8">
        <w:rPr>
          <w:lang w:val="en-CA"/>
        </w:rPr>
        <w:t xml:space="preserve">” </w:t>
      </w:r>
      <w:r w:rsidR="00E32206">
        <w:rPr>
          <w:lang w:val="en-CA"/>
        </w:rPr>
        <w:t>performed on</w:t>
      </w:r>
      <w:r w:rsidR="00E32206" w:rsidRPr="006A01A8">
        <w:rPr>
          <w:lang w:val="en-CA"/>
        </w:rPr>
        <w:t xml:space="preserve"> </w:t>
      </w:r>
      <w:r w:rsidR="001A7CC1">
        <w:rPr>
          <w:lang w:val="en-CA"/>
        </w:rPr>
        <w:t xml:space="preserve">the </w:t>
      </w:r>
      <w:r w:rsidRPr="006A01A8">
        <w:rPr>
          <w:lang w:val="en-CA"/>
        </w:rPr>
        <w:t xml:space="preserve">electronic devices that had to remain </w:t>
      </w:r>
      <w:r w:rsidR="00711DEC">
        <w:rPr>
          <w:rFonts w:cs="Arial"/>
          <w:color w:val="000000"/>
          <w:lang w:val="en-CA"/>
        </w:rPr>
        <w:t>[</w:t>
      </w:r>
      <w:r w:rsidR="00711DEC" w:rsidRPr="00711DEC">
        <w:rPr>
          <w:rFonts w:cs="Arial"/>
          <w:smallCaps/>
          <w:color w:val="000000"/>
          <w:lang w:val="en-CA"/>
        </w:rPr>
        <w:t>translation</w:t>
      </w:r>
      <w:r w:rsidR="00711DEC">
        <w:rPr>
          <w:rFonts w:cs="Arial"/>
          <w:smallCaps/>
          <w:color w:val="000000"/>
          <w:lang w:val="en-CA"/>
        </w:rPr>
        <w:t>]</w:t>
      </w:r>
      <w:r w:rsidR="00711DEC" w:rsidRPr="006A01A8">
        <w:rPr>
          <w:rFonts w:cs="Arial"/>
          <w:color w:val="000000"/>
          <w:lang w:val="en-CA"/>
        </w:rPr>
        <w:t xml:space="preserve"> </w:t>
      </w:r>
      <w:r w:rsidRPr="006A01A8">
        <w:rPr>
          <w:lang w:val="en-CA"/>
        </w:rPr>
        <w:t>“in the possession of and under the responsibility of counsel for the accused for the entire duration of the proceedings”.</w:t>
      </w:r>
    </w:p>
    <w:p w14:paraId="68215967" w14:textId="1E082569" w:rsidR="00CC3EEB" w:rsidRPr="006A01A8" w:rsidRDefault="00BB70DC" w:rsidP="00E007AA">
      <w:pPr>
        <w:pStyle w:val="Paragraphe"/>
        <w:spacing w:line="280" w:lineRule="exact"/>
        <w:rPr>
          <w:lang w:val="en-CA"/>
        </w:rPr>
      </w:pPr>
      <w:r w:rsidRPr="006A01A8">
        <w:rPr>
          <w:lang w:val="en-CA"/>
        </w:rPr>
        <w:t>On January 13 and 14, 2021, after counsel had considered the proposed changes to the confidentiality undertaking, there was a discussion on the subject.</w:t>
      </w:r>
      <w:r w:rsidR="002C1928" w:rsidRPr="006A01A8">
        <w:rPr>
          <w:lang w:val="en-CA"/>
        </w:rPr>
        <w:t xml:space="preserve"> </w:t>
      </w:r>
      <w:r w:rsidRPr="006A01A8">
        <w:rPr>
          <w:lang w:val="en-CA"/>
        </w:rPr>
        <w:t xml:space="preserve">Counsel for the respondents expressed the opinion that the </w:t>
      </w:r>
      <w:r w:rsidR="008C0B43" w:rsidRPr="006A01A8">
        <w:rPr>
          <w:lang w:val="en-CA"/>
        </w:rPr>
        <w:t>new undertaking</w:t>
      </w:r>
      <w:r w:rsidRPr="006A01A8">
        <w:rPr>
          <w:lang w:val="en-CA"/>
        </w:rPr>
        <w:t xml:space="preserve"> was more restrictive.</w:t>
      </w:r>
      <w:r w:rsidR="002C1928" w:rsidRPr="006A01A8">
        <w:rPr>
          <w:lang w:val="en-CA"/>
        </w:rPr>
        <w:t xml:space="preserve"> </w:t>
      </w:r>
      <w:r w:rsidRPr="006A01A8">
        <w:rPr>
          <w:lang w:val="en-CA"/>
        </w:rPr>
        <w:t>The appellant re</w:t>
      </w:r>
      <w:r w:rsidR="001A7CC1">
        <w:rPr>
          <w:lang w:val="en-CA"/>
        </w:rPr>
        <w:t xml:space="preserve">plied </w:t>
      </w:r>
      <w:r w:rsidRPr="006A01A8">
        <w:rPr>
          <w:lang w:val="en-CA"/>
        </w:rPr>
        <w:t xml:space="preserve">that the respondents never had the right to </w:t>
      </w:r>
      <w:r w:rsidR="00E32206">
        <w:rPr>
          <w:lang w:val="en-CA"/>
        </w:rPr>
        <w:t>have</w:t>
      </w:r>
      <w:r w:rsidRPr="006A01A8">
        <w:rPr>
          <w:lang w:val="en-CA"/>
        </w:rPr>
        <w:t xml:space="preserve"> the evidence</w:t>
      </w:r>
      <w:r w:rsidR="00E32206">
        <w:rPr>
          <w:lang w:val="en-CA"/>
        </w:rPr>
        <w:t xml:space="preserve"> in their possession</w:t>
      </w:r>
      <w:r w:rsidRPr="006A01A8">
        <w:rPr>
          <w:lang w:val="en-CA"/>
        </w:rPr>
        <w:t>.</w:t>
      </w:r>
      <w:r w:rsidR="002C1928" w:rsidRPr="006A01A8">
        <w:rPr>
          <w:lang w:val="en-CA"/>
        </w:rPr>
        <w:t xml:space="preserve"> </w:t>
      </w:r>
      <w:r w:rsidRPr="006A01A8">
        <w:rPr>
          <w:lang w:val="en-CA"/>
        </w:rPr>
        <w:t xml:space="preserve">The appellant repeated </w:t>
      </w:r>
      <w:r w:rsidR="00A32AD3">
        <w:rPr>
          <w:lang w:val="en-CA"/>
        </w:rPr>
        <w:t>that</w:t>
      </w:r>
      <w:r w:rsidRPr="006A01A8">
        <w:rPr>
          <w:lang w:val="en-CA"/>
        </w:rPr>
        <w:t xml:space="preserve"> the undertaking</w:t>
      </w:r>
      <w:r w:rsidR="00A32AD3">
        <w:rPr>
          <w:lang w:val="en-CA"/>
        </w:rPr>
        <w:t xml:space="preserve"> was lawful</w:t>
      </w:r>
      <w:r w:rsidRPr="006A01A8">
        <w:rPr>
          <w:lang w:val="en-CA"/>
        </w:rPr>
        <w:t xml:space="preserve">, adding that if counsel could not </w:t>
      </w:r>
      <w:r w:rsidR="00E32206">
        <w:rPr>
          <w:lang w:val="en-CA"/>
        </w:rPr>
        <w:t>comply with</w:t>
      </w:r>
      <w:r w:rsidR="00E32206" w:rsidRPr="006A01A8">
        <w:rPr>
          <w:lang w:val="en-CA"/>
        </w:rPr>
        <w:t xml:space="preserve"> </w:t>
      </w:r>
      <w:r w:rsidRPr="006A01A8">
        <w:rPr>
          <w:lang w:val="en-CA"/>
        </w:rPr>
        <w:t xml:space="preserve">it, </w:t>
      </w:r>
      <w:r w:rsidR="001A7CC1">
        <w:rPr>
          <w:lang w:val="en-CA"/>
        </w:rPr>
        <w:t>they had to return</w:t>
      </w:r>
      <w:r w:rsidRPr="006A01A8">
        <w:rPr>
          <w:lang w:val="en-CA"/>
        </w:rPr>
        <w:t xml:space="preserve"> the evidence </w:t>
      </w:r>
      <w:r w:rsidR="008C0B43" w:rsidRPr="006A01A8">
        <w:rPr>
          <w:lang w:val="en-CA"/>
        </w:rPr>
        <w:t>received</w:t>
      </w:r>
      <w:r w:rsidR="001A7CC1">
        <w:rPr>
          <w:lang w:val="en-CA"/>
        </w:rPr>
        <w:t xml:space="preserve"> to the appellant</w:t>
      </w:r>
      <w:r w:rsidR="008C0B43" w:rsidRPr="006A01A8">
        <w:rPr>
          <w:lang w:val="en-CA"/>
        </w:rPr>
        <w:t>,</w:t>
      </w:r>
      <w:r w:rsidRPr="006A01A8">
        <w:rPr>
          <w:lang w:val="en-CA"/>
        </w:rPr>
        <w:t xml:space="preserve"> </w:t>
      </w:r>
      <w:r w:rsidR="00490B9D">
        <w:rPr>
          <w:lang w:val="en-CA"/>
        </w:rPr>
        <w:t>who</w:t>
      </w:r>
      <w:r w:rsidR="00E32206" w:rsidRPr="006A01A8">
        <w:rPr>
          <w:lang w:val="en-CA"/>
        </w:rPr>
        <w:t xml:space="preserve"> </w:t>
      </w:r>
      <w:r w:rsidRPr="006A01A8">
        <w:rPr>
          <w:lang w:val="en-CA"/>
        </w:rPr>
        <w:t xml:space="preserve">would file a motion to force them to </w:t>
      </w:r>
      <w:r w:rsidR="00E32206">
        <w:rPr>
          <w:lang w:val="en-CA"/>
        </w:rPr>
        <w:t>comply with</w:t>
      </w:r>
      <w:r w:rsidR="00E32206" w:rsidRPr="006A01A8">
        <w:rPr>
          <w:lang w:val="en-CA"/>
        </w:rPr>
        <w:t xml:space="preserve"> </w:t>
      </w:r>
      <w:r w:rsidRPr="006A01A8">
        <w:rPr>
          <w:lang w:val="en-CA"/>
        </w:rPr>
        <w:t>the undertaking.</w:t>
      </w:r>
      <w:r w:rsidR="002C1928" w:rsidRPr="006A01A8">
        <w:rPr>
          <w:lang w:val="en-CA"/>
        </w:rPr>
        <w:t xml:space="preserve">  </w:t>
      </w:r>
    </w:p>
    <w:p w14:paraId="626FBDE0" w14:textId="1986DAAB" w:rsidR="00CC3EEB" w:rsidRPr="006A01A8" w:rsidRDefault="00BB70DC" w:rsidP="00E007AA">
      <w:pPr>
        <w:pStyle w:val="Paragraphe"/>
        <w:spacing w:line="280" w:lineRule="exact"/>
        <w:rPr>
          <w:lang w:val="en-CA"/>
        </w:rPr>
      </w:pPr>
      <w:r w:rsidRPr="006A01A8">
        <w:rPr>
          <w:lang w:val="en-CA"/>
        </w:rPr>
        <w:lastRenderedPageBreak/>
        <w:t xml:space="preserve">On January 15, 2021, the date the respondents had chosen to be tried by “a provincial court judge”, the </w:t>
      </w:r>
      <w:r w:rsidR="00256C2E">
        <w:rPr>
          <w:lang w:val="en-CA"/>
        </w:rPr>
        <w:t>problem concerning</w:t>
      </w:r>
      <w:r w:rsidR="00256C2E" w:rsidRPr="006A01A8">
        <w:rPr>
          <w:lang w:val="en-CA"/>
        </w:rPr>
        <w:t xml:space="preserve"> </w:t>
      </w:r>
      <w:r w:rsidRPr="006A01A8">
        <w:rPr>
          <w:lang w:val="en-CA"/>
        </w:rPr>
        <w:t>access to the evidence was presented to a judge.</w:t>
      </w:r>
      <w:r w:rsidR="002C1928" w:rsidRPr="006A01A8">
        <w:rPr>
          <w:lang w:val="en-CA"/>
        </w:rPr>
        <w:t xml:space="preserve"> </w:t>
      </w:r>
      <w:r w:rsidRPr="006A01A8">
        <w:rPr>
          <w:lang w:val="en-CA"/>
        </w:rPr>
        <w:t xml:space="preserve">Counsel for the respondents complied with the appellant’s requirement and </w:t>
      </w:r>
      <w:r w:rsidR="001A7CC1">
        <w:rPr>
          <w:lang w:val="en-CA"/>
        </w:rPr>
        <w:t>returned</w:t>
      </w:r>
      <w:r w:rsidRPr="006A01A8">
        <w:rPr>
          <w:lang w:val="en-CA"/>
        </w:rPr>
        <w:t xml:space="preserve"> the evidence received since they could not sign the undertaking.</w:t>
      </w:r>
      <w:r w:rsidR="002C1928" w:rsidRPr="006A01A8">
        <w:rPr>
          <w:lang w:val="en-CA"/>
        </w:rPr>
        <w:t xml:space="preserve"> </w:t>
      </w:r>
      <w:r w:rsidRPr="006A01A8">
        <w:rPr>
          <w:lang w:val="en-CA"/>
        </w:rPr>
        <w:t>They filed it in the Court record under seal.</w:t>
      </w:r>
      <w:r w:rsidR="002C1928" w:rsidRPr="006A01A8">
        <w:rPr>
          <w:lang w:val="en-CA"/>
        </w:rPr>
        <w:t xml:space="preserve"> </w:t>
      </w:r>
      <w:r w:rsidRPr="006A01A8">
        <w:rPr>
          <w:lang w:val="en-CA"/>
        </w:rPr>
        <w:t xml:space="preserve">The appellant then </w:t>
      </w:r>
      <w:r w:rsidR="00256C2E">
        <w:rPr>
          <w:lang w:val="en-CA"/>
        </w:rPr>
        <w:t>stated that he</w:t>
      </w:r>
      <w:r w:rsidR="00256C2E" w:rsidRPr="006A01A8">
        <w:rPr>
          <w:lang w:val="en-CA"/>
        </w:rPr>
        <w:t xml:space="preserve"> </w:t>
      </w:r>
      <w:r w:rsidRPr="006A01A8">
        <w:rPr>
          <w:lang w:val="en-CA"/>
        </w:rPr>
        <w:t>intended to present a motion to force counsel for the respondents to sign the confidentiality undertaking relating to the disclosure of the evidence.</w:t>
      </w:r>
    </w:p>
    <w:p w14:paraId="73D42512" w14:textId="231A316C" w:rsidR="00CC3EEB" w:rsidRPr="006A01A8" w:rsidRDefault="00BB70DC" w:rsidP="00E007AA">
      <w:pPr>
        <w:pStyle w:val="Paragraphe"/>
        <w:spacing w:line="280" w:lineRule="exact"/>
        <w:rPr>
          <w:lang w:val="en-CA"/>
        </w:rPr>
      </w:pPr>
      <w:r w:rsidRPr="006A01A8">
        <w:rPr>
          <w:lang w:val="en-CA"/>
        </w:rPr>
        <w:t xml:space="preserve">The parties then asked for the intervention of a case management judge, appointed pursuant to s. 551.1 </w:t>
      </w:r>
      <w:r w:rsidRPr="006A01A8">
        <w:rPr>
          <w:i/>
          <w:lang w:val="en-CA"/>
        </w:rPr>
        <w:t xml:space="preserve">Cr. C. </w:t>
      </w:r>
      <w:r w:rsidRPr="006A01A8">
        <w:rPr>
          <w:lang w:val="en-CA"/>
        </w:rPr>
        <w:t xml:space="preserve"> and hearing</w:t>
      </w:r>
      <w:r w:rsidR="00256C2E">
        <w:rPr>
          <w:lang w:val="en-CA"/>
        </w:rPr>
        <w:t xml:space="preserve"> date for</w:t>
      </w:r>
      <w:r w:rsidRPr="006A01A8">
        <w:rPr>
          <w:lang w:val="en-CA"/>
        </w:rPr>
        <w:t xml:space="preserve"> that motion was </w:t>
      </w:r>
      <w:r w:rsidR="00365AA1">
        <w:rPr>
          <w:lang w:val="en-CA"/>
        </w:rPr>
        <w:t>scheduled to take place</w:t>
      </w:r>
      <w:r w:rsidR="00365AA1" w:rsidRPr="006A01A8">
        <w:rPr>
          <w:lang w:val="en-CA"/>
        </w:rPr>
        <w:t xml:space="preserve"> </w:t>
      </w:r>
      <w:r w:rsidRPr="006A01A8">
        <w:rPr>
          <w:lang w:val="en-CA"/>
        </w:rPr>
        <w:t>one month later, that is</w:t>
      </w:r>
      <w:r w:rsidR="001A7CC1">
        <w:rPr>
          <w:lang w:val="en-CA"/>
        </w:rPr>
        <w:t>,</w:t>
      </w:r>
      <w:r w:rsidRPr="006A01A8">
        <w:rPr>
          <w:lang w:val="en-CA"/>
        </w:rPr>
        <w:t xml:space="preserve"> on February 18, 2021.</w:t>
      </w:r>
      <w:r w:rsidR="002C1928" w:rsidRPr="006A01A8">
        <w:rPr>
          <w:lang w:val="en-CA"/>
        </w:rPr>
        <w:t xml:space="preserve"> </w:t>
      </w:r>
    </w:p>
    <w:p w14:paraId="2C9F168E" w14:textId="3EE6AF1C" w:rsidR="00CC3EEB" w:rsidRPr="006A01A8" w:rsidRDefault="00BB70DC" w:rsidP="00E007AA">
      <w:pPr>
        <w:pStyle w:val="Paragraphe"/>
        <w:spacing w:line="280" w:lineRule="exact"/>
        <w:rPr>
          <w:lang w:val="en-CA"/>
        </w:rPr>
      </w:pPr>
      <w:r w:rsidRPr="006A01A8">
        <w:rPr>
          <w:lang w:val="en-CA"/>
        </w:rPr>
        <w:t>Meanwhile, on January 20, 2021, counsel for the respondent</w:t>
      </w:r>
      <w:r w:rsidR="00333407">
        <w:rPr>
          <w:lang w:val="en-CA"/>
        </w:rPr>
        <w:t>s</w:t>
      </w:r>
      <w:r w:rsidRPr="006A01A8">
        <w:rPr>
          <w:lang w:val="en-CA"/>
        </w:rPr>
        <w:t xml:space="preserve"> nonetheless obtained the authorization of a judge to keep a copy of the evidence in exchange for the provisional undertaking not to give copies to the respondents.</w:t>
      </w:r>
      <w:r w:rsidR="002C1928" w:rsidRPr="006A01A8">
        <w:rPr>
          <w:lang w:val="en-CA"/>
        </w:rPr>
        <w:t xml:space="preserve"> </w:t>
      </w:r>
      <w:r w:rsidRPr="006A01A8">
        <w:rPr>
          <w:lang w:val="en-CA"/>
        </w:rPr>
        <w:t xml:space="preserve">The evidence </w:t>
      </w:r>
      <w:r w:rsidR="00FD1EB0">
        <w:rPr>
          <w:lang w:val="en-CA"/>
        </w:rPr>
        <w:t xml:space="preserve">disclosure process </w:t>
      </w:r>
      <w:r w:rsidRPr="006A01A8">
        <w:rPr>
          <w:lang w:val="en-CA"/>
        </w:rPr>
        <w:t>continued in this context.</w:t>
      </w:r>
    </w:p>
    <w:p w14:paraId="6E311887" w14:textId="03C1DE86" w:rsidR="00CC3EEB" w:rsidRPr="006A01A8" w:rsidRDefault="00BB70DC" w:rsidP="00E007AA">
      <w:pPr>
        <w:pStyle w:val="Paragraphe"/>
        <w:spacing w:line="280" w:lineRule="exact"/>
        <w:rPr>
          <w:bCs/>
          <w:lang w:val="en-CA"/>
        </w:rPr>
      </w:pPr>
      <w:r w:rsidRPr="006A01A8">
        <w:rPr>
          <w:bCs/>
          <w:lang w:val="en-CA"/>
        </w:rPr>
        <w:t>On February 18, 2021, the debate on the appellant’s motion was held.</w:t>
      </w:r>
      <w:r w:rsidR="002C1928" w:rsidRPr="006A01A8">
        <w:rPr>
          <w:bCs/>
          <w:lang w:val="en-CA"/>
        </w:rPr>
        <w:t xml:space="preserve"> </w:t>
      </w:r>
      <w:r w:rsidRPr="006A01A8">
        <w:rPr>
          <w:bCs/>
          <w:lang w:val="en-CA"/>
        </w:rPr>
        <w:t xml:space="preserve">The decision, </w:t>
      </w:r>
      <w:r w:rsidR="001A7CC1">
        <w:rPr>
          <w:bCs/>
          <w:lang w:val="en-CA"/>
        </w:rPr>
        <w:t xml:space="preserve">which was </w:t>
      </w:r>
      <w:r w:rsidRPr="006A01A8">
        <w:rPr>
          <w:bCs/>
          <w:lang w:val="en-CA"/>
        </w:rPr>
        <w:t>expected on March 23, 2021, was rendered on April 30, 2021.</w:t>
      </w:r>
      <w:r w:rsidR="002C1928" w:rsidRPr="006A01A8">
        <w:rPr>
          <w:bCs/>
          <w:lang w:val="en-CA"/>
        </w:rPr>
        <w:t xml:space="preserve"> </w:t>
      </w:r>
      <w:r w:rsidRPr="006A01A8">
        <w:rPr>
          <w:bCs/>
          <w:lang w:val="en-CA"/>
        </w:rPr>
        <w:t xml:space="preserve">In the meantime, that is, for </w:t>
      </w:r>
      <w:r w:rsidR="001A7CC1">
        <w:rPr>
          <w:bCs/>
          <w:lang w:val="en-CA"/>
        </w:rPr>
        <w:t>2</w:t>
      </w:r>
      <w:r w:rsidRPr="006A01A8">
        <w:rPr>
          <w:bCs/>
          <w:lang w:val="en-CA"/>
        </w:rPr>
        <w:t xml:space="preserve"> months and 12 </w:t>
      </w:r>
      <w:r w:rsidR="008C0B43" w:rsidRPr="006A01A8">
        <w:rPr>
          <w:bCs/>
          <w:lang w:val="en-CA"/>
        </w:rPr>
        <w:t>days, the</w:t>
      </w:r>
      <w:r w:rsidRPr="006A01A8">
        <w:rPr>
          <w:bCs/>
          <w:lang w:val="en-CA"/>
        </w:rPr>
        <w:t xml:space="preserve"> difficult exercise of disclosure continued.</w:t>
      </w:r>
      <w:r w:rsidR="002C1928" w:rsidRPr="006A01A8">
        <w:rPr>
          <w:bCs/>
          <w:lang w:val="en-CA"/>
        </w:rPr>
        <w:t xml:space="preserve"> </w:t>
      </w:r>
    </w:p>
    <w:p w14:paraId="6C86F62A" w14:textId="0A945889" w:rsidR="00CC3EEB" w:rsidRPr="006A01A8" w:rsidRDefault="00BB70DC" w:rsidP="00E007AA">
      <w:pPr>
        <w:pStyle w:val="Paragraphe"/>
        <w:spacing w:line="280" w:lineRule="exact"/>
        <w:rPr>
          <w:lang w:val="en-CA"/>
        </w:rPr>
      </w:pPr>
      <w:r w:rsidRPr="006A01A8">
        <w:rPr>
          <w:lang w:val="en-CA"/>
        </w:rPr>
        <w:t>On February 5, 2021, prior to the hearing o</w:t>
      </w:r>
      <w:r w:rsidR="001A7CC1">
        <w:rPr>
          <w:lang w:val="en-CA"/>
        </w:rPr>
        <w:t>f</w:t>
      </w:r>
      <w:r w:rsidRPr="006A01A8">
        <w:rPr>
          <w:lang w:val="en-CA"/>
        </w:rPr>
        <w:t xml:space="preserve"> the motion, the appellant provided the respondents with a trial book correcting </w:t>
      </w:r>
      <w:r w:rsidR="00CC1A08">
        <w:rPr>
          <w:rFonts w:cs="Arial"/>
          <w:color w:val="000000"/>
          <w:lang w:val="en-CA"/>
        </w:rPr>
        <w:t>[</w:t>
      </w:r>
      <w:r w:rsidR="00DA1905">
        <w:rPr>
          <w:rFonts w:cs="Arial"/>
          <w:smallCaps/>
          <w:color w:val="000000"/>
          <w:lang w:val="en-CA"/>
        </w:rPr>
        <w:t>translation</w:t>
      </w:r>
      <w:r w:rsidR="00CC1A08" w:rsidRPr="00711DEC">
        <w:rPr>
          <w:rFonts w:cs="Arial"/>
          <w:smallCaps/>
          <w:color w:val="000000"/>
          <w:lang w:val="en-CA"/>
        </w:rPr>
        <w:t>] “</w:t>
      </w:r>
      <w:r w:rsidRPr="006A01A8">
        <w:rPr>
          <w:lang w:val="en-CA"/>
        </w:rPr>
        <w:t>the accidental presence of hyperlinks to inadequately redacted documents</w:t>
      </w:r>
      <w:r w:rsidR="001A7CC1">
        <w:rPr>
          <w:lang w:val="en-CA"/>
        </w:rPr>
        <w:t>,</w:t>
      </w:r>
      <w:r w:rsidRPr="006A01A8">
        <w:rPr>
          <w:lang w:val="en-CA"/>
        </w:rPr>
        <w:t xml:space="preserve"> as appears from our exchanges </w:t>
      </w:r>
      <w:r w:rsidR="00FD1EB0">
        <w:rPr>
          <w:lang w:val="en-CA"/>
        </w:rPr>
        <w:t>on</w:t>
      </w:r>
      <w:r w:rsidR="00FD1EB0" w:rsidRPr="006A01A8">
        <w:rPr>
          <w:lang w:val="en-CA"/>
        </w:rPr>
        <w:t xml:space="preserve"> </w:t>
      </w:r>
      <w:r w:rsidRPr="006A01A8">
        <w:rPr>
          <w:lang w:val="en-CA"/>
        </w:rPr>
        <w:t>February 5, 2021, and last week”.</w:t>
      </w:r>
      <w:r w:rsidR="002C1928" w:rsidRPr="006A01A8">
        <w:rPr>
          <w:szCs w:val="24"/>
          <w:lang w:val="en-CA" w:eastAsia="en-US"/>
        </w:rPr>
        <w:t xml:space="preserve"> </w:t>
      </w:r>
      <w:r w:rsidRPr="006A01A8">
        <w:rPr>
          <w:lang w:val="en-CA"/>
        </w:rPr>
        <w:t xml:space="preserve">In addition, still with the provisional undertaking of counsel for the respondents, a further disclosure of evidence was announced. </w:t>
      </w:r>
      <w:r w:rsidR="002C1928" w:rsidRPr="006A01A8">
        <w:rPr>
          <w:lang w:val="en-CA"/>
        </w:rPr>
        <w:t xml:space="preserve"> </w:t>
      </w:r>
    </w:p>
    <w:p w14:paraId="53D9866A" w14:textId="20226D26" w:rsidR="00BB70DC" w:rsidRPr="004D0B38" w:rsidRDefault="00FD1EB0" w:rsidP="004D0B38">
      <w:pPr>
        <w:pStyle w:val="Paragraphe"/>
        <w:spacing w:line="280" w:lineRule="exact"/>
        <w:rPr>
          <w:lang w:val="en-CA"/>
        </w:rPr>
      </w:pPr>
      <w:r>
        <w:rPr>
          <w:lang w:val="en-CA"/>
        </w:rPr>
        <w:t xml:space="preserve">This </w:t>
      </w:r>
      <w:r w:rsidR="000324EB">
        <w:rPr>
          <w:lang w:val="en-CA"/>
        </w:rPr>
        <w:t xml:space="preserve">disclosure </w:t>
      </w:r>
      <w:r>
        <w:rPr>
          <w:lang w:val="en-CA"/>
        </w:rPr>
        <w:t xml:space="preserve">ultimately </w:t>
      </w:r>
      <w:r w:rsidR="00365AA1">
        <w:rPr>
          <w:lang w:val="en-CA"/>
        </w:rPr>
        <w:t>did not take</w:t>
      </w:r>
      <w:r>
        <w:rPr>
          <w:lang w:val="en-CA"/>
        </w:rPr>
        <w:t xml:space="preserve"> place</w:t>
      </w:r>
      <w:r w:rsidR="004D0B38" w:rsidRPr="006A01A8">
        <w:rPr>
          <w:lang w:val="en-CA"/>
        </w:rPr>
        <w:t xml:space="preserve"> </w:t>
      </w:r>
      <w:r w:rsidR="00365AA1">
        <w:rPr>
          <w:lang w:val="en-CA"/>
        </w:rPr>
        <w:t>until</w:t>
      </w:r>
      <w:r w:rsidR="00C14F37">
        <w:rPr>
          <w:lang w:val="en-CA"/>
        </w:rPr>
        <w:t xml:space="preserve"> </w:t>
      </w:r>
      <w:r w:rsidR="00BB70DC" w:rsidRPr="006A01A8">
        <w:rPr>
          <w:lang w:val="en-CA"/>
        </w:rPr>
        <w:t>March 3, 2021.</w:t>
      </w:r>
      <w:r w:rsidR="002C1928" w:rsidRPr="006A01A8">
        <w:rPr>
          <w:lang w:val="en-CA"/>
        </w:rPr>
        <w:t xml:space="preserve"> </w:t>
      </w:r>
      <w:r w:rsidR="00BB70DC" w:rsidRPr="006A01A8">
        <w:rPr>
          <w:lang w:val="en-CA"/>
        </w:rPr>
        <w:t xml:space="preserve">The appellant then disclosed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00BB70DC" w:rsidRPr="006A01A8">
        <w:rPr>
          <w:lang w:val="en-CA"/>
        </w:rPr>
        <w:t>“mainly video recordings from surveillance cameras installed at the respondents</w:t>
      </w:r>
      <w:r w:rsidR="000324EB">
        <w:rPr>
          <w:lang w:val="en-CA"/>
        </w:rPr>
        <w:t>’</w:t>
      </w:r>
      <w:r w:rsidR="00BB70DC" w:rsidRPr="006A01A8">
        <w:rPr>
          <w:lang w:val="en-CA"/>
        </w:rPr>
        <w:t xml:space="preserve"> residence, unredacted documents and a table explaining the redaction codes”. </w:t>
      </w:r>
    </w:p>
    <w:p w14:paraId="311FEDE4" w14:textId="2DD1456E" w:rsidR="00CC3EEB" w:rsidRPr="006A01A8" w:rsidRDefault="00BB70DC" w:rsidP="00E007AA">
      <w:pPr>
        <w:pStyle w:val="Paragraphe"/>
        <w:spacing w:line="280" w:lineRule="exact"/>
        <w:rPr>
          <w:bCs/>
          <w:lang w:val="en-CA"/>
        </w:rPr>
      </w:pPr>
      <w:r w:rsidRPr="006A01A8">
        <w:rPr>
          <w:bCs/>
          <w:lang w:val="en-CA"/>
        </w:rPr>
        <w:t>The exchanges between the parties between February and March 2021, which were filed into evidence, provide an overview of the difficult disclosure process.</w:t>
      </w:r>
      <w:r w:rsidR="002C1928" w:rsidRPr="006A01A8">
        <w:rPr>
          <w:bCs/>
          <w:lang w:val="en-CA"/>
        </w:rPr>
        <w:t xml:space="preserve"> </w:t>
      </w:r>
      <w:r w:rsidRPr="006A01A8">
        <w:rPr>
          <w:bCs/>
          <w:lang w:val="en-CA"/>
        </w:rPr>
        <w:t>Discussions on the admissions were complicated by the fact that the respondents had to examine the evidence.</w:t>
      </w:r>
      <w:r w:rsidR="002C1928" w:rsidRPr="006A01A8">
        <w:rPr>
          <w:bCs/>
          <w:lang w:val="en-CA"/>
        </w:rPr>
        <w:t xml:space="preserve"> </w:t>
      </w:r>
      <w:r w:rsidRPr="006A01A8">
        <w:rPr>
          <w:bCs/>
          <w:lang w:val="en-CA"/>
        </w:rPr>
        <w:t xml:space="preserve">On March 19, 2021, </w:t>
      </w:r>
      <w:r w:rsidR="001A7CC1" w:rsidRPr="006A01A8">
        <w:rPr>
          <w:bCs/>
          <w:lang w:val="en-CA"/>
        </w:rPr>
        <w:t xml:space="preserve">the respondents asked the appellant to show them the changes made </w:t>
      </w:r>
      <w:r w:rsidR="000324EB">
        <w:rPr>
          <w:bCs/>
          <w:lang w:val="en-CA"/>
        </w:rPr>
        <w:t>between</w:t>
      </w:r>
      <w:r w:rsidR="000324EB" w:rsidRPr="006A01A8">
        <w:rPr>
          <w:bCs/>
          <w:lang w:val="en-CA"/>
        </w:rPr>
        <w:t xml:space="preserve"> </w:t>
      </w:r>
      <w:r w:rsidR="001A7CC1" w:rsidRPr="006A01A8">
        <w:rPr>
          <w:bCs/>
          <w:lang w:val="en-CA"/>
        </w:rPr>
        <w:t xml:space="preserve">the different versions of the evidence to accelerate the process </w:t>
      </w:r>
      <w:proofErr w:type="gramStart"/>
      <w:r w:rsidRPr="006A01A8">
        <w:rPr>
          <w:bCs/>
          <w:lang w:val="en-CA"/>
        </w:rPr>
        <w:t>in light of</w:t>
      </w:r>
      <w:proofErr w:type="gramEnd"/>
      <w:r w:rsidRPr="006A01A8">
        <w:rPr>
          <w:bCs/>
          <w:lang w:val="en-CA"/>
        </w:rPr>
        <w:t xml:space="preserve"> their right to </w:t>
      </w:r>
      <w:r w:rsidR="00EC7C66">
        <w:rPr>
          <w:bCs/>
          <w:lang w:val="en-CA"/>
        </w:rPr>
        <w:t>be tried</w:t>
      </w:r>
      <w:r w:rsidRPr="006A01A8">
        <w:rPr>
          <w:bCs/>
          <w:lang w:val="en-CA"/>
        </w:rPr>
        <w:t xml:space="preserve"> within a reasonable time</w:t>
      </w:r>
      <w:r w:rsidR="004D0B38" w:rsidRPr="006A01A8">
        <w:rPr>
          <w:bCs/>
          <w:lang w:val="en-CA"/>
        </w:rPr>
        <w:t>.</w:t>
      </w:r>
      <w:r w:rsidR="002C1928" w:rsidRPr="006A01A8">
        <w:rPr>
          <w:bCs/>
          <w:lang w:val="en-CA"/>
        </w:rPr>
        <w:t xml:space="preserve"> </w:t>
      </w:r>
      <w:r w:rsidRPr="006A01A8">
        <w:rPr>
          <w:bCs/>
          <w:lang w:val="en-CA"/>
        </w:rPr>
        <w:t xml:space="preserve">This request was answered </w:t>
      </w:r>
      <w:r w:rsidR="000324EB">
        <w:rPr>
          <w:bCs/>
          <w:lang w:val="en-CA"/>
        </w:rPr>
        <w:t>in late</w:t>
      </w:r>
      <w:r w:rsidRPr="006A01A8">
        <w:rPr>
          <w:bCs/>
          <w:lang w:val="en-CA"/>
        </w:rPr>
        <w:t xml:space="preserve"> May 2021.</w:t>
      </w:r>
    </w:p>
    <w:p w14:paraId="30F61F64" w14:textId="5B598B56" w:rsidR="00CC3EEB" w:rsidRPr="006A01A8" w:rsidRDefault="00BB70DC" w:rsidP="00E007AA">
      <w:pPr>
        <w:pStyle w:val="Paragraphe"/>
        <w:spacing w:line="280" w:lineRule="exact"/>
        <w:rPr>
          <w:lang w:val="en-CA"/>
        </w:rPr>
      </w:pPr>
      <w:r w:rsidRPr="006A01A8">
        <w:rPr>
          <w:lang w:val="en-CA"/>
        </w:rPr>
        <w:t>As stated, the case management judge’s decision was rendered on April 30, 2021.</w:t>
      </w:r>
      <w:r w:rsidR="002C1928" w:rsidRPr="006A01A8">
        <w:rPr>
          <w:lang w:val="en-CA"/>
        </w:rPr>
        <w:t xml:space="preserve"> </w:t>
      </w:r>
      <w:r w:rsidRPr="006A01A8">
        <w:rPr>
          <w:lang w:val="en-CA"/>
        </w:rPr>
        <w:t xml:space="preserve">The appellant reproduced the minutes recording this short decision </w:t>
      </w:r>
      <w:r w:rsidR="000324EB">
        <w:rPr>
          <w:lang w:val="en-CA"/>
        </w:rPr>
        <w:t>regarding his</w:t>
      </w:r>
      <w:r w:rsidRPr="006A01A8">
        <w:rPr>
          <w:lang w:val="en-CA"/>
        </w:rPr>
        <w:t xml:space="preserve"> </w:t>
      </w:r>
      <w:r w:rsidR="00CC1A08">
        <w:rPr>
          <w:rFonts w:cs="Arial"/>
          <w:color w:val="000000"/>
          <w:lang w:val="en-CA"/>
        </w:rPr>
        <w:t>[</w:t>
      </w:r>
      <w:r w:rsidR="00DA1905">
        <w:rPr>
          <w:rFonts w:cs="Arial"/>
          <w:smallCaps/>
          <w:color w:val="000000"/>
          <w:lang w:val="en-CA"/>
        </w:rPr>
        <w:t>translation</w:t>
      </w:r>
      <w:r w:rsidR="00CC1A08" w:rsidRPr="00711DEC">
        <w:rPr>
          <w:rFonts w:cs="Arial"/>
          <w:smallCaps/>
          <w:color w:val="000000"/>
          <w:lang w:val="en-CA"/>
        </w:rPr>
        <w:t>] “</w:t>
      </w:r>
      <w:r w:rsidRPr="006A01A8">
        <w:rPr>
          <w:lang w:val="en-CA"/>
        </w:rPr>
        <w:t xml:space="preserve">motion to have the respondents sign the </w:t>
      </w:r>
      <w:r w:rsidR="006A0DAD" w:rsidRPr="006A01A8">
        <w:rPr>
          <w:lang w:val="en-CA"/>
        </w:rPr>
        <w:t xml:space="preserve">confidentiality </w:t>
      </w:r>
      <w:r w:rsidRPr="006A01A8">
        <w:rPr>
          <w:lang w:val="en-CA"/>
        </w:rPr>
        <w:t>undertaking with respect to the disclosure of the evidence”.</w:t>
      </w:r>
      <w:r w:rsidR="002C1928" w:rsidRPr="006A01A8">
        <w:rPr>
          <w:lang w:val="en-CA"/>
        </w:rPr>
        <w:t xml:space="preserve"> </w:t>
      </w:r>
    </w:p>
    <w:p w14:paraId="6D1F17D1" w14:textId="57DD21D4" w:rsidR="00CC3EEB" w:rsidRPr="006A01A8" w:rsidRDefault="00BB70DC" w:rsidP="00E007AA">
      <w:pPr>
        <w:pStyle w:val="Paragraphe"/>
        <w:spacing w:line="280" w:lineRule="exact"/>
        <w:rPr>
          <w:lang w:val="en-CA"/>
        </w:rPr>
      </w:pPr>
      <w:r w:rsidRPr="006A01A8">
        <w:rPr>
          <w:lang w:val="en-CA"/>
        </w:rPr>
        <w:lastRenderedPageBreak/>
        <w:t>The motion itself was not filed in the appeal record.</w:t>
      </w:r>
      <w:r w:rsidR="002C1928" w:rsidRPr="006A01A8">
        <w:rPr>
          <w:lang w:val="en-CA"/>
        </w:rPr>
        <w:t xml:space="preserve"> </w:t>
      </w:r>
      <w:r w:rsidRPr="006A01A8">
        <w:rPr>
          <w:lang w:val="en-CA"/>
        </w:rPr>
        <w:t xml:space="preserve">As previously stated, the appellant insisted on a </w:t>
      </w:r>
      <w:r w:rsidR="000324EB" w:rsidRPr="006A01A8">
        <w:rPr>
          <w:lang w:val="en-CA"/>
        </w:rPr>
        <w:t xml:space="preserve">confidentiality </w:t>
      </w:r>
      <w:r w:rsidRPr="006A01A8">
        <w:rPr>
          <w:lang w:val="en-CA"/>
        </w:rPr>
        <w:t xml:space="preserve">undertaking </w:t>
      </w:r>
      <w:r w:rsidR="00C14F37">
        <w:rPr>
          <w:lang w:val="en-CA"/>
        </w:rPr>
        <w:t>that stipulate</w:t>
      </w:r>
      <w:r w:rsidR="000324EB" w:rsidRPr="006A01A8">
        <w:rPr>
          <w:lang w:val="en-CA"/>
        </w:rPr>
        <w:t xml:space="preserve"> </w:t>
      </w:r>
      <w:r w:rsidRPr="006A01A8">
        <w:rPr>
          <w:lang w:val="en-CA"/>
        </w:rPr>
        <w:t xml:space="preserve">that the respondents </w:t>
      </w:r>
      <w:r w:rsidR="00C14F37">
        <w:rPr>
          <w:lang w:val="en-CA"/>
        </w:rPr>
        <w:t>could not</w:t>
      </w:r>
      <w:r w:rsidRPr="006A01A8">
        <w:rPr>
          <w:lang w:val="en-CA"/>
        </w:rPr>
        <w:t xml:space="preserve"> examin</w:t>
      </w:r>
      <w:r w:rsidR="00C14F37">
        <w:rPr>
          <w:lang w:val="en-CA"/>
        </w:rPr>
        <w:t>e</w:t>
      </w:r>
      <w:r w:rsidRPr="006A01A8">
        <w:rPr>
          <w:lang w:val="en-CA"/>
        </w:rPr>
        <w:t xml:space="preserve"> </w:t>
      </w:r>
      <w:r w:rsidR="00C14F37">
        <w:rPr>
          <w:lang w:val="en-CA"/>
        </w:rPr>
        <w:t>part</w:t>
      </w:r>
      <w:r w:rsidRPr="006A01A8">
        <w:rPr>
          <w:lang w:val="en-CA"/>
        </w:rPr>
        <w:t xml:space="preserve"> of the evidence </w:t>
      </w:r>
      <w:r w:rsidR="000324EB" w:rsidRPr="006A01A8">
        <w:rPr>
          <w:lang w:val="en-CA"/>
        </w:rPr>
        <w:t>disclosed</w:t>
      </w:r>
      <w:r w:rsidR="00C14F37">
        <w:rPr>
          <w:lang w:val="en-CA"/>
        </w:rPr>
        <w:t>,</w:t>
      </w:r>
      <w:r w:rsidR="000324EB" w:rsidRPr="006A01A8">
        <w:rPr>
          <w:lang w:val="en-CA"/>
        </w:rPr>
        <w:t xml:space="preserve"> </w:t>
      </w:r>
      <w:r w:rsidR="00C14F37">
        <w:rPr>
          <w:lang w:val="en-CA"/>
        </w:rPr>
        <w:t>except</w:t>
      </w:r>
      <w:r w:rsidRPr="006A01A8">
        <w:rPr>
          <w:lang w:val="en-CA"/>
        </w:rPr>
        <w:t xml:space="preserve"> in the presence of their counsel.</w:t>
      </w:r>
    </w:p>
    <w:p w14:paraId="5CE19A9F" w14:textId="59D6E5CC" w:rsidR="00CC3EEB" w:rsidRPr="006A01A8" w:rsidRDefault="00BB70DC" w:rsidP="00E007AA">
      <w:pPr>
        <w:pStyle w:val="Paragraphe"/>
        <w:spacing w:line="280" w:lineRule="exact"/>
        <w:rPr>
          <w:lang w:val="en-CA"/>
        </w:rPr>
      </w:pPr>
      <w:r w:rsidRPr="006A01A8">
        <w:rPr>
          <w:lang w:val="en-CA"/>
        </w:rPr>
        <w:t xml:space="preserve">The judge confirmed the overall legitimacy of the practice of having </w:t>
      </w:r>
      <w:r w:rsidR="000324EB" w:rsidRPr="006A01A8">
        <w:rPr>
          <w:lang w:val="en-CA"/>
        </w:rPr>
        <w:t xml:space="preserve">confidentiality </w:t>
      </w:r>
      <w:r w:rsidRPr="006A01A8">
        <w:rPr>
          <w:lang w:val="en-CA"/>
        </w:rPr>
        <w:t>undertakings signed to the extent that they do not infringe the accused’s right to make full answer and defence.</w:t>
      </w:r>
      <w:r w:rsidR="002C1928" w:rsidRPr="006A01A8">
        <w:rPr>
          <w:lang w:val="en-CA"/>
        </w:rPr>
        <w:t xml:space="preserve"> </w:t>
      </w:r>
      <w:r w:rsidRPr="006A01A8">
        <w:rPr>
          <w:lang w:val="en-CA"/>
        </w:rPr>
        <w:t xml:space="preserve">He </w:t>
      </w:r>
      <w:r w:rsidR="000324EB">
        <w:rPr>
          <w:lang w:val="en-CA"/>
        </w:rPr>
        <w:t>found</w:t>
      </w:r>
      <w:r w:rsidR="000324EB" w:rsidRPr="006A01A8">
        <w:rPr>
          <w:lang w:val="en-CA"/>
        </w:rPr>
        <w:t xml:space="preserve"> </w:t>
      </w:r>
      <w:r w:rsidRPr="006A01A8">
        <w:rPr>
          <w:lang w:val="en-CA"/>
        </w:rPr>
        <w:t xml:space="preserve">that the </w:t>
      </w:r>
      <w:r w:rsidR="000324EB" w:rsidRPr="006A01A8">
        <w:rPr>
          <w:lang w:val="en-CA"/>
        </w:rPr>
        <w:t xml:space="preserve">confidentiality </w:t>
      </w:r>
      <w:r w:rsidRPr="006A01A8">
        <w:rPr>
          <w:lang w:val="en-CA"/>
        </w:rPr>
        <w:t>undertaking in the case at bar violate</w:t>
      </w:r>
      <w:r w:rsidR="000324EB">
        <w:rPr>
          <w:lang w:val="en-CA"/>
        </w:rPr>
        <w:t>d</w:t>
      </w:r>
      <w:r w:rsidRPr="006A01A8">
        <w:rPr>
          <w:lang w:val="en-CA"/>
        </w:rPr>
        <w:t xml:space="preserve"> that right.</w:t>
      </w:r>
      <w:r w:rsidR="002C1928" w:rsidRPr="006A01A8">
        <w:rPr>
          <w:lang w:val="en-CA"/>
        </w:rPr>
        <w:t xml:space="preserve"> </w:t>
      </w:r>
      <w:r w:rsidRPr="006A01A8">
        <w:rPr>
          <w:lang w:val="en-CA"/>
        </w:rPr>
        <w:t xml:space="preserve">For the judge, requiring the constant presence of counsel </w:t>
      </w:r>
      <w:r w:rsidR="001A7CC1">
        <w:rPr>
          <w:lang w:val="en-CA"/>
        </w:rPr>
        <w:t xml:space="preserve">not only </w:t>
      </w:r>
      <w:r w:rsidRPr="006A01A8">
        <w:rPr>
          <w:lang w:val="en-CA"/>
        </w:rPr>
        <w:t xml:space="preserve">infringes </w:t>
      </w:r>
      <w:r w:rsidR="000324EB" w:rsidRPr="006A01A8">
        <w:rPr>
          <w:lang w:val="en-CA"/>
        </w:rPr>
        <w:t>th</w:t>
      </w:r>
      <w:r w:rsidR="000324EB">
        <w:rPr>
          <w:lang w:val="en-CA"/>
        </w:rPr>
        <w:t>at</w:t>
      </w:r>
      <w:r w:rsidR="000324EB" w:rsidRPr="006A01A8">
        <w:rPr>
          <w:lang w:val="en-CA"/>
        </w:rPr>
        <w:t xml:space="preserve"> </w:t>
      </w:r>
      <w:r w:rsidRPr="006A01A8">
        <w:rPr>
          <w:lang w:val="en-CA"/>
        </w:rPr>
        <w:t>right</w:t>
      </w:r>
      <w:r w:rsidR="001A7CC1">
        <w:rPr>
          <w:lang w:val="en-CA"/>
        </w:rPr>
        <w:t xml:space="preserve">, but also </w:t>
      </w:r>
      <w:r w:rsidRPr="006A01A8">
        <w:rPr>
          <w:lang w:val="en-CA"/>
        </w:rPr>
        <w:t xml:space="preserve">imposes an additional financial burden </w:t>
      </w:r>
      <w:r w:rsidR="001A7CC1" w:rsidRPr="006A01A8">
        <w:rPr>
          <w:lang w:val="en-CA"/>
        </w:rPr>
        <w:t xml:space="preserve">on the respondents </w:t>
      </w:r>
      <w:r w:rsidR="001A7CC1">
        <w:rPr>
          <w:lang w:val="en-CA"/>
        </w:rPr>
        <w:t>to examine</w:t>
      </w:r>
      <w:r w:rsidRPr="006A01A8">
        <w:rPr>
          <w:lang w:val="en-CA"/>
        </w:rPr>
        <w:t xml:space="preserve"> the evidence.</w:t>
      </w:r>
      <w:r w:rsidR="002C1928" w:rsidRPr="006A01A8">
        <w:rPr>
          <w:lang w:val="en-CA"/>
        </w:rPr>
        <w:t xml:space="preserve"> </w:t>
      </w:r>
      <w:r w:rsidRPr="006A01A8">
        <w:rPr>
          <w:lang w:val="en-CA"/>
        </w:rPr>
        <w:t xml:space="preserve">The judge therefore allowed the accused to read the documents without their counsel present, without </w:t>
      </w:r>
      <w:r w:rsidR="001A7CC1">
        <w:rPr>
          <w:lang w:val="en-CA"/>
        </w:rPr>
        <w:t>making</w:t>
      </w:r>
      <w:r w:rsidRPr="006A01A8">
        <w:rPr>
          <w:lang w:val="en-CA"/>
        </w:rPr>
        <w:t xml:space="preserve"> copies</w:t>
      </w:r>
      <w:r w:rsidR="001A7CC1">
        <w:rPr>
          <w:lang w:val="en-CA"/>
        </w:rPr>
        <w:t>,</w:t>
      </w:r>
      <w:r w:rsidRPr="006A01A8">
        <w:rPr>
          <w:lang w:val="en-CA"/>
        </w:rPr>
        <w:t xml:space="preserve"> and required that the documents remain in counsel’s offices.</w:t>
      </w:r>
      <w:r w:rsidR="002C1928" w:rsidRPr="006A01A8">
        <w:rPr>
          <w:lang w:val="en-CA"/>
        </w:rPr>
        <w:t xml:space="preserve"> </w:t>
      </w:r>
    </w:p>
    <w:p w14:paraId="55F59C9A" w14:textId="778FAE42" w:rsidR="00CC3EEB" w:rsidRPr="006A01A8" w:rsidRDefault="00BB70DC" w:rsidP="00E007AA">
      <w:pPr>
        <w:pStyle w:val="Paragraphe"/>
        <w:spacing w:line="280" w:lineRule="exact"/>
        <w:rPr>
          <w:bCs/>
          <w:lang w:val="en-CA"/>
        </w:rPr>
      </w:pPr>
      <w:r w:rsidRPr="006A01A8">
        <w:rPr>
          <w:bCs/>
          <w:lang w:val="en-CA"/>
        </w:rPr>
        <w:t xml:space="preserve">On April 30, 2021, after the decision </w:t>
      </w:r>
      <w:r w:rsidR="001A7CC1">
        <w:rPr>
          <w:bCs/>
          <w:lang w:val="en-CA"/>
        </w:rPr>
        <w:t>on</w:t>
      </w:r>
      <w:r w:rsidRPr="006A01A8">
        <w:rPr>
          <w:bCs/>
          <w:lang w:val="en-CA"/>
        </w:rPr>
        <w:t xml:space="preserve"> the </w:t>
      </w:r>
      <w:r w:rsidR="006B33FF" w:rsidRPr="006A01A8">
        <w:rPr>
          <w:bCs/>
          <w:lang w:val="en-CA"/>
        </w:rPr>
        <w:t xml:space="preserve">confidentiality </w:t>
      </w:r>
      <w:r w:rsidRPr="006A01A8">
        <w:rPr>
          <w:bCs/>
          <w:lang w:val="en-CA"/>
        </w:rPr>
        <w:t xml:space="preserve">undertaking, the </w:t>
      </w:r>
      <w:r w:rsidR="006B33FF">
        <w:rPr>
          <w:bCs/>
          <w:lang w:val="en-CA"/>
        </w:rPr>
        <w:t>files</w:t>
      </w:r>
      <w:r w:rsidR="006B33FF" w:rsidRPr="006A01A8">
        <w:rPr>
          <w:bCs/>
          <w:lang w:val="en-CA"/>
        </w:rPr>
        <w:t xml:space="preserve"> </w:t>
      </w:r>
      <w:r w:rsidRPr="006A01A8">
        <w:rPr>
          <w:bCs/>
          <w:lang w:val="en-CA"/>
        </w:rPr>
        <w:t xml:space="preserve">were postponed to May 27, 2021, to continue the </w:t>
      </w:r>
      <w:r w:rsidR="006B33FF">
        <w:rPr>
          <w:bCs/>
          <w:lang w:val="en-CA"/>
        </w:rPr>
        <w:t xml:space="preserve">evidence </w:t>
      </w:r>
      <w:r w:rsidRPr="006A01A8">
        <w:rPr>
          <w:bCs/>
          <w:lang w:val="en-CA"/>
        </w:rPr>
        <w:t xml:space="preserve">disclosure </w:t>
      </w:r>
      <w:r w:rsidR="006B33FF">
        <w:rPr>
          <w:bCs/>
          <w:lang w:val="en-CA"/>
        </w:rPr>
        <w:t>exercise</w:t>
      </w:r>
      <w:r w:rsidRPr="006A01A8">
        <w:rPr>
          <w:bCs/>
          <w:lang w:val="en-CA"/>
        </w:rPr>
        <w:t xml:space="preserve">. </w:t>
      </w:r>
      <w:r w:rsidR="002C1928" w:rsidRPr="006A01A8">
        <w:rPr>
          <w:bCs/>
          <w:lang w:val="en-CA"/>
        </w:rPr>
        <w:t xml:space="preserve"> </w:t>
      </w:r>
    </w:p>
    <w:p w14:paraId="4A85ADCA" w14:textId="724737DE" w:rsidR="00CC3EEB" w:rsidRPr="006A01A8" w:rsidRDefault="00BB70DC" w:rsidP="00E007AA">
      <w:pPr>
        <w:pStyle w:val="JgtPositionniv2"/>
        <w:spacing w:line="280" w:lineRule="exact"/>
        <w:rPr>
          <w:lang w:val="en-CA"/>
        </w:rPr>
      </w:pPr>
      <w:r w:rsidRPr="006A01A8">
        <w:rPr>
          <w:lang w:val="en-CA"/>
        </w:rPr>
        <w:t>Procedural evolution</w:t>
      </w:r>
      <w:r w:rsidR="001A7CC1">
        <w:rPr>
          <w:lang w:val="en-CA"/>
        </w:rPr>
        <w:t>,</w:t>
      </w:r>
      <w:r w:rsidR="00D97066">
        <w:rPr>
          <w:lang w:val="en-CA"/>
        </w:rPr>
        <w:t xml:space="preserve"> </w:t>
      </w:r>
      <w:r w:rsidRPr="006A01A8">
        <w:rPr>
          <w:lang w:val="en-CA"/>
        </w:rPr>
        <w:t>continued</w:t>
      </w:r>
    </w:p>
    <w:p w14:paraId="0569032A" w14:textId="671F663D" w:rsidR="00CC3EEB" w:rsidRPr="006A01A8" w:rsidRDefault="00BB70DC" w:rsidP="00E007AA">
      <w:pPr>
        <w:pStyle w:val="Paragraphe"/>
        <w:spacing w:line="280" w:lineRule="exact"/>
        <w:rPr>
          <w:bCs/>
          <w:lang w:val="en-CA"/>
        </w:rPr>
      </w:pPr>
      <w:r w:rsidRPr="006A01A8">
        <w:rPr>
          <w:lang w:val="en-CA"/>
        </w:rPr>
        <w:t xml:space="preserve">On May 27, 2021, before the case management judge, the appellant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Pr>
          <w:rFonts w:cs="Arial"/>
          <w:color w:val="000000"/>
          <w:lang w:val="en-CA"/>
        </w:rPr>
        <w:t> </w:t>
      </w:r>
      <w:r w:rsidRPr="006A01A8">
        <w:rPr>
          <w:lang w:val="en-CA"/>
        </w:rPr>
        <w:t xml:space="preserve">“provided [the respondents] with the </w:t>
      </w:r>
      <w:r w:rsidR="001A7CC1">
        <w:rPr>
          <w:lang w:val="en-CA"/>
        </w:rPr>
        <w:t xml:space="preserve">same </w:t>
      </w:r>
      <w:r w:rsidRPr="006A01A8">
        <w:rPr>
          <w:lang w:val="en-CA"/>
        </w:rPr>
        <w:t>trial book, which, this time, included the hyperlinks”.</w:t>
      </w:r>
    </w:p>
    <w:p w14:paraId="28AB2180" w14:textId="37440C03" w:rsidR="00CC3EEB" w:rsidRPr="006A01A8" w:rsidRDefault="008439BE" w:rsidP="00E007AA">
      <w:pPr>
        <w:pStyle w:val="Paragraphe"/>
        <w:spacing w:line="280" w:lineRule="exact"/>
        <w:rPr>
          <w:lang w:val="en-CA"/>
        </w:rPr>
      </w:pPr>
      <w:r>
        <w:rPr>
          <w:lang w:val="en-CA"/>
        </w:rPr>
        <w:t xml:space="preserve">On that same occasion, for the first time, </w:t>
      </w:r>
      <w:r w:rsidR="00BB70DC" w:rsidRPr="006A01A8">
        <w:rPr>
          <w:lang w:val="en-CA"/>
        </w:rPr>
        <w:t xml:space="preserve">the appellant </w:t>
      </w:r>
      <w:r w:rsidR="001A7CC1">
        <w:rPr>
          <w:lang w:val="en-CA"/>
        </w:rPr>
        <w:t>declared</w:t>
      </w:r>
      <w:r w:rsidR="00BB70DC" w:rsidRPr="006A01A8">
        <w:rPr>
          <w:lang w:val="en-CA"/>
        </w:rPr>
        <w:t xml:space="preserve"> </w:t>
      </w:r>
      <w:r>
        <w:rPr>
          <w:lang w:val="en-CA"/>
        </w:rPr>
        <w:t xml:space="preserve">that he was </w:t>
      </w:r>
      <w:r w:rsidR="00BB70DC" w:rsidRPr="006A01A8">
        <w:rPr>
          <w:lang w:val="en-CA"/>
        </w:rPr>
        <w:t xml:space="preserve">ready to </w:t>
      </w:r>
      <w:r w:rsidR="004D5006">
        <w:rPr>
          <w:lang w:val="en-CA"/>
        </w:rPr>
        <w:t>set a date for the trial</w:t>
      </w:r>
      <w:r w:rsidR="00BB70DC" w:rsidRPr="006A01A8">
        <w:rPr>
          <w:lang w:val="en-CA"/>
        </w:rPr>
        <w:t>.</w:t>
      </w:r>
      <w:r w:rsidR="002C1928" w:rsidRPr="006A01A8">
        <w:rPr>
          <w:lang w:val="en-CA"/>
        </w:rPr>
        <w:t xml:space="preserve"> </w:t>
      </w:r>
      <w:r w:rsidR="00BB70DC" w:rsidRPr="006A01A8">
        <w:rPr>
          <w:lang w:val="en-CA"/>
        </w:rPr>
        <w:t xml:space="preserve">The </w:t>
      </w:r>
      <w:r w:rsidR="001A7CC1">
        <w:rPr>
          <w:lang w:val="en-CA"/>
        </w:rPr>
        <w:t>record</w:t>
      </w:r>
      <w:r w:rsidR="00BB70DC" w:rsidRPr="006A01A8">
        <w:rPr>
          <w:lang w:val="en-CA"/>
        </w:rPr>
        <w:t xml:space="preserve"> is silent</w:t>
      </w:r>
      <w:r w:rsidR="001713E7">
        <w:rPr>
          <w:lang w:val="en-CA"/>
        </w:rPr>
        <w:t xml:space="preserve"> regarding</w:t>
      </w:r>
      <w:r w:rsidR="00BB70DC" w:rsidRPr="006A01A8">
        <w:rPr>
          <w:lang w:val="en-CA"/>
        </w:rPr>
        <w:t xml:space="preserve"> </w:t>
      </w:r>
      <w:r w:rsidR="001A7CC1">
        <w:rPr>
          <w:lang w:val="en-CA"/>
        </w:rPr>
        <w:t xml:space="preserve">which date might have been selected </w:t>
      </w:r>
      <w:r w:rsidR="00BB70DC" w:rsidRPr="006A01A8">
        <w:rPr>
          <w:lang w:val="en-CA"/>
        </w:rPr>
        <w:t>for the trial at th</w:t>
      </w:r>
      <w:r w:rsidR="001A7CC1">
        <w:rPr>
          <w:lang w:val="en-CA"/>
        </w:rPr>
        <w:t>at</w:t>
      </w:r>
      <w:r w:rsidR="00BB70DC" w:rsidRPr="006A01A8">
        <w:rPr>
          <w:lang w:val="en-CA"/>
        </w:rPr>
        <w:t xml:space="preserve"> time.</w:t>
      </w:r>
      <w:r w:rsidR="002C1928" w:rsidRPr="006A01A8">
        <w:rPr>
          <w:lang w:val="en-CA"/>
        </w:rPr>
        <w:t xml:space="preserve"> </w:t>
      </w:r>
      <w:r w:rsidR="00BB70DC" w:rsidRPr="006A01A8">
        <w:rPr>
          <w:lang w:val="en-CA"/>
        </w:rPr>
        <w:t xml:space="preserve">From September 3, 2020, to May 27, 2021, </w:t>
      </w:r>
      <w:r w:rsidR="001A7CC1">
        <w:rPr>
          <w:lang w:val="en-CA"/>
        </w:rPr>
        <w:t>8</w:t>
      </w:r>
      <w:r w:rsidR="00BB70DC" w:rsidRPr="006A01A8">
        <w:rPr>
          <w:lang w:val="en-CA"/>
        </w:rPr>
        <w:t xml:space="preserve"> months and 24 days passed.</w:t>
      </w:r>
      <w:r w:rsidR="002C1928" w:rsidRPr="006A01A8">
        <w:rPr>
          <w:lang w:val="en-CA"/>
        </w:rPr>
        <w:t xml:space="preserve"> </w:t>
      </w:r>
    </w:p>
    <w:p w14:paraId="4830EAAA" w14:textId="71F3D5B4" w:rsidR="00CC3EEB" w:rsidRPr="006A01A8" w:rsidRDefault="00BB70DC" w:rsidP="00E007AA">
      <w:pPr>
        <w:pStyle w:val="Paragraphe"/>
        <w:spacing w:line="280" w:lineRule="exact"/>
        <w:rPr>
          <w:lang w:val="en-CA"/>
        </w:rPr>
      </w:pPr>
      <w:r w:rsidRPr="006A01A8">
        <w:rPr>
          <w:lang w:val="en-CA"/>
        </w:rPr>
        <w:t xml:space="preserve">That </w:t>
      </w:r>
      <w:r w:rsidR="003264B6" w:rsidRPr="006A01A8">
        <w:rPr>
          <w:lang w:val="en-CA"/>
        </w:rPr>
        <w:t xml:space="preserve">being </w:t>
      </w:r>
      <w:r w:rsidR="003264B6">
        <w:rPr>
          <w:lang w:val="en-CA"/>
        </w:rPr>
        <w:t>the</w:t>
      </w:r>
      <w:r w:rsidR="001713E7">
        <w:rPr>
          <w:lang w:val="en-CA"/>
        </w:rPr>
        <w:t xml:space="preserve"> case</w:t>
      </w:r>
      <w:r w:rsidRPr="006A01A8">
        <w:rPr>
          <w:lang w:val="en-CA"/>
        </w:rPr>
        <w:t xml:space="preserve">, the respondents asked for time to examine the </w:t>
      </w:r>
      <w:r w:rsidR="00A616FC" w:rsidRPr="006A01A8">
        <w:rPr>
          <w:lang w:val="en-CA"/>
        </w:rPr>
        <w:t>evidence,</w:t>
      </w:r>
      <w:r w:rsidRPr="006A01A8">
        <w:rPr>
          <w:lang w:val="en-CA"/>
        </w:rPr>
        <w:t xml:space="preserve"> and the </w:t>
      </w:r>
      <w:r w:rsidR="001713E7">
        <w:rPr>
          <w:lang w:val="en-CA"/>
        </w:rPr>
        <w:t>files</w:t>
      </w:r>
      <w:r w:rsidR="001713E7" w:rsidRPr="006A01A8">
        <w:rPr>
          <w:lang w:val="en-CA"/>
        </w:rPr>
        <w:t xml:space="preserve"> </w:t>
      </w:r>
      <w:r w:rsidRPr="006A01A8">
        <w:rPr>
          <w:lang w:val="en-CA"/>
        </w:rPr>
        <w:t xml:space="preserve">were postponed to July 14, 2021, then to September </w:t>
      </w:r>
      <w:r w:rsidR="00467338">
        <w:rPr>
          <w:lang w:val="en-CA"/>
        </w:rPr>
        <w:t>3</w:t>
      </w:r>
      <w:r w:rsidRPr="006A01A8">
        <w:rPr>
          <w:lang w:val="en-CA"/>
        </w:rPr>
        <w:t>, 2021, due to the absence of the case management judge.</w:t>
      </w:r>
      <w:r w:rsidR="002C1928" w:rsidRPr="006A01A8">
        <w:rPr>
          <w:lang w:val="en-CA"/>
        </w:rPr>
        <w:t xml:space="preserve"> </w:t>
      </w:r>
    </w:p>
    <w:p w14:paraId="17A75A52" w14:textId="4F6827B5" w:rsidR="00CC3EEB" w:rsidRPr="006A01A8" w:rsidRDefault="00BB70DC" w:rsidP="00E007AA">
      <w:pPr>
        <w:pStyle w:val="Paragraphe"/>
        <w:spacing w:line="280" w:lineRule="exact"/>
        <w:rPr>
          <w:lang w:val="en-CA"/>
        </w:rPr>
      </w:pPr>
      <w:r w:rsidRPr="006A01A8">
        <w:rPr>
          <w:lang w:val="en-CA"/>
        </w:rPr>
        <w:t>On September 3, 2021, the trial was scheduled for June 13, 2022, to July 25, 2022, that is, the first available dates offered to the parties.</w:t>
      </w:r>
      <w:r w:rsidR="002C1928" w:rsidRPr="006A01A8">
        <w:rPr>
          <w:lang w:val="en-CA"/>
        </w:rPr>
        <w:t xml:space="preserve"> </w:t>
      </w:r>
      <w:r w:rsidRPr="006A01A8">
        <w:rPr>
          <w:lang w:val="en-CA"/>
        </w:rPr>
        <w:t>At the time, the anticipated delay until the end of the trial was 22 months and 22 days.</w:t>
      </w:r>
      <w:r w:rsidR="002C1928" w:rsidRPr="006A01A8">
        <w:rPr>
          <w:lang w:val="en-CA"/>
        </w:rPr>
        <w:t xml:space="preserve"> </w:t>
      </w:r>
    </w:p>
    <w:p w14:paraId="0A40B81C" w14:textId="3D9573E0" w:rsidR="00CC3EEB" w:rsidRPr="006A01A8" w:rsidRDefault="00BB70DC" w:rsidP="00E007AA">
      <w:pPr>
        <w:pStyle w:val="Paragraphe"/>
        <w:spacing w:line="280" w:lineRule="exact"/>
        <w:rPr>
          <w:lang w:val="en-CA"/>
        </w:rPr>
      </w:pPr>
      <w:r w:rsidRPr="006A01A8">
        <w:rPr>
          <w:lang w:val="en-CA"/>
        </w:rPr>
        <w:t>Between May 27, 2021, and September 3, 2021, three months and 7 days passed.</w:t>
      </w:r>
    </w:p>
    <w:p w14:paraId="6FE3C61D" w14:textId="22D3F721" w:rsidR="00CC3EEB" w:rsidRPr="006A01A8" w:rsidRDefault="00BB70DC" w:rsidP="00E007AA">
      <w:pPr>
        <w:pStyle w:val="Paragraphe"/>
        <w:spacing w:line="280" w:lineRule="exact"/>
        <w:rPr>
          <w:lang w:val="en-CA"/>
        </w:rPr>
      </w:pPr>
      <w:r w:rsidRPr="006A01A8">
        <w:rPr>
          <w:bCs/>
          <w:lang w:val="en-CA"/>
        </w:rPr>
        <w:t xml:space="preserve">The </w:t>
      </w:r>
      <w:r w:rsidR="003044D9">
        <w:rPr>
          <w:bCs/>
          <w:lang w:val="en-CA"/>
        </w:rPr>
        <w:t>motion</w:t>
      </w:r>
      <w:r w:rsidR="003044D9" w:rsidRPr="006A01A8">
        <w:rPr>
          <w:bCs/>
          <w:lang w:val="en-CA"/>
        </w:rPr>
        <w:t xml:space="preserve"> </w:t>
      </w:r>
      <w:r w:rsidR="000860DA">
        <w:rPr>
          <w:bCs/>
          <w:lang w:val="en-CA"/>
        </w:rPr>
        <w:t>for a finding that</w:t>
      </w:r>
      <w:r w:rsidRPr="006A01A8">
        <w:rPr>
          <w:bCs/>
          <w:lang w:val="en-CA"/>
        </w:rPr>
        <w:t xml:space="preserve"> the right to be tried within a </w:t>
      </w:r>
      <w:r w:rsidR="0026259D" w:rsidRPr="006A01A8">
        <w:rPr>
          <w:bCs/>
          <w:lang w:val="en-CA"/>
        </w:rPr>
        <w:t>reasonable</w:t>
      </w:r>
      <w:r w:rsidRPr="006A01A8">
        <w:rPr>
          <w:bCs/>
          <w:lang w:val="en-CA"/>
        </w:rPr>
        <w:t xml:space="preserve"> </w:t>
      </w:r>
      <w:r w:rsidR="00FE18CC">
        <w:rPr>
          <w:bCs/>
          <w:lang w:val="en-CA"/>
        </w:rPr>
        <w:t>time</w:t>
      </w:r>
      <w:r w:rsidRPr="006A01A8">
        <w:rPr>
          <w:bCs/>
          <w:lang w:val="en-CA"/>
        </w:rPr>
        <w:t xml:space="preserve"> </w:t>
      </w:r>
      <w:r w:rsidR="000860DA">
        <w:rPr>
          <w:bCs/>
          <w:lang w:val="en-CA"/>
        </w:rPr>
        <w:t xml:space="preserve">had been violated </w:t>
      </w:r>
      <w:r w:rsidRPr="006A01A8">
        <w:rPr>
          <w:bCs/>
          <w:lang w:val="en-CA"/>
        </w:rPr>
        <w:t>was signed on October 4, 2021.</w:t>
      </w:r>
      <w:r w:rsidR="002C1928" w:rsidRPr="006A01A8">
        <w:rPr>
          <w:bCs/>
          <w:lang w:val="en-CA"/>
        </w:rPr>
        <w:t xml:space="preserve"> </w:t>
      </w:r>
      <w:r w:rsidRPr="006A01A8">
        <w:rPr>
          <w:bCs/>
          <w:lang w:val="en-CA"/>
        </w:rPr>
        <w:t xml:space="preserve">The hearing on the </w:t>
      </w:r>
      <w:r w:rsidR="003044D9">
        <w:rPr>
          <w:bCs/>
          <w:lang w:val="en-CA"/>
        </w:rPr>
        <w:t>motion</w:t>
      </w:r>
      <w:r w:rsidR="003044D9" w:rsidRPr="006A01A8">
        <w:rPr>
          <w:bCs/>
          <w:lang w:val="en-CA"/>
        </w:rPr>
        <w:t xml:space="preserve"> </w:t>
      </w:r>
      <w:r w:rsidRPr="006A01A8">
        <w:rPr>
          <w:bCs/>
          <w:lang w:val="en-CA"/>
        </w:rPr>
        <w:t>was scheduled for March 3 and 4, 2022, that is, 18 months after the appearance in September 2020.</w:t>
      </w:r>
      <w:r w:rsidR="002C1928" w:rsidRPr="006A01A8">
        <w:rPr>
          <w:bCs/>
          <w:lang w:val="en-CA"/>
        </w:rPr>
        <w:t xml:space="preserve"> </w:t>
      </w:r>
    </w:p>
    <w:p w14:paraId="10342C5E" w14:textId="1EE186DC" w:rsidR="00CC3EEB" w:rsidRPr="006A01A8" w:rsidRDefault="00BB70DC" w:rsidP="00E007AA">
      <w:pPr>
        <w:pStyle w:val="Paragraphe"/>
        <w:spacing w:line="280" w:lineRule="exact"/>
        <w:rPr>
          <w:lang w:val="en-CA"/>
        </w:rPr>
      </w:pPr>
      <w:r w:rsidRPr="006A01A8">
        <w:rPr>
          <w:lang w:val="en-CA"/>
        </w:rPr>
        <w:t xml:space="preserve">On October 20, 2021, the appellant made a request for admissions and </w:t>
      </w:r>
      <w:r w:rsidR="00002C73">
        <w:rPr>
          <w:lang w:val="en-CA"/>
        </w:rPr>
        <w:t xml:space="preserve">the </w:t>
      </w:r>
      <w:r w:rsidRPr="006A01A8">
        <w:rPr>
          <w:lang w:val="en-CA"/>
        </w:rPr>
        <w:t xml:space="preserve">discussions </w:t>
      </w:r>
      <w:r w:rsidR="001A7CC1">
        <w:rPr>
          <w:lang w:val="en-CA"/>
        </w:rPr>
        <w:t>on th</w:t>
      </w:r>
      <w:r w:rsidR="003044D9">
        <w:rPr>
          <w:lang w:val="en-CA"/>
        </w:rPr>
        <w:t>is</w:t>
      </w:r>
      <w:r w:rsidR="001A7CC1">
        <w:rPr>
          <w:lang w:val="en-CA"/>
        </w:rPr>
        <w:t xml:space="preserve"> </w:t>
      </w:r>
      <w:r w:rsidR="003044D9">
        <w:rPr>
          <w:lang w:val="en-CA"/>
        </w:rPr>
        <w:t xml:space="preserve">subject </w:t>
      </w:r>
      <w:r w:rsidRPr="006A01A8">
        <w:rPr>
          <w:lang w:val="en-CA"/>
        </w:rPr>
        <w:t>continued.</w:t>
      </w:r>
      <w:r w:rsidR="00FC41AB" w:rsidRPr="006A01A8">
        <w:rPr>
          <w:lang w:val="en-CA"/>
        </w:rPr>
        <w:t xml:space="preserve"> </w:t>
      </w:r>
      <w:r w:rsidRPr="006A01A8">
        <w:rPr>
          <w:lang w:val="en-CA"/>
        </w:rPr>
        <w:t xml:space="preserve">Nothing </w:t>
      </w:r>
      <w:r w:rsidR="001A7CC1">
        <w:rPr>
          <w:lang w:val="en-CA"/>
        </w:rPr>
        <w:t>more was said about it.</w:t>
      </w:r>
    </w:p>
    <w:p w14:paraId="3C96BFEE" w14:textId="7E08EC25" w:rsidR="00CC3EEB" w:rsidRPr="006A01A8" w:rsidRDefault="00BB70DC" w:rsidP="00E007AA">
      <w:pPr>
        <w:pStyle w:val="JgtPositionniv1"/>
        <w:spacing w:line="280" w:lineRule="exact"/>
        <w:rPr>
          <w:lang w:val="en-CA"/>
        </w:rPr>
      </w:pPr>
      <w:r w:rsidRPr="006A01A8">
        <w:rPr>
          <w:lang w:val="en-CA"/>
        </w:rPr>
        <w:lastRenderedPageBreak/>
        <w:t>Analysis</w:t>
      </w:r>
    </w:p>
    <w:p w14:paraId="7E4DE69F" w14:textId="43712045" w:rsidR="00CC3EEB" w:rsidRPr="006A01A8" w:rsidRDefault="00A77B76" w:rsidP="00E007AA">
      <w:pPr>
        <w:pStyle w:val="JgtPositionniv2"/>
        <w:spacing w:line="280" w:lineRule="exact"/>
        <w:rPr>
          <w:lang w:val="en-CA"/>
        </w:rPr>
      </w:pPr>
      <w:r w:rsidRPr="006A01A8">
        <w:rPr>
          <w:lang w:val="en-CA"/>
        </w:rPr>
        <w:t xml:space="preserve">The </w:t>
      </w:r>
      <w:r w:rsidR="0034326C">
        <w:rPr>
          <w:lang w:val="en-CA"/>
        </w:rPr>
        <w:t>computation of time</w:t>
      </w:r>
      <w:r w:rsidRPr="006A01A8">
        <w:rPr>
          <w:lang w:val="en-CA"/>
        </w:rPr>
        <w:t>: starting point, applicable ceiling</w:t>
      </w:r>
    </w:p>
    <w:p w14:paraId="0D9567D0" w14:textId="7A82D652" w:rsidR="00CC3EEB" w:rsidRPr="006A01A8" w:rsidRDefault="00BB70DC" w:rsidP="00E007AA">
      <w:pPr>
        <w:pStyle w:val="Paragraphe"/>
        <w:spacing w:line="280" w:lineRule="exact"/>
        <w:rPr>
          <w:lang w:val="en-CA"/>
        </w:rPr>
      </w:pPr>
      <w:r w:rsidRPr="006A01A8">
        <w:rPr>
          <w:lang w:val="en-CA"/>
        </w:rPr>
        <w:t xml:space="preserve">To determine </w:t>
      </w:r>
      <w:r w:rsidR="006F05F0">
        <w:rPr>
          <w:lang w:val="en-CA"/>
        </w:rPr>
        <w:t>whether</w:t>
      </w:r>
      <w:r w:rsidR="006F05F0" w:rsidRPr="006A01A8">
        <w:rPr>
          <w:lang w:val="en-CA"/>
        </w:rPr>
        <w:t xml:space="preserve"> </w:t>
      </w:r>
      <w:r w:rsidRPr="006A01A8">
        <w:rPr>
          <w:lang w:val="en-CA"/>
        </w:rPr>
        <w:t xml:space="preserve">the </w:t>
      </w:r>
      <w:r w:rsidR="006F05F0">
        <w:rPr>
          <w:lang w:val="en-CA"/>
        </w:rPr>
        <w:t>delay</w:t>
      </w:r>
      <w:r w:rsidRPr="006A01A8">
        <w:rPr>
          <w:lang w:val="en-CA"/>
        </w:rPr>
        <w:t xml:space="preserve"> for holding the trial is unreasonable, it is necessary to establish the ceiling applicable to the charges and the starting point for the </w:t>
      </w:r>
      <w:r w:rsidR="0034326C">
        <w:rPr>
          <w:lang w:val="en-CA"/>
        </w:rPr>
        <w:t>computation of time</w:t>
      </w:r>
      <w:r w:rsidRPr="006A01A8">
        <w:rPr>
          <w:lang w:val="en-CA"/>
        </w:rPr>
        <w:t>.</w:t>
      </w:r>
    </w:p>
    <w:p w14:paraId="37BC4864" w14:textId="784F533B" w:rsidR="00CC3EEB" w:rsidRPr="006A01A8" w:rsidRDefault="00BB70DC" w:rsidP="00E007AA">
      <w:pPr>
        <w:pStyle w:val="Paragraphe"/>
        <w:spacing w:line="280" w:lineRule="exact"/>
        <w:rPr>
          <w:lang w:val="en-CA"/>
        </w:rPr>
      </w:pPr>
      <w:r w:rsidRPr="006A01A8">
        <w:rPr>
          <w:lang w:val="en-CA"/>
        </w:rPr>
        <w:t xml:space="preserve">The judge, who did not have the benefit of </w:t>
      </w:r>
      <w:r w:rsidRPr="006A01A8">
        <w:rPr>
          <w:i/>
          <w:lang w:val="en-CA"/>
        </w:rPr>
        <w:t>R. c. Poitras</w:t>
      </w:r>
      <w:r w:rsidRPr="006A01A8">
        <w:rPr>
          <w:lang w:val="en-CA"/>
        </w:rPr>
        <w:t xml:space="preserve">, 2022 QCCA 1561, but only of </w:t>
      </w:r>
      <w:r w:rsidRPr="006A01A8">
        <w:rPr>
          <w:i/>
          <w:lang w:val="en-CA"/>
        </w:rPr>
        <w:t xml:space="preserve">R. c. Guimont, </w:t>
      </w:r>
      <w:r w:rsidRPr="006A01A8">
        <w:rPr>
          <w:lang w:val="en-CA"/>
        </w:rPr>
        <w:t>2017 QCCA 1754, accepted the initial charging date, January 2020, for all the charges.</w:t>
      </w:r>
      <w:r w:rsidR="002C1928" w:rsidRPr="006A01A8">
        <w:rPr>
          <w:lang w:val="en-CA"/>
        </w:rPr>
        <w:t xml:space="preserve"> </w:t>
      </w:r>
      <w:r w:rsidRPr="006A01A8">
        <w:rPr>
          <w:lang w:val="en-CA"/>
        </w:rPr>
        <w:t>She concluded that the substitution and addition of new charges was merely the continuation of the same file and did not mark a new starting point.</w:t>
      </w:r>
      <w:r w:rsidR="002C1928" w:rsidRPr="006A01A8">
        <w:rPr>
          <w:lang w:val="en-CA"/>
        </w:rPr>
        <w:t xml:space="preserve"> </w:t>
      </w:r>
    </w:p>
    <w:p w14:paraId="4D31F626" w14:textId="51EC8E00" w:rsidR="00CC3EEB" w:rsidRPr="006A01A8" w:rsidRDefault="0034326C" w:rsidP="00E007AA">
      <w:pPr>
        <w:pStyle w:val="Paragraphe"/>
        <w:spacing w:line="280" w:lineRule="exact"/>
        <w:rPr>
          <w:lang w:val="en-CA"/>
        </w:rPr>
      </w:pPr>
      <w:r>
        <w:rPr>
          <w:lang w:val="en-CA"/>
        </w:rPr>
        <w:t xml:space="preserve">This conclusion </w:t>
      </w:r>
      <w:r w:rsidR="00E8458F">
        <w:rPr>
          <w:lang w:val="en-CA"/>
        </w:rPr>
        <w:t>i</w:t>
      </w:r>
      <w:r>
        <w:rPr>
          <w:lang w:val="en-CA"/>
        </w:rPr>
        <w:t>s contested in part o</w:t>
      </w:r>
      <w:r w:rsidR="00BB70DC" w:rsidRPr="006A01A8">
        <w:rPr>
          <w:lang w:val="en-CA"/>
        </w:rPr>
        <w:t>n appeal</w:t>
      </w:r>
      <w:r>
        <w:rPr>
          <w:lang w:val="en-CA"/>
        </w:rPr>
        <w:t>.</w:t>
      </w:r>
      <w:r w:rsidR="002C1928" w:rsidRPr="006A01A8">
        <w:rPr>
          <w:lang w:val="en-CA"/>
        </w:rPr>
        <w:t xml:space="preserve"> </w:t>
      </w:r>
      <w:r w:rsidR="00BB70DC" w:rsidRPr="006A01A8">
        <w:rPr>
          <w:lang w:val="en-CA"/>
        </w:rPr>
        <w:t xml:space="preserve">As at first instance, the appellant argued that there was </w:t>
      </w:r>
      <w:r w:rsidR="00E43538">
        <w:rPr>
          <w:lang w:val="en-CA"/>
        </w:rPr>
        <w:t>one</w:t>
      </w:r>
      <w:r w:rsidR="00BB70DC" w:rsidRPr="006A01A8">
        <w:rPr>
          <w:lang w:val="en-CA"/>
        </w:rPr>
        <w:t xml:space="preserve"> starting point for the</w:t>
      </w:r>
      <w:r w:rsidR="007E58C4">
        <w:rPr>
          <w:lang w:val="en-CA"/>
        </w:rPr>
        <w:t xml:space="preserve"> </w:t>
      </w:r>
      <w:r w:rsidR="00BB70DC" w:rsidRPr="006A01A8">
        <w:rPr>
          <w:lang w:val="en-CA"/>
        </w:rPr>
        <w:t xml:space="preserve">January 2020 </w:t>
      </w:r>
      <w:r w:rsidR="00E43538">
        <w:rPr>
          <w:lang w:val="en-CA"/>
        </w:rPr>
        <w:t xml:space="preserve">charges </w:t>
      </w:r>
      <w:r w:rsidR="00BB70DC" w:rsidRPr="006A01A8">
        <w:rPr>
          <w:lang w:val="en-CA"/>
        </w:rPr>
        <w:t>and another for the new charges in September 2020.</w:t>
      </w:r>
      <w:r w:rsidR="002C1928" w:rsidRPr="006A01A8">
        <w:rPr>
          <w:lang w:val="en-CA"/>
        </w:rPr>
        <w:t xml:space="preserve"> </w:t>
      </w:r>
      <w:r w:rsidR="00BB70DC" w:rsidRPr="006A01A8">
        <w:rPr>
          <w:lang w:val="en-CA"/>
        </w:rPr>
        <w:t xml:space="preserve">The respondents do not disagree with </w:t>
      </w:r>
      <w:r w:rsidR="002F74F4">
        <w:rPr>
          <w:lang w:val="en-CA"/>
        </w:rPr>
        <w:t xml:space="preserve">having </w:t>
      </w:r>
      <w:r w:rsidR="00BB70DC" w:rsidRPr="006A01A8">
        <w:rPr>
          <w:lang w:val="en-CA"/>
        </w:rPr>
        <w:t xml:space="preserve">two starting points, but </w:t>
      </w:r>
      <w:r w:rsidR="002F74F4">
        <w:rPr>
          <w:lang w:val="en-CA"/>
        </w:rPr>
        <w:t>in their view the problem rema</w:t>
      </w:r>
      <w:r w:rsidR="00002C73">
        <w:rPr>
          <w:lang w:val="en-CA"/>
        </w:rPr>
        <w:t>i</w:t>
      </w:r>
      <w:r w:rsidR="002F74F4">
        <w:rPr>
          <w:lang w:val="en-CA"/>
        </w:rPr>
        <w:t xml:space="preserve">ns </w:t>
      </w:r>
      <w:r w:rsidR="00BB70DC" w:rsidRPr="006A01A8">
        <w:rPr>
          <w:lang w:val="en-CA"/>
        </w:rPr>
        <w:t xml:space="preserve">because in both cases the 18-month ceiling </w:t>
      </w:r>
      <w:r w:rsidR="002F74F4" w:rsidRPr="006A01A8">
        <w:rPr>
          <w:lang w:val="en-CA"/>
        </w:rPr>
        <w:t>ha</w:t>
      </w:r>
      <w:r w:rsidR="002F74F4">
        <w:rPr>
          <w:lang w:val="en-CA"/>
        </w:rPr>
        <w:t>s</w:t>
      </w:r>
      <w:r w:rsidR="002F74F4" w:rsidRPr="006A01A8">
        <w:rPr>
          <w:lang w:val="en-CA"/>
        </w:rPr>
        <w:t xml:space="preserve"> </w:t>
      </w:r>
      <w:r w:rsidR="00BB70DC" w:rsidRPr="006A01A8">
        <w:rPr>
          <w:lang w:val="en-CA"/>
        </w:rPr>
        <w:t>been reached.</w:t>
      </w:r>
      <w:r w:rsidR="002C1928" w:rsidRPr="006A01A8">
        <w:rPr>
          <w:lang w:val="en-CA"/>
        </w:rPr>
        <w:t xml:space="preserve"> </w:t>
      </w:r>
    </w:p>
    <w:p w14:paraId="10BCF722" w14:textId="4348326B" w:rsidR="00CC3EEB" w:rsidRPr="006A01A8" w:rsidRDefault="00BB70DC" w:rsidP="00E007AA">
      <w:pPr>
        <w:pStyle w:val="Paragraphe"/>
        <w:spacing w:line="280" w:lineRule="exact"/>
        <w:rPr>
          <w:lang w:val="en-CA"/>
        </w:rPr>
      </w:pPr>
      <w:r w:rsidRPr="006A01A8">
        <w:rPr>
          <w:lang w:val="en-CA"/>
        </w:rPr>
        <w:t>I want to clarify this point.</w:t>
      </w:r>
      <w:r w:rsidR="002C1928" w:rsidRPr="006A01A8">
        <w:rPr>
          <w:lang w:val="en-CA"/>
        </w:rPr>
        <w:t xml:space="preserve"> </w:t>
      </w:r>
      <w:r w:rsidRPr="006A01A8">
        <w:rPr>
          <w:lang w:val="en-CA"/>
        </w:rPr>
        <w:t>To calculate the delay in this matter, it is important to establish the initial charging date.</w:t>
      </w:r>
      <w:r w:rsidR="002C1928" w:rsidRPr="006A01A8">
        <w:rPr>
          <w:lang w:val="en-CA"/>
        </w:rPr>
        <w:t xml:space="preserve"> </w:t>
      </w:r>
      <w:r w:rsidRPr="006A01A8">
        <w:rPr>
          <w:lang w:val="en-CA"/>
        </w:rPr>
        <w:t xml:space="preserve">I note that in </w:t>
      </w:r>
      <w:r w:rsidRPr="006A01A8">
        <w:rPr>
          <w:i/>
          <w:lang w:val="en-CA"/>
        </w:rPr>
        <w:t>R. c. Poitras</w:t>
      </w:r>
      <w:r w:rsidRPr="006A01A8">
        <w:rPr>
          <w:lang w:val="en-CA"/>
        </w:rPr>
        <w:t>, 2022 QCCA 1561, Cournoyer</w:t>
      </w:r>
      <w:r w:rsidR="002F74F4">
        <w:rPr>
          <w:lang w:val="en-CA"/>
        </w:rPr>
        <w:t>,</w:t>
      </w:r>
      <w:r w:rsidRPr="006A01A8">
        <w:rPr>
          <w:lang w:val="en-CA"/>
        </w:rPr>
        <w:t xml:space="preserve"> J.A. </w:t>
      </w:r>
      <w:r w:rsidRPr="00E94777">
        <w:rPr>
          <w:lang w:val="en-CA"/>
        </w:rPr>
        <w:t>correctly</w:t>
      </w:r>
      <w:r w:rsidRPr="006A01A8">
        <w:rPr>
          <w:lang w:val="en-CA"/>
        </w:rPr>
        <w:t xml:space="preserve"> explained the law in this respect, </w:t>
      </w:r>
      <w:r w:rsidR="008E1A72">
        <w:rPr>
          <w:lang w:val="en-CA"/>
        </w:rPr>
        <w:t>re</w:t>
      </w:r>
      <w:r w:rsidRPr="006A01A8">
        <w:rPr>
          <w:lang w:val="en-CA"/>
        </w:rPr>
        <w:t>tracing the relevant Supreme Court judgments.</w:t>
      </w:r>
      <w:r w:rsidR="002C1928" w:rsidRPr="006A01A8">
        <w:rPr>
          <w:lang w:val="en-CA"/>
        </w:rPr>
        <w:t xml:space="preserve"> </w:t>
      </w:r>
      <w:r w:rsidR="00FE4D6C" w:rsidRPr="006A01A8">
        <w:rPr>
          <w:lang w:val="en-CA"/>
        </w:rPr>
        <w:t xml:space="preserve">For the purposes of s. 11(b) of the </w:t>
      </w:r>
      <w:r w:rsidR="00FE4D6C" w:rsidRPr="006A01A8">
        <w:rPr>
          <w:i/>
          <w:lang w:val="en-CA"/>
        </w:rPr>
        <w:t>Charter</w:t>
      </w:r>
      <w:r w:rsidR="001A7CC1">
        <w:rPr>
          <w:iCs/>
          <w:lang w:val="en-CA"/>
        </w:rPr>
        <w:t>,</w:t>
      </w:r>
      <w:r w:rsidR="00FE4D6C" w:rsidRPr="006A01A8">
        <w:rPr>
          <w:lang w:val="en-CA"/>
        </w:rPr>
        <w:t xml:space="preserve"> the starting point for the </w:t>
      </w:r>
      <w:r w:rsidR="00744821">
        <w:rPr>
          <w:lang w:val="en-CA"/>
        </w:rPr>
        <w:t>computation</w:t>
      </w:r>
      <w:r w:rsidR="00744821" w:rsidRPr="006A01A8">
        <w:rPr>
          <w:lang w:val="en-CA"/>
        </w:rPr>
        <w:t xml:space="preserve"> </w:t>
      </w:r>
      <w:r w:rsidR="00FE4D6C" w:rsidRPr="006A01A8">
        <w:rPr>
          <w:lang w:val="en-CA"/>
        </w:rPr>
        <w:t>is when the person is charged, that is, “when an information is sworn alleging an offence against him, or where a direct indictment is laid against him when no information is sworn”:</w:t>
      </w:r>
      <w:r w:rsidR="002C1928" w:rsidRPr="006A01A8">
        <w:rPr>
          <w:lang w:val="en-CA"/>
        </w:rPr>
        <w:t xml:space="preserve"> </w:t>
      </w:r>
      <w:r w:rsidR="002C1928" w:rsidRPr="006A01A8">
        <w:rPr>
          <w:i/>
          <w:iCs/>
          <w:lang w:val="en-CA"/>
        </w:rPr>
        <w:t xml:space="preserve">R. </w:t>
      </w:r>
      <w:r w:rsidR="00FE4D6C" w:rsidRPr="006A01A8">
        <w:rPr>
          <w:i/>
          <w:iCs/>
          <w:lang w:val="en-CA"/>
        </w:rPr>
        <w:t>v</w:t>
      </w:r>
      <w:r w:rsidR="002C1928" w:rsidRPr="006A01A8">
        <w:rPr>
          <w:i/>
          <w:iCs/>
          <w:lang w:val="en-CA"/>
        </w:rPr>
        <w:t>. Kalanj</w:t>
      </w:r>
      <w:r w:rsidR="002C1928" w:rsidRPr="006A01A8">
        <w:rPr>
          <w:lang w:val="en-CA"/>
        </w:rPr>
        <w:t xml:space="preserve">, [1989] 1 </w:t>
      </w:r>
      <w:r w:rsidR="00FE4D6C" w:rsidRPr="006A01A8">
        <w:rPr>
          <w:lang w:val="en-CA"/>
        </w:rPr>
        <w:t>S.C.R.</w:t>
      </w:r>
      <w:r w:rsidR="002C1928" w:rsidRPr="006A01A8">
        <w:rPr>
          <w:lang w:val="en-CA"/>
        </w:rPr>
        <w:t xml:space="preserve"> 1594; </w:t>
      </w:r>
      <w:r w:rsidR="002C1928" w:rsidRPr="006A01A8">
        <w:rPr>
          <w:i/>
          <w:iCs/>
          <w:lang w:val="en-CA"/>
        </w:rPr>
        <w:t>R. c. Poitras</w:t>
      </w:r>
      <w:r w:rsidR="002C1928" w:rsidRPr="006A01A8">
        <w:rPr>
          <w:lang w:val="en-CA"/>
        </w:rPr>
        <w:t xml:space="preserve">, 2022 QCCA 1561.  </w:t>
      </w:r>
    </w:p>
    <w:p w14:paraId="3C619956" w14:textId="04B192AF" w:rsidR="00CC3EEB" w:rsidRPr="006A01A8" w:rsidRDefault="00FE4D6C" w:rsidP="00E007AA">
      <w:pPr>
        <w:pStyle w:val="Paragraphe"/>
        <w:spacing w:line="280" w:lineRule="exact"/>
        <w:rPr>
          <w:rFonts w:cs="Arial"/>
          <w:iCs/>
          <w:lang w:val="en-CA"/>
        </w:rPr>
      </w:pPr>
      <w:r w:rsidRPr="006A01A8">
        <w:rPr>
          <w:rFonts w:cs="Arial"/>
          <w:lang w:val="en-CA"/>
        </w:rPr>
        <w:t>It is accepted that under exceptional circumstances, “if the Crown withdraws the charge to substitute a different one but for the same transaction, the computation of time might well commence as of the first charge”:</w:t>
      </w:r>
      <w:r w:rsidR="002C1928" w:rsidRPr="006A01A8">
        <w:rPr>
          <w:rFonts w:cs="Arial"/>
          <w:szCs w:val="24"/>
          <w:lang w:val="en-CA" w:eastAsia="en-US"/>
        </w:rPr>
        <w:t xml:space="preserve"> </w:t>
      </w:r>
      <w:r w:rsidR="002C1928" w:rsidRPr="006A01A8">
        <w:rPr>
          <w:rFonts w:cs="Arial"/>
          <w:i/>
          <w:iCs/>
          <w:szCs w:val="24"/>
          <w:lang w:val="en-CA" w:eastAsia="en-US"/>
        </w:rPr>
        <w:t xml:space="preserve">R. </w:t>
      </w:r>
      <w:r w:rsidRPr="006A01A8">
        <w:rPr>
          <w:rFonts w:cs="Arial"/>
          <w:i/>
          <w:iCs/>
          <w:szCs w:val="24"/>
          <w:lang w:val="en-CA" w:eastAsia="en-US"/>
        </w:rPr>
        <w:t>v</w:t>
      </w:r>
      <w:r w:rsidR="002C1928" w:rsidRPr="006A01A8">
        <w:rPr>
          <w:rFonts w:cs="Arial"/>
          <w:i/>
          <w:iCs/>
          <w:szCs w:val="24"/>
          <w:lang w:val="en-CA" w:eastAsia="en-US"/>
        </w:rPr>
        <w:t>. Carter</w:t>
      </w:r>
      <w:r w:rsidR="002C1928" w:rsidRPr="006A01A8">
        <w:rPr>
          <w:rFonts w:cs="Arial"/>
          <w:szCs w:val="24"/>
          <w:lang w:val="en-CA" w:eastAsia="en-US"/>
        </w:rPr>
        <w:t xml:space="preserve">, [1986] 1 </w:t>
      </w:r>
      <w:r w:rsidRPr="006A01A8">
        <w:rPr>
          <w:rFonts w:cs="Arial"/>
          <w:szCs w:val="24"/>
          <w:lang w:val="en-CA" w:eastAsia="en-US"/>
        </w:rPr>
        <w:t>S.C.R.</w:t>
      </w:r>
      <w:r w:rsidR="002C1928" w:rsidRPr="006A01A8">
        <w:rPr>
          <w:rFonts w:cs="Arial"/>
          <w:szCs w:val="24"/>
          <w:lang w:val="en-CA" w:eastAsia="en-US"/>
        </w:rPr>
        <w:t xml:space="preserve"> 981</w:t>
      </w:r>
      <w:r w:rsidRPr="006A01A8">
        <w:rPr>
          <w:rFonts w:cs="Arial"/>
          <w:szCs w:val="24"/>
          <w:lang w:val="en-CA" w:eastAsia="en-US"/>
        </w:rPr>
        <w:t xml:space="preserve"> at</w:t>
      </w:r>
      <w:r w:rsidR="002C1928" w:rsidRPr="006A01A8">
        <w:rPr>
          <w:rFonts w:cs="Arial"/>
          <w:szCs w:val="24"/>
          <w:lang w:val="en-CA" w:eastAsia="en-US"/>
        </w:rPr>
        <w:t xml:space="preserve"> 985. </w:t>
      </w:r>
      <w:r w:rsidR="004B3432" w:rsidRPr="006A01A8">
        <w:rPr>
          <w:rFonts w:cs="Arial"/>
          <w:szCs w:val="24"/>
          <w:lang w:val="en-CA" w:eastAsia="en-US"/>
        </w:rPr>
        <w:t xml:space="preserve">Thus, it is </w:t>
      </w:r>
      <w:r w:rsidR="0026259D" w:rsidRPr="006A01A8">
        <w:rPr>
          <w:rFonts w:cs="Arial"/>
          <w:szCs w:val="24"/>
          <w:lang w:val="en-CA" w:eastAsia="en-US"/>
        </w:rPr>
        <w:t>evident</w:t>
      </w:r>
      <w:r w:rsidR="004B3432" w:rsidRPr="006A01A8">
        <w:rPr>
          <w:rFonts w:cs="Arial"/>
          <w:szCs w:val="24"/>
          <w:lang w:val="en-CA" w:eastAsia="en-US"/>
        </w:rPr>
        <w:t xml:space="preserve"> that counts 10 to 29 of new file 206 are identical to those in file 191. In my view this is a clear example </w:t>
      </w:r>
      <w:r w:rsidRPr="006A01A8">
        <w:rPr>
          <w:rFonts w:cs="Arial"/>
          <w:szCs w:val="24"/>
          <w:lang w:val="en-CA" w:eastAsia="en-US"/>
        </w:rPr>
        <w:t>of the</w:t>
      </w:r>
      <w:r w:rsidR="004B3432" w:rsidRPr="006A01A8">
        <w:rPr>
          <w:rFonts w:cs="Arial"/>
          <w:szCs w:val="24"/>
          <w:lang w:val="en-CA" w:eastAsia="en-US"/>
        </w:rPr>
        <w:t xml:space="preserve"> principle set out</w:t>
      </w:r>
      <w:r w:rsidRPr="006A01A8">
        <w:rPr>
          <w:rFonts w:cs="Arial"/>
          <w:szCs w:val="24"/>
          <w:lang w:val="en-CA" w:eastAsia="en-US"/>
        </w:rPr>
        <w:t xml:space="preserve"> in</w:t>
      </w:r>
      <w:r w:rsidR="002C1928" w:rsidRPr="006A01A8">
        <w:rPr>
          <w:rFonts w:cs="Arial"/>
          <w:szCs w:val="24"/>
          <w:lang w:val="en-CA" w:eastAsia="en-US"/>
        </w:rPr>
        <w:t xml:space="preserve"> </w:t>
      </w:r>
      <w:r w:rsidR="002F74F4" w:rsidRPr="006A01A8">
        <w:rPr>
          <w:rFonts w:cs="Arial"/>
          <w:i/>
          <w:iCs/>
          <w:szCs w:val="24"/>
          <w:lang w:val="en-CA" w:eastAsia="en-US"/>
        </w:rPr>
        <w:t>R</w:t>
      </w:r>
      <w:r w:rsidR="002F74F4">
        <w:rPr>
          <w:rFonts w:cs="Arial"/>
          <w:i/>
          <w:iCs/>
          <w:szCs w:val="24"/>
          <w:lang w:val="en-CA" w:eastAsia="en-US"/>
        </w:rPr>
        <w:t>.</w:t>
      </w:r>
      <w:r w:rsidR="002F74F4" w:rsidRPr="006A01A8">
        <w:rPr>
          <w:rFonts w:cs="Arial"/>
          <w:i/>
          <w:iCs/>
          <w:szCs w:val="24"/>
          <w:lang w:val="en-CA" w:eastAsia="en-US"/>
        </w:rPr>
        <w:t xml:space="preserve"> </w:t>
      </w:r>
      <w:r w:rsidR="00D8195E">
        <w:rPr>
          <w:rFonts w:cs="Arial"/>
          <w:i/>
          <w:iCs/>
          <w:szCs w:val="24"/>
          <w:lang w:val="en-CA" w:eastAsia="en-US"/>
        </w:rPr>
        <w:t>v</w:t>
      </w:r>
      <w:r w:rsidR="00B915AE">
        <w:rPr>
          <w:rFonts w:cs="Arial"/>
          <w:i/>
          <w:iCs/>
          <w:szCs w:val="24"/>
          <w:lang w:val="en-CA" w:eastAsia="en-US"/>
        </w:rPr>
        <w:t>.</w:t>
      </w:r>
      <w:r w:rsidR="002C1928" w:rsidRPr="006A01A8">
        <w:rPr>
          <w:rFonts w:cs="Arial"/>
          <w:i/>
          <w:iCs/>
          <w:szCs w:val="24"/>
          <w:lang w:val="en-CA" w:eastAsia="en-US"/>
        </w:rPr>
        <w:t xml:space="preserve"> Antoine,</w:t>
      </w:r>
      <w:r w:rsidR="002C1928" w:rsidRPr="006A01A8">
        <w:rPr>
          <w:rFonts w:cs="Arial"/>
          <w:szCs w:val="24"/>
          <w:lang w:val="en-CA" w:eastAsia="en-US"/>
        </w:rPr>
        <w:t xml:space="preserve"> 1983 CanLII 1743 (</w:t>
      </w:r>
      <w:r w:rsidRPr="006A01A8">
        <w:rPr>
          <w:lang w:val="en-CA"/>
        </w:rPr>
        <w:t>ON CA</w:t>
      </w:r>
      <w:r w:rsidR="00F9354F" w:rsidRPr="006A01A8">
        <w:rPr>
          <w:lang w:val="en-CA"/>
        </w:rPr>
        <w:t xml:space="preserve">), </w:t>
      </w:r>
      <w:r w:rsidR="00F9354F" w:rsidRPr="006A01A8">
        <w:rPr>
          <w:rFonts w:cs="Arial"/>
          <w:szCs w:val="24"/>
          <w:lang w:val="en-CA" w:eastAsia="en-US"/>
        </w:rPr>
        <w:t>and</w:t>
      </w:r>
      <w:r w:rsidR="004B3432" w:rsidRPr="006A01A8">
        <w:rPr>
          <w:rFonts w:cs="Arial"/>
          <w:szCs w:val="24"/>
          <w:lang w:val="en-CA" w:eastAsia="en-US"/>
        </w:rPr>
        <w:t xml:space="preserve"> </w:t>
      </w:r>
      <w:r w:rsidRPr="006A01A8">
        <w:rPr>
          <w:rFonts w:cs="Arial"/>
          <w:szCs w:val="24"/>
          <w:lang w:val="en-CA" w:eastAsia="en-US"/>
        </w:rPr>
        <w:t>reiterated in</w:t>
      </w:r>
      <w:r w:rsidR="002C1928" w:rsidRPr="006A01A8">
        <w:rPr>
          <w:rFonts w:cs="Arial"/>
          <w:szCs w:val="24"/>
          <w:lang w:val="en-CA" w:eastAsia="en-US"/>
        </w:rPr>
        <w:t xml:space="preserve"> </w:t>
      </w:r>
      <w:r w:rsidR="002C1928" w:rsidRPr="006A01A8">
        <w:rPr>
          <w:rFonts w:cs="Arial"/>
          <w:i/>
          <w:szCs w:val="24"/>
          <w:lang w:val="en-CA" w:eastAsia="en-US"/>
        </w:rPr>
        <w:t>R. c.</w:t>
      </w:r>
      <w:r w:rsidR="002C1928" w:rsidRPr="006A01A8">
        <w:rPr>
          <w:rFonts w:cs="Arial"/>
          <w:iCs/>
          <w:szCs w:val="24"/>
          <w:lang w:val="en-CA" w:eastAsia="en-US"/>
        </w:rPr>
        <w:t xml:space="preserve"> </w:t>
      </w:r>
      <w:r w:rsidR="002C1928" w:rsidRPr="006A01A8">
        <w:rPr>
          <w:rFonts w:cs="Arial"/>
          <w:i/>
          <w:iCs/>
          <w:szCs w:val="24"/>
          <w:lang w:val="en-CA" w:eastAsia="en-US"/>
        </w:rPr>
        <w:t>Poitras</w:t>
      </w:r>
      <w:r w:rsidR="002C1928" w:rsidRPr="006A01A8">
        <w:rPr>
          <w:rFonts w:cs="Arial"/>
          <w:szCs w:val="24"/>
          <w:lang w:val="en-CA" w:eastAsia="en-US"/>
        </w:rPr>
        <w:t xml:space="preserve">, 2022 QCCA 1561. </w:t>
      </w:r>
      <w:r w:rsidR="004B3432" w:rsidRPr="006A01A8">
        <w:rPr>
          <w:rFonts w:cs="Arial"/>
          <w:szCs w:val="24"/>
          <w:lang w:val="en-CA" w:eastAsia="en-US"/>
        </w:rPr>
        <w:t xml:space="preserve">The starting point for these </w:t>
      </w:r>
      <w:r w:rsidR="001A7CC1">
        <w:rPr>
          <w:rFonts w:cs="Arial"/>
          <w:szCs w:val="24"/>
          <w:lang w:val="en-CA" w:eastAsia="en-US"/>
        </w:rPr>
        <w:t>counts is</w:t>
      </w:r>
      <w:r w:rsidR="004B3432" w:rsidRPr="006A01A8">
        <w:rPr>
          <w:rFonts w:cs="Arial"/>
          <w:szCs w:val="24"/>
          <w:lang w:val="en-CA" w:eastAsia="en-US"/>
        </w:rPr>
        <w:t xml:space="preserve"> January 2020. </w:t>
      </w:r>
    </w:p>
    <w:p w14:paraId="074444BF" w14:textId="72E3E669" w:rsidR="00CC3EEB" w:rsidRPr="006A01A8" w:rsidRDefault="004B3432" w:rsidP="00E007AA">
      <w:pPr>
        <w:pStyle w:val="Paragraphe"/>
        <w:spacing w:line="280" w:lineRule="exact"/>
        <w:rPr>
          <w:rFonts w:cs="Arial"/>
          <w:iCs/>
          <w:lang w:val="en-CA"/>
        </w:rPr>
      </w:pPr>
      <w:r w:rsidRPr="006A01A8">
        <w:rPr>
          <w:rFonts w:cs="Arial"/>
          <w:iCs/>
          <w:szCs w:val="24"/>
          <w:lang w:val="en-CA" w:eastAsia="en-US"/>
        </w:rPr>
        <w:t>The situation is different for the cybercrime</w:t>
      </w:r>
      <w:r w:rsidR="00002C73" w:rsidRPr="00002C73">
        <w:rPr>
          <w:rFonts w:cs="Arial"/>
          <w:iCs/>
          <w:szCs w:val="24"/>
          <w:lang w:val="en-CA" w:eastAsia="en-US"/>
        </w:rPr>
        <w:t xml:space="preserve"> </w:t>
      </w:r>
      <w:r w:rsidR="00002C73" w:rsidRPr="006A01A8">
        <w:rPr>
          <w:rFonts w:cs="Arial"/>
          <w:iCs/>
          <w:szCs w:val="24"/>
          <w:lang w:val="en-CA" w:eastAsia="en-US"/>
        </w:rPr>
        <w:t>counts</w:t>
      </w:r>
      <w:r w:rsidRPr="006A01A8">
        <w:rPr>
          <w:rFonts w:cs="Arial"/>
          <w:iCs/>
          <w:szCs w:val="24"/>
          <w:lang w:val="en-CA" w:eastAsia="en-US"/>
        </w:rPr>
        <w:t>, which are distinct.</w:t>
      </w:r>
      <w:r w:rsidR="002C1928" w:rsidRPr="006A01A8">
        <w:rPr>
          <w:rFonts w:cs="Arial"/>
          <w:iCs/>
          <w:szCs w:val="24"/>
          <w:lang w:val="en-CA" w:eastAsia="en-US"/>
        </w:rPr>
        <w:t xml:space="preserve"> </w:t>
      </w:r>
      <w:r w:rsidRPr="006A01A8">
        <w:rPr>
          <w:rFonts w:cs="Arial"/>
          <w:iCs/>
          <w:szCs w:val="24"/>
          <w:lang w:val="en-CA" w:eastAsia="en-US"/>
        </w:rPr>
        <w:t xml:space="preserve">The fact that they </w:t>
      </w:r>
      <w:r w:rsidR="003312CB" w:rsidRPr="006A01A8">
        <w:rPr>
          <w:rFonts w:cs="Arial"/>
          <w:iCs/>
          <w:szCs w:val="24"/>
          <w:lang w:val="en-CA" w:eastAsia="en-US"/>
        </w:rPr>
        <w:t>ar</w:t>
      </w:r>
      <w:r w:rsidR="003312CB">
        <w:rPr>
          <w:rFonts w:cs="Arial"/>
          <w:iCs/>
          <w:szCs w:val="24"/>
          <w:lang w:val="en-CA" w:eastAsia="en-US"/>
        </w:rPr>
        <w:t>o</w:t>
      </w:r>
      <w:r w:rsidR="003312CB" w:rsidRPr="006A01A8">
        <w:rPr>
          <w:rFonts w:cs="Arial"/>
          <w:iCs/>
          <w:szCs w:val="24"/>
          <w:lang w:val="en-CA" w:eastAsia="en-US"/>
        </w:rPr>
        <w:t xml:space="preserve">se </w:t>
      </w:r>
      <w:r w:rsidRPr="006A01A8">
        <w:rPr>
          <w:rFonts w:cs="Arial"/>
          <w:iCs/>
          <w:szCs w:val="24"/>
          <w:lang w:val="en-CA" w:eastAsia="en-US"/>
        </w:rPr>
        <w:t>from the same investigation or that they could have been laid earlier changes nothing in the circumstances.</w:t>
      </w:r>
      <w:r w:rsidR="002C1928" w:rsidRPr="006A01A8">
        <w:rPr>
          <w:rFonts w:cs="Arial"/>
          <w:iCs/>
          <w:szCs w:val="24"/>
          <w:lang w:val="en-CA" w:eastAsia="en-US"/>
        </w:rPr>
        <w:t xml:space="preserve"> </w:t>
      </w:r>
      <w:r w:rsidRPr="006A01A8">
        <w:rPr>
          <w:rFonts w:cs="Arial"/>
          <w:iCs/>
          <w:szCs w:val="24"/>
          <w:lang w:val="en-CA" w:eastAsia="en-US"/>
        </w:rPr>
        <w:t>They are entirely new charges.</w:t>
      </w:r>
      <w:r w:rsidR="002C1928" w:rsidRPr="006A01A8">
        <w:rPr>
          <w:rFonts w:cs="Arial"/>
          <w:iCs/>
          <w:szCs w:val="24"/>
          <w:lang w:val="en-CA" w:eastAsia="en-US"/>
        </w:rPr>
        <w:t xml:space="preserve"> </w:t>
      </w:r>
      <w:r w:rsidRPr="006A01A8">
        <w:rPr>
          <w:rFonts w:cs="Arial"/>
          <w:iCs/>
          <w:szCs w:val="24"/>
          <w:lang w:val="en-CA" w:eastAsia="en-US"/>
        </w:rPr>
        <w:t>The appellant is correct to argue that the starting point for calculating the delay for these charges is September 2020.</w:t>
      </w:r>
      <w:r w:rsidR="002C1928" w:rsidRPr="006A01A8">
        <w:rPr>
          <w:rFonts w:cs="Arial"/>
          <w:iCs/>
          <w:szCs w:val="24"/>
          <w:lang w:val="en-CA" w:eastAsia="en-US"/>
        </w:rPr>
        <w:t xml:space="preserve"> </w:t>
      </w:r>
    </w:p>
    <w:p w14:paraId="610E1852" w14:textId="43018C00" w:rsidR="00CC3EEB" w:rsidRPr="006A01A8" w:rsidRDefault="004B3432" w:rsidP="00F9354F">
      <w:pPr>
        <w:pStyle w:val="Paragraphe"/>
        <w:keepLines/>
        <w:spacing w:line="280" w:lineRule="exact"/>
        <w:rPr>
          <w:rFonts w:cs="Arial"/>
          <w:iCs/>
          <w:lang w:val="en-CA"/>
        </w:rPr>
      </w:pPr>
      <w:r w:rsidRPr="006A01A8">
        <w:rPr>
          <w:rFonts w:cs="Arial"/>
          <w:iCs/>
          <w:szCs w:val="24"/>
          <w:lang w:val="en-CA" w:eastAsia="en-US"/>
        </w:rPr>
        <w:lastRenderedPageBreak/>
        <w:t xml:space="preserve">The situation is less clear for the second file </w:t>
      </w:r>
      <w:r w:rsidR="003312CB">
        <w:rPr>
          <w:rFonts w:cs="Arial"/>
          <w:iCs/>
          <w:szCs w:val="24"/>
          <w:lang w:val="en-CA" w:eastAsia="en-US"/>
        </w:rPr>
        <w:t>involving</w:t>
      </w:r>
      <w:r w:rsidRPr="006A01A8">
        <w:rPr>
          <w:rFonts w:cs="Arial"/>
          <w:iCs/>
          <w:szCs w:val="24"/>
          <w:lang w:val="en-CA" w:eastAsia="en-US"/>
        </w:rPr>
        <w:t xml:space="preserve"> the charges against Jacob.</w:t>
      </w:r>
      <w:r w:rsidR="002C1928" w:rsidRPr="006A01A8">
        <w:rPr>
          <w:rFonts w:cs="Arial"/>
          <w:iCs/>
          <w:szCs w:val="24"/>
          <w:lang w:val="en-CA" w:eastAsia="en-US"/>
        </w:rPr>
        <w:t xml:space="preserve"> </w:t>
      </w:r>
      <w:r w:rsidRPr="006A01A8">
        <w:rPr>
          <w:rFonts w:cs="Arial"/>
          <w:iCs/>
          <w:szCs w:val="24"/>
          <w:lang w:val="en-CA" w:eastAsia="en-US"/>
        </w:rPr>
        <w:t xml:space="preserve">These new charges are intrinsically linked to the </w:t>
      </w:r>
      <w:r w:rsidR="003312CB">
        <w:rPr>
          <w:rFonts w:cs="Arial"/>
          <w:iCs/>
          <w:szCs w:val="24"/>
          <w:lang w:val="en-CA" w:eastAsia="en-US"/>
        </w:rPr>
        <w:t>earlier</w:t>
      </w:r>
      <w:r w:rsidR="003312CB" w:rsidRPr="006A01A8">
        <w:rPr>
          <w:rFonts w:cs="Arial"/>
          <w:iCs/>
          <w:szCs w:val="24"/>
          <w:lang w:val="en-CA" w:eastAsia="en-US"/>
        </w:rPr>
        <w:t xml:space="preserve"> </w:t>
      </w:r>
      <w:r w:rsidRPr="006A01A8">
        <w:rPr>
          <w:rFonts w:cs="Arial"/>
          <w:iCs/>
          <w:szCs w:val="24"/>
          <w:lang w:val="en-CA" w:eastAsia="en-US"/>
        </w:rPr>
        <w:t>charges because they merely add counts of disobeying an order prohibiting him from possessing a firearm.</w:t>
      </w:r>
      <w:r w:rsidR="002C1928" w:rsidRPr="006A01A8">
        <w:rPr>
          <w:rFonts w:cs="Arial"/>
          <w:iCs/>
          <w:szCs w:val="24"/>
          <w:lang w:val="en-CA" w:eastAsia="en-US"/>
        </w:rPr>
        <w:t xml:space="preserve"> </w:t>
      </w:r>
      <w:r w:rsidRPr="006A01A8">
        <w:rPr>
          <w:rFonts w:cs="Arial"/>
          <w:iCs/>
          <w:szCs w:val="24"/>
          <w:lang w:val="en-CA" w:eastAsia="en-US"/>
        </w:rPr>
        <w:t xml:space="preserve">Nevertheless, I </w:t>
      </w:r>
      <w:r w:rsidR="0026259D" w:rsidRPr="006A01A8">
        <w:rPr>
          <w:rFonts w:cs="Arial"/>
          <w:iCs/>
          <w:szCs w:val="24"/>
          <w:lang w:val="en-CA" w:eastAsia="en-US"/>
        </w:rPr>
        <w:t>believe</w:t>
      </w:r>
      <w:r w:rsidRPr="006A01A8">
        <w:rPr>
          <w:rFonts w:cs="Arial"/>
          <w:iCs/>
          <w:szCs w:val="24"/>
          <w:lang w:val="en-CA" w:eastAsia="en-US"/>
        </w:rPr>
        <w:t xml:space="preserve"> that they are new charges in the circumstances of this case.</w:t>
      </w:r>
      <w:r w:rsidR="002C1928" w:rsidRPr="006A01A8">
        <w:rPr>
          <w:rFonts w:cs="Arial"/>
          <w:iCs/>
          <w:szCs w:val="24"/>
          <w:lang w:val="en-CA" w:eastAsia="en-US"/>
        </w:rPr>
        <w:t xml:space="preserve"> </w:t>
      </w:r>
      <w:r w:rsidRPr="006A01A8">
        <w:rPr>
          <w:rFonts w:cs="Arial"/>
          <w:iCs/>
          <w:szCs w:val="24"/>
          <w:lang w:val="en-CA" w:eastAsia="en-US"/>
        </w:rPr>
        <w:t xml:space="preserve">The clear rule </w:t>
      </w:r>
      <w:r w:rsidR="00B15EAE">
        <w:rPr>
          <w:rFonts w:cs="Arial"/>
          <w:iCs/>
          <w:szCs w:val="24"/>
          <w:lang w:val="en-CA" w:eastAsia="en-US"/>
        </w:rPr>
        <w:t>recalled</w:t>
      </w:r>
      <w:r w:rsidRPr="006A01A8">
        <w:rPr>
          <w:rFonts w:cs="Arial"/>
          <w:iCs/>
          <w:szCs w:val="24"/>
          <w:lang w:val="en-CA" w:eastAsia="en-US"/>
        </w:rPr>
        <w:t xml:space="preserve"> in </w:t>
      </w:r>
      <w:r w:rsidRPr="006A01A8">
        <w:rPr>
          <w:rFonts w:cs="Arial"/>
          <w:i/>
          <w:iCs/>
          <w:szCs w:val="24"/>
          <w:lang w:val="en-CA" w:eastAsia="en-US"/>
        </w:rPr>
        <w:t>Poitras</w:t>
      </w:r>
      <w:r w:rsidRPr="006A01A8">
        <w:rPr>
          <w:rFonts w:cs="Arial"/>
          <w:iCs/>
          <w:szCs w:val="24"/>
          <w:lang w:val="en-CA" w:eastAsia="en-US"/>
        </w:rPr>
        <w:t xml:space="preserve"> is preferable.</w:t>
      </w:r>
      <w:r w:rsidR="00B179AF" w:rsidRPr="006A01A8">
        <w:rPr>
          <w:rFonts w:cs="Arial"/>
          <w:iCs/>
          <w:szCs w:val="24"/>
          <w:lang w:val="en-CA" w:eastAsia="en-US"/>
        </w:rPr>
        <w:t xml:space="preserve"> </w:t>
      </w:r>
      <w:r w:rsidRPr="006A01A8">
        <w:rPr>
          <w:rFonts w:cs="Arial"/>
          <w:iCs/>
          <w:szCs w:val="24"/>
          <w:lang w:val="en-CA" w:eastAsia="en-US"/>
        </w:rPr>
        <w:t xml:space="preserve">That said, I do not </w:t>
      </w:r>
      <w:r w:rsidR="001A7CC1">
        <w:rPr>
          <w:rFonts w:cs="Arial"/>
          <w:iCs/>
          <w:szCs w:val="24"/>
          <w:lang w:val="en-CA" w:eastAsia="en-US"/>
        </w:rPr>
        <w:t xml:space="preserve">rule out the possibility </w:t>
      </w:r>
      <w:r w:rsidRPr="006A01A8">
        <w:rPr>
          <w:rFonts w:cs="Arial"/>
          <w:iCs/>
          <w:szCs w:val="24"/>
          <w:lang w:val="en-CA" w:eastAsia="en-US"/>
        </w:rPr>
        <w:t xml:space="preserve">that </w:t>
      </w:r>
      <w:r w:rsidR="00C649CE">
        <w:rPr>
          <w:rFonts w:cs="Arial"/>
          <w:iCs/>
          <w:szCs w:val="24"/>
          <w:lang w:val="en-CA" w:eastAsia="en-US"/>
        </w:rPr>
        <w:t>keeping</w:t>
      </w:r>
      <w:r w:rsidR="00C649CE" w:rsidRPr="006A01A8">
        <w:rPr>
          <w:rFonts w:cs="Arial"/>
          <w:iCs/>
          <w:szCs w:val="24"/>
          <w:lang w:val="en-CA" w:eastAsia="en-US"/>
        </w:rPr>
        <w:t xml:space="preserve"> </w:t>
      </w:r>
      <w:r w:rsidRPr="006A01A8">
        <w:rPr>
          <w:rFonts w:cs="Arial"/>
          <w:iCs/>
          <w:szCs w:val="24"/>
          <w:lang w:val="en-CA" w:eastAsia="en-US"/>
        </w:rPr>
        <w:t xml:space="preserve">such charges in reserve for the purpose of reviving a </w:t>
      </w:r>
      <w:r w:rsidR="00B15EAE">
        <w:rPr>
          <w:rFonts w:cs="Arial"/>
          <w:iCs/>
          <w:szCs w:val="24"/>
          <w:lang w:val="en-CA" w:eastAsia="en-US"/>
        </w:rPr>
        <w:t>prosecution</w:t>
      </w:r>
      <w:r w:rsidR="00B15EAE" w:rsidRPr="006A01A8">
        <w:rPr>
          <w:rFonts w:cs="Arial"/>
          <w:iCs/>
          <w:szCs w:val="24"/>
          <w:lang w:val="en-CA" w:eastAsia="en-US"/>
        </w:rPr>
        <w:t xml:space="preserve"> </w:t>
      </w:r>
      <w:r w:rsidRPr="006A01A8">
        <w:rPr>
          <w:rFonts w:cs="Arial"/>
          <w:iCs/>
          <w:szCs w:val="24"/>
          <w:lang w:val="en-CA" w:eastAsia="en-US"/>
        </w:rPr>
        <w:t xml:space="preserve">likely to fail due to exceeding the </w:t>
      </w:r>
      <w:r w:rsidRPr="006A01A8">
        <w:rPr>
          <w:rFonts w:cs="Arial"/>
          <w:i/>
          <w:iCs/>
          <w:szCs w:val="24"/>
          <w:lang w:val="en-CA" w:eastAsia="en-US"/>
        </w:rPr>
        <w:t>Jordan</w:t>
      </w:r>
      <w:r w:rsidRPr="006A01A8">
        <w:rPr>
          <w:rFonts w:cs="Arial"/>
          <w:iCs/>
          <w:szCs w:val="24"/>
          <w:lang w:val="en-CA" w:eastAsia="en-US"/>
        </w:rPr>
        <w:t xml:space="preserve"> ceilings </w:t>
      </w:r>
      <w:r w:rsidR="00C649CE">
        <w:rPr>
          <w:rFonts w:cs="Arial"/>
          <w:iCs/>
          <w:szCs w:val="24"/>
          <w:lang w:val="en-CA" w:eastAsia="en-US"/>
        </w:rPr>
        <w:t>c</w:t>
      </w:r>
      <w:r w:rsidRPr="006A01A8">
        <w:rPr>
          <w:rFonts w:cs="Arial"/>
          <w:iCs/>
          <w:szCs w:val="24"/>
          <w:lang w:val="en-CA" w:eastAsia="en-US"/>
        </w:rPr>
        <w:t xml:space="preserve">ould </w:t>
      </w:r>
      <w:r w:rsidR="001A7CC1">
        <w:rPr>
          <w:rFonts w:cs="Arial"/>
          <w:iCs/>
          <w:szCs w:val="24"/>
          <w:lang w:val="en-CA" w:eastAsia="en-US"/>
        </w:rPr>
        <w:t>lead to</w:t>
      </w:r>
      <w:r w:rsidRPr="006A01A8">
        <w:rPr>
          <w:rFonts w:cs="Arial"/>
          <w:iCs/>
          <w:szCs w:val="24"/>
          <w:lang w:val="en-CA" w:eastAsia="en-US"/>
        </w:rPr>
        <w:t xml:space="preserve"> closer scrutiny for possible abuse of process, but that is not the case here.</w:t>
      </w:r>
      <w:r w:rsidR="002C1928" w:rsidRPr="006A01A8">
        <w:rPr>
          <w:rFonts w:cs="Arial"/>
          <w:iCs/>
          <w:szCs w:val="24"/>
          <w:lang w:val="en-CA" w:eastAsia="en-US"/>
        </w:rPr>
        <w:t xml:space="preserve">  </w:t>
      </w:r>
    </w:p>
    <w:p w14:paraId="74C7DFD2" w14:textId="525A6A71" w:rsidR="00CC3EEB" w:rsidRPr="006A01A8" w:rsidRDefault="004B3432" w:rsidP="00E007AA">
      <w:pPr>
        <w:pStyle w:val="Paragraphe"/>
        <w:spacing w:line="280" w:lineRule="exact"/>
        <w:rPr>
          <w:rFonts w:cs="Arial"/>
          <w:iCs/>
          <w:lang w:val="en-CA"/>
        </w:rPr>
      </w:pPr>
      <w:r w:rsidRPr="006A01A8">
        <w:rPr>
          <w:rFonts w:cs="Arial"/>
          <w:iCs/>
          <w:szCs w:val="24"/>
          <w:lang w:val="en-CA" w:eastAsia="en-US"/>
        </w:rPr>
        <w:t>Last, however interesting the question of whether the new files create a new starting point in September 2020 may be, the respondents are correct that the 18-month ceiling has been exceeded for all charges.</w:t>
      </w:r>
    </w:p>
    <w:p w14:paraId="32E279EB" w14:textId="4F6D97D8" w:rsidR="00CC3EEB" w:rsidRPr="006A01A8" w:rsidRDefault="004B3432" w:rsidP="00E007AA">
      <w:pPr>
        <w:pStyle w:val="Paragraphe"/>
        <w:spacing w:line="280" w:lineRule="exact"/>
        <w:rPr>
          <w:lang w:val="en-CA"/>
        </w:rPr>
      </w:pPr>
      <w:r w:rsidRPr="006A01A8">
        <w:rPr>
          <w:lang w:val="en-CA"/>
        </w:rPr>
        <w:t xml:space="preserve">That said, both at trial and on appeal, it is not clear if the date accepted by the parties and the judge </w:t>
      </w:r>
      <w:r w:rsidR="001A7CC1" w:rsidRPr="006A01A8">
        <w:rPr>
          <w:lang w:val="en-CA"/>
        </w:rPr>
        <w:t xml:space="preserve">for the first file </w:t>
      </w:r>
      <w:r w:rsidRPr="006A01A8">
        <w:rPr>
          <w:lang w:val="en-CA"/>
        </w:rPr>
        <w:t>is January 27 or January 31.</w:t>
      </w:r>
      <w:r w:rsidR="002C1928" w:rsidRPr="006A01A8">
        <w:rPr>
          <w:lang w:val="en-CA"/>
        </w:rPr>
        <w:t xml:space="preserve"> </w:t>
      </w:r>
      <w:r w:rsidRPr="006A01A8">
        <w:rPr>
          <w:lang w:val="en-CA"/>
        </w:rPr>
        <w:t>Neither the judge nor the parties are affirmative on this point in their appeal briefs.</w:t>
      </w:r>
      <w:r w:rsidR="002C1928" w:rsidRPr="006A01A8">
        <w:rPr>
          <w:lang w:val="en-CA"/>
        </w:rPr>
        <w:t xml:space="preserve"> </w:t>
      </w:r>
      <w:r w:rsidRPr="006A01A8">
        <w:rPr>
          <w:lang w:val="en-CA"/>
        </w:rPr>
        <w:t xml:space="preserve">It is true that the difference is </w:t>
      </w:r>
      <w:r w:rsidR="00E94777">
        <w:rPr>
          <w:lang w:val="en-CA"/>
        </w:rPr>
        <w:t>of little significance</w:t>
      </w:r>
      <w:r w:rsidRPr="006A01A8">
        <w:rPr>
          <w:lang w:val="en-CA"/>
        </w:rPr>
        <w:t>.</w:t>
      </w:r>
      <w:r w:rsidR="002C1928" w:rsidRPr="006A01A8">
        <w:rPr>
          <w:lang w:val="en-CA"/>
        </w:rPr>
        <w:t xml:space="preserve"> </w:t>
      </w:r>
      <w:r w:rsidRPr="006A01A8">
        <w:rPr>
          <w:lang w:val="en-CA"/>
        </w:rPr>
        <w:t>I accept that the respondents appeared under arrest on January 31, 2020;</w:t>
      </w:r>
      <w:r w:rsidR="002C1928" w:rsidRPr="006A01A8">
        <w:rPr>
          <w:lang w:val="en-CA"/>
        </w:rPr>
        <w:t xml:space="preserve"> </w:t>
      </w:r>
      <w:r w:rsidRPr="006A01A8">
        <w:rPr>
          <w:lang w:val="en-CA"/>
        </w:rPr>
        <w:t xml:space="preserve">that is the charging date within the meaning of s. 11(b) of the </w:t>
      </w:r>
      <w:r w:rsidRPr="006A01A8">
        <w:rPr>
          <w:i/>
          <w:lang w:val="en-CA"/>
        </w:rPr>
        <w:t>Charter</w:t>
      </w:r>
      <w:r w:rsidRPr="006A01A8">
        <w:rPr>
          <w:lang w:val="en-CA"/>
        </w:rPr>
        <w:t xml:space="preserve"> for these charges.</w:t>
      </w:r>
    </w:p>
    <w:p w14:paraId="356C0550" w14:textId="5170D5EA" w:rsidR="00CC3EEB" w:rsidRPr="006A01A8" w:rsidRDefault="004B3432" w:rsidP="00E007AA">
      <w:pPr>
        <w:pStyle w:val="Paragraphe"/>
        <w:spacing w:line="280" w:lineRule="exact"/>
        <w:rPr>
          <w:lang w:val="en-CA"/>
        </w:rPr>
      </w:pPr>
      <w:r w:rsidRPr="006A01A8">
        <w:rPr>
          <w:lang w:val="en-CA"/>
        </w:rPr>
        <w:t xml:space="preserve">On September 3, 2020, the appellant filed two new </w:t>
      </w:r>
      <w:proofErr w:type="gramStart"/>
      <w:r w:rsidRPr="006A01A8">
        <w:rPr>
          <w:lang w:val="en-CA"/>
        </w:rPr>
        <w:t>informations</w:t>
      </w:r>
      <w:proofErr w:type="gramEnd"/>
      <w:r w:rsidRPr="006A01A8">
        <w:rPr>
          <w:lang w:val="en-CA"/>
        </w:rPr>
        <w:t xml:space="preserve"> and the respondents appeared.</w:t>
      </w:r>
      <w:r w:rsidR="002C1928" w:rsidRPr="006A01A8">
        <w:rPr>
          <w:lang w:val="en-CA"/>
        </w:rPr>
        <w:t xml:space="preserve"> </w:t>
      </w:r>
      <w:r w:rsidRPr="006A01A8">
        <w:rPr>
          <w:lang w:val="en-CA"/>
        </w:rPr>
        <w:t>This is the starting point for the new charges.</w:t>
      </w:r>
      <w:r w:rsidR="002C1928" w:rsidRPr="006A01A8">
        <w:rPr>
          <w:lang w:val="en-CA"/>
        </w:rPr>
        <w:t xml:space="preserve"> </w:t>
      </w:r>
    </w:p>
    <w:p w14:paraId="0C1498D8" w14:textId="5E84B3E8" w:rsidR="00CC3EEB" w:rsidRPr="006A01A8" w:rsidRDefault="004D0B38" w:rsidP="00E007AA">
      <w:pPr>
        <w:pStyle w:val="Paragraphe"/>
        <w:spacing w:line="280" w:lineRule="exact"/>
        <w:rPr>
          <w:lang w:val="en-CA"/>
        </w:rPr>
      </w:pPr>
      <w:r>
        <w:rPr>
          <w:lang w:val="en-CA"/>
        </w:rPr>
        <w:t>The trial was expected to</w:t>
      </w:r>
      <w:r w:rsidR="004B3432" w:rsidRPr="006A01A8">
        <w:rPr>
          <w:lang w:val="en-CA"/>
        </w:rPr>
        <w:t xml:space="preserve"> end </w:t>
      </w:r>
      <w:r>
        <w:rPr>
          <w:lang w:val="en-CA"/>
        </w:rPr>
        <w:t>on</w:t>
      </w:r>
      <w:r w:rsidR="004B3432" w:rsidRPr="006A01A8">
        <w:rPr>
          <w:lang w:val="en-CA"/>
        </w:rPr>
        <w:t xml:space="preserve"> July 25, 2022.</w:t>
      </w:r>
      <w:r w:rsidR="002C1928" w:rsidRPr="006A01A8">
        <w:rPr>
          <w:lang w:val="en-CA"/>
        </w:rPr>
        <w:t xml:space="preserve"> </w:t>
      </w:r>
    </w:p>
    <w:p w14:paraId="0D385496" w14:textId="1ED493DA" w:rsidR="00CC3EEB" w:rsidRPr="006A01A8" w:rsidRDefault="004B3432" w:rsidP="00E007AA">
      <w:pPr>
        <w:pStyle w:val="Paragraphe"/>
        <w:spacing w:line="280" w:lineRule="exact"/>
        <w:rPr>
          <w:lang w:val="en-CA"/>
        </w:rPr>
      </w:pPr>
      <w:r w:rsidRPr="006A01A8">
        <w:rPr>
          <w:lang w:val="en-CA"/>
        </w:rPr>
        <w:t xml:space="preserve">It should be added, therefore, that the </w:t>
      </w:r>
      <w:r w:rsidRPr="00C964DC">
        <w:rPr>
          <w:lang w:val="en-CA"/>
        </w:rPr>
        <w:t>delay</w:t>
      </w:r>
      <w:r w:rsidRPr="006A01A8">
        <w:rPr>
          <w:lang w:val="en-CA"/>
        </w:rPr>
        <w:t xml:space="preserve"> between January 31, 2020, and July 25, 202</w:t>
      </w:r>
      <w:r w:rsidR="00C964DC">
        <w:rPr>
          <w:lang w:val="en-CA"/>
        </w:rPr>
        <w:t>2</w:t>
      </w:r>
      <w:r w:rsidRPr="006A01A8">
        <w:rPr>
          <w:lang w:val="en-CA"/>
        </w:rPr>
        <w:t>, is 29 months and 25 days.</w:t>
      </w:r>
      <w:r w:rsidR="002C1928" w:rsidRPr="006A01A8">
        <w:rPr>
          <w:lang w:val="en-CA"/>
        </w:rPr>
        <w:t xml:space="preserve"> </w:t>
      </w:r>
      <w:r w:rsidRPr="006A01A8">
        <w:rPr>
          <w:lang w:val="en-CA"/>
        </w:rPr>
        <w:t>There are 22 months and 22 days between September 3, 2020, and July 25, 2022.</w:t>
      </w:r>
    </w:p>
    <w:p w14:paraId="74D1386B" w14:textId="5CC2C703" w:rsidR="008B669E" w:rsidRPr="00F9354F" w:rsidRDefault="004B3432" w:rsidP="00F9354F">
      <w:pPr>
        <w:pStyle w:val="Paragraphe"/>
        <w:spacing w:line="240" w:lineRule="auto"/>
        <w:rPr>
          <w:rFonts w:eastAsiaTheme="minorHAnsi" w:cs="Times New Roman (Corps CS)"/>
          <w:b/>
          <w:i/>
          <w:kern w:val="2"/>
          <w:lang w:val="en-CA"/>
          <w14:ligatures w14:val="standardContextual"/>
        </w:rPr>
      </w:pPr>
      <w:r w:rsidRPr="00F9354F">
        <w:rPr>
          <w:lang w:val="en-CA"/>
        </w:rPr>
        <w:t>The judge determined that the applicable ceiling is 18 months.</w:t>
      </w:r>
      <w:r w:rsidR="002C1928" w:rsidRPr="00F9354F">
        <w:rPr>
          <w:lang w:val="en-CA"/>
        </w:rPr>
        <w:t xml:space="preserve"> </w:t>
      </w:r>
      <w:r w:rsidRPr="00F9354F">
        <w:rPr>
          <w:lang w:val="en-CA"/>
        </w:rPr>
        <w:t>I agree, but like the appellant, I accept that it was not the case at the appearance.</w:t>
      </w:r>
      <w:r w:rsidR="002C1928" w:rsidRPr="00F9354F">
        <w:rPr>
          <w:lang w:val="en-CA"/>
        </w:rPr>
        <w:t xml:space="preserve"> </w:t>
      </w:r>
      <w:r w:rsidR="0026259D" w:rsidRPr="00F9354F">
        <w:rPr>
          <w:lang w:val="en-CA"/>
        </w:rPr>
        <w:t>Accordingly</w:t>
      </w:r>
      <w:r w:rsidRPr="00F9354F">
        <w:rPr>
          <w:lang w:val="en-CA"/>
        </w:rPr>
        <w:t>, I will make a few comments.</w:t>
      </w:r>
      <w:r w:rsidR="00F9354F" w:rsidRPr="00F9354F">
        <w:rPr>
          <w:lang w:val="en-CA"/>
        </w:rPr>
        <w:t xml:space="preserve"> </w:t>
      </w:r>
    </w:p>
    <w:p w14:paraId="563B025B" w14:textId="2B1FC853" w:rsidR="00CC3EEB" w:rsidRPr="006A01A8" w:rsidRDefault="004B3432" w:rsidP="00E007AA">
      <w:pPr>
        <w:pStyle w:val="JgtPositionniv2"/>
        <w:spacing w:line="280" w:lineRule="exact"/>
        <w:rPr>
          <w:lang w:val="en-CA"/>
        </w:rPr>
      </w:pPr>
      <w:r w:rsidRPr="006A01A8">
        <w:rPr>
          <w:lang w:val="en-CA"/>
        </w:rPr>
        <w:t>Election and re-election</w:t>
      </w:r>
    </w:p>
    <w:p w14:paraId="30D63A1F" w14:textId="66E27FBC" w:rsidR="00CC3EEB" w:rsidRPr="006A01A8" w:rsidRDefault="004B3432" w:rsidP="00E007AA">
      <w:pPr>
        <w:pStyle w:val="Paragraphe"/>
        <w:spacing w:line="280" w:lineRule="exact"/>
        <w:rPr>
          <w:lang w:val="en-CA"/>
        </w:rPr>
      </w:pPr>
      <w:r w:rsidRPr="006A01A8">
        <w:rPr>
          <w:lang w:val="en-CA"/>
        </w:rPr>
        <w:t>It must be noted that the criminal offences at issue are not</w:t>
      </w:r>
      <w:r w:rsidR="00FB1A5E">
        <w:rPr>
          <w:lang w:val="en-CA"/>
        </w:rPr>
        <w:t xml:space="preserve"> within</w:t>
      </w:r>
      <w:r w:rsidRPr="006A01A8">
        <w:rPr>
          <w:lang w:val="en-CA"/>
        </w:rPr>
        <w:t xml:space="preserve"> the absolute jurisdiction of a provincial court judge under s. 5</w:t>
      </w:r>
      <w:r w:rsidR="00FB1A5E">
        <w:rPr>
          <w:lang w:val="en-CA"/>
        </w:rPr>
        <w:t>5</w:t>
      </w:r>
      <w:r w:rsidRPr="006A01A8">
        <w:rPr>
          <w:lang w:val="en-CA"/>
        </w:rPr>
        <w:t xml:space="preserve">3 </w:t>
      </w:r>
      <w:r w:rsidRPr="006A01A8">
        <w:rPr>
          <w:i/>
          <w:lang w:val="en-CA"/>
        </w:rPr>
        <w:t>Cr. C.</w:t>
      </w:r>
      <w:r w:rsidR="002C1928" w:rsidRPr="006A01A8">
        <w:rPr>
          <w:i/>
          <w:lang w:val="en-CA"/>
        </w:rPr>
        <w:t xml:space="preserve"> </w:t>
      </w:r>
      <w:r w:rsidRPr="006A01A8">
        <w:rPr>
          <w:rFonts w:cs="Arial"/>
          <w:lang w:val="en-CA"/>
        </w:rPr>
        <w:t xml:space="preserve">None of them </w:t>
      </w:r>
      <w:r w:rsidR="00FB1A5E">
        <w:rPr>
          <w:rFonts w:cs="Arial"/>
          <w:lang w:val="en-CA"/>
        </w:rPr>
        <w:t>carry</w:t>
      </w:r>
      <w:r w:rsidRPr="006A01A8">
        <w:rPr>
          <w:rFonts w:cs="Arial"/>
          <w:lang w:val="en-CA"/>
        </w:rPr>
        <w:t xml:space="preserve"> the possibility of 14 years </w:t>
      </w:r>
      <w:r w:rsidR="00FB1A5E" w:rsidRPr="00FB1A5E">
        <w:rPr>
          <w:rFonts w:cs="Arial"/>
          <w:lang w:val="en-CA"/>
        </w:rPr>
        <w:t xml:space="preserve">or more of imprisonment </w:t>
      </w:r>
      <w:r w:rsidRPr="006A01A8">
        <w:rPr>
          <w:rFonts w:cs="Arial"/>
          <w:lang w:val="en-CA"/>
        </w:rPr>
        <w:t>and therefore no preliminary inquiry can be requested</w:t>
      </w:r>
      <w:r w:rsidR="00FB1A5E">
        <w:rPr>
          <w:rFonts w:cs="Arial"/>
          <w:lang w:val="en-CA"/>
        </w:rPr>
        <w:t>:</w:t>
      </w:r>
      <w:r w:rsidR="002C1928" w:rsidRPr="006A01A8">
        <w:rPr>
          <w:rFonts w:cs="Arial"/>
          <w:lang w:val="en-CA"/>
        </w:rPr>
        <w:t> </w:t>
      </w:r>
      <w:r w:rsidR="001A7CC1">
        <w:rPr>
          <w:rFonts w:cs="Arial"/>
          <w:lang w:val="en-CA"/>
        </w:rPr>
        <w:t>s. </w:t>
      </w:r>
      <w:r w:rsidRPr="006A01A8">
        <w:rPr>
          <w:rFonts w:cs="Arial"/>
          <w:lang w:val="en-CA"/>
        </w:rPr>
        <w:t xml:space="preserve">536(2) </w:t>
      </w:r>
      <w:r w:rsidRPr="006A01A8">
        <w:rPr>
          <w:rFonts w:cs="Arial"/>
          <w:i/>
          <w:lang w:val="en-CA"/>
        </w:rPr>
        <w:t>Cr. C</w:t>
      </w:r>
      <w:r w:rsidRPr="006A01A8">
        <w:rPr>
          <w:rFonts w:cs="Arial"/>
          <w:lang w:val="en-CA"/>
        </w:rPr>
        <w:t>.</w:t>
      </w:r>
      <w:r w:rsidR="002C1928" w:rsidRPr="006A01A8">
        <w:rPr>
          <w:lang w:val="en-CA"/>
        </w:rPr>
        <w:t xml:space="preserve"> </w:t>
      </w:r>
    </w:p>
    <w:p w14:paraId="258081AB" w14:textId="51EF8C29" w:rsidR="00CC3EEB" w:rsidRPr="006A01A8" w:rsidRDefault="001A7CC1" w:rsidP="00F9354F">
      <w:pPr>
        <w:pStyle w:val="Paragraphe"/>
        <w:keepLines/>
        <w:spacing w:line="280" w:lineRule="exact"/>
        <w:rPr>
          <w:lang w:val="en-CA"/>
        </w:rPr>
      </w:pPr>
      <w:r>
        <w:rPr>
          <w:lang w:val="en-CA"/>
        </w:rPr>
        <w:lastRenderedPageBreak/>
        <w:t>However, t</w:t>
      </w:r>
      <w:r w:rsidR="004B3432" w:rsidRPr="006A01A8">
        <w:rPr>
          <w:lang w:val="en-CA"/>
        </w:rPr>
        <w:t xml:space="preserve">he </w:t>
      </w:r>
      <w:r w:rsidR="004B3432" w:rsidRPr="006A01A8">
        <w:rPr>
          <w:i/>
          <w:lang w:val="en-CA"/>
        </w:rPr>
        <w:t xml:space="preserve">Criminal Code </w:t>
      </w:r>
      <w:r w:rsidR="004B3432" w:rsidRPr="006A01A8">
        <w:rPr>
          <w:lang w:val="en-CA"/>
        </w:rPr>
        <w:t>adds</w:t>
      </w:r>
      <w:r>
        <w:rPr>
          <w:lang w:val="en-CA"/>
        </w:rPr>
        <w:t xml:space="preserve"> </w:t>
      </w:r>
      <w:r w:rsidR="004B3432" w:rsidRPr="006A01A8">
        <w:rPr>
          <w:lang w:val="en-CA"/>
        </w:rPr>
        <w:t xml:space="preserve">that the </w:t>
      </w:r>
      <w:r w:rsidR="00FB1A5E">
        <w:rPr>
          <w:lang w:val="en-CA"/>
        </w:rPr>
        <w:t>accused</w:t>
      </w:r>
      <w:r w:rsidR="00FB1A5E" w:rsidRPr="006A01A8">
        <w:rPr>
          <w:lang w:val="en-CA"/>
        </w:rPr>
        <w:t xml:space="preserve"> </w:t>
      </w:r>
      <w:r w:rsidR="004B3432" w:rsidRPr="006A01A8">
        <w:rPr>
          <w:lang w:val="en-CA"/>
        </w:rPr>
        <w:t>must elect to be tried by a provincial court judge without a jury, by a judge without a jury, or by a court composed of a judge and jury.</w:t>
      </w:r>
      <w:r w:rsidR="002C1928" w:rsidRPr="006A01A8">
        <w:rPr>
          <w:rFonts w:cs="Arial"/>
          <w:lang w:val="en-CA"/>
        </w:rPr>
        <w:t xml:space="preserve"> </w:t>
      </w:r>
      <w:r w:rsidR="004B3432" w:rsidRPr="006A01A8">
        <w:rPr>
          <w:rFonts w:cs="Arial"/>
          <w:lang w:val="en-CA"/>
        </w:rPr>
        <w:t>When no election is made, the accused is deemed to have elected to be tried before a court composed of a judge and a jury</w:t>
      </w:r>
      <w:r w:rsidR="00FB1A5E">
        <w:rPr>
          <w:rFonts w:cs="Arial"/>
          <w:lang w:val="en-CA"/>
        </w:rPr>
        <w:t>:</w:t>
      </w:r>
      <w:r w:rsidR="00FB1A5E" w:rsidRPr="006A01A8">
        <w:rPr>
          <w:rFonts w:cs="Arial"/>
          <w:lang w:val="en-CA"/>
        </w:rPr>
        <w:t xml:space="preserve"> </w:t>
      </w:r>
      <w:r>
        <w:rPr>
          <w:rFonts w:cs="Arial"/>
          <w:lang w:val="en-CA"/>
        </w:rPr>
        <w:t>s.</w:t>
      </w:r>
      <w:r w:rsidR="002C1928" w:rsidRPr="006A01A8">
        <w:rPr>
          <w:rFonts w:cs="Arial"/>
          <w:lang w:val="en-CA"/>
        </w:rPr>
        <w:t> </w:t>
      </w:r>
      <w:r w:rsidR="004B3432" w:rsidRPr="006A01A8">
        <w:rPr>
          <w:rFonts w:cs="Arial"/>
          <w:lang w:val="en-CA"/>
        </w:rPr>
        <w:t xml:space="preserve">536(2.1) </w:t>
      </w:r>
      <w:r w:rsidR="004B3432" w:rsidRPr="006A01A8">
        <w:rPr>
          <w:rFonts w:cs="Arial"/>
          <w:i/>
          <w:lang w:val="en-CA"/>
        </w:rPr>
        <w:t>Cr. C.</w:t>
      </w:r>
    </w:p>
    <w:p w14:paraId="4DFB3EC2" w14:textId="6CFF99D9" w:rsidR="00CC3EEB" w:rsidRPr="006A01A8" w:rsidRDefault="004B3432" w:rsidP="00E007AA">
      <w:pPr>
        <w:pStyle w:val="Paragraphe"/>
        <w:spacing w:line="280" w:lineRule="exact"/>
        <w:rPr>
          <w:lang w:val="en-CA"/>
        </w:rPr>
      </w:pPr>
      <w:r w:rsidRPr="006A01A8">
        <w:rPr>
          <w:lang w:val="en-CA"/>
        </w:rPr>
        <w:t>If there is no election, the case is deemed to be before the Superior Court.</w:t>
      </w:r>
    </w:p>
    <w:p w14:paraId="3AA376D0" w14:textId="67FD3B67" w:rsidR="00CC3EEB" w:rsidRPr="006A01A8" w:rsidRDefault="001A7CC1" w:rsidP="00E007AA">
      <w:pPr>
        <w:pStyle w:val="Paragraphe"/>
        <w:spacing w:line="280" w:lineRule="exact"/>
        <w:rPr>
          <w:lang w:val="en-CA"/>
        </w:rPr>
      </w:pPr>
      <w:r>
        <w:rPr>
          <w:lang w:val="en-CA"/>
        </w:rPr>
        <w:t>The</w:t>
      </w:r>
      <w:r w:rsidR="004B3432" w:rsidRPr="006A01A8">
        <w:rPr>
          <w:lang w:val="en-CA"/>
        </w:rPr>
        <w:t xml:space="preserve"> parties must remember that </w:t>
      </w:r>
      <w:r>
        <w:rPr>
          <w:lang w:val="en-CA"/>
        </w:rPr>
        <w:t>s</w:t>
      </w:r>
      <w:r w:rsidRPr="006A01A8">
        <w:rPr>
          <w:lang w:val="en-CA"/>
        </w:rPr>
        <w:t xml:space="preserve">ince </w:t>
      </w:r>
      <w:r w:rsidRPr="006A01A8">
        <w:rPr>
          <w:i/>
          <w:lang w:val="en-CA"/>
        </w:rPr>
        <w:t>Jordan</w:t>
      </w:r>
      <w:r w:rsidRPr="006A01A8">
        <w:rPr>
          <w:lang w:val="en-CA"/>
        </w:rPr>
        <w:t xml:space="preserve">, </w:t>
      </w:r>
      <w:r w:rsidR="004B3432" w:rsidRPr="006A01A8">
        <w:rPr>
          <w:lang w:val="en-CA"/>
        </w:rPr>
        <w:t xml:space="preserve">the case is </w:t>
      </w:r>
      <w:r>
        <w:rPr>
          <w:lang w:val="en-CA"/>
        </w:rPr>
        <w:t xml:space="preserve">then </w:t>
      </w:r>
      <w:r w:rsidR="004B3432" w:rsidRPr="006A01A8">
        <w:rPr>
          <w:lang w:val="en-CA"/>
        </w:rPr>
        <w:t>subject to a ceiling of 30 months.</w:t>
      </w:r>
      <w:r w:rsidR="002C1928" w:rsidRPr="006A01A8">
        <w:rPr>
          <w:lang w:val="en-CA"/>
        </w:rPr>
        <w:t xml:space="preserve"> </w:t>
      </w:r>
      <w:r w:rsidR="004B3432" w:rsidRPr="006A01A8">
        <w:rPr>
          <w:lang w:val="en-CA"/>
        </w:rPr>
        <w:t xml:space="preserve">Moreover, the </w:t>
      </w:r>
      <w:r w:rsidR="007203C5">
        <w:rPr>
          <w:lang w:val="en-CA"/>
        </w:rPr>
        <w:t>accused</w:t>
      </w:r>
      <w:r w:rsidR="007203C5" w:rsidRPr="006A01A8">
        <w:rPr>
          <w:lang w:val="en-CA"/>
        </w:rPr>
        <w:t xml:space="preserve"> </w:t>
      </w:r>
      <w:r w:rsidR="004B3432" w:rsidRPr="006A01A8">
        <w:rPr>
          <w:lang w:val="en-CA"/>
        </w:rPr>
        <w:t xml:space="preserve">must necessarily consider that the lack of election cannot </w:t>
      </w:r>
      <w:r>
        <w:rPr>
          <w:lang w:val="en-CA"/>
        </w:rPr>
        <w:t>create</w:t>
      </w:r>
      <w:r w:rsidR="004B3432" w:rsidRPr="006A01A8">
        <w:rPr>
          <w:lang w:val="en-CA"/>
        </w:rPr>
        <w:t xml:space="preserve"> a trap for </w:t>
      </w:r>
      <w:r w:rsidR="00E54199">
        <w:rPr>
          <w:lang w:val="en-CA"/>
        </w:rPr>
        <w:t>the Crown</w:t>
      </w:r>
      <w:r w:rsidR="004B3432" w:rsidRPr="006A01A8">
        <w:rPr>
          <w:lang w:val="en-CA"/>
        </w:rPr>
        <w:t xml:space="preserve">: </w:t>
      </w:r>
      <w:r w:rsidR="002C1928" w:rsidRPr="006A01A8">
        <w:rPr>
          <w:i/>
          <w:lang w:val="en-CA"/>
        </w:rPr>
        <w:t>R. c. Lapointe</w:t>
      </w:r>
      <w:r w:rsidR="002C1928" w:rsidRPr="006A01A8">
        <w:rPr>
          <w:lang w:val="en-CA"/>
        </w:rPr>
        <w:t>, 2021 QCCA 152.</w:t>
      </w:r>
    </w:p>
    <w:p w14:paraId="2C11D757" w14:textId="4BD11162" w:rsidR="00CC3EEB" w:rsidRPr="006A01A8" w:rsidRDefault="004B3432" w:rsidP="00E007AA">
      <w:pPr>
        <w:pStyle w:val="Paragraphe"/>
        <w:spacing w:line="280" w:lineRule="exact"/>
        <w:rPr>
          <w:lang w:val="en-CA"/>
        </w:rPr>
      </w:pPr>
      <w:r w:rsidRPr="006A01A8">
        <w:rPr>
          <w:lang w:val="en-CA"/>
        </w:rPr>
        <w:t xml:space="preserve">It must also be recalled that at any time after the </w:t>
      </w:r>
      <w:r w:rsidR="003C3D5E">
        <w:rPr>
          <w:lang w:val="en-CA"/>
        </w:rPr>
        <w:t>accused</w:t>
      </w:r>
      <w:r w:rsidR="003C3D5E" w:rsidRPr="006A01A8">
        <w:rPr>
          <w:lang w:val="en-CA"/>
        </w:rPr>
        <w:t xml:space="preserve"> </w:t>
      </w:r>
      <w:r w:rsidR="001A7CC1">
        <w:rPr>
          <w:lang w:val="en-CA"/>
        </w:rPr>
        <w:t>has</w:t>
      </w:r>
      <w:r w:rsidRPr="006A01A8">
        <w:rPr>
          <w:lang w:val="en-CA"/>
        </w:rPr>
        <w:t xml:space="preserve"> made a</w:t>
      </w:r>
      <w:r w:rsidR="001A7CC1">
        <w:rPr>
          <w:lang w:val="en-CA"/>
        </w:rPr>
        <w:t xml:space="preserve"> deemed</w:t>
      </w:r>
      <w:r w:rsidRPr="006A01A8">
        <w:rPr>
          <w:lang w:val="en-CA"/>
        </w:rPr>
        <w:t xml:space="preserve"> election, </w:t>
      </w:r>
      <w:r w:rsidR="001A7CC1">
        <w:rPr>
          <w:lang w:val="en-CA"/>
        </w:rPr>
        <w:t>s</w:t>
      </w:r>
      <w:r w:rsidRPr="006A01A8">
        <w:rPr>
          <w:lang w:val="en-CA"/>
        </w:rPr>
        <w:t xml:space="preserve">. 574(1.1) </w:t>
      </w:r>
      <w:r w:rsidRPr="006A01A8">
        <w:rPr>
          <w:i/>
          <w:lang w:val="en-CA"/>
        </w:rPr>
        <w:t xml:space="preserve">Cr. C. </w:t>
      </w:r>
      <w:r w:rsidR="001A7CC1">
        <w:rPr>
          <w:lang w:val="en-CA"/>
        </w:rPr>
        <w:t>allows</w:t>
      </w:r>
      <w:r w:rsidRPr="006A01A8">
        <w:rPr>
          <w:lang w:val="en-CA"/>
        </w:rPr>
        <w:t xml:space="preserve"> the Crown </w:t>
      </w:r>
      <w:r w:rsidR="001A7CC1">
        <w:rPr>
          <w:lang w:val="en-CA"/>
        </w:rPr>
        <w:t>to prefer</w:t>
      </w:r>
      <w:r w:rsidRPr="006A01A8">
        <w:rPr>
          <w:lang w:val="en-CA"/>
        </w:rPr>
        <w:t xml:space="preserve"> an indictment against him or her in respect of a charge set out in an information or </w:t>
      </w:r>
      <w:proofErr w:type="gramStart"/>
      <w:r w:rsidRPr="006A01A8">
        <w:rPr>
          <w:lang w:val="en-CA"/>
        </w:rPr>
        <w:t>informations</w:t>
      </w:r>
      <w:proofErr w:type="gramEnd"/>
      <w:r w:rsidRPr="006A01A8">
        <w:rPr>
          <w:lang w:val="en-CA"/>
        </w:rPr>
        <w:t>, or any included charge.</w:t>
      </w:r>
      <w:r w:rsidR="002C1928" w:rsidRPr="006A01A8">
        <w:rPr>
          <w:rFonts w:cs="Arial"/>
          <w:lang w:val="en-CA"/>
        </w:rPr>
        <w:t xml:space="preserve"> </w:t>
      </w:r>
      <w:r w:rsidRPr="006A01A8">
        <w:rPr>
          <w:rFonts w:cs="Arial"/>
          <w:lang w:val="en-CA"/>
        </w:rPr>
        <w:t xml:space="preserve">Since s. 548 </w:t>
      </w:r>
      <w:r w:rsidRPr="006A01A8">
        <w:rPr>
          <w:rFonts w:cs="Arial"/>
          <w:i/>
          <w:lang w:val="en-CA"/>
        </w:rPr>
        <w:t xml:space="preserve">Cr. C. </w:t>
      </w:r>
      <w:r w:rsidRPr="006A01A8">
        <w:rPr>
          <w:rFonts w:cs="Arial"/>
          <w:lang w:val="en-CA"/>
        </w:rPr>
        <w:t>does not apply if there is no preliminary inquiry</w:t>
      </w:r>
      <w:r w:rsidR="001A7CC1">
        <w:rPr>
          <w:rFonts w:cs="Arial"/>
          <w:lang w:val="en-CA"/>
        </w:rPr>
        <w:t>,</w:t>
      </w:r>
      <w:r w:rsidRPr="006A01A8">
        <w:rPr>
          <w:rFonts w:cs="Arial"/>
          <w:lang w:val="en-CA"/>
        </w:rPr>
        <w:t xml:space="preserve"> the parties must take the initiative to bring the case before the Superior Court, for example, by making an application to have a case management judge appoint</w:t>
      </w:r>
      <w:r w:rsidR="001A7CC1">
        <w:rPr>
          <w:rFonts w:cs="Arial"/>
          <w:lang w:val="en-CA"/>
        </w:rPr>
        <w:t>ed</w:t>
      </w:r>
      <w:r w:rsidRPr="006A01A8">
        <w:rPr>
          <w:rFonts w:cs="Arial"/>
          <w:lang w:val="en-CA"/>
        </w:rPr>
        <w:t xml:space="preserve"> pursuant to </w:t>
      </w:r>
      <w:r w:rsidR="001A7CC1">
        <w:rPr>
          <w:rFonts w:cs="Arial"/>
          <w:lang w:val="en-CA"/>
        </w:rPr>
        <w:t>s</w:t>
      </w:r>
      <w:r w:rsidRPr="006A01A8">
        <w:rPr>
          <w:rFonts w:cs="Arial"/>
          <w:lang w:val="en-CA"/>
        </w:rPr>
        <w:t xml:space="preserve">. 551.1 </w:t>
      </w:r>
      <w:r w:rsidRPr="006A01A8">
        <w:rPr>
          <w:rFonts w:cs="Arial"/>
          <w:i/>
          <w:lang w:val="en-CA"/>
        </w:rPr>
        <w:t xml:space="preserve">Cr. C. </w:t>
      </w:r>
      <w:r w:rsidRPr="006A01A8">
        <w:rPr>
          <w:rFonts w:cs="Arial"/>
          <w:lang w:val="en-CA"/>
        </w:rPr>
        <w:t xml:space="preserve"> to move the case along.</w:t>
      </w:r>
    </w:p>
    <w:p w14:paraId="437EECE9" w14:textId="26493E97" w:rsidR="00CC3EEB" w:rsidRPr="008E1A72" w:rsidRDefault="00A623BF" w:rsidP="00E007AA">
      <w:pPr>
        <w:pStyle w:val="Paragraphe"/>
        <w:spacing w:line="280" w:lineRule="exact"/>
        <w:rPr>
          <w:lang w:val="en-CA"/>
        </w:rPr>
      </w:pPr>
      <w:r w:rsidRPr="008E1A72">
        <w:rPr>
          <w:rFonts w:cs="Arial"/>
          <w:lang w:val="en-CA"/>
        </w:rPr>
        <w:t>An</w:t>
      </w:r>
      <w:r w:rsidR="004B3432" w:rsidRPr="008E1A72">
        <w:rPr>
          <w:rFonts w:cs="Arial"/>
          <w:lang w:val="en-CA"/>
        </w:rPr>
        <w:t xml:space="preserve"> accused who is deemed to have elected a mode of trial other than trial by a provincial court judge </w:t>
      </w:r>
      <w:r w:rsidRPr="008E1A72">
        <w:rPr>
          <w:rFonts w:cs="Arial"/>
          <w:lang w:val="en-CA"/>
        </w:rPr>
        <w:t xml:space="preserve">may always </w:t>
      </w:r>
      <w:r w:rsidR="004B3432" w:rsidRPr="008E1A72">
        <w:rPr>
          <w:rFonts w:cs="Arial"/>
          <w:lang w:val="en-CA"/>
        </w:rPr>
        <w:t xml:space="preserve">re-elect, not later than 60 days before the day </w:t>
      </w:r>
      <w:r w:rsidR="00C0221E" w:rsidRPr="008E1A72">
        <w:rPr>
          <w:rFonts w:cs="Arial"/>
          <w:lang w:val="en-CA"/>
        </w:rPr>
        <w:t xml:space="preserve">appointed </w:t>
      </w:r>
      <w:r w:rsidR="00781940" w:rsidRPr="008E1A72">
        <w:rPr>
          <w:rFonts w:cs="Arial"/>
          <w:lang w:val="en-CA"/>
        </w:rPr>
        <w:t>for trial</w:t>
      </w:r>
      <w:r w:rsidR="004B3432" w:rsidRPr="008E1A72">
        <w:rPr>
          <w:rFonts w:cs="Arial"/>
          <w:lang w:val="en-CA"/>
        </w:rPr>
        <w:t xml:space="preserve">, another mode of trial other than trial by a provincial court judge, </w:t>
      </w:r>
      <w:r w:rsidR="008E1A72" w:rsidRPr="008E1A72">
        <w:rPr>
          <w:rFonts w:cs="Arial"/>
          <w:lang w:val="en-CA"/>
        </w:rPr>
        <w:t xml:space="preserve">except with </w:t>
      </w:r>
      <w:r w:rsidR="004B3432" w:rsidRPr="008E1A72">
        <w:rPr>
          <w:rFonts w:cs="Arial"/>
          <w:lang w:val="en-CA"/>
        </w:rPr>
        <w:t>the Crown’s consent:</w:t>
      </w:r>
      <w:r w:rsidR="002C1928" w:rsidRPr="008E1A72">
        <w:rPr>
          <w:rFonts w:cs="Arial"/>
          <w:lang w:val="en-CA"/>
        </w:rPr>
        <w:t xml:space="preserve"> </w:t>
      </w:r>
      <w:r w:rsidR="001A7CC1" w:rsidRPr="008E1A72">
        <w:rPr>
          <w:rFonts w:cs="Arial"/>
          <w:lang w:val="en-CA"/>
        </w:rPr>
        <w:t>s</w:t>
      </w:r>
      <w:r w:rsidR="004B3432" w:rsidRPr="008E1A72">
        <w:rPr>
          <w:rFonts w:cs="Arial"/>
          <w:lang w:val="en-CA"/>
        </w:rPr>
        <w:t>.</w:t>
      </w:r>
      <w:r w:rsidR="002C1928" w:rsidRPr="008E1A72">
        <w:rPr>
          <w:rFonts w:cs="Arial"/>
          <w:lang w:val="en-CA"/>
        </w:rPr>
        <w:t> 561(1)</w:t>
      </w:r>
      <w:r w:rsidR="004B3432" w:rsidRPr="008E1A72">
        <w:rPr>
          <w:rFonts w:cs="Arial"/>
          <w:lang w:val="en-CA"/>
        </w:rPr>
        <w:t>(b)</w:t>
      </w:r>
      <w:r w:rsidR="002C1928" w:rsidRPr="008E1A72">
        <w:rPr>
          <w:rFonts w:cs="Arial"/>
          <w:lang w:val="en-CA"/>
        </w:rPr>
        <w:t> </w:t>
      </w:r>
      <w:r w:rsidR="002C1928" w:rsidRPr="008E1A72">
        <w:rPr>
          <w:rFonts w:cs="Arial"/>
          <w:i/>
          <w:lang w:val="en-CA"/>
        </w:rPr>
        <w:t>C</w:t>
      </w:r>
      <w:r w:rsidR="001A7CC1" w:rsidRPr="008E1A72">
        <w:rPr>
          <w:rFonts w:cs="Arial"/>
          <w:i/>
          <w:lang w:val="en-CA"/>
        </w:rPr>
        <w:t>r</w:t>
      </w:r>
      <w:r w:rsidR="002C1928" w:rsidRPr="008E1A72">
        <w:rPr>
          <w:rFonts w:cs="Arial"/>
          <w:i/>
          <w:lang w:val="en-CA"/>
        </w:rPr>
        <w:t>.</w:t>
      </w:r>
      <w:r w:rsidR="00C0221E" w:rsidRPr="008E1A72">
        <w:rPr>
          <w:rFonts w:cs="Arial"/>
          <w:i/>
          <w:lang w:val="en-CA"/>
        </w:rPr>
        <w:t xml:space="preserve"> </w:t>
      </w:r>
      <w:r w:rsidR="001A7CC1" w:rsidRPr="008E1A72">
        <w:rPr>
          <w:rFonts w:cs="Arial"/>
          <w:i/>
          <w:lang w:val="en-CA"/>
        </w:rPr>
        <w:t>C</w:t>
      </w:r>
      <w:r w:rsidR="002C1928" w:rsidRPr="008E1A72">
        <w:rPr>
          <w:rFonts w:cs="Arial"/>
          <w:i/>
          <w:lang w:val="en-CA"/>
        </w:rPr>
        <w:t xml:space="preserve">. </w:t>
      </w:r>
    </w:p>
    <w:p w14:paraId="77538B58" w14:textId="2204CC82" w:rsidR="00CC3EEB" w:rsidRPr="006A01A8" w:rsidRDefault="004B3432" w:rsidP="00E007AA">
      <w:pPr>
        <w:pStyle w:val="Paragraphe"/>
        <w:spacing w:line="280" w:lineRule="exact"/>
        <w:rPr>
          <w:lang w:val="en-CA"/>
        </w:rPr>
      </w:pPr>
      <w:r w:rsidRPr="006A01A8">
        <w:rPr>
          <w:lang w:val="en-CA"/>
        </w:rPr>
        <w:t xml:space="preserve">In this context, the judge concluded that the 18-month ceiling was known since the initial </w:t>
      </w:r>
      <w:r w:rsidR="007E0082">
        <w:rPr>
          <w:lang w:val="en-CA"/>
        </w:rPr>
        <w:t>charges</w:t>
      </w:r>
      <w:r w:rsidR="007E0082" w:rsidRPr="006A01A8">
        <w:rPr>
          <w:lang w:val="en-CA"/>
        </w:rPr>
        <w:t xml:space="preserve"> </w:t>
      </w:r>
      <w:r w:rsidRPr="006A01A8">
        <w:rPr>
          <w:lang w:val="en-CA"/>
        </w:rPr>
        <w:t>because no preliminary inquiry was possible.</w:t>
      </w:r>
      <w:r w:rsidR="002C1928" w:rsidRPr="006A01A8">
        <w:rPr>
          <w:lang w:val="en-CA"/>
        </w:rPr>
        <w:t xml:space="preserve"> </w:t>
      </w:r>
      <w:r w:rsidRPr="006A01A8">
        <w:rPr>
          <w:lang w:val="en-CA"/>
        </w:rPr>
        <w:t>The judge wrote the following concerning the Crown:</w:t>
      </w:r>
    </w:p>
    <w:p w14:paraId="1B7E19D1" w14:textId="6F575751" w:rsidR="00711DEC" w:rsidRDefault="00711DEC" w:rsidP="00E007AA">
      <w:pPr>
        <w:pStyle w:val="JgtCit1"/>
        <w:spacing w:line="280" w:lineRule="exact"/>
        <w:rPr>
          <w:lang w:val="en-CA"/>
        </w:rPr>
      </w:pPr>
      <w:r>
        <w:rPr>
          <w:rFonts w:cs="Arial"/>
          <w:smallCaps/>
          <w:lang w:val="en-CA"/>
        </w:rPr>
        <w:t>[</w:t>
      </w:r>
      <w:r w:rsidR="004B3432" w:rsidRPr="00711DEC">
        <w:rPr>
          <w:smallCaps/>
          <w:lang w:val="en-CA"/>
        </w:rPr>
        <w:t>translation</w:t>
      </w:r>
      <w:r>
        <w:rPr>
          <w:rFonts w:cs="Arial"/>
          <w:lang w:val="en-CA"/>
        </w:rPr>
        <w:t>]</w:t>
      </w:r>
    </w:p>
    <w:p w14:paraId="5B15B3F7" w14:textId="721BDE59" w:rsidR="00CC3EEB" w:rsidRPr="006A01A8" w:rsidRDefault="004B3432" w:rsidP="00E007AA">
      <w:pPr>
        <w:pStyle w:val="JgtCit1"/>
        <w:spacing w:line="280" w:lineRule="exact"/>
        <w:rPr>
          <w:lang w:val="en-CA"/>
        </w:rPr>
      </w:pPr>
      <w:r w:rsidRPr="006A01A8">
        <w:rPr>
          <w:lang w:val="en-CA"/>
        </w:rPr>
        <w:t>[34] The Crown also kn</w:t>
      </w:r>
      <w:r w:rsidR="001A7CC1">
        <w:rPr>
          <w:lang w:val="en-CA"/>
        </w:rPr>
        <w:t xml:space="preserve">ew </w:t>
      </w:r>
      <w:r w:rsidRPr="006A01A8">
        <w:rPr>
          <w:lang w:val="en-CA"/>
        </w:rPr>
        <w:t>at the outset that no</w:t>
      </w:r>
      <w:r w:rsidR="001A7CC1">
        <w:rPr>
          <w:lang w:val="en-CA"/>
        </w:rPr>
        <w:t>ne of the</w:t>
      </w:r>
      <w:r w:rsidRPr="006A01A8">
        <w:rPr>
          <w:lang w:val="en-CA"/>
        </w:rPr>
        <w:t xml:space="preserve"> charge</w:t>
      </w:r>
      <w:r w:rsidR="001A7CC1">
        <w:rPr>
          <w:lang w:val="en-CA"/>
        </w:rPr>
        <w:t>s</w:t>
      </w:r>
      <w:r w:rsidRPr="006A01A8">
        <w:rPr>
          <w:lang w:val="en-CA"/>
        </w:rPr>
        <w:t xml:space="preserve"> </w:t>
      </w:r>
      <w:r w:rsidR="001A7CC1">
        <w:rPr>
          <w:lang w:val="en-CA"/>
        </w:rPr>
        <w:t xml:space="preserve">was </w:t>
      </w:r>
      <w:r w:rsidRPr="006A01A8">
        <w:rPr>
          <w:lang w:val="en-CA"/>
        </w:rPr>
        <w:t xml:space="preserve">subject to the holding of a </w:t>
      </w:r>
      <w:r w:rsidR="0026259D" w:rsidRPr="006A01A8">
        <w:rPr>
          <w:lang w:val="en-CA"/>
        </w:rPr>
        <w:t>preliminary</w:t>
      </w:r>
      <w:r w:rsidRPr="006A01A8">
        <w:rPr>
          <w:lang w:val="en-CA"/>
        </w:rPr>
        <w:t xml:space="preserve"> inquiry</w:t>
      </w:r>
      <w:r w:rsidR="00A623BF">
        <w:rPr>
          <w:lang w:val="en-CA"/>
        </w:rPr>
        <w:t xml:space="preserve"> and</w:t>
      </w:r>
      <w:r w:rsidRPr="006A01A8">
        <w:rPr>
          <w:lang w:val="en-CA"/>
        </w:rPr>
        <w:t xml:space="preserve"> therefore the ceiling </w:t>
      </w:r>
      <w:r w:rsidR="001A7CC1">
        <w:rPr>
          <w:lang w:val="en-CA"/>
        </w:rPr>
        <w:t>was</w:t>
      </w:r>
      <w:r w:rsidRPr="006A01A8">
        <w:rPr>
          <w:lang w:val="en-CA"/>
        </w:rPr>
        <w:t xml:space="preserve"> 18 months.</w:t>
      </w:r>
      <w:r w:rsidR="002C1928" w:rsidRPr="006A01A8">
        <w:rPr>
          <w:lang w:val="en-CA"/>
        </w:rPr>
        <w:t xml:space="preserve"> </w:t>
      </w:r>
      <w:r w:rsidRPr="006A01A8">
        <w:rPr>
          <w:lang w:val="en-CA"/>
        </w:rPr>
        <w:t>The Crown must therefore govern itself accordingly before instituting proceedings and have a plan of action for the successful outcome of its trial.</w:t>
      </w:r>
    </w:p>
    <w:p w14:paraId="6AA5F474" w14:textId="2FE3EA18" w:rsidR="00CC3EEB" w:rsidRPr="006A01A8" w:rsidRDefault="002C1928" w:rsidP="00E007AA">
      <w:pPr>
        <w:pStyle w:val="JgtCit1"/>
        <w:spacing w:line="280" w:lineRule="exact"/>
        <w:rPr>
          <w:lang w:val="en-CA"/>
        </w:rPr>
      </w:pPr>
      <w:r w:rsidRPr="006A01A8">
        <w:rPr>
          <w:i/>
          <w:lang w:val="en-CA"/>
        </w:rPr>
        <w:t>R. c.</w:t>
      </w:r>
      <w:r w:rsidRPr="006A01A8">
        <w:rPr>
          <w:rFonts w:cs="Arial"/>
          <w:iCs/>
          <w:lang w:val="en-CA"/>
        </w:rPr>
        <w:t> </w:t>
      </w:r>
      <w:r w:rsidRPr="006A01A8">
        <w:rPr>
          <w:i/>
          <w:iCs/>
          <w:lang w:val="en-CA"/>
        </w:rPr>
        <w:t>Costanzo-Peterson</w:t>
      </w:r>
      <w:r w:rsidRPr="006A01A8">
        <w:rPr>
          <w:lang w:val="en-CA"/>
        </w:rPr>
        <w:t>, 2022 QCCQ 1843</w:t>
      </w:r>
      <w:r w:rsidR="004B3432" w:rsidRPr="006A01A8">
        <w:rPr>
          <w:lang w:val="en-CA"/>
        </w:rPr>
        <w:t xml:space="preserve"> at</w:t>
      </w:r>
      <w:r w:rsidRPr="006A01A8">
        <w:rPr>
          <w:lang w:val="en-CA"/>
        </w:rPr>
        <w:t xml:space="preserve"> par</w:t>
      </w:r>
      <w:r w:rsidR="004B3432" w:rsidRPr="006A01A8">
        <w:rPr>
          <w:lang w:val="en-CA"/>
        </w:rPr>
        <w:t>a</w:t>
      </w:r>
      <w:r w:rsidRPr="006A01A8">
        <w:rPr>
          <w:lang w:val="en-CA"/>
        </w:rPr>
        <w:t>. 34.</w:t>
      </w:r>
    </w:p>
    <w:p w14:paraId="7B9FEB4A" w14:textId="28E8A52B" w:rsidR="00CC3EEB" w:rsidRPr="006A01A8" w:rsidRDefault="004B3432" w:rsidP="00E007AA">
      <w:pPr>
        <w:pStyle w:val="Paragraphe"/>
        <w:spacing w:line="280" w:lineRule="exact"/>
        <w:rPr>
          <w:lang w:val="en-CA"/>
        </w:rPr>
      </w:pPr>
      <w:r w:rsidRPr="006A01A8">
        <w:rPr>
          <w:rFonts w:cs="Arial"/>
          <w:iCs/>
          <w:lang w:val="en-CA"/>
        </w:rPr>
        <w:t xml:space="preserve">The appellant </w:t>
      </w:r>
      <w:r w:rsidR="001A7CC1">
        <w:rPr>
          <w:rFonts w:cs="Arial"/>
          <w:iCs/>
          <w:lang w:val="en-CA"/>
        </w:rPr>
        <w:t>criticizes</w:t>
      </w:r>
      <w:r w:rsidRPr="006A01A8">
        <w:rPr>
          <w:rFonts w:cs="Arial"/>
          <w:iCs/>
          <w:lang w:val="en-CA"/>
        </w:rPr>
        <w:t xml:space="preserve"> the judge for accept</w:t>
      </w:r>
      <w:r w:rsidR="001A7CC1">
        <w:rPr>
          <w:rFonts w:cs="Arial"/>
          <w:iCs/>
          <w:lang w:val="en-CA"/>
        </w:rPr>
        <w:t>ing</w:t>
      </w:r>
      <w:r w:rsidRPr="006A01A8">
        <w:rPr>
          <w:rFonts w:cs="Arial"/>
          <w:iCs/>
          <w:lang w:val="en-CA"/>
        </w:rPr>
        <w:t xml:space="preserve"> that this ceiling was known to it at the outset since the respondents </w:t>
      </w:r>
      <w:r w:rsidR="008E352C">
        <w:rPr>
          <w:rFonts w:cs="Arial"/>
          <w:iCs/>
          <w:lang w:val="en-CA"/>
        </w:rPr>
        <w:t>did</w:t>
      </w:r>
      <w:r w:rsidR="008E352C" w:rsidRPr="006A01A8">
        <w:rPr>
          <w:rFonts w:cs="Arial"/>
          <w:iCs/>
          <w:lang w:val="en-CA"/>
        </w:rPr>
        <w:t xml:space="preserve"> </w:t>
      </w:r>
      <w:r w:rsidRPr="006A01A8">
        <w:rPr>
          <w:rFonts w:cs="Arial"/>
          <w:iCs/>
          <w:lang w:val="en-CA"/>
        </w:rPr>
        <w:t xml:space="preserve">not elect their mode of trial and </w:t>
      </w:r>
      <w:r w:rsidR="00A623BF" w:rsidRPr="006A01A8">
        <w:rPr>
          <w:rFonts w:cs="Arial"/>
          <w:iCs/>
          <w:lang w:val="en-CA"/>
        </w:rPr>
        <w:t xml:space="preserve">were </w:t>
      </w:r>
      <w:r w:rsidRPr="006A01A8">
        <w:rPr>
          <w:rFonts w:cs="Arial"/>
          <w:iCs/>
          <w:lang w:val="en-CA"/>
        </w:rPr>
        <w:t>therefore deemed to have elected to be tried by a judge and jury.</w:t>
      </w:r>
      <w:r w:rsidR="002C1928" w:rsidRPr="006A01A8">
        <w:rPr>
          <w:rFonts w:cs="Arial"/>
          <w:iCs/>
          <w:lang w:val="en-CA"/>
        </w:rPr>
        <w:t xml:space="preserve"> </w:t>
      </w:r>
      <w:r w:rsidRPr="006A01A8">
        <w:rPr>
          <w:rFonts w:cs="Arial"/>
          <w:iCs/>
          <w:lang w:val="en-CA"/>
        </w:rPr>
        <w:t xml:space="preserve">In my view the appellant is correct in asserting that the 30-month ceiling applied, because the respondents </w:t>
      </w:r>
      <w:r w:rsidR="008E352C">
        <w:rPr>
          <w:rFonts w:cs="Arial"/>
          <w:iCs/>
          <w:lang w:val="en-CA"/>
        </w:rPr>
        <w:t>did</w:t>
      </w:r>
      <w:r w:rsidR="008E352C" w:rsidRPr="006A01A8">
        <w:rPr>
          <w:rFonts w:cs="Arial"/>
          <w:iCs/>
          <w:lang w:val="en-CA"/>
        </w:rPr>
        <w:t xml:space="preserve"> </w:t>
      </w:r>
      <w:r w:rsidRPr="006A01A8">
        <w:rPr>
          <w:rFonts w:cs="Arial"/>
          <w:iCs/>
          <w:lang w:val="en-CA"/>
        </w:rPr>
        <w:t>not elect</w:t>
      </w:r>
      <w:r w:rsidR="001A7CC1">
        <w:rPr>
          <w:rFonts w:cs="Arial"/>
          <w:iCs/>
          <w:lang w:val="en-CA"/>
        </w:rPr>
        <w:t>,</w:t>
      </w:r>
      <w:r w:rsidRPr="006A01A8">
        <w:rPr>
          <w:rFonts w:cs="Arial"/>
          <w:iCs/>
          <w:lang w:val="en-CA"/>
        </w:rPr>
        <w:t xml:space="preserve"> </w:t>
      </w:r>
      <w:r w:rsidR="008E352C">
        <w:rPr>
          <w:rFonts w:cs="Arial"/>
          <w:iCs/>
          <w:lang w:val="en-CA"/>
        </w:rPr>
        <w:t>they</w:t>
      </w:r>
      <w:r w:rsidR="008E352C" w:rsidRPr="006A01A8">
        <w:rPr>
          <w:rFonts w:cs="Arial"/>
          <w:iCs/>
          <w:lang w:val="en-CA"/>
        </w:rPr>
        <w:t xml:space="preserve"> </w:t>
      </w:r>
      <w:r w:rsidRPr="006A01A8">
        <w:rPr>
          <w:rFonts w:cs="Arial"/>
          <w:iCs/>
          <w:lang w:val="en-CA"/>
        </w:rPr>
        <w:t>reserved their election.</w:t>
      </w:r>
    </w:p>
    <w:p w14:paraId="41127E54" w14:textId="2CC855A0" w:rsidR="00CC3EEB" w:rsidRPr="006A01A8" w:rsidRDefault="00FE4D6C" w:rsidP="00E007AA">
      <w:pPr>
        <w:pStyle w:val="Paragraphe"/>
        <w:spacing w:line="280" w:lineRule="exact"/>
        <w:rPr>
          <w:lang w:val="en-CA"/>
        </w:rPr>
      </w:pPr>
      <w:r w:rsidRPr="006A01A8">
        <w:rPr>
          <w:lang w:val="en-CA"/>
        </w:rPr>
        <w:lastRenderedPageBreak/>
        <w:t>In defence of the trial judge</w:t>
      </w:r>
      <w:r w:rsidR="002C1928" w:rsidRPr="006A01A8">
        <w:rPr>
          <w:lang w:val="en-CA"/>
        </w:rPr>
        <w:t xml:space="preserve">, </w:t>
      </w:r>
      <w:r w:rsidR="002C1928" w:rsidRPr="006A01A8">
        <w:rPr>
          <w:i/>
          <w:lang w:val="en-CA"/>
        </w:rPr>
        <w:t>R. </w:t>
      </w:r>
      <w:r w:rsidRPr="006A01A8">
        <w:rPr>
          <w:i/>
          <w:lang w:val="en-CA"/>
        </w:rPr>
        <w:t>v</w:t>
      </w:r>
      <w:r w:rsidR="002C1928" w:rsidRPr="006A01A8">
        <w:rPr>
          <w:i/>
          <w:lang w:val="en-CA"/>
        </w:rPr>
        <w:t>. Jordan</w:t>
      </w:r>
      <w:r w:rsidR="002C1928" w:rsidRPr="006A01A8">
        <w:rPr>
          <w:iCs/>
          <w:lang w:val="en-CA"/>
        </w:rPr>
        <w:t xml:space="preserve">, [2016] 1 </w:t>
      </w:r>
      <w:r w:rsidRPr="006A01A8">
        <w:rPr>
          <w:iCs/>
          <w:lang w:val="en-CA"/>
        </w:rPr>
        <w:t>S.C.R.</w:t>
      </w:r>
      <w:r w:rsidR="002C1928" w:rsidRPr="006A01A8">
        <w:rPr>
          <w:iCs/>
          <w:lang w:val="en-CA"/>
        </w:rPr>
        <w:t xml:space="preserve"> 631 (</w:t>
      </w:r>
      <w:r w:rsidRPr="006A01A8">
        <w:rPr>
          <w:iCs/>
          <w:lang w:val="en-CA"/>
        </w:rPr>
        <w:t>hereinafter</w:t>
      </w:r>
      <w:r w:rsidR="002C1928" w:rsidRPr="006A01A8">
        <w:rPr>
          <w:iCs/>
          <w:lang w:val="en-CA"/>
        </w:rPr>
        <w:t xml:space="preserve"> </w:t>
      </w:r>
      <w:r w:rsidRPr="006A01A8">
        <w:rPr>
          <w:iCs/>
          <w:lang w:val="en-CA"/>
        </w:rPr>
        <w:t>“</w:t>
      </w:r>
      <w:r w:rsidR="002C1928" w:rsidRPr="006A01A8">
        <w:rPr>
          <w:i/>
          <w:lang w:val="en-CA"/>
        </w:rPr>
        <w:t>Jordan</w:t>
      </w:r>
      <w:r w:rsidRPr="006A01A8">
        <w:rPr>
          <w:lang w:val="en-CA"/>
        </w:rPr>
        <w:t>”</w:t>
      </w:r>
      <w:r w:rsidR="002C1928" w:rsidRPr="006A01A8">
        <w:rPr>
          <w:lang w:val="en-CA"/>
        </w:rPr>
        <w:t xml:space="preserve">), </w:t>
      </w:r>
      <w:r w:rsidRPr="006A01A8">
        <w:rPr>
          <w:color w:val="000000"/>
          <w:lang w:val="en-CA"/>
        </w:rPr>
        <w:t>can be interpreted in many ways when determining the applicable ceiling before a provincial court judge where a preliminary inquiry has not, or cannot, be held.</w:t>
      </w:r>
    </w:p>
    <w:p w14:paraId="7D852D82" w14:textId="7D5B4F4B" w:rsidR="00CC3EEB" w:rsidRPr="006A01A8" w:rsidRDefault="004B3432" w:rsidP="00E007AA">
      <w:pPr>
        <w:pStyle w:val="Paragraphe"/>
        <w:spacing w:line="280" w:lineRule="exact"/>
        <w:rPr>
          <w:lang w:val="en-CA"/>
        </w:rPr>
      </w:pPr>
      <w:r w:rsidRPr="006A01A8">
        <w:rPr>
          <w:iCs/>
          <w:lang w:val="en-CA"/>
        </w:rPr>
        <w:t xml:space="preserve">Here is what the Supreme Court </w:t>
      </w:r>
      <w:r w:rsidR="00145B42" w:rsidRPr="006A01A8">
        <w:rPr>
          <w:iCs/>
          <w:lang w:val="en-CA"/>
        </w:rPr>
        <w:t>wr</w:t>
      </w:r>
      <w:r w:rsidR="00145B42">
        <w:rPr>
          <w:iCs/>
          <w:lang w:val="en-CA"/>
        </w:rPr>
        <w:t>i</w:t>
      </w:r>
      <w:r w:rsidR="00145B42" w:rsidRPr="006A01A8">
        <w:rPr>
          <w:iCs/>
          <w:lang w:val="en-CA"/>
        </w:rPr>
        <w:t>te</w:t>
      </w:r>
      <w:r w:rsidR="00145B42">
        <w:rPr>
          <w:iCs/>
          <w:lang w:val="en-CA"/>
        </w:rPr>
        <w:t>s</w:t>
      </w:r>
      <w:r w:rsidR="00145B42" w:rsidRPr="006A01A8">
        <w:rPr>
          <w:iCs/>
          <w:lang w:val="en-CA"/>
        </w:rPr>
        <w:t xml:space="preserve"> </w:t>
      </w:r>
      <w:r w:rsidRPr="006A01A8">
        <w:rPr>
          <w:iCs/>
          <w:lang w:val="en-CA"/>
        </w:rPr>
        <w:t>about the ceiling</w:t>
      </w:r>
      <w:r w:rsidR="001A7CC1">
        <w:rPr>
          <w:iCs/>
          <w:lang w:val="en-CA"/>
        </w:rPr>
        <w:t>s</w:t>
      </w:r>
      <w:r w:rsidRPr="006A01A8">
        <w:rPr>
          <w:iCs/>
          <w:lang w:val="en-CA"/>
        </w:rPr>
        <w:t xml:space="preserve"> which are at the heart of the new analy</w:t>
      </w:r>
      <w:r w:rsidR="00A2445A">
        <w:rPr>
          <w:iCs/>
          <w:lang w:val="en-CA"/>
        </w:rPr>
        <w:t>tical framework</w:t>
      </w:r>
      <w:r w:rsidRPr="006A01A8">
        <w:rPr>
          <w:iCs/>
          <w:lang w:val="en-CA"/>
        </w:rPr>
        <w:t>:</w:t>
      </w:r>
      <w:r w:rsidR="002C1928" w:rsidRPr="006A01A8">
        <w:rPr>
          <w:iCs/>
          <w:lang w:val="en-CA"/>
        </w:rPr>
        <w:t xml:space="preserve"> </w:t>
      </w:r>
    </w:p>
    <w:p w14:paraId="792FE1FD" w14:textId="34FE05F2" w:rsidR="00CC3EEB" w:rsidRPr="006A01A8" w:rsidRDefault="002C1928" w:rsidP="00E007AA">
      <w:pPr>
        <w:pStyle w:val="JgtCit1"/>
        <w:spacing w:line="280" w:lineRule="exact"/>
        <w:rPr>
          <w:lang w:val="en-CA"/>
        </w:rPr>
      </w:pPr>
      <w:r w:rsidRPr="006A01A8">
        <w:rPr>
          <w:lang w:val="en-CA"/>
        </w:rPr>
        <w:t xml:space="preserve">[49] </w:t>
      </w:r>
      <w:r w:rsidR="00FE4D6C" w:rsidRPr="006A01A8">
        <w:rPr>
          <w:lang w:val="en-CA"/>
        </w:rPr>
        <w:t xml:space="preserve">The most important feature of the new framework is that it sets a ceiling beyond which delay is presumptively unreasonable. For </w:t>
      </w:r>
      <w:r w:rsidR="00FE4D6C" w:rsidRPr="006A01A8">
        <w:rPr>
          <w:b/>
          <w:bCs/>
          <w:lang w:val="en-CA"/>
        </w:rPr>
        <w:t>cases going to trial in the provincial court, the presumptive ceiling is 18 months from the charge to the actual or anticipated end of trial</w:t>
      </w:r>
      <w:r w:rsidR="00FE4D6C" w:rsidRPr="006A01A8">
        <w:rPr>
          <w:lang w:val="en-CA"/>
        </w:rPr>
        <w:t xml:space="preserve">. For </w:t>
      </w:r>
      <w:r w:rsidR="00FE4D6C" w:rsidRPr="006A01A8">
        <w:rPr>
          <w:b/>
          <w:bCs/>
          <w:lang w:val="en-CA"/>
        </w:rPr>
        <w:t>cases going to trial in the superior court, the presumptive ceiling is 30 months from the charge to the actual or anticipated end of trial</w:t>
      </w:r>
      <w:r w:rsidR="00FE4D6C" w:rsidRPr="006A01A8">
        <w:rPr>
          <w:lang w:val="en-CA"/>
        </w:rPr>
        <w:t xml:space="preserve">.[2] </w:t>
      </w:r>
      <w:r w:rsidR="00FE4D6C" w:rsidRPr="006A01A8">
        <w:rPr>
          <w:b/>
          <w:bCs/>
          <w:lang w:val="en-CA"/>
        </w:rPr>
        <w:t>We note the 30-month ceiling would also apply to cases going to trial in the provincial court after a preliminary inquiry</w:t>
      </w:r>
      <w:r w:rsidR="00FE4D6C" w:rsidRPr="006A01A8">
        <w:rPr>
          <w:lang w:val="en-CA"/>
        </w:rPr>
        <w:t>.[3] As we will discuss, defence-waived or -caused delay does not count in calculating whether the presumptive ceiling has been reached — that is, such delay is to be discounted.</w:t>
      </w:r>
    </w:p>
    <w:p w14:paraId="3CFD9A3A" w14:textId="5F5AE8EF" w:rsidR="00CC3EEB" w:rsidRPr="006A01A8" w:rsidRDefault="002C1928" w:rsidP="00E007AA">
      <w:pPr>
        <w:pStyle w:val="JgtCit1"/>
        <w:spacing w:line="280" w:lineRule="exact"/>
        <w:rPr>
          <w:lang w:val="en-CA"/>
        </w:rPr>
      </w:pPr>
      <w:r w:rsidRPr="006A01A8">
        <w:rPr>
          <w:i/>
          <w:lang w:val="en-CA"/>
        </w:rPr>
        <w:t>Jordan</w:t>
      </w:r>
      <w:r w:rsidR="00FE4D6C" w:rsidRPr="006A01A8">
        <w:rPr>
          <w:lang w:val="en-CA"/>
        </w:rPr>
        <w:t xml:space="preserve"> at</w:t>
      </w:r>
      <w:r w:rsidRPr="006A01A8">
        <w:rPr>
          <w:lang w:val="en-CA"/>
        </w:rPr>
        <w:t xml:space="preserve"> par</w:t>
      </w:r>
      <w:r w:rsidR="00FE4D6C" w:rsidRPr="006A01A8">
        <w:rPr>
          <w:lang w:val="en-CA"/>
        </w:rPr>
        <w:t>a</w:t>
      </w:r>
      <w:r w:rsidRPr="006A01A8">
        <w:rPr>
          <w:lang w:val="en-CA"/>
        </w:rPr>
        <w:t xml:space="preserve">. 49, notes [2] </w:t>
      </w:r>
      <w:r w:rsidR="00FE4D6C" w:rsidRPr="006A01A8">
        <w:rPr>
          <w:lang w:val="en-CA"/>
        </w:rPr>
        <w:t xml:space="preserve">and </w:t>
      </w:r>
      <w:r w:rsidRPr="006A01A8">
        <w:rPr>
          <w:lang w:val="en-CA"/>
        </w:rPr>
        <w:t>[3] omi</w:t>
      </w:r>
      <w:r w:rsidR="00FE4D6C" w:rsidRPr="006A01A8">
        <w:rPr>
          <w:lang w:val="en-CA"/>
        </w:rPr>
        <w:t>tted</w:t>
      </w:r>
      <w:r w:rsidRPr="006A01A8">
        <w:rPr>
          <w:lang w:val="en-CA"/>
        </w:rPr>
        <w:t xml:space="preserve">, </w:t>
      </w:r>
      <w:r w:rsidR="00FE4D6C" w:rsidRPr="006A01A8">
        <w:rPr>
          <w:lang w:val="en-CA"/>
        </w:rPr>
        <w:t>emphasis added</w:t>
      </w:r>
      <w:r w:rsidRPr="006A01A8">
        <w:rPr>
          <w:lang w:val="en-CA"/>
        </w:rPr>
        <w:t>.</w:t>
      </w:r>
    </w:p>
    <w:p w14:paraId="68126B86" w14:textId="2CC5A811" w:rsidR="00CC3EEB" w:rsidRPr="006A01A8" w:rsidRDefault="00FE4D6C" w:rsidP="00E007AA">
      <w:pPr>
        <w:pStyle w:val="Paragraphe"/>
        <w:spacing w:line="280" w:lineRule="exact"/>
        <w:rPr>
          <w:lang w:val="en-CA"/>
        </w:rPr>
      </w:pPr>
      <w:r w:rsidRPr="006A01A8">
        <w:rPr>
          <w:lang w:val="en-CA"/>
        </w:rPr>
        <w:t>Note</w:t>
      </w:r>
      <w:r w:rsidR="002C1928" w:rsidRPr="006A01A8">
        <w:rPr>
          <w:lang w:val="en-CA"/>
        </w:rPr>
        <w:t xml:space="preserve"> [2] </w:t>
      </w:r>
      <w:r w:rsidRPr="006A01A8">
        <w:rPr>
          <w:lang w:val="en-CA"/>
        </w:rPr>
        <w:t>is not relevant to this case</w:t>
      </w:r>
      <w:r w:rsidR="002C1928" w:rsidRPr="006A01A8">
        <w:rPr>
          <w:lang w:val="en-CA"/>
        </w:rPr>
        <w:t xml:space="preserve">, </w:t>
      </w:r>
      <w:r w:rsidRPr="006A01A8">
        <w:rPr>
          <w:lang w:val="en-CA"/>
        </w:rPr>
        <w:t xml:space="preserve">because it </w:t>
      </w:r>
      <w:r w:rsidR="00A623BF">
        <w:rPr>
          <w:lang w:val="en-CA"/>
        </w:rPr>
        <w:t>states</w:t>
      </w:r>
      <w:r w:rsidRPr="006A01A8">
        <w:rPr>
          <w:lang w:val="en-CA"/>
        </w:rPr>
        <w:t xml:space="preserve"> that s</w:t>
      </w:r>
      <w:r w:rsidR="002C1928" w:rsidRPr="006A01A8">
        <w:rPr>
          <w:lang w:val="en-CA"/>
        </w:rPr>
        <w:t>. 11</w:t>
      </w:r>
      <w:r w:rsidRPr="006A01A8">
        <w:rPr>
          <w:lang w:val="en-CA"/>
        </w:rPr>
        <w:t>(</w:t>
      </w:r>
      <w:r w:rsidR="002C1928" w:rsidRPr="006A01A8">
        <w:rPr>
          <w:i/>
          <w:iCs/>
          <w:lang w:val="en-CA"/>
        </w:rPr>
        <w:t>b</w:t>
      </w:r>
      <w:r w:rsidR="002C1928" w:rsidRPr="006A01A8">
        <w:rPr>
          <w:lang w:val="en-CA"/>
        </w:rPr>
        <w:t xml:space="preserve">) </w:t>
      </w:r>
      <w:r w:rsidRPr="006A01A8">
        <w:rPr>
          <w:lang w:val="en-CA"/>
        </w:rPr>
        <w:t xml:space="preserve">of the </w:t>
      </w:r>
      <w:r w:rsidRPr="006A01A8">
        <w:rPr>
          <w:i/>
          <w:iCs/>
          <w:lang w:val="en-CA"/>
        </w:rPr>
        <w:t>Charter</w:t>
      </w:r>
      <w:r w:rsidR="002C1928" w:rsidRPr="006A01A8">
        <w:rPr>
          <w:lang w:val="en-CA"/>
        </w:rPr>
        <w:t xml:space="preserve"> </w:t>
      </w:r>
      <w:r w:rsidRPr="006A01A8">
        <w:rPr>
          <w:lang w:val="en-CA"/>
        </w:rPr>
        <w:t>applies to sentencing proceedings</w:t>
      </w:r>
      <w:r w:rsidR="002C1928" w:rsidRPr="006A01A8">
        <w:rPr>
          <w:lang w:val="en-CA"/>
        </w:rPr>
        <w:t xml:space="preserve">, </w:t>
      </w:r>
      <w:r w:rsidRPr="006A01A8">
        <w:rPr>
          <w:lang w:val="en-CA"/>
        </w:rPr>
        <w:t>but that this step is not included in the ceilings</w:t>
      </w:r>
      <w:r w:rsidR="002C1928" w:rsidRPr="006A01A8">
        <w:rPr>
          <w:lang w:val="en-CA"/>
        </w:rPr>
        <w:t xml:space="preserve">. </w:t>
      </w:r>
      <w:r w:rsidRPr="006A01A8">
        <w:rPr>
          <w:lang w:val="en-CA"/>
        </w:rPr>
        <w:t>Note</w:t>
      </w:r>
      <w:r w:rsidR="002C1928" w:rsidRPr="006A01A8">
        <w:rPr>
          <w:lang w:val="en-CA"/>
        </w:rPr>
        <w:t xml:space="preserve"> [3] </w:t>
      </w:r>
      <w:r w:rsidRPr="006A01A8">
        <w:rPr>
          <w:lang w:val="en-CA"/>
        </w:rPr>
        <w:t xml:space="preserve">is </w:t>
      </w:r>
      <w:r w:rsidR="008C0B43" w:rsidRPr="006A01A8">
        <w:rPr>
          <w:lang w:val="en-CA"/>
        </w:rPr>
        <w:t>relevant,</w:t>
      </w:r>
      <w:r w:rsidRPr="006A01A8">
        <w:rPr>
          <w:lang w:val="en-CA"/>
        </w:rPr>
        <w:t xml:space="preserve"> however</w:t>
      </w:r>
      <w:r w:rsidR="002C1928" w:rsidRPr="006A01A8">
        <w:rPr>
          <w:lang w:val="en-CA"/>
        </w:rPr>
        <w:t xml:space="preserve">. </w:t>
      </w:r>
      <w:r w:rsidRPr="006A01A8">
        <w:rPr>
          <w:lang w:val="en-CA"/>
        </w:rPr>
        <w:t>In it, the Court acknowledges:</w:t>
      </w:r>
      <w:r w:rsidR="002C1928" w:rsidRPr="006A01A8">
        <w:rPr>
          <w:lang w:val="en-CA"/>
        </w:rPr>
        <w:t xml:space="preserve"> </w:t>
      </w:r>
    </w:p>
    <w:p w14:paraId="25B3E652" w14:textId="28A5AB5E" w:rsidR="00CC3EEB" w:rsidRPr="006A01A8" w:rsidRDefault="002C1928" w:rsidP="00E007AA">
      <w:pPr>
        <w:pStyle w:val="JgtCit1"/>
        <w:spacing w:line="280" w:lineRule="exact"/>
        <w:rPr>
          <w:lang w:val="en-CA"/>
        </w:rPr>
      </w:pPr>
      <w:r w:rsidRPr="006A01A8">
        <w:rPr>
          <w:lang w:val="en-CA"/>
        </w:rPr>
        <w:t xml:space="preserve">While most proceedings with a preliminary inquiry are eventually tried in </w:t>
      </w:r>
      <w:r w:rsidR="00A623BF">
        <w:rPr>
          <w:lang w:val="en-CA"/>
        </w:rPr>
        <w:t xml:space="preserve">a </w:t>
      </w:r>
      <w:r w:rsidRPr="006A01A8">
        <w:rPr>
          <w:lang w:val="en-CA"/>
        </w:rPr>
        <w:t>superior court, this is not always the case. For example, a case may go to trial in the provincial court after a preliminary inquiry if the province in which the trial takes place offers this as an option (such as Quebec), or if the accused re-elects a trial in the provincial court following a preliminary inquiry. In either case, the 30-month ceiling would apply.</w:t>
      </w:r>
    </w:p>
    <w:p w14:paraId="0197AE2F" w14:textId="6AC0898B" w:rsidR="00CC3EEB" w:rsidRPr="006A01A8" w:rsidRDefault="002C1928" w:rsidP="00E007AA">
      <w:pPr>
        <w:pStyle w:val="JgtCit1"/>
        <w:spacing w:line="280" w:lineRule="exact"/>
        <w:rPr>
          <w:lang w:val="en-CA"/>
        </w:rPr>
      </w:pPr>
      <w:r w:rsidRPr="006A01A8">
        <w:rPr>
          <w:i/>
          <w:iCs/>
          <w:lang w:val="en-CA"/>
        </w:rPr>
        <w:t>Jordan</w:t>
      </w:r>
      <w:r w:rsidR="00FE4D6C" w:rsidRPr="006A01A8">
        <w:rPr>
          <w:lang w:val="en-CA"/>
        </w:rPr>
        <w:t xml:space="preserve"> at</w:t>
      </w:r>
      <w:r w:rsidRPr="006A01A8">
        <w:rPr>
          <w:lang w:val="en-CA"/>
        </w:rPr>
        <w:t xml:space="preserve"> par</w:t>
      </w:r>
      <w:r w:rsidR="00FE4D6C" w:rsidRPr="006A01A8">
        <w:rPr>
          <w:lang w:val="en-CA"/>
        </w:rPr>
        <w:t>a</w:t>
      </w:r>
      <w:r w:rsidRPr="006A01A8">
        <w:rPr>
          <w:lang w:val="en-CA"/>
        </w:rPr>
        <w:t>. 49, note [3].</w:t>
      </w:r>
    </w:p>
    <w:p w14:paraId="3302051C" w14:textId="4EDAF501" w:rsidR="00CC3EEB" w:rsidRPr="006A01A8" w:rsidRDefault="005468A5" w:rsidP="001A7CC1">
      <w:pPr>
        <w:pStyle w:val="Paragraphe"/>
        <w:keepNext/>
        <w:spacing w:line="280" w:lineRule="exact"/>
        <w:rPr>
          <w:lang w:val="en-CA"/>
        </w:rPr>
      </w:pPr>
      <w:r w:rsidRPr="006A01A8">
        <w:rPr>
          <w:rFonts w:cs="Arial"/>
          <w:bCs/>
          <w:lang w:val="en-CA"/>
        </w:rPr>
        <w:lastRenderedPageBreak/>
        <w:t>It is understood that the 18-month ceiling applies to a trial before a provincial court judge within the meaning of s. 2</w:t>
      </w:r>
      <w:r w:rsidR="002C1928" w:rsidRPr="006A01A8">
        <w:rPr>
          <w:rFonts w:cs="Arial"/>
          <w:bCs/>
          <w:lang w:val="en-CA"/>
        </w:rPr>
        <w:t xml:space="preserve"> </w:t>
      </w:r>
      <w:r w:rsidRPr="006A01A8">
        <w:rPr>
          <w:rFonts w:cs="Arial"/>
          <w:bCs/>
          <w:i/>
          <w:lang w:val="en-CA"/>
        </w:rPr>
        <w:t>Cr. C.</w:t>
      </w:r>
      <w:r w:rsidRPr="006A01A8">
        <w:rPr>
          <w:rFonts w:cs="Arial"/>
          <w:bCs/>
          <w:lang w:val="en-CA"/>
        </w:rPr>
        <w:t xml:space="preserve">, </w:t>
      </w:r>
      <w:r w:rsidR="00A2445A">
        <w:rPr>
          <w:rFonts w:cs="Arial"/>
          <w:bCs/>
          <w:lang w:val="en-CA"/>
        </w:rPr>
        <w:t>the</w:t>
      </w:r>
      <w:r w:rsidR="00A2445A" w:rsidRPr="006A01A8">
        <w:rPr>
          <w:rFonts w:cs="Arial"/>
          <w:bCs/>
          <w:lang w:val="en-CA"/>
        </w:rPr>
        <w:t xml:space="preserve"> </w:t>
      </w:r>
      <w:r w:rsidRPr="006A01A8">
        <w:rPr>
          <w:rFonts w:cs="Arial"/>
          <w:bCs/>
          <w:lang w:val="en-CA"/>
        </w:rPr>
        <w:t xml:space="preserve">definition </w:t>
      </w:r>
      <w:r w:rsidR="00A2445A">
        <w:rPr>
          <w:rFonts w:cs="Arial"/>
          <w:bCs/>
          <w:lang w:val="en-CA"/>
        </w:rPr>
        <w:t xml:space="preserve">of which </w:t>
      </w:r>
      <w:r w:rsidRPr="006A01A8">
        <w:rPr>
          <w:rFonts w:cs="Arial"/>
          <w:bCs/>
          <w:lang w:val="en-CA"/>
        </w:rPr>
        <w:t>includes the Court of Québec and a summary conviction court:</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2"/>
      </w:tblGrid>
      <w:tr w:rsidR="00A35034" w:rsidRPr="006A01A8" w14:paraId="6316A359" w14:textId="77777777" w:rsidTr="000A582A">
        <w:tc>
          <w:tcPr>
            <w:tcW w:w="4676" w:type="dxa"/>
          </w:tcPr>
          <w:p w14:paraId="6F8ADA50" w14:textId="4A38AF15" w:rsidR="00CC3EEB" w:rsidRPr="006A01A8" w:rsidRDefault="002C1928" w:rsidP="001A7CC1">
            <w:pPr>
              <w:pStyle w:val="Tableaugauchefranais"/>
              <w:keepNext/>
              <w:rPr>
                <w:lang w:val="en-CA"/>
              </w:rPr>
            </w:pPr>
            <w:r w:rsidRPr="006A01A8">
              <w:rPr>
                <w:b/>
                <w:bCs/>
                <w:lang w:val="en-CA"/>
              </w:rPr>
              <w:t>provincial court judge</w:t>
            </w:r>
            <w:r w:rsidRPr="006A01A8">
              <w:rPr>
                <w:lang w:val="en-CA"/>
              </w:rPr>
              <w:t> </w:t>
            </w:r>
            <w:r w:rsidRPr="006A01A8">
              <w:rPr>
                <w:lang w:val="en-CA"/>
              </w:rPr>
              <w:t>means a person appointed or authorized to act by or pursuant to an Act of the legislature of a province, by whatever title that person may be designated, who has the power and authority of two or more justices of the peace and includes the lawful deputy of that person;</w:t>
            </w:r>
            <w:r w:rsidRPr="006A01A8">
              <w:rPr>
                <w:lang w:val="en-CA"/>
              </w:rPr>
              <w:t> </w:t>
            </w:r>
            <w:r w:rsidRPr="006A01A8">
              <w:rPr>
                <w:lang w:val="en-CA"/>
              </w:rPr>
              <w:t>(</w:t>
            </w:r>
            <w:r w:rsidRPr="006A01A8">
              <w:rPr>
                <w:i/>
                <w:iCs/>
                <w:lang w:val="en-CA"/>
              </w:rPr>
              <w:t>juge de la cour provinciale</w:t>
            </w:r>
            <w:r w:rsidRPr="006A01A8">
              <w:rPr>
                <w:lang w:val="en-CA"/>
              </w:rPr>
              <w:t>)</w:t>
            </w:r>
          </w:p>
        </w:tc>
        <w:tc>
          <w:tcPr>
            <w:tcW w:w="4676" w:type="dxa"/>
          </w:tcPr>
          <w:p w14:paraId="3CE61DEB" w14:textId="7BA1A040" w:rsidR="00CC3EEB" w:rsidRPr="006A01A8" w:rsidRDefault="002C1928" w:rsidP="001A7CC1">
            <w:pPr>
              <w:pStyle w:val="Tableaudroiteanglais"/>
              <w:keepNext/>
            </w:pPr>
            <w:proofErr w:type="gramStart"/>
            <w:r w:rsidRPr="00AD1BFA">
              <w:rPr>
                <w:b/>
                <w:bCs/>
                <w:lang w:val="fr-CA"/>
              </w:rPr>
              <w:t>juge</w:t>
            </w:r>
            <w:proofErr w:type="gramEnd"/>
            <w:r w:rsidRPr="00AD1BFA">
              <w:rPr>
                <w:b/>
                <w:bCs/>
                <w:lang w:val="fr-CA"/>
              </w:rPr>
              <w:t xml:space="preserve"> de la cour provinciale</w:t>
            </w:r>
            <w:r w:rsidRPr="00AD1BFA">
              <w:rPr>
                <w:lang w:val="fr-CA"/>
              </w:rPr>
              <w:t> </w:t>
            </w:r>
            <w:r w:rsidRPr="00AD1BFA">
              <w:rPr>
                <w:lang w:val="fr-CA"/>
              </w:rPr>
              <w:t>Toute personne qu’une loi de la législature d’une province nomme juge ou autorise à agir comme juge, quel que soit son titre, et qui a les pouvoirs d’au moins deux juges de paix. La présente définition vise aussi les substituts légitimes de ces personnes</w:t>
            </w:r>
            <w:r w:rsidRPr="00A32AD3">
              <w:rPr>
                <w:lang w:val="fr-CA"/>
              </w:rPr>
              <w:t>.</w:t>
            </w:r>
            <w:r w:rsidRPr="006A01A8">
              <w:t> </w:t>
            </w:r>
            <w:r w:rsidRPr="006A01A8">
              <w:t>(</w:t>
            </w:r>
            <w:r w:rsidRPr="006A01A8">
              <w:rPr>
                <w:i/>
                <w:iCs/>
              </w:rPr>
              <w:t>provincial court judge</w:t>
            </w:r>
            <w:r w:rsidRPr="006A01A8">
              <w:t>)</w:t>
            </w:r>
          </w:p>
        </w:tc>
      </w:tr>
    </w:tbl>
    <w:p w14:paraId="76858B82" w14:textId="535FC0C2" w:rsidR="00CC3EEB" w:rsidRPr="006A01A8" w:rsidRDefault="005468A5" w:rsidP="00E007AA">
      <w:pPr>
        <w:pStyle w:val="Paragraphe"/>
        <w:spacing w:line="280" w:lineRule="exact"/>
        <w:rPr>
          <w:lang w:val="en-CA"/>
        </w:rPr>
      </w:pPr>
      <w:r w:rsidRPr="006A01A8">
        <w:rPr>
          <w:rFonts w:cs="Arial"/>
          <w:iCs/>
          <w:lang w:val="en-CA"/>
        </w:rPr>
        <w:t xml:space="preserve">In Canada, a provincial court judge hears </w:t>
      </w:r>
      <w:r w:rsidR="001C00A1">
        <w:rPr>
          <w:rFonts w:cs="Arial"/>
          <w:iCs/>
          <w:lang w:val="en-CA"/>
        </w:rPr>
        <w:t xml:space="preserve">trials for </w:t>
      </w:r>
      <w:r w:rsidRPr="006A01A8">
        <w:rPr>
          <w:rFonts w:cs="Arial"/>
          <w:iCs/>
          <w:lang w:val="en-CA"/>
        </w:rPr>
        <w:t xml:space="preserve">summary conviction proceedings (s. </w:t>
      </w:r>
      <w:r w:rsidR="002C1928" w:rsidRPr="006A01A8">
        <w:rPr>
          <w:rFonts w:cs="Arial"/>
          <w:iCs/>
          <w:lang w:val="en-CA"/>
        </w:rPr>
        <w:t> </w:t>
      </w:r>
      <w:r w:rsidRPr="006A01A8">
        <w:rPr>
          <w:rFonts w:cs="Arial"/>
          <w:iCs/>
          <w:lang w:val="en-CA"/>
        </w:rPr>
        <w:t>785</w:t>
      </w:r>
      <w:r w:rsidR="001A7CC1">
        <w:rPr>
          <w:rFonts w:cs="Arial"/>
          <w:iCs/>
          <w:lang w:val="en-CA"/>
        </w:rPr>
        <w:t> </w:t>
      </w:r>
      <w:r w:rsidRPr="006A01A8">
        <w:rPr>
          <w:rFonts w:cs="Arial"/>
          <w:i/>
          <w:iCs/>
          <w:lang w:val="en-CA"/>
        </w:rPr>
        <w:t>Cr. C.</w:t>
      </w:r>
      <w:r w:rsidRPr="006A01A8">
        <w:rPr>
          <w:rFonts w:cs="Arial"/>
          <w:iCs/>
          <w:lang w:val="en-CA"/>
        </w:rPr>
        <w:t xml:space="preserve">), </w:t>
      </w:r>
      <w:r w:rsidR="001C00A1">
        <w:rPr>
          <w:rFonts w:cs="Arial"/>
          <w:iCs/>
          <w:lang w:val="en-CA"/>
        </w:rPr>
        <w:t xml:space="preserve">trials </w:t>
      </w:r>
      <w:r w:rsidRPr="006A01A8">
        <w:rPr>
          <w:rFonts w:cs="Arial"/>
          <w:iCs/>
          <w:lang w:val="en-CA"/>
        </w:rPr>
        <w:t xml:space="preserve">for offences set out in s. 553 </w:t>
      </w:r>
      <w:r w:rsidRPr="006A01A8">
        <w:rPr>
          <w:rFonts w:cs="Arial"/>
          <w:i/>
          <w:iCs/>
          <w:lang w:val="en-CA"/>
        </w:rPr>
        <w:t>Cr. C.</w:t>
      </w:r>
      <w:r w:rsidRPr="006A01A8">
        <w:rPr>
          <w:rFonts w:cs="Arial"/>
          <w:iCs/>
          <w:lang w:val="en-CA"/>
        </w:rPr>
        <w:t xml:space="preserve"> or, when permitted by the </w:t>
      </w:r>
      <w:r w:rsidRPr="006A01A8">
        <w:rPr>
          <w:rFonts w:cs="Arial"/>
          <w:i/>
          <w:iCs/>
          <w:lang w:val="en-CA"/>
        </w:rPr>
        <w:t>Criminal Code</w:t>
      </w:r>
      <w:r w:rsidRPr="006A01A8">
        <w:rPr>
          <w:rFonts w:cs="Arial"/>
          <w:iCs/>
          <w:lang w:val="en-CA"/>
        </w:rPr>
        <w:t>, trials of accused who elect to be tried by a provincial court judge (s.</w:t>
      </w:r>
      <w:r w:rsidR="002C1928" w:rsidRPr="006A01A8">
        <w:rPr>
          <w:iCs/>
          <w:lang w:val="en-CA"/>
        </w:rPr>
        <w:t xml:space="preserve"> </w:t>
      </w:r>
      <w:r w:rsidR="004B3432" w:rsidRPr="006A01A8">
        <w:rPr>
          <w:iCs/>
          <w:lang w:val="en-CA"/>
        </w:rPr>
        <w:t xml:space="preserve">554 </w:t>
      </w:r>
      <w:r w:rsidR="004B3432" w:rsidRPr="006A01A8">
        <w:rPr>
          <w:i/>
          <w:iCs/>
          <w:lang w:val="en-CA"/>
        </w:rPr>
        <w:t>Cr. C.</w:t>
      </w:r>
      <w:r w:rsidR="004B3432" w:rsidRPr="006A01A8">
        <w:rPr>
          <w:iCs/>
          <w:lang w:val="en-CA"/>
        </w:rPr>
        <w:t>).</w:t>
      </w:r>
      <w:r w:rsidR="002C1928" w:rsidRPr="006A01A8">
        <w:rPr>
          <w:lang w:val="en-CA"/>
        </w:rPr>
        <w:t xml:space="preserve"> </w:t>
      </w:r>
      <w:r w:rsidR="004B3432" w:rsidRPr="006A01A8">
        <w:rPr>
          <w:lang w:val="en-CA"/>
        </w:rPr>
        <w:t>In all these cases, there is no preliminary inquiry before the trial.</w:t>
      </w:r>
    </w:p>
    <w:p w14:paraId="7C45F5EE" w14:textId="58F7A2AF" w:rsidR="00CC3EEB" w:rsidRPr="006A01A8" w:rsidRDefault="004B3432" w:rsidP="00E007AA">
      <w:pPr>
        <w:pStyle w:val="Paragraphe"/>
        <w:spacing w:line="280" w:lineRule="exact"/>
        <w:rPr>
          <w:lang w:val="en-CA"/>
        </w:rPr>
      </w:pPr>
      <w:r w:rsidRPr="006A01A8">
        <w:rPr>
          <w:lang w:val="en-CA"/>
        </w:rPr>
        <w:t>The ceiling is raised to 30 months if the trial is held before the Superior Court.</w:t>
      </w:r>
    </w:p>
    <w:p w14:paraId="22F8A778" w14:textId="40F60E2A" w:rsidR="00CC3EEB" w:rsidRPr="006A01A8" w:rsidRDefault="004B3432" w:rsidP="00E007AA">
      <w:pPr>
        <w:pStyle w:val="Paragraphe"/>
        <w:spacing w:line="280" w:lineRule="exact"/>
        <w:rPr>
          <w:lang w:val="en-CA"/>
        </w:rPr>
      </w:pPr>
      <w:r w:rsidRPr="006A01A8">
        <w:rPr>
          <w:lang w:val="en-CA"/>
        </w:rPr>
        <w:t>The ceiling</w:t>
      </w:r>
      <w:r w:rsidR="001C00A1">
        <w:rPr>
          <w:lang w:val="en-CA"/>
        </w:rPr>
        <w:t xml:space="preserve"> may therefore</w:t>
      </w:r>
      <w:r w:rsidRPr="006A01A8">
        <w:rPr>
          <w:lang w:val="en-CA"/>
        </w:rPr>
        <w:t xml:space="preserve"> appear to be connected to the court that hears the trial.</w:t>
      </w:r>
      <w:r w:rsidR="002C1928" w:rsidRPr="006A01A8">
        <w:rPr>
          <w:lang w:val="en-CA"/>
        </w:rPr>
        <w:t xml:space="preserve"> </w:t>
      </w:r>
    </w:p>
    <w:p w14:paraId="383D71BF" w14:textId="3ED8C0FD" w:rsidR="00CC3EEB" w:rsidRPr="006A01A8" w:rsidRDefault="001C00A1" w:rsidP="00E007AA">
      <w:pPr>
        <w:pStyle w:val="Paragraphe"/>
        <w:spacing w:line="280" w:lineRule="exact"/>
        <w:rPr>
          <w:lang w:val="en-CA"/>
        </w:rPr>
      </w:pPr>
      <w:r>
        <w:rPr>
          <w:lang w:val="en-CA"/>
        </w:rPr>
        <w:t>However, t</w:t>
      </w:r>
      <w:r w:rsidR="004B3432" w:rsidRPr="006A01A8">
        <w:rPr>
          <w:lang w:val="en-CA"/>
        </w:rPr>
        <w:t xml:space="preserve">he Supreme Court </w:t>
      </w:r>
      <w:r>
        <w:rPr>
          <w:lang w:val="en-CA"/>
        </w:rPr>
        <w:t>specified</w:t>
      </w:r>
      <w:r w:rsidR="004B3432" w:rsidRPr="006A01A8">
        <w:rPr>
          <w:lang w:val="en-CA"/>
        </w:rPr>
        <w:t xml:space="preserve"> that if a preliminary inquiry</w:t>
      </w:r>
      <w:r w:rsidR="00A623BF">
        <w:rPr>
          <w:lang w:val="en-CA"/>
        </w:rPr>
        <w:t xml:space="preserve"> was</w:t>
      </w:r>
      <w:r w:rsidR="004B3432" w:rsidRPr="006A01A8">
        <w:rPr>
          <w:lang w:val="en-CA"/>
        </w:rPr>
        <w:t xml:space="preserve"> held and the trial </w:t>
      </w:r>
      <w:r w:rsidR="008E352C">
        <w:rPr>
          <w:lang w:val="en-CA"/>
        </w:rPr>
        <w:t xml:space="preserve">takes place </w:t>
      </w:r>
      <w:r w:rsidR="004B3432" w:rsidRPr="006A01A8">
        <w:rPr>
          <w:lang w:val="en-CA"/>
        </w:rPr>
        <w:t xml:space="preserve">before a provincial court judge, either (1) under the law, or (2) due to </w:t>
      </w:r>
      <w:r w:rsidR="00A74526">
        <w:rPr>
          <w:lang w:val="en-CA"/>
        </w:rPr>
        <w:t xml:space="preserve">a </w:t>
      </w:r>
      <w:r w:rsidR="004B3432" w:rsidRPr="006A01A8">
        <w:rPr>
          <w:lang w:val="en-CA"/>
        </w:rPr>
        <w:t>re-election</w:t>
      </w:r>
      <w:r w:rsidR="00A74526">
        <w:rPr>
          <w:lang w:val="en-CA"/>
        </w:rPr>
        <w:t xml:space="preserve"> made</w:t>
      </w:r>
      <w:r w:rsidR="004B3432" w:rsidRPr="006A01A8">
        <w:rPr>
          <w:lang w:val="en-CA"/>
        </w:rPr>
        <w:t xml:space="preserve"> after the preliminary inquiry, the ceiling is also 30 months.</w:t>
      </w:r>
      <w:r w:rsidR="002C1928" w:rsidRPr="006A01A8">
        <w:rPr>
          <w:lang w:val="en-CA"/>
        </w:rPr>
        <w:t xml:space="preserve"> </w:t>
      </w:r>
    </w:p>
    <w:p w14:paraId="28418D58" w14:textId="704D149A" w:rsidR="00CC3EEB" w:rsidRPr="006A01A8" w:rsidRDefault="004B3432" w:rsidP="00E007AA">
      <w:pPr>
        <w:pStyle w:val="Paragraphe"/>
        <w:spacing w:line="280" w:lineRule="exact"/>
        <w:rPr>
          <w:lang w:val="en-CA"/>
        </w:rPr>
      </w:pPr>
      <w:r w:rsidRPr="006A01A8">
        <w:rPr>
          <w:lang w:val="en-CA"/>
        </w:rPr>
        <w:t xml:space="preserve">In that case, the ceiling </w:t>
      </w:r>
      <w:r w:rsidR="00A623BF">
        <w:rPr>
          <w:lang w:val="en-CA"/>
        </w:rPr>
        <w:t xml:space="preserve">may </w:t>
      </w:r>
      <w:r w:rsidRPr="006A01A8">
        <w:rPr>
          <w:lang w:val="en-CA"/>
        </w:rPr>
        <w:t xml:space="preserve">appear to be </w:t>
      </w:r>
      <w:r w:rsidR="00B95514" w:rsidRPr="006A01A8">
        <w:rPr>
          <w:lang w:val="en-CA"/>
        </w:rPr>
        <w:t>connected</w:t>
      </w:r>
      <w:r w:rsidRPr="006A01A8">
        <w:rPr>
          <w:lang w:val="en-CA"/>
        </w:rPr>
        <w:t xml:space="preserve"> to the fact that the proceeding is held in two stages.</w:t>
      </w:r>
    </w:p>
    <w:p w14:paraId="75D84474" w14:textId="0153314F" w:rsidR="00CC3EEB" w:rsidRPr="006A01A8" w:rsidRDefault="004B3432" w:rsidP="00E007AA">
      <w:pPr>
        <w:pStyle w:val="Paragraphe"/>
        <w:spacing w:line="280" w:lineRule="exact"/>
        <w:rPr>
          <w:lang w:val="en-CA"/>
        </w:rPr>
      </w:pPr>
      <w:r w:rsidRPr="006A01A8">
        <w:rPr>
          <w:lang w:val="en-CA"/>
        </w:rPr>
        <w:t>It must be noted that the situations contemplated by the Supreme Court contain omissions or inaccuracies.</w:t>
      </w:r>
      <w:r w:rsidR="002C1928" w:rsidRPr="006A01A8">
        <w:rPr>
          <w:lang w:val="en-CA"/>
        </w:rPr>
        <w:t xml:space="preserve"> </w:t>
      </w:r>
      <w:r w:rsidR="00A623BF">
        <w:rPr>
          <w:lang w:val="en-CA"/>
        </w:rPr>
        <w:t>The</w:t>
      </w:r>
      <w:r w:rsidRPr="006A01A8">
        <w:rPr>
          <w:lang w:val="en-CA"/>
        </w:rPr>
        <w:t xml:space="preserve"> first </w:t>
      </w:r>
      <w:r w:rsidR="00A623BF">
        <w:rPr>
          <w:lang w:val="en-CA"/>
        </w:rPr>
        <w:t>is that it makes no</w:t>
      </w:r>
      <w:r w:rsidRPr="006A01A8">
        <w:rPr>
          <w:lang w:val="en-CA"/>
        </w:rPr>
        <w:t xml:space="preserve"> </w:t>
      </w:r>
      <w:r w:rsidR="0026259D" w:rsidRPr="006A01A8">
        <w:rPr>
          <w:lang w:val="en-CA"/>
        </w:rPr>
        <w:t>disti</w:t>
      </w:r>
      <w:r w:rsidR="00A623BF">
        <w:rPr>
          <w:lang w:val="en-CA"/>
        </w:rPr>
        <w:t xml:space="preserve">nction </w:t>
      </w:r>
      <w:r w:rsidRPr="006A01A8">
        <w:rPr>
          <w:lang w:val="en-CA"/>
        </w:rPr>
        <w:t xml:space="preserve">between a trial </w:t>
      </w:r>
      <w:r w:rsidR="00A623BF">
        <w:rPr>
          <w:lang w:val="en-CA"/>
        </w:rPr>
        <w:t xml:space="preserve">held </w:t>
      </w:r>
      <w:r w:rsidRPr="006A01A8">
        <w:rPr>
          <w:lang w:val="en-CA"/>
        </w:rPr>
        <w:t xml:space="preserve">before the Superior Court without </w:t>
      </w:r>
      <w:r w:rsidR="00A623BF">
        <w:rPr>
          <w:lang w:val="en-CA"/>
        </w:rPr>
        <w:t xml:space="preserve">or after </w:t>
      </w:r>
      <w:r w:rsidRPr="006A01A8">
        <w:rPr>
          <w:lang w:val="en-CA"/>
        </w:rPr>
        <w:t>a preliminary inquiry</w:t>
      </w:r>
      <w:r w:rsidR="00A623BF">
        <w:rPr>
          <w:lang w:val="en-CA"/>
        </w:rPr>
        <w:t>,</w:t>
      </w:r>
      <w:r w:rsidRPr="006A01A8">
        <w:rPr>
          <w:lang w:val="en-CA"/>
        </w:rPr>
        <w:t xml:space="preserve"> or with or without a jury.</w:t>
      </w:r>
      <w:r w:rsidR="002C1928" w:rsidRPr="006A01A8">
        <w:rPr>
          <w:lang w:val="en-CA"/>
        </w:rPr>
        <w:t xml:space="preserve"> </w:t>
      </w:r>
      <w:r w:rsidRPr="006A01A8">
        <w:rPr>
          <w:lang w:val="en-CA"/>
        </w:rPr>
        <w:t xml:space="preserve">The second is the failure to refer to the situation in Quebec where Court of Québec </w:t>
      </w:r>
      <w:r w:rsidR="00A623BF">
        <w:rPr>
          <w:lang w:val="en-CA"/>
        </w:rPr>
        <w:t xml:space="preserve">judge </w:t>
      </w:r>
      <w:r w:rsidRPr="006A01A8">
        <w:rPr>
          <w:lang w:val="en-CA"/>
        </w:rPr>
        <w:t xml:space="preserve">hears cases as a “judge” within the </w:t>
      </w:r>
      <w:r w:rsidR="0026259D" w:rsidRPr="006A01A8">
        <w:rPr>
          <w:lang w:val="en-CA"/>
        </w:rPr>
        <w:t>meaning</w:t>
      </w:r>
      <w:r w:rsidRPr="006A01A8">
        <w:rPr>
          <w:lang w:val="en-CA"/>
        </w:rPr>
        <w:t xml:space="preserve"> of s. 552 </w:t>
      </w:r>
      <w:r w:rsidRPr="006A01A8">
        <w:rPr>
          <w:i/>
          <w:lang w:val="en-CA"/>
        </w:rPr>
        <w:t>Cr. C.</w:t>
      </w:r>
      <w:r w:rsidRPr="006A01A8">
        <w:rPr>
          <w:lang w:val="en-CA"/>
        </w:rPr>
        <w:t>, without a preliminary inquiry, a jurisdiction that in all the other provinces is attributed to the Superior Court.</w:t>
      </w:r>
    </w:p>
    <w:p w14:paraId="04C70E08" w14:textId="4DB7D7F8" w:rsidR="00CC3EEB" w:rsidRPr="006A01A8" w:rsidRDefault="005468A5" w:rsidP="00E007AA">
      <w:pPr>
        <w:pStyle w:val="Paragraphe"/>
        <w:spacing w:line="280" w:lineRule="exact"/>
        <w:rPr>
          <w:lang w:val="en-CA"/>
        </w:rPr>
      </w:pPr>
      <w:r w:rsidRPr="006A01A8">
        <w:rPr>
          <w:lang w:val="en-CA"/>
        </w:rPr>
        <w:t xml:space="preserve">With respect to the first inaccuracy, it is interesting to note that the Superior Court of Quebec decided that a 30-month ceiling </w:t>
      </w:r>
      <w:r w:rsidR="00A623BF">
        <w:rPr>
          <w:lang w:val="en-CA"/>
        </w:rPr>
        <w:t xml:space="preserve">applies to </w:t>
      </w:r>
      <w:r w:rsidRPr="006A01A8">
        <w:rPr>
          <w:lang w:val="en-CA"/>
        </w:rPr>
        <w:t xml:space="preserve">matters </w:t>
      </w:r>
      <w:r w:rsidR="00A623BF">
        <w:rPr>
          <w:lang w:val="en-CA"/>
        </w:rPr>
        <w:t>brought by</w:t>
      </w:r>
      <w:r w:rsidRPr="006A01A8">
        <w:rPr>
          <w:lang w:val="en-CA"/>
        </w:rPr>
        <w:t xml:space="preserve"> direct indictment</w:t>
      </w:r>
      <w:r w:rsidR="002C1928" w:rsidRPr="006A01A8">
        <w:rPr>
          <w:lang w:val="en-CA"/>
        </w:rPr>
        <w:t xml:space="preserve">, </w:t>
      </w:r>
      <w:r w:rsidRPr="006A01A8">
        <w:rPr>
          <w:lang w:val="en-CA"/>
        </w:rPr>
        <w:t>and therefore without a preliminary inquiry:</w:t>
      </w:r>
      <w:r w:rsidR="002C1928" w:rsidRPr="006A01A8">
        <w:rPr>
          <w:lang w:val="en-CA"/>
        </w:rPr>
        <w:t xml:space="preserve"> </w:t>
      </w:r>
      <w:r w:rsidR="002C1928" w:rsidRPr="006A01A8">
        <w:rPr>
          <w:i/>
          <w:iCs/>
          <w:lang w:val="en-CA"/>
        </w:rPr>
        <w:t>R. c. Corriveau</w:t>
      </w:r>
      <w:r w:rsidR="002C1928" w:rsidRPr="006A01A8">
        <w:rPr>
          <w:lang w:val="en-CA"/>
        </w:rPr>
        <w:t xml:space="preserve">, 2016 QCCS 5799; </w:t>
      </w:r>
      <w:r w:rsidR="002C1928" w:rsidRPr="006A01A8">
        <w:rPr>
          <w:i/>
          <w:iCs/>
          <w:lang w:val="en-CA"/>
        </w:rPr>
        <w:t>R.</w:t>
      </w:r>
      <w:r w:rsidR="00A623BF">
        <w:rPr>
          <w:i/>
          <w:iCs/>
          <w:lang w:val="en-CA"/>
        </w:rPr>
        <w:t> </w:t>
      </w:r>
      <w:r w:rsidR="002C1928" w:rsidRPr="006A01A8">
        <w:rPr>
          <w:i/>
          <w:iCs/>
          <w:lang w:val="en-CA"/>
        </w:rPr>
        <w:t>c</w:t>
      </w:r>
      <w:r w:rsidR="00A623BF">
        <w:rPr>
          <w:i/>
          <w:iCs/>
          <w:lang w:val="en-CA"/>
        </w:rPr>
        <w:t>. </w:t>
      </w:r>
      <w:r w:rsidR="002C1928" w:rsidRPr="006A01A8">
        <w:rPr>
          <w:i/>
          <w:iCs/>
          <w:lang w:val="en-CA"/>
        </w:rPr>
        <w:t>Lafortune</w:t>
      </w:r>
      <w:r w:rsidR="002C1928" w:rsidRPr="006A01A8">
        <w:rPr>
          <w:lang w:val="en-CA"/>
        </w:rPr>
        <w:t>, 2019 QCCS 4693;</w:t>
      </w:r>
      <w:r w:rsidR="002C1928" w:rsidRPr="006A01A8">
        <w:rPr>
          <w:i/>
          <w:iCs/>
          <w:lang w:val="en-CA"/>
        </w:rPr>
        <w:t xml:space="preserve"> R. c. Wong</w:t>
      </w:r>
      <w:r w:rsidR="002C1928" w:rsidRPr="006A01A8">
        <w:rPr>
          <w:lang w:val="en-CA"/>
        </w:rPr>
        <w:t xml:space="preserve">, 2023 QCCS 5065. </w:t>
      </w:r>
    </w:p>
    <w:p w14:paraId="6371EDFE" w14:textId="07A67451" w:rsidR="00CC3EEB" w:rsidRPr="006A01A8" w:rsidRDefault="005468A5" w:rsidP="00E007AA">
      <w:pPr>
        <w:pStyle w:val="Paragraphe"/>
        <w:spacing w:line="280" w:lineRule="exact"/>
        <w:rPr>
          <w:lang w:val="en-CA"/>
        </w:rPr>
      </w:pPr>
      <w:r w:rsidRPr="006A01A8">
        <w:rPr>
          <w:lang w:val="en-CA"/>
        </w:rPr>
        <w:t>Courts of appeal have adopted the position in</w:t>
      </w:r>
      <w:r w:rsidR="002C1928" w:rsidRPr="006A01A8">
        <w:rPr>
          <w:lang w:val="en-CA"/>
        </w:rPr>
        <w:t xml:space="preserve"> </w:t>
      </w:r>
      <w:r w:rsidR="002C1928" w:rsidRPr="006A01A8">
        <w:rPr>
          <w:i/>
          <w:iCs/>
          <w:lang w:val="en-CA"/>
        </w:rPr>
        <w:t>Corriveau</w:t>
      </w:r>
      <w:r w:rsidR="002C1928" w:rsidRPr="006A01A8">
        <w:rPr>
          <w:lang w:val="en-CA"/>
        </w:rPr>
        <w:t xml:space="preserve">: </w:t>
      </w:r>
      <w:r w:rsidR="002C1928" w:rsidRPr="006A01A8">
        <w:rPr>
          <w:i/>
          <w:iCs/>
          <w:lang w:val="en-CA"/>
        </w:rPr>
        <w:t xml:space="preserve">R. </w:t>
      </w:r>
      <w:r w:rsidRPr="006A01A8">
        <w:rPr>
          <w:i/>
          <w:iCs/>
          <w:lang w:val="en-CA"/>
        </w:rPr>
        <w:t>v</w:t>
      </w:r>
      <w:r w:rsidR="002C1928" w:rsidRPr="006A01A8">
        <w:rPr>
          <w:i/>
          <w:iCs/>
          <w:lang w:val="en-CA"/>
        </w:rPr>
        <w:t>. Schenkels</w:t>
      </w:r>
      <w:r w:rsidR="002C1928" w:rsidRPr="006A01A8">
        <w:rPr>
          <w:lang w:val="en-CA"/>
        </w:rPr>
        <w:t>, 2017 MBCA 62</w:t>
      </w:r>
      <w:r w:rsidRPr="006A01A8">
        <w:rPr>
          <w:lang w:val="en-CA"/>
        </w:rPr>
        <w:t xml:space="preserve"> at paras.</w:t>
      </w:r>
      <w:r w:rsidR="002C1928" w:rsidRPr="006A01A8">
        <w:rPr>
          <w:lang w:val="en-CA"/>
        </w:rPr>
        <w:t xml:space="preserve"> 46</w:t>
      </w:r>
      <w:r w:rsidRPr="006A01A8">
        <w:rPr>
          <w:lang w:val="en-CA"/>
        </w:rPr>
        <w:t>–</w:t>
      </w:r>
      <w:r w:rsidR="002C1928" w:rsidRPr="006A01A8">
        <w:rPr>
          <w:lang w:val="en-CA"/>
        </w:rPr>
        <w:t xml:space="preserve">48 </w:t>
      </w:r>
      <w:r w:rsidRPr="006A01A8">
        <w:rPr>
          <w:lang w:val="en-CA"/>
        </w:rPr>
        <w:t>and</w:t>
      </w:r>
      <w:r w:rsidR="002C1928" w:rsidRPr="006A01A8">
        <w:rPr>
          <w:lang w:val="en-CA"/>
        </w:rPr>
        <w:t xml:space="preserve"> </w:t>
      </w:r>
      <w:r w:rsidR="002C1928" w:rsidRPr="006A01A8">
        <w:rPr>
          <w:i/>
          <w:iCs/>
          <w:lang w:val="en-CA"/>
        </w:rPr>
        <w:t xml:space="preserve">R. </w:t>
      </w:r>
      <w:r w:rsidRPr="006A01A8">
        <w:rPr>
          <w:i/>
          <w:iCs/>
          <w:lang w:val="en-CA"/>
        </w:rPr>
        <w:t>v</w:t>
      </w:r>
      <w:r w:rsidR="002C1928" w:rsidRPr="006A01A8">
        <w:rPr>
          <w:i/>
          <w:iCs/>
          <w:lang w:val="en-CA"/>
        </w:rPr>
        <w:t>. Bulhosen</w:t>
      </w:r>
      <w:r w:rsidR="002C1928" w:rsidRPr="006A01A8">
        <w:rPr>
          <w:lang w:val="en-CA"/>
        </w:rPr>
        <w:t>, 2019 ONCA 600</w:t>
      </w:r>
      <w:r w:rsidRPr="006A01A8">
        <w:rPr>
          <w:lang w:val="en-CA"/>
        </w:rPr>
        <w:t xml:space="preserve"> at paras.</w:t>
      </w:r>
      <w:r w:rsidR="002C1928" w:rsidRPr="006A01A8">
        <w:rPr>
          <w:lang w:val="en-CA"/>
        </w:rPr>
        <w:t xml:space="preserve"> 69 et s</w:t>
      </w:r>
      <w:r w:rsidRPr="006A01A8">
        <w:rPr>
          <w:lang w:val="en-CA"/>
        </w:rPr>
        <w:t>eq</w:t>
      </w:r>
      <w:r w:rsidR="002C1928" w:rsidRPr="006A01A8">
        <w:rPr>
          <w:lang w:val="en-CA"/>
        </w:rPr>
        <w:t>.</w:t>
      </w:r>
    </w:p>
    <w:p w14:paraId="24C4261B" w14:textId="4782BAF3" w:rsidR="00CC3EEB" w:rsidRPr="006A01A8" w:rsidRDefault="005468A5" w:rsidP="00E007AA">
      <w:pPr>
        <w:pStyle w:val="Paragraphe"/>
        <w:spacing w:line="280" w:lineRule="exact"/>
        <w:rPr>
          <w:lang w:val="en-CA"/>
        </w:rPr>
      </w:pPr>
      <w:r w:rsidRPr="006A01A8">
        <w:rPr>
          <w:lang w:val="en-CA"/>
        </w:rPr>
        <w:lastRenderedPageBreak/>
        <w:t>In</w:t>
      </w:r>
      <w:r w:rsidR="002C1928" w:rsidRPr="006A01A8">
        <w:rPr>
          <w:lang w:val="en-CA"/>
        </w:rPr>
        <w:t xml:space="preserve"> </w:t>
      </w:r>
      <w:r w:rsidR="002C1928" w:rsidRPr="006A01A8">
        <w:rPr>
          <w:i/>
          <w:iCs/>
          <w:lang w:val="en-CA"/>
        </w:rPr>
        <w:t>R. v. Shaikh</w:t>
      </w:r>
      <w:r w:rsidR="002C1928" w:rsidRPr="006A01A8">
        <w:rPr>
          <w:lang w:val="en-CA"/>
        </w:rPr>
        <w:t xml:space="preserve">, 2019 ONCA 895, </w:t>
      </w:r>
      <w:r w:rsidRPr="006A01A8">
        <w:rPr>
          <w:lang w:val="en-CA"/>
        </w:rPr>
        <w:t>cited in</w:t>
      </w:r>
      <w:r w:rsidR="002C1928" w:rsidRPr="006A01A8">
        <w:rPr>
          <w:lang w:val="en-CA"/>
        </w:rPr>
        <w:t xml:space="preserve"> </w:t>
      </w:r>
      <w:r w:rsidR="002C1928" w:rsidRPr="006A01A8">
        <w:rPr>
          <w:rFonts w:cs="Arial"/>
          <w:i/>
          <w:lang w:val="en-CA"/>
        </w:rPr>
        <w:t>R. </w:t>
      </w:r>
      <w:r w:rsidRPr="006A01A8">
        <w:rPr>
          <w:rFonts w:cs="Arial"/>
          <w:i/>
          <w:lang w:val="en-CA"/>
        </w:rPr>
        <w:t>v</w:t>
      </w:r>
      <w:r w:rsidR="002C1928" w:rsidRPr="006A01A8">
        <w:rPr>
          <w:rFonts w:cs="Arial"/>
          <w:i/>
          <w:lang w:val="en-CA"/>
        </w:rPr>
        <w:t>. Wookey</w:t>
      </w:r>
      <w:r w:rsidR="002C1928" w:rsidRPr="006A01A8">
        <w:rPr>
          <w:rFonts w:cs="Arial"/>
          <w:lang w:val="en-CA"/>
        </w:rPr>
        <w:t xml:space="preserve">, 2021 ONCA 68, </w:t>
      </w:r>
      <w:r w:rsidRPr="006A01A8">
        <w:rPr>
          <w:rFonts w:cs="Arial"/>
          <w:lang w:val="en-CA"/>
        </w:rPr>
        <w:t xml:space="preserve">the Court of Appeal for </w:t>
      </w:r>
      <w:r w:rsidR="002C1928" w:rsidRPr="006A01A8">
        <w:rPr>
          <w:rFonts w:cs="Arial"/>
          <w:lang w:val="en-CA"/>
        </w:rPr>
        <w:t xml:space="preserve">Ontario </w:t>
      </w:r>
      <w:r w:rsidRPr="006A01A8">
        <w:rPr>
          <w:rFonts w:cs="Arial"/>
          <w:lang w:val="en-CA"/>
        </w:rPr>
        <w:t>explained that the 18-month ceiling applies to a trial held before the provincial court after a consent to stand trial</w:t>
      </w:r>
      <w:r w:rsidR="002C1928" w:rsidRPr="006A01A8">
        <w:rPr>
          <w:rFonts w:cs="Arial"/>
          <w:lang w:val="en-CA"/>
        </w:rPr>
        <w:t xml:space="preserve"> (</w:t>
      </w:r>
      <w:r w:rsidRPr="006A01A8">
        <w:rPr>
          <w:rFonts w:cs="Arial"/>
          <w:lang w:val="en-CA"/>
        </w:rPr>
        <w:t>s</w:t>
      </w:r>
      <w:r w:rsidR="002C1928" w:rsidRPr="006A01A8">
        <w:rPr>
          <w:rFonts w:cs="Arial"/>
          <w:lang w:val="en-CA"/>
        </w:rPr>
        <w:t>. 549 </w:t>
      </w:r>
      <w:r w:rsidR="002C1928" w:rsidRPr="006A01A8">
        <w:rPr>
          <w:i/>
          <w:lang w:val="en-CA"/>
        </w:rPr>
        <w:t>C</w:t>
      </w:r>
      <w:r w:rsidR="00A623BF">
        <w:rPr>
          <w:i/>
          <w:lang w:val="en-CA"/>
        </w:rPr>
        <w:t>r</w:t>
      </w:r>
      <w:r w:rsidR="002C1928" w:rsidRPr="006A01A8">
        <w:rPr>
          <w:i/>
          <w:lang w:val="en-CA"/>
        </w:rPr>
        <w:t>.</w:t>
      </w:r>
      <w:r w:rsidR="00A623BF">
        <w:rPr>
          <w:i/>
          <w:lang w:val="en-CA"/>
        </w:rPr>
        <w:t xml:space="preserve"> C</w:t>
      </w:r>
      <w:r w:rsidR="002C1928" w:rsidRPr="006A01A8">
        <w:rPr>
          <w:i/>
          <w:lang w:val="en-CA"/>
        </w:rPr>
        <w:t>.</w:t>
      </w:r>
      <w:r w:rsidR="002C1928" w:rsidRPr="006A01A8">
        <w:rPr>
          <w:lang w:val="en-CA"/>
        </w:rPr>
        <w:t xml:space="preserve">). </w:t>
      </w:r>
      <w:r w:rsidRPr="006A01A8">
        <w:rPr>
          <w:lang w:val="en-CA"/>
        </w:rPr>
        <w:t xml:space="preserve">The Court of Appeal </w:t>
      </w:r>
      <w:r w:rsidR="00A623BF">
        <w:rPr>
          <w:lang w:val="en-CA"/>
        </w:rPr>
        <w:t xml:space="preserve">for Ontario </w:t>
      </w:r>
      <w:r w:rsidRPr="006A01A8">
        <w:rPr>
          <w:lang w:val="en-CA"/>
        </w:rPr>
        <w:t xml:space="preserve">considered that the logic </w:t>
      </w:r>
      <w:r w:rsidR="00F85864">
        <w:rPr>
          <w:lang w:val="en-CA"/>
        </w:rPr>
        <w:t>of</w:t>
      </w:r>
      <w:r w:rsidR="00F85864" w:rsidRPr="006A01A8">
        <w:rPr>
          <w:lang w:val="en-CA"/>
        </w:rPr>
        <w:t xml:space="preserve"> </w:t>
      </w:r>
      <w:r w:rsidRPr="006A01A8">
        <w:rPr>
          <w:i/>
          <w:lang w:val="en-CA"/>
        </w:rPr>
        <w:t>Jordan</w:t>
      </w:r>
      <w:r w:rsidRPr="006A01A8">
        <w:rPr>
          <w:lang w:val="en-CA"/>
        </w:rPr>
        <w:t xml:space="preserve"> afforded no other conclusion.</w:t>
      </w:r>
      <w:r w:rsidR="002C1928" w:rsidRPr="006A01A8">
        <w:rPr>
          <w:lang w:val="en-CA"/>
        </w:rPr>
        <w:t xml:space="preserve"> </w:t>
      </w:r>
      <w:r w:rsidRPr="006A01A8">
        <w:rPr>
          <w:lang w:val="en-CA"/>
        </w:rPr>
        <w:t>In</w:t>
      </w:r>
      <w:r w:rsidR="002C1928" w:rsidRPr="006A01A8">
        <w:rPr>
          <w:lang w:val="en-CA"/>
        </w:rPr>
        <w:t xml:space="preserve"> </w:t>
      </w:r>
      <w:r w:rsidR="002C1928" w:rsidRPr="006A01A8">
        <w:rPr>
          <w:rFonts w:cs="Arial"/>
          <w:i/>
          <w:lang w:val="en-CA"/>
        </w:rPr>
        <w:t>R. </w:t>
      </w:r>
      <w:r w:rsidR="00E0247D">
        <w:rPr>
          <w:rFonts w:cs="Arial"/>
          <w:i/>
          <w:lang w:val="en-CA"/>
        </w:rPr>
        <w:t>v</w:t>
      </w:r>
      <w:r w:rsidR="002C1928" w:rsidRPr="006A01A8">
        <w:rPr>
          <w:rFonts w:cs="Arial"/>
          <w:i/>
          <w:lang w:val="en-CA"/>
        </w:rPr>
        <w:t>. Wookey</w:t>
      </w:r>
      <w:r w:rsidR="002C1928" w:rsidRPr="006A01A8">
        <w:rPr>
          <w:lang w:val="en-CA"/>
        </w:rPr>
        <w:t xml:space="preserve"> (par</w:t>
      </w:r>
      <w:r w:rsidRPr="006A01A8">
        <w:rPr>
          <w:lang w:val="en-CA"/>
        </w:rPr>
        <w:t>a</w:t>
      </w:r>
      <w:r w:rsidR="002C1928" w:rsidRPr="006A01A8">
        <w:rPr>
          <w:lang w:val="en-CA"/>
        </w:rPr>
        <w:t xml:space="preserve">. 64), </w:t>
      </w:r>
      <w:r w:rsidR="00A623BF">
        <w:rPr>
          <w:lang w:val="en-CA"/>
        </w:rPr>
        <w:t>i</w:t>
      </w:r>
      <w:r w:rsidRPr="006A01A8">
        <w:rPr>
          <w:lang w:val="en-CA"/>
        </w:rPr>
        <w:t xml:space="preserve">t repeated these comments </w:t>
      </w:r>
      <w:r w:rsidR="00A623BF">
        <w:rPr>
          <w:lang w:val="en-CA"/>
        </w:rPr>
        <w:t xml:space="preserve">taken </w:t>
      </w:r>
      <w:r w:rsidRPr="006A01A8">
        <w:rPr>
          <w:lang w:val="en-CA"/>
        </w:rPr>
        <w:t>from</w:t>
      </w:r>
      <w:r w:rsidR="002C1928" w:rsidRPr="006A01A8">
        <w:rPr>
          <w:lang w:val="en-CA"/>
        </w:rPr>
        <w:t xml:space="preserve"> </w:t>
      </w:r>
      <w:r w:rsidR="002C1928" w:rsidRPr="006A01A8">
        <w:rPr>
          <w:i/>
          <w:iCs/>
          <w:lang w:val="en-CA"/>
        </w:rPr>
        <w:t>Jordan</w:t>
      </w:r>
      <w:r w:rsidR="002C1928" w:rsidRPr="006A01A8">
        <w:rPr>
          <w:lang w:val="en-CA"/>
        </w:rPr>
        <w:t xml:space="preserve"> (</w:t>
      </w:r>
      <w:r w:rsidRPr="006A01A8">
        <w:rPr>
          <w:lang w:val="en-CA"/>
        </w:rPr>
        <w:t>emphasis added):</w:t>
      </w:r>
    </w:p>
    <w:p w14:paraId="13F6A4D1" w14:textId="75BC9118" w:rsidR="00CC3EEB" w:rsidRPr="006A01A8" w:rsidRDefault="00D601E5" w:rsidP="00E007AA">
      <w:pPr>
        <w:pStyle w:val="JgtCit1"/>
        <w:spacing w:line="280" w:lineRule="exact"/>
        <w:rPr>
          <w:lang w:val="en-CA"/>
        </w:rPr>
      </w:pPr>
      <w:r w:rsidRPr="006A01A8">
        <w:rPr>
          <w:lang w:val="en-CA"/>
        </w:rPr>
        <w:t xml:space="preserve">[62] Accused persons sometimes, </w:t>
      </w:r>
      <w:r w:rsidRPr="006A01A8">
        <w:rPr>
          <w:b/>
          <w:bCs/>
          <w:lang w:val="en-CA"/>
        </w:rPr>
        <w:t xml:space="preserve">either before or </w:t>
      </w:r>
      <w:r w:rsidR="0026259D" w:rsidRPr="006A01A8">
        <w:rPr>
          <w:b/>
          <w:bCs/>
          <w:lang w:val="en-CA"/>
        </w:rPr>
        <w:t>during</w:t>
      </w:r>
      <w:r w:rsidRPr="006A01A8">
        <w:rPr>
          <w:b/>
          <w:bCs/>
          <w:lang w:val="en-CA"/>
        </w:rPr>
        <w:t xml:space="preserve"> their preliminary hearing</w:t>
      </w:r>
      <w:r w:rsidR="002C1928" w:rsidRPr="006A01A8">
        <w:rPr>
          <w:lang w:val="en-CA"/>
        </w:rPr>
        <w:t>, wish to re-elect from a superior court trial to a provincial court trial for legitimate reasons. To do so, the Crown’s consent must be obtained (</w:t>
      </w:r>
      <w:r w:rsidRPr="006A01A8">
        <w:rPr>
          <w:i/>
          <w:iCs/>
          <w:lang w:val="en-CA"/>
        </w:rPr>
        <w:t xml:space="preserve">Criminal </w:t>
      </w:r>
      <w:r w:rsidR="002C1928" w:rsidRPr="005D43D9">
        <w:rPr>
          <w:i/>
          <w:iCs/>
          <w:lang w:val="en-CA"/>
        </w:rPr>
        <w:t>Code</w:t>
      </w:r>
      <w:r w:rsidR="002C1928" w:rsidRPr="006A01A8">
        <w:rPr>
          <w:lang w:val="en-CA"/>
        </w:rPr>
        <w:t>, R.S.C. 1985, c. C</w:t>
      </w:r>
      <w:r w:rsidR="002C1928" w:rsidRPr="006A01A8">
        <w:rPr>
          <w:rFonts w:ascii="Cambria Math" w:hAnsi="Cambria Math" w:cs="Cambria Math"/>
          <w:lang w:val="en-CA"/>
        </w:rPr>
        <w:t>‑</w:t>
      </w:r>
      <w:r w:rsidR="002C1928" w:rsidRPr="006A01A8">
        <w:rPr>
          <w:lang w:val="en-CA"/>
        </w:rPr>
        <w:t>46, s. 561).</w:t>
      </w:r>
      <w:r w:rsidRPr="006A01A8">
        <w:rPr>
          <w:b/>
          <w:bCs/>
          <w:lang w:val="en-CA"/>
        </w:rPr>
        <w:t xml:space="preserve"> Of course, it would generally be open to the Crown to ask the accused to waive the delay stemming from the re-election as a condition of its consent. </w:t>
      </w:r>
    </w:p>
    <w:p w14:paraId="781D9294" w14:textId="1F5AD2DC" w:rsidR="00CC3EEB" w:rsidRPr="006A01A8" w:rsidRDefault="005468A5" w:rsidP="00E007AA">
      <w:pPr>
        <w:pStyle w:val="Paragraphe"/>
        <w:spacing w:line="280" w:lineRule="exact"/>
        <w:rPr>
          <w:lang w:val="en-CA"/>
        </w:rPr>
      </w:pPr>
      <w:r w:rsidRPr="006A01A8">
        <w:rPr>
          <w:lang w:val="en-CA"/>
        </w:rPr>
        <w:t>This excerpt from</w:t>
      </w:r>
      <w:r w:rsidR="002C1928" w:rsidRPr="006A01A8">
        <w:rPr>
          <w:lang w:val="en-CA"/>
        </w:rPr>
        <w:t xml:space="preserve"> </w:t>
      </w:r>
      <w:r w:rsidR="002C1928" w:rsidRPr="006A01A8">
        <w:rPr>
          <w:i/>
          <w:iCs/>
          <w:lang w:val="en-CA"/>
        </w:rPr>
        <w:t>Jordan</w:t>
      </w:r>
      <w:r w:rsidR="002C1928" w:rsidRPr="006A01A8">
        <w:rPr>
          <w:lang w:val="en-CA"/>
        </w:rPr>
        <w:t xml:space="preserve"> </w:t>
      </w:r>
      <w:r w:rsidRPr="006A01A8">
        <w:rPr>
          <w:lang w:val="en-CA"/>
        </w:rPr>
        <w:t>supports what the Court of Appeal for Ontario wrote in</w:t>
      </w:r>
      <w:r w:rsidR="002C1928" w:rsidRPr="006A01A8">
        <w:rPr>
          <w:lang w:val="en-CA"/>
        </w:rPr>
        <w:t xml:space="preserve"> </w:t>
      </w:r>
      <w:r w:rsidR="002C1928" w:rsidRPr="006A01A8">
        <w:rPr>
          <w:i/>
          <w:iCs/>
          <w:lang w:val="en-CA"/>
        </w:rPr>
        <w:t xml:space="preserve">R. </w:t>
      </w:r>
      <w:r w:rsidRPr="006A01A8">
        <w:rPr>
          <w:i/>
          <w:iCs/>
          <w:lang w:val="en-CA"/>
        </w:rPr>
        <w:t>v</w:t>
      </w:r>
      <w:r w:rsidR="002C1928" w:rsidRPr="006A01A8">
        <w:rPr>
          <w:i/>
          <w:iCs/>
          <w:lang w:val="en-CA"/>
        </w:rPr>
        <w:t xml:space="preserve">. </w:t>
      </w:r>
      <w:r w:rsidR="008C0B43" w:rsidRPr="006A01A8">
        <w:rPr>
          <w:i/>
          <w:iCs/>
          <w:lang w:val="en-CA"/>
        </w:rPr>
        <w:t>Shaikh</w:t>
      </w:r>
      <w:r w:rsidR="008C0B43" w:rsidRPr="006A01A8">
        <w:rPr>
          <w:lang w:val="en-CA"/>
        </w:rPr>
        <w:t>:</w:t>
      </w:r>
    </w:p>
    <w:p w14:paraId="218D41DC" w14:textId="77777777" w:rsidR="00CC3EEB" w:rsidRPr="006A01A8" w:rsidRDefault="002C1928" w:rsidP="00E007AA">
      <w:pPr>
        <w:pStyle w:val="JgtCit1"/>
        <w:spacing w:line="280" w:lineRule="exact"/>
        <w:rPr>
          <w:lang w:val="en-CA"/>
        </w:rPr>
      </w:pPr>
      <w:r w:rsidRPr="006A01A8">
        <w:rPr>
          <w:lang w:val="en-CA"/>
        </w:rPr>
        <w:t xml:space="preserve">[57] The bright line approach that I consider myself compelled to follow does not enable the defence to manufacture a s. 11(b) delay by re-electing into a shorter presumptive period of delay. Section 561(1) of the </w:t>
      </w:r>
      <w:r w:rsidRPr="006A01A8">
        <w:rPr>
          <w:i/>
          <w:iCs/>
          <w:lang w:val="en-CA"/>
        </w:rPr>
        <w:t>Criminal Code</w:t>
      </w:r>
      <w:r w:rsidRPr="006A01A8">
        <w:rPr>
          <w:lang w:val="en-CA"/>
        </w:rPr>
        <w:t xml:space="preserve"> requires Crown consent before the accused can re-elect to a trial by a provincial court judge. Where re-election would create the risk of s. 11(b) problems, the Crown has the authority to, and should, refuse consent, absent a s. 11(b) waiver.</w:t>
      </w:r>
    </w:p>
    <w:p w14:paraId="432465C5" w14:textId="1ECD3929" w:rsidR="00CC3EEB" w:rsidRPr="006A01A8" w:rsidRDefault="002C1928" w:rsidP="00E007AA">
      <w:pPr>
        <w:pStyle w:val="JgtCit1"/>
        <w:spacing w:line="280" w:lineRule="exact"/>
        <w:rPr>
          <w:iCs/>
          <w:lang w:val="en-CA"/>
        </w:rPr>
      </w:pPr>
      <w:r w:rsidRPr="006A01A8">
        <w:rPr>
          <w:i/>
          <w:iCs/>
          <w:lang w:val="en-CA"/>
        </w:rPr>
        <w:t>R. v. Shaikh</w:t>
      </w:r>
      <w:r w:rsidRPr="006A01A8">
        <w:rPr>
          <w:lang w:val="en-CA"/>
        </w:rPr>
        <w:t xml:space="preserve">, 2019 ONCA 895 at para. 57, cited in </w:t>
      </w:r>
      <w:r w:rsidRPr="006A01A8">
        <w:rPr>
          <w:i/>
          <w:lang w:val="en-CA"/>
        </w:rPr>
        <w:t>R. c. Brousseau</w:t>
      </w:r>
      <w:r w:rsidRPr="006A01A8">
        <w:rPr>
          <w:iCs/>
          <w:lang w:val="en-CA"/>
        </w:rPr>
        <w:t xml:space="preserve">, 2020 QCCA 1199 and </w:t>
      </w:r>
      <w:r w:rsidRPr="006A01A8">
        <w:rPr>
          <w:i/>
          <w:iCs/>
          <w:lang w:val="en-CA"/>
        </w:rPr>
        <w:t>R. c. Lapointe</w:t>
      </w:r>
      <w:r w:rsidRPr="006A01A8">
        <w:rPr>
          <w:lang w:val="en-CA"/>
        </w:rPr>
        <w:t>, 2021 QCCA 152.</w:t>
      </w:r>
    </w:p>
    <w:p w14:paraId="66611007" w14:textId="6BDBA5A3" w:rsidR="00CC3EEB" w:rsidRPr="006A01A8" w:rsidRDefault="007E7854" w:rsidP="00E007AA">
      <w:pPr>
        <w:pStyle w:val="Paragraphe"/>
        <w:spacing w:line="280" w:lineRule="exact"/>
        <w:rPr>
          <w:lang w:val="en-CA"/>
        </w:rPr>
      </w:pPr>
      <w:r w:rsidRPr="006A01A8">
        <w:rPr>
          <w:iCs/>
          <w:lang w:val="en-CA"/>
        </w:rPr>
        <w:t xml:space="preserve">It must be noted that in these Ontario cases, the trial was </w:t>
      </w:r>
      <w:r w:rsidR="00246966">
        <w:rPr>
          <w:iCs/>
          <w:lang w:val="en-CA"/>
        </w:rPr>
        <w:t>truly</w:t>
      </w:r>
      <w:r w:rsidRPr="006A01A8">
        <w:rPr>
          <w:iCs/>
          <w:lang w:val="en-CA"/>
        </w:rPr>
        <w:t xml:space="preserve"> a trial before a provincial court judge within the meaning of the </w:t>
      </w:r>
      <w:r w:rsidRPr="006A01A8">
        <w:rPr>
          <w:i/>
          <w:iCs/>
          <w:lang w:val="en-CA"/>
        </w:rPr>
        <w:t xml:space="preserve">Criminal </w:t>
      </w:r>
      <w:r w:rsidR="008C0B43" w:rsidRPr="006A01A8">
        <w:rPr>
          <w:i/>
          <w:iCs/>
          <w:lang w:val="en-CA"/>
        </w:rPr>
        <w:t>Code</w:t>
      </w:r>
      <w:r w:rsidR="008C0B43" w:rsidRPr="006A01A8">
        <w:rPr>
          <w:iCs/>
          <w:lang w:val="en-CA"/>
        </w:rPr>
        <w:t xml:space="preserve"> since</w:t>
      </w:r>
      <w:r w:rsidRPr="006A01A8">
        <w:rPr>
          <w:iCs/>
          <w:lang w:val="en-CA"/>
        </w:rPr>
        <w:t xml:space="preserve"> a re-election </w:t>
      </w:r>
      <w:r w:rsidR="00246966">
        <w:rPr>
          <w:iCs/>
          <w:lang w:val="en-CA"/>
        </w:rPr>
        <w:t>made for a</w:t>
      </w:r>
      <w:r w:rsidRPr="006A01A8">
        <w:rPr>
          <w:iCs/>
          <w:lang w:val="en-CA"/>
        </w:rPr>
        <w:t xml:space="preserve"> trial before a “judge without a jury” (s.</w:t>
      </w:r>
      <w:r w:rsidR="00322EC9" w:rsidRPr="006A01A8">
        <w:rPr>
          <w:iCs/>
          <w:lang w:val="en-CA"/>
        </w:rPr>
        <w:t xml:space="preserve"> </w:t>
      </w:r>
      <w:r w:rsidRPr="006A01A8">
        <w:rPr>
          <w:iCs/>
          <w:lang w:val="en-CA"/>
        </w:rPr>
        <w:t xml:space="preserve">552 </w:t>
      </w:r>
      <w:r w:rsidRPr="006A01A8">
        <w:rPr>
          <w:i/>
          <w:iCs/>
          <w:lang w:val="en-CA"/>
        </w:rPr>
        <w:t>Cr. C.</w:t>
      </w:r>
      <w:r w:rsidRPr="006A01A8">
        <w:rPr>
          <w:iCs/>
          <w:lang w:val="en-CA"/>
        </w:rPr>
        <w:t>) would mean a trial before the Superior Court.</w:t>
      </w:r>
      <w:r w:rsidR="002C1928" w:rsidRPr="006A01A8">
        <w:rPr>
          <w:lang w:val="en-CA"/>
        </w:rPr>
        <w:t xml:space="preserve"> </w:t>
      </w:r>
    </w:p>
    <w:p w14:paraId="34B0D81A" w14:textId="23AF475C" w:rsidR="00CC3EEB" w:rsidRPr="006A01A8" w:rsidRDefault="007E7854" w:rsidP="00E007AA">
      <w:pPr>
        <w:pStyle w:val="Paragraphe"/>
        <w:spacing w:line="280" w:lineRule="exact"/>
        <w:rPr>
          <w:lang w:val="en-CA"/>
        </w:rPr>
      </w:pPr>
      <w:r w:rsidRPr="006A01A8">
        <w:rPr>
          <w:rFonts w:cs="Arial"/>
          <w:lang w:val="en-CA"/>
        </w:rPr>
        <w:t>This is not so in Quebec.</w:t>
      </w:r>
      <w:r w:rsidR="002C1928" w:rsidRPr="006A01A8">
        <w:rPr>
          <w:rFonts w:cs="Arial"/>
          <w:lang w:val="en-CA"/>
        </w:rPr>
        <w:t xml:space="preserve"> </w:t>
      </w:r>
      <w:r w:rsidRPr="006A01A8">
        <w:rPr>
          <w:rFonts w:cs="Arial"/>
          <w:lang w:val="en-CA"/>
        </w:rPr>
        <w:t>Re-election can lead to a trial before a “judge without a jury” within the meaning of s.</w:t>
      </w:r>
      <w:r w:rsidR="002C1928" w:rsidRPr="006A01A8">
        <w:rPr>
          <w:rFonts w:cs="Arial"/>
          <w:lang w:val="en-CA"/>
        </w:rPr>
        <w:t> </w:t>
      </w:r>
      <w:r w:rsidRPr="006A01A8">
        <w:rPr>
          <w:rFonts w:cs="Arial"/>
          <w:lang w:val="en-CA"/>
        </w:rPr>
        <w:t xml:space="preserve">552 </w:t>
      </w:r>
      <w:r w:rsidRPr="006A01A8">
        <w:rPr>
          <w:rFonts w:cs="Arial"/>
          <w:i/>
          <w:lang w:val="en-CA"/>
        </w:rPr>
        <w:t>Cr. C.</w:t>
      </w:r>
      <w:r w:rsidR="00A332B8">
        <w:rPr>
          <w:rFonts w:cs="Arial"/>
          <w:iCs/>
          <w:lang w:val="en-CA"/>
        </w:rPr>
        <w:t>,</w:t>
      </w:r>
      <w:r w:rsidRPr="006A01A8">
        <w:rPr>
          <w:rFonts w:cs="Arial"/>
          <w:lang w:val="en-CA"/>
        </w:rPr>
        <w:t xml:space="preserve"> which is then held before the Court of Québec.</w:t>
      </w:r>
      <w:r w:rsidR="002C1928" w:rsidRPr="006A01A8">
        <w:rPr>
          <w:lang w:val="en-CA"/>
        </w:rPr>
        <w:t xml:space="preserve"> </w:t>
      </w:r>
      <w:r w:rsidRPr="006A01A8">
        <w:rPr>
          <w:lang w:val="en-CA"/>
        </w:rPr>
        <w:t xml:space="preserve">In </w:t>
      </w:r>
      <w:r w:rsidRPr="006A01A8">
        <w:rPr>
          <w:i/>
          <w:lang w:val="en-CA"/>
        </w:rPr>
        <w:t>Hamel</w:t>
      </w:r>
      <w:r w:rsidRPr="006A01A8">
        <w:rPr>
          <w:lang w:val="en-CA"/>
        </w:rPr>
        <w:t xml:space="preserve">, this re-election was </w:t>
      </w:r>
      <w:r w:rsidR="00246966">
        <w:rPr>
          <w:lang w:val="en-CA"/>
        </w:rPr>
        <w:t>made</w:t>
      </w:r>
      <w:r w:rsidRPr="006A01A8">
        <w:rPr>
          <w:lang w:val="en-CA"/>
        </w:rPr>
        <w:t xml:space="preserve"> during the preliminary inquiry after a waiver </w:t>
      </w:r>
      <w:r w:rsidR="00246966">
        <w:rPr>
          <w:lang w:val="en-CA"/>
        </w:rPr>
        <w:t xml:space="preserve">under </w:t>
      </w:r>
      <w:r w:rsidRPr="006A01A8">
        <w:rPr>
          <w:lang w:val="en-CA"/>
        </w:rPr>
        <w:t>s.</w:t>
      </w:r>
      <w:r w:rsidR="002C1928" w:rsidRPr="006A01A8">
        <w:rPr>
          <w:rFonts w:cs="Arial"/>
          <w:lang w:val="en-CA"/>
        </w:rPr>
        <w:t> 549 </w:t>
      </w:r>
      <w:r w:rsidR="00997726">
        <w:rPr>
          <w:i/>
          <w:lang w:val="en-CA"/>
        </w:rPr>
        <w:t>Cr. C</w:t>
      </w:r>
      <w:r w:rsidR="002C1928" w:rsidRPr="006A01A8">
        <w:rPr>
          <w:i/>
          <w:lang w:val="en-CA"/>
        </w:rPr>
        <w:t>.</w:t>
      </w:r>
      <w:r w:rsidR="002C1928" w:rsidRPr="006A01A8">
        <w:rPr>
          <w:iCs/>
          <w:lang w:val="en-CA"/>
        </w:rPr>
        <w:t xml:space="preserve"> </w:t>
      </w:r>
      <w:r w:rsidRPr="006A01A8">
        <w:rPr>
          <w:iCs/>
          <w:lang w:val="en-CA"/>
        </w:rPr>
        <w:t>This Court ruled that the</w:t>
      </w:r>
      <w:r w:rsidR="00A57A9C">
        <w:rPr>
          <w:iCs/>
          <w:lang w:val="en-CA"/>
        </w:rPr>
        <w:t xml:space="preserve"> applicable</w:t>
      </w:r>
      <w:r w:rsidRPr="006A01A8">
        <w:rPr>
          <w:iCs/>
          <w:lang w:val="en-CA"/>
        </w:rPr>
        <w:t xml:space="preserve"> ceiling was </w:t>
      </w:r>
      <w:r w:rsidR="008E352C">
        <w:rPr>
          <w:iCs/>
          <w:lang w:val="en-CA"/>
        </w:rPr>
        <w:t xml:space="preserve">then </w:t>
      </w:r>
      <w:r w:rsidRPr="006A01A8">
        <w:rPr>
          <w:iCs/>
          <w:lang w:val="en-CA"/>
        </w:rPr>
        <w:t>30 months:</w:t>
      </w:r>
    </w:p>
    <w:p w14:paraId="7BDB3A0F" w14:textId="2E878D06" w:rsidR="00E0088F" w:rsidRPr="006A01A8" w:rsidRDefault="002C1928" w:rsidP="00E0088F">
      <w:pPr>
        <w:pStyle w:val="Paragraphe"/>
        <w:numPr>
          <w:ilvl w:val="0"/>
          <w:numId w:val="0"/>
        </w:numPr>
        <w:spacing w:line="280" w:lineRule="exact"/>
        <w:ind w:left="720"/>
        <w:rPr>
          <w:rFonts w:cs="Times New Roman (Corps CS)"/>
          <w:kern w:val="0"/>
          <w:sz w:val="22"/>
          <w:szCs w:val="24"/>
          <w:lang w:val="en-CA"/>
        </w:rPr>
      </w:pPr>
      <w:r w:rsidRPr="006A01A8">
        <w:rPr>
          <w:rFonts w:cs="Arial"/>
          <w:kern w:val="0"/>
          <w:sz w:val="22"/>
          <w:szCs w:val="24"/>
          <w:lang w:val="en-CA"/>
        </w:rPr>
        <w:t>[</w:t>
      </w:r>
      <w:r w:rsidRPr="006A01A8">
        <w:rPr>
          <w:rFonts w:cs="Times New Roman (Corps CS)"/>
          <w:smallCaps/>
          <w:kern w:val="0"/>
          <w:sz w:val="22"/>
          <w:szCs w:val="24"/>
          <w:lang w:val="en-CA"/>
        </w:rPr>
        <w:t>translation</w:t>
      </w:r>
      <w:r w:rsidRPr="006A01A8">
        <w:rPr>
          <w:rFonts w:cs="Arial"/>
          <w:kern w:val="0"/>
          <w:sz w:val="22"/>
          <w:szCs w:val="24"/>
          <w:lang w:val="en-CA"/>
        </w:rPr>
        <w:t>]</w:t>
      </w:r>
    </w:p>
    <w:p w14:paraId="7F5F2513" w14:textId="4D4A9A2C" w:rsidR="00CC3EEB" w:rsidRPr="006A01A8" w:rsidRDefault="007E7854" w:rsidP="00E007AA">
      <w:pPr>
        <w:pStyle w:val="JgtCit1"/>
        <w:spacing w:line="280" w:lineRule="exact"/>
        <w:rPr>
          <w:lang w:val="en-CA"/>
        </w:rPr>
      </w:pPr>
      <w:r w:rsidRPr="006A01A8">
        <w:rPr>
          <w:lang w:val="en-CA"/>
        </w:rPr>
        <w:t xml:space="preserve">[8] It is true that the appellant waived the formal holding of his preliminary inquiry, but this waiver occurred in the context of the holding of this inquiry, which had already been scheduled before a justice of the peace assigned for this purpose. It is precisely at this stage of the proceedings that the appellant </w:t>
      </w:r>
      <w:r w:rsidR="00BD1916">
        <w:rPr>
          <w:lang w:val="en-CA"/>
        </w:rPr>
        <w:t>is</w:t>
      </w:r>
      <w:r w:rsidR="00BD1916" w:rsidRPr="006A01A8">
        <w:rPr>
          <w:lang w:val="en-CA"/>
        </w:rPr>
        <w:t xml:space="preserve"> </w:t>
      </w:r>
      <w:r w:rsidRPr="006A01A8">
        <w:rPr>
          <w:lang w:val="en-CA"/>
        </w:rPr>
        <w:t xml:space="preserve">ordered to stand trial. Section 549(2) </w:t>
      </w:r>
      <w:r w:rsidRPr="006E0491">
        <w:rPr>
          <w:i/>
          <w:iCs/>
          <w:lang w:val="en-CA"/>
        </w:rPr>
        <w:t>Cr.</w:t>
      </w:r>
      <w:r w:rsidR="00A57A9C">
        <w:rPr>
          <w:i/>
          <w:iCs/>
          <w:lang w:val="en-CA"/>
        </w:rPr>
        <w:t xml:space="preserve"> </w:t>
      </w:r>
      <w:r w:rsidRPr="006E0491">
        <w:rPr>
          <w:i/>
          <w:iCs/>
          <w:lang w:val="en-CA"/>
        </w:rPr>
        <w:t>C.</w:t>
      </w:r>
      <w:r w:rsidRPr="006A01A8">
        <w:rPr>
          <w:lang w:val="en-CA"/>
        </w:rPr>
        <w:t xml:space="preserve"> sets out the consequences of an order to stand trial at the preliminary inquiry stage with the consent of the accused and the prosecutor:</w:t>
      </w:r>
      <w:r w:rsidR="002C1928" w:rsidRPr="006A01A8">
        <w:rPr>
          <w:lang w:val="en-CA"/>
        </w:rPr>
        <w:t xml:space="preserve"> </w:t>
      </w:r>
    </w:p>
    <w:p w14:paraId="001E3C9F" w14:textId="66DA1B7E" w:rsidR="00CC3EEB" w:rsidRPr="006A01A8" w:rsidRDefault="007154F8" w:rsidP="00E007AA">
      <w:pPr>
        <w:pStyle w:val="Jgtcit2"/>
        <w:spacing w:line="280" w:lineRule="exact"/>
        <w:rPr>
          <w:lang w:val="en-CA"/>
        </w:rPr>
      </w:pPr>
      <w:r w:rsidRPr="006A01A8">
        <w:rPr>
          <w:lang w:val="en-CA"/>
        </w:rPr>
        <w:lastRenderedPageBreak/>
        <w:t xml:space="preserve">549.(2) If an accused is ordered to stand trial under this section, the justice shall endorse on the information a statement of the consent of the accused and the prosecutor, </w:t>
      </w:r>
      <w:r w:rsidRPr="006A01A8">
        <w:rPr>
          <w:u w:val="single"/>
          <w:lang w:val="en-CA"/>
        </w:rPr>
        <w:t>and the accused shall after that be dealt with in all respects as if ordered to stand trial under section 548</w:t>
      </w:r>
      <w:r w:rsidRPr="006A01A8">
        <w:rPr>
          <w:lang w:val="en-CA"/>
        </w:rPr>
        <w:t>.</w:t>
      </w:r>
    </w:p>
    <w:p w14:paraId="230856D6" w14:textId="565828E9" w:rsidR="00CC3EEB" w:rsidRPr="006A01A8" w:rsidRDefault="00E0088F" w:rsidP="00E007AA">
      <w:pPr>
        <w:pStyle w:val="JgtCit1"/>
        <w:spacing w:line="280" w:lineRule="exact"/>
        <w:rPr>
          <w:lang w:val="en-CA"/>
        </w:rPr>
      </w:pPr>
      <w:r w:rsidRPr="006A01A8">
        <w:rPr>
          <w:lang w:val="en-CA"/>
        </w:rPr>
        <w:t xml:space="preserve">[9] </w:t>
      </w:r>
      <w:r w:rsidR="006F7203">
        <w:rPr>
          <w:lang w:val="en-CA"/>
        </w:rPr>
        <w:t>The judge was therefore correct in concluding that the appellant was being tried before the Court of</w:t>
      </w:r>
      <w:r w:rsidRPr="006A01A8">
        <w:rPr>
          <w:lang w:val="en-CA"/>
        </w:rPr>
        <w:t xml:space="preserve"> Québec </w:t>
      </w:r>
      <w:r w:rsidR="006F7203">
        <w:rPr>
          <w:lang w:val="en-CA"/>
        </w:rPr>
        <w:t xml:space="preserve">after being </w:t>
      </w:r>
      <w:r w:rsidR="00FC0FDD">
        <w:rPr>
          <w:lang w:val="en-CA"/>
        </w:rPr>
        <w:t>ordered to stand trial</w:t>
      </w:r>
      <w:r w:rsidR="006F7203">
        <w:rPr>
          <w:lang w:val="en-CA"/>
        </w:rPr>
        <w:t xml:space="preserve"> </w:t>
      </w:r>
      <w:r w:rsidR="006E0491">
        <w:rPr>
          <w:lang w:val="en-CA"/>
        </w:rPr>
        <w:t>following</w:t>
      </w:r>
      <w:r w:rsidR="00734607">
        <w:rPr>
          <w:lang w:val="en-CA"/>
        </w:rPr>
        <w:t xml:space="preserve"> a preliminary inquiry</w:t>
      </w:r>
      <w:r w:rsidRPr="006A01A8">
        <w:rPr>
          <w:lang w:val="en-CA"/>
        </w:rPr>
        <w:t>. The case law provides that a</w:t>
      </w:r>
      <w:r w:rsidR="002C1928" w:rsidRPr="006A01A8">
        <w:rPr>
          <w:lang w:val="en-CA"/>
        </w:rPr>
        <w:t xml:space="preserve"> 30-month ceiling applies in such circumstances. </w:t>
      </w:r>
    </w:p>
    <w:p w14:paraId="11F816A1" w14:textId="303ACB40" w:rsidR="00CC3EEB" w:rsidRPr="006A01A8" w:rsidRDefault="002C1928" w:rsidP="00E007AA">
      <w:pPr>
        <w:pStyle w:val="JgtCit1"/>
        <w:spacing w:line="280" w:lineRule="exact"/>
        <w:rPr>
          <w:lang w:val="en-CA"/>
        </w:rPr>
      </w:pPr>
      <w:r w:rsidRPr="00A32AD3">
        <w:rPr>
          <w:i/>
          <w:iCs/>
        </w:rPr>
        <w:t>R. c. Hamel</w:t>
      </w:r>
      <w:r w:rsidRPr="00A32AD3">
        <w:t>, 2022 QCCA 476</w:t>
      </w:r>
      <w:r w:rsidR="007E7854" w:rsidRPr="00A32AD3">
        <w:t xml:space="preserve"> at paras. </w:t>
      </w:r>
      <w:r w:rsidR="007E7854" w:rsidRPr="006A01A8">
        <w:rPr>
          <w:lang w:val="en-CA"/>
        </w:rPr>
        <w:t>8 and</w:t>
      </w:r>
      <w:r w:rsidRPr="006A01A8">
        <w:rPr>
          <w:lang w:val="en-CA"/>
        </w:rPr>
        <w:t xml:space="preserve"> 9 (</w:t>
      </w:r>
      <w:r w:rsidR="007E7854" w:rsidRPr="006A01A8">
        <w:rPr>
          <w:lang w:val="en-CA"/>
        </w:rPr>
        <w:t>references omitted</w:t>
      </w:r>
      <w:r w:rsidRPr="006A01A8">
        <w:rPr>
          <w:lang w:val="en-CA"/>
        </w:rPr>
        <w:t xml:space="preserve">, </w:t>
      </w:r>
      <w:r w:rsidR="00246966">
        <w:rPr>
          <w:lang w:val="en-CA"/>
        </w:rPr>
        <w:t>emphasis</w:t>
      </w:r>
      <w:r w:rsidR="007E7854" w:rsidRPr="006A01A8">
        <w:rPr>
          <w:lang w:val="en-CA"/>
        </w:rPr>
        <w:t xml:space="preserve"> in </w:t>
      </w:r>
      <w:r w:rsidR="00246966">
        <w:rPr>
          <w:lang w:val="en-CA"/>
        </w:rPr>
        <w:t>original</w:t>
      </w:r>
      <w:r w:rsidRPr="006A01A8">
        <w:rPr>
          <w:lang w:val="en-CA"/>
        </w:rPr>
        <w:t>).</w:t>
      </w:r>
    </w:p>
    <w:p w14:paraId="7588D9E7" w14:textId="76AE149C" w:rsidR="00CC3EEB" w:rsidRPr="006A01A8" w:rsidRDefault="00246966" w:rsidP="00E007AA">
      <w:pPr>
        <w:pStyle w:val="Paragraphe"/>
        <w:spacing w:line="280" w:lineRule="exact"/>
        <w:rPr>
          <w:lang w:val="en-CA"/>
        </w:rPr>
      </w:pPr>
      <w:r>
        <w:rPr>
          <w:rFonts w:cs="Arial"/>
          <w:lang w:val="en-CA"/>
        </w:rPr>
        <w:t>T</w:t>
      </w:r>
      <w:r w:rsidRPr="006A01A8">
        <w:rPr>
          <w:rFonts w:cs="Arial"/>
          <w:lang w:val="en-CA"/>
        </w:rPr>
        <w:t xml:space="preserve">he Court of Québec is divided on the applicable ceiling </w:t>
      </w:r>
      <w:r w:rsidR="00D92745">
        <w:rPr>
          <w:rFonts w:cs="Arial"/>
          <w:lang w:val="en-CA"/>
        </w:rPr>
        <w:t xml:space="preserve">when it hears a trial, </w:t>
      </w:r>
      <w:r w:rsidR="007E7854" w:rsidRPr="006A01A8">
        <w:rPr>
          <w:rFonts w:cs="Arial"/>
          <w:lang w:val="en-CA"/>
        </w:rPr>
        <w:t xml:space="preserve">without a preliminary inquiry, as a judge </w:t>
      </w:r>
      <w:r>
        <w:rPr>
          <w:rFonts w:cs="Arial"/>
          <w:lang w:val="en-CA"/>
        </w:rPr>
        <w:t>within the meaning of</w:t>
      </w:r>
      <w:r w:rsidR="007E7854" w:rsidRPr="006A01A8">
        <w:rPr>
          <w:rFonts w:cs="Arial"/>
          <w:lang w:val="en-CA"/>
        </w:rPr>
        <w:t xml:space="preserve"> s. 552 </w:t>
      </w:r>
      <w:r w:rsidR="007E7854" w:rsidRPr="006A01A8">
        <w:rPr>
          <w:rFonts w:cs="Arial"/>
          <w:i/>
          <w:lang w:val="en-CA"/>
        </w:rPr>
        <w:t>Cr. C.</w:t>
      </w:r>
      <w:r w:rsidR="002C1928" w:rsidRPr="006A01A8">
        <w:rPr>
          <w:lang w:val="en-CA"/>
        </w:rPr>
        <w:t xml:space="preserve"> </w:t>
      </w:r>
      <w:r w:rsidR="007E7854" w:rsidRPr="006A01A8">
        <w:rPr>
          <w:lang w:val="en-CA"/>
        </w:rPr>
        <w:t>In</w:t>
      </w:r>
      <w:r w:rsidR="002C1928" w:rsidRPr="006A01A8">
        <w:rPr>
          <w:lang w:val="en-CA"/>
        </w:rPr>
        <w:t xml:space="preserve"> </w:t>
      </w:r>
      <w:r w:rsidR="002C1928" w:rsidRPr="006A01A8">
        <w:rPr>
          <w:i/>
          <w:iCs/>
          <w:lang w:val="en-CA"/>
        </w:rPr>
        <w:t>R. c. Côté</w:t>
      </w:r>
      <w:r w:rsidR="002C1928" w:rsidRPr="006A01A8">
        <w:rPr>
          <w:lang w:val="en-CA"/>
        </w:rPr>
        <w:t xml:space="preserve">, 2018 QCCQ 1763, </w:t>
      </w:r>
      <w:r w:rsidR="007E7854" w:rsidRPr="006A01A8">
        <w:rPr>
          <w:lang w:val="en-CA"/>
        </w:rPr>
        <w:t xml:space="preserve">the judge </w:t>
      </w:r>
      <w:r w:rsidR="00714523">
        <w:rPr>
          <w:lang w:val="en-CA"/>
        </w:rPr>
        <w:t>ruled</w:t>
      </w:r>
      <w:r w:rsidR="00714523" w:rsidRPr="006A01A8">
        <w:rPr>
          <w:lang w:val="en-CA"/>
        </w:rPr>
        <w:t xml:space="preserve"> </w:t>
      </w:r>
      <w:r w:rsidR="007E7854" w:rsidRPr="006A01A8">
        <w:rPr>
          <w:lang w:val="en-CA"/>
        </w:rPr>
        <w:t xml:space="preserve">that the ceiling was 18 </w:t>
      </w:r>
      <w:r w:rsidR="008C0B43" w:rsidRPr="006A01A8">
        <w:rPr>
          <w:lang w:val="en-CA"/>
        </w:rPr>
        <w:t>months</w:t>
      </w:r>
      <w:r w:rsidR="007E7854" w:rsidRPr="006A01A8">
        <w:rPr>
          <w:lang w:val="en-CA"/>
        </w:rPr>
        <w:t xml:space="preserve">. Others </w:t>
      </w:r>
      <w:r>
        <w:rPr>
          <w:lang w:val="en-CA"/>
        </w:rPr>
        <w:t xml:space="preserve">have </w:t>
      </w:r>
      <w:r w:rsidR="007E7854" w:rsidRPr="006A01A8">
        <w:rPr>
          <w:lang w:val="en-CA"/>
        </w:rPr>
        <w:t xml:space="preserve">concluded that </w:t>
      </w:r>
      <w:r w:rsidR="00714523">
        <w:rPr>
          <w:lang w:val="en-CA"/>
        </w:rPr>
        <w:t>the</w:t>
      </w:r>
      <w:r w:rsidR="00714523" w:rsidRPr="006A01A8">
        <w:rPr>
          <w:lang w:val="en-CA"/>
        </w:rPr>
        <w:t xml:space="preserve"> </w:t>
      </w:r>
      <w:r w:rsidR="007E7854" w:rsidRPr="006A01A8">
        <w:rPr>
          <w:lang w:val="en-CA"/>
        </w:rPr>
        <w:t>30-month ceiling applie</w:t>
      </w:r>
      <w:r>
        <w:rPr>
          <w:lang w:val="en-CA"/>
        </w:rPr>
        <w:t>s</w:t>
      </w:r>
      <w:r w:rsidR="007E7854" w:rsidRPr="006A01A8">
        <w:rPr>
          <w:lang w:val="en-CA"/>
        </w:rPr>
        <w:t xml:space="preserve">: </w:t>
      </w:r>
      <w:r w:rsidR="002C1928" w:rsidRPr="006A01A8">
        <w:rPr>
          <w:i/>
          <w:iCs/>
          <w:lang w:val="en-CA"/>
        </w:rPr>
        <w:t>R. c. Catania</w:t>
      </w:r>
      <w:r w:rsidR="002C1928" w:rsidRPr="006A01A8">
        <w:rPr>
          <w:lang w:val="en-CA"/>
        </w:rPr>
        <w:t xml:space="preserve">, 2016 QCCQ 15023; </w:t>
      </w:r>
      <w:r w:rsidR="002C1928" w:rsidRPr="006A01A8">
        <w:rPr>
          <w:i/>
          <w:iCs/>
          <w:lang w:val="en-CA"/>
        </w:rPr>
        <w:t>R. c. Deschenes et al.</w:t>
      </w:r>
      <w:r w:rsidR="002C1928" w:rsidRPr="006A01A8">
        <w:rPr>
          <w:lang w:val="en-CA"/>
        </w:rPr>
        <w:t xml:space="preserve">, 2017 QCCQ 18086; </w:t>
      </w:r>
      <w:r w:rsidR="002C1928" w:rsidRPr="006A01A8">
        <w:rPr>
          <w:i/>
          <w:iCs/>
          <w:lang w:val="en-CA"/>
        </w:rPr>
        <w:t>R.</w:t>
      </w:r>
      <w:r w:rsidR="007E7854" w:rsidRPr="006A01A8">
        <w:rPr>
          <w:i/>
          <w:iCs/>
          <w:lang w:val="en-CA"/>
        </w:rPr>
        <w:t> </w:t>
      </w:r>
      <w:r w:rsidR="002C1928" w:rsidRPr="006A01A8">
        <w:rPr>
          <w:i/>
          <w:iCs/>
          <w:lang w:val="en-CA"/>
        </w:rPr>
        <w:t>c.</w:t>
      </w:r>
      <w:r w:rsidR="007E7854" w:rsidRPr="006A01A8">
        <w:rPr>
          <w:i/>
          <w:iCs/>
          <w:lang w:val="en-CA"/>
        </w:rPr>
        <w:t> </w:t>
      </w:r>
      <w:r w:rsidR="002C1928" w:rsidRPr="006A01A8">
        <w:rPr>
          <w:i/>
          <w:iCs/>
          <w:lang w:val="en-CA"/>
        </w:rPr>
        <w:t>Seepersad</w:t>
      </w:r>
      <w:r w:rsidR="002C1928" w:rsidRPr="006A01A8">
        <w:rPr>
          <w:lang w:val="en-CA"/>
        </w:rPr>
        <w:t>, 2024 QCCQ 1787.</w:t>
      </w:r>
    </w:p>
    <w:p w14:paraId="44B59B38" w14:textId="0F59A16E" w:rsidR="00CC3EEB" w:rsidRPr="006A01A8" w:rsidRDefault="007E7854" w:rsidP="00E007AA">
      <w:pPr>
        <w:pStyle w:val="Paragraphe"/>
        <w:spacing w:line="280" w:lineRule="exact"/>
        <w:rPr>
          <w:lang w:val="en-CA"/>
        </w:rPr>
      </w:pPr>
      <w:r w:rsidRPr="006A01A8">
        <w:rPr>
          <w:lang w:val="en-CA"/>
        </w:rPr>
        <w:t>Therefore, I agree with the appellant that the failure to elect during the appearance resulted in the respondents being deemed to have elected to be tried before a Superior Court judge and a jury.</w:t>
      </w:r>
      <w:r w:rsidR="002C1928" w:rsidRPr="006A01A8">
        <w:rPr>
          <w:lang w:val="en-CA"/>
        </w:rPr>
        <w:t xml:space="preserve"> </w:t>
      </w:r>
      <w:r w:rsidRPr="006A01A8">
        <w:rPr>
          <w:lang w:val="en-CA"/>
        </w:rPr>
        <w:t xml:space="preserve">The judge </w:t>
      </w:r>
      <w:r w:rsidR="00201550" w:rsidRPr="006A01A8">
        <w:rPr>
          <w:lang w:val="en-CA"/>
        </w:rPr>
        <w:t xml:space="preserve">therefore </w:t>
      </w:r>
      <w:r w:rsidRPr="006A01A8">
        <w:rPr>
          <w:lang w:val="en-CA"/>
        </w:rPr>
        <w:t>could not conclude that the ceiling was 18 months from the start.</w:t>
      </w:r>
    </w:p>
    <w:p w14:paraId="64A3D5D8" w14:textId="7F1C6960" w:rsidR="00322EC9" w:rsidRPr="006A01A8" w:rsidRDefault="007E7854" w:rsidP="00322EC9">
      <w:pPr>
        <w:pStyle w:val="Paragraphe"/>
        <w:spacing w:line="280" w:lineRule="exact"/>
        <w:rPr>
          <w:lang w:val="en-CA"/>
        </w:rPr>
      </w:pPr>
      <w:r w:rsidRPr="006A01A8">
        <w:rPr>
          <w:lang w:val="en-CA"/>
        </w:rPr>
        <w:t>However, in this case, the 18-month ceiling was no longer in doubt after January 15, 2021, that is, the date the respondents elected a trial before a provincial court judge.</w:t>
      </w:r>
      <w:r w:rsidR="002C1928" w:rsidRPr="006A01A8">
        <w:rPr>
          <w:lang w:val="en-CA"/>
        </w:rPr>
        <w:t xml:space="preserve"> </w:t>
      </w:r>
      <w:r w:rsidRPr="006A01A8">
        <w:rPr>
          <w:lang w:val="en-CA"/>
        </w:rPr>
        <w:t>No waiver was raised.</w:t>
      </w:r>
      <w:r w:rsidR="002C1928" w:rsidRPr="006A01A8">
        <w:rPr>
          <w:lang w:val="en-CA"/>
        </w:rPr>
        <w:t xml:space="preserve"> </w:t>
      </w:r>
    </w:p>
    <w:p w14:paraId="061082EC" w14:textId="62B752F5" w:rsidR="00CC3EEB" w:rsidRPr="006A01A8" w:rsidRDefault="007E7854" w:rsidP="00E007AA">
      <w:pPr>
        <w:pStyle w:val="Paragraphe"/>
        <w:spacing w:line="280" w:lineRule="exact"/>
        <w:rPr>
          <w:lang w:val="en-CA"/>
        </w:rPr>
      </w:pPr>
      <w:r w:rsidRPr="006A01A8">
        <w:rPr>
          <w:lang w:val="en-CA"/>
        </w:rPr>
        <w:t xml:space="preserve">I restate the remarks of the Court in </w:t>
      </w:r>
      <w:r w:rsidRPr="006A01A8">
        <w:rPr>
          <w:i/>
          <w:lang w:val="en-CA"/>
        </w:rPr>
        <w:t>Lapointe</w:t>
      </w:r>
      <w:r w:rsidRPr="006A01A8">
        <w:rPr>
          <w:lang w:val="en-CA"/>
        </w:rPr>
        <w:t>, where it was noted:</w:t>
      </w:r>
    </w:p>
    <w:p w14:paraId="5919BF5D" w14:textId="0B5FBFD1" w:rsidR="00FE4D6C" w:rsidRPr="006A01A8" w:rsidRDefault="00FE4D6C" w:rsidP="00FE4D6C">
      <w:pPr>
        <w:pStyle w:val="Paragraphe"/>
        <w:numPr>
          <w:ilvl w:val="0"/>
          <w:numId w:val="0"/>
        </w:numPr>
        <w:spacing w:line="280" w:lineRule="exact"/>
        <w:ind w:left="720"/>
        <w:rPr>
          <w:lang w:val="en-CA"/>
        </w:rPr>
      </w:pPr>
      <w:r w:rsidRPr="006A01A8">
        <w:rPr>
          <w:rFonts w:cs="Arial"/>
          <w:smallCaps/>
          <w:lang w:val="en-CA"/>
        </w:rPr>
        <w:t>[</w:t>
      </w:r>
      <w:r w:rsidRPr="006A01A8">
        <w:rPr>
          <w:smallCaps/>
          <w:lang w:val="en-CA"/>
        </w:rPr>
        <w:t>translation</w:t>
      </w:r>
      <w:r w:rsidRPr="006A01A8">
        <w:rPr>
          <w:rFonts w:cs="Arial"/>
          <w:smallCaps/>
          <w:lang w:val="en-CA"/>
        </w:rPr>
        <w:t>]</w:t>
      </w:r>
    </w:p>
    <w:p w14:paraId="427B4777" w14:textId="43FB523C" w:rsidR="00CC3EEB" w:rsidRPr="006A01A8" w:rsidRDefault="002C1928" w:rsidP="00E007AA">
      <w:pPr>
        <w:pStyle w:val="JgtCit1"/>
        <w:spacing w:line="280" w:lineRule="exact"/>
        <w:rPr>
          <w:lang w:val="en-CA"/>
        </w:rPr>
      </w:pPr>
      <w:r w:rsidRPr="006A01A8">
        <w:rPr>
          <w:lang w:val="en-CA"/>
        </w:rPr>
        <w:t xml:space="preserve">[18] </w:t>
      </w:r>
      <w:r w:rsidR="00FE4D6C" w:rsidRPr="006A01A8">
        <w:rPr>
          <w:lang w:val="en-CA"/>
        </w:rPr>
        <w:t xml:space="preserve">Indeed, it would be disappointing and unacceptable for the analytical framework established by the Supreme Court to improve </w:t>
      </w:r>
      <w:r w:rsidR="007E7854" w:rsidRPr="006A01A8">
        <w:rPr>
          <w:lang w:val="en-CA"/>
        </w:rPr>
        <w:t>the performance</w:t>
      </w:r>
      <w:r w:rsidRPr="006A01A8">
        <w:rPr>
          <w:lang w:val="en-CA"/>
        </w:rPr>
        <w:t xml:space="preserve"> </w:t>
      </w:r>
      <w:r w:rsidR="00FE4D6C" w:rsidRPr="006A01A8">
        <w:rPr>
          <w:lang w:val="en-CA"/>
        </w:rPr>
        <w:t xml:space="preserve">of </w:t>
      </w:r>
      <w:r w:rsidR="00922874">
        <w:rPr>
          <w:lang w:val="en-CA"/>
        </w:rPr>
        <w:t xml:space="preserve">the </w:t>
      </w:r>
      <w:r w:rsidR="00FE4D6C" w:rsidRPr="006A01A8">
        <w:rPr>
          <w:lang w:val="en-CA"/>
        </w:rPr>
        <w:t>criminal justice system in this country to allow the</w:t>
      </w:r>
      <w:r w:rsidRPr="006A01A8">
        <w:rPr>
          <w:lang w:val="en-CA"/>
        </w:rPr>
        <w:t xml:space="preserve"> </w:t>
      </w:r>
      <w:r w:rsidR="00FE4D6C" w:rsidRPr="006A01A8">
        <w:rPr>
          <w:lang w:val="en-CA"/>
        </w:rPr>
        <w:t>artificial creation of a delay problem that turned out to be non-existent, since the file was progressing normally within the 30-month ceiling</w:t>
      </w:r>
      <w:r w:rsidRPr="006A01A8">
        <w:rPr>
          <w:lang w:val="en-CA"/>
        </w:rPr>
        <w:t xml:space="preserve"> applicable</w:t>
      </w:r>
      <w:r w:rsidR="00FE4D6C" w:rsidRPr="006A01A8">
        <w:rPr>
          <w:lang w:val="en-CA"/>
        </w:rPr>
        <w:t xml:space="preserve"> up to that point</w:t>
      </w:r>
      <w:r w:rsidRPr="006A01A8">
        <w:rPr>
          <w:lang w:val="en-CA"/>
        </w:rPr>
        <w:t>.</w:t>
      </w:r>
    </w:p>
    <w:p w14:paraId="0E716EC2" w14:textId="1F234D18" w:rsidR="00CC3EEB" w:rsidRPr="006A01A8" w:rsidRDefault="002C1928" w:rsidP="00E007AA">
      <w:pPr>
        <w:pStyle w:val="JgtCit1"/>
        <w:spacing w:line="280" w:lineRule="exact"/>
        <w:rPr>
          <w:lang w:val="en-CA"/>
        </w:rPr>
      </w:pPr>
      <w:r w:rsidRPr="006A01A8">
        <w:rPr>
          <w:i/>
          <w:iCs/>
          <w:lang w:val="en-CA"/>
        </w:rPr>
        <w:t>R. c. Lapointe</w:t>
      </w:r>
      <w:r w:rsidRPr="006A01A8">
        <w:rPr>
          <w:lang w:val="en-CA"/>
        </w:rPr>
        <w:t>, 2021 QCCA 152</w:t>
      </w:r>
      <w:r w:rsidR="007E7854" w:rsidRPr="006A01A8">
        <w:rPr>
          <w:lang w:val="en-CA"/>
        </w:rPr>
        <w:t xml:space="preserve"> at para.</w:t>
      </w:r>
      <w:r w:rsidRPr="006A01A8">
        <w:rPr>
          <w:lang w:val="en-CA"/>
        </w:rPr>
        <w:t xml:space="preserve"> 18, </w:t>
      </w:r>
      <w:r w:rsidR="007E7854" w:rsidRPr="006A01A8">
        <w:rPr>
          <w:lang w:val="en-CA"/>
        </w:rPr>
        <w:t>citing</w:t>
      </w:r>
      <w:r w:rsidRPr="006A01A8">
        <w:rPr>
          <w:lang w:val="en-CA"/>
        </w:rPr>
        <w:t xml:space="preserve"> </w:t>
      </w:r>
      <w:r w:rsidRPr="006A01A8">
        <w:rPr>
          <w:i/>
          <w:iCs/>
          <w:lang w:val="en-CA"/>
        </w:rPr>
        <w:t xml:space="preserve">R. </w:t>
      </w:r>
      <w:r w:rsidR="007E7854" w:rsidRPr="006A01A8">
        <w:rPr>
          <w:i/>
          <w:iCs/>
          <w:lang w:val="en-CA"/>
        </w:rPr>
        <w:t>v</w:t>
      </w:r>
      <w:r w:rsidRPr="006A01A8">
        <w:rPr>
          <w:i/>
          <w:iCs/>
          <w:lang w:val="en-CA"/>
        </w:rPr>
        <w:t>. Shaikh</w:t>
      </w:r>
      <w:r w:rsidRPr="006A01A8">
        <w:rPr>
          <w:lang w:val="en-CA"/>
        </w:rPr>
        <w:t xml:space="preserve">, 2019 ONCA 895, </w:t>
      </w:r>
      <w:r w:rsidR="007E7854" w:rsidRPr="006A01A8">
        <w:rPr>
          <w:lang w:val="en-CA"/>
        </w:rPr>
        <w:t xml:space="preserve">at </w:t>
      </w:r>
      <w:r w:rsidRPr="006A01A8">
        <w:rPr>
          <w:lang w:val="en-CA"/>
        </w:rPr>
        <w:t>par</w:t>
      </w:r>
      <w:r w:rsidR="007E7854" w:rsidRPr="006A01A8">
        <w:rPr>
          <w:lang w:val="en-CA"/>
        </w:rPr>
        <w:t>a</w:t>
      </w:r>
      <w:r w:rsidRPr="006A01A8">
        <w:rPr>
          <w:lang w:val="en-CA"/>
        </w:rPr>
        <w:t>. 57.</w:t>
      </w:r>
    </w:p>
    <w:p w14:paraId="30B2C9BE" w14:textId="1A291721" w:rsidR="00CC3EEB" w:rsidRPr="006A01A8" w:rsidRDefault="007E7854" w:rsidP="00F9354F">
      <w:pPr>
        <w:pStyle w:val="Paragraphe"/>
        <w:keepLines/>
        <w:spacing w:line="280" w:lineRule="exact"/>
        <w:rPr>
          <w:lang w:val="en-CA"/>
        </w:rPr>
      </w:pPr>
      <w:r w:rsidRPr="006A01A8">
        <w:rPr>
          <w:lang w:val="en-CA"/>
        </w:rPr>
        <w:lastRenderedPageBreak/>
        <w:t>In this case, it cannot be said that the respondents artificially created the 18-month delay to which the appellant consented.</w:t>
      </w:r>
      <w:r w:rsidR="002C1928" w:rsidRPr="006A01A8">
        <w:rPr>
          <w:lang w:val="en-CA"/>
        </w:rPr>
        <w:t xml:space="preserve"> </w:t>
      </w:r>
      <w:r w:rsidRPr="006A01A8">
        <w:rPr>
          <w:lang w:val="en-CA"/>
        </w:rPr>
        <w:t>I am also of the view that what followed illustrates that the case was not tried with the desired speed.</w:t>
      </w:r>
      <w:r w:rsidR="002C1928" w:rsidRPr="006A01A8">
        <w:rPr>
          <w:lang w:val="en-CA"/>
        </w:rPr>
        <w:t xml:space="preserve"> </w:t>
      </w:r>
      <w:r w:rsidRPr="006A01A8">
        <w:rPr>
          <w:lang w:val="en-CA"/>
        </w:rPr>
        <w:t xml:space="preserve">Indeed, the appellant </w:t>
      </w:r>
      <w:r w:rsidR="001055B9">
        <w:rPr>
          <w:lang w:val="en-CA"/>
        </w:rPr>
        <w:t>stumbled on</w:t>
      </w:r>
      <w:r w:rsidRPr="006A01A8">
        <w:rPr>
          <w:lang w:val="en-CA"/>
        </w:rPr>
        <w:t xml:space="preserve"> two </w:t>
      </w:r>
      <w:r w:rsidR="00E85A79">
        <w:rPr>
          <w:lang w:val="en-CA"/>
        </w:rPr>
        <w:t xml:space="preserve">self-created </w:t>
      </w:r>
      <w:r w:rsidR="001055B9">
        <w:rPr>
          <w:lang w:val="en-CA"/>
        </w:rPr>
        <w:t>obstacles</w:t>
      </w:r>
      <w:r w:rsidRPr="006A01A8">
        <w:rPr>
          <w:lang w:val="en-CA"/>
        </w:rPr>
        <w:t>, that is</w:t>
      </w:r>
      <w:r w:rsidR="00246966">
        <w:rPr>
          <w:lang w:val="en-CA"/>
        </w:rPr>
        <w:t>,</w:t>
      </w:r>
      <w:r w:rsidRPr="006A01A8">
        <w:rPr>
          <w:lang w:val="en-CA"/>
        </w:rPr>
        <w:t xml:space="preserve"> the </w:t>
      </w:r>
      <w:r w:rsidR="001055B9" w:rsidRPr="006A01A8">
        <w:rPr>
          <w:lang w:val="en-CA"/>
        </w:rPr>
        <w:t xml:space="preserve">evidence </w:t>
      </w:r>
      <w:r w:rsidRPr="006A01A8">
        <w:rPr>
          <w:lang w:val="en-CA"/>
        </w:rPr>
        <w:t xml:space="preserve">disclosure and </w:t>
      </w:r>
      <w:r w:rsidR="00AD1BFA">
        <w:rPr>
          <w:lang w:val="en-CA"/>
        </w:rPr>
        <w:t>consenting</w:t>
      </w:r>
      <w:r w:rsidRPr="006A01A8">
        <w:rPr>
          <w:lang w:val="en-CA"/>
        </w:rPr>
        <w:t xml:space="preserve"> to a trial before a provincial court judge.</w:t>
      </w:r>
      <w:r w:rsidR="002C1928" w:rsidRPr="006A01A8">
        <w:rPr>
          <w:lang w:val="en-CA"/>
        </w:rPr>
        <w:t xml:space="preserve"> </w:t>
      </w:r>
    </w:p>
    <w:p w14:paraId="55F23984" w14:textId="6DA8C65D" w:rsidR="00CC3EEB" w:rsidRPr="006A01A8" w:rsidRDefault="007E7854" w:rsidP="00E007AA">
      <w:pPr>
        <w:pStyle w:val="JgtParagraphe"/>
        <w:spacing w:line="280" w:lineRule="exact"/>
        <w:rPr>
          <w:lang w:val="en-CA"/>
        </w:rPr>
      </w:pPr>
      <w:r w:rsidRPr="006A01A8">
        <w:rPr>
          <w:lang w:val="en-CA"/>
        </w:rPr>
        <w:t xml:space="preserve">The </w:t>
      </w:r>
      <w:r w:rsidR="00EE32DC">
        <w:rPr>
          <w:lang w:val="en-CA"/>
        </w:rPr>
        <w:t>conduct</w:t>
      </w:r>
      <w:r w:rsidR="001055B9" w:rsidRPr="006A01A8">
        <w:rPr>
          <w:lang w:val="en-CA"/>
        </w:rPr>
        <w:t xml:space="preserve"> </w:t>
      </w:r>
      <w:r w:rsidRPr="006A01A8">
        <w:rPr>
          <w:lang w:val="en-CA"/>
        </w:rPr>
        <w:t xml:space="preserve">of the </w:t>
      </w:r>
      <w:r w:rsidR="00D806BA">
        <w:rPr>
          <w:lang w:val="en-CA"/>
        </w:rPr>
        <w:t>case</w:t>
      </w:r>
      <w:r w:rsidR="001055B9" w:rsidRPr="006A01A8">
        <w:rPr>
          <w:lang w:val="en-CA"/>
        </w:rPr>
        <w:t xml:space="preserve"> </w:t>
      </w:r>
      <w:r w:rsidRPr="006A01A8">
        <w:rPr>
          <w:lang w:val="en-CA"/>
        </w:rPr>
        <w:t>supports the judge’s conclusion.</w:t>
      </w:r>
      <w:r w:rsidR="002C1928" w:rsidRPr="006A01A8">
        <w:rPr>
          <w:lang w:val="en-CA"/>
        </w:rPr>
        <w:t xml:space="preserve"> </w:t>
      </w:r>
      <w:r w:rsidRPr="006A01A8">
        <w:rPr>
          <w:lang w:val="en-CA"/>
        </w:rPr>
        <w:t xml:space="preserve">The police investigation continued for seven months after the initial appearance. </w:t>
      </w:r>
      <w:r w:rsidR="001055B9">
        <w:rPr>
          <w:lang w:val="en-CA"/>
        </w:rPr>
        <w:t>Nothing</w:t>
      </w:r>
      <w:r w:rsidRPr="006A01A8">
        <w:rPr>
          <w:lang w:val="en-CA"/>
        </w:rPr>
        <w:t xml:space="preserve"> indicate</w:t>
      </w:r>
      <w:r w:rsidR="001055B9">
        <w:rPr>
          <w:lang w:val="en-CA"/>
        </w:rPr>
        <w:t>s</w:t>
      </w:r>
      <w:r w:rsidRPr="006A01A8">
        <w:rPr>
          <w:lang w:val="en-CA"/>
        </w:rPr>
        <w:t xml:space="preserve"> that the appellant was ready to proceed. On the contrary, </w:t>
      </w:r>
      <w:r w:rsidR="00E85A79">
        <w:rPr>
          <w:lang w:val="en-CA"/>
        </w:rPr>
        <w:t>the appellant</w:t>
      </w:r>
      <w:r w:rsidR="001055B9" w:rsidRPr="006A01A8">
        <w:rPr>
          <w:lang w:val="en-CA"/>
        </w:rPr>
        <w:t xml:space="preserve"> </w:t>
      </w:r>
      <w:r w:rsidRPr="006A01A8">
        <w:rPr>
          <w:lang w:val="en-CA"/>
        </w:rPr>
        <w:t xml:space="preserve">laid new charges and attempted to hold a trial </w:t>
      </w:r>
      <w:proofErr w:type="gramStart"/>
      <w:r w:rsidRPr="006A01A8">
        <w:rPr>
          <w:lang w:val="en-CA"/>
        </w:rPr>
        <w:t>on the whole</w:t>
      </w:r>
      <w:proofErr w:type="gramEnd"/>
      <w:r w:rsidRPr="006A01A8">
        <w:rPr>
          <w:lang w:val="en-CA"/>
        </w:rPr>
        <w:t>.</w:t>
      </w:r>
      <w:r w:rsidR="002C1928" w:rsidRPr="006A01A8">
        <w:rPr>
          <w:lang w:val="en-CA"/>
        </w:rPr>
        <w:t xml:space="preserve"> </w:t>
      </w:r>
    </w:p>
    <w:p w14:paraId="48955F55" w14:textId="0863BF4B" w:rsidR="00CC3EEB" w:rsidRPr="006A01A8" w:rsidRDefault="007E7854" w:rsidP="00E007AA">
      <w:pPr>
        <w:pStyle w:val="JgtParagraphe"/>
        <w:spacing w:line="280" w:lineRule="exact"/>
        <w:rPr>
          <w:lang w:val="en-CA"/>
        </w:rPr>
      </w:pPr>
      <w:r w:rsidRPr="006A01A8">
        <w:rPr>
          <w:lang w:val="en-CA"/>
        </w:rPr>
        <w:t>I note that only about four months passed before the respondents made their election, to which the appellant consented.</w:t>
      </w:r>
      <w:r w:rsidR="002C1928" w:rsidRPr="006A01A8">
        <w:rPr>
          <w:lang w:val="en-CA"/>
        </w:rPr>
        <w:t xml:space="preserve"> </w:t>
      </w:r>
      <w:r w:rsidRPr="006A01A8">
        <w:rPr>
          <w:lang w:val="en-CA"/>
        </w:rPr>
        <w:t>Thus, although the case initially progressed with a 30-month delay, on January 15, 2021, the appellant consented to the respondents’ election of a trial before a provincial court judge.</w:t>
      </w:r>
      <w:r w:rsidR="00246966">
        <w:rPr>
          <w:lang w:val="en-CA"/>
        </w:rPr>
        <w:t xml:space="preserve"> In</w:t>
      </w:r>
      <w:r w:rsidR="002C1928" w:rsidRPr="006A01A8">
        <w:rPr>
          <w:lang w:val="en-CA"/>
        </w:rPr>
        <w:t xml:space="preserve"> </w:t>
      </w:r>
      <w:r w:rsidRPr="006A01A8">
        <w:rPr>
          <w:i/>
          <w:lang w:val="en-CA"/>
        </w:rPr>
        <w:t>R. v. Shaikh</w:t>
      </w:r>
      <w:r w:rsidRPr="006A01A8">
        <w:rPr>
          <w:lang w:val="en-CA"/>
        </w:rPr>
        <w:t>, 2019 ONCA 895</w:t>
      </w:r>
      <w:r w:rsidR="00246966">
        <w:rPr>
          <w:lang w:val="en-CA"/>
        </w:rPr>
        <w:t>, the Court of Appeal for Ontario</w:t>
      </w:r>
      <w:r w:rsidRPr="006A01A8">
        <w:rPr>
          <w:lang w:val="en-CA"/>
        </w:rPr>
        <w:t xml:space="preserve"> noted the consequences of doing so and </w:t>
      </w:r>
      <w:r w:rsidR="00E85A79">
        <w:rPr>
          <w:lang w:val="en-CA"/>
        </w:rPr>
        <w:t>the appellant could not have been unaware of it</w:t>
      </w:r>
      <w:r w:rsidRPr="006A01A8">
        <w:rPr>
          <w:lang w:val="en-CA"/>
        </w:rPr>
        <w:t>.</w:t>
      </w:r>
      <w:r w:rsidR="002C1928" w:rsidRPr="006A01A8">
        <w:rPr>
          <w:lang w:val="en-CA"/>
        </w:rPr>
        <w:t xml:space="preserve"> </w:t>
      </w:r>
      <w:r w:rsidRPr="006A01A8">
        <w:rPr>
          <w:lang w:val="en-CA"/>
        </w:rPr>
        <w:t>The appellant d</w:t>
      </w:r>
      <w:r w:rsidR="00246966">
        <w:rPr>
          <w:lang w:val="en-CA"/>
        </w:rPr>
        <w:t>oes</w:t>
      </w:r>
      <w:r w:rsidRPr="006A01A8">
        <w:rPr>
          <w:lang w:val="en-CA"/>
        </w:rPr>
        <w:t xml:space="preserve"> not </w:t>
      </w:r>
      <w:r w:rsidR="00246966">
        <w:rPr>
          <w:lang w:val="en-CA"/>
        </w:rPr>
        <w:t xml:space="preserve">appear to have </w:t>
      </w:r>
      <w:r w:rsidR="00E85A79">
        <w:rPr>
          <w:lang w:val="en-CA"/>
        </w:rPr>
        <w:t>been concerned about it</w:t>
      </w:r>
      <w:r w:rsidR="00246966">
        <w:rPr>
          <w:lang w:val="en-CA"/>
        </w:rPr>
        <w:t>.</w:t>
      </w:r>
      <w:r w:rsidR="002C1928" w:rsidRPr="006A01A8">
        <w:rPr>
          <w:lang w:val="en-CA"/>
        </w:rPr>
        <w:t xml:space="preserve"> </w:t>
      </w:r>
      <w:r w:rsidRPr="006A01A8">
        <w:rPr>
          <w:lang w:val="en-CA"/>
        </w:rPr>
        <w:t xml:space="preserve">Rather, the appellant became tangled up in its case with the difficulties created by the </w:t>
      </w:r>
      <w:r w:rsidR="008C0B43" w:rsidRPr="006A01A8">
        <w:rPr>
          <w:lang w:val="en-CA"/>
        </w:rPr>
        <w:t>confidentiality</w:t>
      </w:r>
      <w:r w:rsidRPr="006A01A8">
        <w:rPr>
          <w:lang w:val="en-CA"/>
        </w:rPr>
        <w:t xml:space="preserve"> undertaking and the evolving </w:t>
      </w:r>
      <w:r w:rsidR="006076E3" w:rsidRPr="006A01A8">
        <w:rPr>
          <w:lang w:val="en-CA"/>
        </w:rPr>
        <w:t xml:space="preserve">evidence </w:t>
      </w:r>
      <w:r w:rsidRPr="006A01A8">
        <w:rPr>
          <w:lang w:val="en-CA"/>
        </w:rPr>
        <w:t>disclosure.</w:t>
      </w:r>
      <w:r w:rsidR="002C1928" w:rsidRPr="006A01A8">
        <w:rPr>
          <w:lang w:val="en-CA"/>
        </w:rPr>
        <w:t xml:space="preserve"> </w:t>
      </w:r>
      <w:r w:rsidRPr="006A01A8">
        <w:rPr>
          <w:lang w:val="en-CA"/>
        </w:rPr>
        <w:t xml:space="preserve">The facts on record describe the appellant as </w:t>
      </w:r>
      <w:r w:rsidR="00246966">
        <w:rPr>
          <w:lang w:val="en-CA"/>
        </w:rPr>
        <w:t>resolute</w:t>
      </w:r>
      <w:r w:rsidR="0026653C">
        <w:rPr>
          <w:lang w:val="en-CA"/>
        </w:rPr>
        <w:t xml:space="preserve"> when</w:t>
      </w:r>
      <w:r w:rsidRPr="006A01A8">
        <w:rPr>
          <w:lang w:val="en-CA"/>
        </w:rPr>
        <w:t xml:space="preserve">, in October 2021, the hearing of the motion based on s. 11(b) was announced and scheduled for </w:t>
      </w:r>
      <w:r w:rsidRPr="00EC1A3D">
        <w:rPr>
          <w:lang w:val="en-CA"/>
        </w:rPr>
        <w:t xml:space="preserve">March </w:t>
      </w:r>
      <w:r w:rsidRPr="00C52D31">
        <w:rPr>
          <w:u w:val="single"/>
          <w:lang w:val="en-CA"/>
        </w:rPr>
        <w:t>202</w:t>
      </w:r>
      <w:r w:rsidR="00FF26B6" w:rsidRPr="00C52D31">
        <w:rPr>
          <w:u w:val="single"/>
          <w:lang w:val="en-CA"/>
        </w:rPr>
        <w:t>2</w:t>
      </w:r>
      <w:r w:rsidRPr="006A01A8">
        <w:rPr>
          <w:lang w:val="en-CA"/>
        </w:rPr>
        <w:t>, that is, 18</w:t>
      </w:r>
      <w:r w:rsidR="0060514C">
        <w:rPr>
          <w:lang w:val="en-CA"/>
        </w:rPr>
        <w:t> </w:t>
      </w:r>
      <w:r w:rsidRPr="006A01A8">
        <w:rPr>
          <w:lang w:val="en-CA"/>
        </w:rPr>
        <w:t>months after the appearance in September 2020.</w:t>
      </w:r>
    </w:p>
    <w:p w14:paraId="25772CAD" w14:textId="433BD70E" w:rsidR="00CC3EEB" w:rsidRPr="006A01A8" w:rsidRDefault="007E7854" w:rsidP="00E007AA">
      <w:pPr>
        <w:pStyle w:val="JgtPositionniv2"/>
        <w:spacing w:line="280" w:lineRule="exact"/>
        <w:rPr>
          <w:lang w:val="en-CA"/>
        </w:rPr>
      </w:pPr>
      <w:r w:rsidRPr="006A01A8">
        <w:rPr>
          <w:lang w:val="en-CA"/>
        </w:rPr>
        <w:t>The effects of the pandemic</w:t>
      </w:r>
    </w:p>
    <w:p w14:paraId="67F9B8CB" w14:textId="2459C48D" w:rsidR="00CC3EEB" w:rsidRPr="006A01A8" w:rsidRDefault="007E7854" w:rsidP="00E007AA">
      <w:pPr>
        <w:pStyle w:val="Paragraphe"/>
        <w:spacing w:line="280" w:lineRule="exact"/>
        <w:rPr>
          <w:lang w:val="en-CA"/>
        </w:rPr>
      </w:pPr>
      <w:r w:rsidRPr="006A01A8">
        <w:rPr>
          <w:lang w:val="en-CA"/>
        </w:rPr>
        <w:t>The appellant made much of the upheavals caused by the pandemic.</w:t>
      </w:r>
      <w:r w:rsidR="0086435D" w:rsidRPr="006A01A8">
        <w:rPr>
          <w:lang w:val="en-CA"/>
        </w:rPr>
        <w:t xml:space="preserve"> </w:t>
      </w:r>
      <w:r w:rsidRPr="006A01A8">
        <w:rPr>
          <w:lang w:val="en-CA"/>
        </w:rPr>
        <w:t xml:space="preserve">There is no doubt that the shutdown of judicial activities </w:t>
      </w:r>
      <w:r w:rsidR="001B2540">
        <w:rPr>
          <w:lang w:val="en-CA"/>
        </w:rPr>
        <w:t>could</w:t>
      </w:r>
      <w:r w:rsidR="00C709B7">
        <w:rPr>
          <w:lang w:val="en-CA"/>
        </w:rPr>
        <w:t xml:space="preserve"> have </w:t>
      </w:r>
      <w:r w:rsidR="00AD1BFA">
        <w:rPr>
          <w:lang w:val="en-CA"/>
        </w:rPr>
        <w:t>affected</w:t>
      </w:r>
      <w:r w:rsidRPr="006A01A8">
        <w:rPr>
          <w:lang w:val="en-CA"/>
        </w:rPr>
        <w:t xml:space="preserve"> the cases in progress before the courts.</w:t>
      </w:r>
      <w:r w:rsidR="0086435D" w:rsidRPr="006A01A8">
        <w:rPr>
          <w:lang w:val="en-CA"/>
        </w:rPr>
        <w:t xml:space="preserve"> </w:t>
      </w:r>
      <w:r w:rsidR="001B2540">
        <w:rPr>
          <w:lang w:val="en-CA"/>
        </w:rPr>
        <w:t>In this case,</w:t>
      </w:r>
      <w:r w:rsidR="001B2540" w:rsidRPr="006A01A8">
        <w:rPr>
          <w:lang w:val="en-CA"/>
        </w:rPr>
        <w:t xml:space="preserve"> </w:t>
      </w:r>
      <w:r w:rsidR="001B2540">
        <w:rPr>
          <w:lang w:val="en-CA"/>
        </w:rPr>
        <w:t>t</w:t>
      </w:r>
      <w:r w:rsidR="00246966">
        <w:rPr>
          <w:lang w:val="en-CA"/>
        </w:rPr>
        <w:t>hat much</w:t>
      </w:r>
      <w:r w:rsidRPr="006A01A8">
        <w:rPr>
          <w:lang w:val="en-CA"/>
        </w:rPr>
        <w:t xml:space="preserve"> is </w:t>
      </w:r>
      <w:r w:rsidR="00A616FC" w:rsidRPr="006A01A8">
        <w:rPr>
          <w:lang w:val="en-CA"/>
        </w:rPr>
        <w:t>clear,</w:t>
      </w:r>
      <w:r w:rsidR="00246966">
        <w:rPr>
          <w:lang w:val="en-CA"/>
        </w:rPr>
        <w:t xml:space="preserve"> </w:t>
      </w:r>
      <w:r w:rsidRPr="006A01A8">
        <w:rPr>
          <w:lang w:val="en-CA"/>
        </w:rPr>
        <w:t>and no one contests</w:t>
      </w:r>
      <w:r w:rsidR="009F3845">
        <w:rPr>
          <w:lang w:val="en-CA"/>
        </w:rPr>
        <w:t>,</w:t>
      </w:r>
      <w:r w:rsidRPr="006A01A8">
        <w:rPr>
          <w:lang w:val="en-CA"/>
        </w:rPr>
        <w:t xml:space="preserve"> that the </w:t>
      </w:r>
      <w:r w:rsidR="00EE449C">
        <w:rPr>
          <w:lang w:val="en-CA"/>
        </w:rPr>
        <w:t xml:space="preserve">public </w:t>
      </w:r>
      <w:r w:rsidRPr="006A01A8">
        <w:rPr>
          <w:lang w:val="en-CA"/>
        </w:rPr>
        <w:t xml:space="preserve">health crisis was an exceptional circumstance within the meaning of </w:t>
      </w:r>
      <w:r w:rsidRPr="006A01A8">
        <w:rPr>
          <w:i/>
          <w:lang w:val="en-CA"/>
        </w:rPr>
        <w:t>Jordan</w:t>
      </w:r>
      <w:r w:rsidRPr="006A01A8">
        <w:rPr>
          <w:lang w:val="en-CA"/>
        </w:rPr>
        <w:t>.</w:t>
      </w:r>
    </w:p>
    <w:p w14:paraId="72333CAD" w14:textId="29AD0C35" w:rsidR="00CC3EEB" w:rsidRPr="006A01A8" w:rsidRDefault="007E7854" w:rsidP="00E007AA">
      <w:pPr>
        <w:pStyle w:val="Paragraphe"/>
        <w:spacing w:line="280" w:lineRule="exact"/>
        <w:rPr>
          <w:lang w:val="en-CA"/>
        </w:rPr>
      </w:pPr>
      <w:r w:rsidRPr="006A01A8">
        <w:rPr>
          <w:lang w:val="en-CA"/>
        </w:rPr>
        <w:t xml:space="preserve">Although the case </w:t>
      </w:r>
      <w:r w:rsidR="00EE449C">
        <w:rPr>
          <w:lang w:val="en-CA"/>
        </w:rPr>
        <w:t>was</w:t>
      </w:r>
      <w:r w:rsidR="0020391E">
        <w:rPr>
          <w:lang w:val="en-CA"/>
        </w:rPr>
        <w:t xml:space="preserve"> in fact</w:t>
      </w:r>
      <w:r w:rsidR="00EE449C">
        <w:rPr>
          <w:lang w:val="en-CA"/>
        </w:rPr>
        <w:t xml:space="preserve"> already </w:t>
      </w:r>
      <w:r w:rsidRPr="006A01A8">
        <w:rPr>
          <w:lang w:val="en-CA"/>
        </w:rPr>
        <w:t>opened during the shutdown of judicial activities, it was only on May 27, 2021, that is</w:t>
      </w:r>
      <w:r w:rsidR="00246966">
        <w:rPr>
          <w:lang w:val="en-CA"/>
        </w:rPr>
        <w:t>,</w:t>
      </w:r>
      <w:r w:rsidRPr="006A01A8">
        <w:rPr>
          <w:lang w:val="en-CA"/>
        </w:rPr>
        <w:t xml:space="preserve"> 11 months after the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Pr="006A01A8">
        <w:rPr>
          <w:lang w:val="en-CA"/>
        </w:rPr>
        <w:t xml:space="preserve"> “resumption” on June 29, 2020</w:t>
      </w:r>
      <w:r w:rsidR="00246966">
        <w:rPr>
          <w:lang w:val="en-CA"/>
        </w:rPr>
        <w:t>,</w:t>
      </w:r>
      <w:r w:rsidR="00246966" w:rsidRPr="00246966">
        <w:rPr>
          <w:lang w:val="en-CA"/>
        </w:rPr>
        <w:t xml:space="preserve"> </w:t>
      </w:r>
      <w:r w:rsidR="00246966" w:rsidRPr="006A01A8">
        <w:rPr>
          <w:lang w:val="en-CA"/>
        </w:rPr>
        <w:t xml:space="preserve">that the appellant announced that </w:t>
      </w:r>
      <w:r w:rsidR="00246966">
        <w:rPr>
          <w:lang w:val="en-CA"/>
        </w:rPr>
        <w:t>it</w:t>
      </w:r>
      <w:r w:rsidR="00246966" w:rsidRPr="006A01A8">
        <w:rPr>
          <w:lang w:val="en-CA"/>
        </w:rPr>
        <w:t xml:space="preserve"> was </w:t>
      </w:r>
      <w:r w:rsidR="00246966">
        <w:rPr>
          <w:rFonts w:cs="Arial"/>
          <w:color w:val="000000"/>
          <w:lang w:val="en-CA"/>
        </w:rPr>
        <w:t>[</w:t>
      </w:r>
      <w:r w:rsidR="00246966" w:rsidRPr="00711DEC">
        <w:rPr>
          <w:rFonts w:cs="Arial"/>
          <w:smallCaps/>
          <w:color w:val="000000"/>
          <w:lang w:val="en-CA"/>
        </w:rPr>
        <w:t>translation</w:t>
      </w:r>
      <w:r w:rsidR="00246966">
        <w:rPr>
          <w:rFonts w:cs="Arial"/>
          <w:smallCaps/>
          <w:color w:val="000000"/>
          <w:lang w:val="en-CA"/>
        </w:rPr>
        <w:t>]</w:t>
      </w:r>
      <w:r w:rsidR="00246966" w:rsidRPr="006A01A8">
        <w:rPr>
          <w:lang w:val="en-CA"/>
        </w:rPr>
        <w:t xml:space="preserve"> “ready” for the trial</w:t>
      </w:r>
      <w:r w:rsidRPr="006A01A8">
        <w:rPr>
          <w:lang w:val="en-CA"/>
        </w:rPr>
        <w:t>.</w:t>
      </w:r>
      <w:r w:rsidR="002C1928" w:rsidRPr="006A01A8">
        <w:rPr>
          <w:lang w:val="en-CA"/>
        </w:rPr>
        <w:t xml:space="preserve"> </w:t>
      </w:r>
      <w:r w:rsidRPr="006A01A8">
        <w:rPr>
          <w:lang w:val="en-CA"/>
        </w:rPr>
        <w:t xml:space="preserve">The trial date was </w:t>
      </w:r>
      <w:r w:rsidR="00246966">
        <w:rPr>
          <w:lang w:val="en-CA"/>
        </w:rPr>
        <w:t>set</w:t>
      </w:r>
      <w:r w:rsidRPr="006A01A8">
        <w:rPr>
          <w:lang w:val="en-CA"/>
        </w:rPr>
        <w:t xml:space="preserve"> on </w:t>
      </w:r>
      <w:r w:rsidRPr="00EC1A3D">
        <w:rPr>
          <w:lang w:val="en-CA"/>
        </w:rPr>
        <w:t xml:space="preserve">September 3, </w:t>
      </w:r>
      <w:r w:rsidRPr="00C52D31">
        <w:rPr>
          <w:u w:val="single"/>
          <w:lang w:val="en-CA"/>
        </w:rPr>
        <w:t>202</w:t>
      </w:r>
      <w:r w:rsidR="00FF26B6" w:rsidRPr="00C52D31">
        <w:rPr>
          <w:u w:val="single"/>
          <w:lang w:val="en-CA"/>
        </w:rPr>
        <w:t>1</w:t>
      </w:r>
      <w:r w:rsidRPr="006A01A8">
        <w:rPr>
          <w:lang w:val="en-CA"/>
        </w:rPr>
        <w:t>.</w:t>
      </w:r>
      <w:r w:rsidR="002C1928" w:rsidRPr="006A01A8">
        <w:rPr>
          <w:lang w:val="en-CA"/>
        </w:rPr>
        <w:t xml:space="preserve"> </w:t>
      </w:r>
      <w:r w:rsidR="00246966">
        <w:rPr>
          <w:lang w:val="en-CA"/>
        </w:rPr>
        <w:t xml:space="preserve">Since the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lang w:val="en-CA"/>
        </w:rPr>
        <w:t>“resumption”</w:t>
      </w:r>
      <w:r w:rsidR="00246966">
        <w:rPr>
          <w:lang w:val="en-CA"/>
        </w:rPr>
        <w:t>,</w:t>
      </w:r>
      <w:r w:rsidR="002C1928" w:rsidRPr="006A01A8">
        <w:rPr>
          <w:lang w:val="en-CA"/>
        </w:rPr>
        <w:t xml:space="preserve"> </w:t>
      </w:r>
      <w:r w:rsidR="00246966" w:rsidRPr="006A01A8">
        <w:rPr>
          <w:lang w:val="en-CA"/>
        </w:rPr>
        <w:t xml:space="preserve">14 months </w:t>
      </w:r>
      <w:r w:rsidR="00246966">
        <w:rPr>
          <w:lang w:val="en-CA"/>
        </w:rPr>
        <w:t xml:space="preserve">had </w:t>
      </w:r>
      <w:r w:rsidR="00246966" w:rsidRPr="006A01A8">
        <w:rPr>
          <w:lang w:val="en-CA"/>
        </w:rPr>
        <w:t>passed</w:t>
      </w:r>
      <w:r w:rsidR="00246966">
        <w:rPr>
          <w:lang w:val="en-CA"/>
        </w:rPr>
        <w:t>.</w:t>
      </w:r>
    </w:p>
    <w:p w14:paraId="32ABBF7F" w14:textId="11166EB5" w:rsidR="00CC3EEB" w:rsidRPr="006A01A8" w:rsidRDefault="007E7854" w:rsidP="00E007AA">
      <w:pPr>
        <w:pStyle w:val="JgtPositionniv3"/>
        <w:spacing w:line="280" w:lineRule="exact"/>
        <w:rPr>
          <w:lang w:val="en-CA"/>
        </w:rPr>
      </w:pPr>
      <w:r w:rsidRPr="006A01A8">
        <w:rPr>
          <w:lang w:val="en-CA"/>
        </w:rPr>
        <w:t xml:space="preserve">A presumptive </w:t>
      </w:r>
      <w:r w:rsidR="00246966">
        <w:rPr>
          <w:lang w:val="en-CA"/>
        </w:rPr>
        <w:t xml:space="preserve">delay </w:t>
      </w:r>
      <w:r w:rsidRPr="006A01A8">
        <w:rPr>
          <w:lang w:val="en-CA"/>
        </w:rPr>
        <w:t>for the pandemic</w:t>
      </w:r>
    </w:p>
    <w:p w14:paraId="01DE2E5A" w14:textId="5B0844B7" w:rsidR="00CC3EEB" w:rsidRPr="006A01A8" w:rsidRDefault="007E7854" w:rsidP="00E007AA">
      <w:pPr>
        <w:pStyle w:val="JgtParagraphe"/>
        <w:spacing w:line="280" w:lineRule="exact"/>
        <w:rPr>
          <w:lang w:val="en-CA"/>
        </w:rPr>
      </w:pPr>
      <w:r w:rsidRPr="006A01A8">
        <w:rPr>
          <w:lang w:val="en-CA"/>
        </w:rPr>
        <w:t xml:space="preserve">After </w:t>
      </w:r>
      <w:r w:rsidR="00246966">
        <w:rPr>
          <w:lang w:val="en-CA"/>
        </w:rPr>
        <w:t>hearing</w:t>
      </w:r>
      <w:r w:rsidRPr="006A01A8">
        <w:rPr>
          <w:lang w:val="en-CA"/>
        </w:rPr>
        <w:t xml:space="preserve"> three appeals in the same week concerning the </w:t>
      </w:r>
      <w:r w:rsidR="006B24CD">
        <w:rPr>
          <w:lang w:val="en-CA"/>
        </w:rPr>
        <w:t xml:space="preserve">public </w:t>
      </w:r>
      <w:r w:rsidRPr="006A01A8">
        <w:rPr>
          <w:lang w:val="en-CA"/>
        </w:rPr>
        <w:t xml:space="preserve">health crisis and the delays it caused, </w:t>
      </w:r>
      <w:r w:rsidR="00246966">
        <w:rPr>
          <w:lang w:val="en-CA"/>
        </w:rPr>
        <w:t>the Court</w:t>
      </w:r>
      <w:r w:rsidRPr="006A01A8">
        <w:rPr>
          <w:lang w:val="en-CA"/>
        </w:rPr>
        <w:t xml:space="preserve"> </w:t>
      </w:r>
      <w:r w:rsidR="00246966">
        <w:rPr>
          <w:lang w:val="en-CA"/>
        </w:rPr>
        <w:t>considered</w:t>
      </w:r>
      <w:r w:rsidRPr="006A01A8">
        <w:rPr>
          <w:lang w:val="en-CA"/>
        </w:rPr>
        <w:t xml:space="preserve"> </w:t>
      </w:r>
      <w:r w:rsidR="00246966">
        <w:rPr>
          <w:lang w:val="en-CA"/>
        </w:rPr>
        <w:t>setting</w:t>
      </w:r>
      <w:r w:rsidRPr="006A01A8">
        <w:rPr>
          <w:lang w:val="en-CA"/>
        </w:rPr>
        <w:t xml:space="preserve"> a </w:t>
      </w:r>
      <w:r w:rsidR="006B24CD">
        <w:rPr>
          <w:lang w:val="en-CA"/>
        </w:rPr>
        <w:t>presumptive delay</w:t>
      </w:r>
      <w:r w:rsidRPr="006A01A8">
        <w:rPr>
          <w:lang w:val="en-CA"/>
        </w:rPr>
        <w:t xml:space="preserve"> for this exceptional circumstance, and therefore a deduction, that would be rebuttable if the accused </w:t>
      </w:r>
      <w:r w:rsidR="00246966">
        <w:rPr>
          <w:lang w:val="en-CA"/>
        </w:rPr>
        <w:t>established</w:t>
      </w:r>
      <w:r w:rsidRPr="006A01A8">
        <w:rPr>
          <w:lang w:val="en-CA"/>
        </w:rPr>
        <w:t xml:space="preserve"> that </w:t>
      </w:r>
      <w:r w:rsidR="00246966">
        <w:rPr>
          <w:lang w:val="en-CA"/>
        </w:rPr>
        <w:t xml:space="preserve">it </w:t>
      </w:r>
      <w:r w:rsidRPr="006A01A8">
        <w:rPr>
          <w:lang w:val="en-CA"/>
        </w:rPr>
        <w:t>was excessive in the circumstances of his</w:t>
      </w:r>
      <w:r w:rsidR="00246966">
        <w:rPr>
          <w:lang w:val="en-CA"/>
        </w:rPr>
        <w:t xml:space="preserve"> or her</w:t>
      </w:r>
      <w:r w:rsidRPr="006A01A8">
        <w:rPr>
          <w:lang w:val="en-CA"/>
        </w:rPr>
        <w:t xml:space="preserve"> case.</w:t>
      </w:r>
      <w:r w:rsidR="002C1928" w:rsidRPr="006A01A8">
        <w:rPr>
          <w:lang w:val="en-CA"/>
        </w:rPr>
        <w:t xml:space="preserve"> </w:t>
      </w:r>
    </w:p>
    <w:p w14:paraId="43A4E38C" w14:textId="1920C571" w:rsidR="00CC3EEB" w:rsidRPr="006A01A8" w:rsidRDefault="006E305F" w:rsidP="00E007AA">
      <w:pPr>
        <w:pStyle w:val="JgtParagraphe"/>
        <w:spacing w:line="280" w:lineRule="exact"/>
        <w:rPr>
          <w:lang w:val="en-CA"/>
        </w:rPr>
      </w:pPr>
      <w:r>
        <w:rPr>
          <w:lang w:val="en-CA"/>
        </w:rPr>
        <w:lastRenderedPageBreak/>
        <w:t>Other than</w:t>
      </w:r>
      <w:r w:rsidR="007E7854" w:rsidRPr="006A01A8">
        <w:rPr>
          <w:lang w:val="en-CA"/>
        </w:rPr>
        <w:t xml:space="preserve"> </w:t>
      </w:r>
      <w:r w:rsidR="007E7854" w:rsidRPr="006A01A8">
        <w:rPr>
          <w:i/>
          <w:lang w:val="en-CA"/>
        </w:rPr>
        <w:t>Leclair</w:t>
      </w:r>
      <w:r w:rsidR="007E7854" w:rsidRPr="006A01A8">
        <w:rPr>
          <w:lang w:val="en-CA"/>
        </w:rPr>
        <w:t xml:space="preserve"> (</w:t>
      </w:r>
      <w:r>
        <w:rPr>
          <w:lang w:val="en-CA"/>
        </w:rPr>
        <w:t>No.</w:t>
      </w:r>
      <w:r w:rsidRPr="006A01A8">
        <w:rPr>
          <w:lang w:val="en-CA"/>
        </w:rPr>
        <w:t xml:space="preserve"> </w:t>
      </w:r>
      <w:r w:rsidR="007E7854" w:rsidRPr="006A01A8">
        <w:rPr>
          <w:lang w:val="en-CA"/>
        </w:rPr>
        <w:t xml:space="preserve">500-10-007873-225) and </w:t>
      </w:r>
      <w:r w:rsidR="007E7854" w:rsidRPr="006A01A8">
        <w:rPr>
          <w:i/>
          <w:lang w:val="en-CA"/>
        </w:rPr>
        <w:t>Rivera</w:t>
      </w:r>
      <w:r w:rsidR="007E7854" w:rsidRPr="006A01A8">
        <w:rPr>
          <w:lang w:val="en-CA"/>
        </w:rPr>
        <w:t xml:space="preserve"> (</w:t>
      </w:r>
      <w:r>
        <w:rPr>
          <w:lang w:val="en-CA"/>
        </w:rPr>
        <w:t>No.</w:t>
      </w:r>
      <w:r w:rsidRPr="006A01A8">
        <w:rPr>
          <w:lang w:val="en-CA"/>
        </w:rPr>
        <w:t xml:space="preserve"> </w:t>
      </w:r>
      <w:r w:rsidR="007E7854" w:rsidRPr="006A01A8">
        <w:rPr>
          <w:lang w:val="en-CA"/>
        </w:rPr>
        <w:t>500-10-007606-211)</w:t>
      </w:r>
      <w:r w:rsidR="00246966">
        <w:rPr>
          <w:lang w:val="en-CA"/>
        </w:rPr>
        <w:t>,</w:t>
      </w:r>
      <w:r w:rsidR="007E7854" w:rsidRPr="006A01A8">
        <w:rPr>
          <w:lang w:val="en-CA"/>
        </w:rPr>
        <w:t xml:space="preserve"> </w:t>
      </w:r>
      <w:r w:rsidR="00246966">
        <w:rPr>
          <w:lang w:val="en-CA"/>
        </w:rPr>
        <w:t>which provided</w:t>
      </w:r>
      <w:r w:rsidR="007E7854" w:rsidRPr="006A01A8">
        <w:rPr>
          <w:lang w:val="en-CA"/>
        </w:rPr>
        <w:t xml:space="preserve"> food for thought, it was this case that </w:t>
      </w:r>
      <w:r w:rsidR="00246966">
        <w:rPr>
          <w:lang w:val="en-CA"/>
        </w:rPr>
        <w:t>prompted this reflection</w:t>
      </w:r>
      <w:r w:rsidR="007E7854" w:rsidRPr="006A01A8">
        <w:rPr>
          <w:lang w:val="en-CA"/>
        </w:rPr>
        <w:t>.</w:t>
      </w:r>
      <w:r w:rsidR="002C1928" w:rsidRPr="006A01A8">
        <w:rPr>
          <w:lang w:val="en-CA"/>
        </w:rPr>
        <w:t xml:space="preserve"> </w:t>
      </w:r>
      <w:r w:rsidR="007E7854" w:rsidRPr="006A01A8">
        <w:rPr>
          <w:lang w:val="en-CA"/>
        </w:rPr>
        <w:t>At the Court’s request, the parties in these three cases presented written observations.</w:t>
      </w:r>
      <w:r w:rsidR="002C1928" w:rsidRPr="006A01A8">
        <w:rPr>
          <w:lang w:val="en-CA"/>
        </w:rPr>
        <w:t xml:space="preserve"> </w:t>
      </w:r>
      <w:r w:rsidR="007E7854" w:rsidRPr="006A01A8">
        <w:rPr>
          <w:lang w:val="en-CA"/>
        </w:rPr>
        <w:t xml:space="preserve">After </w:t>
      </w:r>
      <w:r>
        <w:rPr>
          <w:lang w:val="en-CA"/>
        </w:rPr>
        <w:t>duly</w:t>
      </w:r>
      <w:r w:rsidRPr="006A01A8">
        <w:rPr>
          <w:lang w:val="en-CA"/>
        </w:rPr>
        <w:t xml:space="preserve"> </w:t>
      </w:r>
      <w:r w:rsidR="007E7854" w:rsidRPr="006A01A8">
        <w:rPr>
          <w:lang w:val="en-CA"/>
        </w:rPr>
        <w:t>consider</w:t>
      </w:r>
      <w:r>
        <w:rPr>
          <w:lang w:val="en-CA"/>
        </w:rPr>
        <w:t>ing</w:t>
      </w:r>
      <w:r w:rsidR="007E7854" w:rsidRPr="006A01A8">
        <w:rPr>
          <w:lang w:val="en-CA"/>
        </w:rPr>
        <w:t xml:space="preserve"> these respective positions, it </w:t>
      </w:r>
      <w:r w:rsidRPr="006A01A8">
        <w:rPr>
          <w:lang w:val="en-CA"/>
        </w:rPr>
        <w:t>appear</w:t>
      </w:r>
      <w:r>
        <w:rPr>
          <w:lang w:val="en-CA"/>
        </w:rPr>
        <w:t>s</w:t>
      </w:r>
      <w:r w:rsidRPr="006A01A8">
        <w:rPr>
          <w:lang w:val="en-CA"/>
        </w:rPr>
        <w:t xml:space="preserve"> </w:t>
      </w:r>
      <w:r w:rsidR="008C0B43" w:rsidRPr="006A01A8">
        <w:rPr>
          <w:lang w:val="en-CA"/>
        </w:rPr>
        <w:t>inappropriate</w:t>
      </w:r>
      <w:r>
        <w:rPr>
          <w:lang w:val="en-CA"/>
        </w:rPr>
        <w:t xml:space="preserve"> to me</w:t>
      </w:r>
      <w:r w:rsidR="007E7854" w:rsidRPr="006A01A8">
        <w:rPr>
          <w:lang w:val="en-CA"/>
        </w:rPr>
        <w:t xml:space="preserve">, under the circumstances, to attribute a </w:t>
      </w:r>
      <w:r w:rsidR="00246966">
        <w:rPr>
          <w:lang w:val="en-CA"/>
        </w:rPr>
        <w:t>p</w:t>
      </w:r>
      <w:r w:rsidR="007E7854" w:rsidRPr="006A01A8">
        <w:rPr>
          <w:lang w:val="en-CA"/>
        </w:rPr>
        <w:t xml:space="preserve">resumptive </w:t>
      </w:r>
      <w:r w:rsidR="00246966">
        <w:rPr>
          <w:lang w:val="en-CA"/>
        </w:rPr>
        <w:t>delay for</w:t>
      </w:r>
      <w:r w:rsidR="007E7854" w:rsidRPr="006A01A8">
        <w:rPr>
          <w:lang w:val="en-CA"/>
        </w:rPr>
        <w:t xml:space="preserve"> the </w:t>
      </w:r>
      <w:r>
        <w:rPr>
          <w:lang w:val="en-CA"/>
        </w:rPr>
        <w:t xml:space="preserve">public </w:t>
      </w:r>
      <w:r w:rsidR="007E7854" w:rsidRPr="006A01A8">
        <w:rPr>
          <w:lang w:val="en-CA"/>
        </w:rPr>
        <w:t>health crisis.</w:t>
      </w:r>
      <w:r w:rsidR="002C1928" w:rsidRPr="006A01A8">
        <w:rPr>
          <w:lang w:val="en-CA"/>
        </w:rPr>
        <w:t xml:space="preserve"> </w:t>
      </w:r>
    </w:p>
    <w:p w14:paraId="27BA5C30" w14:textId="2DE396BC" w:rsidR="00CC3EEB" w:rsidRPr="006A01A8" w:rsidRDefault="007E7854" w:rsidP="00E007AA">
      <w:pPr>
        <w:pStyle w:val="JgtParagraphe"/>
        <w:spacing w:line="280" w:lineRule="exact"/>
        <w:rPr>
          <w:lang w:val="en-CA"/>
        </w:rPr>
      </w:pPr>
      <w:r w:rsidRPr="006A01A8">
        <w:rPr>
          <w:lang w:val="en-CA"/>
        </w:rPr>
        <w:t xml:space="preserve">The possibility of attributing a presumptive delay surfaced </w:t>
      </w:r>
      <w:r w:rsidR="006E305F">
        <w:rPr>
          <w:lang w:val="en-CA"/>
        </w:rPr>
        <w:t>during</w:t>
      </w:r>
      <w:r w:rsidRPr="006A01A8">
        <w:rPr>
          <w:lang w:val="en-CA"/>
        </w:rPr>
        <w:t xml:space="preserve"> arguments.</w:t>
      </w:r>
      <w:r w:rsidR="002C1928" w:rsidRPr="006A01A8">
        <w:rPr>
          <w:lang w:val="en-CA"/>
        </w:rPr>
        <w:t xml:space="preserve"> </w:t>
      </w:r>
      <w:r w:rsidRPr="006A01A8">
        <w:rPr>
          <w:i/>
          <w:lang w:val="en-CA"/>
        </w:rPr>
        <w:t>Jordan</w:t>
      </w:r>
      <w:proofErr w:type="gramStart"/>
      <w:r w:rsidR="006E305F">
        <w:rPr>
          <w:iCs/>
          <w:lang w:val="en-CA"/>
        </w:rPr>
        <w:t>,</w:t>
      </w:r>
      <w:r w:rsidRPr="006A01A8">
        <w:rPr>
          <w:lang w:val="en-CA"/>
        </w:rPr>
        <w:t xml:space="preserve"> </w:t>
      </w:r>
      <w:r w:rsidR="006E305F">
        <w:rPr>
          <w:lang w:val="en-CA"/>
        </w:rPr>
        <w:t>i</w:t>
      </w:r>
      <w:r w:rsidR="006E305F" w:rsidRPr="006A01A8">
        <w:rPr>
          <w:lang w:val="en-CA"/>
        </w:rPr>
        <w:t xml:space="preserve">n particular, </w:t>
      </w:r>
      <w:r w:rsidRPr="006A01A8">
        <w:rPr>
          <w:lang w:val="en-CA"/>
        </w:rPr>
        <w:t>requires</w:t>
      </w:r>
      <w:proofErr w:type="gramEnd"/>
      <w:r w:rsidRPr="006A01A8">
        <w:rPr>
          <w:lang w:val="en-CA"/>
        </w:rPr>
        <w:t xml:space="preserve"> that following a discrete</w:t>
      </w:r>
      <w:r w:rsidR="006E305F">
        <w:rPr>
          <w:lang w:val="en-CA"/>
        </w:rPr>
        <w:t>,</w:t>
      </w:r>
      <w:r w:rsidRPr="006A01A8">
        <w:rPr>
          <w:lang w:val="en-CA"/>
        </w:rPr>
        <w:t xml:space="preserve"> exceptional event, which </w:t>
      </w:r>
      <w:r w:rsidR="006E305F">
        <w:rPr>
          <w:lang w:val="en-CA"/>
        </w:rPr>
        <w:t>is the case with</w:t>
      </w:r>
      <w:r w:rsidR="006E305F" w:rsidRPr="006A01A8">
        <w:rPr>
          <w:lang w:val="en-CA"/>
        </w:rPr>
        <w:t xml:space="preserve"> </w:t>
      </w:r>
      <w:r w:rsidRPr="006A01A8">
        <w:rPr>
          <w:lang w:val="en-CA"/>
        </w:rPr>
        <w:t xml:space="preserve">the pandemic, the Crown and the courts must take measures to </w:t>
      </w:r>
      <w:r w:rsidR="00246966">
        <w:rPr>
          <w:lang w:val="en-CA"/>
        </w:rPr>
        <w:t>mitigate</w:t>
      </w:r>
      <w:r w:rsidRPr="006A01A8">
        <w:rPr>
          <w:lang w:val="en-CA"/>
        </w:rPr>
        <w:t xml:space="preserve"> the delay cause by the event, namely by prioritizing cases </w:t>
      </w:r>
      <w:r w:rsidR="00246966">
        <w:rPr>
          <w:lang w:val="en-CA"/>
        </w:rPr>
        <w:t>that have</w:t>
      </w:r>
      <w:r w:rsidRPr="006A01A8">
        <w:rPr>
          <w:lang w:val="en-CA"/>
        </w:rPr>
        <w:t xml:space="preserve"> faltered.</w:t>
      </w:r>
    </w:p>
    <w:p w14:paraId="336F5E40" w14:textId="6BF46C18" w:rsidR="00CC3EEB" w:rsidRPr="006A01A8" w:rsidRDefault="00246966" w:rsidP="00E007AA">
      <w:pPr>
        <w:pStyle w:val="JgtParagraphe"/>
        <w:spacing w:line="280" w:lineRule="exact"/>
        <w:rPr>
          <w:lang w:val="en-CA"/>
        </w:rPr>
      </w:pPr>
      <w:r>
        <w:rPr>
          <w:lang w:val="en-CA"/>
        </w:rPr>
        <w:t xml:space="preserve">The Supreme Court explains this in </w:t>
      </w:r>
      <w:r>
        <w:rPr>
          <w:i/>
          <w:iCs/>
          <w:lang w:val="en-CA"/>
        </w:rPr>
        <w:t>Jordan</w:t>
      </w:r>
      <w:r>
        <w:rPr>
          <w:lang w:val="en-CA"/>
        </w:rPr>
        <w:t>:</w:t>
      </w:r>
    </w:p>
    <w:p w14:paraId="3A98EC99" w14:textId="2D68E3F1" w:rsidR="005D5D87" w:rsidRPr="006A01A8" w:rsidRDefault="002C1928" w:rsidP="005D5D87">
      <w:pPr>
        <w:pStyle w:val="JgtCit1"/>
        <w:rPr>
          <w:lang w:val="en-CA"/>
        </w:rPr>
      </w:pPr>
      <w:r w:rsidRPr="006A01A8">
        <w:rPr>
          <w:lang w:val="en-CA"/>
        </w:rPr>
        <w:t>[75] The period of delay caused by any discrete exceptional events must be subtracted from the to</w:t>
      </w:r>
      <w:r w:rsidRPr="006A01A8">
        <w:rPr>
          <w:lang w:val="en-CA"/>
        </w:rPr>
        <w:softHyphen/>
        <w:t>tal period of delay for the purpose of determining whether the ceiling has been exceeded. Of course, the Crown must always be prepared to mitigate the delay resulting from a discrete exceptional cir</w:t>
      </w:r>
      <w:r w:rsidRPr="006A01A8">
        <w:rPr>
          <w:lang w:val="en-CA"/>
        </w:rPr>
        <w:softHyphen/>
        <w:t xml:space="preserve">cumstance. So too must the justice system. Within reason, the Crown and the justice system should be capable of prioritizing cases that have faltered due to unforeseen events (see </w:t>
      </w:r>
      <w:r w:rsidRPr="006A01A8">
        <w:rPr>
          <w:i/>
          <w:iCs/>
          <w:lang w:val="en-CA"/>
        </w:rPr>
        <w:t>R.</w:t>
      </w:r>
      <w:r w:rsidR="00246966">
        <w:rPr>
          <w:i/>
          <w:iCs/>
          <w:lang w:val="en-CA"/>
        </w:rPr>
        <w:t> </w:t>
      </w:r>
      <w:r w:rsidRPr="006A01A8">
        <w:rPr>
          <w:i/>
          <w:iCs/>
          <w:lang w:val="en-CA"/>
        </w:rPr>
        <w:t>v.</w:t>
      </w:r>
      <w:r w:rsidR="00246966">
        <w:rPr>
          <w:i/>
          <w:iCs/>
          <w:lang w:val="en-CA"/>
        </w:rPr>
        <w:t> </w:t>
      </w:r>
      <w:r w:rsidRPr="006A01A8">
        <w:rPr>
          <w:i/>
          <w:iCs/>
          <w:lang w:val="en-CA"/>
        </w:rPr>
        <w:t>Vassell</w:t>
      </w:r>
      <w:r w:rsidRPr="006A01A8">
        <w:rPr>
          <w:lang w:val="en-CA"/>
        </w:rPr>
        <w:t>, 2016 SCC 26, [2016] 1 S.C.R. 625). Thus, any portion of the delay that the Crown and the system could reason</w:t>
      </w:r>
      <w:r w:rsidRPr="006A01A8">
        <w:rPr>
          <w:lang w:val="en-CA"/>
        </w:rPr>
        <w:softHyphen/>
        <w:t xml:space="preserve">ably have mitigated may not be subtracted (i.e. it may not be appropriate to subtract the entire period of delay occasioned by discrete exceptional events). </w:t>
      </w:r>
    </w:p>
    <w:p w14:paraId="04837724" w14:textId="74631192" w:rsidR="00CC3EEB" w:rsidRPr="006A01A8" w:rsidRDefault="007E7854" w:rsidP="00E007AA">
      <w:pPr>
        <w:pStyle w:val="JgtParagraphe"/>
        <w:spacing w:line="280" w:lineRule="exact"/>
        <w:rPr>
          <w:lang w:val="en-CA"/>
        </w:rPr>
      </w:pPr>
      <w:r w:rsidRPr="006A01A8">
        <w:rPr>
          <w:lang w:val="en-CA"/>
        </w:rPr>
        <w:t>In the face of the pandemic, the proposition was simple.</w:t>
      </w:r>
      <w:r w:rsidR="002C1928" w:rsidRPr="006A01A8">
        <w:rPr>
          <w:lang w:val="en-CA"/>
        </w:rPr>
        <w:t xml:space="preserve"> </w:t>
      </w:r>
      <w:r w:rsidR="006E305F">
        <w:rPr>
          <w:lang w:val="en-CA"/>
        </w:rPr>
        <w:t>The c</w:t>
      </w:r>
      <w:r w:rsidRPr="006A01A8">
        <w:rPr>
          <w:lang w:val="en-CA"/>
        </w:rPr>
        <w:t>ourts had to temporarily suspend their activities.</w:t>
      </w:r>
      <w:r w:rsidR="002C1928" w:rsidRPr="006A01A8">
        <w:rPr>
          <w:lang w:val="en-CA"/>
        </w:rPr>
        <w:t xml:space="preserve"> </w:t>
      </w:r>
      <w:r w:rsidRPr="006A01A8">
        <w:rPr>
          <w:lang w:val="en-CA"/>
        </w:rPr>
        <w:t xml:space="preserve">Unquestionably, everyone agrees, </w:t>
      </w:r>
      <w:r w:rsidR="00246966">
        <w:rPr>
          <w:lang w:val="en-CA"/>
        </w:rPr>
        <w:t>it was</w:t>
      </w:r>
      <w:r w:rsidRPr="006A01A8">
        <w:rPr>
          <w:lang w:val="en-CA"/>
        </w:rPr>
        <w:t xml:space="preserve"> a </w:t>
      </w:r>
      <w:r w:rsidR="006E305F">
        <w:rPr>
          <w:lang w:val="en-CA"/>
        </w:rPr>
        <w:t>discrete,</w:t>
      </w:r>
      <w:r w:rsidR="006E305F" w:rsidRPr="006A01A8">
        <w:rPr>
          <w:lang w:val="en-CA"/>
        </w:rPr>
        <w:t xml:space="preserve"> </w:t>
      </w:r>
      <w:r w:rsidRPr="006A01A8">
        <w:rPr>
          <w:lang w:val="en-CA"/>
        </w:rPr>
        <w:t>exceptional event.</w:t>
      </w:r>
      <w:r w:rsidR="002C1928" w:rsidRPr="006A01A8">
        <w:rPr>
          <w:lang w:val="en-CA"/>
        </w:rPr>
        <w:t xml:space="preserve"> </w:t>
      </w:r>
      <w:r w:rsidRPr="006A01A8">
        <w:rPr>
          <w:lang w:val="en-CA"/>
        </w:rPr>
        <w:t>Realistically, the pandemic disrupted the normal course of business, and the Crown and the justice system were unable to prevent it</w:t>
      </w:r>
      <w:r w:rsidR="00246966">
        <w:rPr>
          <w:lang w:val="en-CA"/>
        </w:rPr>
        <w:t xml:space="preserve"> (</w:t>
      </w:r>
      <w:r w:rsidR="002C1928" w:rsidRPr="006A01A8">
        <w:rPr>
          <w:rFonts w:cs="Arial"/>
          <w:i/>
          <w:iCs/>
          <w:color w:val="000000"/>
          <w:lang w:val="en-CA"/>
        </w:rPr>
        <w:t>Jordan</w:t>
      </w:r>
      <w:r w:rsidRPr="006A01A8">
        <w:rPr>
          <w:rFonts w:cs="Arial"/>
          <w:color w:val="000000"/>
          <w:lang w:val="en-CA"/>
        </w:rPr>
        <w:t xml:space="preserve"> at</w:t>
      </w:r>
      <w:r w:rsidR="002C1928" w:rsidRPr="006A01A8">
        <w:rPr>
          <w:rFonts w:cs="Arial"/>
          <w:color w:val="000000"/>
          <w:lang w:val="en-CA"/>
        </w:rPr>
        <w:t xml:space="preserve"> par</w:t>
      </w:r>
      <w:r w:rsidRPr="006A01A8">
        <w:rPr>
          <w:rFonts w:cs="Arial"/>
          <w:color w:val="000000"/>
          <w:lang w:val="en-CA"/>
        </w:rPr>
        <w:t>a</w:t>
      </w:r>
      <w:r w:rsidR="002C1928" w:rsidRPr="006A01A8">
        <w:rPr>
          <w:rFonts w:cs="Arial"/>
          <w:color w:val="000000"/>
          <w:lang w:val="en-CA"/>
        </w:rPr>
        <w:t>. </w:t>
      </w:r>
      <w:r w:rsidR="002C1928" w:rsidRPr="006A01A8">
        <w:rPr>
          <w:rFonts w:cs="Arial"/>
          <w:lang w:val="en-CA"/>
        </w:rPr>
        <w:t>75</w:t>
      </w:r>
      <w:r w:rsidR="00246966">
        <w:rPr>
          <w:rFonts w:cs="Arial"/>
          <w:lang w:val="en-CA"/>
        </w:rPr>
        <w:t>)</w:t>
      </w:r>
      <w:r w:rsidR="002C1928" w:rsidRPr="006A01A8">
        <w:rPr>
          <w:rFonts w:cs="Arial"/>
          <w:color w:val="000000"/>
          <w:lang w:val="en-CA"/>
        </w:rPr>
        <w:t xml:space="preserve">. </w:t>
      </w:r>
      <w:r w:rsidRPr="006A01A8">
        <w:rPr>
          <w:lang w:val="en-CA"/>
        </w:rPr>
        <w:t xml:space="preserve">Since the judicial reorganization of affected cases inevitably takes some time, this </w:t>
      </w:r>
      <w:r w:rsidR="006E305F">
        <w:rPr>
          <w:lang w:val="en-CA"/>
        </w:rPr>
        <w:t>discrete,</w:t>
      </w:r>
      <w:r w:rsidR="006E305F" w:rsidRPr="006A01A8">
        <w:rPr>
          <w:lang w:val="en-CA"/>
        </w:rPr>
        <w:t xml:space="preserve"> </w:t>
      </w:r>
      <w:r w:rsidRPr="006A01A8">
        <w:rPr>
          <w:lang w:val="en-CA"/>
        </w:rPr>
        <w:t xml:space="preserve">exceptional event </w:t>
      </w:r>
      <w:r w:rsidR="00246966">
        <w:rPr>
          <w:lang w:val="en-CA"/>
        </w:rPr>
        <w:t>had a prolonged impact on</w:t>
      </w:r>
      <w:r w:rsidRPr="006A01A8">
        <w:rPr>
          <w:lang w:val="en-CA"/>
        </w:rPr>
        <w:t xml:space="preserve"> delays. </w:t>
      </w:r>
      <w:r w:rsidR="002C1928" w:rsidRPr="006A01A8">
        <w:rPr>
          <w:lang w:val="en-CA"/>
        </w:rPr>
        <w:t xml:space="preserve"> </w:t>
      </w:r>
    </w:p>
    <w:p w14:paraId="27512A0F" w14:textId="55082D48" w:rsidR="006E4A2F" w:rsidRPr="006A01A8" w:rsidRDefault="007E7854" w:rsidP="00E007AA">
      <w:pPr>
        <w:pStyle w:val="Paragraphe"/>
        <w:spacing w:line="280" w:lineRule="exact"/>
        <w:rPr>
          <w:lang w:val="en-CA"/>
        </w:rPr>
      </w:pPr>
      <w:r w:rsidRPr="006A01A8">
        <w:rPr>
          <w:rFonts w:cs="Arial"/>
          <w:bCs/>
          <w:color w:val="000000"/>
          <w:lang w:val="en-CA"/>
        </w:rPr>
        <w:t xml:space="preserve">Thus, the difficulty is not noting the occurrence of a </w:t>
      </w:r>
      <w:r w:rsidR="006E305F">
        <w:rPr>
          <w:rFonts w:cs="Arial"/>
          <w:bCs/>
          <w:color w:val="000000"/>
          <w:lang w:val="en-CA"/>
        </w:rPr>
        <w:t>discrete,</w:t>
      </w:r>
      <w:r w:rsidR="006E305F" w:rsidRPr="006A01A8">
        <w:rPr>
          <w:rFonts w:cs="Arial"/>
          <w:bCs/>
          <w:color w:val="000000"/>
          <w:lang w:val="en-CA"/>
        </w:rPr>
        <w:t xml:space="preserve"> </w:t>
      </w:r>
      <w:r w:rsidRPr="006A01A8">
        <w:rPr>
          <w:rFonts w:cs="Arial"/>
          <w:bCs/>
          <w:color w:val="000000"/>
          <w:lang w:val="en-CA"/>
        </w:rPr>
        <w:t xml:space="preserve">exceptional event, but rather </w:t>
      </w:r>
      <w:r w:rsidR="006E305F">
        <w:rPr>
          <w:rFonts w:cs="Arial"/>
          <w:bCs/>
          <w:color w:val="000000"/>
          <w:lang w:val="en-CA"/>
        </w:rPr>
        <w:t>establishing</w:t>
      </w:r>
      <w:r w:rsidRPr="006A01A8">
        <w:rPr>
          <w:rFonts w:cs="Arial"/>
          <w:bCs/>
          <w:color w:val="000000"/>
          <w:lang w:val="en-CA"/>
        </w:rPr>
        <w:t xml:space="preserve"> its effect over time.</w:t>
      </w:r>
      <w:r w:rsidR="002C1928" w:rsidRPr="006A01A8">
        <w:rPr>
          <w:rFonts w:cs="Arial"/>
          <w:bCs/>
          <w:color w:val="000000"/>
          <w:lang w:val="en-CA"/>
        </w:rPr>
        <w:t xml:space="preserve"> </w:t>
      </w:r>
      <w:r w:rsidRPr="006A01A8">
        <w:rPr>
          <w:rFonts w:cs="Arial"/>
          <w:bCs/>
          <w:color w:val="000000"/>
          <w:lang w:val="en-CA"/>
        </w:rPr>
        <w:t xml:space="preserve">This difficulty cannot disregard the very nature of the </w:t>
      </w:r>
      <w:r w:rsidR="0036258F">
        <w:rPr>
          <w:rFonts w:cs="Arial"/>
          <w:bCs/>
          <w:color w:val="000000"/>
          <w:lang w:val="en-CA"/>
        </w:rPr>
        <w:t>discrete,</w:t>
      </w:r>
      <w:r w:rsidR="0036258F" w:rsidRPr="006A01A8">
        <w:rPr>
          <w:rFonts w:cs="Arial"/>
          <w:bCs/>
          <w:color w:val="000000"/>
          <w:lang w:val="en-CA"/>
        </w:rPr>
        <w:t xml:space="preserve"> </w:t>
      </w:r>
      <w:r w:rsidRPr="006A01A8">
        <w:rPr>
          <w:rFonts w:cs="Arial"/>
          <w:bCs/>
          <w:color w:val="000000"/>
          <w:lang w:val="en-CA"/>
        </w:rPr>
        <w:t>exceptional event, which affect</w:t>
      </w:r>
      <w:r w:rsidR="0036258F">
        <w:rPr>
          <w:rFonts w:cs="Arial"/>
          <w:bCs/>
          <w:color w:val="000000"/>
          <w:lang w:val="en-CA"/>
        </w:rPr>
        <w:t>ed</w:t>
      </w:r>
      <w:r w:rsidRPr="006A01A8">
        <w:rPr>
          <w:rFonts w:cs="Arial"/>
          <w:bCs/>
          <w:color w:val="000000"/>
          <w:lang w:val="en-CA"/>
        </w:rPr>
        <w:t xml:space="preserve"> the system and not a particular case.</w:t>
      </w:r>
      <w:r w:rsidR="002C1928" w:rsidRPr="006A01A8">
        <w:rPr>
          <w:rFonts w:cs="Arial"/>
          <w:bCs/>
          <w:color w:val="000000"/>
          <w:lang w:val="en-CA"/>
        </w:rPr>
        <w:t xml:space="preserve"> </w:t>
      </w:r>
    </w:p>
    <w:p w14:paraId="05D9436C" w14:textId="08ED984C" w:rsidR="00CC3EEB" w:rsidRPr="006A01A8" w:rsidRDefault="007E7854" w:rsidP="006E4A2F">
      <w:pPr>
        <w:pStyle w:val="Paragraphe"/>
        <w:spacing w:line="280" w:lineRule="exact"/>
        <w:rPr>
          <w:lang w:val="en-CA"/>
        </w:rPr>
      </w:pPr>
      <w:r w:rsidRPr="006A01A8">
        <w:rPr>
          <w:rFonts w:cs="Arial"/>
          <w:bCs/>
          <w:color w:val="000000"/>
          <w:lang w:val="en-CA"/>
        </w:rPr>
        <w:t xml:space="preserve">It is possible, however, </w:t>
      </w:r>
      <w:r w:rsidR="00246966">
        <w:rPr>
          <w:rFonts w:cs="Arial"/>
          <w:bCs/>
          <w:color w:val="000000"/>
          <w:lang w:val="en-CA"/>
        </w:rPr>
        <w:t xml:space="preserve">that a case </w:t>
      </w:r>
      <w:r w:rsidR="0036258F">
        <w:rPr>
          <w:rFonts w:cs="Arial"/>
          <w:bCs/>
          <w:color w:val="000000"/>
          <w:lang w:val="en-CA"/>
        </w:rPr>
        <w:t>was not affected by it</w:t>
      </w:r>
      <w:r w:rsidR="00246966">
        <w:rPr>
          <w:rFonts w:cs="Arial"/>
          <w:bCs/>
          <w:color w:val="000000"/>
          <w:lang w:val="en-CA"/>
        </w:rPr>
        <w:t xml:space="preserve">, or </w:t>
      </w:r>
      <w:r w:rsidR="0036258F">
        <w:rPr>
          <w:rFonts w:cs="Arial"/>
          <w:bCs/>
          <w:color w:val="000000"/>
          <w:lang w:val="en-CA"/>
        </w:rPr>
        <w:t xml:space="preserve">was affected </w:t>
      </w:r>
      <w:r w:rsidRPr="006A01A8">
        <w:rPr>
          <w:rFonts w:cs="Arial"/>
          <w:bCs/>
          <w:color w:val="000000"/>
          <w:lang w:val="en-CA"/>
        </w:rPr>
        <w:t>to a lesser degree.</w:t>
      </w:r>
      <w:r w:rsidR="002C1928" w:rsidRPr="006A01A8">
        <w:rPr>
          <w:rFonts w:cs="Arial"/>
          <w:bCs/>
          <w:color w:val="000000"/>
          <w:lang w:val="en-CA"/>
        </w:rPr>
        <w:t xml:space="preserve"> </w:t>
      </w:r>
      <w:r w:rsidRPr="006A01A8">
        <w:rPr>
          <w:rFonts w:cs="Arial"/>
          <w:bCs/>
          <w:color w:val="000000"/>
          <w:lang w:val="en-CA"/>
        </w:rPr>
        <w:t xml:space="preserve">Indeed, if the parties </w:t>
      </w:r>
      <w:r w:rsidR="007F5EAF">
        <w:rPr>
          <w:rFonts w:cs="Arial"/>
          <w:bCs/>
          <w:color w:val="000000"/>
          <w:lang w:val="en-CA"/>
        </w:rPr>
        <w:t>were</w:t>
      </w:r>
      <w:r w:rsidR="007F5EAF" w:rsidRPr="006A01A8">
        <w:rPr>
          <w:rFonts w:cs="Arial"/>
          <w:bCs/>
          <w:color w:val="000000"/>
          <w:lang w:val="en-CA"/>
        </w:rPr>
        <w:t xml:space="preserve"> </w:t>
      </w:r>
      <w:r w:rsidRPr="006A01A8">
        <w:rPr>
          <w:rFonts w:cs="Arial"/>
          <w:bCs/>
          <w:color w:val="000000"/>
          <w:lang w:val="en-CA"/>
        </w:rPr>
        <w:t>not ready to proceed, the effect of the pandemic becomes relative.</w:t>
      </w:r>
      <w:r w:rsidR="002C1928" w:rsidRPr="006A01A8">
        <w:rPr>
          <w:rFonts w:cs="Arial"/>
          <w:bCs/>
          <w:color w:val="000000"/>
          <w:lang w:val="en-CA"/>
        </w:rPr>
        <w:t xml:space="preserve"> </w:t>
      </w:r>
      <w:r w:rsidRPr="006A01A8">
        <w:rPr>
          <w:rFonts w:cs="Arial"/>
          <w:bCs/>
          <w:color w:val="000000"/>
          <w:lang w:val="en-CA"/>
        </w:rPr>
        <w:t xml:space="preserve">In other words, a </w:t>
      </w:r>
      <w:r w:rsidR="00246966">
        <w:rPr>
          <w:rFonts w:cs="Arial"/>
          <w:bCs/>
          <w:color w:val="000000"/>
          <w:lang w:val="en-CA"/>
        </w:rPr>
        <w:t>case</w:t>
      </w:r>
      <w:r w:rsidRPr="006A01A8">
        <w:rPr>
          <w:rFonts w:cs="Arial"/>
          <w:bCs/>
          <w:color w:val="000000"/>
          <w:lang w:val="en-CA"/>
        </w:rPr>
        <w:t xml:space="preserve"> </w:t>
      </w:r>
      <w:r w:rsidR="007F5EAF">
        <w:rPr>
          <w:rFonts w:cs="Arial"/>
          <w:bCs/>
          <w:color w:val="000000"/>
          <w:lang w:val="en-CA"/>
        </w:rPr>
        <w:t>may pass through</w:t>
      </w:r>
      <w:r w:rsidRPr="006A01A8">
        <w:rPr>
          <w:rFonts w:cs="Arial"/>
          <w:bCs/>
          <w:color w:val="000000"/>
          <w:lang w:val="en-CA"/>
        </w:rPr>
        <w:t xml:space="preserve"> the repercussions of the </w:t>
      </w:r>
      <w:r w:rsidR="007F5EAF">
        <w:rPr>
          <w:rFonts w:cs="Arial"/>
          <w:bCs/>
          <w:color w:val="000000"/>
          <w:lang w:val="en-CA"/>
        </w:rPr>
        <w:t>discrete</w:t>
      </w:r>
      <w:r w:rsidR="007F5EAF" w:rsidRPr="006A01A8">
        <w:rPr>
          <w:rFonts w:cs="Arial"/>
          <w:bCs/>
          <w:color w:val="000000"/>
          <w:lang w:val="en-CA"/>
        </w:rPr>
        <w:t xml:space="preserve"> </w:t>
      </w:r>
      <w:r w:rsidRPr="006A01A8">
        <w:rPr>
          <w:rFonts w:cs="Arial"/>
          <w:bCs/>
          <w:color w:val="000000"/>
          <w:lang w:val="en-CA"/>
        </w:rPr>
        <w:t>exceptional event without being affected by it.</w:t>
      </w:r>
      <w:r w:rsidR="002C1928" w:rsidRPr="006A01A8">
        <w:rPr>
          <w:rFonts w:cs="Arial"/>
          <w:bCs/>
          <w:color w:val="000000"/>
          <w:lang w:val="en-CA"/>
        </w:rPr>
        <w:t xml:space="preserve"> </w:t>
      </w:r>
      <w:r w:rsidRPr="006A01A8">
        <w:rPr>
          <w:rFonts w:cs="Arial"/>
          <w:bCs/>
          <w:color w:val="000000"/>
          <w:lang w:val="en-CA"/>
        </w:rPr>
        <w:t>For example, if during this period the case is being prepared, there may be no impact.</w:t>
      </w:r>
      <w:r w:rsidR="002C1928" w:rsidRPr="006A01A8">
        <w:rPr>
          <w:rFonts w:cs="Arial"/>
          <w:bCs/>
          <w:color w:val="000000"/>
          <w:lang w:val="en-CA"/>
        </w:rPr>
        <w:t xml:space="preserve"> </w:t>
      </w:r>
    </w:p>
    <w:p w14:paraId="7AFC3AFB" w14:textId="4E90210D" w:rsidR="00CC3EEB" w:rsidRPr="006A01A8" w:rsidRDefault="007E7854" w:rsidP="00E007AA">
      <w:pPr>
        <w:pStyle w:val="Paragraphe"/>
        <w:spacing w:line="280" w:lineRule="exact"/>
        <w:rPr>
          <w:lang w:val="en-CA"/>
        </w:rPr>
      </w:pPr>
      <w:r w:rsidRPr="006A01A8">
        <w:rPr>
          <w:rFonts w:cs="Arial"/>
          <w:bCs/>
          <w:color w:val="000000"/>
          <w:lang w:val="en-CA"/>
        </w:rPr>
        <w:t xml:space="preserve">This case is such an example and that is the first reason leading me to conclude that it is inappropriate to </w:t>
      </w:r>
      <w:r w:rsidR="00246966">
        <w:rPr>
          <w:rFonts w:cs="Arial"/>
          <w:bCs/>
          <w:color w:val="000000"/>
          <w:lang w:val="en-CA"/>
        </w:rPr>
        <w:t>set</w:t>
      </w:r>
      <w:r w:rsidRPr="006A01A8">
        <w:rPr>
          <w:rFonts w:cs="Arial"/>
          <w:bCs/>
          <w:color w:val="000000"/>
          <w:lang w:val="en-CA"/>
        </w:rPr>
        <w:t xml:space="preserve"> a presumptive delay.</w:t>
      </w:r>
      <w:r w:rsidR="002C1928" w:rsidRPr="006A01A8">
        <w:rPr>
          <w:rFonts w:cs="Arial"/>
          <w:bCs/>
          <w:color w:val="000000"/>
          <w:lang w:val="en-CA"/>
        </w:rPr>
        <w:t xml:space="preserve"> </w:t>
      </w:r>
      <w:r w:rsidR="0082355A" w:rsidRPr="006A01A8">
        <w:rPr>
          <w:rFonts w:cs="Arial"/>
          <w:bCs/>
          <w:color w:val="000000"/>
          <w:lang w:val="en-CA"/>
        </w:rPr>
        <w:t>Th</w:t>
      </w:r>
      <w:r w:rsidR="0082355A">
        <w:rPr>
          <w:rFonts w:cs="Arial"/>
          <w:bCs/>
          <w:color w:val="000000"/>
          <w:lang w:val="en-CA"/>
        </w:rPr>
        <w:t>e</w:t>
      </w:r>
      <w:r w:rsidR="0082355A" w:rsidRPr="006A01A8">
        <w:rPr>
          <w:rFonts w:cs="Arial"/>
          <w:bCs/>
          <w:color w:val="000000"/>
          <w:lang w:val="en-CA"/>
        </w:rPr>
        <w:t xml:space="preserve"> </w:t>
      </w:r>
      <w:r w:rsidRPr="006A01A8">
        <w:rPr>
          <w:rFonts w:cs="Arial"/>
          <w:bCs/>
          <w:color w:val="000000"/>
          <w:lang w:val="en-CA"/>
        </w:rPr>
        <w:t>case could then</w:t>
      </w:r>
      <w:r w:rsidR="00CC1A08">
        <w:rPr>
          <w:rFonts w:cs="Arial"/>
          <w:bCs/>
          <w:color w:val="000000"/>
          <w:lang w:val="en-CA"/>
        </w:rPr>
        <w:t xml:space="preserve">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rFonts w:cs="Arial"/>
          <w:bCs/>
          <w:color w:val="000000"/>
          <w:lang w:val="en-CA"/>
        </w:rPr>
        <w:t xml:space="preserve">“benefit” from a presumptive delay even though it </w:t>
      </w:r>
      <w:r w:rsidR="0082355A">
        <w:rPr>
          <w:rFonts w:cs="Arial"/>
          <w:bCs/>
          <w:color w:val="000000"/>
          <w:lang w:val="en-CA"/>
        </w:rPr>
        <w:t xml:space="preserve">was not affected </w:t>
      </w:r>
      <w:r w:rsidR="00A616FC">
        <w:rPr>
          <w:rFonts w:cs="Arial"/>
          <w:bCs/>
          <w:color w:val="000000"/>
          <w:lang w:val="en-CA"/>
        </w:rPr>
        <w:t xml:space="preserve">by </w:t>
      </w:r>
      <w:r w:rsidR="00A616FC" w:rsidRPr="006A01A8">
        <w:rPr>
          <w:rFonts w:cs="Arial"/>
          <w:bCs/>
          <w:color w:val="000000"/>
          <w:lang w:val="en-CA"/>
        </w:rPr>
        <w:t>the</w:t>
      </w:r>
      <w:r w:rsidRPr="006A01A8">
        <w:rPr>
          <w:rFonts w:cs="Arial"/>
          <w:bCs/>
          <w:color w:val="000000"/>
          <w:lang w:val="en-CA"/>
        </w:rPr>
        <w:t xml:space="preserve"> </w:t>
      </w:r>
      <w:r w:rsidR="0082355A">
        <w:rPr>
          <w:rFonts w:cs="Arial"/>
          <w:bCs/>
          <w:color w:val="000000"/>
          <w:lang w:val="en-CA"/>
        </w:rPr>
        <w:t>discrete,</w:t>
      </w:r>
      <w:r w:rsidR="0082355A" w:rsidRPr="006A01A8">
        <w:rPr>
          <w:rFonts w:cs="Arial"/>
          <w:bCs/>
          <w:color w:val="000000"/>
          <w:lang w:val="en-CA"/>
        </w:rPr>
        <w:t xml:space="preserve"> </w:t>
      </w:r>
      <w:r w:rsidR="008C0B43" w:rsidRPr="006A01A8">
        <w:rPr>
          <w:rFonts w:cs="Arial"/>
          <w:bCs/>
          <w:color w:val="000000"/>
          <w:lang w:val="en-CA"/>
        </w:rPr>
        <w:t>exceptional</w:t>
      </w:r>
      <w:r w:rsidRPr="006A01A8">
        <w:rPr>
          <w:rFonts w:cs="Arial"/>
          <w:bCs/>
          <w:color w:val="000000"/>
          <w:lang w:val="en-CA"/>
        </w:rPr>
        <w:t xml:space="preserve"> event.</w:t>
      </w:r>
      <w:r w:rsidR="002C1928" w:rsidRPr="006A01A8">
        <w:rPr>
          <w:rFonts w:cs="Arial"/>
          <w:bCs/>
          <w:color w:val="000000"/>
          <w:lang w:val="en-CA"/>
        </w:rPr>
        <w:t xml:space="preserve"> </w:t>
      </w:r>
    </w:p>
    <w:p w14:paraId="396FAA97" w14:textId="42A3F61B" w:rsidR="00CC3EEB" w:rsidRPr="006A01A8" w:rsidRDefault="007E7854" w:rsidP="00E007AA">
      <w:pPr>
        <w:pStyle w:val="Paragraphe"/>
        <w:spacing w:line="280" w:lineRule="exact"/>
        <w:rPr>
          <w:lang w:val="en-CA"/>
        </w:rPr>
      </w:pPr>
      <w:r w:rsidRPr="006A01A8">
        <w:rPr>
          <w:rFonts w:cs="Arial"/>
          <w:bCs/>
          <w:color w:val="000000"/>
          <w:lang w:val="en-CA"/>
        </w:rPr>
        <w:lastRenderedPageBreak/>
        <w:t>The second reason is the difficulty in establishing the duration of the repercussions.</w:t>
      </w:r>
      <w:r w:rsidR="002C1928" w:rsidRPr="006A01A8">
        <w:rPr>
          <w:rFonts w:cs="Arial"/>
          <w:bCs/>
          <w:color w:val="000000"/>
          <w:lang w:val="en-CA"/>
        </w:rPr>
        <w:t xml:space="preserve"> </w:t>
      </w:r>
      <w:r w:rsidRPr="006A01A8">
        <w:rPr>
          <w:lang w:val="en-CA"/>
        </w:rPr>
        <w:t>The parties raised the relevant aspects of this point in their notes.</w:t>
      </w:r>
      <w:r w:rsidR="002C1928" w:rsidRPr="006A01A8">
        <w:rPr>
          <w:lang w:val="en-CA"/>
        </w:rPr>
        <w:t xml:space="preserve"> </w:t>
      </w:r>
      <w:r w:rsidRPr="006A01A8">
        <w:rPr>
          <w:lang w:val="en-CA"/>
        </w:rPr>
        <w:t>However, no observation adequately identifies the appropriate delay.</w:t>
      </w:r>
      <w:r w:rsidR="002C1928" w:rsidRPr="006A01A8">
        <w:rPr>
          <w:lang w:val="en-CA"/>
        </w:rPr>
        <w:t xml:space="preserve"> </w:t>
      </w:r>
      <w:r w:rsidR="003D7F68">
        <w:rPr>
          <w:lang w:val="en-CA"/>
        </w:rPr>
        <w:t>I</w:t>
      </w:r>
      <w:r w:rsidR="00A13FCE" w:rsidRPr="006A01A8">
        <w:rPr>
          <w:lang w:val="en-CA"/>
        </w:rPr>
        <w:t xml:space="preserve"> share the opinion expressed by the appellant in </w:t>
      </w:r>
      <w:r w:rsidR="00C33B26">
        <w:rPr>
          <w:lang w:val="en-CA"/>
        </w:rPr>
        <w:t>his</w:t>
      </w:r>
      <w:r w:rsidR="00C33B26" w:rsidRPr="006A01A8">
        <w:rPr>
          <w:lang w:val="en-CA"/>
        </w:rPr>
        <w:t xml:space="preserve"> </w:t>
      </w:r>
      <w:r w:rsidR="00A13FCE" w:rsidRPr="006A01A8">
        <w:rPr>
          <w:lang w:val="en-CA"/>
        </w:rPr>
        <w:t xml:space="preserve">notes in </w:t>
      </w:r>
      <w:r w:rsidR="00A13FCE" w:rsidRPr="006A01A8">
        <w:rPr>
          <w:i/>
          <w:color w:val="000000"/>
          <w:lang w:val="en-CA"/>
        </w:rPr>
        <w:t>Rivera</w:t>
      </w:r>
      <w:r w:rsidR="00A13FCE" w:rsidRPr="006A01A8">
        <w:rPr>
          <w:color w:val="000000"/>
          <w:lang w:val="en-CA"/>
        </w:rPr>
        <w:t xml:space="preserve"> </w:t>
      </w:r>
      <w:r w:rsidR="004472D2">
        <w:rPr>
          <w:color w:val="000000"/>
          <w:lang w:val="en-CA"/>
        </w:rPr>
        <w:t>(</w:t>
      </w:r>
      <w:r w:rsidR="00A13FCE" w:rsidRPr="006A01A8">
        <w:rPr>
          <w:color w:val="000000"/>
          <w:lang w:val="en-CA"/>
        </w:rPr>
        <w:t>File</w:t>
      </w:r>
      <w:r w:rsidR="004472D2">
        <w:rPr>
          <w:color w:val="000000"/>
          <w:lang w:val="en-CA"/>
        </w:rPr>
        <w:t xml:space="preserve"> </w:t>
      </w:r>
      <w:r w:rsidR="00A13FCE" w:rsidRPr="006A01A8">
        <w:rPr>
          <w:color w:val="000000"/>
          <w:lang w:val="en-CA"/>
        </w:rPr>
        <w:t>500-10-007606-211</w:t>
      </w:r>
      <w:r w:rsidR="004472D2">
        <w:rPr>
          <w:color w:val="000000"/>
          <w:lang w:val="en-CA"/>
        </w:rPr>
        <w:t>)</w:t>
      </w:r>
      <w:r w:rsidR="00A13FCE" w:rsidRPr="006A01A8">
        <w:rPr>
          <w:color w:val="000000"/>
          <w:lang w:val="en-CA"/>
        </w:rPr>
        <w:t xml:space="preserve">, which emphasizes that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00A13FCE" w:rsidRPr="006A01A8">
        <w:rPr>
          <w:color w:val="000000"/>
          <w:lang w:val="en-CA"/>
        </w:rPr>
        <w:t>“it is logical to believe that, as time goes on, the impact of the pandemic will be felt less and less”.</w:t>
      </w:r>
      <w:r w:rsidR="002C1928" w:rsidRPr="006A01A8">
        <w:rPr>
          <w:rFonts w:cs="Arial"/>
          <w:color w:val="000000"/>
          <w:lang w:val="en-CA"/>
        </w:rPr>
        <w:t xml:space="preserve"> </w:t>
      </w:r>
      <w:r w:rsidR="00A13FCE" w:rsidRPr="006A01A8">
        <w:rPr>
          <w:rFonts w:cs="Arial"/>
          <w:color w:val="000000"/>
          <w:lang w:val="en-CA"/>
        </w:rPr>
        <w:t>And the Court adds, as some parties have written, that this will vary from one judicial district to the next.</w:t>
      </w:r>
    </w:p>
    <w:p w14:paraId="0BF042FE" w14:textId="7E4D1369" w:rsidR="00CC3EEB" w:rsidRPr="006A01A8" w:rsidRDefault="00A13FCE" w:rsidP="00E007AA">
      <w:pPr>
        <w:pStyle w:val="Paragraphe"/>
        <w:spacing w:line="280" w:lineRule="exact"/>
        <w:rPr>
          <w:lang w:val="en-CA"/>
        </w:rPr>
      </w:pPr>
      <w:r w:rsidRPr="006A01A8">
        <w:rPr>
          <w:lang w:val="en-CA"/>
        </w:rPr>
        <w:t>In this case, the appellant tried to assess this delay</w:t>
      </w:r>
      <w:r w:rsidR="00007F71">
        <w:rPr>
          <w:lang w:val="en-CA"/>
        </w:rPr>
        <w:t xml:space="preserve"> and</w:t>
      </w:r>
      <w:r w:rsidRPr="006A01A8">
        <w:rPr>
          <w:lang w:val="en-CA"/>
        </w:rPr>
        <w:t xml:space="preserve"> indicated that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lang w:val="en-CA"/>
        </w:rPr>
        <w:t>“the data adduced into evidence in this matter shows a median lengthening of</w:t>
      </w:r>
      <w:r w:rsidR="00007F71">
        <w:rPr>
          <w:lang w:val="en-CA"/>
        </w:rPr>
        <w:t xml:space="preserve"> the</w:t>
      </w:r>
      <w:r w:rsidRPr="006A01A8">
        <w:rPr>
          <w:lang w:val="en-CA"/>
        </w:rPr>
        <w:t xml:space="preserve"> </w:t>
      </w:r>
      <w:r w:rsidRPr="00C964DC">
        <w:rPr>
          <w:lang w:val="en-CA"/>
        </w:rPr>
        <w:t>delay</w:t>
      </w:r>
      <w:r w:rsidR="00007F71" w:rsidRPr="00C964DC">
        <w:rPr>
          <w:lang w:val="en-CA"/>
        </w:rPr>
        <w:t>s</w:t>
      </w:r>
      <w:r w:rsidRPr="006A01A8">
        <w:rPr>
          <w:lang w:val="en-CA"/>
        </w:rPr>
        <w:t xml:space="preserve"> </w:t>
      </w:r>
      <w:r w:rsidR="00007F71">
        <w:rPr>
          <w:lang w:val="en-CA"/>
        </w:rPr>
        <w:t>of</w:t>
      </w:r>
      <w:r w:rsidR="00007F71" w:rsidRPr="006A01A8">
        <w:rPr>
          <w:lang w:val="en-CA"/>
        </w:rPr>
        <w:t xml:space="preserve"> </w:t>
      </w:r>
      <w:r w:rsidRPr="006A01A8">
        <w:rPr>
          <w:lang w:val="en-CA"/>
        </w:rPr>
        <w:t>4 to 5 months in urban centres for the 12-month period following the reopening of the courts compared to 2019”.</w:t>
      </w:r>
      <w:r w:rsidR="002C1928" w:rsidRPr="006A01A8">
        <w:rPr>
          <w:rFonts w:cs="Arial"/>
          <w:color w:val="000000"/>
          <w:lang w:val="en-CA"/>
        </w:rPr>
        <w:t xml:space="preserve"> </w:t>
      </w:r>
      <w:r w:rsidRPr="006A01A8">
        <w:rPr>
          <w:rFonts w:cs="Arial"/>
          <w:color w:val="000000"/>
          <w:lang w:val="en-CA"/>
        </w:rPr>
        <w:t xml:space="preserve">Seeking to establish the presumptive delay to be deducted </w:t>
      </w:r>
      <w:r w:rsidR="008C0B43" w:rsidRPr="006A01A8">
        <w:rPr>
          <w:rFonts w:cs="Arial"/>
          <w:color w:val="000000"/>
          <w:lang w:val="en-CA"/>
        </w:rPr>
        <w:t xml:space="preserve">for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rFonts w:cs="Arial"/>
          <w:color w:val="000000"/>
          <w:lang w:val="en-CA"/>
        </w:rPr>
        <w:t xml:space="preserve">“the period when </w:t>
      </w:r>
      <w:r w:rsidR="00007F71">
        <w:rPr>
          <w:rFonts w:cs="Arial"/>
          <w:color w:val="000000"/>
          <w:lang w:val="en-CA"/>
        </w:rPr>
        <w:t xml:space="preserve">the public </w:t>
      </w:r>
      <w:r w:rsidRPr="006A01A8">
        <w:rPr>
          <w:rFonts w:cs="Arial"/>
          <w:color w:val="000000"/>
          <w:lang w:val="en-CA"/>
        </w:rPr>
        <w:t xml:space="preserve">health restrictions coupled with the </w:t>
      </w:r>
      <w:r w:rsidR="00007F71">
        <w:rPr>
          <w:rFonts w:cs="Arial"/>
          <w:color w:val="000000"/>
          <w:lang w:val="en-CA"/>
        </w:rPr>
        <w:t>backlog</w:t>
      </w:r>
      <w:r w:rsidR="00007F71" w:rsidRPr="006A01A8">
        <w:rPr>
          <w:rFonts w:cs="Arial"/>
          <w:color w:val="000000"/>
          <w:lang w:val="en-CA"/>
        </w:rPr>
        <w:t xml:space="preserve"> </w:t>
      </w:r>
      <w:r w:rsidRPr="006A01A8">
        <w:rPr>
          <w:rFonts w:cs="Arial"/>
          <w:color w:val="000000"/>
          <w:lang w:val="en-CA"/>
        </w:rPr>
        <w:t xml:space="preserve">caused by the closure of society and the courts”, excluding the closure period which is necessarily deducted, the appellant suggests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Pr="006A01A8">
        <w:rPr>
          <w:rFonts w:cs="Arial"/>
          <w:color w:val="000000"/>
          <w:lang w:val="en-CA"/>
        </w:rPr>
        <w:t xml:space="preserve"> “a presumptive delay of 7 months or more attributable to the pandemic, and in </w:t>
      </w:r>
      <w:r w:rsidR="00007F71">
        <w:rPr>
          <w:rFonts w:cs="Arial"/>
          <w:color w:val="000000"/>
          <w:lang w:val="en-CA"/>
        </w:rPr>
        <w:t>every case</w:t>
      </w:r>
      <w:r w:rsidRPr="006A01A8">
        <w:rPr>
          <w:rFonts w:cs="Arial"/>
          <w:color w:val="000000"/>
          <w:lang w:val="en-CA"/>
        </w:rPr>
        <w:t xml:space="preserve"> at least 5 months”.</w:t>
      </w:r>
      <w:r w:rsidR="002C1928" w:rsidRPr="006A01A8">
        <w:rPr>
          <w:rFonts w:cs="Arial"/>
          <w:color w:val="000000"/>
          <w:lang w:val="en-CA"/>
        </w:rPr>
        <w:t xml:space="preserve"> </w:t>
      </w:r>
    </w:p>
    <w:p w14:paraId="1B46BF7A" w14:textId="4882B448" w:rsidR="00CC3EEB" w:rsidRPr="006A01A8" w:rsidRDefault="00A13FCE" w:rsidP="00E007AA">
      <w:pPr>
        <w:pStyle w:val="Paragraphe"/>
        <w:spacing w:line="280" w:lineRule="exact"/>
        <w:rPr>
          <w:lang w:val="en-CA"/>
        </w:rPr>
      </w:pPr>
      <w:r w:rsidRPr="006A01A8">
        <w:rPr>
          <w:lang w:val="en-CA"/>
        </w:rPr>
        <w:t xml:space="preserve">However, this case was only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lang w:val="en-CA"/>
        </w:rPr>
        <w:t xml:space="preserve">“ready” well </w:t>
      </w:r>
      <w:r w:rsidR="004472D2">
        <w:rPr>
          <w:lang w:val="en-CA"/>
        </w:rPr>
        <w:t>past</w:t>
      </w:r>
      <w:r w:rsidRPr="006A01A8">
        <w:rPr>
          <w:lang w:val="en-CA"/>
        </w:rPr>
        <w:t xml:space="preserve"> that period.</w:t>
      </w:r>
      <w:r w:rsidR="002C1928" w:rsidRPr="006A01A8">
        <w:rPr>
          <w:lang w:val="en-CA"/>
        </w:rPr>
        <w:t xml:space="preserve"> </w:t>
      </w:r>
      <w:r w:rsidRPr="006A01A8">
        <w:rPr>
          <w:lang w:val="en-CA"/>
        </w:rPr>
        <w:t xml:space="preserve">The case would have gone through this presumptive period while it was being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lang w:val="en-CA"/>
        </w:rPr>
        <w:t>“prepared” for the trial.</w:t>
      </w:r>
      <w:r w:rsidR="002C1928" w:rsidRPr="006A01A8">
        <w:rPr>
          <w:lang w:val="en-CA"/>
        </w:rPr>
        <w:t xml:space="preserve">  </w:t>
      </w:r>
    </w:p>
    <w:p w14:paraId="042C5D74" w14:textId="3A625E74" w:rsidR="00CC3EEB" w:rsidRPr="006A01A8" w:rsidRDefault="00A13FCE" w:rsidP="00E007AA">
      <w:pPr>
        <w:pStyle w:val="Paragraphe"/>
        <w:spacing w:line="280" w:lineRule="exact"/>
        <w:rPr>
          <w:lang w:val="en-CA"/>
        </w:rPr>
      </w:pPr>
      <w:r w:rsidRPr="006A01A8">
        <w:rPr>
          <w:rFonts w:cs="Arial"/>
          <w:color w:val="000000"/>
          <w:lang w:val="en-CA"/>
        </w:rPr>
        <w:t xml:space="preserve">Last, </w:t>
      </w:r>
      <w:r w:rsidR="00007F71">
        <w:rPr>
          <w:rFonts w:cs="Arial"/>
          <w:color w:val="000000"/>
          <w:lang w:val="en-CA"/>
        </w:rPr>
        <w:t xml:space="preserve">the third reason concerns </w:t>
      </w:r>
      <w:r w:rsidRPr="006A01A8">
        <w:rPr>
          <w:rFonts w:cs="Arial"/>
          <w:color w:val="000000"/>
          <w:lang w:val="en-CA"/>
        </w:rPr>
        <w:t>the consequences of establishing a presumptive delay on the law in force and the imbalance this would create.</w:t>
      </w:r>
      <w:r w:rsidR="002C1928" w:rsidRPr="006A01A8">
        <w:rPr>
          <w:rFonts w:cs="Arial"/>
          <w:color w:val="000000"/>
          <w:lang w:val="en-CA"/>
        </w:rPr>
        <w:t xml:space="preserve"> </w:t>
      </w:r>
      <w:r w:rsidRPr="006A01A8">
        <w:rPr>
          <w:rFonts w:cs="Arial"/>
          <w:color w:val="000000"/>
          <w:lang w:val="en-CA"/>
        </w:rPr>
        <w:t xml:space="preserve">Upon reflection, </w:t>
      </w:r>
      <w:r w:rsidR="00007F71">
        <w:rPr>
          <w:rFonts w:cs="Arial"/>
          <w:color w:val="000000"/>
          <w:lang w:val="en-CA"/>
        </w:rPr>
        <w:t xml:space="preserve">I </w:t>
      </w:r>
      <w:r w:rsidR="00A616FC">
        <w:rPr>
          <w:rFonts w:cs="Arial"/>
          <w:color w:val="000000"/>
          <w:lang w:val="en-CA"/>
        </w:rPr>
        <w:t>am</w:t>
      </w:r>
      <w:r w:rsidR="00A616FC" w:rsidRPr="006A01A8">
        <w:rPr>
          <w:rFonts w:cs="Arial"/>
          <w:color w:val="000000"/>
          <w:lang w:val="en-CA"/>
        </w:rPr>
        <w:t xml:space="preserve"> not</w:t>
      </w:r>
      <w:r w:rsidRPr="006A01A8">
        <w:rPr>
          <w:rFonts w:cs="Arial"/>
          <w:color w:val="000000"/>
          <w:lang w:val="en-CA"/>
        </w:rPr>
        <w:t xml:space="preserve"> convinced that a constitutional right should be sacrificed in the name of a certain efficiency.</w:t>
      </w:r>
      <w:r w:rsidR="002C1928" w:rsidRPr="006A01A8">
        <w:rPr>
          <w:rFonts w:cs="Arial"/>
          <w:color w:val="000000"/>
          <w:lang w:val="en-CA"/>
        </w:rPr>
        <w:t xml:space="preserve"> </w:t>
      </w:r>
      <w:r w:rsidRPr="006A01A8">
        <w:rPr>
          <w:rFonts w:cs="Arial"/>
          <w:color w:val="000000"/>
          <w:lang w:val="en-CA"/>
        </w:rPr>
        <w:t>Indeed, I am not convinced that a rebuttable presumptive delay would simplify things.</w:t>
      </w:r>
      <w:r w:rsidR="002C1928" w:rsidRPr="006A01A8">
        <w:rPr>
          <w:rFonts w:cs="Arial"/>
          <w:color w:val="000000"/>
          <w:lang w:val="en-CA"/>
        </w:rPr>
        <w:t xml:space="preserve"> </w:t>
      </w:r>
      <w:r w:rsidRPr="006A01A8">
        <w:rPr>
          <w:rFonts w:cs="Arial"/>
          <w:color w:val="000000"/>
          <w:lang w:val="en-CA"/>
        </w:rPr>
        <w:t>It would merely reverse the burden of proof onto the accused</w:t>
      </w:r>
      <w:r w:rsidR="004472D2">
        <w:rPr>
          <w:rFonts w:cs="Arial"/>
          <w:color w:val="000000"/>
          <w:lang w:val="en-CA"/>
        </w:rPr>
        <w:t>’s</w:t>
      </w:r>
      <w:r w:rsidRPr="006A01A8">
        <w:rPr>
          <w:rFonts w:cs="Arial"/>
          <w:color w:val="000000"/>
          <w:lang w:val="en-CA"/>
        </w:rPr>
        <w:t xml:space="preserve"> shoulders.</w:t>
      </w:r>
      <w:r w:rsidR="002C1928" w:rsidRPr="006A01A8">
        <w:rPr>
          <w:rFonts w:cs="Arial"/>
          <w:color w:val="000000"/>
          <w:lang w:val="en-CA"/>
        </w:rPr>
        <w:t xml:space="preserve"> </w:t>
      </w:r>
      <w:r w:rsidRPr="006A01A8">
        <w:rPr>
          <w:rFonts w:cs="Arial"/>
          <w:color w:val="000000"/>
          <w:lang w:val="en-CA"/>
        </w:rPr>
        <w:t xml:space="preserve">It would also artificially and uniformly increase the ceilings established in </w:t>
      </w:r>
      <w:r w:rsidRPr="006A01A8">
        <w:rPr>
          <w:rFonts w:cs="Arial"/>
          <w:i/>
          <w:lang w:val="en-CA"/>
        </w:rPr>
        <w:t>Jordan</w:t>
      </w:r>
      <w:r w:rsidRPr="006A01A8">
        <w:rPr>
          <w:rFonts w:cs="Arial"/>
          <w:lang w:val="en-CA"/>
        </w:rPr>
        <w:t xml:space="preserve"> across judicial </w:t>
      </w:r>
      <w:r w:rsidR="008C0B43" w:rsidRPr="006A01A8">
        <w:rPr>
          <w:rFonts w:cs="Arial"/>
          <w:lang w:val="en-CA"/>
        </w:rPr>
        <w:t>districts whereas</w:t>
      </w:r>
      <w:r w:rsidRPr="006A01A8">
        <w:rPr>
          <w:rFonts w:cs="Arial"/>
          <w:lang w:val="en-CA"/>
        </w:rPr>
        <w:t xml:space="preserve"> realities can be different and in fact local actors can</w:t>
      </w:r>
      <w:r w:rsidR="00CC1A08">
        <w:rPr>
          <w:rFonts w:cs="Arial"/>
          <w:lang w:val="en-CA"/>
        </w:rPr>
        <w:t xml:space="preserve">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rFonts w:cs="Arial"/>
          <w:lang w:val="en-CA"/>
        </w:rPr>
        <w:t xml:space="preserve">“react” or </w:t>
      </w:r>
      <w:r w:rsidR="004472D2">
        <w:rPr>
          <w:rFonts w:cs="Arial"/>
          <w:lang w:val="en-CA"/>
        </w:rPr>
        <w:t xml:space="preserve">have </w:t>
      </w:r>
      <w:r w:rsidRPr="006A01A8">
        <w:rPr>
          <w:rFonts w:cs="Arial"/>
          <w:lang w:val="en-CA"/>
        </w:rPr>
        <w:t xml:space="preserve">reacted differently to the </w:t>
      </w:r>
      <w:r w:rsidR="00007F71">
        <w:rPr>
          <w:rFonts w:cs="Arial"/>
          <w:lang w:val="en-CA"/>
        </w:rPr>
        <w:t>discrete,</w:t>
      </w:r>
      <w:r w:rsidR="00007F71" w:rsidRPr="006A01A8">
        <w:rPr>
          <w:rFonts w:cs="Arial"/>
          <w:lang w:val="en-CA"/>
        </w:rPr>
        <w:t xml:space="preserve"> </w:t>
      </w:r>
      <w:r w:rsidRPr="006A01A8">
        <w:rPr>
          <w:rFonts w:cs="Arial"/>
          <w:lang w:val="en-CA"/>
        </w:rPr>
        <w:t xml:space="preserve">exceptional circumstance </w:t>
      </w:r>
      <w:r w:rsidR="004472D2">
        <w:rPr>
          <w:rFonts w:cs="Arial"/>
          <w:lang w:val="en-CA"/>
        </w:rPr>
        <w:t>not</w:t>
      </w:r>
      <w:r w:rsidRPr="006A01A8">
        <w:rPr>
          <w:rFonts w:cs="Arial"/>
          <w:lang w:val="en-CA"/>
        </w:rPr>
        <w:t>ed.</w:t>
      </w:r>
    </w:p>
    <w:p w14:paraId="3509CC1C" w14:textId="53EE091F" w:rsidR="00CC3EEB" w:rsidRPr="006A01A8" w:rsidRDefault="00A13FCE" w:rsidP="00E007AA">
      <w:pPr>
        <w:pStyle w:val="Paragraphe"/>
        <w:spacing w:line="280" w:lineRule="exact"/>
        <w:rPr>
          <w:lang w:val="en-CA"/>
        </w:rPr>
      </w:pPr>
      <w:r w:rsidRPr="006A01A8">
        <w:rPr>
          <w:rFonts w:cs="Arial"/>
          <w:color w:val="000000"/>
          <w:lang w:val="en-CA"/>
        </w:rPr>
        <w:t xml:space="preserve">Ultimately, it would be wiser to allow the parties to adduce the necessary evidence within the flexible framework of </w:t>
      </w:r>
      <w:r w:rsidRPr="006A01A8">
        <w:rPr>
          <w:rFonts w:cs="Arial"/>
          <w:i/>
          <w:lang w:val="en-CA"/>
        </w:rPr>
        <w:t>Jordan</w:t>
      </w:r>
      <w:r w:rsidRPr="006A01A8">
        <w:rPr>
          <w:rFonts w:cs="Arial"/>
          <w:lang w:val="en-CA"/>
        </w:rPr>
        <w:t>.</w:t>
      </w:r>
    </w:p>
    <w:p w14:paraId="53E82503" w14:textId="1161BAA7" w:rsidR="00CC3EEB" w:rsidRPr="006A01A8" w:rsidRDefault="00A13FCE" w:rsidP="00E007AA">
      <w:pPr>
        <w:pStyle w:val="JgtPositionniv2"/>
        <w:spacing w:line="280" w:lineRule="exact"/>
        <w:rPr>
          <w:rFonts w:cs="Times New Roman"/>
          <w:lang w:val="en-CA"/>
        </w:rPr>
      </w:pPr>
      <w:r w:rsidRPr="006A01A8">
        <w:rPr>
          <w:lang w:val="en-CA"/>
        </w:rPr>
        <w:t xml:space="preserve">The </w:t>
      </w:r>
      <w:r w:rsidR="00DB7AE3">
        <w:rPr>
          <w:lang w:val="en-CA"/>
        </w:rPr>
        <w:t>effects</w:t>
      </w:r>
      <w:r w:rsidR="00DB7AE3" w:rsidRPr="006A01A8">
        <w:rPr>
          <w:lang w:val="en-CA"/>
        </w:rPr>
        <w:t xml:space="preserve"> </w:t>
      </w:r>
      <w:r w:rsidRPr="006A01A8">
        <w:rPr>
          <w:lang w:val="en-CA"/>
        </w:rPr>
        <w:t>in this case</w:t>
      </w:r>
    </w:p>
    <w:p w14:paraId="0BE0D1F0" w14:textId="3291F7C1" w:rsidR="00CC3EEB" w:rsidRPr="006A01A8" w:rsidRDefault="00A13FCE" w:rsidP="00E007AA">
      <w:pPr>
        <w:pStyle w:val="Paragraphe"/>
        <w:spacing w:line="280" w:lineRule="exact"/>
        <w:rPr>
          <w:lang w:val="en-CA"/>
        </w:rPr>
      </w:pPr>
      <w:r w:rsidRPr="006A01A8">
        <w:rPr>
          <w:lang w:val="en-CA"/>
        </w:rPr>
        <w:t>In this case, the judge heard evidence on the impact of the public health measures on the progress</w:t>
      </w:r>
      <w:r w:rsidR="00DB7AE3">
        <w:rPr>
          <w:lang w:val="en-CA"/>
        </w:rPr>
        <w:t>ion</w:t>
      </w:r>
      <w:r w:rsidRPr="006A01A8">
        <w:rPr>
          <w:lang w:val="en-CA"/>
        </w:rPr>
        <w:t xml:space="preserve"> of the files.</w:t>
      </w:r>
      <w:r w:rsidR="002C1928" w:rsidRPr="006A01A8">
        <w:rPr>
          <w:lang w:val="en-CA"/>
        </w:rPr>
        <w:t xml:space="preserve"> </w:t>
      </w:r>
      <w:r w:rsidRPr="006A01A8">
        <w:rPr>
          <w:lang w:val="en-CA"/>
        </w:rPr>
        <w:t>She concluded that the evidence adduced was too general, unrelated to the specifics of the case, and depicted a</w:t>
      </w:r>
      <w:r w:rsidR="00DB7AE3">
        <w:rPr>
          <w:lang w:val="en-CA"/>
        </w:rPr>
        <w:t>n overall</w:t>
      </w:r>
      <w:r w:rsidRPr="006A01A8">
        <w:rPr>
          <w:lang w:val="en-CA"/>
        </w:rPr>
        <w:t xml:space="preserve"> vague situation.</w:t>
      </w:r>
      <w:r w:rsidR="002C1928" w:rsidRPr="006A01A8">
        <w:rPr>
          <w:lang w:val="en-CA"/>
        </w:rPr>
        <w:t xml:space="preserve"> </w:t>
      </w:r>
      <w:r w:rsidRPr="006A01A8">
        <w:rPr>
          <w:lang w:val="en-CA"/>
        </w:rPr>
        <w:t>She also rejected the argument that the general delay due to the pandemic had an</w:t>
      </w:r>
      <w:r w:rsidR="00DB7AE3">
        <w:rPr>
          <w:lang w:val="en-CA"/>
        </w:rPr>
        <w:t>y</w:t>
      </w:r>
      <w:r w:rsidRPr="006A01A8">
        <w:rPr>
          <w:lang w:val="en-CA"/>
        </w:rPr>
        <w:t xml:space="preserve"> effect on the date of the trial, being of the view that the Crown was asking her to speculate.</w:t>
      </w:r>
    </w:p>
    <w:p w14:paraId="4AE2A29A" w14:textId="6D425E33" w:rsidR="00CC3EEB" w:rsidRPr="006A01A8" w:rsidRDefault="00A13FCE" w:rsidP="00E007AA">
      <w:pPr>
        <w:pStyle w:val="Paragraphe"/>
        <w:spacing w:line="280" w:lineRule="exact"/>
        <w:rPr>
          <w:lang w:val="en-CA"/>
        </w:rPr>
      </w:pPr>
      <w:r w:rsidRPr="006A01A8">
        <w:rPr>
          <w:lang w:val="en-CA"/>
        </w:rPr>
        <w:lastRenderedPageBreak/>
        <w:t xml:space="preserve">In this respect, I note that the judge stated that the statistical evidence </w:t>
      </w:r>
      <w:r w:rsidR="00DB7AE3" w:rsidRPr="006A01A8">
        <w:rPr>
          <w:lang w:val="en-CA"/>
        </w:rPr>
        <w:t xml:space="preserve">incongruously </w:t>
      </w:r>
      <w:r w:rsidRPr="006A01A8">
        <w:rPr>
          <w:lang w:val="en-CA"/>
        </w:rPr>
        <w:t>stops in 2019 and that a more complete historical snapshot would have made it possible to observe variations, which the witness who presented the statistical tables admitted.</w:t>
      </w:r>
      <w:r w:rsidR="002C1928" w:rsidRPr="006A01A8">
        <w:rPr>
          <w:lang w:val="en-CA"/>
        </w:rPr>
        <w:t xml:space="preserve"> </w:t>
      </w:r>
    </w:p>
    <w:p w14:paraId="7384D38C" w14:textId="3CF9A57E" w:rsidR="00CC3EEB" w:rsidRPr="006A01A8" w:rsidRDefault="00A13FCE" w:rsidP="00E007AA">
      <w:pPr>
        <w:pStyle w:val="Paragraphe"/>
        <w:spacing w:line="280" w:lineRule="exact"/>
        <w:rPr>
          <w:lang w:val="en-CA"/>
        </w:rPr>
      </w:pPr>
      <w:r w:rsidRPr="006A01A8">
        <w:rPr>
          <w:lang w:val="en-CA"/>
        </w:rPr>
        <w:t>She could have added that the statistics presented concerned all criminal cases, without reference to the court before which they were heard.</w:t>
      </w:r>
      <w:r w:rsidR="002C1928" w:rsidRPr="006A01A8">
        <w:rPr>
          <w:lang w:val="en-CA"/>
        </w:rPr>
        <w:t xml:space="preserve"> </w:t>
      </w:r>
      <w:r w:rsidRPr="006A01A8">
        <w:rPr>
          <w:lang w:val="en-CA"/>
        </w:rPr>
        <w:t>I cannot conclude that the judge’s assessment of the value of these statistics contains a clear and overriding error.</w:t>
      </w:r>
    </w:p>
    <w:p w14:paraId="49B48763" w14:textId="69FE56A6" w:rsidR="00CC3EEB" w:rsidRPr="006A01A8" w:rsidRDefault="00A13FCE" w:rsidP="00E007AA">
      <w:pPr>
        <w:pStyle w:val="Paragraphe"/>
        <w:spacing w:line="280" w:lineRule="exact"/>
        <w:rPr>
          <w:lang w:val="en-CA"/>
        </w:rPr>
      </w:pPr>
      <w:r w:rsidRPr="006A01A8">
        <w:rPr>
          <w:lang w:val="en-CA"/>
        </w:rPr>
        <w:t>Other than the fact that a court of appeal owes deference to the trial judge’s assessment of the weight of the evidence, there is a larger issue with the appellant’s argument concerning the pandemic.</w:t>
      </w:r>
      <w:r w:rsidR="002C1928" w:rsidRPr="006A01A8">
        <w:rPr>
          <w:lang w:val="en-CA"/>
        </w:rPr>
        <w:t xml:space="preserve"> </w:t>
      </w:r>
      <w:r w:rsidRPr="006A01A8">
        <w:rPr>
          <w:lang w:val="en-CA"/>
        </w:rPr>
        <w:t>The appellant declared that it was ready on May 27, 2021, that is, nearly 11 months after the courts</w:t>
      </w:r>
      <w:r w:rsidR="004472D2" w:rsidRPr="006A01A8">
        <w:rPr>
          <w:lang w:val="en-CA"/>
        </w:rPr>
        <w:t xml:space="preserve"> reopen</w:t>
      </w:r>
      <w:r w:rsidR="004472D2">
        <w:rPr>
          <w:lang w:val="en-CA"/>
        </w:rPr>
        <w:t>ed</w:t>
      </w:r>
      <w:r w:rsidR="004472D2" w:rsidRPr="006A01A8">
        <w:rPr>
          <w:lang w:val="en-CA"/>
        </w:rPr>
        <w:t xml:space="preserve"> </w:t>
      </w:r>
      <w:r w:rsidR="002C0418">
        <w:rPr>
          <w:lang w:val="en-CA"/>
        </w:rPr>
        <w:t>post</w:t>
      </w:r>
      <w:r w:rsidR="00485630">
        <w:rPr>
          <w:lang w:val="en-CA"/>
        </w:rPr>
        <w:t>-</w:t>
      </w:r>
      <w:r w:rsidRPr="006A01A8">
        <w:rPr>
          <w:lang w:val="en-CA"/>
        </w:rPr>
        <w:t xml:space="preserve">pandemic, and 3 </w:t>
      </w:r>
      <w:r w:rsidR="004472D2">
        <w:rPr>
          <w:lang w:val="en-CA"/>
        </w:rPr>
        <w:t xml:space="preserve">more </w:t>
      </w:r>
      <w:r w:rsidRPr="006A01A8">
        <w:rPr>
          <w:lang w:val="en-CA"/>
        </w:rPr>
        <w:t>months passed before a trial date was scheduled.</w:t>
      </w:r>
      <w:r w:rsidR="002C1928" w:rsidRPr="006A01A8">
        <w:rPr>
          <w:lang w:val="en-CA"/>
        </w:rPr>
        <w:t xml:space="preserve"> </w:t>
      </w:r>
    </w:p>
    <w:p w14:paraId="2DBABF9A" w14:textId="735016C4" w:rsidR="00CC3EEB" w:rsidRPr="006A01A8" w:rsidRDefault="00A13FCE" w:rsidP="00E007AA">
      <w:pPr>
        <w:pStyle w:val="Paragraphe"/>
        <w:spacing w:line="280" w:lineRule="exact"/>
        <w:rPr>
          <w:lang w:val="en-CA"/>
        </w:rPr>
      </w:pPr>
      <w:r w:rsidRPr="006A01A8">
        <w:rPr>
          <w:lang w:val="en-CA"/>
        </w:rPr>
        <w:t xml:space="preserve">Ultimately, the evidence </w:t>
      </w:r>
      <w:r w:rsidR="001876BE">
        <w:rPr>
          <w:lang w:val="en-CA"/>
        </w:rPr>
        <w:t>supported the judge’s conclusion</w:t>
      </w:r>
      <w:r w:rsidRPr="006A01A8">
        <w:rPr>
          <w:lang w:val="en-CA"/>
        </w:rPr>
        <w:t xml:space="preserve"> that the file had progressed through the discrete</w:t>
      </w:r>
      <w:r w:rsidR="001876BE">
        <w:rPr>
          <w:lang w:val="en-CA"/>
        </w:rPr>
        <w:t xml:space="preserve"> </w:t>
      </w:r>
      <w:r w:rsidRPr="006A01A8">
        <w:rPr>
          <w:lang w:val="en-CA"/>
        </w:rPr>
        <w:t>exceptional event while it was in its preparation phase.</w:t>
      </w:r>
      <w:r w:rsidR="002C1928" w:rsidRPr="006A01A8">
        <w:rPr>
          <w:lang w:val="en-CA"/>
        </w:rPr>
        <w:t xml:space="preserve"> </w:t>
      </w:r>
      <w:r w:rsidRPr="006A01A8">
        <w:rPr>
          <w:lang w:val="en-CA"/>
        </w:rPr>
        <w:t xml:space="preserve">The </w:t>
      </w:r>
      <w:r w:rsidR="005D43D9">
        <w:rPr>
          <w:lang w:val="en-CA"/>
        </w:rPr>
        <w:t xml:space="preserve">conduct of the </w:t>
      </w:r>
      <w:r w:rsidRPr="006A01A8">
        <w:rPr>
          <w:lang w:val="en-CA"/>
        </w:rPr>
        <w:t>proceeding</w:t>
      </w:r>
      <w:r w:rsidR="005D43D9">
        <w:rPr>
          <w:lang w:val="en-CA"/>
        </w:rPr>
        <w:t xml:space="preserve"> </w:t>
      </w:r>
      <w:r w:rsidR="00130C9F">
        <w:rPr>
          <w:lang w:val="en-CA"/>
        </w:rPr>
        <w:t>do</w:t>
      </w:r>
      <w:r w:rsidR="005D43D9">
        <w:rPr>
          <w:lang w:val="en-CA"/>
        </w:rPr>
        <w:t>es</w:t>
      </w:r>
      <w:r w:rsidRPr="006A01A8">
        <w:rPr>
          <w:lang w:val="en-CA"/>
        </w:rPr>
        <w:t xml:space="preserve"> not make it possible to intervene on the assessment of the facts or on this conclusion.</w:t>
      </w:r>
      <w:r w:rsidR="002C1928" w:rsidRPr="006A01A8">
        <w:rPr>
          <w:lang w:val="en-CA"/>
        </w:rPr>
        <w:t xml:space="preserve"> </w:t>
      </w:r>
      <w:r w:rsidRPr="006A01A8">
        <w:rPr>
          <w:lang w:val="en-CA"/>
        </w:rPr>
        <w:t>This ground of appeal is therefore dismissed.</w:t>
      </w:r>
      <w:r w:rsidR="002C1928" w:rsidRPr="006A01A8">
        <w:rPr>
          <w:lang w:val="en-CA"/>
        </w:rPr>
        <w:t xml:space="preserve">  </w:t>
      </w:r>
    </w:p>
    <w:p w14:paraId="70553A3A" w14:textId="48328644" w:rsidR="00CC3EEB" w:rsidRPr="006A01A8" w:rsidRDefault="00A13FCE" w:rsidP="00E007AA">
      <w:pPr>
        <w:pStyle w:val="JgtPositionniv2"/>
        <w:spacing w:line="280" w:lineRule="exact"/>
        <w:rPr>
          <w:kern w:val="28"/>
          <w:lang w:val="en-CA"/>
        </w:rPr>
      </w:pPr>
      <w:r w:rsidRPr="006A01A8">
        <w:rPr>
          <w:lang w:val="en-CA"/>
        </w:rPr>
        <w:t>The defence’s responsibility for the delays</w:t>
      </w:r>
    </w:p>
    <w:p w14:paraId="10A7C79F" w14:textId="7F41223C" w:rsidR="00CC3EEB" w:rsidRPr="006A01A8" w:rsidRDefault="00A13FCE" w:rsidP="00E007AA">
      <w:pPr>
        <w:pStyle w:val="Paragraphe"/>
        <w:spacing w:line="280" w:lineRule="exact"/>
        <w:rPr>
          <w:lang w:val="en-CA"/>
        </w:rPr>
      </w:pPr>
      <w:r w:rsidRPr="006A01A8">
        <w:rPr>
          <w:lang w:val="en-CA"/>
        </w:rPr>
        <w:t>The</w:t>
      </w:r>
      <w:r w:rsidR="005D43D9">
        <w:rPr>
          <w:lang w:val="en-CA"/>
        </w:rPr>
        <w:t xml:space="preserve"> conduct of the</w:t>
      </w:r>
      <w:r w:rsidRPr="006A01A8">
        <w:rPr>
          <w:lang w:val="en-CA"/>
        </w:rPr>
        <w:t xml:space="preserve"> proceeding described above support</w:t>
      </w:r>
      <w:r w:rsidR="004472D2">
        <w:rPr>
          <w:lang w:val="en-CA"/>
        </w:rPr>
        <w:t>s</w:t>
      </w:r>
      <w:r w:rsidRPr="006A01A8">
        <w:rPr>
          <w:lang w:val="en-CA"/>
        </w:rPr>
        <w:t xml:space="preserve"> the judge’s conclusions about the lack of responsibility attributable to the defence.</w:t>
      </w:r>
      <w:r w:rsidR="002C1928" w:rsidRPr="006A01A8">
        <w:rPr>
          <w:lang w:val="en-CA"/>
        </w:rPr>
        <w:t xml:space="preserve"> </w:t>
      </w:r>
      <w:r w:rsidRPr="006A01A8">
        <w:rPr>
          <w:lang w:val="en-CA"/>
        </w:rPr>
        <w:t xml:space="preserve">Moreover, the disclosure of the evidence </w:t>
      </w:r>
      <w:r w:rsidR="00A6037E">
        <w:rPr>
          <w:lang w:val="en-CA"/>
        </w:rPr>
        <w:t>did not end until</w:t>
      </w:r>
      <w:r w:rsidRPr="006A01A8">
        <w:rPr>
          <w:lang w:val="en-CA"/>
        </w:rPr>
        <w:t xml:space="preserve"> March </w:t>
      </w:r>
      <w:r w:rsidR="00A6037E">
        <w:rPr>
          <w:lang w:val="en-CA"/>
        </w:rPr>
        <w:t>3</w:t>
      </w:r>
      <w:r w:rsidRPr="006A01A8">
        <w:rPr>
          <w:lang w:val="en-CA"/>
        </w:rPr>
        <w:t xml:space="preserve">, 2021, a last trial book </w:t>
      </w:r>
      <w:r w:rsidR="00A6037E">
        <w:rPr>
          <w:lang w:val="en-CA"/>
        </w:rPr>
        <w:t>was</w:t>
      </w:r>
      <w:r w:rsidR="00A6037E" w:rsidRPr="006A01A8">
        <w:rPr>
          <w:lang w:val="en-CA"/>
        </w:rPr>
        <w:t xml:space="preserve"> </w:t>
      </w:r>
      <w:r w:rsidR="00A6037E">
        <w:rPr>
          <w:lang w:val="en-CA"/>
        </w:rPr>
        <w:t>provided</w:t>
      </w:r>
      <w:r w:rsidRPr="006A01A8">
        <w:rPr>
          <w:lang w:val="en-CA"/>
        </w:rPr>
        <w:t xml:space="preserve"> on May 27, 2021, one month after the decision </w:t>
      </w:r>
      <w:r w:rsidR="004472D2" w:rsidRPr="006A01A8">
        <w:rPr>
          <w:lang w:val="en-CA"/>
        </w:rPr>
        <w:t xml:space="preserve">in a way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00CC1A08" w:rsidRPr="006A01A8">
        <w:rPr>
          <w:rFonts w:cs="Arial"/>
          <w:color w:val="000000"/>
          <w:lang w:val="en-CA"/>
        </w:rPr>
        <w:t xml:space="preserve"> </w:t>
      </w:r>
      <w:r w:rsidRPr="006A01A8">
        <w:rPr>
          <w:lang w:val="en-CA"/>
        </w:rPr>
        <w:t>“</w:t>
      </w:r>
      <w:r w:rsidR="008C0B43" w:rsidRPr="006A01A8">
        <w:rPr>
          <w:lang w:val="en-CA"/>
        </w:rPr>
        <w:t xml:space="preserve">authorizing” </w:t>
      </w:r>
      <w:r w:rsidRPr="006A01A8">
        <w:rPr>
          <w:lang w:val="en-CA"/>
        </w:rPr>
        <w:t xml:space="preserve">the consultation of the evidence by the respondents, and it was only then that the Crown declared that it was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Pr="006A01A8">
        <w:rPr>
          <w:lang w:val="en-CA"/>
        </w:rPr>
        <w:t xml:space="preserve"> “ready”.</w:t>
      </w:r>
      <w:r w:rsidR="002C1928" w:rsidRPr="006A01A8">
        <w:rPr>
          <w:lang w:val="en-CA"/>
        </w:rPr>
        <w:t xml:space="preserve"> </w:t>
      </w:r>
      <w:bookmarkStart w:id="10" w:name="signet1"/>
      <w:bookmarkEnd w:id="10"/>
      <w:r w:rsidRPr="006A01A8">
        <w:rPr>
          <w:lang w:val="en-CA"/>
        </w:rPr>
        <w:t>Therefore, it appears to me that the defence’s responsibility was limited, if not non-</w:t>
      </w:r>
      <w:r w:rsidR="008C0B43" w:rsidRPr="006A01A8">
        <w:rPr>
          <w:lang w:val="en-CA"/>
        </w:rPr>
        <w:t>existent</w:t>
      </w:r>
      <w:r w:rsidRPr="006A01A8">
        <w:rPr>
          <w:lang w:val="en-CA"/>
        </w:rPr>
        <w:t>.</w:t>
      </w:r>
    </w:p>
    <w:p w14:paraId="0FA1DEAE" w14:textId="56645847" w:rsidR="00CC3EEB" w:rsidRPr="006A01A8" w:rsidRDefault="00A13FCE" w:rsidP="00E007AA">
      <w:pPr>
        <w:pStyle w:val="Paragraphe"/>
        <w:spacing w:line="280" w:lineRule="exact"/>
        <w:rPr>
          <w:lang w:val="en-CA"/>
        </w:rPr>
      </w:pPr>
      <w:r w:rsidRPr="006A01A8">
        <w:rPr>
          <w:lang w:val="en-CA"/>
        </w:rPr>
        <w:t>First, I note that “the defence will have directly caused the delay if the court and the Crown are ready to proceed, but the defence is not”</w:t>
      </w:r>
      <w:r w:rsidR="00A6037E">
        <w:rPr>
          <w:lang w:val="en-CA"/>
        </w:rPr>
        <w:t xml:space="preserve"> </w:t>
      </w:r>
      <w:r w:rsidR="004472D2">
        <w:rPr>
          <w:lang w:val="en-CA"/>
        </w:rPr>
        <w:t>(</w:t>
      </w:r>
      <w:r w:rsidR="002C1928" w:rsidRPr="006A01A8">
        <w:rPr>
          <w:i/>
          <w:iCs/>
          <w:lang w:val="en-CA"/>
        </w:rPr>
        <w:t>Jordan</w:t>
      </w:r>
      <w:r w:rsidRPr="006A01A8">
        <w:rPr>
          <w:lang w:val="en-CA"/>
        </w:rPr>
        <w:t xml:space="preserve"> at para. </w:t>
      </w:r>
      <w:r w:rsidR="002C1928" w:rsidRPr="006A01A8">
        <w:rPr>
          <w:lang w:val="en-CA"/>
        </w:rPr>
        <w:t xml:space="preserve">64; </w:t>
      </w:r>
      <w:r w:rsidR="002C1928" w:rsidRPr="006A01A8">
        <w:rPr>
          <w:i/>
          <w:iCs/>
          <w:lang w:val="en-CA"/>
        </w:rPr>
        <w:t>Rice</w:t>
      </w:r>
      <w:r w:rsidR="002C1928" w:rsidRPr="006A01A8">
        <w:rPr>
          <w:lang w:val="en-CA"/>
        </w:rPr>
        <w:t xml:space="preserve"> </w:t>
      </w:r>
      <w:r w:rsidRPr="006A01A8">
        <w:rPr>
          <w:lang w:val="en-CA"/>
        </w:rPr>
        <w:t>at para.</w:t>
      </w:r>
      <w:r w:rsidR="00B97CA2">
        <w:rPr>
          <w:lang w:val="en-CA"/>
        </w:rPr>
        <w:t> </w:t>
      </w:r>
      <w:r w:rsidR="002C1928" w:rsidRPr="006A01A8">
        <w:rPr>
          <w:lang w:val="en-CA"/>
        </w:rPr>
        <w:t>160</w:t>
      </w:r>
      <w:r w:rsidR="004472D2">
        <w:rPr>
          <w:lang w:val="en-CA"/>
        </w:rPr>
        <w:t>)</w:t>
      </w:r>
      <w:r w:rsidR="00A6037E">
        <w:rPr>
          <w:lang w:val="en-CA"/>
        </w:rPr>
        <w:t>.</w:t>
      </w:r>
      <w:r w:rsidR="002C1928" w:rsidRPr="006A01A8">
        <w:rPr>
          <w:lang w:val="en-CA"/>
        </w:rPr>
        <w:t xml:space="preserve"> </w:t>
      </w:r>
    </w:p>
    <w:p w14:paraId="4FE86A5D" w14:textId="1A5C3571" w:rsidR="00CC3EEB" w:rsidRPr="006A01A8" w:rsidRDefault="00A13FCE" w:rsidP="005D5D87">
      <w:pPr>
        <w:pStyle w:val="Paragraphe"/>
        <w:spacing w:line="280" w:lineRule="exact"/>
        <w:rPr>
          <w:lang w:val="en-CA"/>
        </w:rPr>
      </w:pPr>
      <w:r w:rsidRPr="006A01A8">
        <w:rPr>
          <w:lang w:val="en-CA"/>
        </w:rPr>
        <w:t>Next, “[t]o be clear</w:t>
      </w:r>
      <w:r w:rsidR="00B97CA2" w:rsidRPr="006A01A8">
        <w:rPr>
          <w:lang w:val="en-CA"/>
        </w:rPr>
        <w:t>”</w:t>
      </w:r>
      <w:r w:rsidR="008C0B43" w:rsidRPr="006A01A8">
        <w:rPr>
          <w:lang w:val="en-CA"/>
        </w:rPr>
        <w:t>,</w:t>
      </w:r>
      <w:r w:rsidR="005D43D9">
        <w:rPr>
          <w:lang w:val="en-CA"/>
        </w:rPr>
        <w:t xml:space="preserve"> </w:t>
      </w:r>
      <w:r w:rsidR="008C0B43" w:rsidRPr="00CC1A08">
        <w:rPr>
          <w:i/>
          <w:iCs/>
          <w:lang w:val="en-CA"/>
        </w:rPr>
        <w:t>Jordan</w:t>
      </w:r>
      <w:r w:rsidRPr="006A01A8">
        <w:rPr>
          <w:i/>
          <w:lang w:val="en-CA"/>
        </w:rPr>
        <w:t xml:space="preserve"> </w:t>
      </w:r>
      <w:r w:rsidRPr="006A01A8">
        <w:rPr>
          <w:lang w:val="en-CA"/>
        </w:rPr>
        <w:t xml:space="preserve">states that </w:t>
      </w:r>
      <w:r w:rsidRPr="006A01A8">
        <w:rPr>
          <w:i/>
          <w:lang w:val="en-CA"/>
        </w:rPr>
        <w:t>“</w:t>
      </w:r>
      <w:r w:rsidRPr="006A01A8">
        <w:rPr>
          <w:lang w:val="en-CA"/>
        </w:rPr>
        <w:t>defence actions legitimately taken to respond to the charges fall outside the ambit of defence delay”</w:t>
      </w:r>
      <w:r w:rsidR="00CC1A08">
        <w:rPr>
          <w:lang w:val="en-CA"/>
        </w:rPr>
        <w:t xml:space="preserve"> (</w:t>
      </w:r>
      <w:r w:rsidR="002C1928" w:rsidRPr="006A01A8">
        <w:rPr>
          <w:i/>
          <w:iCs/>
          <w:lang w:val="en-CA"/>
        </w:rPr>
        <w:t>Jordan</w:t>
      </w:r>
      <w:r w:rsidR="002C1928" w:rsidRPr="006A01A8">
        <w:rPr>
          <w:lang w:val="en-CA"/>
        </w:rPr>
        <w:t xml:space="preserve"> at para. 65; </w:t>
      </w:r>
      <w:r w:rsidR="002C1928" w:rsidRPr="006A01A8">
        <w:rPr>
          <w:i/>
          <w:iCs/>
          <w:lang w:val="en-CA"/>
        </w:rPr>
        <w:t>Rice</w:t>
      </w:r>
      <w:r w:rsidR="002C1928" w:rsidRPr="006A01A8">
        <w:rPr>
          <w:lang w:val="en-CA"/>
        </w:rPr>
        <w:t xml:space="preserve"> at para. 52</w:t>
      </w:r>
      <w:r w:rsidR="00CC1A08">
        <w:rPr>
          <w:lang w:val="en-CA"/>
        </w:rPr>
        <w:t>)</w:t>
      </w:r>
      <w:r w:rsidR="002C1928" w:rsidRPr="006A01A8">
        <w:rPr>
          <w:lang w:val="en-CA"/>
        </w:rPr>
        <w:t>.</w:t>
      </w:r>
    </w:p>
    <w:p w14:paraId="2245519F" w14:textId="0C7D66FF" w:rsidR="00CC3EEB" w:rsidRPr="006A01A8" w:rsidRDefault="00A13FCE" w:rsidP="00E007AA">
      <w:pPr>
        <w:pStyle w:val="Paragraphe"/>
        <w:spacing w:line="280" w:lineRule="exact"/>
        <w:rPr>
          <w:lang w:val="en-CA"/>
        </w:rPr>
      </w:pPr>
      <w:r w:rsidRPr="006A01A8">
        <w:rPr>
          <w:lang w:val="en-CA"/>
        </w:rPr>
        <w:t xml:space="preserve">Thus, the mere statement by the Crown that it was </w:t>
      </w:r>
      <w:r w:rsidR="00CC1A08">
        <w:rPr>
          <w:rFonts w:cs="Arial"/>
          <w:color w:val="000000"/>
          <w:lang w:val="en-CA"/>
        </w:rPr>
        <w:t>[</w:t>
      </w:r>
      <w:r w:rsidR="00CC1A08" w:rsidRPr="00711DEC">
        <w:rPr>
          <w:rFonts w:cs="Arial"/>
          <w:smallCaps/>
          <w:color w:val="000000"/>
          <w:lang w:val="en-CA"/>
        </w:rPr>
        <w:t>translation</w:t>
      </w:r>
      <w:r w:rsidR="00CC1A08">
        <w:rPr>
          <w:rFonts w:cs="Arial"/>
          <w:smallCaps/>
          <w:color w:val="000000"/>
          <w:lang w:val="en-CA"/>
        </w:rPr>
        <w:t>]</w:t>
      </w:r>
      <w:r w:rsidRPr="006A01A8">
        <w:rPr>
          <w:lang w:val="en-CA"/>
        </w:rPr>
        <w:t xml:space="preserve"> “ready” did not automatically trigger the defence’s responsibility for the delay that followed.</w:t>
      </w:r>
      <w:r w:rsidR="002C1928" w:rsidRPr="006A01A8">
        <w:rPr>
          <w:lang w:val="en-CA"/>
        </w:rPr>
        <w:t xml:space="preserve"> </w:t>
      </w:r>
    </w:p>
    <w:p w14:paraId="58590073" w14:textId="14CACAF5" w:rsidR="00CC3EEB" w:rsidRPr="006A01A8" w:rsidRDefault="00A13FCE" w:rsidP="00F9354F">
      <w:pPr>
        <w:pStyle w:val="Paragraphe"/>
        <w:keepLines/>
        <w:spacing w:line="280" w:lineRule="exact"/>
        <w:rPr>
          <w:lang w:val="en-CA"/>
        </w:rPr>
      </w:pPr>
      <w:r w:rsidRPr="006A01A8">
        <w:rPr>
          <w:lang w:val="en-CA"/>
        </w:rPr>
        <w:lastRenderedPageBreak/>
        <w:t xml:space="preserve">It is difficult to criticize the judge who considered that the police investigation had been ongoing for several months, even years, before the charges were laid, and that, </w:t>
      </w:r>
      <w:proofErr w:type="gramStart"/>
      <w:r w:rsidRPr="006A01A8">
        <w:rPr>
          <w:lang w:val="en-CA"/>
        </w:rPr>
        <w:t>in spite of</w:t>
      </w:r>
      <w:proofErr w:type="gramEnd"/>
      <w:r w:rsidRPr="006A01A8">
        <w:rPr>
          <w:lang w:val="en-CA"/>
        </w:rPr>
        <w:t xml:space="preserve"> everything, the disclosure of the evidence was laborious due in particular to the confidentiality requirements imposed by the appellant.</w:t>
      </w:r>
      <w:r w:rsidR="002C1928" w:rsidRPr="006A01A8">
        <w:rPr>
          <w:lang w:val="en-CA"/>
        </w:rPr>
        <w:t xml:space="preserve"> </w:t>
      </w:r>
    </w:p>
    <w:p w14:paraId="697324C0" w14:textId="06B1ADA9" w:rsidR="00CC3EEB" w:rsidRPr="006A01A8" w:rsidRDefault="00A13FCE" w:rsidP="00E007AA">
      <w:pPr>
        <w:pStyle w:val="Paragraphe"/>
        <w:spacing w:line="280" w:lineRule="exact"/>
        <w:rPr>
          <w:lang w:val="en-CA"/>
        </w:rPr>
      </w:pPr>
      <w:r w:rsidRPr="006A01A8">
        <w:rPr>
          <w:lang w:val="en-CA"/>
        </w:rPr>
        <w:t xml:space="preserve">If in September 2020, it was </w:t>
      </w:r>
      <w:r w:rsidR="000E3507">
        <w:rPr>
          <w:lang w:val="en-CA"/>
        </w:rPr>
        <w:t>reasonable</w:t>
      </w:r>
      <w:r w:rsidRPr="006A01A8">
        <w:rPr>
          <w:lang w:val="en-CA"/>
        </w:rPr>
        <w:t xml:space="preserve"> to require the respondents to elect a mode of trial for the charges laid in January 2020, they cannot be faulted for not doing so since they were now facing new charges and the disclosure of additional evidence.</w:t>
      </w:r>
      <w:r w:rsidR="002C1928" w:rsidRPr="006A01A8">
        <w:rPr>
          <w:lang w:val="en-CA"/>
        </w:rPr>
        <w:t xml:space="preserve"> </w:t>
      </w:r>
      <w:r w:rsidRPr="006A01A8">
        <w:rPr>
          <w:lang w:val="en-CA"/>
        </w:rPr>
        <w:t xml:space="preserve">This justifies the defence’s </w:t>
      </w:r>
      <w:proofErr w:type="gramStart"/>
      <w:r w:rsidRPr="006A01A8">
        <w:rPr>
          <w:lang w:val="en-CA"/>
        </w:rPr>
        <w:t>conduct</w:t>
      </w:r>
      <w:proofErr w:type="gramEnd"/>
      <w:r w:rsidRPr="006A01A8">
        <w:rPr>
          <w:lang w:val="en-CA"/>
        </w:rPr>
        <w:t xml:space="preserve"> and, in any case, the appellant itself was not ready to proceed.</w:t>
      </w:r>
      <w:r w:rsidR="002C1928" w:rsidRPr="006A01A8">
        <w:rPr>
          <w:lang w:val="en-CA"/>
        </w:rPr>
        <w:t xml:space="preserve"> </w:t>
      </w:r>
    </w:p>
    <w:p w14:paraId="0155C5F3" w14:textId="4E2FC452" w:rsidR="00CC3EEB" w:rsidRPr="006A01A8" w:rsidRDefault="00A13FCE" w:rsidP="00E007AA">
      <w:pPr>
        <w:pStyle w:val="Paragraphe"/>
        <w:spacing w:line="280" w:lineRule="exact"/>
        <w:rPr>
          <w:lang w:val="en-CA"/>
        </w:rPr>
      </w:pPr>
      <w:r w:rsidRPr="006A01A8">
        <w:rPr>
          <w:lang w:val="en-CA"/>
        </w:rPr>
        <w:t xml:space="preserve">It was </w:t>
      </w:r>
      <w:r w:rsidR="004D070C">
        <w:rPr>
          <w:lang w:val="en-CA"/>
        </w:rPr>
        <w:t>not until</w:t>
      </w:r>
      <w:r w:rsidRPr="006A01A8">
        <w:rPr>
          <w:lang w:val="en-CA"/>
        </w:rPr>
        <w:t xml:space="preserve"> October 2020, that is, 10 months after the first charges were laid, that the appellant asked the respondents to discuss the direction of the case, a task that was hampered by the fact that the appellant's </w:t>
      </w:r>
      <w:r w:rsidR="006A0DAD" w:rsidRPr="006A01A8">
        <w:rPr>
          <w:lang w:val="en-CA"/>
        </w:rPr>
        <w:t xml:space="preserve">confidentiality </w:t>
      </w:r>
      <w:r w:rsidRPr="006A01A8">
        <w:rPr>
          <w:lang w:val="en-CA"/>
        </w:rPr>
        <w:t>undertaking made it difficult for the respondents to review the evidence.</w:t>
      </w:r>
      <w:r w:rsidR="002C1928" w:rsidRPr="006A01A8">
        <w:rPr>
          <w:lang w:val="en-CA"/>
        </w:rPr>
        <w:t xml:space="preserve"> </w:t>
      </w:r>
      <w:r w:rsidR="000E3507">
        <w:rPr>
          <w:lang w:val="en-CA"/>
        </w:rPr>
        <w:t>Clearly, this was a positive</w:t>
      </w:r>
      <w:r w:rsidRPr="006A01A8">
        <w:rPr>
          <w:lang w:val="en-CA"/>
        </w:rPr>
        <w:t xml:space="preserve"> initiative </w:t>
      </w:r>
      <w:r w:rsidR="00485630">
        <w:rPr>
          <w:lang w:val="en-CA"/>
        </w:rPr>
        <w:t xml:space="preserve">and </w:t>
      </w:r>
      <w:r w:rsidR="000E3507">
        <w:rPr>
          <w:lang w:val="en-CA"/>
        </w:rPr>
        <w:t>should</w:t>
      </w:r>
      <w:r w:rsidRPr="006A01A8">
        <w:rPr>
          <w:lang w:val="en-CA"/>
        </w:rPr>
        <w:t xml:space="preserve"> be encouraged, but a good part of this delay would be included in the delay required to lay the new charges in September.</w:t>
      </w:r>
      <w:r w:rsidR="002C1928" w:rsidRPr="006A01A8">
        <w:rPr>
          <w:lang w:val="en-CA"/>
        </w:rPr>
        <w:t xml:space="preserve"> </w:t>
      </w:r>
    </w:p>
    <w:p w14:paraId="5297B9D7" w14:textId="1E615D83" w:rsidR="00CC3EEB" w:rsidRPr="006A01A8" w:rsidRDefault="00485630" w:rsidP="00E007AA">
      <w:pPr>
        <w:pStyle w:val="Paragraphe"/>
        <w:spacing w:line="280" w:lineRule="exact"/>
        <w:rPr>
          <w:lang w:val="en-CA"/>
        </w:rPr>
      </w:pPr>
      <w:r>
        <w:rPr>
          <w:lang w:val="en-CA"/>
        </w:rPr>
        <w:t>Later</w:t>
      </w:r>
      <w:r w:rsidR="00A13FCE" w:rsidRPr="006A01A8">
        <w:rPr>
          <w:lang w:val="en-CA"/>
        </w:rPr>
        <w:t xml:space="preserve">, in January 2021, the appellant accepted that the trial be held before a provincial court judge within the meaning of the </w:t>
      </w:r>
      <w:r w:rsidR="00A13FCE" w:rsidRPr="006A01A8">
        <w:rPr>
          <w:i/>
          <w:lang w:val="en-CA"/>
        </w:rPr>
        <w:t>Criminal Code</w:t>
      </w:r>
      <w:r w:rsidR="00A13FCE" w:rsidRPr="006A01A8">
        <w:rPr>
          <w:lang w:val="en-CA"/>
        </w:rPr>
        <w:t>.</w:t>
      </w:r>
      <w:r w:rsidR="002C1928" w:rsidRPr="006A01A8">
        <w:rPr>
          <w:lang w:val="en-CA"/>
        </w:rPr>
        <w:t xml:space="preserve"> </w:t>
      </w:r>
      <w:r w:rsidR="00A13FCE" w:rsidRPr="006A01A8">
        <w:rPr>
          <w:lang w:val="en-CA"/>
        </w:rPr>
        <w:t xml:space="preserve">The file is silent </w:t>
      </w:r>
      <w:r w:rsidR="00B97CA2">
        <w:rPr>
          <w:lang w:val="en-CA"/>
        </w:rPr>
        <w:t xml:space="preserve">on </w:t>
      </w:r>
      <w:r>
        <w:rPr>
          <w:lang w:val="en-CA"/>
        </w:rPr>
        <w:t>the verifications made</w:t>
      </w:r>
      <w:r w:rsidR="00A13FCE" w:rsidRPr="006A01A8">
        <w:rPr>
          <w:lang w:val="en-CA"/>
        </w:rPr>
        <w:t xml:space="preserve"> to ensure that the trial </w:t>
      </w:r>
      <w:r>
        <w:rPr>
          <w:lang w:val="en-CA"/>
        </w:rPr>
        <w:t>could</w:t>
      </w:r>
      <w:r w:rsidRPr="006A01A8">
        <w:rPr>
          <w:lang w:val="en-CA"/>
        </w:rPr>
        <w:t xml:space="preserve"> </w:t>
      </w:r>
      <w:r w:rsidR="00A13FCE" w:rsidRPr="006A01A8">
        <w:rPr>
          <w:lang w:val="en-CA"/>
        </w:rPr>
        <w:t>be held within the 18</w:t>
      </w:r>
      <w:r w:rsidR="000E3507">
        <w:rPr>
          <w:lang w:val="en-CA"/>
        </w:rPr>
        <w:noBreakHyphen/>
      </w:r>
      <w:r w:rsidR="00A13FCE" w:rsidRPr="006A01A8">
        <w:rPr>
          <w:lang w:val="en-CA"/>
        </w:rPr>
        <w:t>month ceiling.</w:t>
      </w:r>
    </w:p>
    <w:p w14:paraId="21C160A6" w14:textId="517FBBF1" w:rsidR="00CC3EEB" w:rsidRPr="006A01A8" w:rsidRDefault="000E3507" w:rsidP="00E007AA">
      <w:pPr>
        <w:pStyle w:val="Paragraphe"/>
        <w:spacing w:line="280" w:lineRule="exact"/>
        <w:rPr>
          <w:lang w:val="en-CA"/>
        </w:rPr>
      </w:pPr>
      <w:r>
        <w:rPr>
          <w:lang w:val="en-CA"/>
        </w:rPr>
        <w:t>At this point, the</w:t>
      </w:r>
      <w:r w:rsidR="00A13FCE" w:rsidRPr="006A01A8">
        <w:rPr>
          <w:lang w:val="en-CA"/>
        </w:rPr>
        <w:t xml:space="preserve"> evidence establishes that the respondents informed the appellant that the trial was expected to </w:t>
      </w:r>
      <w:r>
        <w:rPr>
          <w:lang w:val="en-CA"/>
        </w:rPr>
        <w:t>last</w:t>
      </w:r>
      <w:r w:rsidR="00A13FCE" w:rsidRPr="006A01A8">
        <w:rPr>
          <w:lang w:val="en-CA"/>
        </w:rPr>
        <w:t xml:space="preserve"> several weeks, </w:t>
      </w:r>
      <w:r w:rsidR="001B01D9">
        <w:rPr>
          <w:lang w:val="en-CA"/>
        </w:rPr>
        <w:t>maybe</w:t>
      </w:r>
      <w:r w:rsidR="001B01D9" w:rsidRPr="006A01A8">
        <w:rPr>
          <w:lang w:val="en-CA"/>
        </w:rPr>
        <w:t xml:space="preserve"> </w:t>
      </w:r>
      <w:r w:rsidR="00A13FCE" w:rsidRPr="006A01A8">
        <w:rPr>
          <w:lang w:val="en-CA"/>
        </w:rPr>
        <w:t>less if admissions were made.</w:t>
      </w:r>
      <w:r w:rsidR="002C1928" w:rsidRPr="006A01A8">
        <w:rPr>
          <w:lang w:val="en-CA"/>
        </w:rPr>
        <w:t xml:space="preserve"> </w:t>
      </w:r>
      <w:r>
        <w:rPr>
          <w:lang w:val="en-CA"/>
        </w:rPr>
        <w:t xml:space="preserve">The appellant </w:t>
      </w:r>
      <w:r w:rsidR="00A13FCE" w:rsidRPr="006A01A8">
        <w:rPr>
          <w:lang w:val="en-CA"/>
        </w:rPr>
        <w:t xml:space="preserve">knew that the </w:t>
      </w:r>
      <w:r w:rsidR="006A0DAD" w:rsidRPr="006A01A8">
        <w:rPr>
          <w:lang w:val="en-CA"/>
        </w:rPr>
        <w:t xml:space="preserve">confidentiality </w:t>
      </w:r>
      <w:r w:rsidR="00A13FCE" w:rsidRPr="006A01A8">
        <w:rPr>
          <w:lang w:val="en-CA"/>
        </w:rPr>
        <w:t>undertaking made it difficult for the respondents to access the evidence, which compromised potential admissions.</w:t>
      </w:r>
      <w:r w:rsidR="002C1928" w:rsidRPr="006A01A8">
        <w:rPr>
          <w:lang w:val="en-CA"/>
        </w:rPr>
        <w:t xml:space="preserve"> </w:t>
      </w:r>
      <w:r w:rsidR="00A13FCE" w:rsidRPr="006A01A8">
        <w:rPr>
          <w:lang w:val="en-CA"/>
        </w:rPr>
        <w:t xml:space="preserve">The appellant insisted on its confidentiality order and </w:t>
      </w:r>
      <w:r w:rsidR="008C0B43" w:rsidRPr="006A01A8">
        <w:rPr>
          <w:lang w:val="en-CA"/>
        </w:rPr>
        <w:t>in</w:t>
      </w:r>
      <w:r>
        <w:rPr>
          <w:lang w:val="en-CA"/>
        </w:rPr>
        <w:t>stituted</w:t>
      </w:r>
      <w:r w:rsidR="00A13FCE" w:rsidRPr="006A01A8">
        <w:rPr>
          <w:lang w:val="en-CA"/>
        </w:rPr>
        <w:t xml:space="preserve"> a </w:t>
      </w:r>
      <w:r>
        <w:rPr>
          <w:lang w:val="en-CA"/>
        </w:rPr>
        <w:t xml:space="preserve">proceeding </w:t>
      </w:r>
      <w:r w:rsidR="00A13FCE" w:rsidRPr="006A01A8">
        <w:rPr>
          <w:lang w:val="en-CA"/>
        </w:rPr>
        <w:t>to have it respected.</w:t>
      </w:r>
      <w:r w:rsidR="002C1928" w:rsidRPr="006A01A8">
        <w:rPr>
          <w:lang w:val="en-CA"/>
        </w:rPr>
        <w:t xml:space="preserve"> </w:t>
      </w:r>
      <w:r w:rsidR="00A13FCE" w:rsidRPr="006A01A8">
        <w:rPr>
          <w:lang w:val="en-CA"/>
        </w:rPr>
        <w:t>A judge largely rule</w:t>
      </w:r>
      <w:r>
        <w:rPr>
          <w:lang w:val="en-CA"/>
        </w:rPr>
        <w:t>d</w:t>
      </w:r>
      <w:r w:rsidR="00A13FCE" w:rsidRPr="006A01A8">
        <w:rPr>
          <w:lang w:val="en-CA"/>
        </w:rPr>
        <w:t xml:space="preserve"> against the appellant, because </w:t>
      </w:r>
      <w:r>
        <w:rPr>
          <w:lang w:val="en-CA"/>
        </w:rPr>
        <w:t>al</w:t>
      </w:r>
      <w:r w:rsidR="00A13FCE" w:rsidRPr="006A01A8">
        <w:rPr>
          <w:lang w:val="en-CA"/>
        </w:rPr>
        <w:t xml:space="preserve">though </w:t>
      </w:r>
      <w:r w:rsidR="001B01D9">
        <w:rPr>
          <w:lang w:val="en-CA"/>
        </w:rPr>
        <w:t>he</w:t>
      </w:r>
      <w:r>
        <w:rPr>
          <w:lang w:val="en-CA"/>
        </w:rPr>
        <w:t xml:space="preserve"> </w:t>
      </w:r>
      <w:r w:rsidR="001B01D9">
        <w:rPr>
          <w:lang w:val="en-CA"/>
        </w:rPr>
        <w:t xml:space="preserve">imposed </w:t>
      </w:r>
      <w:r w:rsidR="00A13FCE" w:rsidRPr="006A01A8">
        <w:rPr>
          <w:lang w:val="en-CA"/>
        </w:rPr>
        <w:t>restrict</w:t>
      </w:r>
      <w:r w:rsidR="001B01D9">
        <w:rPr>
          <w:lang w:val="en-CA"/>
        </w:rPr>
        <w:t>ions on</w:t>
      </w:r>
      <w:r w:rsidR="00A13FCE" w:rsidRPr="006A01A8">
        <w:rPr>
          <w:lang w:val="en-CA"/>
        </w:rPr>
        <w:t xml:space="preserve"> the respondents’ ability to take possession of this evidence, the judge concluded that the respondents </w:t>
      </w:r>
      <w:r w:rsidR="001B01D9">
        <w:rPr>
          <w:lang w:val="en-CA"/>
        </w:rPr>
        <w:t>had to have</w:t>
      </w:r>
      <w:r w:rsidR="001B01D9" w:rsidRPr="006A01A8">
        <w:rPr>
          <w:lang w:val="en-CA"/>
        </w:rPr>
        <w:t xml:space="preserve"> </w:t>
      </w:r>
      <w:r w:rsidR="00A13FCE" w:rsidRPr="006A01A8">
        <w:rPr>
          <w:lang w:val="en-CA"/>
        </w:rPr>
        <w:t>unrestricted access to it</w:t>
      </w:r>
      <w:r>
        <w:rPr>
          <w:lang w:val="en-CA"/>
        </w:rPr>
        <w:t>,</w:t>
      </w:r>
      <w:r w:rsidR="00A13FCE" w:rsidRPr="006A01A8">
        <w:rPr>
          <w:lang w:val="en-CA"/>
        </w:rPr>
        <w:t xml:space="preserve"> without direct supervision </w:t>
      </w:r>
      <w:r>
        <w:rPr>
          <w:lang w:val="en-CA"/>
        </w:rPr>
        <w:t>by</w:t>
      </w:r>
      <w:r w:rsidR="00A13FCE" w:rsidRPr="006A01A8">
        <w:rPr>
          <w:lang w:val="en-CA"/>
        </w:rPr>
        <w:t xml:space="preserve"> their counsel.</w:t>
      </w:r>
      <w:r w:rsidR="002C1928" w:rsidRPr="006A01A8">
        <w:rPr>
          <w:lang w:val="en-CA"/>
        </w:rPr>
        <w:t xml:space="preserve"> </w:t>
      </w:r>
      <w:r w:rsidR="00A13FCE" w:rsidRPr="006A01A8">
        <w:rPr>
          <w:lang w:val="en-CA"/>
        </w:rPr>
        <w:t xml:space="preserve">Last, the appellant knew that requests </w:t>
      </w:r>
      <w:r>
        <w:rPr>
          <w:lang w:val="en-CA"/>
        </w:rPr>
        <w:t>for an unredacted copy of the</w:t>
      </w:r>
      <w:r w:rsidR="00A13FCE" w:rsidRPr="006A01A8">
        <w:rPr>
          <w:lang w:val="en-CA"/>
        </w:rPr>
        <w:t xml:space="preserve"> information </w:t>
      </w:r>
      <w:r>
        <w:rPr>
          <w:lang w:val="en-CA"/>
        </w:rPr>
        <w:t xml:space="preserve">had been made </w:t>
      </w:r>
      <w:r w:rsidR="00A13FCE" w:rsidRPr="006A01A8">
        <w:rPr>
          <w:lang w:val="en-CA"/>
        </w:rPr>
        <w:t>and would have to be answered.</w:t>
      </w:r>
    </w:p>
    <w:p w14:paraId="12A582B2" w14:textId="2C59FF45" w:rsidR="00CC3EEB" w:rsidRPr="006A01A8" w:rsidRDefault="00A13FCE" w:rsidP="00E007AA">
      <w:pPr>
        <w:pStyle w:val="Paragraphe"/>
        <w:spacing w:line="280" w:lineRule="exact"/>
        <w:rPr>
          <w:lang w:val="en-CA"/>
        </w:rPr>
      </w:pPr>
      <w:r w:rsidRPr="006A01A8">
        <w:rPr>
          <w:lang w:val="en-CA"/>
        </w:rPr>
        <w:t xml:space="preserve">The judge assessed the </w:t>
      </w:r>
      <w:r w:rsidR="008C0B43" w:rsidRPr="006A01A8">
        <w:rPr>
          <w:lang w:val="en-CA"/>
        </w:rPr>
        <w:t>situation,</w:t>
      </w:r>
      <w:r w:rsidRPr="006A01A8">
        <w:rPr>
          <w:lang w:val="en-CA"/>
        </w:rPr>
        <w:t xml:space="preserve"> and a court of appeal will not </w:t>
      </w:r>
      <w:r w:rsidR="004D0B38" w:rsidRPr="006A01A8">
        <w:rPr>
          <w:lang w:val="en-CA"/>
        </w:rPr>
        <w:t>intervene</w:t>
      </w:r>
      <w:r w:rsidRPr="006A01A8">
        <w:rPr>
          <w:lang w:val="en-CA"/>
        </w:rPr>
        <w:t xml:space="preserve"> lightly.</w:t>
      </w:r>
      <w:r w:rsidR="002C1928" w:rsidRPr="006A01A8">
        <w:rPr>
          <w:lang w:val="en-CA"/>
        </w:rPr>
        <w:t xml:space="preserve"> </w:t>
      </w:r>
      <w:r w:rsidRPr="006A01A8">
        <w:rPr>
          <w:lang w:val="en-CA"/>
        </w:rPr>
        <w:t>The evidence disclosed was voluminous, but the disclosure lasted from January 31, 2020, until May 26, 2021.</w:t>
      </w:r>
      <w:r w:rsidR="002C1928" w:rsidRPr="006A01A8">
        <w:rPr>
          <w:lang w:val="en-CA"/>
        </w:rPr>
        <w:t xml:space="preserve"> </w:t>
      </w:r>
      <w:r w:rsidRPr="006A01A8">
        <w:rPr>
          <w:lang w:val="en-CA"/>
        </w:rPr>
        <w:t>The judge concluded from the evidence that the defence had been diligent in analyzing this evidence.</w:t>
      </w:r>
      <w:r w:rsidR="002C1928" w:rsidRPr="006A01A8">
        <w:rPr>
          <w:lang w:val="en-CA"/>
        </w:rPr>
        <w:t xml:space="preserve"> </w:t>
      </w:r>
      <w:r w:rsidR="000E3507">
        <w:rPr>
          <w:lang w:val="en-CA"/>
        </w:rPr>
        <w:t>In addition</w:t>
      </w:r>
      <w:r w:rsidRPr="006A01A8">
        <w:rPr>
          <w:lang w:val="en-CA"/>
        </w:rPr>
        <w:t xml:space="preserve">, the judge considered the </w:t>
      </w:r>
      <w:r w:rsidR="006A0DAD" w:rsidRPr="006A01A8">
        <w:rPr>
          <w:lang w:val="en-CA"/>
        </w:rPr>
        <w:t xml:space="preserve">confidentiality </w:t>
      </w:r>
      <w:r w:rsidRPr="006A01A8">
        <w:rPr>
          <w:lang w:val="en-CA"/>
        </w:rPr>
        <w:t>undertaking that had generated debate and delays, and the redaction that had caused difficulties.</w:t>
      </w:r>
      <w:r w:rsidR="002C1928" w:rsidRPr="006A01A8">
        <w:rPr>
          <w:lang w:val="en-CA"/>
        </w:rPr>
        <w:t xml:space="preserve"> </w:t>
      </w:r>
      <w:r w:rsidRPr="006A01A8">
        <w:rPr>
          <w:lang w:val="en-CA"/>
        </w:rPr>
        <w:t xml:space="preserve">In the judge’s view, </w:t>
      </w:r>
      <w:r w:rsidR="00E54199">
        <w:rPr>
          <w:lang w:val="en-CA"/>
        </w:rPr>
        <w:t>the Crown</w:t>
      </w:r>
      <w:r w:rsidRPr="006A01A8">
        <w:rPr>
          <w:lang w:val="en-CA"/>
        </w:rPr>
        <w:t>’s process for disclosing evidence was deficient and caused the delays</w:t>
      </w:r>
      <w:r w:rsidR="000E3507">
        <w:rPr>
          <w:lang w:val="en-CA"/>
        </w:rPr>
        <w:t xml:space="preserve"> in dispute</w:t>
      </w:r>
      <w:r w:rsidRPr="006A01A8">
        <w:rPr>
          <w:lang w:val="en-CA"/>
        </w:rPr>
        <w:t>.</w:t>
      </w:r>
      <w:r w:rsidR="002C1928" w:rsidRPr="006A01A8">
        <w:rPr>
          <w:rFonts w:cs="Arial"/>
          <w:color w:val="000000"/>
          <w:lang w:val="en-CA"/>
        </w:rPr>
        <w:t xml:space="preserve"> </w:t>
      </w:r>
    </w:p>
    <w:p w14:paraId="72939797" w14:textId="6A54BF32" w:rsidR="00CC3EEB" w:rsidRPr="006A01A8" w:rsidRDefault="00A13FCE" w:rsidP="00E007AA">
      <w:pPr>
        <w:pStyle w:val="JgtParagraphe"/>
        <w:spacing w:line="280" w:lineRule="exact"/>
        <w:rPr>
          <w:lang w:val="en-CA"/>
        </w:rPr>
      </w:pPr>
      <w:r w:rsidRPr="006A01A8">
        <w:rPr>
          <w:lang w:val="en-CA"/>
        </w:rPr>
        <w:t xml:space="preserve">I will not intervene on this issue and therefore </w:t>
      </w:r>
      <w:r w:rsidR="000E3507">
        <w:rPr>
          <w:lang w:val="en-CA"/>
        </w:rPr>
        <w:t xml:space="preserve">I will </w:t>
      </w:r>
      <w:r w:rsidRPr="006A01A8">
        <w:rPr>
          <w:lang w:val="en-CA"/>
        </w:rPr>
        <w:t>dismiss this ground of appeal.</w:t>
      </w:r>
    </w:p>
    <w:p w14:paraId="232B6D26" w14:textId="6BE96799" w:rsidR="00CC3EEB" w:rsidRPr="006A01A8" w:rsidRDefault="00A13FCE" w:rsidP="00F9354F">
      <w:pPr>
        <w:pStyle w:val="JgtPositionniv2"/>
        <w:keepNext/>
        <w:keepLines/>
        <w:spacing w:line="280" w:lineRule="exact"/>
        <w:rPr>
          <w:lang w:val="en-CA"/>
        </w:rPr>
      </w:pPr>
      <w:r w:rsidRPr="006A01A8">
        <w:rPr>
          <w:lang w:val="en-CA"/>
        </w:rPr>
        <w:lastRenderedPageBreak/>
        <w:t>The complexity of the case</w:t>
      </w:r>
    </w:p>
    <w:p w14:paraId="540716DB" w14:textId="6D071F18" w:rsidR="00CC3EEB" w:rsidRPr="006A01A8" w:rsidRDefault="00A13FCE" w:rsidP="00F9354F">
      <w:pPr>
        <w:pStyle w:val="Paragraphe"/>
        <w:keepNext/>
        <w:keepLines/>
        <w:spacing w:line="280" w:lineRule="exact"/>
        <w:rPr>
          <w:lang w:val="en-CA"/>
        </w:rPr>
      </w:pPr>
      <w:r w:rsidRPr="006A01A8">
        <w:rPr>
          <w:lang w:val="en-CA"/>
        </w:rPr>
        <w:t xml:space="preserve">The appellant believes that the judge erred in </w:t>
      </w:r>
      <w:r w:rsidR="00625F7B">
        <w:rPr>
          <w:lang w:val="en-CA"/>
        </w:rPr>
        <w:t>not</w:t>
      </w:r>
      <w:r w:rsidR="00625F7B" w:rsidRPr="006A01A8">
        <w:rPr>
          <w:lang w:val="en-CA"/>
        </w:rPr>
        <w:t xml:space="preserve"> recogniz</w:t>
      </w:r>
      <w:r w:rsidR="00625F7B">
        <w:rPr>
          <w:lang w:val="en-CA"/>
        </w:rPr>
        <w:t>ing</w:t>
      </w:r>
      <w:r w:rsidR="00625F7B" w:rsidRPr="006A01A8">
        <w:rPr>
          <w:lang w:val="en-CA"/>
        </w:rPr>
        <w:t xml:space="preserve"> </w:t>
      </w:r>
      <w:r w:rsidRPr="006A01A8">
        <w:rPr>
          <w:lang w:val="en-CA"/>
        </w:rPr>
        <w:t>the complexity of the case, as evidence</w:t>
      </w:r>
      <w:r w:rsidR="000E3507">
        <w:rPr>
          <w:lang w:val="en-CA"/>
        </w:rPr>
        <w:t>d</w:t>
      </w:r>
      <w:r w:rsidRPr="006A01A8">
        <w:rPr>
          <w:lang w:val="en-CA"/>
        </w:rPr>
        <w:t xml:space="preserve"> by the trial book.</w:t>
      </w:r>
      <w:r w:rsidR="002C1928" w:rsidRPr="006A01A8">
        <w:rPr>
          <w:lang w:val="en-CA"/>
        </w:rPr>
        <w:t xml:space="preserve"> </w:t>
      </w:r>
      <w:r w:rsidRPr="006A01A8">
        <w:rPr>
          <w:lang w:val="en-CA"/>
        </w:rPr>
        <w:t>As proof</w:t>
      </w:r>
      <w:r w:rsidR="000E5177">
        <w:rPr>
          <w:lang w:val="en-CA"/>
        </w:rPr>
        <w:t>,</w:t>
      </w:r>
      <w:r w:rsidRPr="006A01A8">
        <w:rPr>
          <w:lang w:val="en-CA"/>
        </w:rPr>
        <w:t xml:space="preserve"> </w:t>
      </w:r>
      <w:r w:rsidR="000E5177">
        <w:rPr>
          <w:lang w:val="en-CA"/>
        </w:rPr>
        <w:t>the respondent</w:t>
      </w:r>
      <w:r w:rsidRPr="006A01A8">
        <w:rPr>
          <w:lang w:val="en-CA"/>
        </w:rPr>
        <w:t xml:space="preserve"> also </w:t>
      </w:r>
      <w:r w:rsidR="000E5177">
        <w:rPr>
          <w:lang w:val="en-CA"/>
        </w:rPr>
        <w:t>points to the numerous</w:t>
      </w:r>
      <w:r w:rsidRPr="006A01A8">
        <w:rPr>
          <w:lang w:val="en-CA"/>
        </w:rPr>
        <w:t xml:space="preserve"> postponement</w:t>
      </w:r>
      <w:r w:rsidR="000E3507">
        <w:rPr>
          <w:lang w:val="en-CA"/>
        </w:rPr>
        <w:t>s requested by the defence</w:t>
      </w:r>
      <w:r w:rsidRPr="006A01A8">
        <w:rPr>
          <w:lang w:val="en-CA"/>
        </w:rPr>
        <w:t xml:space="preserve"> to study the voluminous evidence.</w:t>
      </w:r>
      <w:r w:rsidR="002C1928" w:rsidRPr="006A01A8">
        <w:rPr>
          <w:lang w:val="en-CA"/>
        </w:rPr>
        <w:t xml:space="preserve"> </w:t>
      </w:r>
      <w:r w:rsidRPr="006A01A8">
        <w:rPr>
          <w:lang w:val="en-CA"/>
        </w:rPr>
        <w:t xml:space="preserve">The respondents </w:t>
      </w:r>
      <w:r w:rsidR="00625F7B">
        <w:rPr>
          <w:lang w:val="en-CA"/>
        </w:rPr>
        <w:t>recall</w:t>
      </w:r>
      <w:r w:rsidR="00625F7B" w:rsidRPr="006A01A8">
        <w:rPr>
          <w:lang w:val="en-CA"/>
        </w:rPr>
        <w:t xml:space="preserve"> </w:t>
      </w:r>
      <w:r w:rsidRPr="006A01A8">
        <w:rPr>
          <w:lang w:val="en-CA"/>
        </w:rPr>
        <w:t>that the judge concluded that the level of complexity of the matter did not justify the time taken to resolve the issues with the disclosure of the evidence.</w:t>
      </w:r>
      <w:r w:rsidR="002C1928" w:rsidRPr="006A01A8">
        <w:rPr>
          <w:lang w:val="en-CA"/>
        </w:rPr>
        <w:t xml:space="preserve"> </w:t>
      </w:r>
      <w:r w:rsidRPr="006A01A8">
        <w:rPr>
          <w:lang w:val="en-CA"/>
        </w:rPr>
        <w:t xml:space="preserve">They take the opposing view to the appellant’s argument by </w:t>
      </w:r>
      <w:r w:rsidR="000E3507">
        <w:rPr>
          <w:lang w:val="en-CA"/>
        </w:rPr>
        <w:t>asserting</w:t>
      </w:r>
      <w:r w:rsidRPr="006A01A8">
        <w:rPr>
          <w:lang w:val="en-CA"/>
        </w:rPr>
        <w:t xml:space="preserve"> that if the case w</w:t>
      </w:r>
      <w:r w:rsidR="000E3507">
        <w:rPr>
          <w:lang w:val="en-CA"/>
        </w:rPr>
        <w:t>as</w:t>
      </w:r>
      <w:r w:rsidRPr="006A01A8">
        <w:rPr>
          <w:lang w:val="en-CA"/>
        </w:rPr>
        <w:t xml:space="preserve"> so complex, then the appellant demonstrated a flagrant lack of </w:t>
      </w:r>
      <w:r w:rsidR="000E3507">
        <w:rPr>
          <w:lang w:val="en-CA"/>
        </w:rPr>
        <w:t xml:space="preserve">a </w:t>
      </w:r>
      <w:r w:rsidRPr="006A01A8">
        <w:rPr>
          <w:lang w:val="en-CA"/>
        </w:rPr>
        <w:t>prosecut</w:t>
      </w:r>
      <w:r w:rsidR="000E3507">
        <w:rPr>
          <w:lang w:val="en-CA"/>
        </w:rPr>
        <w:t>ion</w:t>
      </w:r>
      <w:r w:rsidRPr="006A01A8">
        <w:rPr>
          <w:lang w:val="en-CA"/>
        </w:rPr>
        <w:t xml:space="preserve"> plan given not only the </w:t>
      </w:r>
      <w:r w:rsidR="000E3507">
        <w:rPr>
          <w:lang w:val="en-CA"/>
        </w:rPr>
        <w:t>piecemeal</w:t>
      </w:r>
      <w:r w:rsidRPr="006A01A8">
        <w:rPr>
          <w:lang w:val="en-CA"/>
        </w:rPr>
        <w:t xml:space="preserve"> disclosure of the evidence, but </w:t>
      </w:r>
      <w:r w:rsidR="000E3507">
        <w:rPr>
          <w:lang w:val="en-CA"/>
        </w:rPr>
        <w:t>the piecemeal laying of</w:t>
      </w:r>
      <w:r w:rsidRPr="006A01A8">
        <w:rPr>
          <w:lang w:val="en-CA"/>
        </w:rPr>
        <w:t xml:space="preserve"> charges, and a stubbornness to maintain an impractica</w:t>
      </w:r>
      <w:r w:rsidR="000E3507">
        <w:rPr>
          <w:lang w:val="en-CA"/>
        </w:rPr>
        <w:t>ble</w:t>
      </w:r>
      <w:r w:rsidRPr="006A01A8">
        <w:rPr>
          <w:lang w:val="en-CA"/>
        </w:rPr>
        <w:t xml:space="preserve"> </w:t>
      </w:r>
      <w:r w:rsidR="006A0DAD" w:rsidRPr="006A01A8">
        <w:rPr>
          <w:lang w:val="en-CA"/>
        </w:rPr>
        <w:t xml:space="preserve">confidentiality </w:t>
      </w:r>
      <w:r w:rsidRPr="006A01A8">
        <w:rPr>
          <w:lang w:val="en-CA"/>
        </w:rPr>
        <w:t>undertaking.</w:t>
      </w:r>
    </w:p>
    <w:p w14:paraId="2F04B769" w14:textId="14E00588" w:rsidR="00CC3EEB" w:rsidRPr="006A01A8" w:rsidRDefault="00A13FCE" w:rsidP="00E007AA">
      <w:pPr>
        <w:pStyle w:val="Paragraphe"/>
        <w:spacing w:line="280" w:lineRule="exact"/>
        <w:rPr>
          <w:lang w:val="en-CA"/>
        </w:rPr>
      </w:pPr>
      <w:r w:rsidRPr="006A01A8">
        <w:rPr>
          <w:lang w:val="en-CA"/>
        </w:rPr>
        <w:t xml:space="preserve">In </w:t>
      </w:r>
      <w:r w:rsidRPr="006A01A8">
        <w:rPr>
          <w:i/>
          <w:lang w:val="en-CA"/>
        </w:rPr>
        <w:t>Jordan</w:t>
      </w:r>
      <w:r w:rsidRPr="006A01A8">
        <w:rPr>
          <w:lang w:val="en-CA"/>
        </w:rPr>
        <w:t xml:space="preserve">, this category of exceptional circumstance is related to </w:t>
      </w:r>
      <w:r w:rsidR="008C0B43" w:rsidRPr="006A01A8">
        <w:rPr>
          <w:i/>
          <w:lang w:val="en-CA"/>
        </w:rPr>
        <w:t>particularly</w:t>
      </w:r>
      <w:r w:rsidRPr="006A01A8">
        <w:rPr>
          <w:lang w:val="en-CA"/>
        </w:rPr>
        <w:t xml:space="preserve"> or </w:t>
      </w:r>
      <w:r w:rsidRPr="006A01A8">
        <w:rPr>
          <w:i/>
          <w:lang w:val="en-CA"/>
        </w:rPr>
        <w:t>exceptionally</w:t>
      </w:r>
      <w:r w:rsidRPr="006A01A8">
        <w:rPr>
          <w:lang w:val="en-CA"/>
        </w:rPr>
        <w:t xml:space="preserve"> complex cases as opposed to </w:t>
      </w:r>
      <w:r w:rsidRPr="006A01A8">
        <w:rPr>
          <w:i/>
          <w:lang w:val="en-CA"/>
        </w:rPr>
        <w:t xml:space="preserve">moderately </w:t>
      </w:r>
      <w:r w:rsidR="008C0B43" w:rsidRPr="006A01A8">
        <w:rPr>
          <w:lang w:val="en-CA"/>
        </w:rPr>
        <w:t>complex</w:t>
      </w:r>
      <w:r w:rsidRPr="006A01A8">
        <w:rPr>
          <w:lang w:val="en-CA"/>
        </w:rPr>
        <w:t xml:space="preserve"> ones</w:t>
      </w:r>
      <w:r w:rsidR="000E3507">
        <w:rPr>
          <w:lang w:val="en-CA"/>
        </w:rPr>
        <w:t xml:space="preserve"> (</w:t>
      </w:r>
      <w:r w:rsidR="002C1928" w:rsidRPr="006A01A8">
        <w:rPr>
          <w:i/>
          <w:iCs/>
          <w:lang w:val="en-CA"/>
        </w:rPr>
        <w:t>Jordan</w:t>
      </w:r>
      <w:r w:rsidRPr="006A01A8">
        <w:rPr>
          <w:lang w:val="en-CA"/>
        </w:rPr>
        <w:t xml:space="preserve"> at</w:t>
      </w:r>
      <w:r w:rsidR="002C1928" w:rsidRPr="006A01A8">
        <w:rPr>
          <w:lang w:val="en-CA"/>
        </w:rPr>
        <w:t xml:space="preserve"> par</w:t>
      </w:r>
      <w:r w:rsidRPr="006A01A8">
        <w:rPr>
          <w:lang w:val="en-CA"/>
        </w:rPr>
        <w:t>a</w:t>
      </w:r>
      <w:r w:rsidR="002C1928" w:rsidRPr="006A01A8">
        <w:rPr>
          <w:lang w:val="en-CA"/>
        </w:rPr>
        <w:t>.</w:t>
      </w:r>
      <w:r w:rsidR="003155A8">
        <w:rPr>
          <w:lang w:val="en-CA"/>
        </w:rPr>
        <w:t> </w:t>
      </w:r>
      <w:r w:rsidR="002C1928" w:rsidRPr="006A01A8">
        <w:rPr>
          <w:lang w:val="en-CA"/>
        </w:rPr>
        <w:t xml:space="preserve">127; </w:t>
      </w:r>
      <w:r w:rsidR="002C1928" w:rsidRPr="006A01A8">
        <w:rPr>
          <w:i/>
          <w:iCs/>
          <w:lang w:val="en-CA"/>
        </w:rPr>
        <w:t xml:space="preserve">R. </w:t>
      </w:r>
      <w:r w:rsidRPr="006A01A8">
        <w:rPr>
          <w:i/>
          <w:iCs/>
          <w:lang w:val="en-CA"/>
        </w:rPr>
        <w:t>v</w:t>
      </w:r>
      <w:r w:rsidR="002C1928" w:rsidRPr="006A01A8">
        <w:rPr>
          <w:i/>
          <w:iCs/>
          <w:lang w:val="en-CA"/>
        </w:rPr>
        <w:t>. Williamson</w:t>
      </w:r>
      <w:r w:rsidR="002C1928" w:rsidRPr="006A01A8">
        <w:rPr>
          <w:lang w:val="en-CA"/>
        </w:rPr>
        <w:t xml:space="preserve">, [2016] 1 </w:t>
      </w:r>
      <w:r w:rsidR="00FE4D6C" w:rsidRPr="006A01A8">
        <w:rPr>
          <w:lang w:val="en-CA"/>
        </w:rPr>
        <w:t>S.C.R.</w:t>
      </w:r>
      <w:r w:rsidR="002C1928" w:rsidRPr="006A01A8">
        <w:rPr>
          <w:lang w:val="en-CA"/>
        </w:rPr>
        <w:t xml:space="preserve"> 741</w:t>
      </w:r>
      <w:r w:rsidRPr="006A01A8">
        <w:rPr>
          <w:lang w:val="en-CA"/>
        </w:rPr>
        <w:t xml:space="preserve"> at</w:t>
      </w:r>
      <w:r w:rsidR="002C1928" w:rsidRPr="006A01A8">
        <w:rPr>
          <w:lang w:val="en-CA"/>
        </w:rPr>
        <w:t xml:space="preserve"> para</w:t>
      </w:r>
      <w:r w:rsidR="00625F7B">
        <w:rPr>
          <w:lang w:val="en-CA"/>
        </w:rPr>
        <w:t xml:space="preserve">. </w:t>
      </w:r>
      <w:r w:rsidR="002C1928" w:rsidRPr="006A01A8">
        <w:rPr>
          <w:lang w:val="en-CA"/>
        </w:rPr>
        <w:t>23</w:t>
      </w:r>
      <w:r w:rsidR="000E3507">
        <w:rPr>
          <w:lang w:val="en-CA"/>
        </w:rPr>
        <w:t>)</w:t>
      </w:r>
      <w:r w:rsidR="002C1928" w:rsidRPr="006A01A8">
        <w:rPr>
          <w:lang w:val="en-CA"/>
        </w:rPr>
        <w:t>.</w:t>
      </w:r>
    </w:p>
    <w:p w14:paraId="62FD078A" w14:textId="58C562D9" w:rsidR="00CC3EEB" w:rsidRPr="006A01A8" w:rsidRDefault="00A13FCE" w:rsidP="00E007AA">
      <w:pPr>
        <w:pStyle w:val="Paragraphe"/>
        <w:spacing w:line="280" w:lineRule="exact"/>
        <w:rPr>
          <w:lang w:val="en-CA"/>
        </w:rPr>
      </w:pPr>
      <w:r w:rsidRPr="006A01A8">
        <w:rPr>
          <w:lang w:val="en-CA"/>
        </w:rPr>
        <w:t xml:space="preserve">The conclusion that a case is </w:t>
      </w:r>
      <w:r w:rsidR="008C0B43" w:rsidRPr="006A01A8">
        <w:rPr>
          <w:lang w:val="en-CA"/>
        </w:rPr>
        <w:t>particularly</w:t>
      </w:r>
      <w:r w:rsidRPr="006A01A8">
        <w:rPr>
          <w:lang w:val="en-CA"/>
        </w:rPr>
        <w:t xml:space="preserve"> or exceptionally complex falls “well within the expertise of a trial judge”</w:t>
      </w:r>
      <w:r w:rsidR="00CC1A08">
        <w:rPr>
          <w:lang w:val="en-CA"/>
        </w:rPr>
        <w:t xml:space="preserve"> (</w:t>
      </w:r>
      <w:r w:rsidR="002C1928" w:rsidRPr="006A01A8">
        <w:rPr>
          <w:i/>
          <w:iCs/>
          <w:lang w:val="en-CA"/>
        </w:rPr>
        <w:t>Jordan</w:t>
      </w:r>
      <w:r w:rsidRPr="006A01A8">
        <w:rPr>
          <w:i/>
          <w:iCs/>
          <w:lang w:val="en-CA"/>
        </w:rPr>
        <w:t xml:space="preserve"> </w:t>
      </w:r>
      <w:r w:rsidRPr="006A01A8">
        <w:rPr>
          <w:lang w:val="en-CA"/>
        </w:rPr>
        <w:t>at para.</w:t>
      </w:r>
      <w:r w:rsidR="002C1928" w:rsidRPr="006A01A8">
        <w:rPr>
          <w:lang w:val="en-CA"/>
        </w:rPr>
        <w:t xml:space="preserve"> 79; </w:t>
      </w:r>
      <w:r w:rsidR="002C1928" w:rsidRPr="006A01A8">
        <w:rPr>
          <w:i/>
          <w:iCs/>
          <w:lang w:val="en-CA"/>
        </w:rPr>
        <w:t>R. </w:t>
      </w:r>
      <w:r w:rsidRPr="006A01A8">
        <w:rPr>
          <w:i/>
          <w:iCs/>
          <w:lang w:val="en-CA"/>
        </w:rPr>
        <w:t>v</w:t>
      </w:r>
      <w:r w:rsidR="002C1928" w:rsidRPr="006A01A8">
        <w:rPr>
          <w:i/>
          <w:iCs/>
          <w:lang w:val="en-CA"/>
        </w:rPr>
        <w:t xml:space="preserve">. Cody, </w:t>
      </w:r>
      <w:r w:rsidR="002C1928" w:rsidRPr="006A01A8">
        <w:rPr>
          <w:lang w:val="en-CA"/>
        </w:rPr>
        <w:t xml:space="preserve">[2017] 1 </w:t>
      </w:r>
      <w:r w:rsidR="00FE4D6C" w:rsidRPr="006A01A8">
        <w:rPr>
          <w:lang w:val="en-CA"/>
        </w:rPr>
        <w:t>S.C.R.</w:t>
      </w:r>
      <w:r w:rsidR="002C1928" w:rsidRPr="006A01A8">
        <w:rPr>
          <w:lang w:val="en-CA"/>
        </w:rPr>
        <w:t xml:space="preserve"> </w:t>
      </w:r>
      <w:r w:rsidR="00625F7B">
        <w:rPr>
          <w:lang w:val="en-CA"/>
        </w:rPr>
        <w:t>659 at para.</w:t>
      </w:r>
      <w:r w:rsidR="003155A8">
        <w:rPr>
          <w:lang w:val="en-CA"/>
        </w:rPr>
        <w:t> </w:t>
      </w:r>
      <w:r w:rsidR="002C1928" w:rsidRPr="006A01A8">
        <w:rPr>
          <w:lang w:val="en-CA"/>
        </w:rPr>
        <w:t xml:space="preserve">64; </w:t>
      </w:r>
      <w:r w:rsidR="002C1928" w:rsidRPr="006A01A8">
        <w:rPr>
          <w:i/>
          <w:iCs/>
          <w:lang w:val="en-CA"/>
        </w:rPr>
        <w:t>Rice</w:t>
      </w:r>
      <w:r w:rsidR="002C1928" w:rsidRPr="006A01A8">
        <w:rPr>
          <w:lang w:val="en-CA"/>
        </w:rPr>
        <w:t xml:space="preserve">, </w:t>
      </w:r>
      <w:r w:rsidRPr="006A01A8">
        <w:rPr>
          <w:lang w:val="en-CA"/>
        </w:rPr>
        <w:t>at para.</w:t>
      </w:r>
      <w:r w:rsidR="002C1928" w:rsidRPr="006A01A8">
        <w:rPr>
          <w:lang w:val="en-CA"/>
        </w:rPr>
        <w:t xml:space="preserve"> 98</w:t>
      </w:r>
      <w:r w:rsidR="00CC1A08">
        <w:rPr>
          <w:lang w:val="en-CA"/>
        </w:rPr>
        <w:t>)</w:t>
      </w:r>
      <w:r w:rsidR="002C1928" w:rsidRPr="006A01A8">
        <w:rPr>
          <w:lang w:val="en-CA"/>
        </w:rPr>
        <w:t>.</w:t>
      </w:r>
    </w:p>
    <w:p w14:paraId="20173584" w14:textId="0862315D" w:rsidR="00CC3EEB" w:rsidRPr="006A01A8" w:rsidRDefault="00A13FCE" w:rsidP="00E007AA">
      <w:pPr>
        <w:pStyle w:val="Paragraphe"/>
        <w:spacing w:line="280" w:lineRule="exact"/>
        <w:rPr>
          <w:lang w:val="en-CA"/>
        </w:rPr>
      </w:pPr>
      <w:r w:rsidRPr="006A01A8">
        <w:rPr>
          <w:lang w:val="en-CA"/>
        </w:rPr>
        <w:t>It is worth repeating that “[p]</w:t>
      </w:r>
      <w:r w:rsidR="008C0B43" w:rsidRPr="006A01A8">
        <w:rPr>
          <w:lang w:val="en-CA"/>
        </w:rPr>
        <w:t>articularly</w:t>
      </w:r>
      <w:r w:rsidRPr="006A01A8">
        <w:rPr>
          <w:lang w:val="en-CA"/>
        </w:rPr>
        <w:t xml:space="preserve"> complex cases are cases that, because of the nature of the </w:t>
      </w:r>
      <w:r w:rsidRPr="006A01A8">
        <w:rPr>
          <w:i/>
          <w:iCs/>
          <w:lang w:val="en-CA"/>
        </w:rPr>
        <w:t>evidence</w:t>
      </w:r>
      <w:r w:rsidRPr="006A01A8">
        <w:rPr>
          <w:lang w:val="en-CA"/>
        </w:rPr>
        <w:t xml:space="preserve"> or the nature of the </w:t>
      </w:r>
      <w:r w:rsidRPr="006A01A8">
        <w:rPr>
          <w:i/>
          <w:iCs/>
          <w:lang w:val="en-CA"/>
        </w:rPr>
        <w:t>issues</w:t>
      </w:r>
      <w:r w:rsidRPr="006A01A8">
        <w:rPr>
          <w:lang w:val="en-CA"/>
        </w:rPr>
        <w:t>, require an inordinate amount of trial or preparation time such that the delay is justified”</w:t>
      </w:r>
      <w:r w:rsidR="002C1928" w:rsidRPr="006A01A8">
        <w:rPr>
          <w:lang w:val="en-CA"/>
        </w:rPr>
        <w:t xml:space="preserve"> </w:t>
      </w:r>
      <w:r w:rsidR="00CC1A08">
        <w:rPr>
          <w:lang w:val="en-CA"/>
        </w:rPr>
        <w:t>(</w:t>
      </w:r>
      <w:r w:rsidR="002C1928" w:rsidRPr="006A01A8">
        <w:rPr>
          <w:i/>
          <w:iCs/>
          <w:lang w:val="en-CA"/>
        </w:rPr>
        <w:t>Jordan</w:t>
      </w:r>
      <w:r w:rsidRPr="006A01A8">
        <w:rPr>
          <w:lang w:val="en-CA"/>
        </w:rPr>
        <w:t xml:space="preserve"> at</w:t>
      </w:r>
      <w:r w:rsidR="002C1928" w:rsidRPr="006A01A8">
        <w:rPr>
          <w:lang w:val="en-CA"/>
        </w:rPr>
        <w:t xml:space="preserve"> par</w:t>
      </w:r>
      <w:r w:rsidRPr="006A01A8">
        <w:rPr>
          <w:lang w:val="en-CA"/>
        </w:rPr>
        <w:t>a</w:t>
      </w:r>
      <w:r w:rsidR="002C1928" w:rsidRPr="006A01A8">
        <w:rPr>
          <w:lang w:val="en-CA"/>
        </w:rPr>
        <w:t>. </w:t>
      </w:r>
      <w:r w:rsidRPr="006A01A8">
        <w:rPr>
          <w:lang w:val="en-CA"/>
        </w:rPr>
        <w:t xml:space="preserve">77 </w:t>
      </w:r>
      <w:r w:rsidR="000E3507">
        <w:rPr>
          <w:rFonts w:cs="Arial"/>
          <w:lang w:val="en-CA"/>
        </w:rPr>
        <w:t>[</w:t>
      </w:r>
      <w:r w:rsidRPr="006A01A8">
        <w:rPr>
          <w:lang w:val="en-CA"/>
        </w:rPr>
        <w:t>italics in the original</w:t>
      </w:r>
      <w:r w:rsidR="000E3507">
        <w:rPr>
          <w:rFonts w:cs="Arial"/>
          <w:lang w:val="en-CA"/>
        </w:rPr>
        <w:t>]</w:t>
      </w:r>
      <w:r w:rsidR="00CC1A08">
        <w:rPr>
          <w:lang w:val="en-CA"/>
        </w:rPr>
        <w:t>)</w:t>
      </w:r>
      <w:r w:rsidRPr="006A01A8">
        <w:rPr>
          <w:lang w:val="en-CA"/>
        </w:rPr>
        <w:t>.</w:t>
      </w:r>
    </w:p>
    <w:p w14:paraId="356CD083" w14:textId="1712B161" w:rsidR="00CC3EEB" w:rsidRPr="006A01A8" w:rsidRDefault="000E3507" w:rsidP="003047D5">
      <w:pPr>
        <w:pStyle w:val="Paragraphe"/>
        <w:spacing w:before="160" w:after="160" w:line="280" w:lineRule="exact"/>
        <w:rPr>
          <w:lang w:val="en-CA"/>
        </w:rPr>
      </w:pPr>
      <w:r>
        <w:rPr>
          <w:lang w:val="en-CA"/>
        </w:rPr>
        <w:t>Clearly,</w:t>
      </w:r>
      <w:r w:rsidR="00A13FCE" w:rsidRPr="006A01A8">
        <w:rPr>
          <w:lang w:val="en-CA"/>
        </w:rPr>
        <w:t xml:space="preserve"> </w:t>
      </w:r>
      <w:r>
        <w:rPr>
          <w:lang w:val="en-CA"/>
        </w:rPr>
        <w:t>the</w:t>
      </w:r>
      <w:r w:rsidR="00A13FCE" w:rsidRPr="006A01A8">
        <w:rPr>
          <w:lang w:val="en-CA"/>
        </w:rPr>
        <w:t xml:space="preserve"> disclosure</w:t>
      </w:r>
      <w:r>
        <w:rPr>
          <w:lang w:val="en-CA"/>
        </w:rPr>
        <w:t xml:space="preserve"> of voluminous evidence</w:t>
      </w:r>
      <w:r w:rsidR="00A13FCE" w:rsidRPr="006A01A8">
        <w:rPr>
          <w:lang w:val="en-CA"/>
        </w:rPr>
        <w:t xml:space="preserve">, the number of witnesses, or the nature of expert evidence, and charges covering a long period of time, a large number of charges </w:t>
      </w:r>
      <w:r w:rsidR="004D0B38" w:rsidRPr="006A01A8">
        <w:rPr>
          <w:lang w:val="en-CA"/>
        </w:rPr>
        <w:t>and pre</w:t>
      </w:r>
      <w:r w:rsidR="00A13FCE" w:rsidRPr="006A01A8">
        <w:rPr>
          <w:lang w:val="en-CA"/>
        </w:rPr>
        <w:t xml:space="preserve">-trial </w:t>
      </w:r>
      <w:r w:rsidR="008C0B43" w:rsidRPr="006A01A8">
        <w:rPr>
          <w:lang w:val="en-CA"/>
        </w:rPr>
        <w:t>applications, significant</w:t>
      </w:r>
      <w:r w:rsidR="00A13FCE" w:rsidRPr="006A01A8">
        <w:rPr>
          <w:lang w:val="en-CA"/>
        </w:rPr>
        <w:t xml:space="preserve"> issues in dispute, or novel or complex legal issues are the non-exhaustive hallmarks of particularly complex </w:t>
      </w:r>
      <w:r w:rsidR="008C0B43" w:rsidRPr="006A01A8">
        <w:rPr>
          <w:lang w:val="en-CA"/>
        </w:rPr>
        <w:t>cases and</w:t>
      </w:r>
      <w:r w:rsidR="00A13FCE" w:rsidRPr="006A01A8">
        <w:rPr>
          <w:lang w:val="en-CA"/>
        </w:rPr>
        <w:t xml:space="preserve"> help to assess the nature of the issues raised</w:t>
      </w:r>
      <w:r w:rsidR="00CC1A08">
        <w:rPr>
          <w:lang w:val="en-CA"/>
        </w:rPr>
        <w:t xml:space="preserve"> (</w:t>
      </w:r>
      <w:r w:rsidR="002C1928" w:rsidRPr="006A01A8">
        <w:rPr>
          <w:i/>
          <w:iCs/>
          <w:lang w:val="en-CA"/>
        </w:rPr>
        <w:t>Jordan</w:t>
      </w:r>
      <w:r w:rsidR="00A13FCE" w:rsidRPr="006A01A8">
        <w:rPr>
          <w:lang w:val="en-CA"/>
        </w:rPr>
        <w:t xml:space="preserve"> at para.</w:t>
      </w:r>
      <w:r w:rsidR="002C1928" w:rsidRPr="006A01A8">
        <w:rPr>
          <w:lang w:val="en-CA"/>
        </w:rPr>
        <w:t xml:space="preserve"> 77</w:t>
      </w:r>
      <w:r w:rsidR="00CC1A08">
        <w:rPr>
          <w:lang w:val="en-CA"/>
        </w:rPr>
        <w:t>)</w:t>
      </w:r>
      <w:r w:rsidR="002C1928" w:rsidRPr="006A01A8">
        <w:rPr>
          <w:lang w:val="en-CA"/>
        </w:rPr>
        <w:t>.</w:t>
      </w:r>
    </w:p>
    <w:p w14:paraId="2A87F6FA" w14:textId="4A56E64B" w:rsidR="00CC3EEB" w:rsidRPr="006A01A8" w:rsidRDefault="00A13FCE" w:rsidP="003047D5">
      <w:pPr>
        <w:pStyle w:val="Paragraphe"/>
        <w:spacing w:before="160" w:after="160" w:line="280" w:lineRule="exact"/>
        <w:rPr>
          <w:lang w:val="en-CA"/>
        </w:rPr>
      </w:pPr>
      <w:r w:rsidRPr="006A01A8">
        <w:rPr>
          <w:lang w:val="en-CA"/>
        </w:rPr>
        <w:t xml:space="preserve">The analysis </w:t>
      </w:r>
      <w:r w:rsidR="000E3507" w:rsidRPr="006A01A8">
        <w:rPr>
          <w:lang w:val="en-CA"/>
        </w:rPr>
        <w:t xml:space="preserve">to characterize the matter </w:t>
      </w:r>
      <w:r w:rsidRPr="006A01A8">
        <w:rPr>
          <w:lang w:val="en-CA"/>
        </w:rPr>
        <w:t>will rarely involve just one of these factors.</w:t>
      </w:r>
      <w:r w:rsidR="002C1928" w:rsidRPr="006A01A8">
        <w:rPr>
          <w:lang w:val="en-CA"/>
        </w:rPr>
        <w:t xml:space="preserve"> </w:t>
      </w:r>
      <w:r w:rsidRPr="006A01A8">
        <w:rPr>
          <w:lang w:val="en-CA"/>
        </w:rPr>
        <w:t>The volume of disclosure is not always in itself a good indication of the complexity.</w:t>
      </w:r>
      <w:r w:rsidR="002C1928" w:rsidRPr="006A01A8">
        <w:rPr>
          <w:lang w:val="en-CA"/>
        </w:rPr>
        <w:t xml:space="preserve"> </w:t>
      </w:r>
      <w:r w:rsidRPr="006A01A8">
        <w:rPr>
          <w:lang w:val="en-CA"/>
        </w:rPr>
        <w:t xml:space="preserve">This reality is increasing present in the most </w:t>
      </w:r>
      <w:r w:rsidR="000E3507">
        <w:rPr>
          <w:lang w:val="en-CA"/>
        </w:rPr>
        <w:t xml:space="preserve">common </w:t>
      </w:r>
      <w:r w:rsidRPr="006A01A8">
        <w:rPr>
          <w:lang w:val="en-CA"/>
        </w:rPr>
        <w:t>cases.</w:t>
      </w:r>
      <w:r w:rsidR="002C1928" w:rsidRPr="006A01A8">
        <w:rPr>
          <w:lang w:val="en-CA"/>
        </w:rPr>
        <w:t xml:space="preserve"> </w:t>
      </w:r>
      <w:r w:rsidRPr="006A01A8">
        <w:rPr>
          <w:lang w:val="en-CA"/>
        </w:rPr>
        <w:t>The analysis is different depending on whether the charges are the result of a long police investigation or a sudden arrest when the police investigation is starting and must necessarily continue.</w:t>
      </w:r>
    </w:p>
    <w:p w14:paraId="3FC0E433" w14:textId="10224093" w:rsidR="003F491B" w:rsidRPr="006A01A8" w:rsidRDefault="00A13FCE" w:rsidP="00F9354F">
      <w:pPr>
        <w:pStyle w:val="Paragraphe"/>
        <w:keepNext/>
        <w:keepLines/>
        <w:spacing w:before="160" w:after="160" w:line="280" w:lineRule="exact"/>
        <w:rPr>
          <w:lang w:val="en-CA"/>
        </w:rPr>
      </w:pPr>
      <w:r w:rsidRPr="006A01A8">
        <w:rPr>
          <w:lang w:val="en-CA"/>
        </w:rPr>
        <w:lastRenderedPageBreak/>
        <w:t>As noted in</w:t>
      </w:r>
      <w:r w:rsidR="002C1928" w:rsidRPr="006A01A8">
        <w:rPr>
          <w:lang w:val="en-CA"/>
        </w:rPr>
        <w:t xml:space="preserve"> </w:t>
      </w:r>
      <w:r w:rsidR="002C1928" w:rsidRPr="006A01A8">
        <w:rPr>
          <w:i/>
          <w:iCs/>
          <w:lang w:val="en-CA"/>
        </w:rPr>
        <w:t>Rice</w:t>
      </w:r>
      <w:r w:rsidR="002C1928" w:rsidRPr="006A01A8">
        <w:rPr>
          <w:lang w:val="en-CA"/>
        </w:rPr>
        <w:t>:</w:t>
      </w:r>
    </w:p>
    <w:p w14:paraId="3D1A8FF0" w14:textId="135A4C20" w:rsidR="00CC3EEB" w:rsidRPr="006A01A8" w:rsidRDefault="002C1928" w:rsidP="00F9354F">
      <w:pPr>
        <w:pStyle w:val="Paragraphe"/>
        <w:keepNext/>
        <w:keepLines/>
        <w:numPr>
          <w:ilvl w:val="0"/>
          <w:numId w:val="0"/>
        </w:numPr>
        <w:spacing w:before="160" w:after="160" w:line="280" w:lineRule="exact"/>
        <w:ind w:left="720"/>
        <w:rPr>
          <w:rFonts w:cs="Times New Roman (Corps CS)"/>
          <w:kern w:val="0"/>
          <w:sz w:val="22"/>
          <w:szCs w:val="24"/>
          <w:lang w:val="en-CA"/>
        </w:rPr>
      </w:pPr>
      <w:r w:rsidRPr="006A01A8">
        <w:rPr>
          <w:rFonts w:cs="Arial"/>
          <w:kern w:val="0"/>
          <w:sz w:val="22"/>
          <w:szCs w:val="24"/>
          <w:lang w:val="en-CA"/>
        </w:rPr>
        <w:t>[</w:t>
      </w:r>
      <w:r w:rsidRPr="006A01A8">
        <w:rPr>
          <w:rFonts w:cs="Times New Roman (Corps CS)"/>
          <w:smallCaps/>
          <w:kern w:val="0"/>
          <w:sz w:val="22"/>
          <w:szCs w:val="24"/>
          <w:lang w:val="en-CA"/>
        </w:rPr>
        <w:t>translation</w:t>
      </w:r>
      <w:r w:rsidRPr="006A01A8">
        <w:rPr>
          <w:rFonts w:cs="Times New Roman (Corps CS)"/>
          <w:kern w:val="0"/>
          <w:sz w:val="22"/>
          <w:szCs w:val="24"/>
          <w:lang w:val="en-CA"/>
        </w:rPr>
        <w:t xml:space="preserve">] </w:t>
      </w:r>
    </w:p>
    <w:p w14:paraId="3F10D017" w14:textId="5BE37144" w:rsidR="00CC3EEB" w:rsidRPr="006A01A8" w:rsidRDefault="00CA70D3" w:rsidP="00F9354F">
      <w:pPr>
        <w:pStyle w:val="JgtCit1"/>
        <w:keepNext/>
        <w:keepLines/>
        <w:spacing w:before="160" w:after="160" w:line="280" w:lineRule="exact"/>
        <w:rPr>
          <w:lang w:val="en-CA"/>
        </w:rPr>
      </w:pPr>
      <w:r w:rsidRPr="006A01A8">
        <w:rPr>
          <w:lang w:val="en-CA"/>
        </w:rPr>
        <w:t xml:space="preserve">[96] That being said, judges must determine whether </w:t>
      </w:r>
      <w:r w:rsidR="00E54199">
        <w:rPr>
          <w:lang w:val="en-CA"/>
        </w:rPr>
        <w:t>the Crown</w:t>
      </w:r>
      <w:r w:rsidRPr="006A01A8">
        <w:rPr>
          <w:lang w:val="en-CA"/>
        </w:rPr>
        <w:t xml:space="preserve"> “took reasonable available steps to avoid and address the problem before” the delay exceeds the ceiling: </w:t>
      </w:r>
      <w:r w:rsidRPr="006A01A8">
        <w:rPr>
          <w:i/>
          <w:iCs/>
          <w:lang w:val="en-CA"/>
        </w:rPr>
        <w:t>R. v. Jordan</w:t>
      </w:r>
      <w:r w:rsidRPr="006A01A8">
        <w:rPr>
          <w:lang w:val="en-CA"/>
        </w:rPr>
        <w:t xml:space="preserve">, [2016] 1 S.C.R. 631, para. 70. To this end, the choices </w:t>
      </w:r>
      <w:r w:rsidR="00E54199">
        <w:rPr>
          <w:lang w:val="en-CA"/>
        </w:rPr>
        <w:t>the Crown</w:t>
      </w:r>
      <w:r w:rsidRPr="006A01A8">
        <w:rPr>
          <w:lang w:val="en-CA"/>
        </w:rPr>
        <w:t xml:space="preserve"> does and does not make are relevant: </w:t>
      </w:r>
      <w:r w:rsidRPr="006A01A8">
        <w:rPr>
          <w:i/>
          <w:iCs/>
          <w:lang w:val="en-CA"/>
        </w:rPr>
        <w:t>R. v. Manasseri</w:t>
      </w:r>
      <w:r w:rsidRPr="006A01A8">
        <w:rPr>
          <w:lang w:val="en-CA"/>
        </w:rPr>
        <w:t xml:space="preserve">, 2016 ONCA 703, para. 367. The obligation is one of means, not result. The time which </w:t>
      </w:r>
      <w:r w:rsidR="00E54199">
        <w:rPr>
          <w:lang w:val="en-CA"/>
        </w:rPr>
        <w:t>the Crown</w:t>
      </w:r>
      <w:r w:rsidRPr="006A01A8">
        <w:rPr>
          <w:lang w:val="en-CA"/>
        </w:rPr>
        <w:t xml:space="preserve"> </w:t>
      </w:r>
      <w:proofErr w:type="gramStart"/>
      <w:r w:rsidRPr="006A01A8">
        <w:rPr>
          <w:lang w:val="en-CA"/>
        </w:rPr>
        <w:t>has to</w:t>
      </w:r>
      <w:proofErr w:type="gramEnd"/>
      <w:r w:rsidRPr="006A01A8">
        <w:rPr>
          <w:lang w:val="en-CA"/>
        </w:rPr>
        <w:t xml:space="preserve"> respond prior to reaching the ceiling obviously becomes an important element of the analysis: </w:t>
      </w:r>
      <w:r w:rsidRPr="006A01A8">
        <w:rPr>
          <w:i/>
          <w:iCs/>
          <w:lang w:val="en-CA"/>
        </w:rPr>
        <w:t>R. v. Jordan</w:t>
      </w:r>
      <w:r w:rsidRPr="006A01A8">
        <w:rPr>
          <w:lang w:val="en-CA"/>
        </w:rPr>
        <w:t>, [2016] 1 S.C.R. 631, para. 74.</w:t>
      </w:r>
    </w:p>
    <w:p w14:paraId="030BDD66" w14:textId="373CD3E1" w:rsidR="00CC3EEB" w:rsidRPr="006A01A8" w:rsidRDefault="00CA70D3" w:rsidP="003047D5">
      <w:pPr>
        <w:pStyle w:val="JgtCit1"/>
        <w:spacing w:before="160" w:after="160" w:line="280" w:lineRule="exact"/>
        <w:rPr>
          <w:lang w:val="en-CA"/>
        </w:rPr>
      </w:pPr>
      <w:r w:rsidRPr="006A01A8">
        <w:rPr>
          <w:lang w:val="en-CA"/>
        </w:rPr>
        <w:t xml:space="preserve">[97] Beyond the indicators mentioned earlier, assessing the complexity of a case is not a matter of applying a single objective criterion, thus requiring both that judges draw on their experience to resolve the issue </w:t>
      </w:r>
      <w:proofErr w:type="gramStart"/>
      <w:r w:rsidRPr="006A01A8">
        <w:rPr>
          <w:lang w:val="en-CA"/>
        </w:rPr>
        <w:t>and also</w:t>
      </w:r>
      <w:proofErr w:type="gramEnd"/>
      <w:r w:rsidRPr="006A01A8">
        <w:rPr>
          <w:lang w:val="en-CA"/>
        </w:rPr>
        <w:t xml:space="preserve"> that courts of appeal show deference. Otherwise, the exercise will quickly revert to one of micro-calculations and subtle distinctions, an approach that, under the old framework, has exhausted the parties, the judges and the meaning of this constitutional protection.</w:t>
      </w:r>
    </w:p>
    <w:p w14:paraId="793939C3" w14:textId="2708A784" w:rsidR="00CC3EEB" w:rsidRPr="006A01A8" w:rsidRDefault="00CA70D3" w:rsidP="003047D5">
      <w:pPr>
        <w:pStyle w:val="JgtCit1"/>
        <w:spacing w:before="160" w:after="160" w:line="280" w:lineRule="exact"/>
        <w:rPr>
          <w:lang w:val="en-CA"/>
        </w:rPr>
      </w:pPr>
      <w:r w:rsidRPr="006A01A8">
        <w:rPr>
          <w:lang w:val="en-CA"/>
        </w:rPr>
        <w:t xml:space="preserve">[98] After having heard the parties, the judge is best situated to draw the distinction between a particularly complex case and a case which </w:t>
      </w:r>
      <w:r w:rsidR="00E54199">
        <w:rPr>
          <w:lang w:val="en-CA"/>
        </w:rPr>
        <w:t>the Crown</w:t>
      </w:r>
      <w:r w:rsidRPr="006A01A8">
        <w:rPr>
          <w:lang w:val="en-CA"/>
        </w:rPr>
        <w:t xml:space="preserve"> has unnecessarily made more complex or which </w:t>
      </w:r>
      <w:r w:rsidR="00E54199">
        <w:rPr>
          <w:lang w:val="en-CA"/>
        </w:rPr>
        <w:t>the Crown</w:t>
      </w:r>
      <w:r w:rsidRPr="006A01A8">
        <w:rPr>
          <w:lang w:val="en-CA"/>
        </w:rPr>
        <w:t xml:space="preserve"> insists on making more complex for no reason. The judge is also best situated to evaluate the reasonableness of defence preparation time and to </w:t>
      </w:r>
      <w:r w:rsidR="00064F11">
        <w:rPr>
          <w:lang w:val="en-CA"/>
        </w:rPr>
        <w:t>deduct the time passed after the point beyond which the</w:t>
      </w:r>
      <w:r w:rsidRPr="006A01A8">
        <w:rPr>
          <w:lang w:val="en-CA"/>
        </w:rPr>
        <w:t xml:space="preserve"> preparation is unnecessarily long.</w:t>
      </w:r>
    </w:p>
    <w:p w14:paraId="2369F863" w14:textId="30C0214A" w:rsidR="00CC3EEB" w:rsidRPr="006A01A8" w:rsidRDefault="002C1928" w:rsidP="003047D5">
      <w:pPr>
        <w:pStyle w:val="JgtCit1"/>
        <w:spacing w:before="160" w:after="160" w:line="280" w:lineRule="exact"/>
        <w:rPr>
          <w:lang w:val="en-CA"/>
        </w:rPr>
      </w:pPr>
      <w:r w:rsidRPr="006A01A8">
        <w:rPr>
          <w:lang w:val="en-CA"/>
        </w:rPr>
        <w:t>…</w:t>
      </w:r>
    </w:p>
    <w:p w14:paraId="336AB2D3" w14:textId="57A3128E" w:rsidR="00CC3EEB" w:rsidRPr="006A01A8" w:rsidRDefault="00CA70D3" w:rsidP="003047D5">
      <w:pPr>
        <w:pStyle w:val="JgtCit1"/>
        <w:spacing w:before="160" w:after="160" w:line="280" w:lineRule="exact"/>
        <w:rPr>
          <w:lang w:val="en-CA" w:eastAsia="fr-CA"/>
        </w:rPr>
      </w:pPr>
      <w:r w:rsidRPr="006A01A8">
        <w:rPr>
          <w:lang w:val="en-CA"/>
        </w:rPr>
        <w:t xml:space="preserve">[186] Moreover, I believe that the duration and quality of the police investigation are among the factors that should be considered in evaluating the degree of preparation needed from </w:t>
      </w:r>
      <w:r w:rsidR="00E54199">
        <w:rPr>
          <w:lang w:val="en-CA"/>
        </w:rPr>
        <w:t>the Crown</w:t>
      </w:r>
      <w:r w:rsidRPr="006A01A8">
        <w:rPr>
          <w:lang w:val="en-CA"/>
        </w:rPr>
        <w:t xml:space="preserve">. In this case, </w:t>
      </w:r>
      <w:r w:rsidR="00E54199">
        <w:rPr>
          <w:lang w:val="en-CA"/>
        </w:rPr>
        <w:t xml:space="preserve">the </w:t>
      </w:r>
      <w:r w:rsidR="00E54199" w:rsidRPr="00EC1A3D">
        <w:rPr>
          <w:lang w:val="en-CA"/>
        </w:rPr>
        <w:t>Crown</w:t>
      </w:r>
      <w:r w:rsidRPr="00EC1A3D">
        <w:rPr>
          <w:lang w:val="en-CA"/>
        </w:rPr>
        <w:t xml:space="preserve"> benefits, in theory, from </w:t>
      </w:r>
      <w:proofErr w:type="gramStart"/>
      <w:r w:rsidR="00EC1A3D" w:rsidRPr="00EC1A3D">
        <w:rPr>
          <w:lang w:val="en-CA"/>
        </w:rPr>
        <w:t>a period of time</w:t>
      </w:r>
      <w:proofErr w:type="gramEnd"/>
      <w:r w:rsidR="00EC1A3D" w:rsidRPr="00EC1A3D">
        <w:rPr>
          <w:lang w:val="en-CA"/>
        </w:rPr>
        <w:t xml:space="preserve"> within which to plan and organize</w:t>
      </w:r>
      <w:r w:rsidRPr="00EC1A3D">
        <w:rPr>
          <w:lang w:val="en-CA"/>
        </w:rPr>
        <w:t xml:space="preserve"> trial, w</w:t>
      </w:r>
      <w:r w:rsidRPr="006A01A8">
        <w:rPr>
          <w:lang w:val="en-CA"/>
        </w:rPr>
        <w:t xml:space="preserve">hich is not the case when the police investigation essentially begins with the filing of charges, as it did in </w:t>
      </w:r>
      <w:r w:rsidRPr="006A01A8">
        <w:rPr>
          <w:i/>
          <w:iCs/>
          <w:lang w:val="en-CA"/>
        </w:rPr>
        <w:t>Thanabalasingham</w:t>
      </w:r>
      <w:r w:rsidRPr="006A01A8">
        <w:rPr>
          <w:lang w:val="en-CA"/>
        </w:rPr>
        <w:t xml:space="preserve">. Judges must take this into account since, in the latter case, the police investigation may have complexities that will have repercussions on the </w:t>
      </w:r>
      <w:proofErr w:type="gramStart"/>
      <w:r w:rsidRPr="006A01A8">
        <w:rPr>
          <w:lang w:val="en-CA"/>
        </w:rPr>
        <w:t>particular complexity</w:t>
      </w:r>
      <w:proofErr w:type="gramEnd"/>
      <w:r w:rsidRPr="006A01A8">
        <w:rPr>
          <w:lang w:val="en-CA"/>
        </w:rPr>
        <w:t xml:space="preserve"> of the matter and on the trial being prepared: see, for example, </w:t>
      </w:r>
      <w:r w:rsidRPr="006A01A8">
        <w:rPr>
          <w:i/>
          <w:iCs/>
          <w:lang w:val="en-CA"/>
        </w:rPr>
        <w:t>R. v. St. Amand</w:t>
      </w:r>
      <w:r w:rsidRPr="006A01A8">
        <w:rPr>
          <w:lang w:val="en-CA"/>
        </w:rPr>
        <w:t>, 2017 ONCA 913, para. 88, where digital analysis of the seized computers was a challenge. It falls to judges to weigh such circumstances.</w:t>
      </w:r>
    </w:p>
    <w:p w14:paraId="1F5B1FB9" w14:textId="2E7F2300" w:rsidR="00CC3EEB" w:rsidRPr="006A01A8" w:rsidRDefault="00CA70D3" w:rsidP="007F03A2">
      <w:pPr>
        <w:pStyle w:val="JgtCit1"/>
        <w:keepLines/>
        <w:spacing w:before="160" w:after="160" w:line="280" w:lineRule="exact"/>
        <w:rPr>
          <w:lang w:val="en-CA"/>
        </w:rPr>
      </w:pPr>
      <w:r w:rsidRPr="006A01A8">
        <w:rPr>
          <w:lang w:val="en-CA"/>
        </w:rPr>
        <w:lastRenderedPageBreak/>
        <w:t xml:space="preserve">[187] This case illustrates how the scope and complexity of a police investigation are distinct from the complexity of the trial. The motion judge conceded that the case was, at best, moderately complex. In his view, the evidence was relatively “straight-forward”. Although experts would need to testify, the technical or scientific evidence was not complex. It was only due to the criminal organization charge and the appellant’s desire to link the tobacco </w:t>
      </w:r>
      <w:r w:rsidR="00F01C9D">
        <w:rPr>
          <w:lang w:val="en-CA"/>
        </w:rPr>
        <w:t xml:space="preserve">smuggling </w:t>
      </w:r>
      <w:r w:rsidRPr="006A01A8">
        <w:rPr>
          <w:lang w:val="en-CA"/>
        </w:rPr>
        <w:t>operations to the Hells Angels that the volume of the evidence to be disclosed mounted due to the introduction of broader evidence related to drug and firearm crimes and, consequently, more motions to exclude this evidence.</w:t>
      </w:r>
    </w:p>
    <w:p w14:paraId="05DCB23C" w14:textId="72CE5374" w:rsidR="00CC3EEB" w:rsidRPr="006A01A8" w:rsidRDefault="002C1928" w:rsidP="003047D5">
      <w:pPr>
        <w:pStyle w:val="JgtCit1"/>
        <w:spacing w:before="160" w:after="160" w:line="280" w:lineRule="exact"/>
        <w:rPr>
          <w:lang w:val="en-CA"/>
        </w:rPr>
      </w:pPr>
      <w:r w:rsidRPr="00A32AD3">
        <w:rPr>
          <w:i/>
          <w:iCs/>
        </w:rPr>
        <w:t>R</w:t>
      </w:r>
      <w:r w:rsidRPr="00A32AD3">
        <w:t>.</w:t>
      </w:r>
      <w:r w:rsidRPr="00A32AD3">
        <w:rPr>
          <w:i/>
          <w:iCs/>
        </w:rPr>
        <w:t xml:space="preserve"> c</w:t>
      </w:r>
      <w:r w:rsidRPr="00A32AD3">
        <w:t xml:space="preserve">. </w:t>
      </w:r>
      <w:r w:rsidRPr="00A32AD3">
        <w:rPr>
          <w:i/>
          <w:iCs/>
        </w:rPr>
        <w:t>Rice</w:t>
      </w:r>
      <w:r w:rsidRPr="00A32AD3">
        <w:t xml:space="preserve">, 2018 QCCA 198 at paras. </w:t>
      </w:r>
      <w:r w:rsidRPr="006A01A8">
        <w:rPr>
          <w:lang w:val="en-CA"/>
        </w:rPr>
        <w:t xml:space="preserve">97–98, 186–187. </w:t>
      </w:r>
    </w:p>
    <w:p w14:paraId="7EAE59D8" w14:textId="27FC3577" w:rsidR="00CC3EEB" w:rsidRPr="006A01A8" w:rsidRDefault="00A13FCE" w:rsidP="003047D5">
      <w:pPr>
        <w:pStyle w:val="Paragraphe"/>
        <w:spacing w:before="160" w:after="160" w:line="280" w:lineRule="exact"/>
        <w:rPr>
          <w:lang w:val="en-CA"/>
        </w:rPr>
      </w:pPr>
      <w:r w:rsidRPr="006A01A8">
        <w:rPr>
          <w:lang w:val="en-CA"/>
        </w:rPr>
        <w:t>In this case, the judge determined that the complexity of the case did not justify the extra time noted.</w:t>
      </w:r>
      <w:r w:rsidR="002C1928" w:rsidRPr="006A01A8">
        <w:rPr>
          <w:lang w:val="en-CA"/>
        </w:rPr>
        <w:t xml:space="preserve"> </w:t>
      </w:r>
      <w:r w:rsidRPr="006A01A8">
        <w:rPr>
          <w:lang w:val="en-CA"/>
        </w:rPr>
        <w:t>The absence of transcripts in the record is an obstacle to the analysis.</w:t>
      </w:r>
      <w:r w:rsidR="002C1928" w:rsidRPr="006A01A8">
        <w:rPr>
          <w:lang w:val="en-CA"/>
        </w:rPr>
        <w:t xml:space="preserve"> </w:t>
      </w:r>
      <w:r w:rsidR="000E3507">
        <w:rPr>
          <w:lang w:val="en-CA"/>
        </w:rPr>
        <w:t>Although the judgment could have been</w:t>
      </w:r>
      <w:r w:rsidRPr="006A01A8">
        <w:rPr>
          <w:lang w:val="en-CA"/>
        </w:rPr>
        <w:t xml:space="preserve"> more complete, even </w:t>
      </w:r>
      <w:r w:rsidR="00EC1A3D">
        <w:rPr>
          <w:lang w:val="en-CA"/>
        </w:rPr>
        <w:t>if we acknowledge</w:t>
      </w:r>
      <w:r w:rsidRPr="006A01A8">
        <w:rPr>
          <w:lang w:val="en-CA"/>
        </w:rPr>
        <w:t xml:space="preserve"> that the evidence was more complex than for an ordinary case, it must be understood that the analysis is based above all on the absence of “steps to mitigate the difficulties as much as possible” (</w:t>
      </w:r>
      <w:r w:rsidRPr="000E3507">
        <w:rPr>
          <w:i/>
          <w:iCs/>
          <w:lang w:val="en-CA"/>
        </w:rPr>
        <w:t>Rice</w:t>
      </w:r>
      <w:r w:rsidRPr="006A01A8">
        <w:rPr>
          <w:lang w:val="en-CA"/>
        </w:rPr>
        <w:t xml:space="preserve"> at para.</w:t>
      </w:r>
      <w:r w:rsidR="002C1928" w:rsidRPr="006A01A8">
        <w:rPr>
          <w:lang w:val="en-CA"/>
        </w:rPr>
        <w:t xml:space="preserve"> 90). </w:t>
      </w:r>
      <w:r w:rsidRPr="006A01A8">
        <w:rPr>
          <w:lang w:val="en-CA"/>
        </w:rPr>
        <w:t xml:space="preserve">On this point, the appellant has not shown that the Court </w:t>
      </w:r>
      <w:r w:rsidR="000E3507">
        <w:rPr>
          <w:lang w:val="en-CA"/>
        </w:rPr>
        <w:t>may</w:t>
      </w:r>
      <w:r w:rsidRPr="006A01A8">
        <w:rPr>
          <w:lang w:val="en-CA"/>
        </w:rPr>
        <w:t xml:space="preserve"> intervene, and I therefore dismiss this last ground.</w:t>
      </w:r>
    </w:p>
    <w:p w14:paraId="01B9C090" w14:textId="63C9B0BF" w:rsidR="00CC3EEB" w:rsidRPr="006A01A8" w:rsidRDefault="00A13FCE" w:rsidP="009C1512">
      <w:pPr>
        <w:pStyle w:val="JgtPositionniv1"/>
        <w:spacing w:before="120" w:after="120" w:line="280" w:lineRule="exact"/>
        <w:rPr>
          <w:lang w:val="en-CA"/>
        </w:rPr>
      </w:pPr>
      <w:r w:rsidRPr="006A01A8">
        <w:rPr>
          <w:lang w:val="en-CA"/>
        </w:rPr>
        <w:t>CONCLUSION</w:t>
      </w:r>
    </w:p>
    <w:p w14:paraId="4E1D08FD" w14:textId="5D9E18BA" w:rsidR="00CC3EEB" w:rsidRPr="006A01A8" w:rsidRDefault="00FE4D6C" w:rsidP="009C1512">
      <w:pPr>
        <w:pStyle w:val="Paragraphe"/>
        <w:spacing w:line="280" w:lineRule="exact"/>
        <w:rPr>
          <w:lang w:val="en-CA"/>
        </w:rPr>
      </w:pPr>
      <w:r w:rsidRPr="006A01A8">
        <w:rPr>
          <w:lang w:val="en-CA"/>
        </w:rPr>
        <w:t>In short</w:t>
      </w:r>
      <w:r w:rsidR="002C1928" w:rsidRPr="006A01A8">
        <w:rPr>
          <w:lang w:val="en-CA"/>
        </w:rPr>
        <w:t xml:space="preserve">, </w:t>
      </w:r>
      <w:r w:rsidRPr="006A01A8">
        <w:rPr>
          <w:lang w:val="en-CA"/>
        </w:rPr>
        <w:t xml:space="preserve">it is undeniable that </w:t>
      </w:r>
      <w:r w:rsidR="00161875">
        <w:rPr>
          <w:lang w:val="en-CA"/>
        </w:rPr>
        <w:t>well</w:t>
      </w:r>
      <w:r w:rsidR="00161875" w:rsidRPr="006A01A8">
        <w:rPr>
          <w:lang w:val="en-CA"/>
        </w:rPr>
        <w:t> </w:t>
      </w:r>
      <w:r w:rsidR="00F01C9D">
        <w:rPr>
          <w:lang w:val="en-CA"/>
        </w:rPr>
        <w:t>[</w:t>
      </w:r>
      <w:r w:rsidR="00F01C9D" w:rsidRPr="00F01C9D">
        <w:rPr>
          <w:smallCaps/>
          <w:lang w:val="en-CA"/>
        </w:rPr>
        <w:t>translation</w:t>
      </w:r>
      <w:r w:rsidR="00F01C9D">
        <w:rPr>
          <w:lang w:val="en-CA"/>
        </w:rPr>
        <w:t xml:space="preserve">] </w:t>
      </w:r>
      <w:r w:rsidRPr="006A01A8">
        <w:rPr>
          <w:lang w:val="en-CA"/>
        </w:rPr>
        <w:t xml:space="preserve">“prepared, </w:t>
      </w:r>
      <w:r w:rsidR="00E54199">
        <w:rPr>
          <w:lang w:val="en-CA"/>
        </w:rPr>
        <w:t>the prosecution</w:t>
      </w:r>
      <w:r w:rsidRPr="006A01A8">
        <w:rPr>
          <w:lang w:val="en-CA"/>
        </w:rPr>
        <w:t xml:space="preserve"> may undertake particularly complex proceedings that will justify exceeding the ceilings established by the Supreme Court and, like the Court of Appeal for Ontario, I agree that in such cases, the Crown should not be subjected to undue pressure to abandon a meritorious case or to accept all defence proposals for the sake of </w:t>
      </w:r>
      <w:r w:rsidR="000E3507" w:rsidRPr="006A01A8">
        <w:rPr>
          <w:lang w:val="en-CA"/>
        </w:rPr>
        <w:t>expediency”</w:t>
      </w:r>
      <w:r w:rsidR="000E3507">
        <w:rPr>
          <w:lang w:val="en-CA"/>
        </w:rPr>
        <w:t xml:space="preserve"> (</w:t>
      </w:r>
      <w:r w:rsidR="002C1928" w:rsidRPr="006A01A8">
        <w:rPr>
          <w:i/>
          <w:iCs/>
          <w:lang w:val="en-CA"/>
        </w:rPr>
        <w:t>Rice</w:t>
      </w:r>
      <w:r w:rsidRPr="006A01A8">
        <w:rPr>
          <w:i/>
          <w:iCs/>
          <w:lang w:val="en-CA"/>
        </w:rPr>
        <w:t xml:space="preserve"> </w:t>
      </w:r>
      <w:r w:rsidRPr="006A01A8">
        <w:rPr>
          <w:lang w:val="en-CA"/>
        </w:rPr>
        <w:t>at</w:t>
      </w:r>
      <w:r w:rsidRPr="006A01A8">
        <w:rPr>
          <w:i/>
          <w:iCs/>
          <w:lang w:val="en-CA"/>
        </w:rPr>
        <w:t xml:space="preserve"> </w:t>
      </w:r>
      <w:r w:rsidR="002C1928" w:rsidRPr="006A01A8">
        <w:rPr>
          <w:lang w:val="en-CA"/>
        </w:rPr>
        <w:t>par</w:t>
      </w:r>
      <w:r w:rsidRPr="006A01A8">
        <w:rPr>
          <w:lang w:val="en-CA"/>
        </w:rPr>
        <w:t>a</w:t>
      </w:r>
      <w:r w:rsidR="002C1928" w:rsidRPr="006A01A8">
        <w:rPr>
          <w:lang w:val="en-CA"/>
        </w:rPr>
        <w:t>. 95 (r</w:t>
      </w:r>
      <w:r w:rsidRPr="006A01A8">
        <w:rPr>
          <w:lang w:val="en-CA"/>
        </w:rPr>
        <w:t>efe</w:t>
      </w:r>
      <w:r w:rsidR="002C1928" w:rsidRPr="006A01A8">
        <w:rPr>
          <w:lang w:val="en-CA"/>
        </w:rPr>
        <w:t>rence</w:t>
      </w:r>
      <w:r w:rsidRPr="006A01A8">
        <w:rPr>
          <w:lang w:val="en-CA"/>
        </w:rPr>
        <w:t>s</w:t>
      </w:r>
      <w:r w:rsidR="002C1928" w:rsidRPr="006A01A8">
        <w:rPr>
          <w:lang w:val="en-CA"/>
        </w:rPr>
        <w:t xml:space="preserve"> omi</w:t>
      </w:r>
      <w:r w:rsidRPr="006A01A8">
        <w:rPr>
          <w:lang w:val="en-CA"/>
        </w:rPr>
        <w:t>tted</w:t>
      </w:r>
      <w:r w:rsidR="002C1928" w:rsidRPr="006A01A8">
        <w:rPr>
          <w:lang w:val="en-CA"/>
        </w:rPr>
        <w:t>)</w:t>
      </w:r>
      <w:r w:rsidR="00E54199">
        <w:rPr>
          <w:lang w:val="en-CA"/>
        </w:rPr>
        <w:t>.</w:t>
      </w:r>
    </w:p>
    <w:p w14:paraId="4AEE9FFD" w14:textId="2DA16151" w:rsidR="00CC3EEB" w:rsidRPr="006A01A8" w:rsidRDefault="00A13FCE" w:rsidP="009C1512">
      <w:pPr>
        <w:pStyle w:val="Paragraphe"/>
        <w:spacing w:line="280" w:lineRule="exact"/>
        <w:rPr>
          <w:lang w:val="en-CA"/>
        </w:rPr>
      </w:pPr>
      <w:r w:rsidRPr="006A01A8">
        <w:rPr>
          <w:lang w:val="en-CA"/>
        </w:rPr>
        <w:t>In this case, however, the judge concluded that the Crown was</w:t>
      </w:r>
      <w:r w:rsidR="000E3507">
        <w:rPr>
          <w:lang w:val="en-CA"/>
        </w:rPr>
        <w:t>,</w:t>
      </w:r>
      <w:r w:rsidRPr="006A01A8">
        <w:rPr>
          <w:lang w:val="en-CA"/>
        </w:rPr>
        <w:t xml:space="preserve"> in a way</w:t>
      </w:r>
      <w:r w:rsidR="000E3507">
        <w:rPr>
          <w:lang w:val="en-CA"/>
        </w:rPr>
        <w:t>,</w:t>
      </w:r>
      <w:r w:rsidRPr="006A01A8">
        <w:rPr>
          <w:lang w:val="en-CA"/>
        </w:rPr>
        <w:t xml:space="preserve"> the author of its own demise and </w:t>
      </w:r>
      <w:r w:rsidR="000E3507">
        <w:rPr>
          <w:lang w:val="en-CA"/>
        </w:rPr>
        <w:t>a</w:t>
      </w:r>
      <w:r w:rsidRPr="006A01A8">
        <w:rPr>
          <w:lang w:val="en-CA"/>
        </w:rPr>
        <w:t xml:space="preserve"> review of the file does not </w:t>
      </w:r>
      <w:r w:rsidR="00161875">
        <w:rPr>
          <w:lang w:val="en-CA"/>
        </w:rPr>
        <w:t>justify overturning</w:t>
      </w:r>
      <w:r w:rsidR="00161875" w:rsidRPr="006A01A8">
        <w:rPr>
          <w:lang w:val="en-CA"/>
        </w:rPr>
        <w:t xml:space="preserve"> </w:t>
      </w:r>
      <w:r w:rsidRPr="006A01A8">
        <w:rPr>
          <w:lang w:val="en-CA"/>
        </w:rPr>
        <w:t>this conclusion.</w:t>
      </w:r>
    </w:p>
    <w:p w14:paraId="3F7C81BB" w14:textId="21C3225A" w:rsidR="00CC3EEB" w:rsidRPr="006A01A8" w:rsidRDefault="002C1928" w:rsidP="009C1512">
      <w:pPr>
        <w:pStyle w:val="Paragraphe"/>
        <w:spacing w:line="280" w:lineRule="exact"/>
        <w:rPr>
          <w:lang w:val="en-CA"/>
        </w:rPr>
      </w:pPr>
      <w:r w:rsidRPr="006A01A8">
        <w:rPr>
          <w:lang w:val="en-CA"/>
        </w:rPr>
        <w:t xml:space="preserve">Therefore, I </w:t>
      </w:r>
      <w:r w:rsidR="00EC1A3D">
        <w:rPr>
          <w:lang w:val="en-CA"/>
        </w:rPr>
        <w:t xml:space="preserve">would </w:t>
      </w:r>
      <w:r w:rsidRPr="006A01A8">
        <w:rPr>
          <w:lang w:val="en-CA"/>
        </w:rPr>
        <w:t>dismiss the appeal.</w:t>
      </w:r>
    </w:p>
    <w:tbl>
      <w:tblPr>
        <w:tblW w:w="9360" w:type="dxa"/>
        <w:tblInd w:w="70" w:type="dxa"/>
        <w:tblLayout w:type="fixed"/>
        <w:tblCellMar>
          <w:left w:w="70" w:type="dxa"/>
          <w:right w:w="70" w:type="dxa"/>
        </w:tblCellMar>
        <w:tblLook w:val="0000" w:firstRow="0" w:lastRow="0" w:firstColumn="0" w:lastColumn="0" w:noHBand="0" w:noVBand="0"/>
      </w:tblPr>
      <w:tblGrid>
        <w:gridCol w:w="4735"/>
        <w:gridCol w:w="4625"/>
      </w:tblGrid>
      <w:tr w:rsidR="00A35034" w:rsidRPr="00C52D31" w14:paraId="0AE862F4" w14:textId="77777777" w:rsidTr="000A582A">
        <w:trPr>
          <w:cantSplit/>
          <w:trHeight w:val="513"/>
        </w:trPr>
        <w:tc>
          <w:tcPr>
            <w:tcW w:w="9360" w:type="dxa"/>
            <w:gridSpan w:val="2"/>
          </w:tcPr>
          <w:p w14:paraId="2689AE17" w14:textId="77777777" w:rsidR="00CC3EEB" w:rsidRPr="006A01A8" w:rsidRDefault="00CC3EEB" w:rsidP="000A582A">
            <w:pPr>
              <w:rPr>
                <w:lang w:val="en-CA"/>
              </w:rPr>
            </w:pPr>
          </w:p>
        </w:tc>
      </w:tr>
      <w:tr w:rsidR="00A35034" w:rsidRPr="00C52D31" w14:paraId="7A563205" w14:textId="77777777" w:rsidTr="000A582A">
        <w:tblPrEx>
          <w:tblCellMar>
            <w:left w:w="0" w:type="dxa"/>
            <w:right w:w="0" w:type="dxa"/>
          </w:tblCellMar>
        </w:tblPrEx>
        <w:trPr>
          <w:cantSplit/>
          <w:trHeight w:val="277"/>
        </w:trPr>
        <w:tc>
          <w:tcPr>
            <w:tcW w:w="4735" w:type="dxa"/>
            <w:vMerge w:val="restart"/>
          </w:tcPr>
          <w:p w14:paraId="1028DFC5" w14:textId="77777777" w:rsidR="00CC3EEB" w:rsidRPr="006A01A8" w:rsidRDefault="00CC3EEB" w:rsidP="000A582A">
            <w:pPr>
              <w:rPr>
                <w:lang w:val="en-CA"/>
              </w:rPr>
            </w:pPr>
          </w:p>
        </w:tc>
        <w:tc>
          <w:tcPr>
            <w:tcW w:w="4625" w:type="dxa"/>
            <w:tcBorders>
              <w:bottom w:val="single" w:sz="8" w:space="0" w:color="auto"/>
            </w:tcBorders>
          </w:tcPr>
          <w:p w14:paraId="0B1D33BB" w14:textId="77777777" w:rsidR="00CC3EEB" w:rsidRPr="006A01A8" w:rsidRDefault="00CC3EEB" w:rsidP="000A582A">
            <w:pPr>
              <w:rPr>
                <w:lang w:val="en-CA"/>
              </w:rPr>
            </w:pPr>
          </w:p>
        </w:tc>
      </w:tr>
      <w:tr w:rsidR="00A35034" w:rsidRPr="006A01A8" w14:paraId="25831E77" w14:textId="77777777" w:rsidTr="000A582A">
        <w:tblPrEx>
          <w:tblCellMar>
            <w:left w:w="0" w:type="dxa"/>
            <w:right w:w="0" w:type="dxa"/>
          </w:tblCellMar>
        </w:tblPrEx>
        <w:trPr>
          <w:cantSplit/>
          <w:trHeight w:val="276"/>
        </w:trPr>
        <w:tc>
          <w:tcPr>
            <w:tcW w:w="4735" w:type="dxa"/>
            <w:vMerge/>
          </w:tcPr>
          <w:p w14:paraId="57C9E6A5" w14:textId="77777777" w:rsidR="00CC3EEB" w:rsidRPr="006A01A8" w:rsidRDefault="00CC3EEB" w:rsidP="000A582A">
            <w:pPr>
              <w:rPr>
                <w:lang w:val="en-CA"/>
              </w:rPr>
            </w:pPr>
          </w:p>
        </w:tc>
        <w:tc>
          <w:tcPr>
            <w:tcW w:w="4625" w:type="dxa"/>
          </w:tcPr>
          <w:p w14:paraId="77A23974" w14:textId="3B1C1AD3" w:rsidR="00CC3EEB" w:rsidRPr="006A01A8" w:rsidRDefault="002C1928" w:rsidP="000A582A">
            <w:pPr>
              <w:rPr>
                <w:lang w:val="en-CA"/>
              </w:rPr>
            </w:pPr>
            <w:r w:rsidRPr="006A01A8">
              <w:rPr>
                <w:lang w:val="en-CA"/>
              </w:rPr>
              <w:fldChar w:fldCharType="begin"/>
            </w:r>
            <w:r w:rsidRPr="006A01A8">
              <w:rPr>
                <w:lang w:val="en-CA"/>
              </w:rPr>
              <w:instrText xml:space="preserve"> REF NomJuge1  \* MERGEFORMAT </w:instrText>
            </w:r>
            <w:r w:rsidRPr="006A01A8">
              <w:rPr>
                <w:lang w:val="en-CA"/>
              </w:rPr>
              <w:fldChar w:fldCharType="separate"/>
            </w:r>
            <w:r w:rsidRPr="006A01A8">
              <w:rPr>
                <w:lang w:val="en-CA"/>
              </w:rPr>
              <w:t>MARTIN VAUCLAIR, J.A.</w:t>
            </w:r>
            <w:r w:rsidRPr="006A01A8">
              <w:rPr>
                <w:lang w:val="en-CA"/>
              </w:rPr>
              <w:fldChar w:fldCharType="end"/>
            </w:r>
          </w:p>
        </w:tc>
      </w:tr>
      <w:bookmarkEnd w:id="8"/>
    </w:tbl>
    <w:p w14:paraId="314C2F1F" w14:textId="77777777" w:rsidR="00740A17" w:rsidRPr="006A01A8" w:rsidRDefault="00740A17" w:rsidP="008A7BDB">
      <w:pPr>
        <w:rPr>
          <w:lang w:val="en-CA"/>
        </w:rPr>
      </w:pPr>
    </w:p>
    <w:sectPr w:rsidR="00740A17" w:rsidRPr="006A01A8" w:rsidSect="00CC3EEB">
      <w:headerReference w:type="default" r:id="rId10"/>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CBD9" w14:textId="77777777" w:rsidR="002F52C1" w:rsidRDefault="002F52C1">
      <w:pPr>
        <w:spacing w:line="240" w:lineRule="auto"/>
      </w:pPr>
      <w:r>
        <w:separator/>
      </w:r>
    </w:p>
  </w:endnote>
  <w:endnote w:type="continuationSeparator" w:id="0">
    <w:p w14:paraId="0A6815B9" w14:textId="77777777" w:rsidR="002F52C1" w:rsidRDefault="002F5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D2D4" w14:textId="77777777" w:rsidR="003264B6" w:rsidRPr="00A32AD3" w:rsidRDefault="003264B6" w:rsidP="003264B6">
    <w:pPr>
      <w:jc w:val="right"/>
      <w:rPr>
        <w:b/>
        <w:bCs/>
        <w:lang w:val="en-CA"/>
      </w:rPr>
    </w:pPr>
    <w:r w:rsidRPr="00A32AD3">
      <w:rPr>
        <w:b/>
        <w:bCs/>
        <w:lang w:val="en-CA"/>
      </w:rPr>
      <w:t>English translation of the judgment of the Court by SOQUIJ</w:t>
    </w:r>
  </w:p>
  <w:p w14:paraId="7AE5FBD6" w14:textId="1B1D526A" w:rsidR="002C1928" w:rsidRPr="00A32AD3" w:rsidRDefault="002C1928" w:rsidP="003264B6">
    <w:pPr>
      <w:pStyle w:val="Pieddepage"/>
      <w:rPr>
        <w:b/>
        <w:bCs/>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4386" w14:textId="77777777" w:rsidR="002F52C1" w:rsidRDefault="002F52C1">
      <w:pPr>
        <w:spacing w:line="240" w:lineRule="auto"/>
      </w:pPr>
      <w:r>
        <w:separator/>
      </w:r>
    </w:p>
  </w:footnote>
  <w:footnote w:type="continuationSeparator" w:id="0">
    <w:p w14:paraId="284019D8" w14:textId="77777777" w:rsidR="002F52C1" w:rsidRDefault="002F5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A453" w14:textId="682EB5C3" w:rsidR="00CC3EEB" w:rsidRDefault="002C1928" w:rsidP="00E04480">
    <w:pPr>
      <w:tabs>
        <w:tab w:val="center" w:pos="4709"/>
        <w:tab w:val="right" w:pos="9360"/>
      </w:tabs>
      <w:spacing w:line="360" w:lineRule="auto"/>
      <w:ind w:right="524"/>
    </w:pPr>
    <w:r>
      <w:t xml:space="preserve">500-10-007809-229 </w:t>
    </w:r>
    <w:r>
      <w:tab/>
    </w:r>
    <w:r>
      <w:tab/>
    </w:r>
    <w:r w:rsidRPr="006A01A8">
      <w:t>PAGE:</w:t>
    </w:r>
    <w:r>
      <w:t xml:space="preserve"> </w:t>
    </w:r>
    <w:r>
      <w:fldChar w:fldCharType="begin"/>
    </w:r>
    <w:r>
      <w:instrText xml:space="preserve"> PAGE </w:instrText>
    </w:r>
    <w:r>
      <w:fldChar w:fldCharType="separate"/>
    </w:r>
    <w:r>
      <w:t>1</w:t>
    </w:r>
    <w:r>
      <w:fldChar w:fldCharType="end"/>
    </w:r>
  </w:p>
  <w:p w14:paraId="2FCE13E9" w14:textId="77777777" w:rsidR="00962358" w:rsidRDefault="00962358" w:rsidP="00E04480">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DD42" w14:textId="6F7FF876" w:rsidR="007E33E4" w:rsidRDefault="002C1928" w:rsidP="00DB2119">
    <w:pPr>
      <w:tabs>
        <w:tab w:val="center" w:pos="4709"/>
        <w:tab w:val="right" w:pos="9360"/>
      </w:tabs>
      <w:spacing w:line="360" w:lineRule="auto"/>
      <w:ind w:right="524"/>
    </w:pPr>
    <w:bookmarkStart w:id="11" w:name="EntDossier"/>
    <w:r>
      <w:t>500-10-007809-229</w:t>
    </w:r>
    <w:bookmarkEnd w:id="11"/>
    <w:r>
      <w:t xml:space="preserve"> </w:t>
    </w:r>
    <w:r>
      <w:tab/>
    </w:r>
    <w:r>
      <w:tab/>
    </w:r>
    <w:r w:rsidRPr="006A01A8">
      <w:t>PAGE:</w:t>
    </w:r>
    <w:r>
      <w:t xml:space="preserve"> </w:t>
    </w:r>
    <w:r>
      <w:fldChar w:fldCharType="begin"/>
    </w:r>
    <w:r>
      <w:instrText xml:space="preserve"> PAGE </w:instrText>
    </w:r>
    <w:r>
      <w:fldChar w:fldCharType="separate"/>
    </w:r>
    <w:r w:rsidR="008D18FC">
      <w:rPr>
        <w:noProof/>
      </w:rPr>
      <w:t>2</w:t>
    </w:r>
    <w:r>
      <w:fldChar w:fldCharType="end"/>
    </w:r>
  </w:p>
  <w:p w14:paraId="3B25D118"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36363"/>
    <w:multiLevelType w:val="hybridMultilevel"/>
    <w:tmpl w:val="4964F6A8"/>
    <w:lvl w:ilvl="0" w:tplc="1BC25602">
      <w:start w:val="1"/>
      <w:numFmt w:val="decimal"/>
      <w:lvlText w:val="%1."/>
      <w:lvlJc w:val="left"/>
      <w:pPr>
        <w:ind w:left="720" w:hanging="360"/>
      </w:pPr>
      <w:rPr>
        <w:rFonts w:hint="default"/>
      </w:rPr>
    </w:lvl>
    <w:lvl w:ilvl="1" w:tplc="FC0ACFD2" w:tentative="1">
      <w:start w:val="1"/>
      <w:numFmt w:val="lowerLetter"/>
      <w:lvlText w:val="%2."/>
      <w:lvlJc w:val="left"/>
      <w:pPr>
        <w:ind w:left="1440" w:hanging="360"/>
      </w:pPr>
    </w:lvl>
    <w:lvl w:ilvl="2" w:tplc="6592FED2" w:tentative="1">
      <w:start w:val="1"/>
      <w:numFmt w:val="lowerRoman"/>
      <w:lvlText w:val="%3."/>
      <w:lvlJc w:val="right"/>
      <w:pPr>
        <w:ind w:left="2160" w:hanging="180"/>
      </w:pPr>
    </w:lvl>
    <w:lvl w:ilvl="3" w:tplc="68D88CAA" w:tentative="1">
      <w:start w:val="1"/>
      <w:numFmt w:val="decimal"/>
      <w:lvlText w:val="%4."/>
      <w:lvlJc w:val="left"/>
      <w:pPr>
        <w:ind w:left="2880" w:hanging="360"/>
      </w:pPr>
    </w:lvl>
    <w:lvl w:ilvl="4" w:tplc="CCAED2D0" w:tentative="1">
      <w:start w:val="1"/>
      <w:numFmt w:val="lowerLetter"/>
      <w:lvlText w:val="%5."/>
      <w:lvlJc w:val="left"/>
      <w:pPr>
        <w:ind w:left="3600" w:hanging="360"/>
      </w:pPr>
    </w:lvl>
    <w:lvl w:ilvl="5" w:tplc="2D6CDC84" w:tentative="1">
      <w:start w:val="1"/>
      <w:numFmt w:val="lowerRoman"/>
      <w:lvlText w:val="%6."/>
      <w:lvlJc w:val="right"/>
      <w:pPr>
        <w:ind w:left="4320" w:hanging="180"/>
      </w:pPr>
    </w:lvl>
    <w:lvl w:ilvl="6" w:tplc="7082B348" w:tentative="1">
      <w:start w:val="1"/>
      <w:numFmt w:val="decimal"/>
      <w:lvlText w:val="%7."/>
      <w:lvlJc w:val="left"/>
      <w:pPr>
        <w:ind w:left="5040" w:hanging="360"/>
      </w:pPr>
    </w:lvl>
    <w:lvl w:ilvl="7" w:tplc="55284900" w:tentative="1">
      <w:start w:val="1"/>
      <w:numFmt w:val="lowerLetter"/>
      <w:lvlText w:val="%8."/>
      <w:lvlJc w:val="left"/>
      <w:pPr>
        <w:ind w:left="5760" w:hanging="360"/>
      </w:pPr>
    </w:lvl>
    <w:lvl w:ilvl="8" w:tplc="EF7E4BEC" w:tentative="1">
      <w:start w:val="1"/>
      <w:numFmt w:val="lowerRoman"/>
      <w:lvlText w:val="%9."/>
      <w:lvlJc w:val="right"/>
      <w:pPr>
        <w:ind w:left="6480" w:hanging="180"/>
      </w:pPr>
    </w:lvl>
  </w:abstractNum>
  <w:abstractNum w:abstractNumId="11" w15:restartNumberingAfterBreak="0">
    <w:nsid w:val="1DE33213"/>
    <w:multiLevelType w:val="multilevel"/>
    <w:tmpl w:val="07828416"/>
    <w:lvl w:ilvl="0">
      <w:start w:val="1"/>
      <w:numFmt w:val="decimal"/>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28BB52DE"/>
    <w:multiLevelType w:val="multilevel"/>
    <w:tmpl w:val="2ECEF9D0"/>
    <w:lvl w:ilvl="0">
      <w:start w:val="1"/>
      <w:numFmt w:val="decimal"/>
      <w:pStyle w:val="Paragraphe"/>
      <w:lvlText w:val="[%1]"/>
      <w:lvlJc w:val="left"/>
      <w:pPr>
        <w:tabs>
          <w:tab w:val="num" w:pos="720"/>
        </w:tabs>
        <w:ind w:left="0" w:firstLine="0"/>
      </w:pPr>
      <w:rPr>
        <w:rFonts w:hint="default"/>
        <w:b w:val="0"/>
        <w:bCs/>
        <w:i w:val="0"/>
        <w:iCs/>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C992B75"/>
    <w:multiLevelType w:val="multilevel"/>
    <w:tmpl w:val="743467EC"/>
    <w:lvl w:ilvl="0">
      <w:start w:val="1"/>
      <w:numFmt w:val="bullet"/>
      <w:pStyle w:val="Tiret"/>
      <w:lvlText w:val="-"/>
      <w:lvlJc w:val="left"/>
      <w:pPr>
        <w:tabs>
          <w:tab w:val="num" w:pos="1080"/>
        </w:tabs>
        <w:ind w:left="720" w:firstLine="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5"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516420E"/>
    <w:multiLevelType w:val="hybridMultilevel"/>
    <w:tmpl w:val="4964F6A8"/>
    <w:lvl w:ilvl="0" w:tplc="E1CE1926">
      <w:start w:val="1"/>
      <w:numFmt w:val="decimal"/>
      <w:lvlText w:val="%1."/>
      <w:lvlJc w:val="left"/>
      <w:pPr>
        <w:ind w:left="720" w:hanging="360"/>
      </w:pPr>
      <w:rPr>
        <w:rFonts w:hint="default"/>
      </w:rPr>
    </w:lvl>
    <w:lvl w:ilvl="1" w:tplc="338C096E" w:tentative="1">
      <w:start w:val="1"/>
      <w:numFmt w:val="lowerLetter"/>
      <w:lvlText w:val="%2."/>
      <w:lvlJc w:val="left"/>
      <w:pPr>
        <w:ind w:left="1440" w:hanging="360"/>
      </w:pPr>
    </w:lvl>
    <w:lvl w:ilvl="2" w:tplc="0406A4C4" w:tentative="1">
      <w:start w:val="1"/>
      <w:numFmt w:val="lowerRoman"/>
      <w:lvlText w:val="%3."/>
      <w:lvlJc w:val="right"/>
      <w:pPr>
        <w:ind w:left="2160" w:hanging="180"/>
      </w:pPr>
    </w:lvl>
    <w:lvl w:ilvl="3" w:tplc="9A8433AC" w:tentative="1">
      <w:start w:val="1"/>
      <w:numFmt w:val="decimal"/>
      <w:lvlText w:val="%4."/>
      <w:lvlJc w:val="left"/>
      <w:pPr>
        <w:ind w:left="2880" w:hanging="360"/>
      </w:pPr>
    </w:lvl>
    <w:lvl w:ilvl="4" w:tplc="9954CBCE" w:tentative="1">
      <w:start w:val="1"/>
      <w:numFmt w:val="lowerLetter"/>
      <w:lvlText w:val="%5."/>
      <w:lvlJc w:val="left"/>
      <w:pPr>
        <w:ind w:left="3600" w:hanging="360"/>
      </w:pPr>
    </w:lvl>
    <w:lvl w:ilvl="5" w:tplc="2C7A988C" w:tentative="1">
      <w:start w:val="1"/>
      <w:numFmt w:val="lowerRoman"/>
      <w:lvlText w:val="%6."/>
      <w:lvlJc w:val="right"/>
      <w:pPr>
        <w:ind w:left="4320" w:hanging="180"/>
      </w:pPr>
    </w:lvl>
    <w:lvl w:ilvl="6" w:tplc="D0EC772A" w:tentative="1">
      <w:start w:val="1"/>
      <w:numFmt w:val="decimal"/>
      <w:lvlText w:val="%7."/>
      <w:lvlJc w:val="left"/>
      <w:pPr>
        <w:ind w:left="5040" w:hanging="360"/>
      </w:pPr>
    </w:lvl>
    <w:lvl w:ilvl="7" w:tplc="F93C3140" w:tentative="1">
      <w:start w:val="1"/>
      <w:numFmt w:val="lowerLetter"/>
      <w:lvlText w:val="%8."/>
      <w:lvlJc w:val="left"/>
      <w:pPr>
        <w:ind w:left="5760" w:hanging="360"/>
      </w:pPr>
    </w:lvl>
    <w:lvl w:ilvl="8" w:tplc="AAD8B24E" w:tentative="1">
      <w:start w:val="1"/>
      <w:numFmt w:val="lowerRoman"/>
      <w:lvlText w:val="%9."/>
      <w:lvlJc w:val="right"/>
      <w:pPr>
        <w:ind w:left="6480" w:hanging="180"/>
      </w:pPr>
    </w:lvl>
  </w:abstractNum>
  <w:num w:numId="1" w16cid:durableId="1469123812">
    <w:abstractNumId w:val="15"/>
  </w:num>
  <w:num w:numId="2" w16cid:durableId="539249297">
    <w:abstractNumId w:val="15"/>
  </w:num>
  <w:num w:numId="3" w16cid:durableId="104931438">
    <w:abstractNumId w:val="15"/>
  </w:num>
  <w:num w:numId="4" w16cid:durableId="938177180">
    <w:abstractNumId w:val="8"/>
  </w:num>
  <w:num w:numId="5" w16cid:durableId="194969607">
    <w:abstractNumId w:val="3"/>
  </w:num>
  <w:num w:numId="6" w16cid:durableId="2136561268">
    <w:abstractNumId w:val="2"/>
  </w:num>
  <w:num w:numId="7" w16cid:durableId="827751357">
    <w:abstractNumId w:val="1"/>
  </w:num>
  <w:num w:numId="8" w16cid:durableId="1305888613">
    <w:abstractNumId w:val="0"/>
  </w:num>
  <w:num w:numId="9" w16cid:durableId="1490898017">
    <w:abstractNumId w:val="9"/>
  </w:num>
  <w:num w:numId="10" w16cid:durableId="1885557873">
    <w:abstractNumId w:val="7"/>
  </w:num>
  <w:num w:numId="11" w16cid:durableId="761344036">
    <w:abstractNumId w:val="6"/>
  </w:num>
  <w:num w:numId="12" w16cid:durableId="977422118">
    <w:abstractNumId w:val="5"/>
  </w:num>
  <w:num w:numId="13" w16cid:durableId="308174447">
    <w:abstractNumId w:val="4"/>
  </w:num>
  <w:num w:numId="14" w16cid:durableId="1699044445">
    <w:abstractNumId w:val="15"/>
  </w:num>
  <w:num w:numId="15" w16cid:durableId="107507753">
    <w:abstractNumId w:val="15"/>
  </w:num>
  <w:num w:numId="16" w16cid:durableId="235357572">
    <w:abstractNumId w:val="15"/>
  </w:num>
  <w:num w:numId="17" w16cid:durableId="750468101">
    <w:abstractNumId w:val="13"/>
  </w:num>
  <w:num w:numId="18" w16cid:durableId="1839803660">
    <w:abstractNumId w:val="12"/>
  </w:num>
  <w:num w:numId="19" w16cid:durableId="663780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181272">
    <w:abstractNumId w:val="14"/>
  </w:num>
  <w:num w:numId="21" w16cid:durableId="1586914415">
    <w:abstractNumId w:val="11"/>
  </w:num>
  <w:num w:numId="22" w16cid:durableId="1263149657">
    <w:abstractNumId w:val="16"/>
  </w:num>
  <w:num w:numId="23" w16cid:durableId="1527325361">
    <w:abstractNumId w:val="10"/>
  </w:num>
  <w:num w:numId="24" w16cid:durableId="74014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E LA JUGE"/>
    <w:docVar w:name="NomFamJuge1" w:val="VAUCLAIR"/>
    <w:docVar w:name="NomFamJuge2" w:val="SCHRAGER"/>
    <w:docVar w:name="NomFamJuge3" w:val="BAUDOUIN"/>
    <w:docVar w:name="NomFamJuge4" w:val="MAILHOT"/>
    <w:docVar w:name="NomFamJuge5" w:val="BAUDOUIN"/>
    <w:docVar w:name="QteJuge1" w:val=", J.C.A."/>
    <w:docVar w:name="QteJuge2" w:val=", J.C.A."/>
    <w:docVar w:name="QteJuge3" w:val=", J.C.A."/>
    <w:docVar w:name="stPremiereFois" w:val="Non"/>
  </w:docVars>
  <w:rsids>
    <w:rsidRoot w:val="008A7BDB"/>
    <w:rsid w:val="00002C73"/>
    <w:rsid w:val="000066FD"/>
    <w:rsid w:val="00007F71"/>
    <w:rsid w:val="000131E1"/>
    <w:rsid w:val="000164A7"/>
    <w:rsid w:val="000324EB"/>
    <w:rsid w:val="0004161B"/>
    <w:rsid w:val="0004394C"/>
    <w:rsid w:val="00047083"/>
    <w:rsid w:val="00053691"/>
    <w:rsid w:val="00064F11"/>
    <w:rsid w:val="00083121"/>
    <w:rsid w:val="000860DA"/>
    <w:rsid w:val="000A2978"/>
    <w:rsid w:val="000A582A"/>
    <w:rsid w:val="000A7516"/>
    <w:rsid w:val="000B3564"/>
    <w:rsid w:val="000B42AF"/>
    <w:rsid w:val="000B662C"/>
    <w:rsid w:val="000C5336"/>
    <w:rsid w:val="000D5B67"/>
    <w:rsid w:val="000E20D7"/>
    <w:rsid w:val="000E3507"/>
    <w:rsid w:val="000E5177"/>
    <w:rsid w:val="001055B9"/>
    <w:rsid w:val="00110B53"/>
    <w:rsid w:val="0011112B"/>
    <w:rsid w:val="00112321"/>
    <w:rsid w:val="00117914"/>
    <w:rsid w:val="00122BC0"/>
    <w:rsid w:val="0013028C"/>
    <w:rsid w:val="00130C9F"/>
    <w:rsid w:val="00132E76"/>
    <w:rsid w:val="0014489F"/>
    <w:rsid w:val="00145B42"/>
    <w:rsid w:val="0015610F"/>
    <w:rsid w:val="00160B31"/>
    <w:rsid w:val="00161875"/>
    <w:rsid w:val="001673CA"/>
    <w:rsid w:val="001713E7"/>
    <w:rsid w:val="00181F56"/>
    <w:rsid w:val="001876BE"/>
    <w:rsid w:val="00190FA7"/>
    <w:rsid w:val="00195C2E"/>
    <w:rsid w:val="001972F2"/>
    <w:rsid w:val="001A7CC1"/>
    <w:rsid w:val="001B01D9"/>
    <w:rsid w:val="001B054E"/>
    <w:rsid w:val="001B2540"/>
    <w:rsid w:val="001C00A1"/>
    <w:rsid w:val="001D1FD3"/>
    <w:rsid w:val="001E0629"/>
    <w:rsid w:val="00201550"/>
    <w:rsid w:val="002034AF"/>
    <w:rsid w:val="0020391E"/>
    <w:rsid w:val="002053EF"/>
    <w:rsid w:val="00205DC4"/>
    <w:rsid w:val="002147F1"/>
    <w:rsid w:val="0021548E"/>
    <w:rsid w:val="002273F5"/>
    <w:rsid w:val="002467A1"/>
    <w:rsid w:val="00246966"/>
    <w:rsid w:val="00250A92"/>
    <w:rsid w:val="00251411"/>
    <w:rsid w:val="00256C2E"/>
    <w:rsid w:val="0026069B"/>
    <w:rsid w:val="0026259D"/>
    <w:rsid w:val="002649B0"/>
    <w:rsid w:val="002664FC"/>
    <w:rsid w:val="0026653C"/>
    <w:rsid w:val="002707C9"/>
    <w:rsid w:val="00273D1A"/>
    <w:rsid w:val="00287500"/>
    <w:rsid w:val="002A7DC0"/>
    <w:rsid w:val="002B4A07"/>
    <w:rsid w:val="002B6690"/>
    <w:rsid w:val="002C0418"/>
    <w:rsid w:val="002C1928"/>
    <w:rsid w:val="002C4107"/>
    <w:rsid w:val="002C67C5"/>
    <w:rsid w:val="002E1F0E"/>
    <w:rsid w:val="002E229C"/>
    <w:rsid w:val="002E3159"/>
    <w:rsid w:val="002E51F1"/>
    <w:rsid w:val="002F1350"/>
    <w:rsid w:val="002F52C1"/>
    <w:rsid w:val="002F6136"/>
    <w:rsid w:val="002F74F4"/>
    <w:rsid w:val="003044D9"/>
    <w:rsid w:val="003047D5"/>
    <w:rsid w:val="003155A8"/>
    <w:rsid w:val="00320E8D"/>
    <w:rsid w:val="00322DE0"/>
    <w:rsid w:val="00322EC9"/>
    <w:rsid w:val="0032363D"/>
    <w:rsid w:val="0032577D"/>
    <w:rsid w:val="003264B6"/>
    <w:rsid w:val="003312CB"/>
    <w:rsid w:val="0033190E"/>
    <w:rsid w:val="0033229B"/>
    <w:rsid w:val="00333407"/>
    <w:rsid w:val="003428C0"/>
    <w:rsid w:val="0034326C"/>
    <w:rsid w:val="00347814"/>
    <w:rsid w:val="003562AD"/>
    <w:rsid w:val="00361325"/>
    <w:rsid w:val="0036258F"/>
    <w:rsid w:val="00365AA1"/>
    <w:rsid w:val="00374888"/>
    <w:rsid w:val="00374E40"/>
    <w:rsid w:val="003B5031"/>
    <w:rsid w:val="003B667C"/>
    <w:rsid w:val="003C3C68"/>
    <w:rsid w:val="003C3D5E"/>
    <w:rsid w:val="003D487D"/>
    <w:rsid w:val="003D7AA0"/>
    <w:rsid w:val="003D7F68"/>
    <w:rsid w:val="003E3239"/>
    <w:rsid w:val="003E3E3C"/>
    <w:rsid w:val="003F222B"/>
    <w:rsid w:val="003F491B"/>
    <w:rsid w:val="00415FE6"/>
    <w:rsid w:val="00423DF1"/>
    <w:rsid w:val="00430C58"/>
    <w:rsid w:val="004331C4"/>
    <w:rsid w:val="00433793"/>
    <w:rsid w:val="004355B4"/>
    <w:rsid w:val="0043564D"/>
    <w:rsid w:val="00441C25"/>
    <w:rsid w:val="00446452"/>
    <w:rsid w:val="004472D2"/>
    <w:rsid w:val="00467338"/>
    <w:rsid w:val="00472DC8"/>
    <w:rsid w:val="004802EC"/>
    <w:rsid w:val="004805B0"/>
    <w:rsid w:val="00482568"/>
    <w:rsid w:val="00485630"/>
    <w:rsid w:val="0048678D"/>
    <w:rsid w:val="00490ADB"/>
    <w:rsid w:val="00490B9D"/>
    <w:rsid w:val="004922B7"/>
    <w:rsid w:val="00493640"/>
    <w:rsid w:val="004A29F1"/>
    <w:rsid w:val="004A6641"/>
    <w:rsid w:val="004B14C3"/>
    <w:rsid w:val="004B1E94"/>
    <w:rsid w:val="004B33FF"/>
    <w:rsid w:val="004B3432"/>
    <w:rsid w:val="004D070C"/>
    <w:rsid w:val="004D0B38"/>
    <w:rsid w:val="004D2F69"/>
    <w:rsid w:val="004D5006"/>
    <w:rsid w:val="004E24A8"/>
    <w:rsid w:val="004E4FBA"/>
    <w:rsid w:val="004E6EB9"/>
    <w:rsid w:val="004F47E9"/>
    <w:rsid w:val="005032E2"/>
    <w:rsid w:val="00505FD0"/>
    <w:rsid w:val="005131F1"/>
    <w:rsid w:val="0051484F"/>
    <w:rsid w:val="00516B3E"/>
    <w:rsid w:val="00517029"/>
    <w:rsid w:val="00523C8C"/>
    <w:rsid w:val="005262C9"/>
    <w:rsid w:val="00531D70"/>
    <w:rsid w:val="005468A5"/>
    <w:rsid w:val="00566BF6"/>
    <w:rsid w:val="00567D72"/>
    <w:rsid w:val="005709EE"/>
    <w:rsid w:val="00577582"/>
    <w:rsid w:val="0058206C"/>
    <w:rsid w:val="00583434"/>
    <w:rsid w:val="0058349F"/>
    <w:rsid w:val="00584CED"/>
    <w:rsid w:val="0058735C"/>
    <w:rsid w:val="005A78BF"/>
    <w:rsid w:val="005B6B4C"/>
    <w:rsid w:val="005C7516"/>
    <w:rsid w:val="005D1522"/>
    <w:rsid w:val="005D43D9"/>
    <w:rsid w:val="005D5D87"/>
    <w:rsid w:val="005E4EB5"/>
    <w:rsid w:val="005E5337"/>
    <w:rsid w:val="005F024D"/>
    <w:rsid w:val="005F5F5F"/>
    <w:rsid w:val="0060514C"/>
    <w:rsid w:val="006076E3"/>
    <w:rsid w:val="0061703D"/>
    <w:rsid w:val="006216F2"/>
    <w:rsid w:val="0062195A"/>
    <w:rsid w:val="00622985"/>
    <w:rsid w:val="00624770"/>
    <w:rsid w:val="00625F7B"/>
    <w:rsid w:val="00633189"/>
    <w:rsid w:val="0064250B"/>
    <w:rsid w:val="00643ECA"/>
    <w:rsid w:val="0067106D"/>
    <w:rsid w:val="00681588"/>
    <w:rsid w:val="006826AA"/>
    <w:rsid w:val="0068356A"/>
    <w:rsid w:val="006A01A8"/>
    <w:rsid w:val="006A085E"/>
    <w:rsid w:val="006A0DAD"/>
    <w:rsid w:val="006A0DB0"/>
    <w:rsid w:val="006A5537"/>
    <w:rsid w:val="006A6629"/>
    <w:rsid w:val="006B24CD"/>
    <w:rsid w:val="006B33FF"/>
    <w:rsid w:val="006C05B9"/>
    <w:rsid w:val="006D4279"/>
    <w:rsid w:val="006E0491"/>
    <w:rsid w:val="006E305F"/>
    <w:rsid w:val="006E4A2F"/>
    <w:rsid w:val="006F05F0"/>
    <w:rsid w:val="006F2591"/>
    <w:rsid w:val="006F34E6"/>
    <w:rsid w:val="006F501D"/>
    <w:rsid w:val="006F5D13"/>
    <w:rsid w:val="006F7203"/>
    <w:rsid w:val="00706E24"/>
    <w:rsid w:val="00711DEC"/>
    <w:rsid w:val="00714523"/>
    <w:rsid w:val="007154F8"/>
    <w:rsid w:val="007203C5"/>
    <w:rsid w:val="007222D6"/>
    <w:rsid w:val="00730A6C"/>
    <w:rsid w:val="00734607"/>
    <w:rsid w:val="007365FB"/>
    <w:rsid w:val="00740A17"/>
    <w:rsid w:val="00743192"/>
    <w:rsid w:val="00744821"/>
    <w:rsid w:val="007462D6"/>
    <w:rsid w:val="0074738B"/>
    <w:rsid w:val="00750E47"/>
    <w:rsid w:val="00753863"/>
    <w:rsid w:val="0076062E"/>
    <w:rsid w:val="00771C8F"/>
    <w:rsid w:val="007721AD"/>
    <w:rsid w:val="00781940"/>
    <w:rsid w:val="00786C07"/>
    <w:rsid w:val="00793930"/>
    <w:rsid w:val="007953F3"/>
    <w:rsid w:val="007A5579"/>
    <w:rsid w:val="007A7803"/>
    <w:rsid w:val="007B061E"/>
    <w:rsid w:val="007B48D5"/>
    <w:rsid w:val="007C0F21"/>
    <w:rsid w:val="007C2DDE"/>
    <w:rsid w:val="007D087C"/>
    <w:rsid w:val="007D2A25"/>
    <w:rsid w:val="007E0082"/>
    <w:rsid w:val="007E33E4"/>
    <w:rsid w:val="007E4CC9"/>
    <w:rsid w:val="007E58C4"/>
    <w:rsid w:val="007E7854"/>
    <w:rsid w:val="007F03A2"/>
    <w:rsid w:val="007F5EAF"/>
    <w:rsid w:val="007F6E4D"/>
    <w:rsid w:val="00800D23"/>
    <w:rsid w:val="00814671"/>
    <w:rsid w:val="00816273"/>
    <w:rsid w:val="0082355A"/>
    <w:rsid w:val="0082717B"/>
    <w:rsid w:val="00827B04"/>
    <w:rsid w:val="0083032E"/>
    <w:rsid w:val="00841907"/>
    <w:rsid w:val="008439BE"/>
    <w:rsid w:val="00851AF4"/>
    <w:rsid w:val="00856033"/>
    <w:rsid w:val="0086036A"/>
    <w:rsid w:val="00861829"/>
    <w:rsid w:val="0086435D"/>
    <w:rsid w:val="008653A3"/>
    <w:rsid w:val="008657A2"/>
    <w:rsid w:val="008659BB"/>
    <w:rsid w:val="00866645"/>
    <w:rsid w:val="00882210"/>
    <w:rsid w:val="00883687"/>
    <w:rsid w:val="008A56C1"/>
    <w:rsid w:val="008A6185"/>
    <w:rsid w:val="008A7BDB"/>
    <w:rsid w:val="008B669E"/>
    <w:rsid w:val="008C0B43"/>
    <w:rsid w:val="008C1FE9"/>
    <w:rsid w:val="008C7DCE"/>
    <w:rsid w:val="008C7F08"/>
    <w:rsid w:val="008D18FC"/>
    <w:rsid w:val="008D1E1A"/>
    <w:rsid w:val="008D28B2"/>
    <w:rsid w:val="008D398B"/>
    <w:rsid w:val="008D4706"/>
    <w:rsid w:val="008D7E49"/>
    <w:rsid w:val="008E1A72"/>
    <w:rsid w:val="008E352C"/>
    <w:rsid w:val="008E5FF7"/>
    <w:rsid w:val="008F364A"/>
    <w:rsid w:val="008F3F53"/>
    <w:rsid w:val="008F4D28"/>
    <w:rsid w:val="00900D01"/>
    <w:rsid w:val="00911834"/>
    <w:rsid w:val="009130C6"/>
    <w:rsid w:val="00913E03"/>
    <w:rsid w:val="00922874"/>
    <w:rsid w:val="009229E9"/>
    <w:rsid w:val="00926953"/>
    <w:rsid w:val="00932703"/>
    <w:rsid w:val="00936469"/>
    <w:rsid w:val="009400B7"/>
    <w:rsid w:val="00941058"/>
    <w:rsid w:val="00942D5F"/>
    <w:rsid w:val="00954DC2"/>
    <w:rsid w:val="0095555A"/>
    <w:rsid w:val="00957B92"/>
    <w:rsid w:val="00961D5D"/>
    <w:rsid w:val="00962358"/>
    <w:rsid w:val="00962BCB"/>
    <w:rsid w:val="00970966"/>
    <w:rsid w:val="00974442"/>
    <w:rsid w:val="00997726"/>
    <w:rsid w:val="009A3C15"/>
    <w:rsid w:val="009A5332"/>
    <w:rsid w:val="009B083B"/>
    <w:rsid w:val="009B3439"/>
    <w:rsid w:val="009C1512"/>
    <w:rsid w:val="009C28A2"/>
    <w:rsid w:val="009F1F69"/>
    <w:rsid w:val="009F3845"/>
    <w:rsid w:val="00A13FCE"/>
    <w:rsid w:val="00A23BF4"/>
    <w:rsid w:val="00A2445A"/>
    <w:rsid w:val="00A2593B"/>
    <w:rsid w:val="00A32AD3"/>
    <w:rsid w:val="00A332B8"/>
    <w:rsid w:val="00A34E05"/>
    <w:rsid w:val="00A35034"/>
    <w:rsid w:val="00A36680"/>
    <w:rsid w:val="00A4343F"/>
    <w:rsid w:val="00A43D8B"/>
    <w:rsid w:val="00A454F1"/>
    <w:rsid w:val="00A501F7"/>
    <w:rsid w:val="00A526FE"/>
    <w:rsid w:val="00A543CC"/>
    <w:rsid w:val="00A57A9C"/>
    <w:rsid w:val="00A6037E"/>
    <w:rsid w:val="00A60AD9"/>
    <w:rsid w:val="00A616FC"/>
    <w:rsid w:val="00A623BF"/>
    <w:rsid w:val="00A74526"/>
    <w:rsid w:val="00A77B76"/>
    <w:rsid w:val="00A81A6A"/>
    <w:rsid w:val="00A93B3B"/>
    <w:rsid w:val="00A93CFF"/>
    <w:rsid w:val="00A95427"/>
    <w:rsid w:val="00AA0B2B"/>
    <w:rsid w:val="00AA5226"/>
    <w:rsid w:val="00AB7DD2"/>
    <w:rsid w:val="00AD1BFA"/>
    <w:rsid w:val="00AD6459"/>
    <w:rsid w:val="00AE239C"/>
    <w:rsid w:val="00AE6964"/>
    <w:rsid w:val="00AF0C7C"/>
    <w:rsid w:val="00AF22BD"/>
    <w:rsid w:val="00AF52F9"/>
    <w:rsid w:val="00B01D86"/>
    <w:rsid w:val="00B04CC4"/>
    <w:rsid w:val="00B0792D"/>
    <w:rsid w:val="00B07E4E"/>
    <w:rsid w:val="00B11FD1"/>
    <w:rsid w:val="00B137E9"/>
    <w:rsid w:val="00B15EAE"/>
    <w:rsid w:val="00B164CC"/>
    <w:rsid w:val="00B179AF"/>
    <w:rsid w:val="00B20494"/>
    <w:rsid w:val="00B24A77"/>
    <w:rsid w:val="00B30EA2"/>
    <w:rsid w:val="00B36ED3"/>
    <w:rsid w:val="00B3704B"/>
    <w:rsid w:val="00B513C9"/>
    <w:rsid w:val="00B56EF4"/>
    <w:rsid w:val="00B70485"/>
    <w:rsid w:val="00B7283C"/>
    <w:rsid w:val="00B82A13"/>
    <w:rsid w:val="00B915AE"/>
    <w:rsid w:val="00B933CC"/>
    <w:rsid w:val="00B95514"/>
    <w:rsid w:val="00B97CA2"/>
    <w:rsid w:val="00BA675A"/>
    <w:rsid w:val="00BB70DC"/>
    <w:rsid w:val="00BC320C"/>
    <w:rsid w:val="00BD1916"/>
    <w:rsid w:val="00BE32F7"/>
    <w:rsid w:val="00BE3D5A"/>
    <w:rsid w:val="00BE461A"/>
    <w:rsid w:val="00BE7180"/>
    <w:rsid w:val="00BE79B6"/>
    <w:rsid w:val="00C0221E"/>
    <w:rsid w:val="00C02AF8"/>
    <w:rsid w:val="00C14F37"/>
    <w:rsid w:val="00C17E01"/>
    <w:rsid w:val="00C31AC4"/>
    <w:rsid w:val="00C33B26"/>
    <w:rsid w:val="00C409BE"/>
    <w:rsid w:val="00C423CA"/>
    <w:rsid w:val="00C521F1"/>
    <w:rsid w:val="00C52D31"/>
    <w:rsid w:val="00C649CE"/>
    <w:rsid w:val="00C652ED"/>
    <w:rsid w:val="00C709B7"/>
    <w:rsid w:val="00C7793C"/>
    <w:rsid w:val="00C908AA"/>
    <w:rsid w:val="00C90FE0"/>
    <w:rsid w:val="00C939A8"/>
    <w:rsid w:val="00C964DC"/>
    <w:rsid w:val="00C96721"/>
    <w:rsid w:val="00C97145"/>
    <w:rsid w:val="00C972DB"/>
    <w:rsid w:val="00C97F29"/>
    <w:rsid w:val="00CA70D3"/>
    <w:rsid w:val="00CA7F50"/>
    <w:rsid w:val="00CB0337"/>
    <w:rsid w:val="00CB1C98"/>
    <w:rsid w:val="00CB7057"/>
    <w:rsid w:val="00CC1A08"/>
    <w:rsid w:val="00CC3EEB"/>
    <w:rsid w:val="00CF0126"/>
    <w:rsid w:val="00D010FD"/>
    <w:rsid w:val="00D02812"/>
    <w:rsid w:val="00D12E54"/>
    <w:rsid w:val="00D14A22"/>
    <w:rsid w:val="00D20056"/>
    <w:rsid w:val="00D34E61"/>
    <w:rsid w:val="00D43455"/>
    <w:rsid w:val="00D44B8E"/>
    <w:rsid w:val="00D601E5"/>
    <w:rsid w:val="00D654D9"/>
    <w:rsid w:val="00D806BA"/>
    <w:rsid w:val="00D8195E"/>
    <w:rsid w:val="00D87C15"/>
    <w:rsid w:val="00D92745"/>
    <w:rsid w:val="00D97066"/>
    <w:rsid w:val="00DA1905"/>
    <w:rsid w:val="00DB2119"/>
    <w:rsid w:val="00DB7AE3"/>
    <w:rsid w:val="00DC05BC"/>
    <w:rsid w:val="00DC2B86"/>
    <w:rsid w:val="00DD3A24"/>
    <w:rsid w:val="00DE68BD"/>
    <w:rsid w:val="00DF3516"/>
    <w:rsid w:val="00E007AA"/>
    <w:rsid w:val="00E0088F"/>
    <w:rsid w:val="00E0247D"/>
    <w:rsid w:val="00E03C07"/>
    <w:rsid w:val="00E04480"/>
    <w:rsid w:val="00E1379D"/>
    <w:rsid w:val="00E1489B"/>
    <w:rsid w:val="00E20E3C"/>
    <w:rsid w:val="00E32206"/>
    <w:rsid w:val="00E32BF8"/>
    <w:rsid w:val="00E339B2"/>
    <w:rsid w:val="00E36290"/>
    <w:rsid w:val="00E4141F"/>
    <w:rsid w:val="00E4263D"/>
    <w:rsid w:val="00E43538"/>
    <w:rsid w:val="00E4459E"/>
    <w:rsid w:val="00E54199"/>
    <w:rsid w:val="00E6530E"/>
    <w:rsid w:val="00E81050"/>
    <w:rsid w:val="00E81E61"/>
    <w:rsid w:val="00E83FC8"/>
    <w:rsid w:val="00E8458F"/>
    <w:rsid w:val="00E848B4"/>
    <w:rsid w:val="00E85A79"/>
    <w:rsid w:val="00E91417"/>
    <w:rsid w:val="00E91551"/>
    <w:rsid w:val="00E94329"/>
    <w:rsid w:val="00E94777"/>
    <w:rsid w:val="00EB1377"/>
    <w:rsid w:val="00EC1A3D"/>
    <w:rsid w:val="00EC1E33"/>
    <w:rsid w:val="00EC3E69"/>
    <w:rsid w:val="00EC7C66"/>
    <w:rsid w:val="00ED2469"/>
    <w:rsid w:val="00EE32DC"/>
    <w:rsid w:val="00EE449C"/>
    <w:rsid w:val="00EE69A6"/>
    <w:rsid w:val="00EF5021"/>
    <w:rsid w:val="00F01C9D"/>
    <w:rsid w:val="00F044E9"/>
    <w:rsid w:val="00F07022"/>
    <w:rsid w:val="00F1119E"/>
    <w:rsid w:val="00F33E30"/>
    <w:rsid w:val="00F3484E"/>
    <w:rsid w:val="00F35A34"/>
    <w:rsid w:val="00F40882"/>
    <w:rsid w:val="00F43559"/>
    <w:rsid w:val="00F43E4D"/>
    <w:rsid w:val="00F5789B"/>
    <w:rsid w:val="00F6658F"/>
    <w:rsid w:val="00F75AAB"/>
    <w:rsid w:val="00F75C76"/>
    <w:rsid w:val="00F85864"/>
    <w:rsid w:val="00F93169"/>
    <w:rsid w:val="00F9354F"/>
    <w:rsid w:val="00FA1E3F"/>
    <w:rsid w:val="00FA29F6"/>
    <w:rsid w:val="00FB1A5E"/>
    <w:rsid w:val="00FB3E0C"/>
    <w:rsid w:val="00FC0FDD"/>
    <w:rsid w:val="00FC41AB"/>
    <w:rsid w:val="00FC720B"/>
    <w:rsid w:val="00FD1EB0"/>
    <w:rsid w:val="00FD39CA"/>
    <w:rsid w:val="00FE18CC"/>
    <w:rsid w:val="00FE3FE9"/>
    <w:rsid w:val="00FE4D6C"/>
    <w:rsid w:val="00FE6A10"/>
    <w:rsid w:val="00FE6D71"/>
    <w:rsid w:val="00FF26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1D10D"/>
  <w15:chartTrackingRefBased/>
  <w15:docId w15:val="{6707C8DD-5251-46A0-B420-D096590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paragraph" w:customStyle="1" w:styleId="JgtParagraphe">
    <w:name w:val="Jgt Paragraphe"/>
    <w:basedOn w:val="Paragraphe"/>
    <w:qFormat/>
    <w:rsid w:val="00CC3EEB"/>
  </w:style>
  <w:style w:type="character" w:customStyle="1" w:styleId="NotedebasdepageCar">
    <w:name w:val="Note de bas de page Car"/>
    <w:basedOn w:val="Policepardfaut"/>
    <w:link w:val="Notedebasdepage"/>
    <w:rsid w:val="00CC3EEB"/>
    <w:rPr>
      <w:rFonts w:ascii="Arial" w:hAnsi="Arial"/>
      <w:lang w:eastAsia="fr-FR"/>
    </w:rPr>
  </w:style>
  <w:style w:type="character" w:styleId="Hyperlien">
    <w:name w:val="Hyperlink"/>
    <w:uiPriority w:val="99"/>
    <w:rsid w:val="00CC3EEB"/>
    <w:rPr>
      <w:noProof w:val="0"/>
      <w:color w:val="0000FF"/>
      <w:u w:val="single"/>
      <w:lang w:val="fr-CA"/>
    </w:rPr>
  </w:style>
  <w:style w:type="paragraph" w:customStyle="1" w:styleId="JgtPositionniv1">
    <w:name w:val="Jgt Position niv 1"/>
    <w:basedOn w:val="Normal"/>
    <w:qFormat/>
    <w:rsid w:val="00CC3EEB"/>
    <w:pPr>
      <w:spacing w:before="240" w:after="240" w:line="240" w:lineRule="auto"/>
      <w:outlineLvl w:val="0"/>
    </w:pPr>
    <w:rPr>
      <w:rFonts w:eastAsiaTheme="minorHAnsi"/>
      <w:b/>
      <w:i/>
      <w:kern w:val="2"/>
      <w:lang w:val="fr-FR"/>
      <w14:ligatures w14:val="standardContextual"/>
    </w:rPr>
  </w:style>
  <w:style w:type="paragraph" w:customStyle="1" w:styleId="JgtPositionniv2">
    <w:name w:val="Jgt Position niv 2"/>
    <w:basedOn w:val="Normal"/>
    <w:next w:val="JgtParagraphe"/>
    <w:qFormat/>
    <w:rsid w:val="00CC3EEB"/>
    <w:pPr>
      <w:adjustRightInd w:val="0"/>
      <w:spacing w:before="240" w:after="240" w:line="240" w:lineRule="auto"/>
      <w:ind w:left="709"/>
      <w:outlineLvl w:val="1"/>
    </w:pPr>
    <w:rPr>
      <w:rFonts w:eastAsiaTheme="minorHAnsi" w:cs="Times New Roman (Corps CS)"/>
      <w:b/>
      <w:i/>
      <w:kern w:val="2"/>
      <w:lang w:val="fr-FR"/>
      <w14:ligatures w14:val="standardContextual"/>
    </w:rPr>
  </w:style>
  <w:style w:type="paragraph" w:customStyle="1" w:styleId="JgtPositionniv3">
    <w:name w:val="Jgt Position niv 3"/>
    <w:basedOn w:val="Normal"/>
    <w:qFormat/>
    <w:rsid w:val="00CC3EEB"/>
    <w:pPr>
      <w:adjustRightInd w:val="0"/>
      <w:snapToGrid w:val="0"/>
      <w:spacing w:before="240" w:after="240" w:line="240" w:lineRule="auto"/>
      <w:ind w:left="992" w:right="573"/>
      <w:jc w:val="both"/>
      <w:outlineLvl w:val="2"/>
    </w:pPr>
    <w:rPr>
      <w:rFonts w:eastAsiaTheme="minorHAnsi"/>
      <w:b/>
      <w:i/>
      <w:kern w:val="2"/>
      <w:lang w:val="fr-FR" w:eastAsia="en-US"/>
      <w14:ligatures w14:val="standardContextual"/>
    </w:rPr>
  </w:style>
  <w:style w:type="paragraph" w:customStyle="1" w:styleId="JgtQuestions">
    <w:name w:val="Jgt Questions"/>
    <w:basedOn w:val="Normal"/>
    <w:qFormat/>
    <w:rsid w:val="00CC3EEB"/>
    <w:pPr>
      <w:adjustRightInd w:val="0"/>
      <w:snapToGrid w:val="0"/>
      <w:spacing w:before="360" w:after="240" w:line="240" w:lineRule="auto"/>
      <w:ind w:left="709" w:right="573"/>
      <w:jc w:val="both"/>
      <w:outlineLvl w:val="1"/>
    </w:pPr>
    <w:rPr>
      <w:rFonts w:eastAsiaTheme="minorHAnsi"/>
      <w:b/>
      <w:smallCaps/>
      <w:kern w:val="2"/>
      <w:lang w:val="fr-FR" w:eastAsia="en-US"/>
      <w14:ligatures w14:val="standardContextual"/>
    </w:rPr>
  </w:style>
  <w:style w:type="paragraph" w:styleId="Paragraphedeliste">
    <w:name w:val="List Paragraph"/>
    <w:basedOn w:val="Normal"/>
    <w:uiPriority w:val="34"/>
    <w:qFormat/>
    <w:rsid w:val="00CC3EEB"/>
    <w:pPr>
      <w:ind w:left="720"/>
      <w:contextualSpacing/>
    </w:pPr>
  </w:style>
  <w:style w:type="paragraph" w:customStyle="1" w:styleId="JgtCit1">
    <w:name w:val="Jgt Cit 1"/>
    <w:basedOn w:val="Normal"/>
    <w:next w:val="JgtParagraphe"/>
    <w:qFormat/>
    <w:rsid w:val="00CC3EEB"/>
    <w:pPr>
      <w:spacing w:before="120" w:after="120" w:line="240" w:lineRule="auto"/>
      <w:ind w:left="720" w:right="720"/>
      <w:jc w:val="both"/>
    </w:pPr>
    <w:rPr>
      <w:rFonts w:cs="Times New Roman (Corps CS)"/>
      <w:sz w:val="22"/>
      <w:szCs w:val="24"/>
    </w:rPr>
  </w:style>
  <w:style w:type="paragraph" w:customStyle="1" w:styleId="Jgtcit2">
    <w:name w:val="Jgt cit 2"/>
    <w:basedOn w:val="Normal"/>
    <w:next w:val="JgtParagraphe"/>
    <w:qFormat/>
    <w:rsid w:val="00CC3EEB"/>
    <w:pPr>
      <w:overflowPunct w:val="0"/>
      <w:autoSpaceDE w:val="0"/>
      <w:autoSpaceDN w:val="0"/>
      <w:adjustRightInd w:val="0"/>
      <w:snapToGrid w:val="0"/>
      <w:spacing w:before="60" w:after="240" w:line="240" w:lineRule="auto"/>
      <w:ind w:left="1418" w:right="1134"/>
      <w:jc w:val="both"/>
      <w:textAlignment w:val="baseline"/>
    </w:pPr>
    <w:rPr>
      <w:rFonts w:cs="Arial"/>
      <w:sz w:val="22"/>
      <w:szCs w:val="22"/>
    </w:rPr>
  </w:style>
  <w:style w:type="paragraph" w:customStyle="1" w:styleId="Jgtcit3">
    <w:name w:val="Jgt cit 3"/>
    <w:basedOn w:val="Normal"/>
    <w:qFormat/>
    <w:rsid w:val="00CC3EEB"/>
    <w:pPr>
      <w:overflowPunct w:val="0"/>
      <w:autoSpaceDE w:val="0"/>
      <w:autoSpaceDN w:val="0"/>
      <w:adjustRightInd w:val="0"/>
      <w:spacing w:before="60" w:after="240" w:line="240" w:lineRule="auto"/>
      <w:ind w:left="1985" w:right="1134"/>
      <w:jc w:val="both"/>
      <w:textAlignment w:val="baseline"/>
    </w:pPr>
    <w:rPr>
      <w:rFonts w:cs="Arial"/>
      <w:sz w:val="20"/>
      <w:szCs w:val="24"/>
    </w:rPr>
  </w:style>
  <w:style w:type="character" w:customStyle="1" w:styleId="apple-converted-space">
    <w:name w:val="apple-converted-space"/>
    <w:basedOn w:val="Policepardfaut"/>
    <w:rsid w:val="00CC3EEB"/>
  </w:style>
  <w:style w:type="paragraph" w:customStyle="1" w:styleId="Tiret">
    <w:name w:val="Tiret"/>
    <w:basedOn w:val="Paragraphe"/>
    <w:rsid w:val="00CC3EEB"/>
    <w:pPr>
      <w:numPr>
        <w:numId w:val="20"/>
      </w:numPr>
      <w:tabs>
        <w:tab w:val="clear" w:pos="1080"/>
        <w:tab w:val="num" w:pos="360"/>
      </w:tabs>
      <w:spacing w:before="60" w:after="60" w:line="360" w:lineRule="auto"/>
      <w:ind w:left="1134" w:hanging="414"/>
    </w:pPr>
  </w:style>
  <w:style w:type="character" w:customStyle="1" w:styleId="ParagrapheCar">
    <w:name w:val="Paragraphe Car"/>
    <w:link w:val="Paragraphe"/>
    <w:rsid w:val="00CC3EEB"/>
    <w:rPr>
      <w:rFonts w:ascii="Arial" w:hAnsi="Arial"/>
      <w:kern w:val="28"/>
      <w:sz w:val="24"/>
      <w:lang w:eastAsia="fr-FR"/>
    </w:rPr>
  </w:style>
  <w:style w:type="paragraph" w:styleId="Rvision">
    <w:name w:val="Revision"/>
    <w:hidden/>
    <w:uiPriority w:val="99"/>
    <w:semiHidden/>
    <w:rsid w:val="00CC3EEB"/>
    <w:rPr>
      <w:rFonts w:ascii="Arial" w:hAnsi="Arial"/>
      <w:sz w:val="24"/>
      <w:lang w:eastAsia="fr-FR"/>
    </w:rPr>
  </w:style>
  <w:style w:type="character" w:styleId="Lienvisit">
    <w:name w:val="FollowedHyperlink"/>
    <w:basedOn w:val="Policepardfaut"/>
    <w:uiPriority w:val="99"/>
    <w:semiHidden/>
    <w:unhideWhenUsed/>
    <w:rsid w:val="00CC3EEB"/>
    <w:rPr>
      <w:color w:val="954F72" w:themeColor="followedHyperlink"/>
      <w:u w:val="single"/>
    </w:rPr>
  </w:style>
  <w:style w:type="character" w:styleId="Mentionnonrsolue">
    <w:name w:val="Unresolved Mention"/>
    <w:basedOn w:val="Policepardfaut"/>
    <w:uiPriority w:val="99"/>
    <w:semiHidden/>
    <w:unhideWhenUsed/>
    <w:rsid w:val="00CC3EEB"/>
    <w:rPr>
      <w:color w:val="605E5C"/>
      <w:shd w:val="clear" w:color="auto" w:fill="E1DFDD"/>
    </w:rPr>
  </w:style>
  <w:style w:type="paragraph" w:customStyle="1" w:styleId="paragraphe0">
    <w:name w:val="paragraphe"/>
    <w:basedOn w:val="Normal"/>
    <w:rsid w:val="00CC3EEB"/>
    <w:pPr>
      <w:spacing w:before="100" w:beforeAutospacing="1" w:after="100" w:afterAutospacing="1" w:line="240" w:lineRule="auto"/>
    </w:pPr>
    <w:rPr>
      <w:rFonts w:ascii="Times New Roman" w:hAnsi="Times New Roman"/>
      <w:szCs w:val="24"/>
      <w:lang w:eastAsia="fr-CA"/>
    </w:rPr>
  </w:style>
  <w:style w:type="character" w:styleId="Marquedecommentaire">
    <w:name w:val="annotation reference"/>
    <w:basedOn w:val="Policepardfaut"/>
    <w:uiPriority w:val="99"/>
    <w:semiHidden/>
    <w:unhideWhenUsed/>
    <w:rsid w:val="00CC3EEB"/>
    <w:rPr>
      <w:sz w:val="16"/>
      <w:szCs w:val="16"/>
    </w:rPr>
  </w:style>
  <w:style w:type="paragraph" w:styleId="Commentaire">
    <w:name w:val="annotation text"/>
    <w:basedOn w:val="Normal"/>
    <w:link w:val="CommentaireCar"/>
    <w:uiPriority w:val="99"/>
    <w:unhideWhenUsed/>
    <w:rsid w:val="00CC3EEB"/>
    <w:pPr>
      <w:spacing w:line="240" w:lineRule="auto"/>
    </w:pPr>
    <w:rPr>
      <w:sz w:val="20"/>
    </w:rPr>
  </w:style>
  <w:style w:type="character" w:customStyle="1" w:styleId="CommentaireCar">
    <w:name w:val="Commentaire Car"/>
    <w:basedOn w:val="Policepardfaut"/>
    <w:link w:val="Commentaire"/>
    <w:uiPriority w:val="99"/>
    <w:rsid w:val="00CC3EEB"/>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CC3EEB"/>
    <w:rPr>
      <w:b/>
      <w:bCs/>
    </w:rPr>
  </w:style>
  <w:style w:type="character" w:customStyle="1" w:styleId="ObjetducommentaireCar">
    <w:name w:val="Objet du commentaire Car"/>
    <w:basedOn w:val="CommentaireCar"/>
    <w:link w:val="Objetducommentaire"/>
    <w:uiPriority w:val="99"/>
    <w:semiHidden/>
    <w:rsid w:val="00CC3EEB"/>
    <w:rPr>
      <w:rFonts w:ascii="Arial" w:hAnsi="Arial"/>
      <w:b/>
      <w:bCs/>
      <w:lang w:eastAsia="fr-FR"/>
    </w:rPr>
  </w:style>
  <w:style w:type="character" w:customStyle="1" w:styleId="bri22">
    <w:name w:val="bri22"/>
    <w:basedOn w:val="Policepardfaut"/>
    <w:rsid w:val="00FE4D6C"/>
    <w:rPr>
      <w:b/>
      <w:bCs/>
      <w:color w:val="CA72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8914</Words>
  <Characters>49030</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creator>Annie Morin</dc:creator>
  <cp:lastModifiedBy>Gauthier, François</cp:lastModifiedBy>
  <cp:revision>3</cp:revision>
  <cp:lastPrinted>2018-08-07T15:35:00Z</cp:lastPrinted>
  <dcterms:created xsi:type="dcterms:W3CDTF">2025-11-05T19:47:00Z</dcterms:created>
  <dcterms:modified xsi:type="dcterms:W3CDTF">2025-11-07T17:58:00Z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Cour">
    <vt:lpwstr>CA</vt:lpwstr>
  </property>
  <property fmtid="{D5CDD505-2E9C-101B-9397-08002B2CF9AE}" pid="3" name="Soquij_DateModification">
    <vt:lpwstr>04-26-2001</vt:lpwstr>
  </property>
  <property fmtid="{D5CDD505-2E9C-101B-9397-08002B2CF9AE}" pid="4" name="Soquij_Langue">
    <vt:lpwstr>Fra</vt:lpwstr>
  </property>
  <property fmtid="{D5CDD505-2E9C-101B-9397-08002B2CF9AE}" pid="5" name="Soquij_Modele">
    <vt:lpwstr>Edj</vt:lpwstr>
  </property>
  <property fmtid="{D5CDD505-2E9C-101B-9397-08002B2CF9AE}" pid="6" name="Soquij_ModifiePar">
    <vt:lpwstr>renste</vt:lpwstr>
  </property>
  <property fmtid="{D5CDD505-2E9C-101B-9397-08002B2CF9AE}" pid="7" name="Soquij_Version">
    <vt:lpwstr>1.6</vt:lpwstr>
  </property>
</Properties>
</file>