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A45FF" w14:textId="5C454507" w:rsidR="00554567" w:rsidRPr="001A67C2" w:rsidRDefault="00554567">
      <w:pPr>
        <w:rPr>
          <w:b/>
          <w:bCs/>
          <w:lang w:val="en-CA"/>
        </w:rPr>
      </w:pPr>
      <w:bookmarkStart w:id="0" w:name="lt_pId002"/>
      <w:bookmarkStart w:id="1" w:name="lt_pId003"/>
      <w:bookmarkStart w:id="2" w:name="lt_pId004"/>
      <w:bookmarkStart w:id="3" w:name="lt_pId005"/>
      <w:bookmarkStart w:id="4" w:name="lt_pId006"/>
      <w:bookmarkStart w:id="5" w:name="lt_pId007"/>
      <w:bookmarkStart w:id="6" w:name="lt_pId008"/>
      <w:bookmarkStart w:id="7" w:name="lt_pId009"/>
      <w:bookmarkStart w:id="8" w:name="lt_pId010"/>
      <w:bookmarkStart w:id="9" w:name="lt_pId011"/>
      <w:bookmarkStart w:id="10" w:name="lt_pId012"/>
      <w:bookmarkStart w:id="11" w:name="lt_pId013"/>
      <w:bookmarkStart w:id="12" w:name="lt_pId014"/>
      <w:bookmarkStart w:id="13" w:name="lt_pId015"/>
      <w:bookmarkStart w:id="14" w:name="lt_pId016"/>
      <w:bookmarkStart w:id="15" w:name="lt_pId017"/>
      <w:bookmarkStart w:id="16" w:name="lt_pId018"/>
      <w:bookmarkStart w:id="17" w:name="lt_pId019"/>
      <w:bookmarkStart w:id="18" w:name="lt_pId020"/>
      <w:bookmarkStart w:id="19" w:name="lt_pId021"/>
      <w:bookmarkStart w:id="20" w:name="lt_pId022"/>
      <w:bookmarkStart w:id="21" w:name="lt_pId023"/>
      <w:bookmarkStart w:id="22" w:name="lt_pId024"/>
      <w:bookmarkStart w:id="23" w:name="lt_pId025"/>
      <w:bookmarkStart w:id="24" w:name="lt_pId026"/>
      <w:bookmarkStart w:id="25" w:name="lt_pId027"/>
      <w:bookmarkStart w:id="26" w:name="lt_pId028"/>
      <w:bookmarkStart w:id="27" w:name="lt_pId029"/>
      <w:bookmarkStart w:id="28" w:name="lt_pId030"/>
      <w:bookmarkStart w:id="29" w:name="lt_pId031"/>
      <w:bookmarkStart w:id="30" w:name="lt_pId032"/>
      <w:bookmarkStart w:id="31" w:name="lt_pId033"/>
      <w:bookmarkStart w:id="32" w:name="lt_pId034"/>
      <w:bookmarkStart w:id="33" w:name="lt_pId035"/>
      <w:bookmarkStart w:id="34" w:name="lt_pId036"/>
      <w:bookmarkStart w:id="35" w:name="lt_pId037"/>
      <w:bookmarkStart w:id="36" w:name="lt_pId038"/>
      <w:bookmarkStart w:id="37" w:name="lt_pId039"/>
      <w:bookmarkStart w:id="38" w:name="lt_pId040"/>
      <w:bookmarkStart w:id="39" w:name="lt_pId041"/>
      <w:bookmarkStart w:id="40" w:name="lt_pId042"/>
      <w:bookmarkStart w:id="41" w:name="lt_pId043"/>
      <w:bookmarkStart w:id="42" w:name="lt_pId044"/>
      <w:bookmarkStart w:id="43" w:name="lt_pId045"/>
      <w:bookmarkStart w:id="44" w:name="lt_pId046"/>
      <w:bookmarkStart w:id="45" w:name="lt_pId047"/>
      <w:bookmarkStart w:id="46" w:name="lt_pId048"/>
      <w:bookmarkStart w:id="47" w:name="lt_pId049"/>
      <w:bookmarkStart w:id="48" w:name="lt_pId050"/>
      <w:bookmarkStart w:id="49" w:name="lt_pId051"/>
      <w:bookmarkStart w:id="50" w:name="lt_pId052"/>
      <w:bookmarkStart w:id="51" w:name="lt_pId053"/>
      <w:bookmarkStart w:id="52" w:name="lt_pId054"/>
      <w:bookmarkStart w:id="53" w:name="lt_pId055"/>
      <w:bookmarkStart w:id="54" w:name="lt_pId056"/>
      <w:bookmarkStart w:id="55" w:name="lt_pId057"/>
      <w:bookmarkStart w:id="56" w:name="lt_pId058"/>
      <w:bookmarkStart w:id="57" w:name="lt_pId059"/>
      <w:bookmarkStart w:id="58" w:name="lt_pId060"/>
      <w:bookmarkStart w:id="59" w:name="lt_pId061"/>
      <w:bookmarkStart w:id="60" w:name="lt_pId062"/>
      <w:bookmarkStart w:id="61" w:name="lt_pId063"/>
      <w:bookmarkStart w:id="62" w:name="lt_pId064"/>
      <w:bookmarkStart w:id="63" w:name="lt_pId065"/>
      <w:bookmarkStart w:id="64" w:name="lt_pId066"/>
      <w:bookmarkStart w:id="65" w:name="lt_pId067"/>
      <w:bookmarkStart w:id="66" w:name="lt_pId068"/>
      <w:bookmarkStart w:id="67" w:name="lt_pId069"/>
      <w:bookmarkStart w:id="68" w:name="lt_pId070"/>
      <w:bookmarkStart w:id="69" w:name="lt_pId071"/>
      <w:bookmarkStart w:id="70" w:name="lt_pId072"/>
      <w:bookmarkStart w:id="71" w:name="lt_pId073"/>
      <w:bookmarkStart w:id="72" w:name="lt_pId074"/>
      <w:bookmarkStart w:id="73" w:name="lt_pId075"/>
      <w:bookmarkStart w:id="74" w:name="lt_pId076"/>
      <w:bookmarkStart w:id="75" w:name="lt_pId077"/>
      <w:bookmarkStart w:id="76" w:name="lt_pId078"/>
      <w:bookmarkStart w:id="77" w:name="lt_pId079"/>
      <w:bookmarkStart w:id="78" w:name="lt_pId080"/>
      <w:bookmarkStart w:id="79" w:name="lt_pId081"/>
      <w:bookmarkStart w:id="80" w:name="lt_pId082"/>
      <w:bookmarkStart w:id="81" w:name="lt_pId083"/>
      <w:bookmarkStart w:id="82" w:name="lt_pId084"/>
      <w:bookmarkStart w:id="83" w:name="lt_pId085"/>
      <w:bookmarkStart w:id="84" w:name="lt_pId086"/>
      <w:bookmarkStart w:id="85" w:name="lt_pId087"/>
      <w:bookmarkStart w:id="86" w:name="lt_pId088"/>
      <w:bookmarkStart w:id="87" w:name="lt_pId089"/>
      <w:bookmarkStart w:id="88" w:name="lt_pId090"/>
      <w:bookmarkStart w:id="89" w:name="lt_pId091"/>
      <w:bookmarkStart w:id="90" w:name="lt_pId092"/>
      <w:bookmarkStart w:id="91" w:name="lt_pId093"/>
      <w:bookmarkStart w:id="92" w:name="lt_pId094"/>
      <w:bookmarkStart w:id="93" w:name="lt_pId095"/>
      <w:bookmarkStart w:id="94" w:name="lt_pId096"/>
      <w:bookmarkStart w:id="95" w:name="lt_pId097"/>
      <w:bookmarkStart w:id="96" w:name="lt_pId098"/>
      <w:bookmarkStart w:id="97" w:name="lt_pId099"/>
      <w:bookmarkStart w:id="98" w:name="lt_pId100"/>
      <w:bookmarkStart w:id="99" w:name="lt_pId101"/>
      <w:bookmarkStart w:id="100" w:name="lt_pId102"/>
      <w:bookmarkStart w:id="101" w:name="lt_pId103"/>
      <w:bookmarkStart w:id="102" w:name="lt_pId104"/>
      <w:bookmarkStart w:id="103" w:name="lt_pId105"/>
      <w:bookmarkStart w:id="104" w:name="lt_pId106"/>
      <w:bookmarkStart w:id="105" w:name="lt_pId107"/>
      <w:bookmarkStart w:id="106" w:name="lt_pId108"/>
      <w:bookmarkStart w:id="107" w:name="lt_pId109"/>
      <w:bookmarkStart w:id="108" w:name="lt_pId110"/>
      <w:bookmarkStart w:id="109" w:name="lt_pId111"/>
      <w:bookmarkStart w:id="110" w:name="lt_pId112"/>
      <w:bookmarkStart w:id="111" w:name="lt_pId113"/>
      <w:bookmarkStart w:id="112" w:name="lt_pId114"/>
      <w:bookmarkStart w:id="113" w:name="lt_pId115"/>
      <w:bookmarkStart w:id="114" w:name="lt_pId116"/>
      <w:bookmarkStart w:id="115" w:name="lt_pId117"/>
      <w:bookmarkStart w:id="116" w:name="lt_pId118"/>
      <w:bookmarkStart w:id="117" w:name="lt_pId119"/>
      <w:bookmarkStart w:id="118" w:name="lt_pId12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r w:rsidRPr="001A67C2">
        <w:rPr>
          <w:b/>
          <w:bCs/>
          <w:lang w:val="en-CA"/>
        </w:rPr>
        <w:t>English translation of the judgment of the Court by SOQUIJ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630"/>
        <w:gridCol w:w="6444"/>
        <w:gridCol w:w="2196"/>
      </w:tblGrid>
      <w:tr w:rsidR="006C29E1" w:rsidRPr="001A67C2" w14:paraId="7E4140ED" w14:textId="77777777" w:rsidTr="00A34B32">
        <w:tc>
          <w:tcPr>
            <w:tcW w:w="7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BC3A3" w14:textId="379DCA12" w:rsidR="00DF7D37" w:rsidRPr="001A67C2" w:rsidRDefault="00C5423B" w:rsidP="00BA4272">
            <w:pPr>
              <w:pStyle w:val="zSoquijdatRepertorie"/>
              <w:rPr>
                <w:lang w:val="en-CA"/>
              </w:rPr>
            </w:pPr>
            <w:r w:rsidRPr="001A67C2">
              <w:rPr>
                <w:lang w:val="en-CA"/>
              </w:rPr>
              <w:t>LSJPA — 258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6A1D39DA" w14:textId="3AEB72EF" w:rsidR="00DF7D37" w:rsidRPr="001A67C2" w:rsidRDefault="00C5423B" w:rsidP="00140750">
            <w:pPr>
              <w:pStyle w:val="zSoquijdatRefNeutre"/>
              <w:jc w:val="right"/>
              <w:rPr>
                <w:lang w:val="en-CA"/>
              </w:rPr>
            </w:pPr>
            <w:r w:rsidRPr="001A67C2">
              <w:rPr>
                <w:lang w:val="en-CA"/>
              </w:rPr>
              <w:t>2025 QCCA 266</w:t>
            </w:r>
          </w:p>
        </w:tc>
      </w:tr>
      <w:tr w:rsidR="006C29E1" w:rsidRPr="001A67C2" w14:paraId="6CD3F722" w14:textId="77777777" w:rsidTr="00A34B32">
        <w:tc>
          <w:tcPr>
            <w:tcW w:w="9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E888C6" w14:textId="20BF257E" w:rsidR="00DF7D37" w:rsidRPr="001A67C2" w:rsidRDefault="0029145F" w:rsidP="00C02B72">
            <w:pPr>
              <w:pStyle w:val="zSoquijlblCour"/>
              <w:rPr>
                <w:lang w:val="en-CA"/>
              </w:rPr>
            </w:pPr>
            <w:r w:rsidRPr="001A67C2">
              <w:rPr>
                <w:lang w:val="en-CA"/>
              </w:rPr>
              <w:t>COURT OF APPEAL</w:t>
            </w:r>
          </w:p>
        </w:tc>
      </w:tr>
      <w:tr w:rsidR="006C29E1" w:rsidRPr="001A67C2" w14:paraId="3E4CBBE4" w14:textId="77777777" w:rsidTr="00A34B32">
        <w:tc>
          <w:tcPr>
            <w:tcW w:w="9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F3428B" w14:textId="7991708E" w:rsidR="00DF7D37" w:rsidRPr="001A67C2" w:rsidRDefault="00C5423B" w:rsidP="00447A05">
            <w:pPr>
              <w:pStyle w:val="zSoquijlblPays"/>
              <w:rPr>
                <w:lang w:val="en-CA"/>
              </w:rPr>
            </w:pPr>
            <w:r w:rsidRPr="001A67C2">
              <w:rPr>
                <w:lang w:val="en-CA"/>
              </w:rPr>
              <w:t>CANADA</w:t>
            </w:r>
          </w:p>
        </w:tc>
      </w:tr>
      <w:tr w:rsidR="006C29E1" w:rsidRPr="001A67C2" w14:paraId="66A92B33" w14:textId="77777777" w:rsidTr="00A34B32">
        <w:tc>
          <w:tcPr>
            <w:tcW w:w="9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5FEA37" w14:textId="32E2E3F3" w:rsidR="00DF7D37" w:rsidRPr="001A67C2" w:rsidRDefault="00554567" w:rsidP="00447A05">
            <w:pPr>
              <w:pStyle w:val="zSoquijlblProvince"/>
              <w:rPr>
                <w:lang w:val="en-CA"/>
              </w:rPr>
            </w:pPr>
            <w:r w:rsidRPr="001A67C2">
              <w:rPr>
                <w:lang w:val="en-CA"/>
              </w:rPr>
              <w:t>PROVINCE OF QUEBEC</w:t>
            </w:r>
          </w:p>
        </w:tc>
      </w:tr>
      <w:tr w:rsidR="007D5166" w:rsidRPr="001A67C2" w14:paraId="15BA2F03" w14:textId="77777777" w:rsidTr="00172DE0">
        <w:tc>
          <w:tcPr>
            <w:tcW w:w="9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C925C1" w14:textId="53E40705" w:rsidR="007D5166" w:rsidRPr="001A67C2" w:rsidRDefault="007D5166" w:rsidP="007D5166">
            <w:pPr>
              <w:pStyle w:val="zSoquijlblGreffe"/>
              <w:rPr>
                <w:lang w:val="en-CA"/>
              </w:rPr>
            </w:pPr>
            <w:bookmarkStart w:id="119" w:name="District_2"/>
            <w:r w:rsidRPr="001A67C2">
              <w:rPr>
                <w:lang w:val="en-CA"/>
              </w:rPr>
              <w:t>MONTREAL</w:t>
            </w:r>
            <w:bookmarkEnd w:id="119"/>
            <w:r w:rsidRPr="001A67C2">
              <w:rPr>
                <w:lang w:val="en-CA"/>
              </w:rPr>
              <w:t xml:space="preserve"> SEAT</w:t>
            </w:r>
          </w:p>
        </w:tc>
      </w:tr>
      <w:tr w:rsidR="006C29E1" w:rsidRPr="001A67C2" w14:paraId="1343B8B2" w14:textId="77777777" w:rsidTr="00A34B32">
        <w:tc>
          <w:tcPr>
            <w:tcW w:w="9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3E2CA6" w14:textId="77777777" w:rsidR="00F55CD4" w:rsidRPr="001A67C2" w:rsidRDefault="00F55CD4" w:rsidP="002C7179">
            <w:pPr>
              <w:ind w:left="-108"/>
              <w:rPr>
                <w:lang w:val="en-CA"/>
              </w:rPr>
            </w:pPr>
          </w:p>
        </w:tc>
      </w:tr>
      <w:tr w:rsidR="006C29E1" w:rsidRPr="001A67C2" w14:paraId="0EA2108F" w14:textId="77777777" w:rsidTr="00392DCA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9167D30" w14:textId="67B56AFC" w:rsidR="00803B9C" w:rsidRPr="001A67C2" w:rsidRDefault="007D5166" w:rsidP="00392DCA">
            <w:pPr>
              <w:pStyle w:val="zSoquijlblNoDossier"/>
              <w:ind w:left="-108"/>
              <w:rPr>
                <w:lang w:val="en-CA"/>
              </w:rPr>
            </w:pPr>
            <w:r w:rsidRPr="001A67C2">
              <w:rPr>
                <w:lang w:val="en-CA"/>
              </w:rPr>
              <w:t>No.:</w:t>
            </w:r>
            <w:r w:rsidR="00C5423B" w:rsidRPr="001A67C2">
              <w:rPr>
                <w:lang w:val="en-CA"/>
              </w:rPr>
              <w:t xml:space="preserve">  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E2AF0" w14:textId="67A3B19E" w:rsidR="00803B9C" w:rsidRPr="001A67C2" w:rsidRDefault="00C5423B" w:rsidP="00392DCA">
            <w:pPr>
              <w:pStyle w:val="zSoquijdatNoDossier"/>
              <w:rPr>
                <w:lang w:val="en-CA"/>
              </w:rPr>
            </w:pPr>
            <w:bookmarkStart w:id="120" w:name="NoDossier"/>
            <w:r w:rsidRPr="001A67C2">
              <w:rPr>
                <w:lang w:val="en-CA"/>
              </w:rPr>
              <w:t>500-08-000578-247</w:t>
            </w:r>
            <w:bookmarkEnd w:id="120"/>
          </w:p>
        </w:tc>
      </w:tr>
      <w:tr w:rsidR="006C29E1" w:rsidRPr="001A67C2" w14:paraId="4FF41692" w14:textId="77777777" w:rsidTr="00A34B32">
        <w:tc>
          <w:tcPr>
            <w:tcW w:w="9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F1E53C" w14:textId="1B752718" w:rsidR="00EC57E1" w:rsidRPr="001A67C2" w:rsidRDefault="00C5423B" w:rsidP="00392DCA">
            <w:pPr>
              <w:pStyle w:val="zSoquijdatNoDossierAnt"/>
              <w:rPr>
                <w:lang w:val="en-CA"/>
              </w:rPr>
            </w:pPr>
            <w:r w:rsidRPr="001A67C2">
              <w:rPr>
                <w:lang w:val="en-CA"/>
              </w:rPr>
              <w:t xml:space="preserve">        (</w:t>
            </w:r>
            <w:bookmarkStart w:id="121" w:name="DossierAnt"/>
            <w:r w:rsidR="000363CF" w:rsidRPr="001A67C2">
              <w:rPr>
                <w:lang w:val="en-CA"/>
              </w:rPr>
              <w:t>525-03-070675-228</w:t>
            </w:r>
            <w:bookmarkEnd w:id="121"/>
            <w:r w:rsidRPr="001A67C2">
              <w:rPr>
                <w:lang w:val="en-CA"/>
              </w:rPr>
              <w:t>)</w:t>
            </w:r>
          </w:p>
        </w:tc>
      </w:tr>
      <w:tr w:rsidR="006C29E1" w:rsidRPr="001A67C2" w14:paraId="7B571BDF" w14:textId="77777777" w:rsidTr="00A34B32">
        <w:tc>
          <w:tcPr>
            <w:tcW w:w="92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11BB9C" w14:textId="77777777" w:rsidR="00EC57E1" w:rsidRPr="001A67C2" w:rsidRDefault="00EC57E1">
            <w:pPr>
              <w:rPr>
                <w:lang w:val="en-CA"/>
              </w:rPr>
            </w:pPr>
          </w:p>
        </w:tc>
      </w:tr>
      <w:tr w:rsidR="006C29E1" w:rsidRPr="001A67C2" w14:paraId="538FCB70" w14:textId="77777777" w:rsidTr="00A34B32">
        <w:tc>
          <w:tcPr>
            <w:tcW w:w="9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F9F099" w14:textId="77777777" w:rsidR="00EC57E1" w:rsidRPr="001A67C2" w:rsidRDefault="00EC57E1">
            <w:pPr>
              <w:rPr>
                <w:lang w:val="en-CA"/>
              </w:rPr>
            </w:pPr>
          </w:p>
        </w:tc>
      </w:tr>
      <w:tr w:rsidR="006C29E1" w:rsidRPr="001A67C2" w14:paraId="5F5189AF" w14:textId="77777777" w:rsidTr="00A34B32">
        <w:tc>
          <w:tcPr>
            <w:tcW w:w="9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A7BEDB" w14:textId="6CB5D760" w:rsidR="00EC57E1" w:rsidRPr="001A67C2" w:rsidRDefault="00905FE1" w:rsidP="00A8271F">
            <w:pPr>
              <w:pStyle w:val="zSoquijlblTypeDocument"/>
              <w:rPr>
                <w:lang w:val="en-CA"/>
              </w:rPr>
            </w:pPr>
            <w:r w:rsidRPr="001A67C2">
              <w:rPr>
                <w:lang w:val="en-CA"/>
              </w:rPr>
              <w:t>MINUTES OF HEARING</w:t>
            </w:r>
          </w:p>
        </w:tc>
      </w:tr>
      <w:tr w:rsidR="006C29E1" w:rsidRPr="001A67C2" w14:paraId="7BF86957" w14:textId="77777777" w:rsidTr="00A34B32">
        <w:tc>
          <w:tcPr>
            <w:tcW w:w="92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19406" w14:textId="77777777" w:rsidR="00EC57E1" w:rsidRPr="001A67C2" w:rsidRDefault="00EC57E1">
            <w:pPr>
              <w:rPr>
                <w:lang w:val="en-CA"/>
              </w:rPr>
            </w:pPr>
          </w:p>
        </w:tc>
      </w:tr>
    </w:tbl>
    <w:p w14:paraId="36C5C6EC" w14:textId="0B4CB475" w:rsidR="00887EEB" w:rsidRPr="001A67C2" w:rsidRDefault="00887EEB" w:rsidP="00887EEB">
      <w:pPr>
        <w:tabs>
          <w:tab w:val="left" w:pos="630"/>
        </w:tabs>
        <w:spacing w:line="240" w:lineRule="auto"/>
        <w:jc w:val="both"/>
        <w:rPr>
          <w:rFonts w:cs="Arial"/>
          <w:szCs w:val="24"/>
          <w:lang w:val="en-CA"/>
        </w:rPr>
      </w:pPr>
    </w:p>
    <w:p w14:paraId="10A3A6B6" w14:textId="46C9B40B" w:rsidR="000949A6" w:rsidRPr="001A67C2" w:rsidRDefault="00FB1BE6" w:rsidP="00887EEB">
      <w:pPr>
        <w:tabs>
          <w:tab w:val="left" w:pos="630"/>
        </w:tabs>
        <w:spacing w:line="240" w:lineRule="auto"/>
        <w:jc w:val="both"/>
        <w:rPr>
          <w:rFonts w:cs="Arial"/>
          <w:szCs w:val="24"/>
          <w:lang w:val="en-CA"/>
        </w:rPr>
      </w:pPr>
      <w:r w:rsidRPr="00C465BE">
        <w:rPr>
          <w:rFonts w:cs="Arial"/>
          <w:b/>
          <w:bCs/>
          <w:szCs w:val="24"/>
          <w:u w:val="single"/>
          <w:lang w:val="en-CA"/>
        </w:rPr>
        <w:t>WARNING</w:t>
      </w:r>
      <w:r w:rsidR="00C5423B" w:rsidRPr="001A67C2">
        <w:rPr>
          <w:rFonts w:cs="Arial"/>
          <w:b/>
          <w:bCs/>
          <w:szCs w:val="24"/>
          <w:lang w:val="en-CA"/>
        </w:rPr>
        <w:t xml:space="preserve"> </w:t>
      </w:r>
      <w:r w:rsidR="00A63387" w:rsidRPr="001A67C2">
        <w:rPr>
          <w:rFonts w:cs="Arial"/>
          <w:b/>
          <w:bCs/>
          <w:szCs w:val="24"/>
          <w:lang w:val="en-CA"/>
        </w:rPr>
        <w:t xml:space="preserve">– </w:t>
      </w:r>
      <w:r w:rsidR="00973451">
        <w:rPr>
          <w:rFonts w:cs="Arial"/>
          <w:b/>
          <w:bCs/>
          <w:szCs w:val="24"/>
          <w:lang w:val="en-CA"/>
        </w:rPr>
        <w:t>P</w:t>
      </w:r>
      <w:r w:rsidR="00220F35" w:rsidRPr="001A67C2">
        <w:rPr>
          <w:rFonts w:cs="Arial"/>
          <w:b/>
          <w:bCs/>
          <w:szCs w:val="24"/>
          <w:lang w:val="en-CA"/>
        </w:rPr>
        <w:t>ublication ban:</w:t>
      </w:r>
      <w:r w:rsidR="00C5423B" w:rsidRPr="001A67C2">
        <w:rPr>
          <w:rFonts w:cs="Arial"/>
          <w:b/>
          <w:bCs/>
          <w:szCs w:val="24"/>
          <w:lang w:val="en-CA"/>
        </w:rPr>
        <w:t xml:space="preserve"> </w:t>
      </w:r>
      <w:r w:rsidR="00DB055A">
        <w:rPr>
          <w:rFonts w:cs="Arial"/>
          <w:b/>
          <w:bCs/>
          <w:szCs w:val="24"/>
          <w:lang w:val="en-CA"/>
        </w:rPr>
        <w:t>T</w:t>
      </w:r>
      <w:r w:rsidR="00AA4000" w:rsidRPr="001A67C2">
        <w:rPr>
          <w:rFonts w:cs="Arial"/>
          <w:b/>
          <w:bCs/>
          <w:szCs w:val="24"/>
          <w:lang w:val="en-CA"/>
        </w:rPr>
        <w:t xml:space="preserve">he </w:t>
      </w:r>
      <w:r w:rsidR="00AA4000" w:rsidRPr="001A67C2">
        <w:rPr>
          <w:rFonts w:cs="Arial"/>
          <w:b/>
          <w:bCs/>
          <w:i/>
          <w:iCs/>
          <w:szCs w:val="24"/>
          <w:lang w:val="en-CA"/>
        </w:rPr>
        <w:t>Youth Criminal Justice Act</w:t>
      </w:r>
      <w:r w:rsidR="00AA4000" w:rsidRPr="001A67C2">
        <w:rPr>
          <w:rFonts w:cs="Arial"/>
          <w:b/>
          <w:bCs/>
          <w:szCs w:val="24"/>
          <w:lang w:val="en-CA"/>
        </w:rPr>
        <w:t xml:space="preserve"> (</w:t>
      </w:r>
      <w:r w:rsidR="003F32D8">
        <w:rPr>
          <w:rFonts w:cs="Arial"/>
          <w:b/>
          <w:bCs/>
          <w:szCs w:val="24"/>
          <w:lang w:val="en-CA"/>
        </w:rPr>
        <w:t>“</w:t>
      </w:r>
      <w:r w:rsidR="00AA4000" w:rsidRPr="001A67C2">
        <w:rPr>
          <w:rFonts w:cs="Arial"/>
          <w:b/>
          <w:bCs/>
          <w:i/>
          <w:iCs/>
          <w:szCs w:val="24"/>
          <w:lang w:val="en-CA"/>
        </w:rPr>
        <w:t>Y</w:t>
      </w:r>
      <w:r w:rsidR="003F32D8">
        <w:rPr>
          <w:rFonts w:cs="Arial"/>
          <w:b/>
          <w:bCs/>
          <w:i/>
          <w:iCs/>
          <w:szCs w:val="24"/>
          <w:lang w:val="en-CA"/>
        </w:rPr>
        <w:t>.</w:t>
      </w:r>
      <w:r w:rsidR="00AA4000" w:rsidRPr="001A67C2">
        <w:rPr>
          <w:rFonts w:cs="Arial"/>
          <w:b/>
          <w:bCs/>
          <w:i/>
          <w:iCs/>
          <w:szCs w:val="24"/>
          <w:lang w:val="en-CA"/>
        </w:rPr>
        <w:t>C</w:t>
      </w:r>
      <w:r w:rsidR="003F32D8">
        <w:rPr>
          <w:rFonts w:cs="Arial"/>
          <w:b/>
          <w:bCs/>
          <w:i/>
          <w:iCs/>
          <w:szCs w:val="24"/>
          <w:lang w:val="en-CA"/>
        </w:rPr>
        <w:t>.</w:t>
      </w:r>
      <w:r w:rsidR="00AA4000" w:rsidRPr="001A67C2">
        <w:rPr>
          <w:rFonts w:cs="Arial"/>
          <w:b/>
          <w:bCs/>
          <w:i/>
          <w:iCs/>
          <w:szCs w:val="24"/>
          <w:lang w:val="en-CA"/>
        </w:rPr>
        <w:t>J</w:t>
      </w:r>
      <w:r w:rsidR="003F32D8">
        <w:rPr>
          <w:rFonts w:cs="Arial"/>
          <w:b/>
          <w:bCs/>
          <w:i/>
          <w:iCs/>
          <w:szCs w:val="24"/>
          <w:lang w:val="en-CA"/>
        </w:rPr>
        <w:t>.</w:t>
      </w:r>
      <w:r w:rsidR="00AA4000" w:rsidRPr="001A67C2">
        <w:rPr>
          <w:rFonts w:cs="Arial"/>
          <w:b/>
          <w:bCs/>
          <w:i/>
          <w:iCs/>
          <w:szCs w:val="24"/>
          <w:lang w:val="en-CA"/>
        </w:rPr>
        <w:t>A</w:t>
      </w:r>
      <w:r w:rsidR="003F32D8">
        <w:rPr>
          <w:rFonts w:cs="Arial"/>
          <w:b/>
          <w:bCs/>
          <w:i/>
          <w:iCs/>
          <w:szCs w:val="24"/>
          <w:lang w:val="en-CA"/>
        </w:rPr>
        <w:t>.</w:t>
      </w:r>
      <w:r w:rsidR="003F32D8" w:rsidRPr="00B3131D">
        <w:rPr>
          <w:rFonts w:cs="Arial"/>
          <w:b/>
          <w:bCs/>
          <w:szCs w:val="24"/>
          <w:lang w:val="en-CA"/>
        </w:rPr>
        <w:t>”</w:t>
      </w:r>
      <w:r w:rsidR="00AA4000" w:rsidRPr="001A67C2">
        <w:rPr>
          <w:rFonts w:cs="Arial"/>
          <w:b/>
          <w:bCs/>
          <w:szCs w:val="24"/>
          <w:lang w:val="en-CA"/>
        </w:rPr>
        <w:t xml:space="preserve">) provides that no person shall publish the name of a child or young person, or any other information related to a child or young person, if it would identify the child or young person as having been dealt with under that </w:t>
      </w:r>
      <w:r w:rsidR="00AA4000" w:rsidRPr="001A67C2">
        <w:rPr>
          <w:rFonts w:cs="Arial"/>
          <w:b/>
          <w:bCs/>
          <w:i/>
          <w:iCs/>
          <w:szCs w:val="24"/>
          <w:lang w:val="en-CA"/>
        </w:rPr>
        <w:t>Act</w:t>
      </w:r>
      <w:r w:rsidR="00AA4000" w:rsidRPr="001A67C2">
        <w:rPr>
          <w:rFonts w:cs="Arial"/>
          <w:b/>
          <w:bCs/>
          <w:szCs w:val="24"/>
          <w:lang w:val="en-CA"/>
        </w:rPr>
        <w:t xml:space="preserve"> or as having been a victim of, or as having appeared as a witness in connection with, an offence committed or alleged to have been committed by a young person, unless ordered or authorized by the Court (</w:t>
      </w:r>
      <w:r w:rsidR="00DB055A">
        <w:rPr>
          <w:rFonts w:cs="Arial"/>
          <w:b/>
          <w:bCs/>
          <w:szCs w:val="24"/>
          <w:lang w:val="en-CA"/>
        </w:rPr>
        <w:t>ss.</w:t>
      </w:r>
      <w:r w:rsidR="00DB055A" w:rsidRPr="001A67C2">
        <w:rPr>
          <w:rFonts w:cs="Arial"/>
          <w:b/>
          <w:bCs/>
          <w:szCs w:val="24"/>
          <w:lang w:val="en-CA"/>
        </w:rPr>
        <w:t xml:space="preserve"> </w:t>
      </w:r>
      <w:r w:rsidR="00AA4000" w:rsidRPr="001A67C2">
        <w:rPr>
          <w:rFonts w:cs="Arial"/>
          <w:b/>
          <w:bCs/>
          <w:szCs w:val="24"/>
          <w:lang w:val="en-CA"/>
        </w:rPr>
        <w:t xml:space="preserve">110(1) and 111(1) </w:t>
      </w:r>
      <w:r w:rsidR="00AA4000" w:rsidRPr="001A67C2">
        <w:rPr>
          <w:rFonts w:cs="Arial"/>
          <w:b/>
          <w:bCs/>
          <w:i/>
          <w:iCs/>
          <w:szCs w:val="24"/>
          <w:lang w:val="en-CA"/>
        </w:rPr>
        <w:t>Y</w:t>
      </w:r>
      <w:r w:rsidR="00DB055A">
        <w:rPr>
          <w:rFonts w:cs="Arial"/>
          <w:b/>
          <w:bCs/>
          <w:i/>
          <w:iCs/>
          <w:szCs w:val="24"/>
          <w:lang w:val="en-CA"/>
        </w:rPr>
        <w:t>.</w:t>
      </w:r>
      <w:r w:rsidR="00AA4000" w:rsidRPr="001A67C2">
        <w:rPr>
          <w:rFonts w:cs="Arial"/>
          <w:b/>
          <w:bCs/>
          <w:i/>
          <w:iCs/>
          <w:szCs w:val="24"/>
          <w:lang w:val="en-CA"/>
        </w:rPr>
        <w:t>C</w:t>
      </w:r>
      <w:r w:rsidR="00DB055A">
        <w:rPr>
          <w:rFonts w:cs="Arial"/>
          <w:b/>
          <w:bCs/>
          <w:i/>
          <w:iCs/>
          <w:szCs w:val="24"/>
          <w:lang w:val="en-CA"/>
        </w:rPr>
        <w:t>.</w:t>
      </w:r>
      <w:r w:rsidR="00AA4000" w:rsidRPr="001A67C2">
        <w:rPr>
          <w:rFonts w:cs="Arial"/>
          <w:b/>
          <w:bCs/>
          <w:i/>
          <w:iCs/>
          <w:szCs w:val="24"/>
          <w:lang w:val="en-CA"/>
        </w:rPr>
        <w:t>J</w:t>
      </w:r>
      <w:r w:rsidR="00DB055A">
        <w:rPr>
          <w:rFonts w:cs="Arial"/>
          <w:b/>
          <w:bCs/>
          <w:i/>
          <w:iCs/>
          <w:szCs w:val="24"/>
          <w:lang w:val="en-CA"/>
        </w:rPr>
        <w:t>.</w:t>
      </w:r>
      <w:r w:rsidR="00AA4000" w:rsidRPr="001A67C2">
        <w:rPr>
          <w:rFonts w:cs="Arial"/>
          <w:b/>
          <w:bCs/>
          <w:i/>
          <w:iCs/>
          <w:szCs w:val="24"/>
          <w:lang w:val="en-CA"/>
        </w:rPr>
        <w:t>A</w:t>
      </w:r>
      <w:r w:rsidR="00DB055A">
        <w:rPr>
          <w:rFonts w:cs="Arial"/>
          <w:b/>
          <w:bCs/>
          <w:i/>
          <w:iCs/>
          <w:szCs w:val="24"/>
          <w:lang w:val="en-CA"/>
        </w:rPr>
        <w:t>.</w:t>
      </w:r>
      <w:r w:rsidR="00AA4000" w:rsidRPr="001A67C2">
        <w:rPr>
          <w:rFonts w:cs="Arial"/>
          <w:b/>
          <w:bCs/>
          <w:szCs w:val="24"/>
          <w:lang w:val="en-CA"/>
        </w:rPr>
        <w:t>).</w:t>
      </w:r>
      <w:r w:rsidR="00C5423B" w:rsidRPr="001A67C2">
        <w:rPr>
          <w:rFonts w:cs="Arial"/>
          <w:b/>
          <w:bCs/>
          <w:szCs w:val="24"/>
          <w:lang w:val="en-CA"/>
        </w:rPr>
        <w:t xml:space="preserve"> </w:t>
      </w:r>
      <w:r w:rsidR="00A63387" w:rsidRPr="001A67C2">
        <w:rPr>
          <w:rFonts w:cs="Arial"/>
          <w:b/>
          <w:bCs/>
          <w:szCs w:val="24"/>
          <w:lang w:val="en-CA"/>
        </w:rPr>
        <w:t>Every person who contravenes these provisions is liable to criminal prosecution (</w:t>
      </w:r>
      <w:r w:rsidR="003F32D8">
        <w:rPr>
          <w:rFonts w:cs="Arial"/>
          <w:b/>
          <w:bCs/>
          <w:szCs w:val="24"/>
          <w:lang w:val="en-CA"/>
        </w:rPr>
        <w:t>s.</w:t>
      </w:r>
      <w:r w:rsidR="003F32D8" w:rsidRPr="001A67C2">
        <w:rPr>
          <w:rFonts w:cs="Arial"/>
          <w:b/>
          <w:bCs/>
          <w:szCs w:val="24"/>
          <w:lang w:val="en-CA"/>
        </w:rPr>
        <w:t xml:space="preserve"> </w:t>
      </w:r>
      <w:r w:rsidR="00A63387" w:rsidRPr="001A67C2">
        <w:rPr>
          <w:rFonts w:cs="Arial"/>
          <w:b/>
          <w:bCs/>
          <w:szCs w:val="24"/>
          <w:lang w:val="en-CA"/>
        </w:rPr>
        <w:t xml:space="preserve">138 </w:t>
      </w:r>
      <w:r w:rsidR="00A63387" w:rsidRPr="001A67C2">
        <w:rPr>
          <w:rFonts w:cs="Arial"/>
          <w:b/>
          <w:bCs/>
          <w:i/>
          <w:iCs/>
          <w:szCs w:val="24"/>
          <w:lang w:val="en-CA"/>
        </w:rPr>
        <w:t>Y</w:t>
      </w:r>
      <w:r w:rsidR="003F32D8">
        <w:rPr>
          <w:rFonts w:cs="Arial"/>
          <w:b/>
          <w:bCs/>
          <w:i/>
          <w:iCs/>
          <w:szCs w:val="24"/>
          <w:lang w:val="en-CA"/>
        </w:rPr>
        <w:t>.</w:t>
      </w:r>
      <w:r w:rsidR="00A63387" w:rsidRPr="001A67C2">
        <w:rPr>
          <w:rFonts w:cs="Arial"/>
          <w:b/>
          <w:bCs/>
          <w:i/>
          <w:iCs/>
          <w:szCs w:val="24"/>
          <w:lang w:val="en-CA"/>
        </w:rPr>
        <w:t>C</w:t>
      </w:r>
      <w:r w:rsidR="003F32D8">
        <w:rPr>
          <w:rFonts w:cs="Arial"/>
          <w:b/>
          <w:bCs/>
          <w:i/>
          <w:iCs/>
          <w:szCs w:val="24"/>
          <w:lang w:val="en-CA"/>
        </w:rPr>
        <w:t>.</w:t>
      </w:r>
      <w:r w:rsidR="00A63387" w:rsidRPr="001A67C2">
        <w:rPr>
          <w:rFonts w:cs="Arial"/>
          <w:b/>
          <w:bCs/>
          <w:i/>
          <w:iCs/>
          <w:szCs w:val="24"/>
          <w:lang w:val="en-CA"/>
        </w:rPr>
        <w:t>J</w:t>
      </w:r>
      <w:r w:rsidR="003F32D8">
        <w:rPr>
          <w:rFonts w:cs="Arial"/>
          <w:b/>
          <w:bCs/>
          <w:i/>
          <w:iCs/>
          <w:szCs w:val="24"/>
          <w:lang w:val="en-CA"/>
        </w:rPr>
        <w:t>.</w:t>
      </w:r>
      <w:r w:rsidR="00A63387" w:rsidRPr="001A67C2">
        <w:rPr>
          <w:rFonts w:cs="Arial"/>
          <w:b/>
          <w:bCs/>
          <w:i/>
          <w:iCs/>
          <w:szCs w:val="24"/>
          <w:lang w:val="en-CA"/>
        </w:rPr>
        <w:t>A</w:t>
      </w:r>
      <w:r w:rsidR="003F32D8">
        <w:rPr>
          <w:rFonts w:cs="Arial"/>
          <w:b/>
          <w:bCs/>
          <w:i/>
          <w:iCs/>
          <w:szCs w:val="24"/>
          <w:lang w:val="en-CA"/>
        </w:rPr>
        <w:t>.</w:t>
      </w:r>
      <w:r w:rsidR="00A63387" w:rsidRPr="001A67C2">
        <w:rPr>
          <w:rFonts w:cs="Arial"/>
          <w:b/>
          <w:bCs/>
          <w:szCs w:val="24"/>
          <w:lang w:val="en-CA"/>
        </w:rPr>
        <w:t>).</w:t>
      </w:r>
    </w:p>
    <w:p w14:paraId="6DC57F16" w14:textId="77777777" w:rsidR="00244467" w:rsidRPr="001A67C2" w:rsidRDefault="00244467" w:rsidP="00887EEB">
      <w:pPr>
        <w:tabs>
          <w:tab w:val="left" w:pos="630"/>
        </w:tabs>
        <w:spacing w:line="240" w:lineRule="auto"/>
        <w:jc w:val="both"/>
        <w:rPr>
          <w:rFonts w:cs="Arial"/>
          <w:szCs w:val="24"/>
          <w:lang w:val="en-CA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5215"/>
      </w:tblGrid>
      <w:tr w:rsidR="006C29E1" w:rsidRPr="001A67C2" w14:paraId="6B8E3EE2" w14:textId="77777777" w:rsidTr="00BE1C8F">
        <w:tc>
          <w:tcPr>
            <w:tcW w:w="4045" w:type="dxa"/>
          </w:tcPr>
          <w:p w14:paraId="5874E020" w14:textId="4A694344" w:rsidR="00E01CAD" w:rsidRPr="001A67C2" w:rsidRDefault="000A6DF6" w:rsidP="00DC384E">
            <w:pPr>
              <w:pStyle w:val="zSoquijdatDateJugement"/>
              <w:rPr>
                <w:lang w:val="en-CA"/>
              </w:rPr>
            </w:pPr>
            <w:r w:rsidRPr="001A67C2">
              <w:rPr>
                <w:lang w:val="en-CA"/>
              </w:rPr>
              <w:t>DATE:</w:t>
            </w:r>
            <w:r w:rsidR="00C5423B" w:rsidRPr="001A67C2">
              <w:rPr>
                <w:lang w:val="en-CA"/>
              </w:rPr>
              <w:t xml:space="preserve"> </w:t>
            </w:r>
            <w:r w:rsidR="0054396C" w:rsidRPr="001A67C2">
              <w:rPr>
                <w:lang w:val="en-CA"/>
              </w:rPr>
              <w:t>March</w:t>
            </w:r>
            <w:r w:rsidR="00C5423B" w:rsidRPr="001A67C2">
              <w:rPr>
                <w:lang w:val="en-CA"/>
              </w:rPr>
              <w:t xml:space="preserve"> </w:t>
            </w:r>
            <w:r w:rsidR="000363CF" w:rsidRPr="001A67C2">
              <w:rPr>
                <w:lang w:val="en-CA"/>
              </w:rPr>
              <w:t>6</w:t>
            </w:r>
            <w:r w:rsidR="0054396C" w:rsidRPr="001A67C2">
              <w:rPr>
                <w:lang w:val="en-CA"/>
              </w:rPr>
              <w:t xml:space="preserve">, </w:t>
            </w:r>
            <w:r w:rsidR="000363CF" w:rsidRPr="001A67C2">
              <w:rPr>
                <w:lang w:val="en-CA"/>
              </w:rPr>
              <w:t>2025</w:t>
            </w:r>
          </w:p>
        </w:tc>
        <w:tc>
          <w:tcPr>
            <w:tcW w:w="5215" w:type="dxa"/>
          </w:tcPr>
          <w:p w14:paraId="16C7016C" w14:textId="77777777" w:rsidR="00E01CAD" w:rsidRPr="001A67C2" w:rsidRDefault="00E01CAD" w:rsidP="00887EEB">
            <w:pPr>
              <w:tabs>
                <w:tab w:val="left" w:pos="630"/>
              </w:tabs>
              <w:spacing w:line="240" w:lineRule="auto"/>
              <w:jc w:val="both"/>
              <w:rPr>
                <w:lang w:val="en-CA"/>
              </w:rPr>
            </w:pPr>
          </w:p>
        </w:tc>
      </w:tr>
      <w:tr w:rsidR="006C29E1" w:rsidRPr="001A67C2" w14:paraId="34CF5069" w14:textId="77777777" w:rsidTr="00BE1C8F">
        <w:tc>
          <w:tcPr>
            <w:tcW w:w="4045" w:type="dxa"/>
          </w:tcPr>
          <w:p w14:paraId="79CE7185" w14:textId="77777777" w:rsidR="00E01CAD" w:rsidRPr="001A67C2" w:rsidRDefault="00E01CAD" w:rsidP="00887EEB">
            <w:pPr>
              <w:tabs>
                <w:tab w:val="left" w:pos="630"/>
              </w:tabs>
              <w:spacing w:line="240" w:lineRule="auto"/>
              <w:jc w:val="both"/>
              <w:rPr>
                <w:lang w:val="en-CA"/>
              </w:rPr>
            </w:pPr>
          </w:p>
        </w:tc>
        <w:tc>
          <w:tcPr>
            <w:tcW w:w="5215" w:type="dxa"/>
          </w:tcPr>
          <w:p w14:paraId="7FE5FAB1" w14:textId="77777777" w:rsidR="00E01CAD" w:rsidRPr="001A67C2" w:rsidRDefault="00E01CAD" w:rsidP="00887EEB">
            <w:pPr>
              <w:tabs>
                <w:tab w:val="left" w:pos="630"/>
              </w:tabs>
              <w:spacing w:line="240" w:lineRule="auto"/>
              <w:jc w:val="both"/>
              <w:rPr>
                <w:lang w:val="en-CA"/>
              </w:rPr>
            </w:pPr>
          </w:p>
        </w:tc>
      </w:tr>
      <w:tr w:rsidR="006C29E1" w:rsidRPr="001A67C2" w14:paraId="6A7A3DE7" w14:textId="77777777" w:rsidTr="00BE1C8F">
        <w:tc>
          <w:tcPr>
            <w:tcW w:w="4045" w:type="dxa"/>
          </w:tcPr>
          <w:p w14:paraId="63C6521C" w14:textId="09E10FC2" w:rsidR="00E01CAD" w:rsidRPr="001A67C2" w:rsidRDefault="0054396C" w:rsidP="003822C1">
            <w:pPr>
              <w:pStyle w:val="zSoquijdatQteJuge"/>
              <w:ind w:left="-108"/>
              <w:rPr>
                <w:lang w:val="en-CA"/>
              </w:rPr>
            </w:pPr>
            <w:r w:rsidRPr="001A67C2">
              <w:rPr>
                <w:lang w:val="en-CA"/>
              </w:rPr>
              <w:t>CORAM:</w:t>
            </w:r>
            <w:r w:rsidR="00C5423B" w:rsidRPr="001A67C2">
              <w:rPr>
                <w:lang w:val="en-CA"/>
              </w:rPr>
              <w:t xml:space="preserve"> </w:t>
            </w:r>
            <w:r w:rsidR="00925E20" w:rsidRPr="001A67C2">
              <w:rPr>
                <w:lang w:val="en-CA"/>
              </w:rPr>
              <w:t>THE HONOURABLE</w:t>
            </w:r>
          </w:p>
        </w:tc>
        <w:tc>
          <w:tcPr>
            <w:tcW w:w="5215" w:type="dxa"/>
          </w:tcPr>
          <w:p w14:paraId="4A48EB5D" w14:textId="587EEF7A" w:rsidR="00E01CAD" w:rsidRPr="001A67C2" w:rsidRDefault="00096273" w:rsidP="00E21494">
            <w:pPr>
              <w:pStyle w:val="zSoquijdatJuge1"/>
              <w:rPr>
                <w:lang w:val="en-CA"/>
              </w:rPr>
            </w:pPr>
            <w:r w:rsidRPr="001A67C2">
              <w:rPr>
                <w:lang w:val="en-CA"/>
              </w:rPr>
              <w:t>MARTIN VAUCLAIR, J.A.</w:t>
            </w:r>
          </w:p>
        </w:tc>
      </w:tr>
      <w:tr w:rsidR="006C29E1" w:rsidRPr="001A67C2" w14:paraId="22C1B474" w14:textId="77777777" w:rsidTr="00BE1C8F">
        <w:tc>
          <w:tcPr>
            <w:tcW w:w="4045" w:type="dxa"/>
          </w:tcPr>
          <w:p w14:paraId="7ED60062" w14:textId="77777777" w:rsidR="00E01CAD" w:rsidRPr="001A67C2" w:rsidRDefault="00E01CAD" w:rsidP="00887EEB">
            <w:pPr>
              <w:tabs>
                <w:tab w:val="left" w:pos="630"/>
              </w:tabs>
              <w:spacing w:line="240" w:lineRule="auto"/>
              <w:jc w:val="both"/>
              <w:rPr>
                <w:lang w:val="en-CA"/>
              </w:rPr>
            </w:pPr>
          </w:p>
        </w:tc>
        <w:tc>
          <w:tcPr>
            <w:tcW w:w="5215" w:type="dxa"/>
          </w:tcPr>
          <w:p w14:paraId="72D9A5FC" w14:textId="36E32B17" w:rsidR="00E01CAD" w:rsidRPr="001A67C2" w:rsidRDefault="004A151F" w:rsidP="00E21494">
            <w:pPr>
              <w:pStyle w:val="zSoquijdatJuge2"/>
              <w:rPr>
                <w:lang w:val="en-CA"/>
              </w:rPr>
            </w:pPr>
            <w:r w:rsidRPr="001A67C2">
              <w:rPr>
                <w:lang w:val="en-CA"/>
              </w:rPr>
              <w:t>PATRICK HEALY, J.A.</w:t>
            </w:r>
          </w:p>
        </w:tc>
      </w:tr>
      <w:tr w:rsidR="006C29E1" w:rsidRPr="001A67C2" w14:paraId="2781EA48" w14:textId="77777777" w:rsidTr="00BE1C8F">
        <w:tc>
          <w:tcPr>
            <w:tcW w:w="4045" w:type="dxa"/>
          </w:tcPr>
          <w:p w14:paraId="3480EC95" w14:textId="77777777" w:rsidR="00E01CAD" w:rsidRPr="001A67C2" w:rsidRDefault="00E01CAD" w:rsidP="00887EEB">
            <w:pPr>
              <w:tabs>
                <w:tab w:val="left" w:pos="630"/>
              </w:tabs>
              <w:spacing w:line="240" w:lineRule="auto"/>
              <w:jc w:val="both"/>
              <w:rPr>
                <w:lang w:val="en-CA"/>
              </w:rPr>
            </w:pPr>
          </w:p>
        </w:tc>
        <w:tc>
          <w:tcPr>
            <w:tcW w:w="5215" w:type="dxa"/>
          </w:tcPr>
          <w:p w14:paraId="5100D1EA" w14:textId="4DC7FDF4" w:rsidR="00E01CAD" w:rsidRPr="001A67C2" w:rsidRDefault="002F4DD5" w:rsidP="00E21494">
            <w:pPr>
              <w:pStyle w:val="zSoquijdatJuge3"/>
              <w:rPr>
                <w:lang w:val="en-CA"/>
              </w:rPr>
            </w:pPr>
            <w:r w:rsidRPr="001A67C2">
              <w:rPr>
                <w:lang w:val="en-CA"/>
              </w:rPr>
              <w:t>GENEVIÈVE COTNAM, J.A.</w:t>
            </w:r>
          </w:p>
        </w:tc>
      </w:tr>
    </w:tbl>
    <w:p w14:paraId="48C7AE30" w14:textId="77777777" w:rsidR="00244467" w:rsidRPr="001A67C2" w:rsidRDefault="00244467" w:rsidP="00887EEB">
      <w:pPr>
        <w:spacing w:line="240" w:lineRule="auto"/>
        <w:jc w:val="both"/>
        <w:rPr>
          <w:rFonts w:cs="Arial"/>
          <w:szCs w:val="24"/>
          <w:lang w:val="en-CA"/>
        </w:rPr>
      </w:pPr>
      <w:bookmarkStart w:id="122" w:name="Faillite"/>
      <w:bookmarkEnd w:id="122"/>
    </w:p>
    <w:tbl>
      <w:tblPr>
        <w:tblStyle w:val="Grilledutableau1"/>
        <w:tblW w:w="0" w:type="auto"/>
        <w:tblInd w:w="-5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6"/>
        <w:gridCol w:w="4849"/>
      </w:tblGrid>
      <w:tr w:rsidR="006C29E1" w:rsidRPr="001A67C2" w14:paraId="6521827B" w14:textId="77777777" w:rsidTr="000363CF">
        <w:tc>
          <w:tcPr>
            <w:tcW w:w="4416" w:type="dxa"/>
          </w:tcPr>
          <w:p w14:paraId="6EEC9AEF" w14:textId="07CA3F85" w:rsidR="00887EEB" w:rsidRPr="001A67C2" w:rsidRDefault="00BC15BE" w:rsidP="00FA7F32">
            <w:pPr>
              <w:pStyle w:val="zSoquijdatQtePartieDem"/>
              <w:rPr>
                <w:lang w:val="en-CA"/>
              </w:rPr>
            </w:pPr>
            <w:r w:rsidRPr="001A67C2">
              <w:rPr>
                <w:lang w:val="en-CA"/>
              </w:rPr>
              <w:t>APPELLANT</w:t>
            </w:r>
          </w:p>
        </w:tc>
        <w:tc>
          <w:tcPr>
            <w:tcW w:w="4849" w:type="dxa"/>
            <w:vAlign w:val="center"/>
          </w:tcPr>
          <w:p w14:paraId="0600BB63" w14:textId="573DB5DE" w:rsidR="00887EEB" w:rsidRPr="001A67C2" w:rsidRDefault="000A082D" w:rsidP="00C551F8">
            <w:pPr>
              <w:pStyle w:val="zSoquijlblProcureurDem"/>
              <w:rPr>
                <w:lang w:val="en-CA"/>
              </w:rPr>
            </w:pPr>
            <w:r w:rsidRPr="001A67C2">
              <w:rPr>
                <w:lang w:val="en-CA"/>
              </w:rPr>
              <w:t>COUNSEL</w:t>
            </w:r>
          </w:p>
        </w:tc>
      </w:tr>
      <w:tr w:rsidR="006C29E1" w:rsidRPr="001A67C2" w14:paraId="158E7160" w14:textId="77777777" w:rsidTr="000363CF">
        <w:tc>
          <w:tcPr>
            <w:tcW w:w="4416" w:type="dxa"/>
          </w:tcPr>
          <w:p w14:paraId="143D446F" w14:textId="77777777" w:rsidR="00887EEB" w:rsidRPr="001A67C2" w:rsidRDefault="00887EEB" w:rsidP="00033ACA">
            <w:pPr>
              <w:tabs>
                <w:tab w:val="center" w:pos="2162"/>
              </w:tabs>
              <w:spacing w:line="240" w:lineRule="auto"/>
              <w:jc w:val="center"/>
              <w:rPr>
                <w:b/>
                <w:lang w:val="en-CA"/>
              </w:rPr>
            </w:pPr>
          </w:p>
          <w:p w14:paraId="51978764" w14:textId="68FDE96C" w:rsidR="00033ACA" w:rsidRPr="001A67C2" w:rsidRDefault="00C5423B" w:rsidP="00F12661">
            <w:pPr>
              <w:pStyle w:val="zSoquijdatNomPartieDem"/>
              <w:tabs>
                <w:tab w:val="center" w:pos="2412"/>
              </w:tabs>
              <w:rPr>
                <w:lang w:val="en-CA"/>
              </w:rPr>
            </w:pPr>
            <w:r w:rsidRPr="001A67C2">
              <w:rPr>
                <w:caps/>
                <w:lang w:val="en-CA"/>
              </w:rPr>
              <w:t>X</w:t>
            </w:r>
          </w:p>
        </w:tc>
        <w:tc>
          <w:tcPr>
            <w:tcW w:w="4849" w:type="dxa"/>
          </w:tcPr>
          <w:p w14:paraId="6D1947D8" w14:textId="77777777" w:rsidR="000E3D36" w:rsidRPr="00B33C8B" w:rsidRDefault="000E3D36" w:rsidP="000E3D36">
            <w:pPr>
              <w:pStyle w:val="zSoquijdatNomProcureurDem"/>
              <w:spacing w:before="0" w:after="0"/>
              <w:rPr>
                <w:caps/>
                <w:lang w:val="en-CA"/>
              </w:rPr>
            </w:pPr>
          </w:p>
          <w:p w14:paraId="49B2218A" w14:textId="67FC7C11" w:rsidR="000E3D36" w:rsidRPr="0019625A" w:rsidRDefault="00853DEF" w:rsidP="000E3D36">
            <w:pPr>
              <w:pStyle w:val="zSoquijdatNomProcureurDem"/>
              <w:spacing w:before="0" w:after="0"/>
              <w:rPr>
                <w:caps/>
              </w:rPr>
            </w:pPr>
            <w:bookmarkStart w:id="123" w:name="Bureau_Avocat_app"/>
            <w:bookmarkStart w:id="124" w:name="Présent_app"/>
            <w:bookmarkEnd w:id="123"/>
            <w:bookmarkEnd w:id="124"/>
            <w:r w:rsidRPr="00B33C8B">
              <w:rPr>
                <w:caps/>
                <w:lang w:val="en-CA"/>
              </w:rPr>
              <w:t>M</w:t>
            </w:r>
            <w:proofErr w:type="spellStart"/>
            <w:r>
              <w:t>tre</w:t>
            </w:r>
            <w:proofErr w:type="spellEnd"/>
            <w:r w:rsidRPr="0019625A">
              <w:rPr>
                <w:caps/>
              </w:rPr>
              <w:t xml:space="preserve"> </w:t>
            </w:r>
            <w:r w:rsidR="00712388" w:rsidRPr="0019625A">
              <w:rPr>
                <w:caps/>
              </w:rPr>
              <w:t>KATHERINE LABELLE</w:t>
            </w:r>
          </w:p>
          <w:p w14:paraId="37C8FA90" w14:textId="77777777" w:rsidR="003D5C42" w:rsidRPr="0019625A" w:rsidRDefault="003D5C42" w:rsidP="000E3D36">
            <w:pPr>
              <w:pStyle w:val="zSoquijdatNomProcureurDem"/>
              <w:spacing w:before="0" w:after="0"/>
              <w:rPr>
                <w:caps/>
              </w:rPr>
            </w:pPr>
          </w:p>
          <w:p w14:paraId="4101D8FA" w14:textId="7D5089D0" w:rsidR="00887EEB" w:rsidRPr="00B33C8B" w:rsidRDefault="00853DEF" w:rsidP="000363CF">
            <w:pPr>
              <w:pStyle w:val="zSoquijdatNomProcureurDem"/>
              <w:spacing w:before="0" w:after="0"/>
              <w:rPr>
                <w:caps/>
                <w:lang w:val="en-CA"/>
              </w:rPr>
            </w:pPr>
            <w:proofErr w:type="spellStart"/>
            <w:r w:rsidRPr="0019625A">
              <w:t>M</w:t>
            </w:r>
            <w:r>
              <w:t>tre</w:t>
            </w:r>
            <w:proofErr w:type="spellEnd"/>
            <w:r w:rsidRPr="00B33C8B">
              <w:rPr>
                <w:lang w:val="en-CA"/>
              </w:rPr>
              <w:t xml:space="preserve"> </w:t>
            </w:r>
            <w:r w:rsidR="006C60E9" w:rsidRPr="00B33C8B">
              <w:rPr>
                <w:lang w:val="en-CA"/>
              </w:rPr>
              <w:t xml:space="preserve">MORGANE </w:t>
            </w:r>
            <w:proofErr w:type="spellStart"/>
            <w:r w:rsidR="006C60E9" w:rsidRPr="00B33C8B">
              <w:rPr>
                <w:lang w:val="en-CA"/>
              </w:rPr>
              <w:t>LALOUM</w:t>
            </w:r>
            <w:proofErr w:type="spellEnd"/>
          </w:p>
          <w:p w14:paraId="49852FFA" w14:textId="77777777" w:rsidR="00887EEB" w:rsidRPr="00B33C8B" w:rsidRDefault="00887EEB" w:rsidP="000E3D36">
            <w:pPr>
              <w:pStyle w:val="zSoquijdatNomProcureurDem"/>
              <w:spacing w:before="0" w:after="0"/>
              <w:rPr>
                <w:lang w:val="en-CA"/>
              </w:rPr>
            </w:pPr>
          </w:p>
        </w:tc>
      </w:tr>
      <w:tr w:rsidR="006C29E1" w:rsidRPr="001A67C2" w14:paraId="6BA98B01" w14:textId="77777777" w:rsidTr="000363CF">
        <w:tc>
          <w:tcPr>
            <w:tcW w:w="4416" w:type="dxa"/>
          </w:tcPr>
          <w:p w14:paraId="14A02467" w14:textId="7903BDA5" w:rsidR="00887EEB" w:rsidRPr="001A67C2" w:rsidRDefault="00FE7927" w:rsidP="00FA7F32">
            <w:pPr>
              <w:pStyle w:val="zSoquijdatQtePartieDef"/>
              <w:rPr>
                <w:lang w:val="en-CA"/>
              </w:rPr>
            </w:pPr>
            <w:r w:rsidRPr="001A67C2">
              <w:rPr>
                <w:lang w:val="en-CA"/>
              </w:rPr>
              <w:t>RESPONDENT</w:t>
            </w:r>
          </w:p>
        </w:tc>
        <w:tc>
          <w:tcPr>
            <w:tcW w:w="4849" w:type="dxa"/>
            <w:vAlign w:val="center"/>
          </w:tcPr>
          <w:p w14:paraId="5EA1438E" w14:textId="0A55A3B0" w:rsidR="00887EEB" w:rsidRPr="001A67C2" w:rsidRDefault="000F07AC" w:rsidP="00C551F8">
            <w:pPr>
              <w:pStyle w:val="zSoquijlblProcureurDef"/>
              <w:rPr>
                <w:lang w:val="en-CA"/>
              </w:rPr>
            </w:pPr>
            <w:r w:rsidRPr="001A67C2">
              <w:rPr>
                <w:lang w:val="en-CA"/>
              </w:rPr>
              <w:t>COUNSEL</w:t>
            </w:r>
          </w:p>
        </w:tc>
      </w:tr>
      <w:tr w:rsidR="006C29E1" w:rsidRPr="00B3131D" w14:paraId="6E7CBC16" w14:textId="77777777" w:rsidTr="000363CF">
        <w:tc>
          <w:tcPr>
            <w:tcW w:w="4416" w:type="dxa"/>
          </w:tcPr>
          <w:p w14:paraId="1AA695C1" w14:textId="77777777" w:rsidR="00887EEB" w:rsidRPr="001A67C2" w:rsidRDefault="00887EEB" w:rsidP="00887EEB">
            <w:pPr>
              <w:spacing w:line="240" w:lineRule="auto"/>
              <w:jc w:val="center"/>
              <w:rPr>
                <w:b/>
                <w:lang w:val="en-CA"/>
              </w:rPr>
            </w:pPr>
          </w:p>
          <w:p w14:paraId="62469F32" w14:textId="353F8AFA" w:rsidR="00F12661" w:rsidRPr="001A67C2" w:rsidRDefault="00236959" w:rsidP="007377D2">
            <w:pPr>
              <w:pStyle w:val="zSoquijdatNomPartieDef"/>
              <w:tabs>
                <w:tab w:val="center" w:pos="2412"/>
              </w:tabs>
              <w:rPr>
                <w:lang w:val="en-CA"/>
              </w:rPr>
            </w:pPr>
            <w:r w:rsidRPr="001A67C2">
              <w:rPr>
                <w:caps/>
                <w:lang w:val="en-CA"/>
              </w:rPr>
              <w:t>HIS MAJESTY THE KING</w:t>
            </w:r>
          </w:p>
        </w:tc>
        <w:tc>
          <w:tcPr>
            <w:tcW w:w="4849" w:type="dxa"/>
          </w:tcPr>
          <w:p w14:paraId="4A56287D" w14:textId="77777777" w:rsidR="00887EEB" w:rsidRPr="001A67C2" w:rsidRDefault="00887EEB" w:rsidP="00887EEB">
            <w:pPr>
              <w:spacing w:line="240" w:lineRule="auto"/>
              <w:jc w:val="center"/>
              <w:rPr>
                <w:rFonts w:cs="Arial"/>
                <w:szCs w:val="24"/>
                <w:lang w:val="en-CA"/>
              </w:rPr>
            </w:pPr>
          </w:p>
          <w:p w14:paraId="665C2FC1" w14:textId="147EA5EA" w:rsidR="00887EEB" w:rsidRPr="001A67C2" w:rsidRDefault="004607B8" w:rsidP="000363CF">
            <w:pPr>
              <w:pStyle w:val="zSoquijdatNomProcureurDef"/>
              <w:spacing w:before="0" w:after="0"/>
              <w:rPr>
                <w:lang w:val="en-CA"/>
              </w:rPr>
            </w:pPr>
            <w:r w:rsidRPr="001A67C2">
              <w:rPr>
                <w:lang w:val="en-CA"/>
              </w:rPr>
              <w:t>M</w:t>
            </w:r>
            <w:r w:rsidR="00853DEF">
              <w:rPr>
                <w:lang w:val="en-CA"/>
              </w:rPr>
              <w:t>tre</w:t>
            </w:r>
            <w:r w:rsidRPr="001A67C2">
              <w:rPr>
                <w:lang w:val="en-CA"/>
              </w:rPr>
              <w:t xml:space="preserve"> MARIO GIROUX</w:t>
            </w:r>
          </w:p>
          <w:p w14:paraId="2E6FEF1E" w14:textId="04EC9632" w:rsidR="00887EEB" w:rsidRPr="001A67C2" w:rsidRDefault="008D0549" w:rsidP="000363CF">
            <w:pPr>
              <w:pStyle w:val="zSoquijdatCabinetProcureurDef"/>
              <w:spacing w:before="0" w:after="0"/>
              <w:rPr>
                <w:lang w:val="en-CA"/>
              </w:rPr>
            </w:pPr>
            <w:bookmarkStart w:id="125" w:name="Présent_int"/>
            <w:bookmarkEnd w:id="125"/>
            <w:r w:rsidRPr="001A67C2">
              <w:rPr>
                <w:lang w:val="en-CA"/>
              </w:rPr>
              <w:t>(</w:t>
            </w:r>
            <w:r w:rsidRPr="001A67C2">
              <w:rPr>
                <w:i/>
                <w:iCs/>
                <w:lang w:val="en-CA"/>
              </w:rPr>
              <w:t>Director of Criminal and Penal Prosecutions</w:t>
            </w:r>
            <w:r w:rsidRPr="001A67C2">
              <w:rPr>
                <w:lang w:val="en-CA"/>
              </w:rPr>
              <w:t>)</w:t>
            </w:r>
          </w:p>
          <w:p w14:paraId="17352FF0" w14:textId="77777777" w:rsidR="00887EEB" w:rsidRPr="001A67C2" w:rsidRDefault="00887EEB" w:rsidP="00887EEB">
            <w:pPr>
              <w:spacing w:line="240" w:lineRule="auto"/>
              <w:jc w:val="center"/>
              <w:rPr>
                <w:rFonts w:cs="Arial"/>
                <w:szCs w:val="24"/>
                <w:lang w:val="en-CA"/>
              </w:rPr>
            </w:pPr>
          </w:p>
        </w:tc>
      </w:tr>
    </w:tbl>
    <w:p w14:paraId="0AB2DBE4" w14:textId="77777777" w:rsidR="00887EEB" w:rsidRPr="001A67C2" w:rsidRDefault="00887EEB" w:rsidP="00887EEB">
      <w:pPr>
        <w:spacing w:line="240" w:lineRule="auto"/>
        <w:jc w:val="both"/>
        <w:rPr>
          <w:rFonts w:cs="Arial"/>
          <w:szCs w:val="24"/>
          <w:lang w:val="en-CA"/>
        </w:rPr>
      </w:pPr>
    </w:p>
    <w:tbl>
      <w:tblPr>
        <w:tblStyle w:val="Grilledutableau1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6C29E1" w:rsidRPr="00B3131D" w14:paraId="49666188" w14:textId="77777777" w:rsidTr="002159AA">
        <w:tc>
          <w:tcPr>
            <w:tcW w:w="9450" w:type="dxa"/>
          </w:tcPr>
          <w:p w14:paraId="0AAA7C11" w14:textId="430CF66B" w:rsidR="00887EEB" w:rsidRPr="001A67C2" w:rsidRDefault="00C14731" w:rsidP="009E2B19">
            <w:pPr>
              <w:spacing w:line="240" w:lineRule="auto"/>
              <w:ind w:left="-108"/>
              <w:jc w:val="both"/>
              <w:rPr>
                <w:lang w:val="en-CA"/>
              </w:rPr>
            </w:pPr>
            <w:r w:rsidRPr="001A67C2">
              <w:rPr>
                <w:lang w:val="en-CA"/>
              </w:rPr>
              <w:t>On appeal from a conviction rendered on January 8, 2024, by the Honourable Paul Grzela of the Court of Québec, Youth Division, District of [...].</w:t>
            </w:r>
          </w:p>
        </w:tc>
      </w:tr>
    </w:tbl>
    <w:p w14:paraId="77B87193" w14:textId="438E1171" w:rsidR="00887EEB" w:rsidRPr="001A67C2" w:rsidRDefault="00C5423B" w:rsidP="0001606E">
      <w:pPr>
        <w:tabs>
          <w:tab w:val="left" w:pos="3655"/>
        </w:tabs>
        <w:spacing w:line="240" w:lineRule="auto"/>
        <w:jc w:val="both"/>
        <w:rPr>
          <w:rFonts w:cs="Arial"/>
          <w:szCs w:val="24"/>
          <w:lang w:val="en-CA"/>
        </w:rPr>
      </w:pPr>
      <w:r w:rsidRPr="001A67C2">
        <w:rPr>
          <w:rFonts w:cs="Arial"/>
          <w:szCs w:val="24"/>
          <w:lang w:val="en-CA"/>
        </w:rPr>
        <w:tab/>
      </w:r>
    </w:p>
    <w:tbl>
      <w:tblPr>
        <w:tblStyle w:val="Grilledutableau1"/>
        <w:tblW w:w="936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41"/>
      </w:tblGrid>
      <w:tr w:rsidR="006C29E1" w:rsidRPr="00B3131D" w14:paraId="3520CABB" w14:textId="77777777" w:rsidTr="007849CC">
        <w:tc>
          <w:tcPr>
            <w:tcW w:w="3119" w:type="dxa"/>
            <w:shd w:val="clear" w:color="auto" w:fill="auto"/>
          </w:tcPr>
          <w:p w14:paraId="79EA0611" w14:textId="7E3A9D17" w:rsidR="00887EEB" w:rsidRPr="001A67C2" w:rsidRDefault="002219EF" w:rsidP="004630AB">
            <w:pPr>
              <w:spacing w:line="240" w:lineRule="auto"/>
              <w:ind w:left="-108"/>
              <w:jc w:val="both"/>
              <w:rPr>
                <w:rFonts w:cs="Arial"/>
                <w:kern w:val="28"/>
                <w:szCs w:val="24"/>
                <w:lang w:val="en-CA"/>
              </w:rPr>
            </w:pPr>
            <w:r w:rsidRPr="001A67C2">
              <w:rPr>
                <w:rFonts w:cs="Arial"/>
                <w:kern w:val="28"/>
                <w:szCs w:val="24"/>
                <w:lang w:val="en-CA"/>
              </w:rPr>
              <w:t>NATURE OF THE APPEAL:</w:t>
            </w:r>
          </w:p>
        </w:tc>
        <w:tc>
          <w:tcPr>
            <w:tcW w:w="6241" w:type="dxa"/>
            <w:vAlign w:val="center"/>
          </w:tcPr>
          <w:p w14:paraId="21F7A926" w14:textId="63563A57" w:rsidR="00887EEB" w:rsidRPr="001A67C2" w:rsidRDefault="00973451" w:rsidP="00887EEB">
            <w:pPr>
              <w:spacing w:line="240" w:lineRule="auto"/>
              <w:jc w:val="both"/>
              <w:rPr>
                <w:rFonts w:cs="Arial"/>
                <w:b/>
                <w:bCs/>
                <w:kern w:val="28"/>
                <w:szCs w:val="24"/>
                <w:lang w:val="en-CA"/>
              </w:rPr>
            </w:pPr>
            <w:r>
              <w:rPr>
                <w:rFonts w:cs="Arial"/>
                <w:b/>
                <w:bCs/>
                <w:kern w:val="28"/>
                <w:szCs w:val="24"/>
                <w:lang w:val="en-CA"/>
              </w:rPr>
              <w:t>C</w:t>
            </w:r>
            <w:r w:rsidR="007849CC" w:rsidRPr="001A67C2">
              <w:rPr>
                <w:rFonts w:cs="Arial"/>
                <w:b/>
                <w:bCs/>
                <w:kern w:val="28"/>
                <w:szCs w:val="24"/>
                <w:lang w:val="en-CA"/>
              </w:rPr>
              <w:t xml:space="preserve">onviction – sections 152(a) and 346(1)(1.1)(b) of the </w:t>
            </w:r>
            <w:proofErr w:type="spellStart"/>
            <w:r w:rsidR="007849CC" w:rsidRPr="0019625A">
              <w:rPr>
                <w:rFonts w:cs="Arial"/>
                <w:b/>
                <w:bCs/>
                <w:i/>
                <w:iCs/>
                <w:kern w:val="28"/>
                <w:szCs w:val="24"/>
                <w:lang w:val="en-CA"/>
              </w:rPr>
              <w:t>Cr</w:t>
            </w:r>
            <w:r w:rsidR="007849CC" w:rsidRPr="0019625A">
              <w:rPr>
                <w:rFonts w:cs="Arial"/>
                <w:b/>
                <w:bCs/>
                <w:kern w:val="28"/>
                <w:szCs w:val="24"/>
                <w:lang w:val="en-CA"/>
              </w:rPr>
              <w:t>.</w:t>
            </w:r>
            <w:r w:rsidR="007849CC" w:rsidRPr="0019625A">
              <w:rPr>
                <w:rFonts w:cs="Arial"/>
                <w:b/>
                <w:bCs/>
                <w:i/>
                <w:iCs/>
                <w:kern w:val="28"/>
                <w:szCs w:val="24"/>
                <w:lang w:val="en-CA"/>
              </w:rPr>
              <w:t>C</w:t>
            </w:r>
            <w:proofErr w:type="spellEnd"/>
            <w:r w:rsidR="007849CC" w:rsidRPr="0019625A">
              <w:rPr>
                <w:rFonts w:cs="Arial"/>
                <w:b/>
                <w:bCs/>
                <w:kern w:val="28"/>
                <w:szCs w:val="24"/>
                <w:lang w:val="en-CA"/>
              </w:rPr>
              <w:t>.</w:t>
            </w:r>
          </w:p>
        </w:tc>
      </w:tr>
    </w:tbl>
    <w:p w14:paraId="460E3D0D" w14:textId="77777777" w:rsidR="00887EEB" w:rsidRPr="001A67C2" w:rsidRDefault="00887EEB" w:rsidP="00887EEB">
      <w:pPr>
        <w:spacing w:line="240" w:lineRule="auto"/>
        <w:jc w:val="both"/>
        <w:rPr>
          <w:rFonts w:cs="Arial"/>
          <w:szCs w:val="24"/>
          <w:lang w:val="en-CA"/>
        </w:rPr>
      </w:pPr>
    </w:p>
    <w:tbl>
      <w:tblPr>
        <w:tblW w:w="936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4430"/>
      </w:tblGrid>
      <w:tr w:rsidR="006C29E1" w:rsidRPr="001A67C2" w14:paraId="064177B2" w14:textId="77777777" w:rsidTr="00FB3369">
        <w:trPr>
          <w:cantSplit/>
          <w:trHeight w:val="397"/>
        </w:trPr>
        <w:tc>
          <w:tcPr>
            <w:tcW w:w="4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02C0" w14:textId="7E0902C7" w:rsidR="00887EEB" w:rsidRPr="001A67C2" w:rsidRDefault="00B64396" w:rsidP="00887EEB">
            <w:pPr>
              <w:spacing w:before="120" w:after="120" w:line="240" w:lineRule="auto"/>
              <w:rPr>
                <w:rFonts w:cs="Arial"/>
                <w:szCs w:val="24"/>
                <w:lang w:val="en-CA"/>
              </w:rPr>
            </w:pPr>
            <w:r>
              <w:rPr>
                <w:rFonts w:cs="Arial"/>
                <w:szCs w:val="24"/>
                <w:lang w:val="en-CA"/>
              </w:rPr>
              <w:t>Clerk at the hearing</w:t>
            </w:r>
            <w:r w:rsidR="009D2359" w:rsidRPr="001A67C2">
              <w:rPr>
                <w:rFonts w:cs="Arial"/>
                <w:szCs w:val="24"/>
                <w:lang w:val="en-CA"/>
              </w:rPr>
              <w:t>:</w:t>
            </w:r>
            <w:r w:rsidR="00402083" w:rsidRPr="001A67C2">
              <w:rPr>
                <w:rFonts w:cs="Arial"/>
                <w:szCs w:val="24"/>
                <w:lang w:val="en-CA"/>
              </w:rPr>
              <w:t xml:space="preserve"> Charlie Mc Kale</w:t>
            </w:r>
          </w:p>
        </w:tc>
        <w:tc>
          <w:tcPr>
            <w:tcW w:w="4430" w:type="dxa"/>
            <w:tcBorders>
              <w:left w:val="single" w:sz="4" w:space="0" w:color="auto"/>
            </w:tcBorders>
            <w:vAlign w:val="center"/>
          </w:tcPr>
          <w:p w14:paraId="2AFB5039" w14:textId="3ABC9111" w:rsidR="00887EEB" w:rsidRPr="001A67C2" w:rsidRDefault="00B64396" w:rsidP="00887EEB">
            <w:pPr>
              <w:spacing w:line="240" w:lineRule="auto"/>
              <w:jc w:val="both"/>
              <w:rPr>
                <w:rFonts w:eastAsiaTheme="minorHAnsi" w:cs="Arial"/>
                <w:szCs w:val="24"/>
                <w:lang w:val="en-CA" w:eastAsia="en-US"/>
              </w:rPr>
            </w:pPr>
            <w:r>
              <w:rPr>
                <w:rFonts w:cs="Arial"/>
                <w:szCs w:val="24"/>
                <w:lang w:val="en-CA"/>
              </w:rPr>
              <w:t>Courtr</w:t>
            </w:r>
            <w:r w:rsidR="00C465BE">
              <w:rPr>
                <w:rFonts w:cs="Arial"/>
                <w:szCs w:val="24"/>
                <w:lang w:val="en-CA"/>
              </w:rPr>
              <w:t>oom</w:t>
            </w:r>
            <w:r w:rsidR="00B07ABB" w:rsidRPr="001A67C2">
              <w:rPr>
                <w:rFonts w:cs="Arial"/>
                <w:szCs w:val="24"/>
                <w:lang w:val="en-CA"/>
              </w:rPr>
              <w:t>:</w:t>
            </w:r>
            <w:r w:rsidR="00C5423B" w:rsidRPr="001A67C2">
              <w:rPr>
                <w:rFonts w:cs="Arial"/>
                <w:szCs w:val="24"/>
                <w:lang w:val="en-CA"/>
              </w:rPr>
              <w:t xml:space="preserve"> </w:t>
            </w:r>
            <w:bookmarkStart w:id="126" w:name="Salle"/>
            <w:r w:rsidR="000363CF" w:rsidRPr="001A67C2">
              <w:rPr>
                <w:rFonts w:cs="Arial"/>
                <w:szCs w:val="24"/>
                <w:lang w:val="en-CA"/>
              </w:rPr>
              <w:t>Pierre-Basile-Mignault</w:t>
            </w:r>
            <w:bookmarkEnd w:id="126"/>
            <w:r w:rsidR="00C5423B" w:rsidRPr="001A67C2">
              <w:rPr>
                <w:rFonts w:cs="Arial"/>
                <w:szCs w:val="24"/>
                <w:lang w:val="en-CA"/>
              </w:rPr>
              <w:fldChar w:fldCharType="begin"/>
            </w:r>
            <w:r w:rsidR="00C5423B" w:rsidRPr="001A67C2">
              <w:rPr>
                <w:rFonts w:cs="Arial"/>
                <w:szCs w:val="24"/>
                <w:lang w:val="en-CA"/>
              </w:rPr>
              <w:instrText xml:space="preserve">  </w:instrText>
            </w:r>
            <w:r w:rsidR="00C5423B" w:rsidRPr="001A67C2">
              <w:rPr>
                <w:rFonts w:cs="Arial"/>
                <w:szCs w:val="24"/>
                <w:lang w:val="en-CA"/>
              </w:rPr>
              <w:fldChar w:fldCharType="end"/>
            </w:r>
          </w:p>
        </w:tc>
      </w:tr>
    </w:tbl>
    <w:tbl>
      <w:tblPr>
        <w:tblStyle w:val="Grilledutableau1"/>
        <w:tblW w:w="936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6C29E1" w:rsidRPr="001A67C2" w14:paraId="1F8C1E7F" w14:textId="77777777" w:rsidTr="00FB3369">
        <w:tc>
          <w:tcPr>
            <w:tcW w:w="9360" w:type="dxa"/>
            <w:vAlign w:val="center"/>
          </w:tcPr>
          <w:p w14:paraId="426B0ADA" w14:textId="729FB410" w:rsidR="00887EEB" w:rsidRPr="001A67C2" w:rsidRDefault="00345C12" w:rsidP="00887EEB">
            <w:pPr>
              <w:spacing w:before="240" w:after="240" w:line="240" w:lineRule="auto"/>
              <w:jc w:val="center"/>
              <w:rPr>
                <w:lang w:val="en-CA"/>
              </w:rPr>
            </w:pPr>
            <w:r w:rsidRPr="001A67C2">
              <w:rPr>
                <w:lang w:val="en-CA"/>
              </w:rPr>
              <w:t>HEARING</w:t>
            </w:r>
          </w:p>
        </w:tc>
      </w:tr>
    </w:tbl>
    <w:p w14:paraId="5D7AA4AF" w14:textId="77777777" w:rsidR="00887EEB" w:rsidRPr="001A67C2" w:rsidRDefault="00887EEB" w:rsidP="00887EEB">
      <w:pPr>
        <w:spacing w:line="240" w:lineRule="auto"/>
        <w:jc w:val="both"/>
        <w:rPr>
          <w:rFonts w:cs="Arial"/>
          <w:szCs w:val="24"/>
          <w:lang w:val="en-CA"/>
        </w:rPr>
      </w:pP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8100"/>
      </w:tblGrid>
      <w:tr w:rsidR="006C29E1" w:rsidRPr="00B3131D" w14:paraId="0F74E3FC" w14:textId="77777777" w:rsidTr="00FB3369">
        <w:trPr>
          <w:trHeight w:val="260"/>
        </w:trPr>
        <w:tc>
          <w:tcPr>
            <w:tcW w:w="1260" w:type="dxa"/>
            <w:tcBorders>
              <w:top w:val="nil"/>
              <w:bottom w:val="single" w:sz="4" w:space="0" w:color="auto"/>
              <w:right w:val="nil"/>
            </w:tcBorders>
          </w:tcPr>
          <w:p w14:paraId="450CB068" w14:textId="6F160DEB" w:rsidR="00887EEB" w:rsidRPr="001A67C2" w:rsidRDefault="00EB4B29" w:rsidP="00887EEB">
            <w:pPr>
              <w:spacing w:before="120" w:after="120" w:line="240" w:lineRule="auto"/>
              <w:jc w:val="both"/>
              <w:rPr>
                <w:rFonts w:cs="Arial"/>
                <w:szCs w:val="24"/>
                <w:lang w:val="en-CA"/>
              </w:rPr>
            </w:pPr>
            <w:r w:rsidRPr="001A67C2">
              <w:rPr>
                <w:rFonts w:cs="Arial"/>
                <w:szCs w:val="24"/>
                <w:lang w:val="en-CA"/>
              </w:rPr>
              <w:t xml:space="preserve">9:29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</w:tcBorders>
          </w:tcPr>
          <w:p w14:paraId="1D2D454F" w14:textId="3C20DAEB" w:rsidR="000363CF" w:rsidRPr="001A67C2" w:rsidRDefault="00DB055A" w:rsidP="000363CF">
            <w:pPr>
              <w:spacing w:before="120" w:after="120" w:line="240" w:lineRule="auto"/>
              <w:jc w:val="both"/>
              <w:rPr>
                <w:rFonts w:cs="Arial"/>
                <w:szCs w:val="24"/>
                <w:lang w:val="en-CA"/>
              </w:rPr>
            </w:pPr>
            <w:r>
              <w:rPr>
                <w:rFonts w:cs="Arial"/>
                <w:szCs w:val="24"/>
                <w:lang w:val="en-CA"/>
              </w:rPr>
              <w:t>Commencement</w:t>
            </w:r>
            <w:r w:rsidRPr="001A67C2">
              <w:rPr>
                <w:rFonts w:cs="Arial"/>
                <w:szCs w:val="24"/>
                <w:lang w:val="en-CA"/>
              </w:rPr>
              <w:t xml:space="preserve"> </w:t>
            </w:r>
            <w:r w:rsidR="00B20FF3" w:rsidRPr="001A67C2">
              <w:rPr>
                <w:rFonts w:cs="Arial"/>
                <w:szCs w:val="24"/>
                <w:lang w:val="en-CA"/>
              </w:rPr>
              <w:t>of</w:t>
            </w:r>
            <w:r>
              <w:rPr>
                <w:rFonts w:cs="Arial"/>
                <w:szCs w:val="24"/>
                <w:lang w:val="en-CA"/>
              </w:rPr>
              <w:t xml:space="preserve"> the</w:t>
            </w:r>
            <w:r w:rsidR="00B20FF3" w:rsidRPr="001A67C2">
              <w:rPr>
                <w:rFonts w:cs="Arial"/>
                <w:szCs w:val="24"/>
                <w:lang w:val="en-CA"/>
              </w:rPr>
              <w:t xml:space="preserve"> hearing</w:t>
            </w:r>
            <w:r w:rsidR="006567C1" w:rsidRPr="001A67C2">
              <w:rPr>
                <w:rFonts w:cs="Arial"/>
                <w:szCs w:val="24"/>
                <w:lang w:val="en-CA"/>
              </w:rPr>
              <w:t>.</w:t>
            </w:r>
            <w:r w:rsidR="00C5423B" w:rsidRPr="001A67C2">
              <w:rPr>
                <w:rFonts w:cs="Arial"/>
                <w:szCs w:val="24"/>
                <w:lang w:val="en-CA"/>
              </w:rPr>
              <w:t xml:space="preserve"> </w:t>
            </w:r>
            <w:r w:rsidR="00E31E83" w:rsidRPr="001A67C2">
              <w:rPr>
                <w:rFonts w:cs="Arial"/>
                <w:szCs w:val="24"/>
                <w:lang w:val="en-CA"/>
              </w:rPr>
              <w:t xml:space="preserve">Identification of </w:t>
            </w:r>
            <w:r w:rsidR="00F20B29" w:rsidRPr="001A67C2">
              <w:rPr>
                <w:rFonts w:cs="Arial"/>
                <w:szCs w:val="24"/>
                <w:lang w:val="en-CA"/>
              </w:rPr>
              <w:t xml:space="preserve">the </w:t>
            </w:r>
            <w:r w:rsidR="00E31E83" w:rsidRPr="001A67C2">
              <w:rPr>
                <w:rFonts w:cs="Arial"/>
                <w:szCs w:val="24"/>
                <w:lang w:val="en-CA"/>
              </w:rPr>
              <w:t>case and counsel.</w:t>
            </w:r>
          </w:p>
          <w:p w14:paraId="12D84FAA" w14:textId="0E511838" w:rsidR="00887EEB" w:rsidRPr="001A67C2" w:rsidRDefault="0083486D" w:rsidP="000363CF">
            <w:pPr>
              <w:spacing w:before="120" w:after="120" w:line="240" w:lineRule="auto"/>
              <w:jc w:val="both"/>
              <w:rPr>
                <w:rFonts w:cs="Arial"/>
                <w:szCs w:val="24"/>
                <w:lang w:val="en-CA"/>
              </w:rPr>
            </w:pPr>
            <w:r w:rsidRPr="001A67C2">
              <w:rPr>
                <w:rFonts w:cs="Arial"/>
                <w:szCs w:val="24"/>
                <w:lang w:val="en-CA"/>
              </w:rPr>
              <w:t>Preliminary remark by the Court.</w:t>
            </w:r>
          </w:p>
        </w:tc>
      </w:tr>
      <w:tr w:rsidR="006C29E1" w:rsidRPr="001A67C2" w14:paraId="390026E9" w14:textId="77777777" w:rsidTr="00FB3369">
        <w:trPr>
          <w:trHeight w:val="26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25AE901" w14:textId="537B4E99" w:rsidR="00887EEB" w:rsidRPr="001A67C2" w:rsidRDefault="00F14DBE" w:rsidP="00887EEB">
            <w:pPr>
              <w:spacing w:before="120" w:after="120" w:line="240" w:lineRule="auto"/>
              <w:jc w:val="both"/>
              <w:rPr>
                <w:rFonts w:cs="Arial"/>
                <w:szCs w:val="24"/>
                <w:lang w:val="en-CA"/>
              </w:rPr>
            </w:pPr>
            <w:r w:rsidRPr="001A67C2">
              <w:rPr>
                <w:rFonts w:cs="Arial"/>
                <w:szCs w:val="24"/>
                <w:lang w:val="en-CA"/>
              </w:rPr>
              <w:t xml:space="preserve">9:31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A99684" w14:textId="62EBE3F0" w:rsidR="00887EEB" w:rsidRPr="001A67C2" w:rsidRDefault="00177A5C" w:rsidP="000363CF">
            <w:pPr>
              <w:spacing w:before="120" w:after="120" w:line="240" w:lineRule="auto"/>
              <w:jc w:val="both"/>
              <w:rPr>
                <w:rFonts w:cs="Arial"/>
                <w:szCs w:val="24"/>
                <w:lang w:val="en-CA"/>
              </w:rPr>
            </w:pPr>
            <w:r w:rsidRPr="001A67C2">
              <w:rPr>
                <w:rFonts w:cs="Arial"/>
                <w:szCs w:val="24"/>
                <w:lang w:val="en-CA"/>
              </w:rPr>
              <w:t>Submissions by Mtre Labelle.</w:t>
            </w:r>
          </w:p>
        </w:tc>
      </w:tr>
      <w:tr w:rsidR="006C29E1" w:rsidRPr="001A67C2" w14:paraId="1F645A27" w14:textId="77777777" w:rsidTr="00FB3369">
        <w:trPr>
          <w:trHeight w:val="26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BEB73B7" w14:textId="3C832CA2" w:rsidR="003267F8" w:rsidRPr="001A67C2" w:rsidRDefault="006A7237" w:rsidP="00887EEB">
            <w:pPr>
              <w:spacing w:before="120" w:after="120" w:line="240" w:lineRule="auto"/>
              <w:jc w:val="both"/>
              <w:rPr>
                <w:rFonts w:cs="Arial"/>
                <w:szCs w:val="24"/>
                <w:lang w:val="en-CA"/>
              </w:rPr>
            </w:pPr>
            <w:r w:rsidRPr="001A67C2">
              <w:rPr>
                <w:rFonts w:cs="Arial"/>
                <w:szCs w:val="24"/>
                <w:lang w:val="en-CA"/>
              </w:rPr>
              <w:t xml:space="preserve">9:58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C30A06" w14:textId="409ECF99" w:rsidR="003267F8" w:rsidRPr="001A67C2" w:rsidRDefault="005B61B9" w:rsidP="000363CF">
            <w:pPr>
              <w:spacing w:before="120" w:after="120" w:line="240" w:lineRule="auto"/>
              <w:jc w:val="both"/>
              <w:rPr>
                <w:rFonts w:cs="Arial"/>
                <w:szCs w:val="24"/>
                <w:lang w:val="en-CA"/>
              </w:rPr>
            </w:pPr>
            <w:r w:rsidRPr="001A67C2">
              <w:rPr>
                <w:rFonts w:cs="Arial"/>
                <w:szCs w:val="24"/>
                <w:lang w:val="en-CA"/>
              </w:rPr>
              <w:t>Submissions by Mtre Giroux.</w:t>
            </w:r>
          </w:p>
        </w:tc>
      </w:tr>
      <w:tr w:rsidR="006C29E1" w:rsidRPr="001A67C2" w14:paraId="7EC8AFDE" w14:textId="77777777" w:rsidTr="00FB3369">
        <w:trPr>
          <w:trHeight w:val="26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429BEF2" w14:textId="0F540FA8" w:rsidR="005D5F38" w:rsidRPr="001A67C2" w:rsidRDefault="004F3E92" w:rsidP="00887EEB">
            <w:pPr>
              <w:spacing w:before="120" w:after="120" w:line="240" w:lineRule="auto"/>
              <w:jc w:val="both"/>
              <w:rPr>
                <w:rFonts w:cs="Arial"/>
                <w:szCs w:val="24"/>
                <w:lang w:val="en-CA"/>
              </w:rPr>
            </w:pPr>
            <w:r w:rsidRPr="001A67C2">
              <w:rPr>
                <w:rFonts w:cs="Arial"/>
                <w:szCs w:val="24"/>
                <w:lang w:val="en-CA"/>
              </w:rPr>
              <w:t xml:space="preserve">10:04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8F269A" w14:textId="57F4257D" w:rsidR="005D5F38" w:rsidRPr="001A67C2" w:rsidRDefault="00202A9B" w:rsidP="000363CF">
            <w:pPr>
              <w:spacing w:before="120" w:after="120" w:line="240" w:lineRule="auto"/>
              <w:jc w:val="both"/>
              <w:rPr>
                <w:rFonts w:cs="Arial"/>
                <w:szCs w:val="24"/>
                <w:lang w:val="en-CA"/>
              </w:rPr>
            </w:pPr>
            <w:r w:rsidRPr="001A67C2">
              <w:rPr>
                <w:rFonts w:cs="Arial"/>
                <w:szCs w:val="24"/>
                <w:lang w:val="en-CA"/>
              </w:rPr>
              <w:t>Reply by Mtre Labelle</w:t>
            </w:r>
            <w:r w:rsidR="00C465BE">
              <w:rPr>
                <w:rFonts w:cs="Arial"/>
                <w:szCs w:val="24"/>
                <w:lang w:val="en-CA"/>
              </w:rPr>
              <w:t>.</w:t>
            </w:r>
          </w:p>
        </w:tc>
      </w:tr>
      <w:tr w:rsidR="006C29E1" w:rsidRPr="00B3131D" w14:paraId="7DA735D3" w14:textId="77777777" w:rsidTr="00FB3369">
        <w:trPr>
          <w:trHeight w:val="25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5E19422" w14:textId="26E95A7A" w:rsidR="00887EEB" w:rsidRPr="001A67C2" w:rsidRDefault="00303EB7" w:rsidP="00887EEB">
            <w:pPr>
              <w:spacing w:before="120" w:after="120" w:line="240" w:lineRule="auto"/>
              <w:jc w:val="both"/>
              <w:rPr>
                <w:rFonts w:cs="Arial"/>
                <w:szCs w:val="24"/>
                <w:lang w:val="en-CA"/>
              </w:rPr>
            </w:pPr>
            <w:r w:rsidRPr="001A67C2">
              <w:rPr>
                <w:rFonts w:cs="Arial"/>
                <w:szCs w:val="24"/>
                <w:lang w:val="en-CA"/>
              </w:rPr>
              <w:t xml:space="preserve">10:05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FCADE0" w14:textId="0D408FC7" w:rsidR="00887EEB" w:rsidRPr="001A67C2" w:rsidRDefault="00DB055A" w:rsidP="00887EEB">
            <w:pPr>
              <w:spacing w:before="120" w:after="120" w:line="240" w:lineRule="auto"/>
              <w:jc w:val="both"/>
              <w:rPr>
                <w:rFonts w:cs="Arial"/>
                <w:szCs w:val="24"/>
                <w:lang w:val="en-CA"/>
              </w:rPr>
            </w:pPr>
            <w:r>
              <w:rPr>
                <w:rFonts w:cs="Arial"/>
                <w:szCs w:val="24"/>
                <w:lang w:val="en-CA"/>
              </w:rPr>
              <w:t>Recess of the h</w:t>
            </w:r>
            <w:r w:rsidR="00F0174F" w:rsidRPr="001A67C2">
              <w:rPr>
                <w:rFonts w:cs="Arial"/>
                <w:szCs w:val="24"/>
                <w:lang w:val="en-CA"/>
              </w:rPr>
              <w:t>earing.</w:t>
            </w:r>
          </w:p>
        </w:tc>
      </w:tr>
      <w:tr w:rsidR="006C29E1" w:rsidRPr="00B3131D" w14:paraId="4BDB217C" w14:textId="77777777" w:rsidTr="00FB3369">
        <w:trPr>
          <w:trHeight w:val="25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2C8DC7C" w14:textId="00D89000" w:rsidR="00887EEB" w:rsidRPr="001A67C2" w:rsidRDefault="00D619E5" w:rsidP="00887EEB">
            <w:pPr>
              <w:spacing w:before="120" w:after="120" w:line="240" w:lineRule="auto"/>
              <w:jc w:val="both"/>
              <w:rPr>
                <w:rFonts w:cs="Arial"/>
                <w:szCs w:val="24"/>
                <w:lang w:val="en-CA"/>
              </w:rPr>
            </w:pPr>
            <w:r w:rsidRPr="001A67C2">
              <w:rPr>
                <w:rFonts w:cs="Arial"/>
                <w:szCs w:val="24"/>
                <w:lang w:val="en-CA"/>
              </w:rPr>
              <w:t xml:space="preserve">10:15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BF4C33" w14:textId="4E340AA8" w:rsidR="00887EEB" w:rsidRPr="001A67C2" w:rsidRDefault="00DB055A" w:rsidP="00887EEB">
            <w:pPr>
              <w:spacing w:before="120" w:after="120" w:line="240" w:lineRule="auto"/>
              <w:jc w:val="both"/>
              <w:rPr>
                <w:rFonts w:cs="Arial"/>
                <w:szCs w:val="24"/>
                <w:lang w:val="en-CA"/>
              </w:rPr>
            </w:pPr>
            <w:r>
              <w:rPr>
                <w:rFonts w:cs="Arial"/>
                <w:szCs w:val="24"/>
                <w:lang w:val="en-CA"/>
              </w:rPr>
              <w:t>Resumption of the h</w:t>
            </w:r>
            <w:r w:rsidR="00B20FF3" w:rsidRPr="001A67C2">
              <w:rPr>
                <w:rFonts w:cs="Arial"/>
                <w:szCs w:val="24"/>
                <w:lang w:val="en-CA"/>
              </w:rPr>
              <w:t>earing.</w:t>
            </w:r>
          </w:p>
        </w:tc>
      </w:tr>
      <w:tr w:rsidR="006C29E1" w:rsidRPr="00B3131D" w14:paraId="4CBB10A5" w14:textId="77777777" w:rsidTr="00FB3369">
        <w:trPr>
          <w:trHeight w:val="25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6C01A1" w14:textId="3D89A9CF" w:rsidR="00887EEB" w:rsidRPr="001A67C2" w:rsidRDefault="003F46CD" w:rsidP="00887EEB">
            <w:pPr>
              <w:spacing w:before="120" w:after="120" w:line="240" w:lineRule="auto"/>
              <w:jc w:val="both"/>
              <w:rPr>
                <w:rFonts w:cs="Arial"/>
                <w:szCs w:val="24"/>
                <w:lang w:val="en-CA"/>
              </w:rPr>
            </w:pPr>
            <w:r w:rsidRPr="001A67C2">
              <w:rPr>
                <w:rFonts w:cs="Arial"/>
                <w:szCs w:val="24"/>
                <w:lang w:val="en-CA"/>
              </w:rPr>
              <w:t xml:space="preserve">10:16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A6B002" w14:textId="48352B09" w:rsidR="00887EEB" w:rsidRPr="001A67C2" w:rsidRDefault="00881FCB" w:rsidP="000363CF">
            <w:pPr>
              <w:spacing w:before="120" w:after="120" w:line="240" w:lineRule="auto"/>
              <w:jc w:val="both"/>
              <w:rPr>
                <w:rFonts w:cs="Arial"/>
                <w:szCs w:val="24"/>
                <w:lang w:val="en-CA"/>
              </w:rPr>
            </w:pPr>
            <w:r w:rsidRPr="001A67C2">
              <w:rPr>
                <w:rFonts w:cs="Arial"/>
                <w:b/>
                <w:bCs/>
                <w:szCs w:val="24"/>
                <w:lang w:val="en-CA"/>
              </w:rPr>
              <w:t>BY THE COURT:</w:t>
            </w:r>
            <w:r w:rsidR="00C5423B" w:rsidRPr="001A67C2">
              <w:rPr>
                <w:rFonts w:cs="Arial"/>
                <w:szCs w:val="24"/>
                <w:lang w:val="en-CA"/>
              </w:rPr>
              <w:t xml:space="preserve"> </w:t>
            </w:r>
            <w:r w:rsidR="00F20B29" w:rsidRPr="001A67C2">
              <w:rPr>
                <w:rFonts w:cs="Arial"/>
                <w:szCs w:val="24"/>
                <w:lang w:val="en-CA"/>
              </w:rPr>
              <w:t>u</w:t>
            </w:r>
            <w:r w:rsidR="00995D02" w:rsidRPr="001A67C2">
              <w:rPr>
                <w:rFonts w:cs="Arial"/>
                <w:szCs w:val="24"/>
                <w:lang w:val="en-CA"/>
              </w:rPr>
              <w:t>nanimous judgment rendered from the bench – see page</w:t>
            </w:r>
            <w:r w:rsidR="00F20B29" w:rsidRPr="001A67C2">
              <w:rPr>
                <w:rFonts w:cs="Arial"/>
                <w:szCs w:val="24"/>
                <w:lang w:val="en-CA"/>
              </w:rPr>
              <w:t> </w:t>
            </w:r>
            <w:r w:rsidR="00995D02" w:rsidRPr="001A67C2">
              <w:rPr>
                <w:rFonts w:cs="Arial"/>
                <w:szCs w:val="24"/>
                <w:lang w:val="en-CA"/>
              </w:rPr>
              <w:t>3.</w:t>
            </w:r>
          </w:p>
        </w:tc>
      </w:tr>
      <w:tr w:rsidR="006C29E1" w:rsidRPr="001A67C2" w14:paraId="2DADB9F9" w14:textId="77777777" w:rsidTr="00FB3369">
        <w:trPr>
          <w:trHeight w:val="25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1198892" w14:textId="65443307" w:rsidR="00402083" w:rsidRPr="001A67C2" w:rsidRDefault="00666827" w:rsidP="00887EEB">
            <w:pPr>
              <w:spacing w:before="120" w:after="120" w:line="240" w:lineRule="auto"/>
              <w:jc w:val="both"/>
              <w:rPr>
                <w:rFonts w:cs="Arial"/>
                <w:szCs w:val="24"/>
                <w:lang w:val="en-CA"/>
              </w:rPr>
            </w:pPr>
            <w:r w:rsidRPr="001A67C2">
              <w:rPr>
                <w:rFonts w:cs="Arial"/>
                <w:szCs w:val="24"/>
                <w:lang w:val="en-CA"/>
              </w:rPr>
              <w:t xml:space="preserve">10:17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992859" w14:textId="046682AA" w:rsidR="00402083" w:rsidRPr="001A67C2" w:rsidRDefault="00DB055A" w:rsidP="00887EEB">
            <w:pPr>
              <w:spacing w:before="120" w:after="120" w:line="240" w:lineRule="auto"/>
              <w:jc w:val="both"/>
              <w:rPr>
                <w:rFonts w:cs="Arial"/>
                <w:szCs w:val="24"/>
                <w:lang w:val="en-CA"/>
              </w:rPr>
            </w:pPr>
            <w:r>
              <w:rPr>
                <w:rFonts w:cs="Arial"/>
                <w:szCs w:val="24"/>
                <w:lang w:val="en-CA"/>
              </w:rPr>
              <w:t>Conclusion of the</w:t>
            </w:r>
            <w:r w:rsidR="00935513" w:rsidRPr="001A67C2">
              <w:rPr>
                <w:rFonts w:cs="Arial"/>
                <w:szCs w:val="24"/>
                <w:lang w:val="en-CA"/>
              </w:rPr>
              <w:t xml:space="preserve"> hearing.</w:t>
            </w:r>
          </w:p>
        </w:tc>
      </w:tr>
      <w:tr w:rsidR="006C29E1" w:rsidRPr="001A67C2" w14:paraId="01633A6C" w14:textId="77777777" w:rsidTr="00FB3369">
        <w:trPr>
          <w:trHeight w:val="251"/>
        </w:trPr>
        <w:tc>
          <w:tcPr>
            <w:tcW w:w="1260" w:type="dxa"/>
            <w:tcBorders>
              <w:top w:val="single" w:sz="4" w:space="0" w:color="auto"/>
              <w:bottom w:val="nil"/>
              <w:right w:val="nil"/>
            </w:tcBorders>
          </w:tcPr>
          <w:p w14:paraId="4D099AFD" w14:textId="77777777" w:rsidR="00887EEB" w:rsidRPr="001A67C2" w:rsidRDefault="00887EEB" w:rsidP="00887EEB">
            <w:pPr>
              <w:spacing w:before="120" w:after="120" w:line="240" w:lineRule="auto"/>
              <w:jc w:val="both"/>
              <w:rPr>
                <w:rFonts w:cs="Arial"/>
                <w:szCs w:val="24"/>
                <w:lang w:val="en-CA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nil"/>
            </w:tcBorders>
          </w:tcPr>
          <w:p w14:paraId="048BC723" w14:textId="77777777" w:rsidR="00887EEB" w:rsidRPr="001A67C2" w:rsidRDefault="00887EEB" w:rsidP="00887EEB">
            <w:pPr>
              <w:spacing w:before="120" w:after="120" w:line="240" w:lineRule="auto"/>
              <w:jc w:val="both"/>
              <w:rPr>
                <w:rFonts w:cs="Arial"/>
                <w:szCs w:val="24"/>
                <w:lang w:val="en-CA"/>
              </w:rPr>
            </w:pPr>
          </w:p>
        </w:tc>
      </w:tr>
    </w:tbl>
    <w:p w14:paraId="56C4F742" w14:textId="77777777" w:rsidR="00887EEB" w:rsidRPr="001A67C2" w:rsidRDefault="00887EEB" w:rsidP="00887EEB">
      <w:pPr>
        <w:spacing w:line="240" w:lineRule="auto"/>
        <w:rPr>
          <w:rFonts w:cs="Arial"/>
          <w:szCs w:val="24"/>
          <w:lang w:val="en-CA"/>
        </w:rPr>
      </w:pPr>
    </w:p>
    <w:tbl>
      <w:tblPr>
        <w:tblStyle w:val="Grilledutableau1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770"/>
      </w:tblGrid>
      <w:tr w:rsidR="006C29E1" w:rsidRPr="001A67C2" w14:paraId="26472985" w14:textId="77777777" w:rsidTr="002159AA">
        <w:tc>
          <w:tcPr>
            <w:tcW w:w="4770" w:type="dxa"/>
            <w:tcBorders>
              <w:bottom w:val="single" w:sz="4" w:space="0" w:color="auto"/>
            </w:tcBorders>
          </w:tcPr>
          <w:p w14:paraId="5D4E7764" w14:textId="77777777" w:rsidR="00887EEB" w:rsidRPr="001A67C2" w:rsidRDefault="00887EEB" w:rsidP="00887EEB">
            <w:pPr>
              <w:spacing w:line="240" w:lineRule="auto"/>
              <w:jc w:val="both"/>
              <w:rPr>
                <w:rFonts w:cs="Arial"/>
                <w:szCs w:val="24"/>
                <w:lang w:val="en-CA"/>
              </w:rPr>
            </w:pPr>
          </w:p>
        </w:tc>
      </w:tr>
      <w:tr w:rsidR="006C29E1" w:rsidRPr="00B3131D" w14:paraId="00C7351B" w14:textId="77777777" w:rsidTr="002159AA">
        <w:tc>
          <w:tcPr>
            <w:tcW w:w="4770" w:type="dxa"/>
            <w:tcBorders>
              <w:top w:val="single" w:sz="4" w:space="0" w:color="auto"/>
            </w:tcBorders>
          </w:tcPr>
          <w:p w14:paraId="1310A644" w14:textId="6BAF758B" w:rsidR="00887EEB" w:rsidRPr="001A67C2" w:rsidRDefault="00F20B29" w:rsidP="00887EEB">
            <w:pPr>
              <w:spacing w:line="240" w:lineRule="auto"/>
              <w:jc w:val="both"/>
              <w:rPr>
                <w:rFonts w:cs="Arial"/>
                <w:szCs w:val="24"/>
                <w:lang w:val="en-CA"/>
              </w:rPr>
            </w:pPr>
            <w:r w:rsidRPr="001A67C2">
              <w:rPr>
                <w:rFonts w:cs="Arial"/>
                <w:szCs w:val="24"/>
                <w:lang w:val="en-CA"/>
              </w:rPr>
              <w:t xml:space="preserve">Charlie Mc Kale, </w:t>
            </w:r>
            <w:r w:rsidR="00DB055A">
              <w:rPr>
                <w:rFonts w:cs="Arial"/>
                <w:szCs w:val="24"/>
                <w:lang w:val="en-CA"/>
              </w:rPr>
              <w:t>Clerk at the hearing</w:t>
            </w:r>
          </w:p>
        </w:tc>
      </w:tr>
    </w:tbl>
    <w:p w14:paraId="77A7083D" w14:textId="732088A6" w:rsidR="000C7E01" w:rsidRPr="001A67C2" w:rsidRDefault="000C7E01">
      <w:pPr>
        <w:spacing w:line="240" w:lineRule="auto"/>
        <w:rPr>
          <w:rFonts w:cs="Arial"/>
          <w:szCs w:val="24"/>
          <w:lang w:val="en-CA"/>
        </w:rPr>
      </w:pPr>
    </w:p>
    <w:p w14:paraId="42272FB5" w14:textId="77777777" w:rsidR="000C7E01" w:rsidRPr="001A67C2" w:rsidRDefault="00C5423B">
      <w:pPr>
        <w:spacing w:line="240" w:lineRule="auto"/>
        <w:rPr>
          <w:rFonts w:cs="Arial"/>
          <w:szCs w:val="24"/>
          <w:lang w:val="en-CA"/>
        </w:rPr>
      </w:pPr>
      <w:r w:rsidRPr="001A67C2">
        <w:rPr>
          <w:rFonts w:cs="Arial"/>
          <w:szCs w:val="24"/>
          <w:lang w:val="en-CA"/>
        </w:rPr>
        <w:br w:type="page"/>
      </w:r>
    </w:p>
    <w:tbl>
      <w:tblPr>
        <w:tblStyle w:val="Grilledutableau1"/>
        <w:tblW w:w="9360" w:type="dxa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6C29E1" w:rsidRPr="001A67C2" w14:paraId="05D3161C" w14:textId="77777777" w:rsidTr="00FB3369">
        <w:tc>
          <w:tcPr>
            <w:tcW w:w="9360" w:type="dxa"/>
            <w:vAlign w:val="center"/>
          </w:tcPr>
          <w:p w14:paraId="192043BB" w14:textId="684B2164" w:rsidR="00887EEB" w:rsidRPr="001A67C2" w:rsidRDefault="00C464B1" w:rsidP="00887EEB">
            <w:pPr>
              <w:spacing w:before="240" w:after="240" w:line="240" w:lineRule="exact"/>
              <w:jc w:val="center"/>
              <w:rPr>
                <w:lang w:val="en-CA"/>
              </w:rPr>
            </w:pPr>
            <w:r w:rsidRPr="001A67C2">
              <w:rPr>
                <w:lang w:val="en-CA"/>
              </w:rPr>
              <w:lastRenderedPageBreak/>
              <w:t>JUDGMENT</w:t>
            </w:r>
          </w:p>
        </w:tc>
      </w:tr>
    </w:tbl>
    <w:p w14:paraId="0E03D3FE" w14:textId="77777777" w:rsidR="00887EEB" w:rsidRPr="001A67C2" w:rsidRDefault="00887EEB" w:rsidP="00887EEB">
      <w:pPr>
        <w:spacing w:line="240" w:lineRule="auto"/>
        <w:jc w:val="both"/>
        <w:rPr>
          <w:lang w:val="en-CA"/>
        </w:rPr>
      </w:pPr>
    </w:p>
    <w:p w14:paraId="42B06C35" w14:textId="55A7D65F" w:rsidR="00244467" w:rsidRPr="001A67C2" w:rsidRDefault="00FB1BE6" w:rsidP="00244467">
      <w:pPr>
        <w:tabs>
          <w:tab w:val="left" w:pos="630"/>
        </w:tabs>
        <w:spacing w:line="240" w:lineRule="auto"/>
        <w:jc w:val="both"/>
        <w:rPr>
          <w:rFonts w:cs="Arial"/>
          <w:szCs w:val="24"/>
          <w:lang w:val="en-CA"/>
        </w:rPr>
      </w:pPr>
      <w:r w:rsidRPr="007D01C5">
        <w:rPr>
          <w:rFonts w:cs="Arial"/>
          <w:b/>
          <w:bCs/>
          <w:szCs w:val="24"/>
          <w:u w:val="single"/>
          <w:lang w:val="en-CA"/>
        </w:rPr>
        <w:t>WARNING</w:t>
      </w:r>
      <w:r w:rsidR="00FF0D1B" w:rsidRPr="001A67C2">
        <w:rPr>
          <w:rFonts w:cs="Arial"/>
          <w:b/>
          <w:bCs/>
          <w:szCs w:val="24"/>
          <w:lang w:val="en-CA"/>
        </w:rPr>
        <w:t xml:space="preserve"> – </w:t>
      </w:r>
      <w:r w:rsidR="00973451">
        <w:rPr>
          <w:rFonts w:cs="Arial"/>
          <w:b/>
          <w:bCs/>
          <w:szCs w:val="24"/>
          <w:lang w:val="en-CA"/>
        </w:rPr>
        <w:t>P</w:t>
      </w:r>
      <w:r w:rsidR="00220F35" w:rsidRPr="001A67C2">
        <w:rPr>
          <w:rFonts w:cs="Arial"/>
          <w:b/>
          <w:bCs/>
          <w:szCs w:val="24"/>
          <w:lang w:val="en-CA"/>
        </w:rPr>
        <w:t>ublication ban:</w:t>
      </w:r>
      <w:r w:rsidR="00C5423B" w:rsidRPr="001A67C2">
        <w:rPr>
          <w:rFonts w:cs="Arial"/>
          <w:b/>
          <w:bCs/>
          <w:szCs w:val="24"/>
          <w:lang w:val="en-CA"/>
        </w:rPr>
        <w:t xml:space="preserve"> </w:t>
      </w:r>
      <w:r w:rsidR="00436D45">
        <w:rPr>
          <w:rFonts w:cs="Arial"/>
          <w:b/>
          <w:bCs/>
          <w:szCs w:val="24"/>
          <w:lang w:val="en-CA"/>
        </w:rPr>
        <w:t>T</w:t>
      </w:r>
      <w:r w:rsidR="00AA4000" w:rsidRPr="001A67C2">
        <w:rPr>
          <w:rFonts w:cs="Arial"/>
          <w:b/>
          <w:bCs/>
          <w:szCs w:val="24"/>
          <w:lang w:val="en-CA"/>
        </w:rPr>
        <w:t xml:space="preserve">he </w:t>
      </w:r>
      <w:r w:rsidR="00AA4000" w:rsidRPr="001A67C2">
        <w:rPr>
          <w:rFonts w:cs="Arial"/>
          <w:b/>
          <w:bCs/>
          <w:i/>
          <w:iCs/>
          <w:szCs w:val="24"/>
          <w:lang w:val="en-CA"/>
        </w:rPr>
        <w:t>Youth Criminal Justice Act</w:t>
      </w:r>
      <w:r w:rsidR="00AA4000" w:rsidRPr="001A67C2">
        <w:rPr>
          <w:rFonts w:cs="Arial"/>
          <w:b/>
          <w:bCs/>
          <w:szCs w:val="24"/>
          <w:lang w:val="en-CA"/>
        </w:rPr>
        <w:t xml:space="preserve"> (</w:t>
      </w:r>
      <w:r w:rsidR="00436D45">
        <w:rPr>
          <w:rFonts w:cs="Arial"/>
          <w:b/>
          <w:bCs/>
          <w:szCs w:val="24"/>
          <w:lang w:val="en-CA"/>
        </w:rPr>
        <w:t>“</w:t>
      </w:r>
      <w:r w:rsidR="00AA4000" w:rsidRPr="001A67C2">
        <w:rPr>
          <w:rFonts w:cs="Arial"/>
          <w:b/>
          <w:bCs/>
          <w:i/>
          <w:iCs/>
          <w:szCs w:val="24"/>
          <w:lang w:val="en-CA"/>
        </w:rPr>
        <w:t>Y</w:t>
      </w:r>
      <w:r w:rsidR="00436D45">
        <w:rPr>
          <w:rFonts w:cs="Arial"/>
          <w:b/>
          <w:bCs/>
          <w:i/>
          <w:iCs/>
          <w:szCs w:val="24"/>
          <w:lang w:val="en-CA"/>
        </w:rPr>
        <w:t>.</w:t>
      </w:r>
      <w:r w:rsidR="00AA4000" w:rsidRPr="001A67C2">
        <w:rPr>
          <w:rFonts w:cs="Arial"/>
          <w:b/>
          <w:bCs/>
          <w:i/>
          <w:iCs/>
          <w:szCs w:val="24"/>
          <w:lang w:val="en-CA"/>
        </w:rPr>
        <w:t>C</w:t>
      </w:r>
      <w:r w:rsidR="00436D45">
        <w:rPr>
          <w:rFonts w:cs="Arial"/>
          <w:b/>
          <w:bCs/>
          <w:i/>
          <w:iCs/>
          <w:szCs w:val="24"/>
          <w:lang w:val="en-CA"/>
        </w:rPr>
        <w:t>.</w:t>
      </w:r>
      <w:r w:rsidR="00AA4000" w:rsidRPr="001A67C2">
        <w:rPr>
          <w:rFonts w:cs="Arial"/>
          <w:b/>
          <w:bCs/>
          <w:i/>
          <w:iCs/>
          <w:szCs w:val="24"/>
          <w:lang w:val="en-CA"/>
        </w:rPr>
        <w:t>J</w:t>
      </w:r>
      <w:r w:rsidR="00436D45">
        <w:rPr>
          <w:rFonts w:cs="Arial"/>
          <w:b/>
          <w:bCs/>
          <w:i/>
          <w:iCs/>
          <w:szCs w:val="24"/>
          <w:lang w:val="en-CA"/>
        </w:rPr>
        <w:t>.</w:t>
      </w:r>
      <w:r w:rsidR="00AA4000" w:rsidRPr="001A67C2">
        <w:rPr>
          <w:rFonts w:cs="Arial"/>
          <w:b/>
          <w:bCs/>
          <w:i/>
          <w:iCs/>
          <w:szCs w:val="24"/>
          <w:lang w:val="en-CA"/>
        </w:rPr>
        <w:t>A</w:t>
      </w:r>
      <w:r w:rsidR="00436D45">
        <w:rPr>
          <w:rFonts w:cs="Arial"/>
          <w:b/>
          <w:bCs/>
          <w:i/>
          <w:iCs/>
          <w:szCs w:val="24"/>
          <w:lang w:val="en-CA"/>
        </w:rPr>
        <w:t>.</w:t>
      </w:r>
      <w:r w:rsidR="00436D45" w:rsidRPr="00B3131D">
        <w:rPr>
          <w:rFonts w:cs="Arial"/>
          <w:b/>
          <w:bCs/>
          <w:szCs w:val="24"/>
          <w:lang w:val="en-CA"/>
        </w:rPr>
        <w:t>”</w:t>
      </w:r>
      <w:r w:rsidR="00AA4000" w:rsidRPr="001A67C2">
        <w:rPr>
          <w:rFonts w:cs="Arial"/>
          <w:b/>
          <w:bCs/>
          <w:szCs w:val="24"/>
          <w:lang w:val="en-CA"/>
        </w:rPr>
        <w:t xml:space="preserve">) provides that no person shall publish the name of a child or young person, or any other information related to a child or young person, if it would identify the child or young person as having been dealt with under that </w:t>
      </w:r>
      <w:r w:rsidR="00AA4000" w:rsidRPr="001A67C2">
        <w:rPr>
          <w:rFonts w:cs="Arial"/>
          <w:b/>
          <w:bCs/>
          <w:i/>
          <w:iCs/>
          <w:szCs w:val="24"/>
          <w:lang w:val="en-CA"/>
        </w:rPr>
        <w:t>Act</w:t>
      </w:r>
      <w:r w:rsidR="00AA4000" w:rsidRPr="001A67C2">
        <w:rPr>
          <w:rFonts w:cs="Arial"/>
          <w:b/>
          <w:bCs/>
          <w:szCs w:val="24"/>
          <w:lang w:val="en-CA"/>
        </w:rPr>
        <w:t xml:space="preserve"> or as having been a victim of, or as having appeared as a witness in connection with, an offence committed or alleged to have been committed by a young person, unless ordered or authorized by the Court (</w:t>
      </w:r>
      <w:r w:rsidR="00436D45">
        <w:rPr>
          <w:rFonts w:cs="Arial"/>
          <w:b/>
          <w:bCs/>
          <w:szCs w:val="24"/>
          <w:lang w:val="en-CA"/>
        </w:rPr>
        <w:t>ss.</w:t>
      </w:r>
      <w:r w:rsidR="00436D45" w:rsidRPr="001A67C2">
        <w:rPr>
          <w:rFonts w:cs="Arial"/>
          <w:b/>
          <w:bCs/>
          <w:szCs w:val="24"/>
          <w:lang w:val="en-CA"/>
        </w:rPr>
        <w:t xml:space="preserve"> </w:t>
      </w:r>
      <w:r w:rsidR="00AA4000" w:rsidRPr="001A67C2">
        <w:rPr>
          <w:rFonts w:cs="Arial"/>
          <w:b/>
          <w:bCs/>
          <w:szCs w:val="24"/>
          <w:lang w:val="en-CA"/>
        </w:rPr>
        <w:t xml:space="preserve">110(1) and 111(1) </w:t>
      </w:r>
      <w:r w:rsidR="00AA4000" w:rsidRPr="001A67C2">
        <w:rPr>
          <w:rFonts w:cs="Arial"/>
          <w:b/>
          <w:bCs/>
          <w:i/>
          <w:iCs/>
          <w:szCs w:val="24"/>
          <w:lang w:val="en-CA"/>
        </w:rPr>
        <w:t>YC</w:t>
      </w:r>
      <w:r w:rsidR="00436D45">
        <w:rPr>
          <w:rFonts w:cs="Arial"/>
          <w:b/>
          <w:bCs/>
          <w:i/>
          <w:iCs/>
          <w:szCs w:val="24"/>
          <w:lang w:val="en-CA"/>
        </w:rPr>
        <w:t>.</w:t>
      </w:r>
      <w:r w:rsidR="00AA4000" w:rsidRPr="001A67C2">
        <w:rPr>
          <w:rFonts w:cs="Arial"/>
          <w:b/>
          <w:bCs/>
          <w:i/>
          <w:iCs/>
          <w:szCs w:val="24"/>
          <w:lang w:val="en-CA"/>
        </w:rPr>
        <w:t>J</w:t>
      </w:r>
      <w:r w:rsidR="00436D45">
        <w:rPr>
          <w:rFonts w:cs="Arial"/>
          <w:b/>
          <w:bCs/>
          <w:i/>
          <w:iCs/>
          <w:szCs w:val="24"/>
          <w:lang w:val="en-CA"/>
        </w:rPr>
        <w:t>.</w:t>
      </w:r>
      <w:r w:rsidR="00AA4000" w:rsidRPr="001A67C2">
        <w:rPr>
          <w:rFonts w:cs="Arial"/>
          <w:b/>
          <w:bCs/>
          <w:i/>
          <w:iCs/>
          <w:szCs w:val="24"/>
          <w:lang w:val="en-CA"/>
        </w:rPr>
        <w:t>A</w:t>
      </w:r>
      <w:r w:rsidR="00436D45">
        <w:rPr>
          <w:rFonts w:cs="Arial"/>
          <w:b/>
          <w:bCs/>
          <w:i/>
          <w:iCs/>
          <w:szCs w:val="24"/>
          <w:lang w:val="en-CA"/>
        </w:rPr>
        <w:t>.</w:t>
      </w:r>
      <w:r w:rsidR="00AA4000" w:rsidRPr="001A67C2">
        <w:rPr>
          <w:rFonts w:cs="Arial"/>
          <w:b/>
          <w:bCs/>
          <w:szCs w:val="24"/>
          <w:lang w:val="en-CA"/>
        </w:rPr>
        <w:t>).</w:t>
      </w:r>
      <w:r w:rsidR="00C5423B" w:rsidRPr="001A67C2">
        <w:rPr>
          <w:rFonts w:cs="Arial"/>
          <w:b/>
          <w:bCs/>
          <w:szCs w:val="24"/>
          <w:lang w:val="en-CA"/>
        </w:rPr>
        <w:t xml:space="preserve"> </w:t>
      </w:r>
      <w:r w:rsidR="00A63387" w:rsidRPr="001A67C2">
        <w:rPr>
          <w:rFonts w:cs="Arial"/>
          <w:b/>
          <w:bCs/>
          <w:szCs w:val="24"/>
          <w:lang w:val="en-CA"/>
        </w:rPr>
        <w:t>Every person who contravenes these provisions is liable to criminal prosecution (s</w:t>
      </w:r>
      <w:r w:rsidR="00436D45">
        <w:rPr>
          <w:rFonts w:cs="Arial"/>
          <w:b/>
          <w:bCs/>
          <w:szCs w:val="24"/>
          <w:lang w:val="en-CA"/>
        </w:rPr>
        <w:t>.</w:t>
      </w:r>
      <w:r w:rsidR="00A63387" w:rsidRPr="001A67C2">
        <w:rPr>
          <w:rFonts w:cs="Arial"/>
          <w:b/>
          <w:bCs/>
          <w:szCs w:val="24"/>
          <w:lang w:val="en-CA"/>
        </w:rPr>
        <w:t xml:space="preserve"> 138 </w:t>
      </w:r>
      <w:r w:rsidR="00A63387" w:rsidRPr="001A67C2">
        <w:rPr>
          <w:rFonts w:cs="Arial"/>
          <w:b/>
          <w:bCs/>
          <w:i/>
          <w:iCs/>
          <w:szCs w:val="24"/>
          <w:lang w:val="en-CA"/>
        </w:rPr>
        <w:t>Y</w:t>
      </w:r>
      <w:r w:rsidR="00436D45">
        <w:rPr>
          <w:rFonts w:cs="Arial"/>
          <w:b/>
          <w:bCs/>
          <w:i/>
          <w:iCs/>
          <w:szCs w:val="24"/>
          <w:lang w:val="en-CA"/>
        </w:rPr>
        <w:t>.</w:t>
      </w:r>
      <w:r w:rsidR="00A63387" w:rsidRPr="001A67C2">
        <w:rPr>
          <w:rFonts w:cs="Arial"/>
          <w:b/>
          <w:bCs/>
          <w:i/>
          <w:iCs/>
          <w:szCs w:val="24"/>
          <w:lang w:val="en-CA"/>
        </w:rPr>
        <w:t>C</w:t>
      </w:r>
      <w:r w:rsidR="00436D45">
        <w:rPr>
          <w:rFonts w:cs="Arial"/>
          <w:b/>
          <w:bCs/>
          <w:i/>
          <w:iCs/>
          <w:szCs w:val="24"/>
          <w:lang w:val="en-CA"/>
        </w:rPr>
        <w:t>.</w:t>
      </w:r>
      <w:r w:rsidR="00A63387" w:rsidRPr="001A67C2">
        <w:rPr>
          <w:rFonts w:cs="Arial"/>
          <w:b/>
          <w:bCs/>
          <w:i/>
          <w:iCs/>
          <w:szCs w:val="24"/>
          <w:lang w:val="en-CA"/>
        </w:rPr>
        <w:t>J</w:t>
      </w:r>
      <w:r w:rsidR="00436D45">
        <w:rPr>
          <w:rFonts w:cs="Arial"/>
          <w:b/>
          <w:bCs/>
          <w:i/>
          <w:iCs/>
          <w:szCs w:val="24"/>
          <w:lang w:val="en-CA"/>
        </w:rPr>
        <w:t>.</w:t>
      </w:r>
      <w:r w:rsidR="00A63387" w:rsidRPr="001A67C2">
        <w:rPr>
          <w:rFonts w:cs="Arial"/>
          <w:b/>
          <w:bCs/>
          <w:i/>
          <w:iCs/>
          <w:szCs w:val="24"/>
          <w:lang w:val="en-CA"/>
        </w:rPr>
        <w:t>A</w:t>
      </w:r>
      <w:r w:rsidR="00436D45">
        <w:rPr>
          <w:rFonts w:cs="Arial"/>
          <w:b/>
          <w:bCs/>
          <w:i/>
          <w:iCs/>
          <w:szCs w:val="24"/>
          <w:lang w:val="en-CA"/>
        </w:rPr>
        <w:t>.</w:t>
      </w:r>
      <w:r w:rsidR="00A63387" w:rsidRPr="001A67C2">
        <w:rPr>
          <w:rFonts w:cs="Arial"/>
          <w:b/>
          <w:bCs/>
          <w:szCs w:val="24"/>
          <w:lang w:val="en-CA"/>
        </w:rPr>
        <w:t>).</w:t>
      </w:r>
    </w:p>
    <w:p w14:paraId="45516510" w14:textId="77777777" w:rsidR="00887EEB" w:rsidRPr="001A67C2" w:rsidRDefault="00887EEB" w:rsidP="00887EEB">
      <w:pPr>
        <w:spacing w:line="240" w:lineRule="auto"/>
        <w:jc w:val="both"/>
        <w:rPr>
          <w:lang w:val="en-CA"/>
        </w:rPr>
      </w:pPr>
    </w:p>
    <w:p w14:paraId="7438F653" w14:textId="736EEFC4" w:rsidR="00011070" w:rsidRPr="001A67C2" w:rsidRDefault="00FF0D1B" w:rsidP="00266393">
      <w:pPr>
        <w:pStyle w:val="JgtParagraphe"/>
        <w:numPr>
          <w:ilvl w:val="0"/>
          <w:numId w:val="18"/>
        </w:numPr>
        <w:tabs>
          <w:tab w:val="clear" w:pos="990"/>
          <w:tab w:val="num" w:pos="720"/>
        </w:tabs>
        <w:spacing w:line="240" w:lineRule="auto"/>
        <w:ind w:left="0"/>
        <w:rPr>
          <w:lang w:val="en-CA"/>
        </w:rPr>
      </w:pPr>
      <w:r w:rsidRPr="001A67C2">
        <w:rPr>
          <w:lang w:val="en-CA"/>
        </w:rPr>
        <w:t xml:space="preserve">X (hereinafter </w:t>
      </w:r>
      <w:r w:rsidR="007D01C5">
        <w:rPr>
          <w:lang w:val="en-CA"/>
        </w:rPr>
        <w:t>“</w:t>
      </w:r>
      <w:r w:rsidRPr="001A67C2">
        <w:rPr>
          <w:lang w:val="en-CA"/>
        </w:rPr>
        <w:t>the appellant</w:t>
      </w:r>
      <w:r w:rsidR="007D01C5">
        <w:rPr>
          <w:lang w:val="en-CA"/>
        </w:rPr>
        <w:t>”</w:t>
      </w:r>
      <w:r w:rsidRPr="001A67C2">
        <w:rPr>
          <w:lang w:val="en-CA"/>
        </w:rPr>
        <w:t xml:space="preserve">) appeals from a conviction </w:t>
      </w:r>
      <w:r w:rsidR="00853DEF">
        <w:rPr>
          <w:lang w:val="en-CA"/>
        </w:rPr>
        <w:t xml:space="preserve">rendered </w:t>
      </w:r>
      <w:r w:rsidRPr="001A67C2">
        <w:rPr>
          <w:lang w:val="en-CA"/>
        </w:rPr>
        <w:t>on January</w:t>
      </w:r>
      <w:r w:rsidR="007D01C5">
        <w:rPr>
          <w:lang w:val="en-CA"/>
        </w:rPr>
        <w:t> </w:t>
      </w:r>
      <w:r w:rsidRPr="001A67C2">
        <w:rPr>
          <w:lang w:val="en-CA"/>
        </w:rPr>
        <w:t>8,</w:t>
      </w:r>
      <w:r w:rsidR="007D01C5">
        <w:rPr>
          <w:lang w:val="en-CA"/>
        </w:rPr>
        <w:t> </w:t>
      </w:r>
      <w:r w:rsidRPr="001A67C2">
        <w:rPr>
          <w:lang w:val="en-CA"/>
        </w:rPr>
        <w:t xml:space="preserve">2024, by the Honourable Paul Grzela of the Court of Québec, Youth Division, District of [...], </w:t>
      </w:r>
      <w:r w:rsidR="00853DEF">
        <w:rPr>
          <w:lang w:val="en-CA"/>
        </w:rPr>
        <w:t xml:space="preserve">declaring him guilty of </w:t>
      </w:r>
      <w:r w:rsidRPr="001A67C2">
        <w:rPr>
          <w:lang w:val="en-CA"/>
        </w:rPr>
        <w:t xml:space="preserve">invitation to sexual touching against a </w:t>
      </w:r>
      <w:r w:rsidR="00853DEF">
        <w:rPr>
          <w:lang w:val="en-CA"/>
        </w:rPr>
        <w:t xml:space="preserve">person </w:t>
      </w:r>
      <w:r w:rsidRPr="001A67C2">
        <w:rPr>
          <w:lang w:val="en-CA"/>
        </w:rPr>
        <w:t xml:space="preserve">under the age of 16 years and </w:t>
      </w:r>
      <w:r w:rsidR="007D01C5">
        <w:rPr>
          <w:lang w:val="en-CA"/>
        </w:rPr>
        <w:t>of</w:t>
      </w:r>
      <w:r w:rsidRPr="001A67C2">
        <w:rPr>
          <w:lang w:val="en-CA"/>
        </w:rPr>
        <w:t xml:space="preserve"> extorting her </w:t>
      </w:r>
      <w:r w:rsidR="00853DEF">
        <w:rPr>
          <w:lang w:val="en-CA"/>
        </w:rPr>
        <w:t xml:space="preserve">for the purpose of </w:t>
      </w:r>
      <w:r w:rsidRPr="001A67C2">
        <w:rPr>
          <w:lang w:val="en-CA"/>
        </w:rPr>
        <w:t>sexually assault</w:t>
      </w:r>
      <w:r w:rsidR="00853DEF">
        <w:rPr>
          <w:lang w:val="en-CA"/>
        </w:rPr>
        <w:t>ing</w:t>
      </w:r>
      <w:r w:rsidRPr="001A67C2">
        <w:rPr>
          <w:lang w:val="en-CA"/>
        </w:rPr>
        <w:t xml:space="preserve"> her.</w:t>
      </w:r>
      <w:r w:rsidR="00C5423B" w:rsidRPr="001A67C2">
        <w:rPr>
          <w:lang w:val="en-CA"/>
        </w:rPr>
        <w:t xml:space="preserve"> </w:t>
      </w:r>
      <w:r w:rsidR="00780AC8" w:rsidRPr="001A67C2">
        <w:rPr>
          <w:lang w:val="en-CA"/>
        </w:rPr>
        <w:t xml:space="preserve">The judge ordered a conditional stay of proceedings </w:t>
      </w:r>
      <w:r w:rsidR="00853DEF">
        <w:rPr>
          <w:lang w:val="en-CA"/>
        </w:rPr>
        <w:t>on</w:t>
      </w:r>
      <w:r w:rsidR="00780AC8" w:rsidRPr="001A67C2">
        <w:rPr>
          <w:lang w:val="en-CA"/>
        </w:rPr>
        <w:t xml:space="preserve"> the count of sexual assault.</w:t>
      </w:r>
    </w:p>
    <w:p w14:paraId="484EC1B1" w14:textId="0F583C3C" w:rsidR="00011070" w:rsidRPr="001A67C2" w:rsidRDefault="00CD6767" w:rsidP="00266393">
      <w:pPr>
        <w:pStyle w:val="JgtParagraphe"/>
        <w:numPr>
          <w:ilvl w:val="0"/>
          <w:numId w:val="18"/>
        </w:numPr>
        <w:tabs>
          <w:tab w:val="clear" w:pos="990"/>
          <w:tab w:val="num" w:pos="720"/>
        </w:tabs>
        <w:spacing w:line="240" w:lineRule="auto"/>
        <w:ind w:left="0"/>
        <w:rPr>
          <w:lang w:val="en-CA"/>
        </w:rPr>
      </w:pPr>
      <w:r w:rsidRPr="001A67C2">
        <w:rPr>
          <w:lang w:val="en-CA"/>
        </w:rPr>
        <w:t>The complainant and the appellant, aged 13 and 14 and both in Secondary II, attended the same school.</w:t>
      </w:r>
      <w:r w:rsidR="00C5423B" w:rsidRPr="001A67C2">
        <w:rPr>
          <w:lang w:val="en-CA"/>
        </w:rPr>
        <w:t xml:space="preserve"> </w:t>
      </w:r>
      <w:r w:rsidR="007434B9" w:rsidRPr="001A67C2">
        <w:rPr>
          <w:lang w:val="en-CA"/>
        </w:rPr>
        <w:t>At trial, they acknowledged several facts, including that they had sexual relations.</w:t>
      </w:r>
      <w:r w:rsidR="00C5423B" w:rsidRPr="001A67C2">
        <w:rPr>
          <w:lang w:val="en-CA"/>
        </w:rPr>
        <w:t xml:space="preserve"> </w:t>
      </w:r>
      <w:r w:rsidR="00821490" w:rsidRPr="001A67C2">
        <w:rPr>
          <w:lang w:val="en-CA"/>
        </w:rPr>
        <w:t>The issue was whether the complainant</w:t>
      </w:r>
      <w:r w:rsidR="00C465BE">
        <w:rPr>
          <w:lang w:val="en-CA"/>
        </w:rPr>
        <w:t>’</w:t>
      </w:r>
      <w:r w:rsidR="00821490" w:rsidRPr="001A67C2">
        <w:rPr>
          <w:lang w:val="en-CA"/>
        </w:rPr>
        <w:t xml:space="preserve">s consent </w:t>
      </w:r>
      <w:r w:rsidR="00C465BE">
        <w:rPr>
          <w:lang w:val="en-CA"/>
        </w:rPr>
        <w:t>was</w:t>
      </w:r>
      <w:r w:rsidR="00821490" w:rsidRPr="001A67C2">
        <w:rPr>
          <w:lang w:val="en-CA"/>
        </w:rPr>
        <w:t xml:space="preserve"> vitiated by the fear of the appellant</w:t>
      </w:r>
      <w:r w:rsidR="00C465BE">
        <w:rPr>
          <w:lang w:val="en-CA"/>
        </w:rPr>
        <w:t>’</w:t>
      </w:r>
      <w:r w:rsidR="00821490" w:rsidRPr="001A67C2">
        <w:rPr>
          <w:lang w:val="en-CA"/>
        </w:rPr>
        <w:t xml:space="preserve">s threats to again disclose intimate photos of her, which had already circulated among their </w:t>
      </w:r>
      <w:r w:rsidR="008C1C72">
        <w:rPr>
          <w:lang w:val="en-CA"/>
        </w:rPr>
        <w:t>school</w:t>
      </w:r>
      <w:r w:rsidR="00821490" w:rsidRPr="001A67C2">
        <w:rPr>
          <w:lang w:val="en-CA"/>
        </w:rPr>
        <w:t>mates the previous year.</w:t>
      </w:r>
    </w:p>
    <w:p w14:paraId="106980BD" w14:textId="1AF6DC3A" w:rsidR="00011070" w:rsidRPr="001A67C2" w:rsidRDefault="00DA683C" w:rsidP="00266393">
      <w:pPr>
        <w:pStyle w:val="JgtParagraphe"/>
        <w:numPr>
          <w:ilvl w:val="0"/>
          <w:numId w:val="18"/>
        </w:numPr>
        <w:tabs>
          <w:tab w:val="clear" w:pos="990"/>
          <w:tab w:val="num" w:pos="720"/>
        </w:tabs>
        <w:spacing w:line="240" w:lineRule="auto"/>
        <w:ind w:left="0"/>
        <w:rPr>
          <w:lang w:val="en-CA"/>
        </w:rPr>
      </w:pPr>
      <w:r w:rsidRPr="001A67C2">
        <w:rPr>
          <w:lang w:val="en-CA"/>
        </w:rPr>
        <w:t xml:space="preserve">The credibility of the appellant and </w:t>
      </w:r>
      <w:r w:rsidR="006D1B9C">
        <w:rPr>
          <w:lang w:val="en-CA"/>
        </w:rPr>
        <w:t xml:space="preserve">that </w:t>
      </w:r>
      <w:r w:rsidRPr="001A67C2">
        <w:rPr>
          <w:lang w:val="en-CA"/>
        </w:rPr>
        <w:t>of the complainant were at the heart of this case.</w:t>
      </w:r>
    </w:p>
    <w:p w14:paraId="3A7C998B" w14:textId="4A5C1FED" w:rsidR="00011070" w:rsidRPr="001A67C2" w:rsidRDefault="00786CA3" w:rsidP="00266393">
      <w:pPr>
        <w:pStyle w:val="JgtParagraphe"/>
        <w:numPr>
          <w:ilvl w:val="0"/>
          <w:numId w:val="18"/>
        </w:numPr>
        <w:tabs>
          <w:tab w:val="clear" w:pos="990"/>
          <w:tab w:val="num" w:pos="720"/>
        </w:tabs>
        <w:spacing w:line="240" w:lineRule="auto"/>
        <w:ind w:left="0"/>
        <w:rPr>
          <w:lang w:val="en-CA"/>
        </w:rPr>
      </w:pPr>
      <w:r w:rsidRPr="001A67C2">
        <w:rPr>
          <w:lang w:val="en-CA"/>
        </w:rPr>
        <w:t>Where credibility is at issue, an error in the reasoning of the judge assessing it has an impact on an intangible aspect.</w:t>
      </w:r>
      <w:r w:rsidR="00C5423B" w:rsidRPr="001A67C2">
        <w:rPr>
          <w:lang w:val="en-CA"/>
        </w:rPr>
        <w:t xml:space="preserve"> </w:t>
      </w:r>
      <w:r w:rsidR="00820E34" w:rsidRPr="001A67C2">
        <w:rPr>
          <w:lang w:val="en-CA"/>
        </w:rPr>
        <w:t>The fairness of the trial is then at issue.</w:t>
      </w:r>
      <w:r w:rsidR="00C5423B" w:rsidRPr="001A67C2">
        <w:rPr>
          <w:lang w:val="en-CA"/>
        </w:rPr>
        <w:t xml:space="preserve"> </w:t>
      </w:r>
      <w:r w:rsidR="000E29E4" w:rsidRPr="001A67C2">
        <w:rPr>
          <w:lang w:val="en-CA"/>
        </w:rPr>
        <w:t>This</w:t>
      </w:r>
      <w:r w:rsidR="00051EBF" w:rsidRPr="001A67C2">
        <w:rPr>
          <w:lang w:val="en-CA"/>
        </w:rPr>
        <w:t> </w:t>
      </w:r>
      <w:r w:rsidR="000E29E4" w:rsidRPr="001A67C2">
        <w:rPr>
          <w:lang w:val="en-CA"/>
        </w:rPr>
        <w:t xml:space="preserve">Court has often noted that the demonstration of an error in reasoning on this issue leads to an imbalanced and vague intellectual process, and its innocuousness generally </w:t>
      </w:r>
      <w:r w:rsidR="00051EBF" w:rsidRPr="001A67C2">
        <w:rPr>
          <w:lang w:val="en-CA"/>
        </w:rPr>
        <w:t xml:space="preserve">becomes </w:t>
      </w:r>
      <w:r w:rsidR="000E29E4" w:rsidRPr="001A67C2">
        <w:rPr>
          <w:lang w:val="en-CA"/>
        </w:rPr>
        <w:t>improbable</w:t>
      </w:r>
      <w:r w:rsidR="00051EBF" w:rsidRPr="001A67C2">
        <w:rPr>
          <w:lang w:val="en-CA"/>
        </w:rPr>
        <w:t xml:space="preserve"> (</w:t>
      </w:r>
      <w:r w:rsidR="00C5423B" w:rsidRPr="001A67C2">
        <w:rPr>
          <w:i/>
          <w:lang w:val="en-CA"/>
        </w:rPr>
        <w:t xml:space="preserve">R. </w:t>
      </w:r>
      <w:r w:rsidR="00C5423B" w:rsidRPr="001A67C2">
        <w:rPr>
          <w:i/>
          <w:color w:val="auto"/>
          <w:lang w:val="en-CA"/>
        </w:rPr>
        <w:t>c</w:t>
      </w:r>
      <w:r w:rsidR="00C5423B" w:rsidRPr="001A67C2">
        <w:rPr>
          <w:i/>
          <w:lang w:val="en-CA"/>
        </w:rPr>
        <w:t xml:space="preserve">. </w:t>
      </w:r>
      <w:r w:rsidR="00C5423B" w:rsidRPr="001A67C2">
        <w:rPr>
          <w:i/>
          <w:iCs/>
          <w:lang w:val="en-CA"/>
        </w:rPr>
        <w:t>Ratt</w:t>
      </w:r>
      <w:r w:rsidR="00C5423B" w:rsidRPr="001A67C2">
        <w:rPr>
          <w:lang w:val="en-CA"/>
        </w:rPr>
        <w:t xml:space="preserve">, 2024 QCCA 463 </w:t>
      </w:r>
      <w:r w:rsidR="00051EBF" w:rsidRPr="001A67C2">
        <w:rPr>
          <w:lang w:val="en-CA"/>
        </w:rPr>
        <w:t xml:space="preserve">at </w:t>
      </w:r>
      <w:r w:rsidR="00C5423B" w:rsidRPr="001A67C2">
        <w:rPr>
          <w:lang w:val="en-CA"/>
        </w:rPr>
        <w:t>par</w:t>
      </w:r>
      <w:r w:rsidR="00051EBF" w:rsidRPr="001A67C2">
        <w:rPr>
          <w:lang w:val="en-CA"/>
        </w:rPr>
        <w:t>a</w:t>
      </w:r>
      <w:r w:rsidR="00C5423B" w:rsidRPr="001A67C2">
        <w:rPr>
          <w:lang w:val="en-CA"/>
        </w:rPr>
        <w:t>. 53;</w:t>
      </w:r>
      <w:r w:rsidR="00C5423B" w:rsidRPr="001A67C2">
        <w:rPr>
          <w:i/>
          <w:iCs/>
          <w:lang w:val="en-CA"/>
        </w:rPr>
        <w:t xml:space="preserve"> R. </w:t>
      </w:r>
      <w:r w:rsidR="00C5423B" w:rsidRPr="001A67C2">
        <w:rPr>
          <w:i/>
          <w:iCs/>
          <w:color w:val="auto"/>
          <w:lang w:val="en-CA"/>
        </w:rPr>
        <w:t>c</w:t>
      </w:r>
      <w:r w:rsidR="00C5423B" w:rsidRPr="001A67C2">
        <w:rPr>
          <w:i/>
          <w:iCs/>
          <w:lang w:val="en-CA"/>
        </w:rPr>
        <w:t>. F.D</w:t>
      </w:r>
      <w:r w:rsidR="00C5423B" w:rsidRPr="001A67C2">
        <w:rPr>
          <w:lang w:val="en-CA"/>
        </w:rPr>
        <w:t xml:space="preserve">., 2024 QCCA 100 </w:t>
      </w:r>
      <w:r w:rsidR="00051EBF" w:rsidRPr="001A67C2">
        <w:rPr>
          <w:lang w:val="en-CA"/>
        </w:rPr>
        <w:t xml:space="preserve">at </w:t>
      </w:r>
      <w:r w:rsidR="00C5423B" w:rsidRPr="001A67C2">
        <w:rPr>
          <w:lang w:val="en-CA"/>
        </w:rPr>
        <w:t>par</w:t>
      </w:r>
      <w:r w:rsidR="00051EBF" w:rsidRPr="001A67C2">
        <w:rPr>
          <w:lang w:val="en-CA"/>
        </w:rPr>
        <w:t>a</w:t>
      </w:r>
      <w:r w:rsidR="00C5423B" w:rsidRPr="001A67C2">
        <w:rPr>
          <w:lang w:val="en-CA"/>
        </w:rPr>
        <w:t>. 14; </w:t>
      </w:r>
      <w:r w:rsidR="00C5423B" w:rsidRPr="001A67C2">
        <w:rPr>
          <w:i/>
          <w:iCs/>
          <w:lang w:val="en-CA"/>
        </w:rPr>
        <w:t>R. </w:t>
      </w:r>
      <w:r w:rsidR="00C5423B" w:rsidRPr="001A67C2">
        <w:rPr>
          <w:i/>
          <w:iCs/>
          <w:color w:val="auto"/>
          <w:lang w:val="en-CA"/>
        </w:rPr>
        <w:t>c</w:t>
      </w:r>
      <w:r w:rsidR="00C5423B" w:rsidRPr="001A67C2">
        <w:rPr>
          <w:i/>
          <w:iCs/>
          <w:lang w:val="en-CA"/>
        </w:rPr>
        <w:t>. Foomani</w:t>
      </w:r>
      <w:r w:rsidR="00C5423B" w:rsidRPr="001A67C2">
        <w:rPr>
          <w:lang w:val="en-CA"/>
        </w:rPr>
        <w:t xml:space="preserve">, 2023 QCCA 232 </w:t>
      </w:r>
      <w:r w:rsidR="00051EBF" w:rsidRPr="001A67C2">
        <w:rPr>
          <w:lang w:val="en-CA"/>
        </w:rPr>
        <w:t xml:space="preserve">at </w:t>
      </w:r>
      <w:r w:rsidR="00C5423B" w:rsidRPr="001A67C2">
        <w:rPr>
          <w:lang w:val="en-CA"/>
        </w:rPr>
        <w:t>par</w:t>
      </w:r>
      <w:r w:rsidR="00051EBF" w:rsidRPr="001A67C2">
        <w:rPr>
          <w:lang w:val="en-CA"/>
        </w:rPr>
        <w:t>a</w:t>
      </w:r>
      <w:r w:rsidR="00C5423B" w:rsidRPr="001A67C2">
        <w:rPr>
          <w:lang w:val="en-CA"/>
        </w:rPr>
        <w:t>. </w:t>
      </w:r>
      <w:r w:rsidR="00C5423B" w:rsidRPr="00436D45">
        <w:rPr>
          <w:lang w:val="en-CA"/>
        </w:rPr>
        <w:t>92; </w:t>
      </w:r>
      <w:r w:rsidR="00C5423B" w:rsidRPr="00436D45">
        <w:rPr>
          <w:i/>
          <w:iCs/>
          <w:lang w:val="en-CA"/>
        </w:rPr>
        <w:t xml:space="preserve">R. </w:t>
      </w:r>
      <w:r w:rsidR="00C5423B" w:rsidRPr="00436D45">
        <w:rPr>
          <w:i/>
          <w:iCs/>
          <w:color w:val="auto"/>
          <w:lang w:val="en-CA"/>
        </w:rPr>
        <w:t>c</w:t>
      </w:r>
      <w:r w:rsidR="00C5423B" w:rsidRPr="00436D45">
        <w:rPr>
          <w:i/>
          <w:iCs/>
          <w:lang w:val="en-CA"/>
        </w:rPr>
        <w:t>. Lessard</w:t>
      </w:r>
      <w:r w:rsidR="00C5423B" w:rsidRPr="00436D45">
        <w:rPr>
          <w:lang w:val="en-CA"/>
        </w:rPr>
        <w:t>, 2022 QCCA 1396; </w:t>
      </w:r>
      <w:r w:rsidR="00C5423B" w:rsidRPr="00436D45">
        <w:rPr>
          <w:i/>
          <w:iCs/>
          <w:lang w:val="en-CA"/>
        </w:rPr>
        <w:t xml:space="preserve">R. </w:t>
      </w:r>
      <w:r w:rsidR="00C5423B" w:rsidRPr="00436D45">
        <w:rPr>
          <w:i/>
          <w:iCs/>
          <w:color w:val="auto"/>
          <w:lang w:val="en-CA"/>
        </w:rPr>
        <w:t>c</w:t>
      </w:r>
      <w:r w:rsidR="00C5423B" w:rsidRPr="00436D45">
        <w:rPr>
          <w:i/>
          <w:iCs/>
          <w:lang w:val="en-CA"/>
        </w:rPr>
        <w:t>. G.G</w:t>
      </w:r>
      <w:r w:rsidR="00C5423B" w:rsidRPr="00436D45">
        <w:rPr>
          <w:lang w:val="en-CA"/>
        </w:rPr>
        <w:t>., 2021 QCCA 1835; </w:t>
      </w:r>
      <w:r w:rsidR="00C5423B" w:rsidRPr="00436D45">
        <w:rPr>
          <w:i/>
          <w:iCs/>
          <w:lang w:val="en-CA"/>
        </w:rPr>
        <w:t xml:space="preserve">R. </w:t>
      </w:r>
      <w:r w:rsidR="00C5423B" w:rsidRPr="00436D45">
        <w:rPr>
          <w:i/>
          <w:iCs/>
          <w:color w:val="auto"/>
          <w:lang w:val="en-CA"/>
        </w:rPr>
        <w:t>c</w:t>
      </w:r>
      <w:r w:rsidR="00C5423B" w:rsidRPr="00436D45">
        <w:rPr>
          <w:i/>
          <w:iCs/>
          <w:lang w:val="en-CA"/>
        </w:rPr>
        <w:t>. Fort Théagène</w:t>
      </w:r>
      <w:r w:rsidR="00C5423B" w:rsidRPr="00436D45">
        <w:rPr>
          <w:lang w:val="en-CA"/>
        </w:rPr>
        <w:t xml:space="preserve">, 2021 QCCA 637 </w:t>
      </w:r>
      <w:r w:rsidR="00051EBF" w:rsidRPr="00436D45">
        <w:rPr>
          <w:lang w:val="en-CA"/>
        </w:rPr>
        <w:t xml:space="preserve">at </w:t>
      </w:r>
      <w:r w:rsidR="00C5423B" w:rsidRPr="00436D45">
        <w:rPr>
          <w:lang w:val="en-CA"/>
        </w:rPr>
        <w:t>par</w:t>
      </w:r>
      <w:r w:rsidR="00051EBF" w:rsidRPr="00436D45">
        <w:rPr>
          <w:lang w:val="en-CA"/>
        </w:rPr>
        <w:t>a</w:t>
      </w:r>
      <w:r w:rsidR="00C5423B" w:rsidRPr="00436D45">
        <w:rPr>
          <w:lang w:val="en-CA"/>
        </w:rPr>
        <w:t xml:space="preserve">. </w:t>
      </w:r>
      <w:r w:rsidR="00C5423B" w:rsidRPr="001A67C2">
        <w:rPr>
          <w:lang w:val="en-CA"/>
        </w:rPr>
        <w:t xml:space="preserve">44; </w:t>
      </w:r>
      <w:r w:rsidR="00C5423B" w:rsidRPr="001A67C2">
        <w:rPr>
          <w:i/>
          <w:iCs/>
          <w:lang w:val="en-CA"/>
        </w:rPr>
        <w:t>LSJPA — 1521</w:t>
      </w:r>
      <w:r w:rsidR="00C5423B" w:rsidRPr="001A67C2">
        <w:rPr>
          <w:lang w:val="en-CA"/>
        </w:rPr>
        <w:t>, 2015 QCCA 1229</w:t>
      </w:r>
      <w:r w:rsidR="00051EBF" w:rsidRPr="001A67C2">
        <w:rPr>
          <w:lang w:val="en-CA"/>
        </w:rPr>
        <w:t>)</w:t>
      </w:r>
      <w:r w:rsidR="00C5423B" w:rsidRPr="001A67C2">
        <w:rPr>
          <w:lang w:val="en-CA"/>
        </w:rPr>
        <w:t>.</w:t>
      </w:r>
    </w:p>
    <w:p w14:paraId="591B3CE4" w14:textId="22A1EF0D" w:rsidR="00011070" w:rsidRPr="001A67C2" w:rsidRDefault="00051EBF" w:rsidP="00266393">
      <w:pPr>
        <w:pStyle w:val="JgtParagraphe"/>
        <w:numPr>
          <w:ilvl w:val="0"/>
          <w:numId w:val="18"/>
        </w:numPr>
        <w:tabs>
          <w:tab w:val="clear" w:pos="990"/>
          <w:tab w:val="num" w:pos="720"/>
        </w:tabs>
        <w:spacing w:line="240" w:lineRule="auto"/>
        <w:ind w:left="0"/>
        <w:rPr>
          <w:lang w:val="en-CA"/>
        </w:rPr>
      </w:pPr>
      <w:r w:rsidRPr="001A67C2">
        <w:rPr>
          <w:color w:val="auto"/>
          <w:lang w:val="en-CA"/>
        </w:rPr>
        <w:t xml:space="preserve">The appellant states that the judge </w:t>
      </w:r>
      <w:r w:rsidR="00654ED9">
        <w:rPr>
          <w:color w:val="auto"/>
          <w:lang w:val="en-CA"/>
        </w:rPr>
        <w:t>erred in</w:t>
      </w:r>
      <w:r w:rsidRPr="001A67C2">
        <w:rPr>
          <w:color w:val="auto"/>
          <w:lang w:val="en-CA"/>
        </w:rPr>
        <w:t xml:space="preserve"> assessing the evidence.</w:t>
      </w:r>
      <w:r w:rsidR="00C5423B" w:rsidRPr="001A67C2">
        <w:rPr>
          <w:lang w:val="en-CA"/>
        </w:rPr>
        <w:t xml:space="preserve"> </w:t>
      </w:r>
      <w:r w:rsidR="00884A73" w:rsidRPr="001A67C2">
        <w:rPr>
          <w:color w:val="auto"/>
          <w:lang w:val="en-CA"/>
        </w:rPr>
        <w:t>The Court is of the view that the appellant is correct and that the appeal should be allowed.</w:t>
      </w:r>
      <w:r w:rsidR="00C5423B" w:rsidRPr="001A67C2">
        <w:rPr>
          <w:lang w:val="en-CA"/>
        </w:rPr>
        <w:t xml:space="preserve"> </w:t>
      </w:r>
      <w:r w:rsidR="00504A3F">
        <w:rPr>
          <w:color w:val="auto"/>
          <w:lang w:val="en-CA"/>
        </w:rPr>
        <w:t>The</w:t>
      </w:r>
      <w:r w:rsidR="000F62BF" w:rsidRPr="001A67C2">
        <w:rPr>
          <w:color w:val="auto"/>
          <w:lang w:val="en-CA"/>
        </w:rPr>
        <w:t xml:space="preserve"> judge clearly committed several errors</w:t>
      </w:r>
      <w:r w:rsidR="00504A3F">
        <w:rPr>
          <w:color w:val="auto"/>
          <w:lang w:val="en-CA"/>
        </w:rPr>
        <w:t xml:space="preserve"> in this case</w:t>
      </w:r>
      <w:r w:rsidR="000F62BF" w:rsidRPr="001A67C2">
        <w:rPr>
          <w:color w:val="auto"/>
          <w:lang w:val="en-CA"/>
        </w:rPr>
        <w:t>.</w:t>
      </w:r>
      <w:r w:rsidR="00C5423B" w:rsidRPr="001A67C2">
        <w:rPr>
          <w:lang w:val="en-CA"/>
        </w:rPr>
        <w:t xml:space="preserve"> </w:t>
      </w:r>
      <w:r w:rsidR="00806823" w:rsidRPr="001A67C2">
        <w:rPr>
          <w:lang w:val="en-CA"/>
        </w:rPr>
        <w:t>The following are examples</w:t>
      </w:r>
      <w:r w:rsidR="008E6A91" w:rsidRPr="001A67C2">
        <w:rPr>
          <w:lang w:val="en-CA"/>
        </w:rPr>
        <w:t xml:space="preserve"> of this</w:t>
      </w:r>
      <w:r w:rsidR="00806823" w:rsidRPr="001A67C2">
        <w:rPr>
          <w:lang w:val="en-CA"/>
        </w:rPr>
        <w:t>.</w:t>
      </w:r>
    </w:p>
    <w:p w14:paraId="04FBD70A" w14:textId="531BECA9" w:rsidR="00011070" w:rsidRPr="001A67C2" w:rsidRDefault="008E6A91" w:rsidP="00266393">
      <w:pPr>
        <w:pStyle w:val="JgtParagraphe"/>
        <w:numPr>
          <w:ilvl w:val="0"/>
          <w:numId w:val="18"/>
        </w:numPr>
        <w:tabs>
          <w:tab w:val="clear" w:pos="990"/>
          <w:tab w:val="num" w:pos="720"/>
        </w:tabs>
        <w:spacing w:line="240" w:lineRule="auto"/>
        <w:ind w:left="0"/>
        <w:rPr>
          <w:lang w:val="en-CA"/>
        </w:rPr>
      </w:pPr>
      <w:r w:rsidRPr="001A67C2">
        <w:rPr>
          <w:lang w:val="en-CA"/>
        </w:rPr>
        <w:t xml:space="preserve">The judge applied the rules </w:t>
      </w:r>
      <w:r w:rsidR="00553DCE" w:rsidRPr="001A67C2">
        <w:rPr>
          <w:lang w:val="en-CA"/>
        </w:rPr>
        <w:t>concerning</w:t>
      </w:r>
      <w:r w:rsidRPr="001A67C2">
        <w:rPr>
          <w:lang w:val="en-CA"/>
        </w:rPr>
        <w:t xml:space="preserve"> </w:t>
      </w:r>
      <w:r w:rsidR="00553DCE" w:rsidRPr="001A67C2">
        <w:rPr>
          <w:lang w:val="en-CA"/>
        </w:rPr>
        <w:t>children</w:t>
      </w:r>
      <w:r w:rsidR="00C465BE">
        <w:rPr>
          <w:lang w:val="en-CA"/>
        </w:rPr>
        <w:t>’</w:t>
      </w:r>
      <w:r w:rsidR="00553DCE" w:rsidRPr="001A67C2">
        <w:rPr>
          <w:lang w:val="en-CA"/>
        </w:rPr>
        <w:t xml:space="preserve">s testimony </w:t>
      </w:r>
      <w:r w:rsidRPr="001A67C2">
        <w:rPr>
          <w:lang w:val="en-CA"/>
        </w:rPr>
        <w:t xml:space="preserve">to the </w:t>
      </w:r>
      <w:r w:rsidR="00553DCE" w:rsidRPr="001A67C2">
        <w:rPr>
          <w:lang w:val="en-CA"/>
        </w:rPr>
        <w:t>complainant</w:t>
      </w:r>
      <w:r w:rsidRPr="001A67C2">
        <w:rPr>
          <w:lang w:val="en-CA"/>
        </w:rPr>
        <w:t xml:space="preserve"> because of her age.</w:t>
      </w:r>
      <w:r w:rsidR="00C5423B" w:rsidRPr="001A67C2">
        <w:rPr>
          <w:lang w:val="en-CA"/>
        </w:rPr>
        <w:t xml:space="preserve"> </w:t>
      </w:r>
      <w:r w:rsidR="003579ED" w:rsidRPr="001A67C2">
        <w:rPr>
          <w:lang w:val="en-CA"/>
        </w:rPr>
        <w:t>The judgment is explicit in this regard.</w:t>
      </w:r>
      <w:r w:rsidR="00C5423B" w:rsidRPr="001A67C2">
        <w:rPr>
          <w:lang w:val="en-CA"/>
        </w:rPr>
        <w:t xml:space="preserve"> </w:t>
      </w:r>
      <w:r w:rsidR="00553DCE" w:rsidRPr="001A67C2">
        <w:rPr>
          <w:lang w:val="en-CA"/>
        </w:rPr>
        <w:t xml:space="preserve">However, he did not do this </w:t>
      </w:r>
      <w:r w:rsidR="00553DCE" w:rsidRPr="001A67C2">
        <w:rPr>
          <w:lang w:val="en-CA"/>
        </w:rPr>
        <w:lastRenderedPageBreak/>
        <w:t>with respect to the appellant</w:t>
      </w:r>
      <w:r w:rsidR="00504A3F">
        <w:rPr>
          <w:lang w:val="en-CA"/>
        </w:rPr>
        <w:t xml:space="preserve"> even though he</w:t>
      </w:r>
      <w:r w:rsidR="00553DCE" w:rsidRPr="001A67C2">
        <w:rPr>
          <w:lang w:val="en-CA"/>
        </w:rPr>
        <w:t xml:space="preserve"> was the same age.</w:t>
      </w:r>
      <w:r w:rsidR="00C5423B" w:rsidRPr="001A67C2">
        <w:rPr>
          <w:lang w:val="en-CA"/>
        </w:rPr>
        <w:t xml:space="preserve"> </w:t>
      </w:r>
      <w:r w:rsidR="00994595" w:rsidRPr="001A67C2">
        <w:rPr>
          <w:lang w:val="en-CA"/>
        </w:rPr>
        <w:t xml:space="preserve">The judge therefore assessed the credibility of the appellant and </w:t>
      </w:r>
      <w:r w:rsidR="006D1B9C">
        <w:rPr>
          <w:lang w:val="en-CA"/>
        </w:rPr>
        <w:t xml:space="preserve">that </w:t>
      </w:r>
      <w:r w:rsidR="00994595" w:rsidRPr="001A67C2">
        <w:rPr>
          <w:lang w:val="en-CA"/>
        </w:rPr>
        <w:t xml:space="preserve">of the complainant on different bases, which nothing </w:t>
      </w:r>
      <w:r w:rsidR="006D1B9C">
        <w:rPr>
          <w:lang w:val="en-CA"/>
        </w:rPr>
        <w:t>permits</w:t>
      </w:r>
      <w:r w:rsidR="00994595" w:rsidRPr="001A67C2">
        <w:rPr>
          <w:lang w:val="en-CA"/>
        </w:rPr>
        <w:t xml:space="preserve"> in the circumstances.</w:t>
      </w:r>
    </w:p>
    <w:p w14:paraId="4C7556CD" w14:textId="019C48B8" w:rsidR="00011070" w:rsidRPr="001A67C2" w:rsidRDefault="00677608" w:rsidP="00266393">
      <w:pPr>
        <w:pStyle w:val="JgtParagraphe"/>
        <w:numPr>
          <w:ilvl w:val="0"/>
          <w:numId w:val="18"/>
        </w:numPr>
        <w:tabs>
          <w:tab w:val="clear" w:pos="990"/>
          <w:tab w:val="num" w:pos="720"/>
        </w:tabs>
        <w:spacing w:line="240" w:lineRule="auto"/>
        <w:ind w:left="0"/>
        <w:rPr>
          <w:lang w:val="en-CA"/>
        </w:rPr>
      </w:pPr>
      <w:r w:rsidRPr="001A67C2">
        <w:rPr>
          <w:lang w:val="en-CA"/>
        </w:rPr>
        <w:t>With respect to the complainant</w:t>
      </w:r>
      <w:r w:rsidR="00C465BE">
        <w:rPr>
          <w:lang w:val="en-CA"/>
        </w:rPr>
        <w:t>’</w:t>
      </w:r>
      <w:r w:rsidRPr="001A67C2">
        <w:rPr>
          <w:lang w:val="en-CA"/>
        </w:rPr>
        <w:t>s testimony, the judge referred to the Supreme</w:t>
      </w:r>
      <w:r w:rsidR="006D1B9C">
        <w:rPr>
          <w:lang w:val="en-CA"/>
        </w:rPr>
        <w:t> </w:t>
      </w:r>
      <w:r w:rsidRPr="001A67C2">
        <w:rPr>
          <w:lang w:val="en-CA"/>
        </w:rPr>
        <w:t>Court</w:t>
      </w:r>
      <w:r w:rsidR="00C465BE">
        <w:rPr>
          <w:lang w:val="en-CA"/>
        </w:rPr>
        <w:t>’</w:t>
      </w:r>
      <w:r w:rsidRPr="001A67C2">
        <w:rPr>
          <w:lang w:val="en-CA"/>
        </w:rPr>
        <w:t>s remarks on the assessment of children</w:t>
      </w:r>
      <w:r w:rsidR="00C465BE">
        <w:rPr>
          <w:lang w:val="en-CA"/>
        </w:rPr>
        <w:t>’</w:t>
      </w:r>
      <w:r w:rsidRPr="001A67C2">
        <w:rPr>
          <w:lang w:val="en-CA"/>
        </w:rPr>
        <w:t>s testimony</w:t>
      </w:r>
      <w:r w:rsidR="006D1B9C">
        <w:rPr>
          <w:lang w:val="en-CA"/>
        </w:rPr>
        <w:t>, writing</w:t>
      </w:r>
      <w:r w:rsidRPr="001A67C2">
        <w:rPr>
          <w:lang w:val="en-CA"/>
        </w:rPr>
        <w:t>:</w:t>
      </w:r>
    </w:p>
    <w:p w14:paraId="6B1062DC" w14:textId="7D4A7F7A" w:rsidR="00A07B4D" w:rsidRPr="001A67C2" w:rsidRDefault="00A07B4D" w:rsidP="00A07B4D">
      <w:pPr>
        <w:pStyle w:val="JgtParagraphe"/>
        <w:tabs>
          <w:tab w:val="clear" w:pos="720"/>
        </w:tabs>
        <w:spacing w:line="240" w:lineRule="auto"/>
        <w:ind w:left="720"/>
        <w:rPr>
          <w:sz w:val="22"/>
          <w:szCs w:val="22"/>
          <w:lang w:val="en-CA"/>
        </w:rPr>
      </w:pPr>
      <w:r w:rsidRPr="001A67C2">
        <w:rPr>
          <w:sz w:val="22"/>
          <w:szCs w:val="22"/>
          <w:lang w:val="en-CA"/>
        </w:rPr>
        <w:t>[</w:t>
      </w:r>
      <w:r w:rsidRPr="001A67C2">
        <w:rPr>
          <w:smallCaps/>
          <w:sz w:val="22"/>
          <w:szCs w:val="22"/>
          <w:lang w:val="en-CA"/>
        </w:rPr>
        <w:t>translation</w:t>
      </w:r>
      <w:r w:rsidRPr="001A67C2">
        <w:rPr>
          <w:sz w:val="22"/>
          <w:szCs w:val="22"/>
          <w:lang w:val="en-CA"/>
        </w:rPr>
        <w:t>]</w:t>
      </w:r>
    </w:p>
    <w:p w14:paraId="4C8FCAD7" w14:textId="65D77691" w:rsidR="00011070" w:rsidRPr="001A67C2" w:rsidRDefault="00A07B4D" w:rsidP="00266393">
      <w:pPr>
        <w:pStyle w:val="JgtCit1"/>
        <w:rPr>
          <w:lang w:val="en-CA"/>
        </w:rPr>
      </w:pPr>
      <w:r w:rsidRPr="001A67C2">
        <w:rPr>
          <w:lang w:val="en-CA"/>
        </w:rPr>
        <w:t xml:space="preserve">[136] </w:t>
      </w:r>
      <w:r w:rsidR="006D1B9C">
        <w:rPr>
          <w:lang w:val="en-CA"/>
        </w:rPr>
        <w:t>In</w:t>
      </w:r>
      <w:r w:rsidRPr="001A67C2">
        <w:rPr>
          <w:lang w:val="en-CA"/>
        </w:rPr>
        <w:t xml:space="preserve"> assessing the complainant</w:t>
      </w:r>
      <w:r w:rsidR="00C465BE">
        <w:rPr>
          <w:lang w:val="en-CA"/>
        </w:rPr>
        <w:t>’</w:t>
      </w:r>
      <w:r w:rsidRPr="001A67C2">
        <w:rPr>
          <w:lang w:val="en-CA"/>
        </w:rPr>
        <w:t>s testimony, the Court cannot simply disregard the fact that she was a young adolescent at the time of the events.</w:t>
      </w:r>
    </w:p>
    <w:p w14:paraId="4365882D" w14:textId="0D452CC4" w:rsidR="00011070" w:rsidRPr="001A67C2" w:rsidRDefault="00BA6F8F" w:rsidP="00266393">
      <w:pPr>
        <w:pStyle w:val="JgtCit1"/>
        <w:rPr>
          <w:lang w:val="en-CA"/>
        </w:rPr>
      </w:pPr>
      <w:r w:rsidRPr="001A67C2">
        <w:rPr>
          <w:lang w:val="en-CA"/>
        </w:rPr>
        <w:t xml:space="preserve">[137] Thus, the judge had to </w:t>
      </w:r>
      <w:r w:rsidR="004152F2">
        <w:rPr>
          <w:lang w:val="en-CA"/>
        </w:rPr>
        <w:t xml:space="preserve">specifically </w:t>
      </w:r>
      <w:r w:rsidRPr="001A67C2">
        <w:rPr>
          <w:lang w:val="en-CA"/>
        </w:rPr>
        <w:t xml:space="preserve">assess the importance of the lack of details in this case on issues that could </w:t>
      </w:r>
      <w:r w:rsidR="004152F2">
        <w:rPr>
          <w:lang w:val="en-CA"/>
        </w:rPr>
        <w:t xml:space="preserve">be </w:t>
      </w:r>
      <w:r w:rsidRPr="001A67C2">
        <w:rPr>
          <w:lang w:val="en-CA"/>
        </w:rPr>
        <w:t>considered secondary.</w:t>
      </w:r>
    </w:p>
    <w:p w14:paraId="2925F9AB" w14:textId="290D16FB" w:rsidR="00011070" w:rsidRPr="001A67C2" w:rsidRDefault="00F27D56" w:rsidP="00266393">
      <w:pPr>
        <w:pStyle w:val="JgtCit1"/>
        <w:jc w:val="right"/>
        <w:rPr>
          <w:lang w:val="en-CA"/>
        </w:rPr>
      </w:pPr>
      <w:r w:rsidRPr="001A67C2">
        <w:rPr>
          <w:lang w:val="en-CA"/>
        </w:rPr>
        <w:t>[Reference omitted.]</w:t>
      </w:r>
    </w:p>
    <w:p w14:paraId="30E7EE5D" w14:textId="19D73BFC" w:rsidR="00011070" w:rsidRPr="001A67C2" w:rsidRDefault="002F4559" w:rsidP="00266393">
      <w:pPr>
        <w:pStyle w:val="JgtParagraphe"/>
        <w:numPr>
          <w:ilvl w:val="0"/>
          <w:numId w:val="18"/>
        </w:numPr>
        <w:tabs>
          <w:tab w:val="clear" w:pos="990"/>
          <w:tab w:val="num" w:pos="720"/>
        </w:tabs>
        <w:spacing w:line="240" w:lineRule="auto"/>
        <w:ind w:left="0"/>
        <w:rPr>
          <w:lang w:val="en-CA"/>
        </w:rPr>
      </w:pPr>
      <w:r w:rsidRPr="001A67C2">
        <w:rPr>
          <w:lang w:val="en-CA"/>
        </w:rPr>
        <w:t xml:space="preserve">While it </w:t>
      </w:r>
      <w:r w:rsidR="0023567E">
        <w:rPr>
          <w:lang w:val="en-CA"/>
        </w:rPr>
        <w:t>was</w:t>
      </w:r>
      <w:r w:rsidRPr="001A67C2">
        <w:rPr>
          <w:lang w:val="en-CA"/>
        </w:rPr>
        <w:t xml:space="preserve"> not incorrect to consider that age alone </w:t>
      </w:r>
      <w:r w:rsidR="006D1B9C">
        <w:rPr>
          <w:lang w:val="en-CA"/>
        </w:rPr>
        <w:t xml:space="preserve">could </w:t>
      </w:r>
      <w:r w:rsidR="0023567E">
        <w:rPr>
          <w:lang w:val="en-CA"/>
        </w:rPr>
        <w:t>affect</w:t>
      </w:r>
      <w:r w:rsidRPr="001A67C2">
        <w:rPr>
          <w:lang w:val="en-CA"/>
        </w:rPr>
        <w:t xml:space="preserve"> the assessment of the complainant</w:t>
      </w:r>
      <w:r w:rsidR="00C465BE">
        <w:rPr>
          <w:lang w:val="en-CA"/>
        </w:rPr>
        <w:t>’</w:t>
      </w:r>
      <w:r w:rsidRPr="001A67C2">
        <w:rPr>
          <w:lang w:val="en-CA"/>
        </w:rPr>
        <w:t xml:space="preserve">s account, the judge did not </w:t>
      </w:r>
      <w:r w:rsidR="0023567E">
        <w:rPr>
          <w:lang w:val="en-CA"/>
        </w:rPr>
        <w:t>apply</w:t>
      </w:r>
      <w:r w:rsidRPr="001A67C2">
        <w:rPr>
          <w:lang w:val="en-CA"/>
        </w:rPr>
        <w:t xml:space="preserve"> the same caveat when he assessed the testimony of the appellant, </w:t>
      </w:r>
      <w:r w:rsidR="0023567E">
        <w:rPr>
          <w:lang w:val="en-CA"/>
        </w:rPr>
        <w:t>even though he</w:t>
      </w:r>
      <w:r w:rsidRPr="001A67C2">
        <w:rPr>
          <w:lang w:val="en-CA"/>
        </w:rPr>
        <w:t xml:space="preserve"> was the same age.</w:t>
      </w:r>
      <w:r w:rsidR="00C5423B" w:rsidRPr="001A67C2">
        <w:rPr>
          <w:lang w:val="en-CA"/>
        </w:rPr>
        <w:t xml:space="preserve"> </w:t>
      </w:r>
      <w:r w:rsidR="004F3CE0" w:rsidRPr="001A67C2">
        <w:rPr>
          <w:lang w:val="en-CA"/>
        </w:rPr>
        <w:t xml:space="preserve">Nothing suggests that his development </w:t>
      </w:r>
      <w:r w:rsidR="00B6666C">
        <w:rPr>
          <w:lang w:val="en-CA"/>
        </w:rPr>
        <w:t>or</w:t>
      </w:r>
      <w:r w:rsidR="004F3CE0" w:rsidRPr="001A67C2">
        <w:rPr>
          <w:lang w:val="en-CA"/>
        </w:rPr>
        <w:t xml:space="preserve"> the passage of time ha</w:t>
      </w:r>
      <w:r w:rsidR="00973451">
        <w:rPr>
          <w:lang w:val="en-CA"/>
        </w:rPr>
        <w:t>s</w:t>
      </w:r>
      <w:r w:rsidR="004F3CE0" w:rsidRPr="001A67C2">
        <w:rPr>
          <w:lang w:val="en-CA"/>
        </w:rPr>
        <w:t xml:space="preserve"> had less of an </w:t>
      </w:r>
      <w:r w:rsidR="0023567E">
        <w:rPr>
          <w:lang w:val="en-CA"/>
        </w:rPr>
        <w:t>impact</w:t>
      </w:r>
      <w:r w:rsidR="004F3CE0" w:rsidRPr="001A67C2">
        <w:rPr>
          <w:lang w:val="en-CA"/>
        </w:rPr>
        <w:t xml:space="preserve"> on his memory of the events.</w:t>
      </w:r>
    </w:p>
    <w:p w14:paraId="4CB02613" w14:textId="22C0BEA3" w:rsidR="00011070" w:rsidRPr="001A67C2" w:rsidRDefault="006604DF" w:rsidP="00266393">
      <w:pPr>
        <w:pStyle w:val="JgtParagraphe"/>
        <w:numPr>
          <w:ilvl w:val="0"/>
          <w:numId w:val="18"/>
        </w:numPr>
        <w:tabs>
          <w:tab w:val="clear" w:pos="990"/>
          <w:tab w:val="num" w:pos="720"/>
        </w:tabs>
        <w:spacing w:line="240" w:lineRule="auto"/>
        <w:ind w:left="0"/>
        <w:rPr>
          <w:lang w:val="en-CA"/>
        </w:rPr>
      </w:pPr>
      <w:r w:rsidRPr="001A67C2">
        <w:rPr>
          <w:lang w:val="en-CA"/>
        </w:rPr>
        <w:t>The principles set out by the Supreme Court apply to all witnesses, including the appellant (</w:t>
      </w:r>
      <w:r w:rsidR="006605C8" w:rsidRPr="001A67C2">
        <w:rPr>
          <w:i/>
          <w:iCs/>
          <w:color w:val="auto"/>
          <w:lang w:val="en-CA"/>
        </w:rPr>
        <w:t>LSJPA — 2232,</w:t>
      </w:r>
      <w:r w:rsidR="006605C8" w:rsidRPr="001A67C2">
        <w:rPr>
          <w:color w:val="auto"/>
          <w:lang w:val="en-CA"/>
        </w:rPr>
        <w:t xml:space="preserve"> 2022 QCCA 1685 at para.</w:t>
      </w:r>
      <w:r w:rsidR="00C5423B" w:rsidRPr="001A67C2">
        <w:rPr>
          <w:lang w:val="en-CA"/>
        </w:rPr>
        <w:t xml:space="preserve"> 67</w:t>
      </w:r>
      <w:r w:rsidR="00BD1563" w:rsidRPr="001A67C2">
        <w:rPr>
          <w:lang w:val="en-CA"/>
        </w:rPr>
        <w:t>)</w:t>
      </w:r>
      <w:r w:rsidR="00C5423B" w:rsidRPr="001A67C2">
        <w:rPr>
          <w:lang w:val="en-CA"/>
        </w:rPr>
        <w:t>.</w:t>
      </w:r>
    </w:p>
    <w:p w14:paraId="1CB17AE6" w14:textId="200F7651" w:rsidR="00011070" w:rsidRPr="001A67C2" w:rsidRDefault="00BD1563" w:rsidP="00266393">
      <w:pPr>
        <w:pStyle w:val="JgtParagraphe"/>
        <w:numPr>
          <w:ilvl w:val="0"/>
          <w:numId w:val="18"/>
        </w:numPr>
        <w:tabs>
          <w:tab w:val="clear" w:pos="990"/>
          <w:tab w:val="num" w:pos="720"/>
        </w:tabs>
        <w:spacing w:line="240" w:lineRule="auto"/>
        <w:ind w:left="0"/>
        <w:rPr>
          <w:lang w:val="en-CA"/>
        </w:rPr>
      </w:pPr>
      <w:r w:rsidRPr="001A67C2">
        <w:rPr>
          <w:lang w:val="en-CA"/>
        </w:rPr>
        <w:t>But there is more.</w:t>
      </w:r>
      <w:r w:rsidR="00C5423B" w:rsidRPr="001A67C2">
        <w:rPr>
          <w:lang w:val="en-CA"/>
        </w:rPr>
        <w:t xml:space="preserve"> </w:t>
      </w:r>
      <w:r w:rsidR="00E77C67" w:rsidRPr="001A67C2">
        <w:rPr>
          <w:lang w:val="en-CA"/>
        </w:rPr>
        <w:t xml:space="preserve">It is clear that the judge did not apply the same standard </w:t>
      </w:r>
      <w:r w:rsidR="00504A3F">
        <w:rPr>
          <w:lang w:val="en-CA"/>
        </w:rPr>
        <w:t>wh</w:t>
      </w:r>
      <w:r w:rsidR="00B21625">
        <w:rPr>
          <w:lang w:val="en-CA"/>
        </w:rPr>
        <w:t>en</w:t>
      </w:r>
      <w:r w:rsidR="00E77C67" w:rsidRPr="001A67C2">
        <w:rPr>
          <w:lang w:val="en-CA"/>
        </w:rPr>
        <w:t xml:space="preserve"> assessing the</w:t>
      </w:r>
      <w:r w:rsidR="00B21625">
        <w:rPr>
          <w:lang w:val="en-CA"/>
        </w:rPr>
        <w:t>ir</w:t>
      </w:r>
      <w:r w:rsidR="00E77C67" w:rsidRPr="001A67C2">
        <w:rPr>
          <w:lang w:val="en-CA"/>
        </w:rPr>
        <w:t xml:space="preserve"> testimony.</w:t>
      </w:r>
      <w:r w:rsidR="00C5423B" w:rsidRPr="001A67C2">
        <w:rPr>
          <w:lang w:val="en-CA"/>
        </w:rPr>
        <w:t xml:space="preserve"> </w:t>
      </w:r>
      <w:r w:rsidR="00F63530" w:rsidRPr="001A67C2">
        <w:rPr>
          <w:lang w:val="en-CA"/>
        </w:rPr>
        <w:t>This bias is reflected in the judgment.</w:t>
      </w:r>
      <w:r w:rsidR="00C5423B" w:rsidRPr="001A67C2">
        <w:rPr>
          <w:lang w:val="en-CA"/>
        </w:rPr>
        <w:t xml:space="preserve"> </w:t>
      </w:r>
      <w:r w:rsidR="00641AC9" w:rsidRPr="001A67C2">
        <w:rPr>
          <w:lang w:val="en-CA"/>
        </w:rPr>
        <w:t xml:space="preserve">The errors in his reasoning led the judge to a poor assessment of the evidence, and the outcome </w:t>
      </w:r>
      <w:r w:rsidR="000F321E">
        <w:rPr>
          <w:lang w:val="en-CA"/>
        </w:rPr>
        <w:t xml:space="preserve">contributed to </w:t>
      </w:r>
      <w:r w:rsidR="00641AC9" w:rsidRPr="001A67C2">
        <w:rPr>
          <w:lang w:val="en-CA"/>
        </w:rPr>
        <w:t>a miscarriage of justice (</w:t>
      </w:r>
      <w:r w:rsidR="00C5423B" w:rsidRPr="001A67C2">
        <w:rPr>
          <w:i/>
          <w:iCs/>
          <w:lang w:val="en-CA"/>
        </w:rPr>
        <w:t xml:space="preserve">R. </w:t>
      </w:r>
      <w:r w:rsidR="00654ED9">
        <w:rPr>
          <w:i/>
          <w:iCs/>
          <w:lang w:val="en-CA"/>
        </w:rPr>
        <w:t>v</w:t>
      </w:r>
      <w:r w:rsidR="00C5423B" w:rsidRPr="001A67C2">
        <w:rPr>
          <w:i/>
          <w:iCs/>
          <w:lang w:val="en-CA"/>
        </w:rPr>
        <w:t>. G.F</w:t>
      </w:r>
      <w:r w:rsidR="00C5423B" w:rsidRPr="001A67C2">
        <w:rPr>
          <w:lang w:val="en-CA"/>
        </w:rPr>
        <w:t>., [2021] 1</w:t>
      </w:r>
      <w:r w:rsidR="003B0FF1" w:rsidRPr="001A67C2">
        <w:rPr>
          <w:lang w:val="en-CA"/>
        </w:rPr>
        <w:t> </w:t>
      </w:r>
      <w:r w:rsidR="00C5423B" w:rsidRPr="001A67C2">
        <w:rPr>
          <w:color w:val="auto"/>
          <w:lang w:val="en-CA"/>
        </w:rPr>
        <w:t>S.C.R</w:t>
      </w:r>
      <w:r w:rsidR="00C5423B" w:rsidRPr="001A67C2">
        <w:rPr>
          <w:lang w:val="en-CA"/>
        </w:rPr>
        <w:t xml:space="preserve">. 801 </w:t>
      </w:r>
      <w:r w:rsidR="003B0FF1" w:rsidRPr="001A67C2">
        <w:rPr>
          <w:lang w:val="en-CA"/>
        </w:rPr>
        <w:t xml:space="preserve">at </w:t>
      </w:r>
      <w:r w:rsidR="00C5423B" w:rsidRPr="001A67C2">
        <w:rPr>
          <w:lang w:val="en-CA"/>
        </w:rPr>
        <w:t>par</w:t>
      </w:r>
      <w:r w:rsidR="003B0FF1" w:rsidRPr="001A67C2">
        <w:rPr>
          <w:lang w:val="en-CA"/>
        </w:rPr>
        <w:t>as</w:t>
      </w:r>
      <w:r w:rsidR="00C5423B" w:rsidRPr="001A67C2">
        <w:rPr>
          <w:lang w:val="en-CA"/>
        </w:rPr>
        <w:t>.</w:t>
      </w:r>
      <w:r w:rsidR="002D71A4">
        <w:rPr>
          <w:lang w:val="en-CA"/>
        </w:rPr>
        <w:t xml:space="preserve"> </w:t>
      </w:r>
      <w:r w:rsidR="00C5423B" w:rsidRPr="001A67C2">
        <w:rPr>
          <w:lang w:val="en-CA"/>
        </w:rPr>
        <w:t>100</w:t>
      </w:r>
      <w:r w:rsidR="003B0FF1" w:rsidRPr="001A67C2">
        <w:rPr>
          <w:lang w:val="en-CA"/>
        </w:rPr>
        <w:t>–</w:t>
      </w:r>
      <w:r w:rsidR="00C5423B" w:rsidRPr="001A67C2">
        <w:rPr>
          <w:lang w:val="en-CA"/>
        </w:rPr>
        <w:t>101</w:t>
      </w:r>
      <w:r w:rsidR="003B0FF1" w:rsidRPr="001A67C2">
        <w:rPr>
          <w:lang w:val="en-CA"/>
        </w:rPr>
        <w:t>)</w:t>
      </w:r>
      <w:r w:rsidR="00C5423B" w:rsidRPr="001A67C2">
        <w:rPr>
          <w:lang w:val="en-CA"/>
        </w:rPr>
        <w:t>.</w:t>
      </w:r>
    </w:p>
    <w:p w14:paraId="5FC494C8" w14:textId="56C81871" w:rsidR="00011070" w:rsidRPr="001A67C2" w:rsidRDefault="003B0FF1" w:rsidP="00266393">
      <w:pPr>
        <w:pStyle w:val="JgtParagraphe"/>
        <w:numPr>
          <w:ilvl w:val="0"/>
          <w:numId w:val="18"/>
        </w:numPr>
        <w:tabs>
          <w:tab w:val="clear" w:pos="990"/>
          <w:tab w:val="num" w:pos="720"/>
        </w:tabs>
        <w:spacing w:line="240" w:lineRule="auto"/>
        <w:ind w:left="0"/>
        <w:rPr>
          <w:lang w:val="en-CA"/>
        </w:rPr>
      </w:pPr>
      <w:r w:rsidRPr="001A67C2">
        <w:rPr>
          <w:lang w:val="en-CA"/>
        </w:rPr>
        <w:t xml:space="preserve">On the one hand, the judge faulted the appellant for </w:t>
      </w:r>
      <w:r w:rsidR="00B6666C">
        <w:rPr>
          <w:lang w:val="en-CA"/>
        </w:rPr>
        <w:t>forgetting</w:t>
      </w:r>
      <w:r w:rsidRPr="001A67C2">
        <w:rPr>
          <w:lang w:val="en-CA"/>
        </w:rPr>
        <w:t xml:space="preserve"> the name of the friend to whom he revealed that </w:t>
      </w:r>
      <w:r w:rsidR="00B6666C">
        <w:rPr>
          <w:lang w:val="en-CA"/>
        </w:rPr>
        <w:t>the complainant had fellated him</w:t>
      </w:r>
      <w:r w:rsidRPr="001A67C2">
        <w:rPr>
          <w:lang w:val="en-CA"/>
        </w:rPr>
        <w:t>, even though he remembered [</w:t>
      </w:r>
      <w:r w:rsidRPr="001A67C2">
        <w:rPr>
          <w:smallCaps/>
          <w:lang w:val="en-CA"/>
        </w:rPr>
        <w:t>translation</w:t>
      </w:r>
      <w:r w:rsidRPr="001A67C2">
        <w:rPr>
          <w:lang w:val="en-CA"/>
        </w:rPr>
        <w:t xml:space="preserve">] </w:t>
      </w:r>
      <w:r w:rsidR="00E73071" w:rsidRPr="001A67C2">
        <w:rPr>
          <w:lang w:val="en-CA"/>
        </w:rPr>
        <w:t>“</w:t>
      </w:r>
      <w:r w:rsidRPr="001A67C2">
        <w:rPr>
          <w:lang w:val="en-CA"/>
        </w:rPr>
        <w:t>very well the details of the day the fellatio occurred</w:t>
      </w:r>
      <w:r w:rsidR="00E73071" w:rsidRPr="001A67C2">
        <w:rPr>
          <w:lang w:val="en-CA"/>
        </w:rPr>
        <w:t>”</w:t>
      </w:r>
      <w:r w:rsidRPr="001A67C2">
        <w:rPr>
          <w:lang w:val="en-CA"/>
        </w:rPr>
        <w:t xml:space="preserve"> and, for the judge, that forgetfulness [</w:t>
      </w:r>
      <w:r w:rsidRPr="001A67C2">
        <w:rPr>
          <w:smallCaps/>
          <w:lang w:val="en-CA"/>
        </w:rPr>
        <w:t>translation</w:t>
      </w:r>
      <w:r w:rsidRPr="001A67C2">
        <w:rPr>
          <w:lang w:val="en-CA"/>
        </w:rPr>
        <w:t xml:space="preserve">] </w:t>
      </w:r>
      <w:r w:rsidR="00E73071" w:rsidRPr="001A67C2">
        <w:rPr>
          <w:lang w:val="en-CA"/>
        </w:rPr>
        <w:t>“</w:t>
      </w:r>
      <w:r w:rsidRPr="001A67C2">
        <w:rPr>
          <w:lang w:val="en-CA"/>
        </w:rPr>
        <w:t>[did] not accord with the facts of the case</w:t>
      </w:r>
      <w:r w:rsidR="00E73071" w:rsidRPr="001A67C2">
        <w:rPr>
          <w:lang w:val="en-CA"/>
        </w:rPr>
        <w:t>”</w:t>
      </w:r>
      <w:r w:rsidRPr="001A67C2">
        <w:rPr>
          <w:lang w:val="en-CA"/>
        </w:rPr>
        <w:t>.</w:t>
      </w:r>
      <w:r w:rsidR="00C5423B" w:rsidRPr="001A67C2">
        <w:rPr>
          <w:lang w:val="en-CA"/>
        </w:rPr>
        <w:t xml:space="preserve"> </w:t>
      </w:r>
      <w:r w:rsidR="00E73071" w:rsidRPr="001A67C2">
        <w:rPr>
          <w:lang w:val="en-CA"/>
        </w:rPr>
        <w:t xml:space="preserve">The judge did not explain further why </w:t>
      </w:r>
      <w:r w:rsidR="00A355CA" w:rsidRPr="001A67C2">
        <w:rPr>
          <w:lang w:val="en-CA"/>
        </w:rPr>
        <w:t>that friend</w:t>
      </w:r>
      <w:r w:rsidR="00C465BE">
        <w:rPr>
          <w:lang w:val="en-CA"/>
        </w:rPr>
        <w:t>’</w:t>
      </w:r>
      <w:r w:rsidR="00A355CA" w:rsidRPr="001A67C2">
        <w:rPr>
          <w:lang w:val="en-CA"/>
        </w:rPr>
        <w:t>s name</w:t>
      </w:r>
      <w:r w:rsidR="00E73071" w:rsidRPr="001A67C2">
        <w:rPr>
          <w:lang w:val="en-CA"/>
        </w:rPr>
        <w:t xml:space="preserve"> </w:t>
      </w:r>
      <w:r w:rsidR="0077446F" w:rsidRPr="001A67C2">
        <w:rPr>
          <w:lang w:val="en-CA"/>
        </w:rPr>
        <w:t>was</w:t>
      </w:r>
      <w:r w:rsidR="00E73071" w:rsidRPr="001A67C2">
        <w:rPr>
          <w:lang w:val="en-CA"/>
        </w:rPr>
        <w:t xml:space="preserve"> central to the events </w:t>
      </w:r>
      <w:r w:rsidR="00B6666C">
        <w:rPr>
          <w:lang w:val="en-CA"/>
        </w:rPr>
        <w:t>or</w:t>
      </w:r>
      <w:r w:rsidR="00E73071" w:rsidRPr="001A67C2">
        <w:rPr>
          <w:lang w:val="en-CA"/>
        </w:rPr>
        <w:t xml:space="preserve"> why it </w:t>
      </w:r>
      <w:r w:rsidR="0077446F" w:rsidRPr="001A67C2">
        <w:rPr>
          <w:lang w:val="en-CA"/>
        </w:rPr>
        <w:t>was</w:t>
      </w:r>
      <w:r w:rsidR="00E73071" w:rsidRPr="001A67C2">
        <w:rPr>
          <w:lang w:val="en-CA"/>
        </w:rPr>
        <w:t xml:space="preserve"> anything other than a secondary element of the story.</w:t>
      </w:r>
      <w:r w:rsidR="00C5423B" w:rsidRPr="001A67C2">
        <w:rPr>
          <w:lang w:val="en-CA"/>
        </w:rPr>
        <w:t xml:space="preserve"> </w:t>
      </w:r>
      <w:r w:rsidR="00A355CA" w:rsidRPr="001A67C2">
        <w:rPr>
          <w:lang w:val="en-CA"/>
        </w:rPr>
        <w:t>On the other hand, he excused the complainant and iterated that he could not fault her for problems regarding secondary elements.</w:t>
      </w:r>
      <w:r w:rsidR="00C5423B" w:rsidRPr="001A67C2">
        <w:rPr>
          <w:lang w:val="en-CA"/>
        </w:rPr>
        <w:t xml:space="preserve"> </w:t>
      </w:r>
      <w:r w:rsidR="007810A1" w:rsidRPr="001A67C2">
        <w:rPr>
          <w:color w:val="auto"/>
          <w:lang w:val="en-CA"/>
        </w:rPr>
        <w:t>In addition, while excusing the complainant for not remembering whether she and the appellant [</w:t>
      </w:r>
      <w:r w:rsidR="007810A1" w:rsidRPr="001A67C2">
        <w:rPr>
          <w:smallCaps/>
          <w:color w:val="auto"/>
          <w:lang w:val="en-CA"/>
        </w:rPr>
        <w:t>translation</w:t>
      </w:r>
      <w:r w:rsidR="007810A1" w:rsidRPr="001A67C2">
        <w:rPr>
          <w:color w:val="auto"/>
          <w:lang w:val="en-CA"/>
        </w:rPr>
        <w:t xml:space="preserve">] </w:t>
      </w:r>
      <w:r w:rsidR="00465034" w:rsidRPr="001A67C2">
        <w:rPr>
          <w:color w:val="auto"/>
          <w:lang w:val="en-CA"/>
        </w:rPr>
        <w:t>“</w:t>
      </w:r>
      <w:r w:rsidR="007810A1" w:rsidRPr="001A67C2">
        <w:rPr>
          <w:color w:val="auto"/>
          <w:lang w:val="en-CA"/>
        </w:rPr>
        <w:t>followed each other</w:t>
      </w:r>
      <w:r w:rsidR="00465034" w:rsidRPr="001A67C2">
        <w:rPr>
          <w:color w:val="auto"/>
          <w:lang w:val="en-CA"/>
        </w:rPr>
        <w:t>”</w:t>
      </w:r>
      <w:r w:rsidR="007810A1" w:rsidRPr="001A67C2">
        <w:rPr>
          <w:color w:val="auto"/>
          <w:lang w:val="en-CA"/>
        </w:rPr>
        <w:t xml:space="preserve"> on a social network, the judge </w:t>
      </w:r>
      <w:r w:rsidR="001C222A">
        <w:rPr>
          <w:color w:val="auto"/>
          <w:lang w:val="en-CA"/>
        </w:rPr>
        <w:t xml:space="preserve">transformed </w:t>
      </w:r>
      <w:r w:rsidR="0077446F" w:rsidRPr="001A67C2">
        <w:rPr>
          <w:color w:val="auto"/>
          <w:lang w:val="en-CA"/>
        </w:rPr>
        <w:t>that</w:t>
      </w:r>
      <w:r w:rsidR="007810A1" w:rsidRPr="001A67C2">
        <w:rPr>
          <w:color w:val="auto"/>
          <w:lang w:val="en-CA"/>
        </w:rPr>
        <w:t xml:space="preserve"> memory </w:t>
      </w:r>
      <w:r w:rsidR="001C222A">
        <w:rPr>
          <w:color w:val="auto"/>
          <w:lang w:val="en-CA"/>
        </w:rPr>
        <w:t xml:space="preserve">lapse </w:t>
      </w:r>
      <w:r w:rsidR="007810A1" w:rsidRPr="001A67C2">
        <w:rPr>
          <w:color w:val="auto"/>
          <w:lang w:val="en-CA"/>
        </w:rPr>
        <w:t xml:space="preserve">into an element that </w:t>
      </w:r>
      <w:r w:rsidR="0077446F" w:rsidRPr="001A67C2">
        <w:rPr>
          <w:color w:val="auto"/>
          <w:lang w:val="en-CA"/>
        </w:rPr>
        <w:t>enhanced</w:t>
      </w:r>
      <w:r w:rsidR="007810A1" w:rsidRPr="001A67C2">
        <w:rPr>
          <w:color w:val="auto"/>
          <w:lang w:val="en-CA"/>
        </w:rPr>
        <w:t xml:space="preserve"> her credibility;</w:t>
      </w:r>
      <w:r w:rsidR="00C5423B" w:rsidRPr="001A67C2">
        <w:rPr>
          <w:lang w:val="en-CA"/>
        </w:rPr>
        <w:t xml:space="preserve"> </w:t>
      </w:r>
      <w:r w:rsidR="00465034" w:rsidRPr="001A67C2">
        <w:rPr>
          <w:lang w:val="en-CA"/>
        </w:rPr>
        <w:t>he wrote that this was an example of [</w:t>
      </w:r>
      <w:r w:rsidR="00465034" w:rsidRPr="001A67C2">
        <w:rPr>
          <w:smallCaps/>
          <w:lang w:val="en-CA"/>
        </w:rPr>
        <w:t>translation</w:t>
      </w:r>
      <w:r w:rsidR="00465034" w:rsidRPr="001A67C2">
        <w:rPr>
          <w:lang w:val="en-CA"/>
        </w:rPr>
        <w:t xml:space="preserve">] </w:t>
      </w:r>
      <w:r w:rsidR="0077446F" w:rsidRPr="001A67C2">
        <w:rPr>
          <w:lang w:val="en-CA"/>
        </w:rPr>
        <w:t>“</w:t>
      </w:r>
      <w:r w:rsidR="00465034" w:rsidRPr="001A67C2">
        <w:rPr>
          <w:lang w:val="en-CA"/>
        </w:rPr>
        <w:t xml:space="preserve">someone who </w:t>
      </w:r>
      <w:r w:rsidR="00B6666C">
        <w:rPr>
          <w:lang w:val="en-CA"/>
        </w:rPr>
        <w:t>did</w:t>
      </w:r>
      <w:r w:rsidR="00465034" w:rsidRPr="001A67C2">
        <w:rPr>
          <w:lang w:val="en-CA"/>
        </w:rPr>
        <w:t xml:space="preserve"> not want to embellish their version</w:t>
      </w:r>
      <w:r w:rsidR="0077446F" w:rsidRPr="001A67C2">
        <w:rPr>
          <w:lang w:val="en-CA"/>
        </w:rPr>
        <w:t>”</w:t>
      </w:r>
      <w:r w:rsidR="00465034" w:rsidRPr="001A67C2">
        <w:rPr>
          <w:lang w:val="en-CA"/>
        </w:rPr>
        <w:t>.</w:t>
      </w:r>
    </w:p>
    <w:p w14:paraId="138CA496" w14:textId="4CEED2E2" w:rsidR="00011070" w:rsidRPr="001A67C2" w:rsidRDefault="0077446F" w:rsidP="00266393">
      <w:pPr>
        <w:pStyle w:val="JgtParagraphe"/>
        <w:numPr>
          <w:ilvl w:val="0"/>
          <w:numId w:val="18"/>
        </w:numPr>
        <w:tabs>
          <w:tab w:val="clear" w:pos="990"/>
          <w:tab w:val="num" w:pos="720"/>
        </w:tabs>
        <w:spacing w:line="240" w:lineRule="auto"/>
        <w:ind w:left="0"/>
        <w:rPr>
          <w:lang w:val="en-CA"/>
        </w:rPr>
      </w:pPr>
      <w:r w:rsidRPr="001A67C2">
        <w:rPr>
          <w:lang w:val="en-CA"/>
        </w:rPr>
        <w:lastRenderedPageBreak/>
        <w:t>Thus, the judge</w:t>
      </w:r>
      <w:r w:rsidR="00C465BE">
        <w:rPr>
          <w:lang w:val="en-CA"/>
        </w:rPr>
        <w:t>’</w:t>
      </w:r>
      <w:r w:rsidRPr="001A67C2">
        <w:rPr>
          <w:lang w:val="en-CA"/>
        </w:rPr>
        <w:t xml:space="preserve">s </w:t>
      </w:r>
      <w:r w:rsidR="0012423F">
        <w:rPr>
          <w:lang w:val="en-CA"/>
        </w:rPr>
        <w:t>concerns</w:t>
      </w:r>
      <w:r w:rsidR="0012423F" w:rsidRPr="001A67C2">
        <w:rPr>
          <w:lang w:val="en-CA"/>
        </w:rPr>
        <w:t xml:space="preserve"> </w:t>
      </w:r>
      <w:r w:rsidRPr="001A67C2">
        <w:rPr>
          <w:lang w:val="en-CA"/>
        </w:rPr>
        <w:t>about the appellant</w:t>
      </w:r>
      <w:r w:rsidR="0012423F">
        <w:rPr>
          <w:lang w:val="en-CA"/>
        </w:rPr>
        <w:t xml:space="preserve"> forgetting a minor detail in hi</w:t>
      </w:r>
      <w:r w:rsidRPr="001A67C2">
        <w:rPr>
          <w:lang w:val="en-CA"/>
        </w:rPr>
        <w:t xml:space="preserve">s version, </w:t>
      </w:r>
      <w:r w:rsidR="00416794">
        <w:rPr>
          <w:lang w:val="en-CA"/>
        </w:rPr>
        <w:t>which he does not mitigate</w:t>
      </w:r>
      <w:r w:rsidRPr="001A67C2">
        <w:rPr>
          <w:lang w:val="en-CA"/>
        </w:rPr>
        <w:t xml:space="preserve"> in light of the appellant</w:t>
      </w:r>
      <w:r w:rsidR="00C465BE">
        <w:rPr>
          <w:lang w:val="en-CA"/>
        </w:rPr>
        <w:t>’</w:t>
      </w:r>
      <w:r w:rsidRPr="001A67C2">
        <w:rPr>
          <w:lang w:val="en-CA"/>
        </w:rPr>
        <w:t xml:space="preserve">s age, </w:t>
      </w:r>
      <w:r w:rsidR="00D76CDA">
        <w:rPr>
          <w:lang w:val="en-CA"/>
        </w:rPr>
        <w:t xml:space="preserve">contrast with </w:t>
      </w:r>
      <w:r w:rsidRPr="001A67C2">
        <w:rPr>
          <w:lang w:val="en-CA"/>
        </w:rPr>
        <w:t xml:space="preserve">the </w:t>
      </w:r>
      <w:r w:rsidR="00416794">
        <w:rPr>
          <w:lang w:val="en-CA"/>
        </w:rPr>
        <w:t>leniency of his</w:t>
      </w:r>
      <w:r w:rsidR="00416794" w:rsidRPr="001A67C2">
        <w:rPr>
          <w:lang w:val="en-CA"/>
        </w:rPr>
        <w:t xml:space="preserve"> </w:t>
      </w:r>
      <w:r w:rsidRPr="001A67C2">
        <w:rPr>
          <w:lang w:val="en-CA"/>
        </w:rPr>
        <w:t>assessment of the testimony of the complainant (who was characterized as a [</w:t>
      </w:r>
      <w:r w:rsidRPr="001A67C2">
        <w:rPr>
          <w:smallCaps/>
          <w:lang w:val="en-CA"/>
        </w:rPr>
        <w:t>translation</w:t>
      </w:r>
      <w:r w:rsidRPr="001A67C2">
        <w:rPr>
          <w:lang w:val="en-CA"/>
        </w:rPr>
        <w:t xml:space="preserve">] </w:t>
      </w:r>
      <w:r w:rsidR="00DF02B3" w:rsidRPr="001A67C2">
        <w:rPr>
          <w:lang w:val="en-CA"/>
        </w:rPr>
        <w:t>“</w:t>
      </w:r>
      <w:r w:rsidRPr="001A67C2">
        <w:rPr>
          <w:lang w:val="en-CA"/>
        </w:rPr>
        <w:t>young adolescent</w:t>
      </w:r>
      <w:r w:rsidR="00DF02B3" w:rsidRPr="001A67C2">
        <w:rPr>
          <w:lang w:val="en-CA"/>
        </w:rPr>
        <w:t>”</w:t>
      </w:r>
      <w:r w:rsidRPr="001A67C2">
        <w:rPr>
          <w:lang w:val="en-CA"/>
        </w:rPr>
        <w:t xml:space="preserve">), which merited </w:t>
      </w:r>
      <w:r w:rsidR="00B3714A">
        <w:rPr>
          <w:lang w:val="en-CA"/>
        </w:rPr>
        <w:t xml:space="preserve">a </w:t>
      </w:r>
      <w:r w:rsidR="00D76CDA">
        <w:rPr>
          <w:lang w:val="en-CA"/>
        </w:rPr>
        <w:t>particular</w:t>
      </w:r>
      <w:r w:rsidR="00E805BB">
        <w:rPr>
          <w:lang w:val="en-CA"/>
        </w:rPr>
        <w:t>ized</w:t>
      </w:r>
      <w:r w:rsidR="00D76CDA">
        <w:rPr>
          <w:lang w:val="en-CA"/>
        </w:rPr>
        <w:t xml:space="preserve"> </w:t>
      </w:r>
      <w:r w:rsidRPr="001A67C2">
        <w:rPr>
          <w:lang w:val="en-CA"/>
        </w:rPr>
        <w:t>analysis.</w:t>
      </w:r>
    </w:p>
    <w:p w14:paraId="1592BF80" w14:textId="78662C4B" w:rsidR="00011070" w:rsidRPr="001A67C2" w:rsidRDefault="00DF02B3" w:rsidP="00266393">
      <w:pPr>
        <w:pStyle w:val="JgtParagraphe"/>
        <w:numPr>
          <w:ilvl w:val="0"/>
          <w:numId w:val="18"/>
        </w:numPr>
        <w:tabs>
          <w:tab w:val="clear" w:pos="990"/>
          <w:tab w:val="num" w:pos="720"/>
        </w:tabs>
        <w:spacing w:line="240" w:lineRule="auto"/>
        <w:ind w:left="0"/>
        <w:rPr>
          <w:lang w:val="en-CA"/>
        </w:rPr>
      </w:pPr>
      <w:r w:rsidRPr="001A67C2">
        <w:rPr>
          <w:color w:val="auto"/>
          <w:lang w:val="en-CA"/>
        </w:rPr>
        <w:t xml:space="preserve">The Court is also of the view that the judge analyzed the evidence differently </w:t>
      </w:r>
      <w:r w:rsidR="00034F0B">
        <w:rPr>
          <w:color w:val="auto"/>
          <w:lang w:val="en-CA"/>
        </w:rPr>
        <w:t>i</w:t>
      </w:r>
      <w:r w:rsidR="00E805BB">
        <w:rPr>
          <w:color w:val="auto"/>
          <w:lang w:val="en-CA"/>
        </w:rPr>
        <w:t xml:space="preserve">n </w:t>
      </w:r>
      <w:r w:rsidRPr="001A67C2">
        <w:rPr>
          <w:color w:val="auto"/>
          <w:lang w:val="en-CA"/>
        </w:rPr>
        <w:t>assessing the parties</w:t>
      </w:r>
      <w:r w:rsidR="00C465BE">
        <w:rPr>
          <w:color w:val="auto"/>
          <w:lang w:val="en-CA"/>
        </w:rPr>
        <w:t>’</w:t>
      </w:r>
      <w:r w:rsidRPr="001A67C2">
        <w:rPr>
          <w:color w:val="auto"/>
          <w:lang w:val="en-CA"/>
        </w:rPr>
        <w:t xml:space="preserve"> accounts.</w:t>
      </w:r>
      <w:r w:rsidR="00C5423B" w:rsidRPr="001A67C2">
        <w:rPr>
          <w:lang w:val="en-CA"/>
        </w:rPr>
        <w:t xml:space="preserve"> </w:t>
      </w:r>
      <w:r w:rsidR="00FF66A0" w:rsidRPr="001A67C2">
        <w:rPr>
          <w:lang w:val="en-CA"/>
        </w:rPr>
        <w:t xml:space="preserve">For example, the judge </w:t>
      </w:r>
      <w:r w:rsidR="00E805BB">
        <w:rPr>
          <w:lang w:val="en-CA"/>
        </w:rPr>
        <w:t>noted</w:t>
      </w:r>
      <w:r w:rsidR="00E805BB" w:rsidRPr="001A67C2">
        <w:rPr>
          <w:lang w:val="en-CA"/>
        </w:rPr>
        <w:t xml:space="preserve"> </w:t>
      </w:r>
      <w:r w:rsidR="00FF66A0" w:rsidRPr="001A67C2">
        <w:rPr>
          <w:lang w:val="en-CA"/>
        </w:rPr>
        <w:t>that the appellant</w:t>
      </w:r>
      <w:r w:rsidR="00C465BE">
        <w:rPr>
          <w:lang w:val="en-CA"/>
        </w:rPr>
        <w:t>’</w:t>
      </w:r>
      <w:r w:rsidR="00FF66A0" w:rsidRPr="001A67C2">
        <w:rPr>
          <w:lang w:val="en-CA"/>
        </w:rPr>
        <w:t xml:space="preserve">s version of events was </w:t>
      </w:r>
      <w:r w:rsidR="00E805BB">
        <w:rPr>
          <w:lang w:val="en-CA"/>
        </w:rPr>
        <w:t xml:space="preserve">inconceivable </w:t>
      </w:r>
      <w:r w:rsidR="00FF66A0" w:rsidRPr="001A67C2">
        <w:rPr>
          <w:lang w:val="en-CA"/>
        </w:rPr>
        <w:t>because he stated that he and the complainant [</w:t>
      </w:r>
      <w:r w:rsidR="00FF66A0" w:rsidRPr="001A67C2">
        <w:rPr>
          <w:smallCaps/>
          <w:lang w:val="en-CA"/>
        </w:rPr>
        <w:t>translation</w:t>
      </w:r>
      <w:r w:rsidR="00FF66A0" w:rsidRPr="001A67C2">
        <w:rPr>
          <w:lang w:val="en-CA"/>
        </w:rPr>
        <w:t xml:space="preserve">] </w:t>
      </w:r>
      <w:r w:rsidR="008A7127" w:rsidRPr="001A67C2">
        <w:rPr>
          <w:lang w:val="en-CA"/>
        </w:rPr>
        <w:t>“</w:t>
      </w:r>
      <w:r w:rsidR="00E805BB">
        <w:rPr>
          <w:lang w:val="en-CA"/>
        </w:rPr>
        <w:t xml:space="preserve">arranged </w:t>
      </w:r>
      <w:r w:rsidR="00FF66A0" w:rsidRPr="001A67C2">
        <w:rPr>
          <w:lang w:val="en-CA"/>
        </w:rPr>
        <w:t>to be alone at school before classes started</w:t>
      </w:r>
      <w:r w:rsidR="008A7127" w:rsidRPr="001A67C2">
        <w:rPr>
          <w:lang w:val="en-CA"/>
        </w:rPr>
        <w:t>”</w:t>
      </w:r>
      <w:r w:rsidR="00FF66A0" w:rsidRPr="001A67C2">
        <w:rPr>
          <w:lang w:val="en-CA"/>
        </w:rPr>
        <w:t>.</w:t>
      </w:r>
      <w:r w:rsidR="00C5423B" w:rsidRPr="001A67C2">
        <w:rPr>
          <w:lang w:val="en-CA"/>
        </w:rPr>
        <w:t xml:space="preserve"> </w:t>
      </w:r>
      <w:r w:rsidR="00034F0B">
        <w:rPr>
          <w:lang w:val="en-CA"/>
        </w:rPr>
        <w:t>In</w:t>
      </w:r>
      <w:r w:rsidR="008A7127" w:rsidRPr="001A67C2">
        <w:rPr>
          <w:lang w:val="en-CA"/>
        </w:rPr>
        <w:t xml:space="preserve"> analyzing the complainant</w:t>
      </w:r>
      <w:r w:rsidR="00C465BE">
        <w:rPr>
          <w:lang w:val="en-CA"/>
        </w:rPr>
        <w:t>’</w:t>
      </w:r>
      <w:r w:rsidR="008A7127" w:rsidRPr="001A67C2">
        <w:rPr>
          <w:lang w:val="en-CA"/>
        </w:rPr>
        <w:t>s version, however, the judge deemed it positive that this same element (to which the complainant referred during her testimony) was confirmed by the appellant.</w:t>
      </w:r>
      <w:r w:rsidR="00C5423B" w:rsidRPr="001A67C2">
        <w:rPr>
          <w:lang w:val="en-CA"/>
        </w:rPr>
        <w:t xml:space="preserve"> </w:t>
      </w:r>
      <w:r w:rsidR="00AF41BF" w:rsidRPr="001A67C2">
        <w:rPr>
          <w:lang w:val="en-CA"/>
        </w:rPr>
        <w:t>The logic is difficult to follow.</w:t>
      </w:r>
      <w:r w:rsidR="00C5423B" w:rsidRPr="001A67C2">
        <w:rPr>
          <w:lang w:val="en-CA"/>
        </w:rPr>
        <w:t xml:space="preserve"> A fact cannot simultaneously be </w:t>
      </w:r>
      <w:r w:rsidR="00946C26">
        <w:rPr>
          <w:lang w:val="en-CA"/>
        </w:rPr>
        <w:t>inconceivable when assessing the</w:t>
      </w:r>
      <w:r w:rsidR="00C5423B" w:rsidRPr="001A67C2">
        <w:rPr>
          <w:lang w:val="en-CA"/>
        </w:rPr>
        <w:t xml:space="preserve"> appellant</w:t>
      </w:r>
      <w:r w:rsidR="00C465BE">
        <w:rPr>
          <w:lang w:val="en-CA"/>
        </w:rPr>
        <w:t>’</w:t>
      </w:r>
      <w:r w:rsidR="00C5423B" w:rsidRPr="001A67C2">
        <w:rPr>
          <w:lang w:val="en-CA"/>
        </w:rPr>
        <w:t>s version and confirm the probative value of the complainant</w:t>
      </w:r>
      <w:r w:rsidR="00C465BE">
        <w:rPr>
          <w:lang w:val="en-CA"/>
        </w:rPr>
        <w:t>’</w:t>
      </w:r>
      <w:r w:rsidR="00C5423B" w:rsidRPr="001A67C2">
        <w:rPr>
          <w:lang w:val="en-CA"/>
        </w:rPr>
        <w:t>s version.</w:t>
      </w:r>
    </w:p>
    <w:p w14:paraId="40F92494" w14:textId="4F6D745B" w:rsidR="00E023DE" w:rsidRPr="001A67C2" w:rsidRDefault="00385BF1" w:rsidP="00E023DE">
      <w:pPr>
        <w:pStyle w:val="JgtParagraphe"/>
        <w:numPr>
          <w:ilvl w:val="0"/>
          <w:numId w:val="18"/>
        </w:numPr>
        <w:tabs>
          <w:tab w:val="clear" w:pos="990"/>
          <w:tab w:val="num" w:pos="720"/>
          <w:tab w:val="num" w:pos="3414"/>
        </w:tabs>
        <w:spacing w:line="240" w:lineRule="auto"/>
        <w:ind w:left="0"/>
        <w:rPr>
          <w:lang w:val="en-CA"/>
        </w:rPr>
      </w:pPr>
      <w:r w:rsidRPr="001A67C2">
        <w:rPr>
          <w:lang w:val="en-CA"/>
        </w:rPr>
        <w:t xml:space="preserve">Last, it must be noted that the judge did not </w:t>
      </w:r>
      <w:r w:rsidR="00946C26">
        <w:rPr>
          <w:lang w:val="en-CA"/>
        </w:rPr>
        <w:t>resolve</w:t>
      </w:r>
      <w:r w:rsidR="00647A9C">
        <w:rPr>
          <w:lang w:val="en-CA"/>
        </w:rPr>
        <w:t xml:space="preserve"> </w:t>
      </w:r>
      <w:r w:rsidRPr="001A67C2">
        <w:rPr>
          <w:lang w:val="en-CA"/>
        </w:rPr>
        <w:t xml:space="preserve">a very problematic element of the testimony of </w:t>
      </w:r>
      <w:r w:rsidR="00647A9C">
        <w:rPr>
          <w:lang w:val="en-CA"/>
        </w:rPr>
        <w:t xml:space="preserve">a friend </w:t>
      </w:r>
      <w:r w:rsidRPr="001A67C2">
        <w:rPr>
          <w:lang w:val="en-CA"/>
        </w:rPr>
        <w:t>of the protagonists at the time, whom he characterized as an [</w:t>
      </w:r>
      <w:r w:rsidRPr="001A67C2">
        <w:rPr>
          <w:smallCaps/>
          <w:lang w:val="en-CA"/>
        </w:rPr>
        <w:t>translation</w:t>
      </w:r>
      <w:r w:rsidRPr="001A67C2">
        <w:rPr>
          <w:lang w:val="en-CA"/>
        </w:rPr>
        <w:t xml:space="preserve">] </w:t>
      </w:r>
      <w:r w:rsidR="00273EFA" w:rsidRPr="001A67C2">
        <w:rPr>
          <w:lang w:val="en-CA"/>
        </w:rPr>
        <w:t>“</w:t>
      </w:r>
      <w:r w:rsidRPr="001A67C2">
        <w:rPr>
          <w:lang w:val="en-CA"/>
        </w:rPr>
        <w:t>independent witness</w:t>
      </w:r>
      <w:r w:rsidR="00273EFA" w:rsidRPr="001A67C2">
        <w:rPr>
          <w:lang w:val="en-CA"/>
        </w:rPr>
        <w:t>”</w:t>
      </w:r>
      <w:r w:rsidRPr="001A67C2">
        <w:rPr>
          <w:lang w:val="en-CA"/>
        </w:rPr>
        <w:t>.</w:t>
      </w:r>
      <w:r w:rsidR="00C5423B" w:rsidRPr="001A67C2">
        <w:rPr>
          <w:lang w:val="en-CA"/>
        </w:rPr>
        <w:t xml:space="preserve"> </w:t>
      </w:r>
      <w:r w:rsidR="00273EFA" w:rsidRPr="001A67C2">
        <w:rPr>
          <w:lang w:val="en-CA"/>
        </w:rPr>
        <w:t xml:space="preserve">Indeed, the witness explained that he has not been friends with the appellant since he </w:t>
      </w:r>
      <w:r w:rsidR="00FB361A" w:rsidRPr="001A67C2">
        <w:rPr>
          <w:lang w:val="en-CA"/>
        </w:rPr>
        <w:t>was in</w:t>
      </w:r>
      <w:r w:rsidR="00273EFA" w:rsidRPr="001A67C2">
        <w:rPr>
          <w:lang w:val="en-CA"/>
        </w:rPr>
        <w:t xml:space="preserve"> CEGEP.</w:t>
      </w:r>
    </w:p>
    <w:p w14:paraId="30FD0AF9" w14:textId="011D11FB" w:rsidR="00E023DE" w:rsidRPr="001A67C2" w:rsidRDefault="00FB361A" w:rsidP="00E023DE">
      <w:pPr>
        <w:pStyle w:val="JgtParagraphe"/>
        <w:numPr>
          <w:ilvl w:val="0"/>
          <w:numId w:val="18"/>
        </w:numPr>
        <w:tabs>
          <w:tab w:val="clear" w:pos="990"/>
          <w:tab w:val="num" w:pos="720"/>
          <w:tab w:val="num" w:pos="3414"/>
        </w:tabs>
        <w:spacing w:line="240" w:lineRule="auto"/>
        <w:ind w:left="0"/>
        <w:rPr>
          <w:lang w:val="en-CA"/>
        </w:rPr>
      </w:pPr>
      <w:r w:rsidRPr="001A67C2">
        <w:rPr>
          <w:lang w:val="en-CA"/>
        </w:rPr>
        <w:t xml:space="preserve">That witness, who was very close with the complainant for several years after the events, recounted that she told him clearly and in confidence </w:t>
      </w:r>
      <w:r w:rsidR="00647A9C">
        <w:rPr>
          <w:lang w:val="en-CA"/>
        </w:rPr>
        <w:t xml:space="preserve">that </w:t>
      </w:r>
      <w:r w:rsidRPr="001A67C2">
        <w:rPr>
          <w:lang w:val="en-CA"/>
        </w:rPr>
        <w:t>[</w:t>
      </w:r>
      <w:r w:rsidRPr="001A67C2">
        <w:rPr>
          <w:smallCaps/>
          <w:lang w:val="en-CA"/>
        </w:rPr>
        <w:t>translation</w:t>
      </w:r>
      <w:r w:rsidRPr="001A67C2">
        <w:rPr>
          <w:lang w:val="en-CA"/>
        </w:rPr>
        <w:t>]</w:t>
      </w:r>
      <w:r w:rsidR="00C5423B" w:rsidRPr="001A67C2">
        <w:rPr>
          <w:lang w:val="en-CA"/>
        </w:rPr>
        <w:t xml:space="preserve"> </w:t>
      </w:r>
      <w:r w:rsidR="005957F0" w:rsidRPr="001A67C2">
        <w:rPr>
          <w:lang w:val="en-CA"/>
        </w:rPr>
        <w:t>“</w:t>
      </w:r>
      <w:r w:rsidR="00EF6271" w:rsidRPr="001A67C2">
        <w:rPr>
          <w:lang w:val="en-CA"/>
        </w:rPr>
        <w:t xml:space="preserve">she </w:t>
      </w:r>
      <w:r w:rsidR="00D26A58" w:rsidRPr="001A67C2">
        <w:rPr>
          <w:lang w:val="en-CA"/>
        </w:rPr>
        <w:t>performed fellatio on</w:t>
      </w:r>
      <w:r w:rsidR="00EF6271" w:rsidRPr="001A67C2">
        <w:rPr>
          <w:lang w:val="en-CA"/>
        </w:rPr>
        <w:t xml:space="preserve"> X when they were in Secondary II.</w:t>
      </w:r>
      <w:r w:rsidR="00C5423B" w:rsidRPr="001A67C2">
        <w:rPr>
          <w:lang w:val="en-CA"/>
        </w:rPr>
        <w:t xml:space="preserve"> </w:t>
      </w:r>
      <w:r w:rsidR="00D26A58" w:rsidRPr="001A67C2">
        <w:rPr>
          <w:lang w:val="en-CA"/>
        </w:rPr>
        <w:t xml:space="preserve">And she told </w:t>
      </w:r>
      <w:r w:rsidR="002F5043">
        <w:rPr>
          <w:lang w:val="en-CA"/>
        </w:rPr>
        <w:t>me</w:t>
      </w:r>
      <w:r w:rsidR="00D26A58" w:rsidRPr="001A67C2">
        <w:rPr>
          <w:lang w:val="en-CA"/>
        </w:rPr>
        <w:t xml:space="preserve"> she had consented</w:t>
      </w:r>
      <w:r w:rsidR="005957F0" w:rsidRPr="001A67C2">
        <w:rPr>
          <w:lang w:val="en-CA"/>
        </w:rPr>
        <w:t>”</w:t>
      </w:r>
      <w:r w:rsidR="00D26A58" w:rsidRPr="001A67C2">
        <w:rPr>
          <w:lang w:val="en-CA"/>
        </w:rPr>
        <w:t>.</w:t>
      </w:r>
      <w:r w:rsidR="00C5423B" w:rsidRPr="001A67C2">
        <w:rPr>
          <w:lang w:val="en-CA"/>
        </w:rPr>
        <w:t xml:space="preserve"> </w:t>
      </w:r>
      <w:r w:rsidR="005957F0" w:rsidRPr="001A67C2">
        <w:rPr>
          <w:lang w:val="en-CA"/>
        </w:rPr>
        <w:t xml:space="preserve">In her testimony, the complainant simply stated that she </w:t>
      </w:r>
      <w:r w:rsidR="00647A9C" w:rsidRPr="001A67C2">
        <w:rPr>
          <w:lang w:val="en-CA"/>
        </w:rPr>
        <w:t>[</w:t>
      </w:r>
      <w:r w:rsidR="00647A9C" w:rsidRPr="001A67C2">
        <w:rPr>
          <w:smallCaps/>
          <w:lang w:val="en-CA"/>
        </w:rPr>
        <w:t>translation</w:t>
      </w:r>
      <w:r w:rsidR="00647A9C" w:rsidRPr="001A67C2">
        <w:rPr>
          <w:lang w:val="en-CA"/>
        </w:rPr>
        <w:t xml:space="preserve">] </w:t>
      </w:r>
      <w:r w:rsidR="008B041F" w:rsidRPr="001A67C2">
        <w:rPr>
          <w:lang w:val="en-CA"/>
        </w:rPr>
        <w:t>“</w:t>
      </w:r>
      <w:r w:rsidR="00946C26">
        <w:rPr>
          <w:lang w:val="en-CA"/>
        </w:rPr>
        <w:t xml:space="preserve">did not </w:t>
      </w:r>
      <w:r w:rsidR="00416794">
        <w:rPr>
          <w:lang w:val="en-CA"/>
        </w:rPr>
        <w:t xml:space="preserve">mention the fact that </w:t>
      </w:r>
      <w:r w:rsidR="005957F0" w:rsidRPr="001A67C2">
        <w:rPr>
          <w:lang w:val="en-CA"/>
        </w:rPr>
        <w:t>it was no</w:t>
      </w:r>
      <w:r w:rsidR="00647A9C">
        <w:rPr>
          <w:lang w:val="en-CA"/>
        </w:rPr>
        <w:t>n-</w:t>
      </w:r>
      <w:r w:rsidR="005957F0" w:rsidRPr="001A67C2">
        <w:rPr>
          <w:lang w:val="en-CA"/>
        </w:rPr>
        <w:t>consensual</w:t>
      </w:r>
      <w:r w:rsidR="008B041F" w:rsidRPr="001A67C2">
        <w:rPr>
          <w:lang w:val="en-CA"/>
        </w:rPr>
        <w:t>”</w:t>
      </w:r>
      <w:r w:rsidR="005957F0" w:rsidRPr="001A67C2">
        <w:rPr>
          <w:lang w:val="en-CA"/>
        </w:rPr>
        <w:t xml:space="preserve">, which does not answer whether she </w:t>
      </w:r>
      <w:r w:rsidR="00361A5C">
        <w:rPr>
          <w:lang w:val="en-CA"/>
        </w:rPr>
        <w:t xml:space="preserve">said </w:t>
      </w:r>
      <w:r w:rsidR="00FB164B">
        <w:rPr>
          <w:lang w:val="en-CA"/>
        </w:rPr>
        <w:t xml:space="preserve">that </w:t>
      </w:r>
      <w:r w:rsidR="00361A5C">
        <w:rPr>
          <w:lang w:val="en-CA"/>
        </w:rPr>
        <w:t xml:space="preserve">she </w:t>
      </w:r>
      <w:r w:rsidR="005957F0" w:rsidRPr="001A67C2">
        <w:rPr>
          <w:lang w:val="en-CA"/>
        </w:rPr>
        <w:t xml:space="preserve">had </w:t>
      </w:r>
      <w:r w:rsidR="00FB164B">
        <w:rPr>
          <w:lang w:val="en-CA"/>
        </w:rPr>
        <w:t>given consent</w:t>
      </w:r>
      <w:r w:rsidR="005957F0" w:rsidRPr="001A67C2">
        <w:rPr>
          <w:lang w:val="en-CA"/>
        </w:rPr>
        <w:t>.</w:t>
      </w:r>
      <w:r w:rsidR="00C5423B" w:rsidRPr="001A67C2">
        <w:rPr>
          <w:lang w:val="en-CA"/>
        </w:rPr>
        <w:t xml:space="preserve"> </w:t>
      </w:r>
      <w:r w:rsidR="008B041F" w:rsidRPr="001A67C2">
        <w:rPr>
          <w:lang w:val="en-CA"/>
        </w:rPr>
        <w:t>Because of this, the witness</w:t>
      </w:r>
      <w:r w:rsidR="00C465BE">
        <w:rPr>
          <w:lang w:val="en-CA"/>
        </w:rPr>
        <w:t>’</w:t>
      </w:r>
      <w:r w:rsidR="008B041F" w:rsidRPr="001A67C2">
        <w:rPr>
          <w:lang w:val="en-CA"/>
        </w:rPr>
        <w:t>s response that the complainant told him she had consented remains uncontradicted.</w:t>
      </w:r>
      <w:r w:rsidR="00C5423B" w:rsidRPr="001A67C2">
        <w:rPr>
          <w:lang w:val="en-CA"/>
        </w:rPr>
        <w:t xml:space="preserve"> </w:t>
      </w:r>
      <w:r w:rsidR="00A3277B" w:rsidRPr="001A67C2">
        <w:rPr>
          <w:lang w:val="en-CA"/>
        </w:rPr>
        <w:t>If one is to understand the complainant</w:t>
      </w:r>
      <w:r w:rsidR="00C465BE">
        <w:rPr>
          <w:lang w:val="en-CA"/>
        </w:rPr>
        <w:t>’</w:t>
      </w:r>
      <w:r w:rsidR="00A3277B" w:rsidRPr="001A67C2">
        <w:rPr>
          <w:lang w:val="en-CA"/>
        </w:rPr>
        <w:t xml:space="preserve">s response </w:t>
      </w:r>
      <w:r w:rsidR="00361A5C">
        <w:rPr>
          <w:lang w:val="en-CA"/>
        </w:rPr>
        <w:t xml:space="preserve">as </w:t>
      </w:r>
      <w:r w:rsidR="00A3277B" w:rsidRPr="001A67C2">
        <w:rPr>
          <w:lang w:val="en-CA"/>
        </w:rPr>
        <w:t>mean</w:t>
      </w:r>
      <w:r w:rsidR="00361A5C">
        <w:rPr>
          <w:lang w:val="en-CA"/>
        </w:rPr>
        <w:t>ing</w:t>
      </w:r>
      <w:r w:rsidR="00A3277B" w:rsidRPr="001A67C2">
        <w:rPr>
          <w:lang w:val="en-CA"/>
        </w:rPr>
        <w:t xml:space="preserve"> that she did</w:t>
      </w:r>
      <w:r w:rsidR="00FB164B">
        <w:rPr>
          <w:lang w:val="en-CA"/>
        </w:rPr>
        <w:t xml:space="preserve"> not</w:t>
      </w:r>
      <w:r w:rsidR="00A3277B" w:rsidRPr="001A67C2">
        <w:rPr>
          <w:lang w:val="en-CA"/>
        </w:rPr>
        <w:t xml:space="preserve"> </w:t>
      </w:r>
      <w:r w:rsidR="00FB164B">
        <w:rPr>
          <w:lang w:val="en-CA"/>
        </w:rPr>
        <w:t>mention</w:t>
      </w:r>
      <w:r w:rsidR="00A3277B" w:rsidRPr="001A67C2">
        <w:rPr>
          <w:lang w:val="en-CA"/>
        </w:rPr>
        <w:t xml:space="preserve"> consent </w:t>
      </w:r>
      <w:r w:rsidR="00FB164B">
        <w:rPr>
          <w:lang w:val="en-CA"/>
        </w:rPr>
        <w:t xml:space="preserve">to him </w:t>
      </w:r>
      <w:r w:rsidR="00A3277B" w:rsidRPr="001A67C2">
        <w:rPr>
          <w:lang w:val="en-CA"/>
        </w:rPr>
        <w:t>or that she told him she had consented, this is a contradiction that the judge should have resolved.</w:t>
      </w:r>
    </w:p>
    <w:p w14:paraId="7AFEF335" w14:textId="0F96B0B5" w:rsidR="00CC3529" w:rsidRPr="001A67C2" w:rsidRDefault="00B64E55" w:rsidP="00E023DE">
      <w:pPr>
        <w:pStyle w:val="JgtParagraphe"/>
        <w:numPr>
          <w:ilvl w:val="0"/>
          <w:numId w:val="18"/>
        </w:numPr>
        <w:tabs>
          <w:tab w:val="clear" w:pos="990"/>
          <w:tab w:val="num" w:pos="720"/>
          <w:tab w:val="num" w:pos="3414"/>
        </w:tabs>
        <w:spacing w:line="240" w:lineRule="auto"/>
        <w:ind w:left="0"/>
        <w:rPr>
          <w:lang w:val="en-CA"/>
        </w:rPr>
      </w:pPr>
      <w:r w:rsidRPr="001A67C2">
        <w:rPr>
          <w:lang w:val="en-CA"/>
        </w:rPr>
        <w:t>The judge summarized that witness</w:t>
      </w:r>
      <w:r w:rsidR="00C465BE">
        <w:rPr>
          <w:lang w:val="en-CA"/>
        </w:rPr>
        <w:t>’</w:t>
      </w:r>
      <w:r w:rsidRPr="001A67C2">
        <w:rPr>
          <w:lang w:val="en-CA"/>
        </w:rPr>
        <w:t xml:space="preserve">s </w:t>
      </w:r>
      <w:r w:rsidR="003A7CBC" w:rsidRPr="001A67C2">
        <w:rPr>
          <w:lang w:val="en-CA"/>
        </w:rPr>
        <w:t>testimony</w:t>
      </w:r>
      <w:r w:rsidRPr="001A67C2">
        <w:rPr>
          <w:lang w:val="en-CA"/>
        </w:rPr>
        <w:t xml:space="preserve"> as [</w:t>
      </w:r>
      <w:r w:rsidRPr="001A67C2">
        <w:rPr>
          <w:smallCaps/>
          <w:lang w:val="en-CA"/>
        </w:rPr>
        <w:t>translation</w:t>
      </w:r>
      <w:r w:rsidRPr="001A67C2">
        <w:rPr>
          <w:lang w:val="en-CA"/>
        </w:rPr>
        <w:t xml:space="preserve">] </w:t>
      </w:r>
      <w:r w:rsidR="003A7CBC" w:rsidRPr="001A67C2">
        <w:rPr>
          <w:lang w:val="en-CA"/>
        </w:rPr>
        <w:t>“</w:t>
      </w:r>
      <w:r w:rsidRPr="001A67C2">
        <w:rPr>
          <w:lang w:val="en-CA"/>
        </w:rPr>
        <w:t>confirm[ing] the complainant</w:t>
      </w:r>
      <w:r w:rsidR="00C465BE">
        <w:rPr>
          <w:lang w:val="en-CA"/>
        </w:rPr>
        <w:t>’</w:t>
      </w:r>
      <w:r w:rsidRPr="001A67C2">
        <w:rPr>
          <w:lang w:val="en-CA"/>
        </w:rPr>
        <w:t xml:space="preserve">s testimony that she told him she had performed fellatio on the accused and that she never </w:t>
      </w:r>
      <w:r w:rsidR="0010010E">
        <w:rPr>
          <w:lang w:val="en-CA"/>
        </w:rPr>
        <w:t>mentioned that</w:t>
      </w:r>
      <w:r w:rsidR="0010010E" w:rsidRPr="001A67C2">
        <w:rPr>
          <w:lang w:val="en-CA"/>
        </w:rPr>
        <w:t xml:space="preserve"> </w:t>
      </w:r>
      <w:r w:rsidRPr="001A67C2">
        <w:rPr>
          <w:lang w:val="en-CA"/>
        </w:rPr>
        <w:t>it was non-consensual</w:t>
      </w:r>
      <w:r w:rsidR="003A7CBC" w:rsidRPr="001A67C2">
        <w:rPr>
          <w:lang w:val="en-CA"/>
        </w:rPr>
        <w:t>”</w:t>
      </w:r>
      <w:r w:rsidRPr="001A67C2">
        <w:rPr>
          <w:lang w:val="en-CA"/>
        </w:rPr>
        <w:t>.</w:t>
      </w:r>
      <w:r w:rsidR="00C5423B" w:rsidRPr="001A67C2">
        <w:rPr>
          <w:lang w:val="en-CA"/>
        </w:rPr>
        <w:t xml:space="preserve"> </w:t>
      </w:r>
      <w:r w:rsidR="003A7CBC" w:rsidRPr="001A67C2">
        <w:rPr>
          <w:lang w:val="en-CA"/>
        </w:rPr>
        <w:t>He then concluded that this witness [</w:t>
      </w:r>
      <w:r w:rsidR="003A7CBC" w:rsidRPr="001A67C2">
        <w:rPr>
          <w:smallCaps/>
          <w:lang w:val="en-CA"/>
        </w:rPr>
        <w:t>translation</w:t>
      </w:r>
      <w:r w:rsidR="003A7CBC" w:rsidRPr="001A67C2">
        <w:rPr>
          <w:lang w:val="en-CA"/>
        </w:rPr>
        <w:t xml:space="preserve">] </w:t>
      </w:r>
      <w:r w:rsidR="00F76DAB" w:rsidRPr="001A67C2">
        <w:rPr>
          <w:lang w:val="en-CA"/>
        </w:rPr>
        <w:t>“</w:t>
      </w:r>
      <w:r w:rsidR="003A7CBC" w:rsidRPr="001A67C2">
        <w:rPr>
          <w:lang w:val="en-CA"/>
        </w:rPr>
        <w:t>did not provide any indicative element that add</w:t>
      </w:r>
      <w:r w:rsidR="00265EDA">
        <w:rPr>
          <w:lang w:val="en-CA"/>
        </w:rPr>
        <w:t>s</w:t>
      </w:r>
      <w:r w:rsidR="003A7CBC" w:rsidRPr="001A67C2">
        <w:rPr>
          <w:lang w:val="en-CA"/>
        </w:rPr>
        <w:t xml:space="preserve"> to or take</w:t>
      </w:r>
      <w:r w:rsidR="00265EDA">
        <w:rPr>
          <w:lang w:val="en-CA"/>
        </w:rPr>
        <w:t>s</w:t>
      </w:r>
      <w:r w:rsidR="003A7CBC" w:rsidRPr="001A67C2">
        <w:rPr>
          <w:lang w:val="en-CA"/>
        </w:rPr>
        <w:t xml:space="preserve"> away from the analysis of the evidence</w:t>
      </w:r>
      <w:r w:rsidR="00F76DAB" w:rsidRPr="001A67C2">
        <w:rPr>
          <w:lang w:val="en-CA"/>
        </w:rPr>
        <w:t>”</w:t>
      </w:r>
      <w:r w:rsidR="003A7CBC" w:rsidRPr="001A67C2">
        <w:rPr>
          <w:lang w:val="en-CA"/>
        </w:rPr>
        <w:t>.</w:t>
      </w:r>
      <w:r w:rsidR="00C5423B" w:rsidRPr="001A67C2">
        <w:rPr>
          <w:lang w:val="en-CA"/>
        </w:rPr>
        <w:t xml:space="preserve"> </w:t>
      </w:r>
      <w:r w:rsidR="00F76DAB" w:rsidRPr="001A67C2">
        <w:rPr>
          <w:lang w:val="en-CA"/>
        </w:rPr>
        <w:t>The handling of that testimony was at best confused, but since it pertain</w:t>
      </w:r>
      <w:r w:rsidR="00265EDA">
        <w:rPr>
          <w:lang w:val="en-CA"/>
        </w:rPr>
        <w:t>s</w:t>
      </w:r>
      <w:r w:rsidR="00F76DAB" w:rsidRPr="001A67C2">
        <w:rPr>
          <w:lang w:val="en-CA"/>
        </w:rPr>
        <w:t xml:space="preserve"> to a fundamental aspect, it was up to the judge to </w:t>
      </w:r>
      <w:r w:rsidR="00E9690A" w:rsidRPr="001A67C2">
        <w:rPr>
          <w:lang w:val="en-CA"/>
        </w:rPr>
        <w:t>“</w:t>
      </w:r>
      <w:r w:rsidR="00F76DAB" w:rsidRPr="001A67C2">
        <w:rPr>
          <w:lang w:val="en-CA"/>
        </w:rPr>
        <w:t>resolve confused and contradictory evidence on a key issue, unless the basis of the trial judge</w:t>
      </w:r>
      <w:r w:rsidR="00C465BE">
        <w:rPr>
          <w:lang w:val="en-CA"/>
        </w:rPr>
        <w:t>’</w:t>
      </w:r>
      <w:r w:rsidR="00F76DAB" w:rsidRPr="001A67C2">
        <w:rPr>
          <w:lang w:val="en-CA"/>
        </w:rPr>
        <w:t xml:space="preserve">s conclusion </w:t>
      </w:r>
      <w:r w:rsidR="0009356C">
        <w:rPr>
          <w:lang w:val="en-CA"/>
        </w:rPr>
        <w:t>is</w:t>
      </w:r>
      <w:r w:rsidR="00F76DAB" w:rsidRPr="001A67C2">
        <w:rPr>
          <w:lang w:val="en-CA"/>
        </w:rPr>
        <w:t xml:space="preserve"> apparent from the record, even without being articulated</w:t>
      </w:r>
      <w:r w:rsidR="00E9690A" w:rsidRPr="001A67C2">
        <w:rPr>
          <w:lang w:val="en-CA"/>
        </w:rPr>
        <w:t>”</w:t>
      </w:r>
      <w:r w:rsidR="00F76DAB" w:rsidRPr="001A67C2">
        <w:rPr>
          <w:lang w:val="en-CA"/>
        </w:rPr>
        <w:t xml:space="preserve"> (</w:t>
      </w:r>
      <w:r w:rsidR="00964F67" w:rsidRPr="001A67C2">
        <w:rPr>
          <w:i/>
          <w:iCs/>
          <w:lang w:val="en-CA"/>
        </w:rPr>
        <w:t>R. v. Sheppard</w:t>
      </w:r>
      <w:r w:rsidR="00964F67" w:rsidRPr="001A67C2">
        <w:rPr>
          <w:lang w:val="en-CA"/>
        </w:rPr>
        <w:t>, [2002] 1 S.C.R.</w:t>
      </w:r>
      <w:r w:rsidR="00C5423B" w:rsidRPr="001A67C2">
        <w:rPr>
          <w:lang w:val="en-CA"/>
        </w:rPr>
        <w:t xml:space="preserve"> </w:t>
      </w:r>
      <w:r w:rsidR="00AD14B4" w:rsidRPr="001A67C2">
        <w:rPr>
          <w:lang w:val="en-CA"/>
        </w:rPr>
        <w:t>869 at para.</w:t>
      </w:r>
      <w:r w:rsidR="00C5423B" w:rsidRPr="001A67C2">
        <w:rPr>
          <w:lang w:val="en-CA"/>
        </w:rPr>
        <w:t> </w:t>
      </w:r>
      <w:r w:rsidR="000B7ACD" w:rsidRPr="001A67C2">
        <w:rPr>
          <w:lang w:val="en-CA"/>
        </w:rPr>
        <w:t>55).</w:t>
      </w:r>
    </w:p>
    <w:p w14:paraId="39425665" w14:textId="68855420" w:rsidR="00E023DE" w:rsidRPr="001A67C2" w:rsidRDefault="00E9690A" w:rsidP="00E023DE">
      <w:pPr>
        <w:pStyle w:val="JgtParagraphe"/>
        <w:numPr>
          <w:ilvl w:val="0"/>
          <w:numId w:val="18"/>
        </w:numPr>
        <w:tabs>
          <w:tab w:val="clear" w:pos="990"/>
          <w:tab w:val="num" w:pos="720"/>
          <w:tab w:val="num" w:pos="3414"/>
        </w:tabs>
        <w:spacing w:line="240" w:lineRule="auto"/>
        <w:ind w:left="0"/>
        <w:rPr>
          <w:lang w:val="en-CA"/>
        </w:rPr>
      </w:pPr>
      <w:r w:rsidRPr="001A67C2">
        <w:rPr>
          <w:lang w:val="en-CA"/>
        </w:rPr>
        <w:t>The judge attributed the complainant</w:t>
      </w:r>
      <w:r w:rsidR="00C465BE">
        <w:rPr>
          <w:lang w:val="en-CA"/>
        </w:rPr>
        <w:t>’</w:t>
      </w:r>
      <w:r w:rsidRPr="001A67C2">
        <w:rPr>
          <w:lang w:val="en-CA"/>
        </w:rPr>
        <w:t xml:space="preserve">s words to the witness, which incorrectly resolved the clear contradiction on a key issue (consent), as the contradiction to be </w:t>
      </w:r>
      <w:r w:rsidRPr="001A67C2">
        <w:rPr>
          <w:lang w:val="en-CA"/>
        </w:rPr>
        <w:lastRenderedPageBreak/>
        <w:t xml:space="preserve">resolved </w:t>
      </w:r>
      <w:r w:rsidR="007D01C5">
        <w:rPr>
          <w:lang w:val="en-CA"/>
        </w:rPr>
        <w:t>does</w:t>
      </w:r>
      <w:r w:rsidRPr="001A67C2">
        <w:rPr>
          <w:lang w:val="en-CA"/>
        </w:rPr>
        <w:t xml:space="preserve"> not relate to what she allegedly told the witness, but </w:t>
      </w:r>
      <w:r w:rsidR="007D01C5">
        <w:rPr>
          <w:lang w:val="en-CA"/>
        </w:rPr>
        <w:t>is</w:t>
      </w:r>
      <w:r w:rsidRPr="001A67C2">
        <w:rPr>
          <w:lang w:val="en-CA"/>
        </w:rPr>
        <w:t xml:space="preserve"> between what she said at the time and what she stated at trial.</w:t>
      </w:r>
    </w:p>
    <w:p w14:paraId="7C266EC0" w14:textId="46578A43" w:rsidR="00011070" w:rsidRPr="001A67C2" w:rsidRDefault="0078202A" w:rsidP="00266393">
      <w:pPr>
        <w:pStyle w:val="JgtParagraphe"/>
        <w:numPr>
          <w:ilvl w:val="0"/>
          <w:numId w:val="18"/>
        </w:numPr>
        <w:tabs>
          <w:tab w:val="clear" w:pos="990"/>
          <w:tab w:val="num" w:pos="720"/>
        </w:tabs>
        <w:spacing w:line="240" w:lineRule="auto"/>
        <w:ind w:left="0"/>
        <w:rPr>
          <w:lang w:val="en-CA"/>
        </w:rPr>
      </w:pPr>
      <w:r w:rsidRPr="001A67C2">
        <w:rPr>
          <w:color w:val="auto"/>
          <w:lang w:val="en-CA"/>
        </w:rPr>
        <w:t>That said, it is true that the judge</w:t>
      </w:r>
      <w:r w:rsidR="00C465BE">
        <w:rPr>
          <w:color w:val="auto"/>
          <w:lang w:val="en-CA"/>
        </w:rPr>
        <w:t>’</w:t>
      </w:r>
      <w:r w:rsidRPr="001A67C2">
        <w:rPr>
          <w:color w:val="auto"/>
          <w:lang w:val="en-CA"/>
        </w:rPr>
        <w:t xml:space="preserve">s analysis was not limited to these examples and </w:t>
      </w:r>
      <w:r w:rsidR="00655F92">
        <w:rPr>
          <w:color w:val="auto"/>
          <w:lang w:val="en-CA"/>
        </w:rPr>
        <w:t xml:space="preserve">that he </w:t>
      </w:r>
      <w:r w:rsidRPr="001A67C2">
        <w:rPr>
          <w:color w:val="auto"/>
          <w:lang w:val="en-CA"/>
        </w:rPr>
        <w:t>set out other reasons for not believing the appellant</w:t>
      </w:r>
      <w:r w:rsidR="00C465BE">
        <w:rPr>
          <w:color w:val="auto"/>
          <w:lang w:val="en-CA"/>
        </w:rPr>
        <w:t>’</w:t>
      </w:r>
      <w:r w:rsidRPr="001A67C2">
        <w:rPr>
          <w:color w:val="auto"/>
          <w:lang w:val="en-CA"/>
        </w:rPr>
        <w:t>s testimony.</w:t>
      </w:r>
      <w:r w:rsidR="00C5423B" w:rsidRPr="001A67C2">
        <w:rPr>
          <w:lang w:val="en-CA"/>
        </w:rPr>
        <w:t xml:space="preserve"> </w:t>
      </w:r>
      <w:r w:rsidR="00390D09" w:rsidRPr="001A67C2">
        <w:rPr>
          <w:lang w:val="en-CA"/>
        </w:rPr>
        <w:t xml:space="preserve">His conclusions were all based on an assessment of credibility that, as stated above, was </w:t>
      </w:r>
      <w:r w:rsidR="007B0827">
        <w:rPr>
          <w:lang w:val="en-CA"/>
        </w:rPr>
        <w:t>taint</w:t>
      </w:r>
      <w:r w:rsidR="00902020">
        <w:rPr>
          <w:lang w:val="en-CA"/>
        </w:rPr>
        <w:t xml:space="preserve">ed </w:t>
      </w:r>
      <w:r w:rsidR="00390D09" w:rsidRPr="001A67C2">
        <w:rPr>
          <w:lang w:val="en-CA"/>
        </w:rPr>
        <w:t>by unreasonable bias.</w:t>
      </w:r>
      <w:r w:rsidR="00C5423B" w:rsidRPr="001A67C2">
        <w:rPr>
          <w:lang w:val="en-CA"/>
        </w:rPr>
        <w:t xml:space="preserve"> </w:t>
      </w:r>
      <w:r w:rsidR="006274C6" w:rsidRPr="001A67C2">
        <w:rPr>
          <w:lang w:val="en-CA"/>
        </w:rPr>
        <w:t>In these circumstances, the appellant is entitled to a new trial.</w:t>
      </w:r>
    </w:p>
    <w:p w14:paraId="54B5E718" w14:textId="01526A3D" w:rsidR="00887EEB" w:rsidRPr="001A67C2" w:rsidRDefault="00E864F3" w:rsidP="00266393">
      <w:pPr>
        <w:pStyle w:val="Paragraphe"/>
        <w:numPr>
          <w:ilvl w:val="0"/>
          <w:numId w:val="0"/>
        </w:numPr>
        <w:rPr>
          <w:b/>
          <w:lang w:val="en-CA"/>
        </w:rPr>
      </w:pPr>
      <w:r w:rsidRPr="001A67C2">
        <w:rPr>
          <w:b/>
          <w:lang w:val="en-CA"/>
        </w:rPr>
        <w:t>FOR THESE REASONS, THE COURT:</w:t>
      </w:r>
    </w:p>
    <w:p w14:paraId="466EA623" w14:textId="7D9D2516" w:rsidR="00011070" w:rsidRPr="001A67C2" w:rsidRDefault="002623D3" w:rsidP="00266393">
      <w:pPr>
        <w:pStyle w:val="JgtParagraphe"/>
        <w:numPr>
          <w:ilvl w:val="0"/>
          <w:numId w:val="18"/>
        </w:numPr>
        <w:tabs>
          <w:tab w:val="clear" w:pos="990"/>
          <w:tab w:val="num" w:pos="720"/>
        </w:tabs>
        <w:spacing w:line="240" w:lineRule="auto"/>
        <w:ind w:left="0"/>
        <w:rPr>
          <w:bCs/>
          <w:lang w:val="en-CA"/>
        </w:rPr>
      </w:pPr>
      <w:r w:rsidRPr="001A67C2">
        <w:rPr>
          <w:b/>
          <w:lang w:val="en-CA"/>
        </w:rPr>
        <w:t>ALLOWS</w:t>
      </w:r>
      <w:r w:rsidRPr="001A67C2">
        <w:rPr>
          <w:bCs/>
          <w:lang w:val="en-CA"/>
        </w:rPr>
        <w:t xml:space="preserve"> the appeal;</w:t>
      </w:r>
    </w:p>
    <w:p w14:paraId="1DE87445" w14:textId="54C84040" w:rsidR="00011070" w:rsidRPr="001A67C2" w:rsidRDefault="0026415B" w:rsidP="00266393">
      <w:pPr>
        <w:pStyle w:val="JgtParagraphe"/>
        <w:numPr>
          <w:ilvl w:val="0"/>
          <w:numId w:val="18"/>
        </w:numPr>
        <w:tabs>
          <w:tab w:val="clear" w:pos="990"/>
          <w:tab w:val="num" w:pos="720"/>
        </w:tabs>
        <w:spacing w:line="240" w:lineRule="auto"/>
        <w:ind w:left="0"/>
        <w:rPr>
          <w:lang w:val="en-CA"/>
        </w:rPr>
      </w:pPr>
      <w:r w:rsidRPr="001A67C2">
        <w:rPr>
          <w:b/>
          <w:lang w:val="en-CA"/>
        </w:rPr>
        <w:t>SETS ASIDE</w:t>
      </w:r>
      <w:r w:rsidRPr="001A67C2">
        <w:rPr>
          <w:bCs/>
          <w:lang w:val="en-CA"/>
        </w:rPr>
        <w:t xml:space="preserve"> the conviction;</w:t>
      </w:r>
    </w:p>
    <w:p w14:paraId="79C12F97" w14:textId="5634A871" w:rsidR="00011070" w:rsidRPr="001A67C2" w:rsidRDefault="006F7ED6" w:rsidP="00266393">
      <w:pPr>
        <w:pStyle w:val="JgtParagraphe"/>
        <w:numPr>
          <w:ilvl w:val="0"/>
          <w:numId w:val="18"/>
        </w:numPr>
        <w:tabs>
          <w:tab w:val="clear" w:pos="990"/>
          <w:tab w:val="num" w:pos="720"/>
        </w:tabs>
        <w:spacing w:line="240" w:lineRule="auto"/>
        <w:ind w:left="0"/>
        <w:rPr>
          <w:bCs/>
          <w:lang w:val="en-CA"/>
        </w:rPr>
      </w:pPr>
      <w:r w:rsidRPr="001A67C2">
        <w:rPr>
          <w:b/>
          <w:lang w:val="en-CA"/>
        </w:rPr>
        <w:t>ORDERS</w:t>
      </w:r>
      <w:r w:rsidRPr="001A67C2">
        <w:rPr>
          <w:bCs/>
          <w:lang w:val="en-CA"/>
        </w:rPr>
        <w:t xml:space="preserve"> that a new trial be held.</w:t>
      </w:r>
    </w:p>
    <w:p w14:paraId="45E2F3E2" w14:textId="77777777" w:rsidR="00D13586" w:rsidRPr="001A67C2" w:rsidRDefault="00D13586" w:rsidP="00D13586">
      <w:pPr>
        <w:pStyle w:val="JgtParagraphe"/>
        <w:tabs>
          <w:tab w:val="clear" w:pos="720"/>
        </w:tabs>
        <w:spacing w:line="240" w:lineRule="auto"/>
        <w:rPr>
          <w:lang w:val="en-CA"/>
        </w:rPr>
      </w:pPr>
    </w:p>
    <w:p w14:paraId="31440A8D" w14:textId="77777777" w:rsidR="00103C92" w:rsidRPr="001A67C2" w:rsidRDefault="00103C92" w:rsidP="00D13586">
      <w:pPr>
        <w:pStyle w:val="JgtParagraphe"/>
        <w:tabs>
          <w:tab w:val="clear" w:pos="720"/>
        </w:tabs>
        <w:spacing w:line="240" w:lineRule="auto"/>
        <w:rPr>
          <w:lang w:val="en-CA"/>
        </w:rPr>
      </w:pPr>
    </w:p>
    <w:tbl>
      <w:tblPr>
        <w:tblW w:w="9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860"/>
      </w:tblGrid>
      <w:tr w:rsidR="006C29E1" w:rsidRPr="001A67C2" w14:paraId="20F691A4" w14:textId="77777777" w:rsidTr="00FB3369">
        <w:tc>
          <w:tcPr>
            <w:tcW w:w="4500" w:type="dxa"/>
          </w:tcPr>
          <w:p w14:paraId="616F6413" w14:textId="77777777" w:rsidR="00887EEB" w:rsidRPr="001A67C2" w:rsidRDefault="00887EEB" w:rsidP="00887EEB">
            <w:pPr>
              <w:keepNext/>
              <w:spacing w:line="240" w:lineRule="auto"/>
              <w:jc w:val="both"/>
              <w:rPr>
                <w:rFonts w:cs="Arial"/>
                <w:szCs w:val="24"/>
                <w:lang w:val="en-CA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095F1D60" w14:textId="1BACC7FA" w:rsidR="00887EEB" w:rsidRPr="001A67C2" w:rsidRDefault="00096273" w:rsidP="00887EEB">
            <w:pPr>
              <w:keepNext/>
              <w:spacing w:line="240" w:lineRule="auto"/>
              <w:rPr>
                <w:rFonts w:cs="Arial"/>
                <w:caps/>
                <w:szCs w:val="24"/>
                <w:lang w:val="en-CA"/>
              </w:rPr>
            </w:pPr>
            <w:r w:rsidRPr="001A67C2">
              <w:rPr>
                <w:lang w:val="en-CA"/>
              </w:rPr>
              <w:t>MARTIN VAUCLAIR, J.A.</w:t>
            </w:r>
          </w:p>
        </w:tc>
      </w:tr>
    </w:tbl>
    <w:p w14:paraId="2E3E0909" w14:textId="77777777" w:rsidR="00887EEB" w:rsidRPr="001A67C2" w:rsidRDefault="00887EEB" w:rsidP="00887EEB">
      <w:pPr>
        <w:keepNext/>
        <w:spacing w:line="240" w:lineRule="auto"/>
        <w:jc w:val="both"/>
        <w:rPr>
          <w:rFonts w:cs="Arial"/>
          <w:szCs w:val="24"/>
          <w:lang w:val="en-CA"/>
        </w:rPr>
      </w:pPr>
    </w:p>
    <w:p w14:paraId="1CED6A8D" w14:textId="77777777" w:rsidR="00887EEB" w:rsidRPr="001A67C2" w:rsidRDefault="00887EEB" w:rsidP="00887EEB">
      <w:pPr>
        <w:keepNext/>
        <w:spacing w:line="240" w:lineRule="auto"/>
        <w:jc w:val="both"/>
        <w:rPr>
          <w:rFonts w:cs="Arial"/>
          <w:szCs w:val="24"/>
          <w:lang w:val="en-CA"/>
        </w:rPr>
      </w:pPr>
    </w:p>
    <w:tbl>
      <w:tblPr>
        <w:tblW w:w="9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860"/>
      </w:tblGrid>
      <w:tr w:rsidR="006C29E1" w:rsidRPr="001A67C2" w14:paraId="66C5BF72" w14:textId="77777777" w:rsidTr="00FB3369">
        <w:tc>
          <w:tcPr>
            <w:tcW w:w="4500" w:type="dxa"/>
          </w:tcPr>
          <w:p w14:paraId="5B1D5340" w14:textId="77777777" w:rsidR="00887EEB" w:rsidRPr="001A67C2" w:rsidRDefault="00887EEB" w:rsidP="00887EEB">
            <w:pPr>
              <w:keepNext/>
              <w:spacing w:line="240" w:lineRule="auto"/>
              <w:jc w:val="both"/>
              <w:rPr>
                <w:rFonts w:cs="Arial"/>
                <w:szCs w:val="24"/>
                <w:lang w:val="en-CA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0F0FA8A7" w14:textId="3F49D000" w:rsidR="00887EEB" w:rsidRPr="001A67C2" w:rsidRDefault="004A151F" w:rsidP="00887EEB">
            <w:pPr>
              <w:keepNext/>
              <w:spacing w:line="240" w:lineRule="auto"/>
              <w:rPr>
                <w:rFonts w:cs="Arial"/>
                <w:caps/>
                <w:szCs w:val="24"/>
                <w:lang w:val="en-CA"/>
              </w:rPr>
            </w:pPr>
            <w:r w:rsidRPr="001A67C2">
              <w:rPr>
                <w:lang w:val="en-CA"/>
              </w:rPr>
              <w:t>PATRICK HEALY, J.A.</w:t>
            </w:r>
          </w:p>
        </w:tc>
      </w:tr>
    </w:tbl>
    <w:p w14:paraId="4B4E5BC5" w14:textId="77777777" w:rsidR="00887EEB" w:rsidRPr="001A67C2" w:rsidRDefault="00887EEB" w:rsidP="00887EEB">
      <w:pPr>
        <w:keepNext/>
        <w:spacing w:line="240" w:lineRule="auto"/>
        <w:jc w:val="both"/>
        <w:rPr>
          <w:rFonts w:cs="Arial"/>
          <w:szCs w:val="24"/>
          <w:lang w:val="en-CA"/>
        </w:rPr>
      </w:pPr>
    </w:p>
    <w:p w14:paraId="182368DD" w14:textId="77777777" w:rsidR="00887EEB" w:rsidRPr="001A67C2" w:rsidRDefault="00887EEB" w:rsidP="00887EEB">
      <w:pPr>
        <w:keepNext/>
        <w:spacing w:line="240" w:lineRule="auto"/>
        <w:jc w:val="both"/>
        <w:rPr>
          <w:rFonts w:cs="Arial"/>
          <w:szCs w:val="24"/>
          <w:lang w:val="en-CA"/>
        </w:rPr>
      </w:pPr>
    </w:p>
    <w:tbl>
      <w:tblPr>
        <w:tblW w:w="9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860"/>
      </w:tblGrid>
      <w:tr w:rsidR="006C29E1" w:rsidRPr="001A67C2" w14:paraId="68C874A0" w14:textId="77777777" w:rsidTr="00FB3369">
        <w:tc>
          <w:tcPr>
            <w:tcW w:w="4500" w:type="dxa"/>
          </w:tcPr>
          <w:p w14:paraId="217AA707" w14:textId="77777777" w:rsidR="00887EEB" w:rsidRPr="001A67C2" w:rsidRDefault="00887EEB" w:rsidP="00887EEB">
            <w:pPr>
              <w:keepNext/>
              <w:spacing w:line="240" w:lineRule="auto"/>
              <w:jc w:val="both"/>
              <w:rPr>
                <w:rFonts w:cs="Arial"/>
                <w:szCs w:val="24"/>
                <w:lang w:val="en-CA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7966689E" w14:textId="4F048BAE" w:rsidR="00887EEB" w:rsidRPr="001A67C2" w:rsidRDefault="002F4DD5" w:rsidP="00887EEB">
            <w:pPr>
              <w:keepNext/>
              <w:spacing w:line="240" w:lineRule="auto"/>
              <w:rPr>
                <w:rFonts w:cs="Arial"/>
                <w:caps/>
                <w:szCs w:val="24"/>
                <w:lang w:val="en-CA"/>
              </w:rPr>
            </w:pPr>
            <w:r w:rsidRPr="001A67C2">
              <w:rPr>
                <w:lang w:val="en-CA"/>
              </w:rPr>
              <w:t>GENEVIÈVE COTNAM, J.A.</w:t>
            </w:r>
          </w:p>
        </w:tc>
      </w:tr>
    </w:tbl>
    <w:p w14:paraId="6D2F0872" w14:textId="77777777" w:rsidR="00887EEB" w:rsidRPr="001A67C2" w:rsidRDefault="00887EEB" w:rsidP="00887EEB">
      <w:pPr>
        <w:spacing w:line="240" w:lineRule="auto"/>
        <w:jc w:val="both"/>
        <w:rPr>
          <w:rFonts w:cs="Arial"/>
          <w:szCs w:val="24"/>
          <w:lang w:val="en-CA"/>
        </w:rPr>
      </w:pPr>
    </w:p>
    <w:p w14:paraId="0CA9C26C" w14:textId="77777777" w:rsidR="005B4976" w:rsidRPr="001A67C2" w:rsidRDefault="005B4976" w:rsidP="00E06061">
      <w:pPr>
        <w:pStyle w:val="Paragraphe"/>
        <w:numPr>
          <w:ilvl w:val="0"/>
          <w:numId w:val="0"/>
        </w:numPr>
        <w:rPr>
          <w:lang w:val="en-CA"/>
        </w:rPr>
      </w:pPr>
    </w:p>
    <w:sectPr w:rsidR="005B4976" w:rsidRPr="001A67C2" w:rsidSect="000976F2">
      <w:headerReference w:type="default" r:id="rId8"/>
      <w:footerReference w:type="default" r:id="rId9"/>
      <w:footerReference w:type="first" r:id="rId10"/>
      <w:footnotePr>
        <w:numRestart w:val="eachSect"/>
      </w:footnotePr>
      <w:pgSz w:w="12242" w:h="15842" w:code="1"/>
      <w:pgMar w:top="720" w:right="1352" w:bottom="709" w:left="1620" w:header="1440" w:footer="792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F0544" w14:textId="77777777" w:rsidR="00BA43AD" w:rsidRDefault="00BA43AD">
      <w:pPr>
        <w:spacing w:line="240" w:lineRule="auto"/>
      </w:pPr>
      <w:r>
        <w:separator/>
      </w:r>
    </w:p>
  </w:endnote>
  <w:endnote w:type="continuationSeparator" w:id="0">
    <w:p w14:paraId="616643A7" w14:textId="77777777" w:rsidR="00BA43AD" w:rsidRDefault="00BA43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E82DF" w14:textId="77777777" w:rsidR="00B3714A" w:rsidRDefault="00B3714A" w:rsidP="00554567">
    <w:pPr>
      <w:jc w:val="right"/>
      <w:rPr>
        <w:b/>
        <w:bCs/>
        <w:lang w:val="en-CA"/>
      </w:rPr>
    </w:pPr>
  </w:p>
  <w:p w14:paraId="52B176DF" w14:textId="645B371F" w:rsidR="00554567" w:rsidRPr="00554567" w:rsidRDefault="00554567" w:rsidP="00554567">
    <w:pPr>
      <w:jc w:val="right"/>
      <w:rPr>
        <w:b/>
        <w:bCs/>
        <w:lang w:val="en-CA"/>
      </w:rPr>
    </w:pPr>
    <w:r w:rsidRPr="00554567">
      <w:rPr>
        <w:b/>
        <w:bCs/>
        <w:lang w:val="en-CA"/>
      </w:rPr>
      <w:t>English translation of the ju</w:t>
    </w:r>
    <w:r>
      <w:rPr>
        <w:b/>
        <w:bCs/>
        <w:lang w:val="en-CA"/>
      </w:rPr>
      <w:t>dgment of the Court by SOQUIJ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D480F" w14:textId="549DF796" w:rsidR="000976F2" w:rsidRPr="003B5120" w:rsidRDefault="000976F2" w:rsidP="000976F2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8CBD5" w14:textId="77777777" w:rsidR="00BA43AD" w:rsidRDefault="00BA43AD">
      <w:pPr>
        <w:spacing w:line="240" w:lineRule="auto"/>
      </w:pPr>
      <w:r>
        <w:separator/>
      </w:r>
    </w:p>
  </w:footnote>
  <w:footnote w:type="continuationSeparator" w:id="0">
    <w:p w14:paraId="1BAFDA21" w14:textId="77777777" w:rsidR="00BA43AD" w:rsidRDefault="00BA43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</w:tblCellMar>
      <w:tblLook w:val="04A0" w:firstRow="1" w:lastRow="0" w:firstColumn="1" w:lastColumn="0" w:noHBand="0" w:noVBand="1"/>
    </w:tblPr>
    <w:tblGrid>
      <w:gridCol w:w="7383"/>
      <w:gridCol w:w="2157"/>
    </w:tblGrid>
    <w:tr w:rsidR="006C29E1" w:rsidRPr="001A67C2" w14:paraId="46A3733E" w14:textId="77777777" w:rsidTr="00241A86">
      <w:tc>
        <w:tcPr>
          <w:tcW w:w="7383" w:type="dxa"/>
        </w:tcPr>
        <w:p w14:paraId="46A3733C" w14:textId="0DE1E686" w:rsidR="004D106E" w:rsidRPr="001A67C2" w:rsidRDefault="00C5423B" w:rsidP="00637D6F">
          <w:pPr>
            <w:tabs>
              <w:tab w:val="left" w:pos="442"/>
              <w:tab w:val="center" w:pos="4709"/>
              <w:tab w:val="right" w:pos="9360"/>
            </w:tabs>
            <w:ind w:right="524"/>
            <w:rPr>
              <w:lang w:val="en-CA"/>
            </w:rPr>
          </w:pPr>
          <w:bookmarkStart w:id="127" w:name="EntDossier"/>
          <w:r w:rsidRPr="001A67C2">
            <w:rPr>
              <w:lang w:val="en-CA"/>
            </w:rPr>
            <w:t>500-08-000578-247</w:t>
          </w:r>
          <w:bookmarkEnd w:id="127"/>
        </w:p>
      </w:tc>
      <w:tc>
        <w:tcPr>
          <w:tcW w:w="2157" w:type="dxa"/>
        </w:tcPr>
        <w:p w14:paraId="46A3733D" w14:textId="78F34917" w:rsidR="004D106E" w:rsidRPr="001A67C2" w:rsidRDefault="00C5423B" w:rsidP="00CD58FC">
          <w:pPr>
            <w:tabs>
              <w:tab w:val="left" w:pos="442"/>
              <w:tab w:val="center" w:pos="4709"/>
              <w:tab w:val="right" w:pos="9360"/>
            </w:tabs>
            <w:ind w:right="159"/>
            <w:jc w:val="right"/>
            <w:rPr>
              <w:lang w:val="en-CA"/>
            </w:rPr>
          </w:pPr>
          <w:r w:rsidRPr="001A67C2">
            <w:rPr>
              <w:lang w:val="en-CA"/>
            </w:rPr>
            <w:tab/>
            <w:t xml:space="preserve">PAGE: </w:t>
          </w:r>
          <w:r w:rsidRPr="001A67C2">
            <w:rPr>
              <w:lang w:val="en-CA"/>
            </w:rPr>
            <w:fldChar w:fldCharType="begin"/>
          </w:r>
          <w:r w:rsidRPr="001A67C2">
            <w:rPr>
              <w:lang w:val="en-CA"/>
            </w:rPr>
            <w:instrText xml:space="preserve"> PAGE </w:instrText>
          </w:r>
          <w:r w:rsidRPr="001A67C2">
            <w:rPr>
              <w:lang w:val="en-CA"/>
            </w:rPr>
            <w:fldChar w:fldCharType="separate"/>
          </w:r>
          <w:r w:rsidRPr="001A67C2">
            <w:rPr>
              <w:lang w:val="en-CA"/>
            </w:rPr>
            <w:t>6</w:t>
          </w:r>
          <w:r w:rsidRPr="001A67C2">
            <w:rPr>
              <w:lang w:val="en-CA"/>
            </w:rPr>
            <w:fldChar w:fldCharType="end"/>
          </w:r>
        </w:p>
      </w:tc>
    </w:tr>
  </w:tbl>
  <w:p w14:paraId="46A3733F" w14:textId="77777777" w:rsidR="004D106E" w:rsidRPr="001A67C2" w:rsidRDefault="00C5423B" w:rsidP="00CD58FC">
    <w:pPr>
      <w:tabs>
        <w:tab w:val="left" w:pos="442"/>
        <w:tab w:val="center" w:pos="4709"/>
        <w:tab w:val="right" w:pos="9360"/>
      </w:tabs>
      <w:ind w:right="524"/>
      <w:rPr>
        <w:lang w:val="en-CA"/>
      </w:rPr>
    </w:pPr>
    <w:r w:rsidRPr="001A67C2">
      <w:rPr>
        <w:lang w:val="en-CA"/>
      </w:rPr>
      <w:tab/>
    </w:r>
  </w:p>
  <w:p w14:paraId="46A37340" w14:textId="77777777" w:rsidR="004D106E" w:rsidRPr="001A67C2" w:rsidRDefault="004D106E">
    <w:pPr>
      <w:tabs>
        <w:tab w:val="center" w:pos="4709"/>
        <w:tab w:val="right" w:pos="9090"/>
      </w:tabs>
      <w:ind w:right="524"/>
      <w:rPr>
        <w:lang w:val="en-CA"/>
      </w:rPr>
    </w:pPr>
  </w:p>
  <w:p w14:paraId="75A79C00" w14:textId="77777777" w:rsidR="004D106E" w:rsidRPr="001A67C2" w:rsidRDefault="004D106E">
    <w:pPr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1E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12EA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2647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1C3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EAB8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1219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8070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6436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DCE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34AE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BB52DE"/>
    <w:multiLevelType w:val="multilevel"/>
    <w:tmpl w:val="5C103B16"/>
    <w:lvl w:ilvl="0">
      <w:start w:val="1"/>
      <w:numFmt w:val="decimal"/>
      <w:pStyle w:val="Paragraphe"/>
      <w:lvlText w:val="[%1]"/>
      <w:lvlJc w:val="left"/>
      <w:pPr>
        <w:tabs>
          <w:tab w:val="num" w:pos="990"/>
        </w:tabs>
        <w:ind w:left="27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ous-paragraph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A9D1B84"/>
    <w:multiLevelType w:val="multilevel"/>
    <w:tmpl w:val="2766DEE4"/>
    <w:lvl w:ilvl="0">
      <w:start w:val="1"/>
      <w:numFmt w:val="bullet"/>
      <w:lvlText w:val=""/>
      <w:lvlJc w:val="left"/>
      <w:pPr>
        <w:tabs>
          <w:tab w:val="num" w:pos="792"/>
        </w:tabs>
        <w:ind w:left="792" w:hanging="72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609C0DCC"/>
    <w:multiLevelType w:val="multilevel"/>
    <w:tmpl w:val="F11C8164"/>
    <w:lvl w:ilvl="0">
      <w:start w:val="1"/>
      <w:numFmt w:val="decimal"/>
      <w:lvlText w:val="[%1]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30829560">
    <w:abstractNumId w:val="12"/>
  </w:num>
  <w:num w:numId="2" w16cid:durableId="215898459">
    <w:abstractNumId w:val="12"/>
  </w:num>
  <w:num w:numId="3" w16cid:durableId="2119251839">
    <w:abstractNumId w:val="12"/>
  </w:num>
  <w:num w:numId="4" w16cid:durableId="1885212123">
    <w:abstractNumId w:val="8"/>
  </w:num>
  <w:num w:numId="5" w16cid:durableId="667753151">
    <w:abstractNumId w:val="3"/>
  </w:num>
  <w:num w:numId="6" w16cid:durableId="945117093">
    <w:abstractNumId w:val="2"/>
  </w:num>
  <w:num w:numId="7" w16cid:durableId="620723875">
    <w:abstractNumId w:val="1"/>
  </w:num>
  <w:num w:numId="8" w16cid:durableId="831413174">
    <w:abstractNumId w:val="0"/>
  </w:num>
  <w:num w:numId="9" w16cid:durableId="1278365086">
    <w:abstractNumId w:val="9"/>
  </w:num>
  <w:num w:numId="10" w16cid:durableId="959606414">
    <w:abstractNumId w:val="7"/>
  </w:num>
  <w:num w:numId="11" w16cid:durableId="1129401547">
    <w:abstractNumId w:val="6"/>
  </w:num>
  <w:num w:numId="12" w16cid:durableId="1708992773">
    <w:abstractNumId w:val="5"/>
  </w:num>
  <w:num w:numId="13" w16cid:durableId="888297063">
    <w:abstractNumId w:val="4"/>
  </w:num>
  <w:num w:numId="14" w16cid:durableId="1713536325">
    <w:abstractNumId w:val="12"/>
  </w:num>
  <w:num w:numId="15" w16cid:durableId="351034515">
    <w:abstractNumId w:val="12"/>
  </w:num>
  <w:num w:numId="16" w16cid:durableId="1789934215">
    <w:abstractNumId w:val="12"/>
  </w:num>
  <w:num w:numId="17" w16cid:durableId="2088920748">
    <w:abstractNumId w:val="11"/>
  </w:num>
  <w:num w:numId="18" w16cid:durableId="14081152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7E3"/>
    <w:rsid w:val="00005741"/>
    <w:rsid w:val="000072A2"/>
    <w:rsid w:val="00011070"/>
    <w:rsid w:val="0001606E"/>
    <w:rsid w:val="000250C2"/>
    <w:rsid w:val="00033ACA"/>
    <w:rsid w:val="00034F0B"/>
    <w:rsid w:val="000363CF"/>
    <w:rsid w:val="00051EBF"/>
    <w:rsid w:val="00056B68"/>
    <w:rsid w:val="000614D8"/>
    <w:rsid w:val="00075207"/>
    <w:rsid w:val="00080D1F"/>
    <w:rsid w:val="000814D4"/>
    <w:rsid w:val="00082F0A"/>
    <w:rsid w:val="00084297"/>
    <w:rsid w:val="00084752"/>
    <w:rsid w:val="0008703D"/>
    <w:rsid w:val="0009356C"/>
    <w:rsid w:val="000949A6"/>
    <w:rsid w:val="00094DC3"/>
    <w:rsid w:val="00096273"/>
    <w:rsid w:val="000976F2"/>
    <w:rsid w:val="000A082D"/>
    <w:rsid w:val="000A6DF6"/>
    <w:rsid w:val="000B3F39"/>
    <w:rsid w:val="000B60BA"/>
    <w:rsid w:val="000B69CB"/>
    <w:rsid w:val="000B7ACD"/>
    <w:rsid w:val="000C109B"/>
    <w:rsid w:val="000C54D9"/>
    <w:rsid w:val="000C7E01"/>
    <w:rsid w:val="000D5528"/>
    <w:rsid w:val="000E29E4"/>
    <w:rsid w:val="000E3231"/>
    <w:rsid w:val="000E3D36"/>
    <w:rsid w:val="000F002A"/>
    <w:rsid w:val="000F07AC"/>
    <w:rsid w:val="000F321E"/>
    <w:rsid w:val="000F62BF"/>
    <w:rsid w:val="000F74B3"/>
    <w:rsid w:val="0010010E"/>
    <w:rsid w:val="001009B2"/>
    <w:rsid w:val="00103275"/>
    <w:rsid w:val="00103C92"/>
    <w:rsid w:val="00104397"/>
    <w:rsid w:val="00106BD1"/>
    <w:rsid w:val="00110CAB"/>
    <w:rsid w:val="0012423F"/>
    <w:rsid w:val="0013190A"/>
    <w:rsid w:val="00135014"/>
    <w:rsid w:val="00137252"/>
    <w:rsid w:val="00140718"/>
    <w:rsid w:val="00140750"/>
    <w:rsid w:val="001433C6"/>
    <w:rsid w:val="00146ED1"/>
    <w:rsid w:val="00151498"/>
    <w:rsid w:val="0015253C"/>
    <w:rsid w:val="00156F49"/>
    <w:rsid w:val="001578E3"/>
    <w:rsid w:val="00160465"/>
    <w:rsid w:val="00163E9B"/>
    <w:rsid w:val="00165310"/>
    <w:rsid w:val="00175437"/>
    <w:rsid w:val="00177A5C"/>
    <w:rsid w:val="00186B64"/>
    <w:rsid w:val="00187994"/>
    <w:rsid w:val="001933CB"/>
    <w:rsid w:val="0019625A"/>
    <w:rsid w:val="001A4667"/>
    <w:rsid w:val="001A67C2"/>
    <w:rsid w:val="001A7C22"/>
    <w:rsid w:val="001B1B44"/>
    <w:rsid w:val="001C01EB"/>
    <w:rsid w:val="001C1693"/>
    <w:rsid w:val="001C222A"/>
    <w:rsid w:val="001E13E3"/>
    <w:rsid w:val="001F20BF"/>
    <w:rsid w:val="00202A9B"/>
    <w:rsid w:val="0021091C"/>
    <w:rsid w:val="00215559"/>
    <w:rsid w:val="002159AA"/>
    <w:rsid w:val="00220F35"/>
    <w:rsid w:val="00221170"/>
    <w:rsid w:val="002219EF"/>
    <w:rsid w:val="0022417B"/>
    <w:rsid w:val="0023213C"/>
    <w:rsid w:val="0023567E"/>
    <w:rsid w:val="00236959"/>
    <w:rsid w:val="00237AFD"/>
    <w:rsid w:val="00240B45"/>
    <w:rsid w:val="00241A86"/>
    <w:rsid w:val="00244467"/>
    <w:rsid w:val="0024482A"/>
    <w:rsid w:val="00253088"/>
    <w:rsid w:val="002623D3"/>
    <w:rsid w:val="00263A55"/>
    <w:rsid w:val="0026415B"/>
    <w:rsid w:val="00265EDA"/>
    <w:rsid w:val="00266393"/>
    <w:rsid w:val="00266D03"/>
    <w:rsid w:val="00267840"/>
    <w:rsid w:val="00273EFA"/>
    <w:rsid w:val="002745AE"/>
    <w:rsid w:val="0029145F"/>
    <w:rsid w:val="00293750"/>
    <w:rsid w:val="002A0B7A"/>
    <w:rsid w:val="002A295B"/>
    <w:rsid w:val="002A40C9"/>
    <w:rsid w:val="002C1B95"/>
    <w:rsid w:val="002C4107"/>
    <w:rsid w:val="002C7179"/>
    <w:rsid w:val="002D4066"/>
    <w:rsid w:val="002D71A4"/>
    <w:rsid w:val="002E540C"/>
    <w:rsid w:val="002E7403"/>
    <w:rsid w:val="002F4559"/>
    <w:rsid w:val="002F4DD5"/>
    <w:rsid w:val="002F5043"/>
    <w:rsid w:val="00303EB7"/>
    <w:rsid w:val="003041AF"/>
    <w:rsid w:val="00315497"/>
    <w:rsid w:val="00317A57"/>
    <w:rsid w:val="00320C2D"/>
    <w:rsid w:val="00322707"/>
    <w:rsid w:val="003267F8"/>
    <w:rsid w:val="0033020E"/>
    <w:rsid w:val="00335475"/>
    <w:rsid w:val="00345C12"/>
    <w:rsid w:val="003579ED"/>
    <w:rsid w:val="00357DD1"/>
    <w:rsid w:val="00361A5C"/>
    <w:rsid w:val="00371481"/>
    <w:rsid w:val="0037521E"/>
    <w:rsid w:val="003822C1"/>
    <w:rsid w:val="003847F3"/>
    <w:rsid w:val="00385BF1"/>
    <w:rsid w:val="00390D09"/>
    <w:rsid w:val="0039120A"/>
    <w:rsid w:val="00392D3D"/>
    <w:rsid w:val="00392DCA"/>
    <w:rsid w:val="003A7CBC"/>
    <w:rsid w:val="003B0FF1"/>
    <w:rsid w:val="003B5120"/>
    <w:rsid w:val="003B65F2"/>
    <w:rsid w:val="003D5C42"/>
    <w:rsid w:val="003E5AF3"/>
    <w:rsid w:val="003F32D8"/>
    <w:rsid w:val="003F40FD"/>
    <w:rsid w:val="003F4640"/>
    <w:rsid w:val="003F46CD"/>
    <w:rsid w:val="00402083"/>
    <w:rsid w:val="004152F2"/>
    <w:rsid w:val="00416794"/>
    <w:rsid w:val="00422A31"/>
    <w:rsid w:val="00424BE3"/>
    <w:rsid w:val="004331C4"/>
    <w:rsid w:val="00436D45"/>
    <w:rsid w:val="00447A05"/>
    <w:rsid w:val="004505FD"/>
    <w:rsid w:val="004546D6"/>
    <w:rsid w:val="004607B8"/>
    <w:rsid w:val="004624B7"/>
    <w:rsid w:val="004630AB"/>
    <w:rsid w:val="0046488A"/>
    <w:rsid w:val="00465034"/>
    <w:rsid w:val="00484E0A"/>
    <w:rsid w:val="0049788A"/>
    <w:rsid w:val="004A151F"/>
    <w:rsid w:val="004D106E"/>
    <w:rsid w:val="004D10FD"/>
    <w:rsid w:val="004D37E3"/>
    <w:rsid w:val="004D3CB0"/>
    <w:rsid w:val="004D74FD"/>
    <w:rsid w:val="004E6E9D"/>
    <w:rsid w:val="004F0DB6"/>
    <w:rsid w:val="004F15FC"/>
    <w:rsid w:val="004F3CE0"/>
    <w:rsid w:val="004F3E92"/>
    <w:rsid w:val="004F69BB"/>
    <w:rsid w:val="00501E09"/>
    <w:rsid w:val="00504A3F"/>
    <w:rsid w:val="00511A47"/>
    <w:rsid w:val="005244DB"/>
    <w:rsid w:val="00540690"/>
    <w:rsid w:val="0054396C"/>
    <w:rsid w:val="0054437A"/>
    <w:rsid w:val="005504D5"/>
    <w:rsid w:val="0055128F"/>
    <w:rsid w:val="00553DCE"/>
    <w:rsid w:val="005541B5"/>
    <w:rsid w:val="00554567"/>
    <w:rsid w:val="005654A8"/>
    <w:rsid w:val="00566BF6"/>
    <w:rsid w:val="00571913"/>
    <w:rsid w:val="00574CED"/>
    <w:rsid w:val="005957F0"/>
    <w:rsid w:val="005B23A9"/>
    <w:rsid w:val="005B4976"/>
    <w:rsid w:val="005B61B9"/>
    <w:rsid w:val="005C2286"/>
    <w:rsid w:val="005D1522"/>
    <w:rsid w:val="005D29E7"/>
    <w:rsid w:val="005D3BD4"/>
    <w:rsid w:val="005D5F38"/>
    <w:rsid w:val="005F0450"/>
    <w:rsid w:val="005F0D74"/>
    <w:rsid w:val="005F7BC1"/>
    <w:rsid w:val="006073F8"/>
    <w:rsid w:val="0061411B"/>
    <w:rsid w:val="006143A8"/>
    <w:rsid w:val="006162F3"/>
    <w:rsid w:val="006274C6"/>
    <w:rsid w:val="00637737"/>
    <w:rsid w:val="00637D6F"/>
    <w:rsid w:val="00641AC9"/>
    <w:rsid w:val="00642456"/>
    <w:rsid w:val="00647A9C"/>
    <w:rsid w:val="00654ED9"/>
    <w:rsid w:val="00655F92"/>
    <w:rsid w:val="0065602B"/>
    <w:rsid w:val="006567C1"/>
    <w:rsid w:val="006604DF"/>
    <w:rsid w:val="006605C8"/>
    <w:rsid w:val="00666827"/>
    <w:rsid w:val="0067483B"/>
    <w:rsid w:val="00677608"/>
    <w:rsid w:val="00692E06"/>
    <w:rsid w:val="006A7237"/>
    <w:rsid w:val="006B3D6D"/>
    <w:rsid w:val="006C29E1"/>
    <w:rsid w:val="006C60E9"/>
    <w:rsid w:val="006C6451"/>
    <w:rsid w:val="006D1B9C"/>
    <w:rsid w:val="006D1CB1"/>
    <w:rsid w:val="006E12E8"/>
    <w:rsid w:val="006E1DD0"/>
    <w:rsid w:val="006E4C29"/>
    <w:rsid w:val="006F7ED6"/>
    <w:rsid w:val="00702C6D"/>
    <w:rsid w:val="00706367"/>
    <w:rsid w:val="007070B8"/>
    <w:rsid w:val="00711DD5"/>
    <w:rsid w:val="00712388"/>
    <w:rsid w:val="007149F6"/>
    <w:rsid w:val="00720EC9"/>
    <w:rsid w:val="007245EF"/>
    <w:rsid w:val="0073154F"/>
    <w:rsid w:val="00734481"/>
    <w:rsid w:val="007377D2"/>
    <w:rsid w:val="00740A17"/>
    <w:rsid w:val="00742B25"/>
    <w:rsid w:val="007434B9"/>
    <w:rsid w:val="00747420"/>
    <w:rsid w:val="007519EA"/>
    <w:rsid w:val="00752373"/>
    <w:rsid w:val="007547CE"/>
    <w:rsid w:val="00757467"/>
    <w:rsid w:val="0077096E"/>
    <w:rsid w:val="00770C57"/>
    <w:rsid w:val="0077446F"/>
    <w:rsid w:val="00780AC8"/>
    <w:rsid w:val="007810A1"/>
    <w:rsid w:val="007818B0"/>
    <w:rsid w:val="0078202A"/>
    <w:rsid w:val="007849CC"/>
    <w:rsid w:val="00786CA3"/>
    <w:rsid w:val="007953F3"/>
    <w:rsid w:val="007A5579"/>
    <w:rsid w:val="007A7B60"/>
    <w:rsid w:val="007B0827"/>
    <w:rsid w:val="007B663C"/>
    <w:rsid w:val="007C678F"/>
    <w:rsid w:val="007D01C5"/>
    <w:rsid w:val="007D13F3"/>
    <w:rsid w:val="007D2857"/>
    <w:rsid w:val="007D5166"/>
    <w:rsid w:val="007D632A"/>
    <w:rsid w:val="007E57DF"/>
    <w:rsid w:val="007E5BA5"/>
    <w:rsid w:val="007F2157"/>
    <w:rsid w:val="00803B9C"/>
    <w:rsid w:val="00806823"/>
    <w:rsid w:val="00820E34"/>
    <w:rsid w:val="00821490"/>
    <w:rsid w:val="00827B04"/>
    <w:rsid w:val="00831C53"/>
    <w:rsid w:val="0083486D"/>
    <w:rsid w:val="00836D3E"/>
    <w:rsid w:val="008430CA"/>
    <w:rsid w:val="00850063"/>
    <w:rsid w:val="00853DEF"/>
    <w:rsid w:val="00854C3E"/>
    <w:rsid w:val="008730FE"/>
    <w:rsid w:val="00875714"/>
    <w:rsid w:val="008757BD"/>
    <w:rsid w:val="00881FCB"/>
    <w:rsid w:val="00882210"/>
    <w:rsid w:val="00884A73"/>
    <w:rsid w:val="00887EEB"/>
    <w:rsid w:val="00893C15"/>
    <w:rsid w:val="008A1AD8"/>
    <w:rsid w:val="008A7127"/>
    <w:rsid w:val="008B041F"/>
    <w:rsid w:val="008C1C72"/>
    <w:rsid w:val="008C2E80"/>
    <w:rsid w:val="008D0549"/>
    <w:rsid w:val="008D2760"/>
    <w:rsid w:val="008D2FB6"/>
    <w:rsid w:val="008D3B36"/>
    <w:rsid w:val="008E0ED5"/>
    <w:rsid w:val="008E36F0"/>
    <w:rsid w:val="008E634B"/>
    <w:rsid w:val="008E6A91"/>
    <w:rsid w:val="008F2ACD"/>
    <w:rsid w:val="008F364A"/>
    <w:rsid w:val="00902020"/>
    <w:rsid w:val="00905FE1"/>
    <w:rsid w:val="00907492"/>
    <w:rsid w:val="00912953"/>
    <w:rsid w:val="00925E20"/>
    <w:rsid w:val="0093186E"/>
    <w:rsid w:val="00935513"/>
    <w:rsid w:val="0093677F"/>
    <w:rsid w:val="00937EC2"/>
    <w:rsid w:val="00946C26"/>
    <w:rsid w:val="00950F4A"/>
    <w:rsid w:val="00950FA6"/>
    <w:rsid w:val="0095228A"/>
    <w:rsid w:val="00953B63"/>
    <w:rsid w:val="009542F2"/>
    <w:rsid w:val="00954DC2"/>
    <w:rsid w:val="0096061A"/>
    <w:rsid w:val="00964F67"/>
    <w:rsid w:val="00973451"/>
    <w:rsid w:val="00981BA6"/>
    <w:rsid w:val="009918B4"/>
    <w:rsid w:val="00994595"/>
    <w:rsid w:val="00995D02"/>
    <w:rsid w:val="00996C51"/>
    <w:rsid w:val="009A2428"/>
    <w:rsid w:val="009B77AF"/>
    <w:rsid w:val="009C3ACF"/>
    <w:rsid w:val="009D1618"/>
    <w:rsid w:val="009D2359"/>
    <w:rsid w:val="009D2AC5"/>
    <w:rsid w:val="009E2B19"/>
    <w:rsid w:val="009F0E98"/>
    <w:rsid w:val="00A00FEB"/>
    <w:rsid w:val="00A07B4D"/>
    <w:rsid w:val="00A12875"/>
    <w:rsid w:val="00A26979"/>
    <w:rsid w:val="00A3277B"/>
    <w:rsid w:val="00A34B32"/>
    <w:rsid w:val="00A355CA"/>
    <w:rsid w:val="00A449F2"/>
    <w:rsid w:val="00A62FEE"/>
    <w:rsid w:val="00A63387"/>
    <w:rsid w:val="00A641B2"/>
    <w:rsid w:val="00A65E08"/>
    <w:rsid w:val="00A8271F"/>
    <w:rsid w:val="00AA0AE4"/>
    <w:rsid w:val="00AA2128"/>
    <w:rsid w:val="00AA4000"/>
    <w:rsid w:val="00AA6B06"/>
    <w:rsid w:val="00AC5BB3"/>
    <w:rsid w:val="00AD14B4"/>
    <w:rsid w:val="00AE1C2E"/>
    <w:rsid w:val="00AE35C8"/>
    <w:rsid w:val="00AF38CF"/>
    <w:rsid w:val="00AF41BF"/>
    <w:rsid w:val="00AF5327"/>
    <w:rsid w:val="00B07ABB"/>
    <w:rsid w:val="00B15419"/>
    <w:rsid w:val="00B15536"/>
    <w:rsid w:val="00B20FF3"/>
    <w:rsid w:val="00B21625"/>
    <w:rsid w:val="00B3131D"/>
    <w:rsid w:val="00B323E7"/>
    <w:rsid w:val="00B33C8B"/>
    <w:rsid w:val="00B367AC"/>
    <w:rsid w:val="00B3714A"/>
    <w:rsid w:val="00B451C3"/>
    <w:rsid w:val="00B64396"/>
    <w:rsid w:val="00B64E55"/>
    <w:rsid w:val="00B6666C"/>
    <w:rsid w:val="00B71E57"/>
    <w:rsid w:val="00B73C87"/>
    <w:rsid w:val="00B757D0"/>
    <w:rsid w:val="00B80EB0"/>
    <w:rsid w:val="00B82A13"/>
    <w:rsid w:val="00B91AC1"/>
    <w:rsid w:val="00BA4272"/>
    <w:rsid w:val="00BA43AD"/>
    <w:rsid w:val="00BA5756"/>
    <w:rsid w:val="00BA6F8F"/>
    <w:rsid w:val="00BB04AC"/>
    <w:rsid w:val="00BB0501"/>
    <w:rsid w:val="00BB483F"/>
    <w:rsid w:val="00BC14B8"/>
    <w:rsid w:val="00BC15BE"/>
    <w:rsid w:val="00BD1289"/>
    <w:rsid w:val="00BD1563"/>
    <w:rsid w:val="00BD1B85"/>
    <w:rsid w:val="00BD31B6"/>
    <w:rsid w:val="00BE1C8F"/>
    <w:rsid w:val="00BE2FA2"/>
    <w:rsid w:val="00BF09C1"/>
    <w:rsid w:val="00BF1A06"/>
    <w:rsid w:val="00C02B72"/>
    <w:rsid w:val="00C1429C"/>
    <w:rsid w:val="00C14731"/>
    <w:rsid w:val="00C30F2F"/>
    <w:rsid w:val="00C40A6B"/>
    <w:rsid w:val="00C464B1"/>
    <w:rsid w:val="00C465BE"/>
    <w:rsid w:val="00C47029"/>
    <w:rsid w:val="00C47211"/>
    <w:rsid w:val="00C477EB"/>
    <w:rsid w:val="00C5423B"/>
    <w:rsid w:val="00C551F8"/>
    <w:rsid w:val="00C56963"/>
    <w:rsid w:val="00C617FC"/>
    <w:rsid w:val="00C72C1A"/>
    <w:rsid w:val="00C82125"/>
    <w:rsid w:val="00C85E3F"/>
    <w:rsid w:val="00C925A5"/>
    <w:rsid w:val="00C92E57"/>
    <w:rsid w:val="00C96021"/>
    <w:rsid w:val="00CA5121"/>
    <w:rsid w:val="00CA6A9A"/>
    <w:rsid w:val="00CC3529"/>
    <w:rsid w:val="00CC730B"/>
    <w:rsid w:val="00CC7EE5"/>
    <w:rsid w:val="00CD58FC"/>
    <w:rsid w:val="00CD6767"/>
    <w:rsid w:val="00D13586"/>
    <w:rsid w:val="00D16D0E"/>
    <w:rsid w:val="00D26A58"/>
    <w:rsid w:val="00D26AB1"/>
    <w:rsid w:val="00D44158"/>
    <w:rsid w:val="00D57AC7"/>
    <w:rsid w:val="00D619E5"/>
    <w:rsid w:val="00D63F55"/>
    <w:rsid w:val="00D67052"/>
    <w:rsid w:val="00D76CDA"/>
    <w:rsid w:val="00DA0E2B"/>
    <w:rsid w:val="00DA683C"/>
    <w:rsid w:val="00DB055A"/>
    <w:rsid w:val="00DB2A53"/>
    <w:rsid w:val="00DB348F"/>
    <w:rsid w:val="00DC223B"/>
    <w:rsid w:val="00DC384E"/>
    <w:rsid w:val="00DD3A24"/>
    <w:rsid w:val="00DE0992"/>
    <w:rsid w:val="00DE3438"/>
    <w:rsid w:val="00DF02B3"/>
    <w:rsid w:val="00DF3EE2"/>
    <w:rsid w:val="00DF7D37"/>
    <w:rsid w:val="00E01CAD"/>
    <w:rsid w:val="00E023DE"/>
    <w:rsid w:val="00E051F3"/>
    <w:rsid w:val="00E06061"/>
    <w:rsid w:val="00E21494"/>
    <w:rsid w:val="00E219ED"/>
    <w:rsid w:val="00E22228"/>
    <w:rsid w:val="00E25C04"/>
    <w:rsid w:val="00E311DC"/>
    <w:rsid w:val="00E31E83"/>
    <w:rsid w:val="00E44A1C"/>
    <w:rsid w:val="00E50F09"/>
    <w:rsid w:val="00E51293"/>
    <w:rsid w:val="00E55CDF"/>
    <w:rsid w:val="00E73071"/>
    <w:rsid w:val="00E77C67"/>
    <w:rsid w:val="00E805BB"/>
    <w:rsid w:val="00E85342"/>
    <w:rsid w:val="00E85CA1"/>
    <w:rsid w:val="00E864F3"/>
    <w:rsid w:val="00E968CE"/>
    <w:rsid w:val="00E9690A"/>
    <w:rsid w:val="00EB395F"/>
    <w:rsid w:val="00EB4B29"/>
    <w:rsid w:val="00EC2D0A"/>
    <w:rsid w:val="00EC57E1"/>
    <w:rsid w:val="00EF6271"/>
    <w:rsid w:val="00EF6718"/>
    <w:rsid w:val="00F0174F"/>
    <w:rsid w:val="00F050F0"/>
    <w:rsid w:val="00F12661"/>
    <w:rsid w:val="00F14DBE"/>
    <w:rsid w:val="00F1760F"/>
    <w:rsid w:val="00F20B29"/>
    <w:rsid w:val="00F257C5"/>
    <w:rsid w:val="00F27D56"/>
    <w:rsid w:val="00F3537E"/>
    <w:rsid w:val="00F42FAC"/>
    <w:rsid w:val="00F44D2D"/>
    <w:rsid w:val="00F47DB9"/>
    <w:rsid w:val="00F51D26"/>
    <w:rsid w:val="00F55CD4"/>
    <w:rsid w:val="00F63530"/>
    <w:rsid w:val="00F7072E"/>
    <w:rsid w:val="00F72BD0"/>
    <w:rsid w:val="00F76DAB"/>
    <w:rsid w:val="00F8103D"/>
    <w:rsid w:val="00F853BE"/>
    <w:rsid w:val="00F903C2"/>
    <w:rsid w:val="00F9089E"/>
    <w:rsid w:val="00F933A4"/>
    <w:rsid w:val="00F943C5"/>
    <w:rsid w:val="00F95FC5"/>
    <w:rsid w:val="00FA7F32"/>
    <w:rsid w:val="00FB0AFC"/>
    <w:rsid w:val="00FB164B"/>
    <w:rsid w:val="00FB1BE6"/>
    <w:rsid w:val="00FB3369"/>
    <w:rsid w:val="00FB361A"/>
    <w:rsid w:val="00FB3A36"/>
    <w:rsid w:val="00FB48E1"/>
    <w:rsid w:val="00FC0E20"/>
    <w:rsid w:val="00FC1957"/>
    <w:rsid w:val="00FE7348"/>
    <w:rsid w:val="00FE7927"/>
    <w:rsid w:val="00FF0D1B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AFFB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0" w:lineRule="exact"/>
    </w:pPr>
    <w:rPr>
      <w:rFonts w:ascii="Arial" w:hAnsi="Arial"/>
      <w:sz w:val="24"/>
      <w:lang w:eastAsia="fr-FR"/>
    </w:rPr>
  </w:style>
  <w:style w:type="paragraph" w:styleId="Titre1">
    <w:name w:val="heading 1"/>
    <w:basedOn w:val="Normal"/>
    <w:next w:val="Normal"/>
    <w:qFormat/>
    <w:pPr>
      <w:keepNext/>
      <w:spacing w:before="240" w:after="60" w:line="500" w:lineRule="exact"/>
      <w:outlineLvl w:val="0"/>
    </w:pPr>
    <w:rPr>
      <w:b/>
      <w:kern w:val="28"/>
      <w:sz w:val="28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">
    <w:name w:val="Paragraphe"/>
    <w:basedOn w:val="Normal"/>
    <w:link w:val="ParagrapheCar"/>
    <w:qFormat/>
    <w:rsid w:val="00E06061"/>
    <w:pPr>
      <w:numPr>
        <w:numId w:val="18"/>
      </w:numPr>
      <w:tabs>
        <w:tab w:val="clear" w:pos="990"/>
      </w:tabs>
      <w:spacing w:before="120" w:after="120" w:line="240" w:lineRule="auto"/>
      <w:ind w:left="0"/>
      <w:jc w:val="both"/>
    </w:pPr>
  </w:style>
  <w:style w:type="paragraph" w:customStyle="1" w:styleId="Citationenretrait">
    <w:name w:val="Citation en retrait"/>
    <w:basedOn w:val="Normal"/>
    <w:link w:val="CitationenretraitCar"/>
    <w:qFormat/>
    <w:pPr>
      <w:spacing w:before="120" w:after="120"/>
      <w:ind w:left="720" w:right="720"/>
      <w:jc w:val="both"/>
    </w:pPr>
    <w:rPr>
      <w:kern w:val="24"/>
      <w:sz w:val="22"/>
    </w:rPr>
  </w:style>
  <w:style w:type="character" w:customStyle="1" w:styleId="Citationintgre">
    <w:name w:val="Citation intégrée"/>
    <w:rPr>
      <w:rFonts w:ascii="Arial" w:hAnsi="Arial"/>
      <w:i/>
      <w:noProof w:val="0"/>
      <w:sz w:val="22"/>
      <w:lang w:val="fr-CA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Notedebasdepage">
    <w:name w:val="footnote text"/>
    <w:basedOn w:val="Normal"/>
    <w:link w:val="NotedebasdepageCar"/>
    <w:qFormat/>
    <w:pPr>
      <w:spacing w:line="240" w:lineRule="auto"/>
      <w:ind w:left="360" w:hanging="360"/>
      <w:jc w:val="both"/>
    </w:pPr>
    <w:rPr>
      <w:sz w:val="20"/>
    </w:rPr>
  </w:style>
  <w:style w:type="paragraph" w:styleId="Notedefin">
    <w:name w:val="endnote text"/>
    <w:basedOn w:val="Normal"/>
    <w:semiHidden/>
    <w:pPr>
      <w:ind w:left="-360"/>
      <w:jc w:val="both"/>
    </w:pPr>
    <w:rPr>
      <w:sz w:val="20"/>
    </w:rPr>
  </w:style>
  <w:style w:type="paragraph" w:customStyle="1" w:styleId="zSoquijlblCour">
    <w:name w:val="zSoquij_lblCour"/>
    <w:basedOn w:val="Normal"/>
    <w:pPr>
      <w:spacing w:line="500" w:lineRule="exact"/>
      <w:jc w:val="center"/>
    </w:pPr>
    <w:rPr>
      <w:b/>
      <w:sz w:val="36"/>
    </w:rPr>
  </w:style>
  <w:style w:type="paragraph" w:customStyle="1" w:styleId="zSoquijlblPays">
    <w:name w:val="zSoquij_lblPays"/>
    <w:basedOn w:val="Normal"/>
    <w:rsid w:val="00447A05"/>
    <w:pPr>
      <w:ind w:left="-108"/>
    </w:pPr>
    <w:rPr>
      <w:rFonts w:eastAsiaTheme="minorHAnsi" w:cs="Arial"/>
      <w:szCs w:val="24"/>
    </w:rPr>
  </w:style>
  <w:style w:type="paragraph" w:customStyle="1" w:styleId="zSoquijlblProvince">
    <w:name w:val="zSoquij_lblProvince"/>
    <w:basedOn w:val="Normal"/>
    <w:rsid w:val="00447A05"/>
    <w:pPr>
      <w:ind w:left="-108"/>
    </w:pPr>
    <w:rPr>
      <w:rFonts w:eastAsiaTheme="minorHAnsi" w:cs="Arial"/>
      <w:szCs w:val="24"/>
    </w:rPr>
  </w:style>
  <w:style w:type="paragraph" w:customStyle="1" w:styleId="zSoquijlblGreffe">
    <w:name w:val="zSoquij_lblGreffe"/>
    <w:basedOn w:val="Normal"/>
    <w:rsid w:val="00F933A4"/>
    <w:pPr>
      <w:ind w:left="-108"/>
    </w:pPr>
    <w:rPr>
      <w:rFonts w:eastAsiaTheme="minorHAnsi" w:cs="Arial"/>
      <w:szCs w:val="24"/>
    </w:rPr>
  </w:style>
  <w:style w:type="paragraph" w:customStyle="1" w:styleId="zSoquijdatGreffe">
    <w:name w:val="zSoquij_datGreffe"/>
    <w:basedOn w:val="Normal"/>
    <w:rsid w:val="00F95FC5"/>
    <w:pPr>
      <w:ind w:left="-108"/>
    </w:pPr>
    <w:rPr>
      <w:rFonts w:eastAsiaTheme="minorHAnsi" w:cs="Arial"/>
      <w:szCs w:val="24"/>
    </w:rPr>
  </w:style>
  <w:style w:type="paragraph" w:customStyle="1" w:styleId="zSoquijdatDivision">
    <w:name w:val="zSoquij_datDivision"/>
    <w:basedOn w:val="Normal"/>
    <w:pPr>
      <w:jc w:val="center"/>
    </w:pPr>
    <w:rPr>
      <w:sz w:val="22"/>
    </w:rPr>
  </w:style>
  <w:style w:type="paragraph" w:customStyle="1" w:styleId="zSoquijlblNoDossier">
    <w:name w:val="zSoquij_lblNoDossier"/>
    <w:basedOn w:val="Normal"/>
    <w:rsid w:val="00392DCA"/>
    <w:rPr>
      <w:rFonts w:eastAsiaTheme="minorHAnsi" w:cs="Arial"/>
      <w:szCs w:val="24"/>
    </w:rPr>
  </w:style>
  <w:style w:type="paragraph" w:customStyle="1" w:styleId="zSoquijdatNoDossier">
    <w:name w:val="zSoquij_datNoDossier"/>
    <w:basedOn w:val="Normal"/>
    <w:rsid w:val="00160465"/>
    <w:pPr>
      <w:ind w:left="-108"/>
    </w:pPr>
    <w:rPr>
      <w:rFonts w:eastAsiaTheme="minorHAnsi" w:cs="Arial"/>
      <w:szCs w:val="24"/>
    </w:rPr>
  </w:style>
  <w:style w:type="paragraph" w:customStyle="1" w:styleId="zSoquijdatNoDossierAnt">
    <w:name w:val="zSoquij_datNoDossierAnt"/>
    <w:basedOn w:val="Normal"/>
    <w:rsid w:val="00160465"/>
    <w:pPr>
      <w:ind w:left="-108"/>
    </w:pPr>
    <w:rPr>
      <w:rFonts w:eastAsiaTheme="minorHAnsi" w:cs="Arial"/>
      <w:szCs w:val="24"/>
    </w:rPr>
  </w:style>
  <w:style w:type="paragraph" w:customStyle="1" w:styleId="zSoquijdatDateJugement">
    <w:name w:val="zSoquij_datDateJugement"/>
    <w:basedOn w:val="Normal"/>
    <w:rsid w:val="00160465"/>
    <w:pPr>
      <w:ind w:left="-108"/>
    </w:pPr>
    <w:rPr>
      <w:rFonts w:eastAsiaTheme="minorHAnsi" w:cs="Arial"/>
      <w:szCs w:val="24"/>
    </w:rPr>
  </w:style>
  <w:style w:type="paragraph" w:customStyle="1" w:styleId="zSoquijlblDateJugement">
    <w:name w:val="zSoquij_lblDateJugement"/>
    <w:basedOn w:val="Normal"/>
  </w:style>
  <w:style w:type="paragraph" w:customStyle="1" w:styleId="zSoquijlblJuge">
    <w:name w:val="zSoquij_lblJuge"/>
    <w:basedOn w:val="Normal"/>
    <w:rsid w:val="00DC384E"/>
    <w:pPr>
      <w:ind w:left="-108"/>
    </w:pPr>
    <w:rPr>
      <w:rFonts w:eastAsiaTheme="minorHAnsi" w:cs="Arial"/>
      <w:szCs w:val="24"/>
    </w:rPr>
  </w:style>
  <w:style w:type="paragraph" w:customStyle="1" w:styleId="zSoquijdatQteJuge">
    <w:name w:val="zSoquij_datQteJuge"/>
    <w:basedOn w:val="Normal"/>
    <w:rsid w:val="00FB0AFC"/>
    <w:rPr>
      <w:rFonts w:eastAsiaTheme="minorHAnsi" w:cs="Arial"/>
      <w:szCs w:val="24"/>
    </w:rPr>
  </w:style>
  <w:style w:type="paragraph" w:customStyle="1" w:styleId="zSoquijdatJuge1">
    <w:name w:val="zSoquij_datJuge_1"/>
    <w:basedOn w:val="Normal"/>
    <w:qFormat/>
    <w:rsid w:val="00FB0AFC"/>
    <w:pPr>
      <w:ind w:left="-103"/>
    </w:pPr>
    <w:rPr>
      <w:rFonts w:eastAsiaTheme="minorHAnsi" w:cs="Arial"/>
      <w:szCs w:val="24"/>
    </w:rPr>
  </w:style>
  <w:style w:type="paragraph" w:customStyle="1" w:styleId="zSoquijdatNomPartieDem">
    <w:name w:val="zSoquij_datNomPartieDem"/>
    <w:basedOn w:val="Normal"/>
    <w:rsid w:val="00F12661"/>
    <w:pPr>
      <w:jc w:val="center"/>
    </w:pPr>
    <w:rPr>
      <w:b/>
      <w:bCs/>
    </w:rPr>
  </w:style>
  <w:style w:type="paragraph" w:customStyle="1" w:styleId="zSoquijdatQtePartieDem">
    <w:name w:val="zSoquij_datQtePartieDem"/>
    <w:basedOn w:val="Normal"/>
    <w:rsid w:val="00FA7F32"/>
    <w:pPr>
      <w:spacing w:before="120" w:after="120" w:line="240" w:lineRule="auto"/>
      <w:jc w:val="center"/>
    </w:pPr>
    <w:rPr>
      <w:rFonts w:cs="Arial"/>
      <w:kern w:val="28"/>
      <w:szCs w:val="24"/>
    </w:rPr>
  </w:style>
  <w:style w:type="paragraph" w:customStyle="1" w:styleId="zSoquijlblLienParties">
    <w:name w:val="zSoquij_lblLienParties"/>
    <w:basedOn w:val="Normal"/>
  </w:style>
  <w:style w:type="paragraph" w:customStyle="1" w:styleId="zSoquijdatNomPartieDef">
    <w:name w:val="zSoquij_datNomPartieDef"/>
    <w:basedOn w:val="Normal"/>
    <w:rsid w:val="007519EA"/>
    <w:pPr>
      <w:jc w:val="center"/>
    </w:pPr>
    <w:rPr>
      <w:b/>
      <w:bCs/>
    </w:rPr>
  </w:style>
  <w:style w:type="paragraph" w:customStyle="1" w:styleId="zSoquijdatQtePartieDef">
    <w:name w:val="zSoquij_datQtePartieDef"/>
    <w:basedOn w:val="Normal"/>
    <w:rsid w:val="00FA7F32"/>
    <w:pPr>
      <w:spacing w:before="120" w:after="120" w:line="240" w:lineRule="auto"/>
      <w:jc w:val="center"/>
    </w:pPr>
    <w:rPr>
      <w:rFonts w:cs="Arial"/>
      <w:kern w:val="28"/>
      <w:szCs w:val="24"/>
    </w:rPr>
  </w:style>
  <w:style w:type="paragraph" w:customStyle="1" w:styleId="zSoquijlblTypeDocument">
    <w:name w:val="zSoquij_lblTypeDocument"/>
    <w:basedOn w:val="Normal"/>
    <w:pPr>
      <w:jc w:val="center"/>
    </w:pPr>
  </w:style>
  <w:style w:type="paragraph" w:customStyle="1" w:styleId="zSoquijlblProcureurDem">
    <w:name w:val="zSoquij_lblProcureurDem"/>
    <w:basedOn w:val="Normal"/>
    <w:rsid w:val="00C551F8"/>
    <w:pPr>
      <w:spacing w:before="40" w:after="40" w:line="240" w:lineRule="auto"/>
      <w:jc w:val="center"/>
    </w:pPr>
    <w:rPr>
      <w:rFonts w:cs="Arial"/>
      <w:kern w:val="28"/>
      <w:szCs w:val="24"/>
    </w:rPr>
  </w:style>
  <w:style w:type="paragraph" w:customStyle="1" w:styleId="zSoquijlblProcureurDef">
    <w:name w:val="zSoquij_lblProcureurDef"/>
    <w:basedOn w:val="Normal"/>
    <w:rsid w:val="00C551F8"/>
    <w:pPr>
      <w:spacing w:before="40" w:after="40" w:line="240" w:lineRule="auto"/>
      <w:jc w:val="center"/>
    </w:pPr>
    <w:rPr>
      <w:rFonts w:cs="Arial"/>
      <w:kern w:val="28"/>
      <w:szCs w:val="24"/>
    </w:rPr>
  </w:style>
  <w:style w:type="paragraph" w:customStyle="1" w:styleId="zSoquijlblDateAudience">
    <w:name w:val="zSoquij_lblDateAudience"/>
    <w:basedOn w:val="Normal"/>
  </w:style>
  <w:style w:type="paragraph" w:customStyle="1" w:styleId="zSoquijdatDateAudience">
    <w:name w:val="zSoquij_datDateAudience"/>
    <w:basedOn w:val="Normal"/>
  </w:style>
  <w:style w:type="paragraph" w:customStyle="1" w:styleId="zSoquijlblNomChambre">
    <w:name w:val="zSoquij_lblNomChambre"/>
    <w:basedOn w:val="Normal"/>
  </w:style>
  <w:style w:type="paragraph" w:customStyle="1" w:styleId="zSoquijlblOpinionJuge">
    <w:name w:val="zSoquij_lblOpinionJuge"/>
    <w:basedOn w:val="Normal"/>
    <w:pPr>
      <w:jc w:val="center"/>
    </w:pPr>
  </w:style>
  <w:style w:type="character" w:customStyle="1" w:styleId="zSoquijlblEntNoDossier">
    <w:name w:val="zSoquij_lblEntNoDossier"/>
    <w:basedOn w:val="Policepardfaut"/>
    <w:rPr>
      <w:noProof w:val="0"/>
      <w:lang w:val="fr-CA"/>
    </w:rPr>
  </w:style>
  <w:style w:type="paragraph" w:customStyle="1" w:styleId="zSoquijlblTitrePartie">
    <w:name w:val="zSoquij_lblTitrePartie"/>
    <w:basedOn w:val="Normal"/>
  </w:style>
  <w:style w:type="paragraph" w:customStyle="1" w:styleId="zSoquijdatIdJuge">
    <w:name w:val="zSoquij_datIdJuge"/>
    <w:basedOn w:val="Normal"/>
    <w:pPr>
      <w:jc w:val="right"/>
    </w:pPr>
  </w:style>
  <w:style w:type="paragraph" w:customStyle="1" w:styleId="Sous-paragraphe">
    <w:name w:val="Sous-paragraphe"/>
    <w:basedOn w:val="Normal"/>
    <w:qFormat/>
    <w:pPr>
      <w:widowControl w:val="0"/>
      <w:numPr>
        <w:ilvl w:val="1"/>
        <w:numId w:val="18"/>
      </w:numPr>
      <w:spacing w:after="120"/>
      <w:jc w:val="both"/>
    </w:pPr>
    <w:rPr>
      <w:kern w:val="28"/>
    </w:rPr>
  </w:style>
  <w:style w:type="paragraph" w:customStyle="1" w:styleId="zSoquijdatNomProcureurDem">
    <w:name w:val="zSoquij_datNomProcureurDem"/>
    <w:basedOn w:val="zSoquijlblProcureurDem"/>
    <w:rsid w:val="00F12661"/>
    <w:pPr>
      <w:keepNext/>
    </w:pPr>
  </w:style>
  <w:style w:type="paragraph" w:customStyle="1" w:styleId="zSoquijdatNomProcureurDef">
    <w:name w:val="zSoquij_datNomProcureurDef"/>
    <w:basedOn w:val="zSoquijlblProcureurDef"/>
    <w:rsid w:val="002E7403"/>
    <w:pPr>
      <w:keepNext/>
    </w:pPr>
  </w:style>
  <w:style w:type="paragraph" w:customStyle="1" w:styleId="zSoquijdatCabinetProcureurDem">
    <w:name w:val="zSoquij_datCabinetProcureurDem"/>
    <w:basedOn w:val="Normal"/>
    <w:rsid w:val="00F12661"/>
    <w:pPr>
      <w:keepNext/>
      <w:jc w:val="center"/>
    </w:pPr>
    <w:rPr>
      <w:lang w:val="es-ES"/>
    </w:rPr>
  </w:style>
  <w:style w:type="paragraph" w:customStyle="1" w:styleId="zSoquijdatCabinetProcureurDef">
    <w:name w:val="zSoquij_datCabinetProcureurDef"/>
    <w:basedOn w:val="zSoquijlblProcureurDef"/>
    <w:rsid w:val="002E7403"/>
    <w:pPr>
      <w:keepNext/>
    </w:pPr>
    <w:rPr>
      <w:lang w:val="es-ES"/>
    </w:rPr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Tableaudroiteanglais">
    <w:name w:val="Tableau droite anglais"/>
    <w:basedOn w:val="Tableaugauchefranais"/>
    <w:link w:val="TableaudroiteanglaisCar"/>
    <w:pPr>
      <w:ind w:left="144" w:right="720"/>
      <w:jc w:val="both"/>
    </w:pPr>
    <w:rPr>
      <w:lang w:val="en-CA"/>
    </w:rPr>
  </w:style>
  <w:style w:type="paragraph" w:customStyle="1" w:styleId="Tableaugauchefranais">
    <w:name w:val="Tableau gauche français"/>
    <w:basedOn w:val="Normal"/>
    <w:link w:val="TableaugauchefranaisCar"/>
    <w:pPr>
      <w:ind w:left="720" w:right="144"/>
    </w:pPr>
    <w:rPr>
      <w:sz w:val="22"/>
    </w:rPr>
  </w:style>
  <w:style w:type="character" w:styleId="Appelnotedebasdep">
    <w:name w:val="footnote reference"/>
    <w:qFormat/>
    <w:rPr>
      <w:noProof w:val="0"/>
      <w:vertAlign w:val="superscript"/>
      <w:lang w:val="fr-CA"/>
    </w:rPr>
  </w:style>
  <w:style w:type="paragraph" w:styleId="Corpsdetexte3">
    <w:name w:val="Body Text 3"/>
    <w:basedOn w:val="Normal"/>
    <w:semiHidden/>
    <w:pPr>
      <w:spacing w:after="120"/>
    </w:pPr>
    <w:rPr>
      <w:sz w:val="16"/>
    </w:rPr>
  </w:style>
  <w:style w:type="paragraph" w:customStyle="1" w:styleId="zSoquijdatRepertorie">
    <w:name w:val="zSoquij_datRepertorie"/>
    <w:basedOn w:val="zSoquijlblCour"/>
    <w:pPr>
      <w:spacing w:line="240" w:lineRule="auto"/>
      <w:jc w:val="left"/>
    </w:pPr>
    <w:rPr>
      <w:sz w:val="22"/>
    </w:rPr>
  </w:style>
  <w:style w:type="paragraph" w:customStyle="1" w:styleId="zSoquijdatRefNeutre">
    <w:name w:val="zSoquij_datRefNeutre"/>
    <w:basedOn w:val="zSoquijlblCour"/>
    <w:pPr>
      <w:spacing w:line="240" w:lineRule="auto"/>
      <w:jc w:val="left"/>
    </w:pPr>
    <w:rPr>
      <w:sz w:val="22"/>
    </w:rPr>
  </w:style>
  <w:style w:type="character" w:customStyle="1" w:styleId="NotedebasdepageCar">
    <w:name w:val="Note de bas de page Car"/>
    <w:basedOn w:val="Policepardfaut"/>
    <w:link w:val="Notedebasdepage"/>
    <w:rsid w:val="00FB3A36"/>
    <w:rPr>
      <w:rFonts w:ascii="Arial" w:hAnsi="Arial"/>
      <w:lang w:eastAsia="fr-FR"/>
    </w:rPr>
  </w:style>
  <w:style w:type="character" w:customStyle="1" w:styleId="ParagrapheCar">
    <w:name w:val="Paragraphe Car"/>
    <w:link w:val="Paragraphe"/>
    <w:qFormat/>
    <w:rsid w:val="00E06061"/>
    <w:rPr>
      <w:rFonts w:ascii="Arial" w:hAnsi="Arial"/>
      <w:sz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2F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2F0A"/>
    <w:rPr>
      <w:rFonts w:ascii="Segoe UI" w:hAnsi="Segoe UI" w:cs="Segoe UI"/>
      <w:sz w:val="18"/>
      <w:szCs w:val="18"/>
      <w:lang w:eastAsia="fr-FR"/>
    </w:rPr>
  </w:style>
  <w:style w:type="character" w:styleId="Hyperlien">
    <w:name w:val="Hyperlink"/>
    <w:uiPriority w:val="99"/>
    <w:rsid w:val="00711DD5"/>
    <w:rPr>
      <w:noProof w:val="0"/>
      <w:color w:val="0000FF"/>
      <w:u w:val="single"/>
      <w:lang w:val="fr-CA"/>
    </w:rPr>
  </w:style>
  <w:style w:type="character" w:customStyle="1" w:styleId="TableaugauchefranaisCar">
    <w:name w:val="Tableau gauche français Car"/>
    <w:link w:val="Tableaugauchefranais"/>
    <w:rsid w:val="00711DD5"/>
    <w:rPr>
      <w:rFonts w:ascii="Arial" w:hAnsi="Arial"/>
      <w:sz w:val="22"/>
      <w:lang w:eastAsia="fr-FR"/>
    </w:rPr>
  </w:style>
  <w:style w:type="character" w:customStyle="1" w:styleId="TableaudroiteanglaisCar">
    <w:name w:val="Tableau droite anglais Car"/>
    <w:link w:val="Tableaudroiteanglais"/>
    <w:rsid w:val="00711DD5"/>
    <w:rPr>
      <w:rFonts w:ascii="Arial" w:hAnsi="Arial"/>
      <w:sz w:val="22"/>
      <w:lang w:val="en-CA" w:eastAsia="fr-FR"/>
    </w:rPr>
  </w:style>
  <w:style w:type="character" w:customStyle="1" w:styleId="CitationenretraitCar">
    <w:name w:val="Citation en retrait Car"/>
    <w:link w:val="Citationenretrait"/>
    <w:rsid w:val="00711DD5"/>
    <w:rPr>
      <w:rFonts w:ascii="Arial" w:hAnsi="Arial"/>
      <w:kern w:val="24"/>
      <w:sz w:val="2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11DD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11DD5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11DD5"/>
    <w:rPr>
      <w:rFonts w:ascii="Arial" w:hAnsi="Arial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1DD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1DD5"/>
    <w:rPr>
      <w:rFonts w:ascii="Arial" w:hAnsi="Arial"/>
      <w:b/>
      <w:bCs/>
      <w:lang w:eastAsia="fr-FR"/>
    </w:rPr>
  </w:style>
  <w:style w:type="table" w:styleId="Grilledutableau">
    <w:name w:val="Table Grid"/>
    <w:basedOn w:val="TableauNormal"/>
    <w:uiPriority w:val="39"/>
    <w:rsid w:val="002C1B95"/>
    <w:rPr>
      <w:rFonts w:ascii="Arial" w:eastAsiaTheme="minorHAns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009B2"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39"/>
    <w:rsid w:val="00887EEB"/>
    <w:rPr>
      <w:rFonts w:ascii="Arial" w:hAnsi="Arial"/>
      <w:sz w:val="24"/>
    </w:rPr>
    <w:tblPr>
      <w:tblBorders>
        <w:top w:val="single" w:sz="4" w:space="0" w:color="auto"/>
        <w:bottom w:val="single" w:sz="4" w:space="0" w:color="auto"/>
      </w:tblBorders>
    </w:tblPr>
  </w:style>
  <w:style w:type="paragraph" w:customStyle="1" w:styleId="zSoquijdatNomPartieMec">
    <w:name w:val="zSoquij_datNomPartieMec"/>
    <w:basedOn w:val="Normal"/>
    <w:qFormat/>
    <w:rsid w:val="002E7403"/>
    <w:pPr>
      <w:spacing w:line="240" w:lineRule="auto"/>
      <w:jc w:val="center"/>
    </w:pPr>
    <w:rPr>
      <w:b/>
      <w:bCs/>
    </w:rPr>
  </w:style>
  <w:style w:type="paragraph" w:customStyle="1" w:styleId="zSoquijdatNomProcureurMec">
    <w:name w:val="zSoquij_datNomProcureurMec"/>
    <w:basedOn w:val="Normal"/>
    <w:qFormat/>
    <w:rsid w:val="00F3537E"/>
    <w:pPr>
      <w:spacing w:line="240" w:lineRule="auto"/>
      <w:jc w:val="center"/>
    </w:pPr>
  </w:style>
  <w:style w:type="paragraph" w:customStyle="1" w:styleId="zSoquijdatCabinetProcureurMec">
    <w:name w:val="zSoquij_datCabinetProcureurMec"/>
    <w:basedOn w:val="Normal"/>
    <w:qFormat/>
    <w:rsid w:val="00F3537E"/>
    <w:pPr>
      <w:spacing w:line="240" w:lineRule="auto"/>
      <w:jc w:val="center"/>
    </w:pPr>
    <w:rPr>
      <w:lang w:val="es-ES"/>
    </w:rPr>
  </w:style>
  <w:style w:type="paragraph" w:customStyle="1" w:styleId="zSoquijdatJuge2">
    <w:name w:val="zSoquij_datJuge_2"/>
    <w:basedOn w:val="zSoquijdatJuge1"/>
    <w:qFormat/>
    <w:rsid w:val="00836D3E"/>
  </w:style>
  <w:style w:type="paragraph" w:customStyle="1" w:styleId="zSoquijdatJuge3">
    <w:name w:val="zSoquij_datJuge_3"/>
    <w:basedOn w:val="zSoquijdatJuge1"/>
    <w:qFormat/>
    <w:rsid w:val="00836D3E"/>
  </w:style>
  <w:style w:type="paragraph" w:customStyle="1" w:styleId="zSoquijdatQtePartieMec">
    <w:name w:val="zSoquij_datQtePartieMec"/>
    <w:basedOn w:val="zSoquijdatQtePartieDem"/>
    <w:qFormat/>
    <w:rsid w:val="00C551F8"/>
  </w:style>
  <w:style w:type="paragraph" w:customStyle="1" w:styleId="zSoquijlblProcureurMec">
    <w:name w:val="zSoquij_lblProcureurMec"/>
    <w:basedOn w:val="zSoquijlblProcureurDef"/>
    <w:qFormat/>
    <w:rsid w:val="00C551F8"/>
  </w:style>
  <w:style w:type="paragraph" w:customStyle="1" w:styleId="JgtCit1">
    <w:name w:val="Jgt Cit 1"/>
    <w:basedOn w:val="Normal"/>
    <w:next w:val="Normal"/>
    <w:qFormat/>
    <w:rsid w:val="00011070"/>
    <w:pPr>
      <w:spacing w:before="120" w:after="120" w:line="240" w:lineRule="auto"/>
      <w:ind w:left="720" w:right="720"/>
      <w:jc w:val="both"/>
    </w:pPr>
    <w:rPr>
      <w:rFonts w:cs="Times New Roman (Corps CS)"/>
      <w:sz w:val="22"/>
      <w:szCs w:val="24"/>
      <w:lang w:val="fr-FR"/>
    </w:rPr>
  </w:style>
  <w:style w:type="paragraph" w:customStyle="1" w:styleId="JgtParagraphe">
    <w:name w:val="Jgt Paragraphe"/>
    <w:basedOn w:val="Normal"/>
    <w:qFormat/>
    <w:rsid w:val="00011070"/>
    <w:pPr>
      <w:tabs>
        <w:tab w:val="num" w:pos="720"/>
      </w:tabs>
      <w:spacing w:before="120" w:after="120" w:line="500" w:lineRule="exact"/>
      <w:jc w:val="both"/>
    </w:pPr>
    <w:rPr>
      <w:rFonts w:cs="Arial"/>
      <w:color w:val="000000"/>
      <w:kern w:val="28"/>
      <w:szCs w:val="24"/>
      <w:lang w:eastAsia="en-US"/>
    </w:rPr>
  </w:style>
  <w:style w:type="paragraph" w:styleId="Rvision">
    <w:name w:val="Revision"/>
    <w:hidden/>
    <w:uiPriority w:val="99"/>
    <w:semiHidden/>
    <w:rsid w:val="000814D4"/>
    <w:rPr>
      <w:rFonts w:ascii="Arial" w:hAnsi="Arial"/>
      <w:sz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9089E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A63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99E72-E17D-4E6B-859A-12EEB56E3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1641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2025-11-05T20:18:00Z</dcterms:created>
  <dcterms:modified xsi:type="dcterms:W3CDTF">2025-11-05T20:18:00Z</dcterms:modified>
</cp:coreProperties>
</file>