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00D37" w14:textId="50ACBC1C" w:rsidR="0038243E" w:rsidRPr="00AA504E" w:rsidRDefault="00143BA5">
      <w:pPr>
        <w:rPr>
          <w:b/>
          <w:bCs/>
          <w:lang w:val="en-CA"/>
        </w:rPr>
      </w:pPr>
      <w:r w:rsidRPr="00AA504E">
        <w:rPr>
          <w:b/>
          <w:bCs/>
          <w:lang w:val="en-CA"/>
        </w:rPr>
        <w:t>English</w:t>
      </w:r>
      <w:r w:rsidR="0038243E" w:rsidRPr="00AA504E">
        <w:rPr>
          <w:b/>
          <w:bCs/>
          <w:lang w:val="en-CA"/>
        </w:rPr>
        <w:t xml:space="preserve"> </w:t>
      </w:r>
      <w:r w:rsidRPr="00AA504E">
        <w:rPr>
          <w:b/>
          <w:bCs/>
          <w:lang w:val="en-CA"/>
        </w:rPr>
        <w:t>t</w:t>
      </w:r>
      <w:r w:rsidR="0038243E" w:rsidRPr="00AA504E">
        <w:rPr>
          <w:b/>
          <w:bCs/>
          <w:lang w:val="en-CA"/>
        </w:rPr>
        <w:t xml:space="preserve">ranslation of the </w:t>
      </w:r>
      <w:r w:rsidRPr="00AA504E">
        <w:rPr>
          <w:b/>
          <w:bCs/>
          <w:lang w:val="en-CA"/>
        </w:rPr>
        <w:t>j</w:t>
      </w:r>
      <w:r w:rsidR="0038243E" w:rsidRPr="00AA504E">
        <w:rPr>
          <w:b/>
          <w:bCs/>
          <w:lang w:val="en-CA"/>
        </w:rPr>
        <w:t>udgment of the Court</w:t>
      </w:r>
      <w:r w:rsidRPr="00AA504E">
        <w:rPr>
          <w:b/>
          <w:bCs/>
          <w:lang w:val="en-CA"/>
        </w:rPr>
        <w:t xml:space="preserve"> by SOQUIJ</w:t>
      </w:r>
    </w:p>
    <w:tbl>
      <w:tblPr>
        <w:tblW w:w="9360" w:type="dxa"/>
        <w:tblLayout w:type="fixed"/>
        <w:tblCellMar>
          <w:left w:w="0" w:type="dxa"/>
          <w:right w:w="0" w:type="dxa"/>
        </w:tblCellMar>
        <w:tblLook w:val="0000" w:firstRow="0" w:lastRow="0" w:firstColumn="0" w:lastColumn="0" w:noHBand="0" w:noVBand="0"/>
      </w:tblPr>
      <w:tblGrid>
        <w:gridCol w:w="1030"/>
        <w:gridCol w:w="671"/>
        <w:gridCol w:w="2410"/>
        <w:gridCol w:w="3261"/>
        <w:gridCol w:w="1988"/>
      </w:tblGrid>
      <w:tr w:rsidR="00E47AA3" w:rsidRPr="00AA504E" w14:paraId="687C4FBC" w14:textId="77777777" w:rsidTr="008D18FC">
        <w:trPr>
          <w:trHeight w:val="248"/>
        </w:trPr>
        <w:tc>
          <w:tcPr>
            <w:tcW w:w="7372" w:type="dxa"/>
            <w:gridSpan w:val="4"/>
          </w:tcPr>
          <w:p w14:paraId="6128E7BC" w14:textId="3A4ED35B" w:rsidR="008F364A" w:rsidRPr="00AA504E" w:rsidRDefault="003B1C16" w:rsidP="00414A5B">
            <w:pPr>
              <w:pStyle w:val="zSoquijdatRepertorie"/>
              <w:rPr>
                <w:rFonts w:cs="Arial"/>
                <w:lang w:val="en-CA"/>
              </w:rPr>
            </w:pPr>
            <w:r w:rsidRPr="00AA504E">
              <w:rPr>
                <w:rFonts w:cs="Arial"/>
                <w:lang w:val="en-CA"/>
              </w:rPr>
              <w:t>TCA Global Credit Master Fund c. Apelian</w:t>
            </w:r>
          </w:p>
        </w:tc>
        <w:tc>
          <w:tcPr>
            <w:tcW w:w="1988" w:type="dxa"/>
          </w:tcPr>
          <w:p w14:paraId="794F0B95" w14:textId="0619DBAD" w:rsidR="008F364A" w:rsidRPr="00AA504E" w:rsidRDefault="003B1C16" w:rsidP="00ED32BD">
            <w:pPr>
              <w:pStyle w:val="zSoquijdatRefNeutre"/>
              <w:jc w:val="right"/>
              <w:rPr>
                <w:rFonts w:cs="Arial"/>
                <w:lang w:val="en-CA"/>
              </w:rPr>
            </w:pPr>
            <w:r w:rsidRPr="00AA504E">
              <w:rPr>
                <w:rFonts w:cs="Arial"/>
                <w:lang w:val="en-CA"/>
              </w:rPr>
              <w:t>2025 QCCA 1083</w:t>
            </w:r>
          </w:p>
        </w:tc>
      </w:tr>
      <w:tr w:rsidR="00E47AA3" w:rsidRPr="00AA504E" w14:paraId="5131C0BB" w14:textId="77777777" w:rsidTr="008D18FC">
        <w:trPr>
          <w:trHeight w:val="247"/>
        </w:trPr>
        <w:tc>
          <w:tcPr>
            <w:tcW w:w="9360" w:type="dxa"/>
            <w:gridSpan w:val="5"/>
          </w:tcPr>
          <w:p w14:paraId="040BBBD6" w14:textId="77777777" w:rsidR="008F364A" w:rsidRPr="00AA504E" w:rsidRDefault="003B1C16">
            <w:pPr>
              <w:pStyle w:val="zSoquijlblCour"/>
              <w:rPr>
                <w:lang w:val="en-CA"/>
              </w:rPr>
            </w:pPr>
            <w:r w:rsidRPr="00AA504E">
              <w:rPr>
                <w:lang w:val="en-CA"/>
              </w:rPr>
              <w:t>COURT OF APPEAL</w:t>
            </w:r>
          </w:p>
        </w:tc>
      </w:tr>
      <w:tr w:rsidR="00E47AA3" w:rsidRPr="00AA504E" w14:paraId="459F7895" w14:textId="77777777" w:rsidTr="008D18FC">
        <w:trPr>
          <w:trHeight w:val="540"/>
        </w:trPr>
        <w:tc>
          <w:tcPr>
            <w:tcW w:w="9360" w:type="dxa"/>
            <w:gridSpan w:val="5"/>
          </w:tcPr>
          <w:p w14:paraId="7CBBA46A" w14:textId="77777777" w:rsidR="008F364A" w:rsidRPr="00AA504E" w:rsidRDefault="008F364A">
            <w:pPr>
              <w:pStyle w:val="zSoquijdatDivision"/>
              <w:rPr>
                <w:lang w:val="en-CA"/>
              </w:rPr>
            </w:pPr>
          </w:p>
        </w:tc>
      </w:tr>
      <w:tr w:rsidR="00E47AA3" w:rsidRPr="00AA504E" w14:paraId="1F57770B" w14:textId="77777777" w:rsidTr="008D18FC">
        <w:tc>
          <w:tcPr>
            <w:tcW w:w="9360" w:type="dxa"/>
            <w:gridSpan w:val="5"/>
          </w:tcPr>
          <w:p w14:paraId="11E1D28F" w14:textId="77777777" w:rsidR="008F364A" w:rsidRPr="00AA504E" w:rsidRDefault="003B1C16">
            <w:pPr>
              <w:pStyle w:val="zSoquijlblPays"/>
              <w:rPr>
                <w:lang w:val="en-CA"/>
              </w:rPr>
            </w:pPr>
            <w:r w:rsidRPr="00AA504E">
              <w:rPr>
                <w:lang w:val="en-CA"/>
              </w:rPr>
              <w:t>CANADA</w:t>
            </w:r>
          </w:p>
        </w:tc>
      </w:tr>
      <w:tr w:rsidR="00E47AA3" w:rsidRPr="00AA504E" w14:paraId="07BC7B83" w14:textId="77777777" w:rsidTr="008D18FC">
        <w:tc>
          <w:tcPr>
            <w:tcW w:w="9360" w:type="dxa"/>
            <w:gridSpan w:val="5"/>
          </w:tcPr>
          <w:p w14:paraId="797E9239" w14:textId="77777777" w:rsidR="008F364A" w:rsidRPr="00AA504E" w:rsidRDefault="003B1C16">
            <w:pPr>
              <w:pStyle w:val="zSoquijlblProvince"/>
              <w:rPr>
                <w:lang w:val="en-CA"/>
              </w:rPr>
            </w:pPr>
            <w:r w:rsidRPr="00AA504E">
              <w:rPr>
                <w:lang w:val="en-CA"/>
              </w:rPr>
              <w:t>PROVINCE OF QUEBEC</w:t>
            </w:r>
          </w:p>
        </w:tc>
      </w:tr>
      <w:tr w:rsidR="00E47AA3" w:rsidRPr="00AA504E" w14:paraId="73D66DD4" w14:textId="77777777">
        <w:tc>
          <w:tcPr>
            <w:tcW w:w="9360" w:type="dxa"/>
            <w:gridSpan w:val="5"/>
          </w:tcPr>
          <w:p w14:paraId="408015CA" w14:textId="2D06817A" w:rsidR="00207083" w:rsidRPr="00AA504E" w:rsidRDefault="003B1C16" w:rsidP="00207083">
            <w:pPr>
              <w:pStyle w:val="zSoquijlblGreffe"/>
              <w:rPr>
                <w:lang w:val="en-CA"/>
              </w:rPr>
            </w:pPr>
            <w:bookmarkStart w:id="0" w:name="NomGreffe"/>
            <w:r w:rsidRPr="00AA504E">
              <w:rPr>
                <w:lang w:val="en-CA"/>
              </w:rPr>
              <w:t>MONTREAL</w:t>
            </w:r>
            <w:bookmarkEnd w:id="0"/>
            <w:r w:rsidR="00874903">
              <w:rPr>
                <w:lang w:val="en-CA"/>
              </w:rPr>
              <w:t xml:space="preserve"> SEAT</w:t>
            </w:r>
          </w:p>
          <w:p w14:paraId="1B2EF76A" w14:textId="52EF3218" w:rsidR="00207083" w:rsidRPr="00AA504E" w:rsidRDefault="00207083" w:rsidP="00AE1B6D">
            <w:pPr>
              <w:pStyle w:val="zSoquijdatGreffe"/>
              <w:ind w:left="-22"/>
              <w:rPr>
                <w:lang w:val="en-CA"/>
              </w:rPr>
            </w:pPr>
          </w:p>
        </w:tc>
      </w:tr>
      <w:tr w:rsidR="00E47AA3" w:rsidRPr="00AA504E" w14:paraId="0E1D2E76" w14:textId="77777777" w:rsidTr="008D18FC">
        <w:tc>
          <w:tcPr>
            <w:tcW w:w="1030" w:type="dxa"/>
          </w:tcPr>
          <w:p w14:paraId="0440536F" w14:textId="77777777" w:rsidR="008F364A" w:rsidRPr="00AA504E" w:rsidRDefault="003B1C16">
            <w:pPr>
              <w:pStyle w:val="zSoquijlblNoDossier"/>
              <w:rPr>
                <w:lang w:val="en-CA"/>
              </w:rPr>
            </w:pPr>
            <w:r w:rsidRPr="00AA504E">
              <w:rPr>
                <w:lang w:val="en-CA"/>
              </w:rPr>
              <w:t>Nos.:</w:t>
            </w:r>
          </w:p>
        </w:tc>
        <w:tc>
          <w:tcPr>
            <w:tcW w:w="8330" w:type="dxa"/>
            <w:gridSpan w:val="4"/>
          </w:tcPr>
          <w:p w14:paraId="32CD6EB7" w14:textId="67B9A959" w:rsidR="008F364A" w:rsidRPr="00AA504E" w:rsidRDefault="003B1C16">
            <w:pPr>
              <w:pStyle w:val="zSoquijdatNoDossier"/>
              <w:rPr>
                <w:lang w:val="en-CA"/>
              </w:rPr>
            </w:pPr>
            <w:bookmarkStart w:id="1" w:name="NoDossier"/>
            <w:r w:rsidRPr="00AA504E">
              <w:rPr>
                <w:lang w:val="en-CA"/>
              </w:rPr>
              <w:t>500-09-030822-233</w:t>
            </w:r>
            <w:bookmarkEnd w:id="1"/>
          </w:p>
        </w:tc>
      </w:tr>
      <w:tr w:rsidR="00E47AA3" w:rsidRPr="00AA504E" w14:paraId="2F243949" w14:textId="77777777" w:rsidTr="008D18FC">
        <w:tc>
          <w:tcPr>
            <w:tcW w:w="9360" w:type="dxa"/>
            <w:gridSpan w:val="5"/>
          </w:tcPr>
          <w:p w14:paraId="0E9CC452" w14:textId="1BB6618A" w:rsidR="00D913A9" w:rsidRPr="00AA504E" w:rsidRDefault="003B1C16" w:rsidP="00D913A9">
            <w:pPr>
              <w:pStyle w:val="zSoquijdatNoDossierAnt"/>
              <w:rPr>
                <w:lang w:val="en-CA"/>
              </w:rPr>
            </w:pPr>
            <w:r w:rsidRPr="00AA504E">
              <w:rPr>
                <w:lang w:val="en-CA"/>
              </w:rPr>
              <w:t>(500-17-124446-231)</w:t>
            </w:r>
          </w:p>
        </w:tc>
      </w:tr>
      <w:tr w:rsidR="00E47AA3" w:rsidRPr="00AA504E" w14:paraId="6A9CED7B" w14:textId="77777777" w:rsidTr="008D18FC">
        <w:tc>
          <w:tcPr>
            <w:tcW w:w="9360" w:type="dxa"/>
            <w:gridSpan w:val="5"/>
          </w:tcPr>
          <w:p w14:paraId="108C1F64" w14:textId="77777777" w:rsidR="008F364A" w:rsidRPr="00AA504E" w:rsidRDefault="008F364A">
            <w:pPr>
              <w:rPr>
                <w:lang w:val="en-CA"/>
              </w:rPr>
            </w:pPr>
          </w:p>
        </w:tc>
      </w:tr>
      <w:tr w:rsidR="00E47AA3" w:rsidRPr="00AA504E" w14:paraId="668EAB3A" w14:textId="77777777" w:rsidTr="008D18FC">
        <w:tc>
          <w:tcPr>
            <w:tcW w:w="1030" w:type="dxa"/>
          </w:tcPr>
          <w:p w14:paraId="214F83B1" w14:textId="77777777" w:rsidR="008F364A" w:rsidRPr="00AA504E" w:rsidRDefault="003B1C16">
            <w:pPr>
              <w:pStyle w:val="zSoquijlblDateJugement"/>
              <w:rPr>
                <w:lang w:val="en-CA"/>
              </w:rPr>
            </w:pPr>
            <w:r w:rsidRPr="00AA504E">
              <w:rPr>
                <w:lang w:val="en-CA"/>
              </w:rPr>
              <w:t>DATE:</w:t>
            </w:r>
          </w:p>
        </w:tc>
        <w:tc>
          <w:tcPr>
            <w:tcW w:w="8330" w:type="dxa"/>
            <w:gridSpan w:val="4"/>
          </w:tcPr>
          <w:p w14:paraId="027BE862" w14:textId="09AA9BB6" w:rsidR="008F364A" w:rsidRPr="00AA504E" w:rsidRDefault="003B1C16">
            <w:pPr>
              <w:pStyle w:val="zSoquijdatDateJugement"/>
              <w:rPr>
                <w:lang w:val="en-CA"/>
              </w:rPr>
            </w:pPr>
            <w:r w:rsidRPr="00AA504E">
              <w:rPr>
                <w:lang w:val="en-CA"/>
              </w:rPr>
              <w:t>September 5, 2025</w:t>
            </w:r>
            <w:r w:rsidR="0034422C" w:rsidRPr="00AA504E">
              <w:rPr>
                <w:lang w:val="en-CA"/>
              </w:rPr>
              <w:t xml:space="preserve"> </w:t>
            </w:r>
          </w:p>
        </w:tc>
      </w:tr>
      <w:tr w:rsidR="00E47AA3" w:rsidRPr="00AA504E" w14:paraId="149F8E5D" w14:textId="77777777" w:rsidTr="008D18FC">
        <w:tc>
          <w:tcPr>
            <w:tcW w:w="9360" w:type="dxa"/>
            <w:gridSpan w:val="5"/>
            <w:tcBorders>
              <w:bottom w:val="single" w:sz="8" w:space="0" w:color="auto"/>
            </w:tcBorders>
          </w:tcPr>
          <w:p w14:paraId="0A4BAFAF" w14:textId="77777777" w:rsidR="008F364A" w:rsidRPr="00AA504E" w:rsidRDefault="008F364A">
            <w:pPr>
              <w:rPr>
                <w:lang w:val="en-CA"/>
              </w:rPr>
            </w:pPr>
          </w:p>
        </w:tc>
      </w:tr>
      <w:tr w:rsidR="00E47AA3" w:rsidRPr="00AA504E" w14:paraId="59D5B132" w14:textId="77777777" w:rsidTr="008D18FC">
        <w:tc>
          <w:tcPr>
            <w:tcW w:w="9360" w:type="dxa"/>
            <w:gridSpan w:val="5"/>
            <w:tcBorders>
              <w:top w:val="single" w:sz="8" w:space="0" w:color="auto"/>
            </w:tcBorders>
          </w:tcPr>
          <w:p w14:paraId="48254BB1" w14:textId="77777777" w:rsidR="008F364A" w:rsidRPr="00AA504E" w:rsidRDefault="008F364A">
            <w:pPr>
              <w:rPr>
                <w:lang w:val="en-CA"/>
              </w:rPr>
            </w:pPr>
          </w:p>
        </w:tc>
      </w:tr>
      <w:tr w:rsidR="00E47AA3" w:rsidRPr="00AA504E" w14:paraId="49943E1C" w14:textId="77777777" w:rsidTr="00246550">
        <w:tc>
          <w:tcPr>
            <w:tcW w:w="1701" w:type="dxa"/>
            <w:gridSpan w:val="2"/>
          </w:tcPr>
          <w:p w14:paraId="75FBBA94" w14:textId="28B0B6C6" w:rsidR="008F364A" w:rsidRPr="00AA504E" w:rsidRDefault="003B1C16" w:rsidP="00423DF1">
            <w:pPr>
              <w:pStyle w:val="zSoquijlblJuge"/>
              <w:ind w:right="-142"/>
              <w:rPr>
                <w:lang w:val="en-CA"/>
              </w:rPr>
            </w:pPr>
            <w:r w:rsidRPr="00AA504E">
              <w:rPr>
                <w:lang w:val="en-CA"/>
              </w:rPr>
              <w:t>CORAM:</w:t>
            </w:r>
            <w:r w:rsidR="00246550" w:rsidRPr="00AA504E">
              <w:rPr>
                <w:lang w:val="en-CA"/>
              </w:rPr>
              <w:t> </w:t>
            </w:r>
          </w:p>
        </w:tc>
        <w:tc>
          <w:tcPr>
            <w:tcW w:w="2410" w:type="dxa"/>
          </w:tcPr>
          <w:p w14:paraId="5531C3CA" w14:textId="115D163A" w:rsidR="008F364A" w:rsidRPr="00AA504E" w:rsidRDefault="003B1C16">
            <w:pPr>
              <w:pStyle w:val="zSoquijdatQteJuge"/>
              <w:rPr>
                <w:lang w:val="en-CA"/>
              </w:rPr>
            </w:pPr>
            <w:r w:rsidRPr="00AA504E">
              <w:rPr>
                <w:lang w:val="en-CA"/>
              </w:rPr>
              <w:t>THE HONOURABLE</w:t>
            </w:r>
          </w:p>
        </w:tc>
        <w:tc>
          <w:tcPr>
            <w:tcW w:w="5249" w:type="dxa"/>
            <w:gridSpan w:val="2"/>
          </w:tcPr>
          <w:p w14:paraId="7130F851" w14:textId="64D68296" w:rsidR="008F364A" w:rsidRPr="00AA6367" w:rsidRDefault="003B1C16">
            <w:pPr>
              <w:pStyle w:val="zSoquijdatJuge"/>
            </w:pPr>
            <w:r w:rsidRPr="00AA6367">
              <w:t>FRANÇOIS DOYON, J.A.</w:t>
            </w:r>
          </w:p>
          <w:p w14:paraId="7EB336C1" w14:textId="22B9D300" w:rsidR="008F364A" w:rsidRPr="00AA6367" w:rsidRDefault="003B1C16">
            <w:pPr>
              <w:pStyle w:val="zSoquijdatJuge"/>
            </w:pPr>
            <w:r w:rsidRPr="00AA6367">
              <w:t>CHRISTINE BAUDOUIN, J.A.</w:t>
            </w:r>
          </w:p>
          <w:p w14:paraId="60196713" w14:textId="30930BB7" w:rsidR="005A78BF" w:rsidRPr="00AA504E" w:rsidRDefault="003B1C16" w:rsidP="00D913A9">
            <w:pPr>
              <w:pStyle w:val="zSoquijdatJuge"/>
              <w:rPr>
                <w:lang w:val="en-CA"/>
              </w:rPr>
            </w:pPr>
            <w:bookmarkStart w:id="2" w:name="_Hlt520513784"/>
            <w:bookmarkEnd w:id="2"/>
            <w:r w:rsidRPr="00AA504E">
              <w:rPr>
                <w:lang w:val="en-CA"/>
              </w:rPr>
              <w:t>FRÉDÉRIC BACHAND, J.A.</w:t>
            </w:r>
          </w:p>
        </w:tc>
      </w:tr>
      <w:tr w:rsidR="00E47AA3" w:rsidRPr="00AA504E" w14:paraId="72A9DDD1" w14:textId="77777777" w:rsidTr="008D18FC">
        <w:tc>
          <w:tcPr>
            <w:tcW w:w="9360" w:type="dxa"/>
            <w:gridSpan w:val="5"/>
            <w:tcBorders>
              <w:bottom w:val="single" w:sz="8" w:space="0" w:color="auto"/>
            </w:tcBorders>
          </w:tcPr>
          <w:p w14:paraId="571F9BD3" w14:textId="77777777" w:rsidR="008F364A" w:rsidRPr="00AA504E" w:rsidRDefault="008F364A">
            <w:pPr>
              <w:rPr>
                <w:lang w:val="en-CA"/>
              </w:rPr>
            </w:pPr>
          </w:p>
        </w:tc>
      </w:tr>
      <w:tr w:rsidR="00E47AA3" w:rsidRPr="00AA504E" w14:paraId="60637838" w14:textId="77777777" w:rsidTr="008D18FC">
        <w:tc>
          <w:tcPr>
            <w:tcW w:w="9360" w:type="dxa"/>
            <w:gridSpan w:val="5"/>
          </w:tcPr>
          <w:p w14:paraId="79AF97E7" w14:textId="77777777" w:rsidR="008F364A" w:rsidRPr="00AA504E" w:rsidRDefault="008F364A">
            <w:pPr>
              <w:pStyle w:val="zSoquijlblTitrePartie"/>
              <w:rPr>
                <w:lang w:val="en-CA"/>
              </w:rPr>
            </w:pPr>
          </w:p>
        </w:tc>
      </w:tr>
      <w:tr w:rsidR="00E47AA3" w:rsidRPr="009E5423" w14:paraId="42317266" w14:textId="77777777" w:rsidTr="008D18FC">
        <w:tc>
          <w:tcPr>
            <w:tcW w:w="9360" w:type="dxa"/>
            <w:gridSpan w:val="5"/>
          </w:tcPr>
          <w:p w14:paraId="6307ED8F" w14:textId="0B57EAAF" w:rsidR="008F364A" w:rsidRPr="00AA504E" w:rsidRDefault="003B1C16">
            <w:pPr>
              <w:pStyle w:val="zSoquijdatNomPartieDem"/>
              <w:rPr>
                <w:lang w:val="en-CA"/>
              </w:rPr>
            </w:pPr>
            <w:r w:rsidRPr="00AA504E">
              <w:rPr>
                <w:lang w:val="en-CA"/>
              </w:rPr>
              <w:t xml:space="preserve">TCA GLOBAL CREDIT MASTER FUND, LP </w:t>
            </w:r>
          </w:p>
        </w:tc>
      </w:tr>
      <w:tr w:rsidR="00E47AA3" w:rsidRPr="00AA504E" w14:paraId="2667E1C8" w14:textId="77777777" w:rsidTr="008D18FC">
        <w:tc>
          <w:tcPr>
            <w:tcW w:w="9360" w:type="dxa"/>
            <w:gridSpan w:val="5"/>
          </w:tcPr>
          <w:p w14:paraId="7DFE78A9" w14:textId="38454D73" w:rsidR="008F364A" w:rsidRPr="00AA504E" w:rsidRDefault="003B1C16">
            <w:pPr>
              <w:pStyle w:val="zSoquijdatQtePartieDem"/>
              <w:rPr>
                <w:lang w:val="en-CA"/>
              </w:rPr>
            </w:pPr>
            <w:r w:rsidRPr="00AA504E">
              <w:rPr>
                <w:lang w:val="en-CA"/>
              </w:rPr>
              <w:t>APPELLANT – Plaintiff</w:t>
            </w:r>
          </w:p>
        </w:tc>
      </w:tr>
      <w:tr w:rsidR="00E47AA3" w:rsidRPr="00AA504E" w14:paraId="0C7B4D54" w14:textId="77777777" w:rsidTr="008D18FC">
        <w:tc>
          <w:tcPr>
            <w:tcW w:w="9360" w:type="dxa"/>
            <w:gridSpan w:val="5"/>
          </w:tcPr>
          <w:p w14:paraId="7A4D8F31" w14:textId="1631EFFE" w:rsidR="008F364A" w:rsidRPr="00AA504E" w:rsidRDefault="002F5AF9">
            <w:pPr>
              <w:pStyle w:val="zSoquijlblLienParties"/>
              <w:rPr>
                <w:lang w:val="en-CA"/>
              </w:rPr>
            </w:pPr>
            <w:r w:rsidRPr="00AA504E">
              <w:rPr>
                <w:lang w:val="en-CA"/>
              </w:rPr>
              <w:t>v</w:t>
            </w:r>
            <w:r w:rsidR="003B1C16" w:rsidRPr="00AA504E">
              <w:rPr>
                <w:lang w:val="en-CA"/>
              </w:rPr>
              <w:t>.</w:t>
            </w:r>
          </w:p>
        </w:tc>
      </w:tr>
      <w:tr w:rsidR="00E47AA3" w:rsidRPr="00AA504E" w14:paraId="7E4DC002" w14:textId="77777777" w:rsidTr="008D18FC">
        <w:tc>
          <w:tcPr>
            <w:tcW w:w="9360" w:type="dxa"/>
            <w:gridSpan w:val="5"/>
          </w:tcPr>
          <w:p w14:paraId="7152532C" w14:textId="77777777" w:rsidR="008F364A" w:rsidRPr="00AA504E" w:rsidRDefault="008F364A">
            <w:pPr>
              <w:rPr>
                <w:lang w:val="en-CA"/>
              </w:rPr>
            </w:pPr>
          </w:p>
        </w:tc>
      </w:tr>
      <w:tr w:rsidR="00E47AA3" w:rsidRPr="00AA504E" w14:paraId="38E2662D" w14:textId="77777777" w:rsidTr="008D18FC">
        <w:tc>
          <w:tcPr>
            <w:tcW w:w="9360" w:type="dxa"/>
            <w:gridSpan w:val="5"/>
          </w:tcPr>
          <w:p w14:paraId="07CC04D7" w14:textId="14D0ADAE" w:rsidR="008F364A" w:rsidRPr="00AA504E" w:rsidRDefault="003B1C16">
            <w:pPr>
              <w:pStyle w:val="zSoquijdatNomPartieDef"/>
              <w:rPr>
                <w:lang w:val="en-CA"/>
              </w:rPr>
            </w:pPr>
            <w:r w:rsidRPr="00AA504E">
              <w:rPr>
                <w:lang w:val="en-CA"/>
              </w:rPr>
              <w:t xml:space="preserve">JEAN-PIERRE </w:t>
            </w:r>
            <w:r w:rsidR="002F5AF9" w:rsidRPr="00AA504E">
              <w:rPr>
                <w:lang w:val="en-CA"/>
              </w:rPr>
              <w:t>APELIAN</w:t>
            </w:r>
          </w:p>
        </w:tc>
      </w:tr>
      <w:tr w:rsidR="00E47AA3" w:rsidRPr="00AA504E" w14:paraId="5197B129" w14:textId="77777777" w:rsidTr="008D18FC">
        <w:tc>
          <w:tcPr>
            <w:tcW w:w="9360" w:type="dxa"/>
            <w:gridSpan w:val="5"/>
          </w:tcPr>
          <w:p w14:paraId="6AB23492" w14:textId="24A3ADDA" w:rsidR="00D913A9" w:rsidRPr="00AA504E" w:rsidRDefault="002F5AF9">
            <w:pPr>
              <w:pStyle w:val="zSoquijdatNomPartieDef"/>
              <w:rPr>
                <w:lang w:val="en-CA"/>
              </w:rPr>
            </w:pPr>
            <w:r w:rsidRPr="00AA504E">
              <w:rPr>
                <w:lang w:val="en-CA"/>
              </w:rPr>
              <w:t>8894132</w:t>
            </w:r>
            <w:r w:rsidR="003B1C16" w:rsidRPr="00AA504E">
              <w:rPr>
                <w:lang w:val="en-CA"/>
              </w:rPr>
              <w:t xml:space="preserve"> CANADA INC.</w:t>
            </w:r>
          </w:p>
        </w:tc>
      </w:tr>
      <w:tr w:rsidR="00E47AA3" w:rsidRPr="00AA504E" w14:paraId="1C99D66B" w14:textId="77777777" w:rsidTr="008D18FC">
        <w:tc>
          <w:tcPr>
            <w:tcW w:w="9360" w:type="dxa"/>
            <w:gridSpan w:val="5"/>
          </w:tcPr>
          <w:p w14:paraId="15E8BCA5" w14:textId="36513C2B" w:rsidR="00D913A9" w:rsidRPr="00AA504E" w:rsidRDefault="002F5AF9">
            <w:pPr>
              <w:pStyle w:val="zSoquijdatNomPartieDef"/>
              <w:rPr>
                <w:lang w:val="en-CA"/>
              </w:rPr>
            </w:pPr>
            <w:r w:rsidRPr="00AA504E">
              <w:rPr>
                <w:lang w:val="en-CA"/>
              </w:rPr>
              <w:t>8895791</w:t>
            </w:r>
            <w:r w:rsidR="003B1C16" w:rsidRPr="00AA504E">
              <w:rPr>
                <w:lang w:val="en-CA"/>
              </w:rPr>
              <w:t xml:space="preserve"> CANADA INC.</w:t>
            </w:r>
          </w:p>
        </w:tc>
      </w:tr>
      <w:tr w:rsidR="00E47AA3" w:rsidRPr="00AA504E" w14:paraId="4182003E" w14:textId="77777777" w:rsidTr="008D18FC">
        <w:tc>
          <w:tcPr>
            <w:tcW w:w="9360" w:type="dxa"/>
            <w:gridSpan w:val="5"/>
          </w:tcPr>
          <w:p w14:paraId="60769D6B" w14:textId="22A059A8" w:rsidR="008F364A" w:rsidRPr="00AA504E" w:rsidRDefault="003B1C16">
            <w:pPr>
              <w:pStyle w:val="zSoquijdatQtePartieDef"/>
              <w:rPr>
                <w:lang w:val="en-CA"/>
              </w:rPr>
            </w:pPr>
            <w:r w:rsidRPr="00AA504E">
              <w:rPr>
                <w:lang w:val="en-CA"/>
              </w:rPr>
              <w:t>RESPONDENTS – Defendants</w:t>
            </w:r>
          </w:p>
        </w:tc>
      </w:tr>
      <w:tr w:rsidR="00E47AA3" w:rsidRPr="00AA504E" w14:paraId="220352D1" w14:textId="77777777" w:rsidTr="008D18FC">
        <w:tc>
          <w:tcPr>
            <w:tcW w:w="9360" w:type="dxa"/>
            <w:gridSpan w:val="5"/>
          </w:tcPr>
          <w:p w14:paraId="3350135B" w14:textId="77777777" w:rsidR="008F364A" w:rsidRPr="00AA504E" w:rsidRDefault="008F364A">
            <w:pPr>
              <w:rPr>
                <w:lang w:val="en-CA"/>
              </w:rPr>
            </w:pPr>
          </w:p>
        </w:tc>
      </w:tr>
      <w:tr w:rsidR="00E47AA3" w:rsidRPr="00AA504E" w14:paraId="5B227B63" w14:textId="77777777" w:rsidTr="008D18FC">
        <w:tc>
          <w:tcPr>
            <w:tcW w:w="9360" w:type="dxa"/>
            <w:gridSpan w:val="5"/>
            <w:tcBorders>
              <w:top w:val="single" w:sz="8" w:space="0" w:color="auto"/>
            </w:tcBorders>
          </w:tcPr>
          <w:p w14:paraId="748CDDB6" w14:textId="77777777" w:rsidR="008F364A" w:rsidRPr="00AA504E" w:rsidRDefault="008F364A">
            <w:pPr>
              <w:rPr>
                <w:lang w:val="en-CA"/>
              </w:rPr>
            </w:pPr>
            <w:bookmarkStart w:id="3" w:name="Arret"/>
          </w:p>
        </w:tc>
      </w:tr>
      <w:tr w:rsidR="00E47AA3" w:rsidRPr="00AA504E" w14:paraId="5ACD7736" w14:textId="77777777" w:rsidTr="008D18FC">
        <w:tc>
          <w:tcPr>
            <w:tcW w:w="9360" w:type="dxa"/>
            <w:gridSpan w:val="5"/>
          </w:tcPr>
          <w:p w14:paraId="54E470F0" w14:textId="53B83D69" w:rsidR="008F364A" w:rsidRPr="00AA504E" w:rsidRDefault="003B1C16">
            <w:pPr>
              <w:pStyle w:val="zSoquijlblTypeDocument"/>
              <w:rPr>
                <w:lang w:val="en-CA"/>
              </w:rPr>
            </w:pPr>
            <w:r w:rsidRPr="00AA504E">
              <w:rPr>
                <w:lang w:val="en-CA"/>
              </w:rPr>
              <w:t>JUDGMENT</w:t>
            </w:r>
          </w:p>
        </w:tc>
      </w:tr>
      <w:tr w:rsidR="00E47AA3" w:rsidRPr="00AA504E" w14:paraId="52A1D6B1" w14:textId="77777777" w:rsidTr="008D18FC">
        <w:tc>
          <w:tcPr>
            <w:tcW w:w="9360" w:type="dxa"/>
            <w:gridSpan w:val="5"/>
            <w:tcBorders>
              <w:bottom w:val="single" w:sz="8" w:space="0" w:color="auto"/>
            </w:tcBorders>
          </w:tcPr>
          <w:p w14:paraId="17632C29" w14:textId="77777777" w:rsidR="008F364A" w:rsidRPr="00AA504E" w:rsidRDefault="008F364A">
            <w:pPr>
              <w:rPr>
                <w:lang w:val="en-CA"/>
              </w:rPr>
            </w:pPr>
          </w:p>
        </w:tc>
      </w:tr>
      <w:tr w:rsidR="00E47AA3" w:rsidRPr="00AA504E" w14:paraId="59164113" w14:textId="77777777" w:rsidTr="008D18FC">
        <w:tc>
          <w:tcPr>
            <w:tcW w:w="9360" w:type="dxa"/>
            <w:gridSpan w:val="5"/>
            <w:tcBorders>
              <w:top w:val="single" w:sz="8" w:space="0" w:color="auto"/>
            </w:tcBorders>
          </w:tcPr>
          <w:p w14:paraId="25B62E2D" w14:textId="77777777" w:rsidR="008F364A" w:rsidRPr="00AA504E" w:rsidRDefault="008F364A">
            <w:pPr>
              <w:rPr>
                <w:lang w:val="en-CA"/>
              </w:rPr>
            </w:pPr>
          </w:p>
        </w:tc>
      </w:tr>
    </w:tbl>
    <w:p w14:paraId="332F5B7D" w14:textId="5B571E62" w:rsidR="003F39BF" w:rsidRPr="00AA504E" w:rsidRDefault="003B1C16" w:rsidP="00246550">
      <w:pPr>
        <w:pStyle w:val="Paragraphe"/>
        <w:widowControl w:val="0"/>
        <w:spacing w:before="360" w:after="160" w:line="280" w:lineRule="exact"/>
        <w:rPr>
          <w:lang w:val="en-CA"/>
        </w:rPr>
      </w:pPr>
      <w:r w:rsidRPr="00AA504E">
        <w:rPr>
          <w:lang w:val="en-CA"/>
        </w:rPr>
        <w:t xml:space="preserve">The appellant appeals from a judgment of the Superior Court, District of Montreal (the Honourable Gabrielle Brochu), </w:t>
      </w:r>
      <w:bookmarkStart w:id="4" w:name="_Hlk214480572"/>
      <w:r w:rsidRPr="00AA504E">
        <w:rPr>
          <w:lang w:val="en-CA"/>
        </w:rPr>
        <w:t>dismissing its application for recognition and enforcement of a judgment rendered in Florida</w:t>
      </w:r>
      <w:bookmarkEnd w:id="4"/>
      <w:r w:rsidRPr="00AA504E">
        <w:rPr>
          <w:lang w:val="en-CA"/>
        </w:rPr>
        <w:t>.</w:t>
      </w:r>
    </w:p>
    <w:p w14:paraId="295E2E9F" w14:textId="77777777" w:rsidR="003F39BF" w:rsidRPr="00AA504E" w:rsidRDefault="003B1C16">
      <w:pPr>
        <w:spacing w:line="240" w:lineRule="auto"/>
        <w:rPr>
          <w:kern w:val="28"/>
          <w:lang w:val="en-CA"/>
        </w:rPr>
      </w:pPr>
      <w:r w:rsidRPr="00AA504E">
        <w:rPr>
          <w:lang w:val="en-CA"/>
        </w:rPr>
        <w:br w:type="page"/>
      </w:r>
    </w:p>
    <w:p w14:paraId="69E32F78" w14:textId="2979FD06" w:rsidR="00343E22" w:rsidRPr="00AA504E" w:rsidRDefault="003B1C16" w:rsidP="00246550">
      <w:pPr>
        <w:pStyle w:val="Paragraphe"/>
        <w:spacing w:before="160" w:after="160" w:line="280" w:lineRule="exact"/>
        <w:rPr>
          <w:lang w:val="en-CA"/>
        </w:rPr>
      </w:pPr>
      <w:r w:rsidRPr="00AA504E">
        <w:rPr>
          <w:lang w:val="en-CA"/>
        </w:rPr>
        <w:lastRenderedPageBreak/>
        <w:t xml:space="preserve">For the reasons of Bachand, J.A., Doyon and Baudoin JJ.A. concurring, </w:t>
      </w:r>
      <w:r w:rsidRPr="00AA504E">
        <w:rPr>
          <w:b/>
          <w:lang w:val="en-CA"/>
        </w:rPr>
        <w:t>THE COURT</w:t>
      </w:r>
      <w:r w:rsidRPr="00AA504E">
        <w:rPr>
          <w:lang w:val="en-CA"/>
        </w:rPr>
        <w:t>:</w:t>
      </w:r>
    </w:p>
    <w:p w14:paraId="5D9A0E4E" w14:textId="1C6EC67D" w:rsidR="00343E22" w:rsidRPr="00AA504E" w:rsidRDefault="003B1C16" w:rsidP="00343E22">
      <w:pPr>
        <w:pStyle w:val="Paragraphe"/>
        <w:spacing w:line="280" w:lineRule="exact"/>
        <w:rPr>
          <w:lang w:val="en-CA"/>
        </w:rPr>
      </w:pPr>
      <w:r w:rsidRPr="00AA504E">
        <w:rPr>
          <w:b/>
          <w:bCs/>
          <w:lang w:val="en-CA"/>
        </w:rPr>
        <w:t>DISMISSES</w:t>
      </w:r>
      <w:r w:rsidRPr="00AA504E">
        <w:rPr>
          <w:bCs/>
          <w:lang w:val="en-CA"/>
        </w:rPr>
        <w:t xml:space="preserve"> the appeal, with legal costs.</w:t>
      </w:r>
    </w:p>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1997"/>
        <w:gridCol w:w="2685"/>
        <w:gridCol w:w="4680"/>
      </w:tblGrid>
      <w:tr w:rsidR="00E47AA3" w:rsidRPr="009E5423" w14:paraId="71176F0D" w14:textId="77777777" w:rsidTr="003E3239">
        <w:trPr>
          <w:trHeight w:val="576"/>
        </w:trPr>
        <w:tc>
          <w:tcPr>
            <w:tcW w:w="9362" w:type="dxa"/>
            <w:gridSpan w:val="3"/>
            <w:tcBorders>
              <w:top w:val="nil"/>
              <w:bottom w:val="nil"/>
            </w:tcBorders>
          </w:tcPr>
          <w:p w14:paraId="23BEFDB3" w14:textId="77777777" w:rsidR="008F364A" w:rsidRPr="00AA504E" w:rsidRDefault="008F364A">
            <w:pPr>
              <w:keepNext/>
              <w:rPr>
                <w:lang w:val="en-CA"/>
              </w:rPr>
            </w:pPr>
          </w:p>
        </w:tc>
      </w:tr>
      <w:tr w:rsidR="00E47AA3" w:rsidRPr="009E5423" w14:paraId="3A484FE7" w14:textId="77777777" w:rsidTr="00117914">
        <w:trPr>
          <w:trHeight w:val="283"/>
        </w:trPr>
        <w:tc>
          <w:tcPr>
            <w:tcW w:w="4682" w:type="dxa"/>
            <w:gridSpan w:val="2"/>
            <w:tcBorders>
              <w:top w:val="nil"/>
              <w:bottom w:val="nil"/>
            </w:tcBorders>
          </w:tcPr>
          <w:p w14:paraId="2B0C3A50" w14:textId="77777777" w:rsidR="008F364A" w:rsidRPr="00AA504E" w:rsidRDefault="008F364A">
            <w:pPr>
              <w:keepNext/>
              <w:rPr>
                <w:lang w:val="en-CA"/>
              </w:rPr>
            </w:pPr>
          </w:p>
        </w:tc>
        <w:tc>
          <w:tcPr>
            <w:tcW w:w="4680" w:type="dxa"/>
            <w:tcBorders>
              <w:top w:val="nil"/>
              <w:bottom w:val="single" w:sz="8" w:space="0" w:color="auto"/>
            </w:tcBorders>
          </w:tcPr>
          <w:p w14:paraId="0F25DAD1" w14:textId="77777777" w:rsidR="008F364A" w:rsidRPr="00AA504E" w:rsidRDefault="008F364A">
            <w:pPr>
              <w:keepNext/>
              <w:rPr>
                <w:lang w:val="en-CA"/>
              </w:rPr>
            </w:pPr>
          </w:p>
        </w:tc>
      </w:tr>
      <w:tr w:rsidR="00E47AA3" w:rsidRPr="00AA504E" w14:paraId="193E3AEC" w14:textId="77777777" w:rsidTr="00117914">
        <w:trPr>
          <w:trHeight w:val="283"/>
        </w:trPr>
        <w:tc>
          <w:tcPr>
            <w:tcW w:w="4682" w:type="dxa"/>
            <w:gridSpan w:val="2"/>
            <w:tcBorders>
              <w:top w:val="nil"/>
            </w:tcBorders>
          </w:tcPr>
          <w:p w14:paraId="032E31CE" w14:textId="77777777" w:rsidR="008F364A" w:rsidRPr="00AA504E" w:rsidRDefault="008F364A">
            <w:pPr>
              <w:keepNext/>
              <w:rPr>
                <w:lang w:val="en-CA"/>
              </w:rPr>
            </w:pPr>
          </w:p>
        </w:tc>
        <w:tc>
          <w:tcPr>
            <w:tcW w:w="4680" w:type="dxa"/>
            <w:tcBorders>
              <w:top w:val="single" w:sz="8" w:space="0" w:color="auto"/>
            </w:tcBorders>
          </w:tcPr>
          <w:p w14:paraId="1E3959FF" w14:textId="6AF30CB7" w:rsidR="008F364A" w:rsidRPr="00AA504E" w:rsidRDefault="003B1C16">
            <w:pPr>
              <w:rPr>
                <w:lang w:val="en-CA"/>
              </w:rPr>
            </w:pPr>
            <w:r w:rsidRPr="00AA504E">
              <w:rPr>
                <w:lang w:val="en-CA"/>
              </w:rPr>
              <w:t>FRANÇOIS DOYON, J.A.</w:t>
            </w:r>
          </w:p>
        </w:tc>
      </w:tr>
      <w:tr w:rsidR="00E47AA3" w:rsidRPr="00AA504E" w14:paraId="5C59903E" w14:textId="77777777" w:rsidTr="00117914">
        <w:trPr>
          <w:trHeight w:val="283"/>
        </w:trPr>
        <w:tc>
          <w:tcPr>
            <w:tcW w:w="4682" w:type="dxa"/>
            <w:gridSpan w:val="2"/>
            <w:tcBorders>
              <w:top w:val="nil"/>
            </w:tcBorders>
          </w:tcPr>
          <w:p w14:paraId="03672B75" w14:textId="77777777" w:rsidR="008F364A" w:rsidRPr="00AA504E" w:rsidRDefault="008F364A">
            <w:pPr>
              <w:keepNext/>
              <w:rPr>
                <w:lang w:val="en-CA"/>
              </w:rPr>
            </w:pPr>
            <w:bookmarkStart w:id="5" w:name="Signature2"/>
          </w:p>
        </w:tc>
        <w:tc>
          <w:tcPr>
            <w:tcW w:w="4680" w:type="dxa"/>
            <w:tcBorders>
              <w:top w:val="nil"/>
            </w:tcBorders>
          </w:tcPr>
          <w:p w14:paraId="27FAD211" w14:textId="77777777" w:rsidR="008F364A" w:rsidRPr="00AA504E" w:rsidRDefault="008F364A">
            <w:pPr>
              <w:keepNext/>
              <w:rPr>
                <w:lang w:val="en-CA"/>
              </w:rPr>
            </w:pPr>
          </w:p>
        </w:tc>
      </w:tr>
      <w:tr w:rsidR="00E47AA3" w:rsidRPr="00AA504E" w14:paraId="0257F5C9" w14:textId="77777777" w:rsidTr="00117914">
        <w:trPr>
          <w:trHeight w:val="283"/>
        </w:trPr>
        <w:tc>
          <w:tcPr>
            <w:tcW w:w="4682" w:type="dxa"/>
            <w:gridSpan w:val="2"/>
            <w:tcBorders>
              <w:top w:val="nil"/>
              <w:bottom w:val="nil"/>
            </w:tcBorders>
          </w:tcPr>
          <w:p w14:paraId="72FF91F5" w14:textId="77777777" w:rsidR="008F364A" w:rsidRPr="00AA504E" w:rsidRDefault="008F364A">
            <w:pPr>
              <w:keepNext/>
              <w:rPr>
                <w:lang w:val="en-CA"/>
              </w:rPr>
            </w:pPr>
          </w:p>
        </w:tc>
        <w:tc>
          <w:tcPr>
            <w:tcW w:w="4680" w:type="dxa"/>
            <w:tcBorders>
              <w:top w:val="nil"/>
              <w:bottom w:val="single" w:sz="8" w:space="0" w:color="auto"/>
            </w:tcBorders>
          </w:tcPr>
          <w:p w14:paraId="518F525F" w14:textId="77777777" w:rsidR="008F364A" w:rsidRPr="00AA504E" w:rsidRDefault="008F364A">
            <w:pPr>
              <w:keepNext/>
              <w:rPr>
                <w:lang w:val="en-CA"/>
              </w:rPr>
            </w:pPr>
          </w:p>
        </w:tc>
      </w:tr>
      <w:tr w:rsidR="00E47AA3" w:rsidRPr="00AA504E" w14:paraId="5A9A9E57" w14:textId="77777777" w:rsidTr="00117914">
        <w:trPr>
          <w:trHeight w:val="283"/>
        </w:trPr>
        <w:tc>
          <w:tcPr>
            <w:tcW w:w="4682" w:type="dxa"/>
            <w:gridSpan w:val="2"/>
            <w:tcBorders>
              <w:top w:val="nil"/>
            </w:tcBorders>
          </w:tcPr>
          <w:p w14:paraId="037CC962" w14:textId="77777777" w:rsidR="008F364A" w:rsidRPr="00AA504E" w:rsidRDefault="008F364A">
            <w:pPr>
              <w:keepNext/>
              <w:rPr>
                <w:lang w:val="en-CA"/>
              </w:rPr>
            </w:pPr>
          </w:p>
        </w:tc>
        <w:tc>
          <w:tcPr>
            <w:tcW w:w="4680" w:type="dxa"/>
            <w:tcBorders>
              <w:top w:val="single" w:sz="8" w:space="0" w:color="auto"/>
            </w:tcBorders>
          </w:tcPr>
          <w:p w14:paraId="65467245" w14:textId="146AF65A" w:rsidR="008F364A" w:rsidRPr="00AA504E" w:rsidRDefault="003B1C16">
            <w:pPr>
              <w:keepNext/>
              <w:rPr>
                <w:lang w:val="en-CA"/>
              </w:rPr>
            </w:pPr>
            <w:r w:rsidRPr="00AA504E">
              <w:rPr>
                <w:lang w:val="en-CA"/>
              </w:rPr>
              <w:t>CHRISTINE BAUDOUIN, J.A.</w:t>
            </w:r>
          </w:p>
        </w:tc>
      </w:tr>
      <w:tr w:rsidR="00E47AA3" w:rsidRPr="00AA504E" w14:paraId="0F61F9CD" w14:textId="77777777" w:rsidTr="00117914">
        <w:trPr>
          <w:trHeight w:val="283"/>
        </w:trPr>
        <w:tc>
          <w:tcPr>
            <w:tcW w:w="4682" w:type="dxa"/>
            <w:gridSpan w:val="2"/>
            <w:tcBorders>
              <w:top w:val="nil"/>
            </w:tcBorders>
          </w:tcPr>
          <w:p w14:paraId="78B965FD" w14:textId="77777777" w:rsidR="008F364A" w:rsidRPr="00AA504E" w:rsidRDefault="008F364A">
            <w:pPr>
              <w:keepNext/>
              <w:rPr>
                <w:lang w:val="en-CA"/>
              </w:rPr>
            </w:pPr>
            <w:bookmarkStart w:id="6" w:name="Signature3"/>
            <w:bookmarkEnd w:id="5"/>
          </w:p>
        </w:tc>
        <w:tc>
          <w:tcPr>
            <w:tcW w:w="4680" w:type="dxa"/>
            <w:tcBorders>
              <w:top w:val="nil"/>
            </w:tcBorders>
          </w:tcPr>
          <w:p w14:paraId="7B8A9ACF" w14:textId="77777777" w:rsidR="008F364A" w:rsidRPr="00AA504E" w:rsidRDefault="008F364A">
            <w:pPr>
              <w:keepNext/>
              <w:rPr>
                <w:lang w:val="en-CA"/>
              </w:rPr>
            </w:pPr>
          </w:p>
        </w:tc>
      </w:tr>
      <w:tr w:rsidR="00E47AA3" w:rsidRPr="00AA504E" w14:paraId="4214F8FE" w14:textId="77777777" w:rsidTr="00117914">
        <w:trPr>
          <w:trHeight w:val="283"/>
        </w:trPr>
        <w:tc>
          <w:tcPr>
            <w:tcW w:w="4682" w:type="dxa"/>
            <w:gridSpan w:val="2"/>
            <w:tcBorders>
              <w:top w:val="nil"/>
              <w:bottom w:val="nil"/>
            </w:tcBorders>
          </w:tcPr>
          <w:p w14:paraId="3CB8F807" w14:textId="77777777" w:rsidR="008F364A" w:rsidRPr="00AA504E" w:rsidRDefault="008F364A">
            <w:pPr>
              <w:keepNext/>
              <w:rPr>
                <w:lang w:val="en-CA"/>
              </w:rPr>
            </w:pPr>
          </w:p>
        </w:tc>
        <w:tc>
          <w:tcPr>
            <w:tcW w:w="4680" w:type="dxa"/>
            <w:tcBorders>
              <w:top w:val="nil"/>
              <w:bottom w:val="single" w:sz="8" w:space="0" w:color="auto"/>
            </w:tcBorders>
          </w:tcPr>
          <w:p w14:paraId="1F0FF41F" w14:textId="77777777" w:rsidR="008F364A" w:rsidRPr="00AA504E" w:rsidRDefault="008F364A">
            <w:pPr>
              <w:keepNext/>
              <w:rPr>
                <w:lang w:val="en-CA"/>
              </w:rPr>
            </w:pPr>
          </w:p>
        </w:tc>
      </w:tr>
      <w:tr w:rsidR="00E47AA3" w:rsidRPr="00AA504E" w14:paraId="0CE92928" w14:textId="77777777" w:rsidTr="00117914">
        <w:trPr>
          <w:trHeight w:val="283"/>
        </w:trPr>
        <w:tc>
          <w:tcPr>
            <w:tcW w:w="4682" w:type="dxa"/>
            <w:gridSpan w:val="2"/>
            <w:tcBorders>
              <w:top w:val="nil"/>
            </w:tcBorders>
          </w:tcPr>
          <w:p w14:paraId="39A0F6CD" w14:textId="77777777" w:rsidR="008F364A" w:rsidRPr="00AA504E" w:rsidRDefault="008F364A">
            <w:pPr>
              <w:keepNext/>
              <w:rPr>
                <w:lang w:val="en-CA"/>
              </w:rPr>
            </w:pPr>
          </w:p>
        </w:tc>
        <w:tc>
          <w:tcPr>
            <w:tcW w:w="4680" w:type="dxa"/>
            <w:tcBorders>
              <w:top w:val="single" w:sz="8" w:space="0" w:color="auto"/>
            </w:tcBorders>
          </w:tcPr>
          <w:p w14:paraId="6F28D7BC" w14:textId="0C544309" w:rsidR="008F364A" w:rsidRPr="00AA504E" w:rsidRDefault="003B1C16">
            <w:pPr>
              <w:keepNext/>
              <w:rPr>
                <w:lang w:val="en-CA"/>
              </w:rPr>
            </w:pPr>
            <w:r w:rsidRPr="00AA504E">
              <w:rPr>
                <w:lang w:val="en-CA"/>
              </w:rPr>
              <w:t>FRÉDÉRIC BACHAND, J.A.</w:t>
            </w:r>
          </w:p>
        </w:tc>
      </w:tr>
      <w:bookmarkEnd w:id="6"/>
      <w:tr w:rsidR="00E47AA3" w:rsidRPr="00AA504E" w14:paraId="78DC00E9" w14:textId="77777777" w:rsidTr="00423DF1">
        <w:tc>
          <w:tcPr>
            <w:tcW w:w="9362" w:type="dxa"/>
            <w:gridSpan w:val="3"/>
          </w:tcPr>
          <w:p w14:paraId="711CCC71" w14:textId="77777777" w:rsidR="005A78BF" w:rsidRPr="00AA504E" w:rsidRDefault="005A78BF" w:rsidP="005A78BF">
            <w:pPr>
              <w:rPr>
                <w:lang w:val="en-CA"/>
              </w:rPr>
            </w:pPr>
          </w:p>
        </w:tc>
      </w:tr>
      <w:tr w:rsidR="00E47AA3" w:rsidRPr="00AA504E" w14:paraId="67752AF1" w14:textId="77777777" w:rsidTr="00423DF1">
        <w:tc>
          <w:tcPr>
            <w:tcW w:w="9362" w:type="dxa"/>
            <w:gridSpan w:val="3"/>
          </w:tcPr>
          <w:p w14:paraId="2B1BE035" w14:textId="263AC1C3" w:rsidR="005A78BF" w:rsidRPr="00AA504E" w:rsidRDefault="003B1C16" w:rsidP="005A78BF">
            <w:pPr>
              <w:pStyle w:val="zSoquijdatNomProcureurDem"/>
              <w:rPr>
                <w:lang w:val="en-CA"/>
              </w:rPr>
            </w:pPr>
            <w:r w:rsidRPr="00AA504E">
              <w:rPr>
                <w:lang w:val="en-CA"/>
              </w:rPr>
              <w:t>Mtre Jacques S. Darche</w:t>
            </w:r>
          </w:p>
        </w:tc>
      </w:tr>
      <w:tr w:rsidR="00E47AA3" w:rsidRPr="009E5423" w14:paraId="56CEC4CA" w14:textId="77777777" w:rsidTr="00423DF1">
        <w:tc>
          <w:tcPr>
            <w:tcW w:w="9362" w:type="dxa"/>
            <w:gridSpan w:val="3"/>
          </w:tcPr>
          <w:p w14:paraId="3EE79F15" w14:textId="2FC60F24" w:rsidR="00D913A9" w:rsidRPr="009E5423" w:rsidRDefault="003B1C16" w:rsidP="005A78BF">
            <w:pPr>
              <w:pStyle w:val="zSoquijdatNomProcureurDem"/>
              <w:rPr>
                <w:lang w:val="es-CL"/>
              </w:rPr>
            </w:pPr>
            <w:r w:rsidRPr="009E5423">
              <w:rPr>
                <w:lang w:val="es-CL"/>
              </w:rPr>
              <w:t>Mtre Katia-Maria Medina Avelar</w:t>
            </w:r>
          </w:p>
        </w:tc>
      </w:tr>
      <w:tr w:rsidR="00E47AA3" w:rsidRPr="00AA504E" w14:paraId="53FF46EF" w14:textId="77777777" w:rsidTr="00423DF1">
        <w:tc>
          <w:tcPr>
            <w:tcW w:w="9362" w:type="dxa"/>
            <w:gridSpan w:val="3"/>
          </w:tcPr>
          <w:p w14:paraId="14FD49A7" w14:textId="2D6A7B95" w:rsidR="005A78BF" w:rsidRPr="00AA504E" w:rsidRDefault="003B1C16" w:rsidP="005A78BF">
            <w:pPr>
              <w:pStyle w:val="zSoquijdatCabinetProcureurDem"/>
              <w:rPr>
                <w:lang w:val="en-CA"/>
              </w:rPr>
            </w:pPr>
            <w:r w:rsidRPr="00AA504E">
              <w:rPr>
                <w:lang w:val="en-CA"/>
              </w:rPr>
              <w:t>BORDEN LADNER GERVAIS</w:t>
            </w:r>
          </w:p>
        </w:tc>
      </w:tr>
      <w:tr w:rsidR="00E47AA3" w:rsidRPr="00AA504E" w14:paraId="5D11768D" w14:textId="77777777" w:rsidTr="00423DF1">
        <w:tc>
          <w:tcPr>
            <w:tcW w:w="9362" w:type="dxa"/>
            <w:gridSpan w:val="3"/>
          </w:tcPr>
          <w:p w14:paraId="035132AB" w14:textId="69B950AE" w:rsidR="005A78BF" w:rsidRPr="00AA504E" w:rsidRDefault="003B1C16" w:rsidP="005A78BF">
            <w:pPr>
              <w:pStyle w:val="zSoquijlblProcureurDem"/>
              <w:rPr>
                <w:lang w:val="en-CA"/>
              </w:rPr>
            </w:pPr>
            <w:r w:rsidRPr="00AA504E">
              <w:rPr>
                <w:lang w:val="en-CA"/>
              </w:rPr>
              <w:t>For the appellant</w:t>
            </w:r>
          </w:p>
        </w:tc>
      </w:tr>
      <w:tr w:rsidR="00E47AA3" w:rsidRPr="00AA504E" w14:paraId="0696544A" w14:textId="77777777" w:rsidTr="00423DF1">
        <w:tc>
          <w:tcPr>
            <w:tcW w:w="9362" w:type="dxa"/>
            <w:gridSpan w:val="3"/>
          </w:tcPr>
          <w:p w14:paraId="01FDF46B" w14:textId="77777777" w:rsidR="005A78BF" w:rsidRPr="00AA504E" w:rsidRDefault="005A78BF" w:rsidP="005A78BF">
            <w:pPr>
              <w:rPr>
                <w:lang w:val="en-CA"/>
              </w:rPr>
            </w:pPr>
          </w:p>
        </w:tc>
      </w:tr>
      <w:tr w:rsidR="00E47AA3" w:rsidRPr="00AA504E" w14:paraId="4C266659" w14:textId="77777777" w:rsidTr="00423DF1">
        <w:tc>
          <w:tcPr>
            <w:tcW w:w="9362" w:type="dxa"/>
            <w:gridSpan w:val="3"/>
          </w:tcPr>
          <w:p w14:paraId="502C3CD4" w14:textId="4FBFBFA3" w:rsidR="005A78BF" w:rsidRPr="00AA504E" w:rsidRDefault="003B1C16" w:rsidP="005A78BF">
            <w:pPr>
              <w:pStyle w:val="zSoquijdatNomProcureurDef"/>
              <w:rPr>
                <w:lang w:val="en-CA"/>
              </w:rPr>
            </w:pPr>
            <w:r w:rsidRPr="00AA504E">
              <w:rPr>
                <w:lang w:val="en-CA"/>
              </w:rPr>
              <w:t>Mtre Jean-Philippe Gervais</w:t>
            </w:r>
          </w:p>
        </w:tc>
      </w:tr>
      <w:tr w:rsidR="00E47AA3" w:rsidRPr="00AA504E" w14:paraId="16FC6F33" w14:textId="77777777" w:rsidTr="00423DF1">
        <w:tc>
          <w:tcPr>
            <w:tcW w:w="9362" w:type="dxa"/>
            <w:gridSpan w:val="3"/>
          </w:tcPr>
          <w:p w14:paraId="783150FA" w14:textId="08160D0A" w:rsidR="005A78BF" w:rsidRPr="00AA504E" w:rsidRDefault="003B1C16" w:rsidP="005A78BF">
            <w:pPr>
              <w:pStyle w:val="zSoquijdatCabinetProcureurDef"/>
              <w:rPr>
                <w:lang w:val="en-CA"/>
              </w:rPr>
            </w:pPr>
            <w:r w:rsidRPr="00AA504E">
              <w:rPr>
                <w:lang w:val="en-CA"/>
              </w:rPr>
              <w:t>GBC LÉGAL</w:t>
            </w:r>
          </w:p>
        </w:tc>
      </w:tr>
      <w:tr w:rsidR="00E47AA3" w:rsidRPr="00AA504E" w14:paraId="31CF553A" w14:textId="77777777" w:rsidTr="004F741E">
        <w:trPr>
          <w:trHeight w:val="159"/>
        </w:trPr>
        <w:tc>
          <w:tcPr>
            <w:tcW w:w="9362" w:type="dxa"/>
            <w:gridSpan w:val="3"/>
          </w:tcPr>
          <w:p w14:paraId="6D42AC0D" w14:textId="419703CD" w:rsidR="005A78BF" w:rsidRPr="00AA504E" w:rsidRDefault="003B1C16" w:rsidP="005A78BF">
            <w:pPr>
              <w:pStyle w:val="zSoquijlblProcureurDef"/>
              <w:rPr>
                <w:lang w:val="en-CA"/>
              </w:rPr>
            </w:pPr>
            <w:r w:rsidRPr="00AA504E">
              <w:rPr>
                <w:lang w:val="en-CA"/>
              </w:rPr>
              <w:t xml:space="preserve">For </w:t>
            </w:r>
            <w:r w:rsidR="002F5AF9" w:rsidRPr="00AA504E">
              <w:rPr>
                <w:lang w:val="en-CA"/>
              </w:rPr>
              <w:t xml:space="preserve">the </w:t>
            </w:r>
            <w:r w:rsidRPr="00AA504E">
              <w:rPr>
                <w:lang w:val="en-CA"/>
              </w:rPr>
              <w:t>respondent Jean-Pierre Apelian</w:t>
            </w:r>
          </w:p>
        </w:tc>
      </w:tr>
      <w:tr w:rsidR="00E47AA3" w:rsidRPr="00AA504E" w14:paraId="3A12BD76" w14:textId="77777777" w:rsidTr="00423DF1">
        <w:tc>
          <w:tcPr>
            <w:tcW w:w="9362" w:type="dxa"/>
            <w:gridSpan w:val="3"/>
          </w:tcPr>
          <w:p w14:paraId="7A055820" w14:textId="77777777" w:rsidR="005A78BF" w:rsidRPr="00AA504E" w:rsidRDefault="005A78BF" w:rsidP="005A78BF">
            <w:pPr>
              <w:rPr>
                <w:lang w:val="en-CA"/>
              </w:rPr>
            </w:pPr>
          </w:p>
        </w:tc>
      </w:tr>
      <w:tr w:rsidR="00E47AA3" w:rsidRPr="00AA504E" w14:paraId="3D7AE170" w14:textId="77777777" w:rsidTr="00423DF1">
        <w:tc>
          <w:tcPr>
            <w:tcW w:w="1997" w:type="dxa"/>
          </w:tcPr>
          <w:p w14:paraId="7BFB18D4" w14:textId="77777777" w:rsidR="005A78BF" w:rsidRPr="00AA504E" w:rsidRDefault="003B1C16" w:rsidP="005A78BF">
            <w:pPr>
              <w:pStyle w:val="zSoquijlblDateAudience"/>
              <w:rPr>
                <w:lang w:val="en-CA"/>
              </w:rPr>
            </w:pPr>
            <w:r w:rsidRPr="00AA504E">
              <w:rPr>
                <w:lang w:val="en-CA"/>
              </w:rPr>
              <w:t>Date of hearing:</w:t>
            </w:r>
          </w:p>
        </w:tc>
        <w:tc>
          <w:tcPr>
            <w:tcW w:w="7365" w:type="dxa"/>
            <w:gridSpan w:val="2"/>
          </w:tcPr>
          <w:p w14:paraId="6AF4695C" w14:textId="28F77782" w:rsidR="005A78BF" w:rsidRPr="00AA504E" w:rsidRDefault="003B1C16" w:rsidP="005A78BF">
            <w:pPr>
              <w:pStyle w:val="zSoquijdatDateAudience"/>
              <w:rPr>
                <w:lang w:val="en-CA"/>
              </w:rPr>
            </w:pPr>
            <w:r w:rsidRPr="00AA504E">
              <w:rPr>
                <w:lang w:val="en-CA"/>
              </w:rPr>
              <w:t>March 19, 2025</w:t>
            </w:r>
          </w:p>
        </w:tc>
      </w:tr>
    </w:tbl>
    <w:p w14:paraId="3D854DAA" w14:textId="77777777" w:rsidR="002A0D72" w:rsidRPr="00AA504E" w:rsidRDefault="002A0D72" w:rsidP="002A0D72">
      <w:pPr>
        <w:rPr>
          <w:lang w:val="en-CA"/>
        </w:rPr>
        <w:sectPr w:rsidR="002A0D72" w:rsidRPr="00AA504E" w:rsidSect="005254BF">
          <w:headerReference w:type="default" r:id="rId8"/>
          <w:footerReference w:type="default" r:id="rId9"/>
          <w:footnotePr>
            <w:numRestart w:val="eachSect"/>
          </w:footnotePr>
          <w:pgSz w:w="12242" w:h="15842" w:code="1"/>
          <w:pgMar w:top="1588" w:right="1009" w:bottom="1440" w:left="1871" w:header="1440" w:footer="794" w:gutter="0"/>
          <w:cols w:space="720"/>
          <w:formProt w:val="0"/>
          <w:titlePg/>
          <w:docGrid w:linePitch="326"/>
        </w:sectPr>
      </w:pPr>
      <w:bookmarkStart w:id="7" w:name="Opinion"/>
      <w:bookmarkEnd w:id="3"/>
    </w:p>
    <w:tbl>
      <w:tblPr>
        <w:tblW w:w="0" w:type="auto"/>
        <w:tblLayout w:type="fixed"/>
        <w:tblCellMar>
          <w:left w:w="0" w:type="dxa"/>
          <w:right w:w="0" w:type="dxa"/>
        </w:tblCellMar>
        <w:tblLook w:val="0000" w:firstRow="0" w:lastRow="0" w:firstColumn="0" w:lastColumn="0" w:noHBand="0" w:noVBand="0"/>
      </w:tblPr>
      <w:tblGrid>
        <w:gridCol w:w="9360"/>
      </w:tblGrid>
      <w:tr w:rsidR="00E47AA3" w:rsidRPr="00AA504E" w14:paraId="09CE0EBA" w14:textId="77777777" w:rsidTr="00853427">
        <w:tc>
          <w:tcPr>
            <w:tcW w:w="9360" w:type="dxa"/>
            <w:tcBorders>
              <w:bottom w:val="single" w:sz="8" w:space="0" w:color="auto"/>
            </w:tcBorders>
          </w:tcPr>
          <w:p w14:paraId="3E014ED8" w14:textId="77777777" w:rsidR="002A0D72" w:rsidRPr="00AA504E" w:rsidRDefault="002A0D72" w:rsidP="00853427">
            <w:pPr>
              <w:rPr>
                <w:lang w:val="en-CA"/>
              </w:rPr>
            </w:pPr>
          </w:p>
          <w:p w14:paraId="533A9760" w14:textId="77777777" w:rsidR="002A0D72" w:rsidRPr="00AA504E" w:rsidRDefault="002A0D72" w:rsidP="00853427">
            <w:pPr>
              <w:rPr>
                <w:lang w:val="en-CA"/>
              </w:rPr>
            </w:pPr>
          </w:p>
        </w:tc>
      </w:tr>
      <w:tr w:rsidR="00E47AA3" w:rsidRPr="00AA504E" w14:paraId="43AEA3AE" w14:textId="77777777" w:rsidTr="00853427">
        <w:tc>
          <w:tcPr>
            <w:tcW w:w="9360" w:type="dxa"/>
            <w:tcBorders>
              <w:top w:val="single" w:sz="8" w:space="0" w:color="auto"/>
            </w:tcBorders>
          </w:tcPr>
          <w:p w14:paraId="4117A8AC" w14:textId="77777777" w:rsidR="002A0D72" w:rsidRPr="00AA504E" w:rsidRDefault="002A0D72" w:rsidP="00853427">
            <w:pPr>
              <w:rPr>
                <w:lang w:val="en-CA"/>
              </w:rPr>
            </w:pPr>
          </w:p>
        </w:tc>
      </w:tr>
      <w:tr w:rsidR="00E47AA3" w:rsidRPr="009E5423" w14:paraId="6C1B57D1" w14:textId="77777777" w:rsidTr="00853427">
        <w:tc>
          <w:tcPr>
            <w:tcW w:w="9360" w:type="dxa"/>
          </w:tcPr>
          <w:p w14:paraId="1DCA11D8" w14:textId="6C0A7BFE" w:rsidR="002A0D72" w:rsidRPr="00AA504E" w:rsidRDefault="003B1C16" w:rsidP="00853427">
            <w:pPr>
              <w:pStyle w:val="zSoquijlblOpinionJuge"/>
              <w:rPr>
                <w:lang w:val="en-CA"/>
              </w:rPr>
            </w:pPr>
            <w:r w:rsidRPr="00AA504E">
              <w:rPr>
                <w:lang w:val="en-CA"/>
              </w:rPr>
              <w:t>REASONS OF BACHAND, J.A.</w:t>
            </w:r>
          </w:p>
        </w:tc>
      </w:tr>
      <w:tr w:rsidR="00E47AA3" w:rsidRPr="009E5423" w14:paraId="0890F6BC" w14:textId="77777777" w:rsidTr="00853427">
        <w:tc>
          <w:tcPr>
            <w:tcW w:w="9360" w:type="dxa"/>
            <w:tcBorders>
              <w:bottom w:val="single" w:sz="8" w:space="0" w:color="auto"/>
            </w:tcBorders>
          </w:tcPr>
          <w:p w14:paraId="7004F0A6" w14:textId="77777777" w:rsidR="002A0D72" w:rsidRPr="00AA504E" w:rsidRDefault="002A0D72" w:rsidP="00853427">
            <w:pPr>
              <w:rPr>
                <w:lang w:val="en-CA"/>
              </w:rPr>
            </w:pPr>
          </w:p>
        </w:tc>
      </w:tr>
      <w:tr w:rsidR="00E47AA3" w:rsidRPr="009E5423" w14:paraId="554D126D" w14:textId="77777777" w:rsidTr="00853427">
        <w:tc>
          <w:tcPr>
            <w:tcW w:w="9360" w:type="dxa"/>
            <w:tcBorders>
              <w:top w:val="single" w:sz="8" w:space="0" w:color="auto"/>
            </w:tcBorders>
          </w:tcPr>
          <w:p w14:paraId="3C564976" w14:textId="77777777" w:rsidR="002A0D72" w:rsidRPr="00AA504E" w:rsidRDefault="002A0D72" w:rsidP="00853427">
            <w:pPr>
              <w:rPr>
                <w:lang w:val="en-CA"/>
              </w:rPr>
            </w:pPr>
          </w:p>
        </w:tc>
      </w:tr>
    </w:tbl>
    <w:p w14:paraId="08C8C248" w14:textId="4F2A5262" w:rsidR="002A0D72" w:rsidRPr="00AA504E" w:rsidRDefault="003B1C16" w:rsidP="002A0D72">
      <w:pPr>
        <w:pStyle w:val="Paragraphe"/>
        <w:widowControl w:val="0"/>
        <w:spacing w:before="240" w:line="280" w:lineRule="exact"/>
        <w:rPr>
          <w:lang w:val="en-CA"/>
        </w:rPr>
      </w:pPr>
      <w:r w:rsidRPr="00AA504E">
        <w:rPr>
          <w:lang w:val="en-CA"/>
        </w:rPr>
        <w:t>The appellant appeals against a Superior Court judgment dismissing its application for recognition and enforcement of a Florida judgment (i) condemning the respondents 8894132 Canada Inc. and 8895791 Canada Inc. to pay it US$4</w:t>
      </w:r>
      <w:r w:rsidR="004F1795">
        <w:rPr>
          <w:lang w:val="en-CA"/>
        </w:rPr>
        <w:t>,</w:t>
      </w:r>
      <w:r w:rsidRPr="00AA504E">
        <w:rPr>
          <w:lang w:val="en-CA"/>
        </w:rPr>
        <w:t>392,640</w:t>
      </w:r>
      <w:r w:rsidR="004F1795">
        <w:rPr>
          <w:lang w:val="en-CA"/>
        </w:rPr>
        <w:t>.24</w:t>
      </w:r>
      <w:r w:rsidRPr="00AA504E">
        <w:rPr>
          <w:lang w:val="en-CA"/>
        </w:rPr>
        <w:t> with interest at a rate of 4.25%</w:t>
      </w:r>
      <w:r w:rsidR="001C21A3" w:rsidRPr="00AA504E">
        <w:rPr>
          <w:lang w:val="en-CA"/>
        </w:rPr>
        <w:t>,</w:t>
      </w:r>
      <w:r w:rsidRPr="00AA504E">
        <w:rPr>
          <w:lang w:val="en-CA"/>
        </w:rPr>
        <w:t xml:space="preserve"> and </w:t>
      </w:r>
      <w:r w:rsidR="004F1795">
        <w:rPr>
          <w:lang w:val="en-CA"/>
        </w:rPr>
        <w:t xml:space="preserve">(ii) </w:t>
      </w:r>
      <w:r w:rsidRPr="00AA504E">
        <w:rPr>
          <w:lang w:val="en-CA"/>
        </w:rPr>
        <w:t>condemning the respondent Apelian to pay it US$1,500,000.</w:t>
      </w:r>
      <w:r w:rsidRPr="00AA504E">
        <w:rPr>
          <w:rStyle w:val="Appelnotedebasdep"/>
          <w:lang w:val="en-CA"/>
        </w:rPr>
        <w:footnoteReference w:id="1"/>
      </w:r>
    </w:p>
    <w:p w14:paraId="18D2001A" w14:textId="77777777" w:rsidR="002A0D72" w:rsidRPr="00AA504E" w:rsidRDefault="003B1C16" w:rsidP="002E7957">
      <w:pPr>
        <w:pStyle w:val="Paragraphe"/>
        <w:widowControl w:val="0"/>
        <w:numPr>
          <w:ilvl w:val="0"/>
          <w:numId w:val="0"/>
        </w:numPr>
        <w:spacing w:before="240" w:line="280" w:lineRule="exact"/>
        <w:rPr>
          <w:b/>
          <w:bCs/>
          <w:u w:val="single"/>
          <w:lang w:val="en-CA"/>
        </w:rPr>
      </w:pPr>
      <w:r w:rsidRPr="00AA504E">
        <w:rPr>
          <w:b/>
          <w:bCs/>
          <w:lang w:val="en-CA"/>
        </w:rPr>
        <w:t>I.</w:t>
      </w:r>
      <w:r w:rsidRPr="00AA504E">
        <w:rPr>
          <w:b/>
          <w:bCs/>
          <w:lang w:val="en-CA"/>
        </w:rPr>
        <w:tab/>
      </w:r>
      <w:r w:rsidRPr="00AA504E">
        <w:rPr>
          <w:b/>
          <w:bCs/>
          <w:u w:val="single"/>
          <w:lang w:val="en-CA"/>
        </w:rPr>
        <w:t>Background</w:t>
      </w:r>
    </w:p>
    <w:p w14:paraId="4B5AA4E9" w14:textId="2A7ACB8A" w:rsidR="002A0D72" w:rsidRPr="00AA504E" w:rsidRDefault="003B1C16" w:rsidP="002A0D72">
      <w:pPr>
        <w:pStyle w:val="Paragraphe"/>
        <w:widowControl w:val="0"/>
        <w:spacing w:line="280" w:lineRule="exact"/>
        <w:rPr>
          <w:lang w:val="en-CA"/>
        </w:rPr>
      </w:pPr>
      <w:r w:rsidRPr="00AA504E">
        <w:rPr>
          <w:lang w:val="en-CA"/>
        </w:rPr>
        <w:t>The dispute arises from a loan in February 2014 from the appellant, a corporation incorporated in the Cayman Islands, to Groupe Merca</w:t>
      </w:r>
      <w:r w:rsidR="004F1795">
        <w:rPr>
          <w:lang w:val="en-CA"/>
        </w:rPr>
        <w:t>t</w:t>
      </w:r>
      <w:r w:rsidRPr="00AA504E">
        <w:rPr>
          <w:lang w:val="en-CA"/>
        </w:rPr>
        <w:t>or Transport US, Inc. (</w:t>
      </w:r>
      <w:r w:rsidR="001C21A3" w:rsidRPr="00AA504E">
        <w:rPr>
          <w:lang w:val="en-CA"/>
        </w:rPr>
        <w:t>“</w:t>
      </w:r>
      <w:r w:rsidRPr="00AA504E">
        <w:rPr>
          <w:lang w:val="en-CA"/>
        </w:rPr>
        <w:t>GMT</w:t>
      </w:r>
      <w:r w:rsidR="001C21A3" w:rsidRPr="00AA504E">
        <w:rPr>
          <w:lang w:val="en-CA"/>
        </w:rPr>
        <w:t>”</w:t>
      </w:r>
      <w:r w:rsidRPr="00AA504E">
        <w:rPr>
          <w:lang w:val="en-CA"/>
        </w:rPr>
        <w:t xml:space="preserve">), </w:t>
      </w:r>
      <w:r w:rsidR="00F712BA">
        <w:rPr>
          <w:lang w:val="en-CA"/>
        </w:rPr>
        <w:t>a US</w:t>
      </w:r>
      <w:r w:rsidRPr="00AA504E">
        <w:rPr>
          <w:lang w:val="en-CA"/>
        </w:rPr>
        <w:t xml:space="preserve"> subsidiary of a Quebec corporation operating in the international transportation and logistics industry. The respondents, who are </w:t>
      </w:r>
      <w:r w:rsidR="004F1795">
        <w:rPr>
          <w:lang w:val="en-CA"/>
        </w:rPr>
        <w:t xml:space="preserve">all </w:t>
      </w:r>
      <w:r w:rsidRPr="00AA504E">
        <w:rPr>
          <w:lang w:val="en-CA"/>
        </w:rPr>
        <w:t xml:space="preserve">domiciled in Quebec, intervened as </w:t>
      </w:r>
      <w:r w:rsidR="00D30BC2" w:rsidRPr="00AA504E">
        <w:rPr>
          <w:lang w:val="en-CA"/>
        </w:rPr>
        <w:t>guarantors</w:t>
      </w:r>
      <w:r w:rsidRPr="00AA504E">
        <w:rPr>
          <w:lang w:val="en-CA"/>
        </w:rPr>
        <w:t xml:space="preserve">, </w:t>
      </w:r>
      <w:r w:rsidR="001C21A3" w:rsidRPr="00AA504E">
        <w:rPr>
          <w:lang w:val="en-CA"/>
        </w:rPr>
        <w:t>however,</w:t>
      </w:r>
      <w:r w:rsidRPr="00AA504E">
        <w:rPr>
          <w:lang w:val="en-CA"/>
        </w:rPr>
        <w:t xml:space="preserve"> Mr. Apelian’s liability was limited to US$1,500,000. The relevant contracts all contained clauses subjecting them to Nevada law.</w:t>
      </w:r>
    </w:p>
    <w:p w14:paraId="6F7552B6" w14:textId="69543B67" w:rsidR="002A0D72" w:rsidRPr="00AA504E" w:rsidRDefault="003B1C16" w:rsidP="002A0D72">
      <w:pPr>
        <w:pStyle w:val="Paragraphe"/>
        <w:widowControl w:val="0"/>
        <w:spacing w:line="280" w:lineRule="exact"/>
        <w:rPr>
          <w:lang w:val="en-CA"/>
        </w:rPr>
      </w:pPr>
      <w:r w:rsidRPr="00AA504E">
        <w:rPr>
          <w:lang w:val="en-CA"/>
        </w:rPr>
        <w:t xml:space="preserve">In June 2017, the appellant instituted an action </w:t>
      </w:r>
      <w:r w:rsidR="001C21A3" w:rsidRPr="00AA504E">
        <w:rPr>
          <w:lang w:val="en-CA"/>
        </w:rPr>
        <w:t xml:space="preserve">in Quebec </w:t>
      </w:r>
      <w:r w:rsidRPr="00AA504E">
        <w:rPr>
          <w:lang w:val="en-CA"/>
        </w:rPr>
        <w:t xml:space="preserve">against the respondents for </w:t>
      </w:r>
      <w:r w:rsidR="004F1795">
        <w:rPr>
          <w:lang w:val="en-CA"/>
        </w:rPr>
        <w:t xml:space="preserve">repayment </w:t>
      </w:r>
      <w:r w:rsidRPr="00AA504E">
        <w:rPr>
          <w:lang w:val="en-CA"/>
        </w:rPr>
        <w:t xml:space="preserve">of the loan. </w:t>
      </w:r>
      <w:r w:rsidR="00D30BC2" w:rsidRPr="00AA504E">
        <w:rPr>
          <w:lang w:val="en-CA"/>
        </w:rPr>
        <w:t>In answer, the respondents argued</w:t>
      </w:r>
      <w:r w:rsidRPr="00AA504E">
        <w:rPr>
          <w:lang w:val="en-CA"/>
        </w:rPr>
        <w:t xml:space="preserve">, first, that the contracts underlying the dispute were null on the grounds of </w:t>
      </w:r>
      <w:r w:rsidR="00D30BC2" w:rsidRPr="00AA504E">
        <w:rPr>
          <w:lang w:val="en-CA"/>
        </w:rPr>
        <w:t>fraud</w:t>
      </w:r>
      <w:r w:rsidRPr="00AA504E">
        <w:rPr>
          <w:lang w:val="en-CA"/>
        </w:rPr>
        <w:t xml:space="preserve">, and, second, that Quebec courts </w:t>
      </w:r>
      <w:r w:rsidR="00F712BA">
        <w:rPr>
          <w:lang w:val="en-CA"/>
        </w:rPr>
        <w:t>lack</w:t>
      </w:r>
      <w:r w:rsidRPr="00AA504E">
        <w:rPr>
          <w:lang w:val="en-CA"/>
        </w:rPr>
        <w:t xml:space="preserve"> jurisdiction </w:t>
      </w:r>
      <w:r w:rsidR="001C21A3" w:rsidRPr="00AA504E">
        <w:rPr>
          <w:lang w:val="en-CA"/>
        </w:rPr>
        <w:t>because</w:t>
      </w:r>
      <w:r w:rsidRPr="00AA504E">
        <w:rPr>
          <w:lang w:val="en-CA"/>
        </w:rPr>
        <w:t xml:space="preserve"> the forum selection clauses in </w:t>
      </w:r>
      <w:r w:rsidR="00D30BC2" w:rsidRPr="00AA504E">
        <w:rPr>
          <w:lang w:val="en-CA"/>
        </w:rPr>
        <w:t xml:space="preserve">those </w:t>
      </w:r>
      <w:r w:rsidRPr="00AA504E">
        <w:rPr>
          <w:lang w:val="en-CA"/>
        </w:rPr>
        <w:t xml:space="preserve">contracts </w:t>
      </w:r>
      <w:r w:rsidR="00D30BC2" w:rsidRPr="00AA504E">
        <w:rPr>
          <w:lang w:val="en-CA"/>
        </w:rPr>
        <w:t>conferr</w:t>
      </w:r>
      <w:r w:rsidR="001C21A3" w:rsidRPr="00AA504E">
        <w:rPr>
          <w:lang w:val="en-CA"/>
        </w:rPr>
        <w:t>ed</w:t>
      </w:r>
      <w:r w:rsidRPr="00AA504E">
        <w:rPr>
          <w:lang w:val="en-CA"/>
        </w:rPr>
        <w:t xml:space="preserve"> exclusive jurisdiction to </w:t>
      </w:r>
      <w:r w:rsidR="001C21A3" w:rsidRPr="00AA504E">
        <w:rPr>
          <w:lang w:val="en-CA"/>
        </w:rPr>
        <w:t xml:space="preserve">the courts </w:t>
      </w:r>
      <w:r w:rsidR="00091533">
        <w:rPr>
          <w:lang w:val="en-CA"/>
        </w:rPr>
        <w:t xml:space="preserve">in </w:t>
      </w:r>
      <w:r w:rsidRPr="00AA504E">
        <w:rPr>
          <w:lang w:val="en-CA"/>
        </w:rPr>
        <w:t xml:space="preserve">Florida. On this last point, the appellant </w:t>
      </w:r>
      <w:r w:rsidR="001C21A3" w:rsidRPr="00AA504E">
        <w:rPr>
          <w:lang w:val="en-CA"/>
        </w:rPr>
        <w:t>countered</w:t>
      </w:r>
      <w:r w:rsidRPr="00AA504E">
        <w:rPr>
          <w:lang w:val="en-CA"/>
        </w:rPr>
        <w:t xml:space="preserve"> that the clauses </w:t>
      </w:r>
      <w:r w:rsidR="00D30BC2" w:rsidRPr="00AA504E">
        <w:rPr>
          <w:lang w:val="en-CA"/>
        </w:rPr>
        <w:t xml:space="preserve">could not apply </w:t>
      </w:r>
      <w:r w:rsidRPr="00AA504E">
        <w:rPr>
          <w:lang w:val="en-CA"/>
        </w:rPr>
        <w:t xml:space="preserve">given the debate surrounding the validity of the contracts </w:t>
      </w:r>
      <w:r w:rsidR="00091533">
        <w:rPr>
          <w:lang w:val="en-CA"/>
        </w:rPr>
        <w:t xml:space="preserve">in which they were </w:t>
      </w:r>
      <w:r w:rsidR="00D30BC2" w:rsidRPr="00AA504E">
        <w:rPr>
          <w:lang w:val="en-CA"/>
        </w:rPr>
        <w:t>contain</w:t>
      </w:r>
      <w:r w:rsidR="00091533">
        <w:rPr>
          <w:lang w:val="en-CA"/>
        </w:rPr>
        <w:t>ed</w:t>
      </w:r>
      <w:r w:rsidRPr="00AA504E">
        <w:rPr>
          <w:lang w:val="en-CA"/>
        </w:rPr>
        <w:t>. The argument did not convince the Superior Court w</w:t>
      </w:r>
      <w:r w:rsidR="00D30BC2" w:rsidRPr="00AA504E">
        <w:rPr>
          <w:lang w:val="en-CA"/>
        </w:rPr>
        <w:t>h</w:t>
      </w:r>
      <w:r w:rsidR="001C21A3" w:rsidRPr="00AA504E">
        <w:rPr>
          <w:lang w:val="en-CA"/>
        </w:rPr>
        <w:t>ich,</w:t>
      </w:r>
      <w:r w:rsidR="00D30BC2" w:rsidRPr="00AA504E">
        <w:rPr>
          <w:lang w:val="en-CA"/>
        </w:rPr>
        <w:t xml:space="preserve"> </w:t>
      </w:r>
      <w:r w:rsidR="001C21A3" w:rsidRPr="00AA504E">
        <w:rPr>
          <w:lang w:val="en-CA"/>
        </w:rPr>
        <w:t xml:space="preserve">in September 2017, </w:t>
      </w:r>
      <w:r w:rsidRPr="00AA504E">
        <w:rPr>
          <w:lang w:val="en-CA"/>
        </w:rPr>
        <w:t>granted the respondents’ declinatory exception.</w:t>
      </w:r>
      <w:r w:rsidRPr="00AA504E">
        <w:rPr>
          <w:rFonts w:cs="Arial"/>
          <w:szCs w:val="24"/>
          <w:vertAlign w:val="superscript"/>
          <w:lang w:val="en-CA"/>
        </w:rPr>
        <w:footnoteReference w:id="2"/>
      </w:r>
      <w:r w:rsidRPr="00AA504E">
        <w:rPr>
          <w:lang w:val="en-CA"/>
        </w:rPr>
        <w:t xml:space="preserve"> In July 2018, that judgment was upheld on appeal.</w:t>
      </w:r>
      <w:r w:rsidRPr="00AA504E">
        <w:rPr>
          <w:rFonts w:cs="Arial"/>
          <w:szCs w:val="24"/>
          <w:vertAlign w:val="superscript"/>
          <w:lang w:val="en-CA"/>
        </w:rPr>
        <w:footnoteReference w:id="3"/>
      </w:r>
    </w:p>
    <w:p w14:paraId="02F308AE" w14:textId="31F057BA" w:rsidR="002A0D72" w:rsidRPr="00AA504E" w:rsidRDefault="003B1C16" w:rsidP="002A0D72">
      <w:pPr>
        <w:pStyle w:val="Paragraphe"/>
        <w:widowControl w:val="0"/>
        <w:spacing w:line="280" w:lineRule="exact"/>
        <w:rPr>
          <w:sz w:val="22"/>
          <w:szCs w:val="22"/>
          <w:lang w:val="en-CA"/>
        </w:rPr>
      </w:pPr>
      <w:r w:rsidRPr="00AA504E">
        <w:rPr>
          <w:lang w:val="en-CA"/>
        </w:rPr>
        <w:t xml:space="preserve">In January 2019, the appellant instituted an action </w:t>
      </w:r>
      <w:r w:rsidR="00091533" w:rsidRPr="00AA504E">
        <w:rPr>
          <w:lang w:val="en-CA"/>
        </w:rPr>
        <w:t xml:space="preserve">in Florida </w:t>
      </w:r>
      <w:r w:rsidRPr="00AA504E">
        <w:rPr>
          <w:lang w:val="en-CA"/>
        </w:rPr>
        <w:t xml:space="preserve">against GMT and the respondents for </w:t>
      </w:r>
      <w:r w:rsidR="00091533">
        <w:rPr>
          <w:lang w:val="en-CA"/>
        </w:rPr>
        <w:t xml:space="preserve">repayment </w:t>
      </w:r>
      <w:r w:rsidRPr="00AA504E">
        <w:rPr>
          <w:lang w:val="en-CA"/>
        </w:rPr>
        <w:t xml:space="preserve">of the loan. They responded </w:t>
      </w:r>
      <w:r w:rsidR="001C21A3" w:rsidRPr="00AA504E">
        <w:rPr>
          <w:lang w:val="en-CA"/>
        </w:rPr>
        <w:t>with a</w:t>
      </w:r>
      <w:r w:rsidRPr="00AA504E">
        <w:rPr>
          <w:lang w:val="en-CA"/>
        </w:rPr>
        <w:t xml:space="preserve"> written defence and fil</w:t>
      </w:r>
      <w:r w:rsidR="001C21A3" w:rsidRPr="00AA504E">
        <w:rPr>
          <w:lang w:val="en-CA"/>
        </w:rPr>
        <w:t>ed</w:t>
      </w:r>
      <w:r w:rsidRPr="00AA504E">
        <w:rPr>
          <w:lang w:val="en-CA"/>
        </w:rPr>
        <w:t xml:space="preserve"> a cross-application. Among other things, the respondents argue</w:t>
      </w:r>
      <w:r w:rsidR="001C21A3" w:rsidRPr="00AA504E">
        <w:rPr>
          <w:lang w:val="en-CA"/>
        </w:rPr>
        <w:t>d</w:t>
      </w:r>
      <w:r w:rsidRPr="00AA504E">
        <w:rPr>
          <w:lang w:val="en-CA"/>
        </w:rPr>
        <w:t xml:space="preserve"> that their consent to the </w:t>
      </w:r>
      <w:r w:rsidR="001C21A3" w:rsidRPr="00AA504E">
        <w:rPr>
          <w:lang w:val="en-CA"/>
        </w:rPr>
        <w:t>guarantee agreement</w:t>
      </w:r>
      <w:r w:rsidR="00091533">
        <w:rPr>
          <w:lang w:val="en-CA"/>
        </w:rPr>
        <w:t>s</w:t>
      </w:r>
      <w:r w:rsidRPr="00AA504E">
        <w:rPr>
          <w:lang w:val="en-CA"/>
        </w:rPr>
        <w:t xml:space="preserve"> was vitiated by the appellant’s fraudulent misrepresentation</w:t>
      </w:r>
      <w:r w:rsidR="00B35ECB" w:rsidRPr="00AA504E">
        <w:rPr>
          <w:lang w:val="en-CA"/>
        </w:rPr>
        <w:t>s</w:t>
      </w:r>
      <w:r w:rsidRPr="00AA504E">
        <w:rPr>
          <w:lang w:val="en-CA"/>
        </w:rPr>
        <w:t>. The appellant replied by seeking the summary dismissal of the defence and the cross-application.</w:t>
      </w:r>
    </w:p>
    <w:p w14:paraId="40A0B8BA" w14:textId="331A390E" w:rsidR="002A0D72" w:rsidRPr="00AA504E" w:rsidRDefault="003B1C16" w:rsidP="002A0D72">
      <w:pPr>
        <w:pStyle w:val="Paragraphe"/>
        <w:widowControl w:val="0"/>
        <w:spacing w:line="280" w:lineRule="exact"/>
        <w:rPr>
          <w:sz w:val="22"/>
          <w:szCs w:val="22"/>
          <w:lang w:val="en-CA"/>
        </w:rPr>
      </w:pPr>
      <w:r w:rsidRPr="00AA504E">
        <w:rPr>
          <w:lang w:val="en-CA"/>
        </w:rPr>
        <w:t xml:space="preserve">On January 5, 2021, a Florida court agreed with the appellant. In doing so, </w:t>
      </w:r>
      <w:r w:rsidR="001C21A3" w:rsidRPr="00AA504E">
        <w:rPr>
          <w:lang w:val="en-CA"/>
        </w:rPr>
        <w:t>it dismissed</w:t>
      </w:r>
      <w:r w:rsidRPr="00AA504E">
        <w:rPr>
          <w:lang w:val="en-CA"/>
        </w:rPr>
        <w:t xml:space="preserve"> the defence </w:t>
      </w:r>
      <w:r w:rsidR="00D30BC2" w:rsidRPr="00AA504E">
        <w:rPr>
          <w:lang w:val="en-CA"/>
        </w:rPr>
        <w:t>based on fraud</w:t>
      </w:r>
      <w:r w:rsidRPr="00AA504E">
        <w:rPr>
          <w:lang w:val="en-CA"/>
        </w:rPr>
        <w:t xml:space="preserve"> insisting on the fact that </w:t>
      </w:r>
      <w:r w:rsidR="001C21A3" w:rsidRPr="00AA504E">
        <w:rPr>
          <w:lang w:val="en-CA"/>
        </w:rPr>
        <w:t xml:space="preserve">the respondents had validly waived </w:t>
      </w:r>
      <w:r w:rsidR="001C21A3" w:rsidRPr="00AA504E">
        <w:rPr>
          <w:lang w:val="en-CA"/>
        </w:rPr>
        <w:lastRenderedPageBreak/>
        <w:t xml:space="preserve">that ground in </w:t>
      </w:r>
      <w:r w:rsidRPr="00AA504E">
        <w:rPr>
          <w:lang w:val="en-CA"/>
        </w:rPr>
        <w:t>the waiver clauses in</w:t>
      </w:r>
      <w:r w:rsidR="001C21A3" w:rsidRPr="00AA504E">
        <w:rPr>
          <w:lang w:val="en-CA"/>
        </w:rPr>
        <w:t>cluded in</w:t>
      </w:r>
      <w:r w:rsidRPr="00AA504E">
        <w:rPr>
          <w:lang w:val="en-CA"/>
        </w:rPr>
        <w:t xml:space="preserve"> the contracts </w:t>
      </w:r>
      <w:r w:rsidR="000729FB">
        <w:rPr>
          <w:lang w:val="en-CA"/>
        </w:rPr>
        <w:t>entered into</w:t>
      </w:r>
      <w:r w:rsidRPr="00AA504E">
        <w:rPr>
          <w:lang w:val="en-CA"/>
        </w:rPr>
        <w:t xml:space="preserve"> in 2014</w:t>
      </w:r>
      <w:r w:rsidR="001C21A3" w:rsidRPr="00AA504E">
        <w:rPr>
          <w:lang w:val="en-CA"/>
        </w:rPr>
        <w:t xml:space="preserve">. </w:t>
      </w:r>
      <w:r w:rsidRPr="00AA504E">
        <w:rPr>
          <w:lang w:val="en-CA"/>
        </w:rPr>
        <w:t xml:space="preserve">The clauses at issue, of which the first two </w:t>
      </w:r>
      <w:r w:rsidR="00091533">
        <w:rPr>
          <w:lang w:val="en-CA"/>
        </w:rPr>
        <w:t xml:space="preserve">appeared </w:t>
      </w:r>
      <w:r w:rsidRPr="00AA504E">
        <w:rPr>
          <w:lang w:val="en-CA"/>
        </w:rPr>
        <w:t xml:space="preserve">in the loan </w:t>
      </w:r>
      <w:r w:rsidR="004A50A5">
        <w:rPr>
          <w:lang w:val="en-CA"/>
        </w:rPr>
        <w:t>agreement</w:t>
      </w:r>
      <w:r w:rsidR="004A50A5" w:rsidRPr="00AA504E">
        <w:rPr>
          <w:lang w:val="en-CA"/>
        </w:rPr>
        <w:t xml:space="preserve"> </w:t>
      </w:r>
      <w:r w:rsidRPr="00AA504E">
        <w:rPr>
          <w:lang w:val="en-CA"/>
        </w:rPr>
        <w:t xml:space="preserve">and the third in the </w:t>
      </w:r>
      <w:r w:rsidR="001C21A3" w:rsidRPr="00AA504E">
        <w:rPr>
          <w:lang w:val="en-CA"/>
        </w:rPr>
        <w:t>guarantee agreements</w:t>
      </w:r>
      <w:r w:rsidRPr="00AA504E">
        <w:rPr>
          <w:lang w:val="en-CA"/>
        </w:rPr>
        <w:t xml:space="preserve">, </w:t>
      </w:r>
      <w:r w:rsidR="001C21A3" w:rsidRPr="00AA504E">
        <w:rPr>
          <w:lang w:val="en-CA"/>
        </w:rPr>
        <w:t xml:space="preserve">read </w:t>
      </w:r>
      <w:r w:rsidRPr="00AA504E">
        <w:rPr>
          <w:lang w:val="en-CA"/>
        </w:rPr>
        <w:t>as follows:</w:t>
      </w:r>
    </w:p>
    <w:p w14:paraId="70DB9648" w14:textId="77777777" w:rsidR="002A0D72" w:rsidRPr="00AA504E" w:rsidRDefault="003B1C16" w:rsidP="002A0D72">
      <w:pPr>
        <w:pStyle w:val="Citationenretrait"/>
        <w:rPr>
          <w:lang w:val="en-CA"/>
        </w:rPr>
      </w:pPr>
      <w:r w:rsidRPr="00AA504E">
        <w:rPr>
          <w:lang w:val="en-CA"/>
        </w:rPr>
        <w:t xml:space="preserve">13.4 </w:t>
      </w:r>
      <w:r w:rsidRPr="00AA504E">
        <w:rPr>
          <w:u w:val="single"/>
          <w:lang w:val="en-CA"/>
        </w:rPr>
        <w:t>WAIVER OF DEFENSES</w:t>
      </w:r>
      <w:r w:rsidRPr="00AA504E">
        <w:rPr>
          <w:lang w:val="en-CA"/>
        </w:rPr>
        <w:t>. THE CREDIT PARTIES AND THE INDIVIDUAL GUARANTORS WAIVE EVERY PRESENT AND FUTURE DEFENSE, CAUSE OF ACTION, COUNTERCLAIM OR SETOFF WHICH THE CREDIT PARTIES OR THE INDIVIDUAL GUARANTOR[S] MAY HAVE AS OF THE CLOSING DATE TO ANY ACTION BY LENDER IN ENFORCING THIS AGREEMENT AND THE OTHER LOAN DOCUMENTS. THE CREDIT PARTIES AND THE INDIVIDUAL GUARANTORS WAIVE ANY IMPLIED COVENANT OF GOOD FAITH AND RATIFY AND CONFIRM WHATEVER LENDER MAY DO PURSUANT TO THE TERMS OF THIS AGREEMENT AND THE OTHER LOAN DOCUMENTS AS THE CLOSING DATE. THIS PROVISION IS A MATERIAL INDUCEMENT FOR LENDER GRANTING ANY FINANCIAL ACCOMMODATION TO BORROWER.</w:t>
      </w:r>
    </w:p>
    <w:p w14:paraId="3321296A" w14:textId="77777777" w:rsidR="002A0D72" w:rsidRPr="00AA504E" w:rsidRDefault="003B1C16" w:rsidP="002A0D72">
      <w:pPr>
        <w:pStyle w:val="Citationenretrait"/>
        <w:rPr>
          <w:lang w:val="en-CA"/>
        </w:rPr>
      </w:pPr>
      <w:r w:rsidRPr="00AA504E">
        <w:rPr>
          <w:lang w:val="en-CA"/>
        </w:rPr>
        <w:t xml:space="preserve">13.21 </w:t>
      </w:r>
      <w:r w:rsidRPr="00AA504E">
        <w:rPr>
          <w:u w:val="single"/>
          <w:lang w:val="en-CA"/>
        </w:rPr>
        <w:t>Release</w:t>
      </w:r>
      <w:r w:rsidRPr="00AA504E">
        <w:rPr>
          <w:lang w:val="en-CA"/>
        </w:rPr>
        <w:t>. In consideration of the mutual promises and covenants made herein, and other good and valuable consideration, the receipt and sufficiency of which is hereby acknowledged, and intending to be legally bound hereby, the Credit Parties and the Individual Guarantors hereby agree to fully, finally and forever release and forever discharge and covenant not to sue Lender and/or and its parent companies, subsidiaries, affiliates, divisions and their respective attorneys, officers, directors, agents, shareholders, members, employees, predecessors, successors, assigns, personal representatives, partners, heirs and executors from any and all debts, fees, attorneys’ fees, liens, costs, expenses, damages, sums of money, accounts, bonds, bills, covenants, promises, judgments, charges, demands, claims, causes of action, suits, liabilities, expenses, obligations or contracts of any kind whatsoever, whether in law or in equity, whether asserted or unasserted, whether known or unknown, fixed or contingent, under statute or otherwise, from the beginning of time through the Closing Date, including, without limiting the generality of the foregoing, any and all claims relating to or arising out of any financing transactions, credit facilities, debentures, security agreements, and other agreements including, without limitation, each of the Loan Documents, entered into by the Credit Parties and the Individual Guarantors with Lender and any and all claims that the Credit Parties and the Individual Guarantors does not know or suspect to exist, whether through ignorance, oversight, error, negligence, or otherwise, and which, if known, would materially affect their decision to enter into this Agreement or the related Loan Documents.</w:t>
      </w:r>
    </w:p>
    <w:p w14:paraId="1A3E98A8" w14:textId="77777777" w:rsidR="002A0D72" w:rsidRPr="00AA504E" w:rsidRDefault="003B1C16" w:rsidP="002A0D72">
      <w:pPr>
        <w:pStyle w:val="Citationenretrait"/>
        <w:rPr>
          <w:lang w:val="en-CA"/>
        </w:rPr>
      </w:pPr>
      <w:r w:rsidRPr="00AA504E">
        <w:rPr>
          <w:lang w:val="en-CA"/>
        </w:rPr>
        <w:t xml:space="preserve">[…] </w:t>
      </w:r>
      <w:r w:rsidRPr="00AA504E">
        <w:rPr>
          <w:u w:val="single"/>
          <w:lang w:val="en-CA"/>
        </w:rPr>
        <w:t>Waiver</w:t>
      </w:r>
      <w:r w:rsidRPr="00AA504E">
        <w:rPr>
          <w:lang w:val="en-CA"/>
        </w:rPr>
        <w:t xml:space="preserve">. Except as otherwise provided herein or in any of the Loan Documents, Guarantor waives notice of acceptance of this Guaranty and notice of the Liabilities and waives notice of default, non-payment, partial payment, presentment, demand, protest, notice of protest or dishonor, and all other notices to which </w:t>
      </w:r>
      <w:r w:rsidRPr="00AA504E">
        <w:rPr>
          <w:lang w:val="en-CA"/>
        </w:rPr>
        <w:lastRenderedPageBreak/>
        <w:t>Guarantor might otherwise be entitled or which might be required by law to be given by Lender. Guarantor waives the right to any stay of execution and the benefit of all exemption laws, to the extent permitted by law, and any other protection granted by law to guarantors, now or hereafter in effect with respect to any action or proceeding brought by Lender against it. Guarantor may have at any time against Borrower or any other party liable to Lender.</w:t>
      </w:r>
    </w:p>
    <w:p w14:paraId="58BA7F80" w14:textId="0F8F7F8E" w:rsidR="00AC1261" w:rsidRPr="00AA504E" w:rsidRDefault="003B1C16" w:rsidP="00AC1261">
      <w:pPr>
        <w:pStyle w:val="Citationenretrait"/>
        <w:jc w:val="right"/>
        <w:rPr>
          <w:lang w:val="en-CA"/>
        </w:rPr>
      </w:pPr>
      <w:r w:rsidRPr="00AA504E">
        <w:rPr>
          <w:lang w:val="en-CA"/>
        </w:rPr>
        <w:t>[Capital letters and underlining in original</w:t>
      </w:r>
      <w:r w:rsidR="00D9200C" w:rsidRPr="00AA504E">
        <w:rPr>
          <w:lang w:val="en-CA"/>
        </w:rPr>
        <w:t>; v</w:t>
      </w:r>
      <w:r w:rsidRPr="00AA504E">
        <w:rPr>
          <w:lang w:val="en-CA"/>
        </w:rPr>
        <w:t>erbatim transcript</w:t>
      </w:r>
      <w:r w:rsidR="00D9200C" w:rsidRPr="00AA504E">
        <w:rPr>
          <w:lang w:val="en-CA"/>
        </w:rPr>
        <w:t>.</w:t>
      </w:r>
      <w:r w:rsidRPr="00AA504E">
        <w:rPr>
          <w:lang w:val="en-CA"/>
        </w:rPr>
        <w:t>]</w:t>
      </w:r>
    </w:p>
    <w:p w14:paraId="6E733401" w14:textId="4EF69B64" w:rsidR="002A0D72" w:rsidRPr="00AA504E" w:rsidRDefault="003B1C16" w:rsidP="00343E22">
      <w:pPr>
        <w:pStyle w:val="Paragraphe"/>
        <w:widowControl w:val="0"/>
        <w:spacing w:before="240" w:line="280" w:lineRule="exact"/>
        <w:rPr>
          <w:lang w:val="en-CA"/>
        </w:rPr>
      </w:pPr>
      <w:r w:rsidRPr="00AA504E">
        <w:rPr>
          <w:lang w:val="en-CA"/>
        </w:rPr>
        <w:t>Respondent Apelian reacted by applying for the review of the judgment dated January 5, 2021. That application was dismissed on May 2, 2021.</w:t>
      </w:r>
    </w:p>
    <w:p w14:paraId="549EF56F" w14:textId="11649755" w:rsidR="002A0D72" w:rsidRPr="00AA504E" w:rsidRDefault="003B1C16" w:rsidP="002A0D72">
      <w:pPr>
        <w:pStyle w:val="Paragraphe"/>
        <w:widowControl w:val="0"/>
        <w:spacing w:line="280" w:lineRule="exact"/>
        <w:rPr>
          <w:lang w:val="en-CA"/>
        </w:rPr>
      </w:pPr>
      <w:r w:rsidRPr="00AA504E">
        <w:rPr>
          <w:lang w:val="en-CA"/>
        </w:rPr>
        <w:t>The proceeding continued and the Florida court rendered two more judgments. The first, dated September 10, 2021, established the appellant’s right to re</w:t>
      </w:r>
      <w:r w:rsidR="00C50142">
        <w:rPr>
          <w:lang w:val="en-CA"/>
        </w:rPr>
        <w:t>payment</w:t>
      </w:r>
      <w:r w:rsidRPr="00AA504E">
        <w:rPr>
          <w:lang w:val="en-CA"/>
        </w:rPr>
        <w:t>. The second, rendered on October 19, 2021, specified the amounts to be paid by the respondents.</w:t>
      </w:r>
    </w:p>
    <w:p w14:paraId="713A92E4" w14:textId="74FBFAC4" w:rsidR="002A0D72" w:rsidRPr="00AA504E" w:rsidRDefault="003B1C16" w:rsidP="002A0D72">
      <w:pPr>
        <w:pStyle w:val="Paragraphe"/>
        <w:widowControl w:val="0"/>
        <w:spacing w:line="280" w:lineRule="exact"/>
        <w:rPr>
          <w:lang w:val="en-CA"/>
        </w:rPr>
      </w:pPr>
      <w:r w:rsidRPr="00AA504E">
        <w:rPr>
          <w:lang w:val="en-CA"/>
        </w:rPr>
        <w:t xml:space="preserve">The respondents appealed a few weeks later. The appeal was dismissed on December 29, 2022, and </w:t>
      </w:r>
      <w:r w:rsidR="00B35ECB" w:rsidRPr="00AA504E">
        <w:rPr>
          <w:lang w:val="en-CA"/>
        </w:rPr>
        <w:t xml:space="preserve">on February 10, 2023, </w:t>
      </w:r>
      <w:r w:rsidRPr="00AA504E">
        <w:rPr>
          <w:lang w:val="en-CA"/>
        </w:rPr>
        <w:t>the judgment dated October 19, 2021, became final.</w:t>
      </w:r>
    </w:p>
    <w:p w14:paraId="6F22206C" w14:textId="522808CB" w:rsidR="002A0D72" w:rsidRPr="00AA504E" w:rsidRDefault="003B1C16" w:rsidP="002A0D72">
      <w:pPr>
        <w:pStyle w:val="Paragraphe"/>
        <w:widowControl w:val="0"/>
        <w:spacing w:line="280" w:lineRule="exact"/>
        <w:rPr>
          <w:lang w:val="en-CA"/>
        </w:rPr>
      </w:pPr>
      <w:r w:rsidRPr="00AA504E">
        <w:rPr>
          <w:lang w:val="en-CA"/>
        </w:rPr>
        <w:t xml:space="preserve">In March 2023, the appellant filed its application </w:t>
      </w:r>
      <w:r w:rsidR="00C50142" w:rsidRPr="00AA504E">
        <w:rPr>
          <w:lang w:val="en-CA"/>
        </w:rPr>
        <w:t xml:space="preserve">in Superior Court </w:t>
      </w:r>
      <w:r w:rsidRPr="00AA504E">
        <w:rPr>
          <w:lang w:val="en-CA"/>
        </w:rPr>
        <w:t>for recognition and enforcement of the judgment dated October 19, 2021.</w:t>
      </w:r>
    </w:p>
    <w:p w14:paraId="0B42C925" w14:textId="12DFC517" w:rsidR="002A0D72" w:rsidRPr="00AA504E" w:rsidRDefault="003B1C16" w:rsidP="00F24818">
      <w:pPr>
        <w:pStyle w:val="Paragraphe"/>
        <w:widowControl w:val="0"/>
        <w:spacing w:line="280" w:lineRule="exact"/>
        <w:rPr>
          <w:b/>
          <w:bCs/>
          <w:lang w:val="en-CA"/>
        </w:rPr>
      </w:pPr>
      <w:r w:rsidRPr="00AA504E">
        <w:rPr>
          <w:lang w:val="en-CA"/>
        </w:rPr>
        <w:t xml:space="preserve">Mr. Apelian, the only respondent who participated in the </w:t>
      </w:r>
      <w:r w:rsidR="00D30BC2" w:rsidRPr="00AA504E">
        <w:rPr>
          <w:lang w:val="en-CA"/>
        </w:rPr>
        <w:t>proceedings</w:t>
      </w:r>
      <w:r w:rsidRPr="00AA504E">
        <w:rPr>
          <w:lang w:val="en-CA"/>
        </w:rPr>
        <w:t>, contested that application on the ground that the waiver clauses on which the Florida court relied were [</w:t>
      </w:r>
      <w:r w:rsidRPr="00AA504E">
        <w:rPr>
          <w:smallCaps/>
          <w:lang w:val="en-CA"/>
        </w:rPr>
        <w:t>translation</w:t>
      </w:r>
      <w:r w:rsidRPr="00AA504E">
        <w:rPr>
          <w:lang w:val="en-CA"/>
        </w:rPr>
        <w:t>] “contrary to public order in Quebec”</w:t>
      </w:r>
      <w:r w:rsidRPr="00AA504E">
        <w:rPr>
          <w:rFonts w:cs="Arial"/>
          <w:szCs w:val="24"/>
          <w:vertAlign w:val="superscript"/>
          <w:lang w:val="en-CA"/>
        </w:rPr>
        <w:footnoteReference w:id="4"/>
      </w:r>
      <w:r w:rsidRPr="00AA504E">
        <w:rPr>
          <w:lang w:val="en-CA"/>
        </w:rPr>
        <w:t xml:space="preserve"> in that they </w:t>
      </w:r>
      <w:r w:rsidR="005E7F51" w:rsidRPr="00AA504E">
        <w:rPr>
          <w:lang w:val="en-CA"/>
        </w:rPr>
        <w:t>[</w:t>
      </w:r>
      <w:r w:rsidR="005E7F51" w:rsidRPr="00AA504E">
        <w:rPr>
          <w:smallCaps/>
          <w:lang w:val="en-CA"/>
        </w:rPr>
        <w:t>translation</w:t>
      </w:r>
      <w:r w:rsidR="005E7F51" w:rsidRPr="00AA504E">
        <w:rPr>
          <w:lang w:val="en-CA"/>
        </w:rPr>
        <w:t>]</w:t>
      </w:r>
      <w:r w:rsidR="005E7F51">
        <w:rPr>
          <w:lang w:val="en-CA"/>
        </w:rPr>
        <w:t xml:space="preserve">  </w:t>
      </w:r>
      <w:r w:rsidR="00C50142">
        <w:rPr>
          <w:lang w:val="en-CA"/>
        </w:rPr>
        <w:t>“</w:t>
      </w:r>
      <w:r w:rsidRPr="00AA504E">
        <w:rPr>
          <w:lang w:val="en-CA"/>
        </w:rPr>
        <w:t xml:space="preserve">deprived, in advance, a contracting party of all their rights under the </w:t>
      </w:r>
      <w:r w:rsidRPr="00AA504E">
        <w:rPr>
          <w:i/>
          <w:lang w:val="en-CA"/>
        </w:rPr>
        <w:t>Civil Code of Québec</w:t>
      </w:r>
      <w:r w:rsidRPr="00AA504E">
        <w:rPr>
          <w:lang w:val="en-CA"/>
        </w:rPr>
        <w:t xml:space="preserve">, Quebec statutory law, and the </w:t>
      </w:r>
      <w:r w:rsidRPr="00AA504E">
        <w:rPr>
          <w:i/>
          <w:lang w:val="en-CA"/>
        </w:rPr>
        <w:t>Charter of human rights and freedoms</w:t>
      </w:r>
      <w:r w:rsidRPr="00F643E8">
        <w:rPr>
          <w:iCs/>
          <w:lang w:val="en-CA"/>
        </w:rPr>
        <w:t>”</w:t>
      </w:r>
      <w:r w:rsidRPr="00AA504E">
        <w:rPr>
          <w:lang w:val="en-CA"/>
        </w:rPr>
        <w:t>.</w:t>
      </w:r>
      <w:r w:rsidRPr="00AA504E">
        <w:rPr>
          <w:rFonts w:cs="Arial"/>
          <w:szCs w:val="24"/>
          <w:vertAlign w:val="superscript"/>
          <w:lang w:val="en-CA"/>
        </w:rPr>
        <w:footnoteReference w:id="5"/>
      </w:r>
      <w:r w:rsidRPr="00AA504E">
        <w:rPr>
          <w:lang w:val="en-CA"/>
        </w:rPr>
        <w:t xml:space="preserve"> Mr. Apelian also allege</w:t>
      </w:r>
      <w:r w:rsidR="00F643E8">
        <w:rPr>
          <w:lang w:val="en-CA"/>
        </w:rPr>
        <w:t>d</w:t>
      </w:r>
      <w:r w:rsidRPr="00AA504E">
        <w:rPr>
          <w:lang w:val="en-CA"/>
        </w:rPr>
        <w:t xml:space="preserve"> that the clauses exclude </w:t>
      </w:r>
      <w:r w:rsidR="005E7F51">
        <w:rPr>
          <w:lang w:val="en-CA"/>
        </w:rPr>
        <w:t>in advance</w:t>
      </w:r>
      <w:r w:rsidRPr="00AA504E">
        <w:rPr>
          <w:lang w:val="en-CA"/>
        </w:rPr>
        <w:t>, and for the future, the duty to act in good faith and any cause of action, including those related to fraud.</w:t>
      </w:r>
      <w:r w:rsidRPr="00AA504E">
        <w:rPr>
          <w:rFonts w:cs="Arial"/>
          <w:szCs w:val="24"/>
          <w:vertAlign w:val="superscript"/>
          <w:lang w:val="en-CA"/>
        </w:rPr>
        <w:footnoteReference w:id="6"/>
      </w:r>
      <w:r w:rsidRPr="00AA504E">
        <w:rPr>
          <w:lang w:val="en-CA"/>
        </w:rPr>
        <w:t xml:space="preserve"> </w:t>
      </w:r>
      <w:r w:rsidR="001C21A3" w:rsidRPr="00AA504E">
        <w:rPr>
          <w:lang w:val="en-CA"/>
        </w:rPr>
        <w:t>He therefore considered</w:t>
      </w:r>
      <w:r w:rsidRPr="00AA504E">
        <w:rPr>
          <w:lang w:val="en-CA"/>
        </w:rPr>
        <w:t xml:space="preserve"> those provisions [</w:t>
      </w:r>
      <w:r w:rsidRPr="00AA504E">
        <w:rPr>
          <w:smallCaps/>
          <w:lang w:val="en-CA"/>
        </w:rPr>
        <w:t>translation</w:t>
      </w:r>
      <w:r w:rsidRPr="00AA504E">
        <w:rPr>
          <w:lang w:val="en-CA"/>
        </w:rPr>
        <w:t>] “contrary to the legal and philosophical foundations of Quebec civil law, and therefore contrary to public order”.</w:t>
      </w:r>
      <w:r w:rsidRPr="00AA504E">
        <w:rPr>
          <w:rFonts w:cs="Arial"/>
          <w:szCs w:val="24"/>
          <w:vertAlign w:val="superscript"/>
          <w:lang w:val="en-CA"/>
        </w:rPr>
        <w:footnoteReference w:id="7"/>
      </w:r>
      <w:r w:rsidRPr="00AA504E">
        <w:rPr>
          <w:lang w:val="en-CA"/>
        </w:rPr>
        <w:t xml:space="preserve"> He </w:t>
      </w:r>
      <w:r w:rsidR="00F643E8">
        <w:rPr>
          <w:lang w:val="en-CA"/>
        </w:rPr>
        <w:t xml:space="preserve">was </w:t>
      </w:r>
      <w:r w:rsidRPr="00AA504E">
        <w:rPr>
          <w:lang w:val="en-CA"/>
        </w:rPr>
        <w:t>of the view that</w:t>
      </w:r>
      <w:r w:rsidR="005E7F51">
        <w:rPr>
          <w:lang w:val="en-CA"/>
        </w:rPr>
        <w:t>,</w:t>
      </w:r>
      <w:r w:rsidRPr="00AA504E">
        <w:rPr>
          <w:lang w:val="en-CA"/>
        </w:rPr>
        <w:t xml:space="preserve"> </w:t>
      </w:r>
      <w:r w:rsidR="00D30BC2" w:rsidRPr="00AA504E">
        <w:rPr>
          <w:lang w:val="en-CA"/>
        </w:rPr>
        <w:t xml:space="preserve">pursuant to art. 3155(3) and (5) </w:t>
      </w:r>
      <w:r w:rsidR="001C21A3" w:rsidRPr="00AA504E">
        <w:rPr>
          <w:iCs/>
          <w:lang w:val="en-CA"/>
        </w:rPr>
        <w:t>CCQ</w:t>
      </w:r>
      <w:r w:rsidR="005E7F51">
        <w:rPr>
          <w:iCs/>
          <w:lang w:val="en-CA"/>
        </w:rPr>
        <w:t>,</w:t>
      </w:r>
      <w:r w:rsidR="00D30BC2" w:rsidRPr="00AA504E">
        <w:rPr>
          <w:i/>
          <w:lang w:val="en-CA"/>
        </w:rPr>
        <w:t xml:space="preserve"> </w:t>
      </w:r>
      <w:r w:rsidR="00D30BC2" w:rsidRPr="00AA504E">
        <w:rPr>
          <w:iCs/>
          <w:lang w:val="en-CA"/>
        </w:rPr>
        <w:t>t</w:t>
      </w:r>
      <w:r w:rsidRPr="00AA504E">
        <w:rPr>
          <w:lang w:val="en-CA"/>
        </w:rPr>
        <w:t xml:space="preserve">he judgment dated October 19, 2021, must </w:t>
      </w:r>
      <w:r w:rsidR="00D30BC2" w:rsidRPr="00AA504E">
        <w:rPr>
          <w:lang w:val="en-CA"/>
        </w:rPr>
        <w:t>not be recognized and enforced</w:t>
      </w:r>
      <w:r w:rsidRPr="00AA504E">
        <w:rPr>
          <w:lang w:val="en-CA"/>
        </w:rPr>
        <w:t>:</w:t>
      </w: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538"/>
      </w:tblGrid>
      <w:tr w:rsidR="003B1C16" w:rsidRPr="00AA504E" w14:paraId="2865BCB3" w14:textId="77777777" w:rsidTr="003B1C16">
        <w:tc>
          <w:tcPr>
            <w:tcW w:w="4392" w:type="dxa"/>
          </w:tcPr>
          <w:p w14:paraId="665EC435" w14:textId="12B20A59" w:rsidR="003B1C16" w:rsidRPr="00AA504E" w:rsidRDefault="003B1C16" w:rsidP="001C21A3">
            <w:pPr>
              <w:pStyle w:val="Citationenretrait"/>
              <w:keepNext/>
              <w:widowControl w:val="0"/>
              <w:spacing w:line="240" w:lineRule="auto"/>
              <w:ind w:left="454" w:right="318"/>
              <w:rPr>
                <w:b/>
                <w:lang w:val="en-CA"/>
              </w:rPr>
            </w:pPr>
            <w:r w:rsidRPr="00AA504E">
              <w:rPr>
                <w:b/>
                <w:bCs/>
                <w:lang w:val="en-CA"/>
              </w:rPr>
              <w:lastRenderedPageBreak/>
              <w:t xml:space="preserve">3155. </w:t>
            </w:r>
            <w:r w:rsidRPr="00AA504E">
              <w:rPr>
                <w:lang w:val="en-CA"/>
              </w:rPr>
              <w:t>A decision rendered outside Québec is recognized and, where applicable, declared enforceable by the Québec authority, except in the following cases:</w:t>
            </w:r>
          </w:p>
        </w:tc>
        <w:tc>
          <w:tcPr>
            <w:tcW w:w="4538" w:type="dxa"/>
          </w:tcPr>
          <w:p w14:paraId="392DAD7F" w14:textId="5A04E710" w:rsidR="003B1C16" w:rsidRPr="00AA6367" w:rsidRDefault="003B1C16" w:rsidP="003B1C16">
            <w:pPr>
              <w:pStyle w:val="Citationenretrait"/>
              <w:keepNext/>
              <w:widowControl w:val="0"/>
              <w:spacing w:line="240" w:lineRule="auto"/>
              <w:ind w:left="605" w:right="317"/>
            </w:pPr>
            <w:r w:rsidRPr="00AA6367">
              <w:rPr>
                <w:b/>
              </w:rPr>
              <w:t xml:space="preserve">3155. </w:t>
            </w:r>
            <w:r w:rsidRPr="00AA6367">
              <w:rPr>
                <w:bCs/>
              </w:rPr>
              <w:t xml:space="preserve">Toute décision rendue hors du Québec est reconnue et, le cas échéant, déclarée exécutoire par l’autorité du Québec, sauf dans les cas suivants : </w:t>
            </w:r>
          </w:p>
        </w:tc>
      </w:tr>
      <w:tr w:rsidR="003B1C16" w:rsidRPr="00AA504E" w14:paraId="771027C1" w14:textId="77777777" w:rsidTr="00853427">
        <w:tc>
          <w:tcPr>
            <w:tcW w:w="4392" w:type="dxa"/>
          </w:tcPr>
          <w:p w14:paraId="5484C89C" w14:textId="5343ABCF" w:rsidR="003B1C16" w:rsidRPr="00AA504E" w:rsidRDefault="003B1C16" w:rsidP="001C21A3">
            <w:pPr>
              <w:pStyle w:val="Citationenretrait"/>
              <w:keepNext/>
              <w:widowControl w:val="0"/>
              <w:spacing w:line="240" w:lineRule="auto"/>
              <w:ind w:left="454" w:right="318"/>
              <w:rPr>
                <w:b/>
                <w:lang w:val="en-CA"/>
              </w:rPr>
            </w:pPr>
            <w:r w:rsidRPr="00AA504E">
              <w:rPr>
                <w:lang w:val="en-CA"/>
              </w:rPr>
              <w:t>(1) the authority of the State where the decision was rendered had no jurisdiction under the provisions of this Title;</w:t>
            </w:r>
          </w:p>
        </w:tc>
        <w:tc>
          <w:tcPr>
            <w:tcW w:w="4538" w:type="dxa"/>
          </w:tcPr>
          <w:p w14:paraId="0510F83E" w14:textId="502D5A54" w:rsidR="003B1C16" w:rsidRPr="00AA6367" w:rsidRDefault="003B1C16" w:rsidP="003B1C16">
            <w:pPr>
              <w:pStyle w:val="Citationenretrait"/>
              <w:keepNext/>
              <w:widowControl w:val="0"/>
              <w:spacing w:line="240" w:lineRule="auto"/>
              <w:ind w:left="605" w:right="317"/>
            </w:pPr>
            <w:r w:rsidRPr="00AA6367">
              <w:rPr>
                <w:bCs/>
              </w:rPr>
              <w:t>1° L’autorité de l’État dans lequel la décision a été rendue n’était pas compétente suivant les dispositions du présent titre;</w:t>
            </w:r>
          </w:p>
        </w:tc>
      </w:tr>
      <w:tr w:rsidR="003B1C16" w:rsidRPr="00AA504E" w14:paraId="65609408" w14:textId="77777777" w:rsidTr="00853427">
        <w:tc>
          <w:tcPr>
            <w:tcW w:w="4392" w:type="dxa"/>
          </w:tcPr>
          <w:p w14:paraId="6A56C986" w14:textId="6622F5DE" w:rsidR="003B1C16" w:rsidRPr="00AA504E" w:rsidRDefault="003B1C16" w:rsidP="003B1C16">
            <w:pPr>
              <w:pStyle w:val="Citationenretrait"/>
              <w:widowControl w:val="0"/>
              <w:spacing w:line="240" w:lineRule="auto"/>
              <w:ind w:left="454" w:right="318"/>
              <w:rPr>
                <w:b/>
                <w:lang w:val="en-CA"/>
              </w:rPr>
            </w:pPr>
            <w:r w:rsidRPr="00AA504E">
              <w:rPr>
                <w:lang w:val="en-CA"/>
              </w:rPr>
              <w:t>(2) the decision, at the place where it was rendered, is subject to an ordinary remedy or is not final or enforceable;</w:t>
            </w:r>
          </w:p>
        </w:tc>
        <w:tc>
          <w:tcPr>
            <w:tcW w:w="4538" w:type="dxa"/>
          </w:tcPr>
          <w:p w14:paraId="1E7E110B" w14:textId="50983CA0" w:rsidR="003B1C16" w:rsidRPr="00AA6367" w:rsidRDefault="003B1C16" w:rsidP="003B1C16">
            <w:pPr>
              <w:pStyle w:val="Citationenretrait"/>
              <w:keepNext/>
              <w:widowControl w:val="0"/>
              <w:spacing w:line="240" w:lineRule="auto"/>
              <w:ind w:left="605" w:right="317"/>
              <w:rPr>
                <w:b/>
                <w:bCs/>
              </w:rPr>
            </w:pPr>
            <w:r w:rsidRPr="00AA6367">
              <w:rPr>
                <w:bCs/>
              </w:rPr>
              <w:t>2° La décision, au lieu où elle a été rendue, est susceptible d’un recours ordinaire, ou n’est pas définitive ou exécutoire;</w:t>
            </w:r>
          </w:p>
        </w:tc>
      </w:tr>
      <w:tr w:rsidR="003B1C16" w:rsidRPr="00AA504E" w14:paraId="6A049D16" w14:textId="77777777" w:rsidTr="00853427">
        <w:tc>
          <w:tcPr>
            <w:tcW w:w="4392" w:type="dxa"/>
          </w:tcPr>
          <w:p w14:paraId="10CE18AB" w14:textId="663F4566" w:rsidR="003B1C16" w:rsidRPr="00AA504E" w:rsidRDefault="003B1C16" w:rsidP="003B1C16">
            <w:pPr>
              <w:pStyle w:val="Citationenretrait"/>
              <w:widowControl w:val="0"/>
              <w:spacing w:line="240" w:lineRule="auto"/>
              <w:ind w:left="454" w:right="318"/>
              <w:rPr>
                <w:b/>
                <w:lang w:val="en-CA"/>
              </w:rPr>
            </w:pPr>
            <w:r w:rsidRPr="00AA504E">
              <w:rPr>
                <w:lang w:val="en-CA"/>
              </w:rPr>
              <w:t xml:space="preserve">(3) </w:t>
            </w:r>
            <w:r w:rsidRPr="00AA504E">
              <w:rPr>
                <w:u w:val="single"/>
                <w:lang w:val="en-CA"/>
              </w:rPr>
              <w:t>the decision was rendered in contravention of the fundamental principles of procedure</w:t>
            </w:r>
            <w:r w:rsidRPr="00AA504E">
              <w:rPr>
                <w:lang w:val="en-CA"/>
              </w:rPr>
              <w:t>;</w:t>
            </w:r>
          </w:p>
        </w:tc>
        <w:tc>
          <w:tcPr>
            <w:tcW w:w="4538" w:type="dxa"/>
          </w:tcPr>
          <w:p w14:paraId="4D950C45" w14:textId="5E729B81" w:rsidR="003B1C16" w:rsidRPr="00AA6367" w:rsidRDefault="003B1C16" w:rsidP="003B1C16">
            <w:pPr>
              <w:pStyle w:val="Citationenretrait"/>
              <w:keepNext/>
              <w:widowControl w:val="0"/>
              <w:spacing w:line="240" w:lineRule="auto"/>
              <w:ind w:left="605" w:right="317"/>
              <w:rPr>
                <w:b/>
                <w:bCs/>
              </w:rPr>
            </w:pPr>
            <w:r w:rsidRPr="00AA6367">
              <w:rPr>
                <w:bCs/>
              </w:rPr>
              <w:t xml:space="preserve">3° </w:t>
            </w:r>
            <w:r w:rsidRPr="00AA6367">
              <w:rPr>
                <w:bCs/>
                <w:u w:val="single"/>
              </w:rPr>
              <w:t>La décision a été rendue en violation des principes essentiels de la procédure</w:t>
            </w:r>
            <w:r w:rsidRPr="00AA6367">
              <w:rPr>
                <w:bCs/>
              </w:rPr>
              <w:t>;</w:t>
            </w:r>
          </w:p>
        </w:tc>
      </w:tr>
      <w:tr w:rsidR="003B1C16" w:rsidRPr="00AA504E" w14:paraId="1F053B94" w14:textId="77777777" w:rsidTr="00853427">
        <w:tc>
          <w:tcPr>
            <w:tcW w:w="4392" w:type="dxa"/>
          </w:tcPr>
          <w:p w14:paraId="41F4E7EE" w14:textId="24564EA5" w:rsidR="003B1C16" w:rsidRPr="00AA504E" w:rsidRDefault="003B1C16" w:rsidP="003B1C16">
            <w:pPr>
              <w:pStyle w:val="Citationenretrait"/>
              <w:widowControl w:val="0"/>
              <w:spacing w:line="240" w:lineRule="auto"/>
              <w:ind w:left="454" w:right="318"/>
              <w:rPr>
                <w:bCs/>
                <w:lang w:val="en-CA"/>
              </w:rPr>
            </w:pPr>
            <w:r w:rsidRPr="00AA504E">
              <w:rPr>
                <w:lang w:val="en-CA"/>
              </w:rPr>
              <w:t>(4) a dispute between the same parties, based on the same facts and having the same subject has given rise to a decision rendered in Québec, whether or not it has become final, is pending before a Québec authority, first seized of the dispute, or has been decided in a third State and the decision meets the conditions necessary for it to be recognized in Québec;</w:t>
            </w:r>
          </w:p>
        </w:tc>
        <w:tc>
          <w:tcPr>
            <w:tcW w:w="4538" w:type="dxa"/>
          </w:tcPr>
          <w:p w14:paraId="6B7267CE" w14:textId="629E7B07" w:rsidR="003B1C16" w:rsidRPr="00AA6367" w:rsidRDefault="003B1C16" w:rsidP="003B1C16">
            <w:pPr>
              <w:pStyle w:val="Citationenretrait"/>
              <w:keepNext/>
              <w:widowControl w:val="0"/>
              <w:spacing w:line="240" w:lineRule="auto"/>
              <w:ind w:left="605" w:right="317"/>
              <w:rPr>
                <w:b/>
                <w:bCs/>
              </w:rPr>
            </w:pPr>
            <w:r w:rsidRPr="00AA6367">
              <w:rPr>
                <w:bCs/>
              </w:rPr>
              <w:t>4° Un litige entre les mêmes parties, fondé sur les mêmes faits et ayant le même objet, a donné lieu au Québec à une décision passée ou non en force de chose jugée, ou est pendant devant une autorité québécoise, première saisie, ou a été jugé dans un État tiers et la décision remplit les conditions nécessaires pour sa reconnaissance au Québec;</w:t>
            </w:r>
          </w:p>
        </w:tc>
      </w:tr>
      <w:tr w:rsidR="003B1C16" w:rsidRPr="00AA504E" w14:paraId="4C96160F" w14:textId="77777777" w:rsidTr="00853427">
        <w:tc>
          <w:tcPr>
            <w:tcW w:w="4392" w:type="dxa"/>
          </w:tcPr>
          <w:p w14:paraId="7161DA71" w14:textId="1E13DBB2" w:rsidR="003B1C16" w:rsidRPr="00AA504E" w:rsidRDefault="003B1C16" w:rsidP="003B1C16">
            <w:pPr>
              <w:pStyle w:val="Citationenretrait"/>
              <w:widowControl w:val="0"/>
              <w:spacing w:line="240" w:lineRule="auto"/>
              <w:ind w:left="454" w:right="318"/>
              <w:rPr>
                <w:b/>
                <w:lang w:val="en-CA"/>
              </w:rPr>
            </w:pPr>
            <w:r w:rsidRPr="00AA504E">
              <w:rPr>
                <w:lang w:val="en-CA"/>
              </w:rPr>
              <w:t xml:space="preserve">(5) </w:t>
            </w:r>
            <w:r w:rsidRPr="00AA504E">
              <w:rPr>
                <w:u w:val="single"/>
                <w:lang w:val="en-CA"/>
              </w:rPr>
              <w:t>the outcome of a foreign decision is manifestly inconsistent with public order as understood in international relations</w:t>
            </w:r>
            <w:r w:rsidRPr="00AA504E">
              <w:rPr>
                <w:lang w:val="en-CA"/>
              </w:rPr>
              <w:t>;</w:t>
            </w:r>
          </w:p>
        </w:tc>
        <w:tc>
          <w:tcPr>
            <w:tcW w:w="4538" w:type="dxa"/>
          </w:tcPr>
          <w:p w14:paraId="5206090D" w14:textId="5A1CA45B" w:rsidR="003B1C16" w:rsidRPr="00AA6367" w:rsidRDefault="003B1C16" w:rsidP="003B1C16">
            <w:pPr>
              <w:pStyle w:val="Citationenretrait"/>
              <w:keepNext/>
              <w:widowControl w:val="0"/>
              <w:spacing w:line="240" w:lineRule="auto"/>
              <w:ind w:left="605" w:right="317"/>
              <w:rPr>
                <w:b/>
                <w:bCs/>
              </w:rPr>
            </w:pPr>
            <w:r w:rsidRPr="00AA6367">
              <w:rPr>
                <w:bCs/>
              </w:rPr>
              <w:t xml:space="preserve">5° </w:t>
            </w:r>
            <w:r w:rsidRPr="00AA6367">
              <w:rPr>
                <w:bCs/>
                <w:u w:val="single"/>
              </w:rPr>
              <w:t>Le résultat de la décision étrangère est manifestement incompatible avec l’ordre public tel qu’il est entendu dans les relations internationales</w:t>
            </w:r>
            <w:r w:rsidRPr="00AA6367">
              <w:rPr>
                <w:bCs/>
              </w:rPr>
              <w:t>;</w:t>
            </w:r>
          </w:p>
        </w:tc>
      </w:tr>
      <w:tr w:rsidR="003B1C16" w:rsidRPr="00AA504E" w14:paraId="7107A5B3" w14:textId="77777777" w:rsidTr="00853427">
        <w:tc>
          <w:tcPr>
            <w:tcW w:w="4392" w:type="dxa"/>
          </w:tcPr>
          <w:p w14:paraId="1266DF95" w14:textId="7AE007A3" w:rsidR="003B1C16" w:rsidRPr="00AA504E" w:rsidRDefault="003B1C16" w:rsidP="003B1C16">
            <w:pPr>
              <w:pStyle w:val="Citationenretrait"/>
              <w:widowControl w:val="0"/>
              <w:spacing w:line="240" w:lineRule="auto"/>
              <w:ind w:left="454" w:right="318"/>
              <w:rPr>
                <w:b/>
                <w:lang w:val="en-CA"/>
              </w:rPr>
            </w:pPr>
            <w:r w:rsidRPr="00AA504E">
              <w:rPr>
                <w:lang w:val="en-CA"/>
              </w:rPr>
              <w:t>(6) the decision enforces obligations arising from the taxation laws of a foreign State.</w:t>
            </w:r>
          </w:p>
        </w:tc>
        <w:tc>
          <w:tcPr>
            <w:tcW w:w="4538" w:type="dxa"/>
          </w:tcPr>
          <w:p w14:paraId="0F9C0F67" w14:textId="2550E783" w:rsidR="003B1C16" w:rsidRPr="00AA6367" w:rsidRDefault="003B1C16" w:rsidP="003B1C16">
            <w:pPr>
              <w:pStyle w:val="Citationenretrait"/>
              <w:keepNext/>
              <w:widowControl w:val="0"/>
              <w:spacing w:line="240" w:lineRule="auto"/>
              <w:ind w:left="607" w:right="318"/>
              <w:rPr>
                <w:b/>
                <w:bCs/>
              </w:rPr>
            </w:pPr>
            <w:r w:rsidRPr="00AA6367">
              <w:rPr>
                <w:bCs/>
              </w:rPr>
              <w:t>6° La décision sanctionne des obligations découlant des lois fiscales d’un État étranger.</w:t>
            </w:r>
          </w:p>
        </w:tc>
      </w:tr>
      <w:tr w:rsidR="003B1C16" w:rsidRPr="00AA504E" w14:paraId="49B15B8C" w14:textId="77777777" w:rsidTr="00853427">
        <w:tc>
          <w:tcPr>
            <w:tcW w:w="4392" w:type="dxa"/>
          </w:tcPr>
          <w:p w14:paraId="78160BB9" w14:textId="77777777" w:rsidR="003B1C16" w:rsidRPr="00AA6367" w:rsidRDefault="003B1C16" w:rsidP="003B1C16">
            <w:pPr>
              <w:pStyle w:val="Citationenretrait"/>
              <w:widowControl w:val="0"/>
              <w:spacing w:line="240" w:lineRule="auto"/>
              <w:ind w:left="454" w:right="318"/>
              <w:rPr>
                <w:b/>
              </w:rPr>
            </w:pPr>
          </w:p>
        </w:tc>
        <w:tc>
          <w:tcPr>
            <w:tcW w:w="4538" w:type="dxa"/>
          </w:tcPr>
          <w:p w14:paraId="00CCBE68" w14:textId="2B1C91BC" w:rsidR="003B1C16" w:rsidRPr="00AA504E" w:rsidRDefault="006C494E" w:rsidP="003B1C16">
            <w:pPr>
              <w:pStyle w:val="Citationenretrait"/>
              <w:keepNext/>
              <w:widowControl w:val="0"/>
              <w:spacing w:line="240" w:lineRule="auto"/>
              <w:ind w:left="605" w:right="317"/>
              <w:jc w:val="right"/>
              <w:rPr>
                <w:b/>
                <w:bCs/>
                <w:lang w:val="en-CA"/>
              </w:rPr>
            </w:pPr>
            <w:r w:rsidRPr="00AA504E">
              <w:rPr>
                <w:lang w:val="en-CA"/>
              </w:rPr>
              <w:t>[Emphasis added.]</w:t>
            </w:r>
          </w:p>
        </w:tc>
      </w:tr>
    </w:tbl>
    <w:p w14:paraId="6204F784" w14:textId="56141332" w:rsidR="002A0D72" w:rsidRPr="00AA504E" w:rsidRDefault="003B1C16" w:rsidP="002E7957">
      <w:pPr>
        <w:pStyle w:val="Paragraphe"/>
        <w:widowControl w:val="0"/>
        <w:numPr>
          <w:ilvl w:val="0"/>
          <w:numId w:val="0"/>
        </w:numPr>
        <w:spacing w:before="240" w:line="280" w:lineRule="exact"/>
        <w:rPr>
          <w:b/>
          <w:bCs/>
          <w:u w:val="single"/>
          <w:lang w:val="en-CA"/>
        </w:rPr>
      </w:pPr>
      <w:r w:rsidRPr="00AA504E">
        <w:rPr>
          <w:b/>
          <w:bCs/>
          <w:lang w:val="en-CA"/>
        </w:rPr>
        <w:t>II.</w:t>
      </w:r>
      <w:r w:rsidRPr="00AA504E">
        <w:rPr>
          <w:b/>
          <w:bCs/>
          <w:lang w:val="en-CA"/>
        </w:rPr>
        <w:tab/>
      </w:r>
      <w:r w:rsidRPr="00AA504E">
        <w:rPr>
          <w:b/>
          <w:bCs/>
          <w:u w:val="single"/>
          <w:lang w:val="en-CA"/>
        </w:rPr>
        <w:t xml:space="preserve">Judgment </w:t>
      </w:r>
      <w:r w:rsidR="009C011A" w:rsidRPr="009C011A">
        <w:rPr>
          <w:b/>
          <w:bCs/>
          <w:iCs/>
          <w:u w:val="single"/>
          <w:lang w:val="en-CA"/>
        </w:rPr>
        <w:t>under appeal</w:t>
      </w:r>
    </w:p>
    <w:p w14:paraId="739870A5" w14:textId="1248537D" w:rsidR="002A0D72" w:rsidRPr="00AA504E" w:rsidRDefault="003B1C16" w:rsidP="002A0D72">
      <w:pPr>
        <w:pStyle w:val="Paragraphe"/>
        <w:widowControl w:val="0"/>
        <w:spacing w:line="280" w:lineRule="exact"/>
        <w:rPr>
          <w:lang w:val="en-CA"/>
        </w:rPr>
      </w:pPr>
      <w:r w:rsidRPr="00AA504E">
        <w:rPr>
          <w:lang w:val="en-CA"/>
        </w:rPr>
        <w:t xml:space="preserve">At the appellant’s request, the trial judge began her analysis </w:t>
      </w:r>
      <w:r w:rsidR="005E7F51">
        <w:rPr>
          <w:lang w:val="en-CA"/>
        </w:rPr>
        <w:t xml:space="preserve">by recalling </w:t>
      </w:r>
      <w:r w:rsidRPr="00AA504E">
        <w:rPr>
          <w:lang w:val="en-CA"/>
        </w:rPr>
        <w:t xml:space="preserve">the </w:t>
      </w:r>
      <w:r w:rsidRPr="00AA504E">
        <w:rPr>
          <w:lang w:val="en-CA"/>
        </w:rPr>
        <w:lastRenderedPageBreak/>
        <w:t xml:space="preserve">applicable legal framework. </w:t>
      </w:r>
      <w:r w:rsidRPr="00AA504E">
        <w:rPr>
          <w:iCs/>
          <w:lang w:val="en-CA"/>
        </w:rPr>
        <w:t>She explained, citing the comment</w:t>
      </w:r>
      <w:r w:rsidR="005E7F51">
        <w:rPr>
          <w:iCs/>
          <w:lang w:val="en-CA"/>
        </w:rPr>
        <w:t>s</w:t>
      </w:r>
      <w:r w:rsidRPr="00AA504E">
        <w:rPr>
          <w:iCs/>
          <w:lang w:val="en-CA"/>
        </w:rPr>
        <w:t xml:space="preserve"> of the Minister of Justice,</w:t>
      </w:r>
      <w:r w:rsidRPr="00AA504E">
        <w:rPr>
          <w:rStyle w:val="Appelnotedebasdep"/>
          <w:lang w:val="en-CA"/>
        </w:rPr>
        <w:footnoteReference w:id="8"/>
      </w:r>
      <w:r w:rsidRPr="00AA504E">
        <w:rPr>
          <w:lang w:val="en-CA"/>
        </w:rPr>
        <w:t xml:space="preserve"> that art. 3155 </w:t>
      </w:r>
      <w:r w:rsidR="001C21A3" w:rsidRPr="00AA504E">
        <w:rPr>
          <w:iCs/>
          <w:lang w:val="en-CA"/>
        </w:rPr>
        <w:t>CCQ</w:t>
      </w:r>
      <w:r w:rsidRPr="00AA504E">
        <w:rPr>
          <w:lang w:val="en-CA"/>
        </w:rPr>
        <w:t xml:space="preserve"> [</w:t>
      </w:r>
      <w:r w:rsidRPr="00AA504E">
        <w:rPr>
          <w:smallCaps/>
          <w:lang w:val="en-CA"/>
        </w:rPr>
        <w:t>translation</w:t>
      </w:r>
      <w:r w:rsidRPr="00AA504E">
        <w:rPr>
          <w:lang w:val="en-CA"/>
        </w:rPr>
        <w:t xml:space="preserve">] “seeks to </w:t>
      </w:r>
      <w:r w:rsidR="001E2729">
        <w:rPr>
          <w:lang w:val="en-CA"/>
        </w:rPr>
        <w:t>foster</w:t>
      </w:r>
      <w:r w:rsidR="001E2729" w:rsidRPr="00AA504E">
        <w:rPr>
          <w:lang w:val="en-CA"/>
        </w:rPr>
        <w:t xml:space="preserve"> </w:t>
      </w:r>
      <w:r w:rsidRPr="00AA504E">
        <w:rPr>
          <w:lang w:val="en-CA"/>
        </w:rPr>
        <w:t>recognition and enforcement of foreign judgments in the spirit of international comity”.</w:t>
      </w:r>
      <w:r w:rsidRPr="00AA504E">
        <w:rPr>
          <w:rStyle w:val="Appelnotedebasdep"/>
          <w:lang w:val="en-CA"/>
        </w:rPr>
        <w:footnoteReference w:id="9"/>
      </w:r>
      <w:r w:rsidRPr="00AA504E">
        <w:rPr>
          <w:lang w:val="en-CA"/>
        </w:rPr>
        <w:t xml:space="preserve"> </w:t>
      </w:r>
      <w:r w:rsidR="001C21A3" w:rsidRPr="00AA504E">
        <w:rPr>
          <w:lang w:val="en-CA"/>
        </w:rPr>
        <w:t>Relying</w:t>
      </w:r>
      <w:r w:rsidRPr="00AA504E">
        <w:rPr>
          <w:lang w:val="en-CA"/>
        </w:rPr>
        <w:t xml:space="preserve"> on </w:t>
      </w:r>
      <w:r w:rsidRPr="00AA504E">
        <w:rPr>
          <w:i/>
          <w:iCs/>
          <w:lang w:val="en-CA"/>
        </w:rPr>
        <w:t>Lépine</w:t>
      </w:r>
      <w:r w:rsidR="00B4596B" w:rsidRPr="00AA504E">
        <w:rPr>
          <w:lang w:val="en-CA"/>
        </w:rPr>
        <w:t>,</w:t>
      </w:r>
      <w:r w:rsidRPr="00AA504E">
        <w:rPr>
          <w:rStyle w:val="Appelnotedebasdep"/>
          <w:lang w:val="en-CA"/>
        </w:rPr>
        <w:footnoteReference w:id="10"/>
      </w:r>
      <w:r w:rsidR="00B4596B" w:rsidRPr="00AA504E">
        <w:rPr>
          <w:lang w:val="en-CA"/>
        </w:rPr>
        <w:t xml:space="preserve"> </w:t>
      </w:r>
      <w:r w:rsidRPr="00AA504E">
        <w:rPr>
          <w:lang w:val="en-CA"/>
        </w:rPr>
        <w:t>she noted that</w:t>
      </w:r>
      <w:r w:rsidR="00B4596B" w:rsidRPr="00AA504E">
        <w:rPr>
          <w:lang w:val="en-CA"/>
        </w:rPr>
        <w:t xml:space="preserve"> [</w:t>
      </w:r>
      <w:r w:rsidR="00B4596B" w:rsidRPr="00AA504E">
        <w:rPr>
          <w:smallCaps/>
          <w:lang w:val="en-CA"/>
        </w:rPr>
        <w:t>translation</w:t>
      </w:r>
      <w:r w:rsidR="00B4596B" w:rsidRPr="00AA504E">
        <w:rPr>
          <w:lang w:val="en-CA"/>
        </w:rPr>
        <w:t xml:space="preserve">] </w:t>
      </w:r>
      <w:r w:rsidRPr="00AA504E">
        <w:rPr>
          <w:lang w:val="en-CA"/>
        </w:rPr>
        <w:t>“</w:t>
      </w:r>
      <w:r w:rsidR="00B4596B" w:rsidRPr="00AA504E">
        <w:rPr>
          <w:lang w:val="en-CA"/>
        </w:rPr>
        <w:t>unless an exception applies, any foreign authority must be recognized</w:t>
      </w:r>
      <w:r w:rsidRPr="00AA504E">
        <w:rPr>
          <w:lang w:val="en-CA"/>
        </w:rPr>
        <w:t>”.</w:t>
      </w:r>
      <w:r w:rsidRPr="00AA504E">
        <w:rPr>
          <w:rStyle w:val="Appelnotedebasdep"/>
          <w:lang w:val="en-CA"/>
        </w:rPr>
        <w:footnoteReference w:id="11"/>
      </w:r>
      <w:r w:rsidRPr="00AA504E">
        <w:rPr>
          <w:lang w:val="en-CA"/>
        </w:rPr>
        <w:t xml:space="preserve"> </w:t>
      </w:r>
      <w:r w:rsidR="001C21A3" w:rsidRPr="00AA504E">
        <w:rPr>
          <w:lang w:val="en-CA"/>
        </w:rPr>
        <w:t>She then recalled</w:t>
      </w:r>
      <w:r w:rsidRPr="00AA504E">
        <w:rPr>
          <w:lang w:val="en-CA"/>
        </w:rPr>
        <w:t xml:space="preserve"> the teachings </w:t>
      </w:r>
      <w:r w:rsidR="001C21A3" w:rsidRPr="00AA504E">
        <w:rPr>
          <w:lang w:val="en-CA"/>
        </w:rPr>
        <w:t>in</w:t>
      </w:r>
      <w:r w:rsidRPr="00AA504E">
        <w:rPr>
          <w:lang w:val="en-CA"/>
        </w:rPr>
        <w:t xml:space="preserve"> </w:t>
      </w:r>
      <w:r w:rsidRPr="00AA504E">
        <w:rPr>
          <w:i/>
          <w:iCs/>
          <w:lang w:val="en-CA"/>
        </w:rPr>
        <w:t>R.S.</w:t>
      </w:r>
      <w:r w:rsidRPr="00AA504E">
        <w:rPr>
          <w:rStyle w:val="Appelnotedebasdep"/>
          <w:lang w:val="en-CA"/>
        </w:rPr>
        <w:footnoteReference w:id="12"/>
      </w:r>
      <w:r w:rsidRPr="00AA504E">
        <w:rPr>
          <w:lang w:val="en-CA"/>
        </w:rPr>
        <w:t xml:space="preserve"> concerning the public order exception codified in art. 3155(5) </w:t>
      </w:r>
      <w:r w:rsidR="001C21A3" w:rsidRPr="00AA504E">
        <w:rPr>
          <w:lang w:val="en-CA"/>
        </w:rPr>
        <w:t>CCQ</w:t>
      </w:r>
      <w:r w:rsidRPr="00AA504E">
        <w:rPr>
          <w:lang w:val="en-CA"/>
        </w:rPr>
        <w:t xml:space="preserve">: </w:t>
      </w:r>
    </w:p>
    <w:p w14:paraId="00617347" w14:textId="4466A919" w:rsidR="001C21A3" w:rsidRPr="00AA504E" w:rsidRDefault="001C21A3" w:rsidP="001C21A3">
      <w:pPr>
        <w:pStyle w:val="Paragraphe"/>
        <w:widowControl w:val="0"/>
        <w:numPr>
          <w:ilvl w:val="0"/>
          <w:numId w:val="0"/>
        </w:numPr>
        <w:spacing w:line="280" w:lineRule="exact"/>
        <w:ind w:left="360"/>
        <w:rPr>
          <w:lang w:val="en-CA"/>
        </w:rPr>
      </w:pPr>
      <w:r w:rsidRPr="00AA504E">
        <w:rPr>
          <w:lang w:val="en-CA"/>
        </w:rPr>
        <w:t>[</w:t>
      </w:r>
      <w:r w:rsidRPr="00AA504E">
        <w:rPr>
          <w:smallCaps/>
          <w:lang w:val="en-CA"/>
        </w:rPr>
        <w:t>translation</w:t>
      </w:r>
      <w:r w:rsidRPr="00AA504E">
        <w:rPr>
          <w:lang w:val="en-CA"/>
        </w:rPr>
        <w:t>]</w:t>
      </w:r>
    </w:p>
    <w:p w14:paraId="3A266726" w14:textId="138E8EF7" w:rsidR="002A0D72" w:rsidRPr="00AA504E" w:rsidRDefault="001C21A3" w:rsidP="002A0D72">
      <w:pPr>
        <w:pStyle w:val="Paragraphe"/>
        <w:widowControl w:val="0"/>
        <w:numPr>
          <w:ilvl w:val="0"/>
          <w:numId w:val="20"/>
        </w:numPr>
        <w:spacing w:line="240" w:lineRule="auto"/>
        <w:rPr>
          <w:lang w:val="en-CA"/>
        </w:rPr>
      </w:pPr>
      <w:r w:rsidRPr="00AA504E">
        <w:rPr>
          <w:lang w:val="en-CA"/>
        </w:rPr>
        <w:t>“</w:t>
      </w:r>
      <w:r w:rsidR="00796D06" w:rsidRPr="00AA504E">
        <w:rPr>
          <w:lang w:val="en-CA"/>
        </w:rPr>
        <w:t>what must be analyzed is the outcome of the foreign decision, not the laws of the foreign jurisdiction</w:t>
      </w:r>
      <w:r w:rsidRPr="00AA504E">
        <w:rPr>
          <w:lang w:val="en-CA"/>
        </w:rPr>
        <w:t>”</w:t>
      </w:r>
      <w:r w:rsidR="00796D06" w:rsidRPr="00AA504E">
        <w:rPr>
          <w:lang w:val="en-CA"/>
        </w:rPr>
        <w:t>;</w:t>
      </w:r>
      <w:r w:rsidR="003B1C16" w:rsidRPr="00AA504E">
        <w:rPr>
          <w:rStyle w:val="Appelnotedebasdep"/>
          <w:lang w:val="en-CA"/>
        </w:rPr>
        <w:footnoteReference w:id="13"/>
      </w:r>
    </w:p>
    <w:p w14:paraId="6E4FE45C" w14:textId="4B1C7117" w:rsidR="002A0D72" w:rsidRPr="00AA504E" w:rsidRDefault="001C21A3" w:rsidP="002A0D72">
      <w:pPr>
        <w:pStyle w:val="Paragraphe"/>
        <w:widowControl w:val="0"/>
        <w:numPr>
          <w:ilvl w:val="0"/>
          <w:numId w:val="20"/>
        </w:numPr>
        <w:spacing w:line="240" w:lineRule="auto"/>
        <w:rPr>
          <w:lang w:val="en-CA"/>
        </w:rPr>
      </w:pPr>
      <w:r w:rsidRPr="00AA504E">
        <w:rPr>
          <w:lang w:val="en-CA"/>
        </w:rPr>
        <w:t>“t</w:t>
      </w:r>
      <w:r w:rsidR="003B1C16" w:rsidRPr="00AA504E">
        <w:rPr>
          <w:lang w:val="en-CA"/>
        </w:rPr>
        <w:t>he purpose is not to instruct the foreign authorities in their own law</w:t>
      </w:r>
      <w:r w:rsidRPr="00AA504E">
        <w:rPr>
          <w:lang w:val="en-CA"/>
        </w:rPr>
        <w:t>”</w:t>
      </w:r>
      <w:r w:rsidR="00D30BC2" w:rsidRPr="00AA504E">
        <w:rPr>
          <w:lang w:val="en-CA"/>
        </w:rPr>
        <w:t>;</w:t>
      </w:r>
      <w:r w:rsidR="003B1C16" w:rsidRPr="00AA504E">
        <w:rPr>
          <w:rStyle w:val="Appelnotedebasdep"/>
          <w:lang w:val="en-CA"/>
        </w:rPr>
        <w:footnoteReference w:id="14"/>
      </w:r>
    </w:p>
    <w:p w14:paraId="09F8892C" w14:textId="52106A38" w:rsidR="002A0D72" w:rsidRPr="00AA504E" w:rsidRDefault="001C21A3" w:rsidP="002A0D72">
      <w:pPr>
        <w:pStyle w:val="Paragraphe"/>
        <w:widowControl w:val="0"/>
        <w:numPr>
          <w:ilvl w:val="0"/>
          <w:numId w:val="20"/>
        </w:numPr>
        <w:spacing w:line="240" w:lineRule="auto"/>
        <w:rPr>
          <w:lang w:val="en-CA"/>
        </w:rPr>
      </w:pPr>
      <w:r w:rsidRPr="00AA504E">
        <w:rPr>
          <w:lang w:val="en-CA"/>
        </w:rPr>
        <w:t>“t</w:t>
      </w:r>
      <w:r w:rsidR="00796D06" w:rsidRPr="00AA504E">
        <w:rPr>
          <w:lang w:val="en-CA"/>
        </w:rPr>
        <w:t>he Quebec court’s role is limited to ensuring that a foreign decision is not enforced if the decision’s outcome would be so inconsistent with certain of the underlying values of the Quebec legal system as to be incapable of being incorporated into it</w:t>
      </w:r>
      <w:r w:rsidRPr="00AA504E">
        <w:rPr>
          <w:lang w:val="en-CA"/>
        </w:rPr>
        <w:t>”</w:t>
      </w:r>
      <w:r w:rsidR="00796D06" w:rsidRPr="00AA504E">
        <w:rPr>
          <w:lang w:val="en-CA"/>
        </w:rPr>
        <w:t>;</w:t>
      </w:r>
      <w:r w:rsidR="003B1C16" w:rsidRPr="00AA504E">
        <w:rPr>
          <w:rStyle w:val="Appelnotedebasdep"/>
          <w:lang w:val="en-CA"/>
        </w:rPr>
        <w:footnoteReference w:id="15"/>
      </w:r>
    </w:p>
    <w:p w14:paraId="1EB31841" w14:textId="02709C27" w:rsidR="002A0D72" w:rsidRPr="00AA504E" w:rsidRDefault="001C21A3" w:rsidP="002A0D72">
      <w:pPr>
        <w:pStyle w:val="Paragraphe"/>
        <w:widowControl w:val="0"/>
        <w:numPr>
          <w:ilvl w:val="0"/>
          <w:numId w:val="20"/>
        </w:numPr>
        <w:spacing w:line="240" w:lineRule="auto"/>
        <w:rPr>
          <w:lang w:val="en-CA"/>
        </w:rPr>
      </w:pPr>
      <w:r w:rsidRPr="00AA504E">
        <w:rPr>
          <w:lang w:val="en-CA"/>
        </w:rPr>
        <w:t>“</w:t>
      </w:r>
      <w:r w:rsidR="00BC3B5A" w:rsidRPr="00AA504E">
        <w:rPr>
          <w:lang w:val="en-CA"/>
        </w:rPr>
        <w:t>it is inappropriate to see art. 3155(5) </w:t>
      </w:r>
      <w:r w:rsidRPr="00AA504E">
        <w:rPr>
          <w:iCs/>
          <w:lang w:val="en-CA"/>
        </w:rPr>
        <w:t>CCQ</w:t>
      </w:r>
      <w:r w:rsidR="003B1C16" w:rsidRPr="00AA504E">
        <w:rPr>
          <w:lang w:val="en-CA"/>
        </w:rPr>
        <w:t> as requiring that the court consider the merits of the decision or of the foreign law”</w:t>
      </w:r>
      <w:r w:rsidRPr="00AA504E">
        <w:rPr>
          <w:lang w:val="en-CA"/>
        </w:rPr>
        <w:t xml:space="preserve">, which confirms, among other things, art. 3158 CCQ, which </w:t>
      </w:r>
      <w:r w:rsidR="00BD1B94">
        <w:rPr>
          <w:lang w:val="en-CA"/>
        </w:rPr>
        <w:t>bars</w:t>
      </w:r>
      <w:r w:rsidRPr="00AA504E">
        <w:rPr>
          <w:lang w:val="en-CA"/>
        </w:rPr>
        <w:t xml:space="preserve"> the court seized of an application for recognition and enforcement </w:t>
      </w:r>
      <w:r w:rsidR="00BD1B94">
        <w:rPr>
          <w:lang w:val="en-CA"/>
        </w:rPr>
        <w:t xml:space="preserve">from </w:t>
      </w:r>
      <w:r w:rsidR="003B1C16" w:rsidRPr="00AA504E">
        <w:rPr>
          <w:lang w:val="en-CA"/>
        </w:rPr>
        <w:t>“consider</w:t>
      </w:r>
      <w:r w:rsidR="00BD1B94">
        <w:rPr>
          <w:lang w:val="en-CA"/>
        </w:rPr>
        <w:t>ing</w:t>
      </w:r>
      <w:r w:rsidR="003B1C16" w:rsidRPr="00AA504E">
        <w:rPr>
          <w:lang w:val="en-CA"/>
        </w:rPr>
        <w:t xml:space="preserve"> the merits</w:t>
      </w:r>
      <w:r w:rsidR="00796D06" w:rsidRPr="00AA504E">
        <w:rPr>
          <w:lang w:val="en-CA"/>
        </w:rPr>
        <w:t>/</w:t>
      </w:r>
      <w:r w:rsidR="00796D06" w:rsidRPr="00AA504E">
        <w:rPr>
          <w:i/>
          <w:iCs/>
          <w:lang w:val="en-CA"/>
        </w:rPr>
        <w:t>procéder à l’examen au fond</w:t>
      </w:r>
      <w:r w:rsidR="00796D06" w:rsidRPr="00AA504E">
        <w:rPr>
          <w:lang w:val="en-CA"/>
        </w:rPr>
        <w:t>” of the foreign judgment concerned;</w:t>
      </w:r>
      <w:r w:rsidR="003B1C16" w:rsidRPr="00AA504E">
        <w:rPr>
          <w:rStyle w:val="Appelnotedebasdep"/>
          <w:lang w:val="en-CA"/>
        </w:rPr>
        <w:footnoteReference w:id="16"/>
      </w:r>
    </w:p>
    <w:p w14:paraId="57B64317" w14:textId="2982A07F" w:rsidR="002A0D72" w:rsidRPr="00AA504E" w:rsidRDefault="00796D06" w:rsidP="002A0D72">
      <w:pPr>
        <w:pStyle w:val="Paragraphe"/>
        <w:widowControl w:val="0"/>
        <w:numPr>
          <w:ilvl w:val="0"/>
          <w:numId w:val="20"/>
        </w:numPr>
        <w:spacing w:line="240" w:lineRule="auto"/>
        <w:rPr>
          <w:lang w:val="en-CA"/>
        </w:rPr>
      </w:pPr>
      <w:r w:rsidRPr="00AA504E">
        <w:rPr>
          <w:lang w:val="en-CA"/>
        </w:rPr>
        <w:t>“the requirement of consistency with public order simply means that the court must ensure that the solution provided by the foreign judgment can be harmoniously incorporated into the legal order of the Quebec forum”;</w:t>
      </w:r>
      <w:r w:rsidR="003B1C16" w:rsidRPr="00AA504E">
        <w:rPr>
          <w:rStyle w:val="Appelnotedebasdep"/>
          <w:lang w:val="en-CA"/>
        </w:rPr>
        <w:footnoteReference w:id="17"/>
      </w:r>
    </w:p>
    <w:p w14:paraId="06389C28" w14:textId="5EB56B73" w:rsidR="002A0D72" w:rsidRPr="00AA504E" w:rsidRDefault="001C21A3" w:rsidP="002A0D72">
      <w:pPr>
        <w:pStyle w:val="Paragraphe"/>
        <w:widowControl w:val="0"/>
        <w:numPr>
          <w:ilvl w:val="0"/>
          <w:numId w:val="20"/>
        </w:numPr>
        <w:spacing w:line="240" w:lineRule="auto"/>
        <w:rPr>
          <w:lang w:val="en-CA"/>
        </w:rPr>
      </w:pPr>
      <w:r w:rsidRPr="00AA504E">
        <w:rPr>
          <w:lang w:val="en-CA"/>
        </w:rPr>
        <w:t>“p</w:t>
      </w:r>
      <w:r w:rsidR="00D02F51" w:rsidRPr="00AA504E">
        <w:rPr>
          <w:lang w:val="en-CA"/>
        </w:rPr>
        <w:t>ublic order as understood in international relations is generally more limited than its domestic law counterpart” so</w:t>
      </w:r>
      <w:r w:rsidR="003B1C16" w:rsidRPr="00AA504E">
        <w:rPr>
          <w:lang w:val="en-CA"/>
        </w:rPr>
        <w:t xml:space="preserve"> the issue is whether the outcome of the foreign judgment “runs counter to the moral, social, economic or even political conceptions </w:t>
      </w:r>
      <w:r w:rsidR="003B1C16" w:rsidRPr="00AA504E">
        <w:rPr>
          <w:lang w:val="en-CA"/>
        </w:rPr>
        <w:lastRenderedPageBreak/>
        <w:t>that underpin Quebec’s legal order”;</w:t>
      </w:r>
      <w:r w:rsidR="003B1C16" w:rsidRPr="00AA504E">
        <w:rPr>
          <w:rFonts w:cs="Arial"/>
          <w:szCs w:val="24"/>
          <w:vertAlign w:val="superscript"/>
          <w:lang w:val="en-CA"/>
        </w:rPr>
        <w:footnoteReference w:id="18"/>
      </w:r>
    </w:p>
    <w:p w14:paraId="44CB52FE" w14:textId="0FCC4290" w:rsidR="002A0D72" w:rsidRPr="00AA504E" w:rsidRDefault="003B1C16" w:rsidP="002A0D72">
      <w:pPr>
        <w:pStyle w:val="Paragraphe"/>
        <w:widowControl w:val="0"/>
        <w:numPr>
          <w:ilvl w:val="0"/>
          <w:numId w:val="20"/>
        </w:numPr>
        <w:spacing w:line="240" w:lineRule="auto"/>
        <w:rPr>
          <w:lang w:val="en-CA"/>
        </w:rPr>
      </w:pPr>
      <w:r w:rsidRPr="00AA504E">
        <w:rPr>
          <w:lang w:val="en-CA"/>
        </w:rPr>
        <w:t>this inconsistency “must be serious, and it must be assessed in concrete terms in order to determine whether the incorporation of the outcome</w:t>
      </w:r>
      <w:r w:rsidR="001C21A3" w:rsidRPr="00AA504E">
        <w:rPr>
          <w:lang w:val="en-CA"/>
        </w:rPr>
        <w:t xml:space="preserve"> </w:t>
      </w:r>
      <w:r w:rsidRPr="00AA504E">
        <w:rPr>
          <w:lang w:val="en-CA"/>
        </w:rPr>
        <w:t>[of the foreign judgment] into Quebec’s legal order does in fact give rise to that conflict of conceptions</w:t>
      </w:r>
      <w:r w:rsidR="001C21A3" w:rsidRPr="00AA504E">
        <w:rPr>
          <w:lang w:val="en-CA"/>
        </w:rPr>
        <w:t>”</w:t>
      </w:r>
      <w:r w:rsidRPr="00AA504E">
        <w:rPr>
          <w:lang w:val="en-CA"/>
        </w:rPr>
        <w:t>.</w:t>
      </w:r>
      <w:r w:rsidRPr="00AA504E">
        <w:rPr>
          <w:rStyle w:val="Appelnotedebasdep"/>
          <w:lang w:val="en-CA"/>
        </w:rPr>
        <w:footnoteReference w:id="19"/>
      </w:r>
    </w:p>
    <w:p w14:paraId="473BB769" w14:textId="44707F68" w:rsidR="002A0D72" w:rsidRPr="00AA504E" w:rsidRDefault="006F636A" w:rsidP="00085355">
      <w:pPr>
        <w:pStyle w:val="Paragraphe"/>
        <w:widowControl w:val="0"/>
        <w:spacing w:before="240" w:line="280" w:lineRule="exact"/>
        <w:rPr>
          <w:lang w:val="en-CA"/>
        </w:rPr>
      </w:pPr>
      <w:r w:rsidRPr="00AA504E">
        <w:rPr>
          <w:lang w:val="en-CA"/>
        </w:rPr>
        <w:t xml:space="preserve">Next, the judge examined the validity of the disputed waiver clauses from the point of view </w:t>
      </w:r>
      <w:r w:rsidR="00BD1B94">
        <w:rPr>
          <w:lang w:val="en-CA"/>
        </w:rPr>
        <w:t xml:space="preserve">of </w:t>
      </w:r>
      <w:r w:rsidRPr="00AA504E">
        <w:rPr>
          <w:lang w:val="en-CA"/>
        </w:rPr>
        <w:t>domestic public order.</w:t>
      </w:r>
      <w:r w:rsidR="003B1C16" w:rsidRPr="00AA504E">
        <w:rPr>
          <w:lang w:val="en-CA"/>
        </w:rPr>
        <w:t xml:space="preserve"> </w:t>
      </w:r>
      <w:r w:rsidRPr="00AA504E">
        <w:rPr>
          <w:lang w:val="en-CA"/>
        </w:rPr>
        <w:t>She noted that the dut</w:t>
      </w:r>
      <w:r w:rsidR="00BD1B94">
        <w:rPr>
          <w:lang w:val="en-CA"/>
        </w:rPr>
        <w:t>ies</w:t>
      </w:r>
      <w:r w:rsidRPr="00AA504E">
        <w:rPr>
          <w:lang w:val="en-CA"/>
        </w:rPr>
        <w:t xml:space="preserve"> to act </w:t>
      </w:r>
      <w:r w:rsidR="00BD1B94">
        <w:rPr>
          <w:lang w:val="en-CA"/>
        </w:rPr>
        <w:t xml:space="preserve">fairly </w:t>
      </w:r>
      <w:r w:rsidRPr="00AA504E">
        <w:rPr>
          <w:lang w:val="en-CA"/>
        </w:rPr>
        <w:t>and in good faith are an integral part of public order and limit contractual freedom in Quebec law.</w:t>
      </w:r>
      <w:r w:rsidR="003B1C16" w:rsidRPr="00AA504E">
        <w:rPr>
          <w:rFonts w:cs="Arial"/>
          <w:szCs w:val="24"/>
          <w:vertAlign w:val="superscript"/>
          <w:lang w:val="en-CA"/>
        </w:rPr>
        <w:footnoteReference w:id="20"/>
      </w:r>
      <w:r w:rsidR="00F7575E" w:rsidRPr="00AA504E">
        <w:rPr>
          <w:lang w:val="en-CA"/>
        </w:rPr>
        <w:t xml:space="preserve"> </w:t>
      </w:r>
      <w:r w:rsidRPr="00AA504E">
        <w:rPr>
          <w:lang w:val="en-CA"/>
        </w:rPr>
        <w:t xml:space="preserve">She </w:t>
      </w:r>
      <w:r w:rsidR="00BD1B94">
        <w:rPr>
          <w:lang w:val="en-CA"/>
        </w:rPr>
        <w:t xml:space="preserve">recalled </w:t>
      </w:r>
      <w:r w:rsidRPr="00AA504E">
        <w:rPr>
          <w:lang w:val="en-CA"/>
        </w:rPr>
        <w:t xml:space="preserve">that in Quebec, a clause whereby a contracting party waives their duty to act in good faith in advance is illegal and of no </w:t>
      </w:r>
      <w:r w:rsidR="001C21A3" w:rsidRPr="00AA504E">
        <w:rPr>
          <w:lang w:val="en-CA"/>
        </w:rPr>
        <w:t>effect</w:t>
      </w:r>
      <w:r w:rsidRPr="00AA504E">
        <w:rPr>
          <w:lang w:val="en-CA"/>
        </w:rPr>
        <w:t>.</w:t>
      </w:r>
      <w:r w:rsidR="003B1C16" w:rsidRPr="00AA504E">
        <w:rPr>
          <w:lang w:val="en-CA"/>
        </w:rPr>
        <w:t xml:space="preserve"> </w:t>
      </w:r>
      <w:r w:rsidRPr="00AA504E">
        <w:rPr>
          <w:lang w:val="en-CA"/>
        </w:rPr>
        <w:t xml:space="preserve">These observations led her to conclude that the clauses invoked by the appellant </w:t>
      </w:r>
      <w:r w:rsidR="00BD1B94">
        <w:rPr>
          <w:lang w:val="en-CA"/>
        </w:rPr>
        <w:t>a</w:t>
      </w:r>
      <w:r w:rsidRPr="00AA504E">
        <w:rPr>
          <w:lang w:val="en-CA"/>
        </w:rPr>
        <w:t>re contrary to domestic public order.</w:t>
      </w:r>
    </w:p>
    <w:p w14:paraId="58F80884" w14:textId="7C515A33" w:rsidR="002A0D72" w:rsidRPr="00AA504E" w:rsidRDefault="006F636A" w:rsidP="002A0D72">
      <w:pPr>
        <w:pStyle w:val="Paragraphe"/>
        <w:widowControl w:val="0"/>
        <w:spacing w:line="280" w:lineRule="exact"/>
        <w:rPr>
          <w:lang w:val="en-CA"/>
        </w:rPr>
      </w:pPr>
      <w:r w:rsidRPr="00AA504E">
        <w:rPr>
          <w:lang w:val="en-CA"/>
        </w:rPr>
        <w:t xml:space="preserve">The judge then </w:t>
      </w:r>
      <w:r w:rsidR="00CC3BE9">
        <w:rPr>
          <w:lang w:val="en-CA"/>
        </w:rPr>
        <w:t>examined</w:t>
      </w:r>
      <w:r w:rsidRPr="00AA504E">
        <w:rPr>
          <w:lang w:val="en-CA"/>
        </w:rPr>
        <w:t xml:space="preserve"> </w:t>
      </w:r>
      <w:r w:rsidR="00BD1B94">
        <w:rPr>
          <w:lang w:val="en-CA"/>
        </w:rPr>
        <w:t xml:space="preserve">more </w:t>
      </w:r>
      <w:r w:rsidRPr="00AA504E">
        <w:rPr>
          <w:lang w:val="en-CA"/>
        </w:rPr>
        <w:t>specifically to the public order exception codified in art.</w:t>
      </w:r>
      <w:r w:rsidR="001C21A3" w:rsidRPr="00AA504E">
        <w:rPr>
          <w:lang w:val="en-CA"/>
        </w:rPr>
        <w:t> </w:t>
      </w:r>
      <w:r w:rsidRPr="00AA504E">
        <w:rPr>
          <w:lang w:val="en-CA"/>
        </w:rPr>
        <w:t xml:space="preserve">3155(5) </w:t>
      </w:r>
      <w:r w:rsidR="001C21A3" w:rsidRPr="00AA504E">
        <w:rPr>
          <w:lang w:val="en-CA"/>
        </w:rPr>
        <w:t>CCQ.</w:t>
      </w:r>
    </w:p>
    <w:p w14:paraId="3E6B93D5" w14:textId="49ED4ACD" w:rsidR="002A0D72" w:rsidRPr="00AA504E" w:rsidRDefault="006F636A" w:rsidP="002A0D72">
      <w:pPr>
        <w:pStyle w:val="Paragraphe"/>
        <w:widowControl w:val="0"/>
        <w:spacing w:line="280" w:lineRule="exact"/>
        <w:rPr>
          <w:lang w:val="en-CA"/>
        </w:rPr>
      </w:pPr>
      <w:r w:rsidRPr="00AA504E">
        <w:rPr>
          <w:lang w:val="en-CA"/>
        </w:rPr>
        <w:t xml:space="preserve">She began by clarifying the outcome of the judgment dated October 19, 2021. In her view, it was more than </w:t>
      </w:r>
      <w:r w:rsidR="00041B09">
        <w:rPr>
          <w:lang w:val="en-CA"/>
        </w:rPr>
        <w:t>a</w:t>
      </w:r>
      <w:r w:rsidRPr="00AA504E">
        <w:rPr>
          <w:lang w:val="en-CA"/>
        </w:rPr>
        <w:t xml:space="preserve"> mere condemnation of the sureties to reimburse a lender </w:t>
      </w:r>
      <w:r w:rsidR="00041B09">
        <w:rPr>
          <w:lang w:val="en-CA"/>
        </w:rPr>
        <w:t xml:space="preserve">following </w:t>
      </w:r>
      <w:r w:rsidRPr="00AA504E">
        <w:rPr>
          <w:lang w:val="en-CA"/>
        </w:rPr>
        <w:t>the debtor’s default.</w:t>
      </w:r>
      <w:r w:rsidR="003B1C16" w:rsidRPr="00AA504E">
        <w:rPr>
          <w:lang w:val="en-CA"/>
        </w:rPr>
        <w:t xml:space="preserve"> </w:t>
      </w:r>
      <w:r w:rsidRPr="00AA504E">
        <w:rPr>
          <w:lang w:val="en-CA"/>
        </w:rPr>
        <w:t>She emphasized that the effect of the judgment was to [</w:t>
      </w:r>
      <w:r w:rsidRPr="00AA504E">
        <w:rPr>
          <w:smallCaps/>
          <w:lang w:val="en-CA"/>
        </w:rPr>
        <w:t>translation</w:t>
      </w:r>
      <w:r w:rsidRPr="00AA504E">
        <w:rPr>
          <w:lang w:val="en-CA"/>
        </w:rPr>
        <w:t xml:space="preserve">] “allow the enforcement of a contract whose conditions of formation cannot be challenged even </w:t>
      </w:r>
      <w:r w:rsidR="00C26F72">
        <w:rPr>
          <w:lang w:val="en-CA"/>
        </w:rPr>
        <w:t>on grounds of</w:t>
      </w:r>
      <w:r w:rsidRPr="00AA504E">
        <w:rPr>
          <w:lang w:val="en-CA"/>
        </w:rPr>
        <w:t xml:space="preserve"> fraudulent or dishonest acts, or the other party’s bad faith, </w:t>
      </w:r>
      <w:r w:rsidR="000260AA">
        <w:rPr>
          <w:lang w:val="en-CA"/>
        </w:rPr>
        <w:t>which</w:t>
      </w:r>
      <w:r w:rsidRPr="00AA504E">
        <w:rPr>
          <w:lang w:val="en-CA"/>
        </w:rPr>
        <w:t xml:space="preserve"> vitiated consent.</w:t>
      </w:r>
      <w:r w:rsidRPr="00AA504E">
        <w:rPr>
          <w:rFonts w:cs="Arial"/>
          <w:szCs w:val="24"/>
          <w:vertAlign w:val="superscript"/>
          <w:lang w:val="en-CA"/>
        </w:rPr>
        <w:footnoteReference w:id="21"/>
      </w:r>
      <w:r w:rsidR="003B1C16" w:rsidRPr="00AA504E">
        <w:rPr>
          <w:lang w:val="en-CA"/>
        </w:rPr>
        <w:t xml:space="preserve"> </w:t>
      </w:r>
      <w:r w:rsidRPr="00AA504E">
        <w:rPr>
          <w:lang w:val="en-CA"/>
        </w:rPr>
        <w:t>She added:</w:t>
      </w:r>
      <w:r w:rsidRPr="00AA504E">
        <w:rPr>
          <w:rFonts w:cs="Arial"/>
          <w:szCs w:val="24"/>
          <w:vertAlign w:val="superscript"/>
          <w:lang w:val="en-CA"/>
        </w:rPr>
        <w:footnoteReference w:id="22"/>
      </w:r>
      <w:r w:rsidR="003B1C16" w:rsidRPr="00AA504E">
        <w:rPr>
          <w:lang w:val="en-CA"/>
        </w:rPr>
        <w:t xml:space="preserve"> </w:t>
      </w:r>
    </w:p>
    <w:p w14:paraId="7B14EF6B" w14:textId="77777777" w:rsidR="00B35ECB" w:rsidRPr="00AA504E" w:rsidRDefault="006F636A" w:rsidP="002A0D72">
      <w:pPr>
        <w:pStyle w:val="Citationenretrait"/>
        <w:rPr>
          <w:lang w:val="en-CA"/>
        </w:rPr>
      </w:pPr>
      <w:r w:rsidRPr="00AA504E">
        <w:rPr>
          <w:lang w:val="en-CA"/>
        </w:rPr>
        <w:t>[</w:t>
      </w:r>
      <w:r w:rsidRPr="00AA504E">
        <w:rPr>
          <w:smallCaps/>
          <w:lang w:val="en-CA"/>
        </w:rPr>
        <w:t>translation</w:t>
      </w:r>
      <w:r w:rsidRPr="00AA504E">
        <w:rPr>
          <w:lang w:val="en-CA"/>
        </w:rPr>
        <w:t>]</w:t>
      </w:r>
    </w:p>
    <w:p w14:paraId="40133117" w14:textId="5715CE78" w:rsidR="002A0D72" w:rsidRPr="00AA504E" w:rsidRDefault="00041B09" w:rsidP="002A0D72">
      <w:pPr>
        <w:pStyle w:val="Citationenretrait"/>
        <w:rPr>
          <w:lang w:val="en-CA"/>
        </w:rPr>
      </w:pPr>
      <w:r>
        <w:rPr>
          <w:lang w:val="en-CA"/>
        </w:rPr>
        <w:t>This means that</w:t>
      </w:r>
      <w:r w:rsidR="006F636A" w:rsidRPr="00AA504E">
        <w:rPr>
          <w:lang w:val="en-CA"/>
        </w:rPr>
        <w:t xml:space="preserve"> by recognizing the Florida judgment, we admit the validity </w:t>
      </w:r>
      <w:bookmarkStart w:id="9" w:name="_Hlk213752092"/>
      <w:r w:rsidR="006F636A" w:rsidRPr="00AA504E">
        <w:rPr>
          <w:lang w:val="en-CA"/>
        </w:rPr>
        <w:t xml:space="preserve">of the waiver of a party to raise any cause of nullity of the contract, including fraud by the other party, </w:t>
      </w:r>
      <w:bookmarkStart w:id="10" w:name="_Hlk214481216"/>
      <w:r w:rsidR="006F636A" w:rsidRPr="00AA504E">
        <w:rPr>
          <w:lang w:val="en-CA"/>
        </w:rPr>
        <w:t>even though the waiver itself may have been obtained by way of this fraud</w:t>
      </w:r>
      <w:bookmarkEnd w:id="10"/>
      <w:r w:rsidR="006F636A" w:rsidRPr="00AA504E">
        <w:rPr>
          <w:lang w:val="en-CA"/>
        </w:rPr>
        <w:t>.</w:t>
      </w:r>
      <w:bookmarkEnd w:id="9"/>
    </w:p>
    <w:p w14:paraId="3B4F099C" w14:textId="7A9EB5EB" w:rsidR="002A0D72" w:rsidRPr="00AA504E" w:rsidRDefault="006F636A" w:rsidP="00085355">
      <w:pPr>
        <w:pStyle w:val="Paragraphe"/>
        <w:widowControl w:val="0"/>
        <w:spacing w:before="240" w:line="280" w:lineRule="exact"/>
        <w:rPr>
          <w:lang w:val="en-CA"/>
        </w:rPr>
      </w:pPr>
      <w:r w:rsidRPr="00AA504E">
        <w:rPr>
          <w:lang w:val="en-CA"/>
        </w:rPr>
        <w:t xml:space="preserve">The judge then examined this </w:t>
      </w:r>
      <w:r w:rsidR="001E2729">
        <w:rPr>
          <w:lang w:val="en-CA"/>
        </w:rPr>
        <w:t>outcome</w:t>
      </w:r>
      <w:r w:rsidRPr="00AA504E">
        <w:rPr>
          <w:lang w:val="en-CA"/>
        </w:rPr>
        <w:t>’s consistency with public order as understood in international relations.</w:t>
      </w:r>
    </w:p>
    <w:p w14:paraId="62307FBC" w14:textId="2C933449" w:rsidR="002A0D72" w:rsidRPr="00AA504E" w:rsidRDefault="00B35ECB" w:rsidP="002A0D72">
      <w:pPr>
        <w:pStyle w:val="Paragraphe"/>
        <w:widowControl w:val="0"/>
        <w:spacing w:line="280" w:lineRule="exact"/>
        <w:rPr>
          <w:lang w:val="en-CA"/>
        </w:rPr>
      </w:pPr>
      <w:r w:rsidRPr="00AA504E">
        <w:rPr>
          <w:lang w:val="en-CA"/>
        </w:rPr>
        <w:t xml:space="preserve"> Relying on the work of Professor Lefebvre,</w:t>
      </w:r>
      <w:r w:rsidRPr="00AA504E">
        <w:rPr>
          <w:rFonts w:cs="Arial"/>
          <w:szCs w:val="24"/>
          <w:vertAlign w:val="superscript"/>
          <w:lang w:val="en-CA"/>
        </w:rPr>
        <w:footnoteReference w:id="23"/>
      </w:r>
      <w:r w:rsidRPr="00AA504E">
        <w:rPr>
          <w:lang w:val="en-CA"/>
        </w:rPr>
        <w:t xml:space="preserve"> she concluded that [</w:t>
      </w:r>
      <w:r w:rsidRPr="00AA504E">
        <w:rPr>
          <w:smallCaps/>
          <w:lang w:val="en-CA"/>
        </w:rPr>
        <w:t>translation</w:t>
      </w:r>
      <w:r w:rsidRPr="00AA504E">
        <w:rPr>
          <w:lang w:val="en-CA"/>
        </w:rPr>
        <w:t xml:space="preserve">] “preventing a party from invoking the </w:t>
      </w:r>
      <w:r w:rsidR="00C26F72">
        <w:rPr>
          <w:lang w:val="en-CA"/>
        </w:rPr>
        <w:t>wrongful</w:t>
      </w:r>
      <w:r w:rsidRPr="00AA504E">
        <w:rPr>
          <w:lang w:val="en-CA"/>
        </w:rPr>
        <w:t xml:space="preserve"> acts of the other party </w:t>
      </w:r>
      <w:r w:rsidR="001C21A3" w:rsidRPr="00AA504E">
        <w:rPr>
          <w:lang w:val="en-CA"/>
        </w:rPr>
        <w:t xml:space="preserve">that were </w:t>
      </w:r>
      <w:r w:rsidRPr="00AA504E">
        <w:rPr>
          <w:lang w:val="en-CA"/>
        </w:rPr>
        <w:t xml:space="preserve">unknown </w:t>
      </w:r>
      <w:r w:rsidRPr="00AA504E">
        <w:rPr>
          <w:lang w:val="en-CA"/>
        </w:rPr>
        <w:lastRenderedPageBreak/>
        <w:t xml:space="preserve">to them when the contract was formed, when the party would not have contracted but for those </w:t>
      </w:r>
      <w:r w:rsidR="007E5FFB">
        <w:rPr>
          <w:lang w:val="en-CA"/>
        </w:rPr>
        <w:t>wrongful</w:t>
      </w:r>
      <w:r w:rsidRPr="00AA504E">
        <w:rPr>
          <w:lang w:val="en-CA"/>
        </w:rPr>
        <w:t xml:space="preserve"> acts, </w:t>
      </w:r>
      <w:r w:rsidR="00EA71B6">
        <w:rPr>
          <w:lang w:val="en-CA"/>
        </w:rPr>
        <w:t xml:space="preserve">runs counter to </w:t>
      </w:r>
      <w:r w:rsidRPr="00AA504E">
        <w:rPr>
          <w:lang w:val="en-CA"/>
        </w:rPr>
        <w:t xml:space="preserve">the moral values of contractual honesty, fairness, and justice </w:t>
      </w:r>
      <w:r w:rsidR="00EA71B6">
        <w:rPr>
          <w:lang w:val="en-CA"/>
        </w:rPr>
        <w:t xml:space="preserve">that </w:t>
      </w:r>
      <w:r w:rsidRPr="00AA504E">
        <w:rPr>
          <w:lang w:val="en-CA"/>
        </w:rPr>
        <w:t>under</w:t>
      </w:r>
      <w:r w:rsidR="00EA71B6">
        <w:rPr>
          <w:lang w:val="en-CA"/>
        </w:rPr>
        <w:t>pin</w:t>
      </w:r>
      <w:r w:rsidRPr="00AA504E">
        <w:rPr>
          <w:lang w:val="en-CA"/>
        </w:rPr>
        <w:t xml:space="preserve"> the law of obligations”.</w:t>
      </w:r>
      <w:r w:rsidRPr="00AA504E">
        <w:rPr>
          <w:rFonts w:cs="Arial"/>
          <w:szCs w:val="24"/>
          <w:vertAlign w:val="superscript"/>
          <w:lang w:val="en-CA"/>
        </w:rPr>
        <w:footnoteReference w:id="24"/>
      </w:r>
      <w:r w:rsidR="003B1C16" w:rsidRPr="00AA504E">
        <w:rPr>
          <w:lang w:val="en-CA"/>
        </w:rPr>
        <w:t xml:space="preserve"> </w:t>
      </w:r>
    </w:p>
    <w:p w14:paraId="79A135DF" w14:textId="435E8ADF" w:rsidR="002A0D72" w:rsidRPr="00AA504E" w:rsidRDefault="00B35ECB" w:rsidP="002A0D72">
      <w:pPr>
        <w:pStyle w:val="Paragraphe"/>
        <w:widowControl w:val="0"/>
        <w:spacing w:line="280" w:lineRule="exact"/>
        <w:rPr>
          <w:lang w:val="en-CA"/>
        </w:rPr>
      </w:pPr>
      <w:r w:rsidRPr="00AA504E">
        <w:rPr>
          <w:lang w:val="en-CA"/>
        </w:rPr>
        <w:t xml:space="preserve">She added, relying this time on the </w:t>
      </w:r>
      <w:r w:rsidR="007E5FFB">
        <w:rPr>
          <w:lang w:val="en-CA"/>
        </w:rPr>
        <w:t>teachings</w:t>
      </w:r>
      <w:r w:rsidRPr="00AA504E">
        <w:rPr>
          <w:lang w:val="en-CA"/>
        </w:rPr>
        <w:t xml:space="preserve"> </w:t>
      </w:r>
      <w:r w:rsidR="0016367C">
        <w:rPr>
          <w:lang w:val="en-CA"/>
        </w:rPr>
        <w:t xml:space="preserve">of </w:t>
      </w:r>
      <w:r w:rsidRPr="00AA504E">
        <w:rPr>
          <w:lang w:val="en-CA"/>
        </w:rPr>
        <w:t>authors Baudouin and Jobin,</w:t>
      </w:r>
      <w:r w:rsidRPr="00AA504E">
        <w:rPr>
          <w:rFonts w:cs="Arial"/>
          <w:szCs w:val="24"/>
          <w:vertAlign w:val="superscript"/>
          <w:lang w:val="en-CA"/>
        </w:rPr>
        <w:footnoteReference w:id="25"/>
      </w:r>
      <w:r w:rsidRPr="00AA504E">
        <w:rPr>
          <w:rFonts w:cs="Arial"/>
          <w:szCs w:val="24"/>
          <w:lang w:val="en-CA"/>
        </w:rPr>
        <w:t xml:space="preserve"> that the dut</w:t>
      </w:r>
      <w:r w:rsidR="0016367C">
        <w:rPr>
          <w:rFonts w:cs="Arial"/>
          <w:szCs w:val="24"/>
          <w:lang w:val="en-CA"/>
        </w:rPr>
        <w:t>ies</w:t>
      </w:r>
      <w:r w:rsidRPr="00AA504E">
        <w:rPr>
          <w:rFonts w:cs="Arial"/>
          <w:szCs w:val="24"/>
          <w:lang w:val="en-CA"/>
        </w:rPr>
        <w:t xml:space="preserve"> to act fairly and in accordance with the requirement of good faith </w:t>
      </w:r>
      <w:r w:rsidR="0016367C">
        <w:rPr>
          <w:rFonts w:cs="Arial"/>
          <w:szCs w:val="24"/>
          <w:lang w:val="en-CA"/>
        </w:rPr>
        <w:t>are now</w:t>
      </w:r>
      <w:r w:rsidRPr="00AA504E">
        <w:rPr>
          <w:rFonts w:cs="Arial"/>
          <w:szCs w:val="24"/>
          <w:lang w:val="en-CA"/>
        </w:rPr>
        <w:t xml:space="preserve"> [</w:t>
      </w:r>
      <w:r w:rsidRPr="00AA504E">
        <w:rPr>
          <w:rFonts w:cs="Arial"/>
          <w:smallCaps/>
          <w:szCs w:val="24"/>
          <w:lang w:val="en-CA"/>
        </w:rPr>
        <w:t>translation</w:t>
      </w:r>
      <w:r w:rsidRPr="00AA504E">
        <w:rPr>
          <w:rFonts w:cs="Arial"/>
          <w:szCs w:val="24"/>
          <w:lang w:val="en-CA"/>
        </w:rPr>
        <w:t>] “fundamental” general principles</w:t>
      </w:r>
      <w:r w:rsidRPr="00AA504E">
        <w:rPr>
          <w:rFonts w:cs="Arial"/>
          <w:szCs w:val="24"/>
          <w:vertAlign w:val="superscript"/>
          <w:lang w:val="en-CA"/>
        </w:rPr>
        <w:footnoteReference w:id="26"/>
      </w:r>
      <w:r w:rsidRPr="00AA504E">
        <w:rPr>
          <w:rFonts w:cs="Arial"/>
          <w:szCs w:val="24"/>
          <w:lang w:val="en-CA"/>
        </w:rPr>
        <w:t xml:space="preserve"> likely to limit contractual freedom, not only in Quebec, but also in France</w:t>
      </w:r>
      <w:r w:rsidR="001C21A3" w:rsidRPr="00AA504E">
        <w:rPr>
          <w:rFonts w:cs="Arial"/>
          <w:szCs w:val="24"/>
          <w:lang w:val="en-CA"/>
        </w:rPr>
        <w:t>,</w:t>
      </w:r>
      <w:r w:rsidRPr="00AA504E">
        <w:rPr>
          <w:rFonts w:cs="Arial"/>
          <w:szCs w:val="24"/>
          <w:lang w:val="en-CA"/>
        </w:rPr>
        <w:t xml:space="preserve"> and in light of </w:t>
      </w:r>
      <w:r w:rsidR="0016367C">
        <w:rPr>
          <w:rFonts w:cs="Arial"/>
          <w:szCs w:val="24"/>
          <w:lang w:val="en-CA"/>
        </w:rPr>
        <w:t xml:space="preserve">transnational normative instruments such as </w:t>
      </w:r>
      <w:r w:rsidRPr="00AA504E">
        <w:rPr>
          <w:rFonts w:cs="Arial"/>
          <w:szCs w:val="24"/>
          <w:lang w:val="en-CA"/>
        </w:rPr>
        <w:t xml:space="preserve">the </w:t>
      </w:r>
      <w:r w:rsidRPr="00AA504E">
        <w:rPr>
          <w:rFonts w:cs="Arial"/>
          <w:i/>
          <w:szCs w:val="24"/>
          <w:lang w:val="en-CA"/>
        </w:rPr>
        <w:t>United Nations Convention on Contracts for the International Sale of Goods</w:t>
      </w:r>
      <w:r w:rsidRPr="00AA504E">
        <w:rPr>
          <w:rFonts w:cs="Arial"/>
          <w:szCs w:val="24"/>
          <w:lang w:val="en-CA"/>
        </w:rPr>
        <w:t>,</w:t>
      </w:r>
      <w:r w:rsidRPr="00AA504E">
        <w:rPr>
          <w:rFonts w:cs="Arial"/>
          <w:szCs w:val="24"/>
          <w:vertAlign w:val="superscript"/>
          <w:lang w:val="en-CA"/>
        </w:rPr>
        <w:footnoteReference w:id="27"/>
      </w:r>
      <w:r w:rsidRPr="00AA504E">
        <w:rPr>
          <w:rFonts w:cs="Arial"/>
          <w:szCs w:val="24"/>
          <w:lang w:val="en-CA"/>
        </w:rPr>
        <w:t xml:space="preserve"> the </w:t>
      </w:r>
      <w:r w:rsidRPr="0016367C">
        <w:rPr>
          <w:rFonts w:cs="Arial"/>
          <w:iCs/>
          <w:szCs w:val="24"/>
          <w:lang w:val="en-CA"/>
        </w:rPr>
        <w:t>UNIDROIT Principles of International Commercial Contracts</w:t>
      </w:r>
      <w:r w:rsidRPr="00AA504E">
        <w:rPr>
          <w:rFonts w:cs="Arial"/>
          <w:iCs/>
          <w:szCs w:val="24"/>
          <w:lang w:val="en-CA"/>
        </w:rPr>
        <w:t>,</w:t>
      </w:r>
      <w:r w:rsidRPr="00AA504E">
        <w:rPr>
          <w:rFonts w:cs="Arial"/>
          <w:szCs w:val="24"/>
          <w:vertAlign w:val="superscript"/>
          <w:lang w:val="en-CA"/>
        </w:rPr>
        <w:footnoteReference w:id="28"/>
      </w:r>
      <w:r w:rsidRPr="00AA504E">
        <w:rPr>
          <w:rFonts w:cs="Arial"/>
          <w:szCs w:val="24"/>
          <w:lang w:val="en-CA"/>
        </w:rPr>
        <w:t xml:space="preserve"> or the </w:t>
      </w:r>
      <w:r w:rsidR="001C21A3" w:rsidRPr="0016367C">
        <w:rPr>
          <w:rFonts w:cs="Arial"/>
          <w:szCs w:val="24"/>
          <w:lang w:val="en-CA"/>
        </w:rPr>
        <w:t>P</w:t>
      </w:r>
      <w:r w:rsidRPr="0016367C">
        <w:rPr>
          <w:rFonts w:cs="Arial"/>
          <w:szCs w:val="24"/>
          <w:lang w:val="en-CA"/>
        </w:rPr>
        <w:t xml:space="preserve">rinciples of European </w:t>
      </w:r>
      <w:r w:rsidR="001C21A3" w:rsidRPr="0016367C">
        <w:rPr>
          <w:rFonts w:cs="Arial"/>
          <w:szCs w:val="24"/>
          <w:lang w:val="en-CA"/>
        </w:rPr>
        <w:t>C</w:t>
      </w:r>
      <w:r w:rsidRPr="0016367C">
        <w:rPr>
          <w:rFonts w:cs="Arial"/>
          <w:szCs w:val="24"/>
          <w:lang w:val="en-CA"/>
        </w:rPr>
        <w:t xml:space="preserve">ontract </w:t>
      </w:r>
      <w:r w:rsidR="001C21A3" w:rsidRPr="0016367C">
        <w:rPr>
          <w:rFonts w:cs="Arial"/>
          <w:szCs w:val="24"/>
          <w:lang w:val="en-CA"/>
        </w:rPr>
        <w:t>L</w:t>
      </w:r>
      <w:r w:rsidRPr="0016367C">
        <w:rPr>
          <w:rFonts w:cs="Arial"/>
          <w:szCs w:val="24"/>
          <w:lang w:val="en-CA"/>
        </w:rPr>
        <w:t>aw</w:t>
      </w:r>
      <w:r w:rsidRPr="00AA504E">
        <w:rPr>
          <w:rFonts w:cs="Arial"/>
          <w:szCs w:val="24"/>
          <w:lang w:val="en-CA"/>
        </w:rPr>
        <w:t>.</w:t>
      </w:r>
      <w:r w:rsidRPr="00AA504E">
        <w:rPr>
          <w:rFonts w:cs="Arial"/>
          <w:szCs w:val="24"/>
          <w:vertAlign w:val="superscript"/>
          <w:lang w:val="en-CA"/>
        </w:rPr>
        <w:footnoteReference w:id="29"/>
      </w:r>
    </w:p>
    <w:p w14:paraId="389C9F67" w14:textId="1DFFEFA6" w:rsidR="002A0D72" w:rsidRPr="00AA504E" w:rsidRDefault="00AC713B" w:rsidP="002A0D72">
      <w:pPr>
        <w:pStyle w:val="Paragraphe"/>
        <w:widowControl w:val="0"/>
        <w:spacing w:line="280" w:lineRule="exact"/>
        <w:rPr>
          <w:lang w:val="en-CA"/>
        </w:rPr>
      </w:pPr>
      <w:r w:rsidRPr="00AA504E">
        <w:rPr>
          <w:lang w:val="en-CA"/>
        </w:rPr>
        <w:t xml:space="preserve">After </w:t>
      </w:r>
      <w:r w:rsidR="0016367C">
        <w:rPr>
          <w:lang w:val="en-CA"/>
        </w:rPr>
        <w:t>recall</w:t>
      </w:r>
      <w:r w:rsidR="0016367C" w:rsidRPr="00AA504E">
        <w:rPr>
          <w:lang w:val="en-CA"/>
        </w:rPr>
        <w:t xml:space="preserve">ing </w:t>
      </w:r>
      <w:r w:rsidRPr="00AA504E">
        <w:rPr>
          <w:lang w:val="en-CA"/>
        </w:rPr>
        <w:t xml:space="preserve">the importance of punishing </w:t>
      </w:r>
      <w:r w:rsidR="00DA4300">
        <w:rPr>
          <w:lang w:val="en-CA"/>
        </w:rPr>
        <w:t xml:space="preserve">any </w:t>
      </w:r>
      <w:r w:rsidRPr="00AA504E">
        <w:rPr>
          <w:lang w:val="en-CA"/>
        </w:rPr>
        <w:t xml:space="preserve">fraud </w:t>
      </w:r>
      <w:r w:rsidR="00DA4300">
        <w:rPr>
          <w:lang w:val="en-CA"/>
        </w:rPr>
        <w:t>or</w:t>
      </w:r>
      <w:r w:rsidR="00DA4300" w:rsidRPr="00AA504E">
        <w:rPr>
          <w:lang w:val="en-CA"/>
        </w:rPr>
        <w:t xml:space="preserve"> </w:t>
      </w:r>
      <w:r w:rsidRPr="00AA504E">
        <w:rPr>
          <w:lang w:val="en-CA"/>
        </w:rPr>
        <w:t>dishonesty, the judge noted the inconsistency between</w:t>
      </w:r>
      <w:r w:rsidR="001C21A3" w:rsidRPr="00AA504E">
        <w:rPr>
          <w:lang w:val="en-CA"/>
        </w:rPr>
        <w:t xml:space="preserve"> </w:t>
      </w:r>
      <w:r w:rsidRPr="00AA504E">
        <w:rPr>
          <w:lang w:val="en-CA"/>
        </w:rPr>
        <w:t xml:space="preserve">a foreign judgment that allows a party to profit from their own fraud, on the one hand, </w:t>
      </w:r>
      <w:r w:rsidR="004F741E" w:rsidRPr="00AA504E">
        <w:rPr>
          <w:lang w:val="en-CA"/>
        </w:rPr>
        <w:t>and</w:t>
      </w:r>
      <w:r w:rsidRPr="00AA504E">
        <w:rPr>
          <w:lang w:val="en-CA"/>
        </w:rPr>
        <w:t xml:space="preserve"> public order as it is understood in international relations, on the other hand.</w:t>
      </w:r>
      <w:r w:rsidR="003B1C16" w:rsidRPr="00AA504E">
        <w:rPr>
          <w:rFonts w:cs="Arial"/>
          <w:szCs w:val="24"/>
          <w:vertAlign w:val="superscript"/>
          <w:lang w:val="en-CA"/>
        </w:rPr>
        <w:footnoteReference w:id="30"/>
      </w:r>
    </w:p>
    <w:p w14:paraId="6B9C01C4" w14:textId="65996C0F" w:rsidR="002A0D72" w:rsidRPr="00AA504E" w:rsidRDefault="00B35ECB" w:rsidP="002A0D72">
      <w:pPr>
        <w:pStyle w:val="Paragraphe"/>
        <w:widowControl w:val="0"/>
        <w:spacing w:line="280" w:lineRule="exact"/>
        <w:rPr>
          <w:lang w:val="en-CA"/>
        </w:rPr>
      </w:pPr>
      <w:r w:rsidRPr="00AA504E">
        <w:rPr>
          <w:lang w:val="en-CA"/>
        </w:rPr>
        <w:t>She concluded her analysis by stating:</w:t>
      </w:r>
    </w:p>
    <w:p w14:paraId="13EE6276" w14:textId="77777777" w:rsidR="001C21A3" w:rsidRPr="00AA504E" w:rsidRDefault="001C21A3" w:rsidP="002A0D72">
      <w:pPr>
        <w:pStyle w:val="Citationenretrait"/>
        <w:rPr>
          <w:lang w:val="en-CA"/>
        </w:rPr>
      </w:pPr>
      <w:r w:rsidRPr="00AA504E">
        <w:rPr>
          <w:lang w:val="en-CA"/>
        </w:rPr>
        <w:t>[</w:t>
      </w:r>
      <w:r w:rsidRPr="00AA504E">
        <w:rPr>
          <w:smallCaps/>
          <w:lang w:val="en-CA"/>
        </w:rPr>
        <w:t>translation</w:t>
      </w:r>
      <w:r w:rsidRPr="00AA504E">
        <w:rPr>
          <w:lang w:val="en-CA"/>
        </w:rPr>
        <w:t>]</w:t>
      </w:r>
    </w:p>
    <w:p w14:paraId="5AFCA3C1" w14:textId="68FA8ADB" w:rsidR="002A0D72" w:rsidRPr="00AA504E" w:rsidRDefault="003B1C16" w:rsidP="002A0D72">
      <w:pPr>
        <w:pStyle w:val="Citationenretrait"/>
        <w:rPr>
          <w:lang w:val="en-CA"/>
        </w:rPr>
      </w:pPr>
      <w:r w:rsidRPr="00AA504E">
        <w:rPr>
          <w:lang w:val="en-CA"/>
        </w:rPr>
        <w:t>[35]</w:t>
      </w:r>
      <w:r w:rsidRPr="00AA504E">
        <w:rPr>
          <w:lang w:val="en-CA"/>
        </w:rPr>
        <w:tab/>
      </w:r>
      <w:r w:rsidR="00B35ECB" w:rsidRPr="00AA504E">
        <w:rPr>
          <w:lang w:val="en-CA"/>
        </w:rPr>
        <w:t xml:space="preserve">The Court finds that the condemnation of Apelian </w:t>
      </w:r>
      <w:r w:rsidR="00B35ECB" w:rsidRPr="00AA504E">
        <w:rPr>
          <w:u w:val="single"/>
          <w:lang w:val="en-CA"/>
        </w:rPr>
        <w:t xml:space="preserve">based on the waiver and release clauses preventing him from invoking against TCA its misrepresentations, fraudulent </w:t>
      </w:r>
      <w:r w:rsidR="000260AA" w:rsidRPr="00AA504E">
        <w:rPr>
          <w:u w:val="single"/>
          <w:lang w:val="en-CA"/>
        </w:rPr>
        <w:t>conduct,</w:t>
      </w:r>
      <w:r w:rsidR="00B35ECB" w:rsidRPr="00AA504E">
        <w:rPr>
          <w:u w:val="single"/>
          <w:lang w:val="en-CA"/>
        </w:rPr>
        <w:t xml:space="preserve"> and bad faith, which allegedly vitiated his consent, </w:t>
      </w:r>
      <w:r w:rsidR="00DA4300">
        <w:rPr>
          <w:u w:val="single"/>
          <w:lang w:val="en-CA"/>
        </w:rPr>
        <w:t xml:space="preserve">is </w:t>
      </w:r>
      <w:r w:rsidR="00B35ECB" w:rsidRPr="00AA504E">
        <w:rPr>
          <w:u w:val="single"/>
          <w:lang w:val="en-CA"/>
        </w:rPr>
        <w:t>manifestly inconsistent with public order as understood in international relations</w:t>
      </w:r>
      <w:r w:rsidR="00B35ECB" w:rsidRPr="00AA504E">
        <w:rPr>
          <w:lang w:val="en-CA"/>
        </w:rPr>
        <w:t>.</w:t>
      </w:r>
      <w:r w:rsidRPr="00AA504E">
        <w:rPr>
          <w:lang w:val="en-CA"/>
        </w:rPr>
        <w:t xml:space="preserve"> </w:t>
      </w:r>
      <w:r w:rsidR="00B35ECB" w:rsidRPr="00AA504E">
        <w:rPr>
          <w:lang w:val="en-CA"/>
        </w:rPr>
        <w:t xml:space="preserve">This condemnation reveals a significant divergence in legal and social </w:t>
      </w:r>
      <w:r w:rsidR="00DA4300">
        <w:rPr>
          <w:lang w:val="en-CA"/>
        </w:rPr>
        <w:t>conceptions</w:t>
      </w:r>
      <w:r w:rsidR="00DA4300" w:rsidRPr="00AA504E">
        <w:rPr>
          <w:lang w:val="en-CA"/>
        </w:rPr>
        <w:t xml:space="preserve"> </w:t>
      </w:r>
      <w:r w:rsidR="00B35ECB" w:rsidRPr="00AA504E">
        <w:rPr>
          <w:lang w:val="en-CA"/>
        </w:rPr>
        <w:t xml:space="preserve">with regard to the conduct expected of contracting parties in the </w:t>
      </w:r>
      <w:r w:rsidR="00DA4300">
        <w:rPr>
          <w:lang w:val="en-CA"/>
        </w:rPr>
        <w:t xml:space="preserve">legal order of the </w:t>
      </w:r>
      <w:r w:rsidR="00B35ECB" w:rsidRPr="00AA504E">
        <w:rPr>
          <w:lang w:val="en-CA"/>
        </w:rPr>
        <w:t xml:space="preserve">Quebec </w:t>
      </w:r>
      <w:r w:rsidR="00DA4300">
        <w:rPr>
          <w:lang w:val="en-CA"/>
        </w:rPr>
        <w:t>forum</w:t>
      </w:r>
      <w:r w:rsidR="00B35ECB" w:rsidRPr="00AA504E">
        <w:rPr>
          <w:lang w:val="en-CA"/>
        </w:rPr>
        <w:t>.</w:t>
      </w:r>
    </w:p>
    <w:p w14:paraId="2922FE27" w14:textId="2DA72C0B" w:rsidR="002A0D72" w:rsidRPr="00AA504E" w:rsidRDefault="003B1C16" w:rsidP="002A0D72">
      <w:pPr>
        <w:pStyle w:val="Citationenretrait"/>
        <w:rPr>
          <w:lang w:val="en-CA"/>
        </w:rPr>
      </w:pPr>
      <w:r w:rsidRPr="00AA504E">
        <w:rPr>
          <w:lang w:val="en-CA"/>
        </w:rPr>
        <w:t>[36]</w:t>
      </w:r>
      <w:r w:rsidRPr="00AA504E">
        <w:rPr>
          <w:lang w:val="en-CA"/>
        </w:rPr>
        <w:tab/>
      </w:r>
      <w:r w:rsidR="00B35ECB" w:rsidRPr="00AA504E">
        <w:rPr>
          <w:lang w:val="en-CA"/>
        </w:rPr>
        <w:t>That conclusion on Apelian’s application for homologation prevents the recognition by default of the judgment against the</w:t>
      </w:r>
      <w:r w:rsidR="006E5B9E">
        <w:rPr>
          <w:lang w:val="en-CA"/>
        </w:rPr>
        <w:t xml:space="preserve"> two</w:t>
      </w:r>
      <w:r w:rsidR="00B35ECB" w:rsidRPr="00AA504E">
        <w:rPr>
          <w:lang w:val="en-CA"/>
        </w:rPr>
        <w:t xml:space="preserve"> Canada </w:t>
      </w:r>
      <w:r w:rsidR="001C21A3" w:rsidRPr="00AA504E">
        <w:rPr>
          <w:lang w:val="en-CA"/>
        </w:rPr>
        <w:t>Inc</w:t>
      </w:r>
      <w:r w:rsidR="006E5B9E">
        <w:rPr>
          <w:lang w:val="en-CA"/>
        </w:rPr>
        <w:t>. corporation</w:t>
      </w:r>
      <w:r w:rsidR="007545BF">
        <w:rPr>
          <w:lang w:val="en-CA"/>
        </w:rPr>
        <w:t>s</w:t>
      </w:r>
      <w:r w:rsidR="001C21A3" w:rsidRPr="00AA504E">
        <w:rPr>
          <w:lang w:val="en-CA"/>
        </w:rPr>
        <w:t>.</w:t>
      </w:r>
      <w:r w:rsidRPr="00AA504E">
        <w:rPr>
          <w:lang w:val="en-CA"/>
        </w:rPr>
        <w:t xml:space="preserve"> </w:t>
      </w:r>
      <w:r w:rsidR="00B35ECB" w:rsidRPr="00AA504E">
        <w:rPr>
          <w:lang w:val="en-CA"/>
        </w:rPr>
        <w:t xml:space="preserve">The condemnation of the Canada </w:t>
      </w:r>
      <w:r w:rsidR="001C21A3" w:rsidRPr="00AA504E">
        <w:rPr>
          <w:lang w:val="en-CA"/>
        </w:rPr>
        <w:t>Inc.</w:t>
      </w:r>
      <w:r w:rsidR="00226EB5">
        <w:rPr>
          <w:lang w:val="en-CA"/>
        </w:rPr>
        <w:t xml:space="preserve"> </w:t>
      </w:r>
      <w:r w:rsidR="006E5B9E">
        <w:rPr>
          <w:lang w:val="en-CA"/>
        </w:rPr>
        <w:t>co</w:t>
      </w:r>
      <w:r w:rsidR="00226EB5">
        <w:rPr>
          <w:lang w:val="en-CA"/>
        </w:rPr>
        <w:t>r</w:t>
      </w:r>
      <w:r w:rsidR="006E5B9E">
        <w:rPr>
          <w:lang w:val="en-CA"/>
        </w:rPr>
        <w:t>poration</w:t>
      </w:r>
      <w:r w:rsidR="001C21A3" w:rsidRPr="00AA504E">
        <w:rPr>
          <w:lang w:val="en-CA"/>
        </w:rPr>
        <w:t>s</w:t>
      </w:r>
      <w:r w:rsidR="00B35ECB" w:rsidRPr="00AA504E">
        <w:rPr>
          <w:lang w:val="en-CA"/>
        </w:rPr>
        <w:t xml:space="preserve"> </w:t>
      </w:r>
      <w:r w:rsidR="000C665A">
        <w:rPr>
          <w:lang w:val="en-CA"/>
        </w:rPr>
        <w:t>by the</w:t>
      </w:r>
      <w:r w:rsidR="001C21A3" w:rsidRPr="00AA504E">
        <w:rPr>
          <w:lang w:val="en-CA"/>
        </w:rPr>
        <w:t xml:space="preserve"> Florida </w:t>
      </w:r>
      <w:r w:rsidR="000C665A">
        <w:rPr>
          <w:lang w:val="en-CA"/>
        </w:rPr>
        <w:t xml:space="preserve">court </w:t>
      </w:r>
      <w:r w:rsidR="001C21A3" w:rsidRPr="00AA504E">
        <w:rPr>
          <w:lang w:val="en-CA"/>
        </w:rPr>
        <w:t>was</w:t>
      </w:r>
      <w:r w:rsidR="00B35ECB" w:rsidRPr="00AA504E">
        <w:rPr>
          <w:lang w:val="en-CA"/>
        </w:rPr>
        <w:t xml:space="preserve"> based on the same legal reasoning and the same contractual clauses as </w:t>
      </w:r>
      <w:r w:rsidR="001C21A3" w:rsidRPr="00AA504E">
        <w:rPr>
          <w:lang w:val="en-CA"/>
        </w:rPr>
        <w:t xml:space="preserve">it was </w:t>
      </w:r>
      <w:r w:rsidR="00B35ECB" w:rsidRPr="00AA504E">
        <w:rPr>
          <w:lang w:val="en-CA"/>
        </w:rPr>
        <w:t xml:space="preserve">for </w:t>
      </w:r>
      <w:r w:rsidR="00B35ECB" w:rsidRPr="00AA504E">
        <w:rPr>
          <w:lang w:val="en-CA"/>
        </w:rPr>
        <w:lastRenderedPageBreak/>
        <w:t>Apelian.</w:t>
      </w:r>
      <w:r w:rsidRPr="00AA504E">
        <w:rPr>
          <w:lang w:val="en-CA"/>
        </w:rPr>
        <w:t xml:space="preserve"> </w:t>
      </w:r>
      <w:r w:rsidR="00B35ECB" w:rsidRPr="00AA504E">
        <w:rPr>
          <w:u w:val="single"/>
          <w:lang w:val="en-CA"/>
        </w:rPr>
        <w:t>Accordingly, the effects of the judgment are necessarily the same and its in</w:t>
      </w:r>
      <w:r w:rsidR="000C665A">
        <w:rPr>
          <w:u w:val="single"/>
          <w:lang w:val="en-CA"/>
        </w:rPr>
        <w:t>corporation</w:t>
      </w:r>
      <w:r w:rsidR="00B35ECB" w:rsidRPr="00AA504E">
        <w:rPr>
          <w:u w:val="single"/>
          <w:lang w:val="en-CA"/>
        </w:rPr>
        <w:t xml:space="preserve"> into Quebec law is therefore also </w:t>
      </w:r>
      <w:r w:rsidR="001C21A3" w:rsidRPr="00AA504E">
        <w:rPr>
          <w:u w:val="single"/>
          <w:lang w:val="en-CA"/>
        </w:rPr>
        <w:t>inco</w:t>
      </w:r>
      <w:r w:rsidR="000C665A">
        <w:rPr>
          <w:u w:val="single"/>
          <w:lang w:val="en-CA"/>
        </w:rPr>
        <w:t>nsistent</w:t>
      </w:r>
      <w:r w:rsidR="00B35ECB" w:rsidRPr="00AA504E">
        <w:rPr>
          <w:u w:val="single"/>
          <w:lang w:val="en-CA"/>
        </w:rPr>
        <w:t>.</w:t>
      </w:r>
    </w:p>
    <w:p w14:paraId="3E7CEC3E" w14:textId="11B24A8B" w:rsidR="002A0D72" w:rsidRPr="00AA504E" w:rsidRDefault="006C494E" w:rsidP="002A0D72">
      <w:pPr>
        <w:pStyle w:val="Paragraphe"/>
        <w:widowControl w:val="0"/>
        <w:numPr>
          <w:ilvl w:val="0"/>
          <w:numId w:val="0"/>
        </w:numPr>
        <w:tabs>
          <w:tab w:val="left" w:pos="1276"/>
        </w:tabs>
        <w:spacing w:line="240" w:lineRule="auto"/>
        <w:ind w:left="709" w:right="715"/>
        <w:jc w:val="right"/>
        <w:rPr>
          <w:sz w:val="22"/>
          <w:szCs w:val="22"/>
          <w:lang w:val="en-CA"/>
        </w:rPr>
      </w:pPr>
      <w:r w:rsidRPr="00AA504E">
        <w:rPr>
          <w:sz w:val="22"/>
          <w:szCs w:val="22"/>
          <w:lang w:val="en-CA"/>
        </w:rPr>
        <w:t>[Emphasis added.]</w:t>
      </w:r>
    </w:p>
    <w:p w14:paraId="597FEAB4" w14:textId="77777777" w:rsidR="002A0D72" w:rsidRPr="00AA504E" w:rsidRDefault="003B1C16" w:rsidP="002E7957">
      <w:pPr>
        <w:pStyle w:val="Paragraphe"/>
        <w:keepNext/>
        <w:widowControl w:val="0"/>
        <w:numPr>
          <w:ilvl w:val="0"/>
          <w:numId w:val="0"/>
        </w:numPr>
        <w:spacing w:before="240" w:line="280" w:lineRule="exact"/>
        <w:rPr>
          <w:b/>
          <w:bCs/>
          <w:lang w:val="en-CA"/>
        </w:rPr>
      </w:pPr>
      <w:r w:rsidRPr="00AA504E">
        <w:rPr>
          <w:b/>
          <w:bCs/>
          <w:lang w:val="en-CA"/>
        </w:rPr>
        <w:t>III.</w:t>
      </w:r>
      <w:r w:rsidRPr="00AA504E">
        <w:rPr>
          <w:b/>
          <w:bCs/>
          <w:lang w:val="en-CA"/>
        </w:rPr>
        <w:tab/>
      </w:r>
      <w:r w:rsidRPr="00AA504E">
        <w:rPr>
          <w:b/>
          <w:bCs/>
          <w:u w:val="single"/>
          <w:lang w:val="en-CA"/>
        </w:rPr>
        <w:t>Analysis</w:t>
      </w:r>
    </w:p>
    <w:p w14:paraId="1B5BCF9D" w14:textId="0C47CFA8" w:rsidR="002A0D72" w:rsidRPr="00AA504E" w:rsidRDefault="00B35ECB" w:rsidP="002A0D72">
      <w:pPr>
        <w:pStyle w:val="Paragraphe"/>
        <w:widowControl w:val="0"/>
        <w:spacing w:line="280" w:lineRule="exact"/>
        <w:rPr>
          <w:lang w:val="en-CA"/>
        </w:rPr>
      </w:pPr>
      <w:r w:rsidRPr="00AA504E">
        <w:rPr>
          <w:lang w:val="en-CA"/>
        </w:rPr>
        <w:t>The appellant argues that the trial judge committed several errors in applying art.</w:t>
      </w:r>
      <w:r w:rsidR="001C21A3" w:rsidRPr="00AA504E">
        <w:rPr>
          <w:lang w:val="en-CA"/>
        </w:rPr>
        <w:t> </w:t>
      </w:r>
      <w:r w:rsidRPr="00AA504E">
        <w:rPr>
          <w:lang w:val="en-CA"/>
        </w:rPr>
        <w:t xml:space="preserve">3155 </w:t>
      </w:r>
      <w:r w:rsidR="001C21A3" w:rsidRPr="00AA504E">
        <w:rPr>
          <w:lang w:val="en-CA"/>
        </w:rPr>
        <w:t>CCQ.</w:t>
      </w:r>
      <w:r w:rsidRPr="00AA504E">
        <w:rPr>
          <w:lang w:val="en-CA"/>
        </w:rPr>
        <w:t xml:space="preserve"> The judge’s first error was to lose sight of the fact that her analysis </w:t>
      </w:r>
      <w:r w:rsidR="000C665A">
        <w:rPr>
          <w:lang w:val="en-CA"/>
        </w:rPr>
        <w:t xml:space="preserve">should </w:t>
      </w:r>
      <w:r w:rsidRPr="00AA504E">
        <w:rPr>
          <w:lang w:val="en-CA"/>
        </w:rPr>
        <w:t>focus on the outcome of the judgment dated October 19, 2021, without reexamin</w:t>
      </w:r>
      <w:r w:rsidR="000C665A">
        <w:rPr>
          <w:lang w:val="en-CA"/>
        </w:rPr>
        <w:t>ing</w:t>
      </w:r>
      <w:r w:rsidRPr="00AA504E">
        <w:rPr>
          <w:lang w:val="en-CA"/>
        </w:rPr>
        <w:t xml:space="preserve"> the merits of the dispute.</w:t>
      </w:r>
      <w:r w:rsidR="003B1C16" w:rsidRPr="00AA504E">
        <w:rPr>
          <w:lang w:val="en-CA"/>
        </w:rPr>
        <w:t xml:space="preserve"> </w:t>
      </w:r>
      <w:r w:rsidR="00D30BC2" w:rsidRPr="00AA504E">
        <w:rPr>
          <w:lang w:val="en-CA"/>
        </w:rPr>
        <w:t>Moreover, she erred in applying the public order exception without any evidence regarding the values under</w:t>
      </w:r>
      <w:r w:rsidR="000C665A">
        <w:rPr>
          <w:lang w:val="en-CA"/>
        </w:rPr>
        <w:t>pinning</w:t>
      </w:r>
      <w:r w:rsidR="00D30BC2" w:rsidRPr="00AA504E">
        <w:rPr>
          <w:lang w:val="en-CA"/>
        </w:rPr>
        <w:t xml:space="preserve"> the international legal order, and this error led her to grant undue importance to Quebec’s domestic public order.</w:t>
      </w:r>
      <w:r w:rsidR="003B1C16" w:rsidRPr="00AA504E">
        <w:rPr>
          <w:lang w:val="en-CA"/>
        </w:rPr>
        <w:t xml:space="preserve"> </w:t>
      </w:r>
      <w:r w:rsidR="00D30BC2" w:rsidRPr="00AA504E">
        <w:rPr>
          <w:lang w:val="en-CA"/>
        </w:rPr>
        <w:t xml:space="preserve">Last, the judgment </w:t>
      </w:r>
      <w:r w:rsidR="009C011A" w:rsidRPr="009C011A">
        <w:rPr>
          <w:lang w:val="en-CA"/>
        </w:rPr>
        <w:t>under appeal</w:t>
      </w:r>
      <w:r w:rsidR="00D30BC2" w:rsidRPr="00AA504E">
        <w:rPr>
          <w:i/>
          <w:lang w:val="en-CA"/>
        </w:rPr>
        <w:t xml:space="preserve"> </w:t>
      </w:r>
      <w:r w:rsidR="00D30BC2" w:rsidRPr="00AA504E">
        <w:rPr>
          <w:lang w:val="en-CA"/>
        </w:rPr>
        <w:t xml:space="preserve">disregards the fact that the respondents had </w:t>
      </w:r>
      <w:r w:rsidR="00662FB7" w:rsidRPr="00AA504E">
        <w:rPr>
          <w:lang w:val="en-CA"/>
        </w:rPr>
        <w:t>many opportunities</w:t>
      </w:r>
      <w:r w:rsidR="00D30BC2" w:rsidRPr="00AA504E">
        <w:rPr>
          <w:lang w:val="en-CA"/>
        </w:rPr>
        <w:t xml:space="preserve"> to be heard during the Florida proceeding.</w:t>
      </w:r>
      <w:r w:rsidR="003B1C16" w:rsidRPr="00AA504E">
        <w:rPr>
          <w:lang w:val="en-CA"/>
        </w:rPr>
        <w:t xml:space="preserve"> </w:t>
      </w:r>
      <w:r w:rsidR="00D30BC2" w:rsidRPr="00AA504E">
        <w:rPr>
          <w:lang w:val="en-CA"/>
        </w:rPr>
        <w:t>The judge erred, therefore, in suggesting that they had been prevented from presenting their grounds with respect to the appellant’s allegedly fraudulent and dishonest behaviour.</w:t>
      </w:r>
    </w:p>
    <w:p w14:paraId="2C3873CE" w14:textId="42B0E142" w:rsidR="002A0D72" w:rsidRPr="00AA504E" w:rsidRDefault="00D30BC2" w:rsidP="002E7957">
      <w:pPr>
        <w:pStyle w:val="Paragraphe"/>
        <w:widowControl w:val="0"/>
        <w:numPr>
          <w:ilvl w:val="0"/>
          <w:numId w:val="19"/>
        </w:numPr>
        <w:spacing w:before="240" w:line="280" w:lineRule="exact"/>
        <w:ind w:left="714" w:hanging="357"/>
        <w:rPr>
          <w:b/>
          <w:lang w:val="en-CA"/>
        </w:rPr>
      </w:pPr>
      <w:r w:rsidRPr="00AA504E">
        <w:rPr>
          <w:b/>
          <w:lang w:val="en-CA"/>
        </w:rPr>
        <w:t xml:space="preserve">The judgment dated October 19, 2021, was not rendered in contravention of the fundamental principles of procedure within the </w:t>
      </w:r>
      <w:r w:rsidR="001C21A3" w:rsidRPr="00AA504E">
        <w:rPr>
          <w:b/>
          <w:lang w:val="en-CA"/>
        </w:rPr>
        <w:t>meaning</w:t>
      </w:r>
      <w:r w:rsidRPr="00AA504E">
        <w:rPr>
          <w:b/>
          <w:lang w:val="en-CA"/>
        </w:rPr>
        <w:t xml:space="preserve"> of art. 3155(3) </w:t>
      </w:r>
      <w:r w:rsidR="001C21A3" w:rsidRPr="00AA504E">
        <w:rPr>
          <w:b/>
          <w:bCs/>
          <w:lang w:val="en-CA"/>
        </w:rPr>
        <w:t>CCQ</w:t>
      </w:r>
    </w:p>
    <w:p w14:paraId="0CBF8167" w14:textId="7E996F9E" w:rsidR="002A0D72" w:rsidRPr="00AA504E" w:rsidRDefault="00D30BC2" w:rsidP="002A0D72">
      <w:pPr>
        <w:pStyle w:val="Paragraphe"/>
        <w:widowControl w:val="0"/>
        <w:spacing w:line="280" w:lineRule="exact"/>
        <w:rPr>
          <w:lang w:val="en-CA"/>
        </w:rPr>
      </w:pPr>
      <w:r w:rsidRPr="00AA504E">
        <w:rPr>
          <w:lang w:val="en-CA"/>
        </w:rPr>
        <w:t>At the outset</w:t>
      </w:r>
      <w:r w:rsidR="000C665A">
        <w:rPr>
          <w:lang w:val="en-CA"/>
        </w:rPr>
        <w:t>,</w:t>
      </w:r>
      <w:r w:rsidRPr="00AA504E">
        <w:rPr>
          <w:lang w:val="en-CA"/>
        </w:rPr>
        <w:t xml:space="preserve"> it is worthwhile noting </w:t>
      </w:r>
      <w:r w:rsidR="001C21A3" w:rsidRPr="00AA504E">
        <w:rPr>
          <w:lang w:val="en-CA"/>
        </w:rPr>
        <w:t xml:space="preserve">that </w:t>
      </w:r>
      <w:r w:rsidRPr="00AA504E">
        <w:rPr>
          <w:lang w:val="en-CA"/>
        </w:rPr>
        <w:t xml:space="preserve">the real issues in this </w:t>
      </w:r>
      <w:r w:rsidR="000C665A">
        <w:rPr>
          <w:lang w:val="en-CA"/>
        </w:rPr>
        <w:t>appeal</w:t>
      </w:r>
      <w:r w:rsidR="000C665A" w:rsidRPr="00AA504E">
        <w:rPr>
          <w:lang w:val="en-CA"/>
        </w:rPr>
        <w:t xml:space="preserve"> </w:t>
      </w:r>
      <w:r w:rsidRPr="00AA504E">
        <w:rPr>
          <w:lang w:val="en-CA"/>
        </w:rPr>
        <w:t>concern the public order exception and not the procedural fairness exception.</w:t>
      </w:r>
    </w:p>
    <w:p w14:paraId="29D3FE8C" w14:textId="23F8412C" w:rsidR="002A0D72" w:rsidRPr="00AA504E" w:rsidRDefault="00D30BC2" w:rsidP="002A0D72">
      <w:pPr>
        <w:pStyle w:val="Paragraphe"/>
        <w:widowControl w:val="0"/>
        <w:spacing w:line="280" w:lineRule="exact"/>
        <w:rPr>
          <w:lang w:val="en-CA"/>
        </w:rPr>
      </w:pPr>
      <w:r w:rsidRPr="00AA504E">
        <w:rPr>
          <w:lang w:val="en-CA"/>
        </w:rPr>
        <w:t xml:space="preserve">Indeed, it is clear that the judgment dated October 19, 2021, was not rendered “in contravention of the </w:t>
      </w:r>
      <w:r w:rsidR="001C21A3" w:rsidRPr="00AA504E">
        <w:rPr>
          <w:lang w:val="en-CA"/>
        </w:rPr>
        <w:t>fundamental</w:t>
      </w:r>
      <w:r w:rsidRPr="00AA504E">
        <w:rPr>
          <w:lang w:val="en-CA"/>
        </w:rPr>
        <w:t xml:space="preserve"> principles of procedure</w:t>
      </w:r>
      <w:r w:rsidRPr="00AA504E">
        <w:rPr>
          <w:i/>
          <w:lang w:val="en-CA"/>
        </w:rPr>
        <w:t>/en violation des principes essentiels de la procédure”</w:t>
      </w:r>
      <w:r w:rsidRPr="00AA504E">
        <w:rPr>
          <w:lang w:val="en-CA"/>
        </w:rPr>
        <w:t xml:space="preserve"> within the meaning of art.</w:t>
      </w:r>
      <w:r w:rsidR="003B1C16" w:rsidRPr="00AA504E">
        <w:rPr>
          <w:lang w:val="en-CA"/>
        </w:rPr>
        <w:t xml:space="preserve"> 3155(3) </w:t>
      </w:r>
      <w:r w:rsidR="001C21A3" w:rsidRPr="00AA504E">
        <w:rPr>
          <w:iCs/>
          <w:lang w:val="en-CA"/>
        </w:rPr>
        <w:t>CCQ.</w:t>
      </w:r>
      <w:r w:rsidR="003B1C16" w:rsidRPr="00AA504E">
        <w:rPr>
          <w:i/>
          <w:iCs/>
          <w:lang w:val="en-CA"/>
        </w:rPr>
        <w:t xml:space="preserve"> </w:t>
      </w:r>
      <w:r w:rsidR="00DE6040" w:rsidRPr="00AA504E">
        <w:rPr>
          <w:lang w:val="en-CA"/>
        </w:rPr>
        <w:t>This exception covers foreign judgments</w:t>
      </w:r>
      <w:r w:rsidR="001C21A3" w:rsidRPr="00AA504E">
        <w:rPr>
          <w:lang w:val="en-CA"/>
        </w:rPr>
        <w:t xml:space="preserve"> rendered </w:t>
      </w:r>
      <w:r w:rsidR="00F948D5">
        <w:rPr>
          <w:lang w:val="en-CA"/>
        </w:rPr>
        <w:t xml:space="preserve">following </w:t>
      </w:r>
      <w:r w:rsidR="001C21A3" w:rsidRPr="00AA504E">
        <w:rPr>
          <w:lang w:val="en-CA"/>
        </w:rPr>
        <w:t>a fraudulent proce</w:t>
      </w:r>
      <w:r w:rsidR="00F948D5">
        <w:rPr>
          <w:lang w:val="en-CA"/>
        </w:rPr>
        <w:t>ss</w:t>
      </w:r>
      <w:r w:rsidR="001C21A3" w:rsidRPr="00AA504E">
        <w:rPr>
          <w:rStyle w:val="Appelnotedebasdep"/>
          <w:lang w:val="en-CA"/>
        </w:rPr>
        <w:footnoteReference w:id="31"/>
      </w:r>
      <w:r w:rsidR="001C21A3" w:rsidRPr="00AA504E">
        <w:rPr>
          <w:lang w:val="en-CA"/>
        </w:rPr>
        <w:t xml:space="preserve"> or </w:t>
      </w:r>
      <w:r w:rsidR="00F948D5">
        <w:rPr>
          <w:lang w:val="en-CA"/>
        </w:rPr>
        <w:t xml:space="preserve">that </w:t>
      </w:r>
      <w:r w:rsidR="001C21A3" w:rsidRPr="00AA504E">
        <w:rPr>
          <w:lang w:val="en-CA"/>
        </w:rPr>
        <w:t>violat</w:t>
      </w:r>
      <w:r w:rsidR="00F948D5">
        <w:rPr>
          <w:lang w:val="en-CA"/>
        </w:rPr>
        <w:t>e</w:t>
      </w:r>
      <w:r w:rsidR="003B1C16" w:rsidRPr="00AA504E">
        <w:rPr>
          <w:rFonts w:cs="Arial"/>
          <w:lang w:val="en-CA"/>
        </w:rPr>
        <w:t xml:space="preserve"> [</w:t>
      </w:r>
      <w:r w:rsidR="003B1C16" w:rsidRPr="00AA504E">
        <w:rPr>
          <w:rFonts w:cs="Arial"/>
          <w:smallCaps/>
          <w:lang w:val="en-CA"/>
        </w:rPr>
        <w:t>translation</w:t>
      </w:r>
      <w:r w:rsidR="003B1C16" w:rsidRPr="00AA504E">
        <w:rPr>
          <w:rFonts w:cs="Arial"/>
          <w:lang w:val="en-CA"/>
        </w:rPr>
        <w:t xml:space="preserve">] </w:t>
      </w:r>
      <w:r w:rsidR="001C21A3" w:rsidRPr="00AA504E">
        <w:rPr>
          <w:rFonts w:cs="Arial"/>
          <w:lang w:val="en-CA"/>
        </w:rPr>
        <w:t xml:space="preserve">“certain broad principles, </w:t>
      </w:r>
      <w:r w:rsidR="003B1C16" w:rsidRPr="00AA504E">
        <w:rPr>
          <w:rFonts w:cs="Arial"/>
          <w:lang w:val="en-CA"/>
        </w:rPr>
        <w:t xml:space="preserve">such as the right to be </w:t>
      </w:r>
      <w:r w:rsidR="00B30465" w:rsidRPr="00AA504E">
        <w:rPr>
          <w:rFonts w:cs="Arial"/>
          <w:lang w:val="en-CA"/>
        </w:rPr>
        <w:t>summoned</w:t>
      </w:r>
      <w:r w:rsidR="003B1C16" w:rsidRPr="00AA504E">
        <w:rPr>
          <w:rFonts w:cs="Arial"/>
          <w:lang w:val="en-CA"/>
        </w:rPr>
        <w:t xml:space="preserve"> before the trial, the right to assert one’s grounds</w:t>
      </w:r>
      <w:r w:rsidR="001C21A3" w:rsidRPr="00AA504E">
        <w:rPr>
          <w:rFonts w:cs="Arial"/>
          <w:lang w:val="en-CA"/>
        </w:rPr>
        <w:t>”,</w:t>
      </w:r>
      <w:r w:rsidR="001C21A3" w:rsidRPr="00AA504E">
        <w:rPr>
          <w:rFonts w:cs="Arial"/>
          <w:szCs w:val="24"/>
          <w:vertAlign w:val="superscript"/>
          <w:lang w:val="en-CA"/>
        </w:rPr>
        <w:footnoteReference w:id="32"/>
      </w:r>
      <w:r w:rsidR="001C21A3" w:rsidRPr="00AA504E">
        <w:rPr>
          <w:rFonts w:cs="Arial"/>
          <w:lang w:val="en-CA"/>
        </w:rPr>
        <w:t xml:space="preserve"> or </w:t>
      </w:r>
      <w:r w:rsidR="00F948D5">
        <w:rPr>
          <w:rFonts w:cs="Arial"/>
          <w:lang w:val="en-CA"/>
        </w:rPr>
        <w:t xml:space="preserve">even  </w:t>
      </w:r>
      <w:r w:rsidR="001C21A3" w:rsidRPr="00AA504E">
        <w:rPr>
          <w:rFonts w:cs="Arial"/>
          <w:lang w:val="en-CA"/>
        </w:rPr>
        <w:t>[</w:t>
      </w:r>
      <w:r w:rsidR="001C21A3" w:rsidRPr="00AA504E">
        <w:rPr>
          <w:rFonts w:cs="Arial"/>
          <w:smallCaps/>
          <w:lang w:val="en-CA"/>
        </w:rPr>
        <w:t>translation</w:t>
      </w:r>
      <w:r w:rsidR="001C21A3" w:rsidRPr="00AA504E">
        <w:rPr>
          <w:rFonts w:cs="Arial"/>
          <w:lang w:val="en-CA"/>
        </w:rPr>
        <w:t>] “</w:t>
      </w:r>
      <w:r w:rsidR="007E3B96" w:rsidRPr="00AA504E">
        <w:rPr>
          <w:rFonts w:cs="Arial"/>
          <w:lang w:val="en-CA"/>
        </w:rPr>
        <w:t>adequate</w:t>
      </w:r>
      <w:r w:rsidR="001C21A3" w:rsidRPr="00AA504E">
        <w:rPr>
          <w:rFonts w:cs="Arial"/>
          <w:lang w:val="en-CA"/>
        </w:rPr>
        <w:t xml:space="preserve"> representation </w:t>
      </w:r>
      <w:r w:rsidR="007E3B96" w:rsidRPr="00AA504E">
        <w:rPr>
          <w:rFonts w:cs="Arial"/>
          <w:lang w:val="en-CA"/>
        </w:rPr>
        <w:t xml:space="preserve">of </w:t>
      </w:r>
      <w:r w:rsidR="007E3B96" w:rsidRPr="00AA504E">
        <w:rPr>
          <w:rFonts w:cs="Arial"/>
          <w:lang w:val="en-CA"/>
        </w:rPr>
        <w:lastRenderedPageBreak/>
        <w:t xml:space="preserve">the defendant </w:t>
      </w:r>
      <w:r w:rsidR="001C21A3" w:rsidRPr="00AA504E">
        <w:rPr>
          <w:rFonts w:cs="Arial"/>
          <w:lang w:val="en-CA"/>
        </w:rPr>
        <w:t xml:space="preserve">before the foreign </w:t>
      </w:r>
      <w:r w:rsidR="007E3B96" w:rsidRPr="00AA504E">
        <w:rPr>
          <w:rFonts w:cs="Arial"/>
          <w:lang w:val="en-CA"/>
        </w:rPr>
        <w:t>court</w:t>
      </w:r>
      <w:r w:rsidR="001C21A3" w:rsidRPr="00AA504E">
        <w:rPr>
          <w:rFonts w:cs="Arial"/>
          <w:lang w:val="en-CA"/>
        </w:rPr>
        <w:t>.</w:t>
      </w:r>
      <w:r w:rsidR="003B1C16" w:rsidRPr="00AA504E">
        <w:rPr>
          <w:rFonts w:cs="Arial"/>
          <w:szCs w:val="24"/>
          <w:vertAlign w:val="superscript"/>
          <w:lang w:val="en-CA"/>
        </w:rPr>
        <w:footnoteReference w:id="33"/>
      </w:r>
      <w:r w:rsidR="001C21A3" w:rsidRPr="00AA504E">
        <w:rPr>
          <w:lang w:val="en-CA"/>
        </w:rPr>
        <w:t xml:space="preserve"> </w:t>
      </w:r>
      <w:r w:rsidRPr="00AA504E">
        <w:rPr>
          <w:lang w:val="en-CA"/>
        </w:rPr>
        <w:t>However, the respondents, who insisted that the appellant’s action proceed in Florida rather than in Quebec, had an opportunity to be heard and to raise their grounds of defence, not just once, but four times:</w:t>
      </w:r>
      <w:r w:rsidR="003B1C16" w:rsidRPr="00AA504E">
        <w:rPr>
          <w:lang w:val="en-CA"/>
        </w:rPr>
        <w:t xml:space="preserve"> </w:t>
      </w:r>
      <w:r w:rsidRPr="00AA504E">
        <w:rPr>
          <w:lang w:val="en-CA"/>
        </w:rPr>
        <w:t>by filing their defence and cross-application;</w:t>
      </w:r>
      <w:r w:rsidR="003B1C16" w:rsidRPr="00AA504E">
        <w:rPr>
          <w:lang w:val="en-CA"/>
        </w:rPr>
        <w:t xml:space="preserve"> </w:t>
      </w:r>
      <w:r w:rsidRPr="00AA504E">
        <w:rPr>
          <w:lang w:val="en-CA"/>
        </w:rPr>
        <w:t>by contesting the application for summary dismissal of their defence and cross-application;</w:t>
      </w:r>
      <w:r w:rsidR="003B1C16" w:rsidRPr="00AA504E">
        <w:rPr>
          <w:lang w:val="en-CA"/>
        </w:rPr>
        <w:t xml:space="preserve"> </w:t>
      </w:r>
      <w:r w:rsidRPr="00AA504E">
        <w:rPr>
          <w:lang w:val="en-CA"/>
        </w:rPr>
        <w:t>by seeking the review of the judgment summarily dismissing their defence and cross-application;</w:t>
      </w:r>
      <w:r w:rsidR="003B1C16" w:rsidRPr="00AA504E">
        <w:rPr>
          <w:lang w:val="en-CA"/>
        </w:rPr>
        <w:t xml:space="preserve"> </w:t>
      </w:r>
      <w:r w:rsidRPr="00AA504E">
        <w:rPr>
          <w:lang w:val="en-CA"/>
        </w:rPr>
        <w:t>then by appealing from the judgment dated October 19, 2021.</w:t>
      </w:r>
      <w:r w:rsidR="003B1C16" w:rsidRPr="00AA504E">
        <w:rPr>
          <w:lang w:val="en-CA"/>
        </w:rPr>
        <w:t xml:space="preserve"> </w:t>
      </w:r>
      <w:r w:rsidRPr="00AA504E">
        <w:rPr>
          <w:lang w:val="en-CA"/>
        </w:rPr>
        <w:t xml:space="preserve">Nothing </w:t>
      </w:r>
      <w:r w:rsidR="001C21A3" w:rsidRPr="00AA504E">
        <w:rPr>
          <w:lang w:val="en-CA"/>
        </w:rPr>
        <w:t>suggests</w:t>
      </w:r>
      <w:r w:rsidRPr="00AA504E">
        <w:rPr>
          <w:lang w:val="en-CA"/>
        </w:rPr>
        <w:t xml:space="preserve"> that the respondents were not </w:t>
      </w:r>
      <w:r w:rsidR="00F948D5">
        <w:rPr>
          <w:lang w:val="en-CA"/>
        </w:rPr>
        <w:t xml:space="preserve">adequately </w:t>
      </w:r>
      <w:r w:rsidRPr="00AA504E">
        <w:rPr>
          <w:lang w:val="en-CA"/>
        </w:rPr>
        <w:t xml:space="preserve">represented or that the process </w:t>
      </w:r>
      <w:r w:rsidR="001C21A3" w:rsidRPr="00AA504E">
        <w:rPr>
          <w:lang w:val="en-CA"/>
        </w:rPr>
        <w:t>was tainted by</w:t>
      </w:r>
      <w:r w:rsidRPr="00AA504E">
        <w:rPr>
          <w:lang w:val="en-CA"/>
        </w:rPr>
        <w:t xml:space="preserve"> a procedural irregularity.</w:t>
      </w:r>
    </w:p>
    <w:p w14:paraId="44D90831" w14:textId="13974288" w:rsidR="002A0D72" w:rsidRPr="00AA504E" w:rsidRDefault="00D30BC2" w:rsidP="002A0D72">
      <w:pPr>
        <w:pStyle w:val="Paragraphe"/>
        <w:widowControl w:val="0"/>
        <w:spacing w:line="280" w:lineRule="exact"/>
        <w:rPr>
          <w:lang w:val="en-CA"/>
        </w:rPr>
      </w:pPr>
      <w:r w:rsidRPr="00AA504E">
        <w:rPr>
          <w:lang w:val="en-CA"/>
        </w:rPr>
        <w:t xml:space="preserve">It is true that the respondents complain that the Florida courts never ruled on the merits of their </w:t>
      </w:r>
      <w:r w:rsidR="009335A6">
        <w:rPr>
          <w:lang w:val="en-CA"/>
        </w:rPr>
        <w:t>defence concerning</w:t>
      </w:r>
      <w:r w:rsidRPr="00AA504E">
        <w:rPr>
          <w:lang w:val="en-CA"/>
        </w:rPr>
        <w:t xml:space="preserve"> a defect of consent related to the allegedly fraudulent conduct of the appellant.</w:t>
      </w:r>
      <w:r w:rsidR="003B1C16" w:rsidRPr="00AA504E">
        <w:rPr>
          <w:lang w:val="en-CA"/>
        </w:rPr>
        <w:t xml:space="preserve"> </w:t>
      </w:r>
      <w:r w:rsidRPr="00AA504E">
        <w:rPr>
          <w:lang w:val="en-CA"/>
        </w:rPr>
        <w:t xml:space="preserve">This, however, is not </w:t>
      </w:r>
      <w:r w:rsidR="009335A6">
        <w:rPr>
          <w:lang w:val="en-CA"/>
        </w:rPr>
        <w:t>due to any</w:t>
      </w:r>
      <w:r w:rsidRPr="00AA504E">
        <w:rPr>
          <w:lang w:val="en-CA"/>
        </w:rPr>
        <w:t xml:space="preserve"> procedural shortcoming or irregularity.</w:t>
      </w:r>
      <w:r w:rsidR="003B1C16" w:rsidRPr="00AA504E">
        <w:rPr>
          <w:lang w:val="en-CA"/>
        </w:rPr>
        <w:t xml:space="preserve"> </w:t>
      </w:r>
      <w:r w:rsidRPr="00AA504E">
        <w:rPr>
          <w:lang w:val="en-CA"/>
        </w:rPr>
        <w:t xml:space="preserve">Rather, it is </w:t>
      </w:r>
      <w:r w:rsidR="009335A6">
        <w:rPr>
          <w:lang w:val="en-CA"/>
        </w:rPr>
        <w:t xml:space="preserve">due to </w:t>
      </w:r>
      <w:r w:rsidRPr="00AA504E">
        <w:rPr>
          <w:lang w:val="en-CA"/>
        </w:rPr>
        <w:t xml:space="preserve">the fact that the Florida courts concluded that the respondents’ </w:t>
      </w:r>
      <w:r w:rsidR="009335A6">
        <w:rPr>
          <w:lang w:val="en-CA"/>
        </w:rPr>
        <w:t>defence</w:t>
      </w:r>
      <w:r w:rsidR="009335A6" w:rsidRPr="00AA504E">
        <w:rPr>
          <w:lang w:val="en-CA"/>
        </w:rPr>
        <w:t xml:space="preserve"> </w:t>
      </w:r>
      <w:r w:rsidRPr="00AA504E">
        <w:rPr>
          <w:lang w:val="en-CA"/>
        </w:rPr>
        <w:t>was clearly unfounded with respect to the waiver clauses in the loan agreement and the guarantee agreements they signed.</w:t>
      </w:r>
    </w:p>
    <w:p w14:paraId="551C16A4" w14:textId="20E6631A" w:rsidR="002A0D72" w:rsidRPr="00AA504E" w:rsidRDefault="00D30BC2" w:rsidP="002A0D72">
      <w:pPr>
        <w:pStyle w:val="Paragraphe"/>
        <w:widowControl w:val="0"/>
        <w:spacing w:line="280" w:lineRule="exact"/>
        <w:rPr>
          <w:lang w:val="en-CA"/>
        </w:rPr>
      </w:pPr>
      <w:r w:rsidRPr="00AA504E">
        <w:rPr>
          <w:lang w:val="en-CA"/>
        </w:rPr>
        <w:t xml:space="preserve">The trial judge correctly understood this </w:t>
      </w:r>
      <w:r w:rsidR="000260AA" w:rsidRPr="00AA504E">
        <w:rPr>
          <w:lang w:val="en-CA"/>
        </w:rPr>
        <w:t>distinction because</w:t>
      </w:r>
      <w:r w:rsidRPr="00AA504E">
        <w:rPr>
          <w:lang w:val="en-CA"/>
        </w:rPr>
        <w:t xml:space="preserve"> her analysis focused on the public order exception codified in art. 3155(5) </w:t>
      </w:r>
      <w:r w:rsidR="001C21A3" w:rsidRPr="00AA504E">
        <w:rPr>
          <w:lang w:val="en-CA"/>
        </w:rPr>
        <w:t>CCQ.</w:t>
      </w:r>
      <w:r w:rsidRPr="00AA504E">
        <w:rPr>
          <w:lang w:val="en-CA"/>
        </w:rPr>
        <w:t xml:space="preserve"> Let us now examine whether in doing so</w:t>
      </w:r>
      <w:r w:rsidR="004A50A5">
        <w:rPr>
          <w:lang w:val="en-CA"/>
        </w:rPr>
        <w:t>,</w:t>
      </w:r>
      <w:r w:rsidRPr="00AA504E">
        <w:rPr>
          <w:lang w:val="en-CA"/>
        </w:rPr>
        <w:t xml:space="preserve"> she committed reviewable errors by applying it </w:t>
      </w:r>
      <w:r w:rsidR="004A50A5">
        <w:rPr>
          <w:lang w:val="en-CA"/>
        </w:rPr>
        <w:t xml:space="preserve">to </w:t>
      </w:r>
      <w:r w:rsidRPr="00AA504E">
        <w:rPr>
          <w:lang w:val="en-CA"/>
        </w:rPr>
        <w:t>the circumstances of this case.</w:t>
      </w:r>
    </w:p>
    <w:p w14:paraId="319D7F6D" w14:textId="31566FB8" w:rsidR="002A0D72" w:rsidRPr="00AA504E" w:rsidRDefault="00D30BC2" w:rsidP="002E7957">
      <w:pPr>
        <w:pStyle w:val="Paragraphe"/>
        <w:keepNext/>
        <w:numPr>
          <w:ilvl w:val="0"/>
          <w:numId w:val="19"/>
        </w:numPr>
        <w:spacing w:before="240" w:line="280" w:lineRule="exact"/>
        <w:ind w:left="714" w:hanging="357"/>
        <w:rPr>
          <w:b/>
          <w:bCs/>
          <w:lang w:val="en-CA"/>
        </w:rPr>
      </w:pPr>
      <w:r w:rsidRPr="00AA504E">
        <w:rPr>
          <w:b/>
          <w:bCs/>
          <w:lang w:val="en-CA"/>
        </w:rPr>
        <w:t>Did the judge err in reexamining the judgment dated October 19, 2021</w:t>
      </w:r>
      <w:r w:rsidR="004A50A5">
        <w:rPr>
          <w:b/>
          <w:bCs/>
          <w:lang w:val="en-CA"/>
        </w:rPr>
        <w:t>,</w:t>
      </w:r>
      <w:r w:rsidRPr="00AA504E">
        <w:rPr>
          <w:b/>
          <w:bCs/>
          <w:lang w:val="en-CA"/>
        </w:rPr>
        <w:t xml:space="preserve"> on the merits rather than limiting her analysis to </w:t>
      </w:r>
      <w:r w:rsidR="001C21A3" w:rsidRPr="00AA504E">
        <w:rPr>
          <w:b/>
          <w:bCs/>
          <w:lang w:val="en-CA"/>
        </w:rPr>
        <w:t>its</w:t>
      </w:r>
      <w:r w:rsidRPr="00AA504E">
        <w:rPr>
          <w:b/>
          <w:bCs/>
          <w:lang w:val="en-CA"/>
        </w:rPr>
        <w:t xml:space="preserve"> outcome?</w:t>
      </w:r>
    </w:p>
    <w:p w14:paraId="022E3704" w14:textId="602F4349" w:rsidR="002A0D72" w:rsidRPr="00AA504E" w:rsidRDefault="00D30BC2" w:rsidP="002A0D72">
      <w:pPr>
        <w:pStyle w:val="Paragraphe"/>
        <w:widowControl w:val="0"/>
        <w:spacing w:line="280" w:lineRule="exact"/>
        <w:rPr>
          <w:lang w:val="en-CA"/>
        </w:rPr>
      </w:pPr>
      <w:r w:rsidRPr="00AA504E">
        <w:rPr>
          <w:lang w:val="en-CA"/>
        </w:rPr>
        <w:t>The appellant’s main argument is that in applying the public order exception, the judge reexamined the merits of the judgment dated October 19, 2021, when she should have limited her analysis to the judgment’s outcome.</w:t>
      </w:r>
      <w:r w:rsidR="003B1C16" w:rsidRPr="00AA504E">
        <w:rPr>
          <w:lang w:val="en-CA"/>
        </w:rPr>
        <w:t xml:space="preserve"> </w:t>
      </w:r>
      <w:r w:rsidRPr="00AA504E">
        <w:rPr>
          <w:lang w:val="en-CA"/>
        </w:rPr>
        <w:t>This error is determinative because the outcome of the judgment was simply to force the respondents to pay certain amounts pursuant to a very ordinary commercial transaction, that is, a loan secured by guarantees, which in no way contravenes public order as understood in international relations.</w:t>
      </w:r>
      <w:r w:rsidR="003B1C16" w:rsidRPr="00AA504E">
        <w:rPr>
          <w:lang w:val="en-CA"/>
        </w:rPr>
        <w:t xml:space="preserve"> </w:t>
      </w:r>
      <w:r w:rsidRPr="00AA504E">
        <w:rPr>
          <w:lang w:val="en-CA"/>
        </w:rPr>
        <w:t>The appellant is also of the view that the judge reached that conclusion at the beginning of her analysis, when she wrote:</w:t>
      </w:r>
      <w:r w:rsidRPr="00AA504E">
        <w:rPr>
          <w:rFonts w:cs="Arial"/>
          <w:szCs w:val="24"/>
          <w:vertAlign w:val="superscript"/>
          <w:lang w:val="en-CA"/>
        </w:rPr>
        <w:footnoteReference w:id="34"/>
      </w:r>
    </w:p>
    <w:p w14:paraId="2CB3337E" w14:textId="77777777" w:rsidR="001C21A3" w:rsidRPr="00AA504E" w:rsidRDefault="00D30BC2" w:rsidP="001C21A3">
      <w:pPr>
        <w:pStyle w:val="Citationenretrait"/>
        <w:keepNext/>
        <w:rPr>
          <w:lang w:val="en-CA"/>
        </w:rPr>
      </w:pPr>
      <w:r w:rsidRPr="00AA504E">
        <w:rPr>
          <w:lang w:val="en-CA"/>
        </w:rPr>
        <w:lastRenderedPageBreak/>
        <w:t>[</w:t>
      </w:r>
      <w:r w:rsidRPr="00AA504E">
        <w:rPr>
          <w:smallCaps/>
          <w:lang w:val="en-CA"/>
        </w:rPr>
        <w:t>translation</w:t>
      </w:r>
      <w:r w:rsidRPr="00AA504E">
        <w:rPr>
          <w:lang w:val="en-CA"/>
        </w:rPr>
        <w:t>]</w:t>
      </w:r>
    </w:p>
    <w:p w14:paraId="420153B1" w14:textId="44C04749" w:rsidR="002A0D72" w:rsidRPr="00AA504E" w:rsidRDefault="00D30BC2" w:rsidP="001C21A3">
      <w:pPr>
        <w:pStyle w:val="Citationenretrait"/>
        <w:keepNext/>
        <w:rPr>
          <w:lang w:val="en-CA"/>
        </w:rPr>
      </w:pPr>
      <w:r w:rsidRPr="00AA504E">
        <w:rPr>
          <w:lang w:val="en-CA"/>
        </w:rPr>
        <w:t xml:space="preserve">It is true that the </w:t>
      </w:r>
      <w:r w:rsidR="00E66E45">
        <w:rPr>
          <w:lang w:val="en-CA"/>
        </w:rPr>
        <w:t xml:space="preserve">effect </w:t>
      </w:r>
      <w:r w:rsidRPr="00AA504E">
        <w:rPr>
          <w:lang w:val="en-CA"/>
        </w:rPr>
        <w:t>of the judgment dated October 19, 2021, was to condemn the guarantor to re</w:t>
      </w:r>
      <w:r w:rsidR="00E66E45">
        <w:rPr>
          <w:lang w:val="en-CA"/>
        </w:rPr>
        <w:t>pay</w:t>
      </w:r>
      <w:r w:rsidRPr="00AA504E">
        <w:rPr>
          <w:lang w:val="en-CA"/>
        </w:rPr>
        <w:t xml:space="preserve"> the creditor </w:t>
      </w:r>
      <w:r w:rsidR="001C21A3" w:rsidRPr="00AA504E">
        <w:rPr>
          <w:lang w:val="en-CA"/>
        </w:rPr>
        <w:t xml:space="preserve">in the context of </w:t>
      </w:r>
      <w:r w:rsidRPr="00AA504E">
        <w:rPr>
          <w:lang w:val="en-CA"/>
        </w:rPr>
        <w:t xml:space="preserve">a loan, a </w:t>
      </w:r>
      <w:r w:rsidR="00641B39">
        <w:rPr>
          <w:lang w:val="en-CA"/>
        </w:rPr>
        <w:t>disbursement</w:t>
      </w:r>
      <w:r w:rsidRPr="00AA504E">
        <w:rPr>
          <w:lang w:val="en-CA"/>
        </w:rPr>
        <w:t>, and the debtor’s default.</w:t>
      </w:r>
      <w:r w:rsidR="003B1C16" w:rsidRPr="00AA504E">
        <w:rPr>
          <w:lang w:val="en-CA"/>
        </w:rPr>
        <w:t xml:space="preserve"> </w:t>
      </w:r>
      <w:r w:rsidRPr="00AA504E">
        <w:rPr>
          <w:lang w:val="en-CA"/>
        </w:rPr>
        <w:t>None of this is shocking.</w:t>
      </w:r>
    </w:p>
    <w:p w14:paraId="47F492D5" w14:textId="502120AC" w:rsidR="002A0D72" w:rsidRPr="00AA504E" w:rsidRDefault="00D30BC2" w:rsidP="002A0D72">
      <w:pPr>
        <w:pStyle w:val="Paragraphe"/>
        <w:widowControl w:val="0"/>
        <w:numPr>
          <w:ilvl w:val="0"/>
          <w:numId w:val="0"/>
        </w:numPr>
        <w:spacing w:line="280" w:lineRule="exact"/>
        <w:rPr>
          <w:lang w:val="en-CA"/>
        </w:rPr>
      </w:pPr>
      <w:r w:rsidRPr="00AA504E">
        <w:rPr>
          <w:lang w:val="en-CA"/>
        </w:rPr>
        <w:t xml:space="preserve">According to the appellant, however, the judge should have limited herself to that observation </w:t>
      </w:r>
      <w:r w:rsidR="006918B0">
        <w:rPr>
          <w:lang w:val="en-CA"/>
        </w:rPr>
        <w:t xml:space="preserve">instead of </w:t>
      </w:r>
      <w:r w:rsidR="001C21A3" w:rsidRPr="00AA504E">
        <w:rPr>
          <w:lang w:val="en-CA"/>
        </w:rPr>
        <w:t>extend</w:t>
      </w:r>
      <w:r w:rsidR="006918B0">
        <w:rPr>
          <w:lang w:val="en-CA"/>
        </w:rPr>
        <w:t>ing</w:t>
      </w:r>
      <w:r w:rsidRPr="00AA504E">
        <w:rPr>
          <w:lang w:val="en-CA"/>
        </w:rPr>
        <w:t xml:space="preserve"> her analysis to the nature and effect of the </w:t>
      </w:r>
      <w:r w:rsidR="00641B39">
        <w:rPr>
          <w:lang w:val="en-CA"/>
        </w:rPr>
        <w:t xml:space="preserve">disputed </w:t>
      </w:r>
      <w:r w:rsidRPr="00AA504E">
        <w:rPr>
          <w:lang w:val="en-CA"/>
        </w:rPr>
        <w:t>waiver clauses.</w:t>
      </w:r>
      <w:r w:rsidR="003B1C16" w:rsidRPr="00AA504E">
        <w:rPr>
          <w:lang w:val="en-CA"/>
        </w:rPr>
        <w:t xml:space="preserve"> </w:t>
      </w:r>
      <w:r w:rsidRPr="00AA504E">
        <w:rPr>
          <w:lang w:val="en-CA"/>
        </w:rPr>
        <w:t>In doing so, she violated the prohibition against examining the judgment on the merits.</w:t>
      </w:r>
    </w:p>
    <w:p w14:paraId="0CB1C495" w14:textId="715DD7CB" w:rsidR="002A0D72" w:rsidRPr="00AA504E" w:rsidRDefault="00D30BC2" w:rsidP="002A0D72">
      <w:pPr>
        <w:pStyle w:val="Paragraphe"/>
        <w:widowControl w:val="0"/>
        <w:spacing w:line="280" w:lineRule="exact"/>
        <w:rPr>
          <w:lang w:val="en-CA"/>
        </w:rPr>
      </w:pPr>
      <w:r w:rsidRPr="00AA504E">
        <w:rPr>
          <w:lang w:val="en-CA"/>
        </w:rPr>
        <w:t xml:space="preserve">The appellant is </w:t>
      </w:r>
      <w:r w:rsidR="006918B0">
        <w:rPr>
          <w:lang w:val="en-CA"/>
        </w:rPr>
        <w:t xml:space="preserve">clearly </w:t>
      </w:r>
      <w:r w:rsidRPr="00AA504E">
        <w:rPr>
          <w:lang w:val="en-CA"/>
        </w:rPr>
        <w:t>correct in stating that when called upon to apply the public order exception</w:t>
      </w:r>
      <w:r w:rsidR="001C21A3" w:rsidRPr="00AA504E">
        <w:rPr>
          <w:lang w:val="en-CA"/>
        </w:rPr>
        <w:t>,</w:t>
      </w:r>
      <w:r w:rsidRPr="00AA504E">
        <w:rPr>
          <w:lang w:val="en-CA"/>
        </w:rPr>
        <w:t xml:space="preserve"> the Court must </w:t>
      </w:r>
      <w:r w:rsidR="006918B0">
        <w:rPr>
          <w:lang w:val="en-CA"/>
        </w:rPr>
        <w:t xml:space="preserve">limit </w:t>
      </w:r>
      <w:r w:rsidRPr="00AA504E">
        <w:rPr>
          <w:lang w:val="en-CA"/>
        </w:rPr>
        <w:t>its analysis to the outcome of the foreign judgment while refraining from examining it on the merits.</w:t>
      </w:r>
      <w:r w:rsidR="003B1C16" w:rsidRPr="00AA504E">
        <w:rPr>
          <w:lang w:val="en-CA"/>
        </w:rPr>
        <w:t xml:space="preserve"> </w:t>
      </w:r>
      <w:r w:rsidR="001C21A3" w:rsidRPr="00AA504E">
        <w:rPr>
          <w:lang w:val="en-CA"/>
        </w:rPr>
        <w:t>Articles</w:t>
      </w:r>
      <w:r w:rsidRPr="00AA504E">
        <w:rPr>
          <w:lang w:val="en-CA"/>
        </w:rPr>
        <w:t xml:space="preserve"> 3155(5) and 3158 </w:t>
      </w:r>
      <w:r w:rsidR="001C21A3" w:rsidRPr="00AA504E">
        <w:rPr>
          <w:lang w:val="en-CA"/>
        </w:rPr>
        <w:t>CCQ</w:t>
      </w:r>
      <w:r w:rsidRPr="00AA504E">
        <w:rPr>
          <w:i/>
          <w:lang w:val="en-CA"/>
        </w:rPr>
        <w:t xml:space="preserve"> </w:t>
      </w:r>
      <w:r w:rsidRPr="00AA504E">
        <w:rPr>
          <w:lang w:val="en-CA"/>
        </w:rPr>
        <w:t xml:space="preserve">are clear on this point, which has been consistently noted in </w:t>
      </w:r>
      <w:r w:rsidR="006918B0">
        <w:rPr>
          <w:lang w:val="en-CA"/>
        </w:rPr>
        <w:t xml:space="preserve">the </w:t>
      </w:r>
      <w:r w:rsidRPr="00AA504E">
        <w:rPr>
          <w:lang w:val="en-CA"/>
        </w:rPr>
        <w:t>scholarly commentary</w:t>
      </w:r>
      <w:r w:rsidRPr="00AA504E">
        <w:rPr>
          <w:rFonts w:cs="Arial"/>
          <w:szCs w:val="24"/>
          <w:vertAlign w:val="superscript"/>
          <w:lang w:val="en-CA"/>
        </w:rPr>
        <w:footnoteReference w:id="35"/>
      </w:r>
      <w:r w:rsidRPr="00AA504E">
        <w:rPr>
          <w:lang w:val="en-CA"/>
        </w:rPr>
        <w:t xml:space="preserve"> and </w:t>
      </w:r>
      <w:r w:rsidR="001C21A3" w:rsidRPr="00AA504E">
        <w:rPr>
          <w:lang w:val="en-CA"/>
        </w:rPr>
        <w:t xml:space="preserve">the </w:t>
      </w:r>
      <w:r w:rsidRPr="00AA504E">
        <w:rPr>
          <w:lang w:val="en-CA"/>
        </w:rPr>
        <w:t>case law.</w:t>
      </w:r>
      <w:r w:rsidRPr="00AA504E">
        <w:rPr>
          <w:rFonts w:cs="Arial"/>
          <w:szCs w:val="24"/>
          <w:vertAlign w:val="superscript"/>
          <w:lang w:val="en-CA"/>
        </w:rPr>
        <w:footnoteReference w:id="36"/>
      </w:r>
    </w:p>
    <w:p w14:paraId="1ACF3B62" w14:textId="724FEF4E" w:rsidR="002A0D72" w:rsidRPr="00AA504E" w:rsidRDefault="00D30BC2" w:rsidP="002A0D72">
      <w:pPr>
        <w:pStyle w:val="Paragraphe"/>
        <w:widowControl w:val="0"/>
        <w:spacing w:line="280" w:lineRule="exact"/>
        <w:rPr>
          <w:lang w:val="en-CA"/>
        </w:rPr>
      </w:pPr>
      <w:r w:rsidRPr="00AA504E">
        <w:rPr>
          <w:lang w:val="en-CA"/>
        </w:rPr>
        <w:t>The Court notes, however, that the appellant’s interpretation of the notion of outcome is overly narrow when he asks the Court to conclude that the judgment dated October 19, 2021, merely condemned the respondents to pay certain amounts under a guaranteed loan.</w:t>
      </w:r>
      <w:r w:rsidR="003B1C16" w:rsidRPr="00AA504E">
        <w:rPr>
          <w:lang w:val="en-CA"/>
        </w:rPr>
        <w:t xml:space="preserve"> </w:t>
      </w:r>
      <w:r w:rsidRPr="00AA504E">
        <w:rPr>
          <w:lang w:val="en-CA"/>
        </w:rPr>
        <w:t xml:space="preserve">If his </w:t>
      </w:r>
      <w:r w:rsidR="006918B0">
        <w:rPr>
          <w:lang w:val="en-CA"/>
        </w:rPr>
        <w:t>reasoning</w:t>
      </w:r>
      <w:r w:rsidR="006918B0" w:rsidRPr="00AA504E">
        <w:rPr>
          <w:lang w:val="en-CA"/>
        </w:rPr>
        <w:t xml:space="preserve"> </w:t>
      </w:r>
      <w:r w:rsidRPr="00AA504E">
        <w:rPr>
          <w:lang w:val="en-CA"/>
        </w:rPr>
        <w:t xml:space="preserve">were accepted, </w:t>
      </w:r>
      <w:r w:rsidR="006918B0">
        <w:rPr>
          <w:lang w:val="en-CA"/>
        </w:rPr>
        <w:t xml:space="preserve">it would </w:t>
      </w:r>
      <w:r w:rsidRPr="00AA504E">
        <w:rPr>
          <w:lang w:val="en-CA"/>
        </w:rPr>
        <w:t xml:space="preserve">then </w:t>
      </w:r>
      <w:r w:rsidR="006918B0">
        <w:rPr>
          <w:lang w:val="en-CA"/>
        </w:rPr>
        <w:t xml:space="preserve">follow that </w:t>
      </w:r>
      <w:r w:rsidRPr="00AA504E">
        <w:rPr>
          <w:lang w:val="en-CA"/>
        </w:rPr>
        <w:t>art</w:t>
      </w:r>
      <w:r w:rsidR="00E870A1" w:rsidRPr="00AA504E">
        <w:rPr>
          <w:lang w:val="en-CA"/>
        </w:rPr>
        <w:t>.</w:t>
      </w:r>
      <w:r w:rsidRPr="00AA504E">
        <w:rPr>
          <w:lang w:val="en-CA"/>
        </w:rPr>
        <w:t xml:space="preserve"> 3155(5) </w:t>
      </w:r>
      <w:r w:rsidR="001C21A3" w:rsidRPr="00AA504E">
        <w:rPr>
          <w:lang w:val="en-CA"/>
        </w:rPr>
        <w:t>CCQ</w:t>
      </w:r>
      <w:r w:rsidR="001C21A3" w:rsidRPr="00AA504E">
        <w:rPr>
          <w:i/>
          <w:lang w:val="en-CA"/>
        </w:rPr>
        <w:t xml:space="preserve"> </w:t>
      </w:r>
      <w:r w:rsidR="001C21A3" w:rsidRPr="00AA504E">
        <w:rPr>
          <w:lang w:val="en-CA"/>
        </w:rPr>
        <w:t>could</w:t>
      </w:r>
      <w:r w:rsidRPr="00AA504E">
        <w:rPr>
          <w:lang w:val="en-CA"/>
        </w:rPr>
        <w:t xml:space="preserve"> not apply to a foreign judgment condemning a debtor to repay a loan </w:t>
      </w:r>
      <w:r w:rsidR="001C21A3" w:rsidRPr="00AA504E">
        <w:rPr>
          <w:lang w:val="en-CA"/>
        </w:rPr>
        <w:t>on the basis of</w:t>
      </w:r>
      <w:r w:rsidRPr="00AA504E">
        <w:rPr>
          <w:lang w:val="en-CA"/>
        </w:rPr>
        <w:t xml:space="preserve"> discriminatory contractual terms and conditions </w:t>
      </w:r>
      <w:r w:rsidR="001C21A3" w:rsidRPr="00AA504E">
        <w:rPr>
          <w:lang w:val="en-CA"/>
        </w:rPr>
        <w:t>related to</w:t>
      </w:r>
      <w:r w:rsidRPr="00AA504E">
        <w:rPr>
          <w:lang w:val="en-CA"/>
        </w:rPr>
        <w:t xml:space="preserve"> </w:t>
      </w:r>
      <w:r w:rsidR="006918B0">
        <w:rPr>
          <w:lang w:val="en-CA"/>
        </w:rPr>
        <w:t xml:space="preserve">grounds such as </w:t>
      </w:r>
      <w:r w:rsidRPr="00AA504E">
        <w:rPr>
          <w:lang w:val="en-CA"/>
        </w:rPr>
        <w:t>race, ethnic origin, or religion.</w:t>
      </w:r>
      <w:r w:rsidR="003B1C16" w:rsidRPr="00AA504E">
        <w:rPr>
          <w:lang w:val="en-CA"/>
        </w:rPr>
        <w:t xml:space="preserve"> </w:t>
      </w:r>
      <w:r w:rsidRPr="00AA504E">
        <w:rPr>
          <w:lang w:val="en-CA"/>
        </w:rPr>
        <w:t xml:space="preserve">The same would be true for a judgment condemning a mandator to pay their mandatary professional fees </w:t>
      </w:r>
      <w:r w:rsidR="001C21A3" w:rsidRPr="00AA504E">
        <w:rPr>
          <w:lang w:val="en-CA"/>
        </w:rPr>
        <w:t>owing under</w:t>
      </w:r>
      <w:r w:rsidRPr="00AA504E">
        <w:rPr>
          <w:lang w:val="en-CA"/>
        </w:rPr>
        <w:t xml:space="preserve"> a contract </w:t>
      </w:r>
      <w:r w:rsidR="006918B0">
        <w:rPr>
          <w:lang w:val="en-CA"/>
        </w:rPr>
        <w:t xml:space="preserve">to </w:t>
      </w:r>
      <w:r w:rsidRPr="00AA504E">
        <w:rPr>
          <w:lang w:val="en-CA"/>
        </w:rPr>
        <w:t>facilitat</w:t>
      </w:r>
      <w:r w:rsidR="006918B0">
        <w:rPr>
          <w:lang w:val="en-CA"/>
        </w:rPr>
        <w:t>e</w:t>
      </w:r>
      <w:r w:rsidRPr="00AA504E">
        <w:rPr>
          <w:lang w:val="en-CA"/>
        </w:rPr>
        <w:t xml:space="preserve"> the international sale of prohibited weapons.</w:t>
      </w:r>
      <w:r w:rsidR="003B1C16" w:rsidRPr="00AA504E">
        <w:rPr>
          <w:lang w:val="en-CA"/>
        </w:rPr>
        <w:t xml:space="preserve"> </w:t>
      </w:r>
      <w:r w:rsidRPr="00AA504E">
        <w:rPr>
          <w:lang w:val="en-CA"/>
        </w:rPr>
        <w:t xml:space="preserve">Clearly, such </w:t>
      </w:r>
      <w:r w:rsidR="006918B0">
        <w:rPr>
          <w:lang w:val="en-CA"/>
        </w:rPr>
        <w:t xml:space="preserve">outcomes </w:t>
      </w:r>
      <w:r w:rsidRPr="00AA504E">
        <w:rPr>
          <w:lang w:val="en-CA"/>
        </w:rPr>
        <w:t>would be intolerable.</w:t>
      </w:r>
    </w:p>
    <w:p w14:paraId="1B25DB5F" w14:textId="437D756F" w:rsidR="002A0D72" w:rsidRPr="00AA504E" w:rsidRDefault="00D30BC2" w:rsidP="002A0D72">
      <w:pPr>
        <w:pStyle w:val="Paragraphe"/>
        <w:widowControl w:val="0"/>
        <w:spacing w:line="280" w:lineRule="exact"/>
        <w:rPr>
          <w:lang w:val="en-CA"/>
        </w:rPr>
      </w:pPr>
      <w:r w:rsidRPr="00AA504E">
        <w:rPr>
          <w:lang w:val="en-CA"/>
        </w:rPr>
        <w:t xml:space="preserve">It is true that the public order exception derogates from the general principle </w:t>
      </w:r>
      <w:r w:rsidRPr="00AA504E">
        <w:rPr>
          <w:lang w:val="en-CA"/>
        </w:rPr>
        <w:lastRenderedPageBreak/>
        <w:t>fa</w:t>
      </w:r>
      <w:r w:rsidR="00DC6D3A">
        <w:rPr>
          <w:lang w:val="en-CA"/>
        </w:rPr>
        <w:t>cilitating</w:t>
      </w:r>
      <w:r w:rsidRPr="00AA504E">
        <w:rPr>
          <w:lang w:val="en-CA"/>
        </w:rPr>
        <w:t xml:space="preserve"> the recognition and enforcement of foreign judgments</w:t>
      </w:r>
      <w:r w:rsidR="001C21A3" w:rsidRPr="00AA504E">
        <w:rPr>
          <w:rFonts w:cs="Arial"/>
          <w:szCs w:val="24"/>
          <w:vertAlign w:val="superscript"/>
          <w:lang w:val="en-CA"/>
        </w:rPr>
        <w:footnoteReference w:id="37"/>
      </w:r>
      <w:r w:rsidRPr="00AA504E">
        <w:rPr>
          <w:rFonts w:cs="Arial"/>
          <w:szCs w:val="24"/>
          <w:vertAlign w:val="superscript"/>
          <w:lang w:val="en-CA"/>
        </w:rPr>
        <w:t xml:space="preserve"> </w:t>
      </w:r>
      <w:r w:rsidRPr="00AA504E">
        <w:rPr>
          <w:rFonts w:cs="Arial"/>
          <w:szCs w:val="24"/>
          <w:lang w:val="en-CA"/>
        </w:rPr>
        <w:t>and</w:t>
      </w:r>
      <w:r w:rsidR="006918B0">
        <w:rPr>
          <w:rFonts w:cs="Arial"/>
          <w:szCs w:val="24"/>
          <w:lang w:val="en-CA"/>
        </w:rPr>
        <w:t>,</w:t>
      </w:r>
      <w:r w:rsidRPr="00AA504E">
        <w:rPr>
          <w:rFonts w:cs="Arial"/>
          <w:szCs w:val="24"/>
          <w:lang w:val="en-CA"/>
        </w:rPr>
        <w:t xml:space="preserve"> for that reason</w:t>
      </w:r>
      <w:r w:rsidR="006918B0">
        <w:rPr>
          <w:rFonts w:cs="Arial"/>
          <w:szCs w:val="24"/>
          <w:lang w:val="en-CA"/>
        </w:rPr>
        <w:t>,</w:t>
      </w:r>
      <w:r w:rsidRPr="00AA504E">
        <w:rPr>
          <w:rFonts w:cs="Arial"/>
          <w:szCs w:val="24"/>
          <w:lang w:val="en-CA"/>
        </w:rPr>
        <w:t xml:space="preserve"> it is to be strictly applied.</w:t>
      </w:r>
      <w:r w:rsidR="001C21A3" w:rsidRPr="00AA504E">
        <w:rPr>
          <w:rFonts w:cs="Arial"/>
          <w:szCs w:val="24"/>
          <w:vertAlign w:val="superscript"/>
          <w:lang w:val="en-CA"/>
        </w:rPr>
        <w:footnoteReference w:id="38"/>
      </w:r>
      <w:r w:rsidRPr="00AA504E">
        <w:rPr>
          <w:rFonts w:cs="Arial"/>
          <w:szCs w:val="24"/>
          <w:lang w:val="en-CA"/>
        </w:rPr>
        <w:t xml:space="preserve"> </w:t>
      </w:r>
      <w:r w:rsidRPr="00AA504E">
        <w:rPr>
          <w:lang w:val="en-CA"/>
        </w:rPr>
        <w:t>Care must be taken, however, to avoid narrowing its scope to the point of compromising its role as a check against judgments whose recognition and enforcement in Quebec would likely cause serious injustice or violate fundamental norms.</w:t>
      </w:r>
    </w:p>
    <w:p w14:paraId="165D8AE7" w14:textId="3BEDD31F" w:rsidR="002A0D72" w:rsidRPr="00AA504E" w:rsidRDefault="00D30BC2" w:rsidP="002A0D72">
      <w:pPr>
        <w:pStyle w:val="Paragraphe"/>
        <w:widowControl w:val="0"/>
        <w:spacing w:line="280" w:lineRule="exact"/>
        <w:rPr>
          <w:lang w:val="en-CA"/>
        </w:rPr>
      </w:pPr>
      <w:r w:rsidRPr="00AA504E">
        <w:rPr>
          <w:lang w:val="en-CA"/>
        </w:rPr>
        <w:t>In the Court’s view, for the purposes of the application of the public order</w:t>
      </w:r>
      <w:r w:rsidR="00BD41C6">
        <w:rPr>
          <w:lang w:val="en-CA"/>
        </w:rPr>
        <w:t xml:space="preserve"> exception</w:t>
      </w:r>
      <w:r w:rsidRPr="00AA504E">
        <w:rPr>
          <w:lang w:val="en-CA"/>
        </w:rPr>
        <w:t xml:space="preserve">, the outcome of a </w:t>
      </w:r>
      <w:r w:rsidR="001C21A3" w:rsidRPr="00AA504E">
        <w:rPr>
          <w:lang w:val="en-CA"/>
        </w:rPr>
        <w:t>foreign judgment</w:t>
      </w:r>
      <w:r w:rsidRPr="00AA504E">
        <w:rPr>
          <w:lang w:val="en-CA"/>
        </w:rPr>
        <w:t xml:space="preserve"> cannot be analyzed solely on the content of its conclusions.</w:t>
      </w:r>
      <w:r w:rsidR="003B1C16" w:rsidRPr="00AA504E">
        <w:rPr>
          <w:lang w:val="en-CA"/>
        </w:rPr>
        <w:t xml:space="preserve"> </w:t>
      </w:r>
      <w:r w:rsidRPr="00AA504E">
        <w:rPr>
          <w:lang w:val="en-CA"/>
        </w:rPr>
        <w:t xml:space="preserve">Rather, </w:t>
      </w:r>
      <w:r w:rsidR="006C494E" w:rsidRPr="00AA504E">
        <w:rPr>
          <w:lang w:val="en-CA"/>
        </w:rPr>
        <w:t>i</w:t>
      </w:r>
      <w:r w:rsidRPr="00AA504E">
        <w:rPr>
          <w:lang w:val="en-CA"/>
        </w:rPr>
        <w:t>ts concrete effects, assessed according to the circumstances of the case, must be considered.</w:t>
      </w:r>
      <w:r w:rsidR="003B1C16" w:rsidRPr="00AA504E">
        <w:rPr>
          <w:lang w:val="en-CA"/>
        </w:rPr>
        <w:t xml:space="preserve"> </w:t>
      </w:r>
      <w:r w:rsidR="006C494E" w:rsidRPr="00AA504E">
        <w:rPr>
          <w:lang w:val="en-CA"/>
        </w:rPr>
        <w:t>This approach is consistent with the one favoured by authors Ferland and Laganière:</w:t>
      </w:r>
      <w:r w:rsidR="006C494E" w:rsidRPr="00AA504E">
        <w:rPr>
          <w:rFonts w:cs="Arial"/>
          <w:szCs w:val="24"/>
          <w:vertAlign w:val="superscript"/>
          <w:lang w:val="en-CA"/>
        </w:rPr>
        <w:footnoteReference w:id="39"/>
      </w:r>
    </w:p>
    <w:p w14:paraId="77DB0876" w14:textId="77777777" w:rsidR="001C21A3" w:rsidRPr="00AA504E" w:rsidRDefault="001C21A3" w:rsidP="002A0D72">
      <w:pPr>
        <w:pStyle w:val="Citationenretrait"/>
        <w:rPr>
          <w:lang w:val="en-CA"/>
        </w:rPr>
      </w:pPr>
      <w:r w:rsidRPr="00AA504E">
        <w:rPr>
          <w:lang w:val="en-CA"/>
        </w:rPr>
        <w:t>[</w:t>
      </w:r>
      <w:r w:rsidRPr="00AA504E">
        <w:rPr>
          <w:smallCaps/>
          <w:lang w:val="en-CA"/>
        </w:rPr>
        <w:t>translation</w:t>
      </w:r>
      <w:r w:rsidRPr="00AA504E">
        <w:rPr>
          <w:lang w:val="en-CA"/>
        </w:rPr>
        <w:t>]</w:t>
      </w:r>
    </w:p>
    <w:p w14:paraId="1DA68D06" w14:textId="0604EA3D" w:rsidR="002A0D72" w:rsidRPr="00AA504E" w:rsidRDefault="006C494E" w:rsidP="002A0D72">
      <w:pPr>
        <w:pStyle w:val="Citationenretrait"/>
        <w:rPr>
          <w:lang w:val="en-CA"/>
        </w:rPr>
      </w:pPr>
      <w:r w:rsidRPr="00AA504E">
        <w:rPr>
          <w:lang w:val="en-CA"/>
        </w:rPr>
        <w:t xml:space="preserve">In our opinion, ... the restrictive nature of review by the Quebec court </w:t>
      </w:r>
      <w:r w:rsidRPr="00AA504E">
        <w:rPr>
          <w:u w:val="single"/>
          <w:lang w:val="en-CA"/>
        </w:rPr>
        <w:t xml:space="preserve">must not be </w:t>
      </w:r>
      <w:r w:rsidR="001C21A3" w:rsidRPr="00AA504E">
        <w:rPr>
          <w:u w:val="single"/>
          <w:lang w:val="en-CA"/>
        </w:rPr>
        <w:t>exaggerated</w:t>
      </w:r>
      <w:r w:rsidRPr="00AA504E">
        <w:rPr>
          <w:lang w:val="en-CA"/>
        </w:rPr>
        <w:t xml:space="preserve">, or </w:t>
      </w:r>
      <w:r w:rsidRPr="00AA504E">
        <w:rPr>
          <w:u w:val="single"/>
          <w:lang w:val="en-CA"/>
        </w:rPr>
        <w:t xml:space="preserve">the order rendered by the foreign authority must not be </w:t>
      </w:r>
      <w:r w:rsidR="001949E4">
        <w:rPr>
          <w:u w:val="single"/>
          <w:lang w:val="en-CA"/>
        </w:rPr>
        <w:t xml:space="preserve">fully </w:t>
      </w:r>
      <w:r w:rsidRPr="00AA504E">
        <w:rPr>
          <w:u w:val="single"/>
          <w:lang w:val="en-CA"/>
        </w:rPr>
        <w:t xml:space="preserve">dissociated from the reasoning </w:t>
      </w:r>
      <w:r w:rsidR="00E24CDC">
        <w:rPr>
          <w:u w:val="single"/>
          <w:lang w:val="en-CA"/>
        </w:rPr>
        <w:t>underpinning</w:t>
      </w:r>
      <w:r w:rsidRPr="00AA504E">
        <w:rPr>
          <w:u w:val="single"/>
          <w:lang w:val="en-CA"/>
        </w:rPr>
        <w:t xml:space="preserve"> it.</w:t>
      </w:r>
      <w:r w:rsidR="003B1C16" w:rsidRPr="00AA504E">
        <w:rPr>
          <w:lang w:val="en-CA"/>
        </w:rPr>
        <w:t xml:space="preserve"> </w:t>
      </w:r>
      <w:r w:rsidRPr="00AA504E">
        <w:rPr>
          <w:lang w:val="en-CA"/>
        </w:rPr>
        <w:t xml:space="preserve">For example, a Quebec court could, in our view, refuse to recognize a decision giving effect to a contract </w:t>
      </w:r>
      <w:r w:rsidR="001949E4">
        <w:rPr>
          <w:lang w:val="en-CA"/>
        </w:rPr>
        <w:t>whose object</w:t>
      </w:r>
      <w:r w:rsidRPr="00AA504E">
        <w:rPr>
          <w:lang w:val="en-CA"/>
        </w:rPr>
        <w:t xml:space="preserve"> is contrary to international public order (for example, a contract </w:t>
      </w:r>
      <w:r w:rsidR="001949E4">
        <w:rPr>
          <w:lang w:val="en-CA"/>
        </w:rPr>
        <w:t xml:space="preserve">whose object is to </w:t>
      </w:r>
      <w:r w:rsidR="001C21A3" w:rsidRPr="00AA504E">
        <w:rPr>
          <w:lang w:val="en-CA"/>
        </w:rPr>
        <w:t>corrupt</w:t>
      </w:r>
      <w:r w:rsidRPr="00AA504E">
        <w:rPr>
          <w:lang w:val="en-CA"/>
        </w:rPr>
        <w:t xml:space="preserve"> a foreign public official), even if the decision merely condemned a party to pay a sum of money.</w:t>
      </w:r>
      <w:r w:rsidR="003B1C16" w:rsidRPr="00AA504E">
        <w:rPr>
          <w:lang w:val="en-CA"/>
        </w:rPr>
        <w:t xml:space="preserve"> </w:t>
      </w:r>
      <w:r w:rsidRPr="00AA504E">
        <w:rPr>
          <w:u w:val="single"/>
          <w:lang w:val="en-CA"/>
        </w:rPr>
        <w:t xml:space="preserve">Although it could be claimed that the </w:t>
      </w:r>
      <w:r w:rsidR="00B853E1">
        <w:rPr>
          <w:u w:val="single"/>
          <w:lang w:val="en-CA"/>
        </w:rPr>
        <w:t xml:space="preserve">outcome </w:t>
      </w:r>
      <w:r w:rsidRPr="00AA504E">
        <w:rPr>
          <w:u w:val="single"/>
          <w:lang w:val="en-CA"/>
        </w:rPr>
        <w:t xml:space="preserve">of the decision is merely a </w:t>
      </w:r>
      <w:r w:rsidR="00B853E1">
        <w:rPr>
          <w:u w:val="single"/>
          <w:lang w:val="en-CA"/>
        </w:rPr>
        <w:t xml:space="preserve">monetary </w:t>
      </w:r>
      <w:r w:rsidRPr="00AA504E">
        <w:rPr>
          <w:u w:val="single"/>
          <w:lang w:val="en-CA"/>
        </w:rPr>
        <w:t xml:space="preserve">condemnation (which is not </w:t>
      </w:r>
      <w:r w:rsidRPr="00AA504E">
        <w:rPr>
          <w:i/>
          <w:u w:val="single"/>
          <w:lang w:val="en-CA"/>
        </w:rPr>
        <w:t>per se</w:t>
      </w:r>
      <w:r w:rsidRPr="00AA504E">
        <w:rPr>
          <w:u w:val="single"/>
          <w:lang w:val="en-CA"/>
        </w:rPr>
        <w:t xml:space="preserve"> contrary to public order), it is clear that the real </w:t>
      </w:r>
      <w:r w:rsidR="00B853E1">
        <w:rPr>
          <w:u w:val="single"/>
          <w:lang w:val="en-CA"/>
        </w:rPr>
        <w:t xml:space="preserve">outcome </w:t>
      </w:r>
      <w:r w:rsidRPr="00AA504E">
        <w:rPr>
          <w:u w:val="single"/>
          <w:lang w:val="en-CA"/>
        </w:rPr>
        <w:t>of the decision should instead be seen as giving effect to an agreement contrary to international public order</w:t>
      </w:r>
      <w:r w:rsidRPr="00AA504E">
        <w:rPr>
          <w:lang w:val="en-CA"/>
        </w:rPr>
        <w:t>.</w:t>
      </w:r>
    </w:p>
    <w:p w14:paraId="197CCF23" w14:textId="144EB412" w:rsidR="002A0D72" w:rsidRPr="00AA504E" w:rsidRDefault="006C494E" w:rsidP="002A0D72">
      <w:pPr>
        <w:pStyle w:val="Paragraphe"/>
        <w:widowControl w:val="0"/>
        <w:numPr>
          <w:ilvl w:val="0"/>
          <w:numId w:val="0"/>
        </w:numPr>
        <w:spacing w:line="240" w:lineRule="auto"/>
        <w:ind w:left="709" w:right="715"/>
        <w:jc w:val="right"/>
        <w:rPr>
          <w:sz w:val="22"/>
          <w:szCs w:val="22"/>
          <w:lang w:val="en-CA"/>
        </w:rPr>
      </w:pPr>
      <w:r w:rsidRPr="00AA504E">
        <w:rPr>
          <w:sz w:val="22"/>
          <w:szCs w:val="22"/>
          <w:lang w:val="en-CA"/>
        </w:rPr>
        <w:t>[Emphasis added.]</w:t>
      </w:r>
    </w:p>
    <w:p w14:paraId="64232EC8" w14:textId="5331CA64" w:rsidR="002A0D72" w:rsidRPr="00AA504E" w:rsidRDefault="006C494E" w:rsidP="002E7957">
      <w:pPr>
        <w:pStyle w:val="Paragraphe"/>
        <w:widowControl w:val="0"/>
        <w:spacing w:before="240" w:line="280" w:lineRule="exact"/>
        <w:rPr>
          <w:lang w:val="en-CA"/>
        </w:rPr>
      </w:pPr>
      <w:r w:rsidRPr="00AA504E">
        <w:rPr>
          <w:lang w:val="en-CA"/>
        </w:rPr>
        <w:t>The trial judge was therefore right not to limit herself to the conclusions of the judgment dated October 19, 2021, and to find that its outcome was to give effect to [</w:t>
      </w:r>
      <w:r w:rsidRPr="00AA504E">
        <w:rPr>
          <w:smallCaps/>
          <w:lang w:val="en-CA"/>
        </w:rPr>
        <w:t>translation</w:t>
      </w:r>
      <w:r w:rsidRPr="00AA504E">
        <w:rPr>
          <w:lang w:val="en-CA"/>
        </w:rPr>
        <w:t>] “</w:t>
      </w:r>
      <w:bookmarkStart w:id="11" w:name="_Hlk213752120"/>
      <w:r w:rsidRPr="00AA504E">
        <w:rPr>
          <w:lang w:val="en-CA"/>
        </w:rPr>
        <w:t>the waiver of a party to raise any cause of nullity of the contract, including fraud by the other party, even though the waiver itself may have been obtained by way of this fraud</w:t>
      </w:r>
      <w:bookmarkEnd w:id="11"/>
      <w:r w:rsidRPr="00AA504E">
        <w:rPr>
          <w:lang w:val="en-CA"/>
        </w:rPr>
        <w:t>”.</w:t>
      </w:r>
      <w:r w:rsidRPr="00AA504E">
        <w:rPr>
          <w:rFonts w:cs="Arial"/>
          <w:szCs w:val="24"/>
          <w:vertAlign w:val="superscript"/>
          <w:lang w:val="en-CA"/>
        </w:rPr>
        <w:footnoteReference w:id="40"/>
      </w:r>
    </w:p>
    <w:p w14:paraId="34C689EB" w14:textId="187708BE" w:rsidR="002A0D72" w:rsidRPr="00AA504E" w:rsidRDefault="006C494E" w:rsidP="002A0D72">
      <w:pPr>
        <w:pStyle w:val="Paragraphe"/>
        <w:widowControl w:val="0"/>
        <w:spacing w:line="280" w:lineRule="exact"/>
        <w:rPr>
          <w:lang w:val="en-CA"/>
        </w:rPr>
      </w:pPr>
      <w:r w:rsidRPr="00AA504E">
        <w:rPr>
          <w:lang w:val="en-CA"/>
        </w:rPr>
        <w:lastRenderedPageBreak/>
        <w:t xml:space="preserve">The next question is whether she committed a reviewable error in finding that this </w:t>
      </w:r>
      <w:r w:rsidR="00056D6B">
        <w:rPr>
          <w:lang w:val="en-CA"/>
        </w:rPr>
        <w:t>outcome</w:t>
      </w:r>
      <w:r w:rsidR="00056D6B" w:rsidRPr="00AA504E">
        <w:rPr>
          <w:lang w:val="en-CA"/>
        </w:rPr>
        <w:t xml:space="preserve"> </w:t>
      </w:r>
      <w:r w:rsidR="00056D6B">
        <w:rPr>
          <w:lang w:val="en-CA"/>
        </w:rPr>
        <w:t>i</w:t>
      </w:r>
      <w:r w:rsidRPr="00AA504E">
        <w:rPr>
          <w:lang w:val="en-CA"/>
        </w:rPr>
        <w:t>s manifestly inconsistent with public order as understood in international relations.</w:t>
      </w:r>
    </w:p>
    <w:p w14:paraId="3FA5DF5A" w14:textId="23F4846F" w:rsidR="002A0D72" w:rsidRPr="00AA504E" w:rsidRDefault="006C494E" w:rsidP="002E7957">
      <w:pPr>
        <w:pStyle w:val="Paragraphe"/>
        <w:keepNext/>
        <w:numPr>
          <w:ilvl w:val="0"/>
          <w:numId w:val="19"/>
        </w:numPr>
        <w:spacing w:before="240" w:line="280" w:lineRule="exact"/>
        <w:ind w:left="714" w:hanging="357"/>
        <w:rPr>
          <w:b/>
          <w:bCs/>
          <w:lang w:val="en-CA"/>
        </w:rPr>
      </w:pPr>
      <w:r w:rsidRPr="00AA504E">
        <w:rPr>
          <w:b/>
          <w:bCs/>
          <w:lang w:val="en-CA"/>
        </w:rPr>
        <w:t xml:space="preserve">Did the judge commit a reviewable error in finding that the </w:t>
      </w:r>
      <w:r w:rsidR="00056D6B">
        <w:rPr>
          <w:b/>
          <w:bCs/>
          <w:lang w:val="en-CA"/>
        </w:rPr>
        <w:t>outcome</w:t>
      </w:r>
      <w:r w:rsidR="00056D6B" w:rsidRPr="00AA504E">
        <w:rPr>
          <w:b/>
          <w:bCs/>
          <w:lang w:val="en-CA"/>
        </w:rPr>
        <w:t xml:space="preserve"> </w:t>
      </w:r>
      <w:r w:rsidRPr="00AA504E">
        <w:rPr>
          <w:b/>
          <w:bCs/>
          <w:lang w:val="en-CA"/>
        </w:rPr>
        <w:t xml:space="preserve">of the judgment dated October 19, 2021, </w:t>
      </w:r>
      <w:r w:rsidR="00056D6B">
        <w:rPr>
          <w:b/>
          <w:bCs/>
          <w:lang w:val="en-CA"/>
        </w:rPr>
        <w:t>i</w:t>
      </w:r>
      <w:r w:rsidRPr="00AA504E">
        <w:rPr>
          <w:b/>
          <w:bCs/>
          <w:lang w:val="en-CA"/>
        </w:rPr>
        <w:t>s manifestly inconsistent with public order as understood in international relations?</w:t>
      </w:r>
    </w:p>
    <w:p w14:paraId="59765783" w14:textId="0D0C01B3" w:rsidR="002A0D72" w:rsidRPr="00AA504E" w:rsidRDefault="005206EF" w:rsidP="002A0D72">
      <w:pPr>
        <w:pStyle w:val="Paragraphe"/>
        <w:widowControl w:val="0"/>
        <w:spacing w:line="280" w:lineRule="exact"/>
        <w:rPr>
          <w:lang w:val="en-CA"/>
        </w:rPr>
      </w:pPr>
      <w:r w:rsidRPr="00AA504E">
        <w:rPr>
          <w:lang w:val="en-CA"/>
        </w:rPr>
        <w:t xml:space="preserve">As discussed above, the appellant mainly criticizes the judge for having applied the public order exception without any evidence of the values </w:t>
      </w:r>
      <w:r w:rsidR="00056D6B">
        <w:rPr>
          <w:lang w:val="en-CA"/>
        </w:rPr>
        <w:t>underpinning</w:t>
      </w:r>
      <w:r w:rsidRPr="00AA504E">
        <w:rPr>
          <w:lang w:val="en-CA"/>
        </w:rPr>
        <w:t xml:space="preserve"> the international legal order, and that error led her to place undue importance on Quebec’s domestic public order.</w:t>
      </w:r>
    </w:p>
    <w:p w14:paraId="2C0811EF" w14:textId="5B5A97DA" w:rsidR="002A0D72" w:rsidRPr="00AA504E" w:rsidRDefault="005206EF" w:rsidP="002E7957">
      <w:pPr>
        <w:pStyle w:val="Paragraphe"/>
        <w:numPr>
          <w:ilvl w:val="0"/>
          <w:numId w:val="21"/>
        </w:numPr>
        <w:spacing w:before="240" w:line="280" w:lineRule="exact"/>
        <w:ind w:left="1349" w:hanging="357"/>
        <w:rPr>
          <w:b/>
          <w:bCs/>
          <w:lang w:val="en-CA"/>
        </w:rPr>
      </w:pPr>
      <w:r w:rsidRPr="00AA504E">
        <w:rPr>
          <w:b/>
          <w:bCs/>
          <w:lang w:val="en-CA"/>
        </w:rPr>
        <w:t>The nature of public order as understood in international relations</w:t>
      </w:r>
    </w:p>
    <w:p w14:paraId="4CA4D364" w14:textId="78959A80" w:rsidR="002A0D72" w:rsidRPr="00AA504E" w:rsidRDefault="005206EF" w:rsidP="002A0D72">
      <w:pPr>
        <w:pStyle w:val="Paragraphe"/>
        <w:widowControl w:val="0"/>
        <w:spacing w:line="280" w:lineRule="exact"/>
        <w:rPr>
          <w:lang w:val="en-CA"/>
        </w:rPr>
      </w:pPr>
      <w:r w:rsidRPr="00AA504E">
        <w:rPr>
          <w:lang w:val="en-CA"/>
        </w:rPr>
        <w:t xml:space="preserve">At the outset, </w:t>
      </w:r>
      <w:r w:rsidR="001C21A3" w:rsidRPr="00AA504E">
        <w:rPr>
          <w:lang w:val="en-CA"/>
        </w:rPr>
        <w:t>the Court notes</w:t>
      </w:r>
      <w:r w:rsidRPr="00AA504E">
        <w:rPr>
          <w:lang w:val="en-CA"/>
        </w:rPr>
        <w:t xml:space="preserve"> that the appellant’s position is based on a mistaken premis</w:t>
      </w:r>
      <w:r w:rsidR="00056D6B">
        <w:rPr>
          <w:lang w:val="en-CA"/>
        </w:rPr>
        <w:t>e</w:t>
      </w:r>
      <w:r w:rsidRPr="00AA504E">
        <w:rPr>
          <w:lang w:val="en-CA"/>
        </w:rPr>
        <w:t xml:space="preserve"> about the nature of public order as understood in international relations.</w:t>
      </w:r>
      <w:r w:rsidR="003B1C16" w:rsidRPr="00AA504E">
        <w:rPr>
          <w:lang w:val="en-CA"/>
        </w:rPr>
        <w:t xml:space="preserve"> </w:t>
      </w:r>
      <w:r w:rsidRPr="00AA504E">
        <w:rPr>
          <w:lang w:val="en-CA"/>
        </w:rPr>
        <w:t xml:space="preserve">Indeed, that public order is not </w:t>
      </w:r>
      <w:r w:rsidR="00056D6B">
        <w:rPr>
          <w:lang w:val="en-CA"/>
        </w:rPr>
        <w:t xml:space="preserve">composed </w:t>
      </w:r>
      <w:r w:rsidRPr="00AA504E">
        <w:rPr>
          <w:lang w:val="en-CA"/>
        </w:rPr>
        <w:t>of norms that are extraneous to Quebec’s legal order</w:t>
      </w:r>
      <w:r w:rsidR="001C21A3" w:rsidRPr="00AA504E">
        <w:rPr>
          <w:lang w:val="en-CA"/>
        </w:rPr>
        <w:t xml:space="preserve">, the content of which would have to be proven by </w:t>
      </w:r>
      <w:r w:rsidRPr="00AA504E">
        <w:rPr>
          <w:lang w:val="en-CA"/>
        </w:rPr>
        <w:t xml:space="preserve">the party invoking art. 3155(5) </w:t>
      </w:r>
      <w:r w:rsidR="001C21A3" w:rsidRPr="00AA504E">
        <w:rPr>
          <w:lang w:val="en-CA"/>
        </w:rPr>
        <w:t xml:space="preserve">CCQ. </w:t>
      </w:r>
      <w:r w:rsidRPr="00AA504E">
        <w:rPr>
          <w:lang w:val="en-CA"/>
        </w:rPr>
        <w:t xml:space="preserve">As the Supreme Court noted in </w:t>
      </w:r>
      <w:r w:rsidRPr="00AA504E">
        <w:rPr>
          <w:i/>
          <w:lang w:val="en-CA"/>
        </w:rPr>
        <w:t>R.S.</w:t>
      </w:r>
      <w:r w:rsidR="003B1C16" w:rsidRPr="00AA504E">
        <w:rPr>
          <w:i/>
          <w:iCs/>
          <w:lang w:val="en-CA"/>
        </w:rPr>
        <w:t xml:space="preserve"> </w:t>
      </w:r>
      <w:r w:rsidRPr="00AA504E">
        <w:rPr>
          <w:lang w:val="en-CA"/>
        </w:rPr>
        <w:t xml:space="preserve">— concurring with the </w:t>
      </w:r>
      <w:r w:rsidR="00E870A1" w:rsidRPr="00AA504E">
        <w:rPr>
          <w:lang w:val="en-CA"/>
        </w:rPr>
        <w:t>commentary</w:t>
      </w:r>
      <w:r w:rsidRPr="00AA504E">
        <w:rPr>
          <w:lang w:val="en-CA"/>
        </w:rPr>
        <w:t xml:space="preserve"> on this point,</w:t>
      </w:r>
      <w:r w:rsidRPr="00AA504E">
        <w:rPr>
          <w:rStyle w:val="Appelnotedebasdep"/>
          <w:lang w:val="en-CA"/>
        </w:rPr>
        <w:footnoteReference w:id="41"/>
      </w:r>
      <w:r w:rsidRPr="00AA504E">
        <w:rPr>
          <w:lang w:val="en-CA"/>
        </w:rPr>
        <w:t xml:space="preserve">— public order as understood in international relations is composed of norms reflecting “the moral, social, economic or even political conceptions that underpin </w:t>
      </w:r>
      <w:r w:rsidRPr="00EF7242">
        <w:rPr>
          <w:u w:val="single"/>
          <w:lang w:val="en-CA"/>
        </w:rPr>
        <w:t>Quebec’s legal order</w:t>
      </w:r>
      <w:r w:rsidRPr="00AA504E">
        <w:rPr>
          <w:lang w:val="en-CA"/>
        </w:rPr>
        <w:t>”.</w:t>
      </w:r>
      <w:r w:rsidRPr="00AA504E">
        <w:rPr>
          <w:rStyle w:val="Appelnotedebasdep"/>
          <w:lang w:val="en-CA"/>
        </w:rPr>
        <w:footnoteReference w:id="42"/>
      </w:r>
    </w:p>
    <w:p w14:paraId="6A4E8DCD" w14:textId="20A9DC9D" w:rsidR="002A0D72" w:rsidRPr="00AA504E" w:rsidRDefault="005206EF" w:rsidP="002A0D72">
      <w:pPr>
        <w:pStyle w:val="Paragraphe"/>
        <w:widowControl w:val="0"/>
        <w:spacing w:line="280" w:lineRule="exact"/>
        <w:rPr>
          <w:lang w:val="en-CA"/>
        </w:rPr>
      </w:pPr>
      <w:r w:rsidRPr="00AA504E">
        <w:rPr>
          <w:lang w:val="en-CA"/>
        </w:rPr>
        <w:t xml:space="preserve">It is interesting to note that both normative instruments drawn upon by the legislature to draft art. 3155 </w:t>
      </w:r>
      <w:r w:rsidR="001C21A3" w:rsidRPr="00AA504E">
        <w:rPr>
          <w:lang w:val="en-CA"/>
        </w:rPr>
        <w:t>CCQ</w:t>
      </w:r>
      <w:r w:rsidRPr="00AA504E">
        <w:rPr>
          <w:rFonts w:cs="Arial"/>
          <w:szCs w:val="24"/>
          <w:vertAlign w:val="superscript"/>
          <w:lang w:val="en-CA"/>
        </w:rPr>
        <w:footnoteReference w:id="43"/>
      </w:r>
      <w:r w:rsidRPr="00AA504E">
        <w:rPr>
          <w:lang w:val="en-CA"/>
        </w:rPr>
        <w:t xml:space="preserve"> are to the same effect.</w:t>
      </w:r>
      <w:r w:rsidR="003B1C16" w:rsidRPr="00AA504E">
        <w:rPr>
          <w:lang w:val="en-CA"/>
        </w:rPr>
        <w:t xml:space="preserve"> </w:t>
      </w:r>
      <w:r w:rsidRPr="00AA504E">
        <w:rPr>
          <w:rFonts w:cs="Arial"/>
          <w:szCs w:val="24"/>
          <w:lang w:val="en-CA"/>
        </w:rPr>
        <w:t xml:space="preserve">The first, the </w:t>
      </w:r>
      <w:r w:rsidRPr="00AA504E">
        <w:rPr>
          <w:rFonts w:cs="Arial"/>
          <w:i/>
          <w:iCs/>
          <w:szCs w:val="24"/>
          <w:lang w:val="en-CA"/>
        </w:rPr>
        <w:t xml:space="preserve">Convention of 1 </w:t>
      </w:r>
      <w:r w:rsidRPr="00AA504E">
        <w:rPr>
          <w:rFonts w:cs="Arial"/>
          <w:i/>
          <w:iCs/>
          <w:szCs w:val="24"/>
          <w:lang w:val="en-CA"/>
        </w:rPr>
        <w:lastRenderedPageBreak/>
        <w:t>February 1971 on the Recognition and Enforcement of Foreign Judgments in Civil and Commercial Matters</w:t>
      </w:r>
      <w:r w:rsidRPr="00AA504E">
        <w:rPr>
          <w:rFonts w:cs="Arial"/>
          <w:szCs w:val="24"/>
          <w:lang w:val="en-CA"/>
        </w:rPr>
        <w:t xml:space="preserve"> adopted under the auspices of the Hague Conference on Private International</w:t>
      </w:r>
      <w:r w:rsidR="00671903">
        <w:rPr>
          <w:rFonts w:cs="Arial"/>
          <w:szCs w:val="24"/>
          <w:lang w:val="en-CA"/>
        </w:rPr>
        <w:t xml:space="preserve"> Law</w:t>
      </w:r>
      <w:r w:rsidRPr="00AA504E">
        <w:rPr>
          <w:rFonts w:cs="Arial"/>
          <w:szCs w:val="24"/>
          <w:lang w:val="en-CA"/>
        </w:rPr>
        <w:t>,</w:t>
      </w:r>
      <w:r w:rsidRPr="00AA504E">
        <w:rPr>
          <w:rFonts w:cs="Arial"/>
          <w:szCs w:val="24"/>
          <w:vertAlign w:val="superscript"/>
          <w:lang w:val="en-CA"/>
        </w:rPr>
        <w:footnoteReference w:id="44"/>
      </w:r>
      <w:r w:rsidR="00D979B5">
        <w:rPr>
          <w:rFonts w:cs="Arial"/>
          <w:szCs w:val="24"/>
          <w:lang w:val="en-CA"/>
        </w:rPr>
        <w:t xml:space="preserve"> </w:t>
      </w:r>
      <w:r w:rsidRPr="00AA504E">
        <w:rPr>
          <w:rFonts w:cs="Arial"/>
          <w:szCs w:val="24"/>
          <w:lang w:val="en-CA"/>
        </w:rPr>
        <w:t xml:space="preserve">provides that the recognition or enforcement of a foreign judgment may be </w:t>
      </w:r>
      <w:r w:rsidR="00671903">
        <w:rPr>
          <w:rFonts w:cs="Arial"/>
          <w:szCs w:val="24"/>
          <w:lang w:val="en-CA"/>
        </w:rPr>
        <w:t>refused</w:t>
      </w:r>
      <w:r w:rsidR="00671903" w:rsidRPr="00AA504E">
        <w:rPr>
          <w:rFonts w:cs="Arial"/>
          <w:szCs w:val="24"/>
          <w:lang w:val="en-CA"/>
        </w:rPr>
        <w:t xml:space="preserve"> </w:t>
      </w:r>
      <w:r w:rsidRPr="00AA504E">
        <w:rPr>
          <w:rFonts w:cs="Arial"/>
          <w:szCs w:val="24"/>
          <w:lang w:val="en-CA"/>
        </w:rPr>
        <w:t xml:space="preserve">if it is “manifestly incompatible with the </w:t>
      </w:r>
      <w:r w:rsidRPr="00AA504E">
        <w:rPr>
          <w:rFonts w:cs="Arial"/>
          <w:szCs w:val="24"/>
          <w:u w:val="single"/>
          <w:lang w:val="en-CA"/>
        </w:rPr>
        <w:t>public policy  of the State addressed</w:t>
      </w:r>
      <w:r w:rsidRPr="00AA504E">
        <w:rPr>
          <w:rFonts w:cs="Arial"/>
          <w:szCs w:val="24"/>
          <w:lang w:val="en-CA"/>
        </w:rPr>
        <w:t>“.</w:t>
      </w:r>
      <w:r w:rsidRPr="00AA504E">
        <w:rPr>
          <w:rFonts w:cs="Arial"/>
          <w:szCs w:val="24"/>
          <w:vertAlign w:val="superscript"/>
          <w:lang w:val="en-CA"/>
        </w:rPr>
        <w:footnoteReference w:id="45"/>
      </w:r>
      <w:r w:rsidR="003B1C16" w:rsidRPr="00AA504E">
        <w:rPr>
          <w:lang w:val="en-CA"/>
        </w:rPr>
        <w:t xml:space="preserve"> </w:t>
      </w:r>
      <w:r w:rsidRPr="00AA504E">
        <w:rPr>
          <w:lang w:val="en-CA"/>
        </w:rPr>
        <w:t xml:space="preserve">The second, the 1987 Swiss </w:t>
      </w:r>
      <w:r w:rsidR="001D022C" w:rsidRPr="00AA504E">
        <w:rPr>
          <w:i/>
          <w:lang w:val="en-CA"/>
        </w:rPr>
        <w:t>Federal Act on Private International Law</w:t>
      </w:r>
      <w:r w:rsidR="00C21623">
        <w:rPr>
          <w:iCs/>
          <w:lang w:val="en-CA"/>
        </w:rPr>
        <w:t>,</w:t>
      </w:r>
      <w:r w:rsidRPr="00AA504E">
        <w:rPr>
          <w:rFonts w:cs="Arial"/>
          <w:szCs w:val="24"/>
          <w:vertAlign w:val="superscript"/>
          <w:lang w:val="en-CA"/>
        </w:rPr>
        <w:footnoteReference w:id="46"/>
      </w:r>
      <w:r w:rsidRPr="00AA504E">
        <w:rPr>
          <w:lang w:val="en-CA"/>
        </w:rPr>
        <w:t xml:space="preserve"> provides that</w:t>
      </w:r>
      <w:r w:rsidR="001D022C" w:rsidRPr="00AA504E">
        <w:rPr>
          <w:lang w:val="en-CA"/>
        </w:rPr>
        <w:t xml:space="preserve"> </w:t>
      </w:r>
      <w:r w:rsidRPr="00AA504E">
        <w:rPr>
          <w:lang w:val="en-CA"/>
        </w:rPr>
        <w:t>“</w:t>
      </w:r>
      <w:r w:rsidR="00D979B5">
        <w:rPr>
          <w:rFonts w:cs="Arial"/>
          <w:lang w:val="en-CA"/>
        </w:rPr>
        <w:t>[</w:t>
      </w:r>
      <w:r w:rsidR="00C21623">
        <w:rPr>
          <w:rFonts w:cs="Arial"/>
          <w:lang w:val="en-CA"/>
        </w:rPr>
        <w:t>r</w:t>
      </w:r>
      <w:r w:rsidR="00D979B5">
        <w:rPr>
          <w:rFonts w:cs="Arial"/>
          <w:lang w:val="en-CA"/>
        </w:rPr>
        <w:t>]</w:t>
      </w:r>
      <w:r w:rsidR="00C21623">
        <w:rPr>
          <w:rFonts w:cs="Arial"/>
          <w:lang w:val="en-CA"/>
        </w:rPr>
        <w:t>ecognition of a</w:t>
      </w:r>
      <w:r w:rsidRPr="00AA504E">
        <w:rPr>
          <w:lang w:val="en-CA"/>
        </w:rPr>
        <w:t xml:space="preserve"> foreign decision </w:t>
      </w:r>
      <w:r w:rsidR="00C21623">
        <w:rPr>
          <w:lang w:val="en-CA"/>
        </w:rPr>
        <w:t xml:space="preserve">must be denied </w:t>
      </w:r>
      <w:r w:rsidRPr="00AA504E">
        <w:rPr>
          <w:lang w:val="en-CA"/>
        </w:rPr>
        <w:t xml:space="preserve">in Switzerland if </w:t>
      </w:r>
      <w:r w:rsidR="00C21623">
        <w:rPr>
          <w:lang w:val="en-CA"/>
        </w:rPr>
        <w:t xml:space="preserve">such decision </w:t>
      </w:r>
      <w:r w:rsidRPr="00AA504E">
        <w:rPr>
          <w:lang w:val="en-CA"/>
        </w:rPr>
        <w:t xml:space="preserve">is manifestly incompatible with </w:t>
      </w:r>
      <w:r w:rsidRPr="00AA504E">
        <w:rPr>
          <w:u w:val="single"/>
          <w:lang w:val="en-CA"/>
        </w:rPr>
        <w:t>Swiss public policy</w:t>
      </w:r>
      <w:r w:rsidRPr="00AA504E">
        <w:rPr>
          <w:lang w:val="en-CA"/>
        </w:rPr>
        <w:t>”.</w:t>
      </w:r>
      <w:r w:rsidRPr="00AA504E">
        <w:rPr>
          <w:rFonts w:cs="Arial"/>
          <w:szCs w:val="24"/>
          <w:vertAlign w:val="superscript"/>
          <w:lang w:val="en-CA"/>
        </w:rPr>
        <w:footnoteReference w:id="47"/>
      </w:r>
    </w:p>
    <w:p w14:paraId="62A2CF95" w14:textId="5C3DC504" w:rsidR="002A0D72" w:rsidRPr="00AA504E" w:rsidRDefault="005206EF" w:rsidP="002A0D72">
      <w:pPr>
        <w:pStyle w:val="Paragraphe"/>
        <w:widowControl w:val="0"/>
        <w:spacing w:line="280" w:lineRule="exact"/>
        <w:rPr>
          <w:lang w:val="en-CA"/>
        </w:rPr>
      </w:pPr>
      <w:r w:rsidRPr="00AA504E">
        <w:rPr>
          <w:lang w:val="en-CA"/>
        </w:rPr>
        <w:t xml:space="preserve">A similar approach prevails </w:t>
      </w:r>
      <w:r w:rsidR="007E4C53">
        <w:rPr>
          <w:lang w:val="en-CA"/>
        </w:rPr>
        <w:t xml:space="preserve">in </w:t>
      </w:r>
      <w:r w:rsidRPr="00AA504E">
        <w:rPr>
          <w:lang w:val="en-CA"/>
        </w:rPr>
        <w:t>common law</w:t>
      </w:r>
      <w:r w:rsidR="00C21623">
        <w:rPr>
          <w:lang w:val="en-CA"/>
        </w:rPr>
        <w:t xml:space="preserve"> jurisdictions</w:t>
      </w:r>
      <w:r w:rsidRPr="00AA504E">
        <w:rPr>
          <w:lang w:val="en-CA"/>
        </w:rPr>
        <w:t xml:space="preserve">, where the public policy exception </w:t>
      </w:r>
      <w:r w:rsidR="00C21623">
        <w:rPr>
          <w:lang w:val="en-CA"/>
        </w:rPr>
        <w:t>denies</w:t>
      </w:r>
      <w:r w:rsidR="00C21623" w:rsidRPr="00AA504E">
        <w:rPr>
          <w:lang w:val="en-CA"/>
        </w:rPr>
        <w:t xml:space="preserve"> </w:t>
      </w:r>
      <w:r w:rsidRPr="00AA504E">
        <w:rPr>
          <w:lang w:val="en-CA"/>
        </w:rPr>
        <w:t xml:space="preserve">the recognition or </w:t>
      </w:r>
      <w:r w:rsidR="001C21A3" w:rsidRPr="00AA504E">
        <w:rPr>
          <w:lang w:val="en-CA"/>
        </w:rPr>
        <w:t>enforcement</w:t>
      </w:r>
      <w:r w:rsidRPr="00AA504E">
        <w:rPr>
          <w:lang w:val="en-CA"/>
        </w:rPr>
        <w:t xml:space="preserve"> of “a foreign judgment that is </w:t>
      </w:r>
      <w:r w:rsidR="00955304">
        <w:rPr>
          <w:lang w:val="en-CA"/>
        </w:rPr>
        <w:t>founded</w:t>
      </w:r>
      <w:r w:rsidR="00955304" w:rsidRPr="00AA504E">
        <w:rPr>
          <w:lang w:val="en-CA"/>
        </w:rPr>
        <w:t xml:space="preserve"> </w:t>
      </w:r>
      <w:r w:rsidRPr="00AA504E">
        <w:rPr>
          <w:lang w:val="en-CA"/>
        </w:rPr>
        <w:t xml:space="preserve">on a law contrary to the fundamental morality of the </w:t>
      </w:r>
      <w:r w:rsidRPr="00AA504E">
        <w:rPr>
          <w:u w:val="single"/>
          <w:lang w:val="en-CA"/>
        </w:rPr>
        <w:t>Canadian legal system</w:t>
      </w:r>
      <w:r w:rsidRPr="00AA504E">
        <w:rPr>
          <w:lang w:val="en-CA"/>
        </w:rPr>
        <w:t>”.</w:t>
      </w:r>
      <w:r w:rsidRPr="00AA504E">
        <w:rPr>
          <w:rStyle w:val="Appelnotedebasdep"/>
          <w:lang w:val="en-CA"/>
        </w:rPr>
        <w:footnoteReference w:id="48"/>
      </w:r>
      <w:r w:rsidR="003B1C16" w:rsidRPr="00AA504E">
        <w:rPr>
          <w:lang w:val="en-CA"/>
        </w:rPr>
        <w:t xml:space="preserve"> </w:t>
      </w:r>
      <w:r w:rsidRPr="00AA504E">
        <w:rPr>
          <w:lang w:val="en-CA"/>
        </w:rPr>
        <w:t xml:space="preserve">Moreover, the recent </w:t>
      </w:r>
      <w:r w:rsidRPr="00AA504E">
        <w:rPr>
          <w:i/>
          <w:lang w:val="en-CA"/>
        </w:rPr>
        <w:t xml:space="preserve">Convention on the </w:t>
      </w:r>
      <w:r w:rsidR="00955304">
        <w:rPr>
          <w:i/>
          <w:lang w:val="en-CA"/>
        </w:rPr>
        <w:t>R</w:t>
      </w:r>
      <w:r w:rsidRPr="00AA504E">
        <w:rPr>
          <w:i/>
          <w:lang w:val="en-CA"/>
        </w:rPr>
        <w:t xml:space="preserve">ecognition and Enforcement of Foreign Judgments in Civil </w:t>
      </w:r>
      <w:r w:rsidR="00955304">
        <w:rPr>
          <w:i/>
          <w:lang w:val="en-CA"/>
        </w:rPr>
        <w:t>or</w:t>
      </w:r>
      <w:r w:rsidR="00955304" w:rsidRPr="00AA504E">
        <w:rPr>
          <w:i/>
          <w:lang w:val="en-CA"/>
        </w:rPr>
        <w:t xml:space="preserve"> </w:t>
      </w:r>
      <w:r w:rsidRPr="00AA504E">
        <w:rPr>
          <w:i/>
          <w:lang w:val="en-CA"/>
        </w:rPr>
        <w:t>Commercial Matters</w:t>
      </w:r>
      <w:r w:rsidRPr="00AA504E">
        <w:rPr>
          <w:lang w:val="en-CA"/>
        </w:rPr>
        <w:t>, which was also adopted under the auspices of the Hague Conference on Private International Law</w:t>
      </w:r>
      <w:r w:rsidRPr="00AA504E">
        <w:rPr>
          <w:rStyle w:val="Appelnotedebasdep"/>
          <w:lang w:val="en-CA"/>
        </w:rPr>
        <w:footnoteReference w:id="49"/>
      </w:r>
      <w:r w:rsidRPr="00AA504E">
        <w:rPr>
          <w:lang w:val="en-CA"/>
        </w:rPr>
        <w:t xml:space="preserve"> and is in force in </w:t>
      </w:r>
      <w:r w:rsidR="00C21623">
        <w:rPr>
          <w:lang w:val="en-CA"/>
        </w:rPr>
        <w:t>30</w:t>
      </w:r>
      <w:r w:rsidR="00C21623" w:rsidRPr="00AA504E">
        <w:rPr>
          <w:lang w:val="en-CA"/>
        </w:rPr>
        <w:t xml:space="preserve"> </w:t>
      </w:r>
      <w:r w:rsidRPr="00AA504E">
        <w:rPr>
          <w:lang w:val="en-CA"/>
        </w:rPr>
        <w:t xml:space="preserve">States, </w:t>
      </w:r>
      <w:r w:rsidR="00955304">
        <w:rPr>
          <w:lang w:val="en-CA"/>
        </w:rPr>
        <w:t xml:space="preserve">almost </w:t>
      </w:r>
      <w:r w:rsidRPr="00AA504E">
        <w:rPr>
          <w:lang w:val="en-CA"/>
        </w:rPr>
        <w:t xml:space="preserve">all members </w:t>
      </w:r>
      <w:r w:rsidR="00641C40" w:rsidRPr="00AA504E">
        <w:rPr>
          <w:lang w:val="en-CA"/>
        </w:rPr>
        <w:t>of</w:t>
      </w:r>
      <w:r w:rsidRPr="00AA504E">
        <w:rPr>
          <w:lang w:val="en-CA"/>
        </w:rPr>
        <w:t xml:space="preserve"> the European Union, is along the same lines: recognition or enforcement of a foreign judgment </w:t>
      </w:r>
      <w:r w:rsidR="00955304">
        <w:rPr>
          <w:lang w:val="en-CA"/>
        </w:rPr>
        <w:t>may be refused</w:t>
      </w:r>
      <w:r w:rsidRPr="00AA504E">
        <w:rPr>
          <w:lang w:val="en-CA"/>
        </w:rPr>
        <w:t xml:space="preserve"> if it is “manifestly incompatible with </w:t>
      </w:r>
      <w:r w:rsidRPr="00980E8B">
        <w:rPr>
          <w:u w:val="single"/>
          <w:lang w:val="en-CA"/>
        </w:rPr>
        <w:t xml:space="preserve">the public policy of the </w:t>
      </w:r>
      <w:r w:rsidR="001D022C" w:rsidRPr="00980E8B">
        <w:rPr>
          <w:u w:val="single"/>
          <w:lang w:val="en-CA"/>
        </w:rPr>
        <w:t xml:space="preserve">requested </w:t>
      </w:r>
      <w:r w:rsidRPr="00980E8B">
        <w:rPr>
          <w:u w:val="single"/>
          <w:lang w:val="en-CA"/>
        </w:rPr>
        <w:t>State</w:t>
      </w:r>
      <w:r w:rsidR="001D022C" w:rsidRPr="00AA504E">
        <w:rPr>
          <w:lang w:val="en-CA"/>
        </w:rPr>
        <w:t>”</w:t>
      </w:r>
      <w:r w:rsidRPr="00AA504E">
        <w:rPr>
          <w:lang w:val="en-CA"/>
        </w:rPr>
        <w:t>.</w:t>
      </w:r>
      <w:r w:rsidRPr="00AA504E">
        <w:rPr>
          <w:rStyle w:val="Appelnotedebasdep"/>
          <w:lang w:val="en-CA"/>
        </w:rPr>
        <w:footnoteReference w:id="50"/>
      </w:r>
    </w:p>
    <w:p w14:paraId="1B02665E" w14:textId="2F81296F" w:rsidR="002A0D72" w:rsidRPr="00AA504E" w:rsidRDefault="005206EF" w:rsidP="002A0D72">
      <w:pPr>
        <w:pStyle w:val="Paragraphe"/>
        <w:widowControl w:val="0"/>
        <w:spacing w:line="280" w:lineRule="exact"/>
        <w:rPr>
          <w:lang w:val="en-CA"/>
        </w:rPr>
      </w:pPr>
      <w:r w:rsidRPr="00AA504E">
        <w:rPr>
          <w:lang w:val="en-CA"/>
        </w:rPr>
        <w:t xml:space="preserve">In short, the public order referred to in art. 3155(5) </w:t>
      </w:r>
      <w:r w:rsidR="001C21A3" w:rsidRPr="00AA504E">
        <w:rPr>
          <w:lang w:val="en-CA"/>
        </w:rPr>
        <w:t>CCQ</w:t>
      </w:r>
      <w:r w:rsidRPr="00AA504E">
        <w:rPr>
          <w:lang w:val="en-CA"/>
        </w:rPr>
        <w:t xml:space="preserve"> is not an </w:t>
      </w:r>
      <w:r w:rsidRPr="00AA504E">
        <w:rPr>
          <w:i/>
          <w:lang w:val="en-CA"/>
        </w:rPr>
        <w:t>actual international</w:t>
      </w:r>
      <w:r w:rsidRPr="00AA504E">
        <w:rPr>
          <w:lang w:val="en-CA"/>
        </w:rPr>
        <w:t xml:space="preserve"> public order composed of norms that reflect principles and values universally recognized as fundamental.</w:t>
      </w:r>
      <w:r w:rsidR="003B1C16" w:rsidRPr="00AA504E">
        <w:rPr>
          <w:lang w:val="en-CA"/>
        </w:rPr>
        <w:t xml:space="preserve"> </w:t>
      </w:r>
      <w:r w:rsidRPr="00AA504E">
        <w:rPr>
          <w:lang w:val="en-CA"/>
        </w:rPr>
        <w:t>It is instead a subcategory of Quebec public order, composed of domestic norms, but important to the point that they are viewed as imperative to any legal situation with foreign elements, despite the courtesy Quebec generally shows to foreign law that differs from Quebec law.</w:t>
      </w:r>
      <w:r w:rsidRPr="00AA504E">
        <w:rPr>
          <w:rFonts w:cs="Arial"/>
          <w:szCs w:val="24"/>
          <w:vertAlign w:val="superscript"/>
          <w:lang w:val="en-CA"/>
        </w:rPr>
        <w:footnoteReference w:id="51"/>
      </w:r>
    </w:p>
    <w:p w14:paraId="461DD274" w14:textId="0C628C12" w:rsidR="002A0D72" w:rsidRPr="00AA504E" w:rsidRDefault="005206EF" w:rsidP="002A0D72">
      <w:pPr>
        <w:pStyle w:val="Paragraphe"/>
        <w:widowControl w:val="0"/>
        <w:spacing w:line="280" w:lineRule="exact"/>
        <w:rPr>
          <w:lang w:val="en-CA"/>
        </w:rPr>
      </w:pPr>
      <w:r w:rsidRPr="00AA504E">
        <w:rPr>
          <w:lang w:val="en-CA"/>
        </w:rPr>
        <w:t>Given that public order as understood in international relations is a subcategory of Quebec public order, there can be no question of having to prove its contents:</w:t>
      </w:r>
      <w:r w:rsidR="003B1C16" w:rsidRPr="00AA504E">
        <w:rPr>
          <w:lang w:val="en-CA"/>
        </w:rPr>
        <w:t xml:space="preserve"> </w:t>
      </w:r>
      <w:r w:rsidRPr="00AA504E">
        <w:rPr>
          <w:lang w:val="en-CA"/>
        </w:rPr>
        <w:t xml:space="preserve">pursuant to the first paragraph of art. 2807 </w:t>
      </w:r>
      <w:r w:rsidR="001C21A3" w:rsidRPr="00AA504E">
        <w:rPr>
          <w:lang w:val="en-CA"/>
        </w:rPr>
        <w:t>CCQ</w:t>
      </w:r>
      <w:r w:rsidRPr="00AA504E">
        <w:rPr>
          <w:lang w:val="en-CA"/>
        </w:rPr>
        <w:t xml:space="preserve">, judicial notice </w:t>
      </w:r>
      <w:r w:rsidR="001C21A3" w:rsidRPr="00AA504E">
        <w:rPr>
          <w:lang w:val="en-CA"/>
        </w:rPr>
        <w:t xml:space="preserve">must be taken </w:t>
      </w:r>
      <w:r w:rsidRPr="00AA504E">
        <w:rPr>
          <w:lang w:val="en-CA"/>
        </w:rPr>
        <w:t>of it.</w:t>
      </w:r>
      <w:r w:rsidR="003B1C16" w:rsidRPr="00AA504E">
        <w:rPr>
          <w:lang w:val="en-CA"/>
        </w:rPr>
        <w:t xml:space="preserve"> </w:t>
      </w:r>
      <w:r w:rsidRPr="00AA504E">
        <w:rPr>
          <w:lang w:val="en-CA"/>
        </w:rPr>
        <w:t xml:space="preserve">The fact that Mr. Apelian did not adduce any evidence of </w:t>
      </w:r>
      <w:r w:rsidR="00EB41FC">
        <w:rPr>
          <w:lang w:val="en-CA"/>
        </w:rPr>
        <w:t>its</w:t>
      </w:r>
      <w:r w:rsidR="00EB41FC" w:rsidRPr="00AA504E">
        <w:rPr>
          <w:lang w:val="en-CA"/>
        </w:rPr>
        <w:t xml:space="preserve"> </w:t>
      </w:r>
      <w:r w:rsidRPr="00AA504E">
        <w:rPr>
          <w:lang w:val="en-CA"/>
        </w:rPr>
        <w:t xml:space="preserve">content was in no way a bar to </w:t>
      </w:r>
      <w:r w:rsidR="00EB41FC">
        <w:rPr>
          <w:lang w:val="en-CA"/>
        </w:rPr>
        <w:t xml:space="preserve">the </w:t>
      </w:r>
      <w:r w:rsidRPr="00AA504E">
        <w:rPr>
          <w:lang w:val="en-CA"/>
        </w:rPr>
        <w:lastRenderedPageBreak/>
        <w:t>application</w:t>
      </w:r>
      <w:r w:rsidR="00EB41FC">
        <w:rPr>
          <w:lang w:val="en-CA"/>
        </w:rPr>
        <w:t xml:space="preserve"> of </w:t>
      </w:r>
      <w:r w:rsidR="00EB41FC" w:rsidRPr="00AA504E">
        <w:rPr>
          <w:lang w:val="en-CA"/>
        </w:rPr>
        <w:t>art. 3155(5) CCQ</w:t>
      </w:r>
      <w:r w:rsidRPr="00AA504E">
        <w:rPr>
          <w:lang w:val="en-CA"/>
        </w:rPr>
        <w:t>.</w:t>
      </w:r>
    </w:p>
    <w:p w14:paraId="011F8FB9" w14:textId="00B7514E" w:rsidR="002A0D72" w:rsidRPr="00AA504E" w:rsidRDefault="005206EF" w:rsidP="002A0D72">
      <w:pPr>
        <w:pStyle w:val="Paragraphe"/>
        <w:widowControl w:val="0"/>
        <w:spacing w:line="280" w:lineRule="exact"/>
        <w:rPr>
          <w:lang w:val="en-CA"/>
        </w:rPr>
      </w:pPr>
      <w:r w:rsidRPr="00AA504E">
        <w:rPr>
          <w:lang w:val="en-CA"/>
        </w:rPr>
        <w:t xml:space="preserve">It remains to be determined </w:t>
      </w:r>
      <w:r w:rsidR="00EB41FC">
        <w:rPr>
          <w:lang w:val="en-CA"/>
        </w:rPr>
        <w:t>whether</w:t>
      </w:r>
      <w:r w:rsidR="00EB41FC" w:rsidRPr="00AA504E">
        <w:rPr>
          <w:lang w:val="en-CA"/>
        </w:rPr>
        <w:t xml:space="preserve"> </w:t>
      </w:r>
      <w:r w:rsidRPr="00AA504E">
        <w:rPr>
          <w:lang w:val="en-CA"/>
        </w:rPr>
        <w:t xml:space="preserve">the judge committed a reviewable error in finding that a foreign judgment </w:t>
      </w:r>
      <w:r w:rsidR="00EB41FC">
        <w:rPr>
          <w:lang w:val="en-CA"/>
        </w:rPr>
        <w:t>whose outcome</w:t>
      </w:r>
      <w:r w:rsidRPr="00AA504E">
        <w:rPr>
          <w:lang w:val="en-CA"/>
        </w:rPr>
        <w:t xml:space="preserve"> g</w:t>
      </w:r>
      <w:r w:rsidR="00EB41FC">
        <w:rPr>
          <w:lang w:val="en-CA"/>
        </w:rPr>
        <w:t>i</w:t>
      </w:r>
      <w:r w:rsidRPr="00AA504E">
        <w:rPr>
          <w:lang w:val="en-CA"/>
        </w:rPr>
        <w:t>ve</w:t>
      </w:r>
      <w:r w:rsidR="00EB41FC">
        <w:rPr>
          <w:lang w:val="en-CA"/>
        </w:rPr>
        <w:t>s</w:t>
      </w:r>
      <w:r w:rsidRPr="00AA504E">
        <w:rPr>
          <w:lang w:val="en-CA"/>
        </w:rPr>
        <w:t xml:space="preserve"> effect to a clause </w:t>
      </w:r>
      <w:r w:rsidR="00F12384">
        <w:rPr>
          <w:lang w:val="en-CA"/>
        </w:rPr>
        <w:t>by</w:t>
      </w:r>
      <w:r w:rsidRPr="00AA504E">
        <w:rPr>
          <w:lang w:val="en-CA"/>
        </w:rPr>
        <w:t xml:space="preserve"> which a party waive</w:t>
      </w:r>
      <w:r w:rsidR="00C33821">
        <w:rPr>
          <w:lang w:val="en-CA"/>
        </w:rPr>
        <w:t>s</w:t>
      </w:r>
      <w:r w:rsidRPr="00AA504E">
        <w:rPr>
          <w:lang w:val="en-CA"/>
        </w:rPr>
        <w:t xml:space="preserve"> the</w:t>
      </w:r>
      <w:r w:rsidR="00F12384">
        <w:rPr>
          <w:lang w:val="en-CA"/>
        </w:rPr>
        <w:t xml:space="preserve"> </w:t>
      </w:r>
      <w:r w:rsidRPr="00AA504E">
        <w:rPr>
          <w:lang w:val="en-CA"/>
        </w:rPr>
        <w:t>right to invoke the fraud committed by a co-contracting party is manifestly inco</w:t>
      </w:r>
      <w:r w:rsidR="00056D6B">
        <w:rPr>
          <w:lang w:val="en-CA"/>
        </w:rPr>
        <w:t>nsistent</w:t>
      </w:r>
      <w:r w:rsidRPr="00AA504E">
        <w:rPr>
          <w:lang w:val="en-CA"/>
        </w:rPr>
        <w:t xml:space="preserve"> with public order as understood in international relations.</w:t>
      </w:r>
    </w:p>
    <w:p w14:paraId="32D96F0B" w14:textId="067AC4FB" w:rsidR="002A0D72" w:rsidRPr="00AA504E" w:rsidRDefault="00204CF9" w:rsidP="002A0D72">
      <w:pPr>
        <w:pStyle w:val="Paragraphe"/>
        <w:widowControl w:val="0"/>
        <w:numPr>
          <w:ilvl w:val="0"/>
          <w:numId w:val="21"/>
        </w:numPr>
        <w:spacing w:line="240" w:lineRule="auto"/>
        <w:rPr>
          <w:b/>
          <w:bCs/>
          <w:lang w:val="en-CA"/>
        </w:rPr>
      </w:pPr>
      <w:r w:rsidRPr="00AA504E">
        <w:rPr>
          <w:b/>
          <w:bCs/>
          <w:lang w:val="en-CA"/>
        </w:rPr>
        <w:t>Co</w:t>
      </w:r>
      <w:r>
        <w:rPr>
          <w:b/>
          <w:bCs/>
          <w:lang w:val="en-CA"/>
        </w:rPr>
        <w:t>nsistency</w:t>
      </w:r>
      <w:r w:rsidR="005206EF" w:rsidRPr="00AA504E">
        <w:rPr>
          <w:b/>
          <w:bCs/>
          <w:lang w:val="en-CA"/>
        </w:rPr>
        <w:t xml:space="preserve"> with public order as understood in international relations of a foreign judgment giving </w:t>
      </w:r>
      <w:r w:rsidR="00581B71">
        <w:rPr>
          <w:b/>
          <w:bCs/>
          <w:lang w:val="en-CA"/>
        </w:rPr>
        <w:t xml:space="preserve">effect </w:t>
      </w:r>
      <w:r w:rsidR="005206EF" w:rsidRPr="00AA504E">
        <w:rPr>
          <w:b/>
          <w:bCs/>
          <w:lang w:val="en-CA"/>
        </w:rPr>
        <w:t xml:space="preserve">to an </w:t>
      </w:r>
      <w:r w:rsidR="00AB736F">
        <w:rPr>
          <w:b/>
          <w:bCs/>
          <w:lang w:val="en-CA"/>
        </w:rPr>
        <w:t>advance</w:t>
      </w:r>
      <w:r w:rsidR="005206EF" w:rsidRPr="00AA504E">
        <w:rPr>
          <w:b/>
          <w:bCs/>
          <w:lang w:val="en-CA"/>
        </w:rPr>
        <w:t xml:space="preserve"> </w:t>
      </w:r>
      <w:r w:rsidR="001C21A3" w:rsidRPr="00AA504E">
        <w:rPr>
          <w:b/>
          <w:bCs/>
          <w:lang w:val="en-CA"/>
        </w:rPr>
        <w:t>waiver</w:t>
      </w:r>
      <w:r w:rsidR="005206EF" w:rsidRPr="00AA504E">
        <w:rPr>
          <w:b/>
          <w:bCs/>
          <w:lang w:val="en-CA"/>
        </w:rPr>
        <w:t xml:space="preserve"> of the sanctions imposed for fraud</w:t>
      </w:r>
      <w:r w:rsidR="003B1C16" w:rsidRPr="00AA504E">
        <w:rPr>
          <w:b/>
          <w:bCs/>
          <w:lang w:val="en-CA"/>
        </w:rPr>
        <w:t xml:space="preserve"> </w:t>
      </w:r>
    </w:p>
    <w:p w14:paraId="5A85D3BC" w14:textId="475F9D64" w:rsidR="002A0D72" w:rsidRPr="00AA504E" w:rsidRDefault="003950B9" w:rsidP="002A0D72">
      <w:pPr>
        <w:pStyle w:val="Paragraphe"/>
        <w:widowControl w:val="0"/>
        <w:spacing w:line="280" w:lineRule="exact"/>
        <w:rPr>
          <w:lang w:val="en-CA"/>
        </w:rPr>
      </w:pPr>
      <w:r>
        <w:rPr>
          <w:lang w:val="en-CA"/>
        </w:rPr>
        <w:t>B</w:t>
      </w:r>
      <w:r w:rsidRPr="00AA504E">
        <w:rPr>
          <w:lang w:val="en-CA"/>
        </w:rPr>
        <w:t>efore addressing the heart of the matter</w:t>
      </w:r>
      <w:r>
        <w:rPr>
          <w:lang w:val="en-CA"/>
        </w:rPr>
        <w:t>,</w:t>
      </w:r>
      <w:r w:rsidRPr="00AA504E">
        <w:rPr>
          <w:lang w:val="en-CA"/>
        </w:rPr>
        <w:t xml:space="preserve"> </w:t>
      </w:r>
      <w:r>
        <w:rPr>
          <w:lang w:val="en-CA"/>
        </w:rPr>
        <w:t>a</w:t>
      </w:r>
      <w:r w:rsidR="005206EF" w:rsidRPr="00AA504E">
        <w:rPr>
          <w:lang w:val="en-CA"/>
        </w:rPr>
        <w:t xml:space="preserve"> few remarks are in order about the applicable standard of review in the context of an appeal from a judgment applying art. 3155(5) </w:t>
      </w:r>
      <w:r w:rsidR="001C21A3" w:rsidRPr="00AA504E">
        <w:rPr>
          <w:lang w:val="en-CA"/>
        </w:rPr>
        <w:t>CCQ</w:t>
      </w:r>
      <w:r w:rsidR="005206EF" w:rsidRPr="00AA504E">
        <w:rPr>
          <w:lang w:val="en-CA"/>
        </w:rPr>
        <w:t>. In the Court’s view, any matter relat</w:t>
      </w:r>
      <w:r w:rsidR="00204CF9">
        <w:rPr>
          <w:lang w:val="en-CA"/>
        </w:rPr>
        <w:t>ing</w:t>
      </w:r>
      <w:r w:rsidR="005206EF" w:rsidRPr="00AA504E">
        <w:rPr>
          <w:lang w:val="en-CA"/>
        </w:rPr>
        <w:t xml:space="preserve"> to the meaning of public order as understood in international relations is a question of law that the Court is free to reexamine without the need to show deference for the analysis performed by the trial judge.</w:t>
      </w:r>
      <w:r w:rsidR="005206EF" w:rsidRPr="00AA504E">
        <w:rPr>
          <w:rFonts w:cs="Arial"/>
          <w:szCs w:val="24"/>
          <w:vertAlign w:val="superscript"/>
          <w:lang w:val="en-CA"/>
        </w:rPr>
        <w:footnoteReference w:id="52"/>
      </w:r>
      <w:r w:rsidR="003B1C16" w:rsidRPr="00AA504E">
        <w:rPr>
          <w:lang w:val="en-CA"/>
        </w:rPr>
        <w:t xml:space="preserve"> </w:t>
      </w:r>
      <w:r w:rsidR="005206EF" w:rsidRPr="00AA504E">
        <w:rPr>
          <w:lang w:val="en-CA"/>
        </w:rPr>
        <w:t xml:space="preserve">Questions </w:t>
      </w:r>
      <w:r>
        <w:rPr>
          <w:lang w:val="en-CA"/>
        </w:rPr>
        <w:t xml:space="preserve">dealing more specifically with </w:t>
      </w:r>
      <w:r w:rsidR="005206EF" w:rsidRPr="00AA504E">
        <w:rPr>
          <w:lang w:val="en-CA"/>
        </w:rPr>
        <w:t xml:space="preserve">the </w:t>
      </w:r>
      <w:r w:rsidR="001C21A3" w:rsidRPr="00AA504E">
        <w:rPr>
          <w:lang w:val="en-CA"/>
        </w:rPr>
        <w:t>foreign judgment’s</w:t>
      </w:r>
      <w:r w:rsidR="005206EF" w:rsidRPr="00AA504E">
        <w:rPr>
          <w:lang w:val="en-CA"/>
        </w:rPr>
        <w:t xml:space="preserve"> </w:t>
      </w:r>
      <w:r w:rsidR="001C21A3" w:rsidRPr="00AA504E">
        <w:rPr>
          <w:lang w:val="en-CA"/>
        </w:rPr>
        <w:t>consisten</w:t>
      </w:r>
      <w:r>
        <w:rPr>
          <w:lang w:val="en-CA"/>
        </w:rPr>
        <w:t>cy</w:t>
      </w:r>
      <w:r w:rsidR="001C21A3" w:rsidRPr="00AA504E">
        <w:rPr>
          <w:lang w:val="en-CA"/>
        </w:rPr>
        <w:t xml:space="preserve"> </w:t>
      </w:r>
      <w:r w:rsidR="005206EF" w:rsidRPr="00AA504E">
        <w:rPr>
          <w:lang w:val="en-CA"/>
        </w:rPr>
        <w:t xml:space="preserve">with </w:t>
      </w:r>
      <w:r>
        <w:rPr>
          <w:lang w:val="en-CA"/>
        </w:rPr>
        <w:t xml:space="preserve">this </w:t>
      </w:r>
      <w:r w:rsidR="005206EF" w:rsidRPr="00AA504E">
        <w:rPr>
          <w:lang w:val="en-CA"/>
        </w:rPr>
        <w:t>public order</w:t>
      </w:r>
      <w:r w:rsidR="001C21A3" w:rsidRPr="00AA504E">
        <w:rPr>
          <w:lang w:val="en-CA"/>
        </w:rPr>
        <w:t xml:space="preserve"> </w:t>
      </w:r>
      <w:r w:rsidR="005206EF" w:rsidRPr="00AA504E">
        <w:rPr>
          <w:lang w:val="en-CA"/>
        </w:rPr>
        <w:t>constitute questions of mixed fact and law</w:t>
      </w:r>
      <w:r w:rsidR="001C21A3" w:rsidRPr="00AA504E">
        <w:rPr>
          <w:lang w:val="en-CA"/>
        </w:rPr>
        <w:t xml:space="preserve">, however, </w:t>
      </w:r>
      <w:r w:rsidR="005206EF" w:rsidRPr="00AA504E">
        <w:rPr>
          <w:lang w:val="en-CA"/>
        </w:rPr>
        <w:t>and are subject to the standard of palpable and overriding error.</w:t>
      </w:r>
      <w:r w:rsidR="005206EF" w:rsidRPr="00AA504E">
        <w:rPr>
          <w:rFonts w:cs="Arial"/>
          <w:szCs w:val="24"/>
          <w:vertAlign w:val="superscript"/>
          <w:lang w:val="en-CA"/>
        </w:rPr>
        <w:footnoteReference w:id="53"/>
      </w:r>
    </w:p>
    <w:p w14:paraId="5B18B75D" w14:textId="3F138935" w:rsidR="002A0D72" w:rsidRPr="00AA504E" w:rsidRDefault="005206EF" w:rsidP="002A0D72">
      <w:pPr>
        <w:pStyle w:val="Paragraphe"/>
        <w:widowControl w:val="0"/>
        <w:spacing w:line="280" w:lineRule="exact"/>
        <w:rPr>
          <w:lang w:val="en-CA"/>
        </w:rPr>
      </w:pPr>
      <w:r w:rsidRPr="00AA504E">
        <w:rPr>
          <w:lang w:val="en-CA"/>
        </w:rPr>
        <w:t xml:space="preserve">In this case, the debate concerns </w:t>
      </w:r>
      <w:r w:rsidR="006F30F5">
        <w:rPr>
          <w:lang w:val="en-CA"/>
        </w:rPr>
        <w:t xml:space="preserve">primarily </w:t>
      </w:r>
      <w:r w:rsidRPr="00AA504E">
        <w:rPr>
          <w:lang w:val="en-CA"/>
        </w:rPr>
        <w:t xml:space="preserve">the </w:t>
      </w:r>
      <w:r w:rsidR="006F30F5">
        <w:rPr>
          <w:lang w:val="en-CA"/>
        </w:rPr>
        <w:t>content</w:t>
      </w:r>
      <w:r w:rsidR="006F30F5" w:rsidRPr="00AA504E">
        <w:rPr>
          <w:lang w:val="en-CA"/>
        </w:rPr>
        <w:t xml:space="preserve"> </w:t>
      </w:r>
      <w:r w:rsidRPr="00AA504E">
        <w:rPr>
          <w:lang w:val="en-CA"/>
        </w:rPr>
        <w:t xml:space="preserve">of public order as understood in international </w:t>
      </w:r>
      <w:r w:rsidR="00641C40" w:rsidRPr="00AA504E">
        <w:rPr>
          <w:lang w:val="en-CA"/>
        </w:rPr>
        <w:t>relations</w:t>
      </w:r>
      <w:r w:rsidRPr="00AA504E">
        <w:rPr>
          <w:lang w:val="en-CA"/>
        </w:rPr>
        <w:t xml:space="preserve"> because </w:t>
      </w:r>
      <w:r w:rsidR="001C21A3" w:rsidRPr="00AA504E">
        <w:rPr>
          <w:lang w:val="en-CA"/>
        </w:rPr>
        <w:t>the crux of the issue is</w:t>
      </w:r>
      <w:r w:rsidRPr="00AA504E">
        <w:rPr>
          <w:lang w:val="en-CA"/>
        </w:rPr>
        <w:t xml:space="preserve"> whether a clause </w:t>
      </w:r>
      <w:r w:rsidR="00F12384">
        <w:rPr>
          <w:lang w:val="en-CA"/>
        </w:rPr>
        <w:t>by</w:t>
      </w:r>
      <w:r w:rsidRPr="00AA504E">
        <w:rPr>
          <w:lang w:val="en-CA"/>
        </w:rPr>
        <w:t xml:space="preserve"> which a party </w:t>
      </w:r>
      <w:r w:rsidR="00C015B1" w:rsidRPr="00AA504E">
        <w:rPr>
          <w:lang w:val="en-CA"/>
        </w:rPr>
        <w:t>waive</w:t>
      </w:r>
      <w:r w:rsidR="001C21A3" w:rsidRPr="00AA504E">
        <w:rPr>
          <w:lang w:val="en-CA"/>
        </w:rPr>
        <w:t>s</w:t>
      </w:r>
      <w:r w:rsidRPr="00AA504E">
        <w:rPr>
          <w:lang w:val="en-CA"/>
        </w:rPr>
        <w:t xml:space="preserve"> the </w:t>
      </w:r>
      <w:r w:rsidR="00F12384">
        <w:rPr>
          <w:lang w:val="en-CA"/>
        </w:rPr>
        <w:t>right to</w:t>
      </w:r>
      <w:r w:rsidRPr="00AA504E">
        <w:rPr>
          <w:lang w:val="en-CA"/>
        </w:rPr>
        <w:t xml:space="preserve"> invok</w:t>
      </w:r>
      <w:r w:rsidR="00F12384">
        <w:rPr>
          <w:lang w:val="en-CA"/>
        </w:rPr>
        <w:t>e</w:t>
      </w:r>
      <w:r w:rsidRPr="00AA504E">
        <w:rPr>
          <w:lang w:val="en-CA"/>
        </w:rPr>
        <w:t xml:space="preserve"> the fraud committed by </w:t>
      </w:r>
      <w:r w:rsidR="00F12384">
        <w:rPr>
          <w:lang w:val="en-CA"/>
        </w:rPr>
        <w:t>a</w:t>
      </w:r>
      <w:r w:rsidRPr="00AA504E">
        <w:rPr>
          <w:lang w:val="en-CA"/>
        </w:rPr>
        <w:t xml:space="preserve"> co-contracting party is </w:t>
      </w:r>
      <w:r w:rsidR="006F30F5">
        <w:rPr>
          <w:lang w:val="en-CA"/>
        </w:rPr>
        <w:t xml:space="preserve">contrary to </w:t>
      </w:r>
      <w:r w:rsidRPr="00AA504E">
        <w:rPr>
          <w:lang w:val="en-CA"/>
        </w:rPr>
        <w:t xml:space="preserve">this public order. The applicable standard is </w:t>
      </w:r>
      <w:r w:rsidR="001C21A3" w:rsidRPr="00AA504E">
        <w:rPr>
          <w:lang w:val="en-CA"/>
        </w:rPr>
        <w:t xml:space="preserve">therefore </w:t>
      </w:r>
      <w:r w:rsidRPr="00AA504E">
        <w:rPr>
          <w:lang w:val="en-CA"/>
        </w:rPr>
        <w:t>correctness.</w:t>
      </w:r>
    </w:p>
    <w:p w14:paraId="5E3F47B2" w14:textId="3D7486ED" w:rsidR="002A0D72" w:rsidRPr="00AA504E" w:rsidRDefault="001C21A3" w:rsidP="002A0D72">
      <w:pPr>
        <w:pStyle w:val="Paragraphe"/>
        <w:widowControl w:val="0"/>
        <w:spacing w:line="280" w:lineRule="exact"/>
        <w:rPr>
          <w:lang w:val="en-CA"/>
        </w:rPr>
      </w:pPr>
      <w:r w:rsidRPr="00AA504E">
        <w:rPr>
          <w:lang w:val="en-CA"/>
        </w:rPr>
        <w:t>It is clear</w:t>
      </w:r>
      <w:r w:rsidR="005206EF" w:rsidRPr="00AA504E">
        <w:rPr>
          <w:lang w:val="en-CA"/>
        </w:rPr>
        <w:t xml:space="preserve"> that the trial judge was correct in finding that such a clause </w:t>
      </w:r>
      <w:bookmarkStart w:id="12" w:name="_Hlk214481265"/>
      <w:r w:rsidR="005206EF" w:rsidRPr="00AA504E">
        <w:rPr>
          <w:lang w:val="en-CA"/>
        </w:rPr>
        <w:t xml:space="preserve">is </w:t>
      </w:r>
      <w:r w:rsidR="006F30F5">
        <w:rPr>
          <w:lang w:val="en-CA"/>
        </w:rPr>
        <w:t xml:space="preserve">contrary to </w:t>
      </w:r>
      <w:r w:rsidR="005206EF" w:rsidRPr="00AA504E">
        <w:rPr>
          <w:lang w:val="en-CA"/>
        </w:rPr>
        <w:t xml:space="preserve">Quebec’s </w:t>
      </w:r>
      <w:r w:rsidR="005206EF" w:rsidRPr="00AA504E">
        <w:rPr>
          <w:i/>
          <w:lang w:val="en-CA"/>
        </w:rPr>
        <w:t>domestic</w:t>
      </w:r>
      <w:r w:rsidR="005206EF" w:rsidRPr="00AA504E">
        <w:rPr>
          <w:lang w:val="en-CA"/>
        </w:rPr>
        <w:t xml:space="preserve"> public order</w:t>
      </w:r>
      <w:bookmarkEnd w:id="12"/>
      <w:r w:rsidR="005206EF" w:rsidRPr="00AA504E">
        <w:rPr>
          <w:lang w:val="en-CA"/>
        </w:rPr>
        <w:t>.</w:t>
      </w:r>
      <w:r w:rsidR="003B1C16" w:rsidRPr="00AA504E">
        <w:rPr>
          <w:lang w:val="en-CA"/>
        </w:rPr>
        <w:t xml:space="preserve"> </w:t>
      </w:r>
      <w:r w:rsidR="005206EF" w:rsidRPr="00AA504E">
        <w:rPr>
          <w:lang w:val="en-CA"/>
        </w:rPr>
        <w:t xml:space="preserve">A co-contracting party </w:t>
      </w:r>
      <w:r w:rsidRPr="00AA504E">
        <w:rPr>
          <w:lang w:val="en-CA"/>
        </w:rPr>
        <w:t>that</w:t>
      </w:r>
      <w:r w:rsidR="005206EF" w:rsidRPr="00AA504E">
        <w:rPr>
          <w:lang w:val="en-CA"/>
        </w:rPr>
        <w:t xml:space="preserve"> uses fraudulent tactics necessarily breaches their duty </w:t>
      </w:r>
      <w:r w:rsidR="006F30F5">
        <w:rPr>
          <w:lang w:val="en-CA"/>
        </w:rPr>
        <w:t>to act in</w:t>
      </w:r>
      <w:r w:rsidR="005206EF" w:rsidRPr="00AA504E">
        <w:rPr>
          <w:lang w:val="en-CA"/>
        </w:rPr>
        <w:t xml:space="preserve"> good faith at the time the obligation ar</w:t>
      </w:r>
      <w:r w:rsidRPr="00AA504E">
        <w:rPr>
          <w:lang w:val="en-CA"/>
        </w:rPr>
        <w:t>ose</w:t>
      </w:r>
      <w:r w:rsidR="005206EF" w:rsidRPr="00AA504E">
        <w:rPr>
          <w:lang w:val="en-CA"/>
        </w:rPr>
        <w:t>.</w:t>
      </w:r>
      <w:r w:rsidR="005206EF" w:rsidRPr="00AA504E">
        <w:rPr>
          <w:rFonts w:cs="Arial"/>
          <w:szCs w:val="24"/>
          <w:vertAlign w:val="superscript"/>
          <w:lang w:val="en-CA"/>
        </w:rPr>
        <w:footnoteReference w:id="54"/>
      </w:r>
      <w:r w:rsidR="005206EF" w:rsidRPr="00AA504E">
        <w:rPr>
          <w:rFonts w:cs="Arial"/>
          <w:szCs w:val="24"/>
          <w:lang w:val="en-CA"/>
        </w:rPr>
        <w:t xml:space="preserve"> The </w:t>
      </w:r>
      <w:r w:rsidR="004A06EB">
        <w:rPr>
          <w:rFonts w:cs="Arial"/>
          <w:szCs w:val="24"/>
          <w:lang w:val="en-CA"/>
        </w:rPr>
        <w:t>mandatory</w:t>
      </w:r>
      <w:r w:rsidR="004A06EB" w:rsidRPr="00AA504E">
        <w:rPr>
          <w:rFonts w:cs="Arial"/>
          <w:szCs w:val="24"/>
          <w:lang w:val="en-CA"/>
        </w:rPr>
        <w:t xml:space="preserve"> </w:t>
      </w:r>
      <w:r w:rsidR="005206EF" w:rsidRPr="00AA504E">
        <w:rPr>
          <w:rFonts w:cs="Arial"/>
          <w:szCs w:val="24"/>
          <w:lang w:val="en-CA"/>
        </w:rPr>
        <w:t>nature of that duty is common ground.</w:t>
      </w:r>
      <w:r w:rsidR="005206EF" w:rsidRPr="00AA504E">
        <w:rPr>
          <w:rFonts w:cs="Arial"/>
          <w:szCs w:val="24"/>
          <w:vertAlign w:val="superscript"/>
          <w:lang w:val="en-CA"/>
        </w:rPr>
        <w:footnoteReference w:id="55"/>
      </w:r>
      <w:r w:rsidR="003B1C16" w:rsidRPr="00AA504E">
        <w:rPr>
          <w:lang w:val="en-CA"/>
        </w:rPr>
        <w:t xml:space="preserve"> </w:t>
      </w:r>
      <w:r w:rsidR="005206EF" w:rsidRPr="00AA504E">
        <w:rPr>
          <w:lang w:val="en-CA"/>
        </w:rPr>
        <w:t xml:space="preserve">Thus, and as recalled by authors Lluelles and </w:t>
      </w:r>
      <w:r w:rsidR="00641C40" w:rsidRPr="00AA504E">
        <w:rPr>
          <w:lang w:val="en-CA"/>
        </w:rPr>
        <w:t>Moore, a</w:t>
      </w:r>
      <w:r w:rsidR="005206EF" w:rsidRPr="00AA504E">
        <w:rPr>
          <w:lang w:val="en-CA"/>
        </w:rPr>
        <w:t xml:space="preserve"> </w:t>
      </w:r>
      <w:r w:rsidRPr="00AA504E">
        <w:rPr>
          <w:lang w:val="en-CA"/>
        </w:rPr>
        <w:t>victim of fraud</w:t>
      </w:r>
      <w:r w:rsidR="005206EF" w:rsidRPr="00AA504E">
        <w:rPr>
          <w:lang w:val="en-CA"/>
        </w:rPr>
        <w:t xml:space="preserve"> cannot waive in advance the sanctions set out in ar</w:t>
      </w:r>
      <w:r w:rsidRPr="00AA504E">
        <w:rPr>
          <w:lang w:val="en-CA"/>
        </w:rPr>
        <w:t>t.</w:t>
      </w:r>
      <w:r w:rsidR="005206EF" w:rsidRPr="00AA504E">
        <w:rPr>
          <w:lang w:val="en-CA"/>
        </w:rPr>
        <w:t xml:space="preserve"> 1407 </w:t>
      </w:r>
      <w:r w:rsidRPr="00AA504E">
        <w:rPr>
          <w:lang w:val="en-CA"/>
        </w:rPr>
        <w:t>CCQ</w:t>
      </w:r>
      <w:r w:rsidR="005206EF" w:rsidRPr="00AA504E">
        <w:rPr>
          <w:lang w:val="en-CA"/>
        </w:rPr>
        <w:t>, even in an express clause.</w:t>
      </w:r>
      <w:r w:rsidR="005206EF" w:rsidRPr="00AA504E">
        <w:rPr>
          <w:rFonts w:cs="Arial"/>
          <w:szCs w:val="24"/>
          <w:vertAlign w:val="superscript"/>
          <w:lang w:val="en-CA"/>
        </w:rPr>
        <w:footnoteReference w:id="56"/>
      </w:r>
    </w:p>
    <w:p w14:paraId="3CAE5A7F" w14:textId="3A69112F" w:rsidR="002A0D72" w:rsidRPr="00AA504E" w:rsidRDefault="00782FEA" w:rsidP="002A0D72">
      <w:pPr>
        <w:pStyle w:val="Paragraphe"/>
        <w:widowControl w:val="0"/>
        <w:spacing w:line="280" w:lineRule="exact"/>
        <w:rPr>
          <w:lang w:val="en-CA"/>
        </w:rPr>
      </w:pPr>
      <w:r>
        <w:rPr>
          <w:lang w:val="en-CA"/>
        </w:rPr>
        <w:t>However, t</w:t>
      </w:r>
      <w:r w:rsidR="005206EF" w:rsidRPr="00AA504E">
        <w:rPr>
          <w:lang w:val="en-CA"/>
        </w:rPr>
        <w:t>he issue is whether this rule reflects “moral, social, economic, or even political conceptions that underpin Quebec’s public order”</w:t>
      </w:r>
      <w:r w:rsidR="005206EF" w:rsidRPr="00AA504E">
        <w:rPr>
          <w:rFonts w:cs="Arial"/>
          <w:szCs w:val="24"/>
          <w:vertAlign w:val="superscript"/>
          <w:lang w:val="en-CA"/>
        </w:rPr>
        <w:footnoteReference w:id="57"/>
      </w:r>
      <w:r w:rsidR="005206EF" w:rsidRPr="00AA504E">
        <w:rPr>
          <w:lang w:val="en-CA"/>
        </w:rPr>
        <w:t xml:space="preserve"> such that it must be applied even to legal situations with foreign elements.</w:t>
      </w:r>
      <w:r w:rsidR="003B1C16" w:rsidRPr="00AA504E">
        <w:rPr>
          <w:lang w:val="en-CA"/>
        </w:rPr>
        <w:t xml:space="preserve"> </w:t>
      </w:r>
      <w:r w:rsidR="005206EF" w:rsidRPr="00AA504E">
        <w:rPr>
          <w:lang w:val="en-CA"/>
        </w:rPr>
        <w:t>The Court finds that it does, for three main reasons.</w:t>
      </w:r>
    </w:p>
    <w:p w14:paraId="07D28405" w14:textId="336AD077" w:rsidR="002A0D72" w:rsidRPr="00AA504E" w:rsidRDefault="005206EF" w:rsidP="002A0D72">
      <w:pPr>
        <w:pStyle w:val="Paragraphe"/>
        <w:widowControl w:val="0"/>
        <w:spacing w:line="280" w:lineRule="exact"/>
        <w:rPr>
          <w:lang w:val="en-CA"/>
        </w:rPr>
      </w:pPr>
      <w:r w:rsidRPr="00AA504E">
        <w:rPr>
          <w:lang w:val="en-CA"/>
        </w:rPr>
        <w:lastRenderedPageBreak/>
        <w:t xml:space="preserve">The first is due to the fundamental nature of the legal principle on which the rule </w:t>
      </w:r>
      <w:r w:rsidR="00D979B5">
        <w:rPr>
          <w:lang w:val="en-CA"/>
        </w:rPr>
        <w:t>enshrining</w:t>
      </w:r>
      <w:r w:rsidR="00D979B5" w:rsidRPr="00AA504E">
        <w:rPr>
          <w:lang w:val="en-CA"/>
        </w:rPr>
        <w:t xml:space="preserve"> </w:t>
      </w:r>
      <w:r w:rsidRPr="00AA504E">
        <w:rPr>
          <w:lang w:val="en-CA"/>
        </w:rPr>
        <w:t xml:space="preserve">the </w:t>
      </w:r>
      <w:r w:rsidR="00C015B1" w:rsidRPr="00AA504E">
        <w:rPr>
          <w:lang w:val="en-CA"/>
        </w:rPr>
        <w:t>illegality</w:t>
      </w:r>
      <w:r w:rsidRPr="00AA504E">
        <w:rPr>
          <w:lang w:val="en-CA"/>
        </w:rPr>
        <w:t xml:space="preserve"> of an </w:t>
      </w:r>
      <w:r w:rsidR="00EB4ED2">
        <w:rPr>
          <w:lang w:val="en-CA"/>
        </w:rPr>
        <w:t>advance</w:t>
      </w:r>
      <w:r w:rsidRPr="00AA504E">
        <w:rPr>
          <w:lang w:val="en-CA"/>
        </w:rPr>
        <w:t xml:space="preserve"> waiver of the sanctions for fraud is based.</w:t>
      </w:r>
      <w:r w:rsidR="003B1C16" w:rsidRPr="00AA504E">
        <w:rPr>
          <w:lang w:val="en-CA"/>
        </w:rPr>
        <w:t xml:space="preserve"> </w:t>
      </w:r>
      <w:r w:rsidRPr="00AA504E">
        <w:rPr>
          <w:lang w:val="en-CA"/>
        </w:rPr>
        <w:t xml:space="preserve">This principle, which is translated by the </w:t>
      </w:r>
      <w:r w:rsidR="00640131">
        <w:rPr>
          <w:lang w:val="en-CA"/>
        </w:rPr>
        <w:t>adage</w:t>
      </w:r>
      <w:r w:rsidR="00640131" w:rsidRPr="00AA504E">
        <w:rPr>
          <w:lang w:val="en-CA"/>
        </w:rPr>
        <w:t xml:space="preserve"> </w:t>
      </w:r>
      <w:r w:rsidRPr="00AA504E">
        <w:rPr>
          <w:i/>
          <w:lang w:val="en-CA"/>
        </w:rPr>
        <w:t>fraus omnia corrumpit</w:t>
      </w:r>
      <w:r w:rsidRPr="00AA504E">
        <w:rPr>
          <w:lang w:val="en-CA"/>
        </w:rPr>
        <w:t xml:space="preserve">, enshrines the intolerability of any behaviour </w:t>
      </w:r>
      <w:r w:rsidR="00640131">
        <w:rPr>
          <w:lang w:val="en-CA"/>
        </w:rPr>
        <w:t xml:space="preserve">that </w:t>
      </w:r>
      <w:r w:rsidRPr="00AA504E">
        <w:rPr>
          <w:lang w:val="en-CA"/>
        </w:rPr>
        <w:t>deliberately mislead</w:t>
      </w:r>
      <w:r w:rsidR="00640131">
        <w:rPr>
          <w:lang w:val="en-CA"/>
        </w:rPr>
        <w:t>s</w:t>
      </w:r>
      <w:r w:rsidRPr="00AA504E">
        <w:rPr>
          <w:lang w:val="en-CA"/>
        </w:rPr>
        <w:t xml:space="preserve"> other</w:t>
      </w:r>
      <w:r w:rsidR="001C21A3" w:rsidRPr="00AA504E">
        <w:rPr>
          <w:lang w:val="en-CA"/>
        </w:rPr>
        <w:t>s</w:t>
      </w:r>
      <w:r w:rsidRPr="00AA504E">
        <w:rPr>
          <w:lang w:val="en-CA"/>
        </w:rPr>
        <w:t>.</w:t>
      </w:r>
      <w:r w:rsidRPr="00AA504E">
        <w:rPr>
          <w:rFonts w:cs="Arial"/>
          <w:szCs w:val="24"/>
          <w:vertAlign w:val="superscript"/>
          <w:lang w:val="en-CA"/>
        </w:rPr>
        <w:footnoteReference w:id="58"/>
      </w:r>
      <w:r w:rsidR="003B1C16" w:rsidRPr="00AA504E">
        <w:rPr>
          <w:lang w:val="en-CA"/>
        </w:rPr>
        <w:t xml:space="preserve"> </w:t>
      </w:r>
      <w:r w:rsidRPr="00AA504E">
        <w:rPr>
          <w:lang w:val="en-CA"/>
        </w:rPr>
        <w:t xml:space="preserve">Its essential role is very well highlighted in the excerpt from </w:t>
      </w:r>
      <w:r w:rsidR="004A06EB">
        <w:rPr>
          <w:lang w:val="en-CA"/>
        </w:rPr>
        <w:t xml:space="preserve">work of </w:t>
      </w:r>
      <w:r w:rsidRPr="00AA504E">
        <w:rPr>
          <w:lang w:val="en-CA"/>
        </w:rPr>
        <w:t xml:space="preserve">author Vidal reproduced in paragraph </w:t>
      </w:r>
      <w:r w:rsidR="004A06EB">
        <w:rPr>
          <w:rFonts w:cs="Arial"/>
          <w:lang w:val="en-CA"/>
        </w:rPr>
        <w:t>[</w:t>
      </w:r>
      <w:r w:rsidRPr="00AA504E">
        <w:rPr>
          <w:lang w:val="en-CA"/>
        </w:rPr>
        <w:t>33</w:t>
      </w:r>
      <w:r w:rsidR="004A06EB">
        <w:rPr>
          <w:rFonts w:cs="Arial"/>
          <w:lang w:val="en-CA"/>
        </w:rPr>
        <w:t>]</w:t>
      </w:r>
      <w:r w:rsidRPr="00AA504E">
        <w:rPr>
          <w:lang w:val="en-CA"/>
        </w:rPr>
        <w:t xml:space="preserve"> of the judgment </w:t>
      </w:r>
      <w:r w:rsidR="009C011A" w:rsidRPr="009C011A">
        <w:rPr>
          <w:iCs/>
          <w:lang w:val="en-CA"/>
        </w:rPr>
        <w:t>under appeal</w:t>
      </w:r>
      <w:r w:rsidRPr="00AA504E">
        <w:rPr>
          <w:lang w:val="en-CA"/>
        </w:rPr>
        <w:t>.</w:t>
      </w:r>
      <w:r w:rsidR="003B1C16" w:rsidRPr="00AA504E">
        <w:rPr>
          <w:lang w:val="en-CA"/>
        </w:rPr>
        <w:t xml:space="preserve"> </w:t>
      </w:r>
      <w:r w:rsidRPr="00AA504E">
        <w:rPr>
          <w:lang w:val="en-CA"/>
        </w:rPr>
        <w:t xml:space="preserve">For ease of reference, it is reproduced again </w:t>
      </w:r>
      <w:r w:rsidR="004A06EB">
        <w:rPr>
          <w:lang w:val="en-CA"/>
        </w:rPr>
        <w:t>below</w:t>
      </w:r>
      <w:r w:rsidRPr="00AA504E">
        <w:rPr>
          <w:lang w:val="en-CA"/>
        </w:rPr>
        <w:t>:</w:t>
      </w:r>
      <w:r w:rsidRPr="00AA504E">
        <w:rPr>
          <w:rFonts w:cs="Arial"/>
          <w:szCs w:val="24"/>
          <w:vertAlign w:val="superscript"/>
          <w:lang w:val="en-CA"/>
        </w:rPr>
        <w:footnoteReference w:id="59"/>
      </w:r>
    </w:p>
    <w:p w14:paraId="7788BAA0" w14:textId="77777777" w:rsidR="00641C40" w:rsidRPr="00AA504E" w:rsidRDefault="005206EF" w:rsidP="002A0D72">
      <w:pPr>
        <w:pStyle w:val="Citationenretrait"/>
        <w:rPr>
          <w:lang w:val="en-CA"/>
        </w:rPr>
      </w:pPr>
      <w:r w:rsidRPr="00AA504E">
        <w:rPr>
          <w:lang w:val="en-CA"/>
        </w:rPr>
        <w:t>[</w:t>
      </w:r>
      <w:r w:rsidRPr="00AA504E">
        <w:rPr>
          <w:smallCaps/>
          <w:lang w:val="en-CA"/>
        </w:rPr>
        <w:t>translation</w:t>
      </w:r>
      <w:r w:rsidRPr="00AA504E">
        <w:rPr>
          <w:lang w:val="en-CA"/>
        </w:rPr>
        <w:t xml:space="preserve">] </w:t>
      </w:r>
    </w:p>
    <w:p w14:paraId="321F6B0A" w14:textId="093BE58F" w:rsidR="002A0D72" w:rsidRPr="00AA504E" w:rsidRDefault="005206EF" w:rsidP="00AA6367">
      <w:pPr>
        <w:pStyle w:val="Citationenretrait"/>
        <w:keepNext/>
        <w:rPr>
          <w:lang w:val="en-CA"/>
        </w:rPr>
      </w:pPr>
      <w:r w:rsidRPr="00AA504E">
        <w:rPr>
          <w:lang w:val="en-CA"/>
        </w:rPr>
        <w:t xml:space="preserve">By helping to uphold the </w:t>
      </w:r>
      <w:r w:rsidR="00641C40" w:rsidRPr="00AA504E">
        <w:rPr>
          <w:lang w:val="en-CA"/>
        </w:rPr>
        <w:t xml:space="preserve">mandatory </w:t>
      </w:r>
      <w:r w:rsidRPr="00AA504E">
        <w:rPr>
          <w:lang w:val="en-CA"/>
        </w:rPr>
        <w:t xml:space="preserve">nature of the rule of law, </w:t>
      </w:r>
      <w:r w:rsidRPr="00AA504E">
        <w:rPr>
          <w:u w:val="single"/>
          <w:lang w:val="en-CA"/>
        </w:rPr>
        <w:t>the theory of fraud proves indispensable to maintaining the established order</w:t>
      </w:r>
      <w:r w:rsidRPr="00AA504E">
        <w:rPr>
          <w:lang w:val="en-CA"/>
        </w:rPr>
        <w:t>;</w:t>
      </w:r>
      <w:r w:rsidR="003B1C16" w:rsidRPr="00AA504E">
        <w:rPr>
          <w:lang w:val="en-CA"/>
        </w:rPr>
        <w:t xml:space="preserve"> </w:t>
      </w:r>
      <w:r w:rsidRPr="00AA504E">
        <w:rPr>
          <w:lang w:val="en-CA"/>
        </w:rPr>
        <w:t xml:space="preserve">and the social unrest that would result from circumventing </w:t>
      </w:r>
      <w:r w:rsidR="004A06EB">
        <w:rPr>
          <w:lang w:val="en-CA"/>
        </w:rPr>
        <w:t xml:space="preserve">the </w:t>
      </w:r>
      <w:r w:rsidRPr="00AA504E">
        <w:rPr>
          <w:lang w:val="en-CA"/>
        </w:rPr>
        <w:t>legal rules through trickery confirms this necessity.</w:t>
      </w:r>
      <w:r w:rsidR="003B1C16" w:rsidRPr="00AA504E">
        <w:rPr>
          <w:lang w:val="en-CA"/>
        </w:rPr>
        <w:t xml:space="preserve"> </w:t>
      </w:r>
      <w:r w:rsidRPr="00AA504E">
        <w:rPr>
          <w:lang w:val="en-CA"/>
        </w:rPr>
        <w:t xml:space="preserve">But there is more, and the question arises </w:t>
      </w:r>
      <w:r w:rsidR="00641C40" w:rsidRPr="00AA504E">
        <w:rPr>
          <w:lang w:val="en-CA"/>
        </w:rPr>
        <w:t>whether</w:t>
      </w:r>
      <w:r w:rsidRPr="00AA504E">
        <w:rPr>
          <w:lang w:val="en-CA"/>
        </w:rPr>
        <w:t xml:space="preserve"> this theory is inherent in the very notion of </w:t>
      </w:r>
      <w:r w:rsidRPr="00AA504E">
        <w:rPr>
          <w:i/>
          <w:lang w:val="en-CA"/>
        </w:rPr>
        <w:t>legal order.</w:t>
      </w:r>
      <w:r w:rsidR="003B1C16" w:rsidRPr="00AA504E">
        <w:rPr>
          <w:lang w:val="en-CA"/>
        </w:rPr>
        <w:t xml:space="preserve"> </w:t>
      </w:r>
      <w:r w:rsidRPr="00AA504E">
        <w:rPr>
          <w:lang w:val="en-CA"/>
        </w:rPr>
        <w:t>The Court believes it is.</w:t>
      </w:r>
      <w:r w:rsidR="003B1C16" w:rsidRPr="00AA504E">
        <w:rPr>
          <w:lang w:val="en-CA"/>
        </w:rPr>
        <w:t xml:space="preserve"> </w:t>
      </w:r>
      <w:r w:rsidRPr="00AA504E">
        <w:rPr>
          <w:u w:val="single"/>
          <w:lang w:val="en-CA"/>
        </w:rPr>
        <w:t xml:space="preserve">The absence of a sanction for fraud, because it would allow the mandatory nature of legal rules to be circumvented, would be a negation of </w:t>
      </w:r>
      <w:r w:rsidR="004A06EB">
        <w:rPr>
          <w:u w:val="single"/>
          <w:lang w:val="en-CA"/>
        </w:rPr>
        <w:t>L</w:t>
      </w:r>
      <w:r w:rsidRPr="00AA504E">
        <w:rPr>
          <w:u w:val="single"/>
          <w:lang w:val="en-CA"/>
        </w:rPr>
        <w:t>aw itself, which is imperative by nature.</w:t>
      </w:r>
      <w:r w:rsidRPr="00AA504E">
        <w:rPr>
          <w:lang w:val="en-CA"/>
        </w:rPr>
        <w:t xml:space="preserve"> The maxim </w:t>
      </w:r>
      <w:r w:rsidRPr="00AA504E">
        <w:rPr>
          <w:i/>
          <w:lang w:val="en-CA"/>
        </w:rPr>
        <w:t>fraus omnia corrumpit</w:t>
      </w:r>
      <w:r w:rsidRPr="00AA504E">
        <w:rPr>
          <w:lang w:val="en-CA"/>
        </w:rPr>
        <w:t xml:space="preserve"> thus formulates </w:t>
      </w:r>
      <w:r w:rsidRPr="00AA504E">
        <w:rPr>
          <w:u w:val="single"/>
          <w:lang w:val="en-CA"/>
        </w:rPr>
        <w:t>one of the fundamental rules that constitute the backbone of our law</w:t>
      </w:r>
      <w:r w:rsidRPr="00AA504E">
        <w:rPr>
          <w:lang w:val="en-CA"/>
        </w:rPr>
        <w:t xml:space="preserve">, on which our sufficiently </w:t>
      </w:r>
      <w:r w:rsidR="00C52A7C">
        <w:rPr>
          <w:lang w:val="en-CA"/>
        </w:rPr>
        <w:t>developed</w:t>
      </w:r>
      <w:r w:rsidRPr="00AA504E">
        <w:rPr>
          <w:lang w:val="en-CA"/>
        </w:rPr>
        <w:t xml:space="preserve"> legal system is based: it is </w:t>
      </w:r>
      <w:r w:rsidRPr="00AA504E">
        <w:rPr>
          <w:i/>
          <w:lang w:val="en-CA"/>
        </w:rPr>
        <w:t>a general principle of law</w:t>
      </w:r>
      <w:r w:rsidRPr="00AA504E">
        <w:rPr>
          <w:lang w:val="en-CA"/>
        </w:rPr>
        <w:t>.</w:t>
      </w:r>
      <w:r w:rsidR="003B1C16" w:rsidRPr="00AA504E">
        <w:rPr>
          <w:lang w:val="en-CA"/>
        </w:rPr>
        <w:t xml:space="preserve"> </w:t>
      </w:r>
    </w:p>
    <w:p w14:paraId="7A5A3373" w14:textId="601FCADD" w:rsidR="002A0D72" w:rsidRPr="00AA504E" w:rsidRDefault="005206EF" w:rsidP="00AA6367">
      <w:pPr>
        <w:pStyle w:val="Paragraphe"/>
        <w:keepNext/>
        <w:widowControl w:val="0"/>
        <w:numPr>
          <w:ilvl w:val="0"/>
          <w:numId w:val="0"/>
        </w:numPr>
        <w:spacing w:line="240" w:lineRule="auto"/>
        <w:ind w:left="709" w:right="715"/>
        <w:jc w:val="right"/>
        <w:rPr>
          <w:sz w:val="22"/>
          <w:szCs w:val="22"/>
          <w:lang w:val="en-CA"/>
        </w:rPr>
      </w:pPr>
      <w:r w:rsidRPr="00AA504E">
        <w:rPr>
          <w:sz w:val="22"/>
          <w:szCs w:val="22"/>
          <w:lang w:val="en-CA"/>
        </w:rPr>
        <w:t>[Emphasis added;</w:t>
      </w:r>
      <w:r w:rsidR="003B1C16" w:rsidRPr="00AA504E">
        <w:rPr>
          <w:sz w:val="22"/>
          <w:szCs w:val="22"/>
          <w:lang w:val="en-CA"/>
        </w:rPr>
        <w:t xml:space="preserve"> </w:t>
      </w:r>
      <w:r w:rsidRPr="00AA504E">
        <w:rPr>
          <w:sz w:val="22"/>
          <w:szCs w:val="22"/>
          <w:lang w:val="en-CA"/>
        </w:rPr>
        <w:t>italics in original;</w:t>
      </w:r>
      <w:r w:rsidR="003B1C16" w:rsidRPr="00AA504E">
        <w:rPr>
          <w:sz w:val="22"/>
          <w:szCs w:val="22"/>
          <w:lang w:val="en-CA"/>
        </w:rPr>
        <w:t xml:space="preserve"> </w:t>
      </w:r>
      <w:r w:rsidRPr="00AA504E">
        <w:rPr>
          <w:sz w:val="22"/>
          <w:szCs w:val="22"/>
          <w:lang w:val="en-CA"/>
        </w:rPr>
        <w:t>references omitted.]</w:t>
      </w:r>
    </w:p>
    <w:p w14:paraId="7174B44B" w14:textId="0B649535" w:rsidR="002A0D72" w:rsidRPr="00AA504E" w:rsidRDefault="005206EF" w:rsidP="002A0D72">
      <w:pPr>
        <w:pStyle w:val="Paragraphe"/>
        <w:widowControl w:val="0"/>
        <w:numPr>
          <w:ilvl w:val="0"/>
          <w:numId w:val="0"/>
        </w:numPr>
        <w:spacing w:line="280" w:lineRule="exact"/>
        <w:rPr>
          <w:lang w:val="en-CA"/>
        </w:rPr>
      </w:pPr>
      <w:r w:rsidRPr="00AA504E">
        <w:rPr>
          <w:lang w:val="en-CA"/>
        </w:rPr>
        <w:t xml:space="preserve">As </w:t>
      </w:r>
      <w:r w:rsidR="006415AE">
        <w:rPr>
          <w:lang w:val="en-CA"/>
        </w:rPr>
        <w:t xml:space="preserve">appears </w:t>
      </w:r>
      <w:r w:rsidRPr="00AA504E">
        <w:rPr>
          <w:lang w:val="en-CA"/>
        </w:rPr>
        <w:t>from reading this excerpt, it is necessary not only that fraud be prohibited, but also that it be sanctioned.</w:t>
      </w:r>
      <w:r w:rsidR="003B1C16" w:rsidRPr="00AA504E">
        <w:rPr>
          <w:lang w:val="en-CA"/>
        </w:rPr>
        <w:t xml:space="preserve"> </w:t>
      </w:r>
      <w:r w:rsidRPr="00AA504E">
        <w:rPr>
          <w:lang w:val="en-CA"/>
        </w:rPr>
        <w:t xml:space="preserve">It </w:t>
      </w:r>
      <w:r w:rsidR="006415AE">
        <w:rPr>
          <w:lang w:val="en-CA"/>
        </w:rPr>
        <w:t xml:space="preserve">is </w:t>
      </w:r>
      <w:r w:rsidRPr="00AA504E">
        <w:rPr>
          <w:lang w:val="en-CA"/>
        </w:rPr>
        <w:t xml:space="preserve">clear to the Court that a clause </w:t>
      </w:r>
      <w:r w:rsidR="006415AE">
        <w:rPr>
          <w:lang w:val="en-CA"/>
        </w:rPr>
        <w:t>by</w:t>
      </w:r>
      <w:r w:rsidRPr="00AA504E">
        <w:rPr>
          <w:lang w:val="en-CA"/>
        </w:rPr>
        <w:t xml:space="preserve"> which a party seeks to benefit from their own fraud in advance — and, consequently, to protect themselves from any sanction — runs directly counter to the fundamental principle condemning fraud in all its forms.</w:t>
      </w:r>
    </w:p>
    <w:p w14:paraId="25358248" w14:textId="1E50AB63" w:rsidR="002A0D72" w:rsidRPr="00AA504E" w:rsidRDefault="005206EF" w:rsidP="00767625">
      <w:pPr>
        <w:pStyle w:val="Paragraphe"/>
        <w:keepNext/>
        <w:widowControl w:val="0"/>
        <w:spacing w:line="240" w:lineRule="auto"/>
        <w:rPr>
          <w:lang w:val="en-CA"/>
        </w:rPr>
      </w:pPr>
      <w:r w:rsidRPr="00AA504E">
        <w:rPr>
          <w:lang w:val="en-CA"/>
        </w:rPr>
        <w:t xml:space="preserve">The second reason is the consensus on this solution in civil law and common law </w:t>
      </w:r>
      <w:r w:rsidRPr="00AA504E">
        <w:rPr>
          <w:lang w:val="en-CA"/>
        </w:rPr>
        <w:lastRenderedPageBreak/>
        <w:t>jurisdictions</w:t>
      </w:r>
      <w:r w:rsidR="001C21A3" w:rsidRPr="00AA504E">
        <w:rPr>
          <w:lang w:val="en-CA"/>
        </w:rPr>
        <w:t>.</w:t>
      </w:r>
      <w:r w:rsidR="003B1C16" w:rsidRPr="00AA504E">
        <w:rPr>
          <w:lang w:val="en-CA"/>
        </w:rPr>
        <w:t xml:space="preserve"> </w:t>
      </w:r>
      <w:r w:rsidR="007C218E">
        <w:rPr>
          <w:lang w:val="en-CA"/>
        </w:rPr>
        <w:t>Article</w:t>
      </w:r>
      <w:r w:rsidR="007C218E" w:rsidRPr="00AA504E">
        <w:rPr>
          <w:lang w:val="en-CA"/>
        </w:rPr>
        <w:t xml:space="preserve"> </w:t>
      </w:r>
      <w:r w:rsidRPr="00AA504E">
        <w:rPr>
          <w:lang w:val="en-CA"/>
        </w:rPr>
        <w:t xml:space="preserve">4:118(1) of the </w:t>
      </w:r>
      <w:r w:rsidR="001C21A3" w:rsidRPr="00AA504E">
        <w:rPr>
          <w:rFonts w:cs="Arial"/>
          <w:szCs w:val="24"/>
          <w:lang w:val="en-CA"/>
        </w:rPr>
        <w:t>Principles of European Contract Law</w:t>
      </w:r>
      <w:r w:rsidRPr="00AA504E">
        <w:rPr>
          <w:lang w:val="en-CA"/>
        </w:rPr>
        <w:t>,</w:t>
      </w:r>
      <w:r w:rsidRPr="00AA504E">
        <w:rPr>
          <w:rFonts w:cs="Arial"/>
          <w:szCs w:val="24"/>
          <w:vertAlign w:val="superscript"/>
          <w:lang w:val="en-CA"/>
        </w:rPr>
        <w:footnoteReference w:id="60"/>
      </w:r>
      <w:r w:rsidRPr="00AA504E">
        <w:rPr>
          <w:rFonts w:cs="Arial"/>
          <w:szCs w:val="24"/>
          <w:lang w:val="en-CA"/>
        </w:rPr>
        <w:t xml:space="preserve"> the purpose of which</w:t>
      </w:r>
      <w:r w:rsidR="001C21A3" w:rsidRPr="00AA504E">
        <w:rPr>
          <w:rFonts w:cs="Arial"/>
          <w:szCs w:val="24"/>
          <w:lang w:val="en-CA"/>
        </w:rPr>
        <w:t xml:space="preserve"> was</w:t>
      </w:r>
      <w:r w:rsidRPr="00AA504E">
        <w:rPr>
          <w:rFonts w:cs="Arial"/>
          <w:szCs w:val="24"/>
          <w:lang w:val="en-CA"/>
        </w:rPr>
        <w:t xml:space="preserve"> to codify solutions that are generally accepted in the European legal arena, provide</w:t>
      </w:r>
      <w:r w:rsidR="00A657D6" w:rsidRPr="00AA504E">
        <w:rPr>
          <w:rFonts w:cs="Arial"/>
          <w:szCs w:val="24"/>
          <w:lang w:val="en-CA"/>
        </w:rPr>
        <w:t>s</w:t>
      </w:r>
      <w:r w:rsidRPr="00AA504E">
        <w:rPr>
          <w:rFonts w:cs="Arial"/>
          <w:szCs w:val="24"/>
          <w:lang w:val="en-CA"/>
        </w:rPr>
        <w:t xml:space="preserve"> that “[r]emedies for fraud </w:t>
      </w:r>
      <w:r w:rsidR="00A657D6" w:rsidRPr="00AA504E">
        <w:rPr>
          <w:rFonts w:cs="Arial"/>
          <w:szCs w:val="24"/>
          <w:lang w:val="en-CA"/>
        </w:rPr>
        <w:t xml:space="preserve">… </w:t>
      </w:r>
      <w:r w:rsidRPr="00AA504E">
        <w:rPr>
          <w:rFonts w:cs="Arial"/>
          <w:szCs w:val="24"/>
          <w:lang w:val="en-CA"/>
        </w:rPr>
        <w:t>cannot be excluded or re</w:t>
      </w:r>
      <w:r w:rsidR="00641C40" w:rsidRPr="00AA504E">
        <w:rPr>
          <w:rFonts w:cs="Arial"/>
          <w:szCs w:val="24"/>
          <w:lang w:val="en-CA"/>
        </w:rPr>
        <w:t>s</w:t>
      </w:r>
      <w:r w:rsidRPr="00AA504E">
        <w:rPr>
          <w:rFonts w:cs="Arial"/>
          <w:szCs w:val="24"/>
          <w:lang w:val="en-CA"/>
        </w:rPr>
        <w:t>tricted”.</w:t>
      </w:r>
      <w:r w:rsidRPr="00AA504E">
        <w:rPr>
          <w:rFonts w:cs="Arial"/>
          <w:szCs w:val="24"/>
          <w:vertAlign w:val="superscript"/>
          <w:lang w:val="en-CA"/>
        </w:rPr>
        <w:footnoteReference w:id="61"/>
      </w:r>
      <w:r w:rsidR="003B1C16" w:rsidRPr="00AA504E">
        <w:rPr>
          <w:lang w:val="en-CA"/>
        </w:rPr>
        <w:t xml:space="preserve"> </w:t>
      </w:r>
      <w:r w:rsidR="001C56F8" w:rsidRPr="00AA504E">
        <w:rPr>
          <w:lang w:val="en-CA"/>
        </w:rPr>
        <w:t xml:space="preserve">With respect to </w:t>
      </w:r>
      <w:r w:rsidR="003B1C16" w:rsidRPr="00AA504E">
        <w:rPr>
          <w:lang w:val="en-CA"/>
        </w:rPr>
        <w:t>common law</w:t>
      </w:r>
      <w:r w:rsidR="001C56F8" w:rsidRPr="00AA504E">
        <w:rPr>
          <w:lang w:val="en-CA"/>
        </w:rPr>
        <w:t xml:space="preserve"> jurisdictions</w:t>
      </w:r>
      <w:r w:rsidR="003B1C16" w:rsidRPr="00AA504E">
        <w:rPr>
          <w:lang w:val="en-CA"/>
        </w:rPr>
        <w:t xml:space="preserve">, </w:t>
      </w:r>
      <w:r w:rsidR="00641C40" w:rsidRPr="00AA504E">
        <w:rPr>
          <w:lang w:val="en-CA"/>
        </w:rPr>
        <w:t>reference may first be made to the work of Prof</w:t>
      </w:r>
      <w:r w:rsidR="006E4021">
        <w:rPr>
          <w:lang w:val="en-CA"/>
        </w:rPr>
        <w:t>essor</w:t>
      </w:r>
      <w:r w:rsidR="003B1C16" w:rsidRPr="00AA504E">
        <w:rPr>
          <w:lang w:val="en-CA"/>
        </w:rPr>
        <w:t xml:space="preserve"> Burrows, </w:t>
      </w:r>
      <w:r w:rsidR="00641C40" w:rsidRPr="00AA504E">
        <w:rPr>
          <w:lang w:val="en-CA"/>
        </w:rPr>
        <w:t>now a Justice of the Supreme Court of the United Kingdom,</w:t>
      </w:r>
      <w:r w:rsidR="003B1C16" w:rsidRPr="00AA504E">
        <w:rPr>
          <w:lang w:val="en-CA"/>
        </w:rPr>
        <w:t xml:space="preserve"> </w:t>
      </w:r>
      <w:r w:rsidR="00641C40" w:rsidRPr="00AA504E">
        <w:rPr>
          <w:lang w:val="en-CA"/>
        </w:rPr>
        <w:t>who explains that in English law, “</w:t>
      </w:r>
      <w:r w:rsidR="003B1C16" w:rsidRPr="00AA504E">
        <w:rPr>
          <w:rFonts w:cs="Arial"/>
          <w:lang w:val="en-CA"/>
        </w:rPr>
        <w:t>as a matter of public policy, one cannot exclude liability for one’s own fraudulent misrepresentation</w:t>
      </w:r>
      <w:r w:rsidR="00641C40" w:rsidRPr="00AA504E">
        <w:rPr>
          <w:rFonts w:cs="Arial"/>
          <w:lang w:val="en-CA"/>
        </w:rPr>
        <w:t>”.</w:t>
      </w:r>
      <w:r w:rsidR="003B1C16" w:rsidRPr="00AA504E">
        <w:rPr>
          <w:rFonts w:cs="Arial"/>
          <w:szCs w:val="24"/>
          <w:vertAlign w:val="superscript"/>
          <w:lang w:val="en-CA"/>
        </w:rPr>
        <w:footnoteReference w:id="62"/>
      </w:r>
      <w:r w:rsidR="00641C40" w:rsidRPr="00AA504E">
        <w:rPr>
          <w:lang w:val="en-CA"/>
        </w:rPr>
        <w:t xml:space="preserve"> </w:t>
      </w:r>
      <w:r w:rsidR="00566345" w:rsidRPr="00AA504E">
        <w:rPr>
          <w:lang w:val="en-CA"/>
        </w:rPr>
        <w:t xml:space="preserve">The law in force in </w:t>
      </w:r>
      <w:r w:rsidR="006E4021">
        <w:rPr>
          <w:lang w:val="en-CA"/>
        </w:rPr>
        <w:t xml:space="preserve">Canadian </w:t>
      </w:r>
      <w:r w:rsidR="00566345" w:rsidRPr="00AA504E">
        <w:rPr>
          <w:lang w:val="en-CA"/>
        </w:rPr>
        <w:t>common law jurisdictions is to the same effect. After stating that, “[a] broadly worded clause would not be construed to exempt liability for fraudulent misrepresentation”</w:t>
      </w:r>
      <w:r w:rsidR="00566345" w:rsidRPr="00AA504E">
        <w:rPr>
          <w:rFonts w:cs="Arial"/>
          <w:lang w:val="en-CA"/>
        </w:rPr>
        <w:t>,</w:t>
      </w:r>
      <w:r w:rsidR="00566345" w:rsidRPr="00AA504E">
        <w:rPr>
          <w:rFonts w:cs="Arial"/>
          <w:szCs w:val="24"/>
          <w:vertAlign w:val="superscript"/>
          <w:lang w:val="en-CA"/>
        </w:rPr>
        <w:footnoteReference w:id="63"/>
      </w:r>
      <w:r w:rsidR="00566345" w:rsidRPr="00AA504E">
        <w:rPr>
          <w:lang w:val="en-CA"/>
        </w:rPr>
        <w:t xml:space="preserve"> Prof</w:t>
      </w:r>
      <w:r w:rsidR="006E4021">
        <w:rPr>
          <w:lang w:val="en-CA"/>
        </w:rPr>
        <w:t>essor</w:t>
      </w:r>
      <w:r w:rsidR="00566345" w:rsidRPr="00AA504E">
        <w:rPr>
          <w:lang w:val="en-CA"/>
        </w:rPr>
        <w:t xml:space="preserve"> McCamus added that “an explicit attempt to exclude liability for fraud would be ineffective at common law</w:t>
      </w:r>
      <w:r w:rsidR="008C2822" w:rsidRPr="00AA504E">
        <w:rPr>
          <w:lang w:val="en-CA"/>
        </w:rPr>
        <w:t>”.</w:t>
      </w:r>
      <w:r w:rsidR="00566345" w:rsidRPr="00AA504E">
        <w:rPr>
          <w:rFonts w:cs="Arial"/>
          <w:szCs w:val="24"/>
          <w:vertAlign w:val="superscript"/>
          <w:lang w:val="en-CA"/>
        </w:rPr>
        <w:footnoteReference w:id="64"/>
      </w:r>
      <w:r w:rsidR="008C2822" w:rsidRPr="00AA504E">
        <w:rPr>
          <w:lang w:val="en-CA"/>
        </w:rPr>
        <w:t xml:space="preserve"> This consensus is significant because the fact that a binding rule is widely recognized in comparative law constitutes a particularly probative indication of its connection to </w:t>
      </w:r>
      <w:r w:rsidR="005476CF" w:rsidRPr="00AA504E">
        <w:rPr>
          <w:lang w:val="en-CA"/>
        </w:rPr>
        <w:t xml:space="preserve">fundamental moral, social, economic, or </w:t>
      </w:r>
      <w:r w:rsidR="00AB36D4" w:rsidRPr="00AA504E">
        <w:rPr>
          <w:lang w:val="en-CA"/>
        </w:rPr>
        <w:t>political concepts</w:t>
      </w:r>
      <w:r w:rsidR="005476CF" w:rsidRPr="00AA504E">
        <w:rPr>
          <w:lang w:val="en-CA"/>
        </w:rPr>
        <w:t>.</w:t>
      </w:r>
    </w:p>
    <w:p w14:paraId="10D3C054" w14:textId="1C946B69" w:rsidR="002A0D72" w:rsidRPr="00AA504E" w:rsidRDefault="005476CF" w:rsidP="00767625">
      <w:pPr>
        <w:pStyle w:val="Paragraphe"/>
        <w:widowControl w:val="0"/>
        <w:spacing w:before="0" w:line="240" w:lineRule="auto"/>
        <w:rPr>
          <w:lang w:val="en-CA"/>
        </w:rPr>
      </w:pPr>
      <w:r w:rsidRPr="00AA504E">
        <w:rPr>
          <w:lang w:val="en-CA"/>
        </w:rPr>
        <w:t>The third reason is that the</w:t>
      </w:r>
      <w:r w:rsidR="003B1C16" w:rsidRPr="00AA504E">
        <w:rPr>
          <w:lang w:val="en-CA"/>
        </w:rPr>
        <w:t xml:space="preserve"> </w:t>
      </w:r>
      <w:r w:rsidR="00AB36D4" w:rsidRPr="00AA504E">
        <w:rPr>
          <w:rFonts w:cs="Arial"/>
          <w:iCs/>
          <w:szCs w:val="24"/>
          <w:lang w:val="en-CA"/>
        </w:rPr>
        <w:t>UNIDROIT Principles of International Commercial Contracts</w:t>
      </w:r>
      <w:r w:rsidR="003B1C16" w:rsidRPr="00AA504E">
        <w:rPr>
          <w:rFonts w:cs="Arial"/>
          <w:szCs w:val="24"/>
          <w:vertAlign w:val="superscript"/>
          <w:lang w:val="en-CA"/>
        </w:rPr>
        <w:footnoteReference w:id="65"/>
      </w:r>
      <w:r w:rsidR="003B1C16" w:rsidRPr="00AA504E">
        <w:rPr>
          <w:lang w:val="en-CA"/>
        </w:rPr>
        <w:t xml:space="preserve"> </w:t>
      </w:r>
      <w:r w:rsidR="00AB36D4" w:rsidRPr="00AA504E">
        <w:rPr>
          <w:lang w:val="en-CA"/>
        </w:rPr>
        <w:t xml:space="preserve">also </w:t>
      </w:r>
      <w:r w:rsidR="006E4021">
        <w:rPr>
          <w:lang w:val="en-CA"/>
        </w:rPr>
        <w:t xml:space="preserve">enshrine </w:t>
      </w:r>
      <w:r w:rsidR="00AB36D4" w:rsidRPr="00AA504E">
        <w:rPr>
          <w:lang w:val="en-CA"/>
        </w:rPr>
        <w:t xml:space="preserve">the </w:t>
      </w:r>
      <w:r w:rsidR="0057111F" w:rsidRPr="00AA504E">
        <w:rPr>
          <w:lang w:val="en-CA"/>
        </w:rPr>
        <w:t>illegality</w:t>
      </w:r>
      <w:r w:rsidR="00AB36D4" w:rsidRPr="00AA504E">
        <w:rPr>
          <w:lang w:val="en-CA"/>
        </w:rPr>
        <w:t xml:space="preserve"> of advance waivers of </w:t>
      </w:r>
      <w:r w:rsidR="00641C40" w:rsidRPr="00AA504E">
        <w:rPr>
          <w:lang w:val="en-CA"/>
        </w:rPr>
        <w:t>sanctions</w:t>
      </w:r>
      <w:r w:rsidR="00AB36D4" w:rsidRPr="00AA504E">
        <w:rPr>
          <w:lang w:val="en-CA"/>
        </w:rPr>
        <w:t xml:space="preserve"> in matters of fraud.</w:t>
      </w:r>
      <w:r w:rsidR="003B1C16" w:rsidRPr="00AA504E">
        <w:rPr>
          <w:rFonts w:cs="Arial"/>
          <w:szCs w:val="24"/>
          <w:vertAlign w:val="superscript"/>
          <w:lang w:val="en-CA"/>
        </w:rPr>
        <w:footnoteReference w:id="66"/>
      </w:r>
      <w:r w:rsidR="003B1C16" w:rsidRPr="00AA504E">
        <w:rPr>
          <w:lang w:val="en-CA"/>
        </w:rPr>
        <w:t xml:space="preserve"> </w:t>
      </w:r>
      <w:r w:rsidR="0057111F" w:rsidRPr="00AA504E">
        <w:rPr>
          <w:lang w:val="en-CA"/>
        </w:rPr>
        <w:t xml:space="preserve">The Court finds it very telling that a group of international experts </w:t>
      </w:r>
      <w:r w:rsidR="00AA6367">
        <w:rPr>
          <w:lang w:val="en-CA"/>
        </w:rPr>
        <w:t>u</w:t>
      </w:r>
      <w:r w:rsidR="0057111F" w:rsidRPr="00AA504E">
        <w:rPr>
          <w:lang w:val="en-CA"/>
        </w:rPr>
        <w:t>nder the auspices of the</w:t>
      </w:r>
      <w:r w:rsidR="003B1C16" w:rsidRPr="00AA504E">
        <w:rPr>
          <w:lang w:val="en-CA"/>
        </w:rPr>
        <w:t xml:space="preserve"> </w:t>
      </w:r>
      <w:r w:rsidR="00641C40" w:rsidRPr="00AA504E">
        <w:rPr>
          <w:rFonts w:cs="Arial"/>
          <w:lang w:val="en-CA"/>
        </w:rPr>
        <w:t>International Institute for the Unification of Private Law</w:t>
      </w:r>
      <w:r w:rsidR="008C01EA">
        <w:rPr>
          <w:rFonts w:cs="Arial"/>
          <w:lang w:val="en-CA"/>
        </w:rPr>
        <w:t xml:space="preserve"> accepted this rule</w:t>
      </w:r>
      <w:r w:rsidR="003B1C16" w:rsidRPr="00AA504E">
        <w:rPr>
          <w:lang w:val="en-CA"/>
        </w:rPr>
        <w:t xml:space="preserve">. </w:t>
      </w:r>
      <w:r w:rsidR="00777852" w:rsidRPr="00AA504E">
        <w:rPr>
          <w:lang w:val="en-CA"/>
        </w:rPr>
        <w:t xml:space="preserve">Even more so because the mission of these experts was to codify solutions which, in addition to being widely adopted in comparative law, </w:t>
      </w:r>
      <w:r w:rsidR="001D022C" w:rsidRPr="00AA504E">
        <w:rPr>
          <w:lang w:val="en-CA"/>
        </w:rPr>
        <w:t>were</w:t>
      </w:r>
      <w:r w:rsidR="00777852" w:rsidRPr="00AA504E">
        <w:rPr>
          <w:lang w:val="en-CA"/>
        </w:rPr>
        <w:t xml:space="preserve"> also adapted to the needs of international commercial operators.</w:t>
      </w:r>
      <w:r w:rsidR="003B1C16" w:rsidRPr="00AA504E">
        <w:rPr>
          <w:rFonts w:cs="Arial"/>
          <w:szCs w:val="24"/>
          <w:vertAlign w:val="superscript"/>
          <w:lang w:val="en-CA"/>
        </w:rPr>
        <w:footnoteReference w:id="67"/>
      </w:r>
      <w:r w:rsidR="003B1C16" w:rsidRPr="00AA504E">
        <w:rPr>
          <w:lang w:val="en-CA"/>
        </w:rPr>
        <w:t xml:space="preserve"> </w:t>
      </w:r>
      <w:r w:rsidR="001D022C" w:rsidRPr="00AA504E">
        <w:rPr>
          <w:lang w:val="en-CA"/>
        </w:rPr>
        <w:t xml:space="preserve">The UNIDROIT </w:t>
      </w:r>
      <w:r w:rsidR="00767625">
        <w:rPr>
          <w:lang w:val="en-CA"/>
        </w:rPr>
        <w:t xml:space="preserve">approach </w:t>
      </w:r>
      <w:r w:rsidR="001D022C" w:rsidRPr="00AA504E">
        <w:rPr>
          <w:lang w:val="en-CA"/>
        </w:rPr>
        <w:t xml:space="preserve">shows that the prohibition </w:t>
      </w:r>
      <w:r w:rsidR="001D022C" w:rsidRPr="00AA504E">
        <w:rPr>
          <w:lang w:val="en-CA"/>
        </w:rPr>
        <w:lastRenderedPageBreak/>
        <w:t>against waiving the sanctions for fraud in advance reflects moral, social, economic, or political concepts that are fundamental not only in a domestic context, but also with respect to legal situations with foreign elements.</w:t>
      </w:r>
    </w:p>
    <w:p w14:paraId="26860486" w14:textId="71E93BC0" w:rsidR="002A0D72" w:rsidRPr="00AA504E" w:rsidRDefault="001D022C" w:rsidP="002A0D72">
      <w:pPr>
        <w:pStyle w:val="Paragraphe"/>
        <w:widowControl w:val="0"/>
        <w:spacing w:line="280" w:lineRule="exact"/>
        <w:rPr>
          <w:lang w:val="en-CA"/>
        </w:rPr>
      </w:pPr>
      <w:r w:rsidRPr="00AA504E">
        <w:rPr>
          <w:lang w:val="en-CA"/>
        </w:rPr>
        <w:t xml:space="preserve">In short, the trial judge was correct in finding that the </w:t>
      </w:r>
      <w:r w:rsidR="00D979B5">
        <w:rPr>
          <w:lang w:val="en-CA"/>
        </w:rPr>
        <w:t>outcome</w:t>
      </w:r>
      <w:r w:rsidR="00D979B5" w:rsidRPr="00AA504E">
        <w:rPr>
          <w:lang w:val="en-CA"/>
        </w:rPr>
        <w:t xml:space="preserve"> </w:t>
      </w:r>
      <w:r w:rsidRPr="00AA504E">
        <w:rPr>
          <w:lang w:val="en-CA"/>
        </w:rPr>
        <w:t xml:space="preserve">of the judgment dated October 19, 2021, </w:t>
      </w:r>
      <w:r w:rsidR="00056D6B">
        <w:rPr>
          <w:lang w:val="en-CA"/>
        </w:rPr>
        <w:t>i</w:t>
      </w:r>
      <w:r w:rsidRPr="00AA504E">
        <w:rPr>
          <w:lang w:val="en-CA"/>
        </w:rPr>
        <w:t>s manifestly inconsistent with public order as understood in international relations.</w:t>
      </w:r>
      <w:r w:rsidR="003B1C16" w:rsidRPr="00AA504E">
        <w:rPr>
          <w:lang w:val="en-CA"/>
        </w:rPr>
        <w:t xml:space="preserve"> </w:t>
      </w:r>
      <w:r w:rsidRPr="00AA504E">
        <w:rPr>
          <w:lang w:val="en-CA"/>
        </w:rPr>
        <w:t>She was therefore correct in dismissing the appellant’s application.</w:t>
      </w:r>
    </w:p>
    <w:p w14:paraId="7E685062" w14:textId="46C9E6A2" w:rsidR="002A0D72" w:rsidRPr="00AA504E" w:rsidRDefault="001D022C" w:rsidP="002A0D72">
      <w:pPr>
        <w:pStyle w:val="Paragraphe"/>
        <w:widowControl w:val="0"/>
        <w:numPr>
          <w:ilvl w:val="0"/>
          <w:numId w:val="0"/>
        </w:numPr>
        <w:spacing w:line="280" w:lineRule="exact"/>
        <w:rPr>
          <w:b/>
          <w:bCs/>
          <w:u w:val="single"/>
          <w:lang w:val="en-CA"/>
        </w:rPr>
      </w:pPr>
      <w:r w:rsidRPr="00AA504E">
        <w:rPr>
          <w:b/>
          <w:bCs/>
          <w:lang w:val="en-CA"/>
        </w:rPr>
        <w:t>IV.</w:t>
      </w:r>
      <w:r w:rsidR="003B1C16" w:rsidRPr="00AA504E">
        <w:rPr>
          <w:b/>
          <w:bCs/>
          <w:lang w:val="en-CA"/>
        </w:rPr>
        <w:tab/>
      </w:r>
      <w:r w:rsidR="003B1C16" w:rsidRPr="00AA504E">
        <w:rPr>
          <w:b/>
          <w:bCs/>
          <w:u w:val="single"/>
          <w:lang w:val="en-CA"/>
        </w:rPr>
        <w:t>Conclusion</w:t>
      </w:r>
    </w:p>
    <w:p w14:paraId="02E0B94A" w14:textId="4C9EB3D1" w:rsidR="002A0D72" w:rsidRPr="00AA504E" w:rsidRDefault="003B1C16" w:rsidP="002A0D72">
      <w:pPr>
        <w:pStyle w:val="Paragraphe"/>
        <w:widowControl w:val="0"/>
        <w:spacing w:line="280" w:lineRule="exact"/>
        <w:rPr>
          <w:lang w:val="en-CA"/>
        </w:rPr>
      </w:pPr>
      <w:r w:rsidRPr="00AA504E">
        <w:rPr>
          <w:lang w:val="en-CA"/>
        </w:rPr>
        <w:t xml:space="preserve"> For these reasons, </w:t>
      </w:r>
      <w:r w:rsidR="00AA6367">
        <w:rPr>
          <w:lang w:val="en-CA"/>
        </w:rPr>
        <w:t>the appeal should be dismissed</w:t>
      </w:r>
      <w:r w:rsidRPr="00AA504E">
        <w:rPr>
          <w:lang w:val="en-CA"/>
        </w:rPr>
        <w:t>, with legal costs.</w:t>
      </w:r>
    </w:p>
    <w:tbl>
      <w:tblPr>
        <w:tblW w:w="0" w:type="auto"/>
        <w:tblLayout w:type="fixed"/>
        <w:tblCellMar>
          <w:left w:w="0" w:type="dxa"/>
          <w:right w:w="0" w:type="dxa"/>
        </w:tblCellMar>
        <w:tblLook w:val="0000" w:firstRow="0" w:lastRow="0" w:firstColumn="0" w:lastColumn="0" w:noHBand="0" w:noVBand="0"/>
      </w:tblPr>
      <w:tblGrid>
        <w:gridCol w:w="4735"/>
        <w:gridCol w:w="4625"/>
      </w:tblGrid>
      <w:tr w:rsidR="00E47AA3" w:rsidRPr="009E5423" w14:paraId="2CAA3F22" w14:textId="77777777" w:rsidTr="00853427">
        <w:trPr>
          <w:cantSplit/>
          <w:trHeight w:val="1125"/>
        </w:trPr>
        <w:tc>
          <w:tcPr>
            <w:tcW w:w="9360" w:type="dxa"/>
            <w:gridSpan w:val="2"/>
          </w:tcPr>
          <w:p w14:paraId="0230FEC3" w14:textId="77777777" w:rsidR="002A0D72" w:rsidRPr="00AA504E" w:rsidRDefault="002A0D72" w:rsidP="00853427">
            <w:pPr>
              <w:rPr>
                <w:lang w:val="en-CA"/>
              </w:rPr>
            </w:pPr>
          </w:p>
        </w:tc>
      </w:tr>
      <w:tr w:rsidR="00E47AA3" w:rsidRPr="009E5423" w14:paraId="5D181DB2" w14:textId="77777777" w:rsidTr="00853427">
        <w:trPr>
          <w:cantSplit/>
          <w:trHeight w:val="277"/>
        </w:trPr>
        <w:tc>
          <w:tcPr>
            <w:tcW w:w="4735" w:type="dxa"/>
            <w:vMerge w:val="restart"/>
          </w:tcPr>
          <w:p w14:paraId="1A44BFFC" w14:textId="77777777" w:rsidR="002A0D72" w:rsidRPr="00AA504E" w:rsidRDefault="002A0D72" w:rsidP="00853427">
            <w:pPr>
              <w:rPr>
                <w:lang w:val="en-CA"/>
              </w:rPr>
            </w:pPr>
          </w:p>
        </w:tc>
        <w:tc>
          <w:tcPr>
            <w:tcW w:w="4625" w:type="dxa"/>
            <w:tcBorders>
              <w:bottom w:val="single" w:sz="8" w:space="0" w:color="auto"/>
            </w:tcBorders>
          </w:tcPr>
          <w:p w14:paraId="5A85E111" w14:textId="77777777" w:rsidR="002A0D72" w:rsidRPr="00AA504E" w:rsidRDefault="002A0D72" w:rsidP="00853427">
            <w:pPr>
              <w:rPr>
                <w:lang w:val="en-CA"/>
              </w:rPr>
            </w:pPr>
          </w:p>
        </w:tc>
      </w:tr>
      <w:tr w:rsidR="00E47AA3" w:rsidRPr="00AA504E" w14:paraId="2522CC49" w14:textId="77777777" w:rsidTr="00853427">
        <w:trPr>
          <w:cantSplit/>
          <w:trHeight w:val="276"/>
        </w:trPr>
        <w:tc>
          <w:tcPr>
            <w:tcW w:w="4735" w:type="dxa"/>
            <w:vMerge/>
          </w:tcPr>
          <w:p w14:paraId="01380B50" w14:textId="77777777" w:rsidR="002A0D72" w:rsidRPr="00AA504E" w:rsidRDefault="002A0D72" w:rsidP="00853427">
            <w:pPr>
              <w:rPr>
                <w:lang w:val="en-CA"/>
              </w:rPr>
            </w:pPr>
          </w:p>
        </w:tc>
        <w:tc>
          <w:tcPr>
            <w:tcW w:w="4625" w:type="dxa"/>
          </w:tcPr>
          <w:p w14:paraId="5E16A0C7" w14:textId="761265EA" w:rsidR="002A0D72" w:rsidRPr="00AA504E" w:rsidRDefault="003B1C16" w:rsidP="00853427">
            <w:pPr>
              <w:rPr>
                <w:lang w:val="en-CA"/>
              </w:rPr>
            </w:pPr>
            <w:r w:rsidRPr="00AA504E">
              <w:rPr>
                <w:lang w:val="en-CA"/>
              </w:rPr>
              <w:t>FRÉDÉRIC BACHAND, J.A.</w:t>
            </w:r>
          </w:p>
        </w:tc>
      </w:tr>
      <w:bookmarkEnd w:id="7"/>
    </w:tbl>
    <w:p w14:paraId="2CDBA57A" w14:textId="77777777" w:rsidR="00740A17" w:rsidRPr="00AA504E" w:rsidRDefault="00740A17" w:rsidP="00D913A9">
      <w:pPr>
        <w:rPr>
          <w:lang w:val="en-CA"/>
        </w:rPr>
      </w:pPr>
    </w:p>
    <w:sectPr w:rsidR="00740A17" w:rsidRPr="00AA504E" w:rsidSect="0019420E">
      <w:headerReference w:type="default" r:id="rId10"/>
      <w:pgSz w:w="12242" w:h="15842" w:code="1"/>
      <w:pgMar w:top="1440" w:right="1009" w:bottom="1440" w:left="1871" w:header="1440" w:footer="79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67818" w14:textId="77777777" w:rsidR="00AD5D67" w:rsidRDefault="00AD5D67">
      <w:pPr>
        <w:spacing w:line="240" w:lineRule="auto"/>
      </w:pPr>
      <w:r>
        <w:separator/>
      </w:r>
    </w:p>
  </w:endnote>
  <w:endnote w:type="continuationSeparator" w:id="0">
    <w:p w14:paraId="74A03AA7" w14:textId="77777777" w:rsidR="00AD5D67" w:rsidRDefault="00AD5D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C7E3B" w14:textId="77777777" w:rsidR="00143BA5" w:rsidRPr="00E4239D" w:rsidRDefault="00143BA5" w:rsidP="004F741E">
    <w:pPr>
      <w:jc w:val="right"/>
      <w:rPr>
        <w:b/>
        <w:bCs/>
        <w:lang w:val="en-CA"/>
      </w:rPr>
    </w:pPr>
    <w:r>
      <w:rPr>
        <w:b/>
        <w:bCs/>
        <w:lang w:val="en-CA"/>
      </w:rPr>
      <w:t>English</w:t>
    </w:r>
    <w:r w:rsidRPr="00E4239D">
      <w:rPr>
        <w:b/>
        <w:bCs/>
        <w:lang w:val="en-CA"/>
      </w:rPr>
      <w:t xml:space="preserve"> </w:t>
    </w:r>
    <w:r>
      <w:rPr>
        <w:b/>
        <w:bCs/>
        <w:lang w:val="en-CA"/>
      </w:rPr>
      <w:t>t</w:t>
    </w:r>
    <w:r w:rsidRPr="00E4239D">
      <w:rPr>
        <w:b/>
        <w:bCs/>
        <w:lang w:val="en-CA"/>
      </w:rPr>
      <w:t xml:space="preserve">ranslation of the </w:t>
    </w:r>
    <w:r>
      <w:rPr>
        <w:b/>
        <w:bCs/>
        <w:lang w:val="en-CA"/>
      </w:rPr>
      <w:t>j</w:t>
    </w:r>
    <w:r w:rsidRPr="00E4239D">
      <w:rPr>
        <w:b/>
        <w:bCs/>
        <w:lang w:val="en-CA"/>
      </w:rPr>
      <w:t>udgment of the Court</w:t>
    </w:r>
    <w:r>
      <w:rPr>
        <w:b/>
        <w:bCs/>
        <w:lang w:val="en-CA"/>
      </w:rPr>
      <w:t xml:space="preserve"> by SOQUIJ</w:t>
    </w:r>
  </w:p>
  <w:p w14:paraId="65325D50" w14:textId="77777777" w:rsidR="003B1C16" w:rsidRPr="004F741E" w:rsidRDefault="003B1C16" w:rsidP="004F741E">
    <w:pPr>
      <w:pStyle w:val="Pieddepage"/>
      <w:jc w:val="right"/>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647CD" w14:textId="77777777" w:rsidR="00AD5D67" w:rsidRDefault="00AD5D67">
      <w:r>
        <w:separator/>
      </w:r>
    </w:p>
  </w:footnote>
  <w:footnote w:type="continuationSeparator" w:id="0">
    <w:p w14:paraId="31C7C361" w14:textId="77777777" w:rsidR="00AD5D67" w:rsidRDefault="00AD5D67">
      <w:r>
        <w:continuationSeparator/>
      </w:r>
    </w:p>
  </w:footnote>
  <w:footnote w:id="1">
    <w:p w14:paraId="34824067" w14:textId="6B0D04B2" w:rsidR="003B1C16" w:rsidRPr="002E7957" w:rsidRDefault="003B1C16" w:rsidP="003B1C16">
      <w:pPr>
        <w:pStyle w:val="Notedebasdepage"/>
        <w:ind w:left="284" w:hanging="284"/>
        <w:rPr>
          <w:lang w:val="en-CA"/>
        </w:rPr>
      </w:pPr>
      <w:r w:rsidRPr="002E7957">
        <w:rPr>
          <w:rStyle w:val="Appelnotedebasdep"/>
        </w:rPr>
        <w:footnoteRef/>
      </w:r>
      <w:r w:rsidRPr="002E7957">
        <w:rPr>
          <w:lang w:val="en-CA"/>
        </w:rPr>
        <w:tab/>
      </w:r>
      <w:r w:rsidRPr="00641C40">
        <w:rPr>
          <w:i/>
          <w:iCs/>
          <w:lang w:val="en-CA"/>
        </w:rPr>
        <w:t>TCA Global Credit Master Fund c. Apelian</w:t>
      </w:r>
      <w:r w:rsidRPr="00641C40">
        <w:rPr>
          <w:lang w:val="en-CA"/>
        </w:rPr>
        <w:t>, 2023 QCCS 4924 (</w:t>
      </w:r>
      <w:r w:rsidR="009A7079" w:rsidRPr="00641C40">
        <w:rPr>
          <w:lang w:val="en-CA"/>
        </w:rPr>
        <w:t>“</w:t>
      </w:r>
      <w:r w:rsidRPr="00641C40">
        <w:rPr>
          <w:lang w:val="en-CA"/>
        </w:rPr>
        <w:t>ju</w:t>
      </w:r>
      <w:r w:rsidR="009A7079" w:rsidRPr="00641C40">
        <w:rPr>
          <w:lang w:val="en-CA"/>
        </w:rPr>
        <w:t>dgment</w:t>
      </w:r>
      <w:r w:rsidRPr="00641C40">
        <w:rPr>
          <w:lang w:val="en-CA"/>
        </w:rPr>
        <w:t xml:space="preserve"> </w:t>
      </w:r>
      <w:r w:rsidR="009C011A" w:rsidRPr="009C011A">
        <w:rPr>
          <w:iCs/>
          <w:lang w:val="en-CA"/>
        </w:rPr>
        <w:t>under appeal</w:t>
      </w:r>
      <w:r w:rsidR="009A7079" w:rsidRPr="00641C40">
        <w:rPr>
          <w:b/>
          <w:bCs/>
          <w:lang w:val="en-CA"/>
        </w:rPr>
        <w:t>”</w:t>
      </w:r>
      <w:r w:rsidRPr="00641C40">
        <w:rPr>
          <w:lang w:val="en-CA"/>
        </w:rPr>
        <w:t>).</w:t>
      </w:r>
    </w:p>
  </w:footnote>
  <w:footnote w:id="2">
    <w:p w14:paraId="37336CF9" w14:textId="77777777" w:rsidR="003B1C16" w:rsidRPr="002E7957" w:rsidRDefault="003B1C16" w:rsidP="003B1C16">
      <w:pPr>
        <w:pStyle w:val="Notedebasdepage"/>
        <w:ind w:left="284" w:hanging="284"/>
        <w:rPr>
          <w:rFonts w:cs="Arial"/>
          <w:lang w:val="en-CA"/>
        </w:rPr>
      </w:pPr>
      <w:r w:rsidRPr="002E7957">
        <w:rPr>
          <w:rStyle w:val="Appelnotedebasdep"/>
          <w:rFonts w:cs="Arial"/>
        </w:rPr>
        <w:footnoteRef/>
      </w:r>
      <w:r w:rsidRPr="002E7957">
        <w:rPr>
          <w:rFonts w:cs="Arial"/>
          <w:lang w:val="en-CA"/>
        </w:rPr>
        <w:tab/>
      </w:r>
      <w:r w:rsidRPr="00641C40">
        <w:rPr>
          <w:rFonts w:cs="Arial"/>
          <w:i/>
          <w:iCs/>
          <w:lang w:val="en-CA"/>
        </w:rPr>
        <w:t>TCA Global Credit Master Fund c. 8894132 Canada Inc.</w:t>
      </w:r>
      <w:r w:rsidRPr="00641C40">
        <w:rPr>
          <w:rFonts w:cs="Arial"/>
          <w:lang w:val="en-CA"/>
        </w:rPr>
        <w:t>, 2017 QCCS 4146.</w:t>
      </w:r>
    </w:p>
  </w:footnote>
  <w:footnote w:id="3">
    <w:p w14:paraId="48F28314" w14:textId="77777777" w:rsidR="003B1C16" w:rsidRPr="002E7957" w:rsidRDefault="003B1C16" w:rsidP="003B1C16">
      <w:pPr>
        <w:pStyle w:val="Notedebasdepage"/>
        <w:ind w:left="284" w:hanging="284"/>
        <w:rPr>
          <w:rFonts w:cs="Arial"/>
          <w:lang w:val="en-CA"/>
        </w:rPr>
      </w:pPr>
      <w:r w:rsidRPr="002E7957">
        <w:rPr>
          <w:rStyle w:val="Appelnotedebasdep"/>
          <w:rFonts w:cs="Arial"/>
        </w:rPr>
        <w:footnoteRef/>
      </w:r>
      <w:r w:rsidRPr="002E7957">
        <w:rPr>
          <w:rFonts w:cs="Arial"/>
          <w:lang w:val="en-CA"/>
        </w:rPr>
        <w:tab/>
      </w:r>
      <w:r w:rsidRPr="00641C40">
        <w:rPr>
          <w:rFonts w:cs="Arial"/>
          <w:i/>
          <w:iCs/>
          <w:lang w:val="en-CA"/>
        </w:rPr>
        <w:t>TCA Global Credit Master Fund c. 8894132 Canada inc.</w:t>
      </w:r>
      <w:r w:rsidRPr="00641C40">
        <w:rPr>
          <w:rFonts w:cs="Arial"/>
          <w:lang w:val="en-CA"/>
        </w:rPr>
        <w:t>, 2018 QCCA 1132.</w:t>
      </w:r>
    </w:p>
  </w:footnote>
  <w:footnote w:id="4">
    <w:p w14:paraId="3933D0AC" w14:textId="216E587E" w:rsidR="003B1C16" w:rsidRPr="009A7079" w:rsidRDefault="003B1C16" w:rsidP="003B1C16">
      <w:pPr>
        <w:pStyle w:val="Notedebasdepage"/>
        <w:ind w:left="284" w:hanging="284"/>
        <w:rPr>
          <w:rFonts w:cs="Arial"/>
          <w:lang w:val="en-CA"/>
        </w:rPr>
      </w:pPr>
      <w:r w:rsidRPr="002E7957">
        <w:rPr>
          <w:rStyle w:val="Appelnotedebasdep"/>
          <w:rFonts w:cs="Arial"/>
        </w:rPr>
        <w:footnoteRef/>
      </w:r>
      <w:r w:rsidRPr="001C21A3">
        <w:rPr>
          <w:rFonts w:cs="Arial"/>
          <w:lang w:val="en-CA"/>
        </w:rPr>
        <w:tab/>
      </w:r>
      <w:r w:rsidRPr="00641C40">
        <w:rPr>
          <w:rFonts w:cs="Arial"/>
          <w:lang w:val="en-CA"/>
        </w:rPr>
        <w:t xml:space="preserve">Defendant Jean-Pierre Apelian’s </w:t>
      </w:r>
      <w:r w:rsidR="00D9200C">
        <w:rPr>
          <w:rFonts w:cs="Arial"/>
          <w:lang w:val="en-CA"/>
        </w:rPr>
        <w:t>particularized</w:t>
      </w:r>
      <w:r w:rsidRPr="00641C40">
        <w:rPr>
          <w:rFonts w:cs="Arial"/>
          <w:lang w:val="en-CA"/>
        </w:rPr>
        <w:t xml:space="preserve"> grounds of </w:t>
      </w:r>
      <w:r w:rsidR="009A7079" w:rsidRPr="00641C40">
        <w:rPr>
          <w:rFonts w:cs="Arial"/>
          <w:lang w:val="en-CA"/>
        </w:rPr>
        <w:t>contestation</w:t>
      </w:r>
      <w:r w:rsidRPr="00641C40">
        <w:rPr>
          <w:rFonts w:cs="Arial"/>
          <w:lang w:val="en-CA"/>
        </w:rPr>
        <w:t xml:space="preserve"> </w:t>
      </w:r>
      <w:r w:rsidR="00617381">
        <w:rPr>
          <w:rFonts w:cs="Arial"/>
          <w:lang w:val="en-CA"/>
        </w:rPr>
        <w:t>against</w:t>
      </w:r>
      <w:r w:rsidRPr="00641C40">
        <w:rPr>
          <w:rFonts w:cs="Arial"/>
          <w:lang w:val="en-CA"/>
        </w:rPr>
        <w:t xml:space="preserve"> the Judicial Application originating a proceeding for recognition and enforcement of a decision rendered outside of Québec, October 2, 2023, </w:t>
      </w:r>
      <w:r w:rsidR="00A255E4">
        <w:rPr>
          <w:rFonts w:cs="Arial"/>
          <w:lang w:val="en-CA"/>
        </w:rPr>
        <w:t>A.B.</w:t>
      </w:r>
      <w:r w:rsidRPr="00641C40">
        <w:rPr>
          <w:rFonts w:cs="Arial"/>
          <w:lang w:val="en-CA"/>
        </w:rPr>
        <w:t>, vol. 2, p. 86.</w:t>
      </w:r>
    </w:p>
  </w:footnote>
  <w:footnote w:id="5">
    <w:p w14:paraId="743634E5" w14:textId="77777777" w:rsidR="003B1C16" w:rsidRPr="004F741E" w:rsidRDefault="003B1C16" w:rsidP="003B1C16">
      <w:pPr>
        <w:pStyle w:val="Notedebasdepage"/>
        <w:ind w:left="284" w:hanging="284"/>
        <w:rPr>
          <w:rFonts w:cs="Arial"/>
          <w:lang w:val="es-CL"/>
        </w:rPr>
      </w:pPr>
      <w:r w:rsidRPr="009A7079">
        <w:rPr>
          <w:rStyle w:val="Appelnotedebasdep"/>
          <w:rFonts w:cs="Arial"/>
          <w:lang w:val="en-CA"/>
        </w:rPr>
        <w:footnoteRef/>
      </w:r>
      <w:r w:rsidRPr="004F741E">
        <w:rPr>
          <w:rFonts w:cs="Arial"/>
          <w:lang w:val="es-CL"/>
        </w:rPr>
        <w:tab/>
      </w:r>
      <w:r w:rsidRPr="004F741E">
        <w:rPr>
          <w:rFonts w:cs="Arial"/>
          <w:i/>
          <w:iCs/>
          <w:lang w:val="es-CL"/>
        </w:rPr>
        <w:t>Id.</w:t>
      </w:r>
      <w:r w:rsidRPr="004F741E">
        <w:rPr>
          <w:rFonts w:cs="Arial"/>
          <w:lang w:val="es-CL"/>
        </w:rPr>
        <w:t>, para. 30.</w:t>
      </w:r>
    </w:p>
  </w:footnote>
  <w:footnote w:id="6">
    <w:p w14:paraId="41E7BA24" w14:textId="77777777" w:rsidR="003B1C16" w:rsidRPr="004F741E" w:rsidRDefault="003B1C16" w:rsidP="003B1C16">
      <w:pPr>
        <w:pStyle w:val="Notedebasdepage"/>
        <w:ind w:left="284" w:hanging="284"/>
        <w:rPr>
          <w:rFonts w:cs="Arial"/>
          <w:lang w:val="es-CL"/>
        </w:rPr>
      </w:pPr>
      <w:r w:rsidRPr="009A7079">
        <w:rPr>
          <w:rStyle w:val="Appelnotedebasdep"/>
          <w:rFonts w:cs="Arial"/>
          <w:lang w:val="en-CA"/>
        </w:rPr>
        <w:footnoteRef/>
      </w:r>
      <w:r w:rsidRPr="004F741E">
        <w:rPr>
          <w:rFonts w:cs="Arial"/>
          <w:lang w:val="es-CL"/>
        </w:rPr>
        <w:tab/>
      </w:r>
      <w:r w:rsidRPr="004F741E">
        <w:rPr>
          <w:rFonts w:cs="Arial"/>
          <w:i/>
          <w:iCs/>
          <w:lang w:val="es-CL"/>
        </w:rPr>
        <w:t>Id.</w:t>
      </w:r>
      <w:r w:rsidRPr="004F741E">
        <w:rPr>
          <w:rFonts w:cs="Arial"/>
          <w:lang w:val="es-CL"/>
        </w:rPr>
        <w:t>, para. 31.</w:t>
      </w:r>
    </w:p>
  </w:footnote>
  <w:footnote w:id="7">
    <w:p w14:paraId="4A0682ED" w14:textId="77777777" w:rsidR="003B1C16" w:rsidRPr="002E7957" w:rsidRDefault="003B1C16" w:rsidP="003B1C16">
      <w:pPr>
        <w:pStyle w:val="Notedebasdepage"/>
        <w:ind w:left="284" w:hanging="284"/>
        <w:rPr>
          <w:rFonts w:cs="Arial"/>
        </w:rPr>
      </w:pPr>
      <w:r w:rsidRPr="009A7079">
        <w:rPr>
          <w:rStyle w:val="Appelnotedebasdep"/>
          <w:rFonts w:cs="Arial"/>
          <w:lang w:val="en-CA"/>
        </w:rPr>
        <w:footnoteRef/>
      </w:r>
      <w:r w:rsidRPr="004F741E">
        <w:rPr>
          <w:rFonts w:cs="Arial"/>
          <w:lang w:val="es-CL"/>
        </w:rPr>
        <w:tab/>
      </w:r>
      <w:r w:rsidRPr="004F741E">
        <w:rPr>
          <w:rFonts w:cs="Arial"/>
          <w:i/>
          <w:iCs/>
          <w:lang w:val="es-CL"/>
        </w:rPr>
        <w:t>Id.</w:t>
      </w:r>
      <w:r w:rsidRPr="004F741E">
        <w:rPr>
          <w:rFonts w:cs="Arial"/>
          <w:lang w:val="es-CL"/>
        </w:rPr>
        <w:t xml:space="preserve">, para. </w:t>
      </w:r>
      <w:r w:rsidRPr="001C21A3">
        <w:rPr>
          <w:rFonts w:cs="Arial"/>
        </w:rPr>
        <w:t>33.</w:t>
      </w:r>
    </w:p>
  </w:footnote>
  <w:footnote w:id="8">
    <w:p w14:paraId="56CED88D" w14:textId="77777777" w:rsidR="003B1C16" w:rsidRPr="002E7957" w:rsidRDefault="003B1C16" w:rsidP="003B1C16">
      <w:pPr>
        <w:pStyle w:val="Notedebasdepage"/>
        <w:ind w:left="284" w:hanging="284"/>
      </w:pPr>
      <w:r w:rsidRPr="002E7957">
        <w:rPr>
          <w:rStyle w:val="Appelnotedebasdep"/>
        </w:rPr>
        <w:footnoteRef/>
      </w:r>
      <w:r w:rsidRPr="002E7957">
        <w:tab/>
      </w:r>
      <w:r w:rsidRPr="00641C40">
        <w:t xml:space="preserve">Ministère de la Justice du Québec, </w:t>
      </w:r>
      <w:r w:rsidRPr="00641C40">
        <w:rPr>
          <w:i/>
          <w:iCs/>
        </w:rPr>
        <w:t>Commentaires du ministre de la Justice</w:t>
      </w:r>
      <w:r w:rsidRPr="00641C40">
        <w:t>, vol. II, Québec, Publications du Québec, 1993, art.</w:t>
      </w:r>
      <w:r w:rsidRPr="002E7957">
        <w:t xml:space="preserve"> 3155.</w:t>
      </w:r>
    </w:p>
  </w:footnote>
  <w:footnote w:id="9">
    <w:p w14:paraId="59B9AFB8" w14:textId="7E4F18CB" w:rsidR="003B1C16" w:rsidRPr="009E5423" w:rsidRDefault="003B1C16" w:rsidP="003B1C16">
      <w:pPr>
        <w:pStyle w:val="Notedebasdepage"/>
        <w:ind w:left="284" w:hanging="284"/>
      </w:pPr>
      <w:r w:rsidRPr="002E7957">
        <w:rPr>
          <w:rStyle w:val="Appelnotedebasdep"/>
        </w:rPr>
        <w:footnoteRef/>
      </w:r>
      <w:r w:rsidRPr="002E7957">
        <w:tab/>
      </w:r>
      <w:r w:rsidR="00F7575E">
        <w:t>Judgment</w:t>
      </w:r>
      <w:r w:rsidRPr="00641C40">
        <w:t xml:space="preserve"> </w:t>
      </w:r>
      <w:r w:rsidR="009C011A" w:rsidRPr="009C011A">
        <w:rPr>
          <w:iCs/>
        </w:rPr>
        <w:t>under appeal</w:t>
      </w:r>
      <w:r w:rsidRPr="00641C40">
        <w:t>, para.</w:t>
      </w:r>
      <w:r w:rsidRPr="002E7957">
        <w:t xml:space="preserve"> </w:t>
      </w:r>
      <w:r w:rsidRPr="009E5423">
        <w:t>18.</w:t>
      </w:r>
    </w:p>
  </w:footnote>
  <w:footnote w:id="10">
    <w:p w14:paraId="2626B0B8" w14:textId="1B7C029F" w:rsidR="003B1C16" w:rsidRPr="009E5423" w:rsidRDefault="003B1C16">
      <w:pPr>
        <w:pStyle w:val="Notedebasdepage"/>
      </w:pPr>
      <w:r>
        <w:rPr>
          <w:rStyle w:val="Appelnotedebasdep"/>
        </w:rPr>
        <w:footnoteRef/>
      </w:r>
      <w:r w:rsidRPr="009E5423">
        <w:t xml:space="preserve">   </w:t>
      </w:r>
      <w:r w:rsidRPr="009E5423">
        <w:rPr>
          <w:i/>
          <w:iCs/>
        </w:rPr>
        <w:t>Canada Post Corp. v. Lépine</w:t>
      </w:r>
      <w:r w:rsidRPr="009E5423">
        <w:t>, 2009 SCC 16.</w:t>
      </w:r>
    </w:p>
  </w:footnote>
  <w:footnote w:id="11">
    <w:p w14:paraId="6C425F0A" w14:textId="633543D6" w:rsidR="002A0D72" w:rsidRPr="004F741E" w:rsidRDefault="003B1C16" w:rsidP="002A0D72">
      <w:pPr>
        <w:pStyle w:val="Notedebasdepage"/>
        <w:ind w:left="284" w:hanging="284"/>
        <w:rPr>
          <w:lang w:val="es-CL"/>
        </w:rPr>
      </w:pPr>
      <w:r w:rsidRPr="002E7957">
        <w:rPr>
          <w:rStyle w:val="Appelnotedebasdep"/>
        </w:rPr>
        <w:footnoteRef/>
      </w:r>
      <w:r w:rsidRPr="009E5423">
        <w:tab/>
      </w:r>
      <w:r w:rsidR="00F7575E" w:rsidRPr="009E5423">
        <w:t>Judgment</w:t>
      </w:r>
      <w:r w:rsidRPr="009E5423">
        <w:t xml:space="preserve"> </w:t>
      </w:r>
      <w:r w:rsidR="009C011A" w:rsidRPr="009E5423">
        <w:rPr>
          <w:iCs/>
        </w:rPr>
        <w:t>under appeal</w:t>
      </w:r>
      <w:r w:rsidRPr="009E5423">
        <w:t xml:space="preserve">, para. </w:t>
      </w:r>
      <w:r w:rsidRPr="004F741E">
        <w:rPr>
          <w:lang w:val="es-CL"/>
        </w:rPr>
        <w:t>18.</w:t>
      </w:r>
    </w:p>
  </w:footnote>
  <w:footnote w:id="12">
    <w:p w14:paraId="4944F68C" w14:textId="7ECC9B6D" w:rsidR="002A0D72" w:rsidRPr="004F741E" w:rsidRDefault="003B1C16" w:rsidP="002A0D72">
      <w:pPr>
        <w:pStyle w:val="Notedebasdepage"/>
        <w:ind w:left="284" w:hanging="284"/>
        <w:rPr>
          <w:lang w:val="es-CL"/>
        </w:rPr>
      </w:pPr>
      <w:r w:rsidRPr="002E7957">
        <w:rPr>
          <w:rStyle w:val="Appelnotedebasdep"/>
        </w:rPr>
        <w:footnoteRef/>
      </w:r>
      <w:r w:rsidRPr="004F741E">
        <w:rPr>
          <w:lang w:val="es-CL"/>
        </w:rPr>
        <w:tab/>
      </w:r>
      <w:r w:rsidRPr="004F741E">
        <w:rPr>
          <w:i/>
          <w:iCs/>
          <w:lang w:val="es-CL"/>
        </w:rPr>
        <w:t>R.S. v. P.R.</w:t>
      </w:r>
      <w:r w:rsidRPr="004F741E">
        <w:rPr>
          <w:lang w:val="es-CL"/>
        </w:rPr>
        <w:t xml:space="preserve">, </w:t>
      </w:r>
      <w:bookmarkStart w:id="8" w:name="_Hlk206571698"/>
      <w:r w:rsidRPr="004F741E">
        <w:rPr>
          <w:rFonts w:cs="Arial"/>
          <w:lang w:val="es-CL"/>
        </w:rPr>
        <w:t>2019 SCC 49</w:t>
      </w:r>
      <w:bookmarkEnd w:id="8"/>
      <w:r w:rsidRPr="004F741E">
        <w:rPr>
          <w:rFonts w:cs="Arial"/>
          <w:lang w:val="es-CL"/>
        </w:rPr>
        <w:t>.</w:t>
      </w:r>
    </w:p>
  </w:footnote>
  <w:footnote w:id="13">
    <w:p w14:paraId="75B332B2" w14:textId="4C479499" w:rsidR="002A0D72" w:rsidRPr="009E5423" w:rsidRDefault="003B1C16" w:rsidP="002A0D72">
      <w:pPr>
        <w:pStyle w:val="Notedebasdepage"/>
        <w:ind w:left="284" w:hanging="284"/>
        <w:rPr>
          <w:lang w:val="es-CL"/>
        </w:rPr>
      </w:pPr>
      <w:r w:rsidRPr="002E7957">
        <w:rPr>
          <w:rStyle w:val="Appelnotedebasdep"/>
        </w:rPr>
        <w:footnoteRef/>
      </w:r>
      <w:r w:rsidRPr="004F741E">
        <w:rPr>
          <w:lang w:val="es-CL"/>
        </w:rPr>
        <w:tab/>
      </w:r>
      <w:r w:rsidR="00F7575E">
        <w:rPr>
          <w:i/>
          <w:iCs/>
          <w:lang w:val="es-CL"/>
        </w:rPr>
        <w:t>Id</w:t>
      </w:r>
      <w:r w:rsidRPr="004F741E">
        <w:rPr>
          <w:i/>
          <w:iCs/>
          <w:lang w:val="es-CL"/>
        </w:rPr>
        <w:t>.</w:t>
      </w:r>
      <w:r w:rsidRPr="004F741E">
        <w:rPr>
          <w:rFonts w:cs="Arial"/>
          <w:lang w:val="es-CL"/>
        </w:rPr>
        <w:t xml:space="preserve">, para. </w:t>
      </w:r>
      <w:r w:rsidRPr="009E5423">
        <w:rPr>
          <w:rFonts w:cs="Arial"/>
          <w:lang w:val="es-CL"/>
        </w:rPr>
        <w:t>52.</w:t>
      </w:r>
    </w:p>
  </w:footnote>
  <w:footnote w:id="14">
    <w:p w14:paraId="76ACCEB2" w14:textId="5D4AA7FB" w:rsidR="002A0D72" w:rsidRPr="009E5423" w:rsidRDefault="003B1C16" w:rsidP="002A0D72">
      <w:pPr>
        <w:pStyle w:val="Notedebasdepage"/>
        <w:ind w:left="284" w:hanging="284"/>
        <w:rPr>
          <w:lang w:val="es-CL"/>
        </w:rPr>
      </w:pPr>
      <w:r w:rsidRPr="002E7957">
        <w:rPr>
          <w:rStyle w:val="Appelnotedebasdep"/>
        </w:rPr>
        <w:footnoteRef/>
      </w:r>
      <w:r w:rsidRPr="009E5423">
        <w:rPr>
          <w:lang w:val="es-CL"/>
        </w:rPr>
        <w:tab/>
      </w:r>
      <w:r w:rsidR="001D022C" w:rsidRPr="009E5423">
        <w:rPr>
          <w:i/>
          <w:iCs/>
          <w:lang w:val="es-CL"/>
        </w:rPr>
        <w:t>Ibid.</w:t>
      </w:r>
    </w:p>
  </w:footnote>
  <w:footnote w:id="15">
    <w:p w14:paraId="5E828291" w14:textId="4157920B" w:rsidR="002A0D72" w:rsidRPr="009E5423" w:rsidRDefault="003B1C16" w:rsidP="002A0D72">
      <w:pPr>
        <w:pStyle w:val="Notedebasdepage"/>
        <w:ind w:left="284" w:hanging="284"/>
        <w:rPr>
          <w:lang w:val="es-CL"/>
        </w:rPr>
      </w:pPr>
      <w:r w:rsidRPr="002E7957">
        <w:rPr>
          <w:rStyle w:val="Appelnotedebasdep"/>
        </w:rPr>
        <w:footnoteRef/>
      </w:r>
      <w:r w:rsidRPr="009E5423">
        <w:rPr>
          <w:lang w:val="es-CL"/>
        </w:rPr>
        <w:tab/>
      </w:r>
      <w:r w:rsidR="001D022C" w:rsidRPr="009E5423">
        <w:rPr>
          <w:i/>
          <w:iCs/>
          <w:lang w:val="es-CL"/>
        </w:rPr>
        <w:t>Ibid.</w:t>
      </w:r>
    </w:p>
  </w:footnote>
  <w:footnote w:id="16">
    <w:p w14:paraId="4FD7D0E9" w14:textId="7A4977BA" w:rsidR="002A0D72" w:rsidRPr="009E5423" w:rsidRDefault="003B1C16" w:rsidP="002A0D72">
      <w:pPr>
        <w:pStyle w:val="Notedebasdepage"/>
        <w:ind w:left="284" w:hanging="284"/>
        <w:rPr>
          <w:lang w:val="es-CL"/>
        </w:rPr>
      </w:pPr>
      <w:r w:rsidRPr="002E7957">
        <w:rPr>
          <w:rStyle w:val="Appelnotedebasdep"/>
        </w:rPr>
        <w:footnoteRef/>
      </w:r>
      <w:r w:rsidRPr="009E5423">
        <w:rPr>
          <w:lang w:val="es-CL"/>
        </w:rPr>
        <w:tab/>
      </w:r>
      <w:r w:rsidR="001D022C" w:rsidRPr="009E5423">
        <w:rPr>
          <w:i/>
          <w:iCs/>
          <w:lang w:val="es-CL"/>
        </w:rPr>
        <w:t>Ibid.</w:t>
      </w:r>
    </w:p>
  </w:footnote>
  <w:footnote w:id="17">
    <w:p w14:paraId="25766B7D" w14:textId="14678717" w:rsidR="002A0D72" w:rsidRPr="009E5423" w:rsidRDefault="003B1C16" w:rsidP="002A0D72">
      <w:pPr>
        <w:pStyle w:val="Notedebasdepage"/>
        <w:ind w:left="284" w:hanging="284"/>
        <w:rPr>
          <w:lang w:val="es-CL"/>
        </w:rPr>
      </w:pPr>
      <w:r w:rsidRPr="002E7957">
        <w:rPr>
          <w:rStyle w:val="Appelnotedebasdep"/>
        </w:rPr>
        <w:footnoteRef/>
      </w:r>
      <w:r w:rsidRPr="009E5423">
        <w:rPr>
          <w:lang w:val="es-CL"/>
        </w:rPr>
        <w:tab/>
      </w:r>
      <w:r w:rsidR="001D022C" w:rsidRPr="009E5423">
        <w:rPr>
          <w:i/>
          <w:iCs/>
          <w:lang w:val="es-CL"/>
        </w:rPr>
        <w:t>Ibid.</w:t>
      </w:r>
    </w:p>
  </w:footnote>
  <w:footnote w:id="18">
    <w:p w14:paraId="6E11A61C" w14:textId="485B9555" w:rsidR="00796D06" w:rsidRPr="009E5423" w:rsidRDefault="003B1C16" w:rsidP="00796D06">
      <w:pPr>
        <w:pStyle w:val="Notedebasdepage"/>
        <w:ind w:left="284" w:hanging="284"/>
        <w:rPr>
          <w:rFonts w:cs="Arial"/>
          <w:lang w:val="es-CL"/>
        </w:rPr>
      </w:pPr>
      <w:r w:rsidRPr="002E7957">
        <w:rPr>
          <w:rStyle w:val="Appelnotedebasdep"/>
          <w:rFonts w:cs="Arial"/>
        </w:rPr>
        <w:footnoteRef/>
      </w:r>
      <w:r w:rsidRPr="009E5423">
        <w:rPr>
          <w:rFonts w:cs="Arial"/>
          <w:lang w:val="es-CL"/>
        </w:rPr>
        <w:tab/>
      </w:r>
      <w:r w:rsidR="00F7575E" w:rsidRPr="009E5423">
        <w:rPr>
          <w:rFonts w:cs="Arial"/>
          <w:i/>
          <w:iCs/>
          <w:lang w:val="es-CL"/>
        </w:rPr>
        <w:t>Id</w:t>
      </w:r>
      <w:r w:rsidRPr="009E5423">
        <w:rPr>
          <w:rFonts w:cs="Arial"/>
          <w:i/>
          <w:iCs/>
          <w:lang w:val="es-CL"/>
        </w:rPr>
        <w:t>.</w:t>
      </w:r>
      <w:r w:rsidRPr="009E5423">
        <w:rPr>
          <w:rFonts w:cs="Arial"/>
          <w:lang w:val="es-CL"/>
        </w:rPr>
        <w:t>, para. 53.</w:t>
      </w:r>
    </w:p>
  </w:footnote>
  <w:footnote w:id="19">
    <w:p w14:paraId="4F116AAB" w14:textId="036222B5" w:rsidR="002A0D72" w:rsidRPr="009E5423" w:rsidRDefault="003B1C16" w:rsidP="002A0D72">
      <w:pPr>
        <w:pStyle w:val="Notedebasdepage"/>
        <w:ind w:left="284" w:hanging="284"/>
        <w:rPr>
          <w:lang w:val="es-CL"/>
        </w:rPr>
      </w:pPr>
      <w:r w:rsidRPr="002E7957">
        <w:rPr>
          <w:rStyle w:val="Appelnotedebasdep"/>
        </w:rPr>
        <w:footnoteRef/>
      </w:r>
      <w:r w:rsidRPr="009E5423">
        <w:rPr>
          <w:lang w:val="es-CL"/>
        </w:rPr>
        <w:tab/>
      </w:r>
      <w:r w:rsidR="001D022C" w:rsidRPr="009E5423">
        <w:rPr>
          <w:i/>
          <w:iCs/>
          <w:lang w:val="es-CL"/>
        </w:rPr>
        <w:t>Ibid.</w:t>
      </w:r>
    </w:p>
  </w:footnote>
  <w:footnote w:id="20">
    <w:p w14:paraId="6A35F045" w14:textId="14B403A8" w:rsidR="002A0D72" w:rsidRPr="009A7079" w:rsidRDefault="003B1C16" w:rsidP="002A0D72">
      <w:pPr>
        <w:pStyle w:val="Notedebasdepage"/>
        <w:ind w:left="284" w:hanging="284"/>
        <w:rPr>
          <w:rFonts w:cs="Arial"/>
          <w:lang w:val="en-CA"/>
        </w:rPr>
      </w:pPr>
      <w:r w:rsidRPr="009A7079">
        <w:rPr>
          <w:rStyle w:val="Appelnotedebasdep"/>
          <w:rFonts w:cs="Arial"/>
          <w:lang w:val="en-CA"/>
        </w:rPr>
        <w:footnoteRef/>
      </w:r>
      <w:r w:rsidRPr="009A7079">
        <w:rPr>
          <w:rFonts w:cs="Arial"/>
          <w:lang w:val="en-CA"/>
        </w:rPr>
        <w:tab/>
      </w:r>
      <w:r w:rsidRPr="00641C40">
        <w:rPr>
          <w:rFonts w:cs="Arial"/>
          <w:lang w:val="en-CA"/>
        </w:rPr>
        <w:t>In support of this</w:t>
      </w:r>
      <w:r w:rsidR="009A7079" w:rsidRPr="00641C40">
        <w:rPr>
          <w:rFonts w:cs="Arial"/>
          <w:lang w:val="en-CA"/>
        </w:rPr>
        <w:t>,</w:t>
      </w:r>
      <w:r w:rsidRPr="00641C40">
        <w:rPr>
          <w:rFonts w:cs="Arial"/>
          <w:lang w:val="en-CA"/>
        </w:rPr>
        <w:t xml:space="preserve"> she relied on the work of Professor Karim:</w:t>
      </w:r>
      <w:r w:rsidRPr="009A7079">
        <w:rPr>
          <w:rFonts w:cs="Arial"/>
          <w:lang w:val="en-CA"/>
        </w:rPr>
        <w:t xml:space="preserve"> </w:t>
      </w:r>
      <w:r w:rsidRPr="00641C40">
        <w:rPr>
          <w:rFonts w:cs="Arial"/>
          <w:lang w:val="en-CA"/>
        </w:rPr>
        <w:t xml:space="preserve">Vincent Karim, </w:t>
      </w:r>
      <w:r w:rsidRPr="00641C40">
        <w:rPr>
          <w:rFonts w:cs="Arial"/>
          <w:i/>
          <w:iCs/>
          <w:lang w:val="en-CA"/>
        </w:rPr>
        <w:t>Les obligations</w:t>
      </w:r>
      <w:r w:rsidRPr="00641C40">
        <w:rPr>
          <w:rFonts w:cs="Arial"/>
          <w:lang w:val="en-CA"/>
        </w:rPr>
        <w:t xml:space="preserve">, 5th ed., vol. 1 (“Articles 1371 </w:t>
      </w:r>
      <w:r w:rsidR="00F7575E">
        <w:rPr>
          <w:rFonts w:cs="Arial"/>
          <w:lang w:val="en-CA"/>
        </w:rPr>
        <w:t>à</w:t>
      </w:r>
      <w:r w:rsidRPr="00641C40">
        <w:rPr>
          <w:rFonts w:cs="Arial"/>
          <w:lang w:val="en-CA"/>
        </w:rPr>
        <w:t xml:space="preserve"> 1496”), Montreal, Wilson &amp; Lafleur, 2020, p. 128 (</w:t>
      </w:r>
      <w:r w:rsidR="004F741E">
        <w:rPr>
          <w:rFonts w:cs="Arial"/>
          <w:lang w:val="en-CA"/>
        </w:rPr>
        <w:t>No.</w:t>
      </w:r>
      <w:r w:rsidRPr="009A7079">
        <w:rPr>
          <w:rFonts w:cs="Arial"/>
          <w:lang w:val="en-CA"/>
        </w:rPr>
        <w:t xml:space="preserve"> 3030).</w:t>
      </w:r>
    </w:p>
  </w:footnote>
  <w:footnote w:id="21">
    <w:p w14:paraId="317D44C1" w14:textId="5A6576E0" w:rsidR="006F636A" w:rsidRPr="009E5423" w:rsidRDefault="006F636A" w:rsidP="006F636A">
      <w:pPr>
        <w:pStyle w:val="Notedebasdepage"/>
        <w:ind w:left="284" w:hanging="284"/>
        <w:rPr>
          <w:rFonts w:cs="Arial"/>
          <w:lang w:val="en-CA"/>
        </w:rPr>
      </w:pPr>
      <w:r w:rsidRPr="009A7079">
        <w:rPr>
          <w:rStyle w:val="Appelnotedebasdep"/>
          <w:rFonts w:cs="Arial"/>
          <w:lang w:val="en-CA"/>
        </w:rPr>
        <w:footnoteRef/>
      </w:r>
      <w:r w:rsidRPr="009E5423">
        <w:rPr>
          <w:rFonts w:cs="Arial"/>
          <w:lang w:val="en-CA"/>
        </w:rPr>
        <w:tab/>
      </w:r>
      <w:r w:rsidRPr="009E5423">
        <w:rPr>
          <w:rFonts w:cs="Arial"/>
          <w:lang w:val="en-CA"/>
        </w:rPr>
        <w:t xml:space="preserve">Judgment </w:t>
      </w:r>
      <w:r w:rsidR="009C011A" w:rsidRPr="009E5423">
        <w:rPr>
          <w:rFonts w:cs="Arial"/>
          <w:iCs/>
          <w:lang w:val="en-CA"/>
        </w:rPr>
        <w:t>under appeal</w:t>
      </w:r>
      <w:r w:rsidRPr="009E5423">
        <w:rPr>
          <w:rFonts w:cs="Arial"/>
          <w:lang w:val="en-CA"/>
        </w:rPr>
        <w:t>, para. 29.</w:t>
      </w:r>
    </w:p>
  </w:footnote>
  <w:footnote w:id="22">
    <w:p w14:paraId="59C9DD06" w14:textId="5ABFFB90" w:rsidR="006F636A" w:rsidRPr="001C21A3" w:rsidRDefault="006F636A" w:rsidP="006F636A">
      <w:pPr>
        <w:pStyle w:val="Notedebasdepage"/>
        <w:ind w:left="284" w:hanging="284"/>
        <w:rPr>
          <w:rFonts w:cs="Arial"/>
        </w:rPr>
      </w:pPr>
      <w:r w:rsidRPr="009A7079">
        <w:rPr>
          <w:rStyle w:val="Appelnotedebasdep"/>
          <w:rFonts w:cs="Arial"/>
          <w:lang w:val="en-CA"/>
        </w:rPr>
        <w:footnoteRef/>
      </w:r>
      <w:r w:rsidRPr="009E5423">
        <w:rPr>
          <w:rFonts w:cs="Arial"/>
          <w:lang w:val="en-CA"/>
        </w:rPr>
        <w:tab/>
      </w:r>
      <w:r w:rsidR="00997EDC" w:rsidRPr="009E5423">
        <w:rPr>
          <w:rFonts w:cs="Arial"/>
          <w:i/>
          <w:iCs/>
          <w:lang w:val="en-CA"/>
        </w:rPr>
        <w:t>Id</w:t>
      </w:r>
      <w:r w:rsidRPr="009E5423">
        <w:rPr>
          <w:rFonts w:cs="Arial"/>
          <w:i/>
          <w:iCs/>
          <w:lang w:val="en-CA"/>
        </w:rPr>
        <w:t>.</w:t>
      </w:r>
      <w:r w:rsidRPr="009E5423">
        <w:rPr>
          <w:rFonts w:cs="Arial"/>
          <w:lang w:val="en-CA"/>
        </w:rPr>
        <w:t xml:space="preserve">, para. </w:t>
      </w:r>
      <w:r w:rsidRPr="001C21A3">
        <w:rPr>
          <w:rFonts w:cs="Arial"/>
        </w:rPr>
        <w:t>30.</w:t>
      </w:r>
    </w:p>
  </w:footnote>
  <w:footnote w:id="23">
    <w:p w14:paraId="035B879E" w14:textId="77777777" w:rsidR="00B35ECB" w:rsidRPr="001C21A3" w:rsidRDefault="00B35ECB" w:rsidP="00B35ECB">
      <w:pPr>
        <w:pStyle w:val="Notedebasdepage"/>
        <w:ind w:left="284" w:hanging="284"/>
        <w:rPr>
          <w:rFonts w:cs="Arial"/>
        </w:rPr>
      </w:pPr>
      <w:r w:rsidRPr="002E7957">
        <w:rPr>
          <w:rStyle w:val="Appelnotedebasdep"/>
          <w:rFonts w:cs="Arial"/>
        </w:rPr>
        <w:footnoteRef/>
      </w:r>
      <w:r w:rsidRPr="002E7957">
        <w:rPr>
          <w:rFonts w:cs="Arial"/>
        </w:rPr>
        <w:tab/>
      </w:r>
      <w:r w:rsidRPr="001C21A3">
        <w:rPr>
          <w:rFonts w:cs="Arial"/>
        </w:rPr>
        <w:t xml:space="preserve">Brigitte Lefebvre, “Liberté contractuelle et justice contractuelle: Le rôle accru de la bonne foi comme norme de comportement”, (2000) 129 </w:t>
      </w:r>
      <w:r w:rsidRPr="001C21A3">
        <w:rPr>
          <w:rFonts w:cs="Arial"/>
          <w:i/>
          <w:iCs/>
        </w:rPr>
        <w:t xml:space="preserve">Développements récents en droit des contrats </w:t>
      </w:r>
      <w:r w:rsidRPr="001C21A3">
        <w:rPr>
          <w:rFonts w:cs="Arial"/>
        </w:rPr>
        <w:t>49.</w:t>
      </w:r>
    </w:p>
  </w:footnote>
  <w:footnote w:id="24">
    <w:p w14:paraId="0F420238" w14:textId="4DEB8E80" w:rsidR="00B35ECB" w:rsidRPr="001C21A3" w:rsidRDefault="00B35ECB" w:rsidP="00B35ECB">
      <w:pPr>
        <w:pStyle w:val="Notedebasdepage"/>
        <w:ind w:left="284" w:hanging="284"/>
        <w:rPr>
          <w:rFonts w:cs="Arial"/>
        </w:rPr>
      </w:pPr>
      <w:r w:rsidRPr="001658F1">
        <w:rPr>
          <w:rStyle w:val="Appelnotedebasdep"/>
          <w:rFonts w:cs="Arial"/>
          <w:lang w:val="en-CA"/>
        </w:rPr>
        <w:footnoteRef/>
      </w:r>
      <w:r w:rsidRPr="001C21A3">
        <w:rPr>
          <w:rFonts w:cs="Arial"/>
        </w:rPr>
        <w:tab/>
        <w:t>Ju</w:t>
      </w:r>
      <w:r w:rsidR="001C21A3" w:rsidRPr="001C21A3">
        <w:rPr>
          <w:rFonts w:cs="Arial"/>
        </w:rPr>
        <w:t>d</w:t>
      </w:r>
      <w:r w:rsidRPr="001C21A3">
        <w:rPr>
          <w:rFonts w:cs="Arial"/>
        </w:rPr>
        <w:t xml:space="preserve">gment </w:t>
      </w:r>
      <w:r w:rsidR="009C011A" w:rsidRPr="009C011A">
        <w:rPr>
          <w:rFonts w:cs="Arial"/>
          <w:iCs/>
        </w:rPr>
        <w:t>under appeal</w:t>
      </w:r>
      <w:r w:rsidRPr="001C21A3">
        <w:rPr>
          <w:rFonts w:cs="Arial"/>
        </w:rPr>
        <w:t>, para. 31.</w:t>
      </w:r>
    </w:p>
  </w:footnote>
  <w:footnote w:id="25">
    <w:p w14:paraId="5D4849C7" w14:textId="5BA57BF3" w:rsidR="00B35ECB" w:rsidRPr="001C21A3" w:rsidRDefault="00B35ECB" w:rsidP="00B35ECB">
      <w:pPr>
        <w:pStyle w:val="Notedebasdepage"/>
        <w:ind w:left="284" w:hanging="284"/>
        <w:rPr>
          <w:rFonts w:cs="Arial"/>
        </w:rPr>
      </w:pPr>
      <w:r w:rsidRPr="001658F1">
        <w:rPr>
          <w:rStyle w:val="Appelnotedebasdep"/>
          <w:rFonts w:cs="Arial"/>
          <w:lang w:val="en-CA"/>
        </w:rPr>
        <w:footnoteRef/>
      </w:r>
      <w:r w:rsidRPr="001C21A3">
        <w:tab/>
        <w:t xml:space="preserve">Jean-Louis Baudouin and Pierre-Gabriel Jobin, </w:t>
      </w:r>
      <w:r w:rsidRPr="001C21A3">
        <w:rPr>
          <w:i/>
          <w:iCs/>
        </w:rPr>
        <w:t>Les obligations</w:t>
      </w:r>
      <w:r w:rsidRPr="001C21A3">
        <w:rPr>
          <w:rFonts w:cs="Arial"/>
        </w:rPr>
        <w:t>, 7th ed., Cowansville, Yvon Blais, 2013, p. 222 (</w:t>
      </w:r>
      <w:r w:rsidR="004F741E">
        <w:rPr>
          <w:rFonts w:cs="Arial"/>
        </w:rPr>
        <w:t>No.</w:t>
      </w:r>
      <w:r w:rsidRPr="001C21A3">
        <w:rPr>
          <w:rFonts w:cs="Arial"/>
        </w:rPr>
        <w:t xml:space="preserve"> 132).</w:t>
      </w:r>
    </w:p>
  </w:footnote>
  <w:footnote w:id="26">
    <w:p w14:paraId="0FE3DF14" w14:textId="406D18F4" w:rsidR="00B35ECB" w:rsidRPr="001658F1" w:rsidRDefault="00B35ECB" w:rsidP="00B35ECB">
      <w:pPr>
        <w:pStyle w:val="Notedebasdepage"/>
        <w:ind w:left="284" w:hanging="284"/>
        <w:rPr>
          <w:rFonts w:cs="Arial"/>
          <w:lang w:val="en-CA"/>
        </w:rPr>
      </w:pPr>
      <w:r w:rsidRPr="001658F1">
        <w:rPr>
          <w:rStyle w:val="Appelnotedebasdep"/>
          <w:rFonts w:cs="Arial"/>
          <w:lang w:val="en-CA"/>
        </w:rPr>
        <w:footnoteRef/>
      </w:r>
      <w:r w:rsidRPr="001658F1">
        <w:rPr>
          <w:rFonts w:cs="Arial"/>
          <w:lang w:val="en-CA"/>
        </w:rPr>
        <w:tab/>
      </w:r>
      <w:r w:rsidRPr="00641C40">
        <w:rPr>
          <w:rFonts w:cs="Arial"/>
          <w:lang w:val="en-CA"/>
        </w:rPr>
        <w:t xml:space="preserve">Judgment </w:t>
      </w:r>
      <w:r w:rsidR="009C011A" w:rsidRPr="009C011A">
        <w:rPr>
          <w:rFonts w:cs="Arial"/>
          <w:iCs/>
          <w:lang w:val="en-CA"/>
        </w:rPr>
        <w:t>under appeal</w:t>
      </w:r>
      <w:r w:rsidRPr="00641C40">
        <w:rPr>
          <w:rFonts w:cs="Arial"/>
          <w:lang w:val="en-CA"/>
        </w:rPr>
        <w:t>, para.</w:t>
      </w:r>
      <w:r w:rsidRPr="001658F1">
        <w:rPr>
          <w:rFonts w:cs="Arial"/>
          <w:lang w:val="en-CA"/>
        </w:rPr>
        <w:t xml:space="preserve"> 32.</w:t>
      </w:r>
    </w:p>
  </w:footnote>
  <w:footnote w:id="27">
    <w:p w14:paraId="3AA1F65F" w14:textId="72698479" w:rsidR="00B35ECB" w:rsidRPr="001658F1" w:rsidRDefault="00B35ECB" w:rsidP="00B35ECB">
      <w:pPr>
        <w:pStyle w:val="Notedebasdepage"/>
        <w:ind w:left="284" w:hanging="284"/>
        <w:rPr>
          <w:rFonts w:cs="Arial"/>
          <w:lang w:val="en-CA"/>
        </w:rPr>
      </w:pPr>
      <w:r w:rsidRPr="001658F1">
        <w:rPr>
          <w:rStyle w:val="Appelnotedebasdep"/>
          <w:rFonts w:cs="Arial"/>
          <w:lang w:val="en-CA"/>
        </w:rPr>
        <w:footnoteRef/>
      </w:r>
      <w:r w:rsidRPr="001658F1">
        <w:rPr>
          <w:rFonts w:cs="Arial"/>
          <w:lang w:val="en-CA"/>
        </w:rPr>
        <w:tab/>
      </w:r>
      <w:r w:rsidRPr="00641C40">
        <w:rPr>
          <w:rFonts w:cs="Arial"/>
          <w:lang w:val="en-CA"/>
        </w:rPr>
        <w:t>November 4, 1980, 1489 </w:t>
      </w:r>
      <w:r w:rsidR="00997EDC">
        <w:rPr>
          <w:rFonts w:cs="Arial"/>
          <w:lang w:val="en-CA"/>
        </w:rPr>
        <w:t>U.N.T.S.</w:t>
      </w:r>
      <w:r w:rsidRPr="001658F1">
        <w:rPr>
          <w:rFonts w:cs="Arial"/>
          <w:lang w:val="en-CA"/>
        </w:rPr>
        <w:t> </w:t>
      </w:r>
      <w:r w:rsidRPr="00641C40">
        <w:rPr>
          <w:rFonts w:cs="Arial"/>
          <w:lang w:val="en-CA"/>
        </w:rPr>
        <w:t>79, which came into force on January 1, 1988.</w:t>
      </w:r>
    </w:p>
  </w:footnote>
  <w:footnote w:id="28">
    <w:p w14:paraId="20B25099" w14:textId="77777777" w:rsidR="00B35ECB" w:rsidRPr="004F741E" w:rsidRDefault="00B35ECB" w:rsidP="00B35ECB">
      <w:pPr>
        <w:pStyle w:val="Notedebasdepage"/>
        <w:ind w:left="284" w:hanging="284"/>
        <w:rPr>
          <w:rFonts w:cs="Arial"/>
          <w:lang w:val="en-CA"/>
        </w:rPr>
      </w:pPr>
      <w:r w:rsidRPr="001658F1">
        <w:rPr>
          <w:rStyle w:val="Appelnotedebasdep"/>
          <w:rFonts w:cs="Arial"/>
          <w:lang w:val="en-CA"/>
        </w:rPr>
        <w:footnoteRef/>
      </w:r>
      <w:r w:rsidRPr="001658F1">
        <w:rPr>
          <w:rFonts w:cs="Arial"/>
          <w:lang w:val="en-CA"/>
        </w:rPr>
        <w:tab/>
      </w:r>
      <w:r w:rsidRPr="004F741E">
        <w:rPr>
          <w:rFonts w:cs="Arial"/>
          <w:lang w:val="en-CA"/>
        </w:rPr>
        <w:t>International Institute for the Unification of Private Law (</w:t>
      </w:r>
      <w:r w:rsidRPr="004F741E">
        <w:rPr>
          <w:rFonts w:cs="Arial"/>
          <w:smallCaps/>
          <w:lang w:val="en-CA"/>
        </w:rPr>
        <w:t>Unidroit</w:t>
      </w:r>
      <w:r w:rsidRPr="004F741E">
        <w:rPr>
          <w:rFonts w:cs="Arial"/>
          <w:lang w:val="en-CA"/>
        </w:rPr>
        <w:t xml:space="preserve">), </w:t>
      </w:r>
      <w:r w:rsidRPr="004F741E">
        <w:rPr>
          <w:i/>
          <w:iCs/>
          <w:lang w:val="en-CA"/>
        </w:rPr>
        <w:t>UNIDROIT Principles of International Commercial Contracts — 2016</w:t>
      </w:r>
      <w:r w:rsidRPr="004F741E">
        <w:rPr>
          <w:rFonts w:cs="Arial"/>
          <w:lang w:val="en-CA"/>
        </w:rPr>
        <w:t>, 4th</w:t>
      </w:r>
      <w:r w:rsidRPr="004F741E">
        <w:rPr>
          <w:rFonts w:cs="Arial"/>
          <w:vertAlign w:val="superscript"/>
          <w:lang w:val="en-CA"/>
        </w:rPr>
        <w:t xml:space="preserve"> </w:t>
      </w:r>
      <w:r w:rsidRPr="004F741E">
        <w:rPr>
          <w:rFonts w:cs="Arial"/>
          <w:lang w:val="en-CA"/>
        </w:rPr>
        <w:t>ed., Rome, 2016.</w:t>
      </w:r>
    </w:p>
  </w:footnote>
  <w:footnote w:id="29">
    <w:p w14:paraId="5824E1E5" w14:textId="550C006E" w:rsidR="00B35ECB" w:rsidRPr="004F741E" w:rsidRDefault="00B35ECB" w:rsidP="00B35ECB">
      <w:pPr>
        <w:pStyle w:val="Notedebasdepage"/>
        <w:ind w:left="284" w:hanging="284"/>
        <w:rPr>
          <w:rFonts w:cs="Arial"/>
          <w:lang w:val="en-CA"/>
        </w:rPr>
      </w:pPr>
      <w:r w:rsidRPr="001C21A3">
        <w:rPr>
          <w:rStyle w:val="Appelnotedebasdep"/>
          <w:rFonts w:cs="Arial"/>
        </w:rPr>
        <w:footnoteRef/>
      </w:r>
      <w:r w:rsidRPr="001C21A3">
        <w:rPr>
          <w:rFonts w:cs="Arial"/>
        </w:rPr>
        <w:tab/>
        <w:t xml:space="preserve">Commission </w:t>
      </w:r>
      <w:r w:rsidR="0038208F">
        <w:rPr>
          <w:rFonts w:cs="Arial"/>
        </w:rPr>
        <w:t>on European Contract Law</w:t>
      </w:r>
      <w:r w:rsidRPr="001C21A3">
        <w:rPr>
          <w:rFonts w:cs="Arial"/>
        </w:rPr>
        <w:t xml:space="preserve">, </w:t>
      </w:r>
      <w:r w:rsidRPr="001C21A3">
        <w:rPr>
          <w:rFonts w:cs="Arial"/>
          <w:i/>
          <w:iCs/>
        </w:rPr>
        <w:t>Princip</w:t>
      </w:r>
      <w:r w:rsidR="001C21A3">
        <w:rPr>
          <w:rFonts w:cs="Arial"/>
          <w:i/>
          <w:iCs/>
        </w:rPr>
        <w:t>l</w:t>
      </w:r>
      <w:r w:rsidRPr="001C21A3">
        <w:rPr>
          <w:rFonts w:cs="Arial"/>
          <w:i/>
          <w:iCs/>
        </w:rPr>
        <w:t xml:space="preserve">es </w:t>
      </w:r>
      <w:r w:rsidR="001C21A3">
        <w:rPr>
          <w:rFonts w:cs="Arial"/>
          <w:i/>
          <w:iCs/>
        </w:rPr>
        <w:t>of European Contract Law</w:t>
      </w:r>
      <w:r w:rsidRPr="001C21A3">
        <w:rPr>
          <w:rFonts w:cs="Arial"/>
        </w:rPr>
        <w:t xml:space="preserve">, Paris, Société de législation comparée, 2003. </w:t>
      </w:r>
      <w:r w:rsidRPr="004F741E">
        <w:rPr>
          <w:rFonts w:cs="Arial"/>
          <w:lang w:val="en-CA"/>
        </w:rPr>
        <w:t>See also https://www.law.kuleuven.be/personal/mstorme/PECL.html.</w:t>
      </w:r>
    </w:p>
  </w:footnote>
  <w:footnote w:id="30">
    <w:p w14:paraId="3F0437FB" w14:textId="23F8699C" w:rsidR="002A0D72" w:rsidRPr="002E7957" w:rsidRDefault="003B1C16" w:rsidP="002A0D72">
      <w:pPr>
        <w:pStyle w:val="Notedebasdepage"/>
        <w:ind w:left="284" w:hanging="284"/>
        <w:rPr>
          <w:rFonts w:cs="Arial"/>
        </w:rPr>
      </w:pPr>
      <w:r w:rsidRPr="001C21A3">
        <w:rPr>
          <w:rStyle w:val="Appelnotedebasdep"/>
          <w:rFonts w:cs="Arial"/>
        </w:rPr>
        <w:footnoteRef/>
      </w:r>
      <w:r w:rsidRPr="001C21A3">
        <w:rPr>
          <w:rFonts w:cs="Arial"/>
        </w:rPr>
        <w:tab/>
        <w:t xml:space="preserve">The judge relies here on: José Vidal, </w:t>
      </w:r>
      <w:r w:rsidR="001658F1" w:rsidRPr="001C21A3">
        <w:rPr>
          <w:rFonts w:cs="Arial"/>
          <w:i/>
          <w:iCs/>
        </w:rPr>
        <w:t>Essai d’une Théorie générale de la fraude en droit français</w:t>
      </w:r>
      <w:r w:rsidR="00015C10">
        <w:rPr>
          <w:rFonts w:cs="Arial"/>
          <w:i/>
          <w:iCs/>
        </w:rPr>
        <w:t xml:space="preserve"> </w:t>
      </w:r>
      <w:r w:rsidR="001658F1" w:rsidRPr="001C21A3">
        <w:rPr>
          <w:rFonts w:cs="Arial"/>
          <w:i/>
          <w:iCs/>
        </w:rPr>
        <w:t>: le principe “fraus omnia corrumpit”</w:t>
      </w:r>
      <w:r w:rsidRPr="001C21A3">
        <w:rPr>
          <w:rFonts w:cs="Arial"/>
        </w:rPr>
        <w:t xml:space="preserve">, Paris, Librairie Dalloz, 1957, p. 386; </w:t>
      </w:r>
      <w:r w:rsidRPr="001C21A3">
        <w:rPr>
          <w:rFonts w:cs="Arial"/>
          <w:i/>
          <w:iCs/>
        </w:rPr>
        <w:t>Landreville v. Town of Boucherville</w:t>
      </w:r>
      <w:r w:rsidRPr="001C21A3">
        <w:rPr>
          <w:rFonts w:cs="Arial"/>
        </w:rPr>
        <w:t xml:space="preserve">, [1978] 2 S.C.R. 801, p. 814; </w:t>
      </w:r>
      <w:r w:rsidRPr="001C21A3">
        <w:rPr>
          <w:rFonts w:cs="Arial"/>
          <w:i/>
          <w:iCs/>
        </w:rPr>
        <w:t>Droit de la famille — 171197</w:t>
      </w:r>
      <w:r w:rsidRPr="001C21A3">
        <w:rPr>
          <w:rFonts w:cs="Arial"/>
        </w:rPr>
        <w:t>, 2017 QCCA 861, para. 99.</w:t>
      </w:r>
    </w:p>
  </w:footnote>
  <w:footnote w:id="31">
    <w:p w14:paraId="6D4E6055" w14:textId="25482EDD" w:rsidR="001C21A3" w:rsidRDefault="001C21A3" w:rsidP="00AA6367">
      <w:pPr>
        <w:pStyle w:val="Notedebasdepage"/>
        <w:ind w:left="284" w:hanging="284"/>
      </w:pPr>
      <w:r>
        <w:rPr>
          <w:rStyle w:val="Appelnotedebasdep"/>
        </w:rPr>
        <w:footnoteRef/>
      </w:r>
      <w:r>
        <w:t xml:space="preserve"> </w:t>
      </w:r>
      <w:r w:rsidR="001E2729">
        <w:tab/>
      </w:r>
      <w:r w:rsidRPr="002E7957">
        <w:rPr>
          <w:rFonts w:cs="Arial"/>
        </w:rPr>
        <w:t xml:space="preserve">H. Patrick Glenn, </w:t>
      </w:r>
      <w:r>
        <w:rPr>
          <w:rFonts w:cs="Arial"/>
        </w:rPr>
        <w:t>“</w:t>
      </w:r>
      <w:r w:rsidRPr="002E7957">
        <w:rPr>
          <w:rFonts w:cs="Arial"/>
        </w:rPr>
        <w:t>Droit international privé</w:t>
      </w:r>
      <w:r>
        <w:rPr>
          <w:rFonts w:cs="Arial"/>
        </w:rPr>
        <w:t>”</w:t>
      </w:r>
      <w:r w:rsidRPr="002E7957">
        <w:rPr>
          <w:rFonts w:cs="Arial"/>
        </w:rPr>
        <w:t xml:space="preserve">, </w:t>
      </w:r>
      <w:r>
        <w:rPr>
          <w:rFonts w:cs="Arial"/>
        </w:rPr>
        <w:t>in</w:t>
      </w:r>
      <w:r w:rsidRPr="002E7957">
        <w:rPr>
          <w:rFonts w:cs="Arial"/>
        </w:rPr>
        <w:t xml:space="preserve"> Barreau du Québec et Chambre des notaires du Québec, </w:t>
      </w:r>
      <w:r w:rsidRPr="002E7957">
        <w:rPr>
          <w:rFonts w:cs="Arial"/>
          <w:i/>
          <w:iCs/>
        </w:rPr>
        <w:t xml:space="preserve">La réforme du Code civil, </w:t>
      </w:r>
      <w:r w:rsidRPr="002E7957">
        <w:rPr>
          <w:rFonts w:cs="Arial"/>
        </w:rPr>
        <w:t>vol. 3</w:t>
      </w:r>
      <w:r w:rsidR="006B208C">
        <w:rPr>
          <w:rFonts w:cs="Arial"/>
        </w:rPr>
        <w:t>,</w:t>
      </w:r>
      <w:r w:rsidRPr="002E7957">
        <w:rPr>
          <w:rFonts w:cs="Arial"/>
          <w:i/>
          <w:iCs/>
        </w:rPr>
        <w:t xml:space="preserve"> </w:t>
      </w:r>
      <w:r>
        <w:rPr>
          <w:rFonts w:cs="Arial"/>
        </w:rPr>
        <w:t>“</w:t>
      </w:r>
      <w:r w:rsidRPr="002E7957">
        <w:rPr>
          <w:rFonts w:cs="Arial"/>
        </w:rPr>
        <w:t>Priorités et hypothèques, preuve et prescription, publicité des droits, droit international privé, dispositions transitoires</w:t>
      </w:r>
      <w:r>
        <w:rPr>
          <w:rFonts w:cs="Arial"/>
        </w:rPr>
        <w:t>”</w:t>
      </w:r>
      <w:r w:rsidRPr="002E7957">
        <w:rPr>
          <w:rFonts w:cs="Arial"/>
        </w:rPr>
        <w:t>, Sainte-Foy, Presses de l’Université Laval, 1993, 671, p. 733 (</w:t>
      </w:r>
      <w:r w:rsidR="004F741E">
        <w:rPr>
          <w:rFonts w:cs="Arial"/>
        </w:rPr>
        <w:t>No.</w:t>
      </w:r>
      <w:r w:rsidRPr="002E7957">
        <w:rPr>
          <w:rFonts w:cs="Arial"/>
        </w:rPr>
        <w:t xml:space="preserve"> 104); </w:t>
      </w:r>
      <w:r w:rsidRPr="002E7957">
        <w:rPr>
          <w:rFonts w:cs="Arial"/>
          <w:i/>
          <w:iCs/>
        </w:rPr>
        <w:t>Droit de la famille — 08689</w:t>
      </w:r>
      <w:r w:rsidRPr="002E7957">
        <w:rPr>
          <w:rFonts w:cs="Arial"/>
        </w:rPr>
        <w:t xml:space="preserve">, 2008 QCCA 549; </w:t>
      </w:r>
      <w:r w:rsidRPr="002E7957">
        <w:rPr>
          <w:rFonts w:cs="Arial"/>
          <w:i/>
          <w:iCs/>
        </w:rPr>
        <w:t>Droit de la famille — 24102</w:t>
      </w:r>
      <w:r w:rsidRPr="002E7957">
        <w:rPr>
          <w:rFonts w:cs="Arial"/>
        </w:rPr>
        <w:t>, 2024 QCCA 111.</w:t>
      </w:r>
    </w:p>
  </w:footnote>
  <w:footnote w:id="32">
    <w:p w14:paraId="737F9B42" w14:textId="4FEE7745" w:rsidR="001C21A3" w:rsidRPr="002E7957" w:rsidRDefault="001C21A3" w:rsidP="001C21A3">
      <w:pPr>
        <w:pStyle w:val="Notedebasdepage"/>
        <w:ind w:left="284" w:hanging="284"/>
        <w:rPr>
          <w:rFonts w:cs="Arial"/>
        </w:rPr>
      </w:pPr>
      <w:r w:rsidRPr="002E7957">
        <w:rPr>
          <w:rStyle w:val="Appelnotedebasdep"/>
          <w:rFonts w:cs="Arial"/>
        </w:rPr>
        <w:footnoteRef/>
      </w:r>
      <w:r w:rsidRPr="002E7957">
        <w:rPr>
          <w:rFonts w:cs="Arial"/>
        </w:rPr>
        <w:tab/>
      </w:r>
      <w:r w:rsidR="000C665A">
        <w:rPr>
          <w:rFonts w:cs="Arial"/>
        </w:rPr>
        <w:t xml:space="preserve">H. </w:t>
      </w:r>
      <w:r w:rsidRPr="00641C40">
        <w:rPr>
          <w:rFonts w:cs="Arial"/>
        </w:rPr>
        <w:t xml:space="preserve">Patrick Glenn, “Droit international privé”, in Barreau du Québec et Chambre des notaires du Québec, </w:t>
      </w:r>
      <w:r w:rsidRPr="00641C40">
        <w:rPr>
          <w:rFonts w:cs="Arial"/>
          <w:i/>
          <w:iCs/>
        </w:rPr>
        <w:t xml:space="preserve">La réforme du Code civil, </w:t>
      </w:r>
      <w:r w:rsidRPr="00641C40">
        <w:rPr>
          <w:rFonts w:cs="Arial"/>
        </w:rPr>
        <w:t>vol. 3</w:t>
      </w:r>
      <w:r w:rsidR="006B208C">
        <w:rPr>
          <w:rFonts w:cs="Arial"/>
        </w:rPr>
        <w:t>,</w:t>
      </w:r>
      <w:r w:rsidRPr="00641C40">
        <w:rPr>
          <w:rFonts w:cs="Arial"/>
          <w:i/>
          <w:iCs/>
        </w:rPr>
        <w:t xml:space="preserve"> </w:t>
      </w:r>
      <w:r w:rsidRPr="00641C40">
        <w:rPr>
          <w:rFonts w:cs="Arial"/>
        </w:rPr>
        <w:t>“Priorités et hypothèques, preuve et prescription, publicité des droits, droit international privé, dispositions transitoires”, Sainte-Foy, Presses de l’Université Laval, 1993, 671, p. 733 (</w:t>
      </w:r>
      <w:r w:rsidR="004F741E">
        <w:rPr>
          <w:rFonts w:cs="Arial"/>
        </w:rPr>
        <w:t>No.</w:t>
      </w:r>
      <w:r w:rsidRPr="00641C40">
        <w:rPr>
          <w:rFonts w:cs="Arial"/>
        </w:rPr>
        <w:t xml:space="preserve"> 104).</w:t>
      </w:r>
      <w:r w:rsidRPr="002E7957">
        <w:rPr>
          <w:rFonts w:cs="Arial"/>
        </w:rPr>
        <w:t xml:space="preserve"> </w:t>
      </w:r>
      <w:r w:rsidRPr="001C21A3">
        <w:rPr>
          <w:rFonts w:cs="Arial"/>
          <w:lang w:val="en-CA"/>
        </w:rPr>
        <w:t xml:space="preserve">See also: </w:t>
      </w:r>
      <w:r w:rsidRPr="001C21A3">
        <w:rPr>
          <w:i/>
          <w:iCs/>
          <w:lang w:val="en-CA"/>
        </w:rPr>
        <w:t>Canada Post Corp. v. Lépine</w:t>
      </w:r>
      <w:r w:rsidRPr="001C21A3">
        <w:rPr>
          <w:rFonts w:cs="Arial"/>
          <w:lang w:val="en-CA"/>
        </w:rPr>
        <w:t xml:space="preserve">, 2009 SCC 16, para. 44; </w:t>
      </w:r>
      <w:r w:rsidRPr="001C21A3">
        <w:rPr>
          <w:rFonts w:cs="Arial"/>
          <w:i/>
          <w:iCs/>
          <w:lang w:val="en-CA"/>
        </w:rPr>
        <w:t>Canfield Technologies inc. c. Servi-Metals Canada inc.</w:t>
      </w:r>
      <w:r w:rsidRPr="001C21A3">
        <w:rPr>
          <w:rFonts w:cs="Arial"/>
          <w:lang w:val="en-CA"/>
        </w:rPr>
        <w:t xml:space="preserve">, 1999 CanLII 10839 (S.C.), para. 17, </w:t>
      </w:r>
      <w:r w:rsidR="00CA72FA">
        <w:rPr>
          <w:rFonts w:cs="Arial"/>
          <w:lang w:val="en-CA"/>
        </w:rPr>
        <w:t>application to dismiss appeal granted</w:t>
      </w:r>
      <w:r w:rsidRPr="001C21A3">
        <w:rPr>
          <w:rFonts w:cs="Arial"/>
          <w:lang w:val="en-CA"/>
        </w:rPr>
        <w:t xml:space="preserve">, October 18, 1999, </w:t>
      </w:r>
      <w:r w:rsidR="004F741E">
        <w:rPr>
          <w:rFonts w:cs="Arial"/>
          <w:lang w:val="en-CA"/>
        </w:rPr>
        <w:t>No.</w:t>
      </w:r>
      <w:r w:rsidRPr="001C21A3">
        <w:rPr>
          <w:rFonts w:cs="Arial"/>
          <w:lang w:val="en-CA"/>
        </w:rPr>
        <w:t xml:space="preserve"> 500-09-008657-991; </w:t>
      </w:r>
      <w:r w:rsidRPr="001C21A3">
        <w:rPr>
          <w:rFonts w:cs="Arial"/>
          <w:i/>
          <w:iCs/>
          <w:lang w:val="en-CA"/>
        </w:rPr>
        <w:t>Society of Lloyd’s v. Alper</w:t>
      </w:r>
      <w:r w:rsidRPr="001C21A3">
        <w:rPr>
          <w:rFonts w:cs="Arial"/>
          <w:lang w:val="en-CA"/>
        </w:rPr>
        <w:t xml:space="preserve">, 2006 QCCS 1203, para. </w:t>
      </w:r>
      <w:r w:rsidRPr="00641C40">
        <w:rPr>
          <w:rFonts w:cs="Arial"/>
        </w:rPr>
        <w:t xml:space="preserve">77, aff’d in </w:t>
      </w:r>
      <w:r w:rsidRPr="00641C40">
        <w:rPr>
          <w:rFonts w:cs="Arial"/>
          <w:i/>
          <w:iCs/>
        </w:rPr>
        <w:t>Alper c. Society of Lloyd’s</w:t>
      </w:r>
      <w:r w:rsidRPr="00641C40">
        <w:rPr>
          <w:rFonts w:cs="Arial"/>
        </w:rPr>
        <w:t>, 2007 QCCA 1321;</w:t>
      </w:r>
      <w:r w:rsidRPr="002E7957">
        <w:rPr>
          <w:rFonts w:cs="Arial"/>
        </w:rPr>
        <w:t xml:space="preserve"> </w:t>
      </w:r>
      <w:r w:rsidRPr="00641C40">
        <w:rPr>
          <w:rFonts w:cs="Arial"/>
        </w:rPr>
        <w:t xml:space="preserve">Jeffrey A. Talpis and Jean-Gabriel Castel, “Le Code civil du Québec – Interprétation des règles du droit international privé”, in </w:t>
      </w:r>
      <w:r w:rsidRPr="00641C40">
        <w:rPr>
          <w:rFonts w:cs="Arial"/>
          <w:i/>
          <w:iCs/>
        </w:rPr>
        <w:t xml:space="preserve">La réforme du Code civil, </w:t>
      </w:r>
      <w:r w:rsidRPr="00641C40">
        <w:rPr>
          <w:rFonts w:cs="Arial"/>
        </w:rPr>
        <w:t>vol. 3</w:t>
      </w:r>
      <w:r w:rsidR="006B208C">
        <w:rPr>
          <w:rFonts w:cs="Arial"/>
        </w:rPr>
        <w:t>,</w:t>
      </w:r>
      <w:r w:rsidRPr="00641C40">
        <w:rPr>
          <w:rFonts w:cs="Arial"/>
          <w:i/>
          <w:iCs/>
        </w:rPr>
        <w:t xml:space="preserve"> </w:t>
      </w:r>
      <w:r w:rsidRPr="00641C40">
        <w:rPr>
          <w:rFonts w:cs="Arial"/>
        </w:rPr>
        <w:t>“Priorités et hypothèques, preuve et prescription, publicité des droits, droit international privé, dispositions transitoires”, Québec, Presses de l’Université Laval, 801, p. 913 (</w:t>
      </w:r>
      <w:r w:rsidR="004F741E">
        <w:rPr>
          <w:rFonts w:cs="Arial"/>
        </w:rPr>
        <w:t>No.</w:t>
      </w:r>
      <w:r w:rsidRPr="00641C40">
        <w:rPr>
          <w:rFonts w:cs="Arial"/>
        </w:rPr>
        <w:t> 471);</w:t>
      </w:r>
      <w:r w:rsidRPr="002E7957">
        <w:rPr>
          <w:rFonts w:cs="Arial"/>
        </w:rPr>
        <w:t xml:space="preserve"> </w:t>
      </w:r>
      <w:r w:rsidRPr="00641C40">
        <w:rPr>
          <w:rFonts w:cs="Arial"/>
        </w:rPr>
        <w:t xml:space="preserve">Sylvette Guillemard and Van Anh Ly, </w:t>
      </w:r>
      <w:r w:rsidRPr="00641C40">
        <w:rPr>
          <w:rFonts w:cs="Arial"/>
          <w:i/>
          <w:iCs/>
        </w:rPr>
        <w:t>Éléments de droit international privé québécois</w:t>
      </w:r>
      <w:r w:rsidRPr="00641C40">
        <w:rPr>
          <w:rFonts w:cs="Arial"/>
        </w:rPr>
        <w:t>, Montr</w:t>
      </w:r>
      <w:r w:rsidR="00A2336F">
        <w:rPr>
          <w:rFonts w:cs="Arial"/>
        </w:rPr>
        <w:t>e</w:t>
      </w:r>
      <w:r w:rsidRPr="00641C40">
        <w:rPr>
          <w:rFonts w:cs="Arial"/>
        </w:rPr>
        <w:t>al, Yvon Blais, 2019, p. 63 and 102.</w:t>
      </w:r>
    </w:p>
  </w:footnote>
  <w:footnote w:id="33">
    <w:p w14:paraId="5699019C" w14:textId="54A9B93D" w:rsidR="002A0D72" w:rsidRPr="002E7957" w:rsidRDefault="003B1C16" w:rsidP="002A0D72">
      <w:pPr>
        <w:pStyle w:val="Notedebasdepage"/>
        <w:ind w:left="284" w:hanging="284"/>
        <w:rPr>
          <w:rFonts w:cs="Arial"/>
          <w:lang w:val="en-CA"/>
        </w:rPr>
      </w:pPr>
      <w:r w:rsidRPr="002E7957">
        <w:rPr>
          <w:rStyle w:val="Appelnotedebasdep"/>
          <w:rFonts w:cs="Arial"/>
        </w:rPr>
        <w:footnoteRef/>
      </w:r>
      <w:r w:rsidRPr="002E7957">
        <w:rPr>
          <w:rFonts w:cs="Arial"/>
        </w:rPr>
        <w:tab/>
      </w:r>
      <w:r w:rsidR="008D01E6" w:rsidRPr="004F741E">
        <w:rPr>
          <w:rFonts w:cs="Arial"/>
          <w:i/>
          <w:iCs/>
        </w:rPr>
        <w:t>Société canadienne des postes c.</w:t>
      </w:r>
      <w:r w:rsidR="008D01E6" w:rsidRPr="008D01E6">
        <w:rPr>
          <w:rFonts w:cs="Arial"/>
        </w:rPr>
        <w:t xml:space="preserve"> </w:t>
      </w:r>
      <w:r w:rsidR="00DE6FD5" w:rsidRPr="00641C40">
        <w:rPr>
          <w:rFonts w:cs="Arial"/>
          <w:i/>
          <w:iCs/>
        </w:rPr>
        <w:t>Lépine</w:t>
      </w:r>
      <w:r w:rsidRPr="00641C40">
        <w:rPr>
          <w:rFonts w:cs="Arial"/>
        </w:rPr>
        <w:t>, 2007 QCCA 1092, para.</w:t>
      </w:r>
      <w:r w:rsidRPr="002E7957">
        <w:rPr>
          <w:rFonts w:cs="Arial"/>
        </w:rPr>
        <w:t xml:space="preserve"> </w:t>
      </w:r>
      <w:r w:rsidRPr="00641C40">
        <w:rPr>
          <w:rFonts w:cs="Arial"/>
        </w:rPr>
        <w:t>70, cit</w:t>
      </w:r>
      <w:r w:rsidR="001D022C" w:rsidRPr="00641C40">
        <w:rPr>
          <w:rFonts w:cs="Arial"/>
        </w:rPr>
        <w:t xml:space="preserve">ing </w:t>
      </w:r>
      <w:r w:rsidRPr="00641C40">
        <w:rPr>
          <w:rFonts w:cs="Arial"/>
        </w:rPr>
        <w:t xml:space="preserve">Gérald Goldstein </w:t>
      </w:r>
      <w:r w:rsidR="001D022C" w:rsidRPr="00641C40">
        <w:rPr>
          <w:rFonts w:cs="Arial"/>
        </w:rPr>
        <w:t>and</w:t>
      </w:r>
      <w:r w:rsidRPr="00641C40">
        <w:rPr>
          <w:rFonts w:cs="Arial"/>
        </w:rPr>
        <w:t xml:space="preserve"> Ethel Groffier, </w:t>
      </w:r>
      <w:r w:rsidRPr="00641C40">
        <w:rPr>
          <w:rFonts w:cs="Arial"/>
          <w:i/>
          <w:iCs/>
        </w:rPr>
        <w:t>Droit international privé</w:t>
      </w:r>
      <w:r w:rsidRPr="00641C40">
        <w:rPr>
          <w:rFonts w:cs="Arial"/>
        </w:rPr>
        <w:t xml:space="preserve">, t. I </w:t>
      </w:r>
      <w:r w:rsidR="001D022C" w:rsidRPr="00641C40">
        <w:rPr>
          <w:rFonts w:cs="Arial"/>
        </w:rPr>
        <w:t>“</w:t>
      </w:r>
      <w:r w:rsidRPr="00641C40">
        <w:rPr>
          <w:rFonts w:cs="Arial"/>
        </w:rPr>
        <w:t>Théorie générale</w:t>
      </w:r>
      <w:r w:rsidR="001D022C" w:rsidRPr="00641C40">
        <w:rPr>
          <w:rFonts w:cs="Arial"/>
        </w:rPr>
        <w:t>”</w:t>
      </w:r>
      <w:r w:rsidRPr="00641C40">
        <w:rPr>
          <w:rFonts w:cs="Arial"/>
        </w:rPr>
        <w:t>, Cowansville, Yvon Blais, 1998, p. 404 (</w:t>
      </w:r>
      <w:r w:rsidR="004F741E">
        <w:rPr>
          <w:rFonts w:cs="Arial"/>
        </w:rPr>
        <w:t>No.</w:t>
      </w:r>
      <w:r w:rsidRPr="00641C40">
        <w:rPr>
          <w:rFonts w:cs="Arial"/>
        </w:rPr>
        <w:t> 167);</w:t>
      </w:r>
      <w:r w:rsidRPr="002E7957">
        <w:rPr>
          <w:rFonts w:cs="Arial"/>
        </w:rPr>
        <w:t xml:space="preserve"> </w:t>
      </w:r>
      <w:r w:rsidRPr="00641C40">
        <w:rPr>
          <w:rFonts w:cs="Arial"/>
          <w:i/>
          <w:iCs/>
        </w:rPr>
        <w:t>Hocking c. Haziza</w:t>
      </w:r>
      <w:r w:rsidRPr="00641C40">
        <w:rPr>
          <w:rFonts w:cs="Arial"/>
        </w:rPr>
        <w:t>, 2008 QCCA 800, para.</w:t>
      </w:r>
      <w:r w:rsidRPr="002E7957">
        <w:rPr>
          <w:rFonts w:cs="Arial"/>
        </w:rPr>
        <w:t xml:space="preserve"> </w:t>
      </w:r>
      <w:r w:rsidRPr="001C21A3">
        <w:rPr>
          <w:rFonts w:cs="Arial"/>
          <w:lang w:val="en-CA"/>
        </w:rPr>
        <w:t xml:space="preserve">114, </w:t>
      </w:r>
      <w:r w:rsidR="001D022C" w:rsidRPr="001C21A3">
        <w:rPr>
          <w:rFonts w:cs="Arial"/>
          <w:lang w:val="en-CA"/>
        </w:rPr>
        <w:t>aff’d in</w:t>
      </w:r>
      <w:r w:rsidRPr="001C21A3">
        <w:rPr>
          <w:rFonts w:cs="Arial"/>
          <w:lang w:val="en-CA"/>
        </w:rPr>
        <w:t xml:space="preserve"> </w:t>
      </w:r>
      <w:r w:rsidR="00DE6FD5" w:rsidRPr="001C21A3">
        <w:rPr>
          <w:rFonts w:cs="Arial"/>
          <w:i/>
          <w:iCs/>
          <w:lang w:val="en-CA"/>
        </w:rPr>
        <w:t>Canada Post Corp. v. Lépine</w:t>
      </w:r>
      <w:r w:rsidRPr="001C21A3">
        <w:rPr>
          <w:rFonts w:cs="Arial"/>
          <w:lang w:val="en-CA"/>
        </w:rPr>
        <w:t xml:space="preserve">, 2009 </w:t>
      </w:r>
      <w:r w:rsidR="001D022C" w:rsidRPr="001C21A3">
        <w:rPr>
          <w:rFonts w:cs="Arial"/>
          <w:lang w:val="en-CA"/>
        </w:rPr>
        <w:t>SCC</w:t>
      </w:r>
      <w:r w:rsidRPr="001C21A3">
        <w:rPr>
          <w:rFonts w:cs="Arial"/>
          <w:lang w:val="en-CA"/>
        </w:rPr>
        <w:t xml:space="preserve"> 16. </w:t>
      </w:r>
      <w:r w:rsidR="001D022C" w:rsidRPr="00641C40">
        <w:rPr>
          <w:rFonts w:cs="Arial"/>
          <w:lang w:val="en-CA"/>
        </w:rPr>
        <w:t xml:space="preserve">See </w:t>
      </w:r>
      <w:r w:rsidR="008D01E6">
        <w:rPr>
          <w:rFonts w:cs="Arial"/>
          <w:lang w:val="en-CA"/>
        </w:rPr>
        <w:t>also</w:t>
      </w:r>
      <w:r w:rsidRPr="00641C40">
        <w:rPr>
          <w:rFonts w:cs="Arial"/>
          <w:lang w:val="en-CA"/>
        </w:rPr>
        <w:t xml:space="preserve"> Jeffrey Talpis, </w:t>
      </w:r>
      <w:r w:rsidR="001D022C" w:rsidRPr="00641C40">
        <w:rPr>
          <w:rFonts w:cs="Arial"/>
          <w:i/>
          <w:iCs/>
          <w:lang w:val="en-CA"/>
        </w:rPr>
        <w:t>“</w:t>
      </w:r>
      <w:r w:rsidRPr="00641C40">
        <w:rPr>
          <w:rFonts w:cs="Arial"/>
          <w:i/>
          <w:iCs/>
          <w:lang w:val="en-CA"/>
        </w:rPr>
        <w:t>If I am from Grand-Mère, Why am I Being Sued in Texas?</w:t>
      </w:r>
      <w:r w:rsidR="008D01E6">
        <w:rPr>
          <w:rFonts w:cs="Arial"/>
          <w:i/>
          <w:iCs/>
          <w:lang w:val="en-CA"/>
        </w:rPr>
        <w:t>”</w:t>
      </w:r>
      <w:r w:rsidRPr="00641C40">
        <w:rPr>
          <w:rFonts w:cs="Arial"/>
          <w:i/>
          <w:iCs/>
          <w:lang w:val="en-CA"/>
        </w:rPr>
        <w:t>:</w:t>
      </w:r>
      <w:r w:rsidRPr="002E7957">
        <w:rPr>
          <w:rFonts w:cs="Arial"/>
          <w:i/>
          <w:iCs/>
          <w:lang w:val="en-CA"/>
        </w:rPr>
        <w:t xml:space="preserve"> </w:t>
      </w:r>
      <w:r w:rsidRPr="00641C40">
        <w:rPr>
          <w:rFonts w:cs="Arial"/>
          <w:i/>
          <w:iCs/>
          <w:lang w:val="en-CA"/>
        </w:rPr>
        <w:t>Responding to Inappropriate Foreign Jurisdiction in Quebec-United States Crossborder Litigation</w:t>
      </w:r>
      <w:r w:rsidRPr="00641C40">
        <w:rPr>
          <w:rFonts w:cs="Arial"/>
          <w:lang w:val="en-CA"/>
        </w:rPr>
        <w:t>, Montr</w:t>
      </w:r>
      <w:r w:rsidR="00A2336F">
        <w:rPr>
          <w:rFonts w:cs="Arial"/>
          <w:lang w:val="en-CA"/>
        </w:rPr>
        <w:t>e</w:t>
      </w:r>
      <w:r w:rsidRPr="00641C40">
        <w:rPr>
          <w:rFonts w:cs="Arial"/>
          <w:lang w:val="en-CA"/>
        </w:rPr>
        <w:t>al, Thémis, 2001, p. 174-175.</w:t>
      </w:r>
    </w:p>
  </w:footnote>
  <w:footnote w:id="34">
    <w:p w14:paraId="68586782" w14:textId="5C288398" w:rsidR="00D30BC2" w:rsidRPr="00AA6367" w:rsidRDefault="00D30BC2" w:rsidP="00D30BC2">
      <w:pPr>
        <w:pStyle w:val="Notedebasdepage"/>
        <w:ind w:left="284" w:hanging="284"/>
        <w:rPr>
          <w:rFonts w:cs="Arial"/>
        </w:rPr>
      </w:pPr>
      <w:r w:rsidRPr="002E7957">
        <w:rPr>
          <w:rStyle w:val="Appelnotedebasdep"/>
          <w:rFonts w:cs="Arial"/>
        </w:rPr>
        <w:footnoteRef/>
      </w:r>
      <w:r w:rsidRPr="00AA6367">
        <w:rPr>
          <w:rFonts w:cs="Arial"/>
        </w:rPr>
        <w:tab/>
      </w:r>
      <w:r w:rsidR="00F7575E" w:rsidRPr="00AA6367">
        <w:t>Judgment</w:t>
      </w:r>
      <w:r w:rsidRPr="00AA6367">
        <w:rPr>
          <w:rFonts w:cs="Arial"/>
        </w:rPr>
        <w:t xml:space="preserve"> </w:t>
      </w:r>
      <w:r w:rsidR="009C011A" w:rsidRPr="009C011A">
        <w:rPr>
          <w:rFonts w:cs="Arial"/>
          <w:iCs/>
        </w:rPr>
        <w:t>under appeal</w:t>
      </w:r>
      <w:r w:rsidRPr="00AA6367">
        <w:rPr>
          <w:rFonts w:cs="Arial"/>
        </w:rPr>
        <w:t>, para. 27.</w:t>
      </w:r>
    </w:p>
  </w:footnote>
  <w:footnote w:id="35">
    <w:p w14:paraId="487ACC07" w14:textId="7BD92A44" w:rsidR="00D30BC2" w:rsidRPr="00A338E4" w:rsidRDefault="00D30BC2" w:rsidP="00D30BC2">
      <w:pPr>
        <w:pStyle w:val="Notedebasdepage"/>
        <w:ind w:left="284" w:hanging="284"/>
        <w:rPr>
          <w:rFonts w:cs="Arial"/>
        </w:rPr>
      </w:pPr>
      <w:r w:rsidRPr="00641C40">
        <w:rPr>
          <w:rStyle w:val="Appelnotedebasdep"/>
          <w:rFonts w:cs="Arial"/>
          <w:lang w:val="en-CA"/>
        </w:rPr>
        <w:footnoteRef/>
      </w:r>
      <w:r w:rsidRPr="007C411F">
        <w:rPr>
          <w:rFonts w:cs="Arial"/>
        </w:rPr>
        <w:tab/>
      </w:r>
      <w:r w:rsidR="001D022C" w:rsidRPr="007C411F">
        <w:rPr>
          <w:rFonts w:cs="Arial"/>
        </w:rPr>
        <w:t xml:space="preserve">See </w:t>
      </w:r>
      <w:r w:rsidR="00A2336F" w:rsidRPr="007C411F">
        <w:rPr>
          <w:rFonts w:cs="Arial"/>
        </w:rPr>
        <w:t>e.g.</w:t>
      </w:r>
      <w:r w:rsidR="001D022C" w:rsidRPr="001C21A3">
        <w:rPr>
          <w:rFonts w:cs="Arial"/>
        </w:rPr>
        <w:t>:</w:t>
      </w:r>
      <w:r w:rsidRPr="001C21A3">
        <w:rPr>
          <w:rFonts w:cs="Arial"/>
        </w:rPr>
        <w:t xml:space="preserve"> </w:t>
      </w:r>
      <w:r w:rsidR="001D022C" w:rsidRPr="001C21A3">
        <w:rPr>
          <w:rFonts w:cs="Arial"/>
        </w:rPr>
        <w:t xml:space="preserve">H. Patrick Glenn, “Droit international privé”, in Barreau du Québec et Chambre des notaires du Québec, </w:t>
      </w:r>
      <w:r w:rsidR="001D022C" w:rsidRPr="001C21A3">
        <w:rPr>
          <w:rFonts w:cs="Arial"/>
          <w:i/>
        </w:rPr>
        <w:t>La réforme du Code civil</w:t>
      </w:r>
      <w:r w:rsidR="001D022C" w:rsidRPr="001C21A3">
        <w:rPr>
          <w:rFonts w:cs="Arial"/>
        </w:rPr>
        <w:t>, vol. 3</w:t>
      </w:r>
      <w:r w:rsidR="00E448F0">
        <w:rPr>
          <w:rFonts w:cs="Arial"/>
        </w:rPr>
        <w:t>,</w:t>
      </w:r>
      <w:r w:rsidR="001D022C" w:rsidRPr="001C21A3">
        <w:rPr>
          <w:rFonts w:cs="Arial"/>
        </w:rPr>
        <w:t xml:space="preserve"> “Priorités et hypothèques, preuve et prescription, publicité des droits, droit international privé, dispositions transitoires”, Sainte-Foy, Presses de l’Université Laval, 1993, 671, p. 764 (</w:t>
      </w:r>
      <w:r w:rsidR="004F741E">
        <w:rPr>
          <w:rFonts w:cs="Arial"/>
        </w:rPr>
        <w:t>No.</w:t>
      </w:r>
      <w:r w:rsidR="001D022C" w:rsidRPr="001C21A3">
        <w:rPr>
          <w:rFonts w:cs="Arial"/>
        </w:rPr>
        <w:t xml:space="preserve"> 106);</w:t>
      </w:r>
      <w:r w:rsidRPr="001C21A3">
        <w:rPr>
          <w:rFonts w:cs="Arial"/>
        </w:rPr>
        <w:t xml:space="preserve"> </w:t>
      </w:r>
      <w:r w:rsidR="001D022C" w:rsidRPr="001C21A3">
        <w:rPr>
          <w:rFonts w:cs="Arial"/>
        </w:rPr>
        <w:t xml:space="preserve">Gérald Goldstein and Ethel Groffier, </w:t>
      </w:r>
      <w:r w:rsidR="001D022C" w:rsidRPr="001C21A3">
        <w:rPr>
          <w:rFonts w:cs="Arial"/>
          <w:i/>
        </w:rPr>
        <w:t>Droit international privé</w:t>
      </w:r>
      <w:r w:rsidR="001D022C" w:rsidRPr="001C21A3">
        <w:rPr>
          <w:rFonts w:cs="Arial"/>
        </w:rPr>
        <w:t>, vol. I</w:t>
      </w:r>
      <w:r w:rsidR="00E448F0">
        <w:rPr>
          <w:rFonts w:cs="Arial"/>
        </w:rPr>
        <w:t>,</w:t>
      </w:r>
      <w:r w:rsidR="001D022C" w:rsidRPr="001C21A3">
        <w:rPr>
          <w:rFonts w:cs="Arial"/>
        </w:rPr>
        <w:t xml:space="preserve"> “Théorie générale”, Cowansville, Yvon Blais, 1998, p. 396-400 (</w:t>
      </w:r>
      <w:r w:rsidR="004F741E">
        <w:rPr>
          <w:rFonts w:cs="Arial"/>
        </w:rPr>
        <w:t>No</w:t>
      </w:r>
      <w:r w:rsidR="0001075B">
        <w:rPr>
          <w:rFonts w:cs="Arial"/>
        </w:rPr>
        <w:t>.</w:t>
      </w:r>
      <w:r w:rsidR="001D022C" w:rsidRPr="001C21A3">
        <w:rPr>
          <w:rFonts w:cs="Arial"/>
        </w:rPr>
        <w:t xml:space="preserve"> 166);</w:t>
      </w:r>
      <w:r w:rsidRPr="001C21A3">
        <w:rPr>
          <w:rFonts w:cs="Arial"/>
        </w:rPr>
        <w:t xml:space="preserve"> </w:t>
      </w:r>
      <w:r w:rsidR="001D022C" w:rsidRPr="001C21A3">
        <w:rPr>
          <w:rFonts w:cs="Arial"/>
        </w:rPr>
        <w:t xml:space="preserve">Claude Emanuelli, </w:t>
      </w:r>
      <w:r w:rsidR="001D022C" w:rsidRPr="001C21A3">
        <w:rPr>
          <w:rFonts w:cs="Arial"/>
          <w:i/>
        </w:rPr>
        <w:t>Droit international privé québécois</w:t>
      </w:r>
      <w:r w:rsidR="001D022C" w:rsidRPr="001C21A3">
        <w:rPr>
          <w:rFonts w:cs="Arial"/>
        </w:rPr>
        <w:t>, 3</w:t>
      </w:r>
      <w:r w:rsidR="001D022C" w:rsidRPr="007C411F">
        <w:rPr>
          <w:rFonts w:cs="Arial"/>
        </w:rPr>
        <w:t>rd</w:t>
      </w:r>
      <w:r w:rsidR="001D022C" w:rsidRPr="001C21A3">
        <w:rPr>
          <w:rFonts w:cs="Arial"/>
        </w:rPr>
        <w:t xml:space="preserve"> ed., Montreal, Wilson &amp; Lafleur, 2011, p. 176 (</w:t>
      </w:r>
      <w:r w:rsidR="004F741E">
        <w:rPr>
          <w:rFonts w:cs="Arial"/>
        </w:rPr>
        <w:t>No.</w:t>
      </w:r>
      <w:r w:rsidR="001D022C" w:rsidRPr="001C21A3">
        <w:rPr>
          <w:rFonts w:cs="Arial"/>
        </w:rPr>
        <w:t xml:space="preserve"> 299);</w:t>
      </w:r>
      <w:r w:rsidRPr="001C21A3">
        <w:rPr>
          <w:rFonts w:cs="Arial"/>
        </w:rPr>
        <w:t xml:space="preserve"> </w:t>
      </w:r>
      <w:r w:rsidR="001D022C" w:rsidRPr="001C21A3">
        <w:rPr>
          <w:rFonts w:cs="Arial"/>
        </w:rPr>
        <w:t>Sylvette Guillemard and Van Anh Ly, </w:t>
      </w:r>
      <w:r w:rsidR="001D022C" w:rsidRPr="001C21A3">
        <w:rPr>
          <w:rFonts w:cs="Arial"/>
          <w:i/>
        </w:rPr>
        <w:t>Éléments de droit international privé québécois</w:t>
      </w:r>
      <w:r w:rsidR="001D022C" w:rsidRPr="001C21A3">
        <w:rPr>
          <w:rFonts w:cs="Arial"/>
        </w:rPr>
        <w:t>, Montreal, Yvon Blais, 2019, p. 64-65 and p. 103-104;</w:t>
      </w:r>
      <w:r w:rsidRPr="001C21A3">
        <w:rPr>
          <w:rFonts w:cs="Arial"/>
        </w:rPr>
        <w:t xml:space="preserve"> </w:t>
      </w:r>
      <w:r w:rsidR="001D022C" w:rsidRPr="001C21A3">
        <w:rPr>
          <w:rFonts w:cs="Arial"/>
        </w:rPr>
        <w:t xml:space="preserve">Patrick Ferland and Guillaume Laganière, “Le droit international privé” in École du Barreau (ed.), </w:t>
      </w:r>
      <w:r w:rsidR="001D022C" w:rsidRPr="001C21A3">
        <w:rPr>
          <w:rFonts w:cs="Arial"/>
          <w:i/>
        </w:rPr>
        <w:t>Collection de droit 2024-2025</w:t>
      </w:r>
      <w:r w:rsidR="001D022C" w:rsidRPr="001C21A3">
        <w:rPr>
          <w:rFonts w:cs="Arial"/>
        </w:rPr>
        <w:t>, vol. 7</w:t>
      </w:r>
      <w:r w:rsidR="00A2336F">
        <w:rPr>
          <w:rFonts w:cs="Arial"/>
        </w:rPr>
        <w:t>,</w:t>
      </w:r>
      <w:r w:rsidR="001D022C" w:rsidRPr="001C21A3">
        <w:rPr>
          <w:rFonts w:cs="Arial"/>
        </w:rPr>
        <w:t xml:space="preserve"> “Contrats, sûretés, publicité des droits et droit international privé”, Montreal, CAIJ, 2024, p. 321 and p. 328-329;</w:t>
      </w:r>
      <w:r w:rsidRPr="001C21A3">
        <w:rPr>
          <w:rFonts w:cs="Arial"/>
        </w:rPr>
        <w:t xml:space="preserve"> </w:t>
      </w:r>
      <w:r w:rsidR="001D022C" w:rsidRPr="001C21A3">
        <w:rPr>
          <w:rFonts w:cs="Arial"/>
        </w:rPr>
        <w:t>Harith Al-Dabbagh, “Le juge québécois face au divorce islamique:</w:t>
      </w:r>
      <w:r w:rsidRPr="001C21A3">
        <w:rPr>
          <w:rFonts w:cs="Arial"/>
        </w:rPr>
        <w:t xml:space="preserve"> </w:t>
      </w:r>
      <w:r w:rsidR="001D022C" w:rsidRPr="001C21A3">
        <w:rPr>
          <w:rFonts w:cs="Arial"/>
        </w:rPr>
        <w:t xml:space="preserve">comment prévenir les divorces ‟boiteux” internationaux?”, (2020) 33 </w:t>
      </w:r>
      <w:r w:rsidR="001D022C" w:rsidRPr="001C21A3">
        <w:rPr>
          <w:rFonts w:cs="Arial"/>
          <w:i/>
        </w:rPr>
        <w:t>R.Q.D.I..</w:t>
      </w:r>
      <w:r w:rsidRPr="001C21A3">
        <w:rPr>
          <w:rFonts w:cs="Arial"/>
        </w:rPr>
        <w:t xml:space="preserve"> </w:t>
      </w:r>
      <w:r w:rsidR="001D022C" w:rsidRPr="001C21A3">
        <w:rPr>
          <w:rFonts w:cs="Arial"/>
        </w:rPr>
        <w:t>25, p. 43 et seq.;</w:t>
      </w:r>
      <w:r w:rsidRPr="001C21A3">
        <w:rPr>
          <w:rFonts w:cs="Arial"/>
        </w:rPr>
        <w:t xml:space="preserve"> </w:t>
      </w:r>
      <w:r w:rsidR="001D022C" w:rsidRPr="001C21A3">
        <w:rPr>
          <w:rFonts w:cs="Arial"/>
        </w:rPr>
        <w:t xml:space="preserve">Gérald Goldstein, “Principes généraux et conditions générales de reconnaissance et d’exécution”, in Pierre-Claude Lafond (ed.), </w:t>
      </w:r>
      <w:r w:rsidR="001D022C" w:rsidRPr="001C21A3">
        <w:rPr>
          <w:rFonts w:cs="Arial"/>
          <w:i/>
        </w:rPr>
        <w:t>JurisClasseur Québec</w:t>
      </w:r>
      <w:r w:rsidR="001D022C" w:rsidRPr="001C21A3">
        <w:rPr>
          <w:rFonts w:cs="Arial"/>
        </w:rPr>
        <w:t>, coll.</w:t>
      </w:r>
      <w:r w:rsidRPr="001C21A3">
        <w:rPr>
          <w:rFonts w:cs="Arial"/>
        </w:rPr>
        <w:t xml:space="preserve"> </w:t>
      </w:r>
      <w:r w:rsidR="001D022C" w:rsidRPr="001C21A3">
        <w:rPr>
          <w:rFonts w:cs="Arial"/>
        </w:rPr>
        <w:t>“Droit civil”, vol. “Droit international privé”, fasc.</w:t>
      </w:r>
      <w:r w:rsidRPr="001C21A3">
        <w:rPr>
          <w:rFonts w:cs="Arial"/>
        </w:rPr>
        <w:t xml:space="preserve"> </w:t>
      </w:r>
      <w:r w:rsidR="001D022C" w:rsidRPr="001C21A3">
        <w:rPr>
          <w:rFonts w:cs="Arial"/>
        </w:rPr>
        <w:t>10, Montreal, LexisNexis, 2012 (looseleaf, June 2025 update), para.</w:t>
      </w:r>
      <w:r w:rsidRPr="001C21A3">
        <w:rPr>
          <w:rFonts w:cs="Arial"/>
        </w:rPr>
        <w:t xml:space="preserve"> </w:t>
      </w:r>
      <w:r w:rsidR="001D022C" w:rsidRPr="00A338E4">
        <w:rPr>
          <w:rFonts w:cs="Arial"/>
        </w:rPr>
        <w:t>72 et seq.</w:t>
      </w:r>
    </w:p>
  </w:footnote>
  <w:footnote w:id="36">
    <w:p w14:paraId="5CC78992" w14:textId="49155134" w:rsidR="00D30BC2" w:rsidRPr="007C411F" w:rsidRDefault="00D30BC2" w:rsidP="00D30BC2">
      <w:pPr>
        <w:pStyle w:val="Notedebasdepage"/>
        <w:ind w:left="284" w:hanging="284"/>
        <w:rPr>
          <w:rFonts w:cs="Arial"/>
          <w:lang w:val="en-CA"/>
        </w:rPr>
      </w:pPr>
      <w:r w:rsidRPr="00641C40">
        <w:rPr>
          <w:rStyle w:val="Appelnotedebasdep"/>
          <w:rFonts w:cs="Arial"/>
          <w:lang w:val="en-CA"/>
        </w:rPr>
        <w:footnoteRef/>
      </w:r>
      <w:r w:rsidRPr="009E5423">
        <w:rPr>
          <w:rFonts w:cs="Arial"/>
        </w:rPr>
        <w:tab/>
      </w:r>
      <w:r w:rsidR="001D022C" w:rsidRPr="009E5423">
        <w:rPr>
          <w:rFonts w:cs="Arial"/>
        </w:rPr>
        <w:t xml:space="preserve">See </w:t>
      </w:r>
      <w:r w:rsidR="00A2336F" w:rsidRPr="009E5423">
        <w:rPr>
          <w:rFonts w:cs="Arial"/>
        </w:rPr>
        <w:t>e.g.</w:t>
      </w:r>
      <w:r w:rsidR="001D022C" w:rsidRPr="009E5423">
        <w:rPr>
          <w:rFonts w:cs="Arial"/>
        </w:rPr>
        <w:t>:</w:t>
      </w:r>
      <w:r w:rsidRPr="009E5423">
        <w:rPr>
          <w:rFonts w:cs="Arial"/>
        </w:rPr>
        <w:t xml:space="preserve"> </w:t>
      </w:r>
      <w:r w:rsidR="001D022C" w:rsidRPr="009E5423">
        <w:rPr>
          <w:i/>
          <w:iCs/>
        </w:rPr>
        <w:t>R.S. v. P.R.</w:t>
      </w:r>
      <w:r w:rsidR="001D022C" w:rsidRPr="009E5423">
        <w:rPr>
          <w:iCs/>
        </w:rPr>
        <w:t>, 2019 SCC 49, para.</w:t>
      </w:r>
      <w:r w:rsidRPr="009E5423">
        <w:rPr>
          <w:rFonts w:cs="Arial"/>
        </w:rPr>
        <w:t xml:space="preserve"> </w:t>
      </w:r>
      <w:r w:rsidRPr="009E5423">
        <w:rPr>
          <w:rFonts w:cs="Arial"/>
          <w:lang w:val="en-CA"/>
        </w:rPr>
        <w:t xml:space="preserve">52; </w:t>
      </w:r>
      <w:r w:rsidR="001D022C" w:rsidRPr="009E5423">
        <w:rPr>
          <w:rFonts w:cs="Arial"/>
          <w:i/>
          <w:iCs/>
          <w:lang w:val="en-CA"/>
        </w:rPr>
        <w:t>Eurobank Ergasias S.A. v. Bombardier inc.</w:t>
      </w:r>
      <w:r w:rsidR="001D022C" w:rsidRPr="009E5423">
        <w:rPr>
          <w:rFonts w:cs="Arial"/>
          <w:iCs/>
          <w:lang w:val="en-CA"/>
        </w:rPr>
        <w:t>, 2024 SCC 11, para</w:t>
      </w:r>
      <w:r w:rsidR="003D43D7" w:rsidRPr="009E5423">
        <w:rPr>
          <w:rFonts w:cs="Arial"/>
          <w:iCs/>
          <w:lang w:val="en-CA"/>
        </w:rPr>
        <w:t>s</w:t>
      </w:r>
      <w:r w:rsidR="001D022C" w:rsidRPr="009E5423">
        <w:rPr>
          <w:rFonts w:cs="Arial"/>
          <w:iCs/>
          <w:lang w:val="en-CA"/>
        </w:rPr>
        <w:t>.</w:t>
      </w:r>
      <w:r w:rsidRPr="009E5423">
        <w:rPr>
          <w:rFonts w:cs="Arial"/>
          <w:lang w:val="en-CA"/>
        </w:rPr>
        <w:t xml:space="preserve"> </w:t>
      </w:r>
      <w:r w:rsidRPr="007C411F">
        <w:rPr>
          <w:rFonts w:cs="Arial"/>
          <w:lang w:val="en-CA"/>
        </w:rPr>
        <w:t>102-103.</w:t>
      </w:r>
    </w:p>
  </w:footnote>
  <w:footnote w:id="37">
    <w:p w14:paraId="7B782377" w14:textId="2291BF1A" w:rsidR="001C21A3" w:rsidRPr="004F741E" w:rsidRDefault="001C21A3" w:rsidP="001C21A3">
      <w:pPr>
        <w:pStyle w:val="Notedebasdepage"/>
        <w:ind w:left="284" w:hanging="284"/>
        <w:rPr>
          <w:rFonts w:cs="Arial"/>
        </w:rPr>
      </w:pPr>
      <w:r w:rsidRPr="00641C40">
        <w:rPr>
          <w:rStyle w:val="Appelnotedebasdep"/>
          <w:rFonts w:cs="Arial"/>
          <w:lang w:val="en-CA"/>
        </w:rPr>
        <w:footnoteRef/>
      </w:r>
      <w:r w:rsidRPr="00A2336F">
        <w:rPr>
          <w:rFonts w:cs="Arial"/>
          <w:lang w:val="en-CA"/>
        </w:rPr>
        <w:tab/>
      </w:r>
      <w:r w:rsidR="00A2336F" w:rsidRPr="00641C40">
        <w:rPr>
          <w:rFonts w:cs="Arial"/>
          <w:lang w:val="en-CA"/>
        </w:rPr>
        <w:t xml:space="preserve">“In accordance with the aim of facilitating the free flow of international trade, art. 3155 </w:t>
      </w:r>
      <w:r w:rsidR="00A2336F" w:rsidRPr="00641C40">
        <w:rPr>
          <w:rFonts w:cs="Arial"/>
          <w:i/>
          <w:lang w:val="en-CA"/>
        </w:rPr>
        <w:t>C.C.Q.</w:t>
      </w:r>
      <w:r w:rsidR="00A2336F" w:rsidRPr="00641C40">
        <w:rPr>
          <w:rFonts w:cs="Arial"/>
          <w:lang w:val="en-CA"/>
        </w:rPr>
        <w:t xml:space="preserve"> establishes the principle that a decision rendered outside Quebec will generally be recognized and declared enforceable in the province” (</w:t>
      </w:r>
      <w:r w:rsidR="00A2336F" w:rsidRPr="00641C40">
        <w:rPr>
          <w:rFonts w:cs="Arial"/>
          <w:i/>
          <w:lang w:val="en-CA"/>
        </w:rPr>
        <w:t>Barer v. Knight Brothers LLC</w:t>
      </w:r>
      <w:r w:rsidR="00A2336F" w:rsidRPr="00641C40">
        <w:rPr>
          <w:rFonts w:cs="Arial"/>
          <w:lang w:val="en-CA"/>
        </w:rPr>
        <w:t xml:space="preserve">, 2019 SCC 13, para. 23). See also </w:t>
      </w:r>
      <w:r w:rsidR="00A2336F" w:rsidRPr="00641C40">
        <w:rPr>
          <w:rFonts w:cs="Arial"/>
          <w:i/>
          <w:lang w:val="en-CA"/>
        </w:rPr>
        <w:t>Canada Post Corp. v. Lépine</w:t>
      </w:r>
      <w:r w:rsidR="00A2336F" w:rsidRPr="00641C40">
        <w:rPr>
          <w:rFonts w:cs="Arial"/>
          <w:lang w:val="en-CA"/>
        </w:rPr>
        <w:t xml:space="preserve">, 2009 </w:t>
      </w:r>
      <w:r w:rsidR="00F02A70">
        <w:rPr>
          <w:rFonts w:cs="Arial"/>
          <w:lang w:val="en-CA"/>
        </w:rPr>
        <w:t>SCC</w:t>
      </w:r>
      <w:r w:rsidR="00A2336F" w:rsidRPr="00641C40">
        <w:rPr>
          <w:rFonts w:cs="Arial"/>
          <w:lang w:val="en-CA"/>
        </w:rPr>
        <w:t xml:space="preserve"> 16, para. 22; </w:t>
      </w:r>
      <w:r w:rsidR="00A2336F" w:rsidRPr="00641C40">
        <w:rPr>
          <w:rFonts w:cs="Arial"/>
          <w:i/>
          <w:iCs/>
          <w:lang w:val="en-CA"/>
        </w:rPr>
        <w:t>Mutual Trust Company c. St-Cyr</w:t>
      </w:r>
      <w:r w:rsidR="00A2336F" w:rsidRPr="00641C40">
        <w:rPr>
          <w:rFonts w:cs="Arial"/>
          <w:lang w:val="en-CA"/>
        </w:rPr>
        <w:t>, 1996 CanLII 6010 (C.A.), para</w:t>
      </w:r>
      <w:r w:rsidR="003D43D7">
        <w:rPr>
          <w:rFonts w:cs="Arial"/>
          <w:lang w:val="en-CA"/>
        </w:rPr>
        <w:t>s</w:t>
      </w:r>
      <w:r w:rsidR="00A2336F" w:rsidRPr="00641C40">
        <w:rPr>
          <w:rFonts w:cs="Arial"/>
          <w:lang w:val="en-CA"/>
        </w:rPr>
        <w:t xml:space="preserve">. </w:t>
      </w:r>
      <w:r w:rsidR="00A2336F" w:rsidRPr="001C21A3">
        <w:rPr>
          <w:rFonts w:cs="Arial"/>
        </w:rPr>
        <w:t>30-31.</w:t>
      </w:r>
    </w:p>
  </w:footnote>
  <w:footnote w:id="38">
    <w:p w14:paraId="709BA255" w14:textId="03057403" w:rsidR="001C21A3" w:rsidRPr="002E7957" w:rsidRDefault="001C21A3" w:rsidP="001C21A3">
      <w:pPr>
        <w:pStyle w:val="Notedebasdepage"/>
        <w:ind w:left="284" w:hanging="284"/>
        <w:rPr>
          <w:rFonts w:cs="Arial"/>
        </w:rPr>
      </w:pPr>
      <w:r w:rsidRPr="00641C40">
        <w:rPr>
          <w:rStyle w:val="Appelnotedebasdep"/>
          <w:rFonts w:cs="Arial"/>
          <w:lang w:val="en-CA"/>
        </w:rPr>
        <w:footnoteRef/>
      </w:r>
      <w:r w:rsidRPr="00A2336F">
        <w:rPr>
          <w:rFonts w:cs="Arial"/>
        </w:rPr>
        <w:tab/>
      </w:r>
      <w:r w:rsidR="00F02A70" w:rsidRPr="001C21A3">
        <w:rPr>
          <w:rFonts w:cs="Arial"/>
        </w:rPr>
        <w:t xml:space="preserve">Gérald Goldstein, “Principes généraux et conditions générales de reconnaissance et d’exécution”, in Pierre-Claude Lafond (ed.), </w:t>
      </w:r>
      <w:r w:rsidR="00F02A70" w:rsidRPr="001C21A3">
        <w:rPr>
          <w:rFonts w:cs="Arial"/>
          <w:i/>
        </w:rPr>
        <w:t>JurisClasseur Québec</w:t>
      </w:r>
      <w:r w:rsidR="00F02A70" w:rsidRPr="001C21A3">
        <w:rPr>
          <w:rFonts w:cs="Arial"/>
        </w:rPr>
        <w:t>, coll. “Droit civil”, vol. “Droit international privé”, fasc. 10, Montreal, LexisNexis, 2012 (looseleaf, June 2025 update</w:t>
      </w:r>
      <w:r w:rsidR="00F02A70">
        <w:rPr>
          <w:rFonts w:cs="Arial"/>
        </w:rPr>
        <w:t>,</w:t>
      </w:r>
      <w:r w:rsidR="00A2336F" w:rsidRPr="001C21A3">
        <w:rPr>
          <w:rFonts w:cs="Arial"/>
        </w:rPr>
        <w:t xml:space="preserve"> para. </w:t>
      </w:r>
      <w:r w:rsidR="00A2336F" w:rsidRPr="004F741E">
        <w:rPr>
          <w:rFonts w:cs="Arial"/>
        </w:rPr>
        <w:t xml:space="preserve">72); </w:t>
      </w:r>
      <w:r w:rsidR="00A2336F" w:rsidRPr="004F741E">
        <w:rPr>
          <w:rFonts w:cs="Arial"/>
          <w:i/>
          <w:iCs/>
        </w:rPr>
        <w:t>Directv Inc. v. Scullion</w:t>
      </w:r>
      <w:r w:rsidR="00A2336F" w:rsidRPr="004F741E">
        <w:rPr>
          <w:rFonts w:cs="Arial"/>
          <w:iCs/>
        </w:rPr>
        <w:t>, 2002 CanLII 27406 (Que. S. C.), para.</w:t>
      </w:r>
      <w:r w:rsidR="00A2336F" w:rsidRPr="004F741E">
        <w:rPr>
          <w:rFonts w:cs="Arial"/>
        </w:rPr>
        <w:t xml:space="preserve"> 24.</w:t>
      </w:r>
    </w:p>
  </w:footnote>
  <w:footnote w:id="39">
    <w:p w14:paraId="07B11D0A" w14:textId="01FC1B70" w:rsidR="006C494E" w:rsidRPr="002E7957" w:rsidRDefault="006C494E" w:rsidP="006C494E">
      <w:pPr>
        <w:pStyle w:val="Notedebasdepage"/>
        <w:ind w:left="284" w:hanging="284"/>
        <w:rPr>
          <w:rFonts w:cs="Arial"/>
        </w:rPr>
      </w:pPr>
      <w:r w:rsidRPr="002E7957">
        <w:rPr>
          <w:rStyle w:val="Appelnotedebasdep"/>
          <w:rFonts w:cs="Arial"/>
        </w:rPr>
        <w:footnoteRef/>
      </w:r>
      <w:r w:rsidRPr="002E7957">
        <w:rPr>
          <w:rFonts w:cs="Arial"/>
        </w:rPr>
        <w:tab/>
      </w:r>
      <w:r w:rsidR="001D022C" w:rsidRPr="00641C40">
        <w:rPr>
          <w:rFonts w:cs="Arial"/>
        </w:rPr>
        <w:t xml:space="preserve">Patrick Ferland and Guillaume Laganière, “Le droit international privé” in École du Barreau (ed.), </w:t>
      </w:r>
      <w:r w:rsidR="001D022C" w:rsidRPr="00641C40">
        <w:rPr>
          <w:rFonts w:cs="Arial"/>
          <w:i/>
        </w:rPr>
        <w:t>Collection de droit 2024-2025</w:t>
      </w:r>
      <w:r w:rsidR="001D022C" w:rsidRPr="00641C40">
        <w:rPr>
          <w:rFonts w:cs="Arial"/>
        </w:rPr>
        <w:t>, vol. 7</w:t>
      </w:r>
      <w:r w:rsidR="00F02A70">
        <w:rPr>
          <w:rFonts w:cs="Arial"/>
        </w:rPr>
        <w:t>,</w:t>
      </w:r>
      <w:r w:rsidR="001D022C" w:rsidRPr="00641C40">
        <w:rPr>
          <w:rFonts w:cs="Arial"/>
        </w:rPr>
        <w:t xml:space="preserve"> “Contrats, sûretés, publicité des droits et droit international privé”, Montreal, CAIJ, 2024, p. 328 (note 525).</w:t>
      </w:r>
    </w:p>
  </w:footnote>
  <w:footnote w:id="40">
    <w:p w14:paraId="25D989F3" w14:textId="42E523B1" w:rsidR="006C494E" w:rsidRPr="002E7957" w:rsidRDefault="006C494E" w:rsidP="006C494E">
      <w:pPr>
        <w:pStyle w:val="Notedebasdepage"/>
        <w:ind w:left="284" w:hanging="284"/>
        <w:rPr>
          <w:rFonts w:cs="Arial"/>
        </w:rPr>
      </w:pPr>
      <w:r w:rsidRPr="002E7957">
        <w:rPr>
          <w:rStyle w:val="Appelnotedebasdep"/>
          <w:rFonts w:cs="Arial"/>
        </w:rPr>
        <w:footnoteRef/>
      </w:r>
      <w:r w:rsidRPr="002E7957">
        <w:rPr>
          <w:rFonts w:cs="Arial"/>
        </w:rPr>
        <w:tab/>
      </w:r>
      <w:r w:rsidR="00F7575E">
        <w:t>Judgment</w:t>
      </w:r>
      <w:r w:rsidRPr="00641C40">
        <w:rPr>
          <w:rFonts w:cs="Arial"/>
        </w:rPr>
        <w:t xml:space="preserve"> </w:t>
      </w:r>
      <w:r w:rsidR="009C011A" w:rsidRPr="009C011A">
        <w:rPr>
          <w:rFonts w:cs="Arial"/>
          <w:iCs/>
        </w:rPr>
        <w:t>under appeal</w:t>
      </w:r>
      <w:r w:rsidRPr="00641C40">
        <w:rPr>
          <w:rFonts w:cs="Arial"/>
        </w:rPr>
        <w:t>, para.</w:t>
      </w:r>
      <w:r w:rsidRPr="002E7957">
        <w:rPr>
          <w:rFonts w:cs="Arial"/>
        </w:rPr>
        <w:t xml:space="preserve"> 30.</w:t>
      </w:r>
    </w:p>
  </w:footnote>
  <w:footnote w:id="41">
    <w:p w14:paraId="1A30F58C" w14:textId="39013202" w:rsidR="005206EF" w:rsidRPr="009E5423" w:rsidRDefault="005206EF" w:rsidP="005206EF">
      <w:pPr>
        <w:pStyle w:val="Notedebasdepage"/>
        <w:ind w:left="284" w:hanging="284"/>
      </w:pPr>
      <w:r w:rsidRPr="00641C40">
        <w:rPr>
          <w:rStyle w:val="Appelnotedebasdep"/>
          <w:lang w:val="en-CA"/>
        </w:rPr>
        <w:footnoteRef/>
      </w:r>
      <w:r w:rsidRPr="001C21A3">
        <w:rPr>
          <w:rFonts w:cs="Arial"/>
        </w:rPr>
        <w:tab/>
      </w:r>
      <w:r w:rsidR="001D022C" w:rsidRPr="009E5423">
        <w:rPr>
          <w:rFonts w:cs="Arial"/>
        </w:rPr>
        <w:t>H.</w:t>
      </w:r>
      <w:r w:rsidRPr="009E5423">
        <w:rPr>
          <w:rFonts w:cs="Arial"/>
        </w:rPr>
        <w:t xml:space="preserve"> </w:t>
      </w:r>
      <w:r w:rsidR="001D022C" w:rsidRPr="009E5423">
        <w:rPr>
          <w:rFonts w:cs="Arial"/>
        </w:rPr>
        <w:t xml:space="preserve">Patrick Glenn, “Droit international privé”, in Barreau du Québec et Chambre des notaires du Québec, </w:t>
      </w:r>
      <w:r w:rsidR="001D022C" w:rsidRPr="009E5423">
        <w:rPr>
          <w:rFonts w:cs="Arial"/>
          <w:i/>
        </w:rPr>
        <w:t>La réforme du Code civil</w:t>
      </w:r>
      <w:r w:rsidR="001D022C" w:rsidRPr="009E5423">
        <w:rPr>
          <w:rFonts w:cs="Arial"/>
        </w:rPr>
        <w:t>, vol. 3 “Priorités et hypothèques, preuve et prescription, publicité des droits, droit international privé, dispositions transitoires”, Sainte-Foy, Presses de l’Université Laval, 1993, 671, p. 682 (</w:t>
      </w:r>
      <w:r w:rsidR="004F741E" w:rsidRPr="009E5423">
        <w:rPr>
          <w:rFonts w:cs="Arial"/>
        </w:rPr>
        <w:t>No.</w:t>
      </w:r>
      <w:r w:rsidR="001D022C" w:rsidRPr="009E5423">
        <w:rPr>
          <w:rFonts w:cs="Arial"/>
        </w:rPr>
        <w:t>10) ([</w:t>
      </w:r>
      <w:r w:rsidR="001D022C" w:rsidRPr="009E5423">
        <w:rPr>
          <w:rFonts w:cs="Arial"/>
          <w:smallCaps/>
        </w:rPr>
        <w:t>translation</w:t>
      </w:r>
      <w:r w:rsidR="001D022C" w:rsidRPr="009E5423">
        <w:rPr>
          <w:rFonts w:cs="Arial"/>
        </w:rPr>
        <w:t>]</w:t>
      </w:r>
      <w:r w:rsidR="006B208C" w:rsidRPr="009E5423">
        <w:rPr>
          <w:rFonts w:cs="Arial"/>
        </w:rPr>
        <w:t xml:space="preserve"> </w:t>
      </w:r>
      <w:r w:rsidR="001D022C" w:rsidRPr="009E5423">
        <w:rPr>
          <w:rFonts w:cs="Arial"/>
        </w:rPr>
        <w:t>“</w:t>
      </w:r>
      <w:r w:rsidR="00056D6B" w:rsidRPr="009E5423">
        <w:rPr>
          <w:rFonts w:cs="Arial"/>
        </w:rPr>
        <w:t>[</w:t>
      </w:r>
      <w:r w:rsidR="001D022C" w:rsidRPr="009E5423">
        <w:rPr>
          <w:rFonts w:cs="Arial"/>
        </w:rPr>
        <w:t>t</w:t>
      </w:r>
      <w:r w:rsidR="00056D6B" w:rsidRPr="009E5423">
        <w:rPr>
          <w:rFonts w:cs="Arial"/>
        </w:rPr>
        <w:t>]</w:t>
      </w:r>
      <w:r w:rsidR="001D022C" w:rsidRPr="009E5423">
        <w:rPr>
          <w:rFonts w:cs="Arial"/>
        </w:rPr>
        <w:t xml:space="preserve">he definition of public order as understood in international relations can be found in the fundamental legal principles of </w:t>
      </w:r>
      <w:r w:rsidR="001D022C" w:rsidRPr="009E5423">
        <w:rPr>
          <w:rFonts w:cs="Arial"/>
          <w:u w:val="single"/>
        </w:rPr>
        <w:t>the law of the forum</w:t>
      </w:r>
      <w:r w:rsidR="001D022C" w:rsidRPr="009E5423">
        <w:rPr>
          <w:rFonts w:cs="Arial"/>
        </w:rPr>
        <w:t xml:space="preserve">, in particular the </w:t>
      </w:r>
      <w:r w:rsidR="001D022C" w:rsidRPr="009E5423">
        <w:rPr>
          <w:rFonts w:cs="Arial"/>
          <w:u w:val="single"/>
        </w:rPr>
        <w:t xml:space="preserve">principles enshrined in the Quebec and Canadian </w:t>
      </w:r>
      <w:r w:rsidR="001D022C" w:rsidRPr="009E5423">
        <w:rPr>
          <w:rFonts w:cs="Arial"/>
          <w:i/>
          <w:u w:val="single"/>
        </w:rPr>
        <w:t>Charters</w:t>
      </w:r>
      <w:r w:rsidR="001D022C" w:rsidRPr="009E5423">
        <w:rPr>
          <w:rFonts w:cs="Arial"/>
        </w:rPr>
        <w:t xml:space="preserve"> of human rights and freedoms” [Emphasis added.]);</w:t>
      </w:r>
      <w:r w:rsidRPr="009E5423">
        <w:rPr>
          <w:rFonts w:cs="Arial"/>
        </w:rPr>
        <w:t xml:space="preserve"> </w:t>
      </w:r>
      <w:r w:rsidR="001D022C" w:rsidRPr="009E5423">
        <w:rPr>
          <w:rFonts w:cs="Arial"/>
        </w:rPr>
        <w:t xml:space="preserve">Jeffrey A. Talpis and Jean-Gabriel Castel, “Le Code civil du Québec–Interprétation des règles du droit international privé”, in </w:t>
      </w:r>
      <w:r w:rsidR="001D022C" w:rsidRPr="009E5423">
        <w:rPr>
          <w:rFonts w:cs="Arial"/>
          <w:i/>
        </w:rPr>
        <w:t xml:space="preserve">La réforme du Code civil, </w:t>
      </w:r>
      <w:r w:rsidR="001D022C" w:rsidRPr="009E5423">
        <w:rPr>
          <w:rFonts w:cs="Arial"/>
        </w:rPr>
        <w:t>vol. 3</w:t>
      </w:r>
      <w:r w:rsidR="006B208C" w:rsidRPr="009E5423">
        <w:rPr>
          <w:rFonts w:cs="Arial"/>
        </w:rPr>
        <w:t>,</w:t>
      </w:r>
      <w:r w:rsidR="001D022C" w:rsidRPr="009E5423">
        <w:rPr>
          <w:rFonts w:cs="Arial"/>
          <w:i/>
        </w:rPr>
        <w:t xml:space="preserve"> </w:t>
      </w:r>
      <w:r w:rsidR="001D022C" w:rsidRPr="009E5423">
        <w:rPr>
          <w:rFonts w:cs="Arial"/>
        </w:rPr>
        <w:t>“Priorités et hypothèques, preuve et prescription, publicité des droits, droit international privé, dispositions transitoires”, Québec, Presses de l’Université Laval, 801, p.</w:t>
      </w:r>
      <w:r w:rsidR="00E448F0" w:rsidRPr="009E5423">
        <w:rPr>
          <w:rFonts w:cs="Arial"/>
        </w:rPr>
        <w:t> </w:t>
      </w:r>
      <w:r w:rsidR="001D022C" w:rsidRPr="009E5423">
        <w:rPr>
          <w:rFonts w:cs="Arial"/>
        </w:rPr>
        <w:t>824, where the authors state that it is indeed the [</w:t>
      </w:r>
      <w:r w:rsidR="001D022C" w:rsidRPr="009E5423">
        <w:rPr>
          <w:rFonts w:cs="Arial"/>
          <w:smallCaps/>
        </w:rPr>
        <w:t>translation</w:t>
      </w:r>
      <w:r w:rsidR="001D022C" w:rsidRPr="009E5423">
        <w:rPr>
          <w:rFonts w:cs="Arial"/>
        </w:rPr>
        <w:t>] “</w:t>
      </w:r>
      <w:r w:rsidR="001D022C" w:rsidRPr="009E5423">
        <w:rPr>
          <w:rFonts w:cs="Arial"/>
          <w:u w:val="single"/>
        </w:rPr>
        <w:t>Quebec</w:t>
      </w:r>
      <w:r w:rsidR="001D022C" w:rsidRPr="009E5423">
        <w:rPr>
          <w:rFonts w:cs="Arial"/>
        </w:rPr>
        <w:t xml:space="preserve"> international public order” [Emphasis added.];</w:t>
      </w:r>
      <w:r w:rsidRPr="009E5423">
        <w:rPr>
          <w:rFonts w:cs="Arial"/>
        </w:rPr>
        <w:t xml:space="preserve"> </w:t>
      </w:r>
      <w:r w:rsidR="001D022C" w:rsidRPr="009E5423">
        <w:rPr>
          <w:rFonts w:cs="Arial"/>
        </w:rPr>
        <w:t xml:space="preserve">Sylvette Guillemard and Van Anh Ly, </w:t>
      </w:r>
      <w:r w:rsidR="001D022C" w:rsidRPr="009E5423">
        <w:rPr>
          <w:rFonts w:cs="Arial"/>
          <w:i/>
        </w:rPr>
        <w:t>Éléments de droit international privé québécois</w:t>
      </w:r>
      <w:r w:rsidR="001D022C" w:rsidRPr="009E5423">
        <w:rPr>
          <w:rFonts w:cs="Arial"/>
        </w:rPr>
        <w:t>, Montréal, Yvon Blais, 2019, p. 62, where the authors state that the public order exception [</w:t>
      </w:r>
      <w:r w:rsidR="001D022C" w:rsidRPr="009E5423">
        <w:rPr>
          <w:rFonts w:cs="Arial"/>
          <w:smallCaps/>
        </w:rPr>
        <w:t>translation</w:t>
      </w:r>
      <w:r w:rsidR="001D022C" w:rsidRPr="009E5423">
        <w:rPr>
          <w:rFonts w:cs="Arial"/>
        </w:rPr>
        <w:t xml:space="preserve">] “does not require that all mandatory domestic rules be followed, just the fundamental principles </w:t>
      </w:r>
      <w:r w:rsidR="001D022C" w:rsidRPr="009E5423">
        <w:rPr>
          <w:rFonts w:cs="Arial"/>
          <w:u w:val="single"/>
        </w:rPr>
        <w:t>that Quebec society</w:t>
      </w:r>
      <w:r w:rsidR="001D022C" w:rsidRPr="009E5423">
        <w:rPr>
          <w:rFonts w:cs="Arial"/>
        </w:rPr>
        <w:t xml:space="preserve"> requires be respected, including in international and transnational relations” [Emphasis added.].</w:t>
      </w:r>
      <w:r w:rsidRPr="009E5423">
        <w:t xml:space="preserve"> </w:t>
      </w:r>
      <w:r w:rsidR="001D022C" w:rsidRPr="009E5423">
        <w:t xml:space="preserve">See also Office de révision du Code civil, </w:t>
      </w:r>
      <w:r w:rsidR="001D022C" w:rsidRPr="009E5423">
        <w:rPr>
          <w:i/>
        </w:rPr>
        <w:t>Rapport sur le Code civil du Québec</w:t>
      </w:r>
      <w:r w:rsidR="001D022C" w:rsidRPr="009E5423">
        <w:t>, vol. 2, t. 2 (books 5 to 9), Québec, Éditeur officiel du Québec, 1977, p. 987 and 1009.</w:t>
      </w:r>
    </w:p>
  </w:footnote>
  <w:footnote w:id="42">
    <w:p w14:paraId="0FB81D46" w14:textId="718107DB" w:rsidR="005206EF" w:rsidRPr="009E5423" w:rsidRDefault="005206EF" w:rsidP="005206EF">
      <w:pPr>
        <w:pStyle w:val="Notedebasdepage"/>
        <w:ind w:left="284" w:hanging="284"/>
      </w:pPr>
      <w:r w:rsidRPr="00AA6367">
        <w:rPr>
          <w:rStyle w:val="Appelnotedebasdep"/>
          <w:lang w:val="en-CA"/>
        </w:rPr>
        <w:footnoteRef/>
      </w:r>
      <w:r w:rsidRPr="009E5423">
        <w:rPr>
          <w:lang w:val="es-CL"/>
        </w:rPr>
        <w:tab/>
      </w:r>
      <w:r w:rsidR="001D022C" w:rsidRPr="009E5423">
        <w:rPr>
          <w:i/>
          <w:iCs/>
          <w:lang w:val="es-CL"/>
        </w:rPr>
        <w:t>R.S. v. P.R.</w:t>
      </w:r>
      <w:r w:rsidR="001D022C" w:rsidRPr="009E5423">
        <w:rPr>
          <w:iCs/>
          <w:lang w:val="es-CL"/>
        </w:rPr>
        <w:t>, 2019 SCC 49, para.</w:t>
      </w:r>
      <w:r w:rsidRPr="009E5423">
        <w:rPr>
          <w:rFonts w:cs="Arial"/>
          <w:lang w:val="es-CL"/>
        </w:rPr>
        <w:t xml:space="preserve"> </w:t>
      </w:r>
      <w:r w:rsidR="001D022C" w:rsidRPr="009E5423">
        <w:rPr>
          <w:rFonts w:cs="Arial"/>
        </w:rPr>
        <w:t>53 [Emphasis added.].</w:t>
      </w:r>
    </w:p>
  </w:footnote>
  <w:footnote w:id="43">
    <w:p w14:paraId="07877C13" w14:textId="6EDB423C" w:rsidR="005206EF" w:rsidRPr="001C21A3" w:rsidRDefault="005206EF" w:rsidP="005206EF">
      <w:pPr>
        <w:pStyle w:val="Notedebasdepage"/>
        <w:ind w:left="284" w:hanging="284"/>
        <w:rPr>
          <w:rFonts w:cs="Arial"/>
        </w:rPr>
      </w:pPr>
      <w:r w:rsidRPr="00AA6367">
        <w:rPr>
          <w:rStyle w:val="Appelnotedebasdep"/>
          <w:rFonts w:cs="Arial"/>
          <w:lang w:val="en-CA"/>
        </w:rPr>
        <w:footnoteRef/>
      </w:r>
      <w:r w:rsidRPr="009E5423">
        <w:rPr>
          <w:rFonts w:cs="Arial"/>
        </w:rPr>
        <w:tab/>
      </w:r>
      <w:r w:rsidR="001D022C" w:rsidRPr="009E5423">
        <w:rPr>
          <w:rFonts w:cs="Arial"/>
        </w:rPr>
        <w:t xml:space="preserve">Ministère de la Justice, </w:t>
      </w:r>
      <w:r w:rsidR="001D022C" w:rsidRPr="009E5423">
        <w:rPr>
          <w:rFonts w:cs="Arial"/>
          <w:i/>
        </w:rPr>
        <w:t>Commentaires du ministre de la Justice:</w:t>
      </w:r>
      <w:r w:rsidRPr="009E5423">
        <w:rPr>
          <w:rFonts w:cs="Arial"/>
          <w:i/>
          <w:iCs/>
        </w:rPr>
        <w:t xml:space="preserve"> Le Code civil du Québec</w:t>
      </w:r>
      <w:r w:rsidRPr="009E5423">
        <w:rPr>
          <w:rFonts w:cs="Arial"/>
        </w:rPr>
        <w:t>, t. 2, Québec, Publications du Québec, 1993, p. 2015.</w:t>
      </w:r>
    </w:p>
  </w:footnote>
  <w:footnote w:id="44">
    <w:p w14:paraId="29935DB3" w14:textId="2A8EAC32" w:rsidR="005206EF" w:rsidRPr="00641C40" w:rsidRDefault="005206EF" w:rsidP="005206EF">
      <w:pPr>
        <w:pStyle w:val="Notedebasdepage"/>
        <w:ind w:left="284" w:hanging="284"/>
        <w:jc w:val="left"/>
        <w:rPr>
          <w:rFonts w:cs="Arial"/>
          <w:lang w:val="en-CA"/>
        </w:rPr>
      </w:pPr>
      <w:r w:rsidRPr="00641C40">
        <w:rPr>
          <w:rStyle w:val="Appelnotedebasdep"/>
          <w:rFonts w:cs="Arial"/>
          <w:lang w:val="en-CA"/>
        </w:rPr>
        <w:footnoteRef/>
      </w:r>
      <w:r w:rsidRPr="00641C40">
        <w:rPr>
          <w:rFonts w:cs="Arial"/>
          <w:lang w:val="en-CA"/>
        </w:rPr>
        <w:tab/>
      </w:r>
      <w:r w:rsidR="001D022C" w:rsidRPr="00641C40">
        <w:rPr>
          <w:rFonts w:cs="Arial"/>
          <w:lang w:val="en-CA"/>
        </w:rPr>
        <w:t xml:space="preserve">August </w:t>
      </w:r>
      <w:r w:rsidR="007E3B96">
        <w:rPr>
          <w:rFonts w:cs="Arial"/>
          <w:lang w:val="en-CA"/>
        </w:rPr>
        <w:t xml:space="preserve">20, </w:t>
      </w:r>
      <w:r w:rsidR="001D022C" w:rsidRPr="00641C40">
        <w:rPr>
          <w:rFonts w:cs="Arial"/>
          <w:lang w:val="en-CA"/>
        </w:rPr>
        <w:t xml:space="preserve">1979, 1144 </w:t>
      </w:r>
      <w:r w:rsidR="007E3B96">
        <w:rPr>
          <w:rFonts w:cs="Arial"/>
          <w:lang w:val="en-CA"/>
        </w:rPr>
        <w:t>U.N.T.S.</w:t>
      </w:r>
      <w:r w:rsidRPr="00641C40">
        <w:rPr>
          <w:rFonts w:cs="Arial"/>
          <w:lang w:val="en-CA"/>
        </w:rPr>
        <w:t> </w:t>
      </w:r>
      <w:r w:rsidR="001D022C" w:rsidRPr="00641C40">
        <w:rPr>
          <w:rFonts w:cs="Arial"/>
          <w:lang w:val="en-CA"/>
        </w:rPr>
        <w:t xml:space="preserve">1979, which came into force </w:t>
      </w:r>
      <w:r w:rsidR="007E3B96">
        <w:rPr>
          <w:rFonts w:cs="Arial"/>
          <w:lang w:val="en-CA"/>
        </w:rPr>
        <w:t>on</w:t>
      </w:r>
      <w:r w:rsidR="001D022C" w:rsidRPr="00641C40">
        <w:rPr>
          <w:rFonts w:cs="Arial"/>
          <w:lang w:val="en-CA"/>
        </w:rPr>
        <w:t xml:space="preserve"> February </w:t>
      </w:r>
      <w:r w:rsidR="007E3B96">
        <w:rPr>
          <w:rFonts w:cs="Arial"/>
          <w:lang w:val="en-CA"/>
        </w:rPr>
        <w:t xml:space="preserve">1, </w:t>
      </w:r>
      <w:r w:rsidR="001D022C" w:rsidRPr="00641C40">
        <w:rPr>
          <w:rFonts w:cs="Arial"/>
          <w:lang w:val="en-CA"/>
        </w:rPr>
        <w:t>1971.</w:t>
      </w:r>
      <w:r w:rsidRPr="00641C40">
        <w:rPr>
          <w:rFonts w:cs="Arial"/>
          <w:lang w:val="en-CA"/>
        </w:rPr>
        <w:t xml:space="preserve"> </w:t>
      </w:r>
      <w:r w:rsidR="001D022C" w:rsidRPr="00641C40">
        <w:rPr>
          <w:rFonts w:cs="Arial"/>
          <w:lang w:val="en-CA"/>
        </w:rPr>
        <w:t>See https://www.hcch.net/en/instruments/conventions/full-text/?cid=78.</w:t>
      </w:r>
    </w:p>
  </w:footnote>
  <w:footnote w:id="45">
    <w:p w14:paraId="2E22A707" w14:textId="4C5D0F7A" w:rsidR="005206EF" w:rsidRPr="00641C40" w:rsidRDefault="005206EF" w:rsidP="005206EF">
      <w:pPr>
        <w:pStyle w:val="Notedebasdepage"/>
        <w:ind w:left="284" w:hanging="284"/>
        <w:rPr>
          <w:rFonts w:cs="Arial"/>
          <w:lang w:val="en-CA"/>
        </w:rPr>
      </w:pPr>
      <w:r w:rsidRPr="00641C40">
        <w:rPr>
          <w:rStyle w:val="Appelnotedebasdep"/>
          <w:rFonts w:cs="Arial"/>
          <w:lang w:val="en-CA"/>
        </w:rPr>
        <w:footnoteRef/>
      </w:r>
      <w:r w:rsidRPr="00641C40">
        <w:rPr>
          <w:rFonts w:cs="Arial"/>
          <w:lang w:val="en-CA"/>
        </w:rPr>
        <w:tab/>
      </w:r>
      <w:r w:rsidR="001D022C" w:rsidRPr="00641C40">
        <w:rPr>
          <w:rFonts w:cs="Arial"/>
          <w:i/>
          <w:iCs/>
          <w:lang w:val="en-CA"/>
        </w:rPr>
        <w:t>Id</w:t>
      </w:r>
      <w:r w:rsidR="001D022C" w:rsidRPr="00641C40">
        <w:rPr>
          <w:rFonts w:cs="Arial"/>
          <w:iCs/>
          <w:lang w:val="en-CA"/>
        </w:rPr>
        <w:t>., paragraph 5(1) [</w:t>
      </w:r>
      <w:r w:rsidR="008E3D1C">
        <w:rPr>
          <w:lang w:val="en-CA"/>
        </w:rPr>
        <w:t>Emphasis</w:t>
      </w:r>
      <w:r w:rsidR="001D022C" w:rsidRPr="00641C40">
        <w:rPr>
          <w:rFonts w:cs="Arial"/>
          <w:iCs/>
          <w:lang w:val="en-CA"/>
        </w:rPr>
        <w:t xml:space="preserve"> added].</w:t>
      </w:r>
    </w:p>
  </w:footnote>
  <w:footnote w:id="46">
    <w:p w14:paraId="2F6842A6" w14:textId="3D8FA308" w:rsidR="005206EF" w:rsidRPr="00641C40" w:rsidRDefault="005206EF" w:rsidP="005206EF">
      <w:pPr>
        <w:pStyle w:val="Notedebasdepage"/>
        <w:ind w:left="284" w:hanging="284"/>
        <w:rPr>
          <w:rFonts w:cs="Arial"/>
          <w:lang w:val="en-CA"/>
        </w:rPr>
      </w:pPr>
      <w:r w:rsidRPr="00641C40">
        <w:rPr>
          <w:rStyle w:val="Appelnotedebasdep"/>
          <w:rFonts w:cs="Arial"/>
          <w:lang w:val="en-CA"/>
        </w:rPr>
        <w:footnoteRef/>
      </w:r>
      <w:r w:rsidRPr="00641C40">
        <w:rPr>
          <w:rFonts w:cs="Arial"/>
          <w:lang w:val="en-CA"/>
        </w:rPr>
        <w:tab/>
      </w:r>
      <w:r w:rsidR="001D022C" w:rsidRPr="00641C40">
        <w:rPr>
          <w:rFonts w:cs="Arial"/>
          <w:lang w:val="en-CA"/>
        </w:rPr>
        <w:t>December 18, 1987.</w:t>
      </w:r>
      <w:r w:rsidRPr="00641C40">
        <w:rPr>
          <w:rFonts w:cs="Arial"/>
          <w:lang w:val="en-CA"/>
        </w:rPr>
        <w:t xml:space="preserve"> </w:t>
      </w:r>
      <w:r w:rsidR="001D022C" w:rsidRPr="00641C40">
        <w:rPr>
          <w:rFonts w:cs="Arial"/>
          <w:lang w:val="en-CA"/>
        </w:rPr>
        <w:t>See https: //www.fedlex.admin.ch/eli/cc/1988/1776_1776_1776/en.</w:t>
      </w:r>
    </w:p>
  </w:footnote>
  <w:footnote w:id="47">
    <w:p w14:paraId="215B7F45" w14:textId="29279CA7" w:rsidR="005206EF" w:rsidRPr="001C21A3" w:rsidRDefault="005206EF" w:rsidP="005206EF">
      <w:pPr>
        <w:pStyle w:val="Notedebasdepage"/>
        <w:ind w:left="284" w:hanging="284"/>
        <w:rPr>
          <w:rFonts w:cs="Arial"/>
          <w:lang w:val="en-CA"/>
        </w:rPr>
      </w:pPr>
      <w:r w:rsidRPr="00641C40">
        <w:rPr>
          <w:rStyle w:val="Appelnotedebasdep"/>
          <w:rFonts w:cs="Arial"/>
          <w:lang w:val="en-CA"/>
        </w:rPr>
        <w:footnoteRef/>
      </w:r>
      <w:r w:rsidRPr="00641C40">
        <w:rPr>
          <w:lang w:val="en-CA"/>
        </w:rPr>
        <w:tab/>
      </w:r>
      <w:r w:rsidR="001D022C" w:rsidRPr="00641C40">
        <w:rPr>
          <w:lang w:val="en-CA"/>
        </w:rPr>
        <w:t xml:space="preserve">Para. 1 of </w:t>
      </w:r>
      <w:r w:rsidR="00772976">
        <w:rPr>
          <w:lang w:val="en-CA"/>
        </w:rPr>
        <w:t>art.</w:t>
      </w:r>
      <w:r w:rsidRPr="00641C40">
        <w:rPr>
          <w:lang w:val="en-CA"/>
        </w:rPr>
        <w:t xml:space="preserve"> 27 [</w:t>
      </w:r>
      <w:r w:rsidR="008E3D1C">
        <w:rPr>
          <w:lang w:val="en-CA"/>
        </w:rPr>
        <w:t>Emphasis</w:t>
      </w:r>
      <w:r w:rsidR="008E3D1C" w:rsidRPr="00641C40" w:rsidDel="008E3D1C">
        <w:rPr>
          <w:lang w:val="en-CA"/>
        </w:rPr>
        <w:t xml:space="preserve"> </w:t>
      </w:r>
      <w:r w:rsidR="001D022C" w:rsidRPr="00641C40">
        <w:rPr>
          <w:lang w:val="en-CA"/>
        </w:rPr>
        <w:t>added</w:t>
      </w:r>
      <w:r w:rsidRPr="00641C40">
        <w:rPr>
          <w:lang w:val="en-CA"/>
        </w:rPr>
        <w:t>].</w:t>
      </w:r>
    </w:p>
  </w:footnote>
  <w:footnote w:id="48">
    <w:p w14:paraId="57DCE97F" w14:textId="6FB18AA2" w:rsidR="005206EF" w:rsidRPr="00641C40" w:rsidRDefault="005206EF" w:rsidP="005206EF">
      <w:pPr>
        <w:pStyle w:val="Notedebasdepage"/>
        <w:ind w:left="284" w:hanging="284"/>
        <w:rPr>
          <w:lang w:val="en-CA"/>
        </w:rPr>
      </w:pPr>
      <w:r w:rsidRPr="00641C40">
        <w:rPr>
          <w:rStyle w:val="Appelnotedebasdep"/>
          <w:lang w:val="en-CA"/>
        </w:rPr>
        <w:footnoteRef/>
      </w:r>
      <w:r w:rsidRPr="00641C40">
        <w:rPr>
          <w:lang w:val="en-CA"/>
        </w:rPr>
        <w:tab/>
      </w:r>
      <w:r w:rsidRPr="00641C40">
        <w:rPr>
          <w:i/>
          <w:iCs/>
          <w:lang w:val="en-CA"/>
        </w:rPr>
        <w:t xml:space="preserve">Beals </w:t>
      </w:r>
      <w:r w:rsidR="001D022C" w:rsidRPr="00641C40">
        <w:rPr>
          <w:i/>
          <w:iCs/>
          <w:lang w:val="en-CA"/>
        </w:rPr>
        <w:t>v</w:t>
      </w:r>
      <w:r w:rsidRPr="00641C40">
        <w:rPr>
          <w:i/>
          <w:iCs/>
          <w:lang w:val="en-CA"/>
        </w:rPr>
        <w:t>. Saldanha</w:t>
      </w:r>
      <w:r w:rsidRPr="00641C40">
        <w:rPr>
          <w:lang w:val="en-CA"/>
        </w:rPr>
        <w:t xml:space="preserve">, 2003 </w:t>
      </w:r>
      <w:r w:rsidR="001D022C" w:rsidRPr="00641C40">
        <w:rPr>
          <w:lang w:val="en-CA"/>
        </w:rPr>
        <w:t>SCC</w:t>
      </w:r>
      <w:r w:rsidRPr="00641C40">
        <w:rPr>
          <w:lang w:val="en-CA"/>
        </w:rPr>
        <w:t xml:space="preserve"> 72, para. 72 [</w:t>
      </w:r>
      <w:r w:rsidR="008E3D1C">
        <w:rPr>
          <w:lang w:val="en-CA"/>
        </w:rPr>
        <w:t>Emphasis</w:t>
      </w:r>
      <w:r w:rsidR="008E3D1C" w:rsidRPr="00641C40">
        <w:rPr>
          <w:lang w:val="en-CA"/>
        </w:rPr>
        <w:t xml:space="preserve"> </w:t>
      </w:r>
      <w:r w:rsidR="001D022C" w:rsidRPr="00641C40">
        <w:rPr>
          <w:lang w:val="en-CA"/>
        </w:rPr>
        <w:t>added</w:t>
      </w:r>
      <w:r w:rsidRPr="00641C40">
        <w:rPr>
          <w:lang w:val="en-CA"/>
        </w:rPr>
        <w:t>].</w:t>
      </w:r>
    </w:p>
  </w:footnote>
  <w:footnote w:id="49">
    <w:p w14:paraId="3179D557" w14:textId="043DD8B1" w:rsidR="005206EF" w:rsidRPr="00641C40" w:rsidRDefault="005206EF" w:rsidP="005206EF">
      <w:pPr>
        <w:pStyle w:val="Notedebasdepage"/>
        <w:ind w:left="284" w:hanging="284"/>
        <w:rPr>
          <w:lang w:val="en-CA"/>
        </w:rPr>
      </w:pPr>
      <w:r w:rsidRPr="00641C40">
        <w:rPr>
          <w:rStyle w:val="Appelnotedebasdep"/>
          <w:lang w:val="en-CA"/>
        </w:rPr>
        <w:footnoteRef/>
      </w:r>
      <w:r w:rsidRPr="00641C40">
        <w:rPr>
          <w:lang w:val="en-CA"/>
        </w:rPr>
        <w:tab/>
      </w:r>
      <w:r w:rsidR="001D022C" w:rsidRPr="00641C40">
        <w:rPr>
          <w:lang w:val="en-CA"/>
        </w:rPr>
        <w:t xml:space="preserve">July 2, </w:t>
      </w:r>
      <w:r w:rsidRPr="00641C40">
        <w:rPr>
          <w:lang w:val="en-CA"/>
        </w:rPr>
        <w:t xml:space="preserve">2019, 58036 </w:t>
      </w:r>
      <w:r w:rsidR="007E3B96">
        <w:rPr>
          <w:lang w:val="en-CA"/>
        </w:rPr>
        <w:t>U.N.T.S.</w:t>
      </w:r>
      <w:r w:rsidRPr="00641C40">
        <w:rPr>
          <w:lang w:val="en-CA"/>
        </w:rPr>
        <w:t xml:space="preserve"> 5, </w:t>
      </w:r>
      <w:r w:rsidR="001D022C" w:rsidRPr="00641C40">
        <w:rPr>
          <w:lang w:val="en-CA"/>
        </w:rPr>
        <w:t>which came into force on September 1,</w:t>
      </w:r>
      <w:r w:rsidRPr="00641C40">
        <w:rPr>
          <w:lang w:val="en-CA"/>
        </w:rPr>
        <w:t xml:space="preserve"> 2023. </w:t>
      </w:r>
      <w:r w:rsidR="001D022C" w:rsidRPr="00641C40">
        <w:rPr>
          <w:lang w:val="en-CA"/>
        </w:rPr>
        <w:t>See https://www.hcch.net/en/instruments/conventions/specialised-sections/judgments.</w:t>
      </w:r>
    </w:p>
  </w:footnote>
  <w:footnote w:id="50">
    <w:p w14:paraId="76487EA0" w14:textId="371581C1" w:rsidR="005206EF" w:rsidRPr="00641C40" w:rsidRDefault="005206EF" w:rsidP="005206EF">
      <w:pPr>
        <w:pStyle w:val="Notedebasdepage"/>
        <w:ind w:left="284" w:hanging="284"/>
        <w:rPr>
          <w:lang w:val="en-CA"/>
        </w:rPr>
      </w:pPr>
      <w:r w:rsidRPr="00641C40">
        <w:rPr>
          <w:rStyle w:val="Appelnotedebasdep"/>
          <w:lang w:val="en-CA"/>
        </w:rPr>
        <w:footnoteRef/>
      </w:r>
      <w:r w:rsidRPr="00641C40">
        <w:rPr>
          <w:lang w:val="en-CA"/>
        </w:rPr>
        <w:tab/>
      </w:r>
      <w:r w:rsidR="001D022C" w:rsidRPr="00641C40">
        <w:rPr>
          <w:i/>
          <w:iCs/>
          <w:lang w:val="en-CA"/>
        </w:rPr>
        <w:t>Id</w:t>
      </w:r>
      <w:r w:rsidR="001D022C" w:rsidRPr="00641C40">
        <w:rPr>
          <w:iCs/>
          <w:lang w:val="en-CA"/>
        </w:rPr>
        <w:t>., art. 7(1)(c) [</w:t>
      </w:r>
      <w:r w:rsidR="008E3D1C">
        <w:rPr>
          <w:iCs/>
          <w:lang w:val="en-CA"/>
        </w:rPr>
        <w:t>E</w:t>
      </w:r>
      <w:r w:rsidR="008E3D1C">
        <w:rPr>
          <w:lang w:val="en-CA"/>
        </w:rPr>
        <w:t>mphasis</w:t>
      </w:r>
      <w:r w:rsidR="001D022C" w:rsidRPr="00641C40">
        <w:rPr>
          <w:iCs/>
          <w:lang w:val="en-CA"/>
        </w:rPr>
        <w:t xml:space="preserve"> added].</w:t>
      </w:r>
      <w:r w:rsidRPr="00641C40">
        <w:rPr>
          <w:lang w:val="en-CA"/>
        </w:rPr>
        <w:t xml:space="preserve"> </w:t>
      </w:r>
      <w:r w:rsidR="001D022C" w:rsidRPr="00641C40">
        <w:rPr>
          <w:lang w:val="en-CA"/>
        </w:rPr>
        <w:t>In that article</w:t>
      </w:r>
      <w:r w:rsidR="003C25CF">
        <w:rPr>
          <w:lang w:val="en-CA"/>
        </w:rPr>
        <w:t>,</w:t>
      </w:r>
      <w:r w:rsidR="001D022C" w:rsidRPr="00641C40">
        <w:rPr>
          <w:lang w:val="en-CA"/>
        </w:rPr>
        <w:t xml:space="preserve"> it is also understood that the public policy at issue is composed </w:t>
      </w:r>
      <w:r w:rsidR="00EB41FC">
        <w:rPr>
          <w:lang w:val="en-CA"/>
        </w:rPr>
        <w:t xml:space="preserve">uniquely </w:t>
      </w:r>
      <w:r w:rsidR="001D022C" w:rsidRPr="00641C40">
        <w:rPr>
          <w:lang w:val="en-CA"/>
        </w:rPr>
        <w:t>of the rules of the requested State that are considered mandatory in international situations:</w:t>
      </w:r>
      <w:r w:rsidRPr="00641C40">
        <w:rPr>
          <w:lang w:val="en-CA"/>
        </w:rPr>
        <w:t xml:space="preserve"> </w:t>
      </w:r>
      <w:r w:rsidR="00104AA2">
        <w:rPr>
          <w:lang w:val="en-CA"/>
        </w:rPr>
        <w:t xml:space="preserve">see </w:t>
      </w:r>
      <w:r w:rsidR="001D022C" w:rsidRPr="00641C40">
        <w:rPr>
          <w:lang w:val="en-CA"/>
        </w:rPr>
        <w:t>to similar effect</w:t>
      </w:r>
      <w:r w:rsidR="003C25CF">
        <w:rPr>
          <w:lang w:val="en-CA"/>
        </w:rPr>
        <w:t>,</w:t>
      </w:r>
      <w:r w:rsidR="001D022C" w:rsidRPr="00641C40">
        <w:rPr>
          <w:lang w:val="en-CA"/>
        </w:rPr>
        <w:t xml:space="preserve"> Francisco Garcimartin and Geneviève Saumier, </w:t>
      </w:r>
      <w:r w:rsidR="00641C40">
        <w:rPr>
          <w:i/>
          <w:lang w:val="en-CA"/>
        </w:rPr>
        <w:t>Explanatory Report on the</w:t>
      </w:r>
      <w:r w:rsidR="001D022C" w:rsidRPr="00641C40">
        <w:rPr>
          <w:i/>
          <w:lang w:val="en-CA"/>
        </w:rPr>
        <w:t xml:space="preserve"> </w:t>
      </w:r>
      <w:r w:rsidR="00641C40" w:rsidRPr="007C411F">
        <w:rPr>
          <w:i/>
          <w:lang w:val="en-CA"/>
        </w:rPr>
        <w:t>Convention of 2 July 2019 on the Recognition and Enforcement of Foreign Judgments in Civil or Commercial Matters</w:t>
      </w:r>
      <w:r w:rsidR="00641C40">
        <w:rPr>
          <w:iCs/>
          <w:lang w:val="en-CA"/>
        </w:rPr>
        <w:t>,</w:t>
      </w:r>
      <w:r w:rsidR="001D022C" w:rsidRPr="00641C40">
        <w:rPr>
          <w:lang w:val="en-CA"/>
        </w:rPr>
        <w:t xml:space="preserve"> </w:t>
      </w:r>
      <w:r w:rsidR="00641C40">
        <w:rPr>
          <w:lang w:val="en-CA"/>
        </w:rPr>
        <w:t>The Hague</w:t>
      </w:r>
      <w:r w:rsidR="001D022C" w:rsidRPr="00641C40">
        <w:rPr>
          <w:lang w:val="en-CA"/>
        </w:rPr>
        <w:t xml:space="preserve">, </w:t>
      </w:r>
      <w:r w:rsidR="00641C40">
        <w:rPr>
          <w:lang w:val="en-CA"/>
        </w:rPr>
        <w:t>Hague Conference on Private International Law</w:t>
      </w:r>
      <w:r w:rsidR="001D022C" w:rsidRPr="00641C40">
        <w:rPr>
          <w:lang w:val="en-CA"/>
        </w:rPr>
        <w:t>, 2020, p. 125-126 (</w:t>
      </w:r>
      <w:r w:rsidR="004F741E">
        <w:rPr>
          <w:lang w:val="en-CA"/>
        </w:rPr>
        <w:t>No</w:t>
      </w:r>
      <w:r w:rsidR="0001075B">
        <w:rPr>
          <w:lang w:val="en-CA"/>
        </w:rPr>
        <w:t>.</w:t>
      </w:r>
      <w:r w:rsidR="001D022C" w:rsidRPr="00641C40">
        <w:rPr>
          <w:lang w:val="en-CA"/>
        </w:rPr>
        <w:t xml:space="preserve"> 262-264).</w:t>
      </w:r>
    </w:p>
  </w:footnote>
  <w:footnote w:id="51">
    <w:p w14:paraId="01B0266E" w14:textId="4F1F94F1" w:rsidR="005206EF" w:rsidRPr="009E5423" w:rsidRDefault="005206EF" w:rsidP="005206EF">
      <w:pPr>
        <w:pStyle w:val="Notedebasdepage"/>
        <w:ind w:left="284" w:hanging="284"/>
        <w:rPr>
          <w:rFonts w:cs="Arial"/>
        </w:rPr>
      </w:pPr>
      <w:r w:rsidRPr="00641C40">
        <w:rPr>
          <w:rStyle w:val="Appelnotedebasdep"/>
          <w:rFonts w:cs="Arial"/>
          <w:lang w:val="en-CA"/>
        </w:rPr>
        <w:footnoteRef/>
      </w:r>
      <w:r w:rsidRPr="00641C40">
        <w:rPr>
          <w:rFonts w:cs="Arial"/>
          <w:lang w:val="en-CA"/>
        </w:rPr>
        <w:tab/>
      </w:r>
      <w:r w:rsidR="001D022C" w:rsidRPr="00641C40">
        <w:rPr>
          <w:rFonts w:cs="Arial"/>
          <w:lang w:val="en-CA"/>
        </w:rPr>
        <w:t xml:space="preserve">That courtesy explains why, as a general rule, </w:t>
      </w:r>
      <w:r w:rsidR="00EB41FC">
        <w:rPr>
          <w:rFonts w:cs="Arial"/>
          <w:lang w:val="en-CA"/>
        </w:rPr>
        <w:t xml:space="preserve">it is not for </w:t>
      </w:r>
      <w:r w:rsidR="001D022C" w:rsidRPr="00641C40">
        <w:rPr>
          <w:rFonts w:cs="Arial"/>
          <w:lang w:val="en-CA"/>
        </w:rPr>
        <w:t xml:space="preserve">Quebec courts </w:t>
      </w:r>
      <w:r w:rsidR="00EB41FC">
        <w:rPr>
          <w:rFonts w:cs="Arial"/>
          <w:lang w:val="en-CA"/>
        </w:rPr>
        <w:t>to</w:t>
      </w:r>
      <w:r w:rsidR="001D022C" w:rsidRPr="00641C40">
        <w:rPr>
          <w:rFonts w:cs="Arial"/>
          <w:lang w:val="en-CA"/>
        </w:rPr>
        <w:t xml:space="preserve"> “instruct the foreign authorities in their own law” (</w:t>
      </w:r>
      <w:r w:rsidR="001D022C" w:rsidRPr="00641C40">
        <w:rPr>
          <w:rFonts w:cs="Arial"/>
          <w:i/>
          <w:lang w:val="en-CA"/>
        </w:rPr>
        <w:t>R.S. v. P.R.</w:t>
      </w:r>
      <w:r w:rsidR="001D022C" w:rsidRPr="00641C40">
        <w:rPr>
          <w:rFonts w:cs="Arial"/>
          <w:lang w:val="en-CA"/>
        </w:rPr>
        <w:t>, 2019 SCC 49, para.</w:t>
      </w:r>
      <w:r w:rsidRPr="00641C40">
        <w:rPr>
          <w:rFonts w:cs="Arial"/>
          <w:lang w:val="en-CA"/>
        </w:rPr>
        <w:t xml:space="preserve"> </w:t>
      </w:r>
      <w:r w:rsidRPr="009E5423">
        <w:rPr>
          <w:rFonts w:cs="Arial"/>
        </w:rPr>
        <w:t>52).</w:t>
      </w:r>
    </w:p>
  </w:footnote>
  <w:footnote w:id="52">
    <w:p w14:paraId="08804610" w14:textId="4110AD70" w:rsidR="005206EF" w:rsidRPr="009E5423" w:rsidRDefault="005206EF" w:rsidP="005206EF">
      <w:pPr>
        <w:pStyle w:val="Notedebasdepage"/>
        <w:ind w:left="284" w:hanging="284"/>
        <w:rPr>
          <w:rFonts w:cs="Arial"/>
        </w:rPr>
      </w:pPr>
      <w:r w:rsidRPr="002E7957">
        <w:rPr>
          <w:rStyle w:val="Appelnotedebasdep"/>
          <w:rFonts w:cs="Arial"/>
        </w:rPr>
        <w:footnoteRef/>
      </w:r>
      <w:r w:rsidRPr="009E5423">
        <w:rPr>
          <w:rFonts w:cs="Arial"/>
        </w:rPr>
        <w:tab/>
      </w:r>
      <w:r w:rsidR="001D022C" w:rsidRPr="009E5423">
        <w:rPr>
          <w:rFonts w:cs="Arial"/>
          <w:i/>
          <w:iCs/>
        </w:rPr>
        <w:t>Housen v. Nikolaisen</w:t>
      </w:r>
      <w:r w:rsidR="001D022C" w:rsidRPr="009E5423">
        <w:rPr>
          <w:rFonts w:cs="Arial"/>
          <w:iCs/>
        </w:rPr>
        <w:t>, 2002 SCC 33, para</w:t>
      </w:r>
      <w:r w:rsidR="00AB736F" w:rsidRPr="009E5423">
        <w:rPr>
          <w:rFonts w:cs="Arial"/>
          <w:iCs/>
        </w:rPr>
        <w:t>s</w:t>
      </w:r>
      <w:r w:rsidR="001D022C" w:rsidRPr="009E5423">
        <w:rPr>
          <w:rFonts w:cs="Arial"/>
          <w:iCs/>
        </w:rPr>
        <w:t xml:space="preserve">. </w:t>
      </w:r>
      <w:r w:rsidRPr="009E5423">
        <w:rPr>
          <w:rFonts w:cs="Arial"/>
        </w:rPr>
        <w:t>8-9.</w:t>
      </w:r>
    </w:p>
  </w:footnote>
  <w:footnote w:id="53">
    <w:p w14:paraId="76CA378D" w14:textId="39610FE4" w:rsidR="005206EF" w:rsidRPr="001C21A3" w:rsidRDefault="005206EF" w:rsidP="005206EF">
      <w:pPr>
        <w:pStyle w:val="Notedebasdepage"/>
        <w:ind w:left="284" w:hanging="284"/>
        <w:rPr>
          <w:rFonts w:cs="Arial"/>
        </w:rPr>
      </w:pPr>
      <w:r w:rsidRPr="00641C40">
        <w:rPr>
          <w:rStyle w:val="Appelnotedebasdep"/>
          <w:rFonts w:cs="Arial"/>
          <w:lang w:val="en-CA"/>
        </w:rPr>
        <w:footnoteRef/>
      </w:r>
      <w:r w:rsidRPr="009E5423">
        <w:rPr>
          <w:rFonts w:cs="Arial"/>
        </w:rPr>
        <w:tab/>
      </w:r>
      <w:r w:rsidRPr="009E5423">
        <w:rPr>
          <w:rFonts w:cs="Arial"/>
          <w:i/>
          <w:iCs/>
        </w:rPr>
        <w:t>Id.</w:t>
      </w:r>
      <w:r w:rsidRPr="009E5423">
        <w:rPr>
          <w:rFonts w:cs="Arial"/>
        </w:rPr>
        <w:t>, para</w:t>
      </w:r>
      <w:r w:rsidR="00AB736F" w:rsidRPr="009E5423">
        <w:rPr>
          <w:rFonts w:cs="Arial"/>
        </w:rPr>
        <w:t>s</w:t>
      </w:r>
      <w:r w:rsidRPr="009E5423">
        <w:rPr>
          <w:rFonts w:cs="Arial"/>
        </w:rPr>
        <w:t xml:space="preserve">. 26-37; </w:t>
      </w:r>
      <w:r w:rsidR="001D022C" w:rsidRPr="009E5423">
        <w:rPr>
          <w:rFonts w:cs="Arial"/>
          <w:i/>
          <w:iCs/>
        </w:rPr>
        <w:t>Hydro-Québec v. Matta</w:t>
      </w:r>
      <w:r w:rsidR="001D022C" w:rsidRPr="009E5423">
        <w:rPr>
          <w:rFonts w:cs="Arial"/>
          <w:iCs/>
        </w:rPr>
        <w:t>, 2020 SCC 37, para.</w:t>
      </w:r>
      <w:r w:rsidRPr="009E5423">
        <w:rPr>
          <w:rFonts w:cs="Arial"/>
        </w:rPr>
        <w:t xml:space="preserve"> </w:t>
      </w:r>
      <w:r w:rsidRPr="001C21A3">
        <w:rPr>
          <w:rFonts w:cs="Arial"/>
        </w:rPr>
        <w:t>33.</w:t>
      </w:r>
    </w:p>
  </w:footnote>
  <w:footnote w:id="54">
    <w:p w14:paraId="389A0018" w14:textId="544CF3D3" w:rsidR="005206EF" w:rsidRPr="001C21A3" w:rsidRDefault="005206EF" w:rsidP="005206EF">
      <w:pPr>
        <w:pStyle w:val="Notedebasdepage"/>
        <w:ind w:left="284" w:hanging="284"/>
        <w:rPr>
          <w:rFonts w:cs="Arial"/>
        </w:rPr>
      </w:pPr>
      <w:r w:rsidRPr="00641C40">
        <w:rPr>
          <w:rStyle w:val="Appelnotedebasdep"/>
          <w:rFonts w:cs="Arial"/>
          <w:lang w:val="en-CA"/>
        </w:rPr>
        <w:footnoteRef/>
      </w:r>
      <w:r w:rsidRPr="001C21A3">
        <w:rPr>
          <w:rFonts w:cs="Arial"/>
        </w:rPr>
        <w:tab/>
      </w:r>
      <w:r w:rsidR="001D022C" w:rsidRPr="001C21A3">
        <w:rPr>
          <w:rFonts w:cs="Arial"/>
        </w:rPr>
        <w:t>Article 1375 CCQ;</w:t>
      </w:r>
      <w:r w:rsidRPr="001C21A3">
        <w:rPr>
          <w:rFonts w:cs="Arial"/>
        </w:rPr>
        <w:t xml:space="preserve"> </w:t>
      </w:r>
      <w:r w:rsidR="001D022C" w:rsidRPr="001C21A3">
        <w:rPr>
          <w:rFonts w:cs="Arial"/>
        </w:rPr>
        <w:t xml:space="preserve">Didier Lluelles </w:t>
      </w:r>
      <w:r w:rsidR="003C25CF">
        <w:rPr>
          <w:rFonts w:cs="Arial"/>
        </w:rPr>
        <w:t>and</w:t>
      </w:r>
      <w:r w:rsidR="001D022C" w:rsidRPr="001C21A3">
        <w:rPr>
          <w:rFonts w:cs="Arial"/>
        </w:rPr>
        <w:t xml:space="preserve"> Benoît Moore, Droit des obligations, 3rd ed., Montreal, Thémis, 2018, p. 306 (</w:t>
      </w:r>
      <w:r w:rsidR="004F741E">
        <w:rPr>
          <w:rFonts w:cs="Arial"/>
        </w:rPr>
        <w:t>No.</w:t>
      </w:r>
      <w:r w:rsidR="001D022C" w:rsidRPr="001C21A3">
        <w:rPr>
          <w:rFonts w:cs="Arial"/>
        </w:rPr>
        <w:t xml:space="preserve"> 600).</w:t>
      </w:r>
    </w:p>
  </w:footnote>
  <w:footnote w:id="55">
    <w:p w14:paraId="2B1C0A53" w14:textId="1C5D6525" w:rsidR="005206EF" w:rsidRPr="001C21A3" w:rsidRDefault="005206EF" w:rsidP="005206EF">
      <w:pPr>
        <w:pStyle w:val="Notedebasdepage"/>
        <w:ind w:left="284" w:hanging="284"/>
        <w:rPr>
          <w:rFonts w:cs="Arial"/>
        </w:rPr>
      </w:pPr>
      <w:r w:rsidRPr="00641C40">
        <w:rPr>
          <w:rStyle w:val="Appelnotedebasdep"/>
          <w:rFonts w:cs="Arial"/>
          <w:lang w:val="en-CA"/>
        </w:rPr>
        <w:footnoteRef/>
      </w:r>
      <w:r w:rsidRPr="001C21A3">
        <w:rPr>
          <w:rFonts w:cs="Arial"/>
        </w:rPr>
        <w:tab/>
      </w:r>
      <w:r w:rsidR="001D022C" w:rsidRPr="001C21A3">
        <w:rPr>
          <w:rFonts w:cs="Arial"/>
        </w:rPr>
        <w:t xml:space="preserve">See </w:t>
      </w:r>
      <w:r w:rsidR="003C25CF">
        <w:rPr>
          <w:rFonts w:cs="Arial"/>
        </w:rPr>
        <w:t>e.g.,</w:t>
      </w:r>
      <w:r w:rsidR="001D022C" w:rsidRPr="001C21A3">
        <w:rPr>
          <w:rFonts w:cs="Arial"/>
        </w:rPr>
        <w:t xml:space="preserve"> </w:t>
      </w:r>
      <w:r w:rsidR="001D022C" w:rsidRPr="001C21A3">
        <w:rPr>
          <w:rFonts w:cs="Arial"/>
          <w:i/>
        </w:rPr>
        <w:t>Ponce v. Société d’investissements Rhéaume ltée</w:t>
      </w:r>
      <w:r w:rsidR="001D022C" w:rsidRPr="001C21A3">
        <w:rPr>
          <w:rFonts w:cs="Arial"/>
        </w:rPr>
        <w:t>, 2023 SCC 25, para.</w:t>
      </w:r>
      <w:r w:rsidRPr="001C21A3">
        <w:rPr>
          <w:rFonts w:cs="Arial"/>
        </w:rPr>
        <w:t xml:space="preserve"> 70.</w:t>
      </w:r>
    </w:p>
  </w:footnote>
  <w:footnote w:id="56">
    <w:p w14:paraId="46ED48D6" w14:textId="34BB3F27" w:rsidR="005206EF" w:rsidRPr="001C21A3" w:rsidRDefault="005206EF" w:rsidP="005206EF">
      <w:pPr>
        <w:pStyle w:val="Notedebasdepage"/>
        <w:ind w:left="284" w:hanging="284"/>
        <w:rPr>
          <w:rFonts w:cs="Arial"/>
        </w:rPr>
      </w:pPr>
      <w:r w:rsidRPr="00641C40">
        <w:rPr>
          <w:rStyle w:val="Appelnotedebasdep"/>
          <w:rFonts w:cs="Arial"/>
          <w:lang w:val="en-CA"/>
        </w:rPr>
        <w:footnoteRef/>
      </w:r>
      <w:r w:rsidRPr="001C21A3">
        <w:rPr>
          <w:rFonts w:cs="Arial"/>
        </w:rPr>
        <w:tab/>
      </w:r>
      <w:r w:rsidR="001D022C" w:rsidRPr="001C21A3">
        <w:rPr>
          <w:rFonts w:cs="Arial"/>
        </w:rPr>
        <w:t xml:space="preserve">Didier Lluelles and Benoît Moore, </w:t>
      </w:r>
      <w:r w:rsidR="001D022C" w:rsidRPr="001C21A3">
        <w:rPr>
          <w:rFonts w:cs="Arial"/>
          <w:i/>
        </w:rPr>
        <w:t>Droit des obligations</w:t>
      </w:r>
      <w:r w:rsidR="001D022C" w:rsidRPr="001C21A3">
        <w:rPr>
          <w:rFonts w:cs="Arial"/>
        </w:rPr>
        <w:t>, 3</w:t>
      </w:r>
      <w:r w:rsidR="001D022C" w:rsidRPr="007C411F">
        <w:rPr>
          <w:rFonts w:cs="Arial"/>
        </w:rPr>
        <w:t>rd</w:t>
      </w:r>
      <w:r w:rsidR="001D022C" w:rsidRPr="001C21A3">
        <w:rPr>
          <w:rFonts w:cs="Arial"/>
        </w:rPr>
        <w:t xml:space="preserve"> ed., Montreal, Thémis, 2018, p. 340 (</w:t>
      </w:r>
      <w:r w:rsidR="004F741E">
        <w:rPr>
          <w:rFonts w:cs="Arial"/>
        </w:rPr>
        <w:t>No.</w:t>
      </w:r>
      <w:r w:rsidR="001D022C" w:rsidRPr="001C21A3">
        <w:rPr>
          <w:rFonts w:cs="Arial"/>
        </w:rPr>
        <w:t>669).</w:t>
      </w:r>
    </w:p>
  </w:footnote>
  <w:footnote w:id="57">
    <w:p w14:paraId="1E36AEFD" w14:textId="45FDF6F6" w:rsidR="005206EF" w:rsidRPr="00641C40" w:rsidRDefault="005206EF" w:rsidP="005206EF">
      <w:pPr>
        <w:pStyle w:val="Notedebasdepage"/>
        <w:ind w:left="284" w:hanging="284"/>
        <w:rPr>
          <w:rFonts w:cs="Arial"/>
          <w:u w:val="single"/>
          <w:lang w:val="en-CA"/>
        </w:rPr>
      </w:pPr>
      <w:r w:rsidRPr="00641C40">
        <w:rPr>
          <w:rStyle w:val="Appelnotedebasdep"/>
          <w:rFonts w:cs="Arial"/>
          <w:lang w:val="en-CA"/>
        </w:rPr>
        <w:footnoteRef/>
      </w:r>
      <w:r w:rsidRPr="007C411F">
        <w:rPr>
          <w:rFonts w:cs="Arial"/>
          <w:lang w:val="es-CL"/>
        </w:rPr>
        <w:tab/>
      </w:r>
      <w:r w:rsidR="001D022C" w:rsidRPr="007C411F">
        <w:rPr>
          <w:i/>
          <w:iCs/>
          <w:lang w:val="es-CL"/>
        </w:rPr>
        <w:t>R.S. v. P.R.</w:t>
      </w:r>
      <w:r w:rsidR="001D022C" w:rsidRPr="007C411F">
        <w:rPr>
          <w:iCs/>
          <w:lang w:val="es-CL"/>
        </w:rPr>
        <w:t>, 2019 SCC 49, para.</w:t>
      </w:r>
      <w:r w:rsidRPr="007C411F">
        <w:rPr>
          <w:rFonts w:cs="Arial"/>
          <w:lang w:val="es-CL"/>
        </w:rPr>
        <w:t xml:space="preserve"> </w:t>
      </w:r>
      <w:r w:rsidRPr="009E5423">
        <w:rPr>
          <w:rFonts w:cs="Arial"/>
          <w:lang w:val="en-CA"/>
        </w:rPr>
        <w:t xml:space="preserve">53; </w:t>
      </w:r>
      <w:r w:rsidR="003C25CF" w:rsidRPr="009E5423">
        <w:rPr>
          <w:rFonts w:cs="Arial"/>
          <w:i/>
          <w:iCs/>
          <w:lang w:val="en-CA"/>
        </w:rPr>
        <w:t>s</w:t>
      </w:r>
      <w:r w:rsidR="001D022C" w:rsidRPr="009E5423">
        <w:rPr>
          <w:rFonts w:cs="Arial"/>
          <w:i/>
          <w:iCs/>
          <w:lang w:val="en-CA"/>
        </w:rPr>
        <w:t>upra</w:t>
      </w:r>
      <w:r w:rsidR="001D022C" w:rsidRPr="009E5423">
        <w:rPr>
          <w:rFonts w:cs="Arial"/>
          <w:lang w:val="en-CA"/>
        </w:rPr>
        <w:t>, para.</w:t>
      </w:r>
      <w:r w:rsidRPr="009E5423">
        <w:rPr>
          <w:rFonts w:cs="Arial"/>
          <w:lang w:val="en-CA"/>
        </w:rPr>
        <w:t xml:space="preserve"> </w:t>
      </w:r>
      <w:r w:rsidRPr="00641C40">
        <w:rPr>
          <w:rFonts w:cs="Arial"/>
          <w:lang w:val="en-CA"/>
        </w:rPr>
        <w:t>14.</w:t>
      </w:r>
    </w:p>
  </w:footnote>
  <w:footnote w:id="58">
    <w:p w14:paraId="4DC9A298" w14:textId="5D55D29E" w:rsidR="005206EF" w:rsidRPr="00641C40" w:rsidRDefault="005206EF" w:rsidP="005206EF">
      <w:pPr>
        <w:pStyle w:val="Notedebasdepage"/>
        <w:ind w:left="284" w:hanging="284"/>
        <w:rPr>
          <w:lang w:val="en-CA"/>
        </w:rPr>
      </w:pPr>
      <w:r w:rsidRPr="00641C40">
        <w:rPr>
          <w:rStyle w:val="Appelnotedebasdep"/>
          <w:rFonts w:cs="Arial"/>
          <w:lang w:val="en-CA"/>
        </w:rPr>
        <w:footnoteRef/>
      </w:r>
      <w:r w:rsidRPr="00641C40">
        <w:rPr>
          <w:rFonts w:cs="Arial"/>
          <w:lang w:val="en-CA"/>
        </w:rPr>
        <w:tab/>
      </w:r>
      <w:r w:rsidR="001D022C" w:rsidRPr="00641C40">
        <w:rPr>
          <w:rFonts w:cs="Arial"/>
          <w:lang w:val="en-CA"/>
        </w:rPr>
        <w:t>Serge Guinchard and Thierry Debard (</w:t>
      </w:r>
      <w:r w:rsidR="002A2A69">
        <w:rPr>
          <w:rFonts w:cs="Arial"/>
          <w:lang w:val="en-CA"/>
        </w:rPr>
        <w:t>eds</w:t>
      </w:r>
      <w:r w:rsidR="001D022C" w:rsidRPr="00641C40">
        <w:rPr>
          <w:rFonts w:cs="Arial"/>
          <w:lang w:val="en-CA"/>
        </w:rPr>
        <w:t xml:space="preserve">.), </w:t>
      </w:r>
      <w:r w:rsidR="001D022C" w:rsidRPr="00641C40">
        <w:rPr>
          <w:rFonts w:cs="Arial"/>
          <w:i/>
          <w:lang w:val="en-CA"/>
        </w:rPr>
        <w:t>Lexique des termes juridiques 2024-2025</w:t>
      </w:r>
      <w:r w:rsidR="001D022C" w:rsidRPr="00641C40">
        <w:rPr>
          <w:rFonts w:cs="Arial"/>
          <w:lang w:val="en-CA"/>
        </w:rPr>
        <w:t>, Courbevoie, Dalloz, 2024, p. 525 ([</w:t>
      </w:r>
      <w:r w:rsidR="001D022C" w:rsidRPr="00641C40">
        <w:rPr>
          <w:rFonts w:cs="Arial"/>
          <w:smallCaps/>
          <w:lang w:val="en-CA"/>
        </w:rPr>
        <w:t>translation</w:t>
      </w:r>
      <w:r w:rsidR="001D022C" w:rsidRPr="00641C40">
        <w:rPr>
          <w:rFonts w:cs="Arial"/>
          <w:lang w:val="en-CA"/>
        </w:rPr>
        <w:t xml:space="preserve">] “Latin adage </w:t>
      </w:r>
      <w:r w:rsidR="006415AE">
        <w:rPr>
          <w:rFonts w:cs="Arial"/>
          <w:lang w:val="en-CA"/>
        </w:rPr>
        <w:t>stat</w:t>
      </w:r>
      <w:r w:rsidR="001D022C" w:rsidRPr="00641C40">
        <w:rPr>
          <w:rFonts w:cs="Arial"/>
          <w:lang w:val="en-CA"/>
        </w:rPr>
        <w:t xml:space="preserve">ing that any legal act tainted by fraud can be </w:t>
      </w:r>
      <w:r w:rsidR="006415AE">
        <w:rPr>
          <w:rFonts w:cs="Arial"/>
          <w:lang w:val="en-CA"/>
        </w:rPr>
        <w:t xml:space="preserve">the </w:t>
      </w:r>
      <w:r w:rsidR="001D022C" w:rsidRPr="00641C40">
        <w:rPr>
          <w:rFonts w:cs="Arial"/>
          <w:lang w:val="en-CA"/>
        </w:rPr>
        <w:t xml:space="preserve">subject </w:t>
      </w:r>
      <w:r w:rsidR="006415AE">
        <w:rPr>
          <w:rFonts w:cs="Arial"/>
          <w:lang w:val="en-CA"/>
        </w:rPr>
        <w:t xml:space="preserve">of </w:t>
      </w:r>
      <w:r w:rsidR="001D022C" w:rsidRPr="00641C40">
        <w:rPr>
          <w:rFonts w:cs="Arial"/>
          <w:lang w:val="en-CA"/>
        </w:rPr>
        <w:t>an action in nullity”);</w:t>
      </w:r>
      <w:r w:rsidRPr="00641C40">
        <w:rPr>
          <w:rFonts w:cs="Arial"/>
          <w:lang w:val="en-CA"/>
        </w:rPr>
        <w:t xml:space="preserve"> </w:t>
      </w:r>
      <w:r w:rsidR="001D022C" w:rsidRPr="00641C40">
        <w:rPr>
          <w:rFonts w:cs="Arial"/>
          <w:lang w:val="en-CA"/>
        </w:rPr>
        <w:t xml:space="preserve">Albert Mayrand, </w:t>
      </w:r>
      <w:r w:rsidR="001D022C" w:rsidRPr="00641C40">
        <w:rPr>
          <w:rFonts w:cs="Arial"/>
          <w:i/>
          <w:lang w:val="en-CA"/>
        </w:rPr>
        <w:t>Dictionnaire de maximes et locutions latines utilisées en droit</w:t>
      </w:r>
      <w:r w:rsidR="001D022C" w:rsidRPr="00641C40">
        <w:rPr>
          <w:rFonts w:cs="Arial"/>
          <w:lang w:val="en-CA"/>
        </w:rPr>
        <w:t>, 4</w:t>
      </w:r>
      <w:r w:rsidR="001D022C" w:rsidRPr="007C411F">
        <w:rPr>
          <w:rFonts w:cs="Arial"/>
          <w:lang w:val="en-CA"/>
        </w:rPr>
        <w:t>th</w:t>
      </w:r>
      <w:r w:rsidR="001D022C" w:rsidRPr="00641C40">
        <w:rPr>
          <w:rFonts w:cs="Arial"/>
          <w:lang w:val="en-CA"/>
        </w:rPr>
        <w:t> ed., Cowansville, Yvon Blais, 2007, p. 190 ([</w:t>
      </w:r>
      <w:r w:rsidR="001D022C" w:rsidRPr="00641C40">
        <w:rPr>
          <w:rFonts w:cs="Arial"/>
          <w:smallCaps/>
          <w:lang w:val="en-CA"/>
        </w:rPr>
        <w:t>translation</w:t>
      </w:r>
      <w:r w:rsidR="001D022C" w:rsidRPr="00641C40">
        <w:rPr>
          <w:rFonts w:cs="Arial"/>
          <w:lang w:val="en-CA"/>
        </w:rPr>
        <w:t>] “Fraud vitiates everyt</w:t>
      </w:r>
      <w:r w:rsidR="002A2A69">
        <w:rPr>
          <w:rFonts w:cs="Arial"/>
          <w:lang w:val="en-CA"/>
        </w:rPr>
        <w:t>h</w:t>
      </w:r>
      <w:r w:rsidR="001D022C" w:rsidRPr="00641C40">
        <w:rPr>
          <w:rFonts w:cs="Arial"/>
          <w:lang w:val="en-CA"/>
        </w:rPr>
        <w:t>ing, be it a fraudulent contract with respect to a co-contracting party or with respect to their creditors.</w:t>
      </w:r>
      <w:r w:rsidRPr="00641C40">
        <w:rPr>
          <w:rFonts w:cs="Arial"/>
          <w:lang w:val="en-CA"/>
        </w:rPr>
        <w:t xml:space="preserve"> </w:t>
      </w:r>
      <w:r w:rsidR="001D022C" w:rsidRPr="00641C40">
        <w:rPr>
          <w:rFonts w:cs="Arial"/>
          <w:lang w:val="en-CA"/>
        </w:rPr>
        <w:t>Even a marriage solemnized in a foreign country for the sole purpose of defrauding the national law, that is</w:t>
      </w:r>
      <w:r w:rsidR="002A2A69">
        <w:rPr>
          <w:rFonts w:cs="Arial"/>
          <w:lang w:val="en-CA"/>
        </w:rPr>
        <w:t>,</w:t>
      </w:r>
      <w:r w:rsidR="001D022C" w:rsidRPr="00641C40">
        <w:rPr>
          <w:rFonts w:cs="Arial"/>
          <w:lang w:val="en-CA"/>
        </w:rPr>
        <w:t xml:space="preserve"> to escape its application (</w:t>
      </w:r>
      <w:r w:rsidR="001D022C" w:rsidRPr="00641C40">
        <w:rPr>
          <w:rFonts w:cs="Arial"/>
          <w:i/>
          <w:lang w:val="en-CA"/>
        </w:rPr>
        <w:t>in fraudem legis</w:t>
      </w:r>
      <w:r w:rsidR="001D022C" w:rsidRPr="00641C40">
        <w:rPr>
          <w:rFonts w:cs="Arial"/>
          <w:lang w:val="en-CA"/>
        </w:rPr>
        <w:t>) can be subject to nullity”).</w:t>
      </w:r>
      <w:r w:rsidRPr="00641C40">
        <w:rPr>
          <w:rFonts w:cs="Arial"/>
          <w:lang w:val="en-CA"/>
        </w:rPr>
        <w:t xml:space="preserve"> </w:t>
      </w:r>
      <w:r w:rsidR="006415AE">
        <w:rPr>
          <w:rFonts w:cs="Arial"/>
          <w:lang w:val="en-CA"/>
        </w:rPr>
        <w:t xml:space="preserve">On </w:t>
      </w:r>
      <w:r w:rsidR="001D022C" w:rsidRPr="00641C40">
        <w:rPr>
          <w:rFonts w:cs="Arial"/>
          <w:lang w:val="en-CA"/>
        </w:rPr>
        <w:t xml:space="preserve">the </w:t>
      </w:r>
      <w:r w:rsidR="006415AE">
        <w:rPr>
          <w:rFonts w:cs="Arial"/>
          <w:lang w:val="en-CA"/>
        </w:rPr>
        <w:t xml:space="preserve">relationship </w:t>
      </w:r>
      <w:r w:rsidR="001D022C" w:rsidRPr="00641C40">
        <w:rPr>
          <w:rFonts w:cs="Arial"/>
          <w:lang w:val="en-CA"/>
        </w:rPr>
        <w:t xml:space="preserve">between this principle and protection </w:t>
      </w:r>
      <w:r w:rsidR="002A2A69">
        <w:rPr>
          <w:rFonts w:cs="Arial"/>
          <w:lang w:val="en-CA"/>
        </w:rPr>
        <w:t xml:space="preserve">against fraud, </w:t>
      </w:r>
      <w:r w:rsidR="001D022C" w:rsidRPr="00641C40">
        <w:rPr>
          <w:rFonts w:cs="Arial"/>
          <w:lang w:val="en-CA"/>
        </w:rPr>
        <w:t xml:space="preserve">see Jean-Louis Baudouin and Pierre-Gabriel Jobin, </w:t>
      </w:r>
      <w:r w:rsidR="001D022C" w:rsidRPr="00A76AB0">
        <w:rPr>
          <w:rFonts w:cs="Arial"/>
          <w:i/>
          <w:iCs/>
          <w:lang w:val="en-CA"/>
        </w:rPr>
        <w:t>Les obligations</w:t>
      </w:r>
      <w:r w:rsidR="001D022C" w:rsidRPr="00641C40">
        <w:rPr>
          <w:rFonts w:cs="Arial"/>
          <w:lang w:val="en-CA"/>
        </w:rPr>
        <w:t>, 7th ed., Cowansville, Yvon Blais</w:t>
      </w:r>
      <w:r w:rsidR="006415AE">
        <w:rPr>
          <w:rFonts w:cs="Arial"/>
          <w:lang w:val="en-CA"/>
        </w:rPr>
        <w:t>,</w:t>
      </w:r>
      <w:r w:rsidR="001D022C" w:rsidRPr="00641C40">
        <w:rPr>
          <w:rFonts w:cs="Arial"/>
          <w:lang w:val="en-CA"/>
        </w:rPr>
        <w:t xml:space="preserve"> 2013, p. 337-338 (</w:t>
      </w:r>
      <w:r w:rsidR="004F741E">
        <w:rPr>
          <w:rFonts w:cs="Arial"/>
          <w:lang w:val="en-CA"/>
        </w:rPr>
        <w:t>No.</w:t>
      </w:r>
      <w:r w:rsidR="001D022C" w:rsidRPr="00641C40">
        <w:rPr>
          <w:rFonts w:cs="Arial"/>
          <w:lang w:val="en-CA"/>
        </w:rPr>
        <w:t xml:space="preserve"> 223):</w:t>
      </w:r>
      <w:r w:rsidRPr="00641C40">
        <w:rPr>
          <w:lang w:val="en-CA"/>
        </w:rPr>
        <w:t xml:space="preserve"> </w:t>
      </w:r>
      <w:r w:rsidR="001D022C" w:rsidRPr="00641C40">
        <w:rPr>
          <w:lang w:val="en-CA"/>
        </w:rPr>
        <w:t>[</w:t>
      </w:r>
      <w:r w:rsidR="001D022C" w:rsidRPr="00641C40">
        <w:rPr>
          <w:smallCaps/>
          <w:lang w:val="en-CA"/>
        </w:rPr>
        <w:t>translation</w:t>
      </w:r>
      <w:r w:rsidR="001D022C" w:rsidRPr="00641C40">
        <w:rPr>
          <w:lang w:val="en-CA"/>
        </w:rPr>
        <w:t>] “The law’s protection against fraud is in fact the affirmation of the notion of good faith in the conclusion and negotiation of contracts.</w:t>
      </w:r>
      <w:r w:rsidRPr="00641C40">
        <w:rPr>
          <w:lang w:val="en-CA"/>
        </w:rPr>
        <w:t xml:space="preserve"> </w:t>
      </w:r>
      <w:r w:rsidR="001D022C" w:rsidRPr="00641C40">
        <w:rPr>
          <w:lang w:val="en-CA"/>
        </w:rPr>
        <w:t xml:space="preserve">However, fraud was sanctioned </w:t>
      </w:r>
      <w:r w:rsidR="006415AE">
        <w:rPr>
          <w:lang w:val="en-CA"/>
        </w:rPr>
        <w:t xml:space="preserve">centuries </w:t>
      </w:r>
      <w:r w:rsidR="001D022C" w:rsidRPr="00641C40">
        <w:rPr>
          <w:lang w:val="en-CA"/>
        </w:rPr>
        <w:t>before the doctrine of good</w:t>
      </w:r>
      <w:r w:rsidR="001D022C" w:rsidRPr="001C21A3">
        <w:rPr>
          <w:lang w:val="en-CA"/>
        </w:rPr>
        <w:t xml:space="preserve"> </w:t>
      </w:r>
      <w:r w:rsidR="001D022C" w:rsidRPr="00641C40">
        <w:rPr>
          <w:lang w:val="en-CA"/>
        </w:rPr>
        <w:t>faith was developed:</w:t>
      </w:r>
      <w:r w:rsidRPr="00641C40">
        <w:rPr>
          <w:lang w:val="en-CA"/>
        </w:rPr>
        <w:t xml:space="preserve"> </w:t>
      </w:r>
      <w:r w:rsidR="001D022C" w:rsidRPr="00641C40">
        <w:rPr>
          <w:lang w:val="en-CA"/>
        </w:rPr>
        <w:t xml:space="preserve">Roman law recognized </w:t>
      </w:r>
      <w:r w:rsidR="001D022C" w:rsidRPr="00A76AB0">
        <w:rPr>
          <w:i/>
          <w:iCs/>
          <w:lang w:val="en-CA"/>
        </w:rPr>
        <w:t>fraus</w:t>
      </w:r>
      <w:r w:rsidR="001D022C" w:rsidRPr="00641C40">
        <w:rPr>
          <w:lang w:val="en-CA"/>
        </w:rPr>
        <w:t>.</w:t>
      </w:r>
      <w:r w:rsidRPr="00641C40">
        <w:rPr>
          <w:lang w:val="en-CA"/>
        </w:rPr>
        <w:t xml:space="preserve"> </w:t>
      </w:r>
      <w:r w:rsidR="001D022C" w:rsidRPr="00641C40">
        <w:rPr>
          <w:lang w:val="en-CA"/>
        </w:rPr>
        <w:t xml:space="preserve">The repression of fraud is undoubtedly the </w:t>
      </w:r>
      <w:r w:rsidR="006415AE">
        <w:rPr>
          <w:lang w:val="en-CA"/>
        </w:rPr>
        <w:t xml:space="preserve">primary purpose </w:t>
      </w:r>
      <w:r w:rsidR="001D022C" w:rsidRPr="00641C40">
        <w:rPr>
          <w:lang w:val="en-CA"/>
        </w:rPr>
        <w:t>of any policy of morality and contractual justice”.</w:t>
      </w:r>
    </w:p>
  </w:footnote>
  <w:footnote w:id="59">
    <w:p w14:paraId="7F8B2649" w14:textId="3626D5D7" w:rsidR="005206EF" w:rsidRPr="001C21A3" w:rsidRDefault="005206EF" w:rsidP="005206EF">
      <w:pPr>
        <w:pStyle w:val="Notedebasdepage"/>
        <w:ind w:left="284" w:hanging="284"/>
        <w:rPr>
          <w:rFonts w:cs="Arial"/>
        </w:rPr>
      </w:pPr>
      <w:r w:rsidRPr="00641C40">
        <w:rPr>
          <w:rStyle w:val="Appelnotedebasdep"/>
          <w:rFonts w:cs="Arial"/>
          <w:lang w:val="en-CA"/>
        </w:rPr>
        <w:footnoteRef/>
      </w:r>
      <w:r w:rsidRPr="001C21A3">
        <w:rPr>
          <w:rFonts w:cs="Arial"/>
        </w:rPr>
        <w:tab/>
      </w:r>
      <w:r w:rsidR="001D022C" w:rsidRPr="001C21A3">
        <w:rPr>
          <w:rFonts w:cs="Arial"/>
        </w:rPr>
        <w:t xml:space="preserve">José Vidal, </w:t>
      </w:r>
      <w:r w:rsidR="001D022C" w:rsidRPr="001C21A3">
        <w:rPr>
          <w:rFonts w:cs="Arial"/>
          <w:i/>
        </w:rPr>
        <w:t>Essai d’une Théorie générale de la fraude en droit français</w:t>
      </w:r>
      <w:r w:rsidR="002A2A69">
        <w:rPr>
          <w:rFonts w:cs="Arial"/>
          <w:i/>
        </w:rPr>
        <w:t xml:space="preserve"> </w:t>
      </w:r>
      <w:r w:rsidR="001D022C" w:rsidRPr="001C21A3">
        <w:rPr>
          <w:rFonts w:cs="Arial"/>
          <w:i/>
        </w:rPr>
        <w:t>:</w:t>
      </w:r>
      <w:r w:rsidRPr="001C21A3">
        <w:rPr>
          <w:rFonts w:cs="Arial"/>
          <w:i/>
          <w:iCs/>
        </w:rPr>
        <w:t xml:space="preserve"> le principe « fraus omnia corrumpit »</w:t>
      </w:r>
      <w:r w:rsidRPr="001C21A3">
        <w:rPr>
          <w:rFonts w:cs="Arial"/>
        </w:rPr>
        <w:t>, Paris, Librairie Dalloz, 1957, p. 386.</w:t>
      </w:r>
    </w:p>
  </w:footnote>
  <w:footnote w:id="60">
    <w:p w14:paraId="573D6811" w14:textId="6AB7C9FA" w:rsidR="005206EF" w:rsidRPr="00641C40" w:rsidRDefault="005206EF" w:rsidP="005206EF">
      <w:pPr>
        <w:pStyle w:val="Notedebasdepage"/>
        <w:ind w:left="284" w:hanging="284"/>
        <w:rPr>
          <w:rFonts w:cs="Arial"/>
          <w:lang w:val="en-CA"/>
        </w:rPr>
      </w:pPr>
      <w:r w:rsidRPr="00641C40">
        <w:rPr>
          <w:rStyle w:val="Appelnotedebasdep"/>
          <w:rFonts w:cs="Arial"/>
          <w:lang w:val="en-CA"/>
        </w:rPr>
        <w:footnoteRef/>
      </w:r>
      <w:r w:rsidRPr="001C21A3">
        <w:rPr>
          <w:rFonts w:cs="Arial"/>
        </w:rPr>
        <w:tab/>
        <w:t xml:space="preserve">Commission on European Contract Law, </w:t>
      </w:r>
      <w:r w:rsidR="001C21A3">
        <w:rPr>
          <w:rFonts w:cs="Arial"/>
          <w:i/>
          <w:iCs/>
        </w:rPr>
        <w:t>Principles of European Contract Law</w:t>
      </w:r>
      <w:r w:rsidRPr="001C21A3">
        <w:rPr>
          <w:rFonts w:cs="Arial"/>
        </w:rPr>
        <w:t xml:space="preserve">, Paris, Société de législation comparée, 2003. </w:t>
      </w:r>
      <w:r w:rsidR="001D022C" w:rsidRPr="00641C40">
        <w:rPr>
          <w:rFonts w:cs="Arial"/>
          <w:lang w:val="en-CA"/>
        </w:rPr>
        <w:t>See also https:</w:t>
      </w:r>
      <w:r w:rsidRPr="00641C40">
        <w:rPr>
          <w:rFonts w:cs="Arial"/>
          <w:lang w:val="en-CA"/>
        </w:rPr>
        <w:t>//www.law.kuleuven.be/personal/mstorme/PECL.html.</w:t>
      </w:r>
    </w:p>
  </w:footnote>
  <w:footnote w:id="61">
    <w:p w14:paraId="3DADAE70" w14:textId="54BB31E6" w:rsidR="005206EF" w:rsidRPr="00641C40" w:rsidRDefault="005206EF" w:rsidP="005206EF">
      <w:pPr>
        <w:pStyle w:val="Notedebasdepage"/>
        <w:ind w:left="284" w:hanging="284"/>
        <w:rPr>
          <w:rFonts w:cs="Arial"/>
          <w:lang w:val="en-CA"/>
        </w:rPr>
      </w:pPr>
      <w:r w:rsidRPr="00641C40">
        <w:rPr>
          <w:rStyle w:val="Appelnotedebasdep"/>
          <w:rFonts w:cs="Arial"/>
          <w:lang w:val="en-CA"/>
        </w:rPr>
        <w:footnoteRef/>
      </w:r>
      <w:r w:rsidRPr="00641C40">
        <w:rPr>
          <w:rFonts w:cs="Arial"/>
          <w:lang w:val="en-CA"/>
        </w:rPr>
        <w:tab/>
      </w:r>
      <w:r w:rsidR="001D022C" w:rsidRPr="00641C40">
        <w:rPr>
          <w:rFonts w:cs="Arial"/>
          <w:lang w:val="en-CA"/>
        </w:rPr>
        <w:t xml:space="preserve">See also Ole Lando and Hugh Beale, </w:t>
      </w:r>
      <w:r w:rsidR="001D022C" w:rsidRPr="00641C40">
        <w:rPr>
          <w:rFonts w:cs="Arial"/>
          <w:i/>
          <w:lang w:val="en-CA"/>
        </w:rPr>
        <w:t xml:space="preserve">Principles of European </w:t>
      </w:r>
      <w:r w:rsidR="007C218E">
        <w:rPr>
          <w:rFonts w:cs="Arial"/>
          <w:i/>
          <w:lang w:val="en-CA"/>
        </w:rPr>
        <w:t>C</w:t>
      </w:r>
      <w:r w:rsidR="001D022C" w:rsidRPr="00641C40">
        <w:rPr>
          <w:rFonts w:cs="Arial"/>
          <w:i/>
          <w:lang w:val="en-CA"/>
        </w:rPr>
        <w:t xml:space="preserve">ontract </w:t>
      </w:r>
      <w:r w:rsidR="007C218E">
        <w:rPr>
          <w:rFonts w:cs="Arial"/>
          <w:i/>
          <w:lang w:val="en-CA"/>
        </w:rPr>
        <w:t>L</w:t>
      </w:r>
      <w:r w:rsidR="001D022C" w:rsidRPr="00641C40">
        <w:rPr>
          <w:rFonts w:cs="Arial"/>
          <w:i/>
          <w:lang w:val="en-CA"/>
        </w:rPr>
        <w:t>aw–Parts I and II</w:t>
      </w:r>
      <w:r w:rsidR="001D022C" w:rsidRPr="00641C40">
        <w:rPr>
          <w:rFonts w:cs="Arial"/>
          <w:lang w:val="en-CA"/>
        </w:rPr>
        <w:t xml:space="preserve">, </w:t>
      </w:r>
      <w:r w:rsidR="007C218E">
        <w:rPr>
          <w:rFonts w:cs="Arial"/>
          <w:lang w:val="en-CA"/>
        </w:rPr>
        <w:t>The Hague</w:t>
      </w:r>
      <w:r w:rsidR="001D022C" w:rsidRPr="00641C40">
        <w:rPr>
          <w:rFonts w:cs="Arial"/>
          <w:lang w:val="en-CA"/>
        </w:rPr>
        <w:t xml:space="preserve">, Kluwer Law International, 2000, p. 285, where, in a comment on </w:t>
      </w:r>
      <w:r w:rsidR="00780BED">
        <w:rPr>
          <w:rFonts w:cs="Arial"/>
          <w:lang w:val="en-CA"/>
        </w:rPr>
        <w:t>art.</w:t>
      </w:r>
      <w:r w:rsidR="001D022C" w:rsidRPr="00641C40">
        <w:rPr>
          <w:rFonts w:cs="Arial"/>
          <w:lang w:val="en-CA"/>
        </w:rPr>
        <w:t xml:space="preserve"> 4:118(1), the authors note that “[t]h</w:t>
      </w:r>
      <w:r w:rsidR="00780BED">
        <w:rPr>
          <w:rFonts w:cs="Arial"/>
          <w:lang w:val="en-CA"/>
        </w:rPr>
        <w:t>os</w:t>
      </w:r>
      <w:r w:rsidR="00641C40" w:rsidRPr="00641C40">
        <w:rPr>
          <w:rFonts w:cs="Arial"/>
          <w:lang w:val="en-CA"/>
        </w:rPr>
        <w:t>e</w:t>
      </w:r>
      <w:r w:rsidR="001D022C" w:rsidRPr="00641C40">
        <w:rPr>
          <w:rFonts w:cs="Arial"/>
          <w:lang w:val="en-CA"/>
        </w:rPr>
        <w:t xml:space="preserve"> legal systems in which this question has been discussed have generally held that remedies for grounds of invalidity involving immoral behaviour cannot be excluded”.</w:t>
      </w:r>
    </w:p>
  </w:footnote>
  <w:footnote w:id="62">
    <w:p w14:paraId="28EEFA51" w14:textId="148E8C6B" w:rsidR="002A0D72" w:rsidRPr="00641C40" w:rsidRDefault="003B1C16" w:rsidP="002A0D72">
      <w:pPr>
        <w:pStyle w:val="Notedebasdepage"/>
        <w:ind w:left="284" w:hanging="284"/>
        <w:rPr>
          <w:rFonts w:cs="Arial"/>
          <w:lang w:val="en-CA"/>
        </w:rPr>
      </w:pPr>
      <w:r w:rsidRPr="00641C40">
        <w:rPr>
          <w:rStyle w:val="Appelnotedebasdep"/>
          <w:rFonts w:cs="Arial"/>
          <w:lang w:val="en-CA"/>
        </w:rPr>
        <w:footnoteRef/>
      </w:r>
      <w:r w:rsidRPr="00641C40">
        <w:rPr>
          <w:rFonts w:cs="Arial"/>
          <w:lang w:val="en-CA"/>
        </w:rPr>
        <w:tab/>
      </w:r>
      <w:r w:rsidR="001D022C" w:rsidRPr="00641C40">
        <w:rPr>
          <w:rFonts w:cs="Arial"/>
          <w:lang w:val="en-CA"/>
        </w:rPr>
        <w:t xml:space="preserve">Andrew Burrows, </w:t>
      </w:r>
      <w:r w:rsidR="001D022C" w:rsidRPr="00641C40">
        <w:rPr>
          <w:rFonts w:cs="Arial"/>
          <w:i/>
          <w:lang w:val="en-CA"/>
        </w:rPr>
        <w:t>A Restatement of the English Law of Contract</w:t>
      </w:r>
      <w:r w:rsidR="001D022C" w:rsidRPr="00641C40">
        <w:rPr>
          <w:rFonts w:cs="Arial"/>
          <w:lang w:val="en-CA"/>
        </w:rPr>
        <w:t>, Oxford, Oxford University Press, 2</w:t>
      </w:r>
      <w:r w:rsidR="00641C40" w:rsidRPr="007C411F">
        <w:rPr>
          <w:rFonts w:cs="Arial"/>
          <w:lang w:val="en-CA"/>
        </w:rPr>
        <w:t>nd</w:t>
      </w:r>
      <w:r w:rsidR="00641C40" w:rsidRPr="00641C40">
        <w:rPr>
          <w:rFonts w:cs="Arial"/>
          <w:lang w:val="en-CA"/>
        </w:rPr>
        <w:t xml:space="preserve"> </w:t>
      </w:r>
      <w:r w:rsidR="001D022C" w:rsidRPr="00641C40">
        <w:rPr>
          <w:rFonts w:cs="Arial"/>
          <w:lang w:val="en-CA"/>
        </w:rPr>
        <w:t>ed., 2020, p. 237.</w:t>
      </w:r>
      <w:r w:rsidRPr="00641C40">
        <w:rPr>
          <w:rFonts w:cs="Arial"/>
          <w:lang w:val="en-CA"/>
        </w:rPr>
        <w:t xml:space="preserve"> </w:t>
      </w:r>
      <w:r w:rsidR="001D022C" w:rsidRPr="00641C40">
        <w:rPr>
          <w:rFonts w:cs="Arial"/>
          <w:lang w:val="en-CA"/>
        </w:rPr>
        <w:t>See also</w:t>
      </w:r>
      <w:r w:rsidR="00780BED">
        <w:rPr>
          <w:rFonts w:cs="Arial"/>
          <w:lang w:val="en-CA"/>
        </w:rPr>
        <w:t>,</w:t>
      </w:r>
      <w:r w:rsidR="001D022C" w:rsidRPr="00641C40">
        <w:rPr>
          <w:rFonts w:cs="Arial"/>
          <w:lang w:val="en-CA"/>
        </w:rPr>
        <w:t xml:space="preserve"> to similar effect</w:t>
      </w:r>
      <w:r w:rsidR="00104AA2">
        <w:rPr>
          <w:rFonts w:cs="Arial"/>
          <w:lang w:val="en-CA"/>
        </w:rPr>
        <w:t>,</w:t>
      </w:r>
      <w:r w:rsidR="001D022C" w:rsidRPr="00641C40">
        <w:rPr>
          <w:rFonts w:cs="Arial"/>
          <w:lang w:val="en-CA"/>
        </w:rPr>
        <w:t xml:space="preserve"> </w:t>
      </w:r>
      <w:r w:rsidR="001D022C" w:rsidRPr="00641C40">
        <w:rPr>
          <w:rFonts w:cs="Arial"/>
          <w:i/>
          <w:lang w:val="en-CA"/>
        </w:rPr>
        <w:t>HIH Casualty and General Insurance Ltd v. Chase Manhattan Bank</w:t>
      </w:r>
      <w:r w:rsidR="001D022C" w:rsidRPr="00641C40">
        <w:rPr>
          <w:rFonts w:cs="Arial"/>
          <w:lang w:val="en-CA"/>
        </w:rPr>
        <w:t>, [2003] UKHL 6, para</w:t>
      </w:r>
      <w:r w:rsidR="003D43D7">
        <w:rPr>
          <w:rFonts w:cs="Arial"/>
          <w:lang w:val="en-CA"/>
        </w:rPr>
        <w:t>s</w:t>
      </w:r>
      <w:r w:rsidR="001D022C" w:rsidRPr="00641C40">
        <w:rPr>
          <w:rFonts w:cs="Arial"/>
          <w:lang w:val="en-CA"/>
        </w:rPr>
        <w:t>.</w:t>
      </w:r>
      <w:r w:rsidRPr="00641C40">
        <w:rPr>
          <w:lang w:val="en-CA"/>
        </w:rPr>
        <w:t xml:space="preserve"> </w:t>
      </w:r>
      <w:r w:rsidR="001D022C" w:rsidRPr="00641C40">
        <w:rPr>
          <w:lang w:val="en-CA"/>
        </w:rPr>
        <w:t>16, 76</w:t>
      </w:r>
      <w:r w:rsidR="00780BED">
        <w:rPr>
          <w:lang w:val="en-CA"/>
        </w:rPr>
        <w:t>,</w:t>
      </w:r>
      <w:r w:rsidR="001D022C" w:rsidRPr="00641C40">
        <w:rPr>
          <w:lang w:val="en-CA"/>
        </w:rPr>
        <w:t xml:space="preserve"> and 121-122.</w:t>
      </w:r>
    </w:p>
  </w:footnote>
  <w:footnote w:id="63">
    <w:p w14:paraId="28E2E220" w14:textId="13A7A3C1" w:rsidR="00566345" w:rsidRPr="00641C40" w:rsidRDefault="00566345" w:rsidP="002A0D72">
      <w:pPr>
        <w:pStyle w:val="Notedebasdepage"/>
        <w:ind w:left="284" w:hanging="284"/>
        <w:rPr>
          <w:rFonts w:cs="Arial"/>
          <w:lang w:val="en-CA"/>
        </w:rPr>
      </w:pPr>
      <w:r w:rsidRPr="00641C40">
        <w:rPr>
          <w:rStyle w:val="Appelnotedebasdep"/>
          <w:rFonts w:cs="Arial"/>
          <w:lang w:val="en-CA"/>
        </w:rPr>
        <w:footnoteRef/>
      </w:r>
      <w:r w:rsidRPr="00641C40">
        <w:rPr>
          <w:rFonts w:cs="Arial"/>
          <w:lang w:val="en-CA"/>
        </w:rPr>
        <w:tab/>
      </w:r>
      <w:r w:rsidR="001D022C" w:rsidRPr="00641C40">
        <w:rPr>
          <w:rFonts w:cs="Arial"/>
          <w:lang w:val="en-CA"/>
        </w:rPr>
        <w:t xml:space="preserve">John D. McCamus, </w:t>
      </w:r>
      <w:r w:rsidR="001D022C" w:rsidRPr="00641C40">
        <w:rPr>
          <w:rFonts w:cs="Arial"/>
          <w:i/>
          <w:lang w:val="en-CA"/>
        </w:rPr>
        <w:t>The Law of Contracts</w:t>
      </w:r>
      <w:r w:rsidR="001D022C" w:rsidRPr="00641C40">
        <w:rPr>
          <w:rFonts w:cs="Arial"/>
          <w:lang w:val="en-CA"/>
        </w:rPr>
        <w:t>, 3</w:t>
      </w:r>
      <w:r w:rsidR="001D022C" w:rsidRPr="007C411F">
        <w:rPr>
          <w:rFonts w:cs="Arial"/>
          <w:lang w:val="en-CA"/>
        </w:rPr>
        <w:t>rd</w:t>
      </w:r>
      <w:r w:rsidR="001D022C" w:rsidRPr="00641C40">
        <w:rPr>
          <w:rFonts w:cs="Arial"/>
          <w:lang w:val="en-CA"/>
        </w:rPr>
        <w:t xml:space="preserve"> ed., Toronto, Irwin Law, 2020, p. 395-396.</w:t>
      </w:r>
    </w:p>
  </w:footnote>
  <w:footnote w:id="64">
    <w:p w14:paraId="2309B161" w14:textId="7856138E" w:rsidR="00566345" w:rsidRPr="00641C40" w:rsidRDefault="00566345" w:rsidP="002A0D72">
      <w:pPr>
        <w:pStyle w:val="Notedebasdepage"/>
        <w:ind w:left="284" w:hanging="284"/>
        <w:rPr>
          <w:rFonts w:cs="Arial"/>
          <w:lang w:val="en-CA"/>
        </w:rPr>
      </w:pPr>
      <w:r w:rsidRPr="00641C40">
        <w:rPr>
          <w:rStyle w:val="Appelnotedebasdep"/>
          <w:rFonts w:cs="Arial"/>
          <w:lang w:val="en-CA"/>
        </w:rPr>
        <w:footnoteRef/>
      </w:r>
      <w:r w:rsidRPr="00641C40">
        <w:rPr>
          <w:rFonts w:cs="Arial"/>
          <w:lang w:val="en-CA"/>
        </w:rPr>
        <w:tab/>
      </w:r>
      <w:r w:rsidR="001D022C" w:rsidRPr="00641C40">
        <w:rPr>
          <w:rFonts w:cs="Arial"/>
          <w:i/>
          <w:iCs/>
          <w:lang w:val="en-CA"/>
        </w:rPr>
        <w:t>Ibid.</w:t>
      </w:r>
    </w:p>
  </w:footnote>
  <w:footnote w:id="65">
    <w:p w14:paraId="1A6B5B9B" w14:textId="7F9ACCB2" w:rsidR="002A0D72" w:rsidRPr="00641C40" w:rsidRDefault="003B1C16" w:rsidP="002A0D72">
      <w:pPr>
        <w:pStyle w:val="Notedebasdepage"/>
        <w:ind w:left="284" w:hanging="284"/>
        <w:rPr>
          <w:rFonts w:cs="Arial"/>
          <w:lang w:val="en-CA"/>
        </w:rPr>
      </w:pPr>
      <w:r w:rsidRPr="00641C40">
        <w:rPr>
          <w:rStyle w:val="Appelnotedebasdep"/>
          <w:rFonts w:cs="Arial"/>
          <w:lang w:val="en-CA"/>
        </w:rPr>
        <w:footnoteRef/>
      </w:r>
      <w:r w:rsidRPr="00641C40">
        <w:rPr>
          <w:rFonts w:cs="Arial"/>
          <w:lang w:val="en-CA"/>
        </w:rPr>
        <w:tab/>
      </w:r>
      <w:r w:rsidR="001D022C" w:rsidRPr="00641C40">
        <w:rPr>
          <w:rFonts w:cs="Arial"/>
          <w:lang w:val="en-CA"/>
        </w:rPr>
        <w:t>International Institute for the Unification of Private Law (UNIDROIT), UNIDROIT Principles of International Commercial Contracts</w:t>
      </w:r>
      <w:r w:rsidR="001D022C" w:rsidRPr="00641C40">
        <w:rPr>
          <w:rFonts w:cs="Arial"/>
          <w:i/>
          <w:lang w:val="en-CA"/>
        </w:rPr>
        <w:t xml:space="preserve">— </w:t>
      </w:r>
      <w:r w:rsidR="001D022C" w:rsidRPr="00641C40">
        <w:rPr>
          <w:rFonts w:cs="Arial"/>
          <w:iCs/>
          <w:lang w:val="en-CA"/>
        </w:rPr>
        <w:t>2016</w:t>
      </w:r>
      <w:r w:rsidR="001D022C" w:rsidRPr="00641C40">
        <w:rPr>
          <w:rFonts w:cs="Arial"/>
          <w:lang w:val="en-CA"/>
        </w:rPr>
        <w:t>, 4</w:t>
      </w:r>
      <w:r w:rsidR="001D022C" w:rsidRPr="007C411F">
        <w:rPr>
          <w:rFonts w:cs="Arial"/>
          <w:lang w:val="en-CA"/>
        </w:rPr>
        <w:t>th</w:t>
      </w:r>
      <w:r w:rsidR="001D022C" w:rsidRPr="00641C40">
        <w:rPr>
          <w:rFonts w:cs="Arial"/>
          <w:lang w:val="en-CA"/>
        </w:rPr>
        <w:t xml:space="preserve"> ed., Rome, </w:t>
      </w:r>
      <w:r w:rsidR="001D022C" w:rsidRPr="00AA6367">
        <w:rPr>
          <w:rFonts w:cs="Arial"/>
          <w:caps/>
          <w:lang w:val="en-CA"/>
        </w:rPr>
        <w:t>Unidroit</w:t>
      </w:r>
      <w:r w:rsidR="001D022C" w:rsidRPr="00641C40">
        <w:rPr>
          <w:rFonts w:cs="Arial"/>
          <w:lang w:val="en-CA"/>
        </w:rPr>
        <w:t>, 2016.</w:t>
      </w:r>
    </w:p>
  </w:footnote>
  <w:footnote w:id="66">
    <w:p w14:paraId="23A60FE5" w14:textId="733F68E9" w:rsidR="002A0D72" w:rsidRPr="00641C40" w:rsidRDefault="003B1C16" w:rsidP="00780BED">
      <w:pPr>
        <w:pStyle w:val="Notedebasdepage"/>
        <w:ind w:left="284" w:hanging="284"/>
        <w:rPr>
          <w:rFonts w:cs="Arial"/>
          <w:lang w:val="en-CA"/>
        </w:rPr>
      </w:pPr>
      <w:r w:rsidRPr="00641C40">
        <w:rPr>
          <w:rStyle w:val="Appelnotedebasdep"/>
          <w:rFonts w:cs="Arial"/>
          <w:lang w:val="en-CA"/>
        </w:rPr>
        <w:footnoteRef/>
      </w:r>
      <w:r w:rsidRPr="00641C40">
        <w:rPr>
          <w:rFonts w:cs="Arial"/>
          <w:lang w:val="en-CA"/>
        </w:rPr>
        <w:tab/>
      </w:r>
      <w:r w:rsidR="00AB36D4" w:rsidRPr="00641C40">
        <w:rPr>
          <w:rFonts w:cs="Arial"/>
          <w:lang w:val="en-CA"/>
        </w:rPr>
        <w:t>Article</w:t>
      </w:r>
      <w:r w:rsidRPr="00641C40">
        <w:rPr>
          <w:rFonts w:cs="Arial"/>
          <w:lang w:val="en-CA"/>
        </w:rPr>
        <w:t xml:space="preserve"> 3.2.5 </w:t>
      </w:r>
      <w:r w:rsidR="00AB36D4" w:rsidRPr="00641C40">
        <w:rPr>
          <w:rFonts w:cs="Arial"/>
          <w:lang w:val="en-CA"/>
        </w:rPr>
        <w:t>of the Principles provides that “</w:t>
      </w:r>
      <w:r w:rsidR="00AB36D4" w:rsidRPr="004F1795">
        <w:rPr>
          <w:rFonts w:cs="Arial"/>
          <w:lang w:val="en-CA"/>
        </w:rPr>
        <w:t>[</w:t>
      </w:r>
      <w:r w:rsidR="00AB36D4" w:rsidRPr="00AA6367">
        <w:rPr>
          <w:rFonts w:eastAsia="Malgun Gothic" w:cs="Arial"/>
          <w:lang w:val="en-CA"/>
        </w:rPr>
        <w:t>a]</w:t>
      </w:r>
      <w:r w:rsidR="00AB36D4" w:rsidRPr="00641C40">
        <w:rPr>
          <w:rFonts w:ascii="Malgun Gothic" w:eastAsia="Malgun Gothic" w:hAnsi="Malgun Gothic" w:cs="Malgun Gothic"/>
          <w:lang w:val="en-CA"/>
        </w:rPr>
        <w:t xml:space="preserve"> </w:t>
      </w:r>
      <w:r w:rsidR="00AB36D4" w:rsidRPr="00641C40">
        <w:rPr>
          <w:lang w:val="en-CA"/>
        </w:rPr>
        <w:t>party may avoid the contract when it has been led to conclude the contract by the other party’s fraudulent representation, including language or practices, or fraudulent non-disclosure of circumstances which, according to reasonable commercial standards of fair dealing, the latter party should have disclosed</w:t>
      </w:r>
      <w:r w:rsidR="00CF6C74" w:rsidRPr="00641C40">
        <w:rPr>
          <w:lang w:val="en-CA"/>
        </w:rPr>
        <w:t xml:space="preserve">”. Article </w:t>
      </w:r>
      <w:r w:rsidR="00CF6C74" w:rsidRPr="00641C40">
        <w:rPr>
          <w:rFonts w:cs="Arial"/>
          <w:lang w:val="en-CA"/>
        </w:rPr>
        <w:t xml:space="preserve">3.1.4 adds, [t]he provisions on fraud, threat, gross disparity and illegality contained in this Chapter are mandatory”. The official comments state that the </w:t>
      </w:r>
      <w:r w:rsidR="00D61CEC" w:rsidRPr="00641C40">
        <w:rPr>
          <w:rFonts w:cs="Arial"/>
          <w:lang w:val="en-CA"/>
        </w:rPr>
        <w:t xml:space="preserve">mandatory </w:t>
      </w:r>
      <w:r w:rsidR="004A06EB">
        <w:rPr>
          <w:rFonts w:cs="Arial"/>
          <w:lang w:val="en-CA"/>
        </w:rPr>
        <w:t>nature</w:t>
      </w:r>
      <w:r w:rsidR="004A06EB" w:rsidRPr="00641C40">
        <w:rPr>
          <w:rFonts w:cs="Arial"/>
          <w:lang w:val="en-CA"/>
        </w:rPr>
        <w:t xml:space="preserve"> </w:t>
      </w:r>
      <w:r w:rsidR="00CF6C74" w:rsidRPr="00641C40">
        <w:rPr>
          <w:rFonts w:cs="Arial"/>
          <w:lang w:val="en-CA"/>
        </w:rPr>
        <w:t xml:space="preserve">can be explained by the fact that </w:t>
      </w:r>
      <w:r w:rsidR="00C764C2">
        <w:rPr>
          <w:rFonts w:cs="Arial"/>
          <w:lang w:val="en-CA"/>
        </w:rPr>
        <w:t>“</w:t>
      </w:r>
      <w:r w:rsidRPr="00641C40">
        <w:rPr>
          <w:rFonts w:cs="Arial"/>
          <w:lang w:val="en-CA"/>
        </w:rPr>
        <w:t>[i]</w:t>
      </w:r>
      <w:r w:rsidR="0006601E" w:rsidRPr="00641C40">
        <w:rPr>
          <w:rFonts w:cs="Arial"/>
          <w:lang w:val="en-CA"/>
        </w:rPr>
        <w:t xml:space="preserve">t would be contrary to good faith for the parties to exclude or modify these provisions when concluding their contract” </w:t>
      </w:r>
      <w:r w:rsidRPr="00641C40">
        <w:rPr>
          <w:rFonts w:cs="Arial"/>
          <w:lang w:val="en-CA"/>
        </w:rPr>
        <w:t>(</w:t>
      </w:r>
      <w:r w:rsidR="001D022C" w:rsidRPr="00641C40">
        <w:rPr>
          <w:rFonts w:cs="Arial"/>
          <w:lang w:val="en-CA"/>
        </w:rPr>
        <w:t>International Institute for the Unification of Private Law</w:t>
      </w:r>
      <w:r w:rsidRPr="00641C40">
        <w:rPr>
          <w:rFonts w:cs="Arial"/>
          <w:lang w:val="en-CA"/>
        </w:rPr>
        <w:t xml:space="preserve"> (</w:t>
      </w:r>
      <w:r w:rsidRPr="00641C40">
        <w:rPr>
          <w:rFonts w:cs="Arial"/>
          <w:smallCaps/>
          <w:lang w:val="en-CA"/>
        </w:rPr>
        <w:t>U</w:t>
      </w:r>
      <w:r w:rsidRPr="00AA6367">
        <w:rPr>
          <w:rFonts w:cs="Arial"/>
          <w:caps/>
          <w:lang w:val="en-CA"/>
        </w:rPr>
        <w:t>nidroit</w:t>
      </w:r>
      <w:r w:rsidRPr="00641C40">
        <w:rPr>
          <w:rFonts w:cs="Arial"/>
          <w:lang w:val="en-CA"/>
        </w:rPr>
        <w:t>)</w:t>
      </w:r>
      <w:r w:rsidR="00C015B1" w:rsidRPr="00641C40">
        <w:rPr>
          <w:rFonts w:cs="Arial"/>
          <w:lang w:val="en-CA"/>
        </w:rPr>
        <w:t>)</w:t>
      </w:r>
      <w:r w:rsidRPr="00641C40">
        <w:rPr>
          <w:rFonts w:cs="Arial"/>
          <w:lang w:val="en-CA"/>
        </w:rPr>
        <w:t xml:space="preserve">, </w:t>
      </w:r>
      <w:r w:rsidR="00C015B1" w:rsidRPr="00641C40">
        <w:rPr>
          <w:rFonts w:cs="Arial"/>
          <w:lang w:val="en-CA"/>
        </w:rPr>
        <w:t xml:space="preserve">UNIDROIT Principles of International Commercial Contracts </w:t>
      </w:r>
      <w:r w:rsidRPr="00641C40">
        <w:rPr>
          <w:i/>
          <w:iCs/>
          <w:lang w:val="en-CA"/>
        </w:rPr>
        <w:t xml:space="preserve">— </w:t>
      </w:r>
      <w:r w:rsidRPr="00AA6367">
        <w:rPr>
          <w:lang w:val="en-CA"/>
        </w:rPr>
        <w:t>2016</w:t>
      </w:r>
      <w:r w:rsidRPr="00641C40">
        <w:rPr>
          <w:rFonts w:cs="Arial"/>
          <w:lang w:val="en-CA"/>
        </w:rPr>
        <w:t>, 4</w:t>
      </w:r>
      <w:r w:rsidR="00C015B1" w:rsidRPr="007C411F">
        <w:rPr>
          <w:rFonts w:cs="Arial"/>
          <w:lang w:val="en-CA"/>
        </w:rPr>
        <w:t>th</w:t>
      </w:r>
      <w:r w:rsidR="00C015B1" w:rsidRPr="00641C40">
        <w:rPr>
          <w:rFonts w:cs="Arial"/>
          <w:vertAlign w:val="superscript"/>
          <w:lang w:val="en-CA"/>
        </w:rPr>
        <w:t xml:space="preserve"> </w:t>
      </w:r>
      <w:r w:rsidR="00C015B1" w:rsidRPr="00641C40">
        <w:rPr>
          <w:rFonts w:cs="Arial"/>
          <w:lang w:val="en-CA"/>
        </w:rPr>
        <w:t>e</w:t>
      </w:r>
      <w:r w:rsidRPr="00641C40">
        <w:rPr>
          <w:rFonts w:cs="Arial"/>
          <w:lang w:val="en-CA"/>
        </w:rPr>
        <w:t xml:space="preserve">d., Rome, </w:t>
      </w:r>
      <w:r w:rsidR="00D76AC7" w:rsidRPr="00641C40">
        <w:rPr>
          <w:rFonts w:cs="Arial"/>
          <w:lang w:val="en-CA"/>
        </w:rPr>
        <w:t>U</w:t>
      </w:r>
      <w:r w:rsidR="00D76AC7">
        <w:rPr>
          <w:rFonts w:cs="Arial"/>
          <w:lang w:val="en-CA"/>
        </w:rPr>
        <w:t>NIDROIT</w:t>
      </w:r>
      <w:r w:rsidRPr="00641C40">
        <w:rPr>
          <w:rFonts w:cs="Arial"/>
          <w:lang w:val="en-CA"/>
        </w:rPr>
        <w:t>, 2016, p. 104).</w:t>
      </w:r>
    </w:p>
  </w:footnote>
  <w:footnote w:id="67">
    <w:p w14:paraId="34BC7BB7" w14:textId="45DAEFC2" w:rsidR="002A0D72" w:rsidRPr="001C21A3" w:rsidRDefault="003B1C16" w:rsidP="0030218A">
      <w:pPr>
        <w:pStyle w:val="Notedebasdepage"/>
        <w:widowControl w:val="0"/>
        <w:ind w:left="284" w:hanging="284"/>
        <w:rPr>
          <w:rFonts w:cs="Arial"/>
          <w:lang w:val="en-CA"/>
        </w:rPr>
      </w:pPr>
      <w:r w:rsidRPr="00641C40">
        <w:rPr>
          <w:rStyle w:val="Appelnotedebasdep"/>
          <w:rFonts w:cs="Arial"/>
          <w:lang w:val="en-CA"/>
        </w:rPr>
        <w:footnoteRef/>
      </w:r>
      <w:r w:rsidRPr="00641C40">
        <w:rPr>
          <w:rFonts w:cs="Arial"/>
          <w:lang w:val="en-CA"/>
        </w:rPr>
        <w:tab/>
      </w:r>
      <w:r w:rsidR="0057111F" w:rsidRPr="00641C40">
        <w:rPr>
          <w:rFonts w:cs="Arial"/>
          <w:lang w:val="en-CA"/>
        </w:rPr>
        <w:t>See</w:t>
      </w:r>
      <w:r w:rsidR="00104AA2">
        <w:rPr>
          <w:rFonts w:cs="Arial"/>
          <w:lang w:val="en-CA"/>
        </w:rPr>
        <w:t>,</w:t>
      </w:r>
      <w:r w:rsidR="00C764C2">
        <w:rPr>
          <w:rFonts w:cs="Arial"/>
          <w:lang w:val="en-CA"/>
        </w:rPr>
        <w:t xml:space="preserve"> to similar effect</w:t>
      </w:r>
      <w:r w:rsidR="00104AA2">
        <w:rPr>
          <w:rFonts w:cs="Arial"/>
          <w:lang w:val="en-CA"/>
        </w:rPr>
        <w:t>,</w:t>
      </w:r>
      <w:r w:rsidRPr="00641C40">
        <w:rPr>
          <w:rFonts w:cs="Arial"/>
          <w:lang w:val="en-CA"/>
        </w:rPr>
        <w:t xml:space="preserve"> </w:t>
      </w:r>
      <w:r w:rsidR="0057111F" w:rsidRPr="00641C40">
        <w:rPr>
          <w:rFonts w:cs="Arial"/>
          <w:iCs/>
          <w:szCs w:val="24"/>
          <w:lang w:val="en-CA"/>
        </w:rPr>
        <w:t>UNIDROIT Principles of International Commercial Contracts</w:t>
      </w:r>
      <w:r w:rsidR="0057111F" w:rsidRPr="00641C40">
        <w:rPr>
          <w:i/>
          <w:iCs/>
          <w:lang w:val="en-CA"/>
        </w:rPr>
        <w:t xml:space="preserve"> </w:t>
      </w:r>
      <w:r w:rsidRPr="00641C40">
        <w:rPr>
          <w:lang w:val="en-CA"/>
        </w:rPr>
        <w:t xml:space="preserve">— </w:t>
      </w:r>
      <w:r w:rsidRPr="00641C40">
        <w:rPr>
          <w:rFonts w:cs="Arial"/>
          <w:lang w:val="en-CA"/>
        </w:rPr>
        <w:t>1994, Rome, U</w:t>
      </w:r>
      <w:r w:rsidRPr="00AA6367">
        <w:rPr>
          <w:rFonts w:cs="Arial"/>
          <w:caps/>
          <w:lang w:val="en-CA"/>
        </w:rPr>
        <w:t>nidroit</w:t>
      </w:r>
      <w:r w:rsidRPr="00641C40">
        <w:rPr>
          <w:rFonts w:cs="Arial"/>
          <w:lang w:val="en-CA"/>
        </w:rPr>
        <w:t xml:space="preserve">, 1994, p. vii-viii; Michael Joachim Bonell, </w:t>
      </w:r>
      <w:r w:rsidR="0057111F" w:rsidRPr="00641C40">
        <w:rPr>
          <w:rFonts w:cs="Arial"/>
          <w:lang w:val="en-CA"/>
        </w:rPr>
        <w:t>“</w:t>
      </w:r>
      <w:r w:rsidRPr="00641C40">
        <w:rPr>
          <w:rFonts w:cs="Arial"/>
          <w:lang w:val="en-CA"/>
        </w:rPr>
        <w:t xml:space="preserve">The </w:t>
      </w:r>
      <w:r w:rsidRPr="00641C40">
        <w:rPr>
          <w:rFonts w:cs="Arial"/>
          <w:smallCaps/>
          <w:lang w:val="en-CA"/>
        </w:rPr>
        <w:t xml:space="preserve">Unidroit </w:t>
      </w:r>
      <w:r w:rsidRPr="00641C40">
        <w:rPr>
          <w:rFonts w:cs="Arial"/>
          <w:lang w:val="en-CA"/>
        </w:rPr>
        <w:t>Principles of International Commercial Contracts and the harmonisation of international sales law</w:t>
      </w:r>
      <w:r w:rsidR="0057111F" w:rsidRPr="00641C40">
        <w:rPr>
          <w:rFonts w:cs="Arial"/>
          <w:lang w:val="en-CA"/>
        </w:rPr>
        <w:t>”</w:t>
      </w:r>
      <w:r w:rsidRPr="00641C40">
        <w:rPr>
          <w:rFonts w:cs="Arial"/>
          <w:lang w:val="en-CA"/>
        </w:rPr>
        <w:t xml:space="preserve">, (2002) 36 </w:t>
      </w:r>
      <w:r w:rsidRPr="00641C40">
        <w:rPr>
          <w:rFonts w:cs="Arial"/>
          <w:i/>
          <w:iCs/>
          <w:lang w:val="en-CA"/>
        </w:rPr>
        <w:t>R.J.T.U.M.</w:t>
      </w:r>
      <w:r w:rsidRPr="00641C40">
        <w:rPr>
          <w:rFonts w:cs="Arial"/>
          <w:lang w:val="en-CA"/>
        </w:rPr>
        <w:t xml:space="preserve"> 335, p. 341; Anne-Marie Trahan, </w:t>
      </w:r>
      <w:r w:rsidR="0057111F" w:rsidRPr="00641C40">
        <w:rPr>
          <w:rFonts w:cs="Arial"/>
          <w:lang w:val="en-CA"/>
        </w:rPr>
        <w:t>“</w:t>
      </w:r>
      <w:r w:rsidRPr="00641C40">
        <w:rPr>
          <w:rFonts w:cs="Arial"/>
          <w:lang w:val="en-CA"/>
        </w:rPr>
        <w:t>Principes d’</w:t>
      </w:r>
      <w:r w:rsidRPr="00AA6367">
        <w:rPr>
          <w:rFonts w:cs="Arial"/>
          <w:caps/>
          <w:lang w:val="en-CA"/>
        </w:rPr>
        <w:t>Unidroit</w:t>
      </w:r>
      <w:r w:rsidRPr="00641C40">
        <w:rPr>
          <w:rFonts w:cs="Arial"/>
          <w:lang w:val="en-CA"/>
        </w:rPr>
        <w:t xml:space="preserve"> relatifs aux contrats du commerce international</w:t>
      </w:r>
      <w:r w:rsidR="0057111F" w:rsidRPr="00641C40">
        <w:rPr>
          <w:rFonts w:cs="Arial"/>
          <w:lang w:val="en-CA"/>
        </w:rPr>
        <w:t>”</w:t>
      </w:r>
      <w:r w:rsidRPr="00641C40">
        <w:rPr>
          <w:rFonts w:cs="Arial"/>
          <w:lang w:val="en-CA"/>
        </w:rPr>
        <w:t xml:space="preserve">, (2002) 36 </w:t>
      </w:r>
      <w:r w:rsidRPr="00641C40">
        <w:rPr>
          <w:rFonts w:cs="Arial"/>
          <w:i/>
          <w:iCs/>
          <w:lang w:val="en-CA"/>
        </w:rPr>
        <w:t xml:space="preserve">R.J.T.U.M. </w:t>
      </w:r>
      <w:r w:rsidRPr="00641C40">
        <w:rPr>
          <w:rFonts w:cs="Arial"/>
          <w:lang w:val="en-CA"/>
        </w:rPr>
        <w:t>623, p. 629.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14E3" w14:textId="3B7C1588" w:rsidR="002A0D72" w:rsidRDefault="003B1C16" w:rsidP="00A0208D">
    <w:pPr>
      <w:tabs>
        <w:tab w:val="center" w:pos="4709"/>
        <w:tab w:val="right" w:pos="9360"/>
      </w:tabs>
      <w:spacing w:line="360" w:lineRule="auto"/>
      <w:ind w:right="524"/>
    </w:pPr>
    <w:r>
      <w:t xml:space="preserve">500-09-030822-233 </w:t>
    </w:r>
    <w:r>
      <w:tab/>
    </w:r>
    <w:r>
      <w:tab/>
    </w:r>
    <w:r w:rsidRPr="00641C40">
      <w:t>PAGE:</w:t>
    </w:r>
    <w:r>
      <w:t xml:space="preserve"> </w:t>
    </w:r>
    <w:r>
      <w:fldChar w:fldCharType="begin"/>
    </w:r>
    <w:r>
      <w:instrText xml:space="preserve"> PAGE </w:instrText>
    </w:r>
    <w:r>
      <w:fldChar w:fldCharType="separate"/>
    </w:r>
    <w:r>
      <w:t>1</w:t>
    </w:r>
    <w:r>
      <w:fldChar w:fldCharType="end"/>
    </w:r>
  </w:p>
  <w:p w14:paraId="3A86453A" w14:textId="77777777" w:rsidR="003F39BF" w:rsidRDefault="003F39BF" w:rsidP="00A0208D">
    <w:pPr>
      <w:tabs>
        <w:tab w:val="center" w:pos="4709"/>
        <w:tab w:val="right" w:pos="9360"/>
      </w:tabs>
      <w:spacing w:line="360" w:lineRule="auto"/>
      <w:ind w:right="52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2DBB" w14:textId="43D70C68" w:rsidR="007E33E4" w:rsidRDefault="003B1C16" w:rsidP="00DB2119">
    <w:pPr>
      <w:tabs>
        <w:tab w:val="center" w:pos="4709"/>
        <w:tab w:val="right" w:pos="9360"/>
      </w:tabs>
      <w:spacing w:line="360" w:lineRule="auto"/>
      <w:ind w:right="524"/>
    </w:pPr>
    <w:bookmarkStart w:id="13" w:name="EntDossier"/>
    <w:r>
      <w:t>500-09-030822-233</w:t>
    </w:r>
    <w:bookmarkEnd w:id="13"/>
    <w:r>
      <w:t xml:space="preserve"> </w:t>
    </w:r>
    <w:r>
      <w:tab/>
    </w:r>
    <w:r>
      <w:tab/>
    </w:r>
    <w:r w:rsidRPr="00641C40">
      <w:t>PAGE:</w:t>
    </w:r>
    <w:r>
      <w:t xml:space="preserve"> </w:t>
    </w:r>
    <w:r>
      <w:fldChar w:fldCharType="begin"/>
    </w:r>
    <w:r>
      <w:instrText xml:space="preserve"> PAGE </w:instrText>
    </w:r>
    <w:r>
      <w:fldChar w:fldCharType="separate"/>
    </w:r>
    <w:r w:rsidR="008D18FC">
      <w:rPr>
        <w:noProof/>
      </w:rPr>
      <w:t>2</w:t>
    </w:r>
    <w:r>
      <w:fldChar w:fldCharType="end"/>
    </w:r>
  </w:p>
  <w:p w14:paraId="7E515791" w14:textId="77777777" w:rsidR="007E33E4" w:rsidRDefault="007E33E4" w:rsidP="00DB2119">
    <w:pPr>
      <w:tabs>
        <w:tab w:val="center" w:pos="4709"/>
        <w:tab w:val="right" w:pos="9360"/>
      </w:tabs>
      <w:spacing w:line="360" w:lineRule="auto"/>
      <w:ind w:right="52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1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12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2647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1C3B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EAB8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219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07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6436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CE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34AE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1C76EA"/>
    <w:multiLevelType w:val="hybridMultilevel"/>
    <w:tmpl w:val="E402BF4C"/>
    <w:lvl w:ilvl="0" w:tplc="C754701C">
      <w:start w:val="1"/>
      <w:numFmt w:val="decimal"/>
      <w:lvlText w:val="%1."/>
      <w:lvlJc w:val="left"/>
      <w:pPr>
        <w:ind w:left="1353" w:hanging="360"/>
      </w:pPr>
      <w:rPr>
        <w:rFonts w:hint="default"/>
      </w:rPr>
    </w:lvl>
    <w:lvl w:ilvl="1" w:tplc="5F7ECAF2" w:tentative="1">
      <w:start w:val="1"/>
      <w:numFmt w:val="lowerLetter"/>
      <w:lvlText w:val="%2."/>
      <w:lvlJc w:val="left"/>
      <w:pPr>
        <w:ind w:left="2073" w:hanging="360"/>
      </w:pPr>
    </w:lvl>
    <w:lvl w:ilvl="2" w:tplc="2770591E" w:tentative="1">
      <w:start w:val="1"/>
      <w:numFmt w:val="lowerRoman"/>
      <w:lvlText w:val="%3."/>
      <w:lvlJc w:val="right"/>
      <w:pPr>
        <w:ind w:left="2793" w:hanging="180"/>
      </w:pPr>
    </w:lvl>
    <w:lvl w:ilvl="3" w:tplc="6352C56E" w:tentative="1">
      <w:start w:val="1"/>
      <w:numFmt w:val="decimal"/>
      <w:lvlText w:val="%4."/>
      <w:lvlJc w:val="left"/>
      <w:pPr>
        <w:ind w:left="3513" w:hanging="360"/>
      </w:pPr>
    </w:lvl>
    <w:lvl w:ilvl="4" w:tplc="C2E8EBBE" w:tentative="1">
      <w:start w:val="1"/>
      <w:numFmt w:val="lowerLetter"/>
      <w:lvlText w:val="%5."/>
      <w:lvlJc w:val="left"/>
      <w:pPr>
        <w:ind w:left="4233" w:hanging="360"/>
      </w:pPr>
    </w:lvl>
    <w:lvl w:ilvl="5" w:tplc="8A0C7672" w:tentative="1">
      <w:start w:val="1"/>
      <w:numFmt w:val="lowerRoman"/>
      <w:lvlText w:val="%6."/>
      <w:lvlJc w:val="right"/>
      <w:pPr>
        <w:ind w:left="4953" w:hanging="180"/>
      </w:pPr>
    </w:lvl>
    <w:lvl w:ilvl="6" w:tplc="5BE0F404" w:tentative="1">
      <w:start w:val="1"/>
      <w:numFmt w:val="decimal"/>
      <w:lvlText w:val="%7."/>
      <w:lvlJc w:val="left"/>
      <w:pPr>
        <w:ind w:left="5673" w:hanging="360"/>
      </w:pPr>
    </w:lvl>
    <w:lvl w:ilvl="7" w:tplc="D7DA7870" w:tentative="1">
      <w:start w:val="1"/>
      <w:numFmt w:val="lowerLetter"/>
      <w:lvlText w:val="%8."/>
      <w:lvlJc w:val="left"/>
      <w:pPr>
        <w:ind w:left="6393" w:hanging="360"/>
      </w:pPr>
    </w:lvl>
    <w:lvl w:ilvl="8" w:tplc="FFAE4772" w:tentative="1">
      <w:start w:val="1"/>
      <w:numFmt w:val="lowerRoman"/>
      <w:lvlText w:val="%9."/>
      <w:lvlJc w:val="right"/>
      <w:pPr>
        <w:ind w:left="7113" w:hanging="180"/>
      </w:pPr>
    </w:lvl>
  </w:abstractNum>
  <w:abstractNum w:abstractNumId="11" w15:restartNumberingAfterBreak="0">
    <w:nsid w:val="28BB52DE"/>
    <w:multiLevelType w:val="multilevel"/>
    <w:tmpl w:val="689EF132"/>
    <w:lvl w:ilvl="0">
      <w:start w:val="1"/>
      <w:numFmt w:val="decimal"/>
      <w:pStyle w:val="Paragraphe"/>
      <w:lvlText w:val="[%1]"/>
      <w:lvlJc w:val="left"/>
      <w:pPr>
        <w:tabs>
          <w:tab w:val="num" w:pos="720"/>
        </w:tabs>
        <w:ind w:left="0" w:firstLine="0"/>
      </w:pPr>
      <w:rPr>
        <w:rFonts w:hint="default"/>
        <w:b w:val="0"/>
        <w:bCs w:val="0"/>
        <w:sz w:val="24"/>
        <w:szCs w:val="24"/>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4893602"/>
    <w:multiLevelType w:val="hybridMultilevel"/>
    <w:tmpl w:val="4956F7AC"/>
    <w:lvl w:ilvl="0" w:tplc="7BDAF5D2">
      <w:start w:val="1"/>
      <w:numFmt w:val="bullet"/>
      <w:lvlText w:val=""/>
      <w:lvlJc w:val="left"/>
      <w:pPr>
        <w:ind w:left="720" w:hanging="360"/>
      </w:pPr>
      <w:rPr>
        <w:rFonts w:ascii="Symbol" w:hAnsi="Symbol" w:hint="default"/>
      </w:rPr>
    </w:lvl>
    <w:lvl w:ilvl="1" w:tplc="15024B8C" w:tentative="1">
      <w:start w:val="1"/>
      <w:numFmt w:val="bullet"/>
      <w:lvlText w:val="o"/>
      <w:lvlJc w:val="left"/>
      <w:pPr>
        <w:ind w:left="1440" w:hanging="360"/>
      </w:pPr>
      <w:rPr>
        <w:rFonts w:ascii="Courier New" w:hAnsi="Courier New" w:cs="Courier New" w:hint="default"/>
      </w:rPr>
    </w:lvl>
    <w:lvl w:ilvl="2" w:tplc="AF282612" w:tentative="1">
      <w:start w:val="1"/>
      <w:numFmt w:val="bullet"/>
      <w:lvlText w:val=""/>
      <w:lvlJc w:val="left"/>
      <w:pPr>
        <w:ind w:left="2160" w:hanging="360"/>
      </w:pPr>
      <w:rPr>
        <w:rFonts w:ascii="Wingdings" w:hAnsi="Wingdings" w:hint="default"/>
      </w:rPr>
    </w:lvl>
    <w:lvl w:ilvl="3" w:tplc="DFDA5F60" w:tentative="1">
      <w:start w:val="1"/>
      <w:numFmt w:val="bullet"/>
      <w:lvlText w:val=""/>
      <w:lvlJc w:val="left"/>
      <w:pPr>
        <w:ind w:left="2880" w:hanging="360"/>
      </w:pPr>
      <w:rPr>
        <w:rFonts w:ascii="Symbol" w:hAnsi="Symbol" w:hint="default"/>
      </w:rPr>
    </w:lvl>
    <w:lvl w:ilvl="4" w:tplc="498856AA" w:tentative="1">
      <w:start w:val="1"/>
      <w:numFmt w:val="bullet"/>
      <w:lvlText w:val="o"/>
      <w:lvlJc w:val="left"/>
      <w:pPr>
        <w:ind w:left="3600" w:hanging="360"/>
      </w:pPr>
      <w:rPr>
        <w:rFonts w:ascii="Courier New" w:hAnsi="Courier New" w:cs="Courier New" w:hint="default"/>
      </w:rPr>
    </w:lvl>
    <w:lvl w:ilvl="5" w:tplc="3C8EA28C" w:tentative="1">
      <w:start w:val="1"/>
      <w:numFmt w:val="bullet"/>
      <w:lvlText w:val=""/>
      <w:lvlJc w:val="left"/>
      <w:pPr>
        <w:ind w:left="4320" w:hanging="360"/>
      </w:pPr>
      <w:rPr>
        <w:rFonts w:ascii="Wingdings" w:hAnsi="Wingdings" w:hint="default"/>
      </w:rPr>
    </w:lvl>
    <w:lvl w:ilvl="6" w:tplc="775C8D44" w:tentative="1">
      <w:start w:val="1"/>
      <w:numFmt w:val="bullet"/>
      <w:lvlText w:val=""/>
      <w:lvlJc w:val="left"/>
      <w:pPr>
        <w:ind w:left="5040" w:hanging="360"/>
      </w:pPr>
      <w:rPr>
        <w:rFonts w:ascii="Symbol" w:hAnsi="Symbol" w:hint="default"/>
      </w:rPr>
    </w:lvl>
    <w:lvl w:ilvl="7" w:tplc="F19CB416" w:tentative="1">
      <w:start w:val="1"/>
      <w:numFmt w:val="bullet"/>
      <w:lvlText w:val="o"/>
      <w:lvlJc w:val="left"/>
      <w:pPr>
        <w:ind w:left="5760" w:hanging="360"/>
      </w:pPr>
      <w:rPr>
        <w:rFonts w:ascii="Courier New" w:hAnsi="Courier New" w:cs="Courier New" w:hint="default"/>
      </w:rPr>
    </w:lvl>
    <w:lvl w:ilvl="8" w:tplc="1D4A08AC" w:tentative="1">
      <w:start w:val="1"/>
      <w:numFmt w:val="bullet"/>
      <w:lvlText w:val=""/>
      <w:lvlJc w:val="left"/>
      <w:pPr>
        <w:ind w:left="6480" w:hanging="360"/>
      </w:pPr>
      <w:rPr>
        <w:rFonts w:ascii="Wingdings" w:hAnsi="Wingdings" w:hint="default"/>
      </w:rPr>
    </w:lvl>
  </w:abstractNum>
  <w:abstractNum w:abstractNumId="13" w15:restartNumberingAfterBreak="0">
    <w:nsid w:val="35BA5FDE"/>
    <w:multiLevelType w:val="hybridMultilevel"/>
    <w:tmpl w:val="8534910C"/>
    <w:lvl w:ilvl="0" w:tplc="E756735E">
      <w:start w:val="1"/>
      <w:numFmt w:val="upperLetter"/>
      <w:lvlText w:val="%1."/>
      <w:lvlJc w:val="left"/>
      <w:pPr>
        <w:ind w:left="720" w:hanging="360"/>
      </w:pPr>
      <w:rPr>
        <w:rFonts w:hint="default"/>
        <w:b/>
        <w:bCs/>
      </w:rPr>
    </w:lvl>
    <w:lvl w:ilvl="1" w:tplc="778A616E" w:tentative="1">
      <w:start w:val="1"/>
      <w:numFmt w:val="lowerLetter"/>
      <w:lvlText w:val="%2."/>
      <w:lvlJc w:val="left"/>
      <w:pPr>
        <w:ind w:left="1440" w:hanging="360"/>
      </w:pPr>
    </w:lvl>
    <w:lvl w:ilvl="2" w:tplc="3D74F080" w:tentative="1">
      <w:start w:val="1"/>
      <w:numFmt w:val="lowerRoman"/>
      <w:lvlText w:val="%3."/>
      <w:lvlJc w:val="right"/>
      <w:pPr>
        <w:ind w:left="2160" w:hanging="180"/>
      </w:pPr>
    </w:lvl>
    <w:lvl w:ilvl="3" w:tplc="EDCC28FE" w:tentative="1">
      <w:start w:val="1"/>
      <w:numFmt w:val="decimal"/>
      <w:lvlText w:val="%4."/>
      <w:lvlJc w:val="left"/>
      <w:pPr>
        <w:ind w:left="2880" w:hanging="360"/>
      </w:pPr>
    </w:lvl>
    <w:lvl w:ilvl="4" w:tplc="E6248022" w:tentative="1">
      <w:start w:val="1"/>
      <w:numFmt w:val="lowerLetter"/>
      <w:lvlText w:val="%5."/>
      <w:lvlJc w:val="left"/>
      <w:pPr>
        <w:ind w:left="3600" w:hanging="360"/>
      </w:pPr>
    </w:lvl>
    <w:lvl w:ilvl="5" w:tplc="28E678DA" w:tentative="1">
      <w:start w:val="1"/>
      <w:numFmt w:val="lowerRoman"/>
      <w:lvlText w:val="%6."/>
      <w:lvlJc w:val="right"/>
      <w:pPr>
        <w:ind w:left="4320" w:hanging="180"/>
      </w:pPr>
    </w:lvl>
    <w:lvl w:ilvl="6" w:tplc="B3182E30" w:tentative="1">
      <w:start w:val="1"/>
      <w:numFmt w:val="decimal"/>
      <w:lvlText w:val="%7."/>
      <w:lvlJc w:val="left"/>
      <w:pPr>
        <w:ind w:left="5040" w:hanging="360"/>
      </w:pPr>
    </w:lvl>
    <w:lvl w:ilvl="7" w:tplc="674EA578" w:tentative="1">
      <w:start w:val="1"/>
      <w:numFmt w:val="lowerLetter"/>
      <w:lvlText w:val="%8."/>
      <w:lvlJc w:val="left"/>
      <w:pPr>
        <w:ind w:left="5760" w:hanging="360"/>
      </w:pPr>
    </w:lvl>
    <w:lvl w:ilvl="8" w:tplc="65CCBFFE" w:tentative="1">
      <w:start w:val="1"/>
      <w:numFmt w:val="lowerRoman"/>
      <w:lvlText w:val="%9."/>
      <w:lvlJc w:val="right"/>
      <w:pPr>
        <w:ind w:left="6480" w:hanging="180"/>
      </w:pPr>
    </w:lvl>
  </w:abstractNum>
  <w:abstractNum w:abstractNumId="14" w15:restartNumberingAfterBreak="0">
    <w:nsid w:val="4A9D1B84"/>
    <w:multiLevelType w:val="multilevel"/>
    <w:tmpl w:val="2766DEE4"/>
    <w:lvl w:ilvl="0">
      <w:start w:val="1"/>
      <w:numFmt w:val="bullet"/>
      <w:lvlText w:val=""/>
      <w:lvlJc w:val="left"/>
      <w:pPr>
        <w:tabs>
          <w:tab w:val="num" w:pos="792"/>
        </w:tabs>
        <w:ind w:left="792" w:hanging="72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609C0DCC"/>
    <w:multiLevelType w:val="multilevel"/>
    <w:tmpl w:val="F11C8164"/>
    <w:lvl w:ilvl="0">
      <w:start w:val="1"/>
      <w:numFmt w:val="decimal"/>
      <w:lvlText w:val="[%1]"/>
      <w:lvlJc w:val="left"/>
      <w:pPr>
        <w:tabs>
          <w:tab w:val="num" w:pos="360"/>
        </w:tabs>
        <w:ind w:left="0" w:firstLine="0"/>
      </w:pPr>
      <w:rPr>
        <w:rFonts w:ascii="Arial" w:hAnsi="Arial" w:hint="default"/>
        <w:b w:val="0"/>
        <w:i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88568131">
    <w:abstractNumId w:val="15"/>
  </w:num>
  <w:num w:numId="2" w16cid:durableId="214120658">
    <w:abstractNumId w:val="15"/>
  </w:num>
  <w:num w:numId="3" w16cid:durableId="1451164045">
    <w:abstractNumId w:val="15"/>
  </w:num>
  <w:num w:numId="4" w16cid:durableId="2029523243">
    <w:abstractNumId w:val="8"/>
  </w:num>
  <w:num w:numId="5" w16cid:durableId="1391687640">
    <w:abstractNumId w:val="3"/>
  </w:num>
  <w:num w:numId="6" w16cid:durableId="1917594862">
    <w:abstractNumId w:val="2"/>
  </w:num>
  <w:num w:numId="7" w16cid:durableId="178856536">
    <w:abstractNumId w:val="1"/>
  </w:num>
  <w:num w:numId="8" w16cid:durableId="603194807">
    <w:abstractNumId w:val="0"/>
  </w:num>
  <w:num w:numId="9" w16cid:durableId="797798262">
    <w:abstractNumId w:val="9"/>
  </w:num>
  <w:num w:numId="10" w16cid:durableId="1693651826">
    <w:abstractNumId w:val="7"/>
  </w:num>
  <w:num w:numId="11" w16cid:durableId="58865719">
    <w:abstractNumId w:val="6"/>
  </w:num>
  <w:num w:numId="12" w16cid:durableId="1215389571">
    <w:abstractNumId w:val="5"/>
  </w:num>
  <w:num w:numId="13" w16cid:durableId="31656468">
    <w:abstractNumId w:val="4"/>
  </w:num>
  <w:num w:numId="14" w16cid:durableId="1713111087">
    <w:abstractNumId w:val="15"/>
  </w:num>
  <w:num w:numId="15" w16cid:durableId="582177828">
    <w:abstractNumId w:val="15"/>
  </w:num>
  <w:num w:numId="16" w16cid:durableId="1696037389">
    <w:abstractNumId w:val="15"/>
  </w:num>
  <w:num w:numId="17" w16cid:durableId="179902909">
    <w:abstractNumId w:val="14"/>
  </w:num>
  <w:num w:numId="18" w16cid:durableId="1237323564">
    <w:abstractNumId w:val="11"/>
  </w:num>
  <w:num w:numId="19" w16cid:durableId="1322614038">
    <w:abstractNumId w:val="13"/>
  </w:num>
  <w:num w:numId="20" w16cid:durableId="1291546388">
    <w:abstractNumId w:val="12"/>
  </w:num>
  <w:num w:numId="21" w16cid:durableId="2000570100">
    <w:abstractNumId w:val="10"/>
  </w:num>
  <w:num w:numId="22" w16cid:durableId="14701248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720"/>
  <w:hyphenationZone w:val="425"/>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nNBChoix" w:val="3"/>
    <w:docVar w:name="MotifJuge1" w:val="MOTIFS DU JUGE"/>
    <w:docVar w:name="MotifJuge2" w:val="MOTIFS DE LA JUGE"/>
    <w:docVar w:name="MotifJuge3" w:val="MOTIFS DU JUGE"/>
    <w:docVar w:name="NomFamJuge1" w:val="DOYON"/>
    <w:docVar w:name="NomFamJuge2" w:val="BAUDOUIN"/>
    <w:docVar w:name="NomFamJuge3" w:val="BACHAND"/>
    <w:docVar w:name="NomFamJuge4" w:val="MAILHOT"/>
    <w:docVar w:name="NomFamJuge5" w:val="BAUDOUIN"/>
    <w:docVar w:name="QteJuge1" w:val=", J.C.A."/>
    <w:docVar w:name="QteJuge2" w:val=", J.C.A."/>
    <w:docVar w:name="QteJuge3" w:val=", J.C.A."/>
    <w:docVar w:name="stPremiereFois" w:val="Non"/>
  </w:docVars>
  <w:rsids>
    <w:rsidRoot w:val="00D913A9"/>
    <w:rsid w:val="0001075B"/>
    <w:rsid w:val="000131E1"/>
    <w:rsid w:val="00015C10"/>
    <w:rsid w:val="000260AA"/>
    <w:rsid w:val="00041B09"/>
    <w:rsid w:val="0004394C"/>
    <w:rsid w:val="00053691"/>
    <w:rsid w:val="00056D6B"/>
    <w:rsid w:val="00064553"/>
    <w:rsid w:val="00064CA1"/>
    <w:rsid w:val="0006601E"/>
    <w:rsid w:val="000729FB"/>
    <w:rsid w:val="00085355"/>
    <w:rsid w:val="00091533"/>
    <w:rsid w:val="00095462"/>
    <w:rsid w:val="000966EE"/>
    <w:rsid w:val="000A43C6"/>
    <w:rsid w:val="000A7516"/>
    <w:rsid w:val="000B42AF"/>
    <w:rsid w:val="000B62A5"/>
    <w:rsid w:val="000C5800"/>
    <w:rsid w:val="000C665A"/>
    <w:rsid w:val="000C7307"/>
    <w:rsid w:val="000D6AED"/>
    <w:rsid w:val="00104AA2"/>
    <w:rsid w:val="00110B53"/>
    <w:rsid w:val="00112321"/>
    <w:rsid w:val="00117914"/>
    <w:rsid w:val="0013028C"/>
    <w:rsid w:val="00131FD9"/>
    <w:rsid w:val="00143BA5"/>
    <w:rsid w:val="0015610F"/>
    <w:rsid w:val="00160B31"/>
    <w:rsid w:val="0016367C"/>
    <w:rsid w:val="001658F1"/>
    <w:rsid w:val="00166E44"/>
    <w:rsid w:val="00170624"/>
    <w:rsid w:val="00180A8B"/>
    <w:rsid w:val="00181F56"/>
    <w:rsid w:val="00185795"/>
    <w:rsid w:val="00190FA7"/>
    <w:rsid w:val="00193BC8"/>
    <w:rsid w:val="0019420E"/>
    <w:rsid w:val="001949E4"/>
    <w:rsid w:val="001972F2"/>
    <w:rsid w:val="001A3F8A"/>
    <w:rsid w:val="001B46A6"/>
    <w:rsid w:val="001B61A1"/>
    <w:rsid w:val="001C21A3"/>
    <w:rsid w:val="001C56F8"/>
    <w:rsid w:val="001D022C"/>
    <w:rsid w:val="001E1C17"/>
    <w:rsid w:val="001E2729"/>
    <w:rsid w:val="001E36C7"/>
    <w:rsid w:val="001F085A"/>
    <w:rsid w:val="00200611"/>
    <w:rsid w:val="00204CF9"/>
    <w:rsid w:val="00205DC4"/>
    <w:rsid w:val="00207083"/>
    <w:rsid w:val="00213329"/>
    <w:rsid w:val="0021548E"/>
    <w:rsid w:val="00226EB5"/>
    <w:rsid w:val="002273F5"/>
    <w:rsid w:val="00230078"/>
    <w:rsid w:val="0024512A"/>
    <w:rsid w:val="00246550"/>
    <w:rsid w:val="00264948"/>
    <w:rsid w:val="00265655"/>
    <w:rsid w:val="00267CE0"/>
    <w:rsid w:val="002803DB"/>
    <w:rsid w:val="002A0D72"/>
    <w:rsid w:val="002A2A69"/>
    <w:rsid w:val="002A6413"/>
    <w:rsid w:val="002B4A07"/>
    <w:rsid w:val="002C4107"/>
    <w:rsid w:val="002E1F0E"/>
    <w:rsid w:val="002E229C"/>
    <w:rsid w:val="002E2952"/>
    <w:rsid w:val="002E51F1"/>
    <w:rsid w:val="002E7957"/>
    <w:rsid w:val="002F1350"/>
    <w:rsid w:val="002F5AF9"/>
    <w:rsid w:val="002F6136"/>
    <w:rsid w:val="0030218A"/>
    <w:rsid w:val="00311F82"/>
    <w:rsid w:val="003203D0"/>
    <w:rsid w:val="00322DE0"/>
    <w:rsid w:val="0032363D"/>
    <w:rsid w:val="0033190E"/>
    <w:rsid w:val="00343E22"/>
    <w:rsid w:val="0034422C"/>
    <w:rsid w:val="003466B9"/>
    <w:rsid w:val="00354208"/>
    <w:rsid w:val="00361325"/>
    <w:rsid w:val="003629A4"/>
    <w:rsid w:val="00373FE5"/>
    <w:rsid w:val="00374888"/>
    <w:rsid w:val="00374E40"/>
    <w:rsid w:val="00375A7B"/>
    <w:rsid w:val="0038208F"/>
    <w:rsid w:val="0038243E"/>
    <w:rsid w:val="00392E75"/>
    <w:rsid w:val="003950B9"/>
    <w:rsid w:val="003B1C16"/>
    <w:rsid w:val="003C25CF"/>
    <w:rsid w:val="003D1102"/>
    <w:rsid w:val="003D43D7"/>
    <w:rsid w:val="003D487D"/>
    <w:rsid w:val="003E0B77"/>
    <w:rsid w:val="003E3239"/>
    <w:rsid w:val="003E3E3C"/>
    <w:rsid w:val="003F39BF"/>
    <w:rsid w:val="003F60DE"/>
    <w:rsid w:val="00403FE4"/>
    <w:rsid w:val="00404188"/>
    <w:rsid w:val="00405E42"/>
    <w:rsid w:val="00414A5B"/>
    <w:rsid w:val="00420586"/>
    <w:rsid w:val="004210D8"/>
    <w:rsid w:val="00422E6C"/>
    <w:rsid w:val="00423DF1"/>
    <w:rsid w:val="00430C58"/>
    <w:rsid w:val="004331C4"/>
    <w:rsid w:val="0043564D"/>
    <w:rsid w:val="004403A5"/>
    <w:rsid w:val="00441C25"/>
    <w:rsid w:val="004449F8"/>
    <w:rsid w:val="00445540"/>
    <w:rsid w:val="00446452"/>
    <w:rsid w:val="0045371F"/>
    <w:rsid w:val="00472DC8"/>
    <w:rsid w:val="004802EC"/>
    <w:rsid w:val="004A06EB"/>
    <w:rsid w:val="004A29F1"/>
    <w:rsid w:val="004A50A5"/>
    <w:rsid w:val="004A6641"/>
    <w:rsid w:val="004B1E94"/>
    <w:rsid w:val="004B33FF"/>
    <w:rsid w:val="004C2AC2"/>
    <w:rsid w:val="004C4B28"/>
    <w:rsid w:val="004D2F69"/>
    <w:rsid w:val="004D34D9"/>
    <w:rsid w:val="004E4FBA"/>
    <w:rsid w:val="004E5C97"/>
    <w:rsid w:val="004F1795"/>
    <w:rsid w:val="004F741E"/>
    <w:rsid w:val="005023F4"/>
    <w:rsid w:val="005131AA"/>
    <w:rsid w:val="005131F1"/>
    <w:rsid w:val="0051484F"/>
    <w:rsid w:val="00516B3E"/>
    <w:rsid w:val="0051759A"/>
    <w:rsid w:val="005206EF"/>
    <w:rsid w:val="005254BF"/>
    <w:rsid w:val="005262C9"/>
    <w:rsid w:val="00527923"/>
    <w:rsid w:val="005314CF"/>
    <w:rsid w:val="00531D70"/>
    <w:rsid w:val="005457F7"/>
    <w:rsid w:val="005476CF"/>
    <w:rsid w:val="0055150A"/>
    <w:rsid w:val="0055405E"/>
    <w:rsid w:val="00566345"/>
    <w:rsid w:val="00566BF6"/>
    <w:rsid w:val="00566F2A"/>
    <w:rsid w:val="005675BC"/>
    <w:rsid w:val="0057111F"/>
    <w:rsid w:val="00581B71"/>
    <w:rsid w:val="00583434"/>
    <w:rsid w:val="0058349F"/>
    <w:rsid w:val="0058384A"/>
    <w:rsid w:val="005969A5"/>
    <w:rsid w:val="005A038B"/>
    <w:rsid w:val="005A0398"/>
    <w:rsid w:val="005A78BF"/>
    <w:rsid w:val="005B6B4C"/>
    <w:rsid w:val="005C626C"/>
    <w:rsid w:val="005C7516"/>
    <w:rsid w:val="005D1522"/>
    <w:rsid w:val="005D31B0"/>
    <w:rsid w:val="005D40FD"/>
    <w:rsid w:val="005D7230"/>
    <w:rsid w:val="005E4BDF"/>
    <w:rsid w:val="005E7F51"/>
    <w:rsid w:val="005F5F5F"/>
    <w:rsid w:val="00602881"/>
    <w:rsid w:val="00606CE7"/>
    <w:rsid w:val="00616237"/>
    <w:rsid w:val="00617381"/>
    <w:rsid w:val="006210FF"/>
    <w:rsid w:val="00624770"/>
    <w:rsid w:val="00640131"/>
    <w:rsid w:val="006415AE"/>
    <w:rsid w:val="00641B39"/>
    <w:rsid w:val="00641C40"/>
    <w:rsid w:val="0064250B"/>
    <w:rsid w:val="006629B1"/>
    <w:rsid w:val="00662FB7"/>
    <w:rsid w:val="00665DE7"/>
    <w:rsid w:val="00671903"/>
    <w:rsid w:val="00674114"/>
    <w:rsid w:val="0067516D"/>
    <w:rsid w:val="006826AA"/>
    <w:rsid w:val="0068356A"/>
    <w:rsid w:val="006918B0"/>
    <w:rsid w:val="006A0D2C"/>
    <w:rsid w:val="006A0DB0"/>
    <w:rsid w:val="006A5BD9"/>
    <w:rsid w:val="006A6629"/>
    <w:rsid w:val="006A731C"/>
    <w:rsid w:val="006B208C"/>
    <w:rsid w:val="006C494E"/>
    <w:rsid w:val="006D2545"/>
    <w:rsid w:val="006D4898"/>
    <w:rsid w:val="006D6CC4"/>
    <w:rsid w:val="006E0B50"/>
    <w:rsid w:val="006E4021"/>
    <w:rsid w:val="006E5B9E"/>
    <w:rsid w:val="006F30F5"/>
    <w:rsid w:val="006F636A"/>
    <w:rsid w:val="006F754D"/>
    <w:rsid w:val="007000C7"/>
    <w:rsid w:val="00710A81"/>
    <w:rsid w:val="00740A17"/>
    <w:rsid w:val="00745971"/>
    <w:rsid w:val="007462D6"/>
    <w:rsid w:val="0074738B"/>
    <w:rsid w:val="007545BF"/>
    <w:rsid w:val="0076062E"/>
    <w:rsid w:val="00767625"/>
    <w:rsid w:val="00770EF6"/>
    <w:rsid w:val="007719D4"/>
    <w:rsid w:val="00772976"/>
    <w:rsid w:val="0077546A"/>
    <w:rsid w:val="00777852"/>
    <w:rsid w:val="00780BED"/>
    <w:rsid w:val="00782FEA"/>
    <w:rsid w:val="007901CC"/>
    <w:rsid w:val="00790E64"/>
    <w:rsid w:val="00791C8F"/>
    <w:rsid w:val="007953F3"/>
    <w:rsid w:val="00796D06"/>
    <w:rsid w:val="007971C7"/>
    <w:rsid w:val="007A7803"/>
    <w:rsid w:val="007B061E"/>
    <w:rsid w:val="007B48D5"/>
    <w:rsid w:val="007C1AD5"/>
    <w:rsid w:val="007C218E"/>
    <w:rsid w:val="007C411F"/>
    <w:rsid w:val="007D087C"/>
    <w:rsid w:val="007E33E4"/>
    <w:rsid w:val="007E3B96"/>
    <w:rsid w:val="007E4C53"/>
    <w:rsid w:val="007E4CC9"/>
    <w:rsid w:val="007E5FFB"/>
    <w:rsid w:val="007F40FD"/>
    <w:rsid w:val="007F4AEA"/>
    <w:rsid w:val="00800D23"/>
    <w:rsid w:val="00816273"/>
    <w:rsid w:val="008258F8"/>
    <w:rsid w:val="0082717B"/>
    <w:rsid w:val="00827B04"/>
    <w:rsid w:val="0083032E"/>
    <w:rsid w:val="00841907"/>
    <w:rsid w:val="00853427"/>
    <w:rsid w:val="0086036A"/>
    <w:rsid w:val="0086330D"/>
    <w:rsid w:val="008653A3"/>
    <w:rsid w:val="008657A2"/>
    <w:rsid w:val="00866645"/>
    <w:rsid w:val="00871826"/>
    <w:rsid w:val="00874903"/>
    <w:rsid w:val="00882210"/>
    <w:rsid w:val="00882D34"/>
    <w:rsid w:val="008906DA"/>
    <w:rsid w:val="008951EE"/>
    <w:rsid w:val="00897129"/>
    <w:rsid w:val="008A6185"/>
    <w:rsid w:val="008B4F6A"/>
    <w:rsid w:val="008C01EA"/>
    <w:rsid w:val="008C1FE9"/>
    <w:rsid w:val="008C2822"/>
    <w:rsid w:val="008C7DCE"/>
    <w:rsid w:val="008D01E6"/>
    <w:rsid w:val="008D18AA"/>
    <w:rsid w:val="008D18FC"/>
    <w:rsid w:val="008D398B"/>
    <w:rsid w:val="008D3DDE"/>
    <w:rsid w:val="008D7E49"/>
    <w:rsid w:val="008E3D1C"/>
    <w:rsid w:val="008E43F0"/>
    <w:rsid w:val="008E5E9D"/>
    <w:rsid w:val="008F364A"/>
    <w:rsid w:val="008F3F53"/>
    <w:rsid w:val="00913E03"/>
    <w:rsid w:val="009229E9"/>
    <w:rsid w:val="00926953"/>
    <w:rsid w:val="00932703"/>
    <w:rsid w:val="009335A6"/>
    <w:rsid w:val="00936469"/>
    <w:rsid w:val="00936BC0"/>
    <w:rsid w:val="009400B7"/>
    <w:rsid w:val="00952397"/>
    <w:rsid w:val="00954DC2"/>
    <w:rsid w:val="00955304"/>
    <w:rsid w:val="00957B92"/>
    <w:rsid w:val="0096394B"/>
    <w:rsid w:val="00970966"/>
    <w:rsid w:val="00974442"/>
    <w:rsid w:val="00980E8B"/>
    <w:rsid w:val="00986A11"/>
    <w:rsid w:val="009870B3"/>
    <w:rsid w:val="00996981"/>
    <w:rsid w:val="00997EDC"/>
    <w:rsid w:val="009A7079"/>
    <w:rsid w:val="009C011A"/>
    <w:rsid w:val="009C23E1"/>
    <w:rsid w:val="009D3846"/>
    <w:rsid w:val="009D7E43"/>
    <w:rsid w:val="009E2823"/>
    <w:rsid w:val="009E5423"/>
    <w:rsid w:val="009F1F69"/>
    <w:rsid w:val="009F757E"/>
    <w:rsid w:val="00A0208D"/>
    <w:rsid w:val="00A11141"/>
    <w:rsid w:val="00A12AD6"/>
    <w:rsid w:val="00A2336F"/>
    <w:rsid w:val="00A23BF4"/>
    <w:rsid w:val="00A24A33"/>
    <w:rsid w:val="00A255E4"/>
    <w:rsid w:val="00A2593B"/>
    <w:rsid w:val="00A322C7"/>
    <w:rsid w:val="00A338E4"/>
    <w:rsid w:val="00A33A9D"/>
    <w:rsid w:val="00A34E05"/>
    <w:rsid w:val="00A43171"/>
    <w:rsid w:val="00A43D8B"/>
    <w:rsid w:val="00A454F1"/>
    <w:rsid w:val="00A475D5"/>
    <w:rsid w:val="00A543CC"/>
    <w:rsid w:val="00A655DE"/>
    <w:rsid w:val="00A657D6"/>
    <w:rsid w:val="00A662D7"/>
    <w:rsid w:val="00A704E6"/>
    <w:rsid w:val="00A76AB0"/>
    <w:rsid w:val="00A92411"/>
    <w:rsid w:val="00A93CFF"/>
    <w:rsid w:val="00AA0731"/>
    <w:rsid w:val="00AA279F"/>
    <w:rsid w:val="00AA33D4"/>
    <w:rsid w:val="00AA504E"/>
    <w:rsid w:val="00AA6367"/>
    <w:rsid w:val="00AB36D4"/>
    <w:rsid w:val="00AB736F"/>
    <w:rsid w:val="00AB7DD2"/>
    <w:rsid w:val="00AC1261"/>
    <w:rsid w:val="00AC713B"/>
    <w:rsid w:val="00AD4C7D"/>
    <w:rsid w:val="00AD5D67"/>
    <w:rsid w:val="00AD6B2D"/>
    <w:rsid w:val="00AE1B6D"/>
    <w:rsid w:val="00AF0C7C"/>
    <w:rsid w:val="00B01D86"/>
    <w:rsid w:val="00B07E4E"/>
    <w:rsid w:val="00B11FD1"/>
    <w:rsid w:val="00B137E9"/>
    <w:rsid w:val="00B30465"/>
    <w:rsid w:val="00B30B88"/>
    <w:rsid w:val="00B30EA2"/>
    <w:rsid w:val="00B31C84"/>
    <w:rsid w:val="00B35ECB"/>
    <w:rsid w:val="00B36ED3"/>
    <w:rsid w:val="00B4596B"/>
    <w:rsid w:val="00B513C9"/>
    <w:rsid w:val="00B552EB"/>
    <w:rsid w:val="00B56EF4"/>
    <w:rsid w:val="00B62C92"/>
    <w:rsid w:val="00B70485"/>
    <w:rsid w:val="00B72782"/>
    <w:rsid w:val="00B814E9"/>
    <w:rsid w:val="00B82A13"/>
    <w:rsid w:val="00B853E1"/>
    <w:rsid w:val="00B9229F"/>
    <w:rsid w:val="00BB1856"/>
    <w:rsid w:val="00BC3B5A"/>
    <w:rsid w:val="00BD02D6"/>
    <w:rsid w:val="00BD1B94"/>
    <w:rsid w:val="00BD41C6"/>
    <w:rsid w:val="00BF7CC2"/>
    <w:rsid w:val="00C015B1"/>
    <w:rsid w:val="00C02AF8"/>
    <w:rsid w:val="00C17E01"/>
    <w:rsid w:val="00C21623"/>
    <w:rsid w:val="00C26F72"/>
    <w:rsid w:val="00C31AC4"/>
    <w:rsid w:val="00C33821"/>
    <w:rsid w:val="00C37CAB"/>
    <w:rsid w:val="00C409BE"/>
    <w:rsid w:val="00C423CA"/>
    <w:rsid w:val="00C47A62"/>
    <w:rsid w:val="00C50142"/>
    <w:rsid w:val="00C52A7C"/>
    <w:rsid w:val="00C5435C"/>
    <w:rsid w:val="00C60764"/>
    <w:rsid w:val="00C652ED"/>
    <w:rsid w:val="00C764C2"/>
    <w:rsid w:val="00C7793C"/>
    <w:rsid w:val="00C81504"/>
    <w:rsid w:val="00C91B86"/>
    <w:rsid w:val="00C926D6"/>
    <w:rsid w:val="00C939A8"/>
    <w:rsid w:val="00C97145"/>
    <w:rsid w:val="00CA552C"/>
    <w:rsid w:val="00CA72FA"/>
    <w:rsid w:val="00CC3BE9"/>
    <w:rsid w:val="00CF6C74"/>
    <w:rsid w:val="00CF7A36"/>
    <w:rsid w:val="00D010FD"/>
    <w:rsid w:val="00D02812"/>
    <w:rsid w:val="00D02A0D"/>
    <w:rsid w:val="00D02F51"/>
    <w:rsid w:val="00D11066"/>
    <w:rsid w:val="00D11C72"/>
    <w:rsid w:val="00D12EC3"/>
    <w:rsid w:val="00D20056"/>
    <w:rsid w:val="00D30BC2"/>
    <w:rsid w:val="00D40D91"/>
    <w:rsid w:val="00D57F5E"/>
    <w:rsid w:val="00D61CEC"/>
    <w:rsid w:val="00D76AC7"/>
    <w:rsid w:val="00D876DC"/>
    <w:rsid w:val="00D913A9"/>
    <w:rsid w:val="00D9200C"/>
    <w:rsid w:val="00D9385F"/>
    <w:rsid w:val="00D94677"/>
    <w:rsid w:val="00D979B5"/>
    <w:rsid w:val="00DA4300"/>
    <w:rsid w:val="00DA53AF"/>
    <w:rsid w:val="00DB2119"/>
    <w:rsid w:val="00DB4A9C"/>
    <w:rsid w:val="00DC05BC"/>
    <w:rsid w:val="00DC6D3A"/>
    <w:rsid w:val="00DD3A24"/>
    <w:rsid w:val="00DE6040"/>
    <w:rsid w:val="00DE61B2"/>
    <w:rsid w:val="00DE6FD5"/>
    <w:rsid w:val="00DF1820"/>
    <w:rsid w:val="00DF3516"/>
    <w:rsid w:val="00E03C07"/>
    <w:rsid w:val="00E20E3C"/>
    <w:rsid w:val="00E2436D"/>
    <w:rsid w:val="00E24CDC"/>
    <w:rsid w:val="00E332E4"/>
    <w:rsid w:val="00E36290"/>
    <w:rsid w:val="00E448F0"/>
    <w:rsid w:val="00E449DF"/>
    <w:rsid w:val="00E46EBB"/>
    <w:rsid w:val="00E47AA3"/>
    <w:rsid w:val="00E54B43"/>
    <w:rsid w:val="00E6070C"/>
    <w:rsid w:val="00E66E45"/>
    <w:rsid w:val="00E71F19"/>
    <w:rsid w:val="00E81E61"/>
    <w:rsid w:val="00E848B4"/>
    <w:rsid w:val="00E870A1"/>
    <w:rsid w:val="00E91417"/>
    <w:rsid w:val="00E94329"/>
    <w:rsid w:val="00E946FE"/>
    <w:rsid w:val="00EA4652"/>
    <w:rsid w:val="00EA71B6"/>
    <w:rsid w:val="00EA7618"/>
    <w:rsid w:val="00EB1377"/>
    <w:rsid w:val="00EB41FC"/>
    <w:rsid w:val="00EB4ED2"/>
    <w:rsid w:val="00EC03E2"/>
    <w:rsid w:val="00EC1E33"/>
    <w:rsid w:val="00ED32BD"/>
    <w:rsid w:val="00EE5F9B"/>
    <w:rsid w:val="00EF7242"/>
    <w:rsid w:val="00F02A70"/>
    <w:rsid w:val="00F03E89"/>
    <w:rsid w:val="00F07022"/>
    <w:rsid w:val="00F1119E"/>
    <w:rsid w:val="00F12384"/>
    <w:rsid w:val="00F17463"/>
    <w:rsid w:val="00F20FC8"/>
    <w:rsid w:val="00F22F58"/>
    <w:rsid w:val="00F24818"/>
    <w:rsid w:val="00F26635"/>
    <w:rsid w:val="00F33E30"/>
    <w:rsid w:val="00F35A34"/>
    <w:rsid w:val="00F40882"/>
    <w:rsid w:val="00F4204E"/>
    <w:rsid w:val="00F43559"/>
    <w:rsid w:val="00F5789B"/>
    <w:rsid w:val="00F643E8"/>
    <w:rsid w:val="00F712BA"/>
    <w:rsid w:val="00F7575E"/>
    <w:rsid w:val="00F75AAB"/>
    <w:rsid w:val="00F75C76"/>
    <w:rsid w:val="00F87470"/>
    <w:rsid w:val="00F948D5"/>
    <w:rsid w:val="00FC2DF0"/>
    <w:rsid w:val="00FC460B"/>
    <w:rsid w:val="00FC720B"/>
    <w:rsid w:val="00FE3FE9"/>
    <w:rsid w:val="00FE6A10"/>
    <w:rsid w:val="00FF310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5421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exact"/>
    </w:pPr>
    <w:rPr>
      <w:rFonts w:ascii="Arial" w:hAnsi="Arial"/>
      <w:sz w:val="24"/>
      <w:lang w:eastAsia="fr-FR"/>
    </w:rPr>
  </w:style>
  <w:style w:type="paragraph" w:styleId="Titre1">
    <w:name w:val="heading 1"/>
    <w:basedOn w:val="Normal"/>
    <w:next w:val="Normal"/>
    <w:qFormat/>
    <w:pPr>
      <w:keepNext/>
      <w:spacing w:before="240" w:after="60" w:line="500" w:lineRule="exact"/>
      <w:outlineLvl w:val="0"/>
    </w:pPr>
    <w:rPr>
      <w:b/>
      <w:kern w:val="28"/>
      <w:sz w:val="28"/>
    </w:rPr>
  </w:style>
  <w:style w:type="paragraph" w:styleId="Titre2">
    <w:name w:val="heading 2"/>
    <w:basedOn w:val="Normal"/>
    <w:next w:val="Normal"/>
    <w:qFormat/>
    <w:pPr>
      <w:keepNext/>
      <w:spacing w:before="240" w:after="60"/>
      <w:outlineLvl w:val="1"/>
    </w:pPr>
    <w:rPr>
      <w:b/>
      <w:i/>
    </w:rPr>
  </w:style>
  <w:style w:type="paragraph" w:styleId="Titre3">
    <w:name w:val="heading 3"/>
    <w:basedOn w:val="Normal"/>
    <w:next w:val="Normal"/>
    <w:link w:val="Titre3Car"/>
    <w:qFormat/>
    <w:pPr>
      <w:keepNext/>
      <w:spacing w:before="240" w:after="60"/>
      <w:outlineLvl w:val="2"/>
    </w:pPr>
  </w:style>
  <w:style w:type="paragraph" w:styleId="Titre4">
    <w:name w:val="heading 4"/>
    <w:basedOn w:val="Normal"/>
    <w:next w:val="Normal"/>
    <w:qFormat/>
    <w:pPr>
      <w:keepNext/>
      <w:spacing w:before="240" w:after="60"/>
      <w:outlineLvl w:val="3"/>
    </w:pPr>
    <w:rPr>
      <w:b/>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link w:val="ParagrapheCar"/>
    <w:pPr>
      <w:numPr>
        <w:numId w:val="18"/>
      </w:numPr>
      <w:tabs>
        <w:tab w:val="clear" w:pos="720"/>
        <w:tab w:val="num" w:pos="360"/>
      </w:tabs>
      <w:spacing w:before="120" w:after="120" w:line="500" w:lineRule="exact"/>
      <w:jc w:val="both"/>
    </w:pPr>
    <w:rPr>
      <w:kern w:val="28"/>
    </w:rPr>
  </w:style>
  <w:style w:type="paragraph" w:customStyle="1" w:styleId="Citationenretrait">
    <w:name w:val="Citation en retrait"/>
    <w:basedOn w:val="Normal"/>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aliases w:val="Footnote Text Char2,Footnote Text Char1 Char,Footnote Text Char Char Char, Char1 Char1 Char Char, Char1 Char2 Char,Footnote Text Char Char1, Char1 Char1 Char1, Char1 Char3,fn,Char1 Char1 Char Char,Char1 Char2 Char,Char1 Char1 Char1"/>
    <w:basedOn w:val="Normal"/>
    <w:link w:val="NotedebasdepageCar"/>
    <w:qFormat/>
    <w:pPr>
      <w:spacing w:line="240" w:lineRule="auto"/>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spacing w:line="500" w:lineRule="exact"/>
      <w:jc w:val="center"/>
    </w:pPr>
    <w:rPr>
      <w:b/>
      <w:sz w:val="36"/>
    </w:rPr>
  </w:style>
  <w:style w:type="paragraph" w:customStyle="1" w:styleId="zSoquijlblPays">
    <w:name w:val="zSoquij_lblPays"/>
    <w:basedOn w:val="Normal"/>
  </w:style>
  <w:style w:type="paragraph" w:customStyle="1" w:styleId="zSoquijlblProvince">
    <w:name w:val="zSoquij_lblProvince"/>
    <w:basedOn w:val="Normal"/>
  </w:style>
  <w:style w:type="paragraph" w:customStyle="1" w:styleId="zSoquijlblGreffe">
    <w:name w:val="zSoquij_lblGreffe"/>
    <w:basedOn w:val="Normal"/>
  </w:style>
  <w:style w:type="paragraph" w:customStyle="1" w:styleId="zSoquijdatGreffe">
    <w:name w:val="zSoquij_datGreffe"/>
    <w:basedOn w:val="Normal"/>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pPr>
      <w:ind w:left="950"/>
    </w:pPr>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Pr>
      <w:b/>
    </w:rPr>
  </w:style>
  <w:style w:type="paragraph" w:customStyle="1" w:styleId="zSoquijdatQteJuge">
    <w:name w:val="zSoquij_datQteJuge"/>
    <w:basedOn w:val="Normal"/>
    <w:rPr>
      <w:b/>
    </w:rPr>
  </w:style>
  <w:style w:type="paragraph" w:customStyle="1" w:styleId="zSoquijdatJuge">
    <w:name w:val="zSoquij_datJuge"/>
    <w:basedOn w:val="Normal"/>
    <w:rPr>
      <w:b/>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jc w:val="center"/>
    </w:pPr>
  </w:style>
  <w:style w:type="character" w:customStyle="1" w:styleId="zSoquijlblEntNoDossier">
    <w:name w:val="zSoquij_lblEntNoDossier"/>
    <w:basedOn w:val="Policepardfaut"/>
    <w:rPr>
      <w:noProof w:val="0"/>
      <w:lang w:val="fr-CA"/>
    </w:rPr>
  </w:style>
  <w:style w:type="paragraph" w:customStyle="1" w:styleId="zSoquijlblTitrePartie">
    <w:name w:val="zSoquij_lblTitrePartie"/>
    <w:basedOn w:val="Normal"/>
  </w:style>
  <w:style w:type="paragraph" w:customStyle="1" w:styleId="zSoquijdatIdJuge">
    <w:name w:val="zSoquij_datIdJuge"/>
    <w:basedOn w:val="Normal"/>
    <w:pPr>
      <w:jc w:val="right"/>
    </w:pPr>
  </w:style>
  <w:style w:type="paragraph" w:customStyle="1" w:styleId="Sous-paragraphe">
    <w:name w:val="Sous-paragraphe"/>
    <w:basedOn w:val="Normal"/>
    <w:pPr>
      <w:widowControl w:val="0"/>
      <w:numPr>
        <w:ilvl w:val="1"/>
        <w:numId w:val="18"/>
      </w:numPr>
      <w:spacing w:after="120"/>
      <w:jc w:val="both"/>
    </w:pPr>
    <w:rPr>
      <w:kern w:val="28"/>
    </w:rPr>
  </w:style>
  <w:style w:type="paragraph" w:customStyle="1" w:styleId="zSoquijdatNomProcureurDem">
    <w:name w:val="zSoquij_datNomProcureurDem"/>
    <w:basedOn w:val="zSoquijlblProcureurDem"/>
    <w:pPr>
      <w:keepNext/>
    </w:pPr>
  </w:style>
  <w:style w:type="paragraph" w:customStyle="1" w:styleId="zSoquijdatNomProcureurDef">
    <w:name w:val="zSoquij_datNomProcureurDef"/>
    <w:basedOn w:val="zSoquijlblProcureurDef"/>
    <w:pPr>
      <w:keepNext/>
    </w:pPr>
  </w:style>
  <w:style w:type="paragraph" w:customStyle="1" w:styleId="zSoquijdatCabinetProcureurDem">
    <w:name w:val="zSoquij_datCabinetProcureurDem"/>
    <w:basedOn w:val="Normal"/>
    <w:pPr>
      <w:keepNext/>
    </w:pPr>
  </w:style>
  <w:style w:type="paragraph" w:customStyle="1" w:styleId="zSoquijdatCabinetProcureurDef">
    <w:name w:val="zSoquij_datCabinetProcureurDef"/>
    <w:basedOn w:val="zSoquijlblProcureurDef"/>
    <w:pPr>
      <w:keepNext/>
    </w:pPr>
  </w:style>
  <w:style w:type="paragraph" w:styleId="En-tte">
    <w:name w:val="header"/>
    <w:basedOn w:val="Normal"/>
    <w:semiHidden/>
    <w:pPr>
      <w:tabs>
        <w:tab w:val="center" w:pos="4320"/>
        <w:tab w:val="right" w:pos="8640"/>
      </w:tabs>
    </w:pPr>
  </w:style>
  <w:style w:type="paragraph" w:styleId="Pieddepage">
    <w:name w:val="footer"/>
    <w:basedOn w:val="Normal"/>
    <w:semiHidden/>
    <w:pPr>
      <w:tabs>
        <w:tab w:val="center" w:pos="4320"/>
        <w:tab w:val="right" w:pos="8640"/>
      </w:tabs>
    </w:pPr>
  </w:style>
  <w:style w:type="paragraph" w:customStyle="1" w:styleId="Tableaudroiteanglais">
    <w:name w:val="Tableau droite anglais"/>
    <w:basedOn w:val="Tableaugauchefranais"/>
    <w:pPr>
      <w:ind w:left="144" w:right="720"/>
      <w:jc w:val="both"/>
    </w:pPr>
    <w:rPr>
      <w:lang w:val="en-CA"/>
    </w:rPr>
  </w:style>
  <w:style w:type="paragraph" w:customStyle="1" w:styleId="Tableaugauchefranais">
    <w:name w:val="Tableau gauche français"/>
    <w:basedOn w:val="Normal"/>
    <w:pPr>
      <w:ind w:left="720" w:right="144"/>
    </w:pPr>
    <w:rPr>
      <w:sz w:val="22"/>
    </w:rPr>
  </w:style>
  <w:style w:type="character" w:styleId="Appelnotedebasdep">
    <w:name w:val="footnote reference"/>
    <w:uiPriority w:val="99"/>
    <w:qFormat/>
    <w:rPr>
      <w:noProof w:val="0"/>
      <w:vertAlign w:val="superscript"/>
      <w:lang w:val="fr-CA"/>
    </w:rPr>
  </w:style>
  <w:style w:type="paragraph" w:styleId="Corpsdetexte3">
    <w:name w:val="Body Text 3"/>
    <w:basedOn w:val="Normal"/>
    <w:semiHidden/>
    <w:pPr>
      <w:spacing w:after="120"/>
    </w:pPr>
    <w:rPr>
      <w:sz w:val="16"/>
    </w:rPr>
  </w:style>
  <w:style w:type="paragraph" w:customStyle="1" w:styleId="zSoquijdatRepertorie">
    <w:name w:val="zSoquij_datRepertorie"/>
    <w:basedOn w:val="zSoquijlblCour"/>
    <w:pPr>
      <w:spacing w:line="240" w:lineRule="auto"/>
      <w:jc w:val="left"/>
    </w:pPr>
    <w:rPr>
      <w:sz w:val="22"/>
    </w:rPr>
  </w:style>
  <w:style w:type="paragraph" w:customStyle="1" w:styleId="zSoquijdatRefNeutre">
    <w:name w:val="zSoquij_datRefNeutre"/>
    <w:basedOn w:val="zSoquijlblCour"/>
    <w:pPr>
      <w:spacing w:line="240" w:lineRule="auto"/>
      <w:jc w:val="left"/>
    </w:pPr>
    <w:rPr>
      <w:sz w:val="22"/>
    </w:rPr>
  </w:style>
  <w:style w:type="table" w:styleId="Grilledutableau">
    <w:name w:val="Table Grid"/>
    <w:basedOn w:val="TableauNormal"/>
    <w:uiPriority w:val="39"/>
    <w:rsid w:val="00E20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E323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3239"/>
    <w:rPr>
      <w:rFonts w:ascii="Segoe UI" w:hAnsi="Segoe UI" w:cs="Segoe UI"/>
      <w:sz w:val="18"/>
      <w:szCs w:val="18"/>
      <w:lang w:eastAsia="fr-FR"/>
    </w:rPr>
  </w:style>
  <w:style w:type="character" w:customStyle="1" w:styleId="NotedebasdepageCar">
    <w:name w:val="Note de bas de page Car"/>
    <w:aliases w:val="Footnote Text Char2 Car,Footnote Text Char1 Char Car,Footnote Text Char Char Char Car, Char1 Char1 Char Char Car, Char1 Char2 Char Car,Footnote Text Char Char1 Car, Char1 Char1 Char1 Car, Char1 Char3 Car,fn Car"/>
    <w:basedOn w:val="Policepardfaut"/>
    <w:link w:val="Notedebasdepage"/>
    <w:rsid w:val="002A0D72"/>
    <w:rPr>
      <w:rFonts w:ascii="Arial" w:hAnsi="Arial"/>
      <w:lang w:eastAsia="fr-FR"/>
    </w:rPr>
  </w:style>
  <w:style w:type="character" w:styleId="Hyperlien">
    <w:name w:val="Hyperlink"/>
    <w:uiPriority w:val="99"/>
    <w:rsid w:val="002A0D72"/>
    <w:rPr>
      <w:noProof w:val="0"/>
      <w:color w:val="0000FF"/>
      <w:u w:val="single"/>
      <w:lang w:val="fr-CA"/>
    </w:rPr>
  </w:style>
  <w:style w:type="character" w:styleId="Marquedecommentaire">
    <w:name w:val="annotation reference"/>
    <w:basedOn w:val="Policepardfaut"/>
    <w:uiPriority w:val="99"/>
    <w:semiHidden/>
    <w:unhideWhenUsed/>
    <w:rsid w:val="002A0D72"/>
    <w:rPr>
      <w:sz w:val="16"/>
      <w:szCs w:val="16"/>
    </w:rPr>
  </w:style>
  <w:style w:type="paragraph" w:styleId="Commentaire">
    <w:name w:val="annotation text"/>
    <w:basedOn w:val="Normal"/>
    <w:link w:val="CommentaireCar"/>
    <w:uiPriority w:val="99"/>
    <w:unhideWhenUsed/>
    <w:rsid w:val="002A0D72"/>
    <w:pPr>
      <w:spacing w:line="240" w:lineRule="auto"/>
    </w:pPr>
    <w:rPr>
      <w:sz w:val="20"/>
    </w:rPr>
  </w:style>
  <w:style w:type="character" w:customStyle="1" w:styleId="CommentaireCar">
    <w:name w:val="Commentaire Car"/>
    <w:basedOn w:val="Policepardfaut"/>
    <w:link w:val="Commentaire"/>
    <w:uiPriority w:val="99"/>
    <w:rsid w:val="002A0D72"/>
    <w:rPr>
      <w:rFonts w:ascii="Arial" w:hAnsi="Arial"/>
      <w:lang w:eastAsia="fr-FR"/>
    </w:rPr>
  </w:style>
  <w:style w:type="paragraph" w:styleId="Rvision">
    <w:name w:val="Revision"/>
    <w:hidden/>
    <w:uiPriority w:val="99"/>
    <w:semiHidden/>
    <w:rsid w:val="002A0D72"/>
    <w:rPr>
      <w:rFonts w:ascii="Arial" w:hAnsi="Arial"/>
      <w:sz w:val="24"/>
      <w:lang w:eastAsia="fr-FR"/>
    </w:rPr>
  </w:style>
  <w:style w:type="paragraph" w:styleId="Objetducommentaire">
    <w:name w:val="annotation subject"/>
    <w:basedOn w:val="Commentaire"/>
    <w:next w:val="Commentaire"/>
    <w:link w:val="ObjetducommentaireCar"/>
    <w:uiPriority w:val="99"/>
    <w:semiHidden/>
    <w:unhideWhenUsed/>
    <w:rsid w:val="002A0D72"/>
    <w:rPr>
      <w:b/>
      <w:bCs/>
    </w:rPr>
  </w:style>
  <w:style w:type="character" w:customStyle="1" w:styleId="ObjetducommentaireCar">
    <w:name w:val="Objet du commentaire Car"/>
    <w:basedOn w:val="CommentaireCar"/>
    <w:link w:val="Objetducommentaire"/>
    <w:uiPriority w:val="99"/>
    <w:semiHidden/>
    <w:rsid w:val="002A0D72"/>
    <w:rPr>
      <w:rFonts w:ascii="Arial" w:hAnsi="Arial"/>
      <w:b/>
      <w:bCs/>
      <w:lang w:eastAsia="fr-FR"/>
    </w:rPr>
  </w:style>
  <w:style w:type="character" w:customStyle="1" w:styleId="ParagrapheCar">
    <w:name w:val="Paragraphe Car"/>
    <w:link w:val="Paragraphe"/>
    <w:rsid w:val="002A0D72"/>
    <w:rPr>
      <w:rFonts w:ascii="Arial" w:hAnsi="Arial"/>
      <w:kern w:val="28"/>
      <w:sz w:val="24"/>
      <w:lang w:eastAsia="fr-FR"/>
    </w:rPr>
  </w:style>
  <w:style w:type="character" w:customStyle="1" w:styleId="Titre3Car">
    <w:name w:val="Titre 3 Car"/>
    <w:basedOn w:val="Policepardfaut"/>
    <w:link w:val="Titre3"/>
    <w:rsid w:val="002A0D72"/>
    <w:rPr>
      <w:rFonts w:ascii="Arial" w:hAnsi="Arial"/>
      <w:sz w:val="24"/>
      <w:lang w:eastAsia="fr-FR"/>
    </w:rPr>
  </w:style>
  <w:style w:type="character" w:customStyle="1" w:styleId="Mentionnonrsolue1">
    <w:name w:val="Mention non résolue1"/>
    <w:basedOn w:val="Policepardfaut"/>
    <w:uiPriority w:val="99"/>
    <w:semiHidden/>
    <w:unhideWhenUsed/>
    <w:rsid w:val="002A0D72"/>
    <w:rPr>
      <w:color w:val="605E5C"/>
      <w:shd w:val="clear" w:color="auto" w:fill="E1DFDD"/>
    </w:rPr>
  </w:style>
  <w:style w:type="character" w:styleId="Lienvisit">
    <w:name w:val="FollowedHyperlink"/>
    <w:basedOn w:val="Policepardfaut"/>
    <w:uiPriority w:val="99"/>
    <w:semiHidden/>
    <w:unhideWhenUsed/>
    <w:rsid w:val="002A0D72"/>
    <w:rPr>
      <w:color w:val="954F72" w:themeColor="followedHyperlink"/>
      <w:u w:val="single"/>
    </w:rPr>
  </w:style>
  <w:style w:type="character" w:styleId="Mentionnonrsolue">
    <w:name w:val="Unresolved Mention"/>
    <w:basedOn w:val="Policepardfaut"/>
    <w:uiPriority w:val="99"/>
    <w:semiHidden/>
    <w:unhideWhenUsed/>
    <w:rsid w:val="00B45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880E4-311F-4D01-A6AD-E0D5C8A19031}">
  <ds:schemaRefs>
    <ds:schemaRef ds:uri="http://schemas.openxmlformats.org/officeDocument/2006/bibliography"/>
  </ds:schemaRefs>
</ds:datastoreItem>
</file>

<file path=docMetadata/LabelInfo.xml><?xml version="1.0" encoding="utf-8"?>
<clbl:labelList xmlns:clbl="http://schemas.microsoft.com/office/2020/mipLabelMetadata">
  <clbl:label id="{3f6dec78-7ded-4395-975c-6edbb7d10b16}" enabled="0" method="" siteId="{3f6dec78-7ded-4395-975c-6edbb7d10b1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5410</Words>
  <Characters>28610</Characters>
  <Application>Microsoft Office Word</Application>
  <DocSecurity>4</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2025-11-20T02:55:00Z</dcterms:created>
  <dcterms:modified xsi:type="dcterms:W3CDTF">2025-11-20T02:55:00Z</dcterms:modified>
</cp:coreProperties>
</file>