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5" w:type="dxa"/>
        <w:tblLayout w:type="fixed"/>
        <w:tblCellMar>
          <w:left w:w="70" w:type="dxa"/>
          <w:right w:w="70" w:type="dxa"/>
        </w:tblCellMar>
        <w:tblLook w:val="0000" w:firstRow="0" w:lastRow="0" w:firstColumn="0" w:lastColumn="0" w:noHBand="0" w:noVBand="0"/>
      </w:tblPr>
      <w:tblGrid>
        <w:gridCol w:w="1036"/>
        <w:gridCol w:w="69"/>
        <w:gridCol w:w="510"/>
        <w:gridCol w:w="1733"/>
        <w:gridCol w:w="1826"/>
        <w:gridCol w:w="1916"/>
        <w:gridCol w:w="2415"/>
      </w:tblGrid>
      <w:tr w:rsidR="00752581" w14:paraId="12DECFC5" w14:textId="77777777" w:rsidTr="00BC0AB1">
        <w:trPr>
          <w:trHeight w:val="360"/>
        </w:trPr>
        <w:tc>
          <w:tcPr>
            <w:tcW w:w="7090" w:type="dxa"/>
            <w:gridSpan w:val="6"/>
          </w:tcPr>
          <w:p w14:paraId="52C76C29" w14:textId="0E7E7651" w:rsidR="004924D2" w:rsidRPr="00545DF1" w:rsidRDefault="00545DF1" w:rsidP="00545DF1">
            <w:pPr>
              <w:pStyle w:val="zSoquijdatRepertorie"/>
              <w:rPr>
                <w:rFonts w:cs="Arial"/>
              </w:rPr>
            </w:pPr>
            <w:r>
              <w:rPr>
                <w:rFonts w:cs="Arial"/>
              </w:rPr>
              <w:t>Pereira c. Fonds de solidarité des travailleurs du Québec</w:t>
            </w:r>
            <w:r w:rsidR="00C41E09">
              <w:rPr>
                <w:rFonts w:cs="Arial"/>
              </w:rPr>
              <w:t xml:space="preserve"> (FTQ)</w:t>
            </w:r>
          </w:p>
        </w:tc>
        <w:tc>
          <w:tcPr>
            <w:tcW w:w="2415" w:type="dxa"/>
          </w:tcPr>
          <w:p w14:paraId="478D4D64" w14:textId="02D0E458" w:rsidR="004924D2" w:rsidRPr="00AB6B78" w:rsidRDefault="00AB6B78" w:rsidP="00AB6B78">
            <w:pPr>
              <w:pStyle w:val="zSoquijdatRefNeutre"/>
              <w:jc w:val="right"/>
              <w:rPr>
                <w:rFonts w:cs="Arial"/>
              </w:rPr>
            </w:pPr>
            <w:r w:rsidRPr="00AB6B78">
              <w:rPr>
                <w:rFonts w:cs="Arial"/>
              </w:rPr>
              <w:t>2025 QCCS 4119</w:t>
            </w:r>
          </w:p>
        </w:tc>
      </w:tr>
      <w:tr w:rsidR="00752581" w14:paraId="000043C4" w14:textId="77777777" w:rsidTr="00BC0AB1">
        <w:trPr>
          <w:trHeight w:val="810"/>
        </w:trPr>
        <w:tc>
          <w:tcPr>
            <w:tcW w:w="9505" w:type="dxa"/>
            <w:gridSpan w:val="7"/>
            <w:vAlign w:val="bottom"/>
          </w:tcPr>
          <w:p w14:paraId="08D57543" w14:textId="77777777" w:rsidR="004924D2" w:rsidRDefault="00BD6B34" w:rsidP="006E44DC">
            <w:pPr>
              <w:pStyle w:val="zSoquijlblCour"/>
              <w:spacing w:before="0" w:after="0" w:line="240" w:lineRule="auto"/>
            </w:pPr>
            <w:r>
              <w:t>COUR SUPÉRIEURE</w:t>
            </w:r>
          </w:p>
        </w:tc>
      </w:tr>
      <w:tr w:rsidR="00752581" w14:paraId="657C78C1" w14:textId="77777777" w:rsidTr="00BC0AB1">
        <w:trPr>
          <w:trHeight w:val="540"/>
        </w:trPr>
        <w:tc>
          <w:tcPr>
            <w:tcW w:w="9505" w:type="dxa"/>
            <w:gridSpan w:val="7"/>
          </w:tcPr>
          <w:p w14:paraId="25346110" w14:textId="77777777" w:rsidR="004924D2" w:rsidRDefault="004924D2" w:rsidP="006E44DC">
            <w:pPr>
              <w:pStyle w:val="zSoquijdatDivision"/>
              <w:spacing w:before="0" w:after="0" w:line="240" w:lineRule="auto"/>
            </w:pPr>
          </w:p>
        </w:tc>
      </w:tr>
      <w:tr w:rsidR="00752581" w14:paraId="4BF61CE2" w14:textId="77777777" w:rsidTr="00BC0AB1">
        <w:tc>
          <w:tcPr>
            <w:tcW w:w="9505" w:type="dxa"/>
            <w:gridSpan w:val="7"/>
          </w:tcPr>
          <w:p w14:paraId="733178D9" w14:textId="77777777" w:rsidR="004924D2" w:rsidRDefault="00BD6B34" w:rsidP="006E44DC">
            <w:pPr>
              <w:pStyle w:val="zSoquijlblPays"/>
              <w:spacing w:before="0" w:after="0" w:line="240" w:lineRule="auto"/>
            </w:pPr>
            <w:r>
              <w:t>CANADA</w:t>
            </w:r>
          </w:p>
        </w:tc>
      </w:tr>
      <w:tr w:rsidR="00752581" w14:paraId="27AE0A08" w14:textId="77777777" w:rsidTr="00BC0AB1">
        <w:tc>
          <w:tcPr>
            <w:tcW w:w="9505" w:type="dxa"/>
            <w:gridSpan w:val="7"/>
          </w:tcPr>
          <w:p w14:paraId="3BBEF447" w14:textId="77777777" w:rsidR="004924D2" w:rsidRDefault="00BD6B34" w:rsidP="006E44DC">
            <w:pPr>
              <w:pStyle w:val="zSoquijlblProvince"/>
              <w:spacing w:before="0" w:after="0" w:line="240" w:lineRule="auto"/>
            </w:pPr>
            <w:r>
              <w:t xml:space="preserve">PROVINCE </w:t>
            </w:r>
            <w:r w:rsidR="00E77C69">
              <w:t>DE</w:t>
            </w:r>
            <w:r>
              <w:t xml:space="preserve"> QUÉBEC</w:t>
            </w:r>
          </w:p>
        </w:tc>
      </w:tr>
      <w:tr w:rsidR="00752581" w14:paraId="6879C3E4" w14:textId="77777777" w:rsidTr="00BC0AB1">
        <w:tblPrEx>
          <w:tblCellMar>
            <w:left w:w="0" w:type="dxa"/>
            <w:right w:w="0" w:type="dxa"/>
          </w:tblCellMar>
        </w:tblPrEx>
        <w:trPr>
          <w:cantSplit/>
        </w:trPr>
        <w:tc>
          <w:tcPr>
            <w:tcW w:w="1615" w:type="dxa"/>
            <w:gridSpan w:val="3"/>
          </w:tcPr>
          <w:p w14:paraId="5AC39E42" w14:textId="77777777" w:rsidR="004924D2" w:rsidRDefault="00BD6B34" w:rsidP="006E44DC">
            <w:pPr>
              <w:pStyle w:val="zSoquijlblGreffe"/>
              <w:spacing w:before="0" w:after="0" w:line="240" w:lineRule="auto"/>
            </w:pPr>
            <w:r>
              <w:t>DISTRICT</w:t>
            </w:r>
            <w:r w:rsidR="00E77C69">
              <w:t xml:space="preserve"> DE</w:t>
            </w:r>
          </w:p>
        </w:tc>
        <w:tc>
          <w:tcPr>
            <w:tcW w:w="7890" w:type="dxa"/>
            <w:gridSpan w:val="4"/>
          </w:tcPr>
          <w:p w14:paraId="1D9B4383" w14:textId="77777777" w:rsidR="004924D2" w:rsidRDefault="00BD6B34" w:rsidP="006E44DC">
            <w:pPr>
              <w:pStyle w:val="zSoquijdatGreffe"/>
              <w:spacing w:before="0" w:after="0" w:line="240" w:lineRule="auto"/>
            </w:pPr>
            <w:r>
              <w:t>MONTRÉAL</w:t>
            </w:r>
          </w:p>
        </w:tc>
      </w:tr>
      <w:tr w:rsidR="00752581" w14:paraId="628BBC73" w14:textId="77777777" w:rsidTr="00BC0AB1">
        <w:trPr>
          <w:trHeight w:val="540"/>
        </w:trPr>
        <w:tc>
          <w:tcPr>
            <w:tcW w:w="9505" w:type="dxa"/>
            <w:gridSpan w:val="7"/>
          </w:tcPr>
          <w:p w14:paraId="225CF0B9" w14:textId="77777777" w:rsidR="004924D2" w:rsidRDefault="004924D2" w:rsidP="006E44DC">
            <w:pPr>
              <w:pStyle w:val="zSoquijlblNomChambre"/>
              <w:spacing w:before="0" w:after="0" w:line="240" w:lineRule="auto"/>
            </w:pPr>
          </w:p>
        </w:tc>
      </w:tr>
      <w:tr w:rsidR="00752581" w14:paraId="23F1D8FE" w14:textId="77777777" w:rsidTr="00BC0AB1">
        <w:tc>
          <w:tcPr>
            <w:tcW w:w="1105" w:type="dxa"/>
            <w:gridSpan w:val="2"/>
          </w:tcPr>
          <w:p w14:paraId="25C9806A" w14:textId="77777777" w:rsidR="0014205B" w:rsidRDefault="00BD6B34" w:rsidP="006E44DC">
            <w:pPr>
              <w:pStyle w:val="zSoquijlblNoDossier"/>
              <w:spacing w:before="0" w:after="0" w:line="240" w:lineRule="auto"/>
            </w:pPr>
            <w:r>
              <w:t>N° :</w:t>
            </w:r>
          </w:p>
        </w:tc>
        <w:tc>
          <w:tcPr>
            <w:tcW w:w="8400" w:type="dxa"/>
            <w:gridSpan w:val="5"/>
          </w:tcPr>
          <w:p w14:paraId="3E5026EB" w14:textId="77777777" w:rsidR="0014205B" w:rsidRDefault="00BD6B34" w:rsidP="006E44DC">
            <w:pPr>
              <w:pStyle w:val="zSoquijdatNoDossier"/>
              <w:spacing w:before="0" w:after="0" w:line="240" w:lineRule="auto"/>
            </w:pPr>
            <w:bookmarkStart w:id="0" w:name="_Hlk193102521"/>
            <w:r w:rsidRPr="0014205B">
              <w:t>500-17-111714-203</w:t>
            </w:r>
            <w:bookmarkEnd w:id="0"/>
          </w:p>
        </w:tc>
      </w:tr>
      <w:tr w:rsidR="00752581" w14:paraId="700CC6D3" w14:textId="77777777" w:rsidTr="00BC0AB1">
        <w:tc>
          <w:tcPr>
            <w:tcW w:w="1105" w:type="dxa"/>
            <w:gridSpan w:val="2"/>
          </w:tcPr>
          <w:p w14:paraId="101E5707" w14:textId="77777777" w:rsidR="00862F8A" w:rsidRDefault="00862F8A" w:rsidP="006E44DC">
            <w:pPr>
              <w:pStyle w:val="zSoquijlblNoDossier"/>
              <w:spacing w:before="0" w:after="0" w:line="240" w:lineRule="auto"/>
            </w:pPr>
          </w:p>
        </w:tc>
        <w:tc>
          <w:tcPr>
            <w:tcW w:w="8400" w:type="dxa"/>
            <w:gridSpan w:val="5"/>
          </w:tcPr>
          <w:p w14:paraId="76FD5758" w14:textId="77777777" w:rsidR="00862F8A" w:rsidRDefault="00862F8A" w:rsidP="006E44DC">
            <w:pPr>
              <w:pStyle w:val="zSoquijdatNoDossier"/>
              <w:spacing w:before="0" w:after="0" w:line="240" w:lineRule="auto"/>
            </w:pPr>
          </w:p>
        </w:tc>
      </w:tr>
      <w:tr w:rsidR="00752581" w14:paraId="37C270B5" w14:textId="77777777" w:rsidTr="00BC0AB1">
        <w:trPr>
          <w:cantSplit/>
          <w:trHeight w:val="235"/>
        </w:trPr>
        <w:tc>
          <w:tcPr>
            <w:tcW w:w="9505" w:type="dxa"/>
            <w:gridSpan w:val="7"/>
          </w:tcPr>
          <w:p w14:paraId="3534703C" w14:textId="77777777" w:rsidR="004924D2" w:rsidRDefault="004924D2" w:rsidP="006E44DC">
            <w:pPr>
              <w:spacing w:before="0" w:after="0" w:line="240" w:lineRule="auto"/>
            </w:pPr>
          </w:p>
        </w:tc>
      </w:tr>
      <w:tr w:rsidR="00752581" w14:paraId="65125BBC" w14:textId="77777777" w:rsidTr="00BC0AB1">
        <w:tc>
          <w:tcPr>
            <w:tcW w:w="1036" w:type="dxa"/>
          </w:tcPr>
          <w:p w14:paraId="396AB176" w14:textId="77777777" w:rsidR="00862F8A" w:rsidRDefault="00BD6B34" w:rsidP="006E44DC">
            <w:pPr>
              <w:pStyle w:val="zSoquijlblDateJugement"/>
              <w:spacing w:before="0" w:after="0" w:line="240" w:lineRule="auto"/>
            </w:pPr>
            <w:r>
              <w:t>DATE :</w:t>
            </w:r>
          </w:p>
        </w:tc>
        <w:tc>
          <w:tcPr>
            <w:tcW w:w="8469" w:type="dxa"/>
            <w:gridSpan w:val="6"/>
          </w:tcPr>
          <w:p w14:paraId="4D26D050" w14:textId="77777777" w:rsidR="00862F8A" w:rsidRDefault="00BD6B34" w:rsidP="006E44DC">
            <w:pPr>
              <w:pStyle w:val="zSoquijdatDateJugement"/>
              <w:spacing w:before="0" w:after="0" w:line="240" w:lineRule="auto"/>
            </w:pPr>
            <w:r>
              <w:t xml:space="preserve">LE 23 </w:t>
            </w:r>
            <w:r w:rsidR="006306DC">
              <w:t>AVRIL</w:t>
            </w:r>
            <w:r w:rsidR="00BA53EB">
              <w:t xml:space="preserve"> </w:t>
            </w:r>
            <w:r w:rsidR="007559DB">
              <w:t>202</w:t>
            </w:r>
            <w:r w:rsidR="00866FD0">
              <w:t>5</w:t>
            </w:r>
          </w:p>
        </w:tc>
      </w:tr>
      <w:tr w:rsidR="00752581" w14:paraId="619D4189" w14:textId="77777777" w:rsidTr="00BC0AB1">
        <w:tc>
          <w:tcPr>
            <w:tcW w:w="9505" w:type="dxa"/>
            <w:gridSpan w:val="7"/>
          </w:tcPr>
          <w:p w14:paraId="0C5630DD" w14:textId="77777777" w:rsidR="004924D2" w:rsidRDefault="00BD6B34" w:rsidP="006E44DC">
            <w:pPr>
              <w:spacing w:before="0" w:after="0" w:line="240" w:lineRule="auto"/>
            </w:pPr>
            <w:r>
              <w:t>______________________________________________________________________</w:t>
            </w:r>
          </w:p>
        </w:tc>
      </w:tr>
      <w:tr w:rsidR="00752581" w14:paraId="2883E84F" w14:textId="77777777" w:rsidTr="00BC0AB1">
        <w:tc>
          <w:tcPr>
            <w:tcW w:w="9505" w:type="dxa"/>
            <w:gridSpan w:val="7"/>
          </w:tcPr>
          <w:p w14:paraId="68E807E6" w14:textId="77777777" w:rsidR="004924D2" w:rsidRDefault="004924D2" w:rsidP="006E44DC">
            <w:pPr>
              <w:spacing w:before="0" w:after="0" w:line="240" w:lineRule="auto"/>
            </w:pPr>
          </w:p>
        </w:tc>
      </w:tr>
      <w:tr w:rsidR="00752581" w14:paraId="16ADA3D4" w14:textId="77777777" w:rsidTr="00BC0AB1">
        <w:tblPrEx>
          <w:tblCellMar>
            <w:left w:w="0" w:type="dxa"/>
            <w:right w:w="0" w:type="dxa"/>
          </w:tblCellMar>
        </w:tblPrEx>
        <w:tc>
          <w:tcPr>
            <w:tcW w:w="3348" w:type="dxa"/>
            <w:gridSpan w:val="4"/>
          </w:tcPr>
          <w:p w14:paraId="6773EBCC" w14:textId="77777777" w:rsidR="0014205B" w:rsidRDefault="00BD6B34" w:rsidP="006E44DC">
            <w:pPr>
              <w:pStyle w:val="zSoquijlblJuge"/>
              <w:spacing w:before="0" w:after="0" w:line="240" w:lineRule="auto"/>
            </w:pPr>
            <w:r>
              <w:t>SOUS LA PRÉSIDENCE DE :</w:t>
            </w:r>
          </w:p>
        </w:tc>
        <w:tc>
          <w:tcPr>
            <w:tcW w:w="1826" w:type="dxa"/>
          </w:tcPr>
          <w:p w14:paraId="6529EDCA" w14:textId="77777777" w:rsidR="0014205B" w:rsidRDefault="00BD6B34" w:rsidP="006E44DC">
            <w:pPr>
              <w:pStyle w:val="zSoquijdatQteJuge"/>
              <w:spacing w:before="0" w:after="0" w:line="240" w:lineRule="auto"/>
            </w:pPr>
            <w:r>
              <w:t>L’HONORABLE</w:t>
            </w:r>
          </w:p>
        </w:tc>
        <w:tc>
          <w:tcPr>
            <w:tcW w:w="4331" w:type="dxa"/>
            <w:gridSpan w:val="2"/>
          </w:tcPr>
          <w:p w14:paraId="149441D1" w14:textId="77777777" w:rsidR="0014205B" w:rsidRPr="0096569D" w:rsidRDefault="00BD6B34" w:rsidP="006E44DC">
            <w:pPr>
              <w:pStyle w:val="zSoquijdatJuge"/>
              <w:spacing w:before="0" w:after="0" w:line="240" w:lineRule="auto"/>
            </w:pPr>
            <w:r w:rsidRPr="0096569D">
              <w:t>CHANTAL LAMARCHE, J.</w:t>
            </w:r>
            <w:r>
              <w:t>C.S.</w:t>
            </w:r>
          </w:p>
        </w:tc>
      </w:tr>
      <w:tr w:rsidR="00752581" w14:paraId="3221F6AB" w14:textId="77777777" w:rsidTr="00BC0AB1">
        <w:tc>
          <w:tcPr>
            <w:tcW w:w="9505" w:type="dxa"/>
            <w:gridSpan w:val="7"/>
          </w:tcPr>
          <w:p w14:paraId="1E72B8A3" w14:textId="77777777" w:rsidR="004924D2" w:rsidRDefault="00BD6B34" w:rsidP="006E44DC">
            <w:pPr>
              <w:spacing w:before="0" w:after="0" w:line="240" w:lineRule="auto"/>
            </w:pPr>
            <w:r>
              <w:t>______________________________________________________________________</w:t>
            </w:r>
          </w:p>
        </w:tc>
      </w:tr>
      <w:tr w:rsidR="00752581" w14:paraId="26BD51CD" w14:textId="77777777" w:rsidTr="00BC0AB1">
        <w:tc>
          <w:tcPr>
            <w:tcW w:w="9505" w:type="dxa"/>
            <w:gridSpan w:val="7"/>
          </w:tcPr>
          <w:p w14:paraId="5C00D377" w14:textId="77777777" w:rsidR="004924D2" w:rsidRDefault="004924D2" w:rsidP="006E44DC">
            <w:pPr>
              <w:pStyle w:val="zSoquijlblTitrePartie"/>
              <w:spacing w:before="0" w:after="0" w:line="240" w:lineRule="auto"/>
            </w:pPr>
          </w:p>
        </w:tc>
      </w:tr>
      <w:tr w:rsidR="00752581" w14:paraId="0CC8D73E" w14:textId="77777777" w:rsidTr="00BC0AB1">
        <w:tc>
          <w:tcPr>
            <w:tcW w:w="9505" w:type="dxa"/>
            <w:gridSpan w:val="7"/>
          </w:tcPr>
          <w:p w14:paraId="47F7E995" w14:textId="77777777" w:rsidR="004924D2" w:rsidRPr="0014205B" w:rsidRDefault="00BD6B34" w:rsidP="006E44DC">
            <w:pPr>
              <w:spacing w:before="0" w:after="0" w:line="240" w:lineRule="auto"/>
              <w:rPr>
                <w:b/>
              </w:rPr>
            </w:pPr>
            <w:r w:rsidRPr="0014205B">
              <w:rPr>
                <w:b/>
              </w:rPr>
              <w:t>KENNETH PEREIRA</w:t>
            </w:r>
          </w:p>
        </w:tc>
      </w:tr>
      <w:tr w:rsidR="00752581" w14:paraId="6FF8DD5C" w14:textId="77777777" w:rsidTr="00BC0AB1">
        <w:tc>
          <w:tcPr>
            <w:tcW w:w="9505" w:type="dxa"/>
            <w:gridSpan w:val="7"/>
          </w:tcPr>
          <w:p w14:paraId="0FF61E66" w14:textId="77777777" w:rsidR="004924D2" w:rsidRDefault="004924D2" w:rsidP="006E44DC">
            <w:pPr>
              <w:pStyle w:val="zSoquijdatNomPartieDem"/>
              <w:spacing w:before="0" w:after="0" w:line="240" w:lineRule="auto"/>
            </w:pPr>
          </w:p>
        </w:tc>
      </w:tr>
      <w:tr w:rsidR="00752581" w14:paraId="71FA4746" w14:textId="77777777" w:rsidTr="00BC0AB1">
        <w:tc>
          <w:tcPr>
            <w:tcW w:w="9505" w:type="dxa"/>
            <w:gridSpan w:val="7"/>
          </w:tcPr>
          <w:p w14:paraId="3950F601" w14:textId="77777777" w:rsidR="00862F8A" w:rsidRDefault="00BD6B34" w:rsidP="006E44DC">
            <w:pPr>
              <w:pStyle w:val="zSoquijdatQtePartieDem"/>
              <w:spacing w:before="0" w:after="0" w:line="240" w:lineRule="auto"/>
              <w:ind w:left="1488"/>
            </w:pPr>
            <w:r>
              <w:t>Demandeur</w:t>
            </w:r>
            <w:r w:rsidR="00523AB4">
              <w:t xml:space="preserve"> </w:t>
            </w:r>
          </w:p>
        </w:tc>
      </w:tr>
      <w:tr w:rsidR="00752581" w14:paraId="27965529" w14:textId="77777777" w:rsidTr="00BC0AB1">
        <w:tc>
          <w:tcPr>
            <w:tcW w:w="9505" w:type="dxa"/>
            <w:gridSpan w:val="7"/>
          </w:tcPr>
          <w:p w14:paraId="298D2A23" w14:textId="77777777" w:rsidR="004924D2" w:rsidRDefault="00BD6B34" w:rsidP="006E44DC">
            <w:pPr>
              <w:pStyle w:val="zSoquijlblLienParties"/>
              <w:spacing w:before="0" w:after="0" w:line="240" w:lineRule="auto"/>
            </w:pPr>
            <w:r>
              <w:t>c</w:t>
            </w:r>
            <w:r w:rsidR="0014205B">
              <w:t>.</w:t>
            </w:r>
          </w:p>
        </w:tc>
      </w:tr>
      <w:tr w:rsidR="00752581" w14:paraId="74D1A060" w14:textId="77777777" w:rsidTr="00BC0AB1">
        <w:tc>
          <w:tcPr>
            <w:tcW w:w="9505" w:type="dxa"/>
            <w:gridSpan w:val="7"/>
          </w:tcPr>
          <w:p w14:paraId="4D4DD492" w14:textId="77777777" w:rsidR="004924D2" w:rsidRDefault="004924D2" w:rsidP="006E44DC">
            <w:pPr>
              <w:pStyle w:val="zSoquijdatNomPartieDef"/>
              <w:spacing w:before="0" w:after="0" w:line="240" w:lineRule="auto"/>
            </w:pPr>
          </w:p>
          <w:p w14:paraId="3DE0B43D" w14:textId="77777777" w:rsidR="0014205B" w:rsidRDefault="00BD6B34" w:rsidP="006E44DC">
            <w:pPr>
              <w:pStyle w:val="zSoquijdatNomPartieDef"/>
              <w:spacing w:before="0" w:after="0" w:line="240" w:lineRule="auto"/>
            </w:pPr>
            <w:r>
              <w:t xml:space="preserve">FONDS DE SOLIDARITÉ DES TRAVAILLEURS </w:t>
            </w:r>
          </w:p>
          <w:p w14:paraId="706F61C6" w14:textId="77777777" w:rsidR="0014205B" w:rsidRDefault="00BD6B34" w:rsidP="006E44DC">
            <w:pPr>
              <w:pStyle w:val="zSoquijdatNomPartieDef"/>
              <w:spacing w:before="0" w:after="0" w:line="240" w:lineRule="auto"/>
            </w:pPr>
            <w:r>
              <w:t>DU QUÉBEC (F.T.Q.)</w:t>
            </w:r>
          </w:p>
          <w:p w14:paraId="7C06CC0E" w14:textId="77777777" w:rsidR="0014205B" w:rsidRDefault="00BD6B34" w:rsidP="006E44DC">
            <w:pPr>
              <w:pStyle w:val="zSoquijdatNomPartieDef"/>
              <w:spacing w:line="240" w:lineRule="auto"/>
            </w:pPr>
            <w:r>
              <w:t>-et -</w:t>
            </w:r>
          </w:p>
          <w:p w14:paraId="2BCF4147" w14:textId="77777777" w:rsidR="0014205B" w:rsidRDefault="00BD6B34" w:rsidP="006E44DC">
            <w:pPr>
              <w:pStyle w:val="zSoquijdatNomPartieDef"/>
              <w:spacing w:before="0" w:after="0" w:line="240" w:lineRule="auto"/>
            </w:pPr>
            <w:r>
              <w:t>CONSTRUCTION COGIR INC.</w:t>
            </w:r>
          </w:p>
          <w:p w14:paraId="490814F0" w14:textId="77777777" w:rsidR="0014205B" w:rsidRDefault="00BD6B34" w:rsidP="006E44DC">
            <w:pPr>
              <w:pStyle w:val="zSoquijdatNomPartieDef"/>
              <w:spacing w:line="240" w:lineRule="auto"/>
            </w:pPr>
            <w:r>
              <w:t>-et -</w:t>
            </w:r>
          </w:p>
          <w:p w14:paraId="5618145A" w14:textId="77777777" w:rsidR="00F235D2" w:rsidRDefault="00BD6B34" w:rsidP="006E44DC">
            <w:pPr>
              <w:pStyle w:val="zSoquijdatNomPartieDef"/>
              <w:spacing w:before="0" w:after="0" w:line="240" w:lineRule="auto"/>
            </w:pPr>
            <w:r>
              <w:t>COGIR IMMOBILIER, SOCIÉTÉ EN COMMANDITE</w:t>
            </w:r>
          </w:p>
        </w:tc>
      </w:tr>
      <w:tr w:rsidR="00752581" w14:paraId="60294AE9" w14:textId="77777777" w:rsidTr="00BC0AB1">
        <w:tc>
          <w:tcPr>
            <w:tcW w:w="9505" w:type="dxa"/>
            <w:gridSpan w:val="7"/>
          </w:tcPr>
          <w:p w14:paraId="2902815B" w14:textId="77777777" w:rsidR="00862F8A" w:rsidRDefault="00862F8A" w:rsidP="006E44DC">
            <w:pPr>
              <w:pStyle w:val="zSoquijdatNomPartieDef"/>
              <w:spacing w:before="0" w:after="0" w:line="240" w:lineRule="auto"/>
            </w:pPr>
          </w:p>
        </w:tc>
      </w:tr>
      <w:tr w:rsidR="00752581" w14:paraId="47423654" w14:textId="77777777" w:rsidTr="00BC0AB1">
        <w:tc>
          <w:tcPr>
            <w:tcW w:w="9505" w:type="dxa"/>
            <w:gridSpan w:val="7"/>
          </w:tcPr>
          <w:p w14:paraId="2B2BB818" w14:textId="77777777" w:rsidR="00862F8A" w:rsidRDefault="00BD6B34" w:rsidP="006E44DC">
            <w:pPr>
              <w:pStyle w:val="zSoquijdatQtePartieDef"/>
              <w:spacing w:before="0" w:after="0" w:line="240" w:lineRule="auto"/>
              <w:ind w:left="1629"/>
            </w:pPr>
            <w:r>
              <w:t>Défendeur</w:t>
            </w:r>
            <w:r w:rsidR="0014205B">
              <w:t>s</w:t>
            </w:r>
          </w:p>
        </w:tc>
      </w:tr>
      <w:tr w:rsidR="00752581" w14:paraId="5759FBAC" w14:textId="77777777" w:rsidTr="00BC0AB1">
        <w:tc>
          <w:tcPr>
            <w:tcW w:w="9505" w:type="dxa"/>
            <w:gridSpan w:val="7"/>
          </w:tcPr>
          <w:p w14:paraId="522B048A" w14:textId="77777777" w:rsidR="004924D2" w:rsidRDefault="004924D2" w:rsidP="006E44DC">
            <w:pPr>
              <w:spacing w:before="0" w:after="0" w:line="240" w:lineRule="auto"/>
              <w:ind w:left="14" w:right="-95"/>
            </w:pPr>
          </w:p>
        </w:tc>
      </w:tr>
      <w:tr w:rsidR="00752581" w14:paraId="7D2F90D0" w14:textId="77777777" w:rsidTr="00BC0AB1">
        <w:tc>
          <w:tcPr>
            <w:tcW w:w="9505" w:type="dxa"/>
            <w:gridSpan w:val="7"/>
          </w:tcPr>
          <w:p w14:paraId="3218D1A6" w14:textId="77777777" w:rsidR="004924D2" w:rsidRDefault="00BD6B34" w:rsidP="006E44DC">
            <w:pPr>
              <w:spacing w:before="0" w:after="0" w:line="240" w:lineRule="auto"/>
            </w:pPr>
            <w:r>
              <w:t>______________________________________________________________________</w:t>
            </w:r>
          </w:p>
        </w:tc>
      </w:tr>
      <w:tr w:rsidR="00752581" w14:paraId="5E48D681" w14:textId="77777777" w:rsidTr="00BC0AB1">
        <w:tc>
          <w:tcPr>
            <w:tcW w:w="9505" w:type="dxa"/>
            <w:gridSpan w:val="7"/>
          </w:tcPr>
          <w:p w14:paraId="24D36EA8" w14:textId="77777777" w:rsidR="004924D2" w:rsidRDefault="00BD6B34" w:rsidP="006E44DC">
            <w:pPr>
              <w:spacing w:before="0" w:after="0" w:line="240" w:lineRule="auto"/>
              <w:jc w:val="center"/>
            </w:pPr>
            <w:r>
              <w:rPr>
                <w:noProof/>
              </w:rPr>
              <mc:AlternateContent>
                <mc:Choice Requires="wps">
                  <w:drawing>
                    <wp:anchor distT="0" distB="0" distL="114300" distR="114300" simplePos="0" relativeHeight="251658240" behindDoc="0" locked="0" layoutInCell="1" allowOverlap="1" wp14:anchorId="68111716" wp14:editId="72AF9F8D">
                      <wp:simplePos x="0" y="0"/>
                      <wp:positionH relativeFrom="column">
                        <wp:posOffset>-1111250</wp:posOffset>
                      </wp:positionH>
                      <wp:positionV relativeFrom="paragraph">
                        <wp:posOffset>205740</wp:posOffset>
                      </wp:positionV>
                      <wp:extent cx="731520" cy="365760"/>
                      <wp:effectExtent l="0" t="0" r="0" b="0"/>
                      <wp:wrapNone/>
                      <wp:docPr id="498434390" name="Zone de texte 1"/>
                      <wp:cNvGraphicFramePr/>
                      <a:graphic xmlns:a="http://schemas.openxmlformats.org/drawingml/2006/main">
                        <a:graphicData uri="http://schemas.microsoft.com/office/word/2010/wordprocessingShape">
                          <wps:wsp>
                            <wps:cNvSpPr txBox="1"/>
                            <wps:spPr>
                              <a:xfrm>
                                <a:off x="0" y="0"/>
                                <a:ext cx="731520" cy="365760"/>
                              </a:xfrm>
                              <a:prstGeom prst="rect">
                                <a:avLst/>
                              </a:prstGeom>
                              <a:solidFill>
                                <a:schemeClr val="lt1"/>
                              </a:solidFill>
                              <a:ln w="6350">
                                <a:noFill/>
                              </a:ln>
                            </wps:spPr>
                            <wps:txbx>
                              <w:txbxContent>
                                <w:p w14:paraId="3DDE7676" w14:textId="77777777" w:rsidR="00832827" w:rsidRPr="00FA27B9" w:rsidRDefault="00BD6B34">
                                  <w:pPr>
                                    <w:rPr>
                                      <w:b/>
                                      <w:bCs/>
                                    </w:rPr>
                                  </w:pPr>
                                  <w:r w:rsidRPr="00FA27B9">
                                    <w:rPr>
                                      <w:b/>
                                      <w:bCs/>
                                    </w:rPr>
                                    <w:t>JL4478</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Zone de texte 1" o:spid="_x0000_s1025" type="#_x0000_t202" style="width:57.6pt;height:28.8pt;margin-top:16.2pt;margin-left:-87.5pt;mso-wrap-distance-bottom:0;mso-wrap-distance-left:9pt;mso-wrap-distance-right:9pt;mso-wrap-distance-top:0;mso-wrap-style:square;position:absolute;visibility:visible;v-text-anchor:top;z-index:251659264" fillcolor="white" stroked="f" strokeweight="0.5pt">
                      <v:textbox>
                        <w:txbxContent>
                          <w:p w:rsidR="00832827" w:rsidRPr="00FA27B9" w14:paraId="7D11556A" w14:textId="25DD8360">
                            <w:pPr>
                              <w:rPr>
                                <w:b/>
                                <w:bCs/>
                              </w:rPr>
                            </w:pPr>
                            <w:r w:rsidRPr="00FA27B9">
                              <w:rPr>
                                <w:b/>
                                <w:bCs/>
                              </w:rPr>
                              <w:t>JL4478</w:t>
                            </w:r>
                          </w:p>
                        </w:txbxContent>
                      </v:textbox>
                    </v:shape>
                  </w:pict>
                </mc:Fallback>
              </mc:AlternateContent>
            </w:r>
          </w:p>
        </w:tc>
      </w:tr>
      <w:tr w:rsidR="00752581" w14:paraId="3860F2F2" w14:textId="77777777" w:rsidTr="00BC0AB1">
        <w:tc>
          <w:tcPr>
            <w:tcW w:w="9505" w:type="dxa"/>
            <w:gridSpan w:val="7"/>
          </w:tcPr>
          <w:p w14:paraId="2B5A0AE6" w14:textId="77777777" w:rsidR="004924D2" w:rsidRPr="00F50695" w:rsidRDefault="00BD6B34" w:rsidP="006E44DC">
            <w:pPr>
              <w:pStyle w:val="zSoquijlblTypeDocument"/>
              <w:spacing w:before="0" w:after="0" w:line="240" w:lineRule="auto"/>
              <w:rPr>
                <w:b/>
                <w:sz w:val="28"/>
                <w:szCs w:val="28"/>
              </w:rPr>
            </w:pPr>
            <w:r w:rsidRPr="00F50695">
              <w:rPr>
                <w:b/>
                <w:sz w:val="28"/>
                <w:szCs w:val="28"/>
              </w:rPr>
              <w:t>JUGEMENT</w:t>
            </w:r>
          </w:p>
        </w:tc>
      </w:tr>
      <w:tr w:rsidR="00752581" w14:paraId="2959BCD5" w14:textId="77777777" w:rsidTr="00BC0AB1">
        <w:tc>
          <w:tcPr>
            <w:tcW w:w="9505" w:type="dxa"/>
            <w:gridSpan w:val="7"/>
          </w:tcPr>
          <w:p w14:paraId="7A54FC23" w14:textId="77777777" w:rsidR="004924D2" w:rsidRDefault="00BD6B34" w:rsidP="006E44DC">
            <w:pPr>
              <w:spacing w:before="0" w:after="0" w:line="240" w:lineRule="auto"/>
            </w:pPr>
            <w:r>
              <w:t>______________________________________________________________________</w:t>
            </w:r>
          </w:p>
        </w:tc>
      </w:tr>
      <w:tr w:rsidR="00752581" w14:paraId="18C67AD0" w14:textId="77777777" w:rsidTr="00BC0AB1">
        <w:tc>
          <w:tcPr>
            <w:tcW w:w="9505" w:type="dxa"/>
            <w:gridSpan w:val="7"/>
          </w:tcPr>
          <w:p w14:paraId="72AE036E" w14:textId="77777777" w:rsidR="006E44DC" w:rsidRPr="006E44DC" w:rsidRDefault="006E44DC" w:rsidP="006E44DC">
            <w:pPr>
              <w:tabs>
                <w:tab w:val="left" w:pos="3360"/>
              </w:tabs>
            </w:pPr>
          </w:p>
        </w:tc>
      </w:tr>
    </w:tbl>
    <w:p w14:paraId="11624E1D" w14:textId="77777777" w:rsidR="00F50695" w:rsidRDefault="00BD6B34" w:rsidP="00C65F50">
      <w:pPr>
        <w:pStyle w:val="Titre1"/>
        <w:spacing w:line="276" w:lineRule="auto"/>
      </w:pPr>
      <w:r>
        <w:lastRenderedPageBreak/>
        <w:t>L’APERÇu</w:t>
      </w:r>
    </w:p>
    <w:p w14:paraId="035B6C21" w14:textId="77777777" w:rsidR="00C37624" w:rsidRDefault="00BD6B34" w:rsidP="00C65F50">
      <w:pPr>
        <w:pStyle w:val="paragrapheno"/>
        <w:spacing w:line="240" w:lineRule="auto"/>
      </w:pPr>
      <w:r>
        <w:t>Le demandeur</w:t>
      </w:r>
      <w:r w:rsidR="003F618B">
        <w:t xml:space="preserve"> </w:t>
      </w:r>
      <w:r>
        <w:t>Ken Pereira</w:t>
      </w:r>
      <w:r w:rsidR="006E282F">
        <w:t xml:space="preserve"> poursuit </w:t>
      </w:r>
      <w:r w:rsidR="00F10820">
        <w:t xml:space="preserve">en dommages </w:t>
      </w:r>
      <w:r w:rsidR="006E282F">
        <w:t>les défenderesses Fonds de solidarité</w:t>
      </w:r>
      <w:r w:rsidR="00984C45">
        <w:t xml:space="preserve"> des travailleurs du Québec (</w:t>
      </w:r>
      <w:r w:rsidR="0094056D">
        <w:t>F.T.Q.)</w:t>
      </w:r>
      <w:r w:rsidR="000905FE">
        <w:t xml:space="preserve"> (« </w:t>
      </w:r>
      <w:r w:rsidR="000905FE" w:rsidRPr="000905FE">
        <w:rPr>
          <w:b/>
          <w:bCs/>
        </w:rPr>
        <w:t>Fonds</w:t>
      </w:r>
      <w:r w:rsidR="000905FE">
        <w:t> »)</w:t>
      </w:r>
      <w:r w:rsidR="00754698">
        <w:t xml:space="preserve">, Construction Cogir inc. </w:t>
      </w:r>
      <w:r w:rsidR="000905FE">
        <w:t>(« </w:t>
      </w:r>
      <w:r w:rsidR="000905FE" w:rsidRPr="000905FE">
        <w:rPr>
          <w:b/>
          <w:bCs/>
        </w:rPr>
        <w:t>Cogir</w:t>
      </w:r>
      <w:r w:rsidR="000905FE">
        <w:t> </w:t>
      </w:r>
      <w:r w:rsidR="00D70669">
        <w:rPr>
          <w:b/>
          <w:bCs/>
        </w:rPr>
        <w:t>c</w:t>
      </w:r>
      <w:r w:rsidR="00E84CED" w:rsidRPr="00AB2E3E">
        <w:rPr>
          <w:b/>
          <w:bCs/>
        </w:rPr>
        <w:t>onstruction</w:t>
      </w:r>
      <w:r w:rsidR="000905FE">
        <w:t xml:space="preserve">») </w:t>
      </w:r>
      <w:r w:rsidR="00754698">
        <w:t>et Cogir immobilier, société en commandite</w:t>
      </w:r>
      <w:r w:rsidR="000905FE">
        <w:t xml:space="preserve"> (« </w:t>
      </w:r>
      <w:r w:rsidR="000905FE" w:rsidRPr="000905FE">
        <w:rPr>
          <w:b/>
          <w:bCs/>
        </w:rPr>
        <w:t>Cogir immobilier</w:t>
      </w:r>
      <w:r w:rsidR="000905FE">
        <w:t> »)</w:t>
      </w:r>
      <w:r w:rsidR="00F10820">
        <w:t>.</w:t>
      </w:r>
      <w:r w:rsidR="00C62EFC">
        <w:t xml:space="preserve"> </w:t>
      </w:r>
    </w:p>
    <w:p w14:paraId="654FED4D" w14:textId="77777777" w:rsidR="005958D9" w:rsidRDefault="00BD6B34" w:rsidP="00C65F50">
      <w:pPr>
        <w:pStyle w:val="paragrapheno"/>
        <w:spacing w:line="240" w:lineRule="auto"/>
      </w:pPr>
      <w:r>
        <w:t>M. Pereira</w:t>
      </w:r>
      <w:r w:rsidR="00117ACB">
        <w:t xml:space="preserve"> soutient que le Fonds </w:t>
      </w:r>
      <w:r w:rsidR="004B07F3">
        <w:t xml:space="preserve">l’empêche </w:t>
      </w:r>
      <w:r w:rsidR="00EA156A">
        <w:t xml:space="preserve">de travailler dans l’industrie de la construction </w:t>
      </w:r>
      <w:r w:rsidR="006550A1">
        <w:t>au Québec et même ailleurs au Canada</w:t>
      </w:r>
      <w:r w:rsidR="00EA156A">
        <w:t xml:space="preserve"> notamment </w:t>
      </w:r>
      <w:r w:rsidR="00AB0BB1">
        <w:t xml:space="preserve">en </w:t>
      </w:r>
      <w:r w:rsidR="00ED39F3">
        <w:t>exerçant de la pression sur</w:t>
      </w:r>
      <w:r w:rsidR="00EA156A">
        <w:t xml:space="preserve"> les entrepreneurs </w:t>
      </w:r>
      <w:r w:rsidR="009142CE">
        <w:t xml:space="preserve">ou autres joueurs </w:t>
      </w:r>
      <w:r w:rsidR="00EA156A">
        <w:t>de cette industrie qui pourraient utiliser ses services</w:t>
      </w:r>
      <w:r w:rsidR="00AE2ECC">
        <w:t>.</w:t>
      </w:r>
      <w:r w:rsidR="0050685A">
        <w:t xml:space="preserve"> Selon </w:t>
      </w:r>
      <w:r>
        <w:t>M. Pereira</w:t>
      </w:r>
      <w:r w:rsidR="00ED39F3">
        <w:t>,</w:t>
      </w:r>
      <w:r w:rsidR="0050685A">
        <w:t xml:space="preserve"> le Fonds commet ainsi une faute </w:t>
      </w:r>
      <w:r w:rsidR="00FE7330">
        <w:t xml:space="preserve">extracontractuelle </w:t>
      </w:r>
      <w:r w:rsidR="0050685A">
        <w:t xml:space="preserve">et porte atteinte de façon </w:t>
      </w:r>
      <w:r w:rsidR="00617D64">
        <w:t xml:space="preserve">illicite et </w:t>
      </w:r>
      <w:r w:rsidR="00672405">
        <w:t>intentionnelle</w:t>
      </w:r>
      <w:r w:rsidR="00874759">
        <w:t xml:space="preserve"> à ses droits fondamentaux, soit son droit à la sauvegarde et sa dignité</w:t>
      </w:r>
      <w:r w:rsidR="00672405">
        <w:t xml:space="preserve"> et son droit à la sûreté de sa personne.</w:t>
      </w:r>
    </w:p>
    <w:p w14:paraId="464F8F78" w14:textId="77777777" w:rsidR="0035062A" w:rsidRDefault="00BD6B34" w:rsidP="00C65F50">
      <w:pPr>
        <w:pStyle w:val="paragrapheno"/>
        <w:spacing w:line="240" w:lineRule="auto"/>
      </w:pPr>
      <w:r>
        <w:t xml:space="preserve">Il </w:t>
      </w:r>
      <w:r w:rsidR="002E037E">
        <w:t>allègue</w:t>
      </w:r>
      <w:r>
        <w:t xml:space="preserve"> que Cogir </w:t>
      </w:r>
      <w:r w:rsidR="00D70669">
        <w:t>c</w:t>
      </w:r>
      <w:r w:rsidR="00E84CED">
        <w:t xml:space="preserve">onstruction </w:t>
      </w:r>
      <w:r>
        <w:t xml:space="preserve">et Cogir </w:t>
      </w:r>
      <w:r w:rsidR="00D70669">
        <w:t>i</w:t>
      </w:r>
      <w:r>
        <w:t>mmobilier</w:t>
      </w:r>
      <w:r w:rsidR="009A24BC">
        <w:t>,</w:t>
      </w:r>
      <w:r w:rsidR="00335428">
        <w:t xml:space="preserve"> </w:t>
      </w:r>
      <w:r w:rsidR="009B64A9">
        <w:t xml:space="preserve">qui ont retenu ses services </w:t>
      </w:r>
      <w:r w:rsidR="00947AAC">
        <w:t xml:space="preserve">à compter de juin 2018, </w:t>
      </w:r>
      <w:r w:rsidR="00335428">
        <w:t xml:space="preserve">ont </w:t>
      </w:r>
      <w:r w:rsidR="00813146">
        <w:t>succombé</w:t>
      </w:r>
      <w:r w:rsidR="00EA156A">
        <w:t xml:space="preserve"> </w:t>
      </w:r>
      <w:r w:rsidR="007D6155">
        <w:t>à la</w:t>
      </w:r>
      <w:r w:rsidR="00EA156A">
        <w:t xml:space="preserve"> </w:t>
      </w:r>
      <w:r w:rsidR="00BE30A8">
        <w:t>pression</w:t>
      </w:r>
      <w:r w:rsidR="00EA156A">
        <w:t xml:space="preserve"> d</w:t>
      </w:r>
      <w:r w:rsidR="004464EC">
        <w:t>u Fond</w:t>
      </w:r>
      <w:r w:rsidR="001435E3">
        <w:t>s</w:t>
      </w:r>
      <w:r w:rsidR="0059105B">
        <w:t xml:space="preserve"> en mettant fin à s</w:t>
      </w:r>
      <w:r w:rsidR="00A67F11">
        <w:t>on emploi</w:t>
      </w:r>
      <w:r w:rsidR="001435E3">
        <w:t xml:space="preserve"> le 7 septembre 2018</w:t>
      </w:r>
      <w:r w:rsidR="00BB4963">
        <w:t xml:space="preserve">, </w:t>
      </w:r>
      <w:r w:rsidR="0059105B">
        <w:t>commett</w:t>
      </w:r>
      <w:r w:rsidR="00BB4963">
        <w:t>a</w:t>
      </w:r>
      <w:r w:rsidR="0059105B">
        <w:t>nt ainsi une faute et particip</w:t>
      </w:r>
      <w:r w:rsidR="00BB4963">
        <w:t>a</w:t>
      </w:r>
      <w:r w:rsidR="0059105B">
        <w:t xml:space="preserve">nt à la violation </w:t>
      </w:r>
      <w:r w:rsidR="00617D64">
        <w:t xml:space="preserve">illicite et </w:t>
      </w:r>
      <w:r w:rsidR="0059105B">
        <w:t>intentionnelle</w:t>
      </w:r>
      <w:r w:rsidR="004B4C5A">
        <w:t xml:space="preserve"> </w:t>
      </w:r>
      <w:r w:rsidR="00BB4963">
        <w:t>de</w:t>
      </w:r>
      <w:r w:rsidR="004B4C5A">
        <w:t xml:space="preserve"> ses droits fondamentaux</w:t>
      </w:r>
      <w:r>
        <w:rPr>
          <w:rStyle w:val="Appelnotedebasdep"/>
        </w:rPr>
        <w:footnoteReference w:id="2"/>
      </w:r>
      <w:r w:rsidR="00335428">
        <w:t>.</w:t>
      </w:r>
    </w:p>
    <w:p w14:paraId="753FC907" w14:textId="77777777" w:rsidR="000F66E9" w:rsidRDefault="00BD6B34" w:rsidP="00C65F50">
      <w:pPr>
        <w:pStyle w:val="Titre1"/>
        <w:spacing w:line="276" w:lineRule="auto"/>
      </w:pPr>
      <w:r>
        <w:t>contexte</w:t>
      </w:r>
    </w:p>
    <w:p w14:paraId="2B101AF7" w14:textId="77777777" w:rsidR="00121DFD" w:rsidRDefault="00BD6B34" w:rsidP="00C65F50">
      <w:pPr>
        <w:pStyle w:val="Titre2"/>
        <w:spacing w:line="276" w:lineRule="auto"/>
      </w:pPr>
      <w:r>
        <w:t xml:space="preserve">Cogir </w:t>
      </w:r>
      <w:r w:rsidR="00D70669">
        <w:t>c</w:t>
      </w:r>
      <w:r w:rsidR="00E84CED">
        <w:t xml:space="preserve">onstruction </w:t>
      </w:r>
      <w:r>
        <w:t>et Cogir i</w:t>
      </w:r>
      <w:r w:rsidR="00720B15">
        <w:t>mmobilier</w:t>
      </w:r>
    </w:p>
    <w:p w14:paraId="23E72E4E" w14:textId="77777777" w:rsidR="00121DFD" w:rsidRDefault="00BD6B34" w:rsidP="00C65F50">
      <w:pPr>
        <w:pStyle w:val="paragrapheno"/>
        <w:spacing w:line="240" w:lineRule="auto"/>
      </w:pPr>
      <w:r>
        <w:t>Cogir i</w:t>
      </w:r>
      <w:r w:rsidR="002C6CD0">
        <w:t xml:space="preserve">mmobilier </w:t>
      </w:r>
      <w:r>
        <w:t>est une société en commandite de gestion immobilière fondée en 2015</w:t>
      </w:r>
      <w:r>
        <w:rPr>
          <w:rStyle w:val="Appelnotedebasdep"/>
        </w:rPr>
        <w:footnoteReference w:id="3"/>
      </w:r>
      <w:r>
        <w:t xml:space="preserve"> pour ce qui apparaît être le projet Humaniti.</w:t>
      </w:r>
    </w:p>
    <w:p w14:paraId="76E81F21" w14:textId="77777777" w:rsidR="00121DFD" w:rsidRDefault="00BD6B34" w:rsidP="00C65F50">
      <w:pPr>
        <w:pStyle w:val="paragrapheno"/>
        <w:spacing w:line="240" w:lineRule="auto"/>
      </w:pPr>
      <w:r>
        <w:t xml:space="preserve">Cogir </w:t>
      </w:r>
      <w:r w:rsidR="00B20E38">
        <w:t>c</w:t>
      </w:r>
      <w:r w:rsidR="00E84CED">
        <w:t xml:space="preserve">onstruction </w:t>
      </w:r>
      <w:r>
        <w:t>est une société œuvrant dans le secteur de la construction</w:t>
      </w:r>
      <w:r w:rsidR="003A249A">
        <w:t>,</w:t>
      </w:r>
      <w:r>
        <w:t xml:space="preserve"> notamment comme gestionnaire de projet et entrepreneur général</w:t>
      </w:r>
      <w:r>
        <w:rPr>
          <w:rStyle w:val="Appelnotedebasdep"/>
        </w:rPr>
        <w:footnoteReference w:id="4"/>
      </w:r>
      <w:r>
        <w:t>.</w:t>
      </w:r>
      <w:r w:rsidR="00784978">
        <w:t xml:space="preserve"> Hugo Leblanc en est le Vice-président</w:t>
      </w:r>
      <w:r w:rsidR="00C01C60">
        <w:t>.</w:t>
      </w:r>
    </w:p>
    <w:p w14:paraId="41FF290D" w14:textId="77777777" w:rsidR="00A97347" w:rsidRDefault="00BD6B34" w:rsidP="00C65F50">
      <w:pPr>
        <w:pStyle w:val="paragrapheno"/>
        <w:spacing w:line="240" w:lineRule="auto"/>
      </w:pPr>
      <w:r>
        <w:t>Il existe également une société p</w:t>
      </w:r>
      <w:r w:rsidR="006D41C6">
        <w:t>o</w:t>
      </w:r>
      <w:r>
        <w:t>rtefeuille</w:t>
      </w:r>
      <w:r w:rsidR="009C18E9">
        <w:t>, Cogir investissement SEC</w:t>
      </w:r>
      <w:r w:rsidR="00BD4CAE">
        <w:t xml:space="preserve"> (« </w:t>
      </w:r>
      <w:r w:rsidR="00BD4CAE" w:rsidRPr="00BD4CAE">
        <w:rPr>
          <w:b/>
          <w:bCs/>
        </w:rPr>
        <w:t>Cogir investissement </w:t>
      </w:r>
      <w:r w:rsidR="00BD4CAE">
        <w:t>»)</w:t>
      </w:r>
      <w:r w:rsidR="009C18E9">
        <w:t xml:space="preserve">, </w:t>
      </w:r>
      <w:r w:rsidR="00EE189B">
        <w:t>dont Mathieu Duguay est le chef de la direction et des investissement</w:t>
      </w:r>
      <w:r w:rsidR="00F817B7">
        <w:t>s</w:t>
      </w:r>
      <w:r w:rsidR="004803A7">
        <w:t xml:space="preserve"> depuis 15 à 20 ans, </w:t>
      </w:r>
      <w:r w:rsidR="009C18E9">
        <w:t>laquelle chapeaute toutes les activités</w:t>
      </w:r>
      <w:r w:rsidR="00885CCF">
        <w:t xml:space="preserve"> du groupe Cogir</w:t>
      </w:r>
      <w:r w:rsidR="00C562BD">
        <w:t xml:space="preserve"> </w:t>
      </w:r>
      <w:r w:rsidR="00DB72E3">
        <w:t xml:space="preserve">et gère un actif immobilier de plus de </w:t>
      </w:r>
      <w:r w:rsidR="00DB72E3" w:rsidRPr="00A97347">
        <w:t>15 milliards</w:t>
      </w:r>
      <w:r w:rsidR="00DB72E3">
        <w:t xml:space="preserve"> de dollars</w:t>
      </w:r>
      <w:r w:rsidR="00885CCF">
        <w:t>.</w:t>
      </w:r>
    </w:p>
    <w:p w14:paraId="74D6BF7F" w14:textId="77777777" w:rsidR="00FB483A" w:rsidRPr="00DA5679" w:rsidRDefault="00BD6B34" w:rsidP="00C65F50">
      <w:pPr>
        <w:pStyle w:val="paragrapheno"/>
        <w:spacing w:line="240" w:lineRule="auto"/>
      </w:pPr>
      <w:r>
        <w:t xml:space="preserve"> </w:t>
      </w:r>
      <w:r w:rsidR="00A97347">
        <w:t>Comme les témoins ne font pas toujours la distinction dans leur témoignage entre ces trois entités, le Tribunal utilise le nom Cogir indistinctement pour désigner l’une ou l’autre de ces entités, à moins d’indication contraire.</w:t>
      </w:r>
      <w:r w:rsidR="003D70F6" w:rsidRPr="00DA5679">
        <w:rPr>
          <w:highlight w:val="green"/>
        </w:rPr>
        <w:t xml:space="preserve"> </w:t>
      </w:r>
    </w:p>
    <w:p w14:paraId="6D7D5AED" w14:textId="77777777" w:rsidR="00807A41" w:rsidRDefault="00BD6B34" w:rsidP="00C65F50">
      <w:pPr>
        <w:pStyle w:val="Titre2"/>
        <w:spacing w:line="240" w:lineRule="auto"/>
      </w:pPr>
      <w:r>
        <w:lastRenderedPageBreak/>
        <w:t>Le Fonds</w:t>
      </w:r>
    </w:p>
    <w:p w14:paraId="7D163699" w14:textId="77777777" w:rsidR="00807A41" w:rsidRDefault="00BD6B34" w:rsidP="00C65F50">
      <w:pPr>
        <w:pStyle w:val="paragrapheno"/>
        <w:spacing w:line="240" w:lineRule="auto"/>
      </w:pPr>
      <w:r>
        <w:t>Le Fonds est une société de capital de risque</w:t>
      </w:r>
      <w:r>
        <w:rPr>
          <w:rStyle w:val="Appelnotedebasdep"/>
        </w:rPr>
        <w:footnoteReference w:id="5"/>
      </w:r>
      <w:r>
        <w:t>. Il possède un actif de 21,7 milliards de dollars qu’il investit dans près de 4 000 entreprises partenaires</w:t>
      </w:r>
      <w:r w:rsidR="00EA6DB0">
        <w:t>,</w:t>
      </w:r>
      <w:r>
        <w:t xml:space="preserve"> lesquelles œuvrent dans tous les secteurs de l’économie québécoise</w:t>
      </w:r>
      <w:r w:rsidR="0004483B">
        <w:t xml:space="preserve"> et étr</w:t>
      </w:r>
      <w:r w:rsidR="00AE36B2">
        <w:t>angère</w:t>
      </w:r>
      <w:r>
        <w:t>. Le capital provient d’environ 800 000 particuliers qui investissent dans le Fonds et en deviennent ses actionnaires</w:t>
      </w:r>
      <w:r w:rsidR="005A4CF7">
        <w:t>,</w:t>
      </w:r>
      <w:r>
        <w:t xml:space="preserve"> profit</w:t>
      </w:r>
      <w:r w:rsidR="005A4CF7">
        <w:t>a</w:t>
      </w:r>
      <w:r>
        <w:t>nt en retour d’un crédit d’impôt</w:t>
      </w:r>
      <w:r w:rsidR="00F46288">
        <w:t>.</w:t>
      </w:r>
      <w:r>
        <w:t xml:space="preserve"> </w:t>
      </w:r>
    </w:p>
    <w:p w14:paraId="58397933" w14:textId="77777777" w:rsidR="0079096B" w:rsidRDefault="00BD6B34" w:rsidP="00C65F50">
      <w:pPr>
        <w:pStyle w:val="paragrapheno"/>
        <w:spacing w:line="240" w:lineRule="auto"/>
      </w:pPr>
      <w:r>
        <w:t>Le Fonds a également une filiale dont il est l’unique actionnaire soit, le Fond</w:t>
      </w:r>
      <w:r w:rsidR="006E6DB2">
        <w:t>s</w:t>
      </w:r>
      <w:r>
        <w:t xml:space="preserve"> immobilier de solidarité FTQ inc. (« </w:t>
      </w:r>
      <w:r w:rsidRPr="00E45728">
        <w:rPr>
          <w:b/>
          <w:bCs/>
        </w:rPr>
        <w:t>Fonds immobilier</w:t>
      </w:r>
      <w:r>
        <w:t> »)</w:t>
      </w:r>
      <w:r>
        <w:rPr>
          <w:rStyle w:val="Appelnotedebasdep"/>
        </w:rPr>
        <w:footnoteReference w:id="6"/>
      </w:r>
      <w:r>
        <w:t xml:space="preserve">. </w:t>
      </w:r>
      <w:r w:rsidR="004A4D6D">
        <w:t xml:space="preserve"> </w:t>
      </w:r>
    </w:p>
    <w:p w14:paraId="2FEB8FD7" w14:textId="77777777" w:rsidR="004A613C" w:rsidRDefault="00BD6B34" w:rsidP="00C65F50">
      <w:pPr>
        <w:pStyle w:val="Titre2"/>
        <w:spacing w:line="240" w:lineRule="auto"/>
      </w:pPr>
      <w:r>
        <w:t>M. Pereira</w:t>
      </w:r>
    </w:p>
    <w:p w14:paraId="7AF9FDAC" w14:textId="77777777" w:rsidR="00772BC4" w:rsidRDefault="00BD6B34" w:rsidP="00C65F50">
      <w:pPr>
        <w:pStyle w:val="paragrapheno"/>
        <w:spacing w:line="240" w:lineRule="auto"/>
      </w:pPr>
      <w:r>
        <w:t xml:space="preserve">M. Pereira est </w:t>
      </w:r>
      <w:r w:rsidR="00C45707">
        <w:t xml:space="preserve">un mécanicien industriel de formation. </w:t>
      </w:r>
      <w:r w:rsidR="00E657B1">
        <w:t xml:space="preserve">Il s’agit d’un </w:t>
      </w:r>
      <w:r w:rsidR="00747430">
        <w:t xml:space="preserve">des </w:t>
      </w:r>
      <w:r w:rsidR="00E657B1">
        <w:t>métier</w:t>
      </w:r>
      <w:r w:rsidR="00747430">
        <w:t>s</w:t>
      </w:r>
      <w:r w:rsidR="00E657B1">
        <w:t xml:space="preserve"> de l’industrie de la construction</w:t>
      </w:r>
      <w:r w:rsidR="003A72E5">
        <w:t>.</w:t>
      </w:r>
      <w:r w:rsidR="00747430">
        <w:t xml:space="preserve"> </w:t>
      </w:r>
    </w:p>
    <w:p w14:paraId="6385B621" w14:textId="77777777" w:rsidR="00C45707" w:rsidRPr="003A72E5" w:rsidRDefault="00BD6B34" w:rsidP="00C65F50">
      <w:pPr>
        <w:pStyle w:val="paragrapheno"/>
        <w:spacing w:line="240" w:lineRule="auto"/>
      </w:pPr>
      <w:r w:rsidRPr="003A72E5">
        <w:t>À partir de 199</w:t>
      </w:r>
      <w:r w:rsidR="00053B1F" w:rsidRPr="003A72E5">
        <w:t>1</w:t>
      </w:r>
      <w:r w:rsidRPr="003A72E5">
        <w:t xml:space="preserve">, il travaille </w:t>
      </w:r>
      <w:r w:rsidR="00E657B1" w:rsidRPr="003A72E5">
        <w:t xml:space="preserve">sur des chantiers de construction </w:t>
      </w:r>
      <w:r w:rsidRPr="003A72E5">
        <w:t>comme</w:t>
      </w:r>
      <w:r w:rsidR="00F328F4" w:rsidRPr="003A72E5">
        <w:t xml:space="preserve"> apprenti</w:t>
      </w:r>
      <w:r w:rsidRPr="003A72E5">
        <w:t xml:space="preserve"> mécanicien industriel</w:t>
      </w:r>
      <w:r w:rsidR="00F328F4" w:rsidRPr="003A72E5">
        <w:t xml:space="preserve"> puis comme compagnon</w:t>
      </w:r>
      <w:r w:rsidR="00704155">
        <w:t xml:space="preserve"> et même contremaître ou surintendant</w:t>
      </w:r>
      <w:r w:rsidR="00F328F4" w:rsidRPr="003A72E5">
        <w:t>.</w:t>
      </w:r>
    </w:p>
    <w:p w14:paraId="1BA8F991" w14:textId="77777777" w:rsidR="008700BD" w:rsidRPr="00D27420" w:rsidRDefault="00BD6B34" w:rsidP="00C65F50">
      <w:pPr>
        <w:pStyle w:val="paragrapheno"/>
        <w:spacing w:line="240" w:lineRule="auto"/>
      </w:pPr>
      <w:r w:rsidRPr="00D27420">
        <w:t xml:space="preserve">À compter de </w:t>
      </w:r>
      <w:r w:rsidR="00B41BB3" w:rsidRPr="00D27420">
        <w:t>2005,</w:t>
      </w:r>
      <w:r w:rsidRPr="00D27420">
        <w:t xml:space="preserve"> il s’implique dans le</w:t>
      </w:r>
      <w:r w:rsidR="00F8705E" w:rsidRPr="00D27420">
        <w:t>s organisations</w:t>
      </w:r>
      <w:r w:rsidRPr="00D27420">
        <w:t xml:space="preserve"> syndical</w:t>
      </w:r>
      <w:r w:rsidR="00F8705E" w:rsidRPr="00D27420">
        <w:t>es</w:t>
      </w:r>
      <w:r w:rsidRPr="00D27420">
        <w:t xml:space="preserve">, </w:t>
      </w:r>
      <w:r w:rsidR="00EE7DD5" w:rsidRPr="00D27420">
        <w:t>d</w:t>
      </w:r>
      <w:r w:rsidRPr="00D27420">
        <w:t xml:space="preserve">’abord </w:t>
      </w:r>
      <w:r w:rsidR="00EE7DD5" w:rsidRPr="00D27420">
        <w:t xml:space="preserve">comme </w:t>
      </w:r>
      <w:r w:rsidR="009D0829" w:rsidRPr="00D27420">
        <w:t>agent d’affaires</w:t>
      </w:r>
      <w:r w:rsidR="00B82519" w:rsidRPr="00D27420">
        <w:t xml:space="preserve"> puis comme syndic</w:t>
      </w:r>
      <w:r w:rsidRPr="00D27420">
        <w:t xml:space="preserve"> auprès du Local 2</w:t>
      </w:r>
      <w:r w:rsidR="0001225A" w:rsidRPr="00D27420">
        <w:t>182</w:t>
      </w:r>
      <w:r w:rsidRPr="00D27420">
        <w:t xml:space="preserve"> </w:t>
      </w:r>
      <w:r w:rsidR="00FD5528" w:rsidRPr="00D27420">
        <w:t xml:space="preserve">du </w:t>
      </w:r>
      <w:r w:rsidR="00C13F39" w:rsidRPr="00D27420">
        <w:t>Conseil</w:t>
      </w:r>
      <w:r w:rsidR="00F262EA" w:rsidRPr="00D27420">
        <w:t xml:space="preserve"> provincial </w:t>
      </w:r>
      <w:r w:rsidR="00D67550" w:rsidRPr="00D27420">
        <w:t>d</w:t>
      </w:r>
      <w:r w:rsidR="00F262EA" w:rsidRPr="00D27420">
        <w:t>u Québec des métiers de la construction (« </w:t>
      </w:r>
      <w:r w:rsidR="00FD5528" w:rsidRPr="00D27420">
        <w:rPr>
          <w:b/>
          <w:bCs/>
        </w:rPr>
        <w:t>C</w:t>
      </w:r>
      <w:r w:rsidR="00E06080" w:rsidRPr="00D27420">
        <w:rPr>
          <w:b/>
          <w:bCs/>
        </w:rPr>
        <w:t>PQM</w:t>
      </w:r>
      <w:r w:rsidR="00C13F39" w:rsidRPr="00D27420">
        <w:rPr>
          <w:b/>
          <w:bCs/>
        </w:rPr>
        <w:t>C</w:t>
      </w:r>
      <w:r w:rsidR="00F262EA" w:rsidRPr="00D27420">
        <w:t> »)</w:t>
      </w:r>
      <w:r w:rsidR="00B3071A" w:rsidRPr="00D27420">
        <w:t>,</w:t>
      </w:r>
      <w:r w:rsidR="00E06080" w:rsidRPr="00D27420">
        <w:t xml:space="preserve"> </w:t>
      </w:r>
      <w:r w:rsidR="00FD5528" w:rsidRPr="00D27420">
        <w:t>un</w:t>
      </w:r>
      <w:r w:rsidR="00E06080" w:rsidRPr="00D27420">
        <w:t>e</w:t>
      </w:r>
      <w:r w:rsidR="00FD5528" w:rsidRPr="00D27420">
        <w:t xml:space="preserve"> fédération international</w:t>
      </w:r>
      <w:r w:rsidR="00E06080" w:rsidRPr="00D27420">
        <w:t>e</w:t>
      </w:r>
      <w:r w:rsidR="00FD5528" w:rsidRPr="00D27420">
        <w:t xml:space="preserve"> </w:t>
      </w:r>
      <w:r w:rsidR="00BC0F75" w:rsidRPr="00D27420">
        <w:t xml:space="preserve">auprès de laquelle sont fédérés différents syndicats locaux, </w:t>
      </w:r>
      <w:r w:rsidR="00101FD9" w:rsidRPr="00D27420">
        <w:t xml:space="preserve">dont le </w:t>
      </w:r>
      <w:r w:rsidR="00400BDE">
        <w:t>Local</w:t>
      </w:r>
      <w:r w:rsidR="00101FD9" w:rsidRPr="00D27420">
        <w:t xml:space="preserve"> 2</w:t>
      </w:r>
      <w:r w:rsidR="00834E9D" w:rsidRPr="00D27420">
        <w:t>182</w:t>
      </w:r>
      <w:r w:rsidR="00BC31C5" w:rsidRPr="00D27420">
        <w:t xml:space="preserve"> </w:t>
      </w:r>
      <w:r w:rsidR="00FD5528" w:rsidRPr="00D27420">
        <w:t>représent</w:t>
      </w:r>
      <w:r w:rsidR="00DF5099" w:rsidRPr="00D27420">
        <w:t>ant</w:t>
      </w:r>
      <w:r w:rsidR="00FD5528" w:rsidRPr="00D27420">
        <w:t xml:space="preserve"> </w:t>
      </w:r>
      <w:r w:rsidR="00101FD9" w:rsidRPr="00D27420">
        <w:t>d</w:t>
      </w:r>
      <w:r w:rsidR="00FD5528" w:rsidRPr="00D27420">
        <w:t>es mécaniciens industriels</w:t>
      </w:r>
      <w:r w:rsidR="00B82519" w:rsidRPr="00D27420">
        <w:t>.</w:t>
      </w:r>
      <w:r w:rsidR="00074205" w:rsidRPr="00D27420">
        <w:t xml:space="preserve"> </w:t>
      </w:r>
      <w:r w:rsidR="00BC0F75" w:rsidRPr="00D27420">
        <w:t>Le CPQMC est</w:t>
      </w:r>
      <w:r w:rsidR="00074205" w:rsidRPr="00D27420">
        <w:t xml:space="preserve"> un syndicat rival de la FTQ-Construction</w:t>
      </w:r>
      <w:r w:rsidR="008054DC" w:rsidRPr="00D27420">
        <w:t>.</w:t>
      </w:r>
      <w:r w:rsidR="00B82519" w:rsidRPr="00D27420">
        <w:t xml:space="preserve"> </w:t>
      </w:r>
    </w:p>
    <w:p w14:paraId="3C7AE088" w14:textId="77777777" w:rsidR="00630C5C" w:rsidRDefault="00BD6B34" w:rsidP="00C65F50">
      <w:pPr>
        <w:pStyle w:val="paragrapheno"/>
        <w:spacing w:line="240" w:lineRule="auto"/>
      </w:pPr>
      <w:r>
        <w:t>En</w:t>
      </w:r>
      <w:r w:rsidR="008700BD">
        <w:t xml:space="preserve"> </w:t>
      </w:r>
      <w:r w:rsidR="009176EF">
        <w:t>2006</w:t>
      </w:r>
      <w:r w:rsidR="008700BD">
        <w:t>,</w:t>
      </w:r>
      <w:r w:rsidR="00241489">
        <w:t xml:space="preserve"> </w:t>
      </w:r>
      <w:r w:rsidR="000C03EA">
        <w:t xml:space="preserve">le directeur </w:t>
      </w:r>
      <w:r w:rsidR="00241489">
        <w:t>général de la FTQ Construction</w:t>
      </w:r>
      <w:r w:rsidR="000C03EA">
        <w:t xml:space="preserve">, Jocelyn Dupuis, </w:t>
      </w:r>
      <w:r w:rsidR="00241489">
        <w:t>lui offre de devenir</w:t>
      </w:r>
      <w:r w:rsidR="008700BD">
        <w:t xml:space="preserve"> </w:t>
      </w:r>
      <w:r w:rsidRPr="00704C68">
        <w:t xml:space="preserve">le </w:t>
      </w:r>
      <w:r w:rsidR="004237A6" w:rsidRPr="00704C68">
        <w:t>Direct</w:t>
      </w:r>
      <w:r w:rsidR="004237A6">
        <w:t>eur</w:t>
      </w:r>
      <w:r w:rsidR="004237A6" w:rsidRPr="00704C68">
        <w:t xml:space="preserve"> du Local </w:t>
      </w:r>
      <w:r w:rsidR="00BF66CC" w:rsidRPr="00704C68">
        <w:t>1981</w:t>
      </w:r>
      <w:r w:rsidR="004237A6">
        <w:t xml:space="preserve"> de la FTQ-Construction</w:t>
      </w:r>
      <w:r w:rsidR="00A956A0">
        <w:t>.</w:t>
      </w:r>
      <w:r w:rsidR="00BA0AD2">
        <w:t xml:space="preserve"> Il s’agit du </w:t>
      </w:r>
      <w:r w:rsidR="00400BDE">
        <w:t>Local</w:t>
      </w:r>
      <w:r w:rsidR="00BA0AD2">
        <w:t xml:space="preserve"> qui regroupe </w:t>
      </w:r>
      <w:r w:rsidR="00101FD9">
        <w:t>d</w:t>
      </w:r>
      <w:r w:rsidR="00BA0AD2">
        <w:t>es mécaniciens industriels.</w:t>
      </w:r>
      <w:r w:rsidR="000C03EA">
        <w:t xml:space="preserve"> Il accepte.</w:t>
      </w:r>
      <w:r w:rsidR="00BC0F75">
        <w:t xml:space="preserve"> À cette époque, le Local 1981 compte peu de membres.</w:t>
      </w:r>
    </w:p>
    <w:p w14:paraId="5104855E" w14:textId="77777777" w:rsidR="000022EF" w:rsidRPr="003A3255" w:rsidRDefault="00BD6B34" w:rsidP="00C65F50">
      <w:pPr>
        <w:pStyle w:val="paragrapheno"/>
        <w:spacing w:line="240" w:lineRule="auto"/>
      </w:pPr>
      <w:r w:rsidRPr="003A3255">
        <w:t>E</w:t>
      </w:r>
      <w:r w:rsidR="00F2439C" w:rsidRPr="003A3255">
        <w:t xml:space="preserve">n </w:t>
      </w:r>
      <w:r w:rsidR="0041579C" w:rsidRPr="003A3255">
        <w:t>2009</w:t>
      </w:r>
      <w:r w:rsidR="00616E5D" w:rsidRPr="003A3255">
        <w:t>,</w:t>
      </w:r>
      <w:r w:rsidR="008152F6" w:rsidRPr="003A3255">
        <w:t xml:space="preserve"> il perd son emploi auprès du Local </w:t>
      </w:r>
      <w:r w:rsidR="00BF66CC" w:rsidRPr="003A3255">
        <w:t>1981</w:t>
      </w:r>
      <w:r w:rsidR="000523F3" w:rsidRPr="003A3255">
        <w:t xml:space="preserve"> dans les circonstance</w:t>
      </w:r>
      <w:r w:rsidR="00EB00A7" w:rsidRPr="003A3255">
        <w:t>s</w:t>
      </w:r>
      <w:r w:rsidR="000523F3" w:rsidRPr="003A3255">
        <w:t xml:space="preserve"> qui seront brièvement abordées plus loin</w:t>
      </w:r>
      <w:r w:rsidR="0009501C" w:rsidRPr="003A3255">
        <w:t>.</w:t>
      </w:r>
    </w:p>
    <w:p w14:paraId="357D3753" w14:textId="77777777" w:rsidR="00A956A0" w:rsidRDefault="00BD6B34" w:rsidP="00C65F50">
      <w:pPr>
        <w:pStyle w:val="paragrapheno"/>
        <w:spacing w:line="240" w:lineRule="auto"/>
      </w:pPr>
      <w:r>
        <w:t>En 2011, a</w:t>
      </w:r>
      <w:r w:rsidR="000523F3">
        <w:t>pr</w:t>
      </w:r>
      <w:r w:rsidR="00BE71CF">
        <w:t>ès</w:t>
      </w:r>
      <w:r w:rsidR="000523F3">
        <w:t xml:space="preserve"> avoir entrepris une poursuite contre la FT</w:t>
      </w:r>
      <w:r w:rsidR="00BE71CF">
        <w:t>Q</w:t>
      </w:r>
      <w:r w:rsidR="0049347A">
        <w:t xml:space="preserve"> pour la perte de son emploi auprès du Local 1981</w:t>
      </w:r>
      <w:r w:rsidR="00BE71CF">
        <w:t xml:space="preserve">, il convient d’une entente hors cours dont le contenu n’a pas été dévoilé sinon </w:t>
      </w:r>
      <w:r w:rsidR="00D50DDA">
        <w:t xml:space="preserve">que </w:t>
      </w:r>
      <w:r w:rsidR="00BE71CF">
        <w:t xml:space="preserve">pour </w:t>
      </w:r>
      <w:r w:rsidR="00C03BCB">
        <w:t>inform</w:t>
      </w:r>
      <w:r w:rsidR="002D0602">
        <w:t>er</w:t>
      </w:r>
      <w:r w:rsidR="00C03BCB">
        <w:t xml:space="preserve"> le Tribunal qu’il ne pouvait pendant cinq ans occuper un poste dans l’exécutif syndical</w:t>
      </w:r>
      <w:r w:rsidR="00D50DDA">
        <w:t xml:space="preserve"> et que c</w:t>
      </w:r>
      <w:r w:rsidR="002D0602">
        <w:t>ette entente ne lui interdisait pas de travailler comme mécanicien industriel.</w:t>
      </w:r>
    </w:p>
    <w:p w14:paraId="1FC02C44" w14:textId="77777777" w:rsidR="00B82657" w:rsidRDefault="00BD6B34" w:rsidP="00550354">
      <w:pPr>
        <w:pStyle w:val="paragrapheno"/>
        <w:spacing w:line="240" w:lineRule="auto"/>
      </w:pPr>
      <w:r w:rsidRPr="00B07C3D">
        <w:lastRenderedPageBreak/>
        <w:t>Pour fins de compréhension</w:t>
      </w:r>
      <w:r w:rsidR="003D49C8" w:rsidRPr="00B07C3D">
        <w:t>,</w:t>
      </w:r>
      <w:r w:rsidRPr="00B07C3D">
        <w:t xml:space="preserve"> </w:t>
      </w:r>
      <w:r w:rsidR="00527CE9" w:rsidRPr="00B07C3D">
        <w:t xml:space="preserve">il convient de </w:t>
      </w:r>
      <w:r w:rsidR="000D12D4" w:rsidRPr="00B07C3D">
        <w:t>mentionner, sommairement</w:t>
      </w:r>
      <w:r w:rsidR="00527CE9" w:rsidRPr="00B07C3D">
        <w:t xml:space="preserve"> à ce stade</w:t>
      </w:r>
      <w:r w:rsidR="000D12D4" w:rsidRPr="00B07C3D">
        <w:t>-</w:t>
      </w:r>
      <w:r w:rsidR="00527CE9" w:rsidRPr="00B07C3D">
        <w:t>ci</w:t>
      </w:r>
      <w:r w:rsidR="000D12D4" w:rsidRPr="00B07C3D">
        <w:t>,</w:t>
      </w:r>
      <w:r w:rsidR="0009501C" w:rsidRPr="00B07C3D">
        <w:t xml:space="preserve"> que</w:t>
      </w:r>
      <w:r w:rsidR="008D7DF2" w:rsidRPr="00B07C3D">
        <w:t xml:space="preserve"> dans le cadre de son parcours</w:t>
      </w:r>
      <w:r w:rsidR="00423374">
        <w:t xml:space="preserve"> professionnel depuis 2005</w:t>
      </w:r>
      <w:r w:rsidR="008D7DF2" w:rsidRPr="00B07C3D">
        <w:t>,</w:t>
      </w:r>
      <w:r w:rsidR="0009501C" w:rsidRPr="00B07C3D">
        <w:t xml:space="preserve"> M. Pereira </w:t>
      </w:r>
      <w:r w:rsidR="009C4C8A">
        <w:t>considère avoir</w:t>
      </w:r>
      <w:r w:rsidR="003A68BB">
        <w:t xml:space="preserve"> </w:t>
      </w:r>
      <w:r w:rsidR="002A576F">
        <w:t>jouer un rôle</w:t>
      </w:r>
      <w:r w:rsidR="003A68BB">
        <w:t xml:space="preserve"> un </w:t>
      </w:r>
      <w:r w:rsidR="00C27E68">
        <w:t>lanceur d’alerte</w:t>
      </w:r>
      <w:r w:rsidR="0009501C" w:rsidRPr="00B07C3D">
        <w:t xml:space="preserve"> </w:t>
      </w:r>
      <w:r w:rsidR="002A576F">
        <w:t xml:space="preserve">dans l’industrie de la </w:t>
      </w:r>
      <w:r w:rsidR="00B17752">
        <w:t xml:space="preserve">construction, </w:t>
      </w:r>
      <w:r w:rsidR="0009501C" w:rsidRPr="00B07C3D">
        <w:t>notamment</w:t>
      </w:r>
      <w:r w:rsidR="00AA22CE">
        <w:t xml:space="preserve"> en</w:t>
      </w:r>
      <w:r w:rsidR="0009501C" w:rsidRPr="00B07C3D">
        <w:t xml:space="preserve"> dénon</w:t>
      </w:r>
      <w:r w:rsidR="00AA22CE">
        <w:t>çant</w:t>
      </w:r>
      <w:r w:rsidR="0009501C" w:rsidRPr="00B07C3D">
        <w:t xml:space="preserve"> des actes illégaux commis par certaines personnes dont, en 2009, Jocelyn Dupuis et </w:t>
      </w:r>
      <w:r w:rsidR="00AA22CE">
        <w:t>en témoignant</w:t>
      </w:r>
      <w:r w:rsidR="0009501C" w:rsidRPr="00B07C3D">
        <w:t xml:space="preserve"> à la Commission Charbonneau qui débute en 2011. Selon son témoignage</w:t>
      </w:r>
      <w:r w:rsidR="00436B57">
        <w:t>,</w:t>
      </w:r>
      <w:r w:rsidR="0009501C" w:rsidRPr="00B07C3D">
        <w:t xml:space="preserve"> il y dénonce la corruption </w:t>
      </w:r>
      <w:r w:rsidR="00D35346">
        <w:t xml:space="preserve">et la criminalité </w:t>
      </w:r>
      <w:r w:rsidR="0009501C" w:rsidRPr="00B07C3D">
        <w:t xml:space="preserve">dans l’industrie de la construction </w:t>
      </w:r>
      <w:r w:rsidR="000379F8">
        <w:t>inclu</w:t>
      </w:r>
      <w:r w:rsidR="000B364D">
        <w:t>a</w:t>
      </w:r>
      <w:r w:rsidR="000379F8">
        <w:t>nt</w:t>
      </w:r>
      <w:r w:rsidR="0009501C" w:rsidRPr="00B07C3D">
        <w:t xml:space="preserve"> chez certains entrepreneurs. </w:t>
      </w:r>
    </w:p>
    <w:p w14:paraId="2A6F00A0" w14:textId="77777777" w:rsidR="004517CE" w:rsidRPr="00B07C3D" w:rsidRDefault="00BD6B34" w:rsidP="00550354">
      <w:pPr>
        <w:pStyle w:val="paragrapheno"/>
        <w:spacing w:line="240" w:lineRule="auto"/>
      </w:pPr>
      <w:r w:rsidRPr="00B07C3D">
        <w:t>Il affirme également avoir joué un rôle dans l’adoption de deux lois</w:t>
      </w:r>
      <w:r w:rsidR="00436B57">
        <w:t>;</w:t>
      </w:r>
      <w:r w:rsidRPr="00B07C3D">
        <w:t xml:space="preserve"> une fédérale sur la transparence financière </w:t>
      </w:r>
      <w:r w:rsidR="00434927">
        <w:t>visant entre autres les organisations syndicales</w:t>
      </w:r>
      <w:r w:rsidR="00A32487">
        <w:t xml:space="preserve"> </w:t>
      </w:r>
      <w:r w:rsidRPr="00B07C3D">
        <w:t>et une provinciale</w:t>
      </w:r>
      <w:r w:rsidR="00A32487">
        <w:t xml:space="preserve"> portant</w:t>
      </w:r>
      <w:r w:rsidRPr="00B07C3D">
        <w:t xml:space="preserve"> sur le placement dans l’industrie de la construction</w:t>
      </w:r>
      <w:r w:rsidR="00A32487">
        <w:t>. I</w:t>
      </w:r>
      <w:r w:rsidRPr="00B07C3D">
        <w:t>l reconnaît que ces deux lois n’ont pas plu au milieu syndical de l’industrie de la construction.</w:t>
      </w:r>
    </w:p>
    <w:p w14:paraId="7F77BE62" w14:textId="77777777" w:rsidR="00BE0648" w:rsidRDefault="00BD6B34" w:rsidP="00C65F50">
      <w:pPr>
        <w:pStyle w:val="paragrapheno"/>
        <w:spacing w:line="240" w:lineRule="auto"/>
      </w:pPr>
      <w:r w:rsidRPr="00B07C3D">
        <w:t xml:space="preserve">M. Pereira affirme </w:t>
      </w:r>
      <w:r w:rsidR="006025F7">
        <w:t>que malgré ses qualification</w:t>
      </w:r>
      <w:r w:rsidR="00225670">
        <w:t>s, depuis 2009, il n’a</w:t>
      </w:r>
      <w:r w:rsidRPr="00B07C3D">
        <w:t xml:space="preserve"> plus</w:t>
      </w:r>
      <w:r w:rsidR="00BF6398" w:rsidRPr="00B07C3D">
        <w:t xml:space="preserve"> été en</w:t>
      </w:r>
      <w:r w:rsidR="00BF6398">
        <w:t xml:space="preserve"> mesure de travailler sur un chantier de la construction au Québec, à l</w:t>
      </w:r>
      <w:r w:rsidR="00E0468E">
        <w:t>’exception d’une p</w:t>
      </w:r>
      <w:r w:rsidR="00881F92">
        <w:t>ériode de</w:t>
      </w:r>
      <w:r w:rsidR="00E0468E">
        <w:t xml:space="preserve"> deux mois</w:t>
      </w:r>
      <w:r w:rsidR="00881F92">
        <w:t>, de la fin juin au début septembre 2018, période au cours de laquelle</w:t>
      </w:r>
      <w:r w:rsidR="00A7602D">
        <w:t>,</w:t>
      </w:r>
      <w:r w:rsidR="00E0468E">
        <w:t xml:space="preserve"> </w:t>
      </w:r>
      <w:r w:rsidR="00881F92">
        <w:t>il rend des services à Cogir</w:t>
      </w:r>
      <w:r w:rsidR="00842F5B">
        <w:t xml:space="preserve"> </w:t>
      </w:r>
      <w:r w:rsidR="00A7602D">
        <w:t xml:space="preserve">sur </w:t>
      </w:r>
      <w:r w:rsidR="000B364D">
        <w:t>quatre</w:t>
      </w:r>
      <w:r w:rsidR="00610861">
        <w:t xml:space="preserve"> de ses</w:t>
      </w:r>
      <w:r w:rsidR="000B364D">
        <w:t xml:space="preserve"> </w:t>
      </w:r>
      <w:r w:rsidR="00F42EBC">
        <w:t>chantiers</w:t>
      </w:r>
      <w:r w:rsidR="00610861">
        <w:t>.</w:t>
      </w:r>
    </w:p>
    <w:p w14:paraId="2FCFA1A6" w14:textId="77777777" w:rsidR="00695875" w:rsidRPr="00704155" w:rsidRDefault="00BD6B34" w:rsidP="00C65F50">
      <w:pPr>
        <w:pStyle w:val="Titre2"/>
        <w:spacing w:line="240" w:lineRule="auto"/>
      </w:pPr>
      <w:r w:rsidRPr="00704155">
        <w:t>Les chantiers de Cogir</w:t>
      </w:r>
    </w:p>
    <w:p w14:paraId="4B793472" w14:textId="77777777" w:rsidR="00C55AAC" w:rsidRDefault="00BD6B34" w:rsidP="00C65F50">
      <w:pPr>
        <w:pStyle w:val="paragrapheno"/>
        <w:spacing w:line="240" w:lineRule="auto"/>
      </w:pPr>
      <w:r w:rsidRPr="00DA5679">
        <w:t xml:space="preserve">Les quatre chantiers </w:t>
      </w:r>
      <w:r w:rsidR="007D73C9">
        <w:t>où M. Pereira rend des services pour Cogir</w:t>
      </w:r>
      <w:r w:rsidRPr="00DA5679">
        <w:t xml:space="preserve"> sont les chantiers </w:t>
      </w:r>
      <w:r w:rsidR="00926FC4">
        <w:t>Mostra</w:t>
      </w:r>
      <w:r w:rsidR="00340D6D">
        <w:t>,</w:t>
      </w:r>
      <w:r w:rsidRPr="00DA5679">
        <w:t xml:space="preserve"> situé à Longueuil, Le Renoir situé à Laval, Humanité et Unicité, situés tous deux à Montréal. </w:t>
      </w:r>
    </w:p>
    <w:p w14:paraId="03DDDCC6" w14:textId="77777777" w:rsidR="003F1EB4" w:rsidRDefault="00BD6B34" w:rsidP="00C65F50">
      <w:pPr>
        <w:pStyle w:val="paragrapheno"/>
        <w:spacing w:line="240" w:lineRule="auto"/>
      </w:pPr>
      <w:r w:rsidRPr="00DA5679">
        <w:t xml:space="preserve">Sur </w:t>
      </w:r>
      <w:r w:rsidR="000B2B9A">
        <w:t>tous c</w:t>
      </w:r>
      <w:r w:rsidRPr="00DA5679">
        <w:t>es chantiers sauf Humaniti, Cogir Construction agit comme entrepreneur général et n’a qu’un seul employé sur le chantier, soit son surintendant. Cogir Construction retient les services de sous-entrepreneurs</w:t>
      </w:r>
      <w:r w:rsidR="00DC0ADC">
        <w:t>,</w:t>
      </w:r>
      <w:r w:rsidRPr="00DA5679">
        <w:t xml:space="preserve"> lesquels exécutent les différents travaux de construction avec leurs propres employés de l’industrie de la construction.</w:t>
      </w:r>
    </w:p>
    <w:p w14:paraId="716B45DC" w14:textId="77777777" w:rsidR="00BC0F75" w:rsidRPr="00DA5679" w:rsidRDefault="00BD6B34" w:rsidP="00C65F50">
      <w:pPr>
        <w:pStyle w:val="paragrapheno"/>
        <w:spacing w:line="240" w:lineRule="auto"/>
      </w:pPr>
      <w:r>
        <w:t>Le partenaire financier de Cogir dans les projets Mostra et Le Renoir est Desjardins.</w:t>
      </w:r>
    </w:p>
    <w:p w14:paraId="3B63F006" w14:textId="77777777" w:rsidR="00E163D8" w:rsidRPr="0078228A" w:rsidRDefault="00BD6B34" w:rsidP="003D11BB">
      <w:pPr>
        <w:pStyle w:val="paragrapheno"/>
        <w:spacing w:line="240" w:lineRule="auto"/>
      </w:pPr>
      <w:r w:rsidRPr="0078228A">
        <w:t>Le Fonds immobilier est le partenaire de Cogir à parts égales dans le projet Unicité</w:t>
      </w:r>
      <w:r>
        <w:rPr>
          <w:rStyle w:val="Appelnotedebasdep"/>
        </w:rPr>
        <w:footnoteReference w:id="7"/>
      </w:r>
      <w:r w:rsidRPr="0078228A">
        <w:t>.</w:t>
      </w:r>
    </w:p>
    <w:p w14:paraId="03FBEDA0" w14:textId="77777777" w:rsidR="00EA0BAC" w:rsidRDefault="00BD6B34" w:rsidP="00C65F50">
      <w:pPr>
        <w:pStyle w:val="paragrapheno"/>
        <w:spacing w:line="240" w:lineRule="auto"/>
      </w:pPr>
      <w:r w:rsidRPr="00DA5679">
        <w:t xml:space="preserve">Sur le chantier Humaniti, l’entrepreneur général est EBC et Cogir est un des investisseurs. </w:t>
      </w:r>
      <w:r w:rsidR="008C642A">
        <w:t xml:space="preserve">Le </w:t>
      </w:r>
      <w:r>
        <w:t>T</w:t>
      </w:r>
      <w:r w:rsidR="008C642A">
        <w:t>ribunal n’est pas informé du rôle qu’aurait pu y jouer Cogir Constructi</w:t>
      </w:r>
      <w:r w:rsidR="00BC0F75">
        <w:t>on ni M. Leblanc, mais ce dernier, s’y rend souvent.</w:t>
      </w:r>
    </w:p>
    <w:p w14:paraId="72D7C5A0" w14:textId="77777777" w:rsidR="00DA5679" w:rsidRDefault="00BD6B34" w:rsidP="00C65F50">
      <w:pPr>
        <w:pStyle w:val="paragrapheno"/>
        <w:spacing w:line="240" w:lineRule="auto"/>
      </w:pPr>
      <w:r w:rsidRPr="00DA5679">
        <w:t xml:space="preserve">Humaniti est un </w:t>
      </w:r>
      <w:r w:rsidR="00EA0BAC">
        <w:t xml:space="preserve">projet de construction </w:t>
      </w:r>
      <w:r w:rsidR="00657ED9">
        <w:t xml:space="preserve">et d’exploitation d’un </w:t>
      </w:r>
      <w:r w:rsidRPr="00DA5679">
        <w:t>immeuble</w:t>
      </w:r>
      <w:r w:rsidR="0005773D">
        <w:t xml:space="preserve"> de 40 étages</w:t>
      </w:r>
      <w:r w:rsidRPr="00DA5679">
        <w:t xml:space="preserve"> à vocation multiple au centre-ville de Montréal dans lequel différents investisseurs sont impliqués. Le projet compte cinq composantes soit, des condos à vendre, des </w:t>
      </w:r>
      <w:r w:rsidRPr="00DA5679">
        <w:lastRenderedPageBreak/>
        <w:t>appartements à louer, des espaces de bureaux à louer, des espaces commerciaux à louer et un hôtel à opérer.</w:t>
      </w:r>
    </w:p>
    <w:p w14:paraId="5AC5754C" w14:textId="77777777" w:rsidR="003F1EB4" w:rsidRPr="000925D1" w:rsidRDefault="00BD6B34" w:rsidP="00C65F50">
      <w:pPr>
        <w:pStyle w:val="paragrapheno"/>
        <w:spacing w:line="240" w:lineRule="auto"/>
      </w:pPr>
      <w:r>
        <w:t>Le Fonds immobilier</w:t>
      </w:r>
      <w:r w:rsidRPr="000925D1">
        <w:t xml:space="preserve"> est</w:t>
      </w:r>
      <w:r>
        <w:t xml:space="preserve"> </w:t>
      </w:r>
      <w:r w:rsidRPr="000925D1">
        <w:t>un partenaire important de Cogir dans les volets condos, appartements et espaces de bureaux et commerciaux du projet Humaniti</w:t>
      </w:r>
      <w:r>
        <w:rPr>
          <w:rStyle w:val="Appelnotedebasdep"/>
        </w:rPr>
        <w:footnoteReference w:id="8"/>
      </w:r>
      <w:r w:rsidRPr="000925D1">
        <w:t>.</w:t>
      </w:r>
    </w:p>
    <w:p w14:paraId="6431CD48" w14:textId="77777777" w:rsidR="003F1EB4" w:rsidRDefault="00BD6B34" w:rsidP="00C65F50">
      <w:pPr>
        <w:pStyle w:val="paragrapheno"/>
        <w:spacing w:line="240" w:lineRule="auto"/>
      </w:pPr>
      <w:r w:rsidRPr="000925D1">
        <w:t>Pour sa part, le Fonds est un partenaire financier de Cogir dans le projet Humaniti à l’égard du volet hôtelier uniquement</w:t>
      </w:r>
      <w:r w:rsidR="00610861">
        <w:t>.</w:t>
      </w:r>
    </w:p>
    <w:p w14:paraId="659D39D7" w14:textId="77777777" w:rsidR="007C312A" w:rsidRDefault="00BD6B34" w:rsidP="00C65F50">
      <w:pPr>
        <w:pStyle w:val="paragrapheno"/>
        <w:spacing w:line="240" w:lineRule="auto"/>
      </w:pPr>
      <w:r>
        <w:t xml:space="preserve">M. Pereira </w:t>
      </w:r>
      <w:r w:rsidR="00BC0F75">
        <w:t>rend des service</w:t>
      </w:r>
      <w:r w:rsidR="002908EC">
        <w:t>s</w:t>
      </w:r>
      <w:r w:rsidR="00BC0F75">
        <w:t xml:space="preserve"> d’abord sur le chantier Mostra</w:t>
      </w:r>
      <w:r w:rsidR="004162CF">
        <w:t xml:space="preserve">, puis sur le chantier Le Renoir et par la suite, sur le chantier Unicité. </w:t>
      </w:r>
      <w:r w:rsidR="00CC2B7D">
        <w:t xml:space="preserve">M. Pereira </w:t>
      </w:r>
      <w:r>
        <w:t xml:space="preserve">est </w:t>
      </w:r>
      <w:r w:rsidR="00365792">
        <w:t>ensuite</w:t>
      </w:r>
      <w:r w:rsidR="004162CF">
        <w:t xml:space="preserve"> </w:t>
      </w:r>
      <w:r>
        <w:t xml:space="preserve">assigné </w:t>
      </w:r>
      <w:r w:rsidR="004162CF">
        <w:t xml:space="preserve">de nouveau </w:t>
      </w:r>
      <w:r>
        <w:t xml:space="preserve">au chantier </w:t>
      </w:r>
      <w:r w:rsidR="00045CDB">
        <w:t xml:space="preserve">Le Renoir </w:t>
      </w:r>
      <w:r w:rsidR="004162CF">
        <w:t>et environ deux semaines plus tard, soit le 7 septembre 2018,</w:t>
      </w:r>
      <w:r w:rsidR="00CC2B7D">
        <w:t xml:space="preserve"> M. Leblanc </w:t>
      </w:r>
      <w:r w:rsidR="00E62102">
        <w:t>l’informe qu’il doit mettre fin à ses services</w:t>
      </w:r>
      <w:r w:rsidR="0061480A">
        <w:t xml:space="preserve"> parce que sa présence dérange</w:t>
      </w:r>
      <w:r w:rsidR="00E62102">
        <w:t>.</w:t>
      </w:r>
    </w:p>
    <w:p w14:paraId="5BC0E284" w14:textId="77777777" w:rsidR="0073415A" w:rsidRDefault="00BD6B34" w:rsidP="00C65F50">
      <w:pPr>
        <w:pStyle w:val="paragrapheno"/>
        <w:spacing w:line="240" w:lineRule="auto"/>
      </w:pPr>
      <w:r>
        <w:t xml:space="preserve">En 2019, </w:t>
      </w:r>
      <w:r w:rsidR="00025B79">
        <w:t xml:space="preserve">Cogir rachète </w:t>
      </w:r>
      <w:r>
        <w:t>l</w:t>
      </w:r>
      <w:r w:rsidR="000925D1">
        <w:t>a participation du Fonds immobilier</w:t>
      </w:r>
      <w:r w:rsidR="00025B79">
        <w:t xml:space="preserve"> dans les projets</w:t>
      </w:r>
      <w:r w:rsidR="002B29B5">
        <w:t xml:space="preserve"> </w:t>
      </w:r>
      <w:r w:rsidR="00025B79">
        <w:t>Humaniti et Unicité</w:t>
      </w:r>
      <w:r w:rsidR="002B29B5">
        <w:t xml:space="preserve">. </w:t>
      </w:r>
      <w:r w:rsidR="004162CF">
        <w:t xml:space="preserve">M. Duguay considère la collaboration avec celui-ci trop difficile et la façon de fonctionner du Fonds immobilier peu efficace. </w:t>
      </w:r>
      <w:r w:rsidR="009675AA">
        <w:t>Il ne souhaite plus que le Fonds immobilier demeure un partenaire.</w:t>
      </w:r>
    </w:p>
    <w:p w14:paraId="11BED3FF" w14:textId="77777777" w:rsidR="0005773D" w:rsidRPr="00DA5679" w:rsidRDefault="00BD6B34" w:rsidP="00C65F50">
      <w:pPr>
        <w:pStyle w:val="paragrapheno"/>
        <w:spacing w:line="240" w:lineRule="auto"/>
      </w:pPr>
      <w:r>
        <w:t>En date de l’audience</w:t>
      </w:r>
      <w:r w:rsidR="00DD26D4">
        <w:t>,</w:t>
      </w:r>
      <w:r w:rsidR="009675AA">
        <w:t xml:space="preserve"> et au contraire du Fonds </w:t>
      </w:r>
      <w:r w:rsidR="007D25A0">
        <w:t>immobilier, le</w:t>
      </w:r>
      <w:r w:rsidR="00DD26D4">
        <w:t xml:space="preserve"> </w:t>
      </w:r>
      <w:r w:rsidR="004162CF">
        <w:t>F</w:t>
      </w:r>
      <w:r w:rsidR="00DD26D4">
        <w:t>onds est toujours</w:t>
      </w:r>
      <w:r w:rsidR="004162CF">
        <w:t xml:space="preserve"> le</w:t>
      </w:r>
      <w:r w:rsidR="00DD26D4">
        <w:t xml:space="preserve"> partenaire</w:t>
      </w:r>
      <w:r w:rsidR="004162CF">
        <w:t xml:space="preserve"> de Cogir</w:t>
      </w:r>
      <w:r w:rsidR="00DD26D4">
        <w:t xml:space="preserve"> </w:t>
      </w:r>
      <w:r w:rsidR="0073415A">
        <w:t>d</w:t>
      </w:r>
      <w:r w:rsidR="00DD26D4">
        <w:t xml:space="preserve">ans </w:t>
      </w:r>
      <w:r w:rsidR="0073415A">
        <w:t xml:space="preserve">le projet </w:t>
      </w:r>
      <w:r w:rsidR="00DD26D4">
        <w:t>Humaniti pour l</w:t>
      </w:r>
      <w:r w:rsidR="00D329A4">
        <w:t>’exploitation de l’hôtel</w:t>
      </w:r>
      <w:r w:rsidR="004162CF">
        <w:t xml:space="preserve">. M. Duguay estime le partenariat avec la division </w:t>
      </w:r>
      <w:r w:rsidR="00A77AD0">
        <w:t>divertissement</w:t>
      </w:r>
      <w:r w:rsidR="004162CF">
        <w:t xml:space="preserve"> du Fonds</w:t>
      </w:r>
      <w:r w:rsidR="00377A26">
        <w:t>,</w:t>
      </w:r>
      <w:r w:rsidR="004162CF">
        <w:t xml:space="preserve"> </w:t>
      </w:r>
      <w:r w:rsidR="003C487C">
        <w:t>piloté</w:t>
      </w:r>
      <w:r w:rsidR="00610861">
        <w:t>e</w:t>
      </w:r>
      <w:r w:rsidR="004162CF">
        <w:t xml:space="preserve"> par M. </w:t>
      </w:r>
      <w:r w:rsidR="003C02E8">
        <w:t xml:space="preserve">Louis </w:t>
      </w:r>
      <w:r w:rsidR="004162CF">
        <w:t>Aubuchon</w:t>
      </w:r>
      <w:r w:rsidR="00BD5C7E">
        <w:t>,</w:t>
      </w:r>
      <w:r w:rsidR="003C487C">
        <w:t xml:space="preserve"> le directeur investissement</w:t>
      </w:r>
      <w:r w:rsidR="00BD5C7E">
        <w:t>,</w:t>
      </w:r>
      <w:r w:rsidR="004162CF">
        <w:t xml:space="preserve"> facile et efficace, soulignant même </w:t>
      </w:r>
      <w:r w:rsidR="009675AA">
        <w:t>la valeur ajoutée</w:t>
      </w:r>
      <w:r w:rsidR="004162CF">
        <w:t xml:space="preserve"> de cette division du Fonds dans l</w:t>
      </w:r>
      <w:r w:rsidR="005E62CD">
        <w:t xml:space="preserve">es </w:t>
      </w:r>
      <w:r w:rsidR="004162CF">
        <w:t>opération</w:t>
      </w:r>
      <w:r w:rsidR="005E62CD">
        <w:t>s</w:t>
      </w:r>
      <w:r w:rsidR="004162CF">
        <w:t xml:space="preserve"> de l’hôtel.</w:t>
      </w:r>
    </w:p>
    <w:p w14:paraId="60D7A2A5" w14:textId="77777777" w:rsidR="0087033B" w:rsidRDefault="00BD6B34" w:rsidP="00C65F50">
      <w:pPr>
        <w:pStyle w:val="Titre1"/>
        <w:spacing w:line="240" w:lineRule="auto"/>
      </w:pPr>
      <w:r>
        <w:t>positions des parties</w:t>
      </w:r>
    </w:p>
    <w:p w14:paraId="4B8778F2" w14:textId="77777777" w:rsidR="00527A14" w:rsidRDefault="00BD6B34" w:rsidP="00C65F50">
      <w:pPr>
        <w:pStyle w:val="paragrapheno"/>
        <w:spacing w:line="240" w:lineRule="auto"/>
      </w:pPr>
      <w:r>
        <w:t>M. Pereira</w:t>
      </w:r>
      <w:r w:rsidR="00EA6F8C">
        <w:t xml:space="preserve"> considère que le Fonds l’empêch</w:t>
      </w:r>
      <w:r w:rsidR="00655871">
        <w:t>e</w:t>
      </w:r>
      <w:r w:rsidR="00EA6F8C">
        <w:t xml:space="preserve"> de travailler dans l’industrie de la construction en </w:t>
      </w:r>
      <w:r w:rsidR="000B10A7">
        <w:t>exerçant</w:t>
      </w:r>
      <w:r w:rsidR="00EA6F8C">
        <w:t xml:space="preserve"> de la pression sur les employeurs</w:t>
      </w:r>
      <w:r w:rsidR="00AA3069">
        <w:t xml:space="preserve"> de cette industri</w:t>
      </w:r>
      <w:r w:rsidR="000C0561">
        <w:t>e</w:t>
      </w:r>
      <w:r w:rsidR="00FF3DE6">
        <w:t>,</w:t>
      </w:r>
      <w:r w:rsidR="005E073E">
        <w:t xml:space="preserve"> dont Cogir</w:t>
      </w:r>
      <w:r w:rsidR="00655871">
        <w:t>, commettant ainsi une faute à son égard</w:t>
      </w:r>
      <w:r w:rsidR="000C0561">
        <w:t xml:space="preserve">. </w:t>
      </w:r>
    </w:p>
    <w:p w14:paraId="2737B00F" w14:textId="77777777" w:rsidR="00EA6F8C" w:rsidRDefault="00BD6B34" w:rsidP="00C65F50">
      <w:pPr>
        <w:pStyle w:val="paragrapheno"/>
        <w:spacing w:line="240" w:lineRule="auto"/>
      </w:pPr>
      <w:r>
        <w:t xml:space="preserve">Il </w:t>
      </w:r>
      <w:r w:rsidR="00D1479A">
        <w:t>fait un amalgame entre le Fonds</w:t>
      </w:r>
      <w:r w:rsidR="00CD0887">
        <w:t>,</w:t>
      </w:r>
      <w:r>
        <w:t xml:space="preserve"> la FT</w:t>
      </w:r>
      <w:r w:rsidR="00E858F2">
        <w:t>Q</w:t>
      </w:r>
      <w:r>
        <w:t xml:space="preserve"> </w:t>
      </w:r>
      <w:r w:rsidR="005457AB">
        <w:t>et</w:t>
      </w:r>
      <w:r>
        <w:t xml:space="preserve"> la FTQ-Construction </w:t>
      </w:r>
      <w:r w:rsidR="00E858F2">
        <w:t>puisque les dirigeant</w:t>
      </w:r>
      <w:r w:rsidR="00B226A2">
        <w:t>s</w:t>
      </w:r>
      <w:r w:rsidR="00E858F2">
        <w:t xml:space="preserve"> de ses organisations syndicales siègent sur le </w:t>
      </w:r>
      <w:r w:rsidR="008601FA">
        <w:t>c</w:t>
      </w:r>
      <w:r w:rsidR="00E858F2">
        <w:t>onseil d</w:t>
      </w:r>
      <w:r w:rsidR="00B226A2">
        <w:t>’administration</w:t>
      </w:r>
      <w:r w:rsidR="00E858F2">
        <w:t xml:space="preserve"> du F</w:t>
      </w:r>
      <w:r w:rsidR="00B226A2">
        <w:t>o</w:t>
      </w:r>
      <w:r w:rsidR="00E858F2">
        <w:t>nds</w:t>
      </w:r>
      <w:r w:rsidR="00B226A2">
        <w:t xml:space="preserve"> </w:t>
      </w:r>
      <w:r>
        <w:t xml:space="preserve">et </w:t>
      </w:r>
      <w:r w:rsidR="00377A26">
        <w:t>que</w:t>
      </w:r>
      <w:r w:rsidR="00C04BC6">
        <w:t>,</w:t>
      </w:r>
      <w:r w:rsidR="00377A26">
        <w:t xml:space="preserve"> selon lui</w:t>
      </w:r>
      <w:r w:rsidR="009648E5">
        <w:t>,</w:t>
      </w:r>
      <w:r w:rsidR="00473A71">
        <w:t xml:space="preserve"> </w:t>
      </w:r>
      <w:r w:rsidR="00B226A2">
        <w:t xml:space="preserve">ils ont </w:t>
      </w:r>
      <w:r w:rsidR="008D0F27">
        <w:t>toujours</w:t>
      </w:r>
      <w:r w:rsidR="00B226A2">
        <w:t xml:space="preserve"> considéré que le Fonds leur appartenait. </w:t>
      </w:r>
      <w:r w:rsidR="005457AB">
        <w:t xml:space="preserve">Il </w:t>
      </w:r>
      <w:r w:rsidR="008601FA">
        <w:t>fait valoir</w:t>
      </w:r>
      <w:r w:rsidR="005457AB">
        <w:t xml:space="preserve"> que l</w:t>
      </w:r>
      <w:r w:rsidR="00C353DD">
        <w:t>e mil</w:t>
      </w:r>
      <w:r w:rsidR="00F4433A">
        <w:t>ieu</w:t>
      </w:r>
      <w:r w:rsidR="00C353DD">
        <w:t xml:space="preserve"> syndical dans l’industrie de la construction a de tout temps fonctionné par des menaces et de l’intimidation et continue d’agir de la sorte auprès d’entrepre</w:t>
      </w:r>
      <w:r w:rsidR="00F00456">
        <w:t>neur</w:t>
      </w:r>
      <w:r w:rsidR="0002499F">
        <w:t>s</w:t>
      </w:r>
      <w:r w:rsidR="00F00456">
        <w:t xml:space="preserve"> </w:t>
      </w:r>
      <w:r w:rsidR="00FF62CB">
        <w:t>tout comme le Fonds</w:t>
      </w:r>
      <w:r w:rsidR="003F1113">
        <w:t xml:space="preserve"> </w:t>
      </w:r>
      <w:r w:rsidR="00F00456">
        <w:t>pour l’écarter des chantiers de construction</w:t>
      </w:r>
      <w:r w:rsidR="0002499F">
        <w:t xml:space="preserve"> </w:t>
      </w:r>
      <w:r w:rsidR="00DD225F">
        <w:t>par pure</w:t>
      </w:r>
      <w:r w:rsidR="00F00456">
        <w:t xml:space="preserve"> vengeance</w:t>
      </w:r>
      <w:r w:rsidR="00F4433A">
        <w:t xml:space="preserve"> </w:t>
      </w:r>
      <w:r w:rsidR="00931E64">
        <w:t xml:space="preserve">alors </w:t>
      </w:r>
      <w:r w:rsidR="009675AA">
        <w:t>qu’il a</w:t>
      </w:r>
      <w:r w:rsidR="007D0A4C">
        <w:t>, par ses actions</w:t>
      </w:r>
      <w:r w:rsidR="00DD225F">
        <w:t>, dénonciati</w:t>
      </w:r>
      <w:r w:rsidR="00B37E8B">
        <w:t>ons</w:t>
      </w:r>
      <w:r w:rsidR="007D0A4C">
        <w:t xml:space="preserve"> et implications</w:t>
      </w:r>
      <w:r w:rsidR="009675AA">
        <w:t>,</w:t>
      </w:r>
      <w:r w:rsidR="00F4433A">
        <w:t xml:space="preserve"> </w:t>
      </w:r>
      <w:r w:rsidR="00DD225F">
        <w:t xml:space="preserve">simplement </w:t>
      </w:r>
      <w:r w:rsidR="009675AA">
        <w:t>cherché à</w:t>
      </w:r>
      <w:r w:rsidR="00F4433A">
        <w:t xml:space="preserve"> assainir cette industrie.</w:t>
      </w:r>
      <w:r w:rsidR="00F00456">
        <w:t xml:space="preserve"> </w:t>
      </w:r>
    </w:p>
    <w:p w14:paraId="1E6A089E" w14:textId="77777777" w:rsidR="00CD0887" w:rsidRDefault="00BD6B34" w:rsidP="002F0E32">
      <w:pPr>
        <w:pStyle w:val="paragrapheno"/>
        <w:spacing w:line="240" w:lineRule="auto"/>
      </w:pPr>
      <w:r>
        <w:lastRenderedPageBreak/>
        <w:t xml:space="preserve">Il estime aussi que Cogir commet une faute en cédant à la pression du Fonds et mettant fin à son emploi. </w:t>
      </w:r>
      <w:r w:rsidR="002E2666">
        <w:t>C’est d’ailleurs</w:t>
      </w:r>
      <w:r w:rsidR="001176AC">
        <w:t xml:space="preserve"> le seul reproche qu’il formule à l’égard de Cogir.</w:t>
      </w:r>
    </w:p>
    <w:p w14:paraId="64D94EB7" w14:textId="77777777" w:rsidR="00EA6F8C" w:rsidRDefault="00BD6B34" w:rsidP="002E2666">
      <w:pPr>
        <w:pStyle w:val="paragrapheno"/>
        <w:spacing w:line="240" w:lineRule="auto"/>
      </w:pPr>
      <w:r>
        <w:t xml:space="preserve">Il recherche la condamnation des défenderesses aux </w:t>
      </w:r>
      <w:r w:rsidR="00B37E8B">
        <w:t>sommes suivantes</w:t>
      </w:r>
      <w:r>
        <w:t> :</w:t>
      </w:r>
    </w:p>
    <w:p w14:paraId="7FADC0F5" w14:textId="77777777" w:rsidR="00EA6F8C" w:rsidRDefault="00BD6B34" w:rsidP="00EA6F8C">
      <w:pPr>
        <w:pStyle w:val="Puce1"/>
      </w:pPr>
      <w:r>
        <w:t>1 680 000 $ représentant l</w:t>
      </w:r>
      <w:r w:rsidR="009675AA">
        <w:t>a rémunération</w:t>
      </w:r>
      <w:r>
        <w:t xml:space="preserve"> qu’il aurait gagné</w:t>
      </w:r>
      <w:r w:rsidR="009675AA">
        <w:t>e</w:t>
      </w:r>
      <w:r>
        <w:t xml:space="preserve"> jusqu’à 65 ans</w:t>
      </w:r>
      <w:r w:rsidR="00312E2A">
        <w:t>,</w:t>
      </w:r>
      <w:r>
        <w:t xml:space="preserve"> soit l’âge à laquelle il aurait pris sa retraite</w:t>
      </w:r>
      <w:r w:rsidR="002B35C7">
        <w:t xml:space="preserve">. Cette somme représente </w:t>
      </w:r>
      <w:r>
        <w:t>14 ans de rémunération. Il calcul</w:t>
      </w:r>
      <w:r w:rsidR="00933248">
        <w:t>e</w:t>
      </w:r>
      <w:r>
        <w:t xml:space="preserve"> cette somme sur la base du montant de 1 500 </w:t>
      </w:r>
      <w:r w:rsidR="00933248">
        <w:t xml:space="preserve">$ </w:t>
      </w:r>
      <w:r>
        <w:t xml:space="preserve">par semaine qu’il a reçu de Cogir qu’il estime net </w:t>
      </w:r>
      <w:r w:rsidR="00C4334A">
        <w:t>d’impôts</w:t>
      </w:r>
      <w:r w:rsidR="007328FA">
        <w:t>, montant</w:t>
      </w:r>
      <w:r>
        <w:t xml:space="preserve"> qu’il augmente afin de tenir compte de l’impact fiscal;</w:t>
      </w:r>
    </w:p>
    <w:p w14:paraId="47D06838" w14:textId="77777777" w:rsidR="00EA6F8C" w:rsidRDefault="00BD6B34" w:rsidP="00EA6F8C">
      <w:pPr>
        <w:pStyle w:val="Puce1"/>
      </w:pPr>
      <w:r>
        <w:t xml:space="preserve"> 500 000$ à titre de dommages moraux, et;</w:t>
      </w:r>
    </w:p>
    <w:p w14:paraId="213B17DE" w14:textId="77777777" w:rsidR="00EA6F8C" w:rsidRDefault="00BD6B34" w:rsidP="00EA6F8C">
      <w:pPr>
        <w:pStyle w:val="Puce1"/>
      </w:pPr>
      <w:r>
        <w:t>1 500 000$ à titre de dommages punitifs.</w:t>
      </w:r>
    </w:p>
    <w:p w14:paraId="730F6C39" w14:textId="77777777" w:rsidR="00EA6F8C" w:rsidRDefault="00BD6B34" w:rsidP="00C65F50">
      <w:pPr>
        <w:pStyle w:val="paragrapheno"/>
        <w:spacing w:line="240" w:lineRule="auto"/>
      </w:pPr>
      <w:r>
        <w:t>La défenderesse Cogir immobilier et le Fonds présentent une demande verbale en rejet pour abus</w:t>
      </w:r>
      <w:r w:rsidR="00281771">
        <w:t>.</w:t>
      </w:r>
      <w:r w:rsidR="00A343AC">
        <w:t xml:space="preserve"> Elles demandent au </w:t>
      </w:r>
      <w:r w:rsidR="00281771">
        <w:t>T</w:t>
      </w:r>
      <w:r w:rsidR="00A343AC">
        <w:t>ribunal de la trancher</w:t>
      </w:r>
      <w:r>
        <w:t xml:space="preserve"> avant même </w:t>
      </w:r>
      <w:r w:rsidR="006C792F">
        <w:t>que le Fonds ne présente sa</w:t>
      </w:r>
      <w:r>
        <w:t xml:space="preserve"> preuve en défense</w:t>
      </w:r>
      <w:r w:rsidR="00CF6CB0">
        <w:t>,</w:t>
      </w:r>
      <w:r>
        <w:t xml:space="preserve"> soutenant qu</w:t>
      </w:r>
      <w:r w:rsidR="00281771">
        <w:t>’à la lumière de la preuve présenté</w:t>
      </w:r>
      <w:r w:rsidR="009675AA">
        <w:t>e</w:t>
      </w:r>
      <w:r w:rsidR="00281771">
        <w:t xml:space="preserve"> par M. Pereira</w:t>
      </w:r>
      <w:r w:rsidR="009675AA">
        <w:t>,</w:t>
      </w:r>
      <w:r w:rsidR="008A67B9">
        <w:t xml:space="preserve"> la demande de ce dernier</w:t>
      </w:r>
      <w:r>
        <w:t xml:space="preserve"> est manifestement mal fondée et vouée à l’échec</w:t>
      </w:r>
      <w:r w:rsidR="00A343AC">
        <w:t xml:space="preserve"> et que le Tribuna</w:t>
      </w:r>
      <w:r w:rsidR="00281771">
        <w:t>l peut donc la rejeter</w:t>
      </w:r>
      <w:r w:rsidR="008A67B9">
        <w:t xml:space="preserve"> sur le champ</w:t>
      </w:r>
      <w:r>
        <w:t xml:space="preserve">. Le Tribunal </w:t>
      </w:r>
      <w:r w:rsidR="008A67B9">
        <w:t xml:space="preserve">a </w:t>
      </w:r>
      <w:r>
        <w:t xml:space="preserve">annoncé </w:t>
      </w:r>
      <w:r w:rsidR="008A67B9">
        <w:t>qu’il disposerait</w:t>
      </w:r>
      <w:r>
        <w:t xml:space="preserve"> de </w:t>
      </w:r>
      <w:r w:rsidR="009675AA">
        <w:t>c</w:t>
      </w:r>
      <w:r>
        <w:t>es deux demandes dans le cadre de son jugement sur le fond</w:t>
      </w:r>
      <w:r w:rsidR="009675AA">
        <w:t xml:space="preserve"> du dossier</w:t>
      </w:r>
      <w:r w:rsidR="009F5163">
        <w:t>. L</w:t>
      </w:r>
      <w:r>
        <w:t xml:space="preserve">e </w:t>
      </w:r>
      <w:r w:rsidR="009F5163">
        <w:t>F</w:t>
      </w:r>
      <w:r>
        <w:t xml:space="preserve">onds a </w:t>
      </w:r>
      <w:r w:rsidR="009F5163">
        <w:t xml:space="preserve">donc </w:t>
      </w:r>
      <w:r>
        <w:t>procédé à présenter sa preuve en défense. Pour Cogir immobilier comme sa preuve reposait sur le</w:t>
      </w:r>
      <w:r w:rsidR="00204714">
        <w:t>s</w:t>
      </w:r>
      <w:r>
        <w:t xml:space="preserve"> </w:t>
      </w:r>
      <w:r w:rsidR="00F61DEC">
        <w:t xml:space="preserve">contre-interrogatoires </w:t>
      </w:r>
      <w:r>
        <w:t>de M. Leblanc et M. Duguay</w:t>
      </w:r>
      <w:r w:rsidR="00164AF6">
        <w:t xml:space="preserve"> entendus dans le cadre de la preuve de M. Pereira, </w:t>
      </w:r>
      <w:r>
        <w:t xml:space="preserve">sa preuve </w:t>
      </w:r>
      <w:r w:rsidR="0040231D">
        <w:t xml:space="preserve">était </w:t>
      </w:r>
      <w:r w:rsidR="00320DCC">
        <w:t>complétée</w:t>
      </w:r>
      <w:r>
        <w:t xml:space="preserve"> </w:t>
      </w:r>
      <w:r w:rsidR="00320DCC">
        <w:t>au moment où elle présente sa demande verbale de</w:t>
      </w:r>
      <w:r w:rsidR="00A03AB6">
        <w:t xml:space="preserve"> rejet pour abus. </w:t>
      </w:r>
    </w:p>
    <w:p w14:paraId="31B7B8F9" w14:textId="77777777" w:rsidR="00EA6F8C" w:rsidRDefault="00BD6B34" w:rsidP="00C65F50">
      <w:pPr>
        <w:pStyle w:val="paragrapheno"/>
        <w:spacing w:line="240" w:lineRule="auto"/>
      </w:pPr>
      <w:r>
        <w:t>En défense, Cogir immobilier i</w:t>
      </w:r>
      <w:r w:rsidR="008E1A1F">
        <w:t>nvoque</w:t>
      </w:r>
      <w:r>
        <w:t xml:space="preserve"> n’avoir aucun lien de droit avec </w:t>
      </w:r>
      <w:r w:rsidR="00167698">
        <w:t>M. Pereira</w:t>
      </w:r>
      <w:r>
        <w:t xml:space="preserve"> et subsidiairement, elle invoque les mêmes moyens de défense que </w:t>
      </w:r>
      <w:r w:rsidR="00975240">
        <w:t xml:space="preserve">ceux avancés par </w:t>
      </w:r>
      <w:r>
        <w:t>Cogir</w:t>
      </w:r>
      <w:r w:rsidR="009675AA">
        <w:t xml:space="preserve"> Construction</w:t>
      </w:r>
      <w:r>
        <w:t>.</w:t>
      </w:r>
    </w:p>
    <w:p w14:paraId="70400271" w14:textId="77777777" w:rsidR="003E7967" w:rsidRDefault="00BD6B34" w:rsidP="00C65F50">
      <w:pPr>
        <w:pStyle w:val="paragrapheno"/>
        <w:spacing w:line="240" w:lineRule="auto"/>
      </w:pPr>
      <w:r>
        <w:t>Cogir Construction</w:t>
      </w:r>
      <w:r w:rsidR="00F47FEB">
        <w:t xml:space="preserve"> </w:t>
      </w:r>
      <w:r w:rsidR="00EA6F8C">
        <w:t>invoque que contrairement à ce que soutient M</w:t>
      </w:r>
      <w:r w:rsidR="00167698">
        <w:t>. Pereira</w:t>
      </w:r>
      <w:r w:rsidR="0005590D">
        <w:t>,</w:t>
      </w:r>
      <w:r w:rsidR="00EA6F8C">
        <w:t xml:space="preserve"> celui-ci n’était pas un employé</w:t>
      </w:r>
      <w:r w:rsidR="00375A8B">
        <w:t>,</w:t>
      </w:r>
      <w:r w:rsidR="00EA6F8C">
        <w:t xml:space="preserve"> mais </w:t>
      </w:r>
      <w:r w:rsidR="004C1443">
        <w:t>é</w:t>
      </w:r>
      <w:r w:rsidR="00EA6F8C">
        <w:t>tait plutôt un prestataire de service et Cogir pouvait donc mettre un terme à ses services sans motif ou pour quelque motif que ce soit dans la mesure o</w:t>
      </w:r>
      <w:r w:rsidR="00C92A54">
        <w:t>ù</w:t>
      </w:r>
      <w:r w:rsidR="00EA6F8C">
        <w:t xml:space="preserve"> la bonne foi et la Charte </w:t>
      </w:r>
      <w:r w:rsidR="00F550C4">
        <w:t>des droits et libertés de la personne</w:t>
      </w:r>
      <w:r>
        <w:rPr>
          <w:rStyle w:val="Appelnotedebasdep"/>
        </w:rPr>
        <w:footnoteReference w:id="9"/>
      </w:r>
      <w:r w:rsidR="00F550C4">
        <w:t xml:space="preserve"> (« </w:t>
      </w:r>
      <w:r w:rsidR="00F550C4" w:rsidRPr="00F550C4">
        <w:rPr>
          <w:b/>
          <w:bCs/>
        </w:rPr>
        <w:t>Charte</w:t>
      </w:r>
      <w:r w:rsidR="00F550C4">
        <w:t xml:space="preserve"> ») </w:t>
      </w:r>
      <w:r w:rsidR="00EA6F8C">
        <w:t>ne furent pas violé</w:t>
      </w:r>
      <w:r w:rsidR="008E6EFD">
        <w:t>es</w:t>
      </w:r>
      <w:r w:rsidR="00473A71">
        <w:t>.</w:t>
      </w:r>
      <w:r w:rsidR="00EA6F8C">
        <w:t xml:space="preserve"> </w:t>
      </w:r>
      <w:r w:rsidR="009A7EEA">
        <w:t xml:space="preserve">Les motifs invoqués pour la fin des services de </w:t>
      </w:r>
      <w:r w:rsidR="00392C9F">
        <w:t>M. Pereira</w:t>
      </w:r>
      <w:r w:rsidR="009A7EEA">
        <w:t xml:space="preserve"> sont</w:t>
      </w:r>
      <w:r>
        <w:t> :</w:t>
      </w:r>
    </w:p>
    <w:p w14:paraId="62AAAF05" w14:textId="77777777" w:rsidR="003E7967" w:rsidRDefault="00BD6B34" w:rsidP="00C84D5C">
      <w:pPr>
        <w:pStyle w:val="Puce1"/>
        <w:spacing w:before="60" w:after="60"/>
        <w:ind w:left="1077" w:hanging="357"/>
      </w:pPr>
      <w:r>
        <w:t xml:space="preserve"> </w:t>
      </w:r>
      <w:r w:rsidR="00877A73">
        <w:t>Son</w:t>
      </w:r>
      <w:r w:rsidR="002A7C96">
        <w:t xml:space="preserve"> manque de qualification</w:t>
      </w:r>
      <w:r w:rsidR="00587A44">
        <w:t xml:space="preserve"> comme surintendant</w:t>
      </w:r>
      <w:r w:rsidR="003F37AF">
        <w:t>;</w:t>
      </w:r>
    </w:p>
    <w:p w14:paraId="49094A54" w14:textId="77777777" w:rsidR="003E7967" w:rsidRDefault="00BD6B34" w:rsidP="00C84D5C">
      <w:pPr>
        <w:pStyle w:val="Puce1"/>
        <w:spacing w:before="60" w:after="60"/>
        <w:ind w:left="1077" w:hanging="357"/>
      </w:pPr>
      <w:r>
        <w:t>Les limites budgétaires : le budget du chantier Le Renoir ne prévoyait pas le salaire</w:t>
      </w:r>
      <w:r w:rsidR="00C718AD">
        <w:t xml:space="preserve"> de</w:t>
      </w:r>
      <w:r>
        <w:t xml:space="preserve"> deux employés sur le chantier</w:t>
      </w:r>
      <w:r w:rsidR="00877A73">
        <w:t xml:space="preserve"> et le surintendant que M. Pereira remplaçait était de retour</w:t>
      </w:r>
      <w:r>
        <w:t>;</w:t>
      </w:r>
    </w:p>
    <w:p w14:paraId="0475477E" w14:textId="77777777" w:rsidR="003E7967" w:rsidRDefault="00BD6B34" w:rsidP="00C84D5C">
      <w:pPr>
        <w:pStyle w:val="Puce1"/>
        <w:spacing w:before="60" w:after="60"/>
        <w:ind w:left="1077" w:hanging="357"/>
      </w:pPr>
      <w:r>
        <w:lastRenderedPageBreak/>
        <w:t>L</w:t>
      </w:r>
      <w:r w:rsidR="00D85EEE">
        <w:t xml:space="preserve">a pression </w:t>
      </w:r>
      <w:r w:rsidR="00F52477">
        <w:t>créée par l’inconfor</w:t>
      </w:r>
      <w:r w:rsidR="00D85EEE">
        <w:t>t des travailleurs et entrepreneurs sur les chantier</w:t>
      </w:r>
      <w:r w:rsidR="009E4794">
        <w:t>s</w:t>
      </w:r>
      <w:r w:rsidR="00D85EEE">
        <w:t xml:space="preserve"> en raison de la présence de </w:t>
      </w:r>
      <w:r w:rsidR="00392C9F">
        <w:t>M. Pereira</w:t>
      </w:r>
      <w:r w:rsidR="00F52477">
        <w:t>.</w:t>
      </w:r>
    </w:p>
    <w:p w14:paraId="2244717C" w14:textId="77777777" w:rsidR="00EA6F8C" w:rsidRDefault="00BD6B34" w:rsidP="00C65F50">
      <w:pPr>
        <w:pStyle w:val="paragrapheno"/>
        <w:spacing w:line="240" w:lineRule="auto"/>
      </w:pPr>
      <w:r>
        <w:t xml:space="preserve"> </w:t>
      </w:r>
      <w:r w:rsidR="002A7C96">
        <w:t xml:space="preserve"> </w:t>
      </w:r>
      <w:r w:rsidR="00F47FEB">
        <w:t xml:space="preserve">Cogir </w:t>
      </w:r>
      <w:r w:rsidR="00031152">
        <w:t>c</w:t>
      </w:r>
      <w:r w:rsidR="00F47FEB">
        <w:t>onstruction soutient que m</w:t>
      </w:r>
      <w:r>
        <w:t>ême si le Tribunal concluait qu</w:t>
      </w:r>
      <w:r w:rsidR="003D68D6">
        <w:t>’elle</w:t>
      </w:r>
      <w:r>
        <w:t xml:space="preserve"> avait succombé aux pressions du Fonds, ce qu’elle nie, ce n’est pas une faute</w:t>
      </w:r>
      <w:r w:rsidR="003D68D6">
        <w:t>.</w:t>
      </w:r>
    </w:p>
    <w:p w14:paraId="36C26B2E" w14:textId="77777777" w:rsidR="00EA6F8C" w:rsidRDefault="00BD6B34" w:rsidP="00C65F50">
      <w:pPr>
        <w:pStyle w:val="paragrapheno"/>
        <w:spacing w:line="240" w:lineRule="auto"/>
      </w:pPr>
      <w:r>
        <w:t>Subsidiairement</w:t>
      </w:r>
      <w:r w:rsidR="00877A73">
        <w:t xml:space="preserve">, si M. Pereira et Cogir </w:t>
      </w:r>
      <w:r w:rsidR="00031152">
        <w:t>c</w:t>
      </w:r>
      <w:r w:rsidR="00877A73">
        <w:t>onstruction étaient liés par un contrat de travail</w:t>
      </w:r>
      <w:r>
        <w:t xml:space="preserve">, </w:t>
      </w:r>
      <w:r w:rsidR="00877A73">
        <w:t>cette dernière</w:t>
      </w:r>
      <w:r w:rsidR="003D68D6">
        <w:t xml:space="preserve"> maintient qu’elle </w:t>
      </w:r>
      <w:r>
        <w:t xml:space="preserve">pouvait mettre fin au contrat de travail en versant une indemnité raisonnable tenant lieu de </w:t>
      </w:r>
      <w:r w:rsidR="00A83EB6">
        <w:t>délai-congé</w:t>
      </w:r>
      <w:r>
        <w:t xml:space="preserve"> laquelle en l’espèce ne devrait pas excéder une semaine. Cogir </w:t>
      </w:r>
      <w:r w:rsidR="00031152">
        <w:t>c</w:t>
      </w:r>
      <w:r w:rsidR="00877A73">
        <w:t xml:space="preserve">onstruction </w:t>
      </w:r>
      <w:r>
        <w:t xml:space="preserve">soutient également que </w:t>
      </w:r>
      <w:r w:rsidR="00392C9F">
        <w:t>M. Pereira</w:t>
      </w:r>
      <w:r w:rsidR="00877A73">
        <w:t>,</w:t>
      </w:r>
      <w:r>
        <w:t xml:space="preserve"> n’ayant pas minimisé ses dommages</w:t>
      </w:r>
      <w:r w:rsidR="00877A73">
        <w:t>,</w:t>
      </w:r>
      <w:r>
        <w:t xml:space="preserve"> </w:t>
      </w:r>
      <w:r w:rsidRPr="00877A73">
        <w:t>n’a de toute façon droit à aucune indemnité tenant lieu de préavis. De plus</w:t>
      </w:r>
      <w:r w:rsidR="00877A73" w:rsidRPr="00877A73">
        <w:t>,</w:t>
      </w:r>
      <w:r w:rsidRPr="00877A73">
        <w:t xml:space="preserve"> </w:t>
      </w:r>
      <w:r w:rsidR="00392C9F" w:rsidRPr="00877A73">
        <w:t>M. Pereira</w:t>
      </w:r>
      <w:r w:rsidR="00877A73">
        <w:t>,</w:t>
      </w:r>
      <w:r w:rsidRPr="00877A73">
        <w:t xml:space="preserve"> ayant omis</w:t>
      </w:r>
      <w:r w:rsidR="00877A73">
        <w:t xml:space="preserve"> de communiquer</w:t>
      </w:r>
      <w:r w:rsidR="00181F88">
        <w:t>,</w:t>
      </w:r>
      <w:r w:rsidRPr="00877A73">
        <w:t xml:space="preserve"> malgré les nombreux rappels</w:t>
      </w:r>
      <w:r w:rsidR="00877A73" w:rsidRPr="00877A73">
        <w:t xml:space="preserve"> et la citation à comparaître</w:t>
      </w:r>
      <w:r w:rsidR="00181F88">
        <w:t>,</w:t>
      </w:r>
      <w:r w:rsidRPr="00877A73">
        <w:t xml:space="preserve"> ses déclarations de revenus depuis 2018</w:t>
      </w:r>
      <w:r w:rsidR="00877A73">
        <w:t>,</w:t>
      </w:r>
      <w:r w:rsidRPr="00877A73">
        <w:t xml:space="preserve"> ne peu</w:t>
      </w:r>
      <w:r w:rsidR="00851A63">
        <w:t>t</w:t>
      </w:r>
      <w:r w:rsidRPr="00877A73">
        <w:t xml:space="preserve"> avoir droit à quel</w:t>
      </w:r>
      <w:r w:rsidR="000B7049">
        <w:t>qu</w:t>
      </w:r>
      <w:r w:rsidR="00A50C58">
        <w:t xml:space="preserve">e </w:t>
      </w:r>
      <w:r w:rsidRPr="00877A73">
        <w:t>indemnité que ce soit.</w:t>
      </w:r>
    </w:p>
    <w:p w14:paraId="5B9681FA" w14:textId="77777777" w:rsidR="00877A73" w:rsidRPr="00877A73" w:rsidRDefault="00BD6B34" w:rsidP="00C65F50">
      <w:pPr>
        <w:pStyle w:val="paragrapheno"/>
        <w:spacing w:line="240" w:lineRule="auto"/>
      </w:pPr>
      <w:r>
        <w:t xml:space="preserve">Pour Cogir </w:t>
      </w:r>
      <w:r w:rsidR="00031152">
        <w:t>c</w:t>
      </w:r>
      <w:r>
        <w:t>onstruction, M. Pereira ne fait pas la preuve non plus d’une atteinte illicite et intentionnelle à quelque droit que ce soit protégé par la Charte.</w:t>
      </w:r>
    </w:p>
    <w:p w14:paraId="38052B7D" w14:textId="77777777" w:rsidR="00E20466" w:rsidRPr="00980027" w:rsidRDefault="00BD6B34" w:rsidP="00680568">
      <w:pPr>
        <w:pStyle w:val="paragrapheno"/>
        <w:spacing w:line="240" w:lineRule="auto"/>
      </w:pPr>
      <w:r w:rsidRPr="00980027">
        <w:t>Le Fonds soutient qu’il n’y a aucune preuve démontrant de pression ou menace de sa part</w:t>
      </w:r>
      <w:r w:rsidR="00C6200C" w:rsidRPr="00980027">
        <w:t xml:space="preserve"> et souligne qu’il ne peut y avoir confusion entre le Fonds et le Fonds immobiliers</w:t>
      </w:r>
      <w:r w:rsidRPr="00980027">
        <w:t xml:space="preserve"> puisque ce sont deux entités juridiques différentes.</w:t>
      </w:r>
      <w:r w:rsidR="00877A73" w:rsidRPr="00980027">
        <w:t xml:space="preserve"> Il ne peut </w:t>
      </w:r>
      <w:r w:rsidR="003B1FC3" w:rsidRPr="00980027">
        <w:t>non plus</w:t>
      </w:r>
      <w:r w:rsidR="00877A73" w:rsidRPr="00980027">
        <w:t xml:space="preserve"> y avoir </w:t>
      </w:r>
      <w:r w:rsidR="00980027" w:rsidRPr="00980027">
        <w:t>un amalgame</w:t>
      </w:r>
      <w:r w:rsidR="00877A73" w:rsidRPr="00980027">
        <w:t xml:space="preserve"> entre le Fonds et les organisation</w:t>
      </w:r>
      <w:r w:rsidR="003B1FC3" w:rsidRPr="00980027">
        <w:t>s syndicales</w:t>
      </w:r>
      <w:r w:rsidR="00877A73" w:rsidRPr="00980027">
        <w:t xml:space="preserve"> </w:t>
      </w:r>
      <w:r w:rsidR="003B1FC3" w:rsidRPr="00980027">
        <w:t>que sont</w:t>
      </w:r>
      <w:r w:rsidR="00877A73" w:rsidRPr="00980027">
        <w:t xml:space="preserve"> la FTQ </w:t>
      </w:r>
      <w:r w:rsidR="003B1FC3" w:rsidRPr="00980027">
        <w:t>et</w:t>
      </w:r>
      <w:r w:rsidR="00877A73" w:rsidRPr="00980027">
        <w:t xml:space="preserve"> la FTQ-Construction</w:t>
      </w:r>
      <w:r w:rsidR="003B1FC3" w:rsidRPr="00980027">
        <w:t>.</w:t>
      </w:r>
      <w:r w:rsidRPr="00980027">
        <w:t xml:space="preserve"> </w:t>
      </w:r>
      <w:r w:rsidR="00CB3C31">
        <w:t xml:space="preserve"> Tout comme Cogir, le Fonds fait </w:t>
      </w:r>
      <w:r w:rsidR="00680568">
        <w:t>valoir</w:t>
      </w:r>
      <w:r w:rsidR="00CB3C31">
        <w:t xml:space="preserve"> qu’il </w:t>
      </w:r>
      <w:r w:rsidR="00680568">
        <w:t>n’y</w:t>
      </w:r>
      <w:r w:rsidR="00CB3C31">
        <w:t xml:space="preserve"> a pas</w:t>
      </w:r>
      <w:r w:rsidR="00680568" w:rsidRPr="00680568">
        <w:t xml:space="preserve"> </w:t>
      </w:r>
      <w:r w:rsidR="00022198">
        <w:t xml:space="preserve">eu </w:t>
      </w:r>
      <w:r w:rsidR="00680568">
        <w:t>d</w:t>
      </w:r>
      <w:r w:rsidR="00022198">
        <w:t>’</w:t>
      </w:r>
      <w:r w:rsidR="00680568">
        <w:t>atteinte illicite et intentionnelle à quelque droit que ce soit protégé par la Charte.</w:t>
      </w:r>
      <w:r w:rsidR="00CB3C31">
        <w:t xml:space="preserve"> </w:t>
      </w:r>
    </w:p>
    <w:p w14:paraId="396221D1" w14:textId="77777777" w:rsidR="00DA0888" w:rsidRDefault="00BD6B34" w:rsidP="00C65F50">
      <w:pPr>
        <w:pStyle w:val="Titre1"/>
        <w:spacing w:line="240" w:lineRule="auto"/>
      </w:pPr>
      <w:r>
        <w:t>QUESTIONS EN LITIGE</w:t>
      </w:r>
    </w:p>
    <w:p w14:paraId="04B82CBD" w14:textId="77777777" w:rsidR="00DA0888" w:rsidRDefault="00BD6B34" w:rsidP="00C65F50">
      <w:pPr>
        <w:pStyle w:val="paragrapheno"/>
        <w:spacing w:line="240" w:lineRule="auto"/>
      </w:pPr>
      <w:r>
        <w:t xml:space="preserve">Comme les défenderesses Cogir immobilier et le Fonds ont présenté avant même la présentation de la preuve en défense du Fonds, une demande verbale de déclarer abusif le recours de </w:t>
      </w:r>
      <w:r w:rsidR="00392C9F">
        <w:t>M. Pereira</w:t>
      </w:r>
      <w:r>
        <w:t xml:space="preserve">, le Tribunal traite de cette question brièvement avant d’aborder les questions de fond soulevées </w:t>
      </w:r>
      <w:r w:rsidR="00DF0D2D">
        <w:t>dans</w:t>
      </w:r>
      <w:r>
        <w:t xml:space="preserve"> le présent dossier.</w:t>
      </w:r>
    </w:p>
    <w:p w14:paraId="28991206" w14:textId="77777777" w:rsidR="006A4843" w:rsidRDefault="00BD6B34" w:rsidP="00C65F50">
      <w:pPr>
        <w:pStyle w:val="paragrapheno"/>
        <w:spacing w:line="240" w:lineRule="auto"/>
      </w:pPr>
      <w:r w:rsidRPr="009E75F5">
        <w:t>Étant donné</w:t>
      </w:r>
      <w:r w:rsidR="00147B07">
        <w:t xml:space="preserve"> </w:t>
      </w:r>
      <w:r w:rsidR="00363D8D">
        <w:t xml:space="preserve">que </w:t>
      </w:r>
      <w:r w:rsidR="00147B07">
        <w:t xml:space="preserve">les fautes reprochées aux défenderesses reposent sur les mêmes </w:t>
      </w:r>
      <w:r w:rsidR="000F3AB4">
        <w:t xml:space="preserve">faits, </w:t>
      </w:r>
      <w:r w:rsidR="00147B07">
        <w:t xml:space="preserve">soit la pression </w:t>
      </w:r>
      <w:r w:rsidR="004460BF">
        <w:t>qu’aurait</w:t>
      </w:r>
      <w:r w:rsidR="00485014">
        <w:t xml:space="preserve"> </w:t>
      </w:r>
      <w:r w:rsidR="00147B07">
        <w:t>exercée le Fonds sur les employeurs de</w:t>
      </w:r>
      <w:r w:rsidR="000F3AB4">
        <w:t xml:space="preserve"> l’industrie de la construction, dont Cogir</w:t>
      </w:r>
      <w:r w:rsidR="00820227">
        <w:t>,</w:t>
      </w:r>
      <w:r w:rsidR="00820227" w:rsidRPr="00820227">
        <w:t xml:space="preserve"> </w:t>
      </w:r>
      <w:r w:rsidR="00820227">
        <w:t xml:space="preserve">le Tribunal </w:t>
      </w:r>
      <w:r w:rsidR="000F3AB4">
        <w:t>estime</w:t>
      </w:r>
      <w:r w:rsidR="00820227">
        <w:t xml:space="preserve"> essentiel de se prononcer sur le fondement factuel du recours de M. Pereira et ce, </w:t>
      </w:r>
      <w:r w:rsidR="00DA0888">
        <w:t>avant même d</w:t>
      </w:r>
      <w:r w:rsidR="00820227">
        <w:t>e déterminer</w:t>
      </w:r>
      <w:r w:rsidR="005A6A82">
        <w:t xml:space="preserve"> si la pression </w:t>
      </w:r>
      <w:r w:rsidR="00E92996">
        <w:t>qu’aurait exercé</w:t>
      </w:r>
      <w:r w:rsidR="00AD18F2">
        <w:t>e</w:t>
      </w:r>
      <w:r w:rsidR="00E92996">
        <w:t xml:space="preserve"> le Fonds </w:t>
      </w:r>
      <w:r w:rsidR="005A6A82">
        <w:t xml:space="preserve">peut constituer </w:t>
      </w:r>
      <w:r w:rsidR="000F3AB4">
        <w:t xml:space="preserve">ou non </w:t>
      </w:r>
      <w:r w:rsidR="005A6A82">
        <w:t>une faute</w:t>
      </w:r>
      <w:r w:rsidR="000C051D">
        <w:t xml:space="preserve"> et si Cogir a </w:t>
      </w:r>
      <w:r w:rsidR="000F3AB4">
        <w:t xml:space="preserve">ou non </w:t>
      </w:r>
      <w:r w:rsidR="000C051D">
        <w:t>commis une faute en cédant à cette pression e</w:t>
      </w:r>
      <w:r w:rsidR="00820227">
        <w:t>t</w:t>
      </w:r>
      <w:r w:rsidR="000C051D">
        <w:t xml:space="preserve"> mettant fin </w:t>
      </w:r>
      <w:r w:rsidR="00485014">
        <w:t>aux</w:t>
      </w:r>
      <w:r w:rsidR="000C051D">
        <w:t xml:space="preserve"> services</w:t>
      </w:r>
      <w:r w:rsidR="00485014">
        <w:t xml:space="preserve"> de M. Pereira</w:t>
      </w:r>
      <w:r w:rsidR="00C65F50">
        <w:t>.</w:t>
      </w:r>
      <w:r w:rsidR="00DA0888">
        <w:t xml:space="preserve"> </w:t>
      </w:r>
    </w:p>
    <w:p w14:paraId="13552EF9" w14:textId="77777777" w:rsidR="00DA0888" w:rsidRDefault="00BD6B34" w:rsidP="00C65F50">
      <w:pPr>
        <w:pStyle w:val="paragrapheno"/>
        <w:spacing w:line="240" w:lineRule="auto"/>
      </w:pPr>
      <w:r>
        <w:t>Ainsi</w:t>
      </w:r>
      <w:r w:rsidR="00C92479">
        <w:t>,</w:t>
      </w:r>
      <w:r>
        <w:t xml:space="preserve"> les questions en litige seront abordé</w:t>
      </w:r>
      <w:r w:rsidR="006A4843">
        <w:t>es</w:t>
      </w:r>
      <w:r>
        <w:t xml:space="preserve"> dans l’ordre suivant :</w:t>
      </w:r>
    </w:p>
    <w:p w14:paraId="45F7C22D" w14:textId="77777777" w:rsidR="00FB0440" w:rsidRDefault="00BD6B34" w:rsidP="00C84D5C">
      <w:pPr>
        <w:pStyle w:val="Puce1"/>
        <w:spacing w:before="60" w:after="60"/>
        <w:ind w:left="1077" w:hanging="357"/>
      </w:pPr>
      <w:bookmarkStart w:id="1" w:name="_Hlk194229366"/>
      <w:r>
        <w:t xml:space="preserve">Le recours de </w:t>
      </w:r>
      <w:r w:rsidR="00D24436">
        <w:t>M. Pereira</w:t>
      </w:r>
      <w:r>
        <w:t xml:space="preserve"> </w:t>
      </w:r>
      <w:r w:rsidR="0049215E">
        <w:t xml:space="preserve">contre le Fonds et Cogir immobilier </w:t>
      </w:r>
      <w:r>
        <w:t>doit</w:t>
      </w:r>
      <w:r w:rsidR="0049215E">
        <w:t>-il être rejeté</w:t>
      </w:r>
      <w:r w:rsidR="00D301C9">
        <w:t xml:space="preserve"> avant même que le Fonds ne présente sa </w:t>
      </w:r>
      <w:r w:rsidR="00C92479">
        <w:t>défense, parce</w:t>
      </w:r>
      <w:r w:rsidR="0049215E">
        <w:t xml:space="preserve"> qu’abusif</w:t>
      </w:r>
      <w:r w:rsidR="006A4843">
        <w:t xml:space="preserve"> </w:t>
      </w:r>
      <w:r w:rsidR="00910865">
        <w:t>en ce qu’il est voué à l’échec</w:t>
      </w:r>
      <w:r w:rsidR="006A4843">
        <w:t>?</w:t>
      </w:r>
    </w:p>
    <w:bookmarkEnd w:id="1"/>
    <w:p w14:paraId="4CE10945" w14:textId="77777777" w:rsidR="00DA0888" w:rsidRDefault="00BD6B34" w:rsidP="00C84D5C">
      <w:pPr>
        <w:pStyle w:val="Puce1"/>
        <w:spacing w:before="60" w:after="60"/>
        <w:ind w:left="1077" w:hanging="357"/>
      </w:pPr>
      <w:r>
        <w:lastRenderedPageBreak/>
        <w:t>La preuve démontre-t-elle l’existence de pression</w:t>
      </w:r>
      <w:r w:rsidR="00A94329">
        <w:t xml:space="preserve"> </w:t>
      </w:r>
      <w:r>
        <w:t xml:space="preserve">de la part du Fonds pour empêcher </w:t>
      </w:r>
      <w:r w:rsidR="00392C9F">
        <w:t>M. Pereira</w:t>
      </w:r>
      <w:r>
        <w:t xml:space="preserve"> de travailler dans l’</w:t>
      </w:r>
      <w:r w:rsidR="00DC4223">
        <w:t>i</w:t>
      </w:r>
      <w:r>
        <w:t>ndustrie de la construction au Québec ou ailleurs au Canada et particulièrement sur les chantiers de Cogir ?</w:t>
      </w:r>
    </w:p>
    <w:p w14:paraId="702D7C7F" w14:textId="77777777" w:rsidR="00DA0888" w:rsidRDefault="00BD6B34" w:rsidP="00C84D5C">
      <w:pPr>
        <w:pStyle w:val="Puce1"/>
        <w:spacing w:before="60" w:after="60"/>
        <w:ind w:left="1077" w:hanging="357"/>
      </w:pPr>
      <w:bookmarkStart w:id="2" w:name="_Hlk193187255"/>
      <w:r>
        <w:t>Le Fonds a-t-il commis une faute ?</w:t>
      </w:r>
    </w:p>
    <w:p w14:paraId="1C0E0B93" w14:textId="77777777" w:rsidR="00DA0888" w:rsidRDefault="00BD6B34" w:rsidP="00C84D5C">
      <w:pPr>
        <w:pStyle w:val="Puce1"/>
        <w:spacing w:before="60" w:after="60"/>
        <w:ind w:left="1077" w:hanging="357"/>
      </w:pPr>
      <w:r>
        <w:t xml:space="preserve">Quelle est la qualification juridique du lien contractuel entre </w:t>
      </w:r>
      <w:r w:rsidR="00392C9F">
        <w:t>M. Pereira</w:t>
      </w:r>
      <w:r>
        <w:t xml:space="preserve"> et Cogir</w:t>
      </w:r>
      <w:r w:rsidR="000421D0">
        <w:t> </w:t>
      </w:r>
      <w:r>
        <w:t>?</w:t>
      </w:r>
    </w:p>
    <w:p w14:paraId="61DECE8E" w14:textId="77777777" w:rsidR="00DA0888" w:rsidRDefault="00BD6B34" w:rsidP="00C84D5C">
      <w:pPr>
        <w:pStyle w:val="Puce1"/>
        <w:spacing w:before="60" w:after="60"/>
        <w:ind w:left="1077" w:hanging="357"/>
      </w:pPr>
      <w:r>
        <w:t>Cogir a-t-elle commis une faute en mettant fin à la relation contractuelle ?</w:t>
      </w:r>
    </w:p>
    <w:p w14:paraId="3BA71AB7" w14:textId="77777777" w:rsidR="00DA0888" w:rsidRPr="0035062A" w:rsidRDefault="00BD6B34" w:rsidP="00C84D5C">
      <w:pPr>
        <w:pStyle w:val="Puce1"/>
        <w:spacing w:before="60" w:after="60"/>
        <w:ind w:left="1077" w:hanging="357"/>
      </w:pPr>
      <w:r>
        <w:t>M. Pereira a-t-il droit aux dommages réclamés ?</w:t>
      </w:r>
      <w:bookmarkEnd w:id="2"/>
    </w:p>
    <w:p w14:paraId="14B8C55C" w14:textId="77777777" w:rsidR="00DA0888" w:rsidRDefault="00BD6B34" w:rsidP="00C65F50">
      <w:pPr>
        <w:pStyle w:val="Titre1"/>
        <w:spacing w:line="240" w:lineRule="auto"/>
      </w:pPr>
      <w:r>
        <w:t>ANALYSE</w:t>
      </w:r>
    </w:p>
    <w:p w14:paraId="0F781CF6" w14:textId="77777777" w:rsidR="00DA0888" w:rsidRDefault="00BD6B34" w:rsidP="00C65F50">
      <w:pPr>
        <w:pStyle w:val="Titre2"/>
        <w:spacing w:line="240" w:lineRule="auto"/>
      </w:pPr>
      <w:r>
        <w:t>Le recours</w:t>
      </w:r>
      <w:r w:rsidR="000F3AB4" w:rsidRPr="000F3AB4">
        <w:t xml:space="preserve"> de M. Pereira contre le Fonds et Cogir immobilier doit-il être rejeté avant même que le Fonds ne présente sa défense, parce qu’abusif en ce qu’il est voué à l’échec?</w:t>
      </w:r>
    </w:p>
    <w:p w14:paraId="0DFBC83C" w14:textId="77777777" w:rsidR="00DA0888" w:rsidRDefault="00BD6B34" w:rsidP="00C65F50">
      <w:pPr>
        <w:pStyle w:val="paragrapheno"/>
        <w:spacing w:line="240" w:lineRule="auto"/>
      </w:pPr>
      <w:r>
        <w:t xml:space="preserve">Rappelons que cette demande est présentée par le Fonds et par Cogir immobilier tout de suite après que </w:t>
      </w:r>
      <w:r w:rsidR="00392C9F">
        <w:t>M. Pereira</w:t>
      </w:r>
      <w:r>
        <w:t xml:space="preserve"> eut déclar</w:t>
      </w:r>
      <w:r w:rsidR="00183B3E">
        <w:t>é</w:t>
      </w:r>
      <w:r>
        <w:t xml:space="preserve"> sa preuve close </w:t>
      </w:r>
      <w:r w:rsidR="001B5B87">
        <w:t>donc</w:t>
      </w:r>
      <w:r>
        <w:t xml:space="preserve"> avant que le Fonds ne présente sa preuve</w:t>
      </w:r>
      <w:r w:rsidR="006215C8">
        <w:t xml:space="preserve"> en défense</w:t>
      </w:r>
      <w:r>
        <w:t xml:space="preserve">. Toutes deux considérant qu’à la lumière de la preuve présentée par </w:t>
      </w:r>
      <w:r w:rsidR="00392C9F">
        <w:t>M. Pereira</w:t>
      </w:r>
      <w:r w:rsidR="00F17D8F">
        <w:t>,</w:t>
      </w:r>
      <w:r>
        <w:t xml:space="preserve"> son recours était voué à l’échec.</w:t>
      </w:r>
    </w:p>
    <w:p w14:paraId="0F3D687D" w14:textId="77777777" w:rsidR="00DA0888" w:rsidRDefault="00BD6B34" w:rsidP="00C65F50">
      <w:pPr>
        <w:pStyle w:val="paragrapheno"/>
        <w:spacing w:line="240" w:lineRule="auto"/>
      </w:pPr>
      <w:r>
        <w:t>Contrairement à ce que soutient le Fonds,</w:t>
      </w:r>
      <w:r w:rsidRPr="00F76347">
        <w:t xml:space="preserve"> </w:t>
      </w:r>
      <w:r>
        <w:t>le recours n’est pas manifestement voué à l’échec à la lumière de la preuve présenté</w:t>
      </w:r>
      <w:r w:rsidR="00642BC7">
        <w:t>e</w:t>
      </w:r>
      <w:r>
        <w:t xml:space="preserve"> par </w:t>
      </w:r>
      <w:r w:rsidR="00392C9F">
        <w:t>M. Pereira</w:t>
      </w:r>
      <w:r>
        <w:t xml:space="preserve">. La preuve en </w:t>
      </w:r>
      <w:r w:rsidR="005E61C9">
        <w:t>défense du Fonds</w:t>
      </w:r>
      <w:r>
        <w:t xml:space="preserve"> est nécessaire. </w:t>
      </w:r>
      <w:r w:rsidR="006C25CD">
        <w:t>En effet</w:t>
      </w:r>
      <w:r w:rsidR="00DD2FFC">
        <w:t>,</w:t>
      </w:r>
      <w:r>
        <w:t xml:space="preserve"> jusqu’à la présentation de la preuve en défense du Fonds, soit le témoignage de M. Aubuchon, tous les témoins ont indiqué que dans leurs discussions ils ne faisaient pas la distinction entre le Fonds, le Fonds immobilier ou même la FTQ. </w:t>
      </w:r>
      <w:r w:rsidR="00BA037F">
        <w:t>C’est également ce qui se reflète dans leur</w:t>
      </w:r>
      <w:r w:rsidR="00C67B0C">
        <w:t>s</w:t>
      </w:r>
      <w:r w:rsidR="00BA037F">
        <w:t xml:space="preserve"> témoignages</w:t>
      </w:r>
      <w:r w:rsidR="00C67B0C">
        <w:t xml:space="preserve">. </w:t>
      </w:r>
      <w:r>
        <w:t>M. Duguay a même témoigné que</w:t>
      </w:r>
      <w:r w:rsidR="007D6AA7">
        <w:t xml:space="preserve"> </w:t>
      </w:r>
      <w:r w:rsidR="00622D4C">
        <w:t>bien qu’il soit conscient qu’au niveau corporatif, ces entités puissent être distinctes</w:t>
      </w:r>
      <w:r w:rsidR="0080218D">
        <w:t xml:space="preserve">, </w:t>
      </w:r>
      <w:r w:rsidR="00064668">
        <w:t>lorsqu’il discute</w:t>
      </w:r>
      <w:r w:rsidR="0080218D">
        <w:t xml:space="preserve"> et témoigne</w:t>
      </w:r>
      <w:r w:rsidR="00622D4C">
        <w:t xml:space="preserve"> </w:t>
      </w:r>
      <w:r>
        <w:t>ces entités</w:t>
      </w:r>
      <w:r w:rsidRPr="002E06BE">
        <w:t xml:space="preserve"> formaient un tout</w:t>
      </w:r>
      <w:r>
        <w:t>.</w:t>
      </w:r>
    </w:p>
    <w:p w14:paraId="41DE29D9" w14:textId="77777777" w:rsidR="00DA0888" w:rsidRPr="00DA4D3E" w:rsidRDefault="00BD6B34" w:rsidP="00C65F50">
      <w:pPr>
        <w:pStyle w:val="paragrapheno"/>
        <w:spacing w:line="240" w:lineRule="auto"/>
      </w:pPr>
      <w:r w:rsidRPr="00DA4D3E">
        <w:t>Seul</w:t>
      </w:r>
      <w:r>
        <w:t>s, le témoignage</w:t>
      </w:r>
      <w:r w:rsidR="00064668" w:rsidRPr="00DA4D3E">
        <w:t xml:space="preserve"> de M.</w:t>
      </w:r>
      <w:r w:rsidR="0092217A" w:rsidRPr="00DA4D3E">
        <w:t xml:space="preserve"> </w:t>
      </w:r>
      <w:r w:rsidRPr="00DA4D3E">
        <w:t xml:space="preserve">Aubuchon et le dépôt de la pièce DF-2 ont pu faire la preuve des allégations énoncées </w:t>
      </w:r>
      <w:r w:rsidR="002D35B2" w:rsidRPr="00DA4D3E">
        <w:t xml:space="preserve">notamment </w:t>
      </w:r>
      <w:r w:rsidRPr="00DA4D3E">
        <w:t>au</w:t>
      </w:r>
      <w:r w:rsidR="009D37A2" w:rsidRPr="00DA4D3E">
        <w:t>x</w:t>
      </w:r>
      <w:r w:rsidRPr="00DA4D3E">
        <w:t xml:space="preserve"> paragraphe</w:t>
      </w:r>
      <w:r w:rsidR="00D32414" w:rsidRPr="00DA4D3E">
        <w:t>s</w:t>
      </w:r>
      <w:r w:rsidRPr="00DA4D3E">
        <w:t xml:space="preserve"> </w:t>
      </w:r>
      <w:r w:rsidR="00D32414" w:rsidRPr="00DA4D3E">
        <w:t>11 et 32</w:t>
      </w:r>
      <w:r w:rsidRPr="00DA4D3E">
        <w:t xml:space="preserve"> de la </w:t>
      </w:r>
      <w:r w:rsidR="0084291A" w:rsidRPr="00DA4D3E">
        <w:t>D</w:t>
      </w:r>
      <w:r w:rsidRPr="00DA4D3E">
        <w:t>éfense du Fonds</w:t>
      </w:r>
      <w:r w:rsidR="0084291A" w:rsidRPr="00DA4D3E">
        <w:t xml:space="preserve"> voulant que le Fonds et le Fonds immobilier so</w:t>
      </w:r>
      <w:r w:rsidR="000F4166" w:rsidRPr="00DA4D3E">
        <w:t>ien</w:t>
      </w:r>
      <w:r w:rsidR="0084291A" w:rsidRPr="00DA4D3E">
        <w:t>t deux entités juridiques distinctes</w:t>
      </w:r>
      <w:r w:rsidRPr="00DA4D3E">
        <w:t xml:space="preserve">. Cette distinction s’avère </w:t>
      </w:r>
      <w:r w:rsidR="00014489">
        <w:t>important</w:t>
      </w:r>
      <w:r w:rsidRPr="00DA4D3E">
        <w:t xml:space="preserve">e compte tenu de la </w:t>
      </w:r>
      <w:r w:rsidR="000F4166" w:rsidRPr="00DA4D3E">
        <w:t>conclusion du</w:t>
      </w:r>
      <w:r w:rsidRPr="00DA4D3E">
        <w:t xml:space="preserve"> Tribunal </w:t>
      </w:r>
      <w:r w:rsidR="000F4166" w:rsidRPr="00DA4D3E">
        <w:t>sur le fondement factuel du recours de M. Pereira</w:t>
      </w:r>
      <w:r w:rsidRPr="00DA4D3E">
        <w:t xml:space="preserve">. </w:t>
      </w:r>
    </w:p>
    <w:p w14:paraId="02F84AA5" w14:textId="77777777" w:rsidR="00DA0888" w:rsidRDefault="00BD6B34" w:rsidP="00C65F50">
      <w:pPr>
        <w:pStyle w:val="paragrapheno"/>
        <w:spacing w:line="240" w:lineRule="auto"/>
      </w:pPr>
      <w:r>
        <w:t xml:space="preserve">De manière plus générale, le Fonds ne fait pas la preuve non plus que le recours de </w:t>
      </w:r>
      <w:r w:rsidR="00392C9F">
        <w:t>M. Pereira</w:t>
      </w:r>
      <w:r>
        <w:t xml:space="preserve"> à son endroit est abusif.</w:t>
      </w:r>
    </w:p>
    <w:p w14:paraId="0A544322" w14:textId="77777777" w:rsidR="00C45CD9" w:rsidRDefault="00BD6B34" w:rsidP="00C65F50">
      <w:pPr>
        <w:pStyle w:val="paragrapheno"/>
        <w:spacing w:line="240" w:lineRule="auto"/>
      </w:pPr>
      <w:r>
        <w:t>Quant au recours contre Cogir immobilier, la société en commandite qui semble avoir été créée pour le projet Humaniti, seuls les témoignages</w:t>
      </w:r>
      <w:r w:rsidR="00BC52EB">
        <w:t>,</w:t>
      </w:r>
      <w:r>
        <w:t xml:space="preserve"> de M.</w:t>
      </w:r>
      <w:r w:rsidR="00AE4B6C">
        <w:t> </w:t>
      </w:r>
      <w:r>
        <w:t xml:space="preserve">Duguay et de M. Leblanc </w:t>
      </w:r>
      <w:r w:rsidR="009E5CEA">
        <w:t xml:space="preserve">particulièrement lors de leur contre-interrogatoire </w:t>
      </w:r>
      <w:r>
        <w:t xml:space="preserve">ont permis de démontrer avec quelle entité </w:t>
      </w:r>
      <w:r w:rsidR="00392C9F">
        <w:t>M. Pereira</w:t>
      </w:r>
      <w:r>
        <w:t xml:space="preserve"> avait un lien contractuel. </w:t>
      </w:r>
    </w:p>
    <w:p w14:paraId="5DA022C1" w14:textId="77777777" w:rsidR="00DA0888" w:rsidRDefault="00BD6B34" w:rsidP="00C65F50">
      <w:pPr>
        <w:pStyle w:val="paragrapheno"/>
        <w:spacing w:line="240" w:lineRule="auto"/>
      </w:pPr>
      <w:r>
        <w:lastRenderedPageBreak/>
        <w:t>En effet, les témoins, y compris M. Leblanc et M. Duguay utilise</w:t>
      </w:r>
      <w:r w:rsidR="00CE5C90">
        <w:t>nt</w:t>
      </w:r>
      <w:r>
        <w:t xml:space="preserve"> indistinctement le nom Cogir pour désigner Cogir Construction, Cogi</w:t>
      </w:r>
      <w:r w:rsidR="00014489">
        <w:t>r</w:t>
      </w:r>
      <w:r>
        <w:t xml:space="preserve"> immobilier et Cogir Investissement. De plus, comme le démontre la conclusion du </w:t>
      </w:r>
      <w:r w:rsidRPr="008F0BD2">
        <w:t>Tribunal plus loin</w:t>
      </w:r>
      <w:r>
        <w:t xml:space="preserve">, c’est M. Duguay qui retient les services de </w:t>
      </w:r>
      <w:r w:rsidR="00392C9F">
        <w:t>M. Pereira</w:t>
      </w:r>
      <w:r>
        <w:t xml:space="preserve"> et M. Duguay n’est pas, du moins selon l’extrait du registre des entreprises</w:t>
      </w:r>
      <w:r>
        <w:rPr>
          <w:rStyle w:val="Appelnotedebasdep"/>
        </w:rPr>
        <w:footnoteReference w:id="10"/>
      </w:r>
      <w:r>
        <w:t>, actionnaire ou administrateur de Cogir</w:t>
      </w:r>
      <w:r w:rsidR="00D941FB">
        <w:t xml:space="preserve"> Construction</w:t>
      </w:r>
      <w:r>
        <w:t xml:space="preserve">. De plus, les services de </w:t>
      </w:r>
      <w:r w:rsidR="00392C9F">
        <w:t>M. Pereira</w:t>
      </w:r>
      <w:r>
        <w:t xml:space="preserve"> sont utilisés sur le chantier Humaniti à au moins trois reprises alors que Cogir </w:t>
      </w:r>
      <w:r w:rsidR="007D45D3">
        <w:t>c</w:t>
      </w:r>
      <w:r>
        <w:t>onstruction n’est pas impliqué dans ce projet. Enfin, dans les courriels échang</w:t>
      </w:r>
      <w:r w:rsidR="003D4E5F">
        <w:t>és</w:t>
      </w:r>
      <w:r>
        <w:t xml:space="preserve"> entre M. Pereira et différents intervenants de Cogir sur les chantiers</w:t>
      </w:r>
      <w:r w:rsidR="0084291A">
        <w:t>, ces derniers signent à titre</w:t>
      </w:r>
      <w:r w:rsidR="00914A33">
        <w:t xml:space="preserve"> de</w:t>
      </w:r>
      <w:r w:rsidR="0084291A">
        <w:t xml:space="preserve"> représentant</w:t>
      </w:r>
      <w:r w:rsidR="005C2CB9">
        <w:t>s</w:t>
      </w:r>
      <w:r w:rsidR="0084291A">
        <w:t xml:space="preserve"> de Cogir Construction, Cogir Immobilier ou même Cogir société de gestion, avec la même adresse </w:t>
      </w:r>
      <w:r w:rsidR="00AC699A">
        <w:t xml:space="preserve">civique </w:t>
      </w:r>
      <w:r w:rsidR="0084291A">
        <w:t xml:space="preserve">sur le boulevard Tachereau. </w:t>
      </w:r>
      <w:r>
        <w:t xml:space="preserve">Bref, </w:t>
      </w:r>
      <w:r w:rsidR="0084291A">
        <w:t xml:space="preserve">dans le présent dossier, </w:t>
      </w:r>
      <w:r>
        <w:t>il y a suffisamment de confusion entre les entités de Cogir pour que le Tribunal puisse conclure que le recours entrepris contre Cogir immobiliers n’est pas abusif.</w:t>
      </w:r>
      <w:r w:rsidR="0084291A">
        <w:t xml:space="preserve"> Ce sont les témoignages de M. Duguay et M. Leblanc </w:t>
      </w:r>
      <w:r w:rsidR="00077972">
        <w:t>et particulièrement leur contre-interrogatioire</w:t>
      </w:r>
      <w:r w:rsidR="00670032">
        <w:t>,</w:t>
      </w:r>
      <w:r w:rsidR="0084291A">
        <w:t>qui permettent d’établir l’absence de lien de droit entre M. Pereira et Cogir Immobilier.</w:t>
      </w:r>
      <w:r>
        <w:t xml:space="preserve"> </w:t>
      </w:r>
    </w:p>
    <w:p w14:paraId="636227CF" w14:textId="77777777" w:rsidR="006C25CD" w:rsidRDefault="00BD6B34" w:rsidP="00C65F50">
      <w:pPr>
        <w:pStyle w:val="paragrapheno"/>
        <w:spacing w:line="240" w:lineRule="auto"/>
      </w:pPr>
      <w:r>
        <w:t xml:space="preserve">De manière plus générale, Cogir </w:t>
      </w:r>
      <w:r w:rsidR="00D16521">
        <w:t>immobilier</w:t>
      </w:r>
      <w:r>
        <w:t xml:space="preserve"> ne fait pas la preuve non plus que le recours </w:t>
      </w:r>
      <w:r w:rsidR="002C7038">
        <w:t xml:space="preserve">de M. Pereira </w:t>
      </w:r>
      <w:r w:rsidR="00D16521">
        <w:t>contre elle est abusif.</w:t>
      </w:r>
    </w:p>
    <w:p w14:paraId="479E1BB9" w14:textId="77777777" w:rsidR="00DA0888" w:rsidRPr="00C83CD3" w:rsidRDefault="00BD6B34" w:rsidP="00DA0888">
      <w:pPr>
        <w:pStyle w:val="paragrapheno"/>
        <w:spacing w:line="240" w:lineRule="auto"/>
      </w:pPr>
      <w:r>
        <w:t xml:space="preserve">Les demandes de déclarer abusif le recours de </w:t>
      </w:r>
      <w:r w:rsidR="00392C9F">
        <w:t>M. Pereira</w:t>
      </w:r>
      <w:r>
        <w:t xml:space="preserve"> présenté par le Fonds et Cogir immobilier</w:t>
      </w:r>
      <w:r w:rsidR="00F94A4A">
        <w:t xml:space="preserve"> </w:t>
      </w:r>
      <w:r>
        <w:t>sont donc rejetées.</w:t>
      </w:r>
    </w:p>
    <w:p w14:paraId="179A54C9" w14:textId="77777777" w:rsidR="00D70A39" w:rsidRPr="00DC4223" w:rsidRDefault="00BD6B34" w:rsidP="00E37868">
      <w:pPr>
        <w:pStyle w:val="Titre2"/>
        <w:spacing w:line="240" w:lineRule="auto"/>
      </w:pPr>
      <w:r w:rsidRPr="00DC4223">
        <w:t>La preuve démontre-t-elle l’existence de</w:t>
      </w:r>
      <w:r w:rsidR="00A94329" w:rsidRPr="00DC4223">
        <w:t xml:space="preserve"> </w:t>
      </w:r>
      <w:r w:rsidRPr="00DC4223">
        <w:t>pression de la part du F</w:t>
      </w:r>
      <w:r w:rsidR="00C71C4F" w:rsidRPr="00DC4223">
        <w:t>onds</w:t>
      </w:r>
      <w:r w:rsidRPr="00DC4223">
        <w:t xml:space="preserve"> pour empêcher </w:t>
      </w:r>
      <w:r w:rsidR="00392C9F" w:rsidRPr="00DC4223">
        <w:t>M. Pereira</w:t>
      </w:r>
      <w:r w:rsidRPr="00DC4223">
        <w:t xml:space="preserve"> de travailler dans l’</w:t>
      </w:r>
      <w:r w:rsidR="0044675E" w:rsidRPr="00DC4223">
        <w:t>i</w:t>
      </w:r>
      <w:r w:rsidRPr="00DC4223">
        <w:t>ndustrie de la construction au Québec ou ailleurs au Canada et particulièrement sur les chantiers de Cogir ?</w:t>
      </w:r>
    </w:p>
    <w:p w14:paraId="16B36EED" w14:textId="77777777" w:rsidR="00FF5AF5" w:rsidRPr="00DC4223" w:rsidRDefault="00BD6B34" w:rsidP="00E37868">
      <w:pPr>
        <w:pStyle w:val="Titre3"/>
        <w:spacing w:line="240" w:lineRule="auto"/>
      </w:pPr>
      <w:r w:rsidRPr="00DC4223">
        <w:t>Le</w:t>
      </w:r>
      <w:r w:rsidR="00C31FE2" w:rsidRPr="00DC4223">
        <w:t>s faits</w:t>
      </w:r>
    </w:p>
    <w:p w14:paraId="7CB32DA5" w14:textId="77777777" w:rsidR="008A1D27" w:rsidRDefault="00BD6B34" w:rsidP="00E37868">
      <w:pPr>
        <w:pStyle w:val="paragrapheno"/>
        <w:spacing w:line="240" w:lineRule="auto"/>
      </w:pPr>
      <w:r>
        <w:t>L</w:t>
      </w:r>
      <w:r w:rsidR="00FC3029">
        <w:t>e Tribunal r</w:t>
      </w:r>
      <w:r w:rsidR="00080CB2">
        <w:t xml:space="preserve">etient </w:t>
      </w:r>
      <w:r>
        <w:t xml:space="preserve">ce qui suit </w:t>
      </w:r>
      <w:r w:rsidR="00080CB2">
        <w:t>de</w:t>
      </w:r>
      <w:r w:rsidR="00FC3029">
        <w:t xml:space="preserve"> la preuve</w:t>
      </w:r>
      <w:r w:rsidR="00325BDC">
        <w:t xml:space="preserve"> pertinente</w:t>
      </w:r>
      <w:r w:rsidR="00AC7466">
        <w:t>.</w:t>
      </w:r>
    </w:p>
    <w:p w14:paraId="00EB11F3" w14:textId="77777777" w:rsidR="00AC7466" w:rsidRDefault="00BD6B34" w:rsidP="00E37868">
      <w:pPr>
        <w:pStyle w:val="Titre4"/>
        <w:spacing w:line="240" w:lineRule="auto"/>
      </w:pPr>
      <w:r>
        <w:t>Antérieurement à Cogir</w:t>
      </w:r>
    </w:p>
    <w:p w14:paraId="551C4642" w14:textId="77777777" w:rsidR="00397B84" w:rsidRDefault="00BD6B34" w:rsidP="00E37868">
      <w:pPr>
        <w:pStyle w:val="paragrapheno"/>
        <w:spacing w:line="240" w:lineRule="auto"/>
      </w:pPr>
      <w:r>
        <w:t>M. Pereira</w:t>
      </w:r>
      <w:r w:rsidR="00511961">
        <w:t xml:space="preserve"> </w:t>
      </w:r>
      <w:r w:rsidR="008E498B">
        <w:t xml:space="preserve">aime son industrie </w:t>
      </w:r>
      <w:r w:rsidR="00684AA7">
        <w:t xml:space="preserve">et dès qu’il </w:t>
      </w:r>
      <w:r w:rsidR="00511961">
        <w:t>s’implique dans le mouvement syndical</w:t>
      </w:r>
      <w:r w:rsidR="00684AA7">
        <w:t xml:space="preserve"> en 2005</w:t>
      </w:r>
      <w:r>
        <w:t>,</w:t>
      </w:r>
      <w:r w:rsidR="00511961">
        <w:t xml:space="preserve"> </w:t>
      </w:r>
      <w:r w:rsidR="00251990">
        <w:t xml:space="preserve">il soulève </w:t>
      </w:r>
      <w:r w:rsidR="005B1E11">
        <w:t xml:space="preserve">et dénonce </w:t>
      </w:r>
      <w:r w:rsidR="00251990">
        <w:t>les irrégularités</w:t>
      </w:r>
      <w:r w:rsidR="005B1E11">
        <w:t>, l</w:t>
      </w:r>
      <w:r w:rsidR="00D74EA6">
        <w:t>es illégalité</w:t>
      </w:r>
      <w:r w:rsidR="00E5087F">
        <w:t>s</w:t>
      </w:r>
      <w:r w:rsidR="00D74EA6">
        <w:t>,</w:t>
      </w:r>
      <w:r w:rsidR="006E1231">
        <w:t xml:space="preserve"> </w:t>
      </w:r>
      <w:r w:rsidR="00D74EA6">
        <w:t>la corruption</w:t>
      </w:r>
      <w:r w:rsidR="00E32899">
        <w:t xml:space="preserve">, </w:t>
      </w:r>
      <w:r w:rsidR="005B1E11">
        <w:t>l</w:t>
      </w:r>
      <w:r w:rsidR="00E32899">
        <w:t>es menaces, la violence</w:t>
      </w:r>
      <w:r w:rsidR="00D74EA6">
        <w:t xml:space="preserve"> et les </w:t>
      </w:r>
      <w:r w:rsidR="00E32899">
        <w:t xml:space="preserve">autres </w:t>
      </w:r>
      <w:r>
        <w:t>gestes inappropriés</w:t>
      </w:r>
      <w:r w:rsidR="00E32899">
        <w:t xml:space="preserve"> </w:t>
      </w:r>
      <w:r w:rsidR="0035437A">
        <w:t>dont il est témoin</w:t>
      </w:r>
      <w:r w:rsidR="007B0769">
        <w:t xml:space="preserve">. </w:t>
      </w:r>
    </w:p>
    <w:p w14:paraId="38C0278C" w14:textId="77777777" w:rsidR="00CD43DC" w:rsidRDefault="00BD6B34" w:rsidP="00E37868">
      <w:pPr>
        <w:pStyle w:val="paragrapheno"/>
        <w:spacing w:line="240" w:lineRule="auto"/>
      </w:pPr>
      <w:r>
        <w:t xml:space="preserve">Il donne comme exemple </w:t>
      </w:r>
      <w:r w:rsidR="00F11DDB">
        <w:t>d’</w:t>
      </w:r>
      <w:r>
        <w:t xml:space="preserve">avoir soulevé les irrégularités dans les livres comptables </w:t>
      </w:r>
      <w:r w:rsidR="004165D7">
        <w:t>lorsqu’il agit comme syndic</w:t>
      </w:r>
      <w:r>
        <w:t xml:space="preserve"> </w:t>
      </w:r>
      <w:r w:rsidR="00511961">
        <w:t xml:space="preserve">auprès du Local </w:t>
      </w:r>
      <w:r w:rsidR="00E727AF">
        <w:t>2182</w:t>
      </w:r>
      <w:r w:rsidR="00511961">
        <w:t xml:space="preserve"> du C</w:t>
      </w:r>
      <w:r w:rsidR="000C4B68">
        <w:t>P</w:t>
      </w:r>
      <w:r w:rsidR="00BD2AEA">
        <w:t>QMC</w:t>
      </w:r>
      <w:r>
        <w:t xml:space="preserve">. </w:t>
      </w:r>
      <w:r w:rsidR="00E727AF">
        <w:t xml:space="preserve">En </w:t>
      </w:r>
      <w:r w:rsidR="00E727AF">
        <w:lastRenderedPageBreak/>
        <w:t>interrogatoire hors cour</w:t>
      </w:r>
      <w:r w:rsidR="00D2006A">
        <w:t>,</w:t>
      </w:r>
      <w:r w:rsidR="00E727AF">
        <w:t xml:space="preserve"> il dira être devenu</w:t>
      </w:r>
      <w:r w:rsidR="004034A1" w:rsidRPr="004034A1">
        <w:t xml:space="preserve"> </w:t>
      </w:r>
      <w:r w:rsidR="004034A1">
        <w:t xml:space="preserve">l’ennemi </w:t>
      </w:r>
      <w:r w:rsidR="00D37617">
        <w:t>« </w:t>
      </w:r>
      <w:r w:rsidR="00F11DDB">
        <w:t xml:space="preserve">numéro </w:t>
      </w:r>
      <w:r w:rsidR="004034A1">
        <w:t>1</w:t>
      </w:r>
      <w:r w:rsidR="00D37617">
        <w:t> »</w:t>
      </w:r>
      <w:r w:rsidR="004034A1">
        <w:t xml:space="preserve"> du Local 2182</w:t>
      </w:r>
      <w:r w:rsidR="00E727AF">
        <w:t xml:space="preserve"> </w:t>
      </w:r>
      <w:r w:rsidR="00AA054D">
        <w:t xml:space="preserve">à </w:t>
      </w:r>
      <w:r w:rsidR="00F2299E">
        <w:t>compter</w:t>
      </w:r>
      <w:r w:rsidR="00AA054D">
        <w:t xml:space="preserve"> de </w:t>
      </w:r>
      <w:r w:rsidR="0009019E">
        <w:t>c</w:t>
      </w:r>
      <w:r w:rsidR="00AA054D">
        <w:t xml:space="preserve">es </w:t>
      </w:r>
      <w:r w:rsidR="00D2006A">
        <w:t>divulgations</w:t>
      </w:r>
      <w:r>
        <w:rPr>
          <w:rStyle w:val="Appelnotedebasdep"/>
        </w:rPr>
        <w:footnoteReference w:id="11"/>
      </w:r>
      <w:r w:rsidR="00D2006A">
        <w:t>.</w:t>
      </w:r>
    </w:p>
    <w:p w14:paraId="3EB9F56F" w14:textId="77777777" w:rsidR="00DE1DBA" w:rsidRDefault="00BD6B34" w:rsidP="00E37868">
      <w:pPr>
        <w:pStyle w:val="paragrapheno"/>
        <w:spacing w:line="240" w:lineRule="auto"/>
      </w:pPr>
      <w:r>
        <w:t>Lorsqu’</w:t>
      </w:r>
      <w:r w:rsidR="00FA0E6E">
        <w:t>en 200</w:t>
      </w:r>
      <w:r w:rsidR="00074B6C">
        <w:t>6 il</w:t>
      </w:r>
      <w:r>
        <w:t xml:space="preserve"> </w:t>
      </w:r>
      <w:r w:rsidR="001717A3">
        <w:t>devient le</w:t>
      </w:r>
      <w:r>
        <w:t xml:space="preserve"> </w:t>
      </w:r>
      <w:r w:rsidR="00621A10">
        <w:t>directeur</w:t>
      </w:r>
      <w:r>
        <w:t xml:space="preserve"> général du Local </w:t>
      </w:r>
      <w:r w:rsidR="006C7BDF" w:rsidRPr="006C7BDF">
        <w:t>1981</w:t>
      </w:r>
      <w:r w:rsidR="001717A3">
        <w:t>, un syndicat affili</w:t>
      </w:r>
      <w:r w:rsidR="0002543E">
        <w:t>é à</w:t>
      </w:r>
      <w:r w:rsidR="00621A10">
        <w:t xml:space="preserve"> la FTQ-Construction</w:t>
      </w:r>
      <w:r w:rsidR="00BD2AEA">
        <w:t>, il</w:t>
      </w:r>
      <w:r w:rsidR="00621A10">
        <w:t xml:space="preserve"> </w:t>
      </w:r>
      <w:r w:rsidR="007C06CE">
        <w:t>s’assure auprès de celui qui l</w:t>
      </w:r>
      <w:r w:rsidR="00865CCD">
        <w:t>ui offre le poste</w:t>
      </w:r>
      <w:r w:rsidR="007C06CE">
        <w:t>, Jocelyn Dupuis alors directeur géné</w:t>
      </w:r>
      <w:r w:rsidR="0068286B">
        <w:t>ral de la FTQ-Construction</w:t>
      </w:r>
      <w:r w:rsidR="0048025F">
        <w:t>,</w:t>
      </w:r>
      <w:r w:rsidR="0068286B">
        <w:t xml:space="preserve"> de pouvoir avoir les coudées franche</w:t>
      </w:r>
      <w:r w:rsidR="00A16F9E">
        <w:t>s</w:t>
      </w:r>
      <w:r w:rsidR="0068286B">
        <w:t xml:space="preserve"> et </w:t>
      </w:r>
      <w:r w:rsidR="00AF2B0D">
        <w:t xml:space="preserve">de </w:t>
      </w:r>
      <w:r w:rsidR="0048025F">
        <w:t>bénéficier d</w:t>
      </w:r>
      <w:r w:rsidR="0068286B">
        <w:t>es services d’un avocat afin de l’aider</w:t>
      </w:r>
      <w:r w:rsidR="00A16F9E">
        <w:t>,</w:t>
      </w:r>
      <w:r w:rsidR="0068286B">
        <w:t xml:space="preserve"> car il considère que le placement dans l’industrie de la construction du secteur industriel</w:t>
      </w:r>
      <w:r w:rsidR="0009019E">
        <w:t>,</w:t>
      </w:r>
      <w:r w:rsidR="0068286B">
        <w:t xml:space="preserve"> </w:t>
      </w:r>
      <w:r w:rsidR="00AF2B0D">
        <w:t xml:space="preserve">lequel est </w:t>
      </w:r>
      <w:r w:rsidR="00A16F9E">
        <w:t xml:space="preserve">géré et </w:t>
      </w:r>
      <w:r w:rsidR="0068286B">
        <w:t>contrôlé par les organisation</w:t>
      </w:r>
      <w:r w:rsidR="00A16F9E">
        <w:t>s</w:t>
      </w:r>
      <w:r w:rsidR="0068286B">
        <w:t xml:space="preserve"> syndicales </w:t>
      </w:r>
      <w:r w:rsidR="00072FF4">
        <w:t>conformément aux dispositions législatives en vigueur à ce moment</w:t>
      </w:r>
      <w:r w:rsidR="008537EE">
        <w:t>,</w:t>
      </w:r>
      <w:r w:rsidR="00072FF4">
        <w:t xml:space="preserve"> </w:t>
      </w:r>
      <w:r w:rsidR="0068286B">
        <w:t>est malsain</w:t>
      </w:r>
      <w:r w:rsidR="00323DC2">
        <w:t>. Il souligne que</w:t>
      </w:r>
      <w:r w:rsidR="004477F9">
        <w:t xml:space="preserve"> </w:t>
      </w:r>
      <w:r w:rsidR="00A7195E">
        <w:t>l</w:t>
      </w:r>
      <w:r w:rsidR="004477F9">
        <w:t xml:space="preserve">es membres </w:t>
      </w:r>
      <w:r w:rsidR="00A7195E">
        <w:t xml:space="preserve">du </w:t>
      </w:r>
      <w:r w:rsidR="00400BDE">
        <w:t>Local</w:t>
      </w:r>
      <w:r w:rsidR="00A7195E">
        <w:t xml:space="preserve"> </w:t>
      </w:r>
      <w:r w:rsidR="00187BA9">
        <w:t xml:space="preserve">1981 </w:t>
      </w:r>
      <w:r w:rsidR="00323DC2">
        <w:t>ont</w:t>
      </w:r>
      <w:r w:rsidR="004477F9">
        <w:t xml:space="preserve"> </w:t>
      </w:r>
      <w:r w:rsidR="00AF5204">
        <w:t>peu de</w:t>
      </w:r>
      <w:r w:rsidR="004477F9">
        <w:t xml:space="preserve"> chance d’obtenir du travail </w:t>
      </w:r>
      <w:r w:rsidR="00187BA9">
        <w:t xml:space="preserve">sur les chantiers industriels </w:t>
      </w:r>
      <w:r w:rsidR="001F2D41">
        <w:t>puisqu’ils ne font</w:t>
      </w:r>
      <w:r w:rsidR="004477F9">
        <w:t xml:space="preserve"> pas partie </w:t>
      </w:r>
      <w:r w:rsidR="00C75CDD">
        <w:t xml:space="preserve">du </w:t>
      </w:r>
      <w:r w:rsidR="00A7195E">
        <w:t>syndicat alors majoritaire</w:t>
      </w:r>
      <w:r w:rsidR="0068286B">
        <w:t xml:space="preserve">. </w:t>
      </w:r>
      <w:r w:rsidR="00945339">
        <w:t xml:space="preserve">Selon </w:t>
      </w:r>
      <w:r w:rsidR="00392C9F">
        <w:t>M. Pereira</w:t>
      </w:r>
      <w:r w:rsidR="00E8609D">
        <w:t xml:space="preserve"> et</w:t>
      </w:r>
      <w:r w:rsidR="008537EE">
        <w:t xml:space="preserve"> </w:t>
      </w:r>
      <w:r w:rsidR="00E8609D">
        <w:t>ce que dévoilera la Commission Lesage</w:t>
      </w:r>
      <w:r w:rsidR="00AF2B0D">
        <w:t xml:space="preserve"> selon les extraits déposés par</w:t>
      </w:r>
      <w:r w:rsidR="00463841">
        <w:t xml:space="preserve"> celui-ci</w:t>
      </w:r>
      <w:r w:rsidR="00E8609D">
        <w:t>,</w:t>
      </w:r>
      <w:r w:rsidR="00945339">
        <w:t xml:space="preserve"> </w:t>
      </w:r>
      <w:r w:rsidR="00535203">
        <w:t xml:space="preserve">les syndicats de métiers majoritaires </w:t>
      </w:r>
      <w:r w:rsidR="0011701A">
        <w:t xml:space="preserve">menacent </w:t>
      </w:r>
      <w:r w:rsidR="00945339">
        <w:t xml:space="preserve">les entrepreneurs </w:t>
      </w:r>
      <w:r w:rsidR="0011701A">
        <w:t>si ceux-ci n’utilisent pas</w:t>
      </w:r>
      <w:r w:rsidR="00D86482">
        <w:t xml:space="preserve"> leur</w:t>
      </w:r>
      <w:r w:rsidR="00205CAD">
        <w:t>s</w:t>
      </w:r>
      <w:r w:rsidR="00D86482">
        <w:t xml:space="preserve"> membres sur les chantiers</w:t>
      </w:r>
      <w:r w:rsidR="004F138E">
        <w:t>,</w:t>
      </w:r>
      <w:r w:rsidR="00D86482">
        <w:t xml:space="preserve"> et</w:t>
      </w:r>
      <w:r w:rsidR="0011701A">
        <w:t xml:space="preserve"> ce, au détriment de la </w:t>
      </w:r>
      <w:r w:rsidR="00640CEE">
        <w:t>compétence</w:t>
      </w:r>
      <w:r w:rsidR="0011701A">
        <w:t xml:space="preserve"> et des</w:t>
      </w:r>
      <w:r w:rsidR="00D86482">
        <w:t xml:space="preserve"> membres des autres syndicats.</w:t>
      </w:r>
      <w:r w:rsidR="00E8609D">
        <w:t xml:space="preserve"> </w:t>
      </w:r>
      <w:r w:rsidR="00807730">
        <w:t>Il procède donc</w:t>
      </w:r>
      <w:r w:rsidR="0034381D">
        <w:t>,</w:t>
      </w:r>
      <w:r w:rsidR="00807730">
        <w:t xml:space="preserve"> avec l’aide de l’avocat du </w:t>
      </w:r>
      <w:r w:rsidR="00400BDE">
        <w:t>Local</w:t>
      </w:r>
      <w:r w:rsidR="00807730">
        <w:t xml:space="preserve"> </w:t>
      </w:r>
      <w:r w:rsidR="00187BA9">
        <w:t>1981</w:t>
      </w:r>
      <w:r w:rsidR="0034381D">
        <w:t>,</w:t>
      </w:r>
      <w:r w:rsidR="00807730">
        <w:t xml:space="preserve"> </w:t>
      </w:r>
      <w:r w:rsidR="00205CAD">
        <w:t>à</w:t>
      </w:r>
      <w:r w:rsidR="00807730">
        <w:t xml:space="preserve"> </w:t>
      </w:r>
      <w:r w:rsidR="0034381D">
        <w:t>accumul</w:t>
      </w:r>
      <w:r w:rsidR="00205CAD">
        <w:t>er</w:t>
      </w:r>
      <w:r w:rsidR="0034381D">
        <w:t xml:space="preserve"> de la preuve </w:t>
      </w:r>
      <w:r w:rsidR="00F96948">
        <w:t>en organisant un pro</w:t>
      </w:r>
      <w:r w:rsidR="00205CAD">
        <w:t>cessus</w:t>
      </w:r>
      <w:r w:rsidR="00F96948">
        <w:t xml:space="preserve"> avec les membres du </w:t>
      </w:r>
      <w:r w:rsidR="00400BDE">
        <w:t>Local</w:t>
      </w:r>
      <w:r w:rsidR="00F96948">
        <w:t xml:space="preserve"> </w:t>
      </w:r>
      <w:r w:rsidR="0077695F">
        <w:t xml:space="preserve">1981 </w:t>
      </w:r>
      <w:r w:rsidR="00F96948">
        <w:t>p</w:t>
      </w:r>
      <w:r w:rsidR="003C7C3B">
        <w:t>o</w:t>
      </w:r>
      <w:r w:rsidR="00F96948">
        <w:t xml:space="preserve">ur </w:t>
      </w:r>
      <w:r w:rsidR="0036283D">
        <w:t>enregistrer des centaines de conversations entre les membres et les entrepreneurs</w:t>
      </w:r>
      <w:r w:rsidR="0004534A">
        <w:t xml:space="preserve">. L’objectif étant d’obtenir la preuve que les entrepreneurs </w:t>
      </w:r>
      <w:r w:rsidR="00F77C67">
        <w:t>du secteur industriel sont exposés à des menaces et de l’intimidation de la part d</w:t>
      </w:r>
      <w:r w:rsidR="00DF30B9">
        <w:t>u</w:t>
      </w:r>
      <w:r w:rsidR="00E21D9E">
        <w:t xml:space="preserve"> syndicat</w:t>
      </w:r>
      <w:r w:rsidR="00DF30B9">
        <w:t xml:space="preserve"> majoritaire</w:t>
      </w:r>
      <w:r w:rsidR="00E21D9E">
        <w:t xml:space="preserve"> s’ils </w:t>
      </w:r>
      <w:r w:rsidR="006E1B57">
        <w:t>utilisent sur</w:t>
      </w:r>
      <w:r w:rsidR="004B7EA0">
        <w:t xml:space="preserve"> le chantier </w:t>
      </w:r>
      <w:r w:rsidR="008F54E1">
        <w:t xml:space="preserve">des travailleurs membres d’un </w:t>
      </w:r>
      <w:r w:rsidR="00AF2B0D">
        <w:t xml:space="preserve">autre </w:t>
      </w:r>
      <w:r w:rsidR="008F54E1">
        <w:t>syndicat</w:t>
      </w:r>
      <w:r w:rsidR="003C2AA1">
        <w:t xml:space="preserve">. </w:t>
      </w:r>
    </w:p>
    <w:p w14:paraId="7F09796A" w14:textId="77777777" w:rsidR="00702B76" w:rsidRDefault="00BD6B34" w:rsidP="00E37868">
      <w:pPr>
        <w:pStyle w:val="paragrapheno"/>
        <w:spacing w:line="240" w:lineRule="auto"/>
      </w:pPr>
      <w:r>
        <w:t xml:space="preserve">Selon </w:t>
      </w:r>
      <w:r w:rsidR="00392C9F">
        <w:t>M. Pereira</w:t>
      </w:r>
      <w:r w:rsidR="00B846A1">
        <w:t>,</w:t>
      </w:r>
      <w:r>
        <w:t xml:space="preserve"> ce</w:t>
      </w:r>
      <w:r w:rsidR="008537EE">
        <w:t xml:space="preserve"> travail</w:t>
      </w:r>
      <w:r w:rsidR="005F02E5">
        <w:t xml:space="preserve"> qu’il a fait et le rapport Lesage rendu en 2005 ont</w:t>
      </w:r>
      <w:r w:rsidR="009D143E">
        <w:t xml:space="preserve"> mené </w:t>
      </w:r>
      <w:r w:rsidR="00020696">
        <w:t>à certaines modifications législative</w:t>
      </w:r>
      <w:r w:rsidR="004A2F29">
        <w:t>s</w:t>
      </w:r>
      <w:r w:rsidR="00EB2383">
        <w:t xml:space="preserve"> </w:t>
      </w:r>
      <w:r w:rsidR="004846A9">
        <w:t>afin de mieux encadrer le</w:t>
      </w:r>
      <w:r w:rsidR="0090030E">
        <w:t xml:space="preserve"> placement de la main</w:t>
      </w:r>
      <w:r w:rsidR="00325048">
        <w:t>-</w:t>
      </w:r>
      <w:r w:rsidR="0090030E">
        <w:t>d’œuvre</w:t>
      </w:r>
      <w:r w:rsidR="00AF2B0D">
        <w:t>,</w:t>
      </w:r>
      <w:r w:rsidR="00736E2B">
        <w:t xml:space="preserve"> </w:t>
      </w:r>
      <w:r w:rsidR="00AF2B0D">
        <w:t>c</w:t>
      </w:r>
      <w:r w:rsidR="00A7564F">
        <w:t xml:space="preserve">e que </w:t>
      </w:r>
      <w:r w:rsidR="00392C9F">
        <w:t>M. Pereira</w:t>
      </w:r>
      <w:r w:rsidR="00A7564F">
        <w:t xml:space="preserve"> nomm</w:t>
      </w:r>
      <w:r w:rsidR="00B30C7A">
        <w:t>e</w:t>
      </w:r>
      <w:r w:rsidR="00A7564F">
        <w:t xml:space="preserve"> la loi 135</w:t>
      </w:r>
      <w:r>
        <w:rPr>
          <w:rStyle w:val="Appelnotedebasdep"/>
        </w:rPr>
        <w:footnoteReference w:id="12"/>
      </w:r>
      <w:r w:rsidR="00AF2B0D">
        <w:t xml:space="preserve"> et ultimement </w:t>
      </w:r>
      <w:r w:rsidR="00736E2B">
        <w:t xml:space="preserve">à ce que la </w:t>
      </w:r>
      <w:r>
        <w:t>C</w:t>
      </w:r>
      <w:r w:rsidR="00EB2C63">
        <w:t>ommission de la construction du Québec (« </w:t>
      </w:r>
      <w:r w:rsidRPr="00736E2B">
        <w:rPr>
          <w:b/>
        </w:rPr>
        <w:t>CCQ</w:t>
      </w:r>
      <w:r w:rsidR="00497F62">
        <w:t> »)</w:t>
      </w:r>
      <w:r>
        <w:t xml:space="preserve"> </w:t>
      </w:r>
      <w:r w:rsidR="00736E2B">
        <w:t xml:space="preserve">se charge </w:t>
      </w:r>
      <w:r>
        <w:t>du placement sur les chantier</w:t>
      </w:r>
      <w:r w:rsidR="00497F62">
        <w:t>s</w:t>
      </w:r>
      <w:r w:rsidR="00736E2B">
        <w:t xml:space="preserve"> et non plus les </w:t>
      </w:r>
      <w:r w:rsidR="00243191">
        <w:t xml:space="preserve">organisations </w:t>
      </w:r>
      <w:r w:rsidR="00736E2B">
        <w:t>syndica</w:t>
      </w:r>
      <w:r w:rsidR="00243191">
        <w:t>le</w:t>
      </w:r>
      <w:r w:rsidR="00736E2B">
        <w:t>s</w:t>
      </w:r>
      <w:r>
        <w:t xml:space="preserve">. </w:t>
      </w:r>
    </w:p>
    <w:p w14:paraId="2983CC66" w14:textId="77777777" w:rsidR="00303EBB" w:rsidRDefault="00BD6B34" w:rsidP="00E37868">
      <w:pPr>
        <w:pStyle w:val="paragrapheno"/>
        <w:spacing w:line="240" w:lineRule="auto"/>
      </w:pPr>
      <w:r>
        <w:t>M. Pereira reconnaît que son implication pour assainir le placement des travailleurs a non seulement heurt</w:t>
      </w:r>
      <w:r w:rsidR="00A52ABF">
        <w:t>ée les entrepreneur</w:t>
      </w:r>
      <w:r w:rsidR="00AC7A25">
        <w:t>s</w:t>
      </w:r>
      <w:r w:rsidR="00E037BE">
        <w:t>,</w:t>
      </w:r>
      <w:r w:rsidR="00A52ABF">
        <w:t xml:space="preserve"> choqués de réalisées qu’ils avaient été enregistré</w:t>
      </w:r>
      <w:r w:rsidR="00AC7A25">
        <w:t>s</w:t>
      </w:r>
      <w:r w:rsidR="00A52ABF">
        <w:t xml:space="preserve"> </w:t>
      </w:r>
      <w:r w:rsidR="0075044F">
        <w:t>à leur insu</w:t>
      </w:r>
      <w:r w:rsidR="003C684F">
        <w:t xml:space="preserve">, </w:t>
      </w:r>
      <w:r w:rsidR="00A52ABF">
        <w:t>mais également les différent</w:t>
      </w:r>
      <w:r w:rsidR="000D7514">
        <w:t>e</w:t>
      </w:r>
      <w:r w:rsidR="00A52ABF">
        <w:t xml:space="preserve">s </w:t>
      </w:r>
      <w:r w:rsidR="000D7514">
        <w:t>centrales syndicales (CSN, FTQ ou l</w:t>
      </w:r>
      <w:r w:rsidR="00736E2B">
        <w:t>e CPQMC</w:t>
      </w:r>
      <w:r w:rsidR="000D7514">
        <w:t>)</w:t>
      </w:r>
      <w:r w:rsidR="00EB5622">
        <w:t xml:space="preserve"> et leur</w:t>
      </w:r>
      <w:r w:rsidR="005A29CA">
        <w:t>s</w:t>
      </w:r>
      <w:r w:rsidR="00EB5622">
        <w:t xml:space="preserve"> différents locaux affiliés ou fédérés</w:t>
      </w:r>
      <w:r w:rsidR="00672B25">
        <w:t>,</w:t>
      </w:r>
      <w:r w:rsidR="00A52ABF">
        <w:t xml:space="preserve"> </w:t>
      </w:r>
      <w:r w:rsidR="002A2B91">
        <w:t>puisqu’</w:t>
      </w:r>
      <w:r w:rsidR="00736E2B">
        <w:t>ils perdaient le contrôle sur le placement et qu’ils</w:t>
      </w:r>
      <w:r w:rsidR="00A52ABF">
        <w:t xml:space="preserve"> </w:t>
      </w:r>
      <w:r w:rsidR="002A2B91">
        <w:t>tiraient profit du système en place</w:t>
      </w:r>
      <w:r w:rsidR="005268CA">
        <w:t xml:space="preserve"> notamment</w:t>
      </w:r>
      <w:r w:rsidR="000D7514">
        <w:t xml:space="preserve"> </w:t>
      </w:r>
      <w:r w:rsidR="00AC0C6C">
        <w:t xml:space="preserve">lorsqu’ils obtenaient la majorité des membres </w:t>
      </w:r>
      <w:r w:rsidR="000D7514">
        <w:t>à un moment ou à un autre, pour un métier ou pour un autre</w:t>
      </w:r>
      <w:r w:rsidR="00AC7A25">
        <w:t>.</w:t>
      </w:r>
    </w:p>
    <w:p w14:paraId="40452651" w14:textId="77777777" w:rsidR="00DF5955" w:rsidRPr="00F80B72" w:rsidRDefault="00BD6B34" w:rsidP="00E37868">
      <w:pPr>
        <w:pStyle w:val="paragrapheno"/>
        <w:spacing w:line="240" w:lineRule="auto"/>
      </w:pPr>
      <w:r w:rsidRPr="00F80B72">
        <w:t>E</w:t>
      </w:r>
      <w:r w:rsidR="006F5F09" w:rsidRPr="00F80B72">
        <w:t xml:space="preserve">n 2008-2009, </w:t>
      </w:r>
      <w:r w:rsidRPr="00F80B72">
        <w:t xml:space="preserve">M. Pereira </w:t>
      </w:r>
      <w:r w:rsidR="00497F62" w:rsidRPr="00F80B72">
        <w:t>dénonc</w:t>
      </w:r>
      <w:r w:rsidR="006F5F09" w:rsidRPr="00F80B72">
        <w:t>e</w:t>
      </w:r>
      <w:r w:rsidR="002B1ACC" w:rsidRPr="00F80B72">
        <w:t xml:space="preserve"> </w:t>
      </w:r>
      <w:r w:rsidR="000A13F2" w:rsidRPr="00F80B72">
        <w:t>la fraude commise par Jocelyn Dupuis à l</w:t>
      </w:r>
      <w:r w:rsidR="009613AF" w:rsidRPr="00F80B72">
        <w:t>’é</w:t>
      </w:r>
      <w:r w:rsidR="000A13F2" w:rsidRPr="00F80B72">
        <w:t xml:space="preserve">gard des dépenses </w:t>
      </w:r>
      <w:r w:rsidR="00672B25" w:rsidRPr="00F80B72">
        <w:t xml:space="preserve">de fonction </w:t>
      </w:r>
      <w:r w:rsidR="000A13F2" w:rsidRPr="00F80B72">
        <w:t>que la FTQ-</w:t>
      </w:r>
      <w:r w:rsidR="00207843" w:rsidRPr="00F80B72">
        <w:t>C</w:t>
      </w:r>
      <w:r w:rsidR="000A13F2" w:rsidRPr="00F80B72">
        <w:t>onstruction rembours</w:t>
      </w:r>
      <w:r w:rsidR="00736E2B" w:rsidRPr="00F80B72">
        <w:t>e</w:t>
      </w:r>
      <w:r w:rsidR="005303F8" w:rsidRPr="00F80B72">
        <w:t xml:space="preserve"> à ce dernier</w:t>
      </w:r>
      <w:r w:rsidR="000A13F2" w:rsidRPr="00F80B72">
        <w:t xml:space="preserve">. </w:t>
      </w:r>
      <w:r w:rsidR="00392C9F" w:rsidRPr="00F80B72">
        <w:t xml:space="preserve">M. </w:t>
      </w:r>
      <w:r w:rsidR="009613AF" w:rsidRPr="00F80B72">
        <w:t xml:space="preserve">M. Dupuis </w:t>
      </w:r>
      <w:r w:rsidR="002F6C01" w:rsidRPr="00F80B72">
        <w:t>est</w:t>
      </w:r>
      <w:r w:rsidR="009613AF" w:rsidRPr="00F80B72">
        <w:t xml:space="preserve"> </w:t>
      </w:r>
      <w:r w:rsidR="005303F8" w:rsidRPr="00F80B72">
        <w:t xml:space="preserve">d’ailleurs </w:t>
      </w:r>
      <w:r w:rsidR="009613AF" w:rsidRPr="00F80B72">
        <w:t xml:space="preserve">reconnu coupable </w:t>
      </w:r>
      <w:r w:rsidR="00F8700C" w:rsidRPr="00F80B72">
        <w:t>de fraude et fabrication et usage de faux</w:t>
      </w:r>
      <w:r w:rsidR="00127EC6" w:rsidRPr="00F80B72">
        <w:t xml:space="preserve"> </w:t>
      </w:r>
      <w:r w:rsidR="009613AF" w:rsidRPr="00F80B72">
        <w:t xml:space="preserve">et </w:t>
      </w:r>
      <w:r w:rsidR="009613AF" w:rsidRPr="00F80B72">
        <w:lastRenderedPageBreak/>
        <w:t>condamné à un an d’emprisonnement</w:t>
      </w:r>
      <w:r w:rsidR="003E678C">
        <w:t>,</w:t>
      </w:r>
      <w:r>
        <w:rPr>
          <w:rStyle w:val="Appelnotedebasdep"/>
        </w:rPr>
        <w:footnoteReference w:id="13"/>
      </w:r>
      <w:r w:rsidR="00D8791D" w:rsidRPr="00F80B72">
        <w:t xml:space="preserve"> et ce, même si</w:t>
      </w:r>
      <w:r w:rsidR="003B1742" w:rsidRPr="00F80B72">
        <w:t xml:space="preserve"> M. Yves Ouellet, directeur général de la FTQ-Construction</w:t>
      </w:r>
      <w:r w:rsidR="00664794" w:rsidRPr="00F80B72">
        <w:t>,</w:t>
      </w:r>
      <w:r w:rsidR="003B1742" w:rsidRPr="00F80B72">
        <w:t xml:space="preserve"> à l’époque du procès</w:t>
      </w:r>
      <w:r w:rsidR="00664794" w:rsidRPr="00F80B72">
        <w:t>,</w:t>
      </w:r>
      <w:r w:rsidR="003B1742" w:rsidRPr="00F80B72">
        <w:t xml:space="preserve"> écrit une lettre</w:t>
      </w:r>
      <w:r w:rsidR="009479B8" w:rsidRPr="00F80B72">
        <w:t xml:space="preserve"> au procureur général acheminé</w:t>
      </w:r>
      <w:r w:rsidR="003F43C3" w:rsidRPr="00F80B72">
        <w:t>e</w:t>
      </w:r>
      <w:r w:rsidR="009479B8" w:rsidRPr="00F80B72">
        <w:t xml:space="preserve"> au juge de première instance</w:t>
      </w:r>
      <w:r w:rsidR="00781B06" w:rsidRPr="00F80B72">
        <w:t>,</w:t>
      </w:r>
      <w:r w:rsidR="00290A1C" w:rsidRPr="00F80B72">
        <w:t xml:space="preserve"> affirmant qu’il n’y avait jamais eu vol ou fraude de la part de M. Dupuis</w:t>
      </w:r>
      <w:r w:rsidR="0011016A" w:rsidRPr="00F80B72">
        <w:t xml:space="preserve"> et que la FTQ-Construction ne sollicitait aucun dédommagement</w:t>
      </w:r>
      <w:r>
        <w:rPr>
          <w:rStyle w:val="Appelnotedebasdep"/>
        </w:rPr>
        <w:footnoteReference w:id="14"/>
      </w:r>
      <w:r w:rsidRPr="00F80B72">
        <w:t>.</w:t>
      </w:r>
      <w:r w:rsidR="002D5E2A" w:rsidRPr="00F80B72">
        <w:t xml:space="preserve"> La peine est maintenue en appe</w:t>
      </w:r>
      <w:r w:rsidR="003F43C3" w:rsidRPr="00F80B72">
        <w:t>l.</w:t>
      </w:r>
    </w:p>
    <w:p w14:paraId="37DBD348" w14:textId="77777777" w:rsidR="00C60D9A" w:rsidRDefault="00BD6B34" w:rsidP="00E37868">
      <w:pPr>
        <w:pStyle w:val="paragrapheno"/>
        <w:spacing w:line="240" w:lineRule="auto"/>
      </w:pPr>
      <w:r>
        <w:t>M. Pereira</w:t>
      </w:r>
      <w:r w:rsidR="00DF5955">
        <w:t xml:space="preserve"> </w:t>
      </w:r>
      <w:r w:rsidR="002F6C01">
        <w:t>est</w:t>
      </w:r>
      <w:r w:rsidR="00DF5955">
        <w:t xml:space="preserve"> également un témoin important à la Commission Charbonneau</w:t>
      </w:r>
      <w:r w:rsidR="00736E2B">
        <w:t>,</w:t>
      </w:r>
      <w:r w:rsidR="00501A73">
        <w:t xml:space="preserve"> dénonçant la corruption dont il </w:t>
      </w:r>
      <w:r w:rsidR="00B45155">
        <w:t>a connaissance</w:t>
      </w:r>
      <w:r w:rsidR="00501A73">
        <w:t xml:space="preserve"> dans l’industrie de la construction</w:t>
      </w:r>
      <w:r w:rsidR="00B46620">
        <w:t xml:space="preserve"> </w:t>
      </w:r>
      <w:r w:rsidR="00736E2B">
        <w:t xml:space="preserve">tant chez </w:t>
      </w:r>
      <w:r w:rsidR="00DF7D2F">
        <w:t>certai</w:t>
      </w:r>
      <w:r w:rsidR="00AD0C33">
        <w:t>n</w:t>
      </w:r>
      <w:r w:rsidR="00DF7D2F">
        <w:t xml:space="preserve">es instances </w:t>
      </w:r>
      <w:r w:rsidR="00B46620">
        <w:t>syndical</w:t>
      </w:r>
      <w:r w:rsidR="00AD0C33">
        <w:t>es</w:t>
      </w:r>
      <w:r w:rsidR="00B46620">
        <w:t xml:space="preserve"> que chez </w:t>
      </w:r>
      <w:r w:rsidR="00DF7D2F">
        <w:t>certains</w:t>
      </w:r>
      <w:r w:rsidR="00B46620">
        <w:t xml:space="preserve"> </w:t>
      </w:r>
      <w:r>
        <w:t>entrepreneurs</w:t>
      </w:r>
      <w:r w:rsidR="00B46620">
        <w:t xml:space="preserve"> de l’industrie</w:t>
      </w:r>
      <w:r w:rsidR="00AD0C33">
        <w:t>,</w:t>
      </w:r>
      <w:r w:rsidR="00B46620">
        <w:t xml:space="preserve"> </w:t>
      </w:r>
      <w:r>
        <w:t>infiltré</w:t>
      </w:r>
      <w:r w:rsidR="00AD0C33">
        <w:t>s</w:t>
      </w:r>
      <w:r w:rsidR="00B46620">
        <w:t xml:space="preserve"> selon </w:t>
      </w:r>
      <w:r w:rsidR="005067F5">
        <w:t xml:space="preserve">son </w:t>
      </w:r>
      <w:r w:rsidR="00544578">
        <w:t>affirmation</w:t>
      </w:r>
      <w:r w:rsidR="004F1DE1">
        <w:t xml:space="preserve"> à l’audience</w:t>
      </w:r>
      <w:r w:rsidR="00B46620">
        <w:t xml:space="preserve"> par le crime organisé</w:t>
      </w:r>
      <w:r>
        <w:t>.</w:t>
      </w:r>
      <w:r w:rsidR="00936C54">
        <w:t xml:space="preserve"> Il aurait</w:t>
      </w:r>
      <w:r w:rsidR="00A2096C">
        <w:t>,</w:t>
      </w:r>
      <w:r w:rsidR="00936C54">
        <w:t xml:space="preserve"> selon </w:t>
      </w:r>
      <w:r w:rsidR="00365267">
        <w:t>ses dires notamment</w:t>
      </w:r>
      <w:r w:rsidR="0064723D">
        <w:t>,</w:t>
      </w:r>
      <w:r w:rsidR="00365267">
        <w:t xml:space="preserve"> évité</w:t>
      </w:r>
      <w:r w:rsidR="00936C54">
        <w:t xml:space="preserve"> que le Fonds ne soit infiltré par </w:t>
      </w:r>
      <w:r w:rsidR="0024529F">
        <w:t>d</w:t>
      </w:r>
      <w:r w:rsidR="00893D7B">
        <w:t>es entrepreneurs corrompus</w:t>
      </w:r>
      <w:r w:rsidR="009B1327">
        <w:t xml:space="preserve"> et contaminés par le crime organisé</w:t>
      </w:r>
      <w:r w:rsidR="0024529F">
        <w:t>.</w:t>
      </w:r>
    </w:p>
    <w:p w14:paraId="0745538A" w14:textId="77777777" w:rsidR="00257A7D" w:rsidRDefault="00BD6B34" w:rsidP="00E37868">
      <w:pPr>
        <w:pStyle w:val="paragrapheno"/>
        <w:spacing w:line="240" w:lineRule="auto"/>
      </w:pPr>
      <w:r>
        <w:t xml:space="preserve">Rappelons que la </w:t>
      </w:r>
      <w:r w:rsidR="002E4EDE">
        <w:t>Commission</w:t>
      </w:r>
      <w:r>
        <w:t xml:space="preserve"> Charbonneau a débuté en 2011 et que le rapport </w:t>
      </w:r>
      <w:r w:rsidR="00672B25">
        <w:t>est</w:t>
      </w:r>
      <w:r w:rsidR="002E4EDE">
        <w:t xml:space="preserve"> rendu public en 2015.</w:t>
      </w:r>
    </w:p>
    <w:p w14:paraId="09A29B92" w14:textId="77777777" w:rsidR="00257A7D" w:rsidRDefault="00BD6B34" w:rsidP="00E37868">
      <w:pPr>
        <w:pStyle w:val="paragrapheno"/>
        <w:spacing w:line="240" w:lineRule="auto"/>
      </w:pPr>
      <w:r>
        <w:t xml:space="preserve">Comme mentionné précédemment, en 2011, il conclut une entente hors cour avec la FTQ dans la foulée de sa poursuite contre cette organisation à la suite de la perte de son emploi comme directeur général de </w:t>
      </w:r>
      <w:r w:rsidR="00400BDE">
        <w:t>Local</w:t>
      </w:r>
      <w:r>
        <w:t xml:space="preserve"> 1981.</w:t>
      </w:r>
    </w:p>
    <w:p w14:paraId="3E36D9A0" w14:textId="77777777" w:rsidR="00F40B88" w:rsidRDefault="00BD6B34" w:rsidP="00E37868">
      <w:pPr>
        <w:pStyle w:val="paragrapheno"/>
        <w:spacing w:line="240" w:lineRule="auto"/>
      </w:pPr>
      <w:r>
        <w:t>Enfin</w:t>
      </w:r>
      <w:r w:rsidR="00CB60F0">
        <w:t>,</w:t>
      </w:r>
      <w:r>
        <w:t xml:space="preserve"> il témoigne avoir aussi défendu devant un comité du Sénat un autre projet de loi cette fois-ci fédéral, lequel </w:t>
      </w:r>
      <w:r w:rsidR="004506C8">
        <w:t>obligeait</w:t>
      </w:r>
      <w:r>
        <w:t xml:space="preserve"> </w:t>
      </w:r>
      <w:r w:rsidR="00E54F4B">
        <w:t>les organisations</w:t>
      </w:r>
      <w:r>
        <w:t xml:space="preserve"> </w:t>
      </w:r>
      <w:r w:rsidR="00C37195">
        <w:t>sans but lucratif</w:t>
      </w:r>
      <w:r w:rsidR="00CB60F0">
        <w:t>,</w:t>
      </w:r>
      <w:r w:rsidR="00C37195">
        <w:t xml:space="preserve"> dont les syndicats</w:t>
      </w:r>
      <w:r w:rsidR="00CB60F0">
        <w:t>,</w:t>
      </w:r>
      <w:r w:rsidR="00C37195">
        <w:t xml:space="preserve"> </w:t>
      </w:r>
      <w:r w:rsidR="008F723E">
        <w:t>à</w:t>
      </w:r>
      <w:r w:rsidR="00C37195">
        <w:t xml:space="preserve"> rendre public</w:t>
      </w:r>
      <w:r w:rsidR="004400FD">
        <w:t>s</w:t>
      </w:r>
      <w:r w:rsidR="00C37195">
        <w:t xml:space="preserve"> leurs états</w:t>
      </w:r>
      <w:r w:rsidR="00345D1F">
        <w:t xml:space="preserve"> </w:t>
      </w:r>
      <w:r w:rsidR="00C37195">
        <w:t xml:space="preserve">financiers. </w:t>
      </w:r>
      <w:r w:rsidR="00392C9F">
        <w:t>M. Pereira</w:t>
      </w:r>
      <w:r w:rsidR="00C37195">
        <w:t xml:space="preserve"> considère que les syndicats </w:t>
      </w:r>
      <w:r w:rsidR="00D4697C">
        <w:t>sont re</w:t>
      </w:r>
      <w:r w:rsidR="00586218">
        <w:t>d</w:t>
      </w:r>
      <w:r w:rsidR="00D4697C">
        <w:t>evables à leurs membres et doivent faire preuve de transparence da</w:t>
      </w:r>
      <w:r w:rsidR="00C41D9C">
        <w:t>n</w:t>
      </w:r>
      <w:r w:rsidR="00D4697C">
        <w:t>s la gestion des cotisations syndicales</w:t>
      </w:r>
      <w:r w:rsidR="00586218">
        <w:t xml:space="preserve"> et de leur</w:t>
      </w:r>
      <w:r w:rsidR="00742C99">
        <w:t>s</w:t>
      </w:r>
      <w:r w:rsidR="00586218">
        <w:t xml:space="preserve"> finances. </w:t>
      </w:r>
      <w:r w:rsidR="00CB60F0">
        <w:t>Il</w:t>
      </w:r>
      <w:r w:rsidR="00586218">
        <w:t xml:space="preserve"> </w:t>
      </w:r>
      <w:r w:rsidR="00742C99">
        <w:t>témoigne que l</w:t>
      </w:r>
      <w:r w:rsidR="00C41D9C">
        <w:t>e projet de loi a été promulgué</w:t>
      </w:r>
      <w:r w:rsidR="00B80C23">
        <w:t>,</w:t>
      </w:r>
      <w:r w:rsidR="00C41D9C">
        <w:t xml:space="preserve"> </w:t>
      </w:r>
      <w:r w:rsidR="009B779D">
        <w:t>mais que la loi</w:t>
      </w:r>
      <w:r w:rsidR="00C41D9C">
        <w:t xml:space="preserve"> fut aboli</w:t>
      </w:r>
      <w:r w:rsidR="009B779D">
        <w:t>e</w:t>
      </w:r>
      <w:r w:rsidR="00C41D9C">
        <w:t xml:space="preserve"> qu</w:t>
      </w:r>
      <w:r w:rsidR="00FC0E80">
        <w:t>elques moi</w:t>
      </w:r>
      <w:r w:rsidR="00586218">
        <w:t>s</w:t>
      </w:r>
      <w:r w:rsidR="00FC0E80">
        <w:t xml:space="preserve"> plus tard lors d’un changement de gouvernement.</w:t>
      </w:r>
      <w:r w:rsidR="0067573B">
        <w:t xml:space="preserve"> </w:t>
      </w:r>
      <w:r w:rsidR="00542779">
        <w:t>Il reconnaît que son implication à l’égard de la transparence financière des organisations syndicales</w:t>
      </w:r>
      <w:r w:rsidR="00190708">
        <w:t xml:space="preserve"> </w:t>
      </w:r>
      <w:r w:rsidR="00736E2B">
        <w:t>a</w:t>
      </w:r>
      <w:r w:rsidR="00190708">
        <w:t xml:space="preserve"> déplu à l’ensemble du milieu syndical. </w:t>
      </w:r>
    </w:p>
    <w:p w14:paraId="5947A1B2" w14:textId="77777777" w:rsidR="00FC0E80" w:rsidRDefault="00BD6B34" w:rsidP="00E37868">
      <w:pPr>
        <w:pStyle w:val="paragrapheno"/>
        <w:spacing w:line="240" w:lineRule="auto"/>
      </w:pPr>
      <w:r>
        <w:t>À l’occasion de l’adoption de cette loi</w:t>
      </w:r>
      <w:r w:rsidR="00742C99">
        <w:t>,</w:t>
      </w:r>
      <w:r>
        <w:t xml:space="preserve"> il fut informé de la décision du gouvernement fédéral de l’époqu</w:t>
      </w:r>
      <w:r w:rsidR="001B3A81">
        <w:t>e</w:t>
      </w:r>
      <w:r w:rsidR="00736E2B">
        <w:t xml:space="preserve"> </w:t>
      </w:r>
      <w:r>
        <w:t xml:space="preserve">d’éliminer le crédit d’impôt </w:t>
      </w:r>
      <w:r w:rsidR="00742C99">
        <w:t xml:space="preserve">supplémentaire </w:t>
      </w:r>
      <w:r>
        <w:t>de 15 % applicable à toute cotisation au Fonds</w:t>
      </w:r>
      <w:r w:rsidR="008E45CD">
        <w:t>, c</w:t>
      </w:r>
      <w:r w:rsidR="005960CB">
        <w:t xml:space="preserve">e qui selon M. Pereira a </w:t>
      </w:r>
      <w:r w:rsidR="008E45CD">
        <w:t>profondément choqué le</w:t>
      </w:r>
      <w:r w:rsidR="005960CB">
        <w:t xml:space="preserve"> Fonds.</w:t>
      </w:r>
    </w:p>
    <w:p w14:paraId="2C1309F3" w14:textId="77777777" w:rsidR="00705D33" w:rsidRDefault="00BD6B34" w:rsidP="00E37868">
      <w:pPr>
        <w:pStyle w:val="paragrapheno"/>
        <w:tabs>
          <w:tab w:val="clear" w:pos="360"/>
        </w:tabs>
        <w:spacing w:line="240" w:lineRule="auto"/>
      </w:pPr>
      <w:r w:rsidRPr="00AF00FC">
        <w:t>Toutes les parties</w:t>
      </w:r>
      <w:r w:rsidR="00943F5B" w:rsidRPr="00AF00FC">
        <w:t xml:space="preserve"> au dossier </w:t>
      </w:r>
      <w:r w:rsidRPr="00AF00FC">
        <w:t xml:space="preserve">reconnaissent le courage dont </w:t>
      </w:r>
      <w:r w:rsidR="00E54F4B" w:rsidRPr="00AF00FC">
        <w:t>a</w:t>
      </w:r>
      <w:r w:rsidRPr="00AF00FC">
        <w:t xml:space="preserve"> fait preuve </w:t>
      </w:r>
      <w:r w:rsidR="00392C9F" w:rsidRPr="00AF00FC">
        <w:t>M. Pereira</w:t>
      </w:r>
      <w:r w:rsidRPr="00AF00FC">
        <w:t xml:space="preserve"> dans le cadre de ces dénonciations, divulgations</w:t>
      </w:r>
      <w:r w:rsidR="00FE21B0" w:rsidRPr="00AF00FC">
        <w:t>,</w:t>
      </w:r>
      <w:r w:rsidRPr="00AF00FC">
        <w:t xml:space="preserve"> actions</w:t>
      </w:r>
      <w:r w:rsidR="000A7DAB" w:rsidRPr="00AF00FC">
        <w:t xml:space="preserve"> et </w:t>
      </w:r>
      <w:r w:rsidR="00943F5B" w:rsidRPr="00AF00FC">
        <w:t xml:space="preserve">de </w:t>
      </w:r>
      <w:r w:rsidR="000A7DAB" w:rsidRPr="00AF00FC">
        <w:t>son témoignage à la Commission Charbonneau</w:t>
      </w:r>
      <w:r>
        <w:t>.</w:t>
      </w:r>
      <w:r w:rsidR="000A7DAB">
        <w:t xml:space="preserve"> Elles reconnaissent qu’il fallait du c</w:t>
      </w:r>
      <w:r w:rsidR="00A77A9F">
        <w:t>ran</w:t>
      </w:r>
      <w:r w:rsidR="000A7DAB">
        <w:t xml:space="preserve"> pour être un </w:t>
      </w:r>
      <w:r w:rsidR="00AF00FC">
        <w:t>lanceur</w:t>
      </w:r>
      <w:r w:rsidR="000A7DAB">
        <w:t xml:space="preserve"> </w:t>
      </w:r>
      <w:r w:rsidR="00C10C4B">
        <w:t>d’alerte</w:t>
      </w:r>
      <w:r w:rsidR="000A7DAB">
        <w:t xml:space="preserve"> dans l</w:t>
      </w:r>
      <w:r w:rsidR="00C10C4B">
        <w:t>’i</w:t>
      </w:r>
      <w:r w:rsidR="000A7DAB">
        <w:t>ndustrie de la construction</w:t>
      </w:r>
      <w:r w:rsidR="00A77A9F">
        <w:t>.</w:t>
      </w:r>
    </w:p>
    <w:p w14:paraId="71717269" w14:textId="77777777" w:rsidR="002231C3" w:rsidRDefault="00BD6B34" w:rsidP="00E37868">
      <w:pPr>
        <w:pStyle w:val="paragrapheno"/>
        <w:spacing w:line="240" w:lineRule="auto"/>
      </w:pPr>
      <w:r>
        <w:t>M. Pereira</w:t>
      </w:r>
      <w:r w:rsidR="00F163F6">
        <w:t xml:space="preserve"> reconnaît </w:t>
      </w:r>
      <w:r w:rsidR="00687779">
        <w:t>q</w:t>
      </w:r>
      <w:r w:rsidR="009256D8">
        <w:t>ue</w:t>
      </w:r>
      <w:r w:rsidR="00F163F6">
        <w:t xml:space="preserve"> ces </w:t>
      </w:r>
      <w:r w:rsidR="00705D33">
        <w:t>dénonciations, divulgations et actions</w:t>
      </w:r>
      <w:r w:rsidR="00C012F6">
        <w:t>,</w:t>
      </w:r>
      <w:r w:rsidR="00F163F6">
        <w:t xml:space="preserve"> dont certaines très médiatisé</w:t>
      </w:r>
      <w:r w:rsidR="001D7389">
        <w:t>e</w:t>
      </w:r>
      <w:r w:rsidR="00F163F6">
        <w:t>s</w:t>
      </w:r>
      <w:r w:rsidR="00C012F6">
        <w:t>,</w:t>
      </w:r>
      <w:r w:rsidR="00F163F6">
        <w:t xml:space="preserve"> </w:t>
      </w:r>
      <w:r w:rsidR="00DC4934">
        <w:t>lui ont attiré les foudre</w:t>
      </w:r>
      <w:r w:rsidR="009526B3">
        <w:t>s</w:t>
      </w:r>
      <w:r w:rsidR="00DC4934">
        <w:t xml:space="preserve"> des </w:t>
      </w:r>
      <w:r w:rsidR="00D32A0E">
        <w:t>syndicats</w:t>
      </w:r>
      <w:r w:rsidR="00DC4934">
        <w:t xml:space="preserve"> </w:t>
      </w:r>
      <w:r w:rsidR="00257A7D">
        <w:t>et</w:t>
      </w:r>
      <w:r w:rsidR="00DC4934">
        <w:t xml:space="preserve"> centrales syndicales</w:t>
      </w:r>
      <w:r w:rsidR="00A938AC">
        <w:t xml:space="preserve"> en </w:t>
      </w:r>
      <w:r w:rsidR="00A938AC">
        <w:lastRenderedPageBreak/>
        <w:t>général</w:t>
      </w:r>
      <w:r w:rsidR="00DC4934">
        <w:t>, des entrepreneur</w:t>
      </w:r>
      <w:r w:rsidR="009526B3">
        <w:t>s</w:t>
      </w:r>
      <w:r w:rsidR="00DC4934">
        <w:t xml:space="preserve"> et des dirigeant</w:t>
      </w:r>
      <w:r w:rsidR="00B02925">
        <w:t>s</w:t>
      </w:r>
      <w:r w:rsidR="00DC4934">
        <w:t xml:space="preserve"> sy</w:t>
      </w:r>
      <w:r w:rsidR="00672088">
        <w:t>ndicaux</w:t>
      </w:r>
      <w:r w:rsidR="00D32A0E">
        <w:t xml:space="preserve">. </w:t>
      </w:r>
      <w:r w:rsidR="00D3402D">
        <w:t xml:space="preserve">Il soutient </w:t>
      </w:r>
      <w:r w:rsidR="008931A1">
        <w:t>cependant que les salariés le supportent.</w:t>
      </w:r>
    </w:p>
    <w:p w14:paraId="283F1CC2" w14:textId="77777777" w:rsidR="00C012F6" w:rsidRDefault="00BD6B34" w:rsidP="00E37868">
      <w:pPr>
        <w:pStyle w:val="paragrapheno"/>
        <w:spacing w:line="240" w:lineRule="auto"/>
      </w:pPr>
      <w:r>
        <w:t xml:space="preserve">M. Pereira </w:t>
      </w:r>
      <w:r w:rsidR="006964D7">
        <w:t>témoigne</w:t>
      </w:r>
      <w:r>
        <w:t xml:space="preserve"> que depuis 2009, il ne peu</w:t>
      </w:r>
      <w:r w:rsidR="005D1C49">
        <w:t>t</w:t>
      </w:r>
      <w:r>
        <w:t xml:space="preserve"> plus travailler sur un chantier de construction au Québec</w:t>
      </w:r>
      <w:r w:rsidR="005107A0">
        <w:t xml:space="preserve">; </w:t>
      </w:r>
      <w:r>
        <w:t>« </w:t>
      </w:r>
      <w:r w:rsidRPr="00E7303E">
        <w:rPr>
          <w:i/>
        </w:rPr>
        <w:t>il est barré</w:t>
      </w:r>
      <w:r>
        <w:t> ».</w:t>
      </w:r>
    </w:p>
    <w:p w14:paraId="183F06A3" w14:textId="77777777" w:rsidR="00F163F6" w:rsidRDefault="00BD6B34" w:rsidP="00E37868">
      <w:pPr>
        <w:pStyle w:val="paragrapheno"/>
        <w:spacing w:line="240" w:lineRule="auto"/>
      </w:pPr>
      <w:r>
        <w:t>Pendant quelques années, il</w:t>
      </w:r>
      <w:r w:rsidR="005D1C49">
        <w:t xml:space="preserve"> travaill</w:t>
      </w:r>
      <w:r w:rsidR="00257A7D">
        <w:t>e</w:t>
      </w:r>
      <w:r w:rsidR="005D1C49">
        <w:t xml:space="preserve"> en </w:t>
      </w:r>
      <w:r w:rsidR="00914E44">
        <w:t>Ontario</w:t>
      </w:r>
      <w:r w:rsidR="005D1C49">
        <w:t xml:space="preserve">, en </w:t>
      </w:r>
      <w:r w:rsidR="00FD6D15">
        <w:t>Colombie-Britannique</w:t>
      </w:r>
      <w:r w:rsidR="005D1C49">
        <w:t xml:space="preserve"> </w:t>
      </w:r>
      <w:r w:rsidR="00914E44">
        <w:t xml:space="preserve">et </w:t>
      </w:r>
      <w:r w:rsidR="00E410B0">
        <w:t xml:space="preserve">principalement </w:t>
      </w:r>
      <w:r w:rsidR="00914E44">
        <w:t>en Alberta</w:t>
      </w:r>
      <w:r w:rsidR="00E410B0">
        <w:t xml:space="preserve"> dans le secteur pétrolier</w:t>
      </w:r>
      <w:r>
        <w:t>. Il</w:t>
      </w:r>
      <w:r w:rsidR="00D31FC7">
        <w:t xml:space="preserve"> décrit que </w:t>
      </w:r>
      <w:r w:rsidR="00E410B0">
        <w:t>ce secteur n’est plus aussi attrayant maintenant puisque les conditions de travail</w:t>
      </w:r>
      <w:r w:rsidR="00A5477E">
        <w:t xml:space="preserve"> sont moins </w:t>
      </w:r>
      <w:r w:rsidR="00E54F4B">
        <w:t>bonnes</w:t>
      </w:r>
      <w:r w:rsidR="00A5477E">
        <w:t xml:space="preserve"> et moins intéressantes financièrement puisque </w:t>
      </w:r>
      <w:r w:rsidR="00EB452B">
        <w:t>les</w:t>
      </w:r>
      <w:r w:rsidR="00A5477E">
        <w:t xml:space="preserve"> employeurs privilégient la main</w:t>
      </w:r>
      <w:r w:rsidR="00B02925">
        <w:t>-</w:t>
      </w:r>
      <w:r w:rsidR="00A5477E">
        <w:t>d’</w:t>
      </w:r>
      <w:r w:rsidR="004E6A82">
        <w:t>œuvre</w:t>
      </w:r>
      <w:r w:rsidR="00A5477E">
        <w:t xml:space="preserve"> local</w:t>
      </w:r>
      <w:r w:rsidR="004E6A82">
        <w:t>e</w:t>
      </w:r>
      <w:r w:rsidR="00A5477E">
        <w:t xml:space="preserve"> et ne pa</w:t>
      </w:r>
      <w:r w:rsidR="004E6A82">
        <w:t xml:space="preserve">ie plus pour les </w:t>
      </w:r>
      <w:r w:rsidR="006D0B04">
        <w:t xml:space="preserve">frais </w:t>
      </w:r>
      <w:r w:rsidR="00EB452B">
        <w:t xml:space="preserve">de </w:t>
      </w:r>
      <w:r w:rsidR="004E6A82">
        <w:t xml:space="preserve">déplacement et </w:t>
      </w:r>
      <w:r w:rsidR="00183DAC">
        <w:t>de</w:t>
      </w:r>
      <w:r w:rsidR="004E6A82">
        <w:t xml:space="preserve"> logement des travailleurs venant de l’extérieur</w:t>
      </w:r>
      <w:r w:rsidR="006D0B04">
        <w:t>. De plus</w:t>
      </w:r>
      <w:r w:rsidR="004E4191">
        <w:t>,</w:t>
      </w:r>
      <w:r w:rsidR="006D0B04">
        <w:t xml:space="preserve"> </w:t>
      </w:r>
      <w:r w:rsidR="00F263A7">
        <w:t>les horaires</w:t>
      </w:r>
      <w:r w:rsidR="006D0B04">
        <w:t xml:space="preserve"> de travail sont difficile</w:t>
      </w:r>
      <w:r w:rsidR="00123C82">
        <w:t>s</w:t>
      </w:r>
      <w:r w:rsidR="006D0B04">
        <w:t xml:space="preserve"> et l’oblige</w:t>
      </w:r>
      <w:r w:rsidR="00123C82">
        <w:t>nt</w:t>
      </w:r>
      <w:r w:rsidR="006D0B04">
        <w:t xml:space="preserve"> à être loin de sa famille </w:t>
      </w:r>
      <w:r w:rsidR="00452840">
        <w:t xml:space="preserve">pendant </w:t>
      </w:r>
      <w:r w:rsidR="006D0B04">
        <w:t>de longue</w:t>
      </w:r>
      <w:r w:rsidR="00123C82">
        <w:t xml:space="preserve">s </w:t>
      </w:r>
      <w:r w:rsidR="006D0B04">
        <w:t>période</w:t>
      </w:r>
      <w:r w:rsidR="00123C82">
        <w:t>s</w:t>
      </w:r>
      <w:r w:rsidR="00452840">
        <w:t>, c</w:t>
      </w:r>
      <w:r w:rsidR="00183DAC">
        <w:t>e qu’il n’est plus pr</w:t>
      </w:r>
      <w:r w:rsidR="00AD6B6C">
        <w:t>êt à endurer.</w:t>
      </w:r>
    </w:p>
    <w:p w14:paraId="44EE4B9E" w14:textId="77777777" w:rsidR="00535F1D" w:rsidRDefault="00BD6B34" w:rsidP="00E37868">
      <w:pPr>
        <w:pStyle w:val="Titre4"/>
        <w:spacing w:line="240" w:lineRule="auto"/>
      </w:pPr>
      <w:r>
        <w:t>Chez Cogir</w:t>
      </w:r>
    </w:p>
    <w:p w14:paraId="04D7D347" w14:textId="77777777" w:rsidR="00123C82" w:rsidRDefault="00BD6B34" w:rsidP="00E37868">
      <w:pPr>
        <w:pStyle w:val="paragrapheno"/>
        <w:spacing w:line="240" w:lineRule="auto"/>
      </w:pPr>
      <w:r w:rsidRPr="008B3E98">
        <w:t xml:space="preserve">Le </w:t>
      </w:r>
      <w:r w:rsidR="003322C9" w:rsidRPr="008B3E98">
        <w:t>24 juin 2018</w:t>
      </w:r>
      <w:r w:rsidR="00AD6B6C" w:rsidRPr="008B3E98">
        <w:t>,</w:t>
      </w:r>
      <w:r w:rsidR="003322C9" w:rsidRPr="008B3E98">
        <w:t xml:space="preserve"> Mathieu Duguay </w:t>
      </w:r>
      <w:r w:rsidR="00690133" w:rsidRPr="005323E7">
        <w:t>envoie un texto</w:t>
      </w:r>
      <w:r w:rsidR="000170C1" w:rsidRPr="005323E7">
        <w:t xml:space="preserve"> à </w:t>
      </w:r>
      <w:r w:rsidR="00392C9F">
        <w:t>M. Pereira</w:t>
      </w:r>
      <w:r w:rsidR="00690133" w:rsidRPr="005323E7">
        <w:t>. Les deux homme</w:t>
      </w:r>
      <w:r w:rsidR="000170C1" w:rsidRPr="005323E7">
        <w:t>s</w:t>
      </w:r>
      <w:r w:rsidR="00690133" w:rsidRPr="005323E7">
        <w:t xml:space="preserve"> se connaissent</w:t>
      </w:r>
      <w:r w:rsidR="00725125" w:rsidRPr="005323E7">
        <w:t>.</w:t>
      </w:r>
      <w:r w:rsidR="00D07BD1" w:rsidRPr="005323E7">
        <w:t xml:space="preserve"> M</w:t>
      </w:r>
      <w:r w:rsidR="00041169" w:rsidRPr="005323E7">
        <w:t>.</w:t>
      </w:r>
      <w:r w:rsidR="00D07BD1" w:rsidRPr="005323E7">
        <w:t xml:space="preserve"> Duguay est </w:t>
      </w:r>
      <w:r w:rsidR="008629EA" w:rsidRPr="005323E7">
        <w:t>inquiet</w:t>
      </w:r>
      <w:r w:rsidR="0039196E">
        <w:t>,</w:t>
      </w:r>
      <w:r w:rsidR="008629EA" w:rsidRPr="005323E7">
        <w:t xml:space="preserve"> car il</w:t>
      </w:r>
      <w:r w:rsidR="008C4A60" w:rsidRPr="005323E7">
        <w:t xml:space="preserve"> réalise</w:t>
      </w:r>
      <w:r w:rsidR="008629EA" w:rsidRPr="005323E7">
        <w:t xml:space="preserve"> présentement le plus</w:t>
      </w:r>
      <w:r w:rsidR="008629EA">
        <w:t xml:space="preserve"> </w:t>
      </w:r>
      <w:r w:rsidR="00257A7D">
        <w:t>important</w:t>
      </w:r>
      <w:r w:rsidR="008629EA">
        <w:t xml:space="preserve"> projet immobilier</w:t>
      </w:r>
      <w:r w:rsidR="00661CF8">
        <w:t xml:space="preserve"> de sa carrière</w:t>
      </w:r>
      <w:r w:rsidR="00B718B3">
        <w:t>, l</w:t>
      </w:r>
      <w:r w:rsidR="00041169">
        <w:t xml:space="preserve">e projet </w:t>
      </w:r>
      <w:r w:rsidR="00F263A7">
        <w:t>Humaniti</w:t>
      </w:r>
      <w:r w:rsidR="00104003">
        <w:t>,</w:t>
      </w:r>
      <w:r w:rsidR="00F263A7">
        <w:t xml:space="preserve"> dans</w:t>
      </w:r>
      <w:r w:rsidR="00661CF8">
        <w:t xml:space="preserve"> lequel il a investi personnellement</w:t>
      </w:r>
      <w:r w:rsidR="00257A7D">
        <w:t>,</w:t>
      </w:r>
      <w:r w:rsidR="00661CF8">
        <w:t xml:space="preserve"> et la construction est </w:t>
      </w:r>
      <w:r w:rsidR="001E5567">
        <w:t>ralenti</w:t>
      </w:r>
      <w:r w:rsidR="00893281">
        <w:t>e</w:t>
      </w:r>
      <w:r w:rsidR="00661CF8">
        <w:t xml:space="preserve"> en rai</w:t>
      </w:r>
      <w:r w:rsidR="00893281">
        <w:t>s</w:t>
      </w:r>
      <w:r w:rsidR="00661CF8">
        <w:t>on d’un arrêt de travail des grutiers</w:t>
      </w:r>
      <w:r w:rsidR="00893281">
        <w:t xml:space="preserve">. Il fait appel à </w:t>
      </w:r>
      <w:r w:rsidR="00392C9F">
        <w:t>M. Pereira</w:t>
      </w:r>
      <w:r w:rsidR="00893281">
        <w:t xml:space="preserve"> pour savoir s’il sait ce qui se passe</w:t>
      </w:r>
      <w:r w:rsidR="000D78E8">
        <w:t xml:space="preserve"> à cet égard</w:t>
      </w:r>
      <w:r w:rsidR="00151BD8">
        <w:t>.</w:t>
      </w:r>
      <w:r w:rsidR="00F848CE">
        <w:t xml:space="preserve"> Ce n’est pas la première fois que M. Duguay </w:t>
      </w:r>
      <w:r w:rsidR="0046562F">
        <w:t>s’adresse</w:t>
      </w:r>
      <w:r w:rsidR="00F848CE">
        <w:t xml:space="preserve"> à </w:t>
      </w:r>
      <w:r w:rsidR="00392C9F">
        <w:t>M. Pereira</w:t>
      </w:r>
      <w:r w:rsidR="00F848CE">
        <w:t xml:space="preserve"> </w:t>
      </w:r>
      <w:r w:rsidR="004F0B5B">
        <w:t xml:space="preserve">en raison des connaissances de </w:t>
      </w:r>
      <w:r w:rsidR="000B4377">
        <w:t>ce dernier</w:t>
      </w:r>
      <w:r w:rsidR="004F0B5B">
        <w:t xml:space="preserve"> de l’industrie de la construction</w:t>
      </w:r>
      <w:r w:rsidR="000B4377">
        <w:t>, afin</w:t>
      </w:r>
      <w:r w:rsidR="0046562F">
        <w:t xml:space="preserve"> d’obtenir </w:t>
      </w:r>
      <w:r w:rsidR="00F848CE">
        <w:t>des information</w:t>
      </w:r>
      <w:r w:rsidR="00232B4E">
        <w:t>s</w:t>
      </w:r>
      <w:r w:rsidR="0046562F">
        <w:t xml:space="preserve"> pertinentes pour les opération</w:t>
      </w:r>
      <w:r w:rsidR="00C7517B">
        <w:t>s</w:t>
      </w:r>
      <w:r w:rsidR="0046562F">
        <w:t xml:space="preserve"> de Cogir</w:t>
      </w:r>
      <w:r w:rsidR="00232B4E">
        <w:t>.</w:t>
      </w:r>
    </w:p>
    <w:p w14:paraId="66D10D54" w14:textId="77777777" w:rsidR="00016B58" w:rsidRDefault="00BD6B34" w:rsidP="00E37868">
      <w:pPr>
        <w:pStyle w:val="paragrapheno"/>
        <w:spacing w:line="240" w:lineRule="auto"/>
      </w:pPr>
      <w:r>
        <w:t>M. Pereira</w:t>
      </w:r>
      <w:r w:rsidR="00C55CAA">
        <w:t xml:space="preserve"> se renseigne </w:t>
      </w:r>
      <w:r w:rsidR="00C7517B">
        <w:t xml:space="preserve">donc </w:t>
      </w:r>
      <w:r w:rsidR="00B718B3">
        <w:t xml:space="preserve">auprès du syndicat des grutiers </w:t>
      </w:r>
      <w:r w:rsidR="00C55CAA">
        <w:t xml:space="preserve">et </w:t>
      </w:r>
      <w:r w:rsidR="00B718B3">
        <w:t xml:space="preserve">un peu plus tard </w:t>
      </w:r>
      <w:r w:rsidR="00C55CAA">
        <w:t xml:space="preserve">informe M. Duguay </w:t>
      </w:r>
      <w:r w:rsidR="00E61C93">
        <w:t>que le travail reprendra</w:t>
      </w:r>
      <w:r w:rsidR="00B718B3">
        <w:t xml:space="preserve"> </w:t>
      </w:r>
      <w:r w:rsidR="00257A7D">
        <w:t xml:space="preserve">le lendemain </w:t>
      </w:r>
      <w:r w:rsidR="00B718B3">
        <w:t>sur le chantier</w:t>
      </w:r>
      <w:r>
        <w:rPr>
          <w:rStyle w:val="Appelnotedebasdep"/>
        </w:rPr>
        <w:footnoteReference w:id="15"/>
      </w:r>
      <w:r w:rsidR="00B718B3">
        <w:t>.</w:t>
      </w:r>
    </w:p>
    <w:p w14:paraId="7CF934BE" w14:textId="77777777" w:rsidR="00851B77" w:rsidRDefault="00BD6B34" w:rsidP="00E37868">
      <w:pPr>
        <w:pStyle w:val="paragrapheno"/>
        <w:spacing w:line="240" w:lineRule="auto"/>
      </w:pPr>
      <w:r>
        <w:t xml:space="preserve">M. Duguay est très heureux du dénouement </w:t>
      </w:r>
      <w:r w:rsidR="00846850">
        <w:t xml:space="preserve">et </w:t>
      </w:r>
      <w:r w:rsidR="000172F9">
        <w:t xml:space="preserve">donne rendez-vous à </w:t>
      </w:r>
      <w:r w:rsidR="00392C9F">
        <w:t>M. Pereira</w:t>
      </w:r>
      <w:r w:rsidR="000172F9">
        <w:t xml:space="preserve"> pour le 27 juin 2018</w:t>
      </w:r>
      <w:r w:rsidR="00724D10">
        <w:t xml:space="preserve"> </w:t>
      </w:r>
      <w:r w:rsidR="000C7996">
        <w:t>et il lui écrit que</w:t>
      </w:r>
      <w:r w:rsidR="00A45C67">
        <w:t xml:space="preserve"> c’est </w:t>
      </w:r>
      <w:r w:rsidR="00724D10">
        <w:t>« </w:t>
      </w:r>
      <w:r w:rsidR="00724D10" w:rsidRPr="00724D10">
        <w:rPr>
          <w:i/>
          <w:iCs/>
        </w:rPr>
        <w:t>pour une petite jasette de 30 min approx</w:t>
      </w:r>
      <w:r w:rsidR="00724D10">
        <w:t>. »</w:t>
      </w:r>
      <w:r>
        <w:rPr>
          <w:rStyle w:val="Appelnotedebasdep"/>
        </w:rPr>
        <w:footnoteReference w:id="16"/>
      </w:r>
    </w:p>
    <w:p w14:paraId="7F694612" w14:textId="77777777" w:rsidR="00781D0F" w:rsidRDefault="00BD6B34" w:rsidP="00E37868">
      <w:pPr>
        <w:pStyle w:val="paragrapheno"/>
        <w:spacing w:line="240" w:lineRule="auto"/>
      </w:pPr>
      <w:r>
        <w:t xml:space="preserve">La rencontre a lieu dans l’auto de M. Duguay.  </w:t>
      </w:r>
      <w:r w:rsidR="00392C9F">
        <w:t>M. Pereira</w:t>
      </w:r>
      <w:r>
        <w:t xml:space="preserve"> affirme que M. Duguay lui offre de travailler pour lui sur les chantier</w:t>
      </w:r>
      <w:r w:rsidR="001E78AB">
        <w:t>s</w:t>
      </w:r>
      <w:r w:rsidR="004421A5">
        <w:t>,</w:t>
      </w:r>
      <w:r>
        <w:t xml:space="preserve"> car il connaît l’industrie de la construction</w:t>
      </w:r>
      <w:r w:rsidR="00DC0295">
        <w:t xml:space="preserve"> de l</w:t>
      </w:r>
      <w:r w:rsidR="004B4D72">
        <w:t>’intérieur et les joueurs</w:t>
      </w:r>
      <w:r w:rsidR="00897F70">
        <w:t>, il a besoin de quelqu’un comme lui qui peut l</w:t>
      </w:r>
      <w:r w:rsidR="00202E19">
        <w:t>e</w:t>
      </w:r>
      <w:r w:rsidR="00897F70">
        <w:t xml:space="preserve"> tenir inform</w:t>
      </w:r>
      <w:r w:rsidR="006E02C1">
        <w:t>é</w:t>
      </w:r>
      <w:r w:rsidR="008D60BB">
        <w:t xml:space="preserve"> de ce qui se passe</w:t>
      </w:r>
      <w:r w:rsidR="003E2E3F">
        <w:t xml:space="preserve">, pour être </w:t>
      </w:r>
      <w:r w:rsidR="009535F8">
        <w:t>« </w:t>
      </w:r>
      <w:r w:rsidR="003E2E3F">
        <w:t>son homme de confiance</w:t>
      </w:r>
      <w:r w:rsidR="009535F8">
        <w:t> »</w:t>
      </w:r>
      <w:r w:rsidR="001E78AB">
        <w:t>. Il lui dit que son</w:t>
      </w:r>
      <w:r w:rsidR="00202E19">
        <w:t xml:space="preserve"> vice-président</w:t>
      </w:r>
      <w:r w:rsidR="001E78AB">
        <w:t xml:space="preserve"> construction, Hugo Leblanc</w:t>
      </w:r>
      <w:r w:rsidR="00A33BBC">
        <w:t>,</w:t>
      </w:r>
      <w:r w:rsidR="001E78AB">
        <w:t xml:space="preserve"> le contactera.</w:t>
      </w:r>
    </w:p>
    <w:p w14:paraId="04B213DC" w14:textId="77777777" w:rsidR="00350B24" w:rsidRDefault="00BD6B34" w:rsidP="00E37868">
      <w:pPr>
        <w:pStyle w:val="paragrapheno"/>
        <w:spacing w:line="240" w:lineRule="auto"/>
      </w:pPr>
      <w:r>
        <w:t xml:space="preserve">M. Duguay </w:t>
      </w:r>
      <w:r w:rsidR="005625B2">
        <w:t>a un</w:t>
      </w:r>
      <w:r w:rsidR="0048541D">
        <w:t xml:space="preserve"> souvenir </w:t>
      </w:r>
      <w:r w:rsidR="005625B2">
        <w:t>similaire de cette rencontre</w:t>
      </w:r>
      <w:r w:rsidR="000306C1">
        <w:t>. Toutefois,</w:t>
      </w:r>
      <w:r w:rsidR="005625B2">
        <w:t xml:space="preserve"> selon lui c’est </w:t>
      </w:r>
      <w:r w:rsidR="00392C9F">
        <w:t>M. Pereira</w:t>
      </w:r>
      <w:r w:rsidR="005625B2">
        <w:t xml:space="preserve"> qui lui demande s’il a du travail pour lui</w:t>
      </w:r>
      <w:r w:rsidR="004A4805">
        <w:t xml:space="preserve"> et il lui aurait répondu qu’il le met</w:t>
      </w:r>
      <w:r w:rsidR="00B956EB">
        <w:t>trait</w:t>
      </w:r>
      <w:r w:rsidR="004A4805">
        <w:t xml:space="preserve"> en contact avec </w:t>
      </w:r>
      <w:r w:rsidR="00B956EB">
        <w:t>M. Leblanc</w:t>
      </w:r>
      <w:r w:rsidR="004A4805">
        <w:t xml:space="preserve"> lequel verra</w:t>
      </w:r>
      <w:r w:rsidR="000840DB">
        <w:t>it</w:t>
      </w:r>
      <w:r w:rsidR="004A4805">
        <w:t xml:space="preserve"> s’il peut lui offrir quelque chose</w:t>
      </w:r>
      <w:r w:rsidR="005625B2">
        <w:t>.</w:t>
      </w:r>
      <w:r w:rsidR="00A5563B">
        <w:t xml:space="preserve"> Il affirme aussi </w:t>
      </w:r>
      <w:r w:rsidR="002D4440">
        <w:lastRenderedPageBreak/>
        <w:t xml:space="preserve">lors de l’audience </w:t>
      </w:r>
      <w:r w:rsidR="00A5563B">
        <w:t xml:space="preserve">qu’il n’a pas demandé à </w:t>
      </w:r>
      <w:r w:rsidR="00392C9F">
        <w:t>M. Pereira</w:t>
      </w:r>
      <w:r w:rsidR="00A5563B">
        <w:t xml:space="preserve"> d’être ses yeux sur les chantiers</w:t>
      </w:r>
      <w:r w:rsidR="00257A7D">
        <w:t>, comme ce</w:t>
      </w:r>
      <w:r w:rsidR="004069C7">
        <w:t xml:space="preserve"> </w:t>
      </w:r>
      <w:r w:rsidR="00257A7D">
        <w:t>dernier le soutient</w:t>
      </w:r>
      <w:r w:rsidR="00A5563B">
        <w:t>.</w:t>
      </w:r>
    </w:p>
    <w:p w14:paraId="3EB08104" w14:textId="77777777" w:rsidR="00A5563B" w:rsidRDefault="00BD6B34" w:rsidP="00E37868">
      <w:pPr>
        <w:pStyle w:val="paragrapheno"/>
        <w:spacing w:line="240" w:lineRule="auto"/>
      </w:pPr>
      <w:r>
        <w:t xml:space="preserve">Bien que ce ne soit pas essentiel pour le présent jugement, le Tribunal retient la version de </w:t>
      </w:r>
      <w:r w:rsidR="00392C9F">
        <w:t>M. Pereira</w:t>
      </w:r>
      <w:r w:rsidR="009947BD">
        <w:t xml:space="preserve"> </w:t>
      </w:r>
      <w:r w:rsidR="00997914">
        <w:t>quant à</w:t>
      </w:r>
      <w:r w:rsidR="009947BD">
        <w:t xml:space="preserve"> cette rencontre</w:t>
      </w:r>
      <w:r>
        <w:t>.</w:t>
      </w:r>
    </w:p>
    <w:p w14:paraId="145242BC" w14:textId="77777777" w:rsidR="005625B2" w:rsidRDefault="00BD6B34" w:rsidP="00E37868">
      <w:pPr>
        <w:pStyle w:val="paragrapheno"/>
        <w:spacing w:line="240" w:lineRule="auto"/>
      </w:pPr>
      <w:r>
        <w:t xml:space="preserve">En effet, </w:t>
      </w:r>
      <w:r w:rsidR="00970584">
        <w:t>se</w:t>
      </w:r>
      <w:r w:rsidR="008B1D71">
        <w:t>l</w:t>
      </w:r>
      <w:r w:rsidR="00970584">
        <w:t>on les textos échang</w:t>
      </w:r>
      <w:r w:rsidR="00616953">
        <w:t>és</w:t>
      </w:r>
      <w:r w:rsidR="00970584">
        <w:t xml:space="preserve"> c’est M. Duguay qui </w:t>
      </w:r>
      <w:r w:rsidR="00A559A1">
        <w:t xml:space="preserve">propose à </w:t>
      </w:r>
      <w:r w:rsidR="00392C9F">
        <w:t>M. Pereira</w:t>
      </w:r>
      <w:r w:rsidR="00A559A1">
        <w:t xml:space="preserve"> une rencontre</w:t>
      </w:r>
      <w:r w:rsidR="008B1D71">
        <w:t xml:space="preserve"> et non l’inverse</w:t>
      </w:r>
      <w:r w:rsidR="00940B2D">
        <w:t xml:space="preserve"> et</w:t>
      </w:r>
      <w:r w:rsidR="00A559A1">
        <w:t xml:space="preserve"> celui-ci est très heureux du dénouement et de l’intervention de </w:t>
      </w:r>
      <w:r w:rsidR="00392C9F">
        <w:t>M. Pereira</w:t>
      </w:r>
      <w:r w:rsidR="00EC6C27">
        <w:t xml:space="preserve">. </w:t>
      </w:r>
      <w:r w:rsidR="008B1D71">
        <w:t>M.</w:t>
      </w:r>
      <w:r w:rsidR="00EC6C27">
        <w:t> </w:t>
      </w:r>
      <w:r w:rsidR="008B1D71">
        <w:t>Leblanc</w:t>
      </w:r>
      <w:r w:rsidR="00EC6C27">
        <w:t xml:space="preserve"> confirme dans un</w:t>
      </w:r>
      <w:r w:rsidR="00720583">
        <w:t>e conversation</w:t>
      </w:r>
      <w:r w:rsidR="00994A6D">
        <w:t xml:space="preserve"> </w:t>
      </w:r>
      <w:r w:rsidR="009B597C">
        <w:t xml:space="preserve">qu’il a </w:t>
      </w:r>
      <w:r w:rsidR="00994A6D">
        <w:t xml:space="preserve">avec </w:t>
      </w:r>
      <w:r w:rsidR="00392C9F">
        <w:t>M. Pereira</w:t>
      </w:r>
      <w:r w:rsidR="00994A6D">
        <w:t xml:space="preserve"> </w:t>
      </w:r>
      <w:r w:rsidR="005C2038">
        <w:t xml:space="preserve">le 7 septembre 2018 </w:t>
      </w:r>
      <w:r w:rsidR="00994A6D">
        <w:t xml:space="preserve">que c’est </w:t>
      </w:r>
      <w:r w:rsidR="00E65A18">
        <w:t>à</w:t>
      </w:r>
      <w:r w:rsidR="00994A6D">
        <w:t xml:space="preserve"> l’initiative </w:t>
      </w:r>
      <w:r w:rsidR="00EC1C5C">
        <w:t xml:space="preserve">de </w:t>
      </w:r>
      <w:r w:rsidR="00994A6D">
        <w:t xml:space="preserve">M. Duguay si </w:t>
      </w:r>
      <w:r w:rsidR="00392C9F">
        <w:t>M. Pereira</w:t>
      </w:r>
      <w:r w:rsidR="00994A6D">
        <w:t xml:space="preserve"> a eu la chance de pouvoir travailler avec eux</w:t>
      </w:r>
      <w:r w:rsidR="00494AF8">
        <w:t xml:space="preserve"> et M. Duguay voulait sincèrement aider </w:t>
      </w:r>
      <w:r w:rsidR="00392C9F">
        <w:t>M. Pereira</w:t>
      </w:r>
      <w:r>
        <w:rPr>
          <w:rStyle w:val="Appelnotedebasdep"/>
        </w:rPr>
        <w:footnoteReference w:id="17"/>
      </w:r>
      <w:r w:rsidR="009F4B4C">
        <w:t>.</w:t>
      </w:r>
      <w:r w:rsidR="00250139">
        <w:t xml:space="preserve"> De plus</w:t>
      </w:r>
      <w:r w:rsidR="00A9615E">
        <w:t>,</w:t>
      </w:r>
      <w:r w:rsidR="00250139">
        <w:t xml:space="preserve"> dans </w:t>
      </w:r>
      <w:r w:rsidR="00A9615E">
        <w:t xml:space="preserve">son </w:t>
      </w:r>
      <w:r w:rsidR="00250139">
        <w:t>témoignage</w:t>
      </w:r>
      <w:r w:rsidR="00876786">
        <w:t>,</w:t>
      </w:r>
      <w:r w:rsidR="00250139">
        <w:t xml:space="preserve"> M. Leblanc affirme avoir compris d’une courte conversation </w:t>
      </w:r>
      <w:r w:rsidR="00AD70A1">
        <w:t>avec</w:t>
      </w:r>
      <w:r w:rsidR="00250139">
        <w:t xml:space="preserve"> M. Duguay </w:t>
      </w:r>
      <w:r w:rsidR="00AD70A1">
        <w:t xml:space="preserve">que ce dernier </w:t>
      </w:r>
      <w:r w:rsidR="001D1DFC">
        <w:t xml:space="preserve">avait retenu les services de </w:t>
      </w:r>
      <w:r w:rsidR="00392C9F">
        <w:t>M. Pereira</w:t>
      </w:r>
      <w:r w:rsidR="001D1DFC">
        <w:t xml:space="preserve"> et</w:t>
      </w:r>
      <w:r w:rsidR="00F81DDB">
        <w:t xml:space="preserve"> </w:t>
      </w:r>
      <w:r w:rsidR="00250139">
        <w:t xml:space="preserve">qu’il devait </w:t>
      </w:r>
      <w:r w:rsidR="00F81DDB">
        <w:t xml:space="preserve">lui </w:t>
      </w:r>
      <w:r w:rsidR="00250139">
        <w:t>trouver du travail.</w:t>
      </w:r>
      <w:r w:rsidR="00AD63A6">
        <w:t xml:space="preserve"> </w:t>
      </w:r>
    </w:p>
    <w:p w14:paraId="32D6D654" w14:textId="77777777" w:rsidR="009F4B4C" w:rsidRDefault="00BD6B34" w:rsidP="00E37868">
      <w:pPr>
        <w:pStyle w:val="paragrapheno"/>
        <w:spacing w:line="240" w:lineRule="auto"/>
      </w:pPr>
      <w:r>
        <w:t>Il</w:t>
      </w:r>
      <w:r w:rsidR="0049699E">
        <w:t xml:space="preserve"> </w:t>
      </w:r>
      <w:r>
        <w:t>est d’ailleurs vraisembl</w:t>
      </w:r>
      <w:r w:rsidR="0049699E">
        <w:t>a</w:t>
      </w:r>
      <w:r>
        <w:t>ble que M. Duguay</w:t>
      </w:r>
      <w:r w:rsidR="003E51A2">
        <w:t>,</w:t>
      </w:r>
      <w:r>
        <w:t xml:space="preserve"> très heureux du dénouement concernant l’arrêt de travail des grutier</w:t>
      </w:r>
      <w:r w:rsidR="003E51A2">
        <w:t>s</w:t>
      </w:r>
      <w:r>
        <w:t xml:space="preserve"> </w:t>
      </w:r>
      <w:r w:rsidR="003E51A2">
        <w:t xml:space="preserve">sur le chantier Humaniti </w:t>
      </w:r>
      <w:r>
        <w:t>et de l’</w:t>
      </w:r>
      <w:r w:rsidR="00302607">
        <w:t>i</w:t>
      </w:r>
      <w:r>
        <w:t xml:space="preserve">ntervention de </w:t>
      </w:r>
      <w:r w:rsidR="00392C9F">
        <w:t>M. Pereira</w:t>
      </w:r>
      <w:r>
        <w:t xml:space="preserve"> lui offre de travailler sur ses chantiers</w:t>
      </w:r>
      <w:r w:rsidR="00B32C4F">
        <w:t xml:space="preserve">. </w:t>
      </w:r>
    </w:p>
    <w:p w14:paraId="76E9188C" w14:textId="77777777" w:rsidR="00A5563B" w:rsidRDefault="00BD6B34" w:rsidP="00E37868">
      <w:pPr>
        <w:pStyle w:val="paragrapheno"/>
        <w:spacing w:line="240" w:lineRule="auto"/>
      </w:pPr>
      <w:r>
        <w:t>De plus</w:t>
      </w:r>
      <w:r w:rsidR="00776C75">
        <w:t>,</w:t>
      </w:r>
      <w:r>
        <w:t xml:space="preserve"> quan</w:t>
      </w:r>
      <w:r w:rsidR="00DC50B5">
        <w:t>t</w:t>
      </w:r>
      <w:r>
        <w:t xml:space="preserve"> </w:t>
      </w:r>
      <w:r w:rsidR="003F0F97">
        <w:t>au ge</w:t>
      </w:r>
      <w:r w:rsidR="004407C8">
        <w:t>nre</w:t>
      </w:r>
      <w:r w:rsidR="003F0F97">
        <w:t xml:space="preserve"> de service auquel s’attendait M. Duguay, </w:t>
      </w:r>
      <w:r w:rsidR="00392C9F">
        <w:t>M. Pereira</w:t>
      </w:r>
      <w:r w:rsidR="003F0F97">
        <w:t xml:space="preserve"> lui écrit </w:t>
      </w:r>
      <w:r w:rsidR="0080343C">
        <w:t xml:space="preserve">le 3 juillet </w:t>
      </w:r>
      <w:r w:rsidR="00776C75">
        <w:t xml:space="preserve">2018 : </w:t>
      </w:r>
      <w:r w:rsidR="0080343C">
        <w:t>« </w:t>
      </w:r>
      <w:r w:rsidR="0080343C" w:rsidRPr="00776C75">
        <w:rPr>
          <w:i/>
          <w:iCs/>
        </w:rPr>
        <w:t>je vais t’envoyer à toutes les semaines un rapport par e-mail</w:t>
      </w:r>
      <w:r w:rsidR="00560D6B" w:rsidRPr="00776C75">
        <w:rPr>
          <w:i/>
          <w:iCs/>
        </w:rPr>
        <w:t xml:space="preserve"> de mes recommandations</w:t>
      </w:r>
      <w:r w:rsidR="00560D6B">
        <w:t>… »</w:t>
      </w:r>
      <w:r>
        <w:rPr>
          <w:rStyle w:val="Appelnotedebasdep"/>
        </w:rPr>
        <w:footnoteReference w:id="18"/>
      </w:r>
      <w:r w:rsidR="004407C8">
        <w:t>.</w:t>
      </w:r>
    </w:p>
    <w:p w14:paraId="675FB05D" w14:textId="77777777" w:rsidR="00DC1A0E" w:rsidRPr="00DC1A0E" w:rsidRDefault="00BD6B34" w:rsidP="00E37868">
      <w:pPr>
        <w:pStyle w:val="paragrapheno"/>
        <w:spacing w:line="240" w:lineRule="auto"/>
      </w:pPr>
      <w:r>
        <w:t xml:space="preserve">M. Duguay </w:t>
      </w:r>
      <w:r w:rsidR="0053103E">
        <w:t xml:space="preserve">ne </w:t>
      </w:r>
      <w:r w:rsidR="00590D46">
        <w:t xml:space="preserve">lui répond </w:t>
      </w:r>
      <w:r w:rsidR="0053103E">
        <w:t>pas que ce n’est pas ce qu’il lui a demandé</w:t>
      </w:r>
      <w:r w:rsidR="004069C7">
        <w:t>. Il</w:t>
      </w:r>
      <w:r w:rsidR="0053103E">
        <w:t xml:space="preserve"> lui répond plutôt</w:t>
      </w:r>
      <w:r w:rsidR="003A0B74">
        <w:t xml:space="preserve"> </w:t>
      </w:r>
      <w:r w:rsidR="005C78C2">
        <w:t>« </w:t>
      </w:r>
      <w:r w:rsidR="005C78C2" w:rsidRPr="00BC07AD">
        <w:rPr>
          <w:i/>
          <w:iCs/>
        </w:rPr>
        <w:t>surtout à Hugo</w:t>
      </w:r>
      <w:r w:rsidR="005C78C2">
        <w:t xml:space="preserve"> </w:t>
      </w:r>
      <w:r w:rsidR="008E3518">
        <w:rPr>
          <w:rFonts w:cs="Arial"/>
        </w:rPr>
        <w:t>[</w:t>
      </w:r>
      <w:r w:rsidR="005C78C2">
        <w:rPr>
          <w:rFonts w:cs="Arial"/>
        </w:rPr>
        <w:t>M. Leblanc]</w:t>
      </w:r>
      <w:r w:rsidR="008E3518">
        <w:rPr>
          <w:rFonts w:cs="Arial"/>
        </w:rPr>
        <w:t xml:space="preserve"> </w:t>
      </w:r>
      <w:r w:rsidR="008E3518" w:rsidRPr="00BC07AD">
        <w:rPr>
          <w:rFonts w:cs="Arial"/>
          <w:i/>
          <w:iCs/>
        </w:rPr>
        <w:t>svp merci</w:t>
      </w:r>
      <w:r w:rsidR="008E3518">
        <w:rPr>
          <w:rFonts w:cs="Arial"/>
        </w:rPr>
        <w:t>! »</w:t>
      </w:r>
      <w:r>
        <w:rPr>
          <w:rStyle w:val="Appelnotedebasdep"/>
        </w:rPr>
        <w:footnoteReference w:id="19"/>
      </w:r>
      <w:r w:rsidR="008E3518">
        <w:rPr>
          <w:rFonts w:cs="Arial"/>
        </w:rPr>
        <w:t xml:space="preserve">. </w:t>
      </w:r>
      <w:r w:rsidR="008E3518" w:rsidRPr="003A0B74">
        <w:rPr>
          <w:rFonts w:cs="Arial"/>
        </w:rPr>
        <w:t xml:space="preserve">Le Tribunal en retient que les rapports que </w:t>
      </w:r>
      <w:r w:rsidR="00392C9F">
        <w:rPr>
          <w:rFonts w:cs="Arial"/>
        </w:rPr>
        <w:t>M. Pereira</w:t>
      </w:r>
      <w:r w:rsidR="008E3518" w:rsidRPr="003A0B74">
        <w:rPr>
          <w:rFonts w:cs="Arial"/>
        </w:rPr>
        <w:t xml:space="preserve"> lui dit qu’il enverra</w:t>
      </w:r>
      <w:r w:rsidR="00D3261D">
        <w:rPr>
          <w:rFonts w:cs="Arial"/>
        </w:rPr>
        <w:t>it</w:t>
      </w:r>
      <w:r w:rsidR="008E3518" w:rsidRPr="003A0B74">
        <w:rPr>
          <w:rFonts w:cs="Arial"/>
        </w:rPr>
        <w:t xml:space="preserve"> avec ses recommandations doivent être </w:t>
      </w:r>
      <w:r w:rsidR="00D3261D">
        <w:rPr>
          <w:rFonts w:cs="Arial"/>
        </w:rPr>
        <w:t>transmis</w:t>
      </w:r>
      <w:r w:rsidR="008E3518" w:rsidRPr="003A0B74">
        <w:rPr>
          <w:rFonts w:cs="Arial"/>
        </w:rPr>
        <w:t xml:space="preserve"> à M. Leblanc</w:t>
      </w:r>
      <w:r w:rsidR="00C675F1" w:rsidRPr="003A0B74">
        <w:rPr>
          <w:rFonts w:cs="Arial"/>
        </w:rPr>
        <w:t xml:space="preserve">, ce qui corrobore le témoignage de </w:t>
      </w:r>
      <w:r w:rsidR="00392C9F">
        <w:rPr>
          <w:rFonts w:cs="Arial"/>
        </w:rPr>
        <w:t>M. Pereira</w:t>
      </w:r>
      <w:r w:rsidR="00C675F1" w:rsidRPr="003A0B74">
        <w:rPr>
          <w:rFonts w:cs="Arial"/>
        </w:rPr>
        <w:t xml:space="preserve"> sur le rôle que </w:t>
      </w:r>
      <w:r w:rsidR="00E50A5A" w:rsidRPr="003A0B74">
        <w:rPr>
          <w:rFonts w:cs="Arial"/>
        </w:rPr>
        <w:t xml:space="preserve">semble vouloir </w:t>
      </w:r>
      <w:r w:rsidR="004069C7">
        <w:rPr>
          <w:rFonts w:cs="Arial"/>
        </w:rPr>
        <w:t xml:space="preserve">lui </w:t>
      </w:r>
      <w:r w:rsidR="00E50A5A" w:rsidRPr="003A0B74">
        <w:rPr>
          <w:rFonts w:cs="Arial"/>
        </w:rPr>
        <w:t>confier M. Duguay</w:t>
      </w:r>
      <w:r w:rsidR="007D5E80">
        <w:rPr>
          <w:rFonts w:cs="Arial"/>
        </w:rPr>
        <w:t xml:space="preserve">, soit un rôle de consultant </w:t>
      </w:r>
      <w:r w:rsidR="00C651C2">
        <w:rPr>
          <w:rFonts w:cs="Arial"/>
        </w:rPr>
        <w:t>sur</w:t>
      </w:r>
      <w:r w:rsidR="006C0717">
        <w:rPr>
          <w:rFonts w:cs="Arial"/>
        </w:rPr>
        <w:t xml:space="preserve"> l’industrie de la</w:t>
      </w:r>
      <w:r w:rsidR="007D5E80">
        <w:rPr>
          <w:rFonts w:cs="Arial"/>
        </w:rPr>
        <w:t xml:space="preserve"> constructi</w:t>
      </w:r>
      <w:r w:rsidR="006C0717">
        <w:rPr>
          <w:rFonts w:cs="Arial"/>
        </w:rPr>
        <w:t xml:space="preserve">on. </w:t>
      </w:r>
    </w:p>
    <w:p w14:paraId="5CFDC337" w14:textId="77777777" w:rsidR="00DC1A0E" w:rsidRPr="00733E86" w:rsidRDefault="00BD6B34" w:rsidP="00E37868">
      <w:pPr>
        <w:pStyle w:val="paragrapheno"/>
        <w:spacing w:line="240" w:lineRule="auto"/>
      </w:pPr>
      <w:r>
        <w:t>Les réponses de M. Dug</w:t>
      </w:r>
      <w:r w:rsidR="00324D36">
        <w:t>ua</w:t>
      </w:r>
      <w:r>
        <w:t xml:space="preserve">y lors de son interrogatoire hors cour quant à ses motivations pour retenir les services de </w:t>
      </w:r>
      <w:r w:rsidR="00392C9F">
        <w:t>M. Pereira</w:t>
      </w:r>
      <w:r>
        <w:t xml:space="preserve"> corrobore</w:t>
      </w:r>
      <w:r w:rsidR="004069C7">
        <w:t>nt</w:t>
      </w:r>
      <w:r>
        <w:t xml:space="preserve"> aussi la version de </w:t>
      </w:r>
      <w:r w:rsidR="00392C9F">
        <w:t>M. Pereira</w:t>
      </w:r>
      <w:r>
        <w:t xml:space="preserve">. M. Duguay affirme </w:t>
      </w:r>
      <w:r w:rsidR="00243DE5">
        <w:t xml:space="preserve">notamment qu’il a retenu les services de </w:t>
      </w:r>
      <w:r w:rsidR="00392C9F">
        <w:t>M. Pereira</w:t>
      </w:r>
      <w:r w:rsidR="00243DE5">
        <w:t xml:space="preserve"> pour sa </w:t>
      </w:r>
      <w:r w:rsidR="00243DE5" w:rsidRPr="00141C7E">
        <w:rPr>
          <w:i/>
          <w:iCs/>
        </w:rPr>
        <w:t>« connaissance du milieu syndical…</w:t>
      </w:r>
      <w:r w:rsidR="00713142" w:rsidRPr="00141C7E">
        <w:rPr>
          <w:i/>
          <w:iCs/>
        </w:rPr>
        <w:t>puis le fait que … tu es vu</w:t>
      </w:r>
      <w:r w:rsidR="00F46FF3" w:rsidRPr="00141C7E">
        <w:rPr>
          <w:i/>
          <w:iCs/>
        </w:rPr>
        <w:t xml:space="preserve"> comme quelqu’un que j’ai décrit tout à l’heure par rapport à ton rôle dans la commission Ch</w:t>
      </w:r>
      <w:r w:rsidR="00D26C55" w:rsidRPr="00141C7E">
        <w:rPr>
          <w:i/>
          <w:iCs/>
        </w:rPr>
        <w:t>a</w:t>
      </w:r>
      <w:r w:rsidR="00F46FF3" w:rsidRPr="00141C7E">
        <w:rPr>
          <w:i/>
          <w:iCs/>
        </w:rPr>
        <w:t xml:space="preserve">rbonneau </w:t>
      </w:r>
      <w:r w:rsidR="00F46FF3" w:rsidRPr="00141C7E">
        <w:rPr>
          <w:rFonts w:cs="Arial"/>
          <w:i/>
          <w:iCs/>
        </w:rPr>
        <w:t>[</w:t>
      </w:r>
      <w:r w:rsidR="00F46FF3" w:rsidRPr="00563545">
        <w:rPr>
          <w:rFonts w:cs="Arial"/>
        </w:rPr>
        <w:t>quelqu’un qui a</w:t>
      </w:r>
      <w:r w:rsidR="00F46FF3" w:rsidRPr="00141C7E">
        <w:rPr>
          <w:rFonts w:cs="Arial"/>
          <w:i/>
          <w:iCs/>
        </w:rPr>
        <w:t xml:space="preserve"> </w:t>
      </w:r>
      <w:r w:rsidR="00D26C55" w:rsidRPr="00141C7E">
        <w:rPr>
          <w:rFonts w:cs="Arial"/>
          <w:i/>
          <w:iCs/>
        </w:rPr>
        <w:t>« levé le flag sur les irrégularités malhonnêtes qui avaient lieu à la FTQ-Construction »</w:t>
      </w:r>
      <w:r w:rsidR="00F46FF3" w:rsidRPr="00141C7E">
        <w:rPr>
          <w:rFonts w:cs="Arial"/>
          <w:i/>
          <w:iCs/>
        </w:rPr>
        <w:t>]</w:t>
      </w:r>
      <w:r w:rsidR="00C1319C" w:rsidRPr="00141C7E">
        <w:rPr>
          <w:rFonts w:cs="Arial"/>
          <w:i/>
          <w:iCs/>
        </w:rPr>
        <w:t>, je</w:t>
      </w:r>
      <w:r w:rsidR="00C41623" w:rsidRPr="00141C7E">
        <w:rPr>
          <w:rFonts w:cs="Arial"/>
          <w:i/>
          <w:iCs/>
        </w:rPr>
        <w:t xml:space="preserve"> </w:t>
      </w:r>
      <w:r w:rsidR="00C1319C" w:rsidRPr="00141C7E">
        <w:rPr>
          <w:rFonts w:cs="Arial"/>
          <w:i/>
          <w:iCs/>
        </w:rPr>
        <w:t>présumais que les gens seraient plutôt tent</w:t>
      </w:r>
      <w:r w:rsidR="00004467" w:rsidRPr="00141C7E">
        <w:rPr>
          <w:rFonts w:cs="Arial"/>
          <w:i/>
          <w:iCs/>
        </w:rPr>
        <w:t>és de te donner l’heure juste assez rapidement</w:t>
      </w:r>
      <w:r w:rsidR="00C41623" w:rsidRPr="00141C7E">
        <w:rPr>
          <w:rFonts w:cs="Arial"/>
          <w:i/>
          <w:iCs/>
        </w:rPr>
        <w:t>…</w:t>
      </w:r>
      <w:r w:rsidR="00C41623">
        <w:rPr>
          <w:rFonts w:cs="Arial"/>
        </w:rPr>
        <w:t> »</w:t>
      </w:r>
      <w:r>
        <w:rPr>
          <w:rStyle w:val="Appelnotedebasdep"/>
        </w:rPr>
        <w:footnoteReference w:id="20"/>
      </w:r>
      <w:r w:rsidR="007775FB">
        <w:rPr>
          <w:rFonts w:cs="Arial"/>
        </w:rPr>
        <w:t>.</w:t>
      </w:r>
    </w:p>
    <w:p w14:paraId="0E36F03F" w14:textId="77777777" w:rsidR="00733E86" w:rsidRDefault="00BD6B34" w:rsidP="00E37868">
      <w:pPr>
        <w:pStyle w:val="paragrapheno"/>
        <w:spacing w:line="240" w:lineRule="auto"/>
      </w:pPr>
      <w:r>
        <w:lastRenderedPageBreak/>
        <w:t>Enfin, toujours lors de l’appel du 7 septembre 2018</w:t>
      </w:r>
      <w:r w:rsidR="00547961">
        <w:t xml:space="preserve"> entre M. Pereira et</w:t>
      </w:r>
      <w:r>
        <w:t xml:space="preserve"> M. Leblanc</w:t>
      </w:r>
      <w:r w:rsidR="00547961">
        <w:t>, ce dernier</w:t>
      </w:r>
      <w:r>
        <w:t xml:space="preserve"> confirme à M. Pereira que M. Duguay ne comprend pas vraiment la dynamique des travailleurs de l’industrie de la construction</w:t>
      </w:r>
      <w:r>
        <w:rPr>
          <w:rStyle w:val="Appelnotedebasdep"/>
        </w:rPr>
        <w:footnoteReference w:id="21"/>
      </w:r>
      <w:r>
        <w:t>.</w:t>
      </w:r>
    </w:p>
    <w:p w14:paraId="6CAB5D80" w14:textId="77777777" w:rsidR="00B46371" w:rsidRPr="00DC1A0E" w:rsidRDefault="00BD6B34" w:rsidP="00E37868">
      <w:pPr>
        <w:pStyle w:val="paragrapheno"/>
        <w:spacing w:line="240" w:lineRule="auto"/>
      </w:pPr>
      <w:r w:rsidRPr="009535F8">
        <w:t xml:space="preserve">Le </w:t>
      </w:r>
      <w:r w:rsidR="0026013C" w:rsidRPr="009535F8">
        <w:t>T</w:t>
      </w:r>
      <w:r w:rsidRPr="009535F8">
        <w:t xml:space="preserve">ribunal </w:t>
      </w:r>
      <w:r w:rsidR="008D5704" w:rsidRPr="009535F8">
        <w:t>conclu</w:t>
      </w:r>
      <w:r w:rsidR="00A22DD2">
        <w:t>t</w:t>
      </w:r>
      <w:r w:rsidRPr="009535F8">
        <w:t xml:space="preserve"> don</w:t>
      </w:r>
      <w:r w:rsidR="000030E6" w:rsidRPr="009535F8">
        <w:t>c</w:t>
      </w:r>
      <w:r w:rsidRPr="009535F8">
        <w:t xml:space="preserve"> que M. Duguay retient les services de M. Pereira</w:t>
      </w:r>
      <w:r w:rsidR="00FC3B38" w:rsidRPr="009535F8">
        <w:t xml:space="preserve"> pour qu’il donne l’heure juste à Cogir</w:t>
      </w:r>
      <w:r w:rsidR="00B02827" w:rsidRPr="009535F8">
        <w:t xml:space="preserve"> et particulièrement à M. Leblanc sur ce qui se passe sur les chantiers, sans pour</w:t>
      </w:r>
      <w:r w:rsidR="00B02827">
        <w:t xml:space="preserve"> autant devenir </w:t>
      </w:r>
      <w:r>
        <w:t xml:space="preserve">son </w:t>
      </w:r>
      <w:r w:rsidR="00B02827">
        <w:t>homme de confiance</w:t>
      </w:r>
      <w:r>
        <w:t>.</w:t>
      </w:r>
    </w:p>
    <w:p w14:paraId="052EF5AF" w14:textId="77777777" w:rsidR="00560D6B" w:rsidRPr="006935AE" w:rsidRDefault="00BD6B34" w:rsidP="00E37868">
      <w:pPr>
        <w:pStyle w:val="paragrapheno"/>
        <w:spacing w:line="240" w:lineRule="auto"/>
      </w:pPr>
      <w:r>
        <w:rPr>
          <w:rFonts w:cs="Arial"/>
        </w:rPr>
        <w:t xml:space="preserve">Comme </w:t>
      </w:r>
      <w:r w:rsidR="00483EC8">
        <w:rPr>
          <w:rFonts w:cs="Arial"/>
        </w:rPr>
        <w:t xml:space="preserve">il appert des témoignages de </w:t>
      </w:r>
      <w:r w:rsidR="00392C9F">
        <w:rPr>
          <w:rFonts w:cs="Arial"/>
        </w:rPr>
        <w:t>M. Pereira</w:t>
      </w:r>
      <w:r w:rsidR="00483EC8">
        <w:rPr>
          <w:rFonts w:cs="Arial"/>
        </w:rPr>
        <w:t xml:space="preserve"> et de M. Leblanc</w:t>
      </w:r>
      <w:r w:rsidR="00DD7FD5">
        <w:rPr>
          <w:rFonts w:cs="Arial"/>
        </w:rPr>
        <w:t>,</w:t>
      </w:r>
      <w:r w:rsidR="00483EC8">
        <w:rPr>
          <w:rFonts w:cs="Arial"/>
        </w:rPr>
        <w:t xml:space="preserve"> ce rôle </w:t>
      </w:r>
      <w:r w:rsidR="005C5F9F">
        <w:rPr>
          <w:rFonts w:cs="Arial"/>
        </w:rPr>
        <w:t xml:space="preserve">sera </w:t>
      </w:r>
      <w:r w:rsidR="00E704CD">
        <w:rPr>
          <w:rFonts w:cs="Arial"/>
        </w:rPr>
        <w:t xml:space="preserve">toutefois </w:t>
      </w:r>
      <w:r w:rsidR="001605A8">
        <w:rPr>
          <w:rFonts w:cs="Arial"/>
        </w:rPr>
        <w:t>modulé</w:t>
      </w:r>
      <w:r w:rsidR="00032D95">
        <w:rPr>
          <w:rFonts w:cs="Arial"/>
        </w:rPr>
        <w:t xml:space="preserve"> selon l</w:t>
      </w:r>
      <w:r w:rsidR="005C5F9F">
        <w:rPr>
          <w:rFonts w:cs="Arial"/>
        </w:rPr>
        <w:t>es besoins</w:t>
      </w:r>
      <w:r w:rsidR="00DD7FD5">
        <w:rPr>
          <w:rFonts w:cs="Arial"/>
        </w:rPr>
        <w:t xml:space="preserve"> de Cogir</w:t>
      </w:r>
      <w:r w:rsidR="00D20577">
        <w:rPr>
          <w:rFonts w:cs="Arial"/>
        </w:rPr>
        <w:t xml:space="preserve"> construction</w:t>
      </w:r>
      <w:r w:rsidR="00DD7FD5">
        <w:rPr>
          <w:rFonts w:cs="Arial"/>
        </w:rPr>
        <w:t>.</w:t>
      </w:r>
    </w:p>
    <w:p w14:paraId="7593E98D" w14:textId="77777777" w:rsidR="006935AE" w:rsidRDefault="00BD6B34" w:rsidP="00E37868">
      <w:pPr>
        <w:pStyle w:val="paragrapheno"/>
        <w:spacing w:line="240" w:lineRule="auto"/>
      </w:pPr>
      <w:r>
        <w:rPr>
          <w:rFonts w:cs="Arial"/>
        </w:rPr>
        <w:t>M. Pereira reconnaît</w:t>
      </w:r>
      <w:r w:rsidR="00EA0707">
        <w:rPr>
          <w:rFonts w:cs="Arial"/>
        </w:rPr>
        <w:t xml:space="preserve"> qu’il n’a aucune garantie de M. Duguay </w:t>
      </w:r>
      <w:r w:rsidR="00EE43A0">
        <w:rPr>
          <w:rFonts w:cs="Arial"/>
        </w:rPr>
        <w:t xml:space="preserve">quant à la durée pour laquelle </w:t>
      </w:r>
      <w:r w:rsidR="00EA0707">
        <w:rPr>
          <w:rFonts w:cs="Arial"/>
        </w:rPr>
        <w:t xml:space="preserve">ses services seront </w:t>
      </w:r>
      <w:r w:rsidR="00EE43A0">
        <w:rPr>
          <w:rFonts w:cs="Arial"/>
        </w:rPr>
        <w:t>requi</w:t>
      </w:r>
      <w:r w:rsidR="00E5064D">
        <w:rPr>
          <w:rFonts w:cs="Arial"/>
        </w:rPr>
        <w:t>s</w:t>
      </w:r>
      <w:r w:rsidR="00EA0707">
        <w:rPr>
          <w:rFonts w:cs="Arial"/>
        </w:rPr>
        <w:t xml:space="preserve">. Il est conscient </w:t>
      </w:r>
      <w:r w:rsidR="003E5C75">
        <w:rPr>
          <w:rFonts w:cs="Arial"/>
        </w:rPr>
        <w:t>qu’au</w:t>
      </w:r>
      <w:r w:rsidR="00EA0707">
        <w:rPr>
          <w:rFonts w:cs="Arial"/>
        </w:rPr>
        <w:t xml:space="preserve"> départ</w:t>
      </w:r>
      <w:r w:rsidR="004069C7">
        <w:rPr>
          <w:rFonts w:cs="Arial"/>
        </w:rPr>
        <w:t>,</w:t>
      </w:r>
      <w:r w:rsidR="00EA0707">
        <w:rPr>
          <w:rFonts w:cs="Arial"/>
        </w:rPr>
        <w:t xml:space="preserve"> il </w:t>
      </w:r>
      <w:r w:rsidR="003E5C75">
        <w:rPr>
          <w:rFonts w:cs="Arial"/>
        </w:rPr>
        <w:t>est un con</w:t>
      </w:r>
      <w:r w:rsidR="006E7764">
        <w:rPr>
          <w:rFonts w:cs="Arial"/>
        </w:rPr>
        <w:t>sul</w:t>
      </w:r>
      <w:r w:rsidR="003E5C75">
        <w:rPr>
          <w:rFonts w:cs="Arial"/>
        </w:rPr>
        <w:t xml:space="preserve">tant </w:t>
      </w:r>
      <w:r w:rsidR="001605A8">
        <w:rPr>
          <w:rFonts w:cs="Arial"/>
        </w:rPr>
        <w:t xml:space="preserve">et </w:t>
      </w:r>
      <w:r w:rsidR="003E5C75">
        <w:rPr>
          <w:rFonts w:cs="Arial"/>
        </w:rPr>
        <w:t>pas un employé</w:t>
      </w:r>
      <w:r w:rsidR="00EE43A0">
        <w:rPr>
          <w:rFonts w:cs="Arial"/>
        </w:rPr>
        <w:t>,</w:t>
      </w:r>
      <w:r w:rsidR="003E5C75">
        <w:rPr>
          <w:rFonts w:cs="Arial"/>
        </w:rPr>
        <w:t xml:space="preserve"> mais il comprend que</w:t>
      </w:r>
      <w:r w:rsidR="00E11615">
        <w:rPr>
          <w:rFonts w:cs="Arial"/>
        </w:rPr>
        <w:t xml:space="preserve"> </w:t>
      </w:r>
      <w:r w:rsidR="00DF5DBC">
        <w:rPr>
          <w:rFonts w:cs="Arial"/>
        </w:rPr>
        <w:t>si tout va bien</w:t>
      </w:r>
      <w:r w:rsidR="00E11615">
        <w:rPr>
          <w:rFonts w:cs="Arial"/>
        </w:rPr>
        <w:t>,</w:t>
      </w:r>
      <w:r w:rsidR="003E5C75">
        <w:rPr>
          <w:rFonts w:cs="Arial"/>
        </w:rPr>
        <w:t xml:space="preserve"> la </w:t>
      </w:r>
      <w:r w:rsidR="00E5064D">
        <w:rPr>
          <w:rFonts w:cs="Arial"/>
        </w:rPr>
        <w:t>relation</w:t>
      </w:r>
      <w:r w:rsidR="003E5C75">
        <w:rPr>
          <w:rFonts w:cs="Arial"/>
        </w:rPr>
        <w:t xml:space="preserve"> évoluera vers un emploi</w:t>
      </w:r>
      <w:r w:rsidR="00E5064D" w:rsidRPr="0075589E">
        <w:rPr>
          <w:rFonts w:cs="Arial"/>
        </w:rPr>
        <w:t xml:space="preserve">. </w:t>
      </w:r>
    </w:p>
    <w:p w14:paraId="4673C227" w14:textId="77777777" w:rsidR="00151BD8" w:rsidRDefault="00BD6B34" w:rsidP="00E37868">
      <w:pPr>
        <w:pStyle w:val="paragrapheno"/>
        <w:spacing w:line="240" w:lineRule="auto"/>
      </w:pPr>
      <w:r w:rsidRPr="00811A79">
        <w:t xml:space="preserve">Quelques jours après le 27 juin 2018, </w:t>
      </w:r>
      <w:r w:rsidR="00392C9F" w:rsidRPr="00811A79">
        <w:t>M. Pereira</w:t>
      </w:r>
      <w:r w:rsidR="00302607" w:rsidRPr="00811A79">
        <w:t xml:space="preserve"> rencontre M. Leblanc au bureau de Cogir. Les deux hommes</w:t>
      </w:r>
      <w:r w:rsidR="00302607">
        <w:t xml:space="preserve"> ne se connaissent pas. </w:t>
      </w:r>
      <w:r w:rsidR="007C392C">
        <w:t xml:space="preserve">M. Leblanc </w:t>
      </w:r>
      <w:r w:rsidR="00D1053C">
        <w:t xml:space="preserve">comprend </w:t>
      </w:r>
      <w:r w:rsidR="00811835">
        <w:t xml:space="preserve">que M. Duguay a retenu les services de M. Pereira et </w:t>
      </w:r>
      <w:r w:rsidR="007C392C">
        <w:t>qu’il doit</w:t>
      </w:r>
      <w:r w:rsidR="006464A7">
        <w:t xml:space="preserve"> lui</w:t>
      </w:r>
      <w:r w:rsidR="007C392C">
        <w:t xml:space="preserve"> trouver du travail</w:t>
      </w:r>
      <w:r w:rsidR="006E756D">
        <w:t>.</w:t>
      </w:r>
      <w:r w:rsidR="00830A43">
        <w:t xml:space="preserve"> </w:t>
      </w:r>
      <w:r w:rsidR="003B40FC">
        <w:t>Ils discutent don</w:t>
      </w:r>
      <w:r w:rsidR="006464A7">
        <w:t>c</w:t>
      </w:r>
      <w:r w:rsidR="003B40FC">
        <w:t xml:space="preserve"> de ses qualifications et </w:t>
      </w:r>
      <w:r w:rsidR="00830A43">
        <w:t xml:space="preserve">de son </w:t>
      </w:r>
      <w:r w:rsidR="003B40FC">
        <w:t>expérience</w:t>
      </w:r>
      <w:r w:rsidR="006464A7">
        <w:t>.</w:t>
      </w:r>
      <w:r w:rsidR="006E756D">
        <w:t xml:space="preserve"> Le plan initial est que </w:t>
      </w:r>
      <w:r w:rsidR="00392C9F">
        <w:t>M. Pereira</w:t>
      </w:r>
      <w:r w:rsidR="006E756D">
        <w:t xml:space="preserve"> f</w:t>
      </w:r>
      <w:r w:rsidR="001118C9">
        <w:t>asse</w:t>
      </w:r>
      <w:r w:rsidR="006E756D">
        <w:t xml:space="preserve"> le tour des chantier</w:t>
      </w:r>
      <w:r w:rsidR="00560D6B">
        <w:t>s</w:t>
      </w:r>
      <w:r w:rsidR="006E756D">
        <w:t xml:space="preserve"> pour les connaître.</w:t>
      </w:r>
      <w:r w:rsidR="00C774DD">
        <w:t xml:space="preserve"> Toutefois</w:t>
      </w:r>
      <w:r w:rsidR="005A7DC9">
        <w:t>,</w:t>
      </w:r>
      <w:r w:rsidR="00C774DD">
        <w:t xml:space="preserve"> les circonstances font en sorte que </w:t>
      </w:r>
      <w:r w:rsidR="00006FC0">
        <w:t xml:space="preserve">M. </w:t>
      </w:r>
      <w:r w:rsidR="006935AE">
        <w:t>Leblanc</w:t>
      </w:r>
      <w:r w:rsidR="00006FC0">
        <w:t xml:space="preserve"> demande à </w:t>
      </w:r>
      <w:r w:rsidR="00392C9F">
        <w:t>M. Pereira</w:t>
      </w:r>
      <w:r w:rsidR="00006FC0">
        <w:t xml:space="preserve"> d’aller sur différents chantier</w:t>
      </w:r>
      <w:r w:rsidR="006935AE">
        <w:t>s</w:t>
      </w:r>
      <w:r w:rsidR="00006FC0">
        <w:t xml:space="preserve"> afin de </w:t>
      </w:r>
      <w:r w:rsidR="00770A0C">
        <w:t xml:space="preserve">régler des problèmes ponctuels de relations de travail et de </w:t>
      </w:r>
      <w:r w:rsidR="00006FC0">
        <w:t>remplacer</w:t>
      </w:r>
      <w:r w:rsidR="00AA5435">
        <w:t xml:space="preserve"> temporairement</w:t>
      </w:r>
      <w:r w:rsidR="00006FC0">
        <w:t xml:space="preserve"> des surintendants.</w:t>
      </w:r>
    </w:p>
    <w:p w14:paraId="61EC3CCA" w14:textId="77777777" w:rsidR="000F6E5B" w:rsidRDefault="00BD6B34" w:rsidP="00E37868">
      <w:pPr>
        <w:pStyle w:val="paragrapheno"/>
        <w:spacing w:line="240" w:lineRule="auto"/>
      </w:pPr>
      <w:r>
        <w:t>M. Pereira</w:t>
      </w:r>
      <w:r w:rsidR="00994AC0">
        <w:t xml:space="preserve"> transmet ses factures </w:t>
      </w:r>
      <w:r w:rsidR="00800B51">
        <w:t xml:space="preserve">pour services rendus </w:t>
      </w:r>
      <w:r w:rsidR="00994AC0">
        <w:t>à M. Leblanc. Il est payé un montant forfaitaire de 1 500 $ par semaine</w:t>
      </w:r>
      <w:r>
        <w:rPr>
          <w:rStyle w:val="Appelnotedebasdep"/>
        </w:rPr>
        <w:footnoteReference w:id="22"/>
      </w:r>
      <w:r w:rsidR="00994AC0">
        <w:t xml:space="preserve">. </w:t>
      </w:r>
      <w:r w:rsidR="00A31A76">
        <w:t xml:space="preserve"> M. Leblanc</w:t>
      </w:r>
      <w:r w:rsidR="00DB017D">
        <w:t xml:space="preserve"> précise que</w:t>
      </w:r>
      <w:r w:rsidR="00A31A76">
        <w:t xml:space="preserve"> </w:t>
      </w:r>
      <w:r w:rsidR="003778D5">
        <w:t>l</w:t>
      </w:r>
      <w:r w:rsidR="00C275CF">
        <w:t xml:space="preserve">es honoraires </w:t>
      </w:r>
      <w:r w:rsidR="00DB017D">
        <w:t xml:space="preserve">de </w:t>
      </w:r>
      <w:r>
        <w:t>M. Pereira</w:t>
      </w:r>
      <w:r w:rsidR="00DB017D">
        <w:t xml:space="preserve"> </w:t>
      </w:r>
      <w:r w:rsidR="00C275CF">
        <w:t>ne sont pas facturé</w:t>
      </w:r>
      <w:r w:rsidR="00F9349A">
        <w:t>s</w:t>
      </w:r>
      <w:r w:rsidR="00C275CF">
        <w:t xml:space="preserve"> au chantier pour lequel il rend des services</w:t>
      </w:r>
      <w:r w:rsidR="00AF4E04">
        <w:t xml:space="preserve">, ils sont plutôt </w:t>
      </w:r>
      <w:r w:rsidR="00FD0621">
        <w:t>chargés</w:t>
      </w:r>
      <w:r w:rsidR="00AF4E04">
        <w:t xml:space="preserve"> à Cogir</w:t>
      </w:r>
      <w:r w:rsidR="004069C7">
        <w:t xml:space="preserve"> </w:t>
      </w:r>
      <w:r w:rsidR="00D20577">
        <w:t>c</w:t>
      </w:r>
      <w:r w:rsidR="004069C7">
        <w:t>onstruction</w:t>
      </w:r>
      <w:r>
        <w:rPr>
          <w:rStyle w:val="Appelnotedebasdep"/>
        </w:rPr>
        <w:footnoteReference w:id="23"/>
      </w:r>
      <w:r w:rsidR="00A31A76">
        <w:t>.</w:t>
      </w:r>
      <w:r w:rsidR="00AF4E04">
        <w:t xml:space="preserve"> </w:t>
      </w:r>
      <w:r w:rsidR="005775EA">
        <w:t>Le Tribunal en retient que le</w:t>
      </w:r>
      <w:r w:rsidR="0064579B">
        <w:t>s</w:t>
      </w:r>
      <w:r w:rsidR="005775EA">
        <w:t xml:space="preserve"> budget</w:t>
      </w:r>
      <w:r w:rsidR="0064579B">
        <w:t>s</w:t>
      </w:r>
      <w:r w:rsidR="005775EA">
        <w:t xml:space="preserve"> des chantiers ne sont pas affectés par </w:t>
      </w:r>
      <w:r>
        <w:t>les honoraires payés à M. Pereira.</w:t>
      </w:r>
    </w:p>
    <w:p w14:paraId="3EE4FD6E" w14:textId="77777777" w:rsidR="00994AC0" w:rsidRDefault="00BD6B34" w:rsidP="00E37868">
      <w:pPr>
        <w:pStyle w:val="paragrapheno"/>
        <w:spacing w:line="240" w:lineRule="auto"/>
      </w:pPr>
      <w:r>
        <w:t xml:space="preserve"> Aucune déduction à la source n’est </w:t>
      </w:r>
      <w:r w:rsidR="00FD0621">
        <w:t>appliquée</w:t>
      </w:r>
      <w:r w:rsidR="004069C7">
        <w:t xml:space="preserve"> sur les sommes versées à M. Pereira</w:t>
      </w:r>
      <w:r>
        <w:t xml:space="preserve">. </w:t>
      </w:r>
      <w:r w:rsidR="004069C7">
        <w:t>Ce dernier</w:t>
      </w:r>
      <w:r w:rsidR="005452D6">
        <w:t xml:space="preserve"> n’est couvert par </w:t>
      </w:r>
      <w:r w:rsidR="004069C7">
        <w:t>aucun</w:t>
      </w:r>
      <w:r w:rsidR="009614FB">
        <w:t xml:space="preserve"> programme d’</w:t>
      </w:r>
      <w:r w:rsidR="005452D6">
        <w:t>avantages sociaux</w:t>
      </w:r>
      <w:r w:rsidR="003B3259">
        <w:t xml:space="preserve"> offert par Cogir</w:t>
      </w:r>
      <w:r w:rsidR="005452D6">
        <w:t>, n’a pas d’adresse courriel de Co</w:t>
      </w:r>
      <w:r w:rsidR="00F40873">
        <w:t xml:space="preserve">gir ni de téléphone </w:t>
      </w:r>
      <w:r w:rsidR="00165915">
        <w:t xml:space="preserve">cellulaire fourni par </w:t>
      </w:r>
      <w:r w:rsidR="00F40873">
        <w:t>Cogir. Aucune de ses dépenses n’est remboursé</w:t>
      </w:r>
      <w:r w:rsidR="008B5AA4">
        <w:t>e par Cogir</w:t>
      </w:r>
      <w:r w:rsidR="00F40873">
        <w:t xml:space="preserve"> que ce soit son forfait de téléphone </w:t>
      </w:r>
      <w:r w:rsidR="008B5AA4">
        <w:t xml:space="preserve">cellulaire </w:t>
      </w:r>
      <w:r w:rsidR="00F40873">
        <w:t>ou les dépenses reliées à son automobile qu’il utilise pour se déplacer d’un chantier à l’autre.</w:t>
      </w:r>
      <w:r w:rsidR="002949F0">
        <w:t xml:space="preserve"> </w:t>
      </w:r>
      <w:r w:rsidR="00392C9F">
        <w:t>M. Pereira</w:t>
      </w:r>
      <w:r w:rsidR="002949F0">
        <w:t xml:space="preserve"> </w:t>
      </w:r>
      <w:r w:rsidR="004069C7">
        <w:t xml:space="preserve">reconnaît qu’il </w:t>
      </w:r>
      <w:r w:rsidR="002949F0">
        <w:t>n</w:t>
      </w:r>
      <w:r w:rsidR="00C618F6">
        <w:t>e demande rien de plus que ce qu’on lui offre</w:t>
      </w:r>
      <w:r w:rsidR="002949F0">
        <w:t>. Il est juste heureux de pouvoir enfin travailler à nouveau sur des chantiers.</w:t>
      </w:r>
    </w:p>
    <w:p w14:paraId="71DB3BF3" w14:textId="77777777" w:rsidR="00A12475" w:rsidRDefault="00BD6B34" w:rsidP="00E37868">
      <w:pPr>
        <w:pStyle w:val="paragrapheno"/>
        <w:spacing w:line="240" w:lineRule="auto"/>
      </w:pPr>
      <w:r>
        <w:t>D</w:t>
      </w:r>
      <w:r w:rsidR="00545EA3">
        <w:t>ès le</w:t>
      </w:r>
      <w:r w:rsidR="007F14B9">
        <w:t xml:space="preserve"> </w:t>
      </w:r>
      <w:r>
        <w:t xml:space="preserve">3 juillet 2018, M. Leblanc demande à </w:t>
      </w:r>
      <w:r w:rsidR="00392C9F">
        <w:t>M. Pereira</w:t>
      </w:r>
      <w:r>
        <w:t xml:space="preserve"> de se rendre sur le chantier </w:t>
      </w:r>
      <w:r w:rsidR="00F36F45">
        <w:t xml:space="preserve">Mostra </w:t>
      </w:r>
      <w:r>
        <w:t>à Longueuil</w:t>
      </w:r>
      <w:r w:rsidR="004421A5">
        <w:t>,</w:t>
      </w:r>
      <w:r>
        <w:t xml:space="preserve"> car un grutier continue de ralentir la cadence même si les moyens de pression sont terminés depuis le 25 juin</w:t>
      </w:r>
      <w:r w:rsidR="00D452E9">
        <w:t xml:space="preserve"> 2018</w:t>
      </w:r>
      <w:r>
        <w:t xml:space="preserve">. </w:t>
      </w:r>
    </w:p>
    <w:p w14:paraId="0297D510" w14:textId="77777777" w:rsidR="006E756D" w:rsidRDefault="00BD6B34" w:rsidP="00E37868">
      <w:pPr>
        <w:pStyle w:val="paragrapheno"/>
        <w:spacing w:line="240" w:lineRule="auto"/>
      </w:pPr>
      <w:r>
        <w:lastRenderedPageBreak/>
        <w:t>M. Pereira</w:t>
      </w:r>
      <w:r w:rsidR="00A12475">
        <w:t xml:space="preserve"> va rencontrer le grutier, lui parle et tout entre dans l’ordre.</w:t>
      </w:r>
      <w:r w:rsidR="00545EA3">
        <w:t xml:space="preserve"> </w:t>
      </w:r>
    </w:p>
    <w:p w14:paraId="15D57CFD" w14:textId="77777777" w:rsidR="00A43795" w:rsidRDefault="00BD6B34" w:rsidP="00E37868">
      <w:pPr>
        <w:pStyle w:val="paragrapheno"/>
        <w:spacing w:line="240" w:lineRule="auto"/>
      </w:pPr>
      <w:r>
        <w:t>Au cours de la même semaine</w:t>
      </w:r>
      <w:r w:rsidR="0097785D">
        <w:t>,</w:t>
      </w:r>
      <w:r>
        <w:t xml:space="preserve"> il visite les chantiers Humaniti</w:t>
      </w:r>
      <w:r w:rsidR="00AC52F9">
        <w:t xml:space="preserve"> et </w:t>
      </w:r>
      <w:r w:rsidR="00382E49">
        <w:t>L</w:t>
      </w:r>
      <w:r w:rsidR="00AC52F9">
        <w:t>e Renoir</w:t>
      </w:r>
      <w:r w:rsidR="00E243F6">
        <w:t xml:space="preserve">, </w:t>
      </w:r>
      <w:r w:rsidR="00C62A2B">
        <w:t>entre autres</w:t>
      </w:r>
      <w:r w:rsidR="00E243F6">
        <w:t xml:space="preserve"> parce qu’il y a un problème de température dans le bureau des ventes du projet Humaniti</w:t>
      </w:r>
      <w:r>
        <w:rPr>
          <w:rStyle w:val="Appelnotedebasdep"/>
        </w:rPr>
        <w:footnoteReference w:id="24"/>
      </w:r>
      <w:r w:rsidR="00274782">
        <w:t>.</w:t>
      </w:r>
    </w:p>
    <w:p w14:paraId="3A28B5E7" w14:textId="77777777" w:rsidR="00274782" w:rsidRDefault="00BD6B34" w:rsidP="00E37868">
      <w:pPr>
        <w:pStyle w:val="paragrapheno"/>
        <w:spacing w:line="240" w:lineRule="auto"/>
      </w:pPr>
      <w:r>
        <w:t xml:space="preserve">Du 9 au 20 juillet 2018, on lui demande d’agir comme </w:t>
      </w:r>
      <w:r w:rsidR="00190177">
        <w:t xml:space="preserve">remplaçant de Marcel Lizotte le surintendant sur le chantier </w:t>
      </w:r>
      <w:r w:rsidR="00382E49">
        <w:t>L</w:t>
      </w:r>
      <w:r w:rsidR="00190177">
        <w:t>e Renoir absent pour</w:t>
      </w:r>
      <w:r w:rsidR="002001D6">
        <w:t xml:space="preserve"> maladie</w:t>
      </w:r>
      <w:r w:rsidR="00B63283">
        <w:t xml:space="preserve">. Il se présente sur le chantier </w:t>
      </w:r>
      <w:r w:rsidR="00912420">
        <w:t xml:space="preserve">situé à Laval </w:t>
      </w:r>
      <w:r w:rsidR="00B63283">
        <w:t xml:space="preserve">et </w:t>
      </w:r>
      <w:r w:rsidR="00912420">
        <w:t xml:space="preserve">exécute </w:t>
      </w:r>
      <w:r w:rsidR="00B63283">
        <w:t>le</w:t>
      </w:r>
      <w:r w:rsidR="002001D6">
        <w:t xml:space="preserve"> travail </w:t>
      </w:r>
      <w:r w:rsidR="00B63283">
        <w:t>nécessaire</w:t>
      </w:r>
      <w:r w:rsidR="00A11A59">
        <w:t>.</w:t>
      </w:r>
    </w:p>
    <w:p w14:paraId="46D72E0B" w14:textId="77777777" w:rsidR="00AE10A9" w:rsidRDefault="00BD6B34" w:rsidP="00E37868">
      <w:pPr>
        <w:pStyle w:val="paragrapheno"/>
        <w:spacing w:line="240" w:lineRule="auto"/>
      </w:pPr>
      <w:r>
        <w:t>Au retour des vacances de la construction le 8 août 2018</w:t>
      </w:r>
      <w:r w:rsidR="0041789F">
        <w:t>,</w:t>
      </w:r>
      <w:r>
        <w:t xml:space="preserve"> on l’assigne </w:t>
      </w:r>
      <w:r w:rsidR="00163CA3">
        <w:t>au</w:t>
      </w:r>
      <w:r w:rsidR="00684605">
        <w:t xml:space="preserve"> chantier</w:t>
      </w:r>
      <w:r w:rsidR="00163CA3">
        <w:t xml:space="preserve"> Unicité</w:t>
      </w:r>
      <w:r>
        <w:rPr>
          <w:rStyle w:val="Appelnotedebasdep"/>
        </w:rPr>
        <w:footnoteReference w:id="25"/>
      </w:r>
      <w:r w:rsidR="00163CA3">
        <w:t xml:space="preserve">. Le surintendant du chantier </w:t>
      </w:r>
      <w:r w:rsidR="00C0792E">
        <w:t>s’apprête à</w:t>
      </w:r>
      <w:r w:rsidR="00163CA3">
        <w:t xml:space="preserve"> quitter son emploi et il faut un remplaçant le temps d</w:t>
      </w:r>
      <w:r w:rsidR="0041789F">
        <w:t>’en</w:t>
      </w:r>
      <w:r w:rsidR="00163CA3">
        <w:t xml:space="preserve"> trouver un autr</w:t>
      </w:r>
      <w:r w:rsidR="0041789F">
        <w:t>e,</w:t>
      </w:r>
      <w:r w:rsidR="00163CA3">
        <w:t xml:space="preserve"> comme le démontre</w:t>
      </w:r>
      <w:r w:rsidR="00574449">
        <w:t>nt</w:t>
      </w:r>
      <w:r w:rsidR="00163CA3">
        <w:t xml:space="preserve"> les textos échang</w:t>
      </w:r>
      <w:r w:rsidR="0041789F">
        <w:t>és</w:t>
      </w:r>
      <w:r w:rsidR="00163CA3">
        <w:t xml:space="preserve"> entre </w:t>
      </w:r>
      <w:r w:rsidR="00392C9F">
        <w:t>M. Pereira</w:t>
      </w:r>
      <w:r w:rsidR="00D55F57">
        <w:t>,</w:t>
      </w:r>
      <w:r w:rsidR="00163CA3">
        <w:t xml:space="preserve"> M. Leblanc</w:t>
      </w:r>
      <w:r w:rsidR="00D55F57">
        <w:t xml:space="preserve"> et Éric Perreault, </w:t>
      </w:r>
      <w:r w:rsidR="00F754CF">
        <w:t>ce dernier étant directeur de construction chez Cogir</w:t>
      </w:r>
      <w:r w:rsidR="005A3506">
        <w:t xml:space="preserve"> construction</w:t>
      </w:r>
      <w:r w:rsidR="00F2074D">
        <w:t xml:space="preserve">, </w:t>
      </w:r>
      <w:r w:rsidR="002E31E0">
        <w:t>responsable de ce chantier</w:t>
      </w:r>
      <w:r>
        <w:rPr>
          <w:rStyle w:val="Appelnotedebasdep"/>
        </w:rPr>
        <w:footnoteReference w:id="26"/>
      </w:r>
      <w:r w:rsidR="001D1851">
        <w:t xml:space="preserve">. </w:t>
      </w:r>
    </w:p>
    <w:p w14:paraId="480E2EA4" w14:textId="77777777" w:rsidR="00A11A59" w:rsidRDefault="00BD6B34" w:rsidP="00E37868">
      <w:pPr>
        <w:pStyle w:val="paragrapheno"/>
        <w:spacing w:line="240" w:lineRule="auto"/>
      </w:pPr>
      <w:r>
        <w:t xml:space="preserve">Selon la demande de permis </w:t>
      </w:r>
      <w:r w:rsidR="00C101E5">
        <w:t xml:space="preserve">d’occupation temporaire du domaine public </w:t>
      </w:r>
      <w:r>
        <w:t>dépos</w:t>
      </w:r>
      <w:r w:rsidR="0041789F">
        <w:t>é</w:t>
      </w:r>
      <w:r>
        <w:t xml:space="preserve"> à la Ville de Montréal par Cogir</w:t>
      </w:r>
      <w:r w:rsidR="008C0443">
        <w:t xml:space="preserve"> pour le projet Unicité</w:t>
      </w:r>
      <w:r w:rsidR="007E3405">
        <w:t>, cette dernière</w:t>
      </w:r>
      <w:r>
        <w:t xml:space="preserve"> indique que les responsables du projet sont </w:t>
      </w:r>
      <w:r w:rsidR="007E3405">
        <w:t xml:space="preserve">Éric Perreault et </w:t>
      </w:r>
      <w:r w:rsidR="00392C9F">
        <w:t>M. Pereira</w:t>
      </w:r>
      <w:r>
        <w:rPr>
          <w:rStyle w:val="Appelnotedebasdep"/>
        </w:rPr>
        <w:footnoteReference w:id="27"/>
      </w:r>
      <w:r w:rsidR="00C03A7E">
        <w:t>.</w:t>
      </w:r>
      <w:r w:rsidR="00AE10A9">
        <w:t xml:space="preserve"> </w:t>
      </w:r>
    </w:p>
    <w:p w14:paraId="632030D4" w14:textId="77777777" w:rsidR="00C97313" w:rsidRDefault="00BD6B34" w:rsidP="00E37868">
      <w:pPr>
        <w:pStyle w:val="paragrapheno"/>
        <w:spacing w:line="240" w:lineRule="auto"/>
      </w:pPr>
      <w:r>
        <w:t>Il y a peu de travailleurs et d’entrepreneurs sur ce chantier</w:t>
      </w:r>
      <w:r w:rsidR="008E7C29">
        <w:t xml:space="preserve"> puisqu’il vient tout juste de débuter. L</w:t>
      </w:r>
      <w:r w:rsidR="00F04259">
        <w:t>a</w:t>
      </w:r>
      <w:r w:rsidR="008E7C29">
        <w:t xml:space="preserve"> pha</w:t>
      </w:r>
      <w:r w:rsidR="00F04259">
        <w:t>s</w:t>
      </w:r>
      <w:r w:rsidR="008E7C29">
        <w:t>e d’arpentage</w:t>
      </w:r>
      <w:r w:rsidR="00F04259">
        <w:t xml:space="preserve"> est en cours de même que celle de soutènement des sols.</w:t>
      </w:r>
    </w:p>
    <w:p w14:paraId="64FE1A64" w14:textId="77777777" w:rsidR="0041789F" w:rsidRDefault="00BD6B34" w:rsidP="00E37868">
      <w:pPr>
        <w:pStyle w:val="paragrapheno"/>
        <w:spacing w:line="240" w:lineRule="auto"/>
      </w:pPr>
      <w:r w:rsidRPr="001250DF">
        <w:t>Puis</w:t>
      </w:r>
      <w:r w:rsidR="00FD2244" w:rsidRPr="001250DF">
        <w:t>,</w:t>
      </w:r>
      <w:r w:rsidRPr="001250DF">
        <w:t xml:space="preserve"> </w:t>
      </w:r>
      <w:r w:rsidR="003B5003" w:rsidRPr="001250DF">
        <w:t>vers le 13</w:t>
      </w:r>
      <w:r w:rsidRPr="001250DF">
        <w:t xml:space="preserve"> août 2018</w:t>
      </w:r>
      <w:r w:rsidR="001250DF">
        <w:t>,</w:t>
      </w:r>
      <w:r w:rsidRPr="001250DF">
        <w:t xml:space="preserve"> M. Leblanc </w:t>
      </w:r>
      <w:r w:rsidR="00D34327">
        <w:t>informe M. Pereira</w:t>
      </w:r>
      <w:r w:rsidRPr="001250DF">
        <w:t xml:space="preserve"> qu’il ne peut plus l’assign</w:t>
      </w:r>
      <w:r w:rsidR="003A74AF">
        <w:t>er</w:t>
      </w:r>
      <w:r w:rsidRPr="001250DF">
        <w:t xml:space="preserve"> au chantier Unicité</w:t>
      </w:r>
      <w:r>
        <w:rPr>
          <w:rStyle w:val="Appelnotedebasdep"/>
        </w:rPr>
        <w:footnoteReference w:id="28"/>
      </w:r>
      <w:r w:rsidR="002059A0" w:rsidRPr="001250DF">
        <w:t xml:space="preserve">. </w:t>
      </w:r>
      <w:r w:rsidR="00392C9F">
        <w:t>M. Pereira</w:t>
      </w:r>
      <w:r w:rsidR="005E2ED5">
        <w:t xml:space="preserve"> affirme que M. Leblanc lui dit qu’il n’a pas le choix de le sortir du chantier</w:t>
      </w:r>
      <w:r w:rsidR="003D0260">
        <w:t xml:space="preserve">, qu’il y a trop de pression en raison de sa présence. </w:t>
      </w:r>
      <w:r w:rsidR="00C03EBB" w:rsidRPr="001250DF">
        <w:t>M. Le</w:t>
      </w:r>
      <w:r w:rsidR="00F40450" w:rsidRPr="001250DF">
        <w:t>b</w:t>
      </w:r>
      <w:r w:rsidR="00C03EBB" w:rsidRPr="001250DF">
        <w:t>lanc ne le confirme pas dans son témoignage</w:t>
      </w:r>
      <w:r w:rsidR="006E28FB" w:rsidRPr="001250DF">
        <w:t xml:space="preserve"> </w:t>
      </w:r>
      <w:r w:rsidR="007423A2">
        <w:t xml:space="preserve">lors du procès </w:t>
      </w:r>
      <w:r w:rsidR="00B15BAB">
        <w:t>ni</w:t>
      </w:r>
      <w:r w:rsidR="006E28FB" w:rsidRPr="001250DF">
        <w:t xml:space="preserve"> dans son interrogatoire hors cour</w:t>
      </w:r>
      <w:r>
        <w:rPr>
          <w:rStyle w:val="Appelnotedebasdep"/>
        </w:rPr>
        <w:footnoteReference w:id="29"/>
      </w:r>
      <w:r w:rsidR="006E28FB" w:rsidRPr="001250DF">
        <w:t xml:space="preserve"> </w:t>
      </w:r>
      <w:r w:rsidR="00B55058">
        <w:t xml:space="preserve">au cours duquel </w:t>
      </w:r>
      <w:r w:rsidR="006E28FB" w:rsidRPr="001250DF">
        <w:t>il affirme ne pas</w:t>
      </w:r>
      <w:r w:rsidR="001250DF">
        <w:t xml:space="preserve"> se</w:t>
      </w:r>
      <w:r w:rsidR="006E28FB" w:rsidRPr="001250DF">
        <w:t xml:space="preserve"> souvenir des raisons </w:t>
      </w:r>
      <w:r w:rsidR="005F2A24" w:rsidRPr="001250DF">
        <w:t>exactes</w:t>
      </w:r>
      <w:r w:rsidR="004421A5">
        <w:t>,</w:t>
      </w:r>
      <w:r w:rsidR="005F2A24" w:rsidRPr="001250DF">
        <w:t xml:space="preserve"> </w:t>
      </w:r>
      <w:r w:rsidR="006E28FB" w:rsidRPr="001250DF">
        <w:t>car il était peu impliqué dans ce chantier</w:t>
      </w:r>
      <w:r w:rsidR="00DB7E9E">
        <w:t xml:space="preserve">. Il </w:t>
      </w:r>
      <w:r w:rsidR="00AD6C17">
        <w:t xml:space="preserve">réfère même M. Pereira à </w:t>
      </w:r>
      <w:r w:rsidR="00A80956">
        <w:t>Éric Perreault</w:t>
      </w:r>
      <w:r>
        <w:t>. C’est ce dernier</w:t>
      </w:r>
      <w:r w:rsidR="00A80956">
        <w:t xml:space="preserve"> </w:t>
      </w:r>
      <w:r w:rsidR="00955355">
        <w:t xml:space="preserve">qui </w:t>
      </w:r>
      <w:r w:rsidR="00397A10">
        <w:t>connait les raisons</w:t>
      </w:r>
      <w:r>
        <w:t xml:space="preserve"> puisqu’il est </w:t>
      </w:r>
      <w:r w:rsidR="00A80956">
        <w:t>responsable</w:t>
      </w:r>
      <w:r w:rsidR="00397A10">
        <w:t xml:space="preserve"> de ce chantier. </w:t>
      </w:r>
      <w:r w:rsidR="00872BA5">
        <w:t xml:space="preserve">M. </w:t>
      </w:r>
      <w:r w:rsidR="0008680C">
        <w:t>Leblanc</w:t>
      </w:r>
      <w:r w:rsidR="00872BA5">
        <w:t xml:space="preserve"> finira par dire </w:t>
      </w:r>
      <w:r w:rsidR="00955355">
        <w:t xml:space="preserve">dans son interrogatoire hors cour </w:t>
      </w:r>
      <w:r w:rsidR="00872BA5">
        <w:t xml:space="preserve">que </w:t>
      </w:r>
      <w:r w:rsidR="000D20DA" w:rsidRPr="001250DF">
        <w:t xml:space="preserve">les échos qu’il en avait </w:t>
      </w:r>
      <w:r w:rsidR="001A0AA3">
        <w:t xml:space="preserve">tout </w:t>
      </w:r>
      <w:r w:rsidR="00BA08F8" w:rsidRPr="001250DF">
        <w:t>comme sur les autres chantiers</w:t>
      </w:r>
      <w:r w:rsidR="00440F4C">
        <w:t>,</w:t>
      </w:r>
      <w:r w:rsidR="00BA08F8" w:rsidRPr="001250DF">
        <w:t xml:space="preserve"> dont Humaniti</w:t>
      </w:r>
      <w:r w:rsidR="007E38DC">
        <w:t>,</w:t>
      </w:r>
      <w:r w:rsidR="00BA08F8" w:rsidRPr="001250DF">
        <w:t xml:space="preserve"> </w:t>
      </w:r>
      <w:r w:rsidR="000D20DA" w:rsidRPr="001250DF">
        <w:t>étaient à l’effet que sa présence mettait les travailleurs du chantier mal à l’aise</w:t>
      </w:r>
      <w:r w:rsidR="001A0AA3">
        <w:t xml:space="preserve">. </w:t>
      </w:r>
    </w:p>
    <w:p w14:paraId="03476551" w14:textId="77777777" w:rsidR="0041789F" w:rsidRDefault="00BD6B34" w:rsidP="00E37868">
      <w:pPr>
        <w:pStyle w:val="paragrapheno"/>
        <w:spacing w:line="240" w:lineRule="auto"/>
      </w:pPr>
      <w:r>
        <w:t>L</w:t>
      </w:r>
      <w:r w:rsidR="00F40450" w:rsidRPr="001250DF">
        <w:t>es</w:t>
      </w:r>
      <w:r w:rsidR="00C03EBB" w:rsidRPr="001250DF">
        <w:t xml:space="preserve"> texto</w:t>
      </w:r>
      <w:r w:rsidR="00F40450" w:rsidRPr="001250DF">
        <w:t>s</w:t>
      </w:r>
      <w:r w:rsidR="00C03EBB" w:rsidRPr="001250DF">
        <w:t xml:space="preserve"> </w:t>
      </w:r>
      <w:r>
        <w:t xml:space="preserve">de M. Leblanc </w:t>
      </w:r>
      <w:r w:rsidR="00C03EBB" w:rsidRPr="001250DF">
        <w:t xml:space="preserve">à </w:t>
      </w:r>
      <w:r w:rsidR="00392C9F">
        <w:t>M. Pereira</w:t>
      </w:r>
      <w:r w:rsidR="00C03EBB" w:rsidRPr="001250DF">
        <w:t xml:space="preserve"> le </w:t>
      </w:r>
      <w:r w:rsidR="001441B5" w:rsidRPr="001250DF">
        <w:t xml:space="preserve">13 et </w:t>
      </w:r>
      <w:r w:rsidR="00C03EBB" w:rsidRPr="001250DF">
        <w:t>24</w:t>
      </w:r>
      <w:r w:rsidR="00C03EBB">
        <w:t xml:space="preserve"> août</w:t>
      </w:r>
      <w:r w:rsidR="00F40450">
        <w:t xml:space="preserve"> corrobore</w:t>
      </w:r>
      <w:r w:rsidR="001441B5">
        <w:t>nt</w:t>
      </w:r>
      <w:r w:rsidR="00487B59">
        <w:t xml:space="preserve"> partiellement </w:t>
      </w:r>
      <w:r w:rsidR="00F40450">
        <w:t xml:space="preserve">le témoignage de </w:t>
      </w:r>
      <w:r w:rsidR="0047261C">
        <w:t>ce dernier</w:t>
      </w:r>
      <w:r w:rsidR="001441B5">
        <w:t xml:space="preserve">. Alors que </w:t>
      </w:r>
      <w:r w:rsidR="00392C9F">
        <w:t>M. Pereira</w:t>
      </w:r>
      <w:r w:rsidR="00053A0C">
        <w:t>, après avoir été informé par M. Leblanc qu’il ne pouvait plus être assigné sur le chantier Unicité,</w:t>
      </w:r>
      <w:r w:rsidR="00AC300F">
        <w:t xml:space="preserve"> </w:t>
      </w:r>
      <w:r w:rsidR="001441B5">
        <w:t xml:space="preserve">lui écrit </w:t>
      </w:r>
      <w:r w:rsidR="00A23CB3">
        <w:t xml:space="preserve">qu’il a dénoncé des </w:t>
      </w:r>
      <w:r w:rsidR="00A23CB3">
        <w:lastRenderedPageBreak/>
        <w:t>criminels, que la commissaire Charbonneau l’a félicité</w:t>
      </w:r>
      <w:r w:rsidR="002160C5">
        <w:t xml:space="preserve"> pour son courage</w:t>
      </w:r>
      <w:r w:rsidR="00592F91">
        <w:t xml:space="preserve"> et qu’il a </w:t>
      </w:r>
      <w:r w:rsidR="00C23BFD">
        <w:t xml:space="preserve">ainsi </w:t>
      </w:r>
      <w:r w:rsidR="00592F91">
        <w:t xml:space="preserve">aidé le </w:t>
      </w:r>
      <w:r w:rsidR="000F417D">
        <w:t>F</w:t>
      </w:r>
      <w:r w:rsidR="00C23BFD">
        <w:t>onds</w:t>
      </w:r>
      <w:r w:rsidR="00592F91">
        <w:t xml:space="preserve">, M. Leblanc lui </w:t>
      </w:r>
      <w:r w:rsidR="00752EAB">
        <w:t>répond</w:t>
      </w:r>
      <w:r w:rsidR="00592F91">
        <w:t xml:space="preserve"> : </w:t>
      </w:r>
      <w:r w:rsidR="00635B78">
        <w:t>« </w:t>
      </w:r>
      <w:r w:rsidR="00635B78" w:rsidRPr="00635B78">
        <w:rPr>
          <w:i/>
          <w:iCs/>
        </w:rPr>
        <w:t>Je comprends très bien tout ceci, désolé</w:t>
      </w:r>
      <w:r w:rsidR="00635B78">
        <w:t>. »</w:t>
      </w:r>
      <w:r>
        <w:rPr>
          <w:rStyle w:val="Appelnotedebasdep"/>
        </w:rPr>
        <w:footnoteReference w:id="30"/>
      </w:r>
      <w:r w:rsidR="00635B78">
        <w:t xml:space="preserve"> et le 24 août </w:t>
      </w:r>
      <w:r w:rsidR="00E25424">
        <w:t>M. Leblanc</w:t>
      </w:r>
      <w:r w:rsidR="00635B78">
        <w:t xml:space="preserve"> lui écrit encore «</w:t>
      </w:r>
      <w:r w:rsidR="00741419">
        <w:t xml:space="preserve"> </w:t>
      </w:r>
      <w:r w:rsidR="008D1B92" w:rsidRPr="008D1B92">
        <w:rPr>
          <w:i/>
          <w:iCs/>
        </w:rPr>
        <w:t>P</w:t>
      </w:r>
      <w:r w:rsidR="00C858B1" w:rsidRPr="008D1B92">
        <w:rPr>
          <w:i/>
          <w:iCs/>
        </w:rPr>
        <w:t>our le projet Molson</w:t>
      </w:r>
      <w:r w:rsidR="008D1B92">
        <w:rPr>
          <w:i/>
          <w:iCs/>
        </w:rPr>
        <w:t xml:space="preserve"> </w:t>
      </w:r>
      <w:r w:rsidR="008D1B92" w:rsidRPr="008D1B92">
        <w:rPr>
          <w:rFonts w:cs="Arial"/>
        </w:rPr>
        <w:t>[Unicité]</w:t>
      </w:r>
      <w:r w:rsidR="00C858B1" w:rsidRPr="008D1B92">
        <w:rPr>
          <w:i/>
          <w:iCs/>
        </w:rPr>
        <w:t xml:space="preserve"> comme je t’ai expliqué, ce n’est plus possible</w:t>
      </w:r>
      <w:r w:rsidR="008D1B92" w:rsidRPr="008D1B92">
        <w:rPr>
          <w:i/>
          <w:iCs/>
        </w:rPr>
        <w:t> </w:t>
      </w:r>
      <w:r w:rsidR="008D1B92">
        <w:t xml:space="preserve">» </w:t>
      </w:r>
      <w:r>
        <w:rPr>
          <w:rStyle w:val="Appelnotedebasdep"/>
        </w:rPr>
        <w:footnoteReference w:id="31"/>
      </w:r>
      <w:r w:rsidR="00635B78">
        <w:t> </w:t>
      </w:r>
      <w:r w:rsidR="00255C42">
        <w:t xml:space="preserve">. </w:t>
      </w:r>
      <w:r w:rsidR="001A54B9" w:rsidRPr="001A54B9">
        <w:t xml:space="preserve">Sa dernière journée de travail au chantier Unicité </w:t>
      </w:r>
      <w:r w:rsidR="00774513">
        <w:t>est</w:t>
      </w:r>
      <w:r w:rsidR="001A54B9" w:rsidRPr="001A54B9">
        <w:t xml:space="preserve"> le</w:t>
      </w:r>
      <w:r w:rsidR="00E73C64">
        <w:t xml:space="preserve"> 24 août 2018.</w:t>
      </w:r>
    </w:p>
    <w:p w14:paraId="650698FC" w14:textId="77777777" w:rsidR="0044176A" w:rsidRDefault="00BD6B34" w:rsidP="00E37868">
      <w:pPr>
        <w:pStyle w:val="paragrapheno"/>
        <w:spacing w:line="240" w:lineRule="auto"/>
      </w:pPr>
      <w:r>
        <w:t xml:space="preserve">Toutefois, avant de quitter le chantier Unicité, </w:t>
      </w:r>
      <w:r w:rsidR="00853007">
        <w:t>M. Pereira</w:t>
      </w:r>
      <w:r>
        <w:t xml:space="preserve"> apprend d</w:t>
      </w:r>
      <w:r w:rsidR="00E25424">
        <w:t>’</w:t>
      </w:r>
      <w:r>
        <w:t>Éric Perreault</w:t>
      </w:r>
      <w:r w:rsidR="00853007">
        <w:t>, directeur construction chez Cogir</w:t>
      </w:r>
      <w:r>
        <w:t xml:space="preserve"> avec qui il travaille sur </w:t>
      </w:r>
      <w:r w:rsidR="00C8254D">
        <w:t>c</w:t>
      </w:r>
      <w:r>
        <w:t>e chantier</w:t>
      </w:r>
      <w:r w:rsidR="00FD2399">
        <w:t>,</w:t>
      </w:r>
      <w:r>
        <w:t xml:space="preserve"> </w:t>
      </w:r>
      <w:r w:rsidR="005A3506">
        <w:t>que Cogir mettra fin à ses services</w:t>
      </w:r>
      <w:r w:rsidR="002A5D76">
        <w:t xml:space="preserve">. </w:t>
      </w:r>
      <w:r>
        <w:t>M. Perreault</w:t>
      </w:r>
      <w:r w:rsidR="002A5D76">
        <w:t>,</w:t>
      </w:r>
      <w:r>
        <w:t xml:space="preserve"> pour le convaincre</w:t>
      </w:r>
      <w:r w:rsidR="00C86417">
        <w:t xml:space="preserve"> </w:t>
      </w:r>
      <w:r w:rsidR="002A5D76">
        <w:t xml:space="preserve">de la véracité </w:t>
      </w:r>
      <w:r w:rsidR="00C86417">
        <w:t>de cette information</w:t>
      </w:r>
      <w:r w:rsidR="009E1B0A">
        <w:t>,</w:t>
      </w:r>
      <w:r>
        <w:t xml:space="preserve"> lui montre un échange courriel qu’il a eu avec M. </w:t>
      </w:r>
      <w:r w:rsidR="00C9014E">
        <w:t>Leblanc</w:t>
      </w:r>
      <w:r w:rsidR="00F54548">
        <w:t xml:space="preserve"> le 7 août 2018</w:t>
      </w:r>
      <w:r>
        <w:rPr>
          <w:rStyle w:val="Appelnotedebasdep"/>
        </w:rPr>
        <w:footnoteReference w:id="32"/>
      </w:r>
      <w:r>
        <w:t xml:space="preserve"> dans lequel M. Perreault écrit à </w:t>
      </w:r>
      <w:r w:rsidR="00C9014E">
        <w:t>M. Leblanc</w:t>
      </w:r>
      <w:r w:rsidR="00B961F9">
        <w:t> </w:t>
      </w:r>
      <w:r w:rsidR="00931F77">
        <w:t>: «</w:t>
      </w:r>
      <w:r w:rsidR="006956FC">
        <w:t> </w:t>
      </w:r>
      <w:r w:rsidR="006956FC" w:rsidRPr="0041789F">
        <w:rPr>
          <w:i/>
          <w:iCs/>
        </w:rPr>
        <w:t>T</w:t>
      </w:r>
      <w:r w:rsidR="00B961F9" w:rsidRPr="0041789F">
        <w:rPr>
          <w:i/>
          <w:iCs/>
        </w:rPr>
        <w:t>u ne vois pas de problème avec l’investisseur qui est la FTQ et Ken</w:t>
      </w:r>
      <w:r w:rsidR="00B961F9">
        <w:t> ».</w:t>
      </w:r>
      <w:r w:rsidR="001B6619">
        <w:t xml:space="preserve"> M. Leblanc lui répond </w:t>
      </w:r>
      <w:r w:rsidR="00931F77">
        <w:t>: «</w:t>
      </w:r>
      <w:r w:rsidR="006956FC">
        <w:t> </w:t>
      </w:r>
      <w:r w:rsidR="006956FC" w:rsidRPr="0041789F">
        <w:rPr>
          <w:i/>
          <w:iCs/>
        </w:rPr>
        <w:t>Pour la FTQ on tien ça mort</w:t>
      </w:r>
      <w:r w:rsidR="006956FC">
        <w:t xml:space="preserve"> » </w:t>
      </w:r>
      <w:r w:rsidR="00F54548">
        <w:t xml:space="preserve">. Puis le </w:t>
      </w:r>
      <w:r w:rsidR="00927DDF">
        <w:t>22 août</w:t>
      </w:r>
      <w:r w:rsidR="009E1B0A">
        <w:t>,</w:t>
      </w:r>
      <w:r w:rsidR="00927DDF">
        <w:t xml:space="preserve"> M. Perreaul</w:t>
      </w:r>
      <w:r w:rsidR="002F1F77">
        <w:t>t</w:t>
      </w:r>
      <w:r w:rsidR="00927DDF">
        <w:t xml:space="preserve"> écrit à M. Leblanc que </w:t>
      </w:r>
      <w:r w:rsidR="00392C9F">
        <w:t>M. Pereira</w:t>
      </w:r>
      <w:r w:rsidR="00927DDF">
        <w:t xml:space="preserve"> est encore sur le chantier et qu’il a besoin de lui</w:t>
      </w:r>
      <w:r w:rsidR="004421A5">
        <w:t>,</w:t>
      </w:r>
      <w:r w:rsidR="00927DDF">
        <w:t xml:space="preserve"> car il y a trop de travail et demande à M. Leblanc de trouver un remplaçan</w:t>
      </w:r>
      <w:r w:rsidR="00100AF9">
        <w:t xml:space="preserve">t s’il veut que </w:t>
      </w:r>
      <w:r w:rsidR="00392C9F">
        <w:t>M. Pereira</w:t>
      </w:r>
      <w:r w:rsidR="00100AF9">
        <w:t xml:space="preserve"> quitte le chantier. Il lui suggère aussi de faire affaire avec les ressources humaines pour</w:t>
      </w:r>
      <w:r w:rsidR="00C7263F">
        <w:t xml:space="preserve"> « </w:t>
      </w:r>
      <w:r w:rsidR="00C7263F" w:rsidRPr="0041789F">
        <w:rPr>
          <w:i/>
          <w:iCs/>
        </w:rPr>
        <w:t>mettre à pied Ken s’il y a lieu</w:t>
      </w:r>
      <w:r w:rsidR="00C7263F">
        <w:t> »</w:t>
      </w:r>
      <w:r w:rsidR="00CC5D60">
        <w:t>.</w:t>
      </w:r>
    </w:p>
    <w:p w14:paraId="4927DD1B" w14:textId="77777777" w:rsidR="00CC5D60" w:rsidRPr="00AC300F" w:rsidRDefault="00BD6B34" w:rsidP="00E37868">
      <w:pPr>
        <w:pStyle w:val="paragrapheno"/>
        <w:spacing w:line="240" w:lineRule="auto"/>
      </w:pPr>
      <w:r w:rsidRPr="00AC300F">
        <w:t xml:space="preserve">Se sentant trahi, </w:t>
      </w:r>
      <w:r w:rsidR="00392C9F" w:rsidRPr="00AC300F">
        <w:t>M. Pereira</w:t>
      </w:r>
      <w:r w:rsidRPr="00AC300F">
        <w:t xml:space="preserve"> décide d’enregistrer ses conversation</w:t>
      </w:r>
      <w:r w:rsidR="00B1443D" w:rsidRPr="00AC300F">
        <w:t>s</w:t>
      </w:r>
      <w:r w:rsidRPr="00AC300F">
        <w:t xml:space="preserve"> ave</w:t>
      </w:r>
      <w:r w:rsidR="002B2A51" w:rsidRPr="00AC300F">
        <w:t>c</w:t>
      </w:r>
      <w:r w:rsidRPr="00AC300F">
        <w:t xml:space="preserve"> M. Leblanc et M. Duguay</w:t>
      </w:r>
      <w:r w:rsidR="002B2A51" w:rsidRPr="00AC300F">
        <w:t xml:space="preserve"> et celles qu’i</w:t>
      </w:r>
      <w:r w:rsidR="000517D3" w:rsidRPr="00AC300F">
        <w:t>l</w:t>
      </w:r>
      <w:r w:rsidR="002B2A51" w:rsidRPr="00AC300F">
        <w:t xml:space="preserve"> aura aussi avec M. Perreault et </w:t>
      </w:r>
      <w:r w:rsidR="009E1B0A">
        <w:t xml:space="preserve">M. </w:t>
      </w:r>
      <w:r w:rsidR="002B2A51" w:rsidRPr="00AC300F">
        <w:t xml:space="preserve">Lizotte. Il ne dépose en preuve que deux conversations </w:t>
      </w:r>
      <w:r w:rsidR="00A91547" w:rsidRPr="00AC300F">
        <w:t>qu’il a eu</w:t>
      </w:r>
      <w:r w:rsidR="00F23821">
        <w:t>es</w:t>
      </w:r>
      <w:r w:rsidR="00A91547" w:rsidRPr="00AC300F">
        <w:t xml:space="preserve"> avec M. Leblanc et deux qu’il a eu</w:t>
      </w:r>
      <w:r w:rsidR="00E31855">
        <w:t>es</w:t>
      </w:r>
      <w:r w:rsidR="00A91547" w:rsidRPr="00AC300F">
        <w:t xml:space="preserve"> avec M. Duguay</w:t>
      </w:r>
      <w:r w:rsidR="00EC36EF" w:rsidRPr="00AC300F">
        <w:t xml:space="preserve"> sur lesquels le Tribunal revient plus loin.</w:t>
      </w:r>
    </w:p>
    <w:p w14:paraId="195A3252" w14:textId="77777777" w:rsidR="003E2A52" w:rsidRDefault="00BD6B34" w:rsidP="00E37868">
      <w:pPr>
        <w:pStyle w:val="paragrapheno"/>
        <w:spacing w:line="240" w:lineRule="auto"/>
      </w:pPr>
      <w:r>
        <w:t>À la même époque</w:t>
      </w:r>
      <w:r w:rsidR="00AA5B88">
        <w:t xml:space="preserve">, soit </w:t>
      </w:r>
      <w:r w:rsidR="00307149">
        <w:t xml:space="preserve">en </w:t>
      </w:r>
      <w:r w:rsidR="00DD7E57">
        <w:t>août 2018,</w:t>
      </w:r>
      <w:r>
        <w:t xml:space="preserve"> </w:t>
      </w:r>
      <w:r w:rsidR="00F87C78">
        <w:t>Cogir</w:t>
      </w:r>
      <w:r>
        <w:t xml:space="preserve"> lui demande d’intervenir à nouveau au chantier Humaniti</w:t>
      </w:r>
      <w:r w:rsidR="004421A5">
        <w:t>,</w:t>
      </w:r>
      <w:r>
        <w:t xml:space="preserve"> car il </w:t>
      </w:r>
      <w:r w:rsidR="00E46F6D">
        <w:t>y a un problème concernant des caméra</w:t>
      </w:r>
      <w:r w:rsidR="00F87C78">
        <w:t>s</w:t>
      </w:r>
      <w:r w:rsidR="00E46F6D">
        <w:t xml:space="preserve"> installées à tous les étages</w:t>
      </w:r>
      <w:r w:rsidR="00F87C78">
        <w:t xml:space="preserve"> de l’édifice en construction</w:t>
      </w:r>
      <w:r>
        <w:rPr>
          <w:rStyle w:val="Appelnotedebasdep"/>
        </w:rPr>
        <w:footnoteReference w:id="33"/>
      </w:r>
      <w:r w:rsidR="00307C72">
        <w:t>. EBC</w:t>
      </w:r>
      <w:r w:rsidR="0066198A">
        <w:t xml:space="preserve">, l’entrepreneur général sur ce chantier, </w:t>
      </w:r>
      <w:r w:rsidR="00307C72">
        <w:t>v</w:t>
      </w:r>
      <w:r w:rsidR="00524919">
        <w:t xml:space="preserve">eut </w:t>
      </w:r>
      <w:r w:rsidR="00307C72">
        <w:t xml:space="preserve">les </w:t>
      </w:r>
      <w:r w:rsidR="00AC1AEA">
        <w:t>utiliser</w:t>
      </w:r>
      <w:r w:rsidR="00307C72">
        <w:t xml:space="preserve"> pour une question de sécurité </w:t>
      </w:r>
      <w:r w:rsidR="00D11679">
        <w:t>de</w:t>
      </w:r>
      <w:r w:rsidR="00307C72">
        <w:t xml:space="preserve"> ses travailleurs et la FTQ</w:t>
      </w:r>
      <w:r w:rsidR="00E52D51">
        <w:t>-C</w:t>
      </w:r>
      <w:r w:rsidR="00307C72">
        <w:t>onstruction contest</w:t>
      </w:r>
      <w:r w:rsidR="00FE3660">
        <w:t>e</w:t>
      </w:r>
      <w:r w:rsidR="00307C72">
        <w:t xml:space="preserve"> son droit</w:t>
      </w:r>
      <w:r w:rsidR="00E52D51">
        <w:t>,</w:t>
      </w:r>
      <w:r w:rsidR="00307C72">
        <w:t xml:space="preserve"> </w:t>
      </w:r>
      <w:r w:rsidR="001069AD">
        <w:t>allég</w:t>
      </w:r>
      <w:r w:rsidR="00F87C78">
        <w:t>u</w:t>
      </w:r>
      <w:r w:rsidR="001069AD">
        <w:t>ant qu</w:t>
      </w:r>
      <w:r w:rsidR="004D49CD">
        <w:t>e l’objectif de EBC est</w:t>
      </w:r>
      <w:r w:rsidR="001069AD">
        <w:t xml:space="preserve"> plutôt de surveiller la productivité de ses membres. </w:t>
      </w:r>
      <w:r w:rsidR="00392C9F">
        <w:t>M. Pereira</w:t>
      </w:r>
      <w:r w:rsidR="001069AD">
        <w:t xml:space="preserve"> contacte donc Sylvie Va</w:t>
      </w:r>
      <w:r w:rsidR="00E23AC7">
        <w:t>n</w:t>
      </w:r>
      <w:r w:rsidR="001069AD">
        <w:t xml:space="preserve">dette </w:t>
      </w:r>
      <w:r w:rsidR="00E52D51">
        <w:t>de</w:t>
      </w:r>
      <w:r w:rsidR="001069AD">
        <w:t xml:space="preserve"> la FTQ</w:t>
      </w:r>
      <w:r w:rsidR="00E23AC7">
        <w:t>-</w:t>
      </w:r>
      <w:r w:rsidR="00E52D51">
        <w:t>C</w:t>
      </w:r>
      <w:r w:rsidR="001069AD">
        <w:t xml:space="preserve">onstruction pour tenter de régler </w:t>
      </w:r>
      <w:r w:rsidR="00FA0F08">
        <w:t>le problème. Il affirm</w:t>
      </w:r>
      <w:r w:rsidR="004D49CD">
        <w:t>e</w:t>
      </w:r>
      <w:r w:rsidR="00FA0F08">
        <w:t xml:space="preserve"> qu’elle est ouverte à le rencontrer</w:t>
      </w:r>
      <w:r w:rsidR="00710020">
        <w:t>,</w:t>
      </w:r>
      <w:r w:rsidR="00FA0F08">
        <w:t xml:space="preserve"> mais </w:t>
      </w:r>
      <w:r w:rsidR="002F6397">
        <w:t xml:space="preserve">que ce sera à </w:t>
      </w:r>
      <w:r w:rsidR="00FA0F08">
        <w:t>son retour de vacances.</w:t>
      </w:r>
    </w:p>
    <w:p w14:paraId="344941A4" w14:textId="77777777" w:rsidR="00FA0F08" w:rsidRDefault="00BD6B34" w:rsidP="00E37868">
      <w:pPr>
        <w:pStyle w:val="paragrapheno"/>
        <w:spacing w:line="240" w:lineRule="auto"/>
      </w:pPr>
      <w:r>
        <w:t xml:space="preserve">Or, </w:t>
      </w:r>
      <w:r w:rsidR="00FE3660">
        <w:t>au</w:t>
      </w:r>
      <w:r>
        <w:t xml:space="preserve"> retour de vacances</w:t>
      </w:r>
      <w:r w:rsidR="00FE3660">
        <w:t xml:space="preserve"> de Mme Va</w:t>
      </w:r>
      <w:r w:rsidR="005E63F9">
        <w:t>ndette</w:t>
      </w:r>
      <w:r w:rsidR="002F6397">
        <w:t>,</w:t>
      </w:r>
      <w:r>
        <w:t xml:space="preserve"> </w:t>
      </w:r>
      <w:r w:rsidR="005E63F9">
        <w:t>celle-ci</w:t>
      </w:r>
      <w:r>
        <w:t xml:space="preserve"> change s</w:t>
      </w:r>
      <w:r w:rsidR="002F6397">
        <w:t>o</w:t>
      </w:r>
      <w:r>
        <w:t xml:space="preserve">n fusil d’épaule et informe </w:t>
      </w:r>
      <w:r w:rsidR="00392C9F">
        <w:t>M. Pereira</w:t>
      </w:r>
      <w:r>
        <w:t xml:space="preserve"> </w:t>
      </w:r>
      <w:r w:rsidR="001D7360">
        <w:t>que son mandat est de discuter avec l’employeur EBC directement</w:t>
      </w:r>
      <w:r>
        <w:rPr>
          <w:rStyle w:val="Appelnotedebasdep"/>
        </w:rPr>
        <w:footnoteReference w:id="34"/>
      </w:r>
      <w:r w:rsidR="001D7360">
        <w:t xml:space="preserve">. </w:t>
      </w:r>
      <w:r w:rsidR="005E63F9">
        <w:t xml:space="preserve">Elle </w:t>
      </w:r>
      <w:r w:rsidR="00BD502F">
        <w:t>n’est</w:t>
      </w:r>
      <w:r w:rsidR="005E63F9">
        <w:t xml:space="preserve"> plus </w:t>
      </w:r>
      <w:r w:rsidR="00AC300F">
        <w:t>disposée</w:t>
      </w:r>
      <w:r w:rsidR="005E63F9">
        <w:t xml:space="preserve"> à le rencontrer</w:t>
      </w:r>
      <w:r w:rsidR="00BD502F">
        <w:t>.</w:t>
      </w:r>
    </w:p>
    <w:p w14:paraId="7967FFD9" w14:textId="77777777" w:rsidR="00587D46" w:rsidRDefault="00BD6B34" w:rsidP="00E37868">
      <w:pPr>
        <w:pStyle w:val="paragrapheno"/>
        <w:spacing w:line="240" w:lineRule="auto"/>
      </w:pPr>
      <w:r>
        <w:t>M. Pereira</w:t>
      </w:r>
      <w:r w:rsidR="00E813D8">
        <w:t xml:space="preserve"> contacte donc </w:t>
      </w:r>
      <w:r w:rsidR="00F4468F">
        <w:t>le responsable de la santé</w:t>
      </w:r>
      <w:r w:rsidR="00E35FA4">
        <w:t>-</w:t>
      </w:r>
      <w:r w:rsidR="00F4468F">
        <w:t>sécurité chez EBC, Simon Duchesne</w:t>
      </w:r>
      <w:r w:rsidR="00DC3E5B">
        <w:t>,</w:t>
      </w:r>
      <w:r w:rsidR="00F4468F">
        <w:t xml:space="preserve"> </w:t>
      </w:r>
      <w:r w:rsidR="002F0C68">
        <w:t xml:space="preserve">lui disant que </w:t>
      </w:r>
      <w:r w:rsidR="00947CD4">
        <w:t>l</w:t>
      </w:r>
      <w:r w:rsidR="002F0C68">
        <w:t xml:space="preserve">e surintendant du chantier pour EBC </w:t>
      </w:r>
      <w:r w:rsidR="004F3CD4">
        <w:t>lui demande</w:t>
      </w:r>
      <w:r w:rsidR="002F0C68">
        <w:t xml:space="preserve"> d’intervenir </w:t>
      </w:r>
      <w:r w:rsidR="00340F8C">
        <w:t>concernant le problème des caméras.</w:t>
      </w:r>
      <w:r w:rsidR="00F4468F">
        <w:t xml:space="preserve"> </w:t>
      </w:r>
      <w:r w:rsidR="00324438">
        <w:t>Le 28 août 2018</w:t>
      </w:r>
      <w:r w:rsidR="00340F8C">
        <w:t>, M</w:t>
      </w:r>
      <w:r w:rsidR="00947CD4">
        <w:t>.</w:t>
      </w:r>
      <w:r w:rsidR="00340F8C">
        <w:t xml:space="preserve"> Duchesne lui répond « </w:t>
      </w:r>
      <w:r w:rsidR="00DF10BD" w:rsidRPr="00947CD4">
        <w:rPr>
          <w:i/>
          <w:iCs/>
        </w:rPr>
        <w:t xml:space="preserve">Nous </w:t>
      </w:r>
      <w:r w:rsidR="00DF10BD" w:rsidRPr="00947CD4">
        <w:rPr>
          <w:i/>
          <w:iCs/>
        </w:rPr>
        <w:lastRenderedPageBreak/>
        <w:t>devons toutefois demander à la FTQ puisque votre présence semble créer un certain inconfort</w:t>
      </w:r>
      <w:r w:rsidR="00DF10BD">
        <w:t> »</w:t>
      </w:r>
      <w:r>
        <w:rPr>
          <w:rStyle w:val="Appelnotedebasdep"/>
        </w:rPr>
        <w:footnoteReference w:id="35"/>
      </w:r>
      <w:r w:rsidR="00DF10BD">
        <w:t xml:space="preserve">. </w:t>
      </w:r>
    </w:p>
    <w:p w14:paraId="25CF2EC8" w14:textId="77777777" w:rsidR="000D7839" w:rsidRDefault="00BD6B34" w:rsidP="00E37868">
      <w:pPr>
        <w:pStyle w:val="paragrapheno"/>
        <w:spacing w:line="240" w:lineRule="auto"/>
      </w:pPr>
      <w:r>
        <w:t xml:space="preserve">Éric Boisjoly, Directeur général de la FTQ-construction </w:t>
      </w:r>
      <w:r w:rsidR="00181E6F">
        <w:t>témoigne à la demande de</w:t>
      </w:r>
      <w:r>
        <w:t xml:space="preserve"> </w:t>
      </w:r>
      <w:r w:rsidR="00392C9F">
        <w:t>M. Pereira</w:t>
      </w:r>
      <w:r>
        <w:t>. Il affirme que Mme Vandette se rapportait à lui en août 2018</w:t>
      </w:r>
      <w:r w:rsidR="00710020">
        <w:t>,</w:t>
      </w:r>
      <w:r>
        <w:t xml:space="preserve"> mais qu’il n’est pas intervenu dans ce dossier et n’a jamais tenté d’influencer Mme Vandette quant aux personnes avec qui elle devait ou ne devait pas parler.</w:t>
      </w:r>
    </w:p>
    <w:p w14:paraId="18426761" w14:textId="77777777" w:rsidR="00DA7B9A" w:rsidRDefault="00BD6B34" w:rsidP="00E37868">
      <w:pPr>
        <w:pStyle w:val="paragrapheno"/>
        <w:spacing w:line="240" w:lineRule="auto"/>
      </w:pPr>
      <w:r>
        <w:t xml:space="preserve">Finalement, </w:t>
      </w:r>
      <w:r w:rsidR="00392C9F">
        <w:t>M. Pereira</w:t>
      </w:r>
      <w:r w:rsidR="00DF10BD">
        <w:t xml:space="preserve"> n’intervien</w:t>
      </w:r>
      <w:r w:rsidR="0067635C">
        <w:t>t</w:t>
      </w:r>
      <w:r w:rsidR="00DF10BD">
        <w:t xml:space="preserve"> pas</w:t>
      </w:r>
      <w:r>
        <w:t xml:space="preserve"> dans ce dossier</w:t>
      </w:r>
      <w:r w:rsidR="001C7696">
        <w:t xml:space="preserve"> des caméras</w:t>
      </w:r>
      <w:r w:rsidR="002762C7">
        <w:t>.</w:t>
      </w:r>
    </w:p>
    <w:p w14:paraId="4684BAF8" w14:textId="77777777" w:rsidR="00E73C64" w:rsidRPr="001A54B9" w:rsidRDefault="00BD6B34" w:rsidP="00E37868">
      <w:pPr>
        <w:pStyle w:val="paragrapheno"/>
        <w:spacing w:line="240" w:lineRule="auto"/>
      </w:pPr>
      <w:r>
        <w:t xml:space="preserve">À compter du 27 août </w:t>
      </w:r>
      <w:r w:rsidR="00774513">
        <w:t xml:space="preserve">2018, </w:t>
      </w:r>
      <w:r w:rsidR="00DD35B2">
        <w:t>alors que tout devait se terminer pour lui chez Cogir</w:t>
      </w:r>
      <w:r w:rsidR="0067635C">
        <w:t xml:space="preserve"> en raison de son retrai</w:t>
      </w:r>
      <w:r w:rsidR="00F80ACB">
        <w:t>t</w:t>
      </w:r>
      <w:r w:rsidR="0067635C">
        <w:t xml:space="preserve"> du</w:t>
      </w:r>
      <w:r w:rsidR="00DD35B2">
        <w:t xml:space="preserve"> chantier Unicité, M. Leblanc le contacte</w:t>
      </w:r>
      <w:r w:rsidR="001B7C05">
        <w:t xml:space="preserve"> pour l’</w:t>
      </w:r>
      <w:r>
        <w:t xml:space="preserve">assigné </w:t>
      </w:r>
      <w:r w:rsidR="001B7C05">
        <w:t xml:space="preserve">à nouveau </w:t>
      </w:r>
      <w:r>
        <w:t xml:space="preserve">au chantier </w:t>
      </w:r>
      <w:r w:rsidR="00560B5F">
        <w:t xml:space="preserve">Le </w:t>
      </w:r>
      <w:r w:rsidR="008450A6">
        <w:t>R</w:t>
      </w:r>
      <w:r w:rsidR="00560B5F">
        <w:t>enoir</w:t>
      </w:r>
      <w:r>
        <w:t xml:space="preserve"> afin de remplacer le surintendant qui </w:t>
      </w:r>
      <w:r w:rsidR="00A10C0D">
        <w:t xml:space="preserve">doit </w:t>
      </w:r>
      <w:r w:rsidR="006966D5">
        <w:t>s’absenter pour</w:t>
      </w:r>
      <w:r w:rsidR="00A10C0D">
        <w:t xml:space="preserve"> une intervention chirurgicale</w:t>
      </w:r>
      <w:r>
        <w:rPr>
          <w:rStyle w:val="Appelnotedebasdep"/>
        </w:rPr>
        <w:footnoteReference w:id="36"/>
      </w:r>
      <w:r w:rsidR="00774513">
        <w:t>.</w:t>
      </w:r>
    </w:p>
    <w:p w14:paraId="6D05A7EA" w14:textId="77777777" w:rsidR="00F12301" w:rsidRDefault="00BD6B34" w:rsidP="00E37868">
      <w:pPr>
        <w:pStyle w:val="paragrapheno"/>
        <w:spacing w:line="240" w:lineRule="auto"/>
      </w:pPr>
      <w:r>
        <w:t xml:space="preserve">M. Peirera </w:t>
      </w:r>
      <w:r w:rsidR="00F857ED">
        <w:t xml:space="preserve">s’y présente à chaque jour et </w:t>
      </w:r>
      <w:r w:rsidR="0057367F">
        <w:t>exécute</w:t>
      </w:r>
      <w:r w:rsidR="00F80ACB">
        <w:t>, selon lui,</w:t>
      </w:r>
      <w:r w:rsidR="0057367F">
        <w:t xml:space="preserve"> les tâches </w:t>
      </w:r>
      <w:r w:rsidR="00885C08">
        <w:t>d’un surintendant de chantier</w:t>
      </w:r>
      <w:r>
        <w:rPr>
          <w:rStyle w:val="Appelnotedebasdep"/>
        </w:rPr>
        <w:footnoteReference w:id="37"/>
      </w:r>
      <w:r w:rsidR="00767A85">
        <w:t>.</w:t>
      </w:r>
    </w:p>
    <w:p w14:paraId="0D07A476" w14:textId="77777777" w:rsidR="0077444F" w:rsidRDefault="00BD6B34" w:rsidP="0077444F">
      <w:pPr>
        <w:pStyle w:val="paragrapheno"/>
        <w:spacing w:line="240" w:lineRule="auto"/>
      </w:pPr>
      <w:r>
        <w:t>Lors de leur</w:t>
      </w:r>
      <w:r w:rsidR="000C1988">
        <w:t>s</w:t>
      </w:r>
      <w:r>
        <w:t xml:space="preserve"> rencontre</w:t>
      </w:r>
      <w:r w:rsidR="000C1988">
        <w:t>s</w:t>
      </w:r>
      <w:r>
        <w:t xml:space="preserve"> périodiques pour faire le suivi des différents chantiers</w:t>
      </w:r>
      <w:r w:rsidR="00954602">
        <w:t>, M. Leblanc informe M. Duguay des question</w:t>
      </w:r>
      <w:r w:rsidR="00FA6AE0">
        <w:t>s</w:t>
      </w:r>
      <w:r w:rsidR="00954602">
        <w:t xml:space="preserve"> et de l’inconfort que suscite la présence de M. </w:t>
      </w:r>
      <w:r w:rsidR="00BD0C73">
        <w:t>P</w:t>
      </w:r>
      <w:r w:rsidR="00954602">
        <w:t xml:space="preserve">ereira sur les </w:t>
      </w:r>
      <w:r w:rsidR="00BD0C73">
        <w:t>chantie</w:t>
      </w:r>
      <w:r>
        <w:t>rs.</w:t>
      </w:r>
    </w:p>
    <w:p w14:paraId="793CFE6F" w14:textId="77777777" w:rsidR="00382F7F" w:rsidRDefault="00BD6B34" w:rsidP="00E37868">
      <w:pPr>
        <w:pStyle w:val="paragrapheno"/>
        <w:spacing w:line="240" w:lineRule="auto"/>
      </w:pPr>
      <w:r w:rsidRPr="000D7839">
        <w:t>À une date que M. Duguay situe</w:t>
      </w:r>
      <w:r>
        <w:t xml:space="preserve"> à environ deux semaines avant le 7 septembre 2018</w:t>
      </w:r>
      <w:r w:rsidR="00B24D7D">
        <w:t xml:space="preserve">, celui-ci rencontre </w:t>
      </w:r>
      <w:r w:rsidR="008F7D0B">
        <w:t>Normand Bélanger</w:t>
      </w:r>
      <w:r w:rsidR="004D6A9A">
        <w:t>,</w:t>
      </w:r>
      <w:r w:rsidR="008F7D0B">
        <w:t xml:space="preserve"> le président</w:t>
      </w:r>
      <w:r w:rsidR="004D6A9A">
        <w:t>-</w:t>
      </w:r>
      <w:r w:rsidR="008F7D0B">
        <w:t>directeur général du Fonds immobilier au bar de l’hôtel Sofitel</w:t>
      </w:r>
      <w:r w:rsidR="003E60B4">
        <w:t>. Il s’agit d’une de leur rencontre de suivi sur le</w:t>
      </w:r>
      <w:r w:rsidR="00214ADA">
        <w:t xml:space="preserve">s </w:t>
      </w:r>
      <w:r w:rsidR="00D57897">
        <w:t xml:space="preserve">différents </w:t>
      </w:r>
      <w:r w:rsidR="00214ADA">
        <w:t>projets</w:t>
      </w:r>
      <w:r w:rsidR="003E60B4">
        <w:t xml:space="preserve"> dans lesquels le Fonds immobilier est un partenaire</w:t>
      </w:r>
      <w:r w:rsidR="00646C3F">
        <w:t xml:space="preserve"> </w:t>
      </w:r>
      <w:r w:rsidR="00973FCC">
        <w:t>financier de</w:t>
      </w:r>
      <w:r w:rsidR="00646C3F">
        <w:t xml:space="preserve"> Cogir</w:t>
      </w:r>
      <w:r w:rsidR="003E60B4">
        <w:t>.</w:t>
      </w:r>
    </w:p>
    <w:p w14:paraId="33F9D1AD" w14:textId="77777777" w:rsidR="003E60B4" w:rsidRPr="0053297E" w:rsidRDefault="00BD6B34" w:rsidP="00E37868">
      <w:pPr>
        <w:pStyle w:val="paragrapheno"/>
        <w:spacing w:line="240" w:lineRule="auto"/>
      </w:pPr>
      <w:r w:rsidRPr="0053297E">
        <w:t>M. Duguay témoigne</w:t>
      </w:r>
      <w:r w:rsidR="00D04FFF" w:rsidRPr="0053297E">
        <w:t>,</w:t>
      </w:r>
      <w:r w:rsidR="00EC22E1" w:rsidRPr="0053297E">
        <w:t xml:space="preserve"> sans </w:t>
      </w:r>
      <w:r w:rsidR="000036B4" w:rsidRPr="0053297E">
        <w:t>expliqu</w:t>
      </w:r>
      <w:r w:rsidR="006B4478" w:rsidRPr="0053297E">
        <w:t>er</w:t>
      </w:r>
      <w:r w:rsidR="000036B4" w:rsidRPr="0053297E">
        <w:t xml:space="preserve"> comment le </w:t>
      </w:r>
      <w:r w:rsidR="006B4478" w:rsidRPr="0053297E">
        <w:t xml:space="preserve">sujet de </w:t>
      </w:r>
      <w:r w:rsidR="00392C9F" w:rsidRPr="0053297E">
        <w:t>M. Pereira</w:t>
      </w:r>
      <w:r w:rsidR="00D04FFF" w:rsidRPr="0053297E">
        <w:t xml:space="preserve"> est abordé</w:t>
      </w:r>
      <w:r w:rsidR="00D478B0" w:rsidRPr="0053297E">
        <w:t xml:space="preserve">, </w:t>
      </w:r>
      <w:r w:rsidR="00D04FFF" w:rsidRPr="0053297E">
        <w:t xml:space="preserve">que </w:t>
      </w:r>
      <w:r w:rsidR="00D478B0" w:rsidRPr="0053297E">
        <w:t xml:space="preserve">M. Bélanger lui dit </w:t>
      </w:r>
      <w:r w:rsidR="000A26F5" w:rsidRPr="0053297E">
        <w:t>« </w:t>
      </w:r>
      <w:r w:rsidR="00B619EF" w:rsidRPr="00B619EF">
        <w:rPr>
          <w:i/>
          <w:iCs/>
        </w:rPr>
        <w:t>Mathieu,</w:t>
      </w:r>
      <w:r w:rsidR="00B619EF">
        <w:t xml:space="preserve"> </w:t>
      </w:r>
      <w:r w:rsidR="00D478B0" w:rsidRPr="0053297E">
        <w:rPr>
          <w:i/>
          <w:iCs/>
        </w:rPr>
        <w:t>Ken Pereira?</w:t>
      </w:r>
      <w:r w:rsidR="000A26F5" w:rsidRPr="0053297E">
        <w:t> »</w:t>
      </w:r>
      <w:r w:rsidR="00D478B0" w:rsidRPr="0053297E">
        <w:t xml:space="preserve"> </w:t>
      </w:r>
      <w:r w:rsidR="000A26F5" w:rsidRPr="0053297E">
        <w:t>M.</w:t>
      </w:r>
      <w:r w:rsidR="00D478B0" w:rsidRPr="0053297E">
        <w:t xml:space="preserve"> Duguay ne lui laisse pas le temps de terminer sa phrase et l’interrompt en lui disant : « </w:t>
      </w:r>
      <w:r w:rsidR="00472230" w:rsidRPr="0053297E">
        <w:t xml:space="preserve">… </w:t>
      </w:r>
      <w:r w:rsidR="00C5439D" w:rsidRPr="0053297E">
        <w:rPr>
          <w:i/>
          <w:iCs/>
        </w:rPr>
        <w:t>écoute Normand, ça sert à rien qu’on en parle, ça fonctionne pas avec Ken, puis il va être terminé incessamment, Tsé ça marche pas là</w:t>
      </w:r>
      <w:r w:rsidR="00472230" w:rsidRPr="0053297E">
        <w:rPr>
          <w:i/>
          <w:iCs/>
        </w:rPr>
        <w:t>…</w:t>
      </w:r>
      <w:r w:rsidR="00472230" w:rsidRPr="0053297E">
        <w:t> »</w:t>
      </w:r>
      <w:r>
        <w:rPr>
          <w:rStyle w:val="Appelnotedebasdep"/>
        </w:rPr>
        <w:footnoteReference w:id="38"/>
      </w:r>
      <w:r w:rsidR="00472230" w:rsidRPr="0053297E">
        <w:t xml:space="preserve"> </w:t>
      </w:r>
      <w:r w:rsidR="00BC4033" w:rsidRPr="0053297E">
        <w:t xml:space="preserve">. </w:t>
      </w:r>
      <w:r w:rsidR="00E14E06" w:rsidRPr="0053297E">
        <w:t>Selon M. Duguay cette part</w:t>
      </w:r>
      <w:r w:rsidR="00420889" w:rsidRPr="0053297E">
        <w:t>i</w:t>
      </w:r>
      <w:r w:rsidR="00E14E06" w:rsidRPr="0053297E">
        <w:t xml:space="preserve">e de leur conversation dure </w:t>
      </w:r>
      <w:r w:rsidR="00472230" w:rsidRPr="0053297E">
        <w:t>10 à 15 secondes</w:t>
      </w:r>
      <w:r w:rsidR="006966D5">
        <w:t xml:space="preserve"> tout au plus</w:t>
      </w:r>
      <w:r w:rsidR="00472230" w:rsidRPr="0053297E">
        <w:t xml:space="preserve">. </w:t>
      </w:r>
    </w:p>
    <w:p w14:paraId="11ED9C50" w14:textId="77777777" w:rsidR="00F4769F" w:rsidRPr="0053297E" w:rsidRDefault="00BD6B34" w:rsidP="00E37868">
      <w:pPr>
        <w:pStyle w:val="paragrapheno"/>
        <w:spacing w:line="240" w:lineRule="auto"/>
      </w:pPr>
      <w:r w:rsidRPr="0053297E">
        <w:t xml:space="preserve">Il ajoute qu’à l’époque de cette rencontre </w:t>
      </w:r>
      <w:r w:rsidR="003A070D" w:rsidRPr="0053297E">
        <w:t xml:space="preserve">M. Leblanc </w:t>
      </w:r>
      <w:r w:rsidR="00900443">
        <w:t>l’</w:t>
      </w:r>
      <w:r w:rsidR="003A070D" w:rsidRPr="0053297E">
        <w:t xml:space="preserve">a déjà </w:t>
      </w:r>
      <w:r w:rsidR="00900443">
        <w:t xml:space="preserve">informé avoir </w:t>
      </w:r>
      <w:r w:rsidR="003A070D" w:rsidRPr="0053297E">
        <w:t>pris la décision de mettre fin à la relation avec M. Pereira</w:t>
      </w:r>
      <w:r w:rsidR="00FE05B5">
        <w:t>,</w:t>
      </w:r>
      <w:r w:rsidR="003A070D" w:rsidRPr="0053297E">
        <w:t xml:space="preserve"> mais il doit trouver le bon moment pour </w:t>
      </w:r>
      <w:r w:rsidR="00267FB4" w:rsidRPr="0053297E">
        <w:t>l’</w:t>
      </w:r>
      <w:r w:rsidR="003A070D" w:rsidRPr="0053297E">
        <w:t>en inform</w:t>
      </w:r>
      <w:r w:rsidR="00267FB4" w:rsidRPr="0053297E">
        <w:t>er.</w:t>
      </w:r>
    </w:p>
    <w:p w14:paraId="639260F5" w14:textId="77777777" w:rsidR="00DD6374" w:rsidRDefault="00BD6B34" w:rsidP="00A25100">
      <w:pPr>
        <w:pStyle w:val="paragrapheno"/>
        <w:spacing w:line="240" w:lineRule="auto"/>
      </w:pPr>
      <w:r w:rsidRPr="0053297E">
        <w:lastRenderedPageBreak/>
        <w:t>Le</w:t>
      </w:r>
      <w:r>
        <w:t xml:space="preserve"> 7 septembre 2018</w:t>
      </w:r>
      <w:r w:rsidR="00D478B0">
        <w:t xml:space="preserve">, </w:t>
      </w:r>
      <w:r w:rsidR="00B277AF">
        <w:t xml:space="preserve">M. Leblanc appelle </w:t>
      </w:r>
      <w:r w:rsidR="00392C9F">
        <w:t>M. Pereira</w:t>
      </w:r>
      <w:r w:rsidR="00B277AF">
        <w:t xml:space="preserve"> et lui dit que </w:t>
      </w:r>
      <w:r w:rsidR="0020129A">
        <w:t>ses services ne seront plus requis à compter du lendema</w:t>
      </w:r>
      <w:r>
        <w:t>in</w:t>
      </w:r>
      <w:r w:rsidR="00F14E18">
        <w:t xml:space="preserve">. </w:t>
      </w:r>
      <w:r w:rsidR="00FE05B5">
        <w:t xml:space="preserve">M. </w:t>
      </w:r>
      <w:r w:rsidR="00C60631">
        <w:t xml:space="preserve">Leblanc affirme avoir pris seul la décision et </w:t>
      </w:r>
      <w:r w:rsidR="00100C13">
        <w:t>d’</w:t>
      </w:r>
      <w:r w:rsidR="00C60631">
        <w:t xml:space="preserve">en </w:t>
      </w:r>
      <w:r w:rsidR="00100C13">
        <w:t xml:space="preserve">avoir </w:t>
      </w:r>
      <w:r w:rsidR="00C60631">
        <w:t>inform</w:t>
      </w:r>
      <w:r w:rsidR="007F7DD9">
        <w:t>é</w:t>
      </w:r>
      <w:r w:rsidR="00C60631">
        <w:t xml:space="preserve"> M. Duguay</w:t>
      </w:r>
      <w:r w:rsidR="00386760">
        <w:t xml:space="preserve"> après avoir parlé à M. Pereira.</w:t>
      </w:r>
    </w:p>
    <w:p w14:paraId="019E842E" w14:textId="77777777" w:rsidR="00C853FC" w:rsidRDefault="00BD6B34" w:rsidP="00E37868">
      <w:pPr>
        <w:pStyle w:val="paragrapheno"/>
        <w:spacing w:line="240" w:lineRule="auto"/>
      </w:pPr>
      <w:r>
        <w:t>C</w:t>
      </w:r>
      <w:r w:rsidR="008B5CF1">
        <w:t>’</w:t>
      </w:r>
      <w:r>
        <w:t>est une des conversation</w:t>
      </w:r>
      <w:r w:rsidR="00FB0516">
        <w:t>s</w:t>
      </w:r>
      <w:r>
        <w:t xml:space="preserve"> que </w:t>
      </w:r>
      <w:r w:rsidR="00392C9F">
        <w:t>M. Pereira</w:t>
      </w:r>
      <w:r w:rsidR="00F14E18">
        <w:t xml:space="preserve"> enregistre</w:t>
      </w:r>
      <w:r>
        <w:rPr>
          <w:rStyle w:val="Appelnotedebasdep"/>
        </w:rPr>
        <w:footnoteReference w:id="39"/>
      </w:r>
      <w:r w:rsidR="009717F4">
        <w:t>.</w:t>
      </w:r>
    </w:p>
    <w:p w14:paraId="39417EC6" w14:textId="77777777" w:rsidR="0086534A" w:rsidRDefault="00BD6B34" w:rsidP="00E37868">
      <w:pPr>
        <w:pStyle w:val="paragrapheno"/>
        <w:spacing w:line="240" w:lineRule="auto"/>
      </w:pPr>
      <w:r>
        <w:t>L’écoute de la conversation permet de comprendre que M. Leblanc est très mal à l’aise</w:t>
      </w:r>
      <w:r w:rsidR="005714CD">
        <w:t xml:space="preserve"> et c’est</w:t>
      </w:r>
      <w:r w:rsidR="006966D5">
        <w:t xml:space="preserve"> d’ailleurs</w:t>
      </w:r>
      <w:r w:rsidR="005714CD">
        <w:t xml:space="preserve"> ce qu’il confirme à l’audience</w:t>
      </w:r>
      <w:r w:rsidR="00DD6374">
        <w:t>.</w:t>
      </w:r>
      <w:r w:rsidR="00A06935">
        <w:t xml:space="preserve"> Le seul motif invoqué </w:t>
      </w:r>
      <w:r w:rsidR="006966D5">
        <w:t xml:space="preserve">par M. Leblanc pour mettre fin à la relation </w:t>
      </w:r>
      <w:r w:rsidR="00A06935">
        <w:t xml:space="preserve">est </w:t>
      </w:r>
      <w:r w:rsidR="002E518D">
        <w:t xml:space="preserve">la pression qu’il a </w:t>
      </w:r>
      <w:r w:rsidR="006F0DF2">
        <w:t>eue</w:t>
      </w:r>
      <w:r w:rsidR="00855408">
        <w:t xml:space="preserve"> et les appels reçus</w:t>
      </w:r>
      <w:r w:rsidR="002E518D">
        <w:t xml:space="preserve"> « </w:t>
      </w:r>
      <w:r w:rsidR="002E518D" w:rsidRPr="00855408">
        <w:rPr>
          <w:i/>
          <w:iCs/>
        </w:rPr>
        <w:t>de tou</w:t>
      </w:r>
      <w:r w:rsidR="00855408" w:rsidRPr="00855408">
        <w:rPr>
          <w:i/>
          <w:iCs/>
        </w:rPr>
        <w:t>s</w:t>
      </w:r>
      <w:r w:rsidR="002E518D" w:rsidRPr="00855408">
        <w:rPr>
          <w:i/>
          <w:iCs/>
        </w:rPr>
        <w:t xml:space="preserve"> les bords</w:t>
      </w:r>
      <w:r w:rsidR="002E518D">
        <w:t> »</w:t>
      </w:r>
      <w:r>
        <w:rPr>
          <w:rStyle w:val="Appelnotedebasdep"/>
        </w:rPr>
        <w:footnoteReference w:id="40"/>
      </w:r>
      <w:r w:rsidR="00855408">
        <w:t xml:space="preserve"> </w:t>
      </w:r>
      <w:r w:rsidR="00A06935">
        <w:t xml:space="preserve">que la présence de </w:t>
      </w:r>
      <w:r w:rsidR="00392C9F">
        <w:t>M. Pereira</w:t>
      </w:r>
      <w:r w:rsidR="00A06935">
        <w:t xml:space="preserve"> sur les chantiers fait jaser</w:t>
      </w:r>
      <w:r w:rsidR="00523724">
        <w:t>, « </w:t>
      </w:r>
      <w:r w:rsidR="007D68E5">
        <w:rPr>
          <w:i/>
          <w:iCs/>
        </w:rPr>
        <w:t>tout le monde</w:t>
      </w:r>
      <w:r w:rsidR="007560A8">
        <w:rPr>
          <w:i/>
          <w:iCs/>
        </w:rPr>
        <w:t xml:space="preserve"> a</w:t>
      </w:r>
      <w:r w:rsidR="00523724" w:rsidRPr="00523724">
        <w:rPr>
          <w:i/>
          <w:iCs/>
        </w:rPr>
        <w:t xml:space="preserve"> peur </w:t>
      </w:r>
      <w:r w:rsidR="007560A8">
        <w:rPr>
          <w:i/>
          <w:iCs/>
        </w:rPr>
        <w:t xml:space="preserve">de ça </w:t>
      </w:r>
      <w:r w:rsidR="00523724" w:rsidRPr="00523724">
        <w:rPr>
          <w:i/>
          <w:iCs/>
        </w:rPr>
        <w:t>sans trop savoir pourquoi </w:t>
      </w:r>
      <w:r w:rsidR="00523724">
        <w:t>»</w:t>
      </w:r>
      <w:r>
        <w:rPr>
          <w:rStyle w:val="Appelnotedebasdep"/>
        </w:rPr>
        <w:footnoteReference w:id="41"/>
      </w:r>
      <w:r w:rsidR="006966D5">
        <w:t xml:space="preserve">. </w:t>
      </w:r>
      <w:r w:rsidR="00B733CD">
        <w:t xml:space="preserve"> M. Leblanc dit avoir tenté de leur expliquer que </w:t>
      </w:r>
      <w:r w:rsidR="00392C9F">
        <w:t>M. Pereira</w:t>
      </w:r>
      <w:r w:rsidR="00A27739">
        <w:t xml:space="preserve"> « </w:t>
      </w:r>
      <w:r w:rsidR="00A27739" w:rsidRPr="00ED749F">
        <w:rPr>
          <w:i/>
          <w:iCs/>
        </w:rPr>
        <w:t>avait dénoncé un bandit</w:t>
      </w:r>
      <w:r w:rsidR="00ED749F">
        <w:t> »</w:t>
      </w:r>
      <w:r>
        <w:rPr>
          <w:rStyle w:val="Appelnotedebasdep"/>
        </w:rPr>
        <w:footnoteReference w:id="42"/>
      </w:r>
      <w:r w:rsidR="006966D5">
        <w:t>,</w:t>
      </w:r>
      <w:r w:rsidR="00A27739">
        <w:t>  mais il constate que les gens ne comprennent pas</w:t>
      </w:r>
      <w:r w:rsidR="00CC3E39">
        <w:t xml:space="preserve"> malgré ses interventions</w:t>
      </w:r>
      <w:r w:rsidR="003F6B23">
        <w:t>. Il lui dit être satisfait de ses services et que Marcel Lizotte</w:t>
      </w:r>
      <w:r w:rsidR="000A0C42">
        <w:t xml:space="preserve"> et Jean-Philippe Émond, responsables </w:t>
      </w:r>
      <w:r w:rsidR="00C1066F">
        <w:t>pour Cogir</w:t>
      </w:r>
      <w:r w:rsidR="003F6B23">
        <w:t xml:space="preserve"> </w:t>
      </w:r>
      <w:r w:rsidR="00C1066F">
        <w:t>du</w:t>
      </w:r>
      <w:r w:rsidR="003F6B23">
        <w:t xml:space="preserve"> </w:t>
      </w:r>
      <w:r w:rsidR="002D459E">
        <w:t xml:space="preserve">chantier </w:t>
      </w:r>
      <w:r w:rsidR="00D571A2">
        <w:t xml:space="preserve">Le </w:t>
      </w:r>
      <w:r w:rsidR="002D459E">
        <w:t xml:space="preserve">Renoir </w:t>
      </w:r>
      <w:r w:rsidR="00C1066F">
        <w:t>étaient également « </w:t>
      </w:r>
      <w:r w:rsidR="00C1066F" w:rsidRPr="0001683C">
        <w:rPr>
          <w:i/>
          <w:iCs/>
        </w:rPr>
        <w:t>super content</w:t>
      </w:r>
      <w:r w:rsidR="003F7D62" w:rsidRPr="0001683C">
        <w:rPr>
          <w:i/>
          <w:iCs/>
        </w:rPr>
        <w:t xml:space="preserve">… Ken </w:t>
      </w:r>
      <w:r w:rsidR="0001683C" w:rsidRPr="0001683C">
        <w:rPr>
          <w:i/>
          <w:iCs/>
        </w:rPr>
        <w:t>c’est</w:t>
      </w:r>
      <w:r w:rsidR="003F7D62" w:rsidRPr="0001683C">
        <w:rPr>
          <w:i/>
          <w:iCs/>
        </w:rPr>
        <w:t xml:space="preserve"> un gars dédié pis il est travaillant pis il est</w:t>
      </w:r>
      <w:r w:rsidR="0001683C" w:rsidRPr="0001683C">
        <w:rPr>
          <w:i/>
          <w:iCs/>
        </w:rPr>
        <w:t xml:space="preserve"> là pis il nous aide</w:t>
      </w:r>
      <w:r w:rsidR="0001683C">
        <w:t> ». M. Leblanc ajoute même</w:t>
      </w:r>
      <w:r w:rsidR="00CF02BF">
        <w:t xml:space="preserve"> « … </w:t>
      </w:r>
      <w:r w:rsidR="00CF02BF" w:rsidRPr="00B74D75">
        <w:rPr>
          <w:i/>
          <w:iCs/>
        </w:rPr>
        <w:t>si c’était yink de moi, tu aurais resté avec nous autres, pis j’aurais pu te monter facilement</w:t>
      </w:r>
      <w:r w:rsidR="00B74D75" w:rsidRPr="00B74D75">
        <w:rPr>
          <w:i/>
          <w:iCs/>
        </w:rPr>
        <w:t>, mais…le monde ont peur esti, je sais pas comment te dire ça là.</w:t>
      </w:r>
      <w:r w:rsidR="00B74D75">
        <w:t> »</w:t>
      </w:r>
      <w:r>
        <w:rPr>
          <w:rStyle w:val="Appelnotedebasdep"/>
        </w:rPr>
        <w:footnoteReference w:id="43"/>
      </w:r>
      <w:r w:rsidR="00B126CD">
        <w:t xml:space="preserve"> </w:t>
      </w:r>
      <w:r w:rsidR="00B126CD" w:rsidRPr="00B126CD">
        <w:rPr>
          <w:i/>
          <w:iCs/>
        </w:rPr>
        <w:t>«… pis ce que tu as fait, tu l’as bien fait</w:t>
      </w:r>
      <w:r w:rsidR="00B126CD">
        <w:t> »</w:t>
      </w:r>
      <w:r>
        <w:rPr>
          <w:rStyle w:val="Appelnotedebasdep"/>
        </w:rPr>
        <w:footnoteReference w:id="44"/>
      </w:r>
      <w:r w:rsidR="00C940BE">
        <w:t>, « </w:t>
      </w:r>
      <w:r w:rsidR="00C27CF8" w:rsidRPr="0082762F">
        <w:rPr>
          <w:i/>
          <w:iCs/>
        </w:rPr>
        <w:t>si tu veux des références… ou quelqu’un qui m’appelle, je vais dire : </w:t>
      </w:r>
      <w:r w:rsidR="0082762F">
        <w:rPr>
          <w:i/>
          <w:iCs/>
        </w:rPr>
        <w:t>« </w:t>
      </w:r>
      <w:r w:rsidR="00C27CF8" w:rsidRPr="0082762F">
        <w:rPr>
          <w:i/>
          <w:iCs/>
        </w:rPr>
        <w:t>ben oui, ce gars-là est très dédié, prend-le</w:t>
      </w:r>
      <w:r w:rsidR="00CB3FB1" w:rsidRPr="0082762F">
        <w:rPr>
          <w:i/>
          <w:iCs/>
        </w:rPr>
        <w:t xml:space="preserve"> ça presse </w:t>
      </w:r>
      <w:r w:rsidR="00CB3FB1">
        <w:t>» »</w:t>
      </w:r>
      <w:r>
        <w:rPr>
          <w:rStyle w:val="Appelnotedebasdep"/>
        </w:rPr>
        <w:footnoteReference w:id="45"/>
      </w:r>
      <w:r w:rsidR="00CB3FB1">
        <w:t> </w:t>
      </w:r>
      <w:r w:rsidR="008305EB">
        <w:t xml:space="preserve">. Il lui dit </w:t>
      </w:r>
      <w:r w:rsidR="00537964">
        <w:t>à quelques reprises lors de cette conversation que</w:t>
      </w:r>
      <w:r w:rsidR="00F47490">
        <w:t>,</w:t>
      </w:r>
      <w:r w:rsidR="00537964">
        <w:t xml:space="preserve"> contrairement à ce que </w:t>
      </w:r>
      <w:r w:rsidR="00392C9F">
        <w:t>M. Pereira</w:t>
      </w:r>
      <w:r w:rsidR="00537964">
        <w:t xml:space="preserve"> </w:t>
      </w:r>
      <w:r w:rsidR="00D571A2">
        <w:t>avance</w:t>
      </w:r>
      <w:r w:rsidR="00537964">
        <w:t xml:space="preserve">, </w:t>
      </w:r>
      <w:r w:rsidR="008305EB">
        <w:t xml:space="preserve">cette </w:t>
      </w:r>
      <w:r w:rsidR="00EB1AC1">
        <w:t>crainte ou cette pression</w:t>
      </w:r>
      <w:r w:rsidR="008305EB">
        <w:t xml:space="preserve"> ne </w:t>
      </w:r>
      <w:r w:rsidR="0040258E">
        <w:t>vient</w:t>
      </w:r>
      <w:r w:rsidR="0082762F">
        <w:t xml:space="preserve"> pas du Fonds</w:t>
      </w:r>
      <w:r w:rsidR="0066113B">
        <w:t xml:space="preserve">. Ce sont des </w:t>
      </w:r>
      <w:r w:rsidR="00DC3BC6">
        <w:t>« </w:t>
      </w:r>
      <w:r w:rsidR="0066113B" w:rsidRPr="00DC3BC6">
        <w:rPr>
          <w:i/>
          <w:iCs/>
        </w:rPr>
        <w:t xml:space="preserve">gens loin du </w:t>
      </w:r>
      <w:r w:rsidR="0082762F" w:rsidRPr="00DC3BC6">
        <w:rPr>
          <w:i/>
          <w:iCs/>
        </w:rPr>
        <w:t>F</w:t>
      </w:r>
      <w:r w:rsidR="0066113B" w:rsidRPr="00DC3BC6">
        <w:rPr>
          <w:i/>
          <w:iCs/>
        </w:rPr>
        <w:t>onds</w:t>
      </w:r>
      <w:r w:rsidR="00DC3BC6">
        <w:t xml:space="preserve"> » </w:t>
      </w:r>
      <w:r w:rsidR="0066113B">
        <w:t>comme des entrepreneurs qui appellent</w:t>
      </w:r>
      <w:r w:rsidR="000D75D8">
        <w:t xml:space="preserve">. </w:t>
      </w:r>
      <w:r w:rsidR="005A62B4">
        <w:t xml:space="preserve">Puis il termine la conversation en disant à </w:t>
      </w:r>
      <w:r w:rsidR="00392C9F">
        <w:t>M. Pereira</w:t>
      </w:r>
      <w:r w:rsidR="004617DF">
        <w:t> :</w:t>
      </w:r>
      <w:r w:rsidR="005A62B4">
        <w:t xml:space="preserve"> « </w:t>
      </w:r>
      <w:r w:rsidR="005A62B4" w:rsidRPr="0040258E">
        <w:rPr>
          <w:i/>
          <w:iCs/>
        </w:rPr>
        <w:t xml:space="preserve">J’ai fait le maximum pour t’aider pis je me suis mis dans </w:t>
      </w:r>
      <w:r w:rsidR="008619D7" w:rsidRPr="0040258E">
        <w:rPr>
          <w:i/>
          <w:iCs/>
        </w:rPr>
        <w:t>marde un peu sincèrement, fait que, je t’ai toujours défendu, m’a te dire</w:t>
      </w:r>
      <w:r w:rsidR="008619D7">
        <w:t> »</w:t>
      </w:r>
      <w:r>
        <w:rPr>
          <w:rStyle w:val="Appelnotedebasdep"/>
        </w:rPr>
        <w:footnoteReference w:id="46"/>
      </w:r>
      <w:r>
        <w:t>.</w:t>
      </w:r>
    </w:p>
    <w:p w14:paraId="20A95643" w14:textId="77777777" w:rsidR="005E4CCF" w:rsidRDefault="00BD6B34" w:rsidP="00E37868">
      <w:pPr>
        <w:pStyle w:val="paragrapheno"/>
        <w:spacing w:line="240" w:lineRule="auto"/>
      </w:pPr>
      <w:r>
        <w:t xml:space="preserve">Dans son témoignage </w:t>
      </w:r>
      <w:r w:rsidR="0086534A">
        <w:t xml:space="preserve">lors de l’audience </w:t>
      </w:r>
      <w:r>
        <w:t xml:space="preserve">M. Leblanc </w:t>
      </w:r>
      <w:r w:rsidR="00BF0848">
        <w:t xml:space="preserve">ajoute que lorsqu’il fut informé de cette réaction des gens </w:t>
      </w:r>
      <w:r w:rsidR="00127E90">
        <w:t xml:space="preserve">face à la présence de M. </w:t>
      </w:r>
      <w:r w:rsidR="0016321C">
        <w:t>Pereira</w:t>
      </w:r>
      <w:r w:rsidR="000A70E0">
        <w:t xml:space="preserve">, </w:t>
      </w:r>
      <w:r w:rsidR="00BF0848">
        <w:t>il a</w:t>
      </w:r>
      <w:r w:rsidR="00650EFA">
        <w:t xml:space="preserve"> lu sur la commission Charbonneau et sur M. Pereira afin de pouvoir répondre aux inquiétudes qu’on lui rapportait</w:t>
      </w:r>
      <w:r w:rsidR="000A70E0">
        <w:t>,</w:t>
      </w:r>
      <w:r w:rsidR="00650EFA">
        <w:t xml:space="preserve"> mais il </w:t>
      </w:r>
      <w:r w:rsidR="007E73FC">
        <w:t xml:space="preserve">soutient que les </w:t>
      </w:r>
      <w:r w:rsidR="00E71C99">
        <w:t>gens ne</w:t>
      </w:r>
      <w:r w:rsidR="007E73FC">
        <w:t xml:space="preserve"> </w:t>
      </w:r>
      <w:r w:rsidR="007272F6">
        <w:t>comprenaient</w:t>
      </w:r>
      <w:r w:rsidR="007E73FC">
        <w:t xml:space="preserve"> pas</w:t>
      </w:r>
      <w:r w:rsidR="00B34579">
        <w:t xml:space="preserve"> même lorsqu’il leur expliquait que M. Pereira</w:t>
      </w:r>
      <w:r w:rsidR="00261C70">
        <w:t xml:space="preserve"> était du bon côté de l’histoire</w:t>
      </w:r>
      <w:r w:rsidR="00903ABA">
        <w:t xml:space="preserve">. </w:t>
      </w:r>
      <w:r w:rsidR="0016321C">
        <w:t xml:space="preserve">Les gens exprimaient de la crainte et de l’incompréhension de voir M. Pereira sur le chantier. </w:t>
      </w:r>
      <w:r w:rsidR="004A1BE8">
        <w:t xml:space="preserve">M. Leblanc </w:t>
      </w:r>
      <w:r w:rsidR="00CF1DD3">
        <w:t xml:space="preserve">ne souhaitait plus avoir à gérer cette turbulence que causait la présence de M. </w:t>
      </w:r>
      <w:r w:rsidR="007272F6">
        <w:t>Pereira</w:t>
      </w:r>
      <w:r w:rsidR="00CF1DD3">
        <w:t xml:space="preserve"> sur les chantier</w:t>
      </w:r>
      <w:r w:rsidR="007272F6">
        <w:t>s</w:t>
      </w:r>
      <w:r>
        <w:t>,</w:t>
      </w:r>
      <w:r w:rsidR="007272F6">
        <w:t xml:space="preserve"> c’était trop de pression</w:t>
      </w:r>
      <w:r w:rsidR="006966D5">
        <w:t xml:space="preserve"> non nécessaire</w:t>
      </w:r>
      <w:r w:rsidR="007272F6">
        <w:t xml:space="preserve">. </w:t>
      </w:r>
    </w:p>
    <w:p w14:paraId="1B5F0F99" w14:textId="77777777" w:rsidR="006B31D8" w:rsidRDefault="00BD6B34" w:rsidP="00E37868">
      <w:pPr>
        <w:pStyle w:val="paragrapheno"/>
        <w:spacing w:line="240" w:lineRule="auto"/>
      </w:pPr>
      <w:r>
        <w:lastRenderedPageBreak/>
        <w:t xml:space="preserve">Il </w:t>
      </w:r>
      <w:r w:rsidR="004C31FC">
        <w:t>affirm</w:t>
      </w:r>
      <w:r w:rsidR="0086534A">
        <w:t>e</w:t>
      </w:r>
      <w:r w:rsidR="004C31FC">
        <w:t xml:space="preserve"> qu’il y a </w:t>
      </w:r>
      <w:r w:rsidR="00F36E68">
        <w:t xml:space="preserve">aussi </w:t>
      </w:r>
      <w:r w:rsidR="004C31FC">
        <w:t>deux autre</w:t>
      </w:r>
      <w:r w:rsidR="00010D73">
        <w:t>s</w:t>
      </w:r>
      <w:r w:rsidR="004C31FC">
        <w:t xml:space="preserve"> motifs pour </w:t>
      </w:r>
      <w:r w:rsidR="004A1BE8">
        <w:t>justifier</w:t>
      </w:r>
      <w:r w:rsidR="00FA1887">
        <w:t xml:space="preserve"> </w:t>
      </w:r>
      <w:r w:rsidR="004C31FC">
        <w:t xml:space="preserve">la fin des services de </w:t>
      </w:r>
      <w:r w:rsidR="00392C9F">
        <w:t>M. Pereira</w:t>
      </w:r>
      <w:r w:rsidR="008E6F81">
        <w:t xml:space="preserve">. </w:t>
      </w:r>
    </w:p>
    <w:p w14:paraId="28E63075" w14:textId="77777777" w:rsidR="001019A3" w:rsidRDefault="00BD6B34" w:rsidP="00E37868">
      <w:pPr>
        <w:pStyle w:val="paragrapheno"/>
        <w:spacing w:line="240" w:lineRule="auto"/>
      </w:pPr>
      <w:r>
        <w:t>Le premier est l’</w:t>
      </w:r>
      <w:r w:rsidR="006411DF">
        <w:t>incompéten</w:t>
      </w:r>
      <w:r w:rsidR="00006966">
        <w:t>ce</w:t>
      </w:r>
      <w:r w:rsidR="006411DF">
        <w:t xml:space="preserve"> et</w:t>
      </w:r>
      <w:r w:rsidR="004C31FC">
        <w:t xml:space="preserve"> </w:t>
      </w:r>
      <w:r>
        <w:t xml:space="preserve">la </w:t>
      </w:r>
      <w:r w:rsidR="00CF30D8">
        <w:t>non-qualification de M. Pereira</w:t>
      </w:r>
      <w:r w:rsidR="004C31FC">
        <w:t xml:space="preserve"> pour être surintendant</w:t>
      </w:r>
      <w:r w:rsidR="006411DF">
        <w:t>.</w:t>
      </w:r>
      <w:r w:rsidR="006411DF" w:rsidRPr="006411DF">
        <w:t xml:space="preserve"> </w:t>
      </w:r>
      <w:r w:rsidR="006411DF">
        <w:t>M. Leblanc indique même</w:t>
      </w:r>
      <w:r w:rsidR="00C371C8">
        <w:t>,</w:t>
      </w:r>
      <w:r w:rsidR="006411DF">
        <w:t xml:space="preserve"> lors de l’audience, que dans la conversation du 7 septembre 2018, il ment à M. Pereira lorsqu’il lui dit</w:t>
      </w:r>
      <w:r w:rsidR="001C1046">
        <w:t xml:space="preserve"> que les gens qui ont travaillé avec lui étaient contents des services et</w:t>
      </w:r>
      <w:r w:rsidR="006411DF">
        <w:t xml:space="preserve"> que si ce n’était que de lui il l’aurait gardé. Il ne fait </w:t>
      </w:r>
      <w:r w:rsidR="00C75994">
        <w:t>toutefois</w:t>
      </w:r>
      <w:r w:rsidR="00284238">
        <w:t xml:space="preserve"> </w:t>
      </w:r>
      <w:r w:rsidR="006411DF">
        <w:t>pas ce</w:t>
      </w:r>
      <w:r w:rsidR="00284238">
        <w:t>s</w:t>
      </w:r>
      <w:r w:rsidR="006411DF">
        <w:t xml:space="preserve"> même</w:t>
      </w:r>
      <w:r w:rsidR="00284238">
        <w:t>s</w:t>
      </w:r>
      <w:r w:rsidR="006411DF">
        <w:t xml:space="preserve"> affirmation</w:t>
      </w:r>
      <w:r w:rsidR="00284238">
        <w:t>s à propos de son incompétence</w:t>
      </w:r>
      <w:r w:rsidR="00006966">
        <w:t xml:space="preserve"> et absence de qualification</w:t>
      </w:r>
      <w:r w:rsidR="006411DF">
        <w:t xml:space="preserve"> lors de son interrogatoire hors cour</w:t>
      </w:r>
      <w:r>
        <w:t>.</w:t>
      </w:r>
    </w:p>
    <w:p w14:paraId="21DDC41C" w14:textId="77777777" w:rsidR="004C31FC" w:rsidRDefault="00BD6B34" w:rsidP="00E37868">
      <w:pPr>
        <w:pStyle w:val="paragrapheno"/>
        <w:spacing w:line="240" w:lineRule="auto"/>
      </w:pPr>
      <w:r>
        <w:t>Le deuxième est une question budgétaire. Il ne p</w:t>
      </w:r>
      <w:r w:rsidR="00006966">
        <w:t>eut</w:t>
      </w:r>
      <w:r>
        <w:t xml:space="preserve"> se permettre d’avoir un salarié de plus sur le budget d</w:t>
      </w:r>
      <w:r w:rsidR="00C53B68">
        <w:t xml:space="preserve">u </w:t>
      </w:r>
      <w:r>
        <w:t>projet</w:t>
      </w:r>
      <w:r w:rsidR="00C53B68">
        <w:t xml:space="preserve"> Le Renoir puisque le surintendant</w:t>
      </w:r>
      <w:r w:rsidR="006119A7">
        <w:t>. M. Lizotte</w:t>
      </w:r>
      <w:r w:rsidR="00C53B68">
        <w:t xml:space="preserve"> était de retour</w:t>
      </w:r>
      <w:r>
        <w:t xml:space="preserve">. Il explique que chaque projet a son budget qu’il faut respecter </w:t>
      </w:r>
      <w:r w:rsidR="00010D73">
        <w:t>scrupuleusement</w:t>
      </w:r>
      <w:r>
        <w:t xml:space="preserve"> </w:t>
      </w:r>
      <w:r w:rsidR="00010D73">
        <w:t>si on veut atteindre les objectifs de rentabilité.</w:t>
      </w:r>
      <w:r w:rsidR="00135FAE">
        <w:t xml:space="preserve"> </w:t>
      </w:r>
      <w:r w:rsidR="00825B3C">
        <w:t xml:space="preserve">Ce dernier élément eu égard au budget est abordé par M. Leblanc lors de son interrogatoire hors cour. </w:t>
      </w:r>
    </w:p>
    <w:p w14:paraId="53B92436" w14:textId="77777777" w:rsidR="007F45C8" w:rsidRDefault="00BD6B34" w:rsidP="00E37868">
      <w:pPr>
        <w:pStyle w:val="paragrapheno"/>
        <w:spacing w:line="240" w:lineRule="auto"/>
      </w:pPr>
      <w:r>
        <w:t>M. Leblanc témoigne ne jamais avoir parlé de M. Pereira à des représentants du Fonds ou du Fonds immobilier</w:t>
      </w:r>
      <w:r w:rsidR="00006966">
        <w:t xml:space="preserve"> et ne pas avoir eu de pression de ceux-ci pour </w:t>
      </w:r>
      <w:r w:rsidR="00EC6F88">
        <w:t>qu’il mett</w:t>
      </w:r>
      <w:r w:rsidR="00006966">
        <w:t>e fin à la relation avec M. Pereira</w:t>
      </w:r>
      <w:r>
        <w:t>.</w:t>
      </w:r>
    </w:p>
    <w:p w14:paraId="00AF14BF" w14:textId="77777777" w:rsidR="004617DF" w:rsidRDefault="00BD6B34" w:rsidP="00E37868">
      <w:pPr>
        <w:pStyle w:val="paragrapheno"/>
        <w:spacing w:line="240" w:lineRule="auto"/>
      </w:pPr>
      <w:r>
        <w:t xml:space="preserve">Un peu après cet </w:t>
      </w:r>
      <w:r w:rsidR="00154A07">
        <w:t>appel</w:t>
      </w:r>
      <w:r>
        <w:t xml:space="preserve">, </w:t>
      </w:r>
      <w:r w:rsidR="00392C9F">
        <w:t>M. Pereira</w:t>
      </w:r>
      <w:r>
        <w:t xml:space="preserve"> reçoit </w:t>
      </w:r>
      <w:r w:rsidR="00150DCC">
        <w:t xml:space="preserve">un </w:t>
      </w:r>
      <w:r w:rsidR="00154A07">
        <w:t>appel</w:t>
      </w:r>
      <w:r>
        <w:t xml:space="preserve"> de M. Duguay</w:t>
      </w:r>
      <w:r w:rsidR="00154A07">
        <w:t xml:space="preserve"> lequel est aussi enregistré </w:t>
      </w:r>
      <w:r w:rsidR="001300ED">
        <w:t xml:space="preserve">par </w:t>
      </w:r>
      <w:r w:rsidR="00392C9F">
        <w:t>M. Pereira</w:t>
      </w:r>
      <w:r>
        <w:rPr>
          <w:rStyle w:val="Appelnotedebasdep"/>
        </w:rPr>
        <w:footnoteReference w:id="47"/>
      </w:r>
      <w:r w:rsidR="00150DCC">
        <w:t>.</w:t>
      </w:r>
    </w:p>
    <w:p w14:paraId="57BB90CB" w14:textId="77777777" w:rsidR="007D09DA" w:rsidRDefault="00BD6B34" w:rsidP="00E37868">
      <w:pPr>
        <w:pStyle w:val="paragrapheno"/>
        <w:spacing w:line="240" w:lineRule="auto"/>
      </w:pPr>
      <w:r>
        <w:t>Encore une fois</w:t>
      </w:r>
      <w:r w:rsidR="00B41B27">
        <w:t>,</w:t>
      </w:r>
      <w:r>
        <w:t xml:space="preserve"> il ressort de cette conversation que M. </w:t>
      </w:r>
      <w:r w:rsidR="006B233C">
        <w:t>Leblanc</w:t>
      </w:r>
      <w:r>
        <w:t xml:space="preserve"> appréci</w:t>
      </w:r>
      <w:r w:rsidR="00006966">
        <w:t>e</w:t>
      </w:r>
      <w:r w:rsidR="004E7282">
        <w:t xml:space="preserve"> les services rendu</w:t>
      </w:r>
      <w:r w:rsidR="00B553C5">
        <w:t>s</w:t>
      </w:r>
      <w:r w:rsidR="004E7282">
        <w:t xml:space="preserve"> par </w:t>
      </w:r>
      <w:r w:rsidR="00392C9F">
        <w:t>M. Pereira</w:t>
      </w:r>
      <w:r w:rsidR="00710020">
        <w:t>,</w:t>
      </w:r>
      <w:r w:rsidR="004E7282">
        <w:t xml:space="preserve"> mais ils ont eu des appels et de la </w:t>
      </w:r>
      <w:r w:rsidR="006B233C">
        <w:t>pression</w:t>
      </w:r>
      <w:r w:rsidR="004E7282">
        <w:t xml:space="preserve">. Sa présence sur les chantiers ne </w:t>
      </w:r>
      <w:r w:rsidR="006B233C">
        <w:t>passait</w:t>
      </w:r>
      <w:r w:rsidR="004E7282">
        <w:t xml:space="preserve"> pas inaper</w:t>
      </w:r>
      <w:r w:rsidR="006B233C">
        <w:t>çue</w:t>
      </w:r>
      <w:r w:rsidR="00063F7B">
        <w:t xml:space="preserve"> et ne laissait personne indifférent. </w:t>
      </w:r>
      <w:r w:rsidR="00B421B1">
        <w:t>Il mentionne notamment : «…</w:t>
      </w:r>
      <w:r w:rsidR="00B421B1" w:rsidRPr="00411BD2">
        <w:rPr>
          <w:i/>
          <w:iCs/>
        </w:rPr>
        <w:t>j’avais toute sorte de petites… de petites pressio</w:t>
      </w:r>
      <w:r w:rsidR="0069198F" w:rsidRPr="00411BD2">
        <w:rPr>
          <w:i/>
          <w:iCs/>
        </w:rPr>
        <w:t>n là…  dans … 1 an là, je vais en avoir moins sur les épaules dans ce sens</w:t>
      </w:r>
      <w:r w:rsidR="004A40BB" w:rsidRPr="00411BD2">
        <w:rPr>
          <w:i/>
          <w:iCs/>
        </w:rPr>
        <w:t>-là</w:t>
      </w:r>
      <w:r w:rsidR="004A40BB">
        <w:t>… »</w:t>
      </w:r>
      <w:r>
        <w:rPr>
          <w:rStyle w:val="Appelnotedebasdep"/>
        </w:rPr>
        <w:footnoteReference w:id="48"/>
      </w:r>
      <w:r w:rsidR="00150DCC">
        <w:t>.</w:t>
      </w:r>
    </w:p>
    <w:p w14:paraId="51AE986F" w14:textId="77777777" w:rsidR="00A46E23" w:rsidRDefault="00BD6B34" w:rsidP="00E37868">
      <w:pPr>
        <w:pStyle w:val="paragrapheno"/>
        <w:spacing w:line="240" w:lineRule="auto"/>
      </w:pPr>
      <w:r>
        <w:t xml:space="preserve">À </w:t>
      </w:r>
      <w:r w:rsidR="002468C6">
        <w:t>l’</w:t>
      </w:r>
      <w:r>
        <w:t xml:space="preserve">audience, </w:t>
      </w:r>
      <w:r w:rsidR="00EF1C2F">
        <w:t>alors</w:t>
      </w:r>
      <w:r w:rsidR="00F016AB">
        <w:t xml:space="preserve"> que </w:t>
      </w:r>
      <w:r>
        <w:t xml:space="preserve">M. Duguay </w:t>
      </w:r>
      <w:r w:rsidR="00F016AB">
        <w:t>parait exaspéré des questions de M. Pereira</w:t>
      </w:r>
      <w:r w:rsidR="00153F67">
        <w:t xml:space="preserve">, il </w:t>
      </w:r>
      <w:r>
        <w:t xml:space="preserve">affirme </w:t>
      </w:r>
      <w:r w:rsidR="002468C6">
        <w:t>qu’il a voulu le ménager en ne lui disant pas que M. Leblanc n’était pas satisfait</w:t>
      </w:r>
      <w:r w:rsidR="003E53A1">
        <w:t xml:space="preserve">, </w:t>
      </w:r>
      <w:r w:rsidR="001B2B3D">
        <w:t>qu’il n’avait pas les compétences</w:t>
      </w:r>
      <w:r w:rsidR="00D56CAF">
        <w:t xml:space="preserve"> et </w:t>
      </w:r>
      <w:r w:rsidR="002468C6">
        <w:t>que</w:t>
      </w:r>
      <w:r w:rsidR="001E27AC">
        <w:t>, selon M. Leblanc,</w:t>
      </w:r>
      <w:r w:rsidR="002468C6">
        <w:t xml:space="preserve"> </w:t>
      </w:r>
      <w:r w:rsidR="00392C9F">
        <w:t>M. Pereira</w:t>
      </w:r>
      <w:r w:rsidR="002468C6">
        <w:t xml:space="preserve"> n</w:t>
      </w:r>
      <w:r w:rsidR="00C11AB5">
        <w:t>’</w:t>
      </w:r>
      <w:r w:rsidR="002468C6">
        <w:t>avait pas de valeur ajouté</w:t>
      </w:r>
      <w:r w:rsidR="00DA367E">
        <w:t>e</w:t>
      </w:r>
      <w:r w:rsidR="00C11AB5">
        <w:t xml:space="preserve"> sur le chantier.</w:t>
      </w:r>
      <w:r w:rsidR="00D577E8">
        <w:t xml:space="preserve"> Selon M. Duguay la décision de mettre fin à la relation avec M. Pereira fut prise par M. Leblanc.</w:t>
      </w:r>
    </w:p>
    <w:p w14:paraId="321AB3B7" w14:textId="77777777" w:rsidR="00C21951" w:rsidRDefault="00BD6B34" w:rsidP="00E37868">
      <w:pPr>
        <w:pStyle w:val="paragrapheno"/>
        <w:spacing w:line="240" w:lineRule="auto"/>
      </w:pPr>
      <w:r>
        <w:t xml:space="preserve">Il affirme ne jamais avoir eu </w:t>
      </w:r>
      <w:r w:rsidR="009A4C61">
        <w:t xml:space="preserve">personnellement </w:t>
      </w:r>
      <w:r>
        <w:t xml:space="preserve">de pression de </w:t>
      </w:r>
      <w:r w:rsidR="003A644D">
        <w:t xml:space="preserve">qui que ce soit, </w:t>
      </w:r>
      <w:r w:rsidR="007F45C8">
        <w:t xml:space="preserve">de la </w:t>
      </w:r>
      <w:r w:rsidR="003A644D">
        <w:t>FTQ,</w:t>
      </w:r>
      <w:r w:rsidR="007F45C8">
        <w:t xml:space="preserve"> de la</w:t>
      </w:r>
      <w:r w:rsidR="003A644D">
        <w:t xml:space="preserve"> FTQ-Construction, </w:t>
      </w:r>
      <w:r w:rsidR="007F45C8">
        <w:t xml:space="preserve">du </w:t>
      </w:r>
      <w:r w:rsidR="003A644D">
        <w:t>Fo</w:t>
      </w:r>
      <w:r w:rsidR="00526B2C">
        <w:t>n</w:t>
      </w:r>
      <w:r w:rsidR="003A644D">
        <w:t>ds ou</w:t>
      </w:r>
      <w:r w:rsidR="007F45C8">
        <w:t xml:space="preserve"> du</w:t>
      </w:r>
      <w:r w:rsidR="003A644D">
        <w:t xml:space="preserve"> Fonds immobilier</w:t>
      </w:r>
      <w:r w:rsidR="00526B2C">
        <w:t xml:space="preserve"> pour mettre fin à la relation avec </w:t>
      </w:r>
      <w:r w:rsidR="00392C9F">
        <w:t>M. Pereira</w:t>
      </w:r>
      <w:r w:rsidR="00526B2C">
        <w:t>.</w:t>
      </w:r>
      <w:r w:rsidR="006805AE">
        <w:t xml:space="preserve"> Il évalue que l</w:t>
      </w:r>
      <w:r w:rsidR="00006966">
        <w:t>a participation du</w:t>
      </w:r>
      <w:r w:rsidR="006805AE">
        <w:t xml:space="preserve"> Fonds, que ce soit la division </w:t>
      </w:r>
      <w:r w:rsidR="003D0190">
        <w:t>divertissement ou le Fonds immobilier</w:t>
      </w:r>
      <w:r w:rsidR="00006966">
        <w:t>,</w:t>
      </w:r>
      <w:r w:rsidR="003D0190">
        <w:t xml:space="preserve"> </w:t>
      </w:r>
      <w:r w:rsidR="00006966">
        <w:t>représente</w:t>
      </w:r>
      <w:r w:rsidR="00F47D5E">
        <w:t xml:space="preserve"> à peine à 1% des actifs sous gestion</w:t>
      </w:r>
      <w:r w:rsidR="00F245EB">
        <w:t xml:space="preserve"> de Cogir</w:t>
      </w:r>
      <w:r w:rsidR="00F47D5E">
        <w:t>. Il ne leur doit donc rien.</w:t>
      </w:r>
    </w:p>
    <w:p w14:paraId="456D41B5" w14:textId="77777777" w:rsidR="000A14FC" w:rsidRDefault="00BD6B34" w:rsidP="00E37868">
      <w:pPr>
        <w:pStyle w:val="paragrapheno"/>
        <w:spacing w:line="240" w:lineRule="auto"/>
      </w:pPr>
      <w:r>
        <w:lastRenderedPageBreak/>
        <w:t>Environ un mois plus tard,</w:t>
      </w:r>
      <w:r w:rsidR="004A7EBE">
        <w:t xml:space="preserve"> soit le 1</w:t>
      </w:r>
      <w:r w:rsidR="004A7EBE" w:rsidRPr="004A7EBE">
        <w:rPr>
          <w:vertAlign w:val="superscript"/>
        </w:rPr>
        <w:t>e</w:t>
      </w:r>
      <w:r w:rsidR="004A7EBE">
        <w:t xml:space="preserve"> novembre 20</w:t>
      </w:r>
      <w:r w:rsidR="003437EA">
        <w:t>1</w:t>
      </w:r>
      <w:r w:rsidR="004A7EBE">
        <w:t xml:space="preserve">8, </w:t>
      </w:r>
      <w:r w:rsidR="00392C9F">
        <w:t>M. Pereira</w:t>
      </w:r>
      <w:r>
        <w:t xml:space="preserve"> revoit M. Duguay dans le bureau de ce dernier afin de lui </w:t>
      </w:r>
      <w:r w:rsidR="0053012A">
        <w:t>demander</w:t>
      </w:r>
      <w:r>
        <w:t xml:space="preserve"> de rencontrer </w:t>
      </w:r>
      <w:r w:rsidR="000225A2">
        <w:t>un entrepreneur</w:t>
      </w:r>
      <w:r>
        <w:t xml:space="preserve"> qui souhaite faire affaire</w:t>
      </w:r>
      <w:r w:rsidR="00C945DB">
        <w:t>s</w:t>
      </w:r>
      <w:r>
        <w:t xml:space="preserve"> avec</w:t>
      </w:r>
      <w:r w:rsidR="00601461">
        <w:t xml:space="preserve"> </w:t>
      </w:r>
      <w:r>
        <w:t>le Fonds et afin également</w:t>
      </w:r>
      <w:r w:rsidR="00130287">
        <w:t>,</w:t>
      </w:r>
      <w:r>
        <w:t xml:space="preserve"> comme il le reconnaît </w:t>
      </w:r>
      <w:r w:rsidR="00066143">
        <w:t>d’</w:t>
      </w:r>
      <w:r w:rsidR="0053012A">
        <w:t>emblée</w:t>
      </w:r>
      <w:r w:rsidR="00130287">
        <w:t>,</w:t>
      </w:r>
      <w:r>
        <w:t xml:space="preserve"> </w:t>
      </w:r>
      <w:r w:rsidR="00130287">
        <w:t>d’</w:t>
      </w:r>
      <w:r>
        <w:t>essay</w:t>
      </w:r>
      <w:r w:rsidR="00774B70">
        <w:t>er</w:t>
      </w:r>
      <w:r>
        <w:t xml:space="preserve"> d’</w:t>
      </w:r>
      <w:r w:rsidR="00C945DB">
        <w:t>obteni</w:t>
      </w:r>
      <w:r>
        <w:t>r de la preuve sur la pre</w:t>
      </w:r>
      <w:r w:rsidR="00261299">
        <w:t xml:space="preserve">ssion qu’il croit que le Fonds </w:t>
      </w:r>
      <w:r w:rsidR="00130287">
        <w:t>exerce</w:t>
      </w:r>
      <w:r w:rsidR="00261299">
        <w:t xml:space="preserve"> sur les e</w:t>
      </w:r>
      <w:r>
        <w:t>m</w:t>
      </w:r>
      <w:r w:rsidR="00261299">
        <w:t>ployeur</w:t>
      </w:r>
      <w:r w:rsidR="00B64447">
        <w:t>s</w:t>
      </w:r>
      <w:r w:rsidR="00261299">
        <w:t xml:space="preserve"> </w:t>
      </w:r>
      <w:r w:rsidR="00112EE4">
        <w:t xml:space="preserve">comme Cogir </w:t>
      </w:r>
      <w:r w:rsidR="00261299">
        <w:t xml:space="preserve">afin </w:t>
      </w:r>
      <w:r w:rsidR="00066143">
        <w:t>d</w:t>
      </w:r>
      <w:r w:rsidR="00BA59E4">
        <w:t>e l</w:t>
      </w:r>
      <w:r w:rsidR="00066143">
        <w:t>’empêcher</w:t>
      </w:r>
      <w:r w:rsidR="00BA59E4">
        <w:t xml:space="preserve"> </w:t>
      </w:r>
      <w:r w:rsidR="00261299">
        <w:t xml:space="preserve">de </w:t>
      </w:r>
      <w:r w:rsidR="00066143">
        <w:t>retourner</w:t>
      </w:r>
      <w:r w:rsidR="00261299">
        <w:t xml:space="preserve"> sur le</w:t>
      </w:r>
      <w:r w:rsidR="00BC0BF7">
        <w:t>s</w:t>
      </w:r>
      <w:r w:rsidR="00261299">
        <w:t xml:space="preserve"> chantier</w:t>
      </w:r>
      <w:r w:rsidR="00BC0BF7">
        <w:t>s</w:t>
      </w:r>
      <w:r w:rsidR="00261299">
        <w:t>.</w:t>
      </w:r>
    </w:p>
    <w:p w14:paraId="0B7E8883" w14:textId="77777777" w:rsidR="00261299" w:rsidRDefault="00BD6B34" w:rsidP="00E37868">
      <w:pPr>
        <w:pStyle w:val="paragrapheno"/>
        <w:spacing w:line="240" w:lineRule="auto"/>
      </w:pPr>
      <w:r>
        <w:t xml:space="preserve">Cette conversation est également </w:t>
      </w:r>
      <w:r w:rsidR="00872920">
        <w:t>enregistrée</w:t>
      </w:r>
      <w:r>
        <w:t xml:space="preserve"> </w:t>
      </w:r>
      <w:r w:rsidR="00066143">
        <w:t>par</w:t>
      </w:r>
      <w:r>
        <w:t xml:space="preserve"> </w:t>
      </w:r>
      <w:r w:rsidR="00392C9F">
        <w:t>M. Pereira</w:t>
      </w:r>
      <w:r>
        <w:rPr>
          <w:rStyle w:val="Appelnotedebasdep"/>
        </w:rPr>
        <w:footnoteReference w:id="49"/>
      </w:r>
      <w:r w:rsidR="00112EE4">
        <w:t>.</w:t>
      </w:r>
    </w:p>
    <w:p w14:paraId="1047AF35" w14:textId="77777777" w:rsidR="00503CED" w:rsidRDefault="00BD6B34" w:rsidP="00E37868">
      <w:pPr>
        <w:pStyle w:val="paragrapheno"/>
        <w:spacing w:line="240" w:lineRule="auto"/>
      </w:pPr>
      <w:r>
        <w:t xml:space="preserve">Le </w:t>
      </w:r>
      <w:r w:rsidR="00BC0BF7">
        <w:t>T</w:t>
      </w:r>
      <w:r>
        <w:t>ribunal y revient</w:t>
      </w:r>
      <w:r w:rsidR="00662014">
        <w:t xml:space="preserve"> à la section suivante </w:t>
      </w:r>
      <w:bookmarkStart w:id="3" w:name="_Hlk196229913"/>
      <w:r w:rsidR="00662014">
        <w:t>puisque Cogir estime que cet enregistrement doit être écarté</w:t>
      </w:r>
      <w:r w:rsidR="00D52DDC">
        <w:t xml:space="preserve"> </w:t>
      </w:r>
      <w:r w:rsidR="00D5563F">
        <w:t xml:space="preserve">pour absence de valeur probante </w:t>
      </w:r>
      <w:r w:rsidR="00D52DDC">
        <w:t>en raison de la ruse qu’aurait utilisé</w:t>
      </w:r>
      <w:r w:rsidR="00006966">
        <w:t>e</w:t>
      </w:r>
      <w:r w:rsidR="00D52DDC">
        <w:t xml:space="preserve"> M. Pereira pour obtenir cette preuve</w:t>
      </w:r>
      <w:bookmarkEnd w:id="3"/>
      <w:r w:rsidR="00D52DDC">
        <w:t>.</w:t>
      </w:r>
    </w:p>
    <w:p w14:paraId="29193EC6" w14:textId="77777777" w:rsidR="00350982" w:rsidRDefault="00BD6B34" w:rsidP="00E37868">
      <w:pPr>
        <w:pStyle w:val="paragrapheno"/>
        <w:spacing w:line="240" w:lineRule="auto"/>
      </w:pPr>
      <w:r>
        <w:t>Un an après la fin de la relation</w:t>
      </w:r>
      <w:r w:rsidR="00D5558B">
        <w:t xml:space="preserve">, soit le </w:t>
      </w:r>
      <w:r w:rsidR="00F5671B">
        <w:t>9 septembre</w:t>
      </w:r>
      <w:r w:rsidR="00A71C1A">
        <w:t xml:space="preserve"> 2019, </w:t>
      </w:r>
      <w:r w:rsidR="00392C9F">
        <w:t>M. Pereira</w:t>
      </w:r>
      <w:r w:rsidR="00A71C1A">
        <w:t xml:space="preserve"> </w:t>
      </w:r>
      <w:r w:rsidR="006771D9">
        <w:t>provoque</w:t>
      </w:r>
      <w:r w:rsidR="00A71C1A">
        <w:t xml:space="preserve"> une rencontre avec M. Leblanc. Il cherche encore des preuve</w:t>
      </w:r>
      <w:r w:rsidR="00353EC4">
        <w:t>s</w:t>
      </w:r>
      <w:r w:rsidR="00A71C1A">
        <w:t xml:space="preserve"> </w:t>
      </w:r>
      <w:r w:rsidR="00F352D7">
        <w:t>que le Fonds l’empêche de pouvoir travailler dans l’</w:t>
      </w:r>
      <w:r w:rsidR="00063783">
        <w:t>industrie</w:t>
      </w:r>
      <w:r w:rsidR="00F352D7">
        <w:t xml:space="preserve"> de la construction et qu</w:t>
      </w:r>
      <w:r w:rsidR="00794742">
        <w:t>’il</w:t>
      </w:r>
      <w:r w:rsidR="00F352D7">
        <w:t xml:space="preserve"> </w:t>
      </w:r>
      <w:r w:rsidR="00006966">
        <w:t>est responsable de</w:t>
      </w:r>
      <w:r w:rsidR="00063783">
        <w:t xml:space="preserve"> la fin de </w:t>
      </w:r>
      <w:r w:rsidR="00353EC4">
        <w:t>s</w:t>
      </w:r>
      <w:r w:rsidR="00063783">
        <w:t>a relation avec Cogir.</w:t>
      </w:r>
    </w:p>
    <w:p w14:paraId="488A0673" w14:textId="77777777" w:rsidR="008D1BE9" w:rsidRDefault="00BD6B34" w:rsidP="00E37868">
      <w:pPr>
        <w:pStyle w:val="paragrapheno"/>
        <w:spacing w:line="240" w:lineRule="auto"/>
      </w:pPr>
      <w:r>
        <w:t xml:space="preserve">Il le rencontre donc près du </w:t>
      </w:r>
      <w:r w:rsidR="00254480">
        <w:t>chantier</w:t>
      </w:r>
      <w:r>
        <w:t xml:space="preserve"> Hum</w:t>
      </w:r>
      <w:r w:rsidR="003E6CE4">
        <w:t>a</w:t>
      </w:r>
      <w:r>
        <w:t>niti et enregistre la conversation</w:t>
      </w:r>
      <w:r w:rsidR="003274F6">
        <w:t xml:space="preserve">. </w:t>
      </w:r>
      <w:r w:rsidR="00AB62D6">
        <w:t>L</w:t>
      </w:r>
      <w:r w:rsidR="0010049B">
        <w:t xml:space="preserve">e </w:t>
      </w:r>
      <w:r w:rsidR="00AB62D6">
        <w:t xml:space="preserve">Tribunal revient </w:t>
      </w:r>
      <w:r w:rsidR="007C31AD">
        <w:t xml:space="preserve">plus en détail </w:t>
      </w:r>
      <w:r w:rsidR="00AB62D6">
        <w:t>sur ce</w:t>
      </w:r>
      <w:r w:rsidR="0010049B">
        <w:t>t</w:t>
      </w:r>
      <w:r w:rsidR="00AB62D6">
        <w:t xml:space="preserve">te conversation </w:t>
      </w:r>
      <w:r w:rsidR="00642552">
        <w:t xml:space="preserve">également </w:t>
      </w:r>
      <w:r w:rsidR="00AB62D6">
        <w:t xml:space="preserve">dans la section </w:t>
      </w:r>
      <w:r w:rsidR="00AB31A5">
        <w:t xml:space="preserve">suivante, </w:t>
      </w:r>
      <w:r w:rsidR="000225A2" w:rsidRPr="000225A2">
        <w:t xml:space="preserve">puisque Cogir estime que cet enregistrement doit être écarté pour absence de valeur probante en raison de la ruse qu’aurait utilisée M. Pereira pour obtenir cette preuve </w:t>
      </w:r>
      <w:r w:rsidR="0010049B">
        <w:t>.</w:t>
      </w:r>
    </w:p>
    <w:p w14:paraId="72263F6B" w14:textId="77777777" w:rsidR="00C17C5B" w:rsidRDefault="00BD6B34" w:rsidP="00E37868">
      <w:pPr>
        <w:pStyle w:val="paragrapheno"/>
        <w:spacing w:line="240" w:lineRule="auto"/>
      </w:pPr>
      <w:r>
        <w:t>M. Pereira</w:t>
      </w:r>
      <w:r w:rsidR="00BA33B6">
        <w:t xml:space="preserve"> reconnaît qu’après </w:t>
      </w:r>
      <w:r w:rsidR="00396327">
        <w:t xml:space="preserve">avoir quitté </w:t>
      </w:r>
      <w:r w:rsidR="00BA33B6">
        <w:t>Cogir</w:t>
      </w:r>
      <w:r w:rsidR="00006966">
        <w:t>,</w:t>
      </w:r>
      <w:r w:rsidR="00BA33B6">
        <w:t xml:space="preserve"> il a obtenu par le biais d’une agence un</w:t>
      </w:r>
      <w:r w:rsidR="0033734B">
        <w:t xml:space="preserve"> emploi sur un chantier situé dans l’usine de Kraft </w:t>
      </w:r>
      <w:r w:rsidR="008674E6">
        <w:t xml:space="preserve">à Montréal </w:t>
      </w:r>
      <w:r w:rsidR="0033734B">
        <w:t xml:space="preserve">et que </w:t>
      </w:r>
      <w:r w:rsidR="00977596">
        <w:t>c’est</w:t>
      </w:r>
      <w:r w:rsidR="0033734B">
        <w:t xml:space="preserve"> à la suite de pression</w:t>
      </w:r>
      <w:r w:rsidR="00A40C27">
        <w:t>s</w:t>
      </w:r>
      <w:r w:rsidR="0033734B">
        <w:t xml:space="preserve"> du </w:t>
      </w:r>
      <w:r w:rsidR="00972520">
        <w:t>CPQMC qu’il</w:t>
      </w:r>
      <w:r w:rsidR="00977596">
        <w:t xml:space="preserve"> a dû quitter ce chantier le lendemain de son arrivée.</w:t>
      </w:r>
      <w:r w:rsidR="00236623">
        <w:t xml:space="preserve"> </w:t>
      </w:r>
      <w:r w:rsidR="00E0716D">
        <w:t>Lors</w:t>
      </w:r>
      <w:r w:rsidR="002024B3">
        <w:t xml:space="preserve"> de son contre-interrogatoire</w:t>
      </w:r>
      <w:r w:rsidR="00E0716D">
        <w:t xml:space="preserve"> par l’avocat du Fonds</w:t>
      </w:r>
      <w:r w:rsidR="002024B3">
        <w:t>, il</w:t>
      </w:r>
      <w:r w:rsidR="00236623">
        <w:t xml:space="preserve"> </w:t>
      </w:r>
      <w:r w:rsidR="008674E6">
        <w:t>reconnaît</w:t>
      </w:r>
      <w:r w:rsidR="00236623">
        <w:t xml:space="preserve"> que des travailleurs </w:t>
      </w:r>
      <w:r w:rsidR="00006966">
        <w:t xml:space="preserve">du CPQMC l’ont vu sur le chantier et que si des travailleurs le voient </w:t>
      </w:r>
      <w:r w:rsidR="00236623">
        <w:t>sur un chantier</w:t>
      </w:r>
      <w:r w:rsidR="00006966">
        <w:t xml:space="preserve">, </w:t>
      </w:r>
      <w:r w:rsidR="00C16052">
        <w:t>ils appellent</w:t>
      </w:r>
      <w:r w:rsidR="00236623">
        <w:t xml:space="preserve"> leur syndicat pour </w:t>
      </w:r>
      <w:r w:rsidR="00B13641">
        <w:t>l’informer de sa présence</w:t>
      </w:r>
      <w:r w:rsidR="00236623">
        <w:t xml:space="preserve"> et ainsi être dans leur bonne grâce</w:t>
      </w:r>
      <w:r w:rsidR="0082124D">
        <w:t xml:space="preserve"> et en tirer</w:t>
      </w:r>
      <w:r w:rsidR="00B13641">
        <w:t>,</w:t>
      </w:r>
      <w:r w:rsidR="0082124D">
        <w:t xml:space="preserve"> pensent</w:t>
      </w:r>
      <w:r w:rsidR="00DA0693">
        <w:t>-</w:t>
      </w:r>
      <w:r w:rsidR="0082124D">
        <w:t>ils</w:t>
      </w:r>
      <w:r w:rsidR="00B13641">
        <w:t>,</w:t>
      </w:r>
      <w:r w:rsidR="0082124D">
        <w:t xml:space="preserve"> un avantage personnel</w:t>
      </w:r>
      <w:r w:rsidR="00DA0693">
        <w:t>.</w:t>
      </w:r>
    </w:p>
    <w:p w14:paraId="405BDD50" w14:textId="77777777" w:rsidR="0067640B" w:rsidRDefault="00BD6B34" w:rsidP="00E37868">
      <w:pPr>
        <w:pStyle w:val="paragrapheno"/>
        <w:spacing w:line="240" w:lineRule="auto"/>
      </w:pPr>
      <w:r>
        <w:t xml:space="preserve">M. Aubuchon, la personne contact de Cogir </w:t>
      </w:r>
      <w:r w:rsidR="000C3FE3">
        <w:t>au</w:t>
      </w:r>
      <w:r>
        <w:t xml:space="preserve"> Fonds</w:t>
      </w:r>
      <w:r w:rsidR="002F5F9A">
        <w:t xml:space="preserve"> </w:t>
      </w:r>
      <w:r w:rsidR="00BC687B">
        <w:t>pour le volet hôtelier du projet Humaniti</w:t>
      </w:r>
      <w:r>
        <w:t>,</w:t>
      </w:r>
      <w:r w:rsidR="00BC687B">
        <w:t xml:space="preserve"> </w:t>
      </w:r>
      <w:r w:rsidR="002F5F9A">
        <w:t>témoigne brièvement</w:t>
      </w:r>
      <w:r w:rsidR="00914B48">
        <w:t>.</w:t>
      </w:r>
    </w:p>
    <w:p w14:paraId="1F462034" w14:textId="77777777" w:rsidR="004E582A" w:rsidRDefault="00BD6B34" w:rsidP="004E582A">
      <w:pPr>
        <w:pStyle w:val="paragrapheno"/>
        <w:spacing w:line="240" w:lineRule="auto"/>
      </w:pPr>
      <w:r w:rsidRPr="000347AF">
        <w:t>Il est le directeur investissement de la division divertissement depuis 20 ans. Il se trouve au 4</w:t>
      </w:r>
      <w:r w:rsidRPr="000347AF">
        <w:rPr>
          <w:vertAlign w:val="superscript"/>
        </w:rPr>
        <w:t>e</w:t>
      </w:r>
      <w:r w:rsidRPr="000347AF">
        <w:t xml:space="preserve"> palier hiérarchique</w:t>
      </w:r>
      <w:r>
        <w:t xml:space="preserve"> en partant du sommet. La présidente est Janie Béïque.</w:t>
      </w:r>
    </w:p>
    <w:p w14:paraId="604E3212" w14:textId="77777777" w:rsidR="0041274D" w:rsidRDefault="00BD6B34" w:rsidP="00E37868">
      <w:pPr>
        <w:pStyle w:val="paragrapheno"/>
        <w:spacing w:line="240" w:lineRule="auto"/>
      </w:pPr>
      <w:r w:rsidRPr="000347AF">
        <w:t xml:space="preserve">Il explique que le Fonds comprend 24 divisions, chacune se concentrant </w:t>
      </w:r>
      <w:r w:rsidR="00D86A13">
        <w:t>sur d</w:t>
      </w:r>
      <w:r w:rsidR="000347AF" w:rsidRPr="000347AF">
        <w:t xml:space="preserve">es investissements </w:t>
      </w:r>
      <w:r w:rsidR="00F54582">
        <w:t>dans</w:t>
      </w:r>
      <w:r w:rsidRPr="000347AF">
        <w:t xml:space="preserve"> un secteur</w:t>
      </w:r>
      <w:r>
        <w:t xml:space="preserve"> d’activité économique </w:t>
      </w:r>
      <w:r w:rsidR="00F54582">
        <w:t xml:space="preserve">particulier </w:t>
      </w:r>
      <w:r>
        <w:t>dont un est le divertissement</w:t>
      </w:r>
      <w:r w:rsidR="00F54582">
        <w:t>,</w:t>
      </w:r>
      <w:r>
        <w:t xml:space="preserve"> lequel comprend le secteur récréotouristique incluant l’industrie hôtelière. </w:t>
      </w:r>
    </w:p>
    <w:p w14:paraId="32E3CBCF" w14:textId="77777777" w:rsidR="000347AF" w:rsidRPr="000347AF" w:rsidRDefault="00BD6B34" w:rsidP="00E37868">
      <w:pPr>
        <w:pStyle w:val="paragrapheno"/>
        <w:spacing w:line="240" w:lineRule="auto"/>
      </w:pPr>
      <w:r>
        <w:lastRenderedPageBreak/>
        <w:t>Le Fonds poursuit deux objectifs dans le cadre de ses investissements soit, avoir un effet positif sur l’emploi au Québec et d’offrir à ses actionnaires un rendement raisonnable.</w:t>
      </w:r>
    </w:p>
    <w:p w14:paraId="680E93EC" w14:textId="77777777" w:rsidR="0041274D" w:rsidRDefault="00BD6B34" w:rsidP="00E37868">
      <w:pPr>
        <w:pStyle w:val="paragrapheno"/>
        <w:spacing w:line="240" w:lineRule="auto"/>
      </w:pPr>
      <w:r>
        <w:t>Le Fonds immobilier et le Fonds fonctionnent de façon indépendante</w:t>
      </w:r>
      <w:r w:rsidR="00AF39F8">
        <w:t>,</w:t>
      </w:r>
      <w:r>
        <w:t xml:space="preserve"> ayant chacun leur propre conseil d’administration et leurs propres équipes de direction, d’investissement et d’employés bien que logeant à la même adresse depuis après 201</w:t>
      </w:r>
      <w:r w:rsidR="00AB6EC2">
        <w:t>9</w:t>
      </w:r>
      <w:r>
        <w:t xml:space="preserve">. </w:t>
      </w:r>
    </w:p>
    <w:p w14:paraId="124DA8C4" w14:textId="77777777" w:rsidR="0041274D" w:rsidRDefault="00BD6B34" w:rsidP="00E37868">
      <w:pPr>
        <w:pStyle w:val="paragrapheno"/>
        <w:spacing w:line="240" w:lineRule="auto"/>
      </w:pPr>
      <w:r>
        <w:t>Le président</w:t>
      </w:r>
      <w:r w:rsidR="004D6A9A">
        <w:t>-</w:t>
      </w:r>
      <w:r>
        <w:t xml:space="preserve">directeur général du Fonds immobilier est Normand Bélanger. </w:t>
      </w:r>
    </w:p>
    <w:p w14:paraId="48502D7C" w14:textId="77777777" w:rsidR="007955A8" w:rsidRDefault="00BD6B34" w:rsidP="00E37868">
      <w:pPr>
        <w:pStyle w:val="paragrapheno"/>
        <w:spacing w:line="240" w:lineRule="auto"/>
      </w:pPr>
      <w:r w:rsidRPr="0041274D">
        <w:t xml:space="preserve">Le Fonds </w:t>
      </w:r>
      <w:r w:rsidR="000347AF">
        <w:t xml:space="preserve">immobilier </w:t>
      </w:r>
      <w:r w:rsidRPr="0041274D">
        <w:t xml:space="preserve">pour sa part, concentre ses investissements </w:t>
      </w:r>
      <w:r w:rsidR="005A4980">
        <w:t xml:space="preserve">uniquement </w:t>
      </w:r>
      <w:r w:rsidRPr="0041274D">
        <w:t>dans des projets immobiliers dans le secteur résidentiel, commercial et industriel.</w:t>
      </w:r>
    </w:p>
    <w:p w14:paraId="46EDD66C" w14:textId="77777777" w:rsidR="0067640B" w:rsidRDefault="00BD6B34" w:rsidP="00E37868">
      <w:pPr>
        <w:pStyle w:val="paragrapheno"/>
        <w:spacing w:line="240" w:lineRule="auto"/>
      </w:pPr>
      <w:r>
        <w:t>M. Aubuchon a</w:t>
      </w:r>
      <w:r w:rsidR="000347AF">
        <w:t>vait</w:t>
      </w:r>
      <w:r>
        <w:t xml:space="preserve"> des rencontres aux deux semaines avec M. Leblanc pour avoir un suivi général du </w:t>
      </w:r>
      <w:r w:rsidR="000347AF">
        <w:t>projet</w:t>
      </w:r>
      <w:r>
        <w:t xml:space="preserve"> Humaniti.</w:t>
      </w:r>
    </w:p>
    <w:p w14:paraId="2D47C80D" w14:textId="77777777" w:rsidR="00063783" w:rsidRDefault="00BD6B34" w:rsidP="00E37868">
      <w:pPr>
        <w:pStyle w:val="paragrapheno"/>
        <w:spacing w:line="240" w:lineRule="auto"/>
      </w:pPr>
      <w:r>
        <w:t>Il affirme qu’</w:t>
      </w:r>
      <w:r w:rsidR="009E7FD0">
        <w:t>il</w:t>
      </w:r>
      <w:r>
        <w:t xml:space="preserve"> </w:t>
      </w:r>
      <w:r w:rsidR="00FD4630">
        <w:t xml:space="preserve">ne connaissait pas </w:t>
      </w:r>
      <w:r w:rsidR="00392C9F">
        <w:t>M. Pereira</w:t>
      </w:r>
      <w:r w:rsidR="00FD4630">
        <w:t xml:space="preserve"> avant de savoir qu’il devait témoigner dans le présent dossier.</w:t>
      </w:r>
      <w:r w:rsidR="009E7FD0">
        <w:t xml:space="preserve"> Il n’a jamais parlé de M. Pereira avec M. Duguay ou M. Leblanc.</w:t>
      </w:r>
    </w:p>
    <w:p w14:paraId="35D253E5" w14:textId="77777777" w:rsidR="00CB20AD" w:rsidRDefault="00BD6B34" w:rsidP="00E37868">
      <w:pPr>
        <w:pStyle w:val="paragrapheno"/>
        <w:spacing w:line="240" w:lineRule="auto"/>
      </w:pPr>
      <w:r>
        <w:t>Lorsqu</w:t>
      </w:r>
      <w:r w:rsidR="00736CBF">
        <w:t>e M. Pereira</w:t>
      </w:r>
      <w:r>
        <w:t xml:space="preserve"> interroge M. Duguay, M. Leblanc, M. Aubuchon et M. Boisjoly,</w:t>
      </w:r>
      <w:r w:rsidR="00736CBF">
        <w:t xml:space="preserve"> il</w:t>
      </w:r>
      <w:r>
        <w:t xml:space="preserve"> décrit un contexte ou encore fait plusieurs affirmations avant d’en venir à sa question. </w:t>
      </w:r>
      <w:r w:rsidR="0028682A">
        <w:t>Ces contextes</w:t>
      </w:r>
      <w:r>
        <w:t xml:space="preserve"> et ses affirmations ne sont par ailleurs pas mis en preuve par lui ou d’autres témoins devant le Tribunal et concernent entre autres la criminalité de certaines personnes et entrepreneurs dont certains seraient selon lui impliqués directement ou non dans la FTQ construction, le Fonds, le Fonds immobilier ou son ancêtre SOLIM. Le Tribunal lui rappelle à quelques reprises qu’à moins que le témoin ne confirme ces affirmations et contextes, ceux-ci ne sont pas en preuve. Malgré tout, M. Pereira ne fait pas la preuve du contexte factuel qu’il décrit dans plusieurs de ses questions et de tous les liens et amalgames qu’il semble faire entre, d’une part, des personnes et entrepreneurs criminalisés ou associés selon lui, au crime organisé et, d’autre </w:t>
      </w:r>
      <w:r w:rsidR="009618C6">
        <w:t xml:space="preserve">part, </w:t>
      </w:r>
      <w:r>
        <w:t xml:space="preserve">la FTQ, la FTQ- Construction, le Fonds et le Fonds immobilier. </w:t>
      </w:r>
    </w:p>
    <w:p w14:paraId="60E9425E" w14:textId="77777777" w:rsidR="00C60422" w:rsidRDefault="00BD6B34" w:rsidP="00E37868">
      <w:pPr>
        <w:pStyle w:val="paragrapheno"/>
        <w:spacing w:line="240" w:lineRule="auto"/>
      </w:pPr>
      <w:r>
        <w:t>Par ailleurs</w:t>
      </w:r>
      <w:r w:rsidR="00CB20AD">
        <w:t>, i</w:t>
      </w:r>
      <w:r w:rsidR="00F127F8">
        <w:t>l</w:t>
      </w:r>
      <w:r w:rsidR="00DE11FB">
        <w:t xml:space="preserve"> ressort des procès-verbaux des audience</w:t>
      </w:r>
      <w:r w:rsidR="00165AD5">
        <w:t>s</w:t>
      </w:r>
      <w:r w:rsidR="00DE11FB">
        <w:t xml:space="preserve"> de gestion au dossier que M. Pereira, alors qu’il </w:t>
      </w:r>
      <w:r w:rsidR="00237389">
        <w:t>est</w:t>
      </w:r>
      <w:r w:rsidR="00CC4CA5">
        <w:t xml:space="preserve"> </w:t>
      </w:r>
      <w:r w:rsidR="00237389">
        <w:t xml:space="preserve"> </w:t>
      </w:r>
      <w:r w:rsidR="00DE11FB">
        <w:t>représenté par avocat</w:t>
      </w:r>
      <w:r w:rsidR="00370A5F">
        <w:t xml:space="preserve">, obtient l’autorisation du juge André </w:t>
      </w:r>
      <w:r w:rsidR="0035307F">
        <w:t>P</w:t>
      </w:r>
      <w:r w:rsidR="00370A5F">
        <w:t xml:space="preserve">révost, d’interroger M. Bélanger, un tiers puisque le Fonds immobilier </w:t>
      </w:r>
      <w:r w:rsidR="0035307F">
        <w:t>n’est</w:t>
      </w:r>
      <w:r w:rsidR="00370A5F">
        <w:t xml:space="preserve"> pas une partie au dossier</w:t>
      </w:r>
      <w:r w:rsidR="00510B24">
        <w:t>,</w:t>
      </w:r>
      <w:r w:rsidR="0035307F">
        <w:t xml:space="preserve"> plutôt que d’interroger un représentant du Fonds</w:t>
      </w:r>
      <w:r>
        <w:rPr>
          <w:rStyle w:val="Appelnotedebasdep"/>
        </w:rPr>
        <w:footnoteReference w:id="50"/>
      </w:r>
      <w:r w:rsidR="00AC339E">
        <w:t>.</w:t>
      </w:r>
      <w:r w:rsidR="00E5233B">
        <w:t xml:space="preserve"> </w:t>
      </w:r>
      <w:r w:rsidR="00736CBF">
        <w:t xml:space="preserve">Plus tard </w:t>
      </w:r>
      <w:r w:rsidR="00217ED8">
        <w:t>et alors</w:t>
      </w:r>
      <w:r w:rsidR="00736CBF">
        <w:t xml:space="preserve"> </w:t>
      </w:r>
      <w:r w:rsidR="0021123F">
        <w:t>qu’il n’est pl</w:t>
      </w:r>
      <w:r w:rsidR="003148C2">
        <w:t>u</w:t>
      </w:r>
      <w:r w:rsidR="0021123F">
        <w:t>s représenté</w:t>
      </w:r>
      <w:r w:rsidR="003148C2">
        <w:t xml:space="preserve"> par avocat, i</w:t>
      </w:r>
      <w:r w:rsidR="00E5233B">
        <w:t xml:space="preserve">l </w:t>
      </w:r>
      <w:r w:rsidR="000347AF">
        <w:t>choisit</w:t>
      </w:r>
      <w:r w:rsidR="00E5233B">
        <w:t xml:space="preserve"> de ne pas interroger M. Bélanger</w:t>
      </w:r>
      <w:r w:rsidR="00BE11AD">
        <w:t xml:space="preserve"> </w:t>
      </w:r>
      <w:r w:rsidR="000347AF">
        <w:t>mais</w:t>
      </w:r>
      <w:r w:rsidR="00BE11AD">
        <w:t xml:space="preserve"> plutôt de demander la permission d’interroger deux autres tiers soit Éric Boisjoly</w:t>
      </w:r>
      <w:r w:rsidR="00622104">
        <w:t>, directeur général de la FTQ-Construction et</w:t>
      </w:r>
      <w:r w:rsidR="000347AF">
        <w:t>,</w:t>
      </w:r>
      <w:r w:rsidR="00622104">
        <w:t xml:space="preserve"> depuis 2019, </w:t>
      </w:r>
      <w:r w:rsidR="004A4268">
        <w:t>administrateur du Fonds</w:t>
      </w:r>
      <w:r w:rsidR="000347AF">
        <w:t>,</w:t>
      </w:r>
      <w:r w:rsidR="004A4268">
        <w:t xml:space="preserve"> </w:t>
      </w:r>
      <w:r w:rsidR="00510B24">
        <w:t>ainsi que</w:t>
      </w:r>
      <w:r w:rsidR="004A4268">
        <w:t xml:space="preserve"> Michel Arsenault. Il obtient cette permission du juge Martin Castonguay</w:t>
      </w:r>
      <w:r>
        <w:rPr>
          <w:rStyle w:val="Appelnotedebasdep"/>
        </w:rPr>
        <w:footnoteReference w:id="51"/>
      </w:r>
      <w:r w:rsidR="00E514C3">
        <w:t xml:space="preserve"> mais il n'interroge que M. Boisjoly</w:t>
      </w:r>
      <w:r w:rsidR="005A4C1E">
        <w:t>.</w:t>
      </w:r>
    </w:p>
    <w:p w14:paraId="6FA4099B" w14:textId="77777777" w:rsidR="005A4C1E" w:rsidRDefault="00BD6B34" w:rsidP="00E37868">
      <w:pPr>
        <w:pStyle w:val="paragrapheno"/>
        <w:spacing w:line="240" w:lineRule="auto"/>
      </w:pPr>
      <w:r>
        <w:lastRenderedPageBreak/>
        <w:t xml:space="preserve">Soulignons aussi que M. Pereira </w:t>
      </w:r>
      <w:r w:rsidR="003A33A5">
        <w:t>n</w:t>
      </w:r>
      <w:r>
        <w:t>‘a pas ajouté le Fonds immobilier</w:t>
      </w:r>
      <w:r w:rsidR="008624D7">
        <w:t xml:space="preserve"> comme partie défenderesse même s’il est informé par le</w:t>
      </w:r>
      <w:r w:rsidR="000347AF">
        <w:t>s défenses du</w:t>
      </w:r>
      <w:r w:rsidR="008624D7">
        <w:t xml:space="preserve"> Fonds et </w:t>
      </w:r>
      <w:r w:rsidR="000347AF">
        <w:t>de</w:t>
      </w:r>
      <w:r w:rsidR="008624D7">
        <w:t xml:space="preserve"> Cogir</w:t>
      </w:r>
      <w:r w:rsidR="00EF5E5F">
        <w:t xml:space="preserve"> que M. Bélanger, le président</w:t>
      </w:r>
      <w:r w:rsidR="00195348">
        <w:t>-</w:t>
      </w:r>
      <w:r w:rsidR="00EF5E5F">
        <w:t xml:space="preserve">directeur </w:t>
      </w:r>
      <w:r w:rsidR="00B451C2">
        <w:t xml:space="preserve">général </w:t>
      </w:r>
      <w:r w:rsidR="00EF5E5F">
        <w:t>du Fonds immobilier a brièvement discuté de lui avec M. Duguay</w:t>
      </w:r>
      <w:r w:rsidR="003A33A5">
        <w:t xml:space="preserve"> et que le Fonds immobilier est une entité juridique</w:t>
      </w:r>
      <w:r w:rsidR="00BD4007">
        <w:t xml:space="preserve"> distincte du Fonds.</w:t>
      </w:r>
    </w:p>
    <w:p w14:paraId="03116A03" w14:textId="77777777" w:rsidR="00BD4007" w:rsidRPr="004105EC" w:rsidRDefault="00BD6B34" w:rsidP="00E37868">
      <w:pPr>
        <w:pStyle w:val="paragrapheno"/>
        <w:spacing w:line="240" w:lineRule="auto"/>
      </w:pPr>
      <w:r>
        <w:t xml:space="preserve">Enfin, le </w:t>
      </w:r>
      <w:r w:rsidR="00C11838">
        <w:t>T</w:t>
      </w:r>
      <w:r>
        <w:t>ribunal note que malgré ses engagements et les mises en garde des avocats des défendeurs</w:t>
      </w:r>
      <w:r w:rsidR="007B2990">
        <w:t>, M. Pereira n’a conservé aucune preuve des démarches de recherche d’emploi</w:t>
      </w:r>
      <w:r w:rsidR="00DC2D37">
        <w:t xml:space="preserve"> et il ne communique pas ses déclarations de revenus pertinentes pour le litige</w:t>
      </w:r>
      <w:r w:rsidR="000347AF">
        <w:t xml:space="preserve"> malgré la citation à comparaître qui lui a été signifiée et les demande</w:t>
      </w:r>
      <w:r w:rsidR="00FB3337">
        <w:t>s</w:t>
      </w:r>
      <w:r w:rsidR="000347AF">
        <w:t xml:space="preserve"> antérieures pour obtenir ces documents</w:t>
      </w:r>
      <w:r w:rsidR="00DC2D37">
        <w:t>.</w:t>
      </w:r>
    </w:p>
    <w:p w14:paraId="4E1C9B61" w14:textId="77777777" w:rsidR="00FF43AB" w:rsidRPr="008E797D" w:rsidRDefault="00BD6B34" w:rsidP="00E37868">
      <w:pPr>
        <w:pStyle w:val="Titre3"/>
        <w:spacing w:line="240" w:lineRule="auto"/>
      </w:pPr>
      <w:r>
        <w:t>V</w:t>
      </w:r>
      <w:r w:rsidR="003C09D0" w:rsidRPr="008E797D">
        <w:t>aleur probante des pièce</w:t>
      </w:r>
      <w:r w:rsidR="006F5D80">
        <w:t>s</w:t>
      </w:r>
      <w:r w:rsidR="003C09D0" w:rsidRPr="008E797D">
        <w:t xml:space="preserve"> </w:t>
      </w:r>
      <w:r w:rsidR="00E5233B" w:rsidRPr="008E797D">
        <w:t>P</w:t>
      </w:r>
      <w:r w:rsidR="003C09D0" w:rsidRPr="008E797D">
        <w:t xml:space="preserve">-24 et </w:t>
      </w:r>
      <w:r w:rsidR="00E5233B" w:rsidRPr="008E797D">
        <w:t>P</w:t>
      </w:r>
      <w:r w:rsidR="003C09D0" w:rsidRPr="008E797D">
        <w:t>-28</w:t>
      </w:r>
      <w:r>
        <w:t xml:space="preserve"> et crédibilité</w:t>
      </w:r>
    </w:p>
    <w:p w14:paraId="3A81AB1D" w14:textId="77777777" w:rsidR="00DA59E5" w:rsidRDefault="00BD6B34" w:rsidP="00E37868">
      <w:pPr>
        <w:pStyle w:val="paragrapheno"/>
        <w:spacing w:line="240" w:lineRule="auto"/>
      </w:pPr>
      <w:r>
        <w:t>La valeur probante des enregistrements des conversations du 1</w:t>
      </w:r>
      <w:r w:rsidRPr="00A46285">
        <w:rPr>
          <w:vertAlign w:val="superscript"/>
        </w:rPr>
        <w:t>er</w:t>
      </w:r>
      <w:r>
        <w:t xml:space="preserve"> novembre 2018</w:t>
      </w:r>
      <w:r>
        <w:rPr>
          <w:rStyle w:val="Appelnotedebasdep"/>
        </w:rPr>
        <w:footnoteReference w:id="52"/>
      </w:r>
      <w:r>
        <w:t xml:space="preserve"> et du 9 septembre 2019</w:t>
      </w:r>
      <w:r>
        <w:rPr>
          <w:rStyle w:val="Appelnotedebasdep"/>
        </w:rPr>
        <w:footnoteReference w:id="53"/>
      </w:r>
      <w:r>
        <w:t xml:space="preserve"> doit être abordée</w:t>
      </w:r>
      <w:r w:rsidR="009D4FF9">
        <w:t>,</w:t>
      </w:r>
      <w:r>
        <w:t xml:space="preserve"> car Cogir </w:t>
      </w:r>
      <w:r w:rsidR="00B90003">
        <w:t>soutient qu’ils n’ont</w:t>
      </w:r>
      <w:r w:rsidR="00451399">
        <w:t xml:space="preserve"> aucune </w:t>
      </w:r>
      <w:r>
        <w:t>valeur probante étant donné que M. Pereira utilise la ruse pour tenter d’obtenir de la preuve</w:t>
      </w:r>
      <w:r w:rsidR="00217ED8">
        <w:t>,</w:t>
      </w:r>
      <w:r>
        <w:t xml:space="preserve"> qu’il contrôle les conversations et que finalement l’enregistrement à l’insu d’interlocuteur</w:t>
      </w:r>
      <w:r w:rsidR="00204C53">
        <w:t>s</w:t>
      </w:r>
      <w:r>
        <w:t xml:space="preserve"> semble un modus operandi de M. Pereira étant donné le nombre de fois où il utilise cette méthode.</w:t>
      </w:r>
    </w:p>
    <w:p w14:paraId="1B8E3DF8" w14:textId="77777777" w:rsidR="00BD22A0" w:rsidRPr="001C4A4F" w:rsidRDefault="00BD6B34" w:rsidP="00E37868">
      <w:pPr>
        <w:pStyle w:val="paragrapheno"/>
        <w:spacing w:line="240" w:lineRule="auto"/>
      </w:pPr>
      <w:r w:rsidRPr="00EC174F">
        <w:t xml:space="preserve">Le Tribunal estime </w:t>
      </w:r>
      <w:r w:rsidR="00993395">
        <w:t xml:space="preserve">également </w:t>
      </w:r>
      <w:r w:rsidRPr="00EC174F">
        <w:t xml:space="preserve">important </w:t>
      </w:r>
      <w:r w:rsidR="00CC7E59" w:rsidRPr="00EC174F">
        <w:t>de trait</w:t>
      </w:r>
      <w:r w:rsidR="0067564C">
        <w:t>er</w:t>
      </w:r>
      <w:r w:rsidR="00CC7E59" w:rsidRPr="00EC174F">
        <w:t xml:space="preserve"> de la </w:t>
      </w:r>
      <w:r w:rsidR="00E16039">
        <w:t xml:space="preserve">crédibilité </w:t>
      </w:r>
      <w:r w:rsidR="00CC7E59" w:rsidRPr="00EC174F">
        <w:t xml:space="preserve">de </w:t>
      </w:r>
      <w:r w:rsidR="00392C9F" w:rsidRPr="00EC174F">
        <w:t>M. Pereira</w:t>
      </w:r>
      <w:r w:rsidR="00CC7E59" w:rsidRPr="00EC174F">
        <w:t xml:space="preserve">, M. Duguay et M. Leblanc </w:t>
      </w:r>
      <w:r w:rsidR="00A869B9">
        <w:t xml:space="preserve">et de la valeur probante de leur témoignage </w:t>
      </w:r>
      <w:r w:rsidR="008E797D">
        <w:t>concernant la pression découlant de sa présence sur les chantiers</w:t>
      </w:r>
      <w:r w:rsidR="008E797D" w:rsidRPr="00EC174F">
        <w:t xml:space="preserve"> </w:t>
      </w:r>
      <w:r w:rsidR="008E797D">
        <w:t xml:space="preserve">de Cogir </w:t>
      </w:r>
      <w:r w:rsidR="008E797D" w:rsidRPr="001C4A4F">
        <w:t xml:space="preserve">et </w:t>
      </w:r>
      <w:r w:rsidR="00CC7E59" w:rsidRPr="001C4A4F">
        <w:t xml:space="preserve">sur les raisons </w:t>
      </w:r>
      <w:r w:rsidR="00A46285" w:rsidRPr="001C4A4F">
        <w:t>ayant</w:t>
      </w:r>
      <w:r w:rsidR="00CC7E59" w:rsidRPr="001C4A4F">
        <w:t xml:space="preserve"> poussé </w:t>
      </w:r>
      <w:r w:rsidR="008E797D" w:rsidRPr="001C4A4F">
        <w:t>cette dernière</w:t>
      </w:r>
      <w:r w:rsidR="00CC7E59" w:rsidRPr="001C4A4F">
        <w:t xml:space="preserve"> à mettre fin </w:t>
      </w:r>
      <w:r w:rsidR="00E100C2" w:rsidRPr="001C4A4F">
        <w:t xml:space="preserve">à </w:t>
      </w:r>
      <w:r w:rsidR="008E797D" w:rsidRPr="001C4A4F">
        <w:t>s</w:t>
      </w:r>
      <w:r w:rsidR="00E100C2" w:rsidRPr="001C4A4F">
        <w:t>a relation</w:t>
      </w:r>
      <w:r w:rsidR="00CC7E59" w:rsidRPr="001C4A4F">
        <w:t xml:space="preserve"> avec </w:t>
      </w:r>
      <w:r w:rsidR="00392C9F" w:rsidRPr="001C4A4F">
        <w:t>M. Pereira</w:t>
      </w:r>
      <w:r w:rsidR="00A46285" w:rsidRPr="001C4A4F">
        <w:t xml:space="preserve">. </w:t>
      </w:r>
    </w:p>
    <w:p w14:paraId="3AEC230B" w14:textId="77777777" w:rsidR="00980027" w:rsidRPr="00980027" w:rsidRDefault="00BD6B34" w:rsidP="00E37868">
      <w:pPr>
        <w:pStyle w:val="paragrapheno"/>
        <w:spacing w:line="240" w:lineRule="auto"/>
      </w:pPr>
      <w:r w:rsidRPr="00980027">
        <w:t xml:space="preserve">Les principes applicables à l’appréciation d’un témoignage par le Tribunal sont résumés, entre autres par le juge Serge Cimon dans </w:t>
      </w:r>
      <w:r w:rsidRPr="00980027">
        <w:rPr>
          <w:i/>
          <w:iCs/>
        </w:rPr>
        <w:t xml:space="preserve">Ordre professionnel de la physiothérapie du Québec </w:t>
      </w:r>
      <w:r w:rsidRPr="00980027">
        <w:t xml:space="preserve">c. </w:t>
      </w:r>
      <w:r w:rsidRPr="00980027">
        <w:rPr>
          <w:i/>
          <w:iCs/>
        </w:rPr>
        <w:t>Jalbert</w:t>
      </w:r>
      <w:r>
        <w:rPr>
          <w:rStyle w:val="Appelnotedebasdep"/>
          <w:i/>
          <w:iCs/>
        </w:rPr>
        <w:footnoteReference w:id="54"/>
      </w:r>
      <w:r w:rsidRPr="00980027">
        <w:t xml:space="preserve"> de la façon suivante, et sont repris par la Cour supérieure dans quelques décisions :</w:t>
      </w:r>
    </w:p>
    <w:p w14:paraId="10092F92" w14:textId="77777777" w:rsidR="00980027" w:rsidRDefault="00BD6B34" w:rsidP="00980027">
      <w:pPr>
        <w:pStyle w:val="citationenretrait"/>
        <w:spacing w:before="120" w:beforeAutospacing="0" w:after="120" w:afterAutospacing="0"/>
        <w:ind w:left="720" w:right="720"/>
        <w:jc w:val="both"/>
        <w:rPr>
          <w:rFonts w:ascii="Arial" w:hAnsi="Arial" w:cs="Arial"/>
          <w:color w:val="000000"/>
          <w:sz w:val="22"/>
          <w:szCs w:val="22"/>
        </w:rPr>
      </w:pPr>
      <w:r>
        <w:rPr>
          <w:rFonts w:ascii="Arial" w:hAnsi="Arial" w:cs="Arial"/>
          <w:color w:val="000000"/>
          <w:sz w:val="22"/>
          <w:szCs w:val="22"/>
        </w:rPr>
        <w:t>[5]       L’appréciation des témoignages n’est pas une science exacte et s’avère toujours un exercice délicat. Il est souvent difficile de décrire pourquoi on croit ou ne croit pas un témoin.</w:t>
      </w:r>
    </w:p>
    <w:p w14:paraId="4B72ADF5" w14:textId="77777777" w:rsidR="00980027" w:rsidRDefault="00BD6B34" w:rsidP="00980027">
      <w:pPr>
        <w:pStyle w:val="citationenretrait"/>
        <w:spacing w:before="120" w:beforeAutospacing="0" w:after="120" w:afterAutospacing="0"/>
        <w:ind w:left="720" w:right="720"/>
        <w:jc w:val="both"/>
        <w:rPr>
          <w:rFonts w:ascii="Arial" w:hAnsi="Arial" w:cs="Arial"/>
          <w:color w:val="000000"/>
          <w:sz w:val="22"/>
          <w:szCs w:val="22"/>
        </w:rPr>
      </w:pPr>
      <w:r>
        <w:rPr>
          <w:rFonts w:ascii="Arial" w:hAnsi="Arial" w:cs="Arial"/>
          <w:color w:val="000000"/>
          <w:sz w:val="22"/>
          <w:szCs w:val="22"/>
        </w:rPr>
        <w:t>[6]        Dans l’évaluation des témoignages, le rôle du Tribunal n’est pas de choisir une version plutôt qu’une autre, un procès ne constituant pas un concours de crédibilité ou de popularité entre les témoins.</w:t>
      </w:r>
    </w:p>
    <w:p w14:paraId="09887982" w14:textId="77777777" w:rsidR="00980027" w:rsidRDefault="00BD6B34" w:rsidP="00980027">
      <w:pPr>
        <w:pStyle w:val="citationenretrait"/>
        <w:spacing w:before="120" w:beforeAutospacing="0" w:after="120" w:afterAutospacing="0"/>
        <w:ind w:left="720" w:right="720"/>
        <w:jc w:val="both"/>
        <w:rPr>
          <w:rFonts w:ascii="Arial" w:hAnsi="Arial" w:cs="Arial"/>
          <w:color w:val="000000"/>
          <w:sz w:val="22"/>
          <w:szCs w:val="22"/>
        </w:rPr>
      </w:pPr>
      <w:r>
        <w:rPr>
          <w:rFonts w:ascii="Arial" w:hAnsi="Arial" w:cs="Arial"/>
          <w:color w:val="000000"/>
          <w:sz w:val="22"/>
          <w:szCs w:val="22"/>
        </w:rPr>
        <w:t xml:space="preserve">[7]        Par ailleurs, le Tribunal peut croire toutes, aucunes ou quelques parties du témoignage d’une personne. Le fait qu’un témoignage comporte certaines </w:t>
      </w:r>
      <w:r>
        <w:rPr>
          <w:rFonts w:ascii="Arial" w:hAnsi="Arial" w:cs="Arial"/>
          <w:color w:val="000000"/>
          <w:sz w:val="22"/>
          <w:szCs w:val="22"/>
        </w:rPr>
        <w:lastRenderedPageBreak/>
        <w:t>imprécisions, divergences ou contradictions, internes ou externes, ne signifie pas qu’un juge doit, pour autant, l’écarter complètement.</w:t>
      </w:r>
    </w:p>
    <w:p w14:paraId="53AA1A1C" w14:textId="77777777" w:rsidR="00980027" w:rsidRDefault="00BD6B34" w:rsidP="00980027">
      <w:pPr>
        <w:pStyle w:val="citationenretrait"/>
        <w:spacing w:before="120" w:beforeAutospacing="0" w:after="120" w:afterAutospacing="0"/>
        <w:ind w:left="720" w:right="720"/>
        <w:jc w:val="both"/>
        <w:rPr>
          <w:rFonts w:ascii="Arial" w:hAnsi="Arial" w:cs="Arial"/>
          <w:color w:val="000000"/>
          <w:sz w:val="22"/>
          <w:szCs w:val="22"/>
        </w:rPr>
      </w:pPr>
      <w:r>
        <w:rPr>
          <w:rFonts w:ascii="Arial" w:hAnsi="Arial" w:cs="Arial"/>
          <w:color w:val="000000"/>
          <w:sz w:val="22"/>
          <w:szCs w:val="22"/>
        </w:rPr>
        <w:t>[8]        Cela dit, le choix de croire ou non la version d’un témoin ne relève pas de l’arbitraire. Ultimement, le Tribunal se doit d’apprécier deux aspects d’un témoignage, soit sa crédibilité et sa fiabilité. Il s’agit là de deux notions distinctes.</w:t>
      </w:r>
    </w:p>
    <w:p w14:paraId="3FB8929E" w14:textId="77777777" w:rsidR="00980027" w:rsidRPr="00F7761C" w:rsidRDefault="00BD6B34" w:rsidP="00E37868">
      <w:pPr>
        <w:pStyle w:val="Titre3"/>
        <w:numPr>
          <w:ilvl w:val="2"/>
          <w:numId w:val="22"/>
        </w:numPr>
        <w:spacing w:before="0" w:line="240" w:lineRule="auto"/>
        <w:rPr>
          <w:rFonts w:cs="Arial"/>
          <w:color w:val="000000"/>
          <w:szCs w:val="24"/>
        </w:rPr>
      </w:pPr>
      <w:bookmarkStart w:id="4" w:name="_Toc68706579"/>
      <w:bookmarkStart w:id="5" w:name="_Toc256000019"/>
      <w:bookmarkEnd w:id="4"/>
      <w:bookmarkEnd w:id="5"/>
      <w:r w:rsidRPr="00C84D5C">
        <w:rPr>
          <w:rFonts w:cs="Arial"/>
          <w:b/>
          <w:bCs/>
          <w:color w:val="000000"/>
          <w:szCs w:val="24"/>
          <w:u w:val="none"/>
        </w:rPr>
        <w:t>•</w:t>
      </w:r>
      <w:r w:rsidRPr="00C84D5C">
        <w:rPr>
          <w:b/>
          <w:bCs/>
          <w:color w:val="000000"/>
          <w:sz w:val="14"/>
          <w:szCs w:val="14"/>
          <w:u w:val="none"/>
        </w:rPr>
        <w:t>         </w:t>
      </w:r>
      <w:r w:rsidRPr="00F7761C">
        <w:rPr>
          <w:rFonts w:cs="Arial"/>
          <w:b/>
          <w:bCs/>
          <w:color w:val="000000"/>
          <w:szCs w:val="24"/>
        </w:rPr>
        <w:t>La crédibilité</w:t>
      </w:r>
    </w:p>
    <w:p w14:paraId="26DD8733" w14:textId="77777777" w:rsidR="00980027" w:rsidRDefault="00BD6B34" w:rsidP="00980027">
      <w:pPr>
        <w:pStyle w:val="citationenretrait"/>
        <w:spacing w:before="120" w:beforeAutospacing="0" w:after="120" w:afterAutospacing="0"/>
        <w:ind w:left="720" w:right="720"/>
        <w:jc w:val="both"/>
        <w:rPr>
          <w:rFonts w:ascii="Arial" w:hAnsi="Arial" w:cs="Arial"/>
          <w:color w:val="000000"/>
          <w:sz w:val="22"/>
          <w:szCs w:val="22"/>
        </w:rPr>
      </w:pPr>
      <w:r>
        <w:rPr>
          <w:rFonts w:ascii="Arial" w:hAnsi="Arial" w:cs="Arial"/>
          <w:color w:val="000000"/>
          <w:sz w:val="22"/>
          <w:szCs w:val="22"/>
        </w:rPr>
        <w:t>[9]       L’évaluation de la crédibilité d’un témoin se fonde sur le bon sens en tenant compte des forces et des faiblesses du témoignage. La crédibilité d’un témoin se réfère à sa personne et à ses caractéristiques, notamment, son honnêteté, son intelligence, son jugement, sa franchise, sa partialité, la consistance et la cohérence de sa version, la précision de ses propos, ses réticences ainsi que le caractère évasif de ses réponses. La présence ou non d’une raison de mentir n’est généralement pas un facteur concluant pour évaluer la crédibilité d’un témoin.</w:t>
      </w:r>
    </w:p>
    <w:p w14:paraId="1B98742A" w14:textId="77777777" w:rsidR="00980027" w:rsidRDefault="00BD6B34" w:rsidP="00980027">
      <w:pPr>
        <w:pStyle w:val="citationenretrait"/>
        <w:spacing w:before="120" w:beforeAutospacing="0" w:after="120" w:afterAutospacing="0"/>
        <w:ind w:left="720" w:right="720"/>
        <w:jc w:val="both"/>
        <w:rPr>
          <w:rFonts w:ascii="Arial" w:hAnsi="Arial" w:cs="Arial"/>
          <w:color w:val="000000"/>
          <w:sz w:val="22"/>
          <w:szCs w:val="22"/>
        </w:rPr>
      </w:pPr>
      <w:r>
        <w:rPr>
          <w:rFonts w:ascii="Arial" w:hAnsi="Arial" w:cs="Arial"/>
          <w:color w:val="000000"/>
          <w:sz w:val="22"/>
          <w:szCs w:val="22"/>
        </w:rPr>
        <w:t>[10]      Par ailleurs, le comportement d’un témoin fait partie des éléments que le Tribunal peut considérer, bien qu’il faille le pondérer avec prudence puisqu’il n’y a pas de façon standard de réagir lors d’un procès. La question fondamentale demeurant toujours la fiabilité d’un témoignage. Cela dit, la sincérité apparente d’un témoin ne garantit pas la véracité de sa version. En effet, il est connu qu’un témoin peut honnêtement croire que sa version des faits est véridique, alors qu’il n’en est rien, et ce, tout simplement parce qu’il se trompe. La crédibilité d’un témoin ne rend donc pas nécessairement son récit fiable.</w:t>
      </w:r>
    </w:p>
    <w:p w14:paraId="42AD316B" w14:textId="77777777" w:rsidR="00980027" w:rsidRDefault="00BD6B34" w:rsidP="00E37868">
      <w:pPr>
        <w:pStyle w:val="Titre3"/>
        <w:spacing w:before="0" w:line="240" w:lineRule="auto"/>
        <w:ind w:left="1822" w:hanging="360"/>
        <w:rPr>
          <w:rFonts w:cs="Arial"/>
          <w:color w:val="000000"/>
          <w:szCs w:val="24"/>
        </w:rPr>
      </w:pPr>
      <w:bookmarkStart w:id="6" w:name="_Toc68706580"/>
      <w:bookmarkStart w:id="7" w:name="_Toc256000020"/>
      <w:bookmarkEnd w:id="6"/>
      <w:bookmarkEnd w:id="7"/>
      <w:r w:rsidRPr="00C84D5C">
        <w:rPr>
          <w:rFonts w:cs="Arial"/>
          <w:b/>
          <w:bCs/>
          <w:color w:val="000000"/>
          <w:szCs w:val="24"/>
          <w:u w:val="none"/>
        </w:rPr>
        <w:t>•</w:t>
      </w:r>
      <w:r w:rsidRPr="00C84D5C">
        <w:rPr>
          <w:b/>
          <w:bCs/>
          <w:color w:val="000000"/>
          <w:sz w:val="14"/>
          <w:szCs w:val="14"/>
          <w:u w:val="none"/>
        </w:rPr>
        <w:t>         </w:t>
      </w:r>
      <w:r>
        <w:rPr>
          <w:rFonts w:cs="Arial"/>
          <w:b/>
          <w:bCs/>
          <w:color w:val="000000"/>
          <w:szCs w:val="24"/>
        </w:rPr>
        <w:t>La fiabilité</w:t>
      </w:r>
    </w:p>
    <w:p w14:paraId="094DBEA0" w14:textId="77777777" w:rsidR="00980027" w:rsidRDefault="00BD6B34" w:rsidP="00980027">
      <w:pPr>
        <w:pStyle w:val="citationenretrait"/>
        <w:spacing w:before="120" w:beforeAutospacing="0" w:after="120" w:afterAutospacing="0"/>
        <w:ind w:left="720" w:right="720"/>
        <w:jc w:val="both"/>
        <w:rPr>
          <w:rFonts w:ascii="Arial" w:hAnsi="Arial" w:cs="Arial"/>
          <w:color w:val="000000"/>
          <w:sz w:val="22"/>
          <w:szCs w:val="22"/>
        </w:rPr>
      </w:pPr>
      <w:r>
        <w:rPr>
          <w:rFonts w:ascii="Arial" w:hAnsi="Arial" w:cs="Arial"/>
          <w:color w:val="000000"/>
          <w:sz w:val="22"/>
          <w:szCs w:val="22"/>
        </w:rPr>
        <w:t>[11]      L’évaluation de la fiabilité se réfère à la valeur du récit relaté par le témoin. Le Tribunal doit rechercher des indices permettant de vérifier que la version est digne de confiance. La fiabilité d’un témoignage s’entend de la capacité d’un témoin d’observer, de se remémorer et de relater un fait.</w:t>
      </w:r>
    </w:p>
    <w:p w14:paraId="0696B10F" w14:textId="77777777" w:rsidR="00980027" w:rsidRDefault="00BD6B34" w:rsidP="00980027">
      <w:pPr>
        <w:pStyle w:val="citationenretrait"/>
        <w:spacing w:before="120" w:beforeAutospacing="0" w:after="120" w:afterAutospacing="0"/>
        <w:ind w:left="720" w:right="720"/>
        <w:jc w:val="both"/>
        <w:rPr>
          <w:rFonts w:ascii="Arial" w:hAnsi="Arial" w:cs="Arial"/>
          <w:color w:val="000000"/>
          <w:sz w:val="22"/>
          <w:szCs w:val="22"/>
        </w:rPr>
      </w:pPr>
      <w:r>
        <w:rPr>
          <w:rFonts w:ascii="Arial" w:hAnsi="Arial" w:cs="Arial"/>
          <w:color w:val="000000"/>
          <w:sz w:val="22"/>
          <w:szCs w:val="22"/>
        </w:rPr>
        <w:t>[12]      Le Tribunal doit notamment analyser l’opportunité qu’a eue le témoin d’acquérir la connaissance des faits qu’il relate, la cohérence et la vraisemblance de ses propos, les facteurs pouvant influencer sa mémoire, la vraisemblance de ses propos ainsi que sa façon de communiquer.</w:t>
      </w:r>
    </w:p>
    <w:p w14:paraId="5E133103" w14:textId="77777777" w:rsidR="00980027" w:rsidRDefault="00BD6B34" w:rsidP="00980027">
      <w:pPr>
        <w:pStyle w:val="citationenretrait"/>
        <w:spacing w:before="120" w:beforeAutospacing="0" w:after="120" w:afterAutospacing="0"/>
        <w:ind w:left="720" w:right="720"/>
        <w:jc w:val="both"/>
      </w:pPr>
      <w:r>
        <w:rPr>
          <w:rFonts w:ascii="Arial" w:hAnsi="Arial" w:cs="Arial"/>
          <w:color w:val="000000"/>
          <w:sz w:val="22"/>
          <w:szCs w:val="22"/>
        </w:rPr>
        <w:t>[13]      L’intérêt d’un témoin dans l’issue du procès est également un élément pertinent à prendre en compte, parmi d’autres, dans l’évaluation de son témoignage. Toutefois, ce facteur ne doit pas peser outre mesure dans l’analyse de sa crédibilité.</w:t>
      </w:r>
      <w:r w:rsidRPr="00980027">
        <w:t xml:space="preserve"> </w:t>
      </w:r>
    </w:p>
    <w:p w14:paraId="214C3282" w14:textId="77777777" w:rsidR="00980027" w:rsidRDefault="00BD6B34" w:rsidP="00980027">
      <w:pPr>
        <w:pStyle w:val="citationenretrait"/>
        <w:spacing w:before="120" w:beforeAutospacing="0" w:after="120" w:afterAutospacing="0"/>
        <w:ind w:left="720" w:right="720"/>
        <w:jc w:val="both"/>
        <w:rPr>
          <w:rFonts w:ascii="Arial" w:hAnsi="Arial" w:cs="Arial"/>
          <w:color w:val="000000"/>
          <w:sz w:val="22"/>
          <w:szCs w:val="22"/>
        </w:rPr>
      </w:pPr>
      <w:r w:rsidRPr="00980027">
        <w:rPr>
          <w:rFonts w:ascii="Arial" w:hAnsi="Arial" w:cs="Arial"/>
          <w:color w:val="000000"/>
          <w:sz w:val="22"/>
          <w:szCs w:val="22"/>
        </w:rPr>
        <w:t>[14]      Par ailleurs, le fait qu’un témoin ne soit pas en mesure de rapporter tous les événements ne justifie pas automatiquement la mise à l’écart de tout son témoignage.</w:t>
      </w:r>
    </w:p>
    <w:p w14:paraId="033A66B8" w14:textId="77777777" w:rsidR="007F596F" w:rsidRDefault="00BD6B34" w:rsidP="00E37868">
      <w:pPr>
        <w:pStyle w:val="Titre4"/>
        <w:spacing w:line="240" w:lineRule="auto"/>
      </w:pPr>
      <w:r>
        <w:lastRenderedPageBreak/>
        <w:t>La valeur probante des enregistrements P-24 et P-28</w:t>
      </w:r>
    </w:p>
    <w:p w14:paraId="72834AE0" w14:textId="77777777" w:rsidR="009719B3" w:rsidRDefault="00BD6B34" w:rsidP="00E37868">
      <w:pPr>
        <w:pStyle w:val="paragrapheno"/>
        <w:spacing w:line="240" w:lineRule="auto"/>
      </w:pPr>
      <w:r>
        <w:t>Le Tribunal ne peut retenir la position de Cogir sur l’absence de valeur probante</w:t>
      </w:r>
      <w:r w:rsidR="00ED3601">
        <w:t xml:space="preserve"> de la preuve découlant des enregistrement</w:t>
      </w:r>
      <w:r w:rsidR="00E66096">
        <w:t>s</w:t>
      </w:r>
      <w:r w:rsidR="00ED3601">
        <w:t xml:space="preserve"> </w:t>
      </w:r>
      <w:r w:rsidR="008E797D">
        <w:t>des conversations entre M. Pereira et M. Duguay le 1</w:t>
      </w:r>
      <w:r w:rsidR="00EC2931">
        <w:t>er</w:t>
      </w:r>
      <w:r w:rsidR="008E797D">
        <w:t xml:space="preserve"> novembre 2018 et celle qu’il a avec M. Leblanc le 9 septembre 2019</w:t>
      </w:r>
      <w:r w:rsidR="00ED3601">
        <w:t>.</w:t>
      </w:r>
    </w:p>
    <w:p w14:paraId="31DC6FC2" w14:textId="77777777" w:rsidR="00ED3601" w:rsidRDefault="00BD6B34" w:rsidP="00E37868">
      <w:pPr>
        <w:pStyle w:val="paragrapheno"/>
        <w:spacing w:line="240" w:lineRule="auto"/>
      </w:pPr>
      <w:r>
        <w:t xml:space="preserve">Il est vrai que </w:t>
      </w:r>
      <w:r w:rsidR="00392C9F">
        <w:t>M. Pereira</w:t>
      </w:r>
      <w:r>
        <w:t xml:space="preserve"> recherchait de la preuve et</w:t>
      </w:r>
      <w:r w:rsidR="00E66096">
        <w:t xml:space="preserve"> qu’il</w:t>
      </w:r>
      <w:r>
        <w:t xml:space="preserve"> a provoqué les deux rencontre</w:t>
      </w:r>
      <w:r w:rsidR="00E66096">
        <w:t>s</w:t>
      </w:r>
      <w:r>
        <w:t>. Ce n</w:t>
      </w:r>
      <w:r w:rsidR="00E66096">
        <w:t>’</w:t>
      </w:r>
      <w:r>
        <w:t>est toutefois pas une raison en soi po</w:t>
      </w:r>
      <w:r w:rsidR="008E797D">
        <w:t>ur n’accorder aucune valeur probante à</w:t>
      </w:r>
      <w:r>
        <w:t xml:space="preserve"> cette preuve.</w:t>
      </w:r>
    </w:p>
    <w:p w14:paraId="70B8441C" w14:textId="77777777" w:rsidR="00ED3601" w:rsidRDefault="00BD6B34" w:rsidP="00E37868">
      <w:pPr>
        <w:pStyle w:val="paragrapheno"/>
        <w:spacing w:line="240" w:lineRule="auto"/>
      </w:pPr>
      <w:r>
        <w:t>Rappelons qu</w:t>
      </w:r>
      <w:r w:rsidR="00314069">
        <w:t>e les interlocuteurs de M. Pereira sont</w:t>
      </w:r>
      <w:r>
        <w:t xml:space="preserve"> deux hommes d’affaires </w:t>
      </w:r>
      <w:r w:rsidR="00314069">
        <w:t xml:space="preserve">matures et </w:t>
      </w:r>
      <w:r>
        <w:t>aguerris. M</w:t>
      </w:r>
      <w:r w:rsidR="00314069">
        <w:t>.</w:t>
      </w:r>
      <w:r>
        <w:t xml:space="preserve"> Duguay </w:t>
      </w:r>
      <w:r w:rsidR="007F573B">
        <w:t>est</w:t>
      </w:r>
      <w:r>
        <w:t xml:space="preserve"> </w:t>
      </w:r>
      <w:r w:rsidR="00C42C2B">
        <w:t xml:space="preserve">à la </w:t>
      </w:r>
      <w:r w:rsidR="009230C1">
        <w:t>têt</w:t>
      </w:r>
      <w:r w:rsidR="00C42C2B">
        <w:t>e d</w:t>
      </w:r>
      <w:r w:rsidR="00314069">
        <w:t>e</w:t>
      </w:r>
      <w:r w:rsidR="00C42C2B">
        <w:t xml:space="preserve"> Cogir </w:t>
      </w:r>
      <w:r w:rsidR="008E797D">
        <w:t>I</w:t>
      </w:r>
      <w:r w:rsidR="00314069">
        <w:t xml:space="preserve">nvestissement </w:t>
      </w:r>
      <w:r w:rsidR="00C42C2B">
        <w:t xml:space="preserve">depuis 15 à 20 ans </w:t>
      </w:r>
      <w:r w:rsidR="008E797D">
        <w:t>et</w:t>
      </w:r>
      <w:r w:rsidR="00521153">
        <w:t xml:space="preserve"> gère </w:t>
      </w:r>
      <w:r w:rsidR="008E797D">
        <w:t xml:space="preserve">avec ses équipes </w:t>
      </w:r>
      <w:r w:rsidR="00521153">
        <w:t>un actif d’une valeur de 15 milliards de dollars</w:t>
      </w:r>
      <w:r w:rsidR="00F624BC">
        <w:t xml:space="preserve"> </w:t>
      </w:r>
      <w:r w:rsidR="00C42C2B">
        <w:t xml:space="preserve">et M. Leblanc </w:t>
      </w:r>
      <w:r w:rsidR="009230C1">
        <w:t>éta</w:t>
      </w:r>
      <w:r w:rsidR="00314069">
        <w:t>i</w:t>
      </w:r>
      <w:r w:rsidR="009230C1">
        <w:t>t</w:t>
      </w:r>
      <w:r w:rsidR="00C42C2B">
        <w:t xml:space="preserve"> à l’époque </w:t>
      </w:r>
      <w:r w:rsidR="009230C1">
        <w:t>le vice-président de Cogir</w:t>
      </w:r>
      <w:r w:rsidR="00314069">
        <w:t xml:space="preserve"> Construction</w:t>
      </w:r>
      <w:r w:rsidR="00F16812">
        <w:t>, dét</w:t>
      </w:r>
      <w:r w:rsidR="00314069">
        <w:t>ien</w:t>
      </w:r>
      <w:r w:rsidR="00F16812">
        <w:t xml:space="preserve">t un baccalauréat en </w:t>
      </w:r>
      <w:r w:rsidR="006120C6">
        <w:t>administration des affaires</w:t>
      </w:r>
      <w:r w:rsidR="009230C1">
        <w:t xml:space="preserve"> et œuvr</w:t>
      </w:r>
      <w:r w:rsidR="00C84A44">
        <w:t>e</w:t>
      </w:r>
      <w:r w:rsidR="009230C1">
        <w:t xml:space="preserve"> dans l’industrie de la construction depuis </w:t>
      </w:r>
      <w:r w:rsidR="00B81C14">
        <w:t>plus de 20 ans</w:t>
      </w:r>
      <w:r w:rsidR="00BF4FBE">
        <w:t>.</w:t>
      </w:r>
    </w:p>
    <w:p w14:paraId="6819CFD2" w14:textId="77777777" w:rsidR="001C4186" w:rsidRDefault="00BD6B34" w:rsidP="00E37868">
      <w:pPr>
        <w:pStyle w:val="paragrapheno"/>
        <w:spacing w:line="240" w:lineRule="auto"/>
      </w:pPr>
      <w:r>
        <w:t>Par ailleurs, bien que M. Pereira provoqu</w:t>
      </w:r>
      <w:r w:rsidR="00F624BC">
        <w:t>e</w:t>
      </w:r>
      <w:r>
        <w:t xml:space="preserve"> ces conversations et a </w:t>
      </w:r>
      <w:r w:rsidR="00C84A44">
        <w:t>comme</w:t>
      </w:r>
      <w:r>
        <w:t xml:space="preserve"> objectif d’accumuler de la preuve, il ne contrôl</w:t>
      </w:r>
      <w:r w:rsidR="001B4EEE">
        <w:t>e</w:t>
      </w:r>
      <w:r>
        <w:t xml:space="preserve"> pas entièrement les sujets abordés et les interlocuteurs demeurent libres de leur propos</w:t>
      </w:r>
      <w:r w:rsidR="001B4EEE">
        <w:t>, il n’y a aucun piège</w:t>
      </w:r>
      <w:r>
        <w:t>.</w:t>
      </w:r>
    </w:p>
    <w:p w14:paraId="414689A0" w14:textId="77777777" w:rsidR="00A266F2" w:rsidRPr="001A293E" w:rsidRDefault="00BD6B34" w:rsidP="00E37868">
      <w:pPr>
        <w:pStyle w:val="paragrapheno"/>
        <w:spacing w:line="240" w:lineRule="auto"/>
      </w:pPr>
      <w:r>
        <w:t>À titre d’exemple</w:t>
      </w:r>
      <w:r w:rsidR="00A42BA9">
        <w:t>,</w:t>
      </w:r>
      <w:r>
        <w:t xml:space="preserve"> dans la conversation </w:t>
      </w:r>
      <w:r w:rsidR="00C13687">
        <w:t>du</w:t>
      </w:r>
      <w:r>
        <w:t xml:space="preserve"> 9 septembre 20</w:t>
      </w:r>
      <w:r w:rsidR="00425FCC">
        <w:t>19</w:t>
      </w:r>
      <w:r w:rsidR="009B7265">
        <w:t>,</w:t>
      </w:r>
      <w:r w:rsidR="00C13687">
        <w:t xml:space="preserve"> alors que </w:t>
      </w:r>
      <w:r w:rsidR="00392C9F">
        <w:t>M. Pereira</w:t>
      </w:r>
      <w:r w:rsidR="00C13687">
        <w:t xml:space="preserve"> </w:t>
      </w:r>
      <w:r w:rsidR="00E26AE6">
        <w:t>n’a pas</w:t>
      </w:r>
      <w:r w:rsidR="00A71BFE">
        <w:t xml:space="preserve"> encore</w:t>
      </w:r>
      <w:r w:rsidR="00E26AE6">
        <w:t xml:space="preserve"> entrepris le présent dossier et que </w:t>
      </w:r>
      <w:r w:rsidR="00A71BFE">
        <w:t>les</w:t>
      </w:r>
      <w:r w:rsidR="00E26AE6">
        <w:t xml:space="preserve"> deux hommes</w:t>
      </w:r>
      <w:r w:rsidR="00CC4A09">
        <w:t xml:space="preserve"> </w:t>
      </w:r>
      <w:r w:rsidR="00C13687">
        <w:t>parle</w:t>
      </w:r>
      <w:r w:rsidR="00CD2A90">
        <w:t>nt</w:t>
      </w:r>
      <w:r w:rsidR="00C13687">
        <w:t xml:space="preserve"> </w:t>
      </w:r>
      <w:r w:rsidR="00CD2A90">
        <w:t xml:space="preserve">d’un évènement personnel touchant la famille de </w:t>
      </w:r>
      <w:r w:rsidR="00392C9F">
        <w:t>M. Pereira</w:t>
      </w:r>
      <w:r w:rsidR="00CD2A90" w:rsidRPr="001A293E">
        <w:t>,</w:t>
      </w:r>
      <w:r w:rsidRPr="001A293E">
        <w:t xml:space="preserve"> c’est M. Leblanc qui</w:t>
      </w:r>
      <w:r w:rsidR="00D059F8">
        <w:t xml:space="preserve"> demande à M. Pereira</w:t>
      </w:r>
      <w:r w:rsidRPr="001A293E">
        <w:t>: « </w:t>
      </w:r>
      <w:r w:rsidRPr="001A293E">
        <w:rPr>
          <w:i/>
          <w:iCs/>
        </w:rPr>
        <w:t>Ça avance-tu un peu le dossier avec le Fonds?</w:t>
      </w:r>
      <w:r w:rsidRPr="001A293E">
        <w:t xml:space="preserve"> ». C’est aussi M. Leblanc, qui </w:t>
      </w:r>
      <w:r w:rsidR="00A613AA" w:rsidRPr="001A293E">
        <w:t>amène</w:t>
      </w:r>
      <w:r w:rsidRPr="001A293E">
        <w:t xml:space="preserve"> </w:t>
      </w:r>
      <w:r w:rsidR="009B7265" w:rsidRPr="001A293E">
        <w:t xml:space="preserve">dans la conversation </w:t>
      </w:r>
      <w:r w:rsidRPr="001A293E">
        <w:t>le nom de Normand Bélanger, président du Fond</w:t>
      </w:r>
      <w:r w:rsidR="0020306C">
        <w:t>s</w:t>
      </w:r>
      <w:r w:rsidRPr="001A293E">
        <w:t xml:space="preserve"> immobilier, </w:t>
      </w:r>
      <w:r w:rsidR="004635E0" w:rsidRPr="001A293E">
        <w:t xml:space="preserve">sans que </w:t>
      </w:r>
      <w:r w:rsidR="00392C9F">
        <w:t>M. Pereira</w:t>
      </w:r>
      <w:r w:rsidR="004635E0" w:rsidRPr="001A293E">
        <w:t xml:space="preserve"> n’ait mentionné </w:t>
      </w:r>
      <w:r w:rsidR="006F7DE2">
        <w:t xml:space="preserve">le nom de </w:t>
      </w:r>
      <w:r w:rsidR="004635E0" w:rsidRPr="001A293E">
        <w:t>qui</w:t>
      </w:r>
      <w:r w:rsidR="00A613AA" w:rsidRPr="001A293E">
        <w:t xml:space="preserve"> </w:t>
      </w:r>
      <w:r w:rsidR="004635E0" w:rsidRPr="001A293E">
        <w:t>que</w:t>
      </w:r>
      <w:r w:rsidR="00A613AA" w:rsidRPr="001A293E">
        <w:t xml:space="preserve"> </w:t>
      </w:r>
      <w:r w:rsidR="004635E0" w:rsidRPr="001A293E">
        <w:t>ce soit</w:t>
      </w:r>
      <w:r w:rsidR="00A613AA" w:rsidRPr="001A293E">
        <w:t>. En effet</w:t>
      </w:r>
      <w:r w:rsidR="006A2D04">
        <w:t>,</w:t>
      </w:r>
      <w:r w:rsidR="00A613AA" w:rsidRPr="001A293E">
        <w:t xml:space="preserve"> alors que la conversation se termine</w:t>
      </w:r>
      <w:r w:rsidR="00B04EEF" w:rsidRPr="001A293E">
        <w:t>,</w:t>
      </w:r>
      <w:r w:rsidRPr="001A293E">
        <w:t xml:space="preserve"> M. Leblanc dit </w:t>
      </w:r>
      <w:r w:rsidR="00B04EEF" w:rsidRPr="001A293E">
        <w:t>à M. Pereira</w:t>
      </w:r>
      <w:r w:rsidRPr="001A293E">
        <w:t xml:space="preserve">: </w:t>
      </w:r>
      <w:r w:rsidR="00924C73" w:rsidRPr="001A293E">
        <w:rPr>
          <w:i/>
          <w:iCs/>
        </w:rPr>
        <w:t>« mais</w:t>
      </w:r>
      <w:r w:rsidRPr="001A293E">
        <w:rPr>
          <w:i/>
          <w:iCs/>
        </w:rPr>
        <w:t xml:space="preserve"> ils ont toutes peur du passé. De toute façon Normand Bélanger, il doit pas lui en rester ben ben longtemps. Il va prendre sa retraite un moment donné (…) À un moment donné, quelqu’un va arriver et va régler ça. Combien ça coûte pi on règle ça, on passe à d’autres choses. C’est ça qui va arriver Ciao men</w:t>
      </w:r>
      <w:r w:rsidRPr="001A293E">
        <w:t> »</w:t>
      </w:r>
      <w:r>
        <w:rPr>
          <w:rStyle w:val="Appelnotedebasdep"/>
        </w:rPr>
        <w:footnoteReference w:id="55"/>
      </w:r>
      <w:r w:rsidRPr="001A293E">
        <w:t>.</w:t>
      </w:r>
    </w:p>
    <w:p w14:paraId="4A1A8CE6" w14:textId="77777777" w:rsidR="00BF4FBE" w:rsidRDefault="00BD6B34" w:rsidP="00E37868">
      <w:pPr>
        <w:pStyle w:val="paragrapheno"/>
        <w:spacing w:line="240" w:lineRule="auto"/>
      </w:pPr>
      <w:r>
        <w:t>Qua</w:t>
      </w:r>
      <w:r w:rsidR="00335A80">
        <w:t>nt à la conversation avec M. Duguay du 1</w:t>
      </w:r>
      <w:r w:rsidR="001B4FEA">
        <w:t>er</w:t>
      </w:r>
      <w:r w:rsidR="00335A80">
        <w:t xml:space="preserve"> novembre 20</w:t>
      </w:r>
      <w:r>
        <w:t xml:space="preserve">18, </w:t>
      </w:r>
      <w:r w:rsidR="00392C9F">
        <w:t>M. Pereira</w:t>
      </w:r>
      <w:r>
        <w:t xml:space="preserve"> la provoque</w:t>
      </w:r>
      <w:r w:rsidR="004D1E9A">
        <w:t xml:space="preserve"> </w:t>
      </w:r>
      <w:r w:rsidR="007F573B">
        <w:t>non</w:t>
      </w:r>
      <w:r w:rsidR="004D1E9A">
        <w:t xml:space="preserve"> </w:t>
      </w:r>
      <w:r w:rsidR="007F573B">
        <w:t>seulement pour accumuler de la preuve</w:t>
      </w:r>
      <w:r w:rsidR="00E36E5F">
        <w:t>,</w:t>
      </w:r>
      <w:r w:rsidR="007F573B">
        <w:t xml:space="preserve"> </w:t>
      </w:r>
      <w:r w:rsidR="004D1E9A">
        <w:t>mais aussi</w:t>
      </w:r>
      <w:r>
        <w:t xml:space="preserve"> </w:t>
      </w:r>
      <w:r w:rsidR="00EF7DF8">
        <w:t>parce</w:t>
      </w:r>
      <w:r w:rsidR="008C7A89">
        <w:t xml:space="preserve"> </w:t>
      </w:r>
      <w:r w:rsidR="00EF7DF8">
        <w:t>qu’un entrepreneur qu’il connaît</w:t>
      </w:r>
      <w:r w:rsidR="00E129D6">
        <w:t>,</w:t>
      </w:r>
      <w:r w:rsidR="00EF7DF8">
        <w:t xml:space="preserve"> </w:t>
      </w:r>
      <w:r w:rsidR="00287F24">
        <w:t xml:space="preserve">spécialisé </w:t>
      </w:r>
      <w:r w:rsidR="00EF7DF8">
        <w:t>en câbl</w:t>
      </w:r>
      <w:r w:rsidR="008C7A89">
        <w:t>age</w:t>
      </w:r>
      <w:r w:rsidR="00E129D6">
        <w:t>,</w:t>
      </w:r>
      <w:r w:rsidR="00EF7DF8">
        <w:t xml:space="preserve"> souhaite </w:t>
      </w:r>
      <w:r w:rsidR="001820E9">
        <w:t xml:space="preserve">présenter son projet au Fonds et </w:t>
      </w:r>
      <w:r w:rsidR="00392C9F">
        <w:t>M. Pereira</w:t>
      </w:r>
      <w:r w:rsidR="001820E9">
        <w:t xml:space="preserve"> pense que M</w:t>
      </w:r>
      <w:r w:rsidR="00287F24">
        <w:t>.</w:t>
      </w:r>
      <w:r w:rsidR="001820E9">
        <w:t xml:space="preserve"> Duguay pourrait l’</w:t>
      </w:r>
      <w:r w:rsidR="00287F24">
        <w:t xml:space="preserve">introduire au Fonds. </w:t>
      </w:r>
      <w:r w:rsidR="00902372">
        <w:t>I</w:t>
      </w:r>
      <w:r>
        <w:t xml:space="preserve">l est vrai </w:t>
      </w:r>
      <w:r w:rsidR="00902372">
        <w:t xml:space="preserve">comme le soutient Cogir que lors de cette conversation </w:t>
      </w:r>
      <w:r w:rsidR="00392C9F">
        <w:t>M. Pereira</w:t>
      </w:r>
      <w:r>
        <w:t xml:space="preserve"> amène la conversation sur le sujet du Fonds en expliquant à M. </w:t>
      </w:r>
      <w:r w:rsidR="00D81106">
        <w:t>Duguay</w:t>
      </w:r>
      <w:r>
        <w:t xml:space="preserve"> qu’il a pensé à lui pour </w:t>
      </w:r>
      <w:r w:rsidR="00F6141F">
        <w:t>aider</w:t>
      </w:r>
      <w:r>
        <w:t xml:space="preserve"> </w:t>
      </w:r>
      <w:r w:rsidR="00902372">
        <w:t>cet entrepreneur parce que lui ne pourrait pas les aider</w:t>
      </w:r>
      <w:r w:rsidR="00021BD9">
        <w:t xml:space="preserve"> avec le Fonds</w:t>
      </w:r>
      <w:r w:rsidR="005C244A">
        <w:t>, ce qui provoque le rire des deux interlocuteurs</w:t>
      </w:r>
      <w:r w:rsidR="00624398">
        <w:t xml:space="preserve"> </w:t>
      </w:r>
      <w:r w:rsidR="00021BD9">
        <w:t>et M. Duguay immédiatement enchaîne</w:t>
      </w:r>
      <w:r w:rsidR="00624398">
        <w:t> : « </w:t>
      </w:r>
      <w:r w:rsidR="00624398" w:rsidRPr="008934FE">
        <w:rPr>
          <w:i/>
          <w:iCs/>
        </w:rPr>
        <w:t xml:space="preserve">Il pourrait t’accueillir avec un </w:t>
      </w:r>
      <w:r w:rsidR="00624398" w:rsidRPr="008934FE">
        <w:rPr>
          <w:i/>
          <w:iCs/>
        </w:rPr>
        <w:lastRenderedPageBreak/>
        <w:t>tapis rouge ces esti-là, quant à moi… Il devrait mettre une statue de toi en avant</w:t>
      </w:r>
      <w:r w:rsidR="008934FE" w:rsidRPr="008934FE">
        <w:rPr>
          <w:i/>
          <w:iCs/>
        </w:rPr>
        <w:t xml:space="preserve"> du caliss de building, esti.</w:t>
      </w:r>
      <w:r w:rsidR="008934FE">
        <w:t> »</w:t>
      </w:r>
      <w:r>
        <w:rPr>
          <w:rStyle w:val="Appelnotedebasdep"/>
        </w:rPr>
        <w:footnoteReference w:id="56"/>
      </w:r>
      <w:r w:rsidR="009C04FA">
        <w:t>.</w:t>
      </w:r>
    </w:p>
    <w:p w14:paraId="779C4239" w14:textId="77777777" w:rsidR="00282309" w:rsidRPr="00362F0C" w:rsidRDefault="00BD6B34" w:rsidP="00E37868">
      <w:pPr>
        <w:pStyle w:val="paragrapheno"/>
        <w:spacing w:line="240" w:lineRule="auto"/>
      </w:pPr>
      <w:r w:rsidRPr="00362F0C">
        <w:t xml:space="preserve">Le Tribunal ne considère pas que </w:t>
      </w:r>
      <w:r w:rsidR="00392C9F" w:rsidRPr="00362F0C">
        <w:t>M. Pereira</w:t>
      </w:r>
      <w:r w:rsidRPr="00362F0C">
        <w:t xml:space="preserve"> a provoqu</w:t>
      </w:r>
      <w:r w:rsidR="004A54FF">
        <w:t>é</w:t>
      </w:r>
      <w:r w:rsidRPr="00362F0C">
        <w:t xml:space="preserve"> par </w:t>
      </w:r>
      <w:r w:rsidR="00E37DCE" w:rsidRPr="00362F0C">
        <w:t>se</w:t>
      </w:r>
      <w:r w:rsidRPr="00362F0C">
        <w:t>s paroles cette réponse</w:t>
      </w:r>
      <w:r w:rsidR="002562EB" w:rsidRPr="00362F0C">
        <w:t xml:space="preserve"> </w:t>
      </w:r>
      <w:r w:rsidR="00FC2379" w:rsidRPr="00362F0C">
        <w:t xml:space="preserve">de M. </w:t>
      </w:r>
      <w:r w:rsidR="00E17561" w:rsidRPr="00362F0C">
        <w:t>Duguay</w:t>
      </w:r>
      <w:r w:rsidR="00FC2379" w:rsidRPr="00362F0C">
        <w:t xml:space="preserve"> </w:t>
      </w:r>
      <w:r w:rsidR="00E17561">
        <w:t xml:space="preserve">ou </w:t>
      </w:r>
      <w:r w:rsidR="00800087">
        <w:t xml:space="preserve">qu’il </w:t>
      </w:r>
      <w:r w:rsidR="00E17561">
        <w:t>lui a autrement tendu un piège</w:t>
      </w:r>
      <w:r w:rsidR="00713021">
        <w:t xml:space="preserve"> </w:t>
      </w:r>
      <w:r w:rsidR="002562EB" w:rsidRPr="00362F0C">
        <w:t>et qu</w:t>
      </w:r>
      <w:r w:rsidR="00D059F8">
        <w:t>e le contenu de cette conversation n’a aucune valeur probante</w:t>
      </w:r>
      <w:r w:rsidR="002562EB" w:rsidRPr="00362F0C">
        <w:t xml:space="preserve">. </w:t>
      </w:r>
      <w:r w:rsidR="00AD1515" w:rsidRPr="00362F0C">
        <w:t>Si comme</w:t>
      </w:r>
      <w:r w:rsidR="002562EB" w:rsidRPr="00362F0C">
        <w:t xml:space="preserve"> le souligne </w:t>
      </w:r>
      <w:r w:rsidR="00AD1515" w:rsidRPr="00362F0C">
        <w:t>M. Duguay</w:t>
      </w:r>
      <w:r w:rsidR="00D059F8">
        <w:t>,</w:t>
      </w:r>
      <w:r w:rsidR="00AD1515" w:rsidRPr="00362F0C">
        <w:t xml:space="preserve"> </w:t>
      </w:r>
      <w:r w:rsidR="00D059F8">
        <w:t xml:space="preserve">il ne doit rien </w:t>
      </w:r>
      <w:r w:rsidR="00C11838">
        <w:t xml:space="preserve">au </w:t>
      </w:r>
      <w:r w:rsidR="00C11838" w:rsidRPr="00362F0C">
        <w:t>Fonds</w:t>
      </w:r>
      <w:r w:rsidR="006D1927">
        <w:t>, au Fonds immobilier</w:t>
      </w:r>
      <w:r w:rsidR="00E60A81" w:rsidRPr="00362F0C">
        <w:t xml:space="preserve"> ou </w:t>
      </w:r>
      <w:r w:rsidR="006D1927">
        <w:t>à</w:t>
      </w:r>
      <w:r w:rsidR="00E60A81" w:rsidRPr="00362F0C">
        <w:t xml:space="preserve"> la FTQ</w:t>
      </w:r>
      <w:r w:rsidR="008E5116" w:rsidRPr="00362F0C">
        <w:t>,</w:t>
      </w:r>
      <w:r w:rsidR="00E60A81" w:rsidRPr="00362F0C">
        <w:t xml:space="preserve"> il n’est certainement pas </w:t>
      </w:r>
      <w:r w:rsidR="008E5116" w:rsidRPr="00362F0C">
        <w:t>influencé par quelques mot</w:t>
      </w:r>
      <w:r w:rsidR="00CB5C92" w:rsidRPr="00362F0C">
        <w:t>s</w:t>
      </w:r>
      <w:r w:rsidR="008E5116" w:rsidRPr="00362F0C">
        <w:t xml:space="preserve"> prononcé</w:t>
      </w:r>
      <w:r w:rsidR="00CB5C92" w:rsidRPr="00362F0C">
        <w:t>s</w:t>
      </w:r>
      <w:r w:rsidR="008E5116" w:rsidRPr="00362F0C">
        <w:t xml:space="preserve"> par </w:t>
      </w:r>
      <w:r w:rsidR="00392C9F" w:rsidRPr="00362F0C">
        <w:t>M. Pereira</w:t>
      </w:r>
      <w:r w:rsidR="007E1727">
        <w:t xml:space="preserve"> dans une conversation </w:t>
      </w:r>
      <w:r w:rsidR="00D46465">
        <w:t xml:space="preserve">qui se déroule </w:t>
      </w:r>
      <w:r w:rsidR="007E1727">
        <w:t>sur un ton amical</w:t>
      </w:r>
      <w:r w:rsidRPr="00362F0C">
        <w:t>.</w:t>
      </w:r>
    </w:p>
    <w:p w14:paraId="40A56969" w14:textId="77777777" w:rsidR="009C04FA" w:rsidRDefault="00BD6B34" w:rsidP="00E37868">
      <w:pPr>
        <w:pStyle w:val="paragrapheno"/>
        <w:spacing w:line="240" w:lineRule="auto"/>
      </w:pPr>
      <w:r>
        <w:t xml:space="preserve">Même s’il n’est pas élégant d’enregistré son </w:t>
      </w:r>
      <w:r w:rsidR="002A261F">
        <w:t>interlocuteur</w:t>
      </w:r>
      <w:r>
        <w:t xml:space="preserve"> pour obtenir de la preuve</w:t>
      </w:r>
      <w:r w:rsidR="00622BAA">
        <w:t xml:space="preserve"> et qu’il faut être prudent comme l’énonce la Cour </w:t>
      </w:r>
      <w:r w:rsidR="00817D7D">
        <w:t>d’appel</w:t>
      </w:r>
      <w:r w:rsidR="00622BAA">
        <w:t xml:space="preserve"> dans </w:t>
      </w:r>
      <w:r w:rsidR="00622BAA" w:rsidRPr="0022213D">
        <w:rPr>
          <w:i/>
          <w:iCs/>
        </w:rPr>
        <w:t>Cadieux</w:t>
      </w:r>
      <w:r w:rsidR="00622BAA">
        <w:t xml:space="preserve"> c. </w:t>
      </w:r>
      <w:r w:rsidR="005E13F0" w:rsidRPr="0022213D">
        <w:rPr>
          <w:i/>
          <w:iCs/>
        </w:rPr>
        <w:t xml:space="preserve">Le </w:t>
      </w:r>
      <w:r w:rsidR="00622BAA" w:rsidRPr="0022213D">
        <w:rPr>
          <w:i/>
          <w:iCs/>
        </w:rPr>
        <w:t>Service</w:t>
      </w:r>
      <w:r w:rsidR="005E13F0" w:rsidRPr="0022213D">
        <w:rPr>
          <w:i/>
          <w:iCs/>
        </w:rPr>
        <w:t xml:space="preserve"> de gaz naturel Laval inc</w:t>
      </w:r>
      <w:r w:rsidR="005E13F0">
        <w:t>.</w:t>
      </w:r>
      <w:r>
        <w:rPr>
          <w:rStyle w:val="Appelnotedebasdep"/>
        </w:rPr>
        <w:footnoteReference w:id="57"/>
      </w:r>
      <w:r w:rsidR="001D0D66">
        <w:t xml:space="preserve"> quant au poids à accorder</w:t>
      </w:r>
      <w:r w:rsidR="00243B60">
        <w:t xml:space="preserve"> à la preuve qui en découle</w:t>
      </w:r>
      <w:r w:rsidR="00BB3B7E">
        <w:t xml:space="preserve">, ce n’est pas illégal et </w:t>
      </w:r>
      <w:r w:rsidR="002A261F">
        <w:t>compte tenu</w:t>
      </w:r>
      <w:r w:rsidR="000E3A0C">
        <w:t xml:space="preserve"> de ce qui précède</w:t>
      </w:r>
      <w:r w:rsidR="00D059F8">
        <w:t xml:space="preserve"> et de l’ensemble du dossier</w:t>
      </w:r>
      <w:r w:rsidR="00860556">
        <w:t>, le Tribunal esti</w:t>
      </w:r>
      <w:r w:rsidR="00E305CA">
        <w:t>m</w:t>
      </w:r>
      <w:r w:rsidR="00860556">
        <w:t xml:space="preserve">e que </w:t>
      </w:r>
      <w:r w:rsidR="002C174C">
        <w:t>la valeur probante</w:t>
      </w:r>
      <w:r w:rsidR="00CA2F7C">
        <w:t xml:space="preserve"> du contenu des deux enregistrement</w:t>
      </w:r>
      <w:r w:rsidR="00D059F8">
        <w:t>s</w:t>
      </w:r>
      <w:r w:rsidR="002C174C">
        <w:t xml:space="preserve"> n’est pas </w:t>
      </w:r>
      <w:r w:rsidR="0088200D">
        <w:t>affectée</w:t>
      </w:r>
      <w:r w:rsidR="00D059F8">
        <w:t xml:space="preserve"> par la façon dont cette preuve a été obtenue</w:t>
      </w:r>
      <w:r w:rsidR="0088200D">
        <w:t xml:space="preserve">. </w:t>
      </w:r>
    </w:p>
    <w:p w14:paraId="24C9BFC8" w14:textId="77777777" w:rsidR="00E305CA" w:rsidRDefault="00BD6B34" w:rsidP="00E37868">
      <w:pPr>
        <w:pStyle w:val="paragrapheno"/>
        <w:spacing w:line="240" w:lineRule="auto"/>
      </w:pPr>
      <w:r>
        <w:t>Cela dit, la conversation avec M. Duguay apporte peu d’éc</w:t>
      </w:r>
      <w:r w:rsidR="00A03D61">
        <w:t>lairage</w:t>
      </w:r>
      <w:r w:rsidR="00BB5121">
        <w:t xml:space="preserve"> surtout que ce dernier mentionne que lorsqu’il prononce les paroles citées plus haut</w:t>
      </w:r>
      <w:r w:rsidR="00CC38F9">
        <w:t xml:space="preserve"> et</w:t>
      </w:r>
      <w:r w:rsidR="00DD0372">
        <w:t xml:space="preserve"> </w:t>
      </w:r>
      <w:r w:rsidR="00524A07">
        <w:t>mentionne</w:t>
      </w:r>
      <w:r w:rsidR="00DD0372">
        <w:t xml:space="preserve"> la statue devant</w:t>
      </w:r>
      <w:r w:rsidR="00524A07">
        <w:t xml:space="preserve"> le buil</w:t>
      </w:r>
      <w:r w:rsidR="005C5ACF">
        <w:t>d</w:t>
      </w:r>
      <w:r w:rsidR="00524A07">
        <w:t>in</w:t>
      </w:r>
      <w:r w:rsidR="005C5ACF">
        <w:t>g, il</w:t>
      </w:r>
      <w:r w:rsidR="00BB5121">
        <w:t xml:space="preserve"> </w:t>
      </w:r>
      <w:r w:rsidR="005C5ACF">
        <w:t xml:space="preserve">parle du complexe </w:t>
      </w:r>
      <w:r w:rsidR="00BB5121">
        <w:t>de la FTQ</w:t>
      </w:r>
      <w:r w:rsidR="00D042EC">
        <w:t xml:space="preserve"> puisque dans sa compréhension </w:t>
      </w:r>
      <w:r w:rsidR="00392C9F">
        <w:t>M. Pereira</w:t>
      </w:r>
      <w:r w:rsidR="00D042EC">
        <w:t xml:space="preserve"> a </w:t>
      </w:r>
      <w:r w:rsidR="00B64F05">
        <w:t xml:space="preserve">par le passé </w:t>
      </w:r>
      <w:r w:rsidR="00D042EC">
        <w:t xml:space="preserve">dénoncé les gestes illégaux </w:t>
      </w:r>
      <w:r w:rsidR="00630A0F">
        <w:t xml:space="preserve">et </w:t>
      </w:r>
      <w:r w:rsidR="00DD0372">
        <w:t>criminels</w:t>
      </w:r>
      <w:r w:rsidR="00630A0F">
        <w:t xml:space="preserve"> </w:t>
      </w:r>
      <w:r w:rsidR="00B64F05">
        <w:t>de dirigeants de</w:t>
      </w:r>
      <w:r w:rsidR="00630A0F">
        <w:t xml:space="preserve"> la FTQ</w:t>
      </w:r>
      <w:r w:rsidR="006902ED">
        <w:t>-Construction</w:t>
      </w:r>
      <w:r w:rsidR="00630A0F">
        <w:t xml:space="preserve">. </w:t>
      </w:r>
      <w:r w:rsidR="00164B1E">
        <w:t>Dans cette conversation</w:t>
      </w:r>
      <w:r w:rsidR="005A0406">
        <w:t>,</w:t>
      </w:r>
      <w:r w:rsidR="004C5AA5">
        <w:t xml:space="preserve"> lorsqu’il parle à </w:t>
      </w:r>
      <w:r w:rsidR="00392C9F">
        <w:t>M. Pereira</w:t>
      </w:r>
      <w:r w:rsidR="005A0406">
        <w:t xml:space="preserve"> tout comme lorsqu’il témoigne à l’audience</w:t>
      </w:r>
      <w:r w:rsidR="004C5AA5">
        <w:t>,</w:t>
      </w:r>
      <w:r w:rsidR="00164B1E">
        <w:t xml:space="preserve"> il ne fait pas la différence </w:t>
      </w:r>
      <w:r w:rsidR="006F0FBC">
        <w:t xml:space="preserve">dans ses propos </w:t>
      </w:r>
      <w:r w:rsidR="00164B1E">
        <w:t xml:space="preserve">entre le Fonds </w:t>
      </w:r>
      <w:r w:rsidR="004C5AA5">
        <w:t>qu’</w:t>
      </w:r>
      <w:r w:rsidR="00164B1E">
        <w:t>ils viennent tout juste d’invoquer</w:t>
      </w:r>
      <w:r w:rsidR="00DF5C49">
        <w:t xml:space="preserve">, la </w:t>
      </w:r>
      <w:r w:rsidR="00FC10DC">
        <w:t>FTQ et</w:t>
      </w:r>
      <w:r w:rsidR="00164B1E">
        <w:t xml:space="preserve"> la FTQ</w:t>
      </w:r>
      <w:r w:rsidR="004C5AA5">
        <w:t>-Constructi</w:t>
      </w:r>
      <w:r w:rsidR="006902ED">
        <w:t xml:space="preserve">on. </w:t>
      </w:r>
      <w:r w:rsidR="00DF5C49">
        <w:t xml:space="preserve">Pour lui bien </w:t>
      </w:r>
      <w:r w:rsidR="00FC10DC">
        <w:t xml:space="preserve">qu’il </w:t>
      </w:r>
      <w:r w:rsidR="00DD0372">
        <w:t>reconnaisse</w:t>
      </w:r>
      <w:r w:rsidR="00FC10DC">
        <w:t xml:space="preserve"> que</w:t>
      </w:r>
      <w:r w:rsidR="00D04F17">
        <w:t xml:space="preserve"> le Fonds, le Fonds immobilier, la FTQ et la FTQ-</w:t>
      </w:r>
      <w:r w:rsidR="00D82AF6">
        <w:t>Construction</w:t>
      </w:r>
      <w:r w:rsidR="00D04F17">
        <w:t xml:space="preserve"> puissent être</w:t>
      </w:r>
      <w:r w:rsidR="00D8366B">
        <w:t xml:space="preserve"> des entités différentes, comme il ne connaît pas en détail les</w:t>
      </w:r>
      <w:r w:rsidR="00FC10DC">
        <w:t xml:space="preserve"> </w:t>
      </w:r>
      <w:r w:rsidR="00D82AF6">
        <w:t>structures organisationnelles de ces entités, dans ses discussion</w:t>
      </w:r>
      <w:r w:rsidR="00E57D42">
        <w:t>s,</w:t>
      </w:r>
      <w:r w:rsidR="00D82AF6">
        <w:t xml:space="preserve"> </w:t>
      </w:r>
      <w:r w:rsidR="00AE0439">
        <w:t>il utilise généralement le même vocable pour désigner l’une ou l’autre ou l’ensemble de ces entités</w:t>
      </w:r>
      <w:r w:rsidR="00FC10DC">
        <w:t>.</w:t>
      </w:r>
      <w:r w:rsidR="00D8366B">
        <w:t xml:space="preserve"> </w:t>
      </w:r>
      <w:r w:rsidR="006902ED">
        <w:t xml:space="preserve">C’est aussi conforme à sa version lors de </w:t>
      </w:r>
      <w:r w:rsidR="004D2E08">
        <w:t>s</w:t>
      </w:r>
      <w:r w:rsidR="006902ED">
        <w:t xml:space="preserve">on interrogatoire </w:t>
      </w:r>
      <w:r w:rsidR="004D2E08">
        <w:t>hors cour.</w:t>
      </w:r>
    </w:p>
    <w:p w14:paraId="6ACF1EF1" w14:textId="77777777" w:rsidR="00DD0372" w:rsidRDefault="00BD6B34" w:rsidP="00E37868">
      <w:pPr>
        <w:pStyle w:val="paragrapheno"/>
        <w:spacing w:line="240" w:lineRule="auto"/>
      </w:pPr>
      <w:r>
        <w:t xml:space="preserve">Le Tribunal ajoute que ce n’est pas parce qu’un témoin ne fait pas la distinction entre différentes entités juridiques, que juridiquement ces entités n’en </w:t>
      </w:r>
      <w:r w:rsidR="00F81C6B">
        <w:t>forment</w:t>
      </w:r>
      <w:r>
        <w:t xml:space="preserve"> qu’une et que les fautes de l’une peuvent être attribuées à une autre.</w:t>
      </w:r>
    </w:p>
    <w:p w14:paraId="26E2E1BD" w14:textId="77777777" w:rsidR="00856DB4" w:rsidRDefault="00BD6B34" w:rsidP="00E37868">
      <w:pPr>
        <w:pStyle w:val="paragrapheno"/>
        <w:spacing w:line="240" w:lineRule="auto"/>
      </w:pPr>
      <w:r>
        <w:t>L</w:t>
      </w:r>
      <w:r w:rsidR="00552210">
        <w:t xml:space="preserve">a conversation avec </w:t>
      </w:r>
      <w:r w:rsidR="000D20A5">
        <w:t>M. Leblanc</w:t>
      </w:r>
      <w:r>
        <w:t>, au contraire de celle avec M. Duguay, apporte un éclairage utile.</w:t>
      </w:r>
    </w:p>
    <w:p w14:paraId="68FACF92" w14:textId="77777777" w:rsidR="00B00114" w:rsidRDefault="00BD6B34" w:rsidP="00E37868">
      <w:pPr>
        <w:pStyle w:val="paragrapheno"/>
        <w:spacing w:line="240" w:lineRule="auto"/>
      </w:pPr>
      <w:r>
        <w:t xml:space="preserve"> Les passages les plus pertinents de cette conversation</w:t>
      </w:r>
      <w:r w:rsidR="00D34AF3">
        <w:t xml:space="preserve"> sont les suivants :</w:t>
      </w:r>
    </w:p>
    <w:p w14:paraId="78FA11EA" w14:textId="77777777" w:rsidR="00D34AF3" w:rsidRDefault="00BD6B34" w:rsidP="00D34AF3">
      <w:pPr>
        <w:pStyle w:val="Puce1"/>
      </w:pPr>
      <w:r>
        <w:t xml:space="preserve">M. </w:t>
      </w:r>
      <w:r w:rsidR="00DE4452">
        <w:t>Leblanc</w:t>
      </w:r>
      <w:r>
        <w:t xml:space="preserve"> demande à </w:t>
      </w:r>
      <w:r w:rsidR="00DE4452">
        <w:t>M. Pereira : « </w:t>
      </w:r>
      <w:r w:rsidR="001A077F" w:rsidRPr="001A077F">
        <w:rPr>
          <w:i/>
          <w:iCs/>
        </w:rPr>
        <w:t>Ç</w:t>
      </w:r>
      <w:r w:rsidR="00DE4452" w:rsidRPr="001A077F">
        <w:rPr>
          <w:i/>
          <w:iCs/>
        </w:rPr>
        <w:t>a avance-tu un peu ton dossier</w:t>
      </w:r>
      <w:r w:rsidR="004437E1" w:rsidRPr="001A077F">
        <w:rPr>
          <w:i/>
          <w:iCs/>
        </w:rPr>
        <w:t xml:space="preserve"> </w:t>
      </w:r>
      <w:r w:rsidR="00DE4452" w:rsidRPr="001A077F">
        <w:rPr>
          <w:i/>
          <w:iCs/>
        </w:rPr>
        <w:t>avec le</w:t>
      </w:r>
      <w:r w:rsidR="004437E1" w:rsidRPr="001A077F">
        <w:rPr>
          <w:i/>
          <w:iCs/>
        </w:rPr>
        <w:t xml:space="preserve"> Fonds</w:t>
      </w:r>
      <w:r w:rsidR="001A077F">
        <w:t> »</w:t>
      </w:r>
      <w:r w:rsidR="006F0FBC">
        <w:t xml:space="preserve"> </w:t>
      </w:r>
      <w:r w:rsidR="00107413">
        <w:t>alors que le présent recours n’est pas encore entrepris;</w:t>
      </w:r>
    </w:p>
    <w:p w14:paraId="2C8E4435" w14:textId="77777777" w:rsidR="006A67D2" w:rsidRDefault="00BD6B34" w:rsidP="00D34AF3">
      <w:pPr>
        <w:pStyle w:val="Puce1"/>
      </w:pPr>
      <w:r>
        <w:lastRenderedPageBreak/>
        <w:t xml:space="preserve">Lorsque M. Pereira lui dit </w:t>
      </w:r>
      <w:r w:rsidR="00583CDE">
        <w:t xml:space="preserve">vers la fin de la conversation </w:t>
      </w:r>
      <w:r>
        <w:t>que malgré les 9 ans qui ont passé</w:t>
      </w:r>
      <w:r w:rsidR="00DD0372">
        <w:t>,</w:t>
      </w:r>
      <w:r>
        <w:t xml:space="preserve"> le Fonds s’acharne sur lui</w:t>
      </w:r>
      <w:r w:rsidR="008C112A">
        <w:t xml:space="preserve">, M. Leblanc tient </w:t>
      </w:r>
      <w:r w:rsidR="00DD0372">
        <w:t>l</w:t>
      </w:r>
      <w:r w:rsidR="008C112A">
        <w:t>es propos</w:t>
      </w:r>
      <w:r w:rsidR="00DD0372">
        <w:t xml:space="preserve"> suivants</w:t>
      </w:r>
      <w:r w:rsidR="008C112A">
        <w:t> :</w:t>
      </w:r>
      <w:r w:rsidR="00DF3ACE" w:rsidRPr="00DF3ACE">
        <w:t xml:space="preserve"> </w:t>
      </w:r>
      <w:r w:rsidR="00DF3ACE">
        <w:t>« </w:t>
      </w:r>
      <w:r w:rsidR="00DF3ACE" w:rsidRPr="00DF3ACE">
        <w:rPr>
          <w:i/>
          <w:iCs/>
        </w:rPr>
        <w:t>ouais,</w:t>
      </w:r>
      <w:r w:rsidR="00DF3ACE">
        <w:t xml:space="preserve"> </w:t>
      </w:r>
      <w:r w:rsidR="00DF3ACE" w:rsidRPr="003624FB">
        <w:rPr>
          <w:i/>
          <w:iCs/>
        </w:rPr>
        <w:t>ils lâchent pas</w:t>
      </w:r>
      <w:r w:rsidR="00DF3ACE">
        <w:t xml:space="preserve"> », « </w:t>
      </w:r>
      <w:r w:rsidR="00DF3ACE" w:rsidRPr="003624FB">
        <w:rPr>
          <w:i/>
          <w:iCs/>
        </w:rPr>
        <w:t>ça va faire son bout de chemin si t’es patient</w:t>
      </w:r>
      <w:r w:rsidR="00DF3ACE">
        <w:t> », « </w:t>
      </w:r>
      <w:r w:rsidR="00DF3ACE" w:rsidRPr="003624FB">
        <w:rPr>
          <w:i/>
          <w:iCs/>
        </w:rPr>
        <w:t>ils se protègent peut-être toute le cul, cette gang là </w:t>
      </w:r>
      <w:r w:rsidR="00DF3ACE">
        <w:t>», « </w:t>
      </w:r>
      <w:r w:rsidR="00DF3ACE" w:rsidRPr="003624FB">
        <w:rPr>
          <w:i/>
          <w:iCs/>
        </w:rPr>
        <w:t>Tout le monde se protège le cul</w:t>
      </w:r>
      <w:r w:rsidR="00DF3ACE">
        <w:t> », « </w:t>
      </w:r>
      <w:r w:rsidR="00DF3ACE" w:rsidRPr="003624FB">
        <w:rPr>
          <w:i/>
          <w:iCs/>
        </w:rPr>
        <w:t>Mais ils ont toutes peurs du passé. De toute façon Normand Bélanger, il doit pas lui en rester ben ben longtemps. Il va prendre sa retraite un moment donné</w:t>
      </w:r>
      <w:r w:rsidR="00DF3ACE">
        <w:t> », « </w:t>
      </w:r>
      <w:r w:rsidR="00DF3ACE" w:rsidRPr="003624FB">
        <w:rPr>
          <w:i/>
          <w:iCs/>
        </w:rPr>
        <w:t>À un moment donné, quelqu’un va arriver et va régler ça. Combien ça coûte pi on règle ça, on passe à autres choses C’est ça qui va arriver…</w:t>
      </w:r>
      <w:r w:rsidR="00DF3ACE">
        <w:t> » </w:t>
      </w:r>
      <w:r>
        <w:rPr>
          <w:rStyle w:val="Appelnotedebasdep"/>
        </w:rPr>
        <w:footnoteReference w:id="58"/>
      </w:r>
      <w:r w:rsidR="00DF3ACE" w:rsidRPr="001B661B">
        <w:t>.</w:t>
      </w:r>
    </w:p>
    <w:p w14:paraId="68DB6504" w14:textId="77777777" w:rsidR="007F586B" w:rsidRPr="002A2DF9" w:rsidRDefault="00BD6B34" w:rsidP="00E37868">
      <w:pPr>
        <w:pStyle w:val="paragrapheno"/>
        <w:spacing w:line="240" w:lineRule="auto"/>
      </w:pPr>
      <w:r>
        <w:t xml:space="preserve">Le </w:t>
      </w:r>
      <w:r w:rsidR="00107413">
        <w:t>t</w:t>
      </w:r>
      <w:r>
        <w:t>émoignage de M. Leblanc</w:t>
      </w:r>
      <w:r w:rsidR="00107413">
        <w:t xml:space="preserve"> à l’audience</w:t>
      </w:r>
      <w:r>
        <w:t xml:space="preserve"> </w:t>
      </w:r>
      <w:r w:rsidR="008A5453">
        <w:t xml:space="preserve">tentant d’expliquer </w:t>
      </w:r>
      <w:r w:rsidR="00777691">
        <w:t>ses propos e</w:t>
      </w:r>
      <w:r w:rsidR="004B7E90">
        <w:t>n</w:t>
      </w:r>
      <w:r w:rsidR="00777691">
        <w:t xml:space="preserve"> disant </w:t>
      </w:r>
      <w:r w:rsidR="008A5453">
        <w:t>qu’il se voulait humain</w:t>
      </w:r>
      <w:r w:rsidR="00873265">
        <w:t xml:space="preserve">, </w:t>
      </w:r>
      <w:r w:rsidR="00046777">
        <w:t xml:space="preserve">qu’il </w:t>
      </w:r>
      <w:r w:rsidR="00DE74AA">
        <w:t>remplissait la conversation</w:t>
      </w:r>
      <w:r w:rsidR="00873265">
        <w:t xml:space="preserve">, </w:t>
      </w:r>
      <w:r w:rsidR="00B36122">
        <w:t xml:space="preserve">qu’il </w:t>
      </w:r>
      <w:r w:rsidR="00873265">
        <w:t>référait aux agissement</w:t>
      </w:r>
      <w:r w:rsidR="0091746B">
        <w:t>s</w:t>
      </w:r>
      <w:r w:rsidR="00873265">
        <w:t xml:space="preserve"> du Fond</w:t>
      </w:r>
      <w:r w:rsidR="00046777">
        <w:t>s</w:t>
      </w:r>
      <w:r w:rsidR="00873265">
        <w:t xml:space="preserve"> immobilier sur le chantier Humaniti lors</w:t>
      </w:r>
      <w:r w:rsidR="00D3443F">
        <w:t>que les représentant</w:t>
      </w:r>
      <w:r w:rsidR="00286E1D">
        <w:t>s</w:t>
      </w:r>
      <w:r w:rsidR="00D3443F">
        <w:t xml:space="preserve"> prenai</w:t>
      </w:r>
      <w:r w:rsidR="00286E1D">
        <w:t>en</w:t>
      </w:r>
      <w:r w:rsidR="00D3443F">
        <w:t xml:space="preserve">t des notes, qu’il </w:t>
      </w:r>
      <w:r w:rsidR="00986707">
        <w:t>référait</w:t>
      </w:r>
      <w:r w:rsidR="00D3443F">
        <w:t xml:space="preserve"> à la Commission Charbonneau par rapport au passé</w:t>
      </w:r>
      <w:r w:rsidR="00986707">
        <w:t>,</w:t>
      </w:r>
      <w:r w:rsidR="00D3443F">
        <w:t xml:space="preserve"> qu’il</w:t>
      </w:r>
      <w:r w:rsidR="00986707">
        <w:t xml:space="preserve"> a</w:t>
      </w:r>
      <w:r w:rsidR="00D3443F">
        <w:t xml:space="preserve"> mentionn</w:t>
      </w:r>
      <w:r w:rsidR="00986707">
        <w:t>é le nom de</w:t>
      </w:r>
      <w:r w:rsidR="00D3443F">
        <w:t xml:space="preserve"> M. Bélanger uniquement parce qu’il est le président du Fonds immobilier</w:t>
      </w:r>
      <w:r w:rsidR="00E54FEA">
        <w:t>, lequel éta</w:t>
      </w:r>
      <w:r w:rsidR="00DD0372">
        <w:t>i</w:t>
      </w:r>
      <w:r w:rsidR="00E54FEA">
        <w:t>t le partenaire de Cogir</w:t>
      </w:r>
      <w:r w:rsidR="0046447D">
        <w:t xml:space="preserve"> </w:t>
      </w:r>
      <w:r w:rsidR="00D3443F">
        <w:t>et qu</w:t>
      </w:r>
      <w:r w:rsidR="000A7755">
        <w:t xml:space="preserve">’il </w:t>
      </w:r>
      <w:r w:rsidR="0046447D">
        <w:t>mentionne</w:t>
      </w:r>
      <w:r w:rsidR="000A7755">
        <w:t xml:space="preserve"> que</w:t>
      </w:r>
      <w:r w:rsidR="00D3443F">
        <w:t xml:space="preserve"> </w:t>
      </w:r>
      <w:r w:rsidR="00C7671E">
        <w:t xml:space="preserve">ça va se régler un jour </w:t>
      </w:r>
      <w:r w:rsidR="000A7755">
        <w:t xml:space="preserve">en </w:t>
      </w:r>
      <w:r w:rsidR="00DD0372">
        <w:t>voulant dire que ça se règlerait devant</w:t>
      </w:r>
      <w:r w:rsidR="00C7671E">
        <w:t xml:space="preserve"> des tribunaux</w:t>
      </w:r>
      <w:r w:rsidR="0042797D">
        <w:t xml:space="preserve"> puisque c’est effectivement ce qui se passe maintenant</w:t>
      </w:r>
      <w:r w:rsidR="00FF69B9">
        <w:t xml:space="preserve">, sonne faux et n’apparaît pas </w:t>
      </w:r>
      <w:r w:rsidR="00FF69B9" w:rsidRPr="00687E44">
        <w:t xml:space="preserve">sincère. </w:t>
      </w:r>
      <w:r w:rsidRPr="002A2DF9">
        <w:t xml:space="preserve">Il louvoie </w:t>
      </w:r>
      <w:r w:rsidR="0090644A" w:rsidRPr="002A2DF9">
        <w:t xml:space="preserve">afin </w:t>
      </w:r>
      <w:r w:rsidR="002A2DF9" w:rsidRPr="002A2DF9">
        <w:t xml:space="preserve">de donner un autre sens à ce qu’il dit </w:t>
      </w:r>
      <w:r w:rsidR="0090644A" w:rsidRPr="002A2DF9">
        <w:t>lors de cette conversation</w:t>
      </w:r>
      <w:r w:rsidRPr="002A2DF9">
        <w:t xml:space="preserve">.  </w:t>
      </w:r>
    </w:p>
    <w:p w14:paraId="43BF3A65" w14:textId="77777777" w:rsidR="001B661B" w:rsidRPr="001B661B" w:rsidRDefault="00BD6B34" w:rsidP="00E37868">
      <w:pPr>
        <w:pStyle w:val="paragrapheno"/>
        <w:spacing w:line="240" w:lineRule="auto"/>
      </w:pPr>
      <w:r>
        <w:t xml:space="preserve">L’écoute de l’enregistrement </w:t>
      </w:r>
      <w:r w:rsidR="00CF644F">
        <w:t>et la lecture de</w:t>
      </w:r>
      <w:r w:rsidR="00C87AD7">
        <w:t xml:space="preserve"> sa</w:t>
      </w:r>
      <w:r w:rsidR="00CF644F">
        <w:t xml:space="preserve"> </w:t>
      </w:r>
      <w:r w:rsidR="00C87AD7">
        <w:t xml:space="preserve">transcription </w:t>
      </w:r>
      <w:r w:rsidR="002E367A">
        <w:t xml:space="preserve">donne une </w:t>
      </w:r>
      <w:r w:rsidR="00B36122">
        <w:t>tout</w:t>
      </w:r>
      <w:r w:rsidR="002E367A">
        <w:t xml:space="preserve"> autre saveur que celle qu’il tente de </w:t>
      </w:r>
      <w:r w:rsidR="0093462E">
        <w:t xml:space="preserve">lui </w:t>
      </w:r>
      <w:r w:rsidR="002E367A">
        <w:t>donner en audience après avoir eu l’occasion</w:t>
      </w:r>
      <w:r w:rsidR="0093462E">
        <w:t xml:space="preserve"> de relire </w:t>
      </w:r>
      <w:r w:rsidR="00E13A78">
        <w:t xml:space="preserve">peut-être </w:t>
      </w:r>
      <w:r w:rsidR="0093462E">
        <w:t>de nombreuse</w:t>
      </w:r>
      <w:r w:rsidR="00136BE3">
        <w:t>s</w:t>
      </w:r>
      <w:r w:rsidR="0093462E">
        <w:t xml:space="preserve"> fois</w:t>
      </w:r>
      <w:r w:rsidR="002A2DF9">
        <w:t xml:space="preserve"> depuis 2019</w:t>
      </w:r>
      <w:r w:rsidR="0093462E">
        <w:t xml:space="preserve"> la transcription de cet enregistrement. Le Tribunal peut toutefois </w:t>
      </w:r>
      <w:r w:rsidR="00DF4E48">
        <w:t xml:space="preserve">comprendre qu’il soit difficile de répondre aux questions de </w:t>
      </w:r>
      <w:r w:rsidR="00392C9F">
        <w:t>M. Pereira</w:t>
      </w:r>
      <w:r w:rsidR="006F73D7">
        <w:t xml:space="preserve"> qui en salle d’audience a dû se faire rappeler à quelques reprises de se calmer</w:t>
      </w:r>
      <w:r w:rsidR="00923C5A">
        <w:t>. M</w:t>
      </w:r>
      <w:r w:rsidR="00947A6A">
        <w:t>algré tout</w:t>
      </w:r>
      <w:r w:rsidR="00364AD9">
        <w:t>,</w:t>
      </w:r>
      <w:r w:rsidR="00947A6A">
        <w:t xml:space="preserve"> le Tribunal retient</w:t>
      </w:r>
      <w:r w:rsidR="00AA41E3">
        <w:t xml:space="preserve"> de cet </w:t>
      </w:r>
      <w:r w:rsidR="00540D05">
        <w:t>entretien</w:t>
      </w:r>
      <w:r w:rsidR="00AA41E3">
        <w:t xml:space="preserve"> ce qui saute aux yeux :</w:t>
      </w:r>
      <w:r w:rsidR="00283D69">
        <w:t xml:space="preserve"> </w:t>
      </w:r>
      <w:r w:rsidR="00EC24A6">
        <w:t xml:space="preserve">au moment de cette conversation, </w:t>
      </w:r>
      <w:r w:rsidR="00BE17E3">
        <w:t>M. Leblanc</w:t>
      </w:r>
      <w:r w:rsidR="00EC24A6">
        <w:t xml:space="preserve"> considère qu</w:t>
      </w:r>
      <w:r w:rsidR="00665FCA">
        <w:t xml:space="preserve">e l’entité qu’il nomme le fonds, sans que le Tribunal retienne que </w:t>
      </w:r>
      <w:r w:rsidR="00FF2623">
        <w:t>c</w:t>
      </w:r>
      <w:r w:rsidR="00665FCA">
        <w:t>e soit la défenderesse</w:t>
      </w:r>
      <w:r w:rsidR="00194C91">
        <w:t xml:space="preserve"> puisqu’il parle de M. Bélanger le président du Fonds immobilier</w:t>
      </w:r>
      <w:r w:rsidR="00D82A83">
        <w:t xml:space="preserve"> et du </w:t>
      </w:r>
      <w:r w:rsidR="0046447D">
        <w:t>f</w:t>
      </w:r>
      <w:r w:rsidR="00D82A83">
        <w:t xml:space="preserve">ait que le Fonds immobilier </w:t>
      </w:r>
      <w:r w:rsidR="008D1A72">
        <w:t>n’est</w:t>
      </w:r>
      <w:r w:rsidR="00D82A83">
        <w:t xml:space="preserve"> plus un partenaire dans le projet Humaniti</w:t>
      </w:r>
      <w:r w:rsidR="00665FCA">
        <w:t xml:space="preserve">, </w:t>
      </w:r>
      <w:r w:rsidR="009C06BF" w:rsidRPr="001B661B">
        <w:t xml:space="preserve">mettait des bâtons dans les roues de </w:t>
      </w:r>
      <w:r w:rsidR="00392C9F">
        <w:t>M. Pereira</w:t>
      </w:r>
      <w:r w:rsidR="009C06BF" w:rsidRPr="001B661B">
        <w:t>.  Il ajoute que</w:t>
      </w:r>
      <w:r w:rsidR="005211CB">
        <w:t xml:space="preserve"> lorsque le président</w:t>
      </w:r>
      <w:r w:rsidR="00C11838">
        <w:t>,</w:t>
      </w:r>
      <w:r w:rsidR="005211CB">
        <w:t xml:space="preserve"> M. Bélanger</w:t>
      </w:r>
      <w:r w:rsidR="00C11838">
        <w:t>,</w:t>
      </w:r>
      <w:r w:rsidR="005211CB">
        <w:t xml:space="preserve"> partir</w:t>
      </w:r>
      <w:r w:rsidR="00C11838">
        <w:t>a</w:t>
      </w:r>
      <w:r w:rsidR="005211CB">
        <w:t xml:space="preserve"> à la retraite</w:t>
      </w:r>
      <w:r w:rsidR="003B0651">
        <w:t>,</w:t>
      </w:r>
      <w:r w:rsidR="005211CB">
        <w:t xml:space="preserve"> </w:t>
      </w:r>
      <w:r w:rsidR="00063164">
        <w:t>les choses s’arrangeront pour M. Pereira et</w:t>
      </w:r>
      <w:r w:rsidR="005211CB">
        <w:t xml:space="preserve"> quelqu’un </w:t>
      </w:r>
      <w:r w:rsidR="002A2DF9">
        <w:t>décider</w:t>
      </w:r>
      <w:r w:rsidR="00C11838">
        <w:t>a</w:t>
      </w:r>
      <w:r w:rsidR="002A2DF9">
        <w:t xml:space="preserve"> de</w:t>
      </w:r>
      <w:r w:rsidR="005211CB">
        <w:t xml:space="preserve"> </w:t>
      </w:r>
      <w:r w:rsidR="00580F0F">
        <w:t>le</w:t>
      </w:r>
      <w:r w:rsidR="005211CB">
        <w:t xml:space="preserve"> compenser pour le tort qui lui a été causé.</w:t>
      </w:r>
      <w:r w:rsidR="009C06BF" w:rsidRPr="001B661B">
        <w:t xml:space="preserve"> </w:t>
      </w:r>
      <w:r w:rsidR="00093B16">
        <w:t>C’est ce que le Tribunal retient des paroles prononcées par M. Leblanc</w:t>
      </w:r>
      <w:r w:rsidR="006038E8">
        <w:t>.</w:t>
      </w:r>
      <w:r w:rsidR="00DE74AA">
        <w:t xml:space="preserve"> </w:t>
      </w:r>
    </w:p>
    <w:p w14:paraId="1A301CC5" w14:textId="77777777" w:rsidR="00117F19" w:rsidRDefault="00BD6B34" w:rsidP="00E37868">
      <w:pPr>
        <w:pStyle w:val="Titre4"/>
        <w:spacing w:line="240" w:lineRule="auto"/>
      </w:pPr>
      <w:r>
        <w:t>La c</w:t>
      </w:r>
      <w:r w:rsidR="00262D35">
        <w:t>rédibilité</w:t>
      </w:r>
      <w:r>
        <w:t xml:space="preserve"> des témoins</w:t>
      </w:r>
    </w:p>
    <w:p w14:paraId="42CC7082" w14:textId="77777777" w:rsidR="00B35A10" w:rsidRDefault="00BD6B34" w:rsidP="00E37868">
      <w:pPr>
        <w:pStyle w:val="paragrapheno"/>
        <w:spacing w:line="240" w:lineRule="auto"/>
      </w:pPr>
      <w:r>
        <w:t xml:space="preserve">Contrairement à la position de Cogir, le Tribunal estime que le témoignage de M. Pereira est crédible. </w:t>
      </w:r>
      <w:r w:rsidR="00914A87">
        <w:t xml:space="preserve">Il faut cependant faire la distinction entre ses opinions et les faits validement mis en preuve. </w:t>
      </w:r>
      <w:r>
        <w:t>Même si à plusieurs occasions</w:t>
      </w:r>
      <w:r w:rsidR="00914A87">
        <w:t>,</w:t>
      </w:r>
      <w:r>
        <w:t xml:space="preserve"> il </w:t>
      </w:r>
      <w:r w:rsidR="00F80A17">
        <w:t>hausse l</w:t>
      </w:r>
      <w:r w:rsidR="00403ED6">
        <w:t>a voix et est plus agité</w:t>
      </w:r>
      <w:r w:rsidR="00A038F7">
        <w:t>, surtout</w:t>
      </w:r>
      <w:r w:rsidR="00272EA7">
        <w:t xml:space="preserve"> lorsqu’il interroge les témoins, particulièrement</w:t>
      </w:r>
      <w:r>
        <w:t xml:space="preserve"> M. Leblanc, il </w:t>
      </w:r>
      <w:r w:rsidR="002A2B48">
        <w:t xml:space="preserve">demeure </w:t>
      </w:r>
      <w:r>
        <w:t>candide lors de son témoignage</w:t>
      </w:r>
      <w:r w:rsidR="0014085D">
        <w:t>, le Tribunal n’a noté aucune contradicti</w:t>
      </w:r>
      <w:r w:rsidR="00135906">
        <w:t xml:space="preserve">on dans son </w:t>
      </w:r>
      <w:r w:rsidR="00135906">
        <w:lastRenderedPageBreak/>
        <w:t>témoignage</w:t>
      </w:r>
      <w:r w:rsidR="00914A87">
        <w:t>. Ajoutons aussi qu’</w:t>
      </w:r>
      <w:r w:rsidR="002F6391">
        <w:t xml:space="preserve">il </w:t>
      </w:r>
      <w:r>
        <w:t>n’hésite pas à reconnaître les faits qui n’appuient pas sa théorie de la cause. Par exemple, il reconnaît d’emblée que les positions qu’il a défendu</w:t>
      </w:r>
      <w:r w:rsidR="003B0651">
        <w:t>e</w:t>
      </w:r>
      <w:r>
        <w:t>s à travers les années depuis 2009 ont déplu à un grand nombre de personnes</w:t>
      </w:r>
      <w:r w:rsidR="0086593C">
        <w:t>,</w:t>
      </w:r>
      <w:r>
        <w:t xml:space="preserve"> dont des entrepreneurs, des dirigeant</w:t>
      </w:r>
      <w:r w:rsidR="00392105">
        <w:t>s</w:t>
      </w:r>
      <w:r>
        <w:t xml:space="preserve"> syndicaux et des organisations syndicales. Il </w:t>
      </w:r>
      <w:r w:rsidR="00914A87">
        <w:t>considère</w:t>
      </w:r>
      <w:r>
        <w:t xml:space="preserve"> même être devenu l’ennemi </w:t>
      </w:r>
      <w:r w:rsidR="002A2B48">
        <w:t>numéro</w:t>
      </w:r>
      <w:r>
        <w:t xml:space="preserve"> 1 du CPQMC et de tous les syndicats. Contrairement à ce que Cogir plaide, M. Pereira ne s’est pas présenté au Tribunal en voulant se venger.  Il </w:t>
      </w:r>
      <w:r w:rsidR="00FD4804">
        <w:t>tente</w:t>
      </w:r>
      <w:r>
        <w:t xml:space="preserve"> plutôt d</w:t>
      </w:r>
      <w:r w:rsidR="00A57855">
        <w:t>e d</w:t>
      </w:r>
      <w:r>
        <w:t xml:space="preserve">émontrer la vendetta dont il estime être la victime de la part </w:t>
      </w:r>
      <w:r w:rsidR="00FD4804">
        <w:t>du Fonds</w:t>
      </w:r>
      <w:r w:rsidR="00914A87">
        <w:t xml:space="preserve"> et recherche une compensation financière, laquelle, il faut toutefois </w:t>
      </w:r>
      <w:r w:rsidR="00751F95">
        <w:t xml:space="preserve">le </w:t>
      </w:r>
      <w:r w:rsidR="00914A87">
        <w:t>reconnaître, est grossièrement exagérée</w:t>
      </w:r>
      <w:r>
        <w:t>. Le Tribunal n’a pas vu un homme revanchard devant lui</w:t>
      </w:r>
      <w:r w:rsidR="00914A87">
        <w:t xml:space="preserve"> comme le plaide Cogir</w:t>
      </w:r>
      <w:r w:rsidR="00525371">
        <w:t xml:space="preserve">, </w:t>
      </w:r>
      <w:r>
        <w:t>même lors des interrogatoires de M. Duguay et M. Leblanc qui représentent la partie adverse. Le Tribunal a plutôt eu devant lui un homme frustré à certains moment</w:t>
      </w:r>
      <w:r w:rsidR="0048554C">
        <w:t>s</w:t>
      </w:r>
      <w:r>
        <w:t xml:space="preserve"> de voir</w:t>
      </w:r>
      <w:r w:rsidR="00914A87">
        <w:t>,</w:t>
      </w:r>
      <w:r w:rsidR="003170DD">
        <w:t xml:space="preserve"> </w:t>
      </w:r>
      <w:r w:rsidR="00E810F4">
        <w:t>surtout M. Leblanc</w:t>
      </w:r>
      <w:r w:rsidR="00914A87">
        <w:t>,</w:t>
      </w:r>
      <w:r w:rsidR="00E810F4">
        <w:t xml:space="preserve"> </w:t>
      </w:r>
      <w:r>
        <w:t xml:space="preserve">qui </w:t>
      </w:r>
      <w:r w:rsidR="003170DD">
        <w:t xml:space="preserve">louvoie en </w:t>
      </w:r>
      <w:r w:rsidR="00990CC1">
        <w:t>tentant</w:t>
      </w:r>
      <w:r w:rsidR="003170DD">
        <w:t xml:space="preserve"> d’e</w:t>
      </w:r>
      <w:r w:rsidR="00990CC1">
        <w:t>x</w:t>
      </w:r>
      <w:r w:rsidR="003170DD">
        <w:t>pliquer</w:t>
      </w:r>
      <w:r w:rsidR="00990CC1">
        <w:t xml:space="preserve"> </w:t>
      </w:r>
      <w:r>
        <w:t xml:space="preserve">les propos qu’il </w:t>
      </w:r>
      <w:r w:rsidR="00990CC1">
        <w:t>a</w:t>
      </w:r>
      <w:r>
        <w:t xml:space="preserve"> tenu</w:t>
      </w:r>
      <w:r w:rsidR="00715516">
        <w:t>s</w:t>
      </w:r>
      <w:r>
        <w:t xml:space="preserve"> lors d’une conversation et </w:t>
      </w:r>
      <w:r w:rsidR="0048554C">
        <w:t xml:space="preserve">un homme </w:t>
      </w:r>
      <w:r>
        <w:t>frustré aussi d</w:t>
      </w:r>
      <w:r w:rsidR="00751F95">
        <w:t>’entendre</w:t>
      </w:r>
      <w:r>
        <w:t xml:space="preserve"> que l’entreprise Cogir qui lui donne enfin la chance de remettre les pied</w:t>
      </w:r>
      <w:r w:rsidR="00715516">
        <w:t>s</w:t>
      </w:r>
      <w:r>
        <w:t xml:space="preserve"> sur un chantier n’ose pas, pour des raison</w:t>
      </w:r>
      <w:r w:rsidR="00B550BB">
        <w:t>s</w:t>
      </w:r>
      <w:r>
        <w:t xml:space="preserve"> qui lui appartiennent</w:t>
      </w:r>
      <w:r w:rsidR="00E661D6">
        <w:t xml:space="preserve"> et qui ne constituent pas nécessairement une faute</w:t>
      </w:r>
      <w:r>
        <w:t xml:space="preserve">, </w:t>
      </w:r>
      <w:r w:rsidR="005041F2">
        <w:t>résister</w:t>
      </w:r>
      <w:r>
        <w:t xml:space="preserve"> aux pressions que sa présence sur les chantiers occasionne. </w:t>
      </w:r>
    </w:p>
    <w:p w14:paraId="3804F4E2" w14:textId="77777777" w:rsidR="005041F2" w:rsidRDefault="00BD6B34" w:rsidP="00E37868">
      <w:pPr>
        <w:pStyle w:val="paragrapheno"/>
        <w:spacing w:line="240" w:lineRule="auto"/>
      </w:pPr>
      <w:r>
        <w:t>Le témoignage de M. Duguay est, dans son ensemble cré</w:t>
      </w:r>
      <w:r w:rsidR="002C064E">
        <w:t>dible et fiable.</w:t>
      </w:r>
    </w:p>
    <w:p w14:paraId="31334AC9" w14:textId="77777777" w:rsidR="00072520" w:rsidRPr="00FE0624" w:rsidRDefault="00BD6B34" w:rsidP="00E37868">
      <w:pPr>
        <w:pStyle w:val="paragrapheno"/>
        <w:spacing w:line="240" w:lineRule="auto"/>
      </w:pPr>
      <w:r>
        <w:t xml:space="preserve">Le </w:t>
      </w:r>
      <w:r w:rsidRPr="00FE0624">
        <w:t xml:space="preserve">témoignage de M. Leblanc comporte </w:t>
      </w:r>
      <w:r w:rsidR="00914A87" w:rsidRPr="00FE0624">
        <w:t>certaines</w:t>
      </w:r>
      <w:r w:rsidRPr="00FE0624">
        <w:t xml:space="preserve"> contradiction</w:t>
      </w:r>
      <w:r w:rsidR="0052202D" w:rsidRPr="00FE0624">
        <w:t>s, contredit à certains égards celui de M. Duguay</w:t>
      </w:r>
      <w:r w:rsidRPr="00FE0624">
        <w:t xml:space="preserve"> et</w:t>
      </w:r>
      <w:r w:rsidR="0052202D" w:rsidRPr="00FE0624">
        <w:t xml:space="preserve"> apparaît </w:t>
      </w:r>
      <w:r w:rsidR="00542DA4" w:rsidRPr="00FE0624">
        <w:t xml:space="preserve">peu </w:t>
      </w:r>
      <w:r w:rsidR="0052202D" w:rsidRPr="00FE0624">
        <w:t>sincère et</w:t>
      </w:r>
      <w:r w:rsidR="00DA03B7">
        <w:t xml:space="preserve"> même</w:t>
      </w:r>
      <w:r w:rsidR="00542DA4" w:rsidRPr="00FE0624">
        <w:t xml:space="preserve"> </w:t>
      </w:r>
      <w:r w:rsidR="00914A87" w:rsidRPr="00FE0624">
        <w:t>in</w:t>
      </w:r>
      <w:r w:rsidR="00542DA4" w:rsidRPr="00FE0624">
        <w:t>vraisemblable</w:t>
      </w:r>
      <w:r w:rsidR="00854BCA" w:rsidRPr="00FE0624">
        <w:t xml:space="preserve"> </w:t>
      </w:r>
      <w:r w:rsidR="00E20EA3" w:rsidRPr="00FE0624">
        <w:t xml:space="preserve">à l’égard de </w:t>
      </w:r>
      <w:r w:rsidR="00C11838">
        <w:t xml:space="preserve">certains </w:t>
      </w:r>
      <w:r w:rsidR="00E20EA3" w:rsidRPr="00FE0624">
        <w:t>fait</w:t>
      </w:r>
      <w:r w:rsidR="00C11838">
        <w:t>s</w:t>
      </w:r>
      <w:r w:rsidR="00542DA4" w:rsidRPr="00FE0624">
        <w:t>.</w:t>
      </w:r>
      <w:r w:rsidR="00B550BB" w:rsidRPr="00FE0624">
        <w:t xml:space="preserve"> </w:t>
      </w:r>
    </w:p>
    <w:p w14:paraId="17C8BBD7" w14:textId="77777777" w:rsidR="009C730B" w:rsidRDefault="00BD6B34" w:rsidP="00E37868">
      <w:pPr>
        <w:pStyle w:val="paragrapheno"/>
        <w:spacing w:line="240" w:lineRule="auto"/>
      </w:pPr>
      <w:r>
        <w:t>Par exemple, l</w:t>
      </w:r>
      <w:r w:rsidR="00ED04E1">
        <w:t>orsque questionné par M. Pereira sur son observation</w:t>
      </w:r>
      <w:r w:rsidR="00333B71">
        <w:t xml:space="preserve"> </w:t>
      </w:r>
      <w:r w:rsidR="00914A87">
        <w:t>quant à</w:t>
      </w:r>
      <w:r w:rsidR="00333B71">
        <w:t xml:space="preserve"> la nature et la qualité des services rendus par M. Pereira, M. Leblanc </w:t>
      </w:r>
      <w:r w:rsidR="00BB1A18">
        <w:t xml:space="preserve">reconnaît ne pas avoir </w:t>
      </w:r>
      <w:r>
        <w:t>observ</w:t>
      </w:r>
      <w:r w:rsidR="00E073F9">
        <w:t>é</w:t>
      </w:r>
      <w:r w:rsidR="00BB1A18">
        <w:t xml:space="preserve"> M. Pereira sur les chantiers Humaniti, </w:t>
      </w:r>
      <w:r>
        <w:t>Mo</w:t>
      </w:r>
      <w:r w:rsidR="00E20EA3">
        <w:t>s</w:t>
      </w:r>
      <w:r>
        <w:t xml:space="preserve">tra ou Unicité, mais </w:t>
      </w:r>
      <w:r w:rsidR="00333B71">
        <w:t xml:space="preserve">affirme avoir pu </w:t>
      </w:r>
      <w:r w:rsidR="0073257B">
        <w:t>l’</w:t>
      </w:r>
      <w:r w:rsidR="00333B71">
        <w:t>observer sur le chantier Le Renoir</w:t>
      </w:r>
      <w:r w:rsidR="00E073F9">
        <w:t>.</w:t>
      </w:r>
      <w:r w:rsidR="0073257B">
        <w:t xml:space="preserve"> Or, </w:t>
      </w:r>
      <w:r w:rsidR="00E20EA3">
        <w:t>lors de son</w:t>
      </w:r>
      <w:r w:rsidR="0073257B">
        <w:t xml:space="preserve"> </w:t>
      </w:r>
      <w:r w:rsidR="00BB1A18">
        <w:t>ré interrogatoire</w:t>
      </w:r>
      <w:r w:rsidR="00B906D4">
        <w:t>, il reconnaît qu’à l’époque où M. Pereira a travaill</w:t>
      </w:r>
      <w:r w:rsidR="00E20EA3">
        <w:t>é</w:t>
      </w:r>
      <w:r w:rsidR="00B906D4">
        <w:t xml:space="preserve"> pour Cogir, il était souvent</w:t>
      </w:r>
      <w:r w:rsidR="00C40CF3">
        <w:t xml:space="preserve"> à l’extérieur et que par conséquent il n’est jamais allé sur le chantier Le Renoir à cette époque</w:t>
      </w:r>
      <w:r>
        <w:t>.</w:t>
      </w:r>
      <w:r w:rsidR="00E20EA3">
        <w:t xml:space="preserve"> </w:t>
      </w:r>
    </w:p>
    <w:p w14:paraId="0ADAF123" w14:textId="77777777" w:rsidR="00EE45FE" w:rsidRDefault="00BD6B34" w:rsidP="00E37868">
      <w:pPr>
        <w:pStyle w:val="paragrapheno"/>
        <w:spacing w:line="240" w:lineRule="auto"/>
      </w:pPr>
      <w:r>
        <w:t xml:space="preserve"> </w:t>
      </w:r>
      <w:r w:rsidR="009C730B">
        <w:t>M. Leblanc</w:t>
      </w:r>
      <w:r>
        <w:t xml:space="preserve"> affirme avoir pris seul la décision de mettre fin aux services de M. Pereira sans en parler à qui que ce soit. Il insiste même pour dire qu’il a parlé à M. Duguay de la fin de la relation avec M</w:t>
      </w:r>
      <w:r w:rsidR="003D1ECD">
        <w:t>.</w:t>
      </w:r>
      <w:r>
        <w:t xml:space="preserve"> Pereira après avoir </w:t>
      </w:r>
      <w:r w:rsidR="00994FBF">
        <w:t>informé</w:t>
      </w:r>
      <w:r>
        <w:t xml:space="preserve"> ce dernier</w:t>
      </w:r>
      <w:r w:rsidR="005428EC">
        <w:t xml:space="preserve"> de sa décision</w:t>
      </w:r>
      <w:r>
        <w:t xml:space="preserve">.  </w:t>
      </w:r>
      <w:r w:rsidR="00475001">
        <w:t>C</w:t>
      </w:r>
      <w:r>
        <w:t xml:space="preserve">ette partie de son témoignage contredit celui de M. Duguay qui </w:t>
      </w:r>
      <w:r w:rsidR="00CD602D">
        <w:t>témoigne</w:t>
      </w:r>
      <w:r>
        <w:t xml:space="preserve"> avoir été informé </w:t>
      </w:r>
      <w:r w:rsidR="00C96BE9">
        <w:t xml:space="preserve">environ </w:t>
      </w:r>
      <w:r>
        <w:t>deux semaines avant</w:t>
      </w:r>
      <w:r w:rsidR="000F4ED1">
        <w:t>,</w:t>
      </w:r>
      <w:r>
        <w:t xml:space="preserve"> ce qui lui a</w:t>
      </w:r>
      <w:r w:rsidR="00C96BE9" w:rsidRPr="00C96BE9">
        <w:t xml:space="preserve"> </w:t>
      </w:r>
      <w:r w:rsidR="00C96BE9">
        <w:t>d’ailleurs</w:t>
      </w:r>
      <w:r>
        <w:t xml:space="preserve"> permis de couper la parole à M. Bélanger et lui dire qu’il n’était pas nécessaire de parler de M. Pereira puisqu’il ne resterait pas. </w:t>
      </w:r>
      <w:r w:rsidR="00293C0D">
        <w:t xml:space="preserve">Il est </w:t>
      </w:r>
      <w:r w:rsidR="00475001">
        <w:t xml:space="preserve">aussi </w:t>
      </w:r>
      <w:r w:rsidR="00293C0D">
        <w:t>peu vraisemblable que M. Leblanc</w:t>
      </w:r>
      <w:r w:rsidR="00743499">
        <w:t>,</w:t>
      </w:r>
      <w:r w:rsidR="00047E34">
        <w:t xml:space="preserve"> qui reconnaît avoir dû trouver du travail à M. Pereira à la demande de M. Duguay</w:t>
      </w:r>
      <w:r w:rsidR="00475001">
        <w:t>,</w:t>
      </w:r>
      <w:r w:rsidR="00047E34">
        <w:t xml:space="preserve"> décide de se départir de ses services sans lui e</w:t>
      </w:r>
      <w:r w:rsidR="00C11838">
        <w:t>n glisser un mot</w:t>
      </w:r>
      <w:r w:rsidR="00047E34">
        <w:t xml:space="preserve"> d’avance</w:t>
      </w:r>
      <w:r w:rsidR="005D450A">
        <w:t>, d’autant plus qu’il reconnaît avoir des discussions avec M. Duguay</w:t>
      </w:r>
      <w:r w:rsidR="00734437">
        <w:t xml:space="preserve"> sur les projets</w:t>
      </w:r>
      <w:r w:rsidR="00475001">
        <w:t>,</w:t>
      </w:r>
      <w:r w:rsidR="00734437">
        <w:t xml:space="preserve"> bien que ces discussions soient brèves</w:t>
      </w:r>
      <w:r w:rsidR="00475001">
        <w:t xml:space="preserve">. </w:t>
      </w:r>
      <w:r w:rsidR="00734437">
        <w:t xml:space="preserve"> </w:t>
      </w:r>
      <w:r w:rsidR="00475001">
        <w:t>I</w:t>
      </w:r>
      <w:r w:rsidR="00734437">
        <w:t xml:space="preserve">l se rappelle </w:t>
      </w:r>
      <w:r w:rsidR="00475001">
        <w:t xml:space="preserve">même </w:t>
      </w:r>
      <w:r w:rsidR="00734437">
        <w:t xml:space="preserve">avoir dit à M. Duguay </w:t>
      </w:r>
      <w:r w:rsidR="000D0273">
        <w:t xml:space="preserve">lors de ces brèves conversations </w:t>
      </w:r>
      <w:r w:rsidR="00734437">
        <w:t>que la</w:t>
      </w:r>
      <w:r w:rsidR="00850A0C">
        <w:t xml:space="preserve"> </w:t>
      </w:r>
      <w:r w:rsidR="00734437">
        <w:t>présence de M. Pereira</w:t>
      </w:r>
      <w:r w:rsidR="00850A0C">
        <w:t xml:space="preserve"> créait des malaises sur les chantiers.</w:t>
      </w:r>
    </w:p>
    <w:p w14:paraId="0C6190E1" w14:textId="77777777" w:rsidR="00130157" w:rsidRDefault="00BD6B34" w:rsidP="00E37868">
      <w:pPr>
        <w:pStyle w:val="paragrapheno"/>
        <w:spacing w:line="240" w:lineRule="auto"/>
      </w:pPr>
      <w:r>
        <w:t>Lors de son t</w:t>
      </w:r>
      <w:r w:rsidR="00CC797C">
        <w:t xml:space="preserve">émoignage, </w:t>
      </w:r>
      <w:r w:rsidR="00EE45FE" w:rsidRPr="00B869B9">
        <w:t xml:space="preserve">M. Leblanc </w:t>
      </w:r>
      <w:r w:rsidR="00760FD7">
        <w:t xml:space="preserve">non seulement </w:t>
      </w:r>
      <w:r w:rsidR="00CC797C">
        <w:t>atténue la satisfaction</w:t>
      </w:r>
      <w:r w:rsidR="00760FD7">
        <w:t xml:space="preserve"> eu égard aux services de M. Pereira</w:t>
      </w:r>
      <w:r w:rsidR="00A17707">
        <w:t>,</w:t>
      </w:r>
      <w:r w:rsidR="00760FD7">
        <w:t xml:space="preserve"> mais il affirme même avoir menti lors de l’appel du 7 </w:t>
      </w:r>
      <w:r w:rsidR="00760FD7">
        <w:lastRenderedPageBreak/>
        <w:t xml:space="preserve">septembre 2018 lorsqu’il dit </w:t>
      </w:r>
      <w:r w:rsidR="00A050F8" w:rsidRPr="00802F5C">
        <w:t xml:space="preserve">que </w:t>
      </w:r>
      <w:r w:rsidR="00DF52B3" w:rsidRPr="00802F5C">
        <w:t>tout</w:t>
      </w:r>
      <w:r w:rsidR="00A050F8" w:rsidRPr="00802F5C">
        <w:t xml:space="preserve"> le monde est satisfait de ses </w:t>
      </w:r>
      <w:r w:rsidR="00DF52B3" w:rsidRPr="00802F5C">
        <w:t>services</w:t>
      </w:r>
      <w:r w:rsidR="00A050F8" w:rsidRPr="00802F5C">
        <w:t xml:space="preserve"> et que s</w:t>
      </w:r>
      <w:r w:rsidR="001A71D8">
        <w:t>i ce</w:t>
      </w:r>
      <w:r w:rsidR="00A050F8" w:rsidRPr="00802F5C">
        <w:t xml:space="preserve"> n’était que de lui, il l’aurait gardé et</w:t>
      </w:r>
      <w:r w:rsidR="00802F5C" w:rsidRPr="00802F5C">
        <w:t xml:space="preserve"> </w:t>
      </w:r>
      <w:r w:rsidR="00A050F8" w:rsidRPr="00802F5C">
        <w:t xml:space="preserve">aurait </w:t>
      </w:r>
      <w:r w:rsidR="00802F5C">
        <w:t>pu lui donner plus de responsabilité</w:t>
      </w:r>
      <w:r w:rsidR="00715516">
        <w:t>s</w:t>
      </w:r>
      <w:r w:rsidR="00802F5C">
        <w:t xml:space="preserve"> </w:t>
      </w:r>
      <w:r w:rsidR="00802F5C" w:rsidRPr="00802F5C">
        <w:rPr>
          <w:i/>
          <w:iCs/>
        </w:rPr>
        <w:t>(« </w:t>
      </w:r>
      <w:r w:rsidR="00475001">
        <w:rPr>
          <w:i/>
          <w:iCs/>
        </w:rPr>
        <w:t xml:space="preserve">facilement </w:t>
      </w:r>
      <w:r w:rsidR="00802F5C" w:rsidRPr="00802F5C">
        <w:rPr>
          <w:i/>
          <w:iCs/>
        </w:rPr>
        <w:t>le faire monter</w:t>
      </w:r>
      <w:r w:rsidR="00802F5C">
        <w:t> »)</w:t>
      </w:r>
      <w:r w:rsidR="007F2DF1">
        <w:t>.</w:t>
      </w:r>
      <w:r w:rsidR="00DF52B3">
        <w:t xml:space="preserve"> </w:t>
      </w:r>
    </w:p>
    <w:p w14:paraId="15FFADF4" w14:textId="77777777" w:rsidR="00BE0171" w:rsidRDefault="00BD6B34" w:rsidP="00E37868">
      <w:pPr>
        <w:pStyle w:val="paragrapheno"/>
        <w:spacing w:line="240" w:lineRule="auto"/>
      </w:pPr>
      <w:r>
        <w:t>Cette partie du</w:t>
      </w:r>
      <w:r w:rsidR="00130157">
        <w:t xml:space="preserve"> témoignage de M. Leblanc</w:t>
      </w:r>
      <w:r w:rsidR="00DF52B3">
        <w:t xml:space="preserve"> </w:t>
      </w:r>
      <w:r w:rsidR="00EE45FE" w:rsidRPr="00B869B9">
        <w:t xml:space="preserve">n’est pas crédible </w:t>
      </w:r>
      <w:r w:rsidR="00130157">
        <w:t>et le Tribunal estime</w:t>
      </w:r>
      <w:r>
        <w:t xml:space="preserve"> qu’il tente </w:t>
      </w:r>
      <w:r w:rsidR="00A92694">
        <w:t xml:space="preserve">simplement </w:t>
      </w:r>
      <w:r>
        <w:t xml:space="preserve">de maquiller la vraie raison. </w:t>
      </w:r>
    </w:p>
    <w:p w14:paraId="0CC1358C" w14:textId="77777777" w:rsidR="003D25BC" w:rsidRDefault="00BD6B34" w:rsidP="00E37868">
      <w:pPr>
        <w:pStyle w:val="paragrapheno"/>
        <w:spacing w:line="240" w:lineRule="auto"/>
      </w:pPr>
      <w:r>
        <w:t>En effet, il lui écrit une lettre de référence</w:t>
      </w:r>
      <w:r>
        <w:rPr>
          <w:rStyle w:val="Appelnotedebasdep"/>
        </w:rPr>
        <w:footnoteReference w:id="59"/>
      </w:r>
      <w:r w:rsidR="007420FD">
        <w:t>, bien qu’il ait pris un modèle générique, il n’avait aucune obligation de le faire</w:t>
      </w:r>
      <w:r w:rsidR="00475D59">
        <w:t>.</w:t>
      </w:r>
      <w:r w:rsidR="00146A55">
        <w:t xml:space="preserve"> De plus</w:t>
      </w:r>
      <w:r w:rsidR="006046D0">
        <w:t>,</w:t>
      </w:r>
      <w:r w:rsidR="00146A55">
        <w:t xml:space="preserve"> </w:t>
      </w:r>
      <w:r w:rsidR="006046D0">
        <w:t xml:space="preserve">M. Leblanc se contredit un peu plus loin dans son témoignage affirmant que le travail que M. Pereira est bon </w:t>
      </w:r>
      <w:r w:rsidR="00374710">
        <w:t xml:space="preserve">en précisant que cela apparaît notamment </w:t>
      </w:r>
      <w:r w:rsidR="008C1CF5">
        <w:t>d</w:t>
      </w:r>
      <w:r w:rsidR="006046D0">
        <w:t xml:space="preserve">es photos </w:t>
      </w:r>
      <w:r>
        <w:rPr>
          <w:rStyle w:val="Appelnotedebasdep"/>
        </w:rPr>
        <w:footnoteReference w:id="60"/>
      </w:r>
      <w:r w:rsidR="006046D0">
        <w:t>.</w:t>
      </w:r>
      <w:r>
        <w:t xml:space="preserve"> </w:t>
      </w:r>
    </w:p>
    <w:p w14:paraId="6B2FEF68" w14:textId="77777777" w:rsidR="00A92694" w:rsidRDefault="00BD6B34" w:rsidP="00E37868">
      <w:pPr>
        <w:pStyle w:val="paragrapheno"/>
        <w:spacing w:line="240" w:lineRule="auto"/>
      </w:pPr>
      <w:r>
        <w:t>D’ailleurs, il n’était pas nécessaire de</w:t>
      </w:r>
      <w:r w:rsidR="00146A55">
        <w:t xml:space="preserve"> lui mentir sur la qualité de ses services puisque le motif que M. Leblanc invoque pour la fin de la relation </w:t>
      </w:r>
      <w:r w:rsidR="005026AF">
        <w:t>en plus de la pression et les contraintes budgétaire</w:t>
      </w:r>
      <w:r w:rsidR="007A6956">
        <w:t>s</w:t>
      </w:r>
      <w:r w:rsidR="005026AF">
        <w:t xml:space="preserve"> </w:t>
      </w:r>
      <w:r w:rsidR="00146A55">
        <w:t xml:space="preserve">est le manque de qualification de M. Pereira </w:t>
      </w:r>
      <w:r>
        <w:t>étant donné</w:t>
      </w:r>
      <w:r w:rsidR="00146A55">
        <w:t xml:space="preserve"> que celui-ci n’a pas une expérience de 1</w:t>
      </w:r>
      <w:r w:rsidR="006046D0">
        <w:t>5</w:t>
      </w:r>
      <w:r w:rsidR="00146A55">
        <w:t xml:space="preserve"> ans dans le secteur résidentiel</w:t>
      </w:r>
      <w:r>
        <w:t xml:space="preserve"> et non la mauvaise qualité des services</w:t>
      </w:r>
      <w:r w:rsidR="006A4A21">
        <w:t xml:space="preserve"> rendus par M. Pereira</w:t>
      </w:r>
      <w:r>
        <w:t>.</w:t>
      </w:r>
      <w:r w:rsidR="006046D0">
        <w:t xml:space="preserve"> </w:t>
      </w:r>
    </w:p>
    <w:p w14:paraId="290067C9" w14:textId="77777777" w:rsidR="00784F2D" w:rsidRDefault="00BD6B34" w:rsidP="000D0862">
      <w:pPr>
        <w:pStyle w:val="Titre3"/>
      </w:pPr>
      <w:r>
        <w:t>Conclusion</w:t>
      </w:r>
    </w:p>
    <w:p w14:paraId="0F9A5F5E" w14:textId="77777777" w:rsidR="00AE35CF" w:rsidRDefault="00BD6B34" w:rsidP="005107AD">
      <w:pPr>
        <w:pStyle w:val="paragrapheno"/>
        <w:spacing w:line="240" w:lineRule="auto"/>
      </w:pPr>
      <w:r>
        <w:t xml:space="preserve">Le </w:t>
      </w:r>
      <w:r w:rsidR="00A65151">
        <w:t>T</w:t>
      </w:r>
      <w:r>
        <w:t>ribunal ne peut retenir la position de M. Pereira voulant que le Fonds a</w:t>
      </w:r>
      <w:r w:rsidR="00C74147">
        <w:t>it</w:t>
      </w:r>
      <w:r>
        <w:t xml:space="preserve"> exercé </w:t>
      </w:r>
      <w:r w:rsidR="00FE7EAB">
        <w:t xml:space="preserve">des pressions sur des entrepreneurs de l’industrie de la </w:t>
      </w:r>
      <w:r w:rsidR="007377E2">
        <w:t>construction</w:t>
      </w:r>
      <w:r w:rsidR="00FE7EAB">
        <w:t xml:space="preserve"> dont Cogir</w:t>
      </w:r>
      <w:r>
        <w:t>,</w:t>
      </w:r>
      <w:r w:rsidR="00FE7EAB">
        <w:t xml:space="preserve"> l’empêchant ainsi de pouvoir travailler sur les chantiers au Québec et au Canada.</w:t>
      </w:r>
    </w:p>
    <w:p w14:paraId="3049485B" w14:textId="77777777" w:rsidR="00E6709C" w:rsidRDefault="00BD6B34" w:rsidP="008F2E34">
      <w:pPr>
        <w:pStyle w:val="paragrapheno"/>
        <w:spacing w:line="240" w:lineRule="auto"/>
      </w:pPr>
      <w:r w:rsidRPr="00DB02BF">
        <w:t xml:space="preserve">En effet, bien que le Tribunal </w:t>
      </w:r>
      <w:r w:rsidR="00304617" w:rsidRPr="00DB02BF">
        <w:t>retienne</w:t>
      </w:r>
      <w:r w:rsidRPr="00DB02BF">
        <w:t xml:space="preserve"> que</w:t>
      </w:r>
      <w:r w:rsidR="002C0527" w:rsidRPr="00DB02BF">
        <w:t xml:space="preserve"> </w:t>
      </w:r>
      <w:r w:rsidR="00953967" w:rsidRPr="00DB02BF">
        <w:t>l</w:t>
      </w:r>
      <w:r w:rsidR="00304617" w:rsidRPr="00DB02BF">
        <w:t>e</w:t>
      </w:r>
      <w:r w:rsidR="00953967" w:rsidRPr="00DB02BF">
        <w:t xml:space="preserve"> </w:t>
      </w:r>
      <w:r w:rsidR="009E7B05" w:rsidRPr="00DB02BF">
        <w:t xml:space="preserve">véritable </w:t>
      </w:r>
      <w:r w:rsidR="00304617" w:rsidRPr="00DB02BF">
        <w:t>motif</w:t>
      </w:r>
      <w:r w:rsidR="009E7B05" w:rsidRPr="00DB02BF">
        <w:t xml:space="preserve"> de la fin du contrat entre M. Pereira et Cogir</w:t>
      </w:r>
      <w:r w:rsidR="00953967" w:rsidRPr="00DB02BF">
        <w:t xml:space="preserve"> est la pression </w:t>
      </w:r>
      <w:r w:rsidR="00445A16" w:rsidRPr="00DB02BF">
        <w:t>que suscite la présence de M. Pereira sur les chantiers de Cogir</w:t>
      </w:r>
      <w:r w:rsidR="00290AF0" w:rsidRPr="00DB02BF">
        <w:t xml:space="preserve"> et non les contraintes budgétaires ou son manque d</w:t>
      </w:r>
      <w:r w:rsidR="008F2E34" w:rsidRPr="00DB02BF">
        <w:t>’</w:t>
      </w:r>
      <w:r w:rsidR="00290AF0" w:rsidRPr="00DB02BF">
        <w:t>expertise</w:t>
      </w:r>
      <w:r w:rsidR="002B0FD8" w:rsidRPr="00DB02BF">
        <w:t xml:space="preserve">, </w:t>
      </w:r>
      <w:r w:rsidR="00304617" w:rsidRPr="00DB02BF">
        <w:t>il</w:t>
      </w:r>
      <w:r w:rsidR="002B0FD8" w:rsidRPr="00DB02BF">
        <w:t xml:space="preserve"> ne peut inférer de cette preuve</w:t>
      </w:r>
      <w:r w:rsidR="005107AD" w:rsidRPr="00DB02BF">
        <w:t xml:space="preserve"> que cette pression provient du Fonds</w:t>
      </w:r>
      <w:r w:rsidR="008F2E34" w:rsidRPr="00DB02BF">
        <w:t>.</w:t>
      </w:r>
    </w:p>
    <w:p w14:paraId="06698F2C" w14:textId="77777777" w:rsidR="00CC2456" w:rsidRPr="002F0E32" w:rsidRDefault="00BD6B34" w:rsidP="002F0E32">
      <w:pPr>
        <w:pStyle w:val="Titre4"/>
        <w:spacing w:line="240" w:lineRule="auto"/>
        <w:ind w:left="1888" w:hanging="1077"/>
        <w:rPr>
          <w:i/>
          <w:iCs/>
          <w:u w:val="single"/>
        </w:rPr>
      </w:pPr>
      <w:r w:rsidRPr="002F0E32">
        <w:rPr>
          <w:i/>
          <w:iCs/>
          <w:u w:val="single"/>
        </w:rPr>
        <w:t xml:space="preserve">Le véritable motif de la fin </w:t>
      </w:r>
      <w:r w:rsidR="00735751" w:rsidRPr="002F0E32">
        <w:rPr>
          <w:i/>
          <w:iCs/>
          <w:u w:val="single"/>
        </w:rPr>
        <w:t>de la relation de travail entre Cogir et M. Pereira</w:t>
      </w:r>
    </w:p>
    <w:p w14:paraId="1AA642BC" w14:textId="77777777" w:rsidR="003D25BC" w:rsidRDefault="00BD6B34" w:rsidP="00E37868">
      <w:pPr>
        <w:pStyle w:val="paragrapheno"/>
        <w:spacing w:line="240" w:lineRule="auto"/>
      </w:pPr>
      <w:r>
        <w:t> </w:t>
      </w:r>
      <w:r w:rsidRPr="00D7138D">
        <w:t>Le</w:t>
      </w:r>
      <w:r w:rsidRPr="003D25BC">
        <w:t xml:space="preserve"> seul</w:t>
      </w:r>
      <w:r w:rsidR="00070D11">
        <w:t xml:space="preserve"> problème </w:t>
      </w:r>
      <w:r w:rsidRPr="003D25BC">
        <w:t>qu</w:t>
      </w:r>
      <w:r w:rsidR="002A2809">
        <w:t>e M. Leblanc</w:t>
      </w:r>
      <w:r w:rsidRPr="003D25BC">
        <w:t xml:space="preserve"> </w:t>
      </w:r>
      <w:r w:rsidRPr="00D7138D">
        <w:t>affirme</w:t>
      </w:r>
      <w:r w:rsidRPr="003D25BC">
        <w:t xml:space="preserve"> avoir </w:t>
      </w:r>
      <w:r w:rsidRPr="00D7138D">
        <w:t>communiqué à M.</w:t>
      </w:r>
      <w:r w:rsidRPr="003D25BC">
        <w:t xml:space="preserve"> Duguay </w:t>
      </w:r>
      <w:r w:rsidR="00070D11">
        <w:t>concernant</w:t>
      </w:r>
      <w:r w:rsidRPr="003D25BC">
        <w:t xml:space="preserve"> M. Pereira lors de leur</w:t>
      </w:r>
      <w:r w:rsidR="0073771B">
        <w:t>s</w:t>
      </w:r>
      <w:r w:rsidRPr="003D25BC">
        <w:t xml:space="preserve"> conversation</w:t>
      </w:r>
      <w:r w:rsidR="0073771B">
        <w:t>s</w:t>
      </w:r>
      <w:r w:rsidRPr="003D25BC">
        <w:t xml:space="preserve"> périodiques sur</w:t>
      </w:r>
      <w:r>
        <w:t xml:space="preserve"> l’avancement des chantiers</w:t>
      </w:r>
      <w:r w:rsidR="00986BE2" w:rsidRPr="00D7138D">
        <w:t xml:space="preserve"> est l’inconfort et les questions que soulève</w:t>
      </w:r>
      <w:r w:rsidR="00D7138D" w:rsidRPr="00D7138D">
        <w:t xml:space="preserve"> la présence de M. Pereira. </w:t>
      </w:r>
      <w:r w:rsidR="00DD332E" w:rsidRPr="00D7138D">
        <w:t>C’est</w:t>
      </w:r>
      <w:r w:rsidR="00D7138D" w:rsidRPr="00D7138D">
        <w:t xml:space="preserve"> ce qu’il nomme la pression</w:t>
      </w:r>
      <w:r w:rsidRPr="00D7138D">
        <w:t>.</w:t>
      </w:r>
    </w:p>
    <w:p w14:paraId="775ADF2A" w14:textId="77777777" w:rsidR="00DD332E" w:rsidRPr="00C73139" w:rsidRDefault="00BD6B34" w:rsidP="00DD332E">
      <w:pPr>
        <w:pStyle w:val="paragrapheno"/>
        <w:spacing w:line="240" w:lineRule="auto"/>
      </w:pPr>
      <w:r w:rsidRPr="00B869B9">
        <w:t>Le malaise créé par la présence de M. Pereira</w:t>
      </w:r>
      <w:r w:rsidR="00F8699E">
        <w:t xml:space="preserve"> est</w:t>
      </w:r>
      <w:r w:rsidR="0055401C">
        <w:t xml:space="preserve"> aussi</w:t>
      </w:r>
      <w:r w:rsidRPr="00B869B9">
        <w:t xml:space="preserve"> le seul motif invoqué par M. Duguay dans son interrogatoire hors cour pour expliquer la fin de la relation avec M. </w:t>
      </w:r>
      <w:r w:rsidRPr="00B869B9">
        <w:lastRenderedPageBreak/>
        <w:t>Pereira : « …</w:t>
      </w:r>
      <w:r w:rsidRPr="00B869B9">
        <w:rPr>
          <w:i/>
          <w:iCs/>
        </w:rPr>
        <w:t>ça faisait trop jaser ta présence auprès des sous-traitants, puis des travailleurs, puis ça devenait lourd pour lui à gérer… puis, ça devenait une distraction</w:t>
      </w:r>
      <w:r w:rsidRPr="00B35A10">
        <w:rPr>
          <w:i/>
          <w:iCs/>
        </w:rPr>
        <w:t>. C’est ça la raison</w:t>
      </w:r>
      <w:r w:rsidRPr="00B35A10">
        <w:t> »</w:t>
      </w:r>
      <w:r>
        <w:rPr>
          <w:rStyle w:val="Appelnotedebasdep"/>
        </w:rPr>
        <w:footnoteReference w:id="61"/>
      </w:r>
      <w:r w:rsidRPr="00B35A10">
        <w:t>.</w:t>
      </w:r>
    </w:p>
    <w:p w14:paraId="7430494A" w14:textId="77777777" w:rsidR="00DD332E" w:rsidRDefault="00BD6B34" w:rsidP="00DD332E">
      <w:pPr>
        <w:pStyle w:val="paragrapheno"/>
        <w:spacing w:line="240" w:lineRule="auto"/>
      </w:pPr>
      <w:r>
        <w:t xml:space="preserve">Le seul motif invoqué par M. Leblanc et M. Duguay dans les appels du 7 septembre 2018 </w:t>
      </w:r>
      <w:r w:rsidR="007A1A39">
        <w:t xml:space="preserve">avec M. Pereira pour justifier la fin de ses services </w:t>
      </w:r>
      <w:r>
        <w:t>est la pression que la présence de M. Pereira provoque et M. Leblanc est plus précis en mentionnant que ce n’est pas une pression des gens qui proviennent du Fonds mais des gens de l’industrie de la construction.</w:t>
      </w:r>
    </w:p>
    <w:p w14:paraId="7B787F9C" w14:textId="77777777" w:rsidR="00DD332E" w:rsidRPr="00077D1E" w:rsidRDefault="00BD6B34" w:rsidP="00DD332E">
      <w:pPr>
        <w:pStyle w:val="paragrapheno"/>
        <w:spacing w:line="240" w:lineRule="auto"/>
      </w:pPr>
      <w:r w:rsidRPr="00077D1E">
        <w:t>Le Tribunal n’est pas convaincu par l’affirmation de M. Duguay et M. Leblanc lors de leur témoignage qu’ils voulaient tous les deux simplement épargner l’amour propre</w:t>
      </w:r>
      <w:r w:rsidR="00336487" w:rsidRPr="00077D1E">
        <w:t xml:space="preserve"> de</w:t>
      </w:r>
      <w:r w:rsidRPr="00077D1E">
        <w:t xml:space="preserve"> M. Pereira en ne lui donnant pas l’heure juste quant aux motifs de la fin de la relation et en ne lui parlant pas notamment de son manque de compétence ou d’expertise. </w:t>
      </w:r>
    </w:p>
    <w:p w14:paraId="58C47AE2" w14:textId="77777777" w:rsidR="00DD332E" w:rsidRPr="00C73139" w:rsidRDefault="00BD6B34" w:rsidP="00DD332E">
      <w:pPr>
        <w:pStyle w:val="paragrapheno"/>
        <w:spacing w:line="240" w:lineRule="auto"/>
      </w:pPr>
      <w:r w:rsidRPr="00077D1E">
        <w:t>Les deux sont apparues comme des hommes ne craignant pas les mots disant</w:t>
      </w:r>
      <w:r>
        <w:t xml:space="preserve"> même</w:t>
      </w:r>
      <w:r w:rsidRPr="00C73139">
        <w:t xml:space="preserve"> à M. Pereira lors de leur témoignage qu’il était incompétent et qu’ils étaient tannés de toujours entendre M. Pereira ressasser </w:t>
      </w:r>
      <w:r>
        <w:t>s</w:t>
      </w:r>
      <w:r w:rsidRPr="00C73139">
        <w:t>es mêmes histoires à propos de la FTQ et du Fonds. Peu importe que ce soit vrai ou non et sans enlever l’humanis</w:t>
      </w:r>
      <w:r>
        <w:t>me, la sympathie et l’empathie</w:t>
      </w:r>
      <w:r w:rsidRPr="00C73139">
        <w:t xml:space="preserve"> dont sont capables ces deux témoins, cela démontre qu’ils sont </w:t>
      </w:r>
      <w:r>
        <w:t xml:space="preserve">aussi </w:t>
      </w:r>
      <w:r w:rsidRPr="00C73139">
        <w:t>capables de dire à M. Pereira ce qu’ils pensent sans avoir peur de le blesser.</w:t>
      </w:r>
    </w:p>
    <w:p w14:paraId="04AB09A5" w14:textId="77777777" w:rsidR="00DD332E" w:rsidRPr="00E6709C" w:rsidRDefault="00BD6B34" w:rsidP="00DD332E">
      <w:pPr>
        <w:pStyle w:val="paragrapheno"/>
        <w:spacing w:line="240" w:lineRule="auto"/>
      </w:pPr>
      <w:r w:rsidRPr="00C73139">
        <w:t>D’ailleurs</w:t>
      </w:r>
      <w:r>
        <w:t>,</w:t>
      </w:r>
      <w:r w:rsidRPr="00C73139">
        <w:t xml:space="preserve"> </w:t>
      </w:r>
      <w:r>
        <w:t xml:space="preserve">selon certains passages du témoignage de M. Leblanc lors de l’audience, ce sont </w:t>
      </w:r>
      <w:r w:rsidR="00ED0D17">
        <w:t xml:space="preserve">plutôt </w:t>
      </w:r>
      <w:r>
        <w:t>les qualifications de M. Pereira qui selon lui manquaient</w:t>
      </w:r>
      <w:r w:rsidR="009D4FF9">
        <w:t>,</w:t>
      </w:r>
      <w:r>
        <w:t xml:space="preserve"> car il n’a pas travaillé dans le secteur résidentiel pendant 15 à 20 ans ce qui pour lui est essentiel pour être un surintendant sur les chantiers de Cogir construction. Le Tribunal </w:t>
      </w:r>
      <w:r w:rsidRPr="00C73139">
        <w:t>ne voit pas en quoi dir</w:t>
      </w:r>
      <w:r>
        <w:t>e</w:t>
      </w:r>
      <w:r w:rsidRPr="00C73139">
        <w:t xml:space="preserve"> à M. Pereira qu’il n’a pas les qualifications</w:t>
      </w:r>
      <w:r w:rsidR="001A5E3D">
        <w:t xml:space="preserve"> ou l’expér</w:t>
      </w:r>
      <w:r w:rsidR="00A54DED">
        <w:t>ie</w:t>
      </w:r>
      <w:r w:rsidR="001A5E3D">
        <w:t>nce</w:t>
      </w:r>
      <w:r w:rsidRPr="00C73139">
        <w:t xml:space="preserve"> pour être surintendant soit blessant.   </w:t>
      </w:r>
    </w:p>
    <w:p w14:paraId="309DB4BE" w14:textId="77777777" w:rsidR="00DD332E" w:rsidRDefault="00BD6B34" w:rsidP="00DD332E">
      <w:pPr>
        <w:pStyle w:val="paragrapheno"/>
        <w:spacing w:line="240" w:lineRule="auto"/>
      </w:pPr>
      <w:r w:rsidRPr="00C73139">
        <w:t xml:space="preserve">    </w:t>
      </w:r>
      <w:r>
        <w:t>Par ailleurs, le motif relié au budget du Chantier Le Renoir lequel serait limité au salaire d’un seul employé invoqué par M. Leblanc n’est pas non plus convaincant puisque</w:t>
      </w:r>
      <w:r w:rsidRPr="006E6B00">
        <w:t xml:space="preserve"> M. Leblanc affirme dans son témoignage que M. Pereira n’était pas payé à partir du budget du chantier</w:t>
      </w:r>
      <w:r>
        <w:rPr>
          <w:rStyle w:val="Appelnotedebasdep"/>
        </w:rPr>
        <w:footnoteReference w:id="62"/>
      </w:r>
      <w:r w:rsidRPr="006E6B00">
        <w:t>. Il est difficile alors de concevoir pourquoi M. Leblanc était inquiet de l’impact de la rémunération de M. Pereira sur le budget du chantier</w:t>
      </w:r>
      <w:r>
        <w:t xml:space="preserve"> Le Renoir, là où il est affecté au moment de la fin de la relation.</w:t>
      </w:r>
    </w:p>
    <w:p w14:paraId="2D2BA089" w14:textId="77777777" w:rsidR="00DD332E" w:rsidRPr="00D7138D" w:rsidRDefault="00BD6B34" w:rsidP="000B6AAE">
      <w:pPr>
        <w:pStyle w:val="paragrapheno"/>
        <w:spacing w:line="240" w:lineRule="auto"/>
      </w:pPr>
      <w:r>
        <w:t>Le manque d’expertise</w:t>
      </w:r>
      <w:r w:rsidR="00663233">
        <w:t xml:space="preserve"> de </w:t>
      </w:r>
      <w:r w:rsidR="006D008D">
        <w:t>M</w:t>
      </w:r>
      <w:r w:rsidR="00663233">
        <w:t>. Pereira et le budget apparaissent plutôt comme des pr</w:t>
      </w:r>
      <w:r w:rsidR="005A1CED">
        <w:t>é</w:t>
      </w:r>
      <w:r w:rsidR="00663233">
        <w:t>textes</w:t>
      </w:r>
      <w:r w:rsidR="00FE5B03">
        <w:t>,</w:t>
      </w:r>
      <w:r w:rsidR="005A1CED">
        <w:t xml:space="preserve"> et</w:t>
      </w:r>
      <w:r w:rsidR="00FE5B03">
        <w:t xml:space="preserve"> bien qu’il ne soit pas nécessaire pour les fins du présent jugement de se prononcer sur </w:t>
      </w:r>
      <w:r w:rsidR="00CA1F8E">
        <w:t>le véritable motif de la fin du contrat</w:t>
      </w:r>
      <w:r w:rsidR="000A79BC">
        <w:t xml:space="preserve"> étant donné que le Tribunal conclut </w:t>
      </w:r>
      <w:r w:rsidR="001A1506">
        <w:t xml:space="preserve">de toute façon </w:t>
      </w:r>
      <w:r w:rsidR="000A79BC">
        <w:t>que la preuve ne démontre pas que la pression provenait</w:t>
      </w:r>
      <w:r w:rsidR="001A1506">
        <w:t xml:space="preserve"> du Fonds</w:t>
      </w:r>
      <w:r w:rsidR="00C93399">
        <w:t xml:space="preserve"> comme </w:t>
      </w:r>
      <w:r w:rsidR="00D677AA">
        <w:lastRenderedPageBreak/>
        <w:t>expliqué</w:t>
      </w:r>
      <w:r w:rsidR="00C93399">
        <w:t xml:space="preserve"> ci-après</w:t>
      </w:r>
      <w:r w:rsidR="005A1CED">
        <w:t>, le motif prédominant</w:t>
      </w:r>
      <w:r w:rsidR="00AA3B3D">
        <w:t xml:space="preserve"> </w:t>
      </w:r>
      <w:r w:rsidR="002E2377">
        <w:t>justifiant la fin des services de M. Pereira</w:t>
      </w:r>
      <w:r w:rsidR="005A1CED">
        <w:t xml:space="preserve"> apparaît être l’inconfort et la pression</w:t>
      </w:r>
      <w:r w:rsidR="00600694">
        <w:t xml:space="preserve"> que suscite </w:t>
      </w:r>
      <w:r w:rsidR="004D2362">
        <w:t>s</w:t>
      </w:r>
      <w:r w:rsidR="00600694">
        <w:t xml:space="preserve">a présence </w:t>
      </w:r>
      <w:r w:rsidR="004D2362">
        <w:t>sur les chantiers de Cogir</w:t>
      </w:r>
      <w:r w:rsidR="00600694">
        <w:t>.</w:t>
      </w:r>
    </w:p>
    <w:p w14:paraId="7DBA747E" w14:textId="77777777" w:rsidR="00E76C1E" w:rsidRPr="007A05DE" w:rsidRDefault="00BD6B34" w:rsidP="002F0E32">
      <w:pPr>
        <w:pStyle w:val="Titre4"/>
        <w:rPr>
          <w:i/>
          <w:iCs/>
        </w:rPr>
      </w:pPr>
      <w:r w:rsidRPr="007A05DE">
        <w:rPr>
          <w:i/>
          <w:iCs/>
        </w:rPr>
        <w:tab/>
      </w:r>
      <w:r w:rsidR="00F50673" w:rsidRPr="007A05DE">
        <w:rPr>
          <w:i/>
          <w:iCs/>
        </w:rPr>
        <w:t>L’or</w:t>
      </w:r>
      <w:r w:rsidR="007A05DE" w:rsidRPr="007A05DE">
        <w:rPr>
          <w:i/>
          <w:iCs/>
        </w:rPr>
        <w:t>igine des pressions.</w:t>
      </w:r>
    </w:p>
    <w:p w14:paraId="751405F9" w14:textId="77777777" w:rsidR="00D8600F" w:rsidRPr="003E71A5" w:rsidRDefault="00BD6B34" w:rsidP="00E37868">
      <w:pPr>
        <w:pStyle w:val="paragrapheno"/>
        <w:spacing w:line="240" w:lineRule="auto"/>
      </w:pPr>
      <w:r w:rsidRPr="00540D05">
        <w:t>Quant à l’origine des pressions, encore une fois</w:t>
      </w:r>
      <w:r w:rsidR="00C74147">
        <w:t>,</w:t>
      </w:r>
      <w:r w:rsidRPr="00540D05">
        <w:t xml:space="preserve"> le Tribunal considère peu convaincant le </w:t>
      </w:r>
      <w:r w:rsidRPr="003E71A5">
        <w:t>témoignage de M. Leblanc.</w:t>
      </w:r>
    </w:p>
    <w:p w14:paraId="1C361992" w14:textId="77777777" w:rsidR="00431DFF" w:rsidRDefault="00BD6B34" w:rsidP="00E37868">
      <w:pPr>
        <w:pStyle w:val="paragrapheno"/>
        <w:spacing w:line="240" w:lineRule="auto"/>
      </w:pPr>
      <w:r>
        <w:t>Celui-ci</w:t>
      </w:r>
      <w:r w:rsidRPr="0064044E">
        <w:t xml:space="preserve"> affirme que les travailleurs et </w:t>
      </w:r>
      <w:r w:rsidR="00E21B04" w:rsidRPr="0064044E">
        <w:t>entrepreneurs</w:t>
      </w:r>
      <w:r w:rsidRPr="0064044E">
        <w:t xml:space="preserve"> lui </w:t>
      </w:r>
      <w:r w:rsidR="0064044E" w:rsidRPr="0064044E">
        <w:t xml:space="preserve">parlent. Questionné par </w:t>
      </w:r>
      <w:r w:rsidR="00392C9F">
        <w:t>M. Pereira</w:t>
      </w:r>
      <w:r w:rsidR="0064044E" w:rsidRPr="0064044E">
        <w:t xml:space="preserve"> à savoir quand </w:t>
      </w:r>
      <w:r w:rsidR="0064044E">
        <w:t>les travailleurs lui parlent</w:t>
      </w:r>
      <w:r w:rsidR="004B21F0">
        <w:t>,</w:t>
      </w:r>
      <w:r w:rsidR="0064044E">
        <w:t xml:space="preserve"> il répond que les travailleurs ont son numéro de téléphone et qu’il passe</w:t>
      </w:r>
      <w:r w:rsidR="001364A7">
        <w:t xml:space="preserve"> sur les chantiers</w:t>
      </w:r>
      <w:r w:rsidR="003D54E3">
        <w:t xml:space="preserve"> pour</w:t>
      </w:r>
      <w:r w:rsidR="00CA6264">
        <w:t xml:space="preserve"> parler au</w:t>
      </w:r>
      <w:r w:rsidR="00DB13AD">
        <w:t>x</w:t>
      </w:r>
      <w:r w:rsidR="00CA6264">
        <w:t xml:space="preserve"> travailleurs afin d’</w:t>
      </w:r>
      <w:r w:rsidR="003D54E3">
        <w:t>avoir le pouls du cha</w:t>
      </w:r>
      <w:r w:rsidR="00AA3532">
        <w:t>n</w:t>
      </w:r>
      <w:r w:rsidR="003D54E3">
        <w:t>tier.</w:t>
      </w:r>
      <w:r w:rsidR="004A0B4A">
        <w:t xml:space="preserve"> </w:t>
      </w:r>
      <w:r w:rsidR="003E71A5">
        <w:t>I</w:t>
      </w:r>
      <w:r w:rsidR="008B0D91">
        <w:t>l veut</w:t>
      </w:r>
      <w:r w:rsidR="00750BBB">
        <w:t xml:space="preserve"> s’assurer de l’harmonie sur </w:t>
      </w:r>
      <w:r w:rsidR="008B0D91">
        <w:t xml:space="preserve">les chantiers. Il considère que c’est essentiel pour </w:t>
      </w:r>
      <w:r w:rsidR="00D677AA">
        <w:t xml:space="preserve">obtenir </w:t>
      </w:r>
      <w:r w:rsidR="003E71A5">
        <w:t>la</w:t>
      </w:r>
      <w:r w:rsidR="008B0D91">
        <w:t xml:space="preserve"> meilleure productivité</w:t>
      </w:r>
      <w:r w:rsidR="003E71A5">
        <w:t xml:space="preserve"> possible</w:t>
      </w:r>
      <w:r w:rsidR="008B0D91">
        <w:t>.</w:t>
      </w:r>
    </w:p>
    <w:p w14:paraId="627FB01B" w14:textId="77777777" w:rsidR="00C44ECC" w:rsidRDefault="00BD6B34" w:rsidP="00E37868">
      <w:pPr>
        <w:pStyle w:val="paragrapheno"/>
        <w:spacing w:line="240" w:lineRule="auto"/>
      </w:pPr>
      <w:r>
        <w:t>Or</w:t>
      </w:r>
      <w:r w:rsidR="003E71A5">
        <w:t>,</w:t>
      </w:r>
      <w:r>
        <w:t xml:space="preserve"> non seulement est-il étonnant que des </w:t>
      </w:r>
      <w:r w:rsidR="0070479C">
        <w:t>travailleurs</w:t>
      </w:r>
      <w:r w:rsidR="003E71A5">
        <w:t>,</w:t>
      </w:r>
      <w:r>
        <w:t xml:space="preserve"> employés des </w:t>
      </w:r>
      <w:r w:rsidR="0070479C">
        <w:t>sous-traitants</w:t>
      </w:r>
      <w:r w:rsidR="003E71A5">
        <w:t>,</w:t>
      </w:r>
      <w:r>
        <w:t xml:space="preserve"> aient le numéro de téléphone cellulaire du vice-président de</w:t>
      </w:r>
      <w:r w:rsidR="007F67A4">
        <w:t xml:space="preserve"> l’entrepreneur </w:t>
      </w:r>
      <w:r>
        <w:t>général, Cogir</w:t>
      </w:r>
      <w:r w:rsidR="007F67A4">
        <w:t xml:space="preserve"> Construction</w:t>
      </w:r>
      <w:r>
        <w:t xml:space="preserve">, </w:t>
      </w:r>
      <w:r w:rsidR="0073750A">
        <w:t xml:space="preserve">sur les chantiers Unicité, Le </w:t>
      </w:r>
      <w:r w:rsidR="00A802BD">
        <w:t>Renoir</w:t>
      </w:r>
      <w:r w:rsidR="0073750A">
        <w:t xml:space="preserve"> et Mostra </w:t>
      </w:r>
      <w:r w:rsidR="002E7D54">
        <w:t xml:space="preserve">et encore plus étonnant à l’égard des travailleurs du </w:t>
      </w:r>
      <w:r w:rsidR="00A802BD">
        <w:t>chantier</w:t>
      </w:r>
      <w:r w:rsidR="002E7D54">
        <w:t xml:space="preserve"> Humaniti où Cogir </w:t>
      </w:r>
      <w:r w:rsidR="00F738DA">
        <w:t>C</w:t>
      </w:r>
      <w:r w:rsidR="002E7D54">
        <w:t xml:space="preserve">onstruction </w:t>
      </w:r>
      <w:r w:rsidR="00A802BD">
        <w:t>n’est</w:t>
      </w:r>
      <w:r w:rsidR="002E7D54">
        <w:t xml:space="preserve"> pas </w:t>
      </w:r>
      <w:r w:rsidR="00907D69">
        <w:t>l’entrepreneur général</w:t>
      </w:r>
      <w:r w:rsidR="00F738DA">
        <w:t>,</w:t>
      </w:r>
      <w:r>
        <w:t xml:space="preserve"> mais </w:t>
      </w:r>
      <w:r w:rsidR="003E71A5">
        <w:t xml:space="preserve">plus fondamentalement, </w:t>
      </w:r>
      <w:r w:rsidR="00755766">
        <w:t>M. Leblanc témoigne qu’il était souvent à l’extérieur</w:t>
      </w:r>
      <w:r w:rsidR="001051E3">
        <w:t xml:space="preserve"> pendant la période où M. Pereira</w:t>
      </w:r>
      <w:r>
        <w:t xml:space="preserve"> </w:t>
      </w:r>
      <w:r w:rsidR="001079D8">
        <w:t>est sur les chantiers. Il ne peut donc pas aller saluer les travailleurs sur les chantier</w:t>
      </w:r>
      <w:r w:rsidR="00ED376F">
        <w:t>s</w:t>
      </w:r>
      <w:r w:rsidR="001079D8">
        <w:t xml:space="preserve"> pour avoir le pouls comme il l’affirme. De p</w:t>
      </w:r>
      <w:r w:rsidR="00ED376F">
        <w:t>l</w:t>
      </w:r>
      <w:r w:rsidR="001079D8">
        <w:t xml:space="preserve">us, </w:t>
      </w:r>
      <w:r w:rsidR="00577B50">
        <w:t xml:space="preserve">il </w:t>
      </w:r>
      <w:r w:rsidR="00587AA7">
        <w:t>finira par reconnaître</w:t>
      </w:r>
      <w:r w:rsidR="00577B50">
        <w:t xml:space="preserve"> ne pas avoir visité le</w:t>
      </w:r>
      <w:r w:rsidR="003E71A5">
        <w:t>s</w:t>
      </w:r>
      <w:r w:rsidR="00577B50">
        <w:t xml:space="preserve"> chantier</w:t>
      </w:r>
      <w:r w:rsidR="003E71A5">
        <w:t>s</w:t>
      </w:r>
      <w:r w:rsidR="00577B50">
        <w:t xml:space="preserve"> Mostra</w:t>
      </w:r>
      <w:r w:rsidR="00587AA7">
        <w:t xml:space="preserve">, Unicité et </w:t>
      </w:r>
      <w:r w:rsidR="00EA156F">
        <w:t>L</w:t>
      </w:r>
      <w:r w:rsidR="00587AA7">
        <w:t>e Renoir</w:t>
      </w:r>
      <w:r>
        <w:t xml:space="preserve">. </w:t>
      </w:r>
    </w:p>
    <w:p w14:paraId="5793F33E" w14:textId="77777777" w:rsidR="00EA156F" w:rsidRDefault="00BD6B34" w:rsidP="00E37868">
      <w:pPr>
        <w:pStyle w:val="paragrapheno"/>
        <w:spacing w:line="240" w:lineRule="auto"/>
      </w:pPr>
      <w:r>
        <w:t xml:space="preserve">En effet, </w:t>
      </w:r>
      <w:r w:rsidR="000D172C">
        <w:t xml:space="preserve">M. Leblanc affirme que pendant </w:t>
      </w:r>
      <w:r w:rsidR="00D30AE2">
        <w:t>la</w:t>
      </w:r>
      <w:r w:rsidR="000D172C">
        <w:t xml:space="preserve"> péri</w:t>
      </w:r>
      <w:r w:rsidR="004763AF">
        <w:t xml:space="preserve">ode </w:t>
      </w:r>
      <w:r w:rsidR="00843C77">
        <w:t xml:space="preserve">de deux mois où M. </w:t>
      </w:r>
      <w:r w:rsidR="00755766">
        <w:t>Pereira</w:t>
      </w:r>
      <w:r w:rsidR="00843C77">
        <w:t xml:space="preserve"> rend des services à Cogir</w:t>
      </w:r>
      <w:r w:rsidR="00F60B30">
        <w:t xml:space="preserve">, </w:t>
      </w:r>
      <w:r w:rsidR="004763AF">
        <w:t xml:space="preserve">il était </w:t>
      </w:r>
      <w:r w:rsidR="00B56D28">
        <w:t>très occupé et souvent</w:t>
      </w:r>
      <w:r w:rsidR="004763AF">
        <w:t xml:space="preserve"> à l’</w:t>
      </w:r>
      <w:r w:rsidR="0070479C">
        <w:t>extérieur</w:t>
      </w:r>
      <w:r w:rsidR="004763AF">
        <w:t xml:space="preserve"> du </w:t>
      </w:r>
      <w:r w:rsidR="0070479C">
        <w:t>Q</w:t>
      </w:r>
      <w:r w:rsidR="004763AF">
        <w:t>uébec</w:t>
      </w:r>
      <w:r w:rsidR="008F43F8">
        <w:t xml:space="preserve"> et</w:t>
      </w:r>
      <w:r w:rsidR="004763AF">
        <w:t xml:space="preserve"> n</w:t>
      </w:r>
      <w:r w:rsidR="00F60B30">
        <w:t>’a pas</w:t>
      </w:r>
      <w:r w:rsidR="004763AF">
        <w:t xml:space="preserve"> visit</w:t>
      </w:r>
      <w:r w:rsidR="00F60B30">
        <w:t>é</w:t>
      </w:r>
      <w:r w:rsidR="004763AF">
        <w:t xml:space="preserve"> les chantiers sauf le chantier Humaniti</w:t>
      </w:r>
      <w:r>
        <w:t>. D’ailleurs,</w:t>
      </w:r>
      <w:r w:rsidR="000C544E">
        <w:t xml:space="preserve"> </w:t>
      </w:r>
      <w:r w:rsidR="003C0472">
        <w:t xml:space="preserve">lors de son interrogatoire hors cour, </w:t>
      </w:r>
      <w:r w:rsidR="000C544E">
        <w:t>il affirme que c’est Éric Perreault qui</w:t>
      </w:r>
      <w:r w:rsidR="007A01CC">
        <w:t xml:space="preserve"> </w:t>
      </w:r>
      <w:r w:rsidR="004E6B0B">
        <w:t xml:space="preserve">savait pourquoi </w:t>
      </w:r>
      <w:r w:rsidR="00392C9F">
        <w:t>M. Pereira</w:t>
      </w:r>
      <w:r w:rsidR="004E6B0B">
        <w:t xml:space="preserve"> ne pouvait plus être assigné au chantier Unicité</w:t>
      </w:r>
      <w:r w:rsidR="00322014">
        <w:t xml:space="preserve"> puisqu’il ne s’occupait pas de ce chantier</w:t>
      </w:r>
      <w:r>
        <w:rPr>
          <w:rStyle w:val="Appelnotedebasdep"/>
        </w:rPr>
        <w:footnoteReference w:id="63"/>
      </w:r>
      <w:r w:rsidR="00160AAD">
        <w:t>. De plus</w:t>
      </w:r>
      <w:r w:rsidR="00220459">
        <w:t>,</w:t>
      </w:r>
      <w:r w:rsidR="00160AAD">
        <w:t xml:space="preserve"> ajoutons que le chantier Unicité venait tout juste de démarrer et que la preuve démontre qu’il y avait très peu de travailleurs </w:t>
      </w:r>
      <w:r w:rsidR="009C29B9">
        <w:t>présents et que seulement deux sous-traitants ont été identifié</w:t>
      </w:r>
      <w:r w:rsidR="00064CF6">
        <w:t>s</w:t>
      </w:r>
      <w:r w:rsidR="009C29B9">
        <w:t xml:space="preserve"> soit l’arpenteur que </w:t>
      </w:r>
      <w:r w:rsidR="00392C9F">
        <w:t>M. Pereira</w:t>
      </w:r>
      <w:r w:rsidR="009C29B9">
        <w:t xml:space="preserve"> a aidé à prendre les mesures et l’entrepreneur pour l’excavation et</w:t>
      </w:r>
      <w:r w:rsidR="00177F27">
        <w:t xml:space="preserve"> le soutènement.</w:t>
      </w:r>
      <w:r w:rsidR="00220459">
        <w:t xml:space="preserve"> </w:t>
      </w:r>
    </w:p>
    <w:p w14:paraId="61E77FE4" w14:textId="77777777" w:rsidR="003E71A5" w:rsidRDefault="00BD6B34" w:rsidP="00E37868">
      <w:pPr>
        <w:pStyle w:val="paragrapheno"/>
        <w:spacing w:line="240" w:lineRule="auto"/>
      </w:pPr>
      <w:r>
        <w:t xml:space="preserve">Dans son témoignage, M. Leblanc ne précise pas sur quel chantier les gens lui posaient des </w:t>
      </w:r>
      <w:r w:rsidR="00830D15">
        <w:t>questions</w:t>
      </w:r>
      <w:r w:rsidR="0094085B">
        <w:t xml:space="preserve"> et lui disaient être inquiets de la présence de M. Pereira.</w:t>
      </w:r>
      <w:r>
        <w:t xml:space="preserve"> </w:t>
      </w:r>
      <w:r w:rsidRPr="007368D9">
        <w:t>Il ne</w:t>
      </w:r>
      <w:r w:rsidR="007368D9" w:rsidRPr="007368D9">
        <w:t xml:space="preserve"> précise pas quels</w:t>
      </w:r>
      <w:r w:rsidRPr="007368D9">
        <w:t xml:space="preserve"> travailleurs, entrepreneurs ou groupe</w:t>
      </w:r>
      <w:r w:rsidR="003C48C6">
        <w:t>s</w:t>
      </w:r>
      <w:r w:rsidRPr="007368D9">
        <w:t xml:space="preserve"> de travailleurs </w:t>
      </w:r>
      <w:r w:rsidR="007368D9" w:rsidRPr="007368D9">
        <w:t>auraient</w:t>
      </w:r>
      <w:r w:rsidRPr="007368D9">
        <w:t xml:space="preserve"> soulevé des questions</w:t>
      </w:r>
      <w:r w:rsidR="007368D9">
        <w:t xml:space="preserve"> ou de l’inconfort relativement à la présence de M. Pereira</w:t>
      </w:r>
      <w:r>
        <w:t>.</w:t>
      </w:r>
      <w:r w:rsidR="00EA156F">
        <w:t xml:space="preserve"> Cependant, il se rappelle</w:t>
      </w:r>
      <w:r>
        <w:t xml:space="preserve"> </w:t>
      </w:r>
      <w:r w:rsidR="00EA156F">
        <w:t xml:space="preserve">que des électriciens du chantier Humaniti lui ont dit avoir vu M. Pereira sur le </w:t>
      </w:r>
      <w:r w:rsidR="00EA156F">
        <w:lastRenderedPageBreak/>
        <w:t xml:space="preserve">chantier sans </w:t>
      </w:r>
      <w:r w:rsidR="0029388F">
        <w:t xml:space="preserve">toutefois </w:t>
      </w:r>
      <w:r w:rsidR="00EA156F">
        <w:t xml:space="preserve">préciser s’ils lui ont fait connaître leur inconfort </w:t>
      </w:r>
      <w:r w:rsidR="001C6717">
        <w:t>en raison</w:t>
      </w:r>
      <w:r w:rsidR="00FA66CA">
        <w:t xml:space="preserve"> de</w:t>
      </w:r>
      <w:r w:rsidR="001C6717">
        <w:t xml:space="preserve"> </w:t>
      </w:r>
      <w:r w:rsidR="00EA156F">
        <w:t>cette présence.</w:t>
      </w:r>
    </w:p>
    <w:p w14:paraId="09223D06" w14:textId="77777777" w:rsidR="003D54E3" w:rsidRDefault="00BD6B34" w:rsidP="00E37868">
      <w:pPr>
        <w:pStyle w:val="paragrapheno"/>
        <w:spacing w:line="240" w:lineRule="auto"/>
      </w:pPr>
      <w:r>
        <w:t xml:space="preserve"> </w:t>
      </w:r>
      <w:r w:rsidR="0029388F">
        <w:t>Par ailleurs, s</w:t>
      </w:r>
      <w:r w:rsidR="00865142">
        <w:t xml:space="preserve">ur le chantier Unicité, </w:t>
      </w:r>
      <w:r w:rsidR="00137871">
        <w:t xml:space="preserve">la preuve démontre que </w:t>
      </w:r>
      <w:r w:rsidR="00454B4F">
        <w:t>c’est Éric Perreault</w:t>
      </w:r>
      <w:r w:rsidR="004F58F1">
        <w:t>,</w:t>
      </w:r>
      <w:r w:rsidR="008E7B57">
        <w:t xml:space="preserve"> un employé de Cogir et non pas un travailleur ou </w:t>
      </w:r>
      <w:r w:rsidR="00EA156F">
        <w:t xml:space="preserve">un </w:t>
      </w:r>
      <w:r w:rsidR="008E7B57">
        <w:t>entrepreneur</w:t>
      </w:r>
      <w:r w:rsidR="004F58F1">
        <w:t>,</w:t>
      </w:r>
      <w:r w:rsidR="00454B4F">
        <w:t xml:space="preserve"> qui soulève à M. Leblanc </w:t>
      </w:r>
      <w:r w:rsidR="00830D15">
        <w:t>le possible malai</w:t>
      </w:r>
      <w:r w:rsidR="00820D21">
        <w:t>se</w:t>
      </w:r>
      <w:r w:rsidR="00865142" w:rsidRPr="00865142">
        <w:t xml:space="preserve"> </w:t>
      </w:r>
      <w:r w:rsidR="00865142">
        <w:t xml:space="preserve">avec la présence de M. Pereira. De plus, le malaise </w:t>
      </w:r>
      <w:r w:rsidR="00EA156F">
        <w:t xml:space="preserve">potentiel </w:t>
      </w:r>
      <w:r w:rsidR="00865142">
        <w:t xml:space="preserve">qu’il soulève ne </w:t>
      </w:r>
      <w:r w:rsidR="00EA156F">
        <w:t>provient</w:t>
      </w:r>
      <w:r w:rsidR="00865142">
        <w:t xml:space="preserve"> pas </w:t>
      </w:r>
      <w:r w:rsidR="00EA156F">
        <w:t>d’</w:t>
      </w:r>
      <w:r w:rsidR="00865142">
        <w:t xml:space="preserve">un travailleur ou </w:t>
      </w:r>
      <w:r w:rsidR="00EA156F">
        <w:t>d’</w:t>
      </w:r>
      <w:r w:rsidR="00865142">
        <w:t xml:space="preserve">un entrepreneur mais bien </w:t>
      </w:r>
      <w:r w:rsidR="00EA156F">
        <w:t xml:space="preserve">de </w:t>
      </w:r>
      <w:r w:rsidR="00865142" w:rsidRPr="00865142">
        <w:rPr>
          <w:i/>
          <w:iCs/>
        </w:rPr>
        <w:t>l’investisseur</w:t>
      </w:r>
      <w:r w:rsidR="002A33F5" w:rsidRPr="00865142">
        <w:rPr>
          <w:i/>
          <w:iCs/>
        </w:rPr>
        <w:t xml:space="preserve"> </w:t>
      </w:r>
      <w:r w:rsidR="002A33F5" w:rsidRPr="00AA0974">
        <w:rPr>
          <w:i/>
          <w:iCs/>
        </w:rPr>
        <w:t>FTQ</w:t>
      </w:r>
      <w:r w:rsidR="002C0E40">
        <w:t>.</w:t>
      </w:r>
      <w:r w:rsidR="002A33F5">
        <w:t xml:space="preserve"> M. Leblanc lui répond de tenir </w:t>
      </w:r>
      <w:r w:rsidR="002C0E40">
        <w:t>« </w:t>
      </w:r>
      <w:r w:rsidR="002A33F5" w:rsidRPr="002C0E40">
        <w:rPr>
          <w:i/>
          <w:iCs/>
        </w:rPr>
        <w:t>ça mort</w:t>
      </w:r>
      <w:r w:rsidR="002C0E40">
        <w:t> »</w:t>
      </w:r>
      <w:r>
        <w:rPr>
          <w:rStyle w:val="Appelnotedebasdep"/>
        </w:rPr>
        <w:footnoteReference w:id="64"/>
      </w:r>
      <w:r w:rsidR="002A33F5">
        <w:t>.</w:t>
      </w:r>
    </w:p>
    <w:p w14:paraId="018BD7F0" w14:textId="77777777" w:rsidR="001F02B2" w:rsidRPr="00CB20AD" w:rsidRDefault="00BD6B34" w:rsidP="001E54C7">
      <w:pPr>
        <w:pStyle w:val="paragrapheno"/>
        <w:spacing w:line="240" w:lineRule="auto"/>
      </w:pPr>
      <w:r>
        <w:t>Le Tribunal retient</w:t>
      </w:r>
      <w:r w:rsidR="00590B58">
        <w:t xml:space="preserve"> de la preuve</w:t>
      </w:r>
      <w:r w:rsidR="00157A8C">
        <w:t xml:space="preserve"> que</w:t>
      </w:r>
      <w:r w:rsidR="004D18F8">
        <w:t xml:space="preserve"> </w:t>
      </w:r>
      <w:r w:rsidR="00E632AE">
        <w:t>ce ne sont pas les travailleurs</w:t>
      </w:r>
      <w:r w:rsidR="00157A8C">
        <w:t xml:space="preserve"> </w:t>
      </w:r>
      <w:r w:rsidR="007128EB">
        <w:t>sur les chantiers de Cogir qui font part à M. Leblanc</w:t>
      </w:r>
      <w:r w:rsidR="001E54C7">
        <w:t xml:space="preserve"> de leur inconfort</w:t>
      </w:r>
      <w:r w:rsidR="00DA43B4">
        <w:t>, inquiétude ou questions</w:t>
      </w:r>
      <w:r w:rsidR="00283023">
        <w:t xml:space="preserve"> et que la pression </w:t>
      </w:r>
      <w:r w:rsidR="00A87273">
        <w:t>à laquelle il ne veut pas faire face</w:t>
      </w:r>
      <w:r w:rsidR="00D81AEA">
        <w:t xml:space="preserve"> ne vi</w:t>
      </w:r>
      <w:r w:rsidR="00A87273">
        <w:t xml:space="preserve">ent pas </w:t>
      </w:r>
      <w:r w:rsidR="00D81AEA">
        <w:t>des travailleurs</w:t>
      </w:r>
      <w:r w:rsidR="001E54C7">
        <w:t xml:space="preserve">. </w:t>
      </w:r>
    </w:p>
    <w:p w14:paraId="6CE7D3F9" w14:textId="77777777" w:rsidR="005E1095" w:rsidRDefault="00BD6B34" w:rsidP="00E37868">
      <w:pPr>
        <w:pStyle w:val="paragrapheno"/>
        <w:spacing w:line="240" w:lineRule="auto"/>
      </w:pPr>
      <w:r>
        <w:t>Même si le Tribunal</w:t>
      </w:r>
      <w:r w:rsidR="00BA5881">
        <w:t xml:space="preserve"> conclu</w:t>
      </w:r>
      <w:r w:rsidR="004D2362">
        <w:t>ait</w:t>
      </w:r>
      <w:r w:rsidR="00BA5881">
        <w:t xml:space="preserve"> que le seul motif</w:t>
      </w:r>
      <w:r w:rsidR="00415ED3">
        <w:t xml:space="preserve"> de la fin de la relation</w:t>
      </w:r>
      <w:r w:rsidR="005774DE">
        <w:t xml:space="preserve"> entre M. Pereira et Cogir est la pression que </w:t>
      </w:r>
      <w:r w:rsidR="00FC7BC0">
        <w:t>crée</w:t>
      </w:r>
      <w:r w:rsidR="005774DE">
        <w:t xml:space="preserve"> la présence de M. </w:t>
      </w:r>
      <w:r w:rsidR="00FC7BC0">
        <w:t>Pereira</w:t>
      </w:r>
      <w:r w:rsidR="005774DE">
        <w:t xml:space="preserve"> sur les chantiers</w:t>
      </w:r>
      <w:r w:rsidR="00FC7BC0">
        <w:t xml:space="preserve"> et que cette pression ne vi</w:t>
      </w:r>
      <w:r w:rsidR="00BB7C11">
        <w:t>en</w:t>
      </w:r>
      <w:r w:rsidR="00FC7BC0">
        <w:t>t pas des travailleurs</w:t>
      </w:r>
      <w:r w:rsidR="00A81E2D">
        <w:t>, a</w:t>
      </w:r>
      <w:r>
        <w:t xml:space="preserve">ucun témoin n’a indiqué au </w:t>
      </w:r>
      <w:r w:rsidR="008A119D">
        <w:t>Tribunal</w:t>
      </w:r>
      <w:r w:rsidR="007D2C2B">
        <w:t xml:space="preserve"> </w:t>
      </w:r>
      <w:r>
        <w:t xml:space="preserve">qu’une personne représentant le Fonds a mis de la pression sur M. Duguay ou M. Leblanc pour que Cogir cesse d’utiliser les services de </w:t>
      </w:r>
      <w:r w:rsidR="00392C9F">
        <w:t>M. Pereira</w:t>
      </w:r>
      <w:r>
        <w:t xml:space="preserve"> </w:t>
      </w:r>
      <w:r w:rsidR="001C540D">
        <w:t xml:space="preserve">ou encore pour empêcher </w:t>
      </w:r>
      <w:r w:rsidR="007D2C2B">
        <w:t>c</w:t>
      </w:r>
      <w:r w:rsidR="001C540D">
        <w:t>e dernier d</w:t>
      </w:r>
      <w:r w:rsidR="005A6568">
        <w:t>’</w:t>
      </w:r>
      <w:r w:rsidR="001C540D">
        <w:t>œuvrer sur un chantier de construction au Québec ou ailleurs au Canada</w:t>
      </w:r>
      <w:r>
        <w:t xml:space="preserve">. </w:t>
      </w:r>
      <w:r w:rsidR="007D2C2B">
        <w:t>De plus, a</w:t>
      </w:r>
      <w:r w:rsidR="00F87B2C">
        <w:t xml:space="preserve">ucun document produit en preuve </w:t>
      </w:r>
      <w:r w:rsidR="00A95B22">
        <w:t>n’</w:t>
      </w:r>
      <w:r w:rsidR="00752241">
        <w:t xml:space="preserve">identifie le Fonds </w:t>
      </w:r>
      <w:r w:rsidR="00CB3D77">
        <w:t>comme l’auteur de telles</w:t>
      </w:r>
      <w:r w:rsidR="00B903B1">
        <w:t xml:space="preserve"> </w:t>
      </w:r>
      <w:r w:rsidR="00CB3D77">
        <w:t>pressions.</w:t>
      </w:r>
    </w:p>
    <w:p w14:paraId="14BBE3BC" w14:textId="77777777" w:rsidR="00874A6A" w:rsidRDefault="00BD6B34" w:rsidP="00E37868">
      <w:pPr>
        <w:pStyle w:val="paragrapheno"/>
        <w:spacing w:line="240" w:lineRule="auto"/>
      </w:pPr>
      <w:r>
        <w:t xml:space="preserve">En l’absence de preuve directe </w:t>
      </w:r>
      <w:r w:rsidR="005770D8">
        <w:t>de</w:t>
      </w:r>
      <w:r w:rsidR="00DE5F3B">
        <w:t xml:space="preserve"> pressions de la </w:t>
      </w:r>
      <w:r w:rsidR="001076DE">
        <w:t xml:space="preserve">part </w:t>
      </w:r>
      <w:r w:rsidR="005770D8">
        <w:t xml:space="preserve">du Fonds </w:t>
      </w:r>
      <w:r w:rsidR="00BF4830">
        <w:t>pour emp</w:t>
      </w:r>
      <w:r w:rsidR="009105EE">
        <w:t>êc</w:t>
      </w:r>
      <w:r w:rsidR="00BF4830">
        <w:t xml:space="preserve">her </w:t>
      </w:r>
      <w:r w:rsidR="00392C9F">
        <w:t>M. Pereira</w:t>
      </w:r>
      <w:r w:rsidR="00BF4830">
        <w:t xml:space="preserve"> de travailler </w:t>
      </w:r>
      <w:r w:rsidR="009105EE">
        <w:t xml:space="preserve">dans l’industrie de la construction et plus particulièrement sur les chantiers </w:t>
      </w:r>
      <w:r w:rsidR="00B40B42">
        <w:t>de Cogir</w:t>
      </w:r>
      <w:r w:rsidR="00B527F7">
        <w:t>,</w:t>
      </w:r>
      <w:r w:rsidR="00B40B42">
        <w:t xml:space="preserve"> </w:t>
      </w:r>
      <w:r w:rsidR="00392C9F">
        <w:t>M. Pereira</w:t>
      </w:r>
      <w:r w:rsidR="00B527F7">
        <w:t xml:space="preserve"> </w:t>
      </w:r>
      <w:r w:rsidR="00D00415">
        <w:t xml:space="preserve">ne peut </w:t>
      </w:r>
      <w:r w:rsidR="007A1290">
        <w:t>convaincre le Tribunal de leur existence qu’</w:t>
      </w:r>
      <w:r w:rsidR="00AC007F">
        <w:t>à l’aide de</w:t>
      </w:r>
      <w:r w:rsidR="005770D8">
        <w:t xml:space="preserve"> présomption</w:t>
      </w:r>
      <w:r w:rsidR="001076DE">
        <w:t>s</w:t>
      </w:r>
      <w:r w:rsidR="00AC007F">
        <w:t xml:space="preserve"> de faits graves, précises et concordantes</w:t>
      </w:r>
      <w:r>
        <w:rPr>
          <w:rStyle w:val="Appelnotedebasdep"/>
        </w:rPr>
        <w:footnoteReference w:id="65"/>
      </w:r>
      <w:r w:rsidR="00F91729">
        <w:t>.</w:t>
      </w:r>
      <w:r w:rsidR="004E3B3C">
        <w:t xml:space="preserve"> </w:t>
      </w:r>
      <w:r w:rsidR="00770EB6">
        <w:t xml:space="preserve"> </w:t>
      </w:r>
      <w:r w:rsidR="00392C9F">
        <w:t>M. Pereira</w:t>
      </w:r>
      <w:r w:rsidR="009277B0">
        <w:t xml:space="preserve"> a donc le fardeau </w:t>
      </w:r>
      <w:r w:rsidR="00770EB6">
        <w:t xml:space="preserve">de convaincre </w:t>
      </w:r>
      <w:r w:rsidR="009277B0">
        <w:t xml:space="preserve">le Tribunal </w:t>
      </w:r>
      <w:r w:rsidR="00770EB6">
        <w:t>par les faits prouvés</w:t>
      </w:r>
      <w:r w:rsidR="00A031D5">
        <w:t xml:space="preserve"> </w:t>
      </w:r>
      <w:r w:rsidR="009277B0">
        <w:t xml:space="preserve">de </w:t>
      </w:r>
      <w:r w:rsidR="00770EB6">
        <w:t>l’existence d’un fait qu</w:t>
      </w:r>
      <w:r w:rsidR="00B903B1">
        <w:t>i</w:t>
      </w:r>
      <w:r w:rsidR="00770EB6">
        <w:t xml:space="preserve"> lui n’est pas </w:t>
      </w:r>
      <w:r w:rsidR="00FE0624">
        <w:t>démontré</w:t>
      </w:r>
      <w:r w:rsidR="00770EB6" w:rsidRPr="008816CB">
        <w:t xml:space="preserve">. </w:t>
      </w:r>
      <w:r w:rsidR="000204D6" w:rsidRPr="008816CB">
        <w:t>Pour convainc</w:t>
      </w:r>
      <w:r w:rsidR="005C0D95" w:rsidRPr="008816CB">
        <w:t>r</w:t>
      </w:r>
      <w:r w:rsidR="000204D6" w:rsidRPr="008816CB">
        <w:t xml:space="preserve">e le Tribunal </w:t>
      </w:r>
      <w:r w:rsidR="003F348D" w:rsidRPr="008816CB">
        <w:t>de l’existence d’un fait non prouvé, en l’espèce la pression du Fonds</w:t>
      </w:r>
      <w:r w:rsidR="006D5EC5" w:rsidRPr="008816CB">
        <w:t xml:space="preserve"> pour exclure</w:t>
      </w:r>
      <w:r w:rsidR="006D5EC5">
        <w:t xml:space="preserve"> </w:t>
      </w:r>
      <w:r w:rsidR="00392C9F">
        <w:t>M. Pereira</w:t>
      </w:r>
      <w:r w:rsidR="006D5EC5">
        <w:t xml:space="preserve"> des chantiers</w:t>
      </w:r>
      <w:r w:rsidR="004C1585">
        <w:t xml:space="preserve"> dont ceux de Cogir</w:t>
      </w:r>
      <w:r w:rsidR="003F348D">
        <w:t xml:space="preserve">, </w:t>
      </w:r>
      <w:r w:rsidR="005C0D95">
        <w:t xml:space="preserve">les faits prouvés doivent être </w:t>
      </w:r>
      <w:r w:rsidR="00323E55">
        <w:t xml:space="preserve">graves, précis et concordant </w:t>
      </w:r>
      <w:r w:rsidR="00D773E6">
        <w:t>entraînant ainsi par induction puissant</w:t>
      </w:r>
      <w:r w:rsidR="00AF7A71">
        <w:t>e</w:t>
      </w:r>
      <w:r w:rsidR="00D773E6">
        <w:t xml:space="preserve"> le Tribunal vers une seule conclusion possible soit que </w:t>
      </w:r>
      <w:r w:rsidR="0097049F">
        <w:t>ces</w:t>
      </w:r>
      <w:r w:rsidR="00A23453">
        <w:t xml:space="preserve"> pression</w:t>
      </w:r>
      <w:r w:rsidR="0097049F">
        <w:t>s</w:t>
      </w:r>
      <w:r w:rsidR="00A23453">
        <w:t xml:space="preserve"> provien</w:t>
      </w:r>
      <w:r w:rsidR="0097049F">
        <w:t>nen</w:t>
      </w:r>
      <w:r w:rsidR="00A23453">
        <w:t>t du Fonds</w:t>
      </w:r>
      <w:r w:rsidR="00CC7F7D">
        <w:t>.</w:t>
      </w:r>
      <w:r w:rsidR="00602721">
        <w:t xml:space="preserve"> Démontrer</w:t>
      </w:r>
      <w:r w:rsidR="00183A3A">
        <w:t xml:space="preserve"> que </w:t>
      </w:r>
      <w:r w:rsidR="000E4739">
        <w:t>la pression</w:t>
      </w:r>
      <w:r w:rsidR="00534B47">
        <w:t xml:space="preserve"> </w:t>
      </w:r>
      <w:r w:rsidR="000E4739">
        <w:t>du Fonds sera</w:t>
      </w:r>
      <w:r w:rsidR="00534B47">
        <w:t>i</w:t>
      </w:r>
      <w:r w:rsidR="000E4739">
        <w:t>t vraisemblable</w:t>
      </w:r>
      <w:r w:rsidR="00183A3A">
        <w:t xml:space="preserve"> </w:t>
      </w:r>
      <w:r w:rsidR="00541F1C">
        <w:t>n’est pas suffisant.</w:t>
      </w:r>
      <w:r w:rsidR="00183A3A">
        <w:t xml:space="preserve"> Il faut que tous les éléments factuels </w:t>
      </w:r>
      <w:r w:rsidR="009B11BA">
        <w:t xml:space="preserve">prouvés </w:t>
      </w:r>
      <w:r w:rsidR="00183A3A">
        <w:t xml:space="preserve">convergent vers cette </w:t>
      </w:r>
      <w:r w:rsidR="004D4FFE">
        <w:t>conclusion et vers aucune autre conclusion possible</w:t>
      </w:r>
      <w:r w:rsidR="00380FE7">
        <w:t>.</w:t>
      </w:r>
    </w:p>
    <w:p w14:paraId="071C4E16" w14:textId="77777777" w:rsidR="00AF7A71" w:rsidRDefault="00BD6B34" w:rsidP="00E37868">
      <w:pPr>
        <w:pStyle w:val="paragrapheno"/>
        <w:spacing w:line="240" w:lineRule="auto"/>
      </w:pPr>
      <w:r>
        <w:t xml:space="preserve">Dans </w:t>
      </w:r>
      <w:r w:rsidRPr="00380FE7">
        <w:rPr>
          <w:i/>
          <w:iCs/>
        </w:rPr>
        <w:t xml:space="preserve">Promutuel </w:t>
      </w:r>
      <w:r w:rsidR="000C0FE9" w:rsidRPr="00380FE7">
        <w:rPr>
          <w:i/>
          <w:iCs/>
        </w:rPr>
        <w:t xml:space="preserve">assurance </w:t>
      </w:r>
      <w:r w:rsidRPr="00380FE7">
        <w:rPr>
          <w:i/>
          <w:iCs/>
        </w:rPr>
        <w:t>Boréal</w:t>
      </w:r>
      <w:r w:rsidR="000C0FE9" w:rsidRPr="00380FE7">
        <w:rPr>
          <w:i/>
          <w:iCs/>
        </w:rPr>
        <w:t>e</w:t>
      </w:r>
      <w:r w:rsidR="000C0FE9">
        <w:t xml:space="preserve"> c. </w:t>
      </w:r>
      <w:r w:rsidR="000C0FE9" w:rsidRPr="00380FE7">
        <w:rPr>
          <w:i/>
          <w:iCs/>
        </w:rPr>
        <w:t>McKnight</w:t>
      </w:r>
      <w:r>
        <w:rPr>
          <w:rStyle w:val="Appelnotedebasdep"/>
        </w:rPr>
        <w:footnoteReference w:id="66"/>
      </w:r>
      <w:r w:rsidR="000C0FE9">
        <w:t xml:space="preserve">, la Cour d’appel explique </w:t>
      </w:r>
      <w:r w:rsidR="008E4B86">
        <w:t>ce fardeau de preuve</w:t>
      </w:r>
      <w:r w:rsidR="00AE1FDB">
        <w:t xml:space="preserve">. Dans cette affaire, </w:t>
      </w:r>
      <w:r w:rsidR="00584518">
        <w:t xml:space="preserve">pour avoir gain de cause, </w:t>
      </w:r>
      <w:r w:rsidR="00380FE7">
        <w:t>l’assureur devait</w:t>
      </w:r>
      <w:r w:rsidR="00AF41D2">
        <w:t xml:space="preserve"> démontrer </w:t>
      </w:r>
      <w:r w:rsidR="00584518">
        <w:t>que l’assuré</w:t>
      </w:r>
      <w:r w:rsidR="00DC5B57">
        <w:t>e</w:t>
      </w:r>
      <w:r w:rsidR="00584518">
        <w:t xml:space="preserve"> était l’auteur</w:t>
      </w:r>
      <w:r w:rsidR="00DC5B57">
        <w:t>e</w:t>
      </w:r>
      <w:r w:rsidR="00584518">
        <w:t xml:space="preserve"> </w:t>
      </w:r>
      <w:r w:rsidR="00DC5B57">
        <w:t xml:space="preserve">intentionnelle </w:t>
      </w:r>
      <w:r w:rsidR="00584518">
        <w:t>de l’incendie ayant détruit sa résidence en l’absence de témoin</w:t>
      </w:r>
      <w:r w:rsidR="009F6FD4">
        <w:t xml:space="preserve"> ayant vu l’assuré</w:t>
      </w:r>
      <w:r w:rsidR="009E224A">
        <w:t>e y</w:t>
      </w:r>
      <w:r w:rsidR="009F6FD4">
        <w:t xml:space="preserve"> mettre le feu. </w:t>
      </w:r>
      <w:r w:rsidR="009E224A">
        <w:t>La Cour d’appel s’exprime comme suit :</w:t>
      </w:r>
    </w:p>
    <w:p w14:paraId="63EC4A9A" w14:textId="77777777" w:rsidR="00ED4B96" w:rsidRPr="00BB6F6F" w:rsidRDefault="00BD6B34" w:rsidP="00E37868">
      <w:pPr>
        <w:pStyle w:val="Style-citation"/>
        <w:spacing w:line="240" w:lineRule="auto"/>
      </w:pPr>
      <w:r w:rsidRPr="00BB6F6F">
        <w:lastRenderedPageBreak/>
        <w:t xml:space="preserve">[76] En l’espèce, le fardeau de preuve imposé à l’appelante suppose que celle-ci devait non seulement démontrer que l’incendie avait été causé par un geste de l’intimée, mais aussi que le geste prétendument posé était intentionnel. Au surplus, la thèse mise de l’avant par l’appelante lors du procès devait dépasser le seuil de l’hypothèse, même vraisemblable. </w:t>
      </w:r>
    </w:p>
    <w:p w14:paraId="7AF6E104" w14:textId="77777777" w:rsidR="00BB083B" w:rsidRPr="00BB6F6F" w:rsidRDefault="00BD6B34" w:rsidP="00E37868">
      <w:pPr>
        <w:pStyle w:val="Style-citation"/>
        <w:spacing w:line="240" w:lineRule="auto"/>
      </w:pPr>
      <w:r w:rsidRPr="00BB6F6F">
        <w:t>[77] Dans Barrette c. L’Union canadienne, auquel réfère d’ailleurs la juge de première instance au paragraphe 6 du jugement, la Cour citait Larombière pour déterminer ce qu’est une présomption « grave, précise, et concordante » :</w:t>
      </w:r>
    </w:p>
    <w:p w14:paraId="6C2345F2" w14:textId="77777777" w:rsidR="00612B53" w:rsidRPr="00BB6F6F" w:rsidRDefault="00BD6B34" w:rsidP="00E37868">
      <w:pPr>
        <w:pStyle w:val="Style2-citation"/>
        <w:spacing w:line="240" w:lineRule="auto"/>
      </w:pPr>
      <w:r w:rsidRPr="00BB6F6F">
        <w:t xml:space="preserve"> [33] Larombière, encore cité récemment par la Cour, exprime avec une grande acuité ce qu'il faut entendre par des présomptions graves, précises et concordantes : Les présomptions sont graves, lorsque les rapports du fait connu au fait inconnu sont tels que l'existence de l'un établit, par une induction puissante, l'existence de l'autre (…)  </w:t>
      </w:r>
    </w:p>
    <w:p w14:paraId="203F398C" w14:textId="77777777" w:rsidR="00BB6F6F" w:rsidRPr="00BB6F6F" w:rsidRDefault="00BD6B34" w:rsidP="00E37868">
      <w:pPr>
        <w:pStyle w:val="Style2-citation"/>
        <w:spacing w:line="240" w:lineRule="auto"/>
      </w:pPr>
      <w:r w:rsidRPr="00BB6F6F">
        <w:t xml:space="preserve">Les présomptions sont précises, lorsque les inductions qui résultent du fait connu tendent à établir directement et particulièrement le fait inconnu et contesté. S'il était également possible d'en tirer les conséquences différentes et mêmes contraires, d'en inférer l'existence de faits divers et contradictoires, les présomptions n'auraient aucun caractère de précision et ne feraient naître que le doute et l'incertitude. Elles sont enfin concordantes, lorsque, ayant toutes une origine commune ou différente, elles tendent, par leur ensemble et leur accord, à établir le fait qu'il s'agit de prouver… Si … elles se contredisent… et se neutralisent, elles ne sont plus concordantes, et le doute seul peut entrer dans l'esprit du magistrat. </w:t>
      </w:r>
    </w:p>
    <w:p w14:paraId="348F613D" w14:textId="77777777" w:rsidR="00612B53" w:rsidRPr="00BB6F6F" w:rsidRDefault="00BD6B34" w:rsidP="00E37868">
      <w:pPr>
        <w:pStyle w:val="Style-citation"/>
        <w:spacing w:line="240" w:lineRule="auto"/>
      </w:pPr>
      <w:r w:rsidRPr="00BB6F6F">
        <w:t xml:space="preserve">[Caractères gras et soulignements ajoutés] </w:t>
      </w:r>
    </w:p>
    <w:p w14:paraId="7B922F88" w14:textId="77777777" w:rsidR="00BB6F6F" w:rsidRDefault="00BD6B34" w:rsidP="00E37868">
      <w:pPr>
        <w:pStyle w:val="Style-citation"/>
        <w:spacing w:line="240" w:lineRule="auto"/>
      </w:pPr>
      <w:r w:rsidRPr="00BB6F6F">
        <w:t xml:space="preserve">[78] Il est acquis que l’analyse permettant de conclure à l’existence d’une telle présomption de fait se fait en deux étapes : </w:t>
      </w:r>
    </w:p>
    <w:p w14:paraId="32367476" w14:textId="77777777" w:rsidR="00BB6F6F" w:rsidRPr="00AC2E91" w:rsidRDefault="00BD6B34" w:rsidP="00E37868">
      <w:pPr>
        <w:pStyle w:val="Style2-citation"/>
        <w:spacing w:line="240" w:lineRule="auto"/>
        <w:rPr>
          <w:u w:val="single"/>
        </w:rPr>
      </w:pPr>
      <w:r w:rsidRPr="00BB6F6F">
        <w:t xml:space="preserve">[34] </w:t>
      </w:r>
      <w:r w:rsidRPr="00AC2E91">
        <w:rPr>
          <w:u w:val="single"/>
        </w:rPr>
        <w:t xml:space="preserve">L'exercice prévu à l'article 2849 C.c.Q. consiste en deux étapes bien distinctes. La première, établir les faits indiciels. Dans cette première étape, le juge doit, selon la balance des probabilités, retenir de la preuve certains faits qu'il estime prouvés. Dans une deuxième étape, il doit examiner si les faits prouvés et connus l'amènent à conclure, par une induction puissante, que le fait inconnu est démontré. </w:t>
      </w:r>
    </w:p>
    <w:p w14:paraId="6E1E96AD" w14:textId="77777777" w:rsidR="00081228" w:rsidRPr="00AC2E91" w:rsidRDefault="00BD6B34" w:rsidP="00E37868">
      <w:pPr>
        <w:pStyle w:val="Style2-citation"/>
        <w:spacing w:line="240" w:lineRule="auto"/>
        <w:rPr>
          <w:u w:val="single"/>
        </w:rPr>
      </w:pPr>
      <w:r w:rsidRPr="00AC2E91">
        <w:rPr>
          <w:u w:val="single"/>
        </w:rPr>
        <w:t xml:space="preserve">[35] Le juge doit se poser trois questions : </w:t>
      </w:r>
    </w:p>
    <w:p w14:paraId="26875373" w14:textId="77777777" w:rsidR="00081228" w:rsidRPr="00AC2E91" w:rsidRDefault="00BD6B34" w:rsidP="00E37868">
      <w:pPr>
        <w:pStyle w:val="Style2-citation"/>
        <w:spacing w:line="240" w:lineRule="auto"/>
        <w:rPr>
          <w:u w:val="single"/>
        </w:rPr>
      </w:pPr>
      <w:r w:rsidRPr="00AC2E91">
        <w:rPr>
          <w:u w:val="single"/>
        </w:rPr>
        <w:lastRenderedPageBreak/>
        <w:t>1. Le rapport entre les faits connus et le</w:t>
      </w:r>
      <w:r w:rsidR="00A32AF2">
        <w:rPr>
          <w:u w:val="single"/>
        </w:rPr>
        <w:t>s</w:t>
      </w:r>
      <w:r w:rsidRPr="00AC2E91">
        <w:rPr>
          <w:u w:val="single"/>
        </w:rPr>
        <w:t xml:space="preserve"> fait</w:t>
      </w:r>
      <w:r w:rsidR="007B4FAB">
        <w:rPr>
          <w:u w:val="single"/>
        </w:rPr>
        <w:t>s</w:t>
      </w:r>
      <w:r w:rsidRPr="00AC2E91">
        <w:rPr>
          <w:u w:val="single"/>
        </w:rPr>
        <w:t xml:space="preserve"> inconnu</w:t>
      </w:r>
      <w:r w:rsidR="007B4FAB">
        <w:rPr>
          <w:u w:val="single"/>
        </w:rPr>
        <w:t>s,</w:t>
      </w:r>
      <w:r w:rsidRPr="00AC2E91">
        <w:rPr>
          <w:u w:val="single"/>
        </w:rPr>
        <w:t xml:space="preserve"> permet-il</w:t>
      </w:r>
      <w:r w:rsidR="00983B45">
        <w:rPr>
          <w:u w:val="single"/>
        </w:rPr>
        <w:t>,</w:t>
      </w:r>
      <w:r w:rsidRPr="00AC2E91">
        <w:rPr>
          <w:u w:val="single"/>
        </w:rPr>
        <w:t xml:space="preserve"> par induction puissante, de conclure à l'existence de ce dernier? </w:t>
      </w:r>
    </w:p>
    <w:p w14:paraId="30992C22" w14:textId="77777777" w:rsidR="00081228" w:rsidRPr="00AC2E91" w:rsidRDefault="00BD6B34" w:rsidP="00E37868">
      <w:pPr>
        <w:pStyle w:val="Style2-citation"/>
        <w:spacing w:line="240" w:lineRule="auto"/>
        <w:rPr>
          <w:u w:val="single"/>
        </w:rPr>
      </w:pPr>
      <w:r w:rsidRPr="00AC2E91">
        <w:rPr>
          <w:u w:val="single"/>
        </w:rPr>
        <w:t xml:space="preserve">2. Est-il également possible d'en tirer des conséquences différentes ou même contraires? Si c'est le cas, le fardeau n'est pas rencontré. </w:t>
      </w:r>
    </w:p>
    <w:p w14:paraId="7F3EE785" w14:textId="77777777" w:rsidR="00810F4B" w:rsidRPr="00AC2E91" w:rsidRDefault="00BD6B34" w:rsidP="00E37868">
      <w:pPr>
        <w:pStyle w:val="Style2-citation"/>
        <w:spacing w:line="240" w:lineRule="auto"/>
        <w:rPr>
          <w:u w:val="single"/>
        </w:rPr>
      </w:pPr>
      <w:r w:rsidRPr="00AC2E91">
        <w:rPr>
          <w:u w:val="single"/>
        </w:rPr>
        <w:t xml:space="preserve">3. Est-ce que dans leur ensemble, les faits connus tendent à établir directement et précisément le fait inconnu? </w:t>
      </w:r>
    </w:p>
    <w:p w14:paraId="2B44CAFC" w14:textId="77777777" w:rsidR="00541F1C" w:rsidRPr="00147636" w:rsidRDefault="00BD6B34" w:rsidP="00E37868">
      <w:pPr>
        <w:pStyle w:val="Style-citation"/>
        <w:spacing w:line="240" w:lineRule="auto"/>
        <w:rPr>
          <w:i w:val="0"/>
          <w:iCs/>
          <w:sz w:val="24"/>
          <w:szCs w:val="24"/>
        </w:rPr>
      </w:pPr>
      <w:r w:rsidRPr="00147636">
        <w:rPr>
          <w:i w:val="0"/>
          <w:iCs/>
          <w:sz w:val="24"/>
          <w:szCs w:val="24"/>
        </w:rPr>
        <w:t xml:space="preserve">[Soulignement </w:t>
      </w:r>
      <w:r w:rsidR="00AC2E91">
        <w:rPr>
          <w:i w:val="0"/>
          <w:iCs/>
          <w:sz w:val="24"/>
          <w:szCs w:val="24"/>
        </w:rPr>
        <w:t>du Tribunal</w:t>
      </w:r>
      <w:r w:rsidRPr="00147636">
        <w:rPr>
          <w:i w:val="0"/>
          <w:iCs/>
          <w:sz w:val="24"/>
          <w:szCs w:val="24"/>
        </w:rPr>
        <w:t>]</w:t>
      </w:r>
    </w:p>
    <w:p w14:paraId="092BEE28" w14:textId="77777777" w:rsidR="00F91729" w:rsidRPr="007715AE" w:rsidRDefault="00BD6B34" w:rsidP="00E37868">
      <w:pPr>
        <w:pStyle w:val="Style-citation"/>
        <w:spacing w:line="240" w:lineRule="auto"/>
        <w:rPr>
          <w:i w:val="0"/>
          <w:iCs/>
          <w:sz w:val="24"/>
          <w:szCs w:val="24"/>
        </w:rPr>
      </w:pPr>
      <w:r w:rsidRPr="00147636">
        <w:rPr>
          <w:rFonts w:cs="Arial"/>
          <w:i w:val="0"/>
          <w:iCs/>
          <w:sz w:val="24"/>
          <w:szCs w:val="24"/>
        </w:rPr>
        <w:t>[Références omises</w:t>
      </w:r>
      <w:r w:rsidR="007715AE">
        <w:rPr>
          <w:rFonts w:cs="Arial"/>
          <w:i w:val="0"/>
          <w:iCs/>
          <w:sz w:val="24"/>
          <w:szCs w:val="24"/>
        </w:rPr>
        <w:t>]</w:t>
      </w:r>
    </w:p>
    <w:p w14:paraId="755C2861" w14:textId="77777777" w:rsidR="00046F7E" w:rsidRDefault="00BD6B34" w:rsidP="00E37868">
      <w:pPr>
        <w:pStyle w:val="paragrapheno"/>
        <w:spacing w:line="240" w:lineRule="auto"/>
      </w:pPr>
      <w:r>
        <w:t>L</w:t>
      </w:r>
      <w:r w:rsidR="00E35887">
        <w:t>es faits que le Tribunal considère</w:t>
      </w:r>
      <w:r w:rsidR="00773986">
        <w:t xml:space="preserve"> comme</w:t>
      </w:r>
      <w:r w:rsidR="00190DA2">
        <w:t xml:space="preserve"> </w:t>
      </w:r>
      <w:r w:rsidR="00E35887">
        <w:t xml:space="preserve">démontrés </w:t>
      </w:r>
      <w:r w:rsidR="009B11BA">
        <w:t xml:space="preserve">(faits indiciels) </w:t>
      </w:r>
      <w:r w:rsidR="00E35887">
        <w:t xml:space="preserve">et qui </w:t>
      </w:r>
      <w:r w:rsidR="009E7B1F">
        <w:t>sont abordés précédemment</w:t>
      </w:r>
      <w:r w:rsidR="005C0C0E">
        <w:t>,</w:t>
      </w:r>
      <w:r w:rsidR="009E7B1F">
        <w:t xml:space="preserve"> </w:t>
      </w:r>
      <w:r>
        <w:t>pris dans leur ensemble ou individuellement</w:t>
      </w:r>
      <w:r w:rsidR="005C0C0E">
        <w:t>,</w:t>
      </w:r>
      <w:r>
        <w:t xml:space="preserve"> </w:t>
      </w:r>
      <w:r w:rsidR="009E7B1F">
        <w:t>ne permettent pas de conclure que le Fonds a exercé une pression</w:t>
      </w:r>
      <w:r w:rsidR="00541B57">
        <w:t xml:space="preserve"> sur Cogir </w:t>
      </w:r>
      <w:r w:rsidR="009B11BA">
        <w:t>pouss</w:t>
      </w:r>
      <w:r w:rsidR="00541B57">
        <w:t xml:space="preserve">ant celle-ci à se départir des services de M. Pereira ou sur </w:t>
      </w:r>
      <w:r w:rsidR="00864750">
        <w:t>d’autres</w:t>
      </w:r>
      <w:r w:rsidR="00541B57">
        <w:t xml:space="preserve"> </w:t>
      </w:r>
      <w:r w:rsidR="00864750">
        <w:t>employeurs empêchant M. Pereira de travailler sur les chantiers de construction.</w:t>
      </w:r>
    </w:p>
    <w:p w14:paraId="6B8605C0" w14:textId="77777777" w:rsidR="00C7105D" w:rsidRDefault="00BD6B34" w:rsidP="00E37868">
      <w:pPr>
        <w:pStyle w:val="paragrapheno"/>
        <w:spacing w:line="240" w:lineRule="auto"/>
      </w:pPr>
      <w:r>
        <w:t>Les faits prouvés ne permettent pas</w:t>
      </w:r>
      <w:r w:rsidR="009B11BA">
        <w:t>,</w:t>
      </w:r>
      <w:r>
        <w:t xml:space="preserve"> par induction puissante</w:t>
      </w:r>
      <w:r w:rsidR="009B11BA">
        <w:t>,</w:t>
      </w:r>
      <w:r>
        <w:t xml:space="preserve"> de conclure à cette pression de la part du Fonds.</w:t>
      </w:r>
      <w:r w:rsidR="00753687">
        <w:t xml:space="preserve"> </w:t>
      </w:r>
      <w:r>
        <w:t>Le Tribunal estime que les faits prouvés permettent même de tirer</w:t>
      </w:r>
      <w:r w:rsidR="00C00C9A">
        <w:t xml:space="preserve"> des conclusions différentes.</w:t>
      </w:r>
    </w:p>
    <w:p w14:paraId="0F9781FA" w14:textId="77777777" w:rsidR="00A22B58" w:rsidRDefault="00BD6B34" w:rsidP="00E37868">
      <w:pPr>
        <w:pStyle w:val="paragrapheno"/>
        <w:spacing w:line="240" w:lineRule="auto"/>
      </w:pPr>
      <w:r>
        <w:t xml:space="preserve">En effet, </w:t>
      </w:r>
      <w:r w:rsidR="00392C9F">
        <w:t>M. Pereira</w:t>
      </w:r>
      <w:r w:rsidR="00154F92">
        <w:t xml:space="preserve"> reconnaît que </w:t>
      </w:r>
      <w:r>
        <w:t>ses dénonciations, déclarations, divulgations et implications passées</w:t>
      </w:r>
      <w:r w:rsidR="001C2456">
        <w:t xml:space="preserve"> ont fait de lui</w:t>
      </w:r>
      <w:r w:rsidR="00FA7DD6">
        <w:t>,</w:t>
      </w:r>
      <w:r w:rsidR="001C2456">
        <w:t xml:space="preserve"> selon s</w:t>
      </w:r>
      <w:r w:rsidR="00FA7DD6">
        <w:t>a propre expression</w:t>
      </w:r>
      <w:r w:rsidR="001C2456">
        <w:t xml:space="preserve">, </w:t>
      </w:r>
      <w:r w:rsidR="001810FA">
        <w:t>« </w:t>
      </w:r>
      <w:r w:rsidR="001C2456">
        <w:t>l’ennemi n</w:t>
      </w:r>
      <w:r w:rsidR="009C5EEC">
        <w:t>uméro</w:t>
      </w:r>
      <w:r w:rsidR="001C2456">
        <w:t xml:space="preserve"> 1</w:t>
      </w:r>
      <w:r w:rsidR="001810FA">
        <w:t> »</w:t>
      </w:r>
      <w:r w:rsidR="001C2456">
        <w:t xml:space="preserve"> de</w:t>
      </w:r>
      <w:r w:rsidR="008928F4">
        <w:t xml:space="preserve"> de tous les syndicats</w:t>
      </w:r>
      <w:r>
        <w:rPr>
          <w:rStyle w:val="Appelnotedebasdep"/>
        </w:rPr>
        <w:footnoteReference w:id="67"/>
      </w:r>
      <w:r w:rsidR="008928F4">
        <w:t>.</w:t>
      </w:r>
      <w:r w:rsidR="00A01F87" w:rsidRPr="00A01F87">
        <w:t xml:space="preserve"> </w:t>
      </w:r>
      <w:r w:rsidR="00A01F87">
        <w:t xml:space="preserve">Il reconnaît aussi être </w:t>
      </w:r>
      <w:r w:rsidR="001810FA">
        <w:t>« </w:t>
      </w:r>
      <w:r w:rsidR="00A01F87">
        <w:t>l’ennemi n</w:t>
      </w:r>
      <w:r w:rsidR="009C5EEC">
        <w:t>umér</w:t>
      </w:r>
      <w:r w:rsidR="00A01F87">
        <w:t>o</w:t>
      </w:r>
      <w:r w:rsidR="009C5EEC">
        <w:t xml:space="preserve"> </w:t>
      </w:r>
      <w:r w:rsidR="00A01F87">
        <w:t>1</w:t>
      </w:r>
      <w:r w:rsidR="001810FA">
        <w:t> »</w:t>
      </w:r>
      <w:r w:rsidR="00A01F87">
        <w:t xml:space="preserve"> du CPQMC depuis qu’il a dénoncé les irrégularités dans les livres comptable de ce syndicat </w:t>
      </w:r>
      <w:r>
        <w:rPr>
          <w:rStyle w:val="Appelnotedebasdep"/>
        </w:rPr>
        <w:footnoteReference w:id="68"/>
      </w:r>
      <w:r w:rsidR="009C5EEC">
        <w:t>.</w:t>
      </w:r>
    </w:p>
    <w:p w14:paraId="42620499" w14:textId="77777777" w:rsidR="00BA6155" w:rsidRDefault="00BD6B34" w:rsidP="00E37868">
      <w:pPr>
        <w:pStyle w:val="paragrapheno"/>
        <w:spacing w:line="240" w:lineRule="auto"/>
      </w:pPr>
      <w:r>
        <w:t xml:space="preserve">La présence de M. Pereira dans les médias et à la Commission Charbonneau </w:t>
      </w:r>
      <w:r w:rsidR="003D2B3D">
        <w:t>a</w:t>
      </w:r>
      <w:r>
        <w:t xml:space="preserve"> entraîné une certaine notoriété</w:t>
      </w:r>
      <w:r w:rsidR="009B11BA">
        <w:t xml:space="preserve"> et </w:t>
      </w:r>
      <w:r>
        <w:t>il est maintenant connu d’un grand nombre de personnes</w:t>
      </w:r>
      <w:r w:rsidR="003D2B3D">
        <w:t>.</w:t>
      </w:r>
    </w:p>
    <w:p w14:paraId="455744F0" w14:textId="77777777" w:rsidR="00CE5513" w:rsidRDefault="00BD6B34" w:rsidP="00A36E78">
      <w:pPr>
        <w:pStyle w:val="paragrapheno"/>
        <w:spacing w:line="240" w:lineRule="auto"/>
      </w:pPr>
      <w:r>
        <w:t>M. Pereira reconnaît que si un travailleur de la construction l’</w:t>
      </w:r>
      <w:r w:rsidR="005D6584">
        <w:t>aperçoit</w:t>
      </w:r>
      <w:r>
        <w:t xml:space="preserve"> sur un chantier, </w:t>
      </w:r>
      <w:r w:rsidR="009C1380">
        <w:t>ce travailleur</w:t>
      </w:r>
      <w:r>
        <w:t xml:space="preserve"> appellera son syndicat pour </w:t>
      </w:r>
      <w:r w:rsidR="004D2354">
        <w:t xml:space="preserve">dénoncer sa présence </w:t>
      </w:r>
      <w:r>
        <w:t>et ainsi être dans le</w:t>
      </w:r>
      <w:r w:rsidR="00A72573">
        <w:t>s</w:t>
      </w:r>
      <w:r>
        <w:t xml:space="preserve"> bonnes grâces de ce syndicat</w:t>
      </w:r>
      <w:r w:rsidR="00E20FC7">
        <w:t xml:space="preserve">. C’est </w:t>
      </w:r>
      <w:r w:rsidR="00D00B9D">
        <w:t>d’ailleurs</w:t>
      </w:r>
      <w:r w:rsidR="00E20FC7">
        <w:t xml:space="preserve"> ce qui lui est arriv</w:t>
      </w:r>
      <w:r w:rsidR="00D00B9D">
        <w:t>é sur le chantier à l’usine de Kraft</w:t>
      </w:r>
      <w:r w:rsidR="00EC6CDA">
        <w:t>. À sa connaissance</w:t>
      </w:r>
      <w:r w:rsidR="00A9712C">
        <w:t>,</w:t>
      </w:r>
      <w:r w:rsidR="00EC6CDA">
        <w:t xml:space="preserve"> un travailleur membre du CPQMC l’a vu sur ce chantier et ce syndicat a fait pression pour </w:t>
      </w:r>
      <w:r w:rsidR="00A9712C">
        <w:t>qu’il sorte du chantier.</w:t>
      </w:r>
    </w:p>
    <w:p w14:paraId="3FFC7F7B" w14:textId="77777777" w:rsidR="00F0619A" w:rsidRDefault="00BD6B34" w:rsidP="001B4076">
      <w:pPr>
        <w:pStyle w:val="paragrapheno"/>
        <w:spacing w:line="240" w:lineRule="auto"/>
      </w:pPr>
      <w:r>
        <w:lastRenderedPageBreak/>
        <w:t>M. Pereira reconnaît ne plus pouvoir travailler dans l’industrie de la construction au Québec depuis 2009</w:t>
      </w:r>
      <w:r w:rsidR="005B3E14">
        <w:t>,</w:t>
      </w:r>
      <w:r>
        <w:t xml:space="preserve"> soit bien avant son contrat avec Cogir</w:t>
      </w:r>
      <w:r w:rsidR="00A52688">
        <w:t xml:space="preserve"> et l’implication du Fonds avec Cogir</w:t>
      </w:r>
      <w:r>
        <w:t>.</w:t>
      </w:r>
    </w:p>
    <w:p w14:paraId="54B378C9" w14:textId="77777777" w:rsidR="00D0576D" w:rsidRDefault="00BD6B34" w:rsidP="001B4076">
      <w:pPr>
        <w:pStyle w:val="paragrapheno"/>
        <w:spacing w:line="240" w:lineRule="auto"/>
      </w:pPr>
      <w:r>
        <w:t xml:space="preserve">Même si le Tribunal estime que </w:t>
      </w:r>
      <w:r w:rsidR="00D60BAE">
        <w:t xml:space="preserve">la pression </w:t>
      </w:r>
      <w:r w:rsidR="00C6465C">
        <w:t>ressentie</w:t>
      </w:r>
      <w:r w:rsidR="00246DD6">
        <w:t xml:space="preserve"> par M. Leblanc </w:t>
      </w:r>
      <w:r w:rsidR="00D60BAE">
        <w:t>en raison de la présence de M. Pereira sur les chantiers</w:t>
      </w:r>
      <w:r>
        <w:t xml:space="preserve"> ne provient pas des travailleurs, comme mentionné précédemment, q</w:t>
      </w:r>
      <w:r w:rsidR="00D60BAE">
        <w:t>uatre fois dans l’appel du 7 septembre 2018</w:t>
      </w:r>
      <w:r>
        <w:t>,</w:t>
      </w:r>
      <w:r w:rsidR="00D60BAE">
        <w:t xml:space="preserve"> </w:t>
      </w:r>
      <w:r>
        <w:t xml:space="preserve">M. Leblanc </w:t>
      </w:r>
      <w:r w:rsidR="00D60BAE">
        <w:t xml:space="preserve">affirme que </w:t>
      </w:r>
      <w:r w:rsidR="00143A1B">
        <w:t>cette</w:t>
      </w:r>
      <w:r w:rsidR="00D60BAE">
        <w:t xml:space="preserve"> pression ne venait pas du Fonds</w:t>
      </w:r>
      <w:r w:rsidR="00143A1B">
        <w:t xml:space="preserve"> lorsque M.</w:t>
      </w:r>
      <w:r w:rsidR="00D90E50">
        <w:t xml:space="preserve"> </w:t>
      </w:r>
      <w:r w:rsidR="00143A1B">
        <w:t>Pereira y fait allusion</w:t>
      </w:r>
      <w:r w:rsidR="00D60BAE">
        <w:t>.</w:t>
      </w:r>
    </w:p>
    <w:p w14:paraId="042D8E77" w14:textId="77777777" w:rsidR="00EA3F10" w:rsidRDefault="00BD6B34" w:rsidP="001B4076">
      <w:pPr>
        <w:pStyle w:val="paragrapheno"/>
        <w:spacing w:line="240" w:lineRule="auto"/>
      </w:pPr>
      <w:r>
        <w:t>Le Fonds n’est pas une organisation</w:t>
      </w:r>
      <w:r w:rsidR="00E02D1F">
        <w:t xml:space="preserve"> syndicale</w:t>
      </w:r>
      <w:r w:rsidR="00196945">
        <w:t xml:space="preserve"> mais une </w:t>
      </w:r>
      <w:r w:rsidR="00633DDA">
        <w:t>société de capital de risqu</w:t>
      </w:r>
      <w:r w:rsidR="001E3A92">
        <w:t>e.</w:t>
      </w:r>
      <w:r>
        <w:t xml:space="preserve"> </w:t>
      </w:r>
      <w:r w:rsidR="001E3A92">
        <w:t>B</w:t>
      </w:r>
      <w:r w:rsidR="00633DDA">
        <w:t>ien qu’une partie de ses administrateurs proviennent des rangs de la FTQ</w:t>
      </w:r>
      <w:r w:rsidR="001E3A92">
        <w:t xml:space="preserve">, </w:t>
      </w:r>
      <w:r w:rsidR="005D5722">
        <w:t>le Tribunal ne peut</w:t>
      </w:r>
      <w:r w:rsidR="00C4060A">
        <w:t>,</w:t>
      </w:r>
      <w:r w:rsidR="005D5722">
        <w:t xml:space="preserve"> </w:t>
      </w:r>
      <w:r w:rsidR="00E13176">
        <w:t xml:space="preserve">en l’absence de preuve, </w:t>
      </w:r>
      <w:r w:rsidR="005D5722">
        <w:t xml:space="preserve">faire l’amalgame que </w:t>
      </w:r>
      <w:r w:rsidR="00641F78">
        <w:t xml:space="preserve">propose </w:t>
      </w:r>
      <w:r w:rsidR="005D5722">
        <w:t xml:space="preserve">M. Pereira entre le Fonds, la FTQ-Construction, la FTQ et même le Fonds immobilier. </w:t>
      </w:r>
    </w:p>
    <w:p w14:paraId="62BF1DBB" w14:textId="77777777" w:rsidR="001D6025" w:rsidRDefault="00BD6B34" w:rsidP="001B4076">
      <w:pPr>
        <w:pStyle w:val="paragrapheno"/>
        <w:spacing w:line="240" w:lineRule="auto"/>
      </w:pPr>
      <w:r>
        <w:t>Quoique M. Pereira plaide que Éric Boisjoly</w:t>
      </w:r>
      <w:r w:rsidR="00983B45">
        <w:t>,</w:t>
      </w:r>
      <w:r>
        <w:t xml:space="preserve"> directeur général de la FTQ-Construction, est aussi un administrateur du Fonds</w:t>
      </w:r>
      <w:r w:rsidR="000E5012">
        <w:t>, il</w:t>
      </w:r>
      <w:r w:rsidR="00EA3F10">
        <w:t xml:space="preserve"> ne</w:t>
      </w:r>
      <w:r w:rsidR="000E5012">
        <w:t xml:space="preserve"> l’est que</w:t>
      </w:r>
      <w:r>
        <w:t xml:space="preserve"> depuis 2019</w:t>
      </w:r>
      <w:r>
        <w:rPr>
          <w:rStyle w:val="Appelnotedebasdep"/>
        </w:rPr>
        <w:footnoteReference w:id="69"/>
      </w:r>
      <w:r>
        <w:t>, soit après la fin de la relation entre Cogir et M. Pereira</w:t>
      </w:r>
      <w:r w:rsidR="00EA3F10">
        <w:t xml:space="preserve"> et même s’il l’avait été avant cela ne démontre pas que le Fonds est contrôlé par la FTQ-Construction</w:t>
      </w:r>
      <w:r w:rsidR="0054552A">
        <w:t xml:space="preserve"> et qu’il y a osmose entre ces deux entités</w:t>
      </w:r>
      <w:r>
        <w:t>.</w:t>
      </w:r>
    </w:p>
    <w:p w14:paraId="58E4791B" w14:textId="77777777" w:rsidR="003030A0" w:rsidRDefault="00BD6B34" w:rsidP="003030A0">
      <w:pPr>
        <w:pStyle w:val="paragrapheno"/>
        <w:spacing w:line="240" w:lineRule="auto"/>
      </w:pPr>
      <w:r>
        <w:t>Même s’il est fort plausible que les dirigeants de la FTQ-Construction n’aient pas pardonné à M. Pereira ses divulgations concernant un des leurs</w:t>
      </w:r>
      <w:r w:rsidR="005C0C0E">
        <w:t>,</w:t>
      </w:r>
      <w:r>
        <w:t xml:space="preserve"> Jocelyn Dupuis</w:t>
      </w:r>
      <w:r w:rsidR="00FF002A">
        <w:t>,</w:t>
      </w:r>
      <w:r>
        <w:t xml:space="preserve"> ses divulgations à la Commission Charbonneau</w:t>
      </w:r>
      <w:r w:rsidR="00A21952">
        <w:t xml:space="preserve"> et ses autres implications mentionnées précédemment</w:t>
      </w:r>
      <w:r>
        <w:t xml:space="preserve">, la preuve ne démontre pas l’infiltration </w:t>
      </w:r>
      <w:r w:rsidR="006A6FAB">
        <w:t>ou encore</w:t>
      </w:r>
      <w:r>
        <w:t xml:space="preserve"> le contrôle du Fonds par la FTQ-Construction </w:t>
      </w:r>
      <w:r w:rsidR="00E259F0">
        <w:t xml:space="preserve">ou la FTQ </w:t>
      </w:r>
      <w:r w:rsidR="006A6FAB">
        <w:t>comme l’</w:t>
      </w:r>
      <w:r>
        <w:t>allègue M. Pereira. C’est une chose d’alléguer que le Fonds est la marionnette de la FTQ, encore faut-il le prouver et M. Pereira n’a présenté aucune preuve à cet égard.</w:t>
      </w:r>
    </w:p>
    <w:p w14:paraId="5006E968" w14:textId="77777777" w:rsidR="00EA3F10" w:rsidRDefault="00BD6B34" w:rsidP="001B4076">
      <w:pPr>
        <w:pStyle w:val="paragrapheno"/>
        <w:spacing w:line="240" w:lineRule="auto"/>
      </w:pPr>
      <w:r>
        <w:t xml:space="preserve">Le Fonds est régi par la </w:t>
      </w:r>
      <w:r w:rsidRPr="005C0C0E">
        <w:rPr>
          <w:i/>
          <w:iCs/>
        </w:rPr>
        <w:t>Loi</w:t>
      </w:r>
      <w:r w:rsidR="00F628AA" w:rsidRPr="005C0C0E">
        <w:rPr>
          <w:i/>
          <w:iCs/>
        </w:rPr>
        <w:t xml:space="preserve"> constituant le Fonds de solidarit</w:t>
      </w:r>
      <w:r w:rsidR="00A666BB" w:rsidRPr="005C0C0E">
        <w:rPr>
          <w:i/>
          <w:iCs/>
        </w:rPr>
        <w:t>é des travailleurs et des travailleuses du Québec (FTQ)</w:t>
      </w:r>
      <w:r>
        <w:rPr>
          <w:rStyle w:val="Appelnotedebasdep"/>
        </w:rPr>
        <w:footnoteReference w:id="70"/>
      </w:r>
      <w:r w:rsidR="00FC6F6F">
        <w:t xml:space="preserve">. </w:t>
      </w:r>
      <w:r w:rsidR="000E5012">
        <w:t>Selon cette loi</w:t>
      </w:r>
      <w:r w:rsidR="005C0C0E">
        <w:t>,</w:t>
      </w:r>
      <w:r w:rsidR="000E5012">
        <w:t xml:space="preserve"> les administrateurs ne proviennent pas en majorité des rangs de la FTQ.</w:t>
      </w:r>
      <w:r w:rsidR="00E45B83" w:rsidRPr="00E45B83">
        <w:t xml:space="preserve"> </w:t>
      </w:r>
    </w:p>
    <w:p w14:paraId="34352A80" w14:textId="77777777" w:rsidR="00EA3F10" w:rsidRDefault="00BD6B34" w:rsidP="001B4076">
      <w:pPr>
        <w:pStyle w:val="paragrapheno"/>
        <w:spacing w:line="240" w:lineRule="auto"/>
      </w:pPr>
      <w:r>
        <w:t>Enfin</w:t>
      </w:r>
      <w:r w:rsidR="00412AB1">
        <w:t>,</w:t>
      </w:r>
      <w:r>
        <w:t xml:space="preserve"> même si M. Pereira plaide </w:t>
      </w:r>
      <w:r w:rsidR="00827472">
        <w:t>que</w:t>
      </w:r>
      <w:r>
        <w:t xml:space="preserve"> dans le rapport Lesage on mentionne que la FTQ et le Fonds sont les deux faces d’une même médaille</w:t>
      </w:r>
      <w:r>
        <w:rPr>
          <w:rStyle w:val="Appelnotedebasdep"/>
        </w:rPr>
        <w:footnoteReference w:id="71"/>
      </w:r>
      <w:r>
        <w:t>, le Tribunal constate que 20 ans se sont écoulés depuis</w:t>
      </w:r>
      <w:r w:rsidR="00A554CA">
        <w:t xml:space="preserve"> ce rapport</w:t>
      </w:r>
      <w:r>
        <w:t xml:space="preserve">. De plus, </w:t>
      </w:r>
      <w:r w:rsidR="00A554CA">
        <w:t>depuis</w:t>
      </w:r>
      <w:r>
        <w:t xml:space="preserve">, la loi constituant le Fonds a été modifiée notamment quant à la composition du conseil d’administration. </w:t>
      </w:r>
    </w:p>
    <w:p w14:paraId="76AC43AB" w14:textId="77777777" w:rsidR="00EA3F10" w:rsidRDefault="00BD6B34" w:rsidP="001B4076">
      <w:pPr>
        <w:pStyle w:val="paragrapheno"/>
        <w:spacing w:line="240" w:lineRule="auto"/>
      </w:pPr>
      <w:r>
        <w:t>D’ailleurs, en 2015, le rapport de la Commission Charbonneau conclut quant au Fonds notamment que</w:t>
      </w:r>
      <w:r w:rsidR="00640DEB">
        <w:t> </w:t>
      </w:r>
      <w:r>
        <w:rPr>
          <w:rStyle w:val="Appelnotedebasdep"/>
        </w:rPr>
        <w:footnoteReference w:id="72"/>
      </w:r>
      <w:r w:rsidR="00640DEB">
        <w:t>:</w:t>
      </w:r>
    </w:p>
    <w:p w14:paraId="49ACE8C9" w14:textId="77777777" w:rsidR="00640DEB" w:rsidRPr="00C21B6F" w:rsidRDefault="00BD6B34" w:rsidP="001B4076">
      <w:pPr>
        <w:pStyle w:val="Style-citation"/>
        <w:spacing w:line="240" w:lineRule="auto"/>
      </w:pPr>
      <w:r w:rsidRPr="00C21B6F">
        <w:lastRenderedPageBreak/>
        <w:t xml:space="preserve"> Les travaux de la Commission ont mis en lumière des tentatives de personnes liées à des organisations criminelles d’obtenir du financement du Fonds de solidarité FTQ (FSFTQ). </w:t>
      </w:r>
    </w:p>
    <w:p w14:paraId="096B55FE" w14:textId="77777777" w:rsidR="00640DEB" w:rsidRDefault="00BD6B34" w:rsidP="001B4076">
      <w:pPr>
        <w:pStyle w:val="Style-citation"/>
        <w:spacing w:line="240" w:lineRule="auto"/>
      </w:pPr>
      <w:r w:rsidRPr="00C21B6F">
        <w:t>Alerté dès 2009, le Fonds lui-même a pris des actions pour lutter contre ces tentatives. En 2015, une loi a aussi veillé à renforcer la gouvernance des fonds de travailleurs dont les actions donnent droit à un crédit d’impôt. Les modifications législatives assurent que la majorité des membres du conseil d’administration seront des personnes indépendantes du fonds lui-même et du syndicat auquel il est associé</w:t>
      </w:r>
      <w:r w:rsidR="005C0C0E">
        <w:t>.</w:t>
      </w:r>
    </w:p>
    <w:p w14:paraId="75CEA51F" w14:textId="77777777" w:rsidR="00640DEB" w:rsidRDefault="00BD6B34" w:rsidP="001B4076">
      <w:pPr>
        <w:pStyle w:val="paragrapheno"/>
        <w:spacing w:line="240" w:lineRule="auto"/>
      </w:pPr>
      <w:r>
        <w:t>Le Tribunal ne peut tirer l’inférence comme le souhaite M. Pereira que le Fonds, la FTQ et la FTQ-Construction ne font qu’un.</w:t>
      </w:r>
    </w:p>
    <w:p w14:paraId="13A18AC7" w14:textId="77777777" w:rsidR="00204E35" w:rsidRDefault="00BD6B34" w:rsidP="001B4076">
      <w:pPr>
        <w:pStyle w:val="paragrapheno"/>
        <w:spacing w:line="240" w:lineRule="auto"/>
      </w:pPr>
      <w:r>
        <w:t>Par ailleurs, l</w:t>
      </w:r>
      <w:r w:rsidR="002E65F6">
        <w:t xml:space="preserve">es seuls indices qu’une </w:t>
      </w:r>
      <w:r>
        <w:t>organisation est inconfortable avec la présence de M. Pereira sur les chantiers de Cogir</w:t>
      </w:r>
      <w:r w:rsidR="002E65F6">
        <w:t>, et sans pour autant conclure que les indices sont suffisamment graves, précis et concordants</w:t>
      </w:r>
      <w:r>
        <w:t xml:space="preserve"> pour démontrer qu’</w:t>
      </w:r>
      <w:r w:rsidR="005C0C0E">
        <w:t>i</w:t>
      </w:r>
      <w:r>
        <w:t>l s’agit de pression ayant poussé Cogir à se départir des services de M. Pereira</w:t>
      </w:r>
      <w:r w:rsidR="002E65F6">
        <w:t xml:space="preserve">, concernent le Fonds immobilier </w:t>
      </w:r>
      <w:r w:rsidR="008576FA">
        <w:t>et</w:t>
      </w:r>
      <w:r w:rsidR="002E65F6">
        <w:t xml:space="preserve"> la FTQ-Construction et non le Fonds. </w:t>
      </w:r>
    </w:p>
    <w:p w14:paraId="3755B927" w14:textId="77777777" w:rsidR="007E1DE1" w:rsidRDefault="00BD6B34" w:rsidP="001B4076">
      <w:pPr>
        <w:pStyle w:val="paragrapheno"/>
        <w:spacing w:line="240" w:lineRule="auto"/>
      </w:pPr>
      <w:r>
        <w:t xml:space="preserve">Ces indices proviennent du commentaire de M. Bélanger à M. Duguay concernant M. Pereira et la réponse immédiate de celui-ci </w:t>
      </w:r>
      <w:r w:rsidR="00CA7E06">
        <w:t>laissant croire qu</w:t>
      </w:r>
      <w:r>
        <w:t xml:space="preserve">’il savait que cette présence pouvait devenir </w:t>
      </w:r>
      <w:r w:rsidRPr="00722F43">
        <w:t>un problème</w:t>
      </w:r>
      <w:r w:rsidR="00B91A2C">
        <w:t xml:space="preserve"> pour le </w:t>
      </w:r>
      <w:r w:rsidR="008C1450">
        <w:t>Fonds</w:t>
      </w:r>
      <w:r w:rsidR="00B91A2C">
        <w:t xml:space="preserve"> immob</w:t>
      </w:r>
      <w:r w:rsidR="005B3E14">
        <w:t>i</w:t>
      </w:r>
      <w:r w:rsidR="00B91A2C">
        <w:t>lier</w:t>
      </w:r>
      <w:r w:rsidR="00CA7557" w:rsidRPr="00722F43">
        <w:t>.</w:t>
      </w:r>
      <w:r w:rsidR="00CA7557">
        <w:t xml:space="preserve"> </w:t>
      </w:r>
    </w:p>
    <w:p w14:paraId="6EACE43B" w14:textId="77777777" w:rsidR="005C0C0E" w:rsidRDefault="00BD6B34" w:rsidP="001B4076">
      <w:pPr>
        <w:pStyle w:val="paragrapheno"/>
        <w:spacing w:line="240" w:lineRule="auto"/>
      </w:pPr>
      <w:r w:rsidRPr="004C2D54">
        <w:t>Pour le Fond</w:t>
      </w:r>
      <w:r w:rsidR="005B6BA9">
        <w:t>s</w:t>
      </w:r>
      <w:r w:rsidRPr="004C2D54">
        <w:t xml:space="preserve"> immobilier</w:t>
      </w:r>
      <w:r>
        <w:t>,</w:t>
      </w:r>
      <w:r w:rsidRPr="004C2D54">
        <w:t xml:space="preserve"> il semble que la présence de </w:t>
      </w:r>
      <w:r>
        <w:t>M. Pereira</w:t>
      </w:r>
      <w:r w:rsidRPr="004C2D54">
        <w:t xml:space="preserve"> cause </w:t>
      </w:r>
      <w:r w:rsidR="008576FA">
        <w:t>à tout le moins un inconfort</w:t>
      </w:r>
      <w:r w:rsidRPr="004C2D54">
        <w:t xml:space="preserve">. Il est </w:t>
      </w:r>
      <w:r w:rsidR="008576FA">
        <w:t xml:space="preserve">en effet </w:t>
      </w:r>
      <w:r w:rsidRPr="004C2D54">
        <w:t>difficile de conclure autrement lorsque c’est le président</w:t>
      </w:r>
      <w:r w:rsidR="00B13B8A">
        <w:t>-</w:t>
      </w:r>
      <w:r w:rsidR="00B74F77">
        <w:t>directeur général</w:t>
      </w:r>
      <w:r w:rsidRPr="004C2D54">
        <w:t xml:space="preserve"> du </w:t>
      </w:r>
      <w:r w:rsidR="008C1450">
        <w:t>Fonds</w:t>
      </w:r>
      <w:r w:rsidRPr="004C2D54">
        <w:t xml:space="preserve"> immobilier </w:t>
      </w:r>
      <w:r w:rsidR="004B4C98" w:rsidRPr="004C2D54">
        <w:t xml:space="preserve">lui-même </w:t>
      </w:r>
      <w:r w:rsidRPr="004C2D54">
        <w:t xml:space="preserve">qui </w:t>
      </w:r>
      <w:r w:rsidR="007E1DE1">
        <w:t>soulève la question</w:t>
      </w:r>
      <w:r w:rsidRPr="004C2D54">
        <w:t xml:space="preserve"> de la présence</w:t>
      </w:r>
      <w:r w:rsidRPr="00A8680C">
        <w:t xml:space="preserve"> </w:t>
      </w:r>
      <w:r w:rsidRPr="004C2D54">
        <w:t xml:space="preserve">de </w:t>
      </w:r>
      <w:r>
        <w:t>M. Pereira</w:t>
      </w:r>
      <w:r w:rsidRPr="004C2D54">
        <w:t xml:space="preserve"> sur les chantiers de Cogir </w:t>
      </w:r>
      <w:r>
        <w:t>alors qu</w:t>
      </w:r>
      <w:r w:rsidR="00722F43">
        <w:t>e ce dernier</w:t>
      </w:r>
      <w:r>
        <w:t xml:space="preserve"> </w:t>
      </w:r>
      <w:r w:rsidR="008576FA">
        <w:t>n’</w:t>
      </w:r>
      <w:r>
        <w:t>y est que</w:t>
      </w:r>
      <w:r w:rsidRPr="004C2D54">
        <w:t xml:space="preserve"> depuis à peine deux mois. </w:t>
      </w:r>
    </w:p>
    <w:p w14:paraId="79BCAE2E" w14:textId="77777777" w:rsidR="005C0C0E" w:rsidRDefault="00BD6B34" w:rsidP="001B4076">
      <w:pPr>
        <w:pStyle w:val="paragrapheno"/>
        <w:spacing w:line="240" w:lineRule="auto"/>
      </w:pPr>
      <w:r>
        <w:t xml:space="preserve">Les indices </w:t>
      </w:r>
      <w:r w:rsidR="007A7971">
        <w:t>que la présence de M. Pe</w:t>
      </w:r>
      <w:r w:rsidR="000E3758">
        <w:t xml:space="preserve">reira rend inconfortable le </w:t>
      </w:r>
      <w:r w:rsidR="008C1450">
        <w:t>Fonds</w:t>
      </w:r>
      <w:r w:rsidR="000E3758">
        <w:t xml:space="preserve"> immobilier et la FTQ-Construction et non le Fonds</w:t>
      </w:r>
      <w:r w:rsidR="001D6F15">
        <w:t xml:space="preserve"> </w:t>
      </w:r>
      <w:r>
        <w:t>proviennent aussi </w:t>
      </w:r>
      <w:r w:rsidR="00D64F7B">
        <w:t>notamment</w:t>
      </w:r>
      <w:r w:rsidR="002D51A8">
        <w:t xml:space="preserve"> </w:t>
      </w:r>
      <w:r>
        <w:t>:</w:t>
      </w:r>
    </w:p>
    <w:p w14:paraId="56731990" w14:textId="77777777" w:rsidR="00FF5DF1" w:rsidRDefault="00BD6B34" w:rsidP="00FF5DF1">
      <w:pPr>
        <w:pStyle w:val="Puce1"/>
      </w:pPr>
      <w:r>
        <w:t xml:space="preserve">Du fait que le Fonds Immobilier est le partenaire financier sur deux chantiers de Cogir où M. Pereira </w:t>
      </w:r>
      <w:r w:rsidR="00BC6265">
        <w:t>a</w:t>
      </w:r>
      <w:r>
        <w:t xml:space="preserve"> travaill</w:t>
      </w:r>
      <w:r w:rsidR="00BC0741">
        <w:t>é</w:t>
      </w:r>
      <w:r>
        <w:t>;</w:t>
      </w:r>
    </w:p>
    <w:p w14:paraId="18A89716" w14:textId="77777777" w:rsidR="005C0C0E" w:rsidRDefault="00BD6B34" w:rsidP="005C0C0E">
      <w:pPr>
        <w:pStyle w:val="Puce1"/>
      </w:pPr>
      <w:r>
        <w:t>De la conversation entre M. Leblanc et M. Pereira le 9 septembre 2019, alors que le premier affirme que les chose</w:t>
      </w:r>
      <w:r w:rsidR="00BC0741">
        <w:t>s</w:t>
      </w:r>
      <w:r>
        <w:t xml:space="preserve"> vont s’améliorer pour M. Pereira quand M. Bélanger, le président du Fonds immobilier prendra sa retraite;</w:t>
      </w:r>
    </w:p>
    <w:p w14:paraId="16B8DE71" w14:textId="77777777" w:rsidR="005C0C0E" w:rsidRDefault="00BD6B34" w:rsidP="005C0C0E">
      <w:pPr>
        <w:pStyle w:val="Puce1"/>
      </w:pPr>
      <w:r>
        <w:lastRenderedPageBreak/>
        <w:t>De l’échange de</w:t>
      </w:r>
      <w:r w:rsidR="002E65F6">
        <w:t xml:space="preserve"> courriel</w:t>
      </w:r>
      <w:r>
        <w:t>s</w:t>
      </w:r>
      <w:r w:rsidR="002E65F6">
        <w:t xml:space="preserve"> entre Éric Perreault et M. Leblanc alors que ce dernier dit au premier de ne pas informer le Fonds immobilier (</w:t>
      </w:r>
      <w:r w:rsidR="002E65F6" w:rsidRPr="007E3AB4">
        <w:rPr>
          <w:i/>
          <w:iCs/>
        </w:rPr>
        <w:t>investisseur FTQ</w:t>
      </w:r>
      <w:r w:rsidR="002E65F6">
        <w:t>) de la présence de M. Pereira sur le chantier Unicité</w:t>
      </w:r>
      <w:r>
        <w:rPr>
          <w:rStyle w:val="Appelnotedebasdep"/>
        </w:rPr>
        <w:footnoteReference w:id="73"/>
      </w:r>
      <w:r>
        <w:t>,</w:t>
      </w:r>
      <w:r w:rsidR="00515976">
        <w:t xml:space="preserve"> </w:t>
      </w:r>
      <w:r w:rsidR="002E65F6">
        <w:t>et</w:t>
      </w:r>
      <w:r>
        <w:t>;</w:t>
      </w:r>
    </w:p>
    <w:p w14:paraId="4D3A5869" w14:textId="77777777" w:rsidR="002E65F6" w:rsidRDefault="00BD6B34" w:rsidP="005C0C0E">
      <w:pPr>
        <w:pStyle w:val="Puce1"/>
      </w:pPr>
      <w:r>
        <w:t xml:space="preserve">De l’échange de M. Pereira avec Simon Duchesne de EBC et Sylvie Vandette de la FTQ-Construction concernant les caméras au chantier Humaniti, dans lequel Simon Duchesne informe M. Pereira que sa présence </w:t>
      </w:r>
      <w:r w:rsidR="00A35FB7">
        <w:t>crée</w:t>
      </w:r>
      <w:r>
        <w:t xml:space="preserve"> un inconfort chez la FTQ-Construction</w:t>
      </w:r>
      <w:r>
        <w:rPr>
          <w:rStyle w:val="Appelnotedebasdep"/>
        </w:rPr>
        <w:footnoteReference w:id="74"/>
      </w:r>
      <w:r>
        <w:t>;</w:t>
      </w:r>
    </w:p>
    <w:p w14:paraId="525E994C" w14:textId="77777777" w:rsidR="00E7283B" w:rsidRDefault="00BD6B34" w:rsidP="001B4076">
      <w:pPr>
        <w:pStyle w:val="paragrapheno"/>
        <w:spacing w:line="240" w:lineRule="auto"/>
      </w:pPr>
      <w:r>
        <w:t>Bien que plusieurs indices pointent vers le Fonds immobilier</w:t>
      </w:r>
      <w:r w:rsidR="00196982">
        <w:t>, l</w:t>
      </w:r>
      <w:r w:rsidR="002573B2">
        <w:t xml:space="preserve">e Tribunal ne peut non plus faire un amalgame entre le Fonds et le Fonds </w:t>
      </w:r>
      <w:r w:rsidR="00FF5DF1">
        <w:t>I</w:t>
      </w:r>
      <w:r w:rsidR="002573B2">
        <w:t xml:space="preserve">mmobilier comme le souhaite M. Pereira. </w:t>
      </w:r>
    </w:p>
    <w:p w14:paraId="122BDAB2" w14:textId="77777777" w:rsidR="008576FA" w:rsidRDefault="00BD6B34" w:rsidP="001B4076">
      <w:pPr>
        <w:pStyle w:val="paragrapheno"/>
        <w:spacing w:line="240" w:lineRule="auto"/>
      </w:pPr>
      <w:r w:rsidRPr="002573B2">
        <w:t>En l’absence d’autre preuve que le témoignage de M. Aubuchon, le Tribunal se doit de conclure</w:t>
      </w:r>
      <w:r w:rsidR="006413AD">
        <w:t>,</w:t>
      </w:r>
      <w:r w:rsidRPr="002573B2">
        <w:t xml:space="preserve"> contrairement à ce que soutient M. Pereira, </w:t>
      </w:r>
      <w:r>
        <w:t xml:space="preserve">que </w:t>
      </w:r>
      <w:r w:rsidRPr="002573B2">
        <w:t>ces deux entités sont des entités juridiques distinctes.</w:t>
      </w:r>
      <w:r w:rsidRPr="004D6AAD">
        <w:t xml:space="preserve"> </w:t>
      </w:r>
    </w:p>
    <w:p w14:paraId="37718939" w14:textId="77777777" w:rsidR="002573B2" w:rsidRDefault="00BD6B34" w:rsidP="001B4076">
      <w:pPr>
        <w:pStyle w:val="paragrapheno"/>
        <w:spacing w:line="240" w:lineRule="auto"/>
      </w:pPr>
      <w:r w:rsidRPr="004D6AAD">
        <w:t>Bien que</w:t>
      </w:r>
      <w:r>
        <w:t xml:space="preserve"> la deuxième soit la filiale de la première, pour qu’une société mère soit responsable des fautes de sa filiale, s’il y a faute, il faut, en raison du voile corporatif selon lequel toute personne morale distincte a ses propres droits et obligations, que la preuve démontre une domination de la filiale par la corporation mère au point où la filiale n’est que la « </w:t>
      </w:r>
      <w:r w:rsidRPr="008576FA">
        <w:rPr>
          <w:i/>
          <w:iCs/>
        </w:rPr>
        <w:t>marionnette</w:t>
      </w:r>
      <w:r>
        <w:t> » de la compagnie mère ou qu’il y ait osmose entre les deux entités</w:t>
      </w:r>
      <w:r>
        <w:rPr>
          <w:rStyle w:val="Appelnotedebasdep"/>
        </w:rPr>
        <w:footnoteReference w:id="75"/>
      </w:r>
      <w:r>
        <w:t>.</w:t>
      </w:r>
    </w:p>
    <w:p w14:paraId="19AA3024" w14:textId="77777777" w:rsidR="00FF5DF1" w:rsidRDefault="00BD6B34" w:rsidP="001B4076">
      <w:pPr>
        <w:pStyle w:val="paragrapheno"/>
        <w:spacing w:line="240" w:lineRule="auto"/>
      </w:pPr>
      <w:r w:rsidRPr="00936597">
        <w:t>En l’espèce, cette preuve n’est pas faite. Bien que le Tribunal soit conscient que l’extrait du registre des entreprises concernant le Fonds de solidarité</w:t>
      </w:r>
      <w:r>
        <w:rPr>
          <w:rStyle w:val="Appelnotedebasdep"/>
        </w:rPr>
        <w:footnoteReference w:id="76"/>
      </w:r>
      <w:r w:rsidRPr="00936597">
        <w:t xml:space="preserve"> déposé au dossier par M. Pereira et celui concernant le Fonds immobilier</w:t>
      </w:r>
      <w:r>
        <w:rPr>
          <w:rStyle w:val="Appelnotedebasdep"/>
        </w:rPr>
        <w:footnoteReference w:id="77"/>
      </w:r>
      <w:r w:rsidRPr="00936597">
        <w:t xml:space="preserve"> déposé par le Fonds ne soient pas de la même</w:t>
      </w:r>
      <w:r>
        <w:t xml:space="preserve"> date et qu’il soit possible que les administrateurs du Fond</w:t>
      </w:r>
      <w:r w:rsidR="00574264">
        <w:t>s</w:t>
      </w:r>
      <w:r>
        <w:t xml:space="preserve"> immobilier soi</w:t>
      </w:r>
      <w:r w:rsidR="0034205E">
        <w:t>en</w:t>
      </w:r>
      <w:r>
        <w:t xml:space="preserve">t en partie les mêmes personnes que celles siégeant au conseil d’administration du Fonds, la preuve ne démontre pas que le Fonds immobilier est la marionnette du Fonds. </w:t>
      </w:r>
    </w:p>
    <w:p w14:paraId="3105A627" w14:textId="77777777" w:rsidR="00993B8B" w:rsidRDefault="00BD6B34" w:rsidP="001B4076">
      <w:pPr>
        <w:pStyle w:val="paragrapheno"/>
        <w:spacing w:line="240" w:lineRule="auto"/>
      </w:pPr>
      <w:r>
        <w:t xml:space="preserve">M. Louis Aubuchon, directeur investissement du secteur divertissement du Fonds a plutôt décrit, quoique brièvement, la distinction entre les deux entités à l’égard de leur conseil d’administration, leur structure organisationnelle et décisionnelle, leurs équipes de travail, leurs processus d’approbation distincts et philosophies d’investissement différentes de même que leur indépendance quant aux décisions d’investir ou non dans un projet. L’exemple de cette indépendance entre les deux entités se reflète d’ailleurs dans le projet Humaniti où le Fonds immobilier fut un des investisseurs initiaux sans la </w:t>
      </w:r>
      <w:r>
        <w:lastRenderedPageBreak/>
        <w:t>participation du Fonds et lorsque les deux partenaires (Cogir et le Fonds immobilier) ont réalisé qu’une superficie pouvait être développé</w:t>
      </w:r>
      <w:r w:rsidR="009E3BAD">
        <w:t>e</w:t>
      </w:r>
      <w:r>
        <w:t xml:space="preserve"> comme un hôtel, le Fonds de solidarité a été contacté et le processus interne a été mis en branle sans la participation du Fonds immobilier et indépendamment de celui-ci. D’ailleurs</w:t>
      </w:r>
      <w:r w:rsidR="009E3BAD">
        <w:t>,</w:t>
      </w:r>
      <w:r>
        <w:t xml:space="preserve"> aujourd’hui, le Fonds est encore un partenaire de Cogir dans l’hôtel du projet Humaniti alors que la participation du Fonds immobilier a été racheté</w:t>
      </w:r>
      <w:r w:rsidR="002B05F0">
        <w:t>e</w:t>
      </w:r>
      <w:r w:rsidR="008576FA">
        <w:t xml:space="preserve"> par Cogir</w:t>
      </w:r>
      <w:r w:rsidR="000D15EF">
        <w:t xml:space="preserve"> en 2019</w:t>
      </w:r>
      <w:r w:rsidR="008576FA">
        <w:t>.</w:t>
      </w:r>
    </w:p>
    <w:p w14:paraId="40C3EE2D" w14:textId="77777777" w:rsidR="005D7488" w:rsidRPr="00174459" w:rsidRDefault="00BD6B34" w:rsidP="001B4076">
      <w:pPr>
        <w:pStyle w:val="paragrapheno"/>
        <w:spacing w:line="240" w:lineRule="auto"/>
      </w:pPr>
      <w:r w:rsidRPr="00174459">
        <w:t xml:space="preserve">Le Fonds et le Fonds </w:t>
      </w:r>
      <w:r w:rsidR="00FF5DF1">
        <w:t>I</w:t>
      </w:r>
      <w:r w:rsidRPr="00174459">
        <w:t xml:space="preserve">mmobiliers sont deux entités juridiques distinctes et </w:t>
      </w:r>
      <w:r>
        <w:t>M. Pereira</w:t>
      </w:r>
      <w:r w:rsidRPr="00174459">
        <w:t xml:space="preserve"> le sait </w:t>
      </w:r>
      <w:r>
        <w:t>puisque c’est indiqué</w:t>
      </w:r>
      <w:r w:rsidR="008576FA">
        <w:t>,</w:t>
      </w:r>
      <w:r>
        <w:t xml:space="preserve"> entre autres</w:t>
      </w:r>
      <w:r w:rsidR="008576FA">
        <w:t>,</w:t>
      </w:r>
      <w:r>
        <w:t xml:space="preserve"> dans la défense du Fonds </w:t>
      </w:r>
      <w:r w:rsidRPr="00174459">
        <w:t>et</w:t>
      </w:r>
      <w:r w:rsidR="008576FA">
        <w:t xml:space="preserve"> il</w:t>
      </w:r>
      <w:r w:rsidRPr="00174459">
        <w:t xml:space="preserve"> a choisi de ne pas appeler le Fond</w:t>
      </w:r>
      <w:r>
        <w:t>s</w:t>
      </w:r>
      <w:r w:rsidRPr="00174459">
        <w:t xml:space="preserve"> immobilier comme défendeur</w:t>
      </w:r>
      <w:r>
        <w:t xml:space="preserve">, de ne pas interroger hors cour M. Bélanger et de ne pas l’assigner comme témoin sachant que celui-ci </w:t>
      </w:r>
      <w:r w:rsidR="00FD4601">
        <w:t>a</w:t>
      </w:r>
      <w:r>
        <w:t xml:space="preserve"> parl</w:t>
      </w:r>
      <w:r w:rsidR="002B05F0">
        <w:t>é</w:t>
      </w:r>
      <w:r>
        <w:t xml:space="preserve"> de lui avec M. Duguay puisque ce fait est allégué dans la défense de Cogir;</w:t>
      </w:r>
    </w:p>
    <w:p w14:paraId="3794FD2E" w14:textId="77777777" w:rsidR="00D053F0" w:rsidRDefault="00BD6B34" w:rsidP="001B4076">
      <w:pPr>
        <w:pStyle w:val="paragrapheno"/>
        <w:spacing w:line="240" w:lineRule="auto"/>
      </w:pPr>
      <w:r>
        <w:t>D</w:t>
      </w:r>
      <w:r w:rsidR="001B7137">
        <w:t xml:space="preserve">ans leur ensemble les faits établissent que M. Leblanc a </w:t>
      </w:r>
      <w:r w:rsidR="00AC244B">
        <w:t>subi</w:t>
      </w:r>
      <w:r w:rsidR="001B7137">
        <w:t xml:space="preserve"> de la pression </w:t>
      </w:r>
      <w:r w:rsidR="00AC244B">
        <w:t xml:space="preserve">qui l’a </w:t>
      </w:r>
      <w:r w:rsidR="008316C9">
        <w:t>amené</w:t>
      </w:r>
      <w:r w:rsidR="00AC244B">
        <w:t xml:space="preserve"> à choisir de se départir de </w:t>
      </w:r>
      <w:r w:rsidR="00392C9F">
        <w:t>M. Pereira</w:t>
      </w:r>
      <w:r w:rsidR="00CA66E2">
        <w:t xml:space="preserve">, </w:t>
      </w:r>
      <w:r w:rsidR="001B7137">
        <w:t xml:space="preserve">mais </w:t>
      </w:r>
      <w:r w:rsidR="008576FA">
        <w:t>ces faits</w:t>
      </w:r>
      <w:r w:rsidR="0030553E">
        <w:t xml:space="preserve"> n’établissent pas directement et précisément que cette pression </w:t>
      </w:r>
      <w:r w:rsidR="00041D67">
        <w:t>provient</w:t>
      </w:r>
      <w:r w:rsidR="0030553E">
        <w:t xml:space="preserve"> du Fonds. Au contraire, </w:t>
      </w:r>
      <w:r w:rsidR="00041D67">
        <w:t>les seules organisations pointées</w:t>
      </w:r>
      <w:r w:rsidR="00B04DEC">
        <w:t xml:space="preserve"> par la preuve </w:t>
      </w:r>
      <w:r w:rsidR="008576FA">
        <w:t>d’où pourrait émaner la pression</w:t>
      </w:r>
      <w:r w:rsidR="00B04DEC">
        <w:t xml:space="preserve"> </w:t>
      </w:r>
      <w:r w:rsidR="004B218E">
        <w:t xml:space="preserve">sur Cogir </w:t>
      </w:r>
      <w:r w:rsidR="00CE56DB">
        <w:t>sont</w:t>
      </w:r>
      <w:r w:rsidR="00B04DEC">
        <w:t xml:space="preserve"> le Fonds immobilier</w:t>
      </w:r>
      <w:r w:rsidR="008576FA">
        <w:t xml:space="preserve"> </w:t>
      </w:r>
      <w:r w:rsidR="00B04DEC">
        <w:t>ou encore la FTQ</w:t>
      </w:r>
      <w:r w:rsidR="00F53CB4">
        <w:t>-C</w:t>
      </w:r>
      <w:r w:rsidR="00B04DEC">
        <w:t>onstruction</w:t>
      </w:r>
      <w:r w:rsidR="008316C9">
        <w:t xml:space="preserve">, toutes </w:t>
      </w:r>
      <w:r w:rsidR="00FF5DF1">
        <w:t xml:space="preserve">deux </w:t>
      </w:r>
      <w:r w:rsidR="008316C9">
        <w:t>des entités juridiques di</w:t>
      </w:r>
      <w:r w:rsidR="0013580C">
        <w:t>stinctes</w:t>
      </w:r>
      <w:r w:rsidR="008316C9">
        <w:t xml:space="preserve"> du Fonds.</w:t>
      </w:r>
      <w:r w:rsidR="00212D09">
        <w:t xml:space="preserve"> </w:t>
      </w:r>
    </w:p>
    <w:p w14:paraId="69C19677" w14:textId="77777777" w:rsidR="001062E7" w:rsidRPr="00D209F0" w:rsidRDefault="00BD6B34" w:rsidP="001B4076">
      <w:pPr>
        <w:pStyle w:val="paragrapheno"/>
        <w:spacing w:line="240" w:lineRule="auto"/>
      </w:pPr>
      <w:r>
        <w:t>D</w:t>
      </w:r>
      <w:r w:rsidR="00B10932">
        <w:t>e</w:t>
      </w:r>
      <w:r>
        <w:t xml:space="preserve"> plus, la preuve ne démontre pas que la pression était</w:t>
      </w:r>
      <w:r w:rsidR="0013580C">
        <w:t xml:space="preserve"> t</w:t>
      </w:r>
      <w:r>
        <w:t xml:space="preserve">elle que Cogir </w:t>
      </w:r>
      <w:r w:rsidR="004353DC">
        <w:t>n’avait d’autre choix que</w:t>
      </w:r>
      <w:r>
        <w:t xml:space="preserve"> se départir de </w:t>
      </w:r>
      <w:r w:rsidR="00392C9F">
        <w:t>M. Pereira</w:t>
      </w:r>
      <w:r>
        <w:t>.</w:t>
      </w:r>
      <w:r w:rsidR="00D209F0">
        <w:t xml:space="preserve"> Le Tribunal retient plutôt de la </w:t>
      </w:r>
      <w:r w:rsidR="00D209F0" w:rsidRPr="008568BD">
        <w:t>preuve</w:t>
      </w:r>
      <w:r w:rsidRPr="008568BD">
        <w:t xml:space="preserve"> que M. Leblanc a choisi de ne pas faire face</w:t>
      </w:r>
      <w:r w:rsidR="00B5066E">
        <w:t xml:space="preserve"> </w:t>
      </w:r>
      <w:r w:rsidR="003B1076">
        <w:t>à</w:t>
      </w:r>
      <w:r w:rsidR="00B5066E">
        <w:t xml:space="preserve"> la pression</w:t>
      </w:r>
      <w:r w:rsidR="003B1076">
        <w:t>,</w:t>
      </w:r>
      <w:r w:rsidRPr="008568BD">
        <w:t xml:space="preserve"> aux questions et inconfort</w:t>
      </w:r>
      <w:r w:rsidR="002B05F0">
        <w:t>s</w:t>
      </w:r>
      <w:r w:rsidRPr="008568BD">
        <w:t xml:space="preserve"> que </w:t>
      </w:r>
      <w:r w:rsidR="001A07C6" w:rsidRPr="008568BD">
        <w:t xml:space="preserve">soulevait la présence de </w:t>
      </w:r>
      <w:r w:rsidR="00392C9F">
        <w:t>M. Pereira</w:t>
      </w:r>
      <w:r w:rsidR="001A07C6" w:rsidRPr="008568BD">
        <w:t xml:space="preserve">. Il a </w:t>
      </w:r>
      <w:r w:rsidR="008568BD" w:rsidRPr="008568BD">
        <w:t>préféré</w:t>
      </w:r>
      <w:r w:rsidR="00D87C6C" w:rsidRPr="008568BD">
        <w:t xml:space="preserve"> ne pas avoir </w:t>
      </w:r>
      <w:r w:rsidR="00E67477">
        <w:t>à</w:t>
      </w:r>
      <w:r w:rsidR="00D87C6C" w:rsidRPr="008568BD">
        <w:t xml:space="preserve"> gérer cette </w:t>
      </w:r>
      <w:r w:rsidR="008568BD" w:rsidRPr="008568BD">
        <w:t>situation et mettre</w:t>
      </w:r>
      <w:r w:rsidR="008568BD">
        <w:t xml:space="preserve"> fin à la relation avec </w:t>
      </w:r>
      <w:r w:rsidR="00392C9F">
        <w:t>M. Pereira</w:t>
      </w:r>
      <w:r w:rsidR="008568BD">
        <w:t>.</w:t>
      </w:r>
    </w:p>
    <w:p w14:paraId="42B63B62" w14:textId="77777777" w:rsidR="00E139E5" w:rsidRDefault="00BD6B34" w:rsidP="001B4076">
      <w:pPr>
        <w:pStyle w:val="paragrapheno"/>
        <w:spacing w:line="240" w:lineRule="auto"/>
      </w:pPr>
      <w:r>
        <w:t xml:space="preserve">Par ailleurs, </w:t>
      </w:r>
      <w:r w:rsidR="00392C9F">
        <w:t>M. Pereira</w:t>
      </w:r>
      <w:r>
        <w:t xml:space="preserve"> n’a administré aucune preuve </w:t>
      </w:r>
      <w:r w:rsidR="00372CA5">
        <w:t xml:space="preserve">démontrant </w:t>
      </w:r>
      <w:r w:rsidR="00703C38">
        <w:t>que le Fond</w:t>
      </w:r>
      <w:r w:rsidR="00BF4F18">
        <w:t>s l</w:t>
      </w:r>
      <w:r w:rsidR="005E70A6">
        <w:t>’</w:t>
      </w:r>
      <w:r w:rsidR="002E4EE8">
        <w:t>empêche</w:t>
      </w:r>
      <w:r w:rsidR="005E70A6">
        <w:t xml:space="preserve"> </w:t>
      </w:r>
      <w:r w:rsidR="002E4EE8">
        <w:t xml:space="preserve">de </w:t>
      </w:r>
      <w:r w:rsidR="00041D67">
        <w:t>travailler</w:t>
      </w:r>
      <w:r w:rsidR="002E4EE8">
        <w:t xml:space="preserve"> dans l</w:t>
      </w:r>
      <w:r w:rsidR="00041D67">
        <w:t>’</w:t>
      </w:r>
      <w:r w:rsidR="002E4EE8">
        <w:t xml:space="preserve">industrie de la construction au Québec </w:t>
      </w:r>
      <w:r w:rsidR="00000873">
        <w:t>en général</w:t>
      </w:r>
      <w:r w:rsidR="00DA2BDE">
        <w:t xml:space="preserve"> </w:t>
      </w:r>
      <w:r w:rsidR="002E4EE8">
        <w:t>et même ailleurs au Can</w:t>
      </w:r>
      <w:r w:rsidR="00A376A6">
        <w:t>a</w:t>
      </w:r>
      <w:r w:rsidR="002E4EE8">
        <w:t xml:space="preserve">da. </w:t>
      </w:r>
      <w:r>
        <w:t xml:space="preserve">La preuve </w:t>
      </w:r>
      <w:r w:rsidR="00372CA5">
        <w:t xml:space="preserve">dans le présent dossier </w:t>
      </w:r>
      <w:r>
        <w:t>a porté pr</w:t>
      </w:r>
      <w:r w:rsidR="00204CBA">
        <w:t>esqu</w:t>
      </w:r>
      <w:r w:rsidR="001D7C4F">
        <w:t xml:space="preserve">e </w:t>
      </w:r>
      <w:r w:rsidR="00204CBA">
        <w:t>exclusivement</w:t>
      </w:r>
      <w:r>
        <w:t xml:space="preserve"> sur des faits entourant </w:t>
      </w:r>
      <w:r w:rsidR="00372CA5">
        <w:t xml:space="preserve">les chantiers de </w:t>
      </w:r>
      <w:r>
        <w:t xml:space="preserve">Cogir. </w:t>
      </w:r>
    </w:p>
    <w:p w14:paraId="6410E482" w14:textId="77777777" w:rsidR="00E2476A" w:rsidRDefault="00BD6B34" w:rsidP="001B4076">
      <w:pPr>
        <w:pStyle w:val="paragrapheno"/>
        <w:spacing w:line="240" w:lineRule="auto"/>
      </w:pPr>
      <w:r>
        <w:t>En effet, à par</w:t>
      </w:r>
      <w:r w:rsidR="00C75B29">
        <w:t>t</w:t>
      </w:r>
      <w:r>
        <w:t xml:space="preserve"> </w:t>
      </w:r>
      <w:r w:rsidR="00C75B29">
        <w:t>la</w:t>
      </w:r>
      <w:r>
        <w:t xml:space="preserve"> r</w:t>
      </w:r>
      <w:r w:rsidR="006C2F34">
        <w:t>e</w:t>
      </w:r>
      <w:r>
        <w:t>l</w:t>
      </w:r>
      <w:r w:rsidR="00C75B29">
        <w:t>a</w:t>
      </w:r>
      <w:r>
        <w:t>tion avec Cogir</w:t>
      </w:r>
      <w:r w:rsidR="00C75B29">
        <w:t>,</w:t>
      </w:r>
      <w:r>
        <w:t xml:space="preserve"> </w:t>
      </w:r>
      <w:r w:rsidR="00392C9F">
        <w:t>M. Pereira</w:t>
      </w:r>
      <w:r>
        <w:t xml:space="preserve"> témoigne d’un seul autre emploi dans l’industrie de la construction </w:t>
      </w:r>
      <w:r w:rsidR="004D6831">
        <w:t>qu’</w:t>
      </w:r>
      <w:r>
        <w:t xml:space="preserve">il a dû quitter. </w:t>
      </w:r>
      <w:r w:rsidR="005C0D20">
        <w:t>C’est</w:t>
      </w:r>
      <w:r>
        <w:t xml:space="preserve"> l’emploi chez Kraft et ce n’est ni le </w:t>
      </w:r>
      <w:r w:rsidR="00DA2BDE">
        <w:t>F</w:t>
      </w:r>
      <w:r>
        <w:t>ond</w:t>
      </w:r>
      <w:r w:rsidR="00DA2BDE">
        <w:t>s, ni le Fonds immobilier</w:t>
      </w:r>
      <w:r>
        <w:t xml:space="preserve"> ni la FTQ construction qui a mis de la pression mais </w:t>
      </w:r>
      <w:r w:rsidR="00564238">
        <w:t xml:space="preserve">selon lui </w:t>
      </w:r>
      <w:r>
        <w:t>c’est le CPQMC</w:t>
      </w:r>
      <w:r w:rsidR="00564238">
        <w:t>, un syndicat rival de la FTQ-Construction</w:t>
      </w:r>
      <w:r w:rsidR="00510CCC">
        <w:t>.</w:t>
      </w:r>
      <w:r w:rsidR="008C64D5">
        <w:t xml:space="preserve"> </w:t>
      </w:r>
      <w:r w:rsidR="00FE630B">
        <w:t>De plus,</w:t>
      </w:r>
      <w:r w:rsidR="00F50041">
        <w:t xml:space="preserve"> </w:t>
      </w:r>
      <w:r w:rsidR="00FE630B">
        <w:t>il</w:t>
      </w:r>
      <w:r w:rsidR="008C64D5">
        <w:t xml:space="preserve"> ne démontre pas le nombre d’application</w:t>
      </w:r>
      <w:r w:rsidR="00CA1615">
        <w:t>s</w:t>
      </w:r>
      <w:r w:rsidR="008C64D5">
        <w:t xml:space="preserve"> qu’il a fait </w:t>
      </w:r>
      <w:r w:rsidR="0076781A">
        <w:t xml:space="preserve">après </w:t>
      </w:r>
      <w:r w:rsidR="00F50041">
        <w:t xml:space="preserve">la fin de son contrat avec </w:t>
      </w:r>
      <w:r w:rsidR="0076781A">
        <w:t xml:space="preserve">Cogir </w:t>
      </w:r>
      <w:r w:rsidR="008C64D5">
        <w:t xml:space="preserve">pour </w:t>
      </w:r>
      <w:r w:rsidR="0076781A">
        <w:t xml:space="preserve">obtenir </w:t>
      </w:r>
      <w:r w:rsidR="008C64D5">
        <w:t>un po</w:t>
      </w:r>
      <w:r w:rsidR="0076781A">
        <w:t>s</w:t>
      </w:r>
      <w:r w:rsidR="008C64D5">
        <w:t>te de mécanicien industriel</w:t>
      </w:r>
      <w:r w:rsidR="0076781A">
        <w:t>, de</w:t>
      </w:r>
      <w:r w:rsidR="008C64D5">
        <w:t xml:space="preserve"> surintendant ou </w:t>
      </w:r>
      <w:r w:rsidR="00826F6C">
        <w:t xml:space="preserve">un </w:t>
      </w:r>
      <w:r w:rsidR="008C64D5">
        <w:t>autre poste dans l</w:t>
      </w:r>
      <w:r w:rsidR="00DB3F4B">
        <w:t>’</w:t>
      </w:r>
      <w:r w:rsidR="008C64D5">
        <w:t>industrie de la construction</w:t>
      </w:r>
      <w:r w:rsidR="00DB3F4B">
        <w:t>. Peut-être que ces efforts aurai</w:t>
      </w:r>
      <w:r w:rsidR="00E63608">
        <w:t>en</w:t>
      </w:r>
      <w:r w:rsidR="00DB3F4B">
        <w:t>t été vain</w:t>
      </w:r>
      <w:r w:rsidR="008576FA">
        <w:t>s</w:t>
      </w:r>
      <w:r w:rsidR="00DB3F4B">
        <w:t>, mais le Tribunal n’e</w:t>
      </w:r>
      <w:r w:rsidR="00E63608">
        <w:t>n</w:t>
      </w:r>
      <w:r w:rsidR="00DB3F4B">
        <w:t xml:space="preserve"> a aucune preuve</w:t>
      </w:r>
      <w:r w:rsidR="00E63608">
        <w:t>.</w:t>
      </w:r>
    </w:p>
    <w:p w14:paraId="771B3B1F" w14:textId="77777777" w:rsidR="00861F4F" w:rsidRDefault="00BD6B34" w:rsidP="001B4076">
      <w:pPr>
        <w:pStyle w:val="paragrapheno"/>
        <w:spacing w:line="240" w:lineRule="auto"/>
      </w:pPr>
      <w:r>
        <w:t>I</w:t>
      </w:r>
      <w:r w:rsidR="003D1F94">
        <w:t>l n’y a pas de pre</w:t>
      </w:r>
      <w:r w:rsidR="001D134B">
        <w:t>u</w:t>
      </w:r>
      <w:r w:rsidR="003D1F94">
        <w:t>ve de faits précis, con</w:t>
      </w:r>
      <w:r w:rsidR="00C17DBD">
        <w:t>c</w:t>
      </w:r>
      <w:r w:rsidR="003D1F94">
        <w:t>o</w:t>
      </w:r>
      <w:r w:rsidR="001D134B">
        <w:t>rdants et grave</w:t>
      </w:r>
      <w:r w:rsidR="00C17DBD">
        <w:t>s</w:t>
      </w:r>
      <w:r w:rsidR="001D134B">
        <w:t xml:space="preserve"> démontrant </w:t>
      </w:r>
      <w:r w:rsidR="00804A94">
        <w:t xml:space="preserve">que </w:t>
      </w:r>
      <w:r w:rsidR="00A76D8A">
        <w:t>le</w:t>
      </w:r>
      <w:r w:rsidR="00804A94">
        <w:t xml:space="preserve"> Fonds</w:t>
      </w:r>
      <w:r w:rsidR="00A76D8A">
        <w:t xml:space="preserve"> a fait pression sur Cogir et </w:t>
      </w:r>
      <w:r w:rsidR="00826F6C">
        <w:t xml:space="preserve">sur </w:t>
      </w:r>
      <w:r w:rsidR="00A76D8A">
        <w:t>d’autres employeur</w:t>
      </w:r>
      <w:r w:rsidR="00CA1615">
        <w:t>s</w:t>
      </w:r>
      <w:r w:rsidR="00A76D8A">
        <w:t xml:space="preserve"> </w:t>
      </w:r>
      <w:r>
        <w:t xml:space="preserve">empêchant ainsi </w:t>
      </w:r>
      <w:r w:rsidR="00392C9F">
        <w:t>M. Pereira</w:t>
      </w:r>
      <w:r>
        <w:t xml:space="preserve"> de travailler sur un chantier de construction.</w:t>
      </w:r>
      <w:r w:rsidR="00BD75AB">
        <w:t xml:space="preserve"> Ajoutons que dans ses représentations en réplique, M. Pereira</w:t>
      </w:r>
      <w:r w:rsidR="00377A02">
        <w:t xml:space="preserve"> reconnaît </w:t>
      </w:r>
      <w:r w:rsidR="000600C0">
        <w:t>que</w:t>
      </w:r>
      <w:r w:rsidR="00377A02">
        <w:t xml:space="preserve"> le Fonds ne </w:t>
      </w:r>
      <w:r w:rsidR="000600C0">
        <w:t xml:space="preserve">le </w:t>
      </w:r>
      <w:r w:rsidR="00377A02">
        <w:t>connaît pas</w:t>
      </w:r>
      <w:r w:rsidR="000600C0">
        <w:t>.</w:t>
      </w:r>
      <w:r w:rsidR="00377A02">
        <w:t xml:space="preserve"> </w:t>
      </w:r>
    </w:p>
    <w:p w14:paraId="6AB803AE" w14:textId="77777777" w:rsidR="008A68F2" w:rsidRDefault="00BD6B34" w:rsidP="001B4076">
      <w:pPr>
        <w:pStyle w:val="paragrapheno"/>
        <w:spacing w:line="240" w:lineRule="auto"/>
      </w:pPr>
      <w:r>
        <w:lastRenderedPageBreak/>
        <w:t>Il y a certes un malaise avec la présence de M. Pereira sur les chantiers de Cogir mais le Tribunal</w:t>
      </w:r>
      <w:r w:rsidR="001D7752">
        <w:t xml:space="preserve"> ne peut</w:t>
      </w:r>
      <w:r w:rsidR="00FF5DF1">
        <w:t>, selon</w:t>
      </w:r>
      <w:r w:rsidR="001D7752">
        <w:t xml:space="preserve"> la preuve administrée</w:t>
      </w:r>
      <w:r w:rsidR="00FF5DF1">
        <w:t>,</w:t>
      </w:r>
      <w:r w:rsidR="001D7752">
        <w:t xml:space="preserve"> tirer l’inférence que</w:t>
      </w:r>
      <w:r w:rsidR="00FF5DF1">
        <w:t xml:space="preserve"> ce soit</w:t>
      </w:r>
      <w:r w:rsidR="001D7752">
        <w:t xml:space="preserve"> le</w:t>
      </w:r>
      <w:r w:rsidR="00883FE4">
        <w:t xml:space="preserve"> fait du</w:t>
      </w:r>
      <w:r w:rsidR="001D7752">
        <w:t xml:space="preserve"> Fonds</w:t>
      </w:r>
      <w:r w:rsidR="00B929B3">
        <w:t>.</w:t>
      </w:r>
    </w:p>
    <w:p w14:paraId="307207F3" w14:textId="77777777" w:rsidR="00B929B3" w:rsidRDefault="00BD6B34" w:rsidP="001B4076">
      <w:pPr>
        <w:pStyle w:val="paragrapheno"/>
        <w:spacing w:line="240" w:lineRule="auto"/>
      </w:pPr>
      <w:r>
        <w:t>Le présent jugement ne conclut pas que M. Pereira n’est pas victime d’une vendetta comme il le croit</w:t>
      </w:r>
      <w:r w:rsidR="006A7EF5">
        <w:t xml:space="preserve">. </w:t>
      </w:r>
      <w:r w:rsidR="005816FB">
        <w:t>Toutefois, la preuve tel</w:t>
      </w:r>
      <w:r w:rsidR="00CA1615">
        <w:t>le</w:t>
      </w:r>
      <w:r w:rsidR="005816FB">
        <w:t xml:space="preserve"> que présentée ne démontre pas</w:t>
      </w:r>
      <w:r w:rsidR="00FB0012">
        <w:t xml:space="preserve"> que</w:t>
      </w:r>
      <w:r w:rsidR="00B91055">
        <w:t xml:space="preserve"> cette vendetta </w:t>
      </w:r>
      <w:r w:rsidR="00EB7C90">
        <w:t>émanerait</w:t>
      </w:r>
      <w:r w:rsidR="00FB0012">
        <w:t xml:space="preserve"> du Fonds.</w:t>
      </w:r>
      <w:r w:rsidR="00441086">
        <w:t xml:space="preserve"> </w:t>
      </w:r>
    </w:p>
    <w:p w14:paraId="21A7B1AC" w14:textId="77777777" w:rsidR="00055E21" w:rsidRDefault="00BD6B34" w:rsidP="001B4076">
      <w:pPr>
        <w:pStyle w:val="paragrapheno"/>
        <w:spacing w:line="240" w:lineRule="auto"/>
      </w:pPr>
      <w:r>
        <w:t xml:space="preserve">M. </w:t>
      </w:r>
      <w:r w:rsidR="00533C93">
        <w:t>Pereira</w:t>
      </w:r>
      <w:r>
        <w:t xml:space="preserve"> cl</w:t>
      </w:r>
      <w:r w:rsidR="00CF3538">
        <w:t>ôt</w:t>
      </w:r>
      <w:r>
        <w:t xml:space="preserve"> sa réplique avec ces mots forts à propos : « </w:t>
      </w:r>
      <w:r w:rsidRPr="007D5F16">
        <w:rPr>
          <w:i/>
          <w:iCs/>
        </w:rPr>
        <w:t>J’ai fait un petit bout de l’histoire et ça me suit jusqu’à aujourd’hui </w:t>
      </w:r>
      <w:r>
        <w:t>»</w:t>
      </w:r>
      <w:r w:rsidR="007D5F16">
        <w:t>.</w:t>
      </w:r>
      <w:r w:rsidR="00F23D67" w:rsidRPr="00F23D67">
        <w:t xml:space="preserve"> </w:t>
      </w:r>
      <w:r w:rsidR="00F23D67">
        <w:t>Rappelons également que M. Pereira considère lui-même que les syndicats en général ne l’aiment pas.</w:t>
      </w:r>
    </w:p>
    <w:p w14:paraId="3957D665" w14:textId="77777777" w:rsidR="00050CB8" w:rsidRDefault="00BD6B34" w:rsidP="001B4076">
      <w:pPr>
        <w:pStyle w:val="paragrapheno"/>
        <w:spacing w:line="240" w:lineRule="auto"/>
      </w:pPr>
      <w:r>
        <w:t>La conclusion du Tribunal voulant que M. Pereira ne fa</w:t>
      </w:r>
      <w:r w:rsidR="00E577D7">
        <w:t>sse</w:t>
      </w:r>
      <w:r>
        <w:t xml:space="preserve"> pas la preuve de pression</w:t>
      </w:r>
      <w:r w:rsidR="000E5B4C">
        <w:t>s</w:t>
      </w:r>
      <w:r>
        <w:t xml:space="preserve"> de la part du Fonds pour l’empêcher de travailler sur des chantiers et particulièrement ceux de Cogir, entraîne le rejet de son recours sans qu’il soit nécessaire d’aborder les autres questions</w:t>
      </w:r>
      <w:r w:rsidR="00402CFD">
        <w:t>, y compris son recours contre C</w:t>
      </w:r>
      <w:r w:rsidR="0095531F">
        <w:t xml:space="preserve">ogir puisque la seule faute qu’il reproche à Cogir est d’avoir </w:t>
      </w:r>
      <w:r w:rsidR="00637A64">
        <w:t>cédé</w:t>
      </w:r>
      <w:r w:rsidR="0095531F">
        <w:t xml:space="preserve"> aux pressions du Fonds</w:t>
      </w:r>
      <w:r w:rsidR="00637A64">
        <w:t>.</w:t>
      </w:r>
      <w:r>
        <w:t xml:space="preserve"> Toutefois, comme les autres questions ont été abordées par les parties, le Tribunal en disposera brièvement.</w:t>
      </w:r>
    </w:p>
    <w:p w14:paraId="79C8C265" w14:textId="77777777" w:rsidR="000A4F58" w:rsidRPr="002A1297" w:rsidRDefault="00BD6B34" w:rsidP="001B4076">
      <w:pPr>
        <w:pStyle w:val="Titre2"/>
        <w:spacing w:line="240" w:lineRule="auto"/>
      </w:pPr>
      <w:r w:rsidRPr="002A1297">
        <w:t>Le Fonds a-t-il commis une faute?</w:t>
      </w:r>
    </w:p>
    <w:p w14:paraId="25D69780" w14:textId="77777777" w:rsidR="00260F0C" w:rsidRDefault="00BD6B34" w:rsidP="001B4076">
      <w:pPr>
        <w:pStyle w:val="paragrapheno"/>
        <w:spacing w:line="240" w:lineRule="auto"/>
      </w:pPr>
      <w:r>
        <w:t>À la lumière de la preuve qu’il a administrée et de ses représentations, l</w:t>
      </w:r>
      <w:r w:rsidR="00B54D83">
        <w:t>e fondement juridique d</w:t>
      </w:r>
      <w:r w:rsidR="007040BF">
        <w:t>u</w:t>
      </w:r>
      <w:r w:rsidR="00B54D83">
        <w:t xml:space="preserve"> recours de </w:t>
      </w:r>
      <w:r w:rsidR="00392C9F">
        <w:t>M. Pereira</w:t>
      </w:r>
      <w:r w:rsidR="00B54D83">
        <w:t xml:space="preserve"> est difficile à identifier. </w:t>
      </w:r>
      <w:r w:rsidR="00572D82">
        <w:t xml:space="preserve">Sans que cela soit un reproche, </w:t>
      </w:r>
      <w:r w:rsidR="00392C9F">
        <w:t>M. Pereira</w:t>
      </w:r>
      <w:r w:rsidR="00007A6A">
        <w:t xml:space="preserve"> se représentant seul</w:t>
      </w:r>
      <w:r w:rsidR="0031499C">
        <w:t>,</w:t>
      </w:r>
      <w:r w:rsidR="00007A6A">
        <w:t xml:space="preserve"> ne </w:t>
      </w:r>
      <w:r w:rsidR="003A5655">
        <w:t>l’</w:t>
      </w:r>
      <w:r w:rsidR="00007A6A">
        <w:t>a</w:t>
      </w:r>
      <w:r w:rsidR="003A5655">
        <w:t>rticule aucunement de manière juridique</w:t>
      </w:r>
      <w:r w:rsidR="00572D82">
        <w:t xml:space="preserve"> lors de l’audience</w:t>
      </w:r>
      <w:r w:rsidR="003A5655">
        <w:t xml:space="preserve">. </w:t>
      </w:r>
      <w:r w:rsidR="00696E1A">
        <w:t xml:space="preserve">Le </w:t>
      </w:r>
      <w:r>
        <w:t>T</w:t>
      </w:r>
      <w:r w:rsidR="00696E1A">
        <w:t>ribunal abordera</w:t>
      </w:r>
      <w:r w:rsidR="004E196F">
        <w:t xml:space="preserve"> </w:t>
      </w:r>
      <w:r w:rsidR="0031499C">
        <w:t xml:space="preserve">donc </w:t>
      </w:r>
      <w:r w:rsidR="004E196F">
        <w:t>cette question sous l’angle des allégation</w:t>
      </w:r>
      <w:r w:rsidR="00E41C02">
        <w:t>s</w:t>
      </w:r>
      <w:r w:rsidR="004E196F">
        <w:t xml:space="preserve"> d</w:t>
      </w:r>
      <w:r w:rsidR="0031499C">
        <w:t>e</w:t>
      </w:r>
      <w:r w:rsidR="004E196F">
        <w:t xml:space="preserve"> sa demande introductive d’instance modifiée</w:t>
      </w:r>
      <w:r w:rsidR="0031499C">
        <w:t>,</w:t>
      </w:r>
      <w:r w:rsidR="004E196F">
        <w:t xml:space="preserve"> laquelle fut déposée alors qu’un avocat le représentait</w:t>
      </w:r>
      <w:r>
        <w:t>.</w:t>
      </w:r>
    </w:p>
    <w:p w14:paraId="347ED840" w14:textId="77777777" w:rsidR="00B54D83" w:rsidRDefault="00BD6B34" w:rsidP="001B4076">
      <w:pPr>
        <w:pStyle w:val="paragrapheno"/>
        <w:spacing w:line="240" w:lineRule="auto"/>
      </w:pPr>
      <w:r>
        <w:t xml:space="preserve">Il allègue une atteinte de son </w:t>
      </w:r>
      <w:r w:rsidR="00C113BD">
        <w:t>droit à la sureté de sa personne</w:t>
      </w:r>
      <w:r>
        <w:rPr>
          <w:rStyle w:val="Appelnotedebasdep"/>
        </w:rPr>
        <w:footnoteReference w:id="78"/>
      </w:r>
      <w:r w:rsidR="00F92B54">
        <w:t xml:space="preserve"> et </w:t>
      </w:r>
      <w:bookmarkStart w:id="8" w:name="_Hlk194316675"/>
      <w:r w:rsidR="00F92B54">
        <w:t xml:space="preserve">son droit à la sauvegarde et </w:t>
      </w:r>
      <w:r w:rsidR="00545F97">
        <w:t>à</w:t>
      </w:r>
      <w:r w:rsidR="00F92B54">
        <w:t xml:space="preserve"> sa dignité</w:t>
      </w:r>
      <w:bookmarkEnd w:id="8"/>
      <w:r>
        <w:rPr>
          <w:rStyle w:val="Appelnotedebasdep"/>
        </w:rPr>
        <w:footnoteReference w:id="79"/>
      </w:r>
      <w:r w:rsidR="00F43D5D">
        <w:t xml:space="preserve"> </w:t>
      </w:r>
      <w:r w:rsidR="002A46CD">
        <w:t xml:space="preserve">protégés </w:t>
      </w:r>
      <w:r w:rsidR="00F43D5D">
        <w:t>par la Charte</w:t>
      </w:r>
      <w:r w:rsidR="00995C22">
        <w:t>.</w:t>
      </w:r>
      <w:r w:rsidR="00F92B54">
        <w:t xml:space="preserve"> Son recours pourrait également </w:t>
      </w:r>
      <w:r w:rsidR="00C038B3">
        <w:t>se</w:t>
      </w:r>
      <w:r w:rsidR="00D2641D">
        <w:t xml:space="preserve"> fond</w:t>
      </w:r>
      <w:r w:rsidR="00F46116">
        <w:t>er</w:t>
      </w:r>
      <w:r w:rsidR="00D2641D">
        <w:t xml:space="preserve"> sur la responsabilité </w:t>
      </w:r>
      <w:r w:rsidR="002A46CD">
        <w:t>civile</w:t>
      </w:r>
      <w:r w:rsidR="00D2641D">
        <w:t>.</w:t>
      </w:r>
    </w:p>
    <w:p w14:paraId="013AE56C" w14:textId="77777777" w:rsidR="00D2641D" w:rsidRDefault="00BD6B34" w:rsidP="001B4076">
      <w:pPr>
        <w:pStyle w:val="paragrapheno"/>
        <w:spacing w:line="240" w:lineRule="auto"/>
      </w:pPr>
      <w:r>
        <w:t xml:space="preserve">Le </w:t>
      </w:r>
      <w:r w:rsidR="00995C22">
        <w:t>d</w:t>
      </w:r>
      <w:r>
        <w:t xml:space="preserve">roit à la sauvegarde de sa dignité </w:t>
      </w:r>
      <w:r w:rsidR="00F46116">
        <w:t>prévu à l’article 4 de la Charte</w:t>
      </w:r>
      <w:r w:rsidR="00032557">
        <w:t xml:space="preserve"> </w:t>
      </w:r>
      <w:r>
        <w:t>se rapporte à l’</w:t>
      </w:r>
      <w:r w:rsidR="00032557">
        <w:t>h</w:t>
      </w:r>
      <w:r>
        <w:t>umanité de chaque personne</w:t>
      </w:r>
      <w:r w:rsidR="00032557">
        <w:t xml:space="preserve">, aux attributs fondamentaux de </w:t>
      </w:r>
      <w:r w:rsidR="003E6691">
        <w:t>l’être humain</w:t>
      </w:r>
      <w:r w:rsidR="00F773CF">
        <w:t> </w:t>
      </w:r>
      <w:r>
        <w:rPr>
          <w:rStyle w:val="Appelnotedebasdep"/>
        </w:rPr>
        <w:footnoteReference w:id="80"/>
      </w:r>
      <w:r w:rsidR="00F773CF">
        <w:t>:</w:t>
      </w:r>
    </w:p>
    <w:p w14:paraId="4B800F5D" w14:textId="77777777" w:rsidR="00F773CF" w:rsidRDefault="00BD6B34" w:rsidP="001B4076">
      <w:pPr>
        <w:pStyle w:val="Style-citation"/>
        <w:spacing w:line="240" w:lineRule="auto"/>
      </w:pPr>
      <w:r>
        <w:t>[56] Dans l’arrêt St- Ferdinand, notre Cour a conclu que le droit à la sauvegarde de la dignité se rapporte plus exactement à la dignité humaine et protège contre « les atteintes aux attributs fondamentaux de l’être humain qui contreviennent au respect auquel toute personne a droit du seul fait qu’elle est un être humain et au respect qu’elle se doit à elle-</w:t>
      </w:r>
      <w:r w:rsidR="00B05FC4">
        <w:t xml:space="preserve"> </w:t>
      </w:r>
      <w:r>
        <w:t xml:space="preserve">même » </w:t>
      </w:r>
      <w:r>
        <w:lastRenderedPageBreak/>
        <w:t>(par. 105). Autrement dit, l’art. 4 protège non pas chaque personne en tant que telle, mais l’humanité de chaque personne dans ses attributs les plus fo</w:t>
      </w:r>
      <w:r w:rsidR="00E33809">
        <w:t>nd</w:t>
      </w:r>
      <w:r>
        <w:t>amentaux. C’est donc la notion d’humanité qui est au centre du droit à la sauvegarde de la dignité.</w:t>
      </w:r>
      <w:r w:rsidR="00F877E3">
        <w:t xml:space="preserve"> (…)</w:t>
      </w:r>
    </w:p>
    <w:p w14:paraId="0ADA464B" w14:textId="77777777" w:rsidR="00F877E3" w:rsidRDefault="00BD6B34" w:rsidP="001B4076">
      <w:pPr>
        <w:pStyle w:val="Style-citation"/>
        <w:spacing w:line="240" w:lineRule="auto"/>
      </w:pPr>
      <w:r>
        <w:t>[57] (…) Pour contrevenir à l’art. 4 de la Charte québécoise, une conduite doit atteindre un degré de gravité élevé qui ne banalise pas cette notion chargée de sens. Une telle conduite ne saurait faire l’objet d’une appréciation purement subjective. Une</w:t>
      </w:r>
      <w:r w:rsidRPr="00BF00F5">
        <w:t xml:space="preserve"> </w:t>
      </w:r>
      <w:r>
        <w:t>analyse objective s’impose, puisque la dignité « n’a pas pour horizon la protection d’une personne particulière, ni même d’une catégorie de personnes, mais de l’humanité en général » (Fabre- Magnan, p. 21).</w:t>
      </w:r>
    </w:p>
    <w:p w14:paraId="72C77293" w14:textId="77777777" w:rsidR="00252B5B" w:rsidRDefault="00BD6B34" w:rsidP="001B4076">
      <w:pPr>
        <w:pStyle w:val="Style-citation"/>
        <w:spacing w:line="240" w:lineRule="auto"/>
      </w:pPr>
      <w:r>
        <w:rPr>
          <w:rFonts w:cs="Arial"/>
        </w:rPr>
        <w:t xml:space="preserve">[58] (…) </w:t>
      </w:r>
      <w:r>
        <w:t>À la différence de l’art. 5, par exemple, qui confère un droit au respect de la vie privée, l’art. 4 ne permet pas à une personne de réclamer le respect, mais uniquement la sauvegarde de sa dignité, c’est-à-dire la protection contre la négation de sa valeur en tant qu’être humain. Lorsqu’une personne se voit privée de son humanité par l’infliction de traitements qui l’avilissent, l’asservissent, la réifient, l’humilient ou la dégradent, sa dignité est indéniablement bafouée. En ce sens, le droit à la sauvegarde de la dignité constitue un bouclier contre ce type d’atteintes qui ne font pas moins que révolter la conscience de la société.</w:t>
      </w:r>
    </w:p>
    <w:p w14:paraId="68836E9B" w14:textId="77777777" w:rsidR="004A3D40" w:rsidRDefault="00BD6B34" w:rsidP="001B4076">
      <w:pPr>
        <w:pStyle w:val="paragrapheno"/>
        <w:spacing w:line="240" w:lineRule="auto"/>
      </w:pPr>
      <w:r>
        <w:t xml:space="preserve">Le droit </w:t>
      </w:r>
      <w:r w:rsidR="00FF04A2">
        <w:t xml:space="preserve">à la sûreté de la personne </w:t>
      </w:r>
      <w:r w:rsidR="00B02449">
        <w:t xml:space="preserve">prévu à l’article 1 de la Charte </w:t>
      </w:r>
      <w:r w:rsidR="00FF04A2">
        <w:t>réfère à une protection contre les menaces physique</w:t>
      </w:r>
      <w:r w:rsidR="00B05FC4">
        <w:t>s</w:t>
      </w:r>
      <w:r w:rsidR="000979BB">
        <w:t xml:space="preserve"> </w:t>
      </w:r>
      <w:r w:rsidR="00A83779">
        <w:t>sérieuse</w:t>
      </w:r>
      <w:r w:rsidR="00F12D1F">
        <w:t>s</w:t>
      </w:r>
      <w:r w:rsidR="00A83779">
        <w:t xml:space="preserve"> sans que la vie soit nécessairement menac</w:t>
      </w:r>
      <w:r w:rsidR="008A0F7F">
        <w:t>ée</w:t>
      </w:r>
      <w:r>
        <w:rPr>
          <w:rStyle w:val="Appelnotedebasdep"/>
        </w:rPr>
        <w:footnoteReference w:id="81"/>
      </w:r>
      <w:r w:rsidR="00774FFA">
        <w:t>.</w:t>
      </w:r>
    </w:p>
    <w:p w14:paraId="15371E3B" w14:textId="77777777" w:rsidR="004F4009" w:rsidRDefault="00BD6B34" w:rsidP="001B4076">
      <w:pPr>
        <w:pStyle w:val="paragrapheno"/>
        <w:spacing w:line="240" w:lineRule="auto"/>
      </w:pPr>
      <w:r>
        <w:t xml:space="preserve">Même si le Tribunal </w:t>
      </w:r>
      <w:r w:rsidR="002E4F09">
        <w:t>a</w:t>
      </w:r>
      <w:r>
        <w:t xml:space="preserve">vait </w:t>
      </w:r>
      <w:r w:rsidR="00AA0601">
        <w:t xml:space="preserve">conclu que le Fonds empêchait </w:t>
      </w:r>
      <w:r w:rsidR="00392C9F">
        <w:t>M. Pereira</w:t>
      </w:r>
      <w:r w:rsidR="000F33E6">
        <w:t xml:space="preserve"> de travailler dans l’</w:t>
      </w:r>
      <w:r w:rsidR="00C22F9A">
        <w:t>i</w:t>
      </w:r>
      <w:r w:rsidR="000F33E6">
        <w:t xml:space="preserve">ndustrie de la construction </w:t>
      </w:r>
      <w:r w:rsidR="00AA0601">
        <w:t>pa</w:t>
      </w:r>
      <w:r w:rsidR="000F33E6">
        <w:t>r</w:t>
      </w:r>
      <w:r w:rsidR="00AA0601">
        <w:t xml:space="preserve"> différentes tactiques</w:t>
      </w:r>
      <w:r w:rsidR="00C22F9A">
        <w:t xml:space="preserve">, </w:t>
      </w:r>
      <w:r w:rsidR="000F33E6">
        <w:t xml:space="preserve">il ne pourrait conclure qu’il s’agit d’une atteinte au droit de </w:t>
      </w:r>
      <w:r w:rsidR="00392C9F">
        <w:t>M. Pereira</w:t>
      </w:r>
      <w:r w:rsidR="000F33E6">
        <w:t xml:space="preserve"> à la sureté de sa person</w:t>
      </w:r>
      <w:r w:rsidR="00C22F9A">
        <w:t>ne ou à</w:t>
      </w:r>
      <w:r w:rsidR="00C22F9A" w:rsidRPr="00C22F9A">
        <w:t xml:space="preserve"> </w:t>
      </w:r>
      <w:r w:rsidR="00C22F9A">
        <w:t>son droit à la sauvegarde et sa dignité</w:t>
      </w:r>
      <w:r w:rsidR="000F33E6">
        <w:t>.</w:t>
      </w:r>
      <w:r w:rsidR="007E10DD">
        <w:t xml:space="preserve"> </w:t>
      </w:r>
    </w:p>
    <w:p w14:paraId="7E8F82D0" w14:textId="77777777" w:rsidR="00C22F9A" w:rsidRDefault="00BD6B34" w:rsidP="001B4076">
      <w:pPr>
        <w:pStyle w:val="paragrapheno"/>
        <w:spacing w:line="240" w:lineRule="auto"/>
      </w:pPr>
      <w:r>
        <w:t xml:space="preserve">Quoique le travail puisse être une composante importante </w:t>
      </w:r>
      <w:r w:rsidR="00EC62CC">
        <w:t>pour</w:t>
      </w:r>
      <w:r>
        <w:t xml:space="preserve"> l’épanouissement de l’être humain,</w:t>
      </w:r>
      <w:r w:rsidR="00EC62CC">
        <w:t xml:space="preserve"> </w:t>
      </w:r>
      <w:r>
        <w:t>la jurisprudence et les auteurs reconnaissent que ces articles de la Charte ne vise</w:t>
      </w:r>
      <w:r w:rsidR="00F12D1F">
        <w:t>nt</w:t>
      </w:r>
      <w:r>
        <w:t xml:space="preserve"> pas à protéger des droits économiques comme celui de travailler ou même de travailler dans un domaine précis</w:t>
      </w:r>
      <w:r>
        <w:rPr>
          <w:rStyle w:val="Appelnotedebasdep"/>
        </w:rPr>
        <w:footnoteReference w:id="82"/>
      </w:r>
      <w:r w:rsidR="00EC62CC">
        <w:t>.</w:t>
      </w:r>
      <w:r>
        <w:t xml:space="preserve"> </w:t>
      </w:r>
      <w:r w:rsidR="00D9383D">
        <w:t xml:space="preserve"> La Charte ne peut </w:t>
      </w:r>
      <w:r w:rsidR="00A632EC">
        <w:t>servi</w:t>
      </w:r>
      <w:r w:rsidR="00CA2BA8">
        <w:t>r</w:t>
      </w:r>
      <w:r w:rsidR="00D9383D">
        <w:t xml:space="preserve"> de fondement au recours de M.</w:t>
      </w:r>
      <w:r w:rsidR="00501340">
        <w:t> </w:t>
      </w:r>
      <w:r w:rsidR="00D9383D">
        <w:t>Pereira entrepris contre le Fonds</w:t>
      </w:r>
      <w:r w:rsidR="002C7927">
        <w:t>.</w:t>
      </w:r>
    </w:p>
    <w:p w14:paraId="629A6D68" w14:textId="77777777" w:rsidR="006B34D0" w:rsidRDefault="00BD6B34" w:rsidP="001B4076">
      <w:pPr>
        <w:pStyle w:val="paragrapheno"/>
        <w:spacing w:line="240" w:lineRule="auto"/>
      </w:pPr>
      <w:r>
        <w:lastRenderedPageBreak/>
        <w:t>Q</w:t>
      </w:r>
      <w:r w:rsidR="002577C5">
        <w:t xml:space="preserve">uant à la responsabilité </w:t>
      </w:r>
      <w:r w:rsidR="00802EB5">
        <w:t>civile</w:t>
      </w:r>
      <w:r w:rsidR="007E7BC1">
        <w:t xml:space="preserve">, </w:t>
      </w:r>
      <w:r w:rsidR="00C41938">
        <w:t>M.</w:t>
      </w:r>
      <w:r w:rsidR="00383FEA">
        <w:t> </w:t>
      </w:r>
      <w:r w:rsidR="00C41938">
        <w:t>Pereira</w:t>
      </w:r>
      <w:r w:rsidR="007E7BC1">
        <w:t xml:space="preserve"> doit démontrer </w:t>
      </w:r>
      <w:r w:rsidR="00BF012B">
        <w:t>la faute</w:t>
      </w:r>
      <w:r>
        <w:t xml:space="preserve"> soit </w:t>
      </w:r>
      <w:r w:rsidR="007E7BC1">
        <w:t>que le comportement du Fonds s’</w:t>
      </w:r>
      <w:r w:rsidR="00E8782E">
        <w:t>écarte</w:t>
      </w:r>
      <w:r w:rsidR="00C41938">
        <w:t xml:space="preserve"> </w:t>
      </w:r>
      <w:r w:rsidR="00690854">
        <w:t>de celui d’une personne raisonnable</w:t>
      </w:r>
      <w:r w:rsidR="00885C96">
        <w:t xml:space="preserve">, prudente et </w:t>
      </w:r>
      <w:r w:rsidR="00BF012B">
        <w:t>diligente</w:t>
      </w:r>
      <w:r w:rsidR="00DA47CB">
        <w:t xml:space="preserve"> placée dans des circonstances semblables</w:t>
      </w:r>
      <w:r w:rsidR="00690854">
        <w:t xml:space="preserve">. </w:t>
      </w:r>
      <w:r>
        <w:t>Il doit ensuite démontrer le préjudice et le lien de causalité entre la faute et le préjudice</w:t>
      </w:r>
      <w:r w:rsidR="003705AF">
        <w:t>.</w:t>
      </w:r>
    </w:p>
    <w:p w14:paraId="596414C2" w14:textId="77777777" w:rsidR="00080193" w:rsidRDefault="00BD6B34" w:rsidP="001B4076">
      <w:pPr>
        <w:pStyle w:val="paragrapheno"/>
        <w:spacing w:line="240" w:lineRule="auto"/>
      </w:pPr>
      <w:r>
        <w:t xml:space="preserve">Même si le Tribunal avait </w:t>
      </w:r>
      <w:r w:rsidR="00580D21">
        <w:t>conclu</w:t>
      </w:r>
      <w:r>
        <w:t xml:space="preserve"> que le Fonds avai</w:t>
      </w:r>
      <w:r w:rsidR="00282048">
        <w:t xml:space="preserve">t exercé </w:t>
      </w:r>
      <w:r w:rsidR="00C76B88">
        <w:t>des pressions</w:t>
      </w:r>
      <w:r w:rsidR="00282048">
        <w:t xml:space="preserve"> sur Cogir pour que cette dernière mette fin aux services de M.</w:t>
      </w:r>
      <w:r w:rsidR="00383FEA">
        <w:t> </w:t>
      </w:r>
      <w:r w:rsidR="00282048">
        <w:t>Pereira</w:t>
      </w:r>
      <w:r w:rsidR="00C756FD">
        <w:t>, le Tribunal n’aurait</w:t>
      </w:r>
      <w:r w:rsidR="0036152C">
        <w:t xml:space="preserve"> pas</w:t>
      </w:r>
      <w:r w:rsidR="00C756FD">
        <w:t xml:space="preserve"> pu conclure automatiquement à une </w:t>
      </w:r>
      <w:r w:rsidR="00E52553">
        <w:t>faute. M.</w:t>
      </w:r>
      <w:r w:rsidR="00383FEA">
        <w:t> </w:t>
      </w:r>
      <w:r w:rsidR="00E52553">
        <w:t xml:space="preserve">Pereira aurait eu à démontrer que </w:t>
      </w:r>
      <w:r w:rsidR="00D27C30">
        <w:t>les agissements</w:t>
      </w:r>
      <w:r w:rsidR="00E52553">
        <w:t xml:space="preserve"> du Fonds s’</w:t>
      </w:r>
      <w:r w:rsidR="00580D21">
        <w:t>écart</w:t>
      </w:r>
      <w:r w:rsidR="00BB3576">
        <w:t>a</w:t>
      </w:r>
      <w:r w:rsidR="00D27C30">
        <w:t>nt</w:t>
      </w:r>
      <w:r w:rsidR="00E52553">
        <w:t xml:space="preserve"> du comportement d’une personne </w:t>
      </w:r>
      <w:r w:rsidR="00580D21">
        <w:t xml:space="preserve">raisonnable </w:t>
      </w:r>
      <w:r w:rsidR="00CA2BA8">
        <w:t>s</w:t>
      </w:r>
      <w:r w:rsidR="00580D21">
        <w:t>ont véritablement</w:t>
      </w:r>
      <w:r w:rsidR="00E46C7F">
        <w:t xml:space="preserve"> la</w:t>
      </w:r>
      <w:r w:rsidR="0037014B">
        <w:t xml:space="preserve"> cause</w:t>
      </w:r>
      <w:r w:rsidR="00C51A4D">
        <w:t xml:space="preserve"> </w:t>
      </w:r>
      <w:r w:rsidR="00E80029">
        <w:t xml:space="preserve">de </w:t>
      </w:r>
      <w:r w:rsidR="00C51A4D">
        <w:t xml:space="preserve">son départ de chez Cogir. </w:t>
      </w:r>
      <w:r w:rsidR="000B6A23">
        <w:t>Si Cogir a simplement refus</w:t>
      </w:r>
      <w:r w:rsidR="00730329">
        <w:t>é</w:t>
      </w:r>
      <w:r w:rsidR="000B6A23">
        <w:t xml:space="preserve"> </w:t>
      </w:r>
      <w:r w:rsidR="0005782F">
        <w:t xml:space="preserve">de faire face à l’inconfort que </w:t>
      </w:r>
      <w:r w:rsidR="003208CC">
        <w:t>crée</w:t>
      </w:r>
      <w:r w:rsidR="0005782F">
        <w:t xml:space="preserve"> la présence de M.</w:t>
      </w:r>
      <w:r w:rsidR="00383FEA">
        <w:t> </w:t>
      </w:r>
      <w:r w:rsidR="003208CC">
        <w:t>Pereira</w:t>
      </w:r>
      <w:r w:rsidR="0005782F">
        <w:t xml:space="preserve"> ou encore a simplement voulu se facilit</w:t>
      </w:r>
      <w:r w:rsidR="00730329">
        <w:t>er</w:t>
      </w:r>
      <w:r w:rsidR="0005782F">
        <w:t xml:space="preserve"> la tâche </w:t>
      </w:r>
      <w:r w:rsidR="003208CC">
        <w:t xml:space="preserve">au niveau de la gestion des chantiers en éliminant un </w:t>
      </w:r>
      <w:r w:rsidR="00730329">
        <w:t>ir</w:t>
      </w:r>
      <w:r w:rsidR="003208CC">
        <w:t>ritant</w:t>
      </w:r>
      <w:r w:rsidR="00E755D7">
        <w:t xml:space="preserve">, </w:t>
      </w:r>
      <w:r w:rsidR="005A2654">
        <w:t xml:space="preserve">il n’en découle pas </w:t>
      </w:r>
      <w:r w:rsidR="00E755D7">
        <w:t>nécessairement</w:t>
      </w:r>
      <w:r w:rsidR="005A2654">
        <w:t xml:space="preserve"> une faute d</w:t>
      </w:r>
      <w:r w:rsidR="00A27820">
        <w:t>u</w:t>
      </w:r>
      <w:r w:rsidR="005A2654">
        <w:t xml:space="preserve"> Fonds.</w:t>
      </w:r>
      <w:r w:rsidR="00D92245">
        <w:t xml:space="preserve"> </w:t>
      </w:r>
      <w:r w:rsidR="004F01AA">
        <w:t>C’est</w:t>
      </w:r>
      <w:r w:rsidR="00D92245">
        <w:t xml:space="preserve"> une </w:t>
      </w:r>
      <w:r w:rsidR="004F01AA">
        <w:t>chose</w:t>
      </w:r>
      <w:r w:rsidR="00D92245">
        <w:t xml:space="preserve"> de dire à un partenaire</w:t>
      </w:r>
      <w:r w:rsidR="00A27820">
        <w:t> :</w:t>
      </w:r>
      <w:r w:rsidR="00DF4D52">
        <w:t xml:space="preserve"> </w:t>
      </w:r>
      <w:r w:rsidR="00D92245">
        <w:t xml:space="preserve">je préfère que cette personne ne soit pas </w:t>
      </w:r>
      <w:r w:rsidR="004F01AA">
        <w:t>impliquée</w:t>
      </w:r>
      <w:r w:rsidR="00D92245">
        <w:t xml:space="preserve"> </w:t>
      </w:r>
      <w:r w:rsidR="00DF4D52">
        <w:t xml:space="preserve">et s’en est une autre </w:t>
      </w:r>
      <w:r w:rsidR="00D92245">
        <w:t>de lui dire</w:t>
      </w:r>
      <w:r w:rsidR="00DF4D52">
        <w:t> :</w:t>
      </w:r>
      <w:r w:rsidR="00D92245">
        <w:t xml:space="preserve"> si cette personne </w:t>
      </w:r>
      <w:r w:rsidR="004F01AA">
        <w:t>demeure impliquée je me retire ou encore, il y aura du grabuge sur les chantiers.</w:t>
      </w:r>
    </w:p>
    <w:p w14:paraId="6F7D387B" w14:textId="77777777" w:rsidR="006B625E" w:rsidRDefault="00BD6B34" w:rsidP="001B4076">
      <w:pPr>
        <w:pStyle w:val="paragrapheno"/>
        <w:spacing w:line="240" w:lineRule="auto"/>
      </w:pPr>
      <w:r>
        <w:t xml:space="preserve">Quant </w:t>
      </w:r>
      <w:r w:rsidR="00C467D8">
        <w:t xml:space="preserve">aux dommages </w:t>
      </w:r>
      <w:r w:rsidR="00B966B5">
        <w:t xml:space="preserve">pécuniaires </w:t>
      </w:r>
      <w:r w:rsidR="000513CC">
        <w:t xml:space="preserve">auxquels le Fonds aurait pu être tenu </w:t>
      </w:r>
      <w:r w:rsidR="00C467D8">
        <w:t xml:space="preserve">dans </w:t>
      </w:r>
      <w:r w:rsidR="00713715">
        <w:t>l’éventualité</w:t>
      </w:r>
      <w:r w:rsidR="00C467D8">
        <w:t xml:space="preserve"> où le </w:t>
      </w:r>
      <w:r w:rsidR="000513CC">
        <w:t xml:space="preserve">Tribunal avait conclu </w:t>
      </w:r>
      <w:r w:rsidR="001B527F">
        <w:t>à</w:t>
      </w:r>
      <w:r w:rsidR="000513CC">
        <w:t xml:space="preserve"> une faute </w:t>
      </w:r>
      <w:r w:rsidR="001B527F">
        <w:t xml:space="preserve">extracontractuelle du </w:t>
      </w:r>
      <w:r w:rsidR="00C467D8">
        <w:t>Fonds</w:t>
      </w:r>
      <w:r w:rsidR="001B527F">
        <w:t>, ils auraient été limit</w:t>
      </w:r>
      <w:r w:rsidR="00081E5D">
        <w:t>és à ceux au</w:t>
      </w:r>
      <w:r w:rsidR="0012703D">
        <w:t>x</w:t>
      </w:r>
      <w:r w:rsidR="00081E5D">
        <w:t>quel</w:t>
      </w:r>
      <w:r w:rsidR="0012703D">
        <w:t>s</w:t>
      </w:r>
      <w:r w:rsidR="00081E5D">
        <w:t xml:space="preserve"> le </w:t>
      </w:r>
      <w:r w:rsidR="007B0A37">
        <w:t>Tribunal</w:t>
      </w:r>
      <w:r w:rsidR="00081E5D">
        <w:t xml:space="preserve"> aurait pu condamn</w:t>
      </w:r>
      <w:r w:rsidR="00D04BCB">
        <w:t>er</w:t>
      </w:r>
      <w:r w:rsidR="00081E5D">
        <w:t xml:space="preserve"> C</w:t>
      </w:r>
      <w:r w:rsidR="001B59B9">
        <w:t>o</w:t>
      </w:r>
      <w:r w:rsidR="00081E5D">
        <w:t>gir.</w:t>
      </w:r>
    </w:p>
    <w:p w14:paraId="31ECB701" w14:textId="77777777" w:rsidR="00D93CE2" w:rsidRPr="00C26E50" w:rsidRDefault="00BD6B34" w:rsidP="001B4076">
      <w:pPr>
        <w:pStyle w:val="paragrapheno"/>
        <w:spacing w:line="240" w:lineRule="auto"/>
      </w:pPr>
      <w:r>
        <w:t>En effet</w:t>
      </w:r>
      <w:r w:rsidR="0052696F">
        <w:t>,</w:t>
      </w:r>
      <w:r>
        <w:t xml:space="preserve"> comme la preuve </w:t>
      </w:r>
      <w:r w:rsidR="009079B9">
        <w:t xml:space="preserve">quant à </w:t>
      </w:r>
      <w:r w:rsidR="005D205F">
        <w:t xml:space="preserve">la pression </w:t>
      </w:r>
      <w:r w:rsidR="00E808D0">
        <w:t>alléguée</w:t>
      </w:r>
      <w:r w:rsidR="009079B9">
        <w:t xml:space="preserve"> du Fonds </w:t>
      </w:r>
      <w:r w:rsidR="00775523">
        <w:t>s’est limité</w:t>
      </w:r>
      <w:r w:rsidR="00E808D0">
        <w:t xml:space="preserve">e à </w:t>
      </w:r>
      <w:r w:rsidR="005D205F">
        <w:t xml:space="preserve">Cogir </w:t>
      </w:r>
      <w:r w:rsidR="00E808D0">
        <w:t>et que</w:t>
      </w:r>
      <w:r w:rsidR="00775523">
        <w:t xml:space="preserve"> </w:t>
      </w:r>
      <w:r w:rsidR="005D205F">
        <w:t>M.</w:t>
      </w:r>
      <w:r w:rsidR="00383FEA">
        <w:t> </w:t>
      </w:r>
      <w:r w:rsidR="005D205F">
        <w:t>Pereira</w:t>
      </w:r>
      <w:r w:rsidR="00346DF4">
        <w:t xml:space="preserve"> allègue que </w:t>
      </w:r>
      <w:r w:rsidR="00A53171">
        <w:t>cette pression lui a fait perdre</w:t>
      </w:r>
      <w:r w:rsidR="0063367F">
        <w:t xml:space="preserve"> son contrat avec Cogir</w:t>
      </w:r>
      <w:r w:rsidR="00C45793">
        <w:t xml:space="preserve">, </w:t>
      </w:r>
      <w:r w:rsidR="00AA397E">
        <w:t>l</w:t>
      </w:r>
      <w:r w:rsidR="00C45793">
        <w:t xml:space="preserve">e Fonds ne peut </w:t>
      </w:r>
      <w:r w:rsidR="00AA397E">
        <w:t>être</w:t>
      </w:r>
      <w:r w:rsidR="00C45793">
        <w:t xml:space="preserve"> tenu responsable </w:t>
      </w:r>
      <w:r w:rsidR="00AA397E">
        <w:t xml:space="preserve">que </w:t>
      </w:r>
      <w:r w:rsidR="00C45793">
        <w:t>d</w:t>
      </w:r>
      <w:r w:rsidR="00993D28">
        <w:t>es dommages</w:t>
      </w:r>
      <w:r w:rsidR="005B1348">
        <w:t xml:space="preserve"> </w:t>
      </w:r>
      <w:r w:rsidR="00AA397E">
        <w:t>qui découle</w:t>
      </w:r>
      <w:r w:rsidR="008870AF">
        <w:t>nt</w:t>
      </w:r>
      <w:r w:rsidR="00AA397E">
        <w:t xml:space="preserve"> de la perte de</w:t>
      </w:r>
      <w:r w:rsidR="005B1348">
        <w:t xml:space="preserve"> son contrat avec Cogir.</w:t>
      </w:r>
      <w:r w:rsidR="00C921D2">
        <w:t xml:space="preserve"> Le Tribunal </w:t>
      </w:r>
      <w:r w:rsidR="00C26E50">
        <w:t>aborde le</w:t>
      </w:r>
      <w:r w:rsidR="00C921D2">
        <w:t xml:space="preserve"> </w:t>
      </w:r>
      <w:r w:rsidR="00C26E50">
        <w:t>quantum</w:t>
      </w:r>
      <w:r w:rsidR="00C921D2">
        <w:t xml:space="preserve"> dans la section concernant </w:t>
      </w:r>
      <w:r w:rsidR="00C26E50">
        <w:t>Cogir.</w:t>
      </w:r>
    </w:p>
    <w:p w14:paraId="61355FA1" w14:textId="77777777" w:rsidR="000A4F58" w:rsidRPr="008303E0" w:rsidRDefault="00BD6B34" w:rsidP="001B4076">
      <w:pPr>
        <w:pStyle w:val="Titre2"/>
        <w:spacing w:line="240" w:lineRule="auto"/>
      </w:pPr>
      <w:r w:rsidRPr="008303E0">
        <w:t xml:space="preserve">Quelle est la qualification juridique du lien contractuel entre </w:t>
      </w:r>
      <w:r w:rsidR="00392C9F" w:rsidRPr="008303E0">
        <w:t>M.</w:t>
      </w:r>
      <w:r w:rsidR="00383FEA">
        <w:t> </w:t>
      </w:r>
      <w:r w:rsidR="00392C9F" w:rsidRPr="008303E0">
        <w:t>Pereira</w:t>
      </w:r>
      <w:r w:rsidRPr="008303E0">
        <w:t xml:space="preserve"> et Cogir ?</w:t>
      </w:r>
    </w:p>
    <w:p w14:paraId="57A27B27" w14:textId="77777777" w:rsidR="00B54D83" w:rsidRPr="008303E0" w:rsidRDefault="00BD6B34" w:rsidP="001B4076">
      <w:pPr>
        <w:pStyle w:val="Titre3"/>
        <w:spacing w:line="240" w:lineRule="auto"/>
      </w:pPr>
      <w:r w:rsidRPr="008303E0">
        <w:t>Le droit</w:t>
      </w:r>
    </w:p>
    <w:p w14:paraId="0F5B74F1" w14:textId="77777777" w:rsidR="0050566F" w:rsidRDefault="00BD6B34" w:rsidP="001B4076">
      <w:pPr>
        <w:pStyle w:val="paragrapheno"/>
        <w:spacing w:line="240" w:lineRule="auto"/>
      </w:pPr>
      <w:r w:rsidRPr="008303E0">
        <w:t>Dans l’éventualité</w:t>
      </w:r>
      <w:r>
        <w:t xml:space="preserve"> où</w:t>
      </w:r>
      <w:r w:rsidR="00DF1314">
        <w:t xml:space="preserve"> la pression du Fonds avait été démontrée</w:t>
      </w:r>
      <w:r w:rsidR="00511003">
        <w:t>,</w:t>
      </w:r>
      <w:r w:rsidR="00DF1314">
        <w:t xml:space="preserve"> le Tribunal aurait eu à </w:t>
      </w:r>
      <w:r w:rsidR="00F13B4C">
        <w:t xml:space="preserve">déterminer si </w:t>
      </w:r>
      <w:r w:rsidR="005B6914">
        <w:t>le fait</w:t>
      </w:r>
      <w:r w:rsidR="00F13B4C">
        <w:t xml:space="preserve"> de céder aux pressions constitu</w:t>
      </w:r>
      <w:r w:rsidR="005B6914">
        <w:t>e</w:t>
      </w:r>
      <w:r w:rsidR="00F13B4C">
        <w:t xml:space="preserve"> une faute</w:t>
      </w:r>
      <w:r w:rsidR="00DF1314">
        <w:t xml:space="preserve"> </w:t>
      </w:r>
      <w:r w:rsidR="00511003">
        <w:t>pour</w:t>
      </w:r>
      <w:r w:rsidR="00DF1314">
        <w:t xml:space="preserve"> Cogir et </w:t>
      </w:r>
      <w:r w:rsidR="00AC51BB">
        <w:t xml:space="preserve">la qualification juridique du lien unissant </w:t>
      </w:r>
      <w:r w:rsidR="00000070">
        <w:t>Cogir et M.</w:t>
      </w:r>
      <w:r w:rsidR="00383FEA">
        <w:t> </w:t>
      </w:r>
      <w:r w:rsidR="00000070">
        <w:t>Pereira aurait été essentielle.</w:t>
      </w:r>
    </w:p>
    <w:p w14:paraId="42A1F8FF" w14:textId="77777777" w:rsidR="00013902" w:rsidRDefault="00BD6B34" w:rsidP="001B4076">
      <w:pPr>
        <w:pStyle w:val="paragrapheno"/>
        <w:spacing w:line="240" w:lineRule="auto"/>
      </w:pPr>
      <w:r>
        <w:t xml:space="preserve">Comme </w:t>
      </w:r>
      <w:r w:rsidR="00392C9F">
        <w:t>M.</w:t>
      </w:r>
      <w:r w:rsidR="00383FEA">
        <w:t> </w:t>
      </w:r>
      <w:r w:rsidR="00392C9F">
        <w:t>Pereira</w:t>
      </w:r>
      <w:r>
        <w:t xml:space="preserve"> allègue dans sa demande introductive d’instance modifiée</w:t>
      </w:r>
      <w:r w:rsidR="00341A7F">
        <w:t xml:space="preserve"> avoir eu un contrat de travail avec Cogir, il lui revient de faire la preuve</w:t>
      </w:r>
      <w:r w:rsidR="00A22436">
        <w:t xml:space="preserve"> d’un</w:t>
      </w:r>
      <w:r w:rsidR="00456C90">
        <w:t>e</w:t>
      </w:r>
      <w:r w:rsidR="00A22436">
        <w:t xml:space="preserve"> telle qualification du contrat qui les uni</w:t>
      </w:r>
      <w:r w:rsidR="00195D3D">
        <w:t>t</w:t>
      </w:r>
      <w:r w:rsidR="00A22436">
        <w:t xml:space="preserve"> du 27</w:t>
      </w:r>
      <w:r w:rsidR="00126DC0">
        <w:t> </w:t>
      </w:r>
      <w:r w:rsidR="00A22436">
        <w:t xml:space="preserve">juin </w:t>
      </w:r>
      <w:r w:rsidR="0072588F">
        <w:t xml:space="preserve">2018 </w:t>
      </w:r>
      <w:r w:rsidR="00A22436">
        <w:t>au 7</w:t>
      </w:r>
      <w:r w:rsidR="00126DC0">
        <w:t> </w:t>
      </w:r>
      <w:r w:rsidR="00A22436">
        <w:t>s</w:t>
      </w:r>
      <w:r w:rsidR="004A4EB5">
        <w:t>eptembre 2018.</w:t>
      </w:r>
    </w:p>
    <w:p w14:paraId="5ADA385C" w14:textId="77777777" w:rsidR="004A4EB5" w:rsidRDefault="00BD6B34" w:rsidP="001B4076">
      <w:pPr>
        <w:pStyle w:val="paragrapheno"/>
        <w:spacing w:line="240" w:lineRule="auto"/>
      </w:pPr>
      <w:r>
        <w:lastRenderedPageBreak/>
        <w:t>Le Contrat de travail se distingue du contrat de service</w:t>
      </w:r>
      <w:r w:rsidR="00CD62D4">
        <w:t xml:space="preserve"> par la présence d’un lien de subordination</w:t>
      </w:r>
      <w:r w:rsidR="00195D3D">
        <w:t>,</w:t>
      </w:r>
      <w:r w:rsidR="00CD62D4">
        <w:t xml:space="preserve"> l</w:t>
      </w:r>
      <w:r w:rsidR="0090466A">
        <w:t>e</w:t>
      </w:r>
      <w:r w:rsidR="00CD62D4">
        <w:t xml:space="preserve">quel peut être </w:t>
      </w:r>
      <w:r w:rsidR="0090466A">
        <w:t>démontré à l’aide de ce que le juge Jean-Yves Lalonde</w:t>
      </w:r>
      <w:r w:rsidR="00396853">
        <w:t>,</w:t>
      </w:r>
      <w:r w:rsidR="0090466A">
        <w:t xml:space="preserve"> dans </w:t>
      </w:r>
      <w:bookmarkStart w:id="9" w:name="_Hlk193217737"/>
      <w:r w:rsidR="00396853" w:rsidRPr="00396853">
        <w:rPr>
          <w:i/>
          <w:iCs/>
        </w:rPr>
        <w:t>Leclerc</w:t>
      </w:r>
      <w:r w:rsidR="00396853">
        <w:t xml:space="preserve"> c. </w:t>
      </w:r>
      <w:r w:rsidR="00396853" w:rsidRPr="00396853">
        <w:rPr>
          <w:i/>
          <w:iCs/>
        </w:rPr>
        <w:t>Construction Louis-Seize inc</w:t>
      </w:r>
      <w:bookmarkEnd w:id="9"/>
      <w:r w:rsidR="007B0CCD">
        <w:rPr>
          <w:i/>
          <w:iCs/>
        </w:rPr>
        <w:t>.</w:t>
      </w:r>
      <w:r>
        <w:rPr>
          <w:rStyle w:val="Appelnotedebasdep"/>
          <w:i/>
          <w:iCs/>
        </w:rPr>
        <w:footnoteReference w:id="83"/>
      </w:r>
      <w:r w:rsidR="00396853">
        <w:t>, appelle les indices révélateurs :</w:t>
      </w:r>
    </w:p>
    <w:p w14:paraId="00B10694" w14:textId="77777777" w:rsidR="0053356F" w:rsidRDefault="00BD6B34" w:rsidP="001B4076">
      <w:pPr>
        <w:pStyle w:val="Style-citation"/>
        <w:spacing w:line="240" w:lineRule="auto"/>
      </w:pPr>
      <w:r>
        <w:t xml:space="preserve">[37] Plusieurs indices permettent au Tribunal de jauger la présence ou non d’un lien de subordination dans la relation entre les parties. </w:t>
      </w:r>
    </w:p>
    <w:p w14:paraId="2256177C" w14:textId="77777777" w:rsidR="0053356F" w:rsidRDefault="00BD6B34" w:rsidP="001B4076">
      <w:pPr>
        <w:pStyle w:val="Style-citation"/>
        <w:spacing w:line="240" w:lineRule="auto"/>
      </w:pPr>
      <w:r>
        <w:t xml:space="preserve">[38] Les indices révélateurs sont notamment : </w:t>
      </w:r>
    </w:p>
    <w:p w14:paraId="5BCFC0F8" w14:textId="77777777" w:rsidR="0053356F" w:rsidRDefault="00BD6B34" w:rsidP="001B4076">
      <w:pPr>
        <w:pStyle w:val="Style2-citation"/>
        <w:spacing w:line="240" w:lineRule="auto"/>
      </w:pPr>
      <w:r>
        <w:t xml:space="preserve">38.1 la présence obligatoire au travail; </w:t>
      </w:r>
    </w:p>
    <w:p w14:paraId="4C2AD607" w14:textId="77777777" w:rsidR="0053356F" w:rsidRDefault="00BD6B34" w:rsidP="001B4076">
      <w:pPr>
        <w:pStyle w:val="Style2-citation"/>
        <w:spacing w:line="240" w:lineRule="auto"/>
      </w:pPr>
      <w:r>
        <w:t xml:space="preserve">38.2 le respect de l’horaire de travail; </w:t>
      </w:r>
    </w:p>
    <w:p w14:paraId="2261AA4E" w14:textId="77777777" w:rsidR="0053356F" w:rsidRDefault="00BD6B34" w:rsidP="001B4076">
      <w:pPr>
        <w:pStyle w:val="Style2-citation"/>
        <w:spacing w:line="240" w:lineRule="auto"/>
      </w:pPr>
      <w:r>
        <w:t xml:space="preserve">38.3 le contrôle des absences aux fins de vacances; </w:t>
      </w:r>
    </w:p>
    <w:p w14:paraId="17CF2B0F" w14:textId="77777777" w:rsidR="0053356F" w:rsidRDefault="00BD6B34" w:rsidP="001B4076">
      <w:pPr>
        <w:pStyle w:val="Style2-citation"/>
        <w:spacing w:line="240" w:lineRule="auto"/>
      </w:pPr>
      <w:r>
        <w:t xml:space="preserve">38.4 la remise de rapports d’activité; </w:t>
      </w:r>
    </w:p>
    <w:p w14:paraId="01B3A530" w14:textId="77777777" w:rsidR="0053356F" w:rsidRDefault="00BD6B34" w:rsidP="001B4076">
      <w:pPr>
        <w:pStyle w:val="Style2-citation"/>
        <w:spacing w:line="240" w:lineRule="auto"/>
      </w:pPr>
      <w:r>
        <w:t xml:space="preserve">38.5 le contrôle de la quantité et de la qualité de travail; </w:t>
      </w:r>
    </w:p>
    <w:p w14:paraId="63D4C188" w14:textId="77777777" w:rsidR="0053356F" w:rsidRDefault="00BD6B34" w:rsidP="001B4076">
      <w:pPr>
        <w:pStyle w:val="Style2-citation"/>
        <w:spacing w:line="240" w:lineRule="auto"/>
      </w:pPr>
      <w:r>
        <w:t xml:space="preserve">38.6 l’imposition des moyens d’exécution du travail; </w:t>
      </w:r>
    </w:p>
    <w:p w14:paraId="741166DB" w14:textId="77777777" w:rsidR="0053356F" w:rsidRDefault="00BD6B34" w:rsidP="001B4076">
      <w:pPr>
        <w:pStyle w:val="Style2-citation"/>
        <w:spacing w:line="240" w:lineRule="auto"/>
      </w:pPr>
      <w:r>
        <w:t xml:space="preserve">38.7 le pouvoir de sanction sur les performances; </w:t>
      </w:r>
    </w:p>
    <w:p w14:paraId="5AA3D857" w14:textId="77777777" w:rsidR="0053356F" w:rsidRDefault="00BD6B34" w:rsidP="001B4076">
      <w:pPr>
        <w:pStyle w:val="Style2-citation"/>
        <w:spacing w:line="240" w:lineRule="auto"/>
      </w:pPr>
      <w:r>
        <w:t xml:space="preserve">38.8 les retenues à la source; </w:t>
      </w:r>
    </w:p>
    <w:p w14:paraId="5AAF7A50" w14:textId="77777777" w:rsidR="0053356F" w:rsidRDefault="00BD6B34" w:rsidP="001B4076">
      <w:pPr>
        <w:pStyle w:val="Style2-citation"/>
        <w:spacing w:line="240" w:lineRule="auto"/>
      </w:pPr>
      <w:r>
        <w:t xml:space="preserve">38.9 les avantages sociaux; </w:t>
      </w:r>
    </w:p>
    <w:p w14:paraId="18F440CE" w14:textId="77777777" w:rsidR="0053356F" w:rsidRDefault="00BD6B34" w:rsidP="001B4076">
      <w:pPr>
        <w:pStyle w:val="Style2-citation"/>
        <w:spacing w:line="240" w:lineRule="auto"/>
      </w:pPr>
      <w:r>
        <w:t xml:space="preserve">38.10 le statut déclaré dans les déclarations de revenus; </w:t>
      </w:r>
    </w:p>
    <w:p w14:paraId="6D66EE55" w14:textId="77777777" w:rsidR="00A70A00" w:rsidRDefault="00BD6B34" w:rsidP="001B4076">
      <w:pPr>
        <w:pStyle w:val="Style2-citation"/>
        <w:spacing w:line="240" w:lineRule="auto"/>
      </w:pPr>
      <w:r>
        <w:t>38.11 l’exclusivité des services pour l’employeur.</w:t>
      </w:r>
    </w:p>
    <w:p w14:paraId="20D2285E" w14:textId="77777777" w:rsidR="00CB14D0" w:rsidRDefault="00BD6B34" w:rsidP="001B4076">
      <w:pPr>
        <w:pStyle w:val="paragrapheno"/>
        <w:spacing w:line="240" w:lineRule="auto"/>
      </w:pPr>
      <w:r>
        <w:t>Quant au contrat de service</w:t>
      </w:r>
      <w:r w:rsidR="007B0CCD">
        <w:t>,</w:t>
      </w:r>
      <w:r>
        <w:t xml:space="preserve"> il se caractérise par l’absence de </w:t>
      </w:r>
      <w:r w:rsidR="002D1511">
        <w:t xml:space="preserve">ce </w:t>
      </w:r>
      <w:r>
        <w:t>lien de subordination</w:t>
      </w:r>
      <w:r w:rsidR="009939E9">
        <w:t>. Le prestataire de service choisi</w:t>
      </w:r>
      <w:r w:rsidR="007B0CCD">
        <w:t>t</w:t>
      </w:r>
      <w:r w:rsidR="009939E9">
        <w:t xml:space="preserve"> les moyens</w:t>
      </w:r>
      <w:r w:rsidR="00270E39">
        <w:t xml:space="preserve"> pour exécuter ses service</w:t>
      </w:r>
      <w:r w:rsidR="00CF0B0E">
        <w:t>s</w:t>
      </w:r>
      <w:r>
        <w:t xml:space="preserve"> même s’il </w:t>
      </w:r>
      <w:r w:rsidR="00503E7B">
        <w:t xml:space="preserve">doit </w:t>
      </w:r>
      <w:r w:rsidR="001719E2">
        <w:t>se plier à certaines normes de qualité, fournir un résultat attendu et dans un délai imparti</w:t>
      </w:r>
      <w:r w:rsidR="005A1272">
        <w:t xml:space="preserve"> et que le client conserve un droit de surveillance générale</w:t>
      </w:r>
      <w:r w:rsidR="000E05BB">
        <w:t xml:space="preserve"> sur</w:t>
      </w:r>
      <w:r>
        <w:t xml:space="preserve"> le prestataire de service</w:t>
      </w:r>
      <w:r>
        <w:rPr>
          <w:rStyle w:val="Appelnotedebasdep"/>
        </w:rPr>
        <w:footnoteReference w:id="84"/>
      </w:r>
      <w:r w:rsidR="00CF0B0E">
        <w:t xml:space="preserve">. </w:t>
      </w:r>
      <w:r w:rsidR="006E4E89">
        <w:t xml:space="preserve">Dans </w:t>
      </w:r>
      <w:r w:rsidR="006E4E89" w:rsidRPr="00C84D5C">
        <w:rPr>
          <w:i/>
          <w:iCs/>
        </w:rPr>
        <w:t>Lamontagne</w:t>
      </w:r>
      <w:r w:rsidR="006E4E89">
        <w:t xml:space="preserve"> c. </w:t>
      </w:r>
      <w:r w:rsidR="006E4E89" w:rsidRPr="00C84D5C">
        <w:rPr>
          <w:i/>
          <w:iCs/>
        </w:rPr>
        <w:t xml:space="preserve">Distribution </w:t>
      </w:r>
      <w:r w:rsidR="00681FEE" w:rsidRPr="00C84D5C">
        <w:rPr>
          <w:i/>
          <w:iCs/>
        </w:rPr>
        <w:t>F</w:t>
      </w:r>
      <w:r w:rsidR="006E4E89" w:rsidRPr="00C84D5C">
        <w:rPr>
          <w:i/>
          <w:iCs/>
        </w:rPr>
        <w:t>inancière Sun Life (Canada)</w:t>
      </w:r>
      <w:r w:rsidR="006E4E89">
        <w:t xml:space="preserve"> </w:t>
      </w:r>
      <w:r w:rsidR="006E4E89" w:rsidRPr="00C84D5C">
        <w:rPr>
          <w:i/>
          <w:iCs/>
        </w:rPr>
        <w:t>inc</w:t>
      </w:r>
      <w:r w:rsidR="001C0CC9">
        <w:t>.</w:t>
      </w:r>
      <w:r>
        <w:rPr>
          <w:rStyle w:val="Appelnotedebasdep"/>
        </w:rPr>
        <w:footnoteReference w:id="85"/>
      </w:r>
      <w:r w:rsidR="000B7DC5">
        <w:t xml:space="preserve">, </w:t>
      </w:r>
      <w:r w:rsidR="001C0CC9">
        <w:t>l</w:t>
      </w:r>
      <w:r w:rsidR="00CF0B0E">
        <w:t xml:space="preserve">e juge Stephen W. Hamilton </w:t>
      </w:r>
      <w:r w:rsidR="000B7DC5">
        <w:t xml:space="preserve">cite </w:t>
      </w:r>
      <w:r w:rsidR="00655A6A">
        <w:t>l’auteur R.P.Gagnon sur les facteurs distinctifs entre un contrat  de travail et un contrat de service :</w:t>
      </w:r>
    </w:p>
    <w:p w14:paraId="396370CC" w14:textId="77777777" w:rsidR="000D0EAA" w:rsidRDefault="00BD6B34" w:rsidP="001B4076">
      <w:pPr>
        <w:pStyle w:val="Style-citation"/>
        <w:spacing w:line="240" w:lineRule="auto"/>
      </w:pPr>
      <w:r>
        <w:t>[35] La question est donc de savoir s’il existe entre madame Lamontagne et Sun Life un lien de subordination. Gagnon résume le droit comme suit :</w:t>
      </w:r>
    </w:p>
    <w:p w14:paraId="36EB0300" w14:textId="77777777" w:rsidR="00655A6A" w:rsidRDefault="00BD6B34" w:rsidP="001B4076">
      <w:pPr>
        <w:pStyle w:val="Style2-citation"/>
        <w:spacing w:line="240" w:lineRule="auto"/>
      </w:pPr>
      <w:r>
        <w:t xml:space="preserve">En pratique, on recherchera la présence d’un certain nombre d’indices d’encadrement, d’ailleurs </w:t>
      </w:r>
      <w:r>
        <w:lastRenderedPageBreak/>
        <w:t>susceptibles de varier selon les contextes : présence obligatoire à un lieu de travail, assignation plus ou moins régulière du travail, imposition de règles de conduite ou de comportement, exigence de rapports d’activité, contrôle de la quantité ou de la qualité de la prestation, propriété des outils, possibilité de profits, risque de pertes, approbation des dates de vacances, etc. En outre, si le travail à domicile n’exclut pas une telle intégration à l’entreprise. Par contre, l’assujettissement à des normes réglementaires ou légales, telles que des règles de déontologie, ne devrait pas jouer quant à la détermination du lien de subordination</w:t>
      </w:r>
      <w:r w:rsidR="00965B2A">
        <w:t>.</w:t>
      </w:r>
    </w:p>
    <w:p w14:paraId="70DED603" w14:textId="77777777" w:rsidR="00965B2A" w:rsidRPr="00965B2A" w:rsidRDefault="00BD6B34" w:rsidP="001B4076">
      <w:pPr>
        <w:pStyle w:val="Style2-citation"/>
        <w:spacing w:line="240" w:lineRule="auto"/>
        <w:rPr>
          <w:rFonts w:ascii="Arial" w:hAnsi="Arial" w:cs="Arial"/>
          <w:sz w:val="24"/>
          <w:szCs w:val="24"/>
        </w:rPr>
      </w:pPr>
      <w:r w:rsidRPr="00965B2A">
        <w:rPr>
          <w:rFonts w:ascii="Arial" w:hAnsi="Arial" w:cs="Arial"/>
          <w:sz w:val="24"/>
          <w:szCs w:val="24"/>
        </w:rPr>
        <w:t>[Référence omise]</w:t>
      </w:r>
    </w:p>
    <w:p w14:paraId="2FC52814" w14:textId="77777777" w:rsidR="0035400D" w:rsidRDefault="00BD6B34" w:rsidP="001B4076">
      <w:pPr>
        <w:pStyle w:val="paragrapheno"/>
        <w:spacing w:line="240" w:lineRule="auto"/>
      </w:pPr>
      <w:r>
        <w:t xml:space="preserve"> La qualification </w:t>
      </w:r>
      <w:r w:rsidR="005A5F0B">
        <w:t xml:space="preserve">juridique </w:t>
      </w:r>
      <w:r>
        <w:t>qu</w:t>
      </w:r>
      <w:r w:rsidR="00F10EE4">
        <w:t>e</w:t>
      </w:r>
      <w:r>
        <w:t xml:space="preserve"> font les parties </w:t>
      </w:r>
      <w:r w:rsidR="005A5F0B">
        <w:t xml:space="preserve">de leur contrat </w:t>
      </w:r>
      <w:r>
        <w:t>ne lie pas le Tribunal</w:t>
      </w:r>
      <w:r w:rsidR="00443D2B">
        <w:t xml:space="preserve">, mais </w:t>
      </w:r>
      <w:r w:rsidR="009868E1">
        <w:t xml:space="preserve">peut </w:t>
      </w:r>
      <w:r w:rsidR="00BD0973">
        <w:t>constitue</w:t>
      </w:r>
      <w:r w:rsidR="009868E1">
        <w:t>r</w:t>
      </w:r>
      <w:r w:rsidR="00BD0973">
        <w:t xml:space="preserve"> un indice</w:t>
      </w:r>
      <w:r w:rsidR="00D4537F">
        <w:t>.</w:t>
      </w:r>
    </w:p>
    <w:p w14:paraId="399F4BD3" w14:textId="77777777" w:rsidR="002C49E8" w:rsidRDefault="00BD6B34" w:rsidP="00062ABD">
      <w:pPr>
        <w:pStyle w:val="Titre3"/>
        <w:spacing w:line="240" w:lineRule="auto"/>
      </w:pPr>
      <w:r>
        <w:t>La conclusion</w:t>
      </w:r>
    </w:p>
    <w:p w14:paraId="2F2CBF36" w14:textId="77777777" w:rsidR="006856AD" w:rsidRDefault="00BD6B34" w:rsidP="001718A4">
      <w:pPr>
        <w:pStyle w:val="paragrapheno"/>
        <w:spacing w:line="240" w:lineRule="auto"/>
      </w:pPr>
      <w:r>
        <w:t>M.</w:t>
      </w:r>
      <w:r w:rsidR="00383FEA">
        <w:t> </w:t>
      </w:r>
      <w:r>
        <w:t>Pereira</w:t>
      </w:r>
      <w:r w:rsidR="00062ABD">
        <w:t xml:space="preserve"> </w:t>
      </w:r>
      <w:r>
        <w:t>rép</w:t>
      </w:r>
      <w:r w:rsidR="00062ABD">
        <w:t>è</w:t>
      </w:r>
      <w:r>
        <w:t>t</w:t>
      </w:r>
      <w:r w:rsidR="00062ABD">
        <w:t>e</w:t>
      </w:r>
      <w:r>
        <w:t xml:space="preserve"> à quelques reprises lors de son témoignage </w:t>
      </w:r>
      <w:r w:rsidR="0093357F">
        <w:t xml:space="preserve">qu’il </w:t>
      </w:r>
      <w:r w:rsidR="00062C0A">
        <w:t>sait</w:t>
      </w:r>
      <w:r>
        <w:t xml:space="preserve"> que ses services ont été retenu</w:t>
      </w:r>
      <w:r w:rsidR="00681FEE">
        <w:t>s</w:t>
      </w:r>
      <w:r>
        <w:t xml:space="preserve"> comme consultant et </w:t>
      </w:r>
      <w:r w:rsidR="00BD1D3E">
        <w:t xml:space="preserve">non comme employé et </w:t>
      </w:r>
      <w:r>
        <w:t xml:space="preserve">qu’il </w:t>
      </w:r>
      <w:r w:rsidR="00BD1D3E">
        <w:t xml:space="preserve">n’avait </w:t>
      </w:r>
      <w:r w:rsidR="00CC6BFF">
        <w:t xml:space="preserve">aucune </w:t>
      </w:r>
      <w:r w:rsidR="00A02CA3">
        <w:t>garantie</w:t>
      </w:r>
      <w:r w:rsidR="008A4D93">
        <w:t>,</w:t>
      </w:r>
      <w:r w:rsidR="00A02CA3">
        <w:t xml:space="preserve"> </w:t>
      </w:r>
      <w:r w:rsidR="004C45F2">
        <w:t>quel</w:t>
      </w:r>
      <w:r w:rsidR="008A4D93">
        <w:t>le</w:t>
      </w:r>
      <w:r w:rsidR="004C45F2">
        <w:t xml:space="preserve"> qu’elle</w:t>
      </w:r>
      <w:r w:rsidR="00A02CA3">
        <w:t xml:space="preserve"> soit </w:t>
      </w:r>
      <w:r w:rsidR="007F24D9">
        <w:t>quant à</w:t>
      </w:r>
      <w:r w:rsidR="00A02CA3">
        <w:t xml:space="preserve"> la durée de </w:t>
      </w:r>
      <w:r w:rsidR="00CC6BFF">
        <w:t>son contrat</w:t>
      </w:r>
      <w:r w:rsidR="00A02CA3">
        <w:t>.</w:t>
      </w:r>
    </w:p>
    <w:p w14:paraId="62B0411F" w14:textId="77777777" w:rsidR="00A02CA3" w:rsidRDefault="00BD6B34" w:rsidP="001718A4">
      <w:pPr>
        <w:pStyle w:val="paragrapheno"/>
        <w:spacing w:line="240" w:lineRule="auto"/>
      </w:pPr>
      <w:r>
        <w:t>Bien que la durée d</w:t>
      </w:r>
      <w:r w:rsidR="00AF0815">
        <w:t>u contrat</w:t>
      </w:r>
      <w:r>
        <w:t xml:space="preserve"> </w:t>
      </w:r>
      <w:r w:rsidR="00C06A0E">
        <w:t>fût</w:t>
      </w:r>
      <w:r>
        <w:t xml:space="preserve"> courte</w:t>
      </w:r>
      <w:r w:rsidR="008A4D93">
        <w:t>,</w:t>
      </w:r>
      <w:r>
        <w:t xml:space="preserve"> ce </w:t>
      </w:r>
      <w:r w:rsidR="004D0142">
        <w:t>qui</w:t>
      </w:r>
      <w:r>
        <w:t xml:space="preserve"> ne permet pas d’observer</w:t>
      </w:r>
      <w:r w:rsidR="004D0142">
        <w:t xml:space="preserve"> tous les aspects de la relation, les éléments suivants sont suffisants</w:t>
      </w:r>
      <w:r w:rsidR="00F543ED" w:rsidRPr="00F543ED">
        <w:t xml:space="preserve"> </w:t>
      </w:r>
      <w:r w:rsidR="00712154">
        <w:t xml:space="preserve">pour démontrer </w:t>
      </w:r>
      <w:r w:rsidR="00F543ED">
        <w:t xml:space="preserve">que </w:t>
      </w:r>
      <w:r w:rsidR="005D5AB7">
        <w:t xml:space="preserve">le contrat est </w:t>
      </w:r>
      <w:r w:rsidR="001F5E26">
        <w:t>avec Cogir construction</w:t>
      </w:r>
      <w:r w:rsidR="001131DF">
        <w:t>,</w:t>
      </w:r>
      <w:r w:rsidR="009C5BAE">
        <w:t xml:space="preserve"> </w:t>
      </w:r>
      <w:r w:rsidR="00DE659C">
        <w:t>et</w:t>
      </w:r>
      <w:r w:rsidR="001131DF">
        <w:t xml:space="preserve"> </w:t>
      </w:r>
      <w:r w:rsidR="00FE17AE">
        <w:t>non Cogir immobilier,</w:t>
      </w:r>
      <w:r w:rsidR="001131DF">
        <w:t xml:space="preserve"> et qu’il s’agit d’un contrat</w:t>
      </w:r>
      <w:r w:rsidR="00F543ED">
        <w:t xml:space="preserve"> de service et non </w:t>
      </w:r>
      <w:r w:rsidR="00846BA1">
        <w:t xml:space="preserve">d’une relation </w:t>
      </w:r>
      <w:r w:rsidR="00F543ED">
        <w:t>employeur/employé</w:t>
      </w:r>
      <w:r w:rsidR="0041554C">
        <w:t> :</w:t>
      </w:r>
    </w:p>
    <w:p w14:paraId="1EBF3F8B" w14:textId="77777777" w:rsidR="00F13388" w:rsidRDefault="00BD6B34" w:rsidP="00C84D5C">
      <w:pPr>
        <w:pStyle w:val="Puce1"/>
        <w:spacing w:before="60" w:after="60"/>
        <w:ind w:left="1077" w:hanging="357"/>
      </w:pPr>
      <w:r>
        <w:t>La majorité des services sont rendus pour Cogir construction</w:t>
      </w:r>
      <w:r w:rsidR="004C02BD">
        <w:t xml:space="preserve"> et payés par celle-ci;</w:t>
      </w:r>
    </w:p>
    <w:p w14:paraId="29F585F3" w14:textId="77777777" w:rsidR="0041554C" w:rsidRDefault="00BD6B34" w:rsidP="00C84D5C">
      <w:pPr>
        <w:pStyle w:val="Puce1"/>
        <w:spacing w:before="60" w:after="60"/>
        <w:ind w:left="1077" w:hanging="357"/>
      </w:pPr>
      <w:r>
        <w:t>Aucun relevé fiscal T</w:t>
      </w:r>
      <w:r w:rsidR="00307692">
        <w:t>-4</w:t>
      </w:r>
      <w:r>
        <w:t xml:space="preserve"> ou relevé 1 n’est émis à </w:t>
      </w:r>
      <w:r w:rsidR="00392C9F">
        <w:t>M.</w:t>
      </w:r>
      <w:r w:rsidR="00383FEA">
        <w:t> </w:t>
      </w:r>
      <w:r w:rsidR="00392C9F">
        <w:t>Pereira</w:t>
      </w:r>
      <w:r>
        <w:t xml:space="preserve"> par </w:t>
      </w:r>
      <w:r w:rsidR="00307692">
        <w:t>Cogir;</w:t>
      </w:r>
    </w:p>
    <w:p w14:paraId="4B207592" w14:textId="77777777" w:rsidR="000603C1" w:rsidRDefault="00BD6B34" w:rsidP="00C84D5C">
      <w:pPr>
        <w:pStyle w:val="Puce1"/>
        <w:spacing w:before="60" w:after="60"/>
        <w:ind w:left="1077" w:hanging="357"/>
      </w:pPr>
      <w:r>
        <w:t>Il facture ses services à la journée;</w:t>
      </w:r>
    </w:p>
    <w:p w14:paraId="374B4804" w14:textId="77777777" w:rsidR="00E4357D" w:rsidRDefault="00BD6B34" w:rsidP="00C84D5C">
      <w:pPr>
        <w:pStyle w:val="Puce1"/>
        <w:spacing w:before="60" w:after="60"/>
        <w:ind w:left="1077" w:hanging="357"/>
      </w:pPr>
      <w:r>
        <w:t>Il est payé un montant forfaitaire hebdomadaire</w:t>
      </w:r>
      <w:r w:rsidR="008A4D93">
        <w:t>,</w:t>
      </w:r>
      <w:r>
        <w:t xml:space="preserve"> peu importe le nombre d’heures de présence sur un chantier ou consacré au service de Cogir;</w:t>
      </w:r>
    </w:p>
    <w:p w14:paraId="5E16A375" w14:textId="77777777" w:rsidR="00E4357D" w:rsidRDefault="00BD6B34" w:rsidP="00C84D5C">
      <w:pPr>
        <w:pStyle w:val="Puce1"/>
        <w:spacing w:before="60" w:after="60"/>
        <w:ind w:left="1077" w:hanging="357"/>
      </w:pPr>
      <w:r>
        <w:t>Aucune retenu</w:t>
      </w:r>
      <w:r w:rsidR="00A033B6">
        <w:t>e</w:t>
      </w:r>
      <w:r>
        <w:t xml:space="preserve"> à la source n’est appliqué</w:t>
      </w:r>
      <w:r w:rsidR="00A033B6">
        <w:t>e</w:t>
      </w:r>
      <w:r>
        <w:t xml:space="preserve"> sur la rémunération payée par Cogir;</w:t>
      </w:r>
    </w:p>
    <w:p w14:paraId="2589AFD3" w14:textId="77777777" w:rsidR="000603C1" w:rsidRDefault="00BD6B34" w:rsidP="00C84D5C">
      <w:pPr>
        <w:pStyle w:val="Puce1"/>
        <w:spacing w:before="60" w:after="60"/>
        <w:ind w:left="1077" w:hanging="357"/>
      </w:pPr>
      <w:r>
        <w:t xml:space="preserve">Il n’est pas payé pour les vacances ou </w:t>
      </w:r>
      <w:r w:rsidR="00295F40">
        <w:t>jours</w:t>
      </w:r>
      <w:r>
        <w:t xml:space="preserve"> férié</w:t>
      </w:r>
      <w:r w:rsidR="00295F40">
        <w:t>s</w:t>
      </w:r>
      <w:r>
        <w:t>;</w:t>
      </w:r>
    </w:p>
    <w:p w14:paraId="2E2AEFD8" w14:textId="77777777" w:rsidR="000603C1" w:rsidRDefault="00BD6B34" w:rsidP="00C84D5C">
      <w:pPr>
        <w:pStyle w:val="Puce1"/>
        <w:spacing w:before="60" w:after="60"/>
        <w:ind w:left="1077" w:hanging="357"/>
      </w:pPr>
      <w:r>
        <w:t>Il n’a pas enregistré ses heures passées sur le chantier auprès de la CCQ comme le font les surintendants de Cogir</w:t>
      </w:r>
      <w:r w:rsidR="0037416E">
        <w:t>;</w:t>
      </w:r>
    </w:p>
    <w:p w14:paraId="4040022B" w14:textId="77777777" w:rsidR="008B6443" w:rsidRDefault="00BD6B34" w:rsidP="00C84D5C">
      <w:pPr>
        <w:pStyle w:val="Puce1"/>
        <w:spacing w:before="60" w:after="60"/>
        <w:ind w:left="1077" w:hanging="357"/>
      </w:pPr>
      <w:r>
        <w:t>Personne ne contrôle ses heures de travail et il n’a aucun horaire à respecter ou un nombre minimal d’heure</w:t>
      </w:r>
      <w:r w:rsidR="00295F40">
        <w:t>s</w:t>
      </w:r>
      <w:r>
        <w:t>, mais</w:t>
      </w:r>
      <w:r w:rsidR="00BF5480">
        <w:t xml:space="preserve"> s’il est sur un chantier</w:t>
      </w:r>
      <w:r w:rsidR="00C30411">
        <w:t xml:space="preserve"> pour remplacer un surintendant</w:t>
      </w:r>
      <w:r w:rsidR="00C721F4">
        <w:t>,</w:t>
      </w:r>
      <w:r>
        <w:t xml:space="preserve"> il doit évidemment être présent aux moments opportuns pour rendre ses services</w:t>
      </w:r>
      <w:r w:rsidR="0037416E">
        <w:t>;</w:t>
      </w:r>
    </w:p>
    <w:p w14:paraId="729FF725" w14:textId="77777777" w:rsidR="00307692" w:rsidRDefault="00BD6B34" w:rsidP="00C84D5C">
      <w:pPr>
        <w:pStyle w:val="Puce1"/>
        <w:spacing w:before="60" w:after="60"/>
        <w:ind w:left="1077" w:hanging="357"/>
      </w:pPr>
      <w:r>
        <w:lastRenderedPageBreak/>
        <w:t xml:space="preserve">Personne ne contrôle la qualité du travail </w:t>
      </w:r>
      <w:r w:rsidR="006E6CC3">
        <w:t>exécuté</w:t>
      </w:r>
      <w:r>
        <w:t xml:space="preserve"> pa</w:t>
      </w:r>
      <w:r w:rsidR="006E6CC3">
        <w:t>r</w:t>
      </w:r>
      <w:r>
        <w:t xml:space="preserve"> M.</w:t>
      </w:r>
      <w:r w:rsidR="00383FEA">
        <w:t> </w:t>
      </w:r>
      <w:r>
        <w:t>Pereira bien que M.</w:t>
      </w:r>
      <w:r w:rsidR="00383FEA">
        <w:t> </w:t>
      </w:r>
      <w:r>
        <w:t>Pereira tienne informé</w:t>
      </w:r>
      <w:r w:rsidR="00C721F4">
        <w:t>s</w:t>
      </w:r>
      <w:r>
        <w:t xml:space="preserve"> les surintendant</w:t>
      </w:r>
      <w:r w:rsidR="00AA52E8">
        <w:t>s</w:t>
      </w:r>
      <w:r>
        <w:t xml:space="preserve"> ou M.Leblanc à l’occasion des étapes franchies pendant sa présence sur le chantier et </w:t>
      </w:r>
      <w:r w:rsidR="0028683F">
        <w:t xml:space="preserve">de </w:t>
      </w:r>
      <w:r>
        <w:t>ses intervention</w:t>
      </w:r>
      <w:r w:rsidR="00C721F4">
        <w:t>s</w:t>
      </w:r>
      <w:r>
        <w:t xml:space="preserve">. L’objectif n’étant pas de vérifier la qualité du travail qu’il exécute mais plutôt </w:t>
      </w:r>
      <w:r w:rsidR="0028683F">
        <w:t>de transmettre de l’information</w:t>
      </w:r>
      <w:r w:rsidR="0037416E">
        <w:t>;</w:t>
      </w:r>
    </w:p>
    <w:p w14:paraId="7DD94A3D" w14:textId="77777777" w:rsidR="0001622D" w:rsidRDefault="00BD6B34" w:rsidP="00C84D5C">
      <w:pPr>
        <w:pStyle w:val="Puce1"/>
        <w:spacing w:before="60" w:after="60"/>
        <w:ind w:left="1077" w:hanging="357"/>
      </w:pPr>
      <w:r>
        <w:t>Il ne remet aucun rapport de ses activités;</w:t>
      </w:r>
    </w:p>
    <w:p w14:paraId="1401F37C" w14:textId="77777777" w:rsidR="005903AC" w:rsidRDefault="00BD6B34" w:rsidP="00C84D5C">
      <w:pPr>
        <w:pStyle w:val="Puce1"/>
        <w:spacing w:before="60" w:after="60"/>
        <w:ind w:left="1077" w:hanging="357"/>
      </w:pPr>
      <w:r>
        <w:t>M.</w:t>
      </w:r>
      <w:r w:rsidR="00383FEA">
        <w:t> </w:t>
      </w:r>
      <w:r>
        <w:t>Pereira n’a pas de cartes d</w:t>
      </w:r>
      <w:r w:rsidR="00481CF9">
        <w:t>’affaires</w:t>
      </w:r>
      <w:r>
        <w:t xml:space="preserve"> de Cogir;</w:t>
      </w:r>
    </w:p>
    <w:p w14:paraId="29E69020" w14:textId="77777777" w:rsidR="00A926F3" w:rsidRDefault="00BD6B34" w:rsidP="0041554C">
      <w:pPr>
        <w:pStyle w:val="Puce1"/>
      </w:pPr>
      <w:r>
        <w:t>Il n’a pas d’adresse courriel de Cogir</w:t>
      </w:r>
      <w:r w:rsidR="006E72E9">
        <w:t>,</w:t>
      </w:r>
      <w:r>
        <w:t xml:space="preserve"> il utilise son adresse </w:t>
      </w:r>
      <w:r w:rsidR="002A5587">
        <w:t>courriel</w:t>
      </w:r>
      <w:r>
        <w:t xml:space="preserve"> personnel</w:t>
      </w:r>
      <w:r w:rsidR="002A5587">
        <w:t>l</w:t>
      </w:r>
      <w:r>
        <w:t>e</w:t>
      </w:r>
      <w:r w:rsidR="006E72E9">
        <w:t xml:space="preserve"> pour les services qu’il rend à Cogir</w:t>
      </w:r>
      <w:r w:rsidR="0044543D">
        <w:t>;</w:t>
      </w:r>
    </w:p>
    <w:p w14:paraId="0D33D852" w14:textId="77777777" w:rsidR="0044543D" w:rsidRDefault="00BD6B34" w:rsidP="00C84D5C">
      <w:pPr>
        <w:pStyle w:val="Puce1"/>
        <w:spacing w:before="60" w:after="60"/>
        <w:ind w:left="1077" w:hanging="357"/>
      </w:pPr>
      <w:r>
        <w:t>Il n’a pas de téléphone de cogir</w:t>
      </w:r>
      <w:r w:rsidR="00433725">
        <w:t>,</w:t>
      </w:r>
      <w:r>
        <w:t xml:space="preserve"> il utilise son téléphone personnel</w:t>
      </w:r>
      <w:r w:rsidR="00347419">
        <w:t xml:space="preserve"> pour les services qu’il rend</w:t>
      </w:r>
      <w:r w:rsidR="00433725">
        <w:t>;</w:t>
      </w:r>
    </w:p>
    <w:p w14:paraId="18FE7A36" w14:textId="77777777" w:rsidR="0044543D" w:rsidRDefault="00BD6B34" w:rsidP="00C84D5C">
      <w:pPr>
        <w:pStyle w:val="Puce1"/>
        <w:spacing w:before="60" w:after="60"/>
        <w:ind w:left="1077" w:hanging="357"/>
      </w:pPr>
      <w:r>
        <w:t xml:space="preserve">Il n’a pas d’auto de cogir, il utilise son auto personnelle pour se déplacer sur </w:t>
      </w:r>
      <w:r w:rsidR="00C74B54">
        <w:t>les chantiers</w:t>
      </w:r>
      <w:r w:rsidR="00E14769">
        <w:t>;</w:t>
      </w:r>
    </w:p>
    <w:p w14:paraId="75A33AD6" w14:textId="77777777" w:rsidR="0044543D" w:rsidRDefault="00BD6B34" w:rsidP="00C84D5C">
      <w:pPr>
        <w:pStyle w:val="Puce1"/>
        <w:spacing w:before="60" w:after="60"/>
        <w:ind w:left="1077" w:hanging="357"/>
      </w:pPr>
      <w:r>
        <w:t>Cogir ne lui rembourse aucune dépense encouru</w:t>
      </w:r>
      <w:r w:rsidR="00481CF9">
        <w:t>e</w:t>
      </w:r>
      <w:r>
        <w:t xml:space="preserve"> dans le cadre de ses services que ce </w:t>
      </w:r>
      <w:r w:rsidR="00B21CEC">
        <w:t>soient</w:t>
      </w:r>
      <w:r>
        <w:t xml:space="preserve"> les frais de cellulaire ou les dépenses relié</w:t>
      </w:r>
      <w:r w:rsidR="00481CF9">
        <w:t>es</w:t>
      </w:r>
      <w:r>
        <w:t xml:space="preserve"> à son auto</w:t>
      </w:r>
      <w:r w:rsidR="00541BFA">
        <w:t>;</w:t>
      </w:r>
    </w:p>
    <w:p w14:paraId="1215200D" w14:textId="77777777" w:rsidR="005349B3" w:rsidRDefault="00BD6B34" w:rsidP="00C84D5C">
      <w:pPr>
        <w:pStyle w:val="Puce1"/>
        <w:spacing w:before="60" w:after="60"/>
        <w:ind w:left="1077" w:hanging="357"/>
      </w:pPr>
      <w:r>
        <w:t>M.</w:t>
      </w:r>
      <w:r w:rsidR="00383FEA">
        <w:t> </w:t>
      </w:r>
      <w:r>
        <w:t xml:space="preserve">Pereira n’est admissible </w:t>
      </w:r>
      <w:r w:rsidR="00B21CEC">
        <w:t>à</w:t>
      </w:r>
      <w:r>
        <w:t xml:space="preserve"> aucu</w:t>
      </w:r>
      <w:r w:rsidR="00F65C4D">
        <w:t>ne couverture d’assurance</w:t>
      </w:r>
      <w:r>
        <w:t xml:space="preserve"> bien que la preuve n</w:t>
      </w:r>
      <w:r w:rsidR="003805C5">
        <w:t>e</w:t>
      </w:r>
      <w:r>
        <w:t xml:space="preserve"> </w:t>
      </w:r>
      <w:r w:rsidR="006D256B">
        <w:t>démontre</w:t>
      </w:r>
      <w:r>
        <w:t xml:space="preserve"> pas que Cogir en offr</w:t>
      </w:r>
      <w:r w:rsidR="00646583">
        <w:t>e</w:t>
      </w:r>
      <w:r>
        <w:t xml:space="preserve"> à ses employés</w:t>
      </w:r>
    </w:p>
    <w:p w14:paraId="4F7B5363" w14:textId="77777777" w:rsidR="00F4597B" w:rsidRDefault="00BD6B34" w:rsidP="00C84D5C">
      <w:pPr>
        <w:pStyle w:val="Puce1"/>
        <w:spacing w:before="60" w:after="60"/>
        <w:ind w:left="1077" w:hanging="357"/>
      </w:pPr>
      <w:r>
        <w:t>La preuve n</w:t>
      </w:r>
      <w:r w:rsidR="00646583">
        <w:t>e</w:t>
      </w:r>
      <w:r>
        <w:t xml:space="preserve"> démontr</w:t>
      </w:r>
      <w:r w:rsidR="00646583">
        <w:t>e</w:t>
      </w:r>
      <w:r>
        <w:t xml:space="preserve"> pas si </w:t>
      </w:r>
      <w:r w:rsidR="00392C9F">
        <w:t>M.</w:t>
      </w:r>
      <w:r w:rsidR="00383FEA">
        <w:t> </w:t>
      </w:r>
      <w:r w:rsidR="00392C9F">
        <w:t>Pereira</w:t>
      </w:r>
      <w:r>
        <w:t xml:space="preserve"> p</w:t>
      </w:r>
      <w:r w:rsidR="0049731B">
        <w:t>eu</w:t>
      </w:r>
      <w:r>
        <w:t xml:space="preserve">t offrir ses services à </w:t>
      </w:r>
      <w:r w:rsidR="00774F07">
        <w:t>d’autres</w:t>
      </w:r>
      <w:r>
        <w:t xml:space="preserve"> entreprises pendant qu’il rend des services à Cogir</w:t>
      </w:r>
      <w:r w:rsidR="00F65C4D">
        <w:t>.</w:t>
      </w:r>
    </w:p>
    <w:p w14:paraId="493ACD70" w14:textId="77777777" w:rsidR="00050129" w:rsidRDefault="00BD6B34" w:rsidP="001718A4">
      <w:pPr>
        <w:pStyle w:val="paragrapheno"/>
        <w:spacing w:line="240" w:lineRule="auto"/>
      </w:pPr>
      <w:r>
        <w:t xml:space="preserve">Il n’y a pas de lien de subordination entre Cogir et </w:t>
      </w:r>
      <w:r w:rsidR="00392C9F">
        <w:t>M.</w:t>
      </w:r>
      <w:r w:rsidR="00383FEA">
        <w:t> </w:t>
      </w:r>
      <w:r w:rsidR="00392C9F">
        <w:t>Pereira</w:t>
      </w:r>
      <w:r w:rsidR="00E35434">
        <w:t xml:space="preserve"> et</w:t>
      </w:r>
      <w:r w:rsidR="00DA6BCF">
        <w:t>,</w:t>
      </w:r>
      <w:r w:rsidR="00E35434">
        <w:t xml:space="preserve"> comme ce dernier</w:t>
      </w:r>
      <w:r w:rsidR="00190559">
        <w:t xml:space="preserve"> l’affirme</w:t>
      </w:r>
      <w:r w:rsidR="00DA6BCF">
        <w:t>,</w:t>
      </w:r>
      <w:r w:rsidR="00190559">
        <w:t xml:space="preserve"> il est lié par un contrat de service avec Cogir</w:t>
      </w:r>
      <w:r>
        <w:t xml:space="preserve">. </w:t>
      </w:r>
    </w:p>
    <w:p w14:paraId="6FE81EAC" w14:textId="77777777" w:rsidR="005A792B" w:rsidRDefault="00BD6B34" w:rsidP="001718A4">
      <w:pPr>
        <w:pStyle w:val="paragrapheno"/>
        <w:spacing w:line="240" w:lineRule="auto"/>
      </w:pPr>
      <w:r>
        <w:t>M.</w:t>
      </w:r>
      <w:r w:rsidR="00383FEA">
        <w:t> </w:t>
      </w:r>
      <w:r>
        <w:t>Pereira affirme que la relation devait se développer et men</w:t>
      </w:r>
      <w:r w:rsidR="00FE345D">
        <w:t>er</w:t>
      </w:r>
      <w:r>
        <w:t xml:space="preserve"> à autre chose</w:t>
      </w:r>
      <w:r w:rsidR="000D0467">
        <w:t>. L</w:t>
      </w:r>
      <w:r>
        <w:t>e Tribunal en comprend que</w:t>
      </w:r>
      <w:r w:rsidR="00FE345D">
        <w:t>,</w:t>
      </w:r>
      <w:r>
        <w:t xml:space="preserve"> selon </w:t>
      </w:r>
      <w:r w:rsidR="00392C9F">
        <w:t>M.</w:t>
      </w:r>
      <w:r w:rsidR="00383FEA">
        <w:t> </w:t>
      </w:r>
      <w:r w:rsidR="00392C9F">
        <w:t>Pereira</w:t>
      </w:r>
      <w:r w:rsidR="00954FC0">
        <w:t>,</w:t>
      </w:r>
      <w:r w:rsidR="00732FFB">
        <w:t xml:space="preserve"> la relation devait se transformer en un</w:t>
      </w:r>
      <w:r w:rsidR="00A54575">
        <w:t xml:space="preserve"> </w:t>
      </w:r>
      <w:r w:rsidR="00732FFB">
        <w:t>contrat de travail.</w:t>
      </w:r>
    </w:p>
    <w:p w14:paraId="36ED9649" w14:textId="77777777" w:rsidR="00732FFB" w:rsidRDefault="00BD6B34" w:rsidP="001718A4">
      <w:pPr>
        <w:pStyle w:val="paragrapheno"/>
        <w:spacing w:line="240" w:lineRule="auto"/>
      </w:pPr>
      <w:r>
        <w:t xml:space="preserve">Peut-être mais </w:t>
      </w:r>
      <w:r w:rsidR="00392C9F">
        <w:t>M.</w:t>
      </w:r>
      <w:r w:rsidR="00383FEA">
        <w:t> </w:t>
      </w:r>
      <w:r w:rsidR="00392C9F">
        <w:t>Pereira</w:t>
      </w:r>
      <w:r>
        <w:t xml:space="preserve"> le reconnaît aucune promesse ne lui a été faite et de plus</w:t>
      </w:r>
      <w:r w:rsidR="00964876">
        <w:t>,</w:t>
      </w:r>
      <w:r>
        <w:t xml:space="preserve"> il reconnaît aussi que dans le milieu de la construction</w:t>
      </w:r>
      <w:r w:rsidR="007D544E">
        <w:t>,</w:t>
      </w:r>
      <w:r>
        <w:t xml:space="preserve"> les relations peuvent être éphémères</w:t>
      </w:r>
      <w:r w:rsidR="00D96202">
        <w:t> : « </w:t>
      </w:r>
      <w:r w:rsidRPr="00D96202">
        <w:rPr>
          <w:i/>
          <w:iCs/>
        </w:rPr>
        <w:t xml:space="preserve">Un jour tu travailles et le lendemain tu ne </w:t>
      </w:r>
      <w:r w:rsidR="00063D4F" w:rsidRPr="00D96202">
        <w:rPr>
          <w:i/>
          <w:iCs/>
        </w:rPr>
        <w:t>travailles</w:t>
      </w:r>
      <w:r w:rsidRPr="00D96202">
        <w:rPr>
          <w:i/>
          <w:iCs/>
        </w:rPr>
        <w:t xml:space="preserve"> plus</w:t>
      </w:r>
      <w:r w:rsidR="000C7BC6">
        <w:t>.</w:t>
      </w:r>
      <w:r w:rsidR="00D96202">
        <w:t> »</w:t>
      </w:r>
    </w:p>
    <w:p w14:paraId="53AB3447" w14:textId="77777777" w:rsidR="00AE3F91" w:rsidRDefault="00BD6B34" w:rsidP="001718A4">
      <w:pPr>
        <w:pStyle w:val="paragrapheno"/>
        <w:spacing w:line="240" w:lineRule="auto"/>
      </w:pPr>
      <w:r>
        <w:t xml:space="preserve">Le Tribunal conclut donc que Cogir </w:t>
      </w:r>
      <w:r w:rsidR="00337FB4">
        <w:t xml:space="preserve">construction </w:t>
      </w:r>
      <w:r>
        <w:t xml:space="preserve">et </w:t>
      </w:r>
      <w:r w:rsidR="00392C9F">
        <w:t>M.</w:t>
      </w:r>
      <w:r w:rsidR="00383FEA">
        <w:t> </w:t>
      </w:r>
      <w:r w:rsidR="00392C9F">
        <w:t>Pereira</w:t>
      </w:r>
      <w:r>
        <w:t xml:space="preserve"> sont lié</w:t>
      </w:r>
      <w:r w:rsidR="003921A7">
        <w:t>s</w:t>
      </w:r>
      <w:r>
        <w:t xml:space="preserve"> par un contrat de service du </w:t>
      </w:r>
      <w:r w:rsidR="007F676F">
        <w:t>27</w:t>
      </w:r>
      <w:r w:rsidR="00126DC0">
        <w:t> </w:t>
      </w:r>
      <w:r w:rsidR="007F676F">
        <w:t>juin au 7</w:t>
      </w:r>
      <w:r w:rsidR="00126DC0">
        <w:t> </w:t>
      </w:r>
      <w:r w:rsidR="007F676F">
        <w:t>septembre 2018</w:t>
      </w:r>
      <w:r w:rsidR="00337FB4">
        <w:t xml:space="preserve"> et </w:t>
      </w:r>
      <w:r w:rsidR="00700834">
        <w:t xml:space="preserve">qu’il n’y a aucun lien de droit entre M. Pereira et Cogir </w:t>
      </w:r>
      <w:r w:rsidR="004570CC">
        <w:t>immobilier</w:t>
      </w:r>
      <w:r w:rsidR="007F676F">
        <w:t>.</w:t>
      </w:r>
    </w:p>
    <w:p w14:paraId="6A0165C0" w14:textId="77777777" w:rsidR="00CE2A96" w:rsidRDefault="00BD6B34" w:rsidP="001718A4">
      <w:pPr>
        <w:pStyle w:val="Titre2"/>
        <w:spacing w:line="240" w:lineRule="auto"/>
      </w:pPr>
      <w:r>
        <w:lastRenderedPageBreak/>
        <w:t>Cogir a-t-elle commis une faute en mettant fin à la relation contractuelle ?</w:t>
      </w:r>
    </w:p>
    <w:p w14:paraId="52A96E69" w14:textId="77777777" w:rsidR="004C4426" w:rsidRDefault="00BD6B34" w:rsidP="000C06BC">
      <w:pPr>
        <w:pStyle w:val="paragrapheno"/>
        <w:spacing w:line="240" w:lineRule="auto"/>
      </w:pPr>
      <w:r>
        <w:t>Dans le cadre d’un contrat de service, les articles 2125 et 2129 C.</w:t>
      </w:r>
      <w:r w:rsidR="004570CC">
        <w:t>c</w:t>
      </w:r>
      <w:r>
        <w:t>.Q permettent au client</w:t>
      </w:r>
      <w:r w:rsidR="00C2340D">
        <w:t>, en l’espèce Co</w:t>
      </w:r>
      <w:r w:rsidR="002D5E99">
        <w:t xml:space="preserve">gir, </w:t>
      </w:r>
      <w:r>
        <w:t>de mettre fin en tout temps</w:t>
      </w:r>
      <w:r w:rsidR="004F5094">
        <w:t>,</w:t>
      </w:r>
      <w:r>
        <w:t xml:space="preserve"> même sa</w:t>
      </w:r>
      <w:r w:rsidR="00396A7D">
        <w:t>n</w:t>
      </w:r>
      <w:r>
        <w:t>s motif</w:t>
      </w:r>
      <w:r w:rsidR="004F5094">
        <w:t>,</w:t>
      </w:r>
      <w:r>
        <w:t xml:space="preserve"> au</w:t>
      </w:r>
      <w:r w:rsidR="009C1317">
        <w:t xml:space="preserve"> contrat</w:t>
      </w:r>
      <w:r>
        <w:rPr>
          <w:rStyle w:val="Appelnotedebasdep"/>
        </w:rPr>
        <w:footnoteReference w:id="86"/>
      </w:r>
      <w:r>
        <w:t>. Le client doit toutefois indemniser le prestataire de services mais que pour les services rendus jusqu’au jour de la résiliation du contrat</w:t>
      </w:r>
      <w:r>
        <w:rPr>
          <w:rStyle w:val="Appelnotedebasdep"/>
        </w:rPr>
        <w:footnoteReference w:id="87"/>
      </w:r>
      <w:r>
        <w:t xml:space="preserve"> à moins d’avoir renoncé de façon express à cette faculté de résiliation sans indemnisation</w:t>
      </w:r>
      <w:r>
        <w:rPr>
          <w:rStyle w:val="Appelnotedebasdep"/>
        </w:rPr>
        <w:footnoteReference w:id="88"/>
      </w:r>
      <w:r>
        <w:t xml:space="preserve">. </w:t>
      </w:r>
    </w:p>
    <w:p w14:paraId="48FD8F0E" w14:textId="77777777" w:rsidR="004C4426" w:rsidRDefault="00BD6B34" w:rsidP="004C4426">
      <w:pPr>
        <w:pStyle w:val="paragrapheno"/>
        <w:spacing w:line="240" w:lineRule="auto"/>
      </w:pPr>
      <w:r>
        <w:t>La résiliation unilatérale du contrat de service par le client ne constitue pas une faute indemnisable en soi</w:t>
      </w:r>
      <w:r>
        <w:rPr>
          <w:rStyle w:val="Appelnotedebasdep"/>
        </w:rPr>
        <w:footnoteReference w:id="89"/>
      </w:r>
      <w:r>
        <w:t>. Toutefois, ce droit à la résiliation unilatérale par le client doit être exercé en respectant les exigences de la bonne foi et ne doit pas être autrement exercé de manière abusive et ainsi constituer une faute distincte. À défaut, le prestataire de service pourrait avoir droit à des dommages en vertu des règles de droit commun régissant la responsabilité c</w:t>
      </w:r>
      <w:r w:rsidR="00A9479A">
        <w:t>ivile</w:t>
      </w:r>
      <w:r>
        <w:rPr>
          <w:rStyle w:val="Appelnotedebasdep"/>
        </w:rPr>
        <w:footnoteReference w:id="90"/>
      </w:r>
      <w:r>
        <w:t>. Comme l’enseigne la jurisprudence, la barre est haute pour démontrer l’abus de droit lors de la résiliation unilatérale d’un contrat de service</w:t>
      </w:r>
      <w:r>
        <w:rPr>
          <w:rStyle w:val="Appelnotedebasdep"/>
        </w:rPr>
        <w:footnoteReference w:id="91"/>
      </w:r>
      <w:r>
        <w:t xml:space="preserve">. </w:t>
      </w:r>
    </w:p>
    <w:p w14:paraId="4265EEEB" w14:textId="77777777" w:rsidR="004C4426" w:rsidRDefault="00BD6B34" w:rsidP="004C4426">
      <w:pPr>
        <w:pStyle w:val="paragrapheno"/>
        <w:spacing w:line="240" w:lineRule="auto"/>
      </w:pPr>
      <w:r>
        <w:t xml:space="preserve">Dans </w:t>
      </w:r>
      <w:r w:rsidRPr="00317DE9">
        <w:rPr>
          <w:i/>
          <w:iCs/>
        </w:rPr>
        <w:t>Construction Blenda inc.</w:t>
      </w:r>
      <w:r>
        <w:t xml:space="preserve"> c. </w:t>
      </w:r>
      <w:r w:rsidRPr="00317DE9">
        <w:rPr>
          <w:i/>
          <w:iCs/>
        </w:rPr>
        <w:t>Office municipal d’habitation de Rosemère</w:t>
      </w:r>
      <w:r>
        <w:rPr>
          <w:rStyle w:val="Appelnotedebasdep"/>
          <w:i/>
          <w:iCs/>
        </w:rPr>
        <w:footnoteReference w:id="92"/>
      </w:r>
      <w:r>
        <w:t>, la Cour d’appel précise comme suit le fardeau que doit satisfaire le prestataire de service pour démontrer que la résiliation du contrat par le client est abusive :</w:t>
      </w:r>
    </w:p>
    <w:p w14:paraId="5B8B7740" w14:textId="77777777" w:rsidR="004C4426" w:rsidRDefault="00BD6B34" w:rsidP="004C4426">
      <w:pPr>
        <w:pStyle w:val="Style-citation"/>
        <w:spacing w:line="240" w:lineRule="auto"/>
      </w:pPr>
      <w:r>
        <w:t>[47] Les auteurs Baudouin, Jobin et Vézina notent que la barre est haute afin de conclure qu’un droit est exercé de mauvaise foi, de sorte à constituer un abus de droit :</w:t>
      </w:r>
    </w:p>
    <w:p w14:paraId="106AAFD7" w14:textId="77777777" w:rsidR="004C4426" w:rsidRDefault="00BD6B34" w:rsidP="004C4426">
      <w:pPr>
        <w:pStyle w:val="Style2-citation"/>
        <w:spacing w:line="240" w:lineRule="auto"/>
      </w:pPr>
      <w:r>
        <w:t xml:space="preserve"> On observe cependant que la Cour d’appel et les tribunaux de première instance, par souci de stabilité contractuelle notamment, ont tendance à sanctionner, non pas tout comportement imprudent ou discutable du créancier, mais plutôt ses faits et gestes graves et précis qui s’écartent clairement des normes de comportement acceptables ou généralement admises par la société. Comme on l’a dit, le contrat est un acte égoïste; de nombreux comportements discutables, qui défendent vigoureusement les intérêts du contractant, ne franchissent pas la barre critique et ne constituent pas des abus au sens juridique.</w:t>
      </w:r>
    </w:p>
    <w:p w14:paraId="67E8798F" w14:textId="77777777" w:rsidR="004C4426" w:rsidRDefault="00BD6B34" w:rsidP="004C4426">
      <w:pPr>
        <w:pStyle w:val="Style-citation"/>
        <w:spacing w:line="240" w:lineRule="auto"/>
      </w:pPr>
      <w:r>
        <w:lastRenderedPageBreak/>
        <w:t xml:space="preserve">[48] La Cour réserve d’ailleurs la théorie de l’abus de droit aux cas manifestes de comportement abusif, souvent qualifié d’intransigeant et d’obstiné équivalant à un usage déraisonnable des droits par une partie. </w:t>
      </w:r>
    </w:p>
    <w:p w14:paraId="5C8C5477" w14:textId="77777777" w:rsidR="004C4426" w:rsidRDefault="00BD6B34" w:rsidP="004C4426">
      <w:pPr>
        <w:pStyle w:val="Style-citation"/>
        <w:spacing w:line="240" w:lineRule="auto"/>
      </w:pPr>
      <w:r>
        <w:t xml:space="preserve">[49] Toutefois, le simple fait pour un client de résilier le contrat en exerçant le droit prévu par l’article 2125 C.c.Q. n’est pas synonyme de résiliation abusive, sans quoi le droit de résiliation unilatérale prévu à cet article perdrait sa substance. Tel que le signalait la juge Savard alors qu’elle siégeait à la Cour supérieure, le droit de résiliation unilatérale du client prévu par cet article est discrétionnaire et n’est assujetti à aucune modalité préalable ou particulière. </w:t>
      </w:r>
    </w:p>
    <w:p w14:paraId="0E913A31" w14:textId="77777777" w:rsidR="004C4426" w:rsidRDefault="00BD6B34" w:rsidP="004C4426">
      <w:pPr>
        <w:pStyle w:val="Style-citation"/>
        <w:spacing w:line="240" w:lineRule="auto"/>
      </w:pPr>
      <w:r>
        <w:t>[50] Bien qu’une telle résiliation soit intrinsèquement préjudiciable à l’autre partie, un abus de droit ne peut résulter du seul exercice par le client de la prérogative que lui octroie l’article 2125 C.c.Q. Pour invoquer un abus de droit découlant d’une telle résiliation, l’entrepreneur ou le prestataire de services doit démontrer que le client a agi dans le but de lui nuire, et ce, contrairement aux obligations de bonne foi énoncées aux articles 6, 7 et 1375 C.c.Q., ou a commis une faute distincte qui engendre un préjudice au-delà de ce qui découle de la résiliation. Autrement, l’entrepreneur ou le prestataire de services ne peut obtenir que le paiement des montants énoncés à l’article 2129 C.c.Q.</w:t>
      </w:r>
    </w:p>
    <w:p w14:paraId="74721EEC" w14:textId="77777777" w:rsidR="004C4426" w:rsidRPr="00B576C8" w:rsidRDefault="00BD6B34" w:rsidP="004C4426">
      <w:pPr>
        <w:pStyle w:val="Style-citation"/>
        <w:spacing w:line="240" w:lineRule="auto"/>
        <w:rPr>
          <w:i w:val="0"/>
          <w:iCs/>
          <w:sz w:val="24"/>
          <w:szCs w:val="24"/>
        </w:rPr>
      </w:pPr>
      <w:r w:rsidRPr="00B576C8">
        <w:rPr>
          <w:rFonts w:cs="Arial"/>
          <w:i w:val="0"/>
          <w:iCs/>
          <w:sz w:val="24"/>
          <w:szCs w:val="24"/>
        </w:rPr>
        <w:t>[Références omises]</w:t>
      </w:r>
    </w:p>
    <w:p w14:paraId="59193B9E" w14:textId="77777777" w:rsidR="004C4426" w:rsidRPr="006B61A7" w:rsidRDefault="00BD6B34" w:rsidP="004C4426">
      <w:pPr>
        <w:pStyle w:val="paragrapheno"/>
        <w:spacing w:line="240" w:lineRule="auto"/>
      </w:pPr>
      <w:r>
        <w:t>Enfin, le troisième alinéa de l’article 2129 C.</w:t>
      </w:r>
      <w:r w:rsidR="00875651">
        <w:t>c</w:t>
      </w:r>
      <w:r>
        <w:t xml:space="preserve">.Q. prévoit que le client peut être </w:t>
      </w:r>
      <w:r w:rsidRPr="000F710A">
        <w:rPr>
          <w:i/>
          <w:iCs/>
        </w:rPr>
        <w:t>tenu de tout autre préjudice</w:t>
      </w:r>
      <w:r>
        <w:rPr>
          <w:i/>
          <w:iCs/>
        </w:rPr>
        <w:t>.</w:t>
      </w:r>
    </w:p>
    <w:p w14:paraId="38110E37" w14:textId="77777777" w:rsidR="008B0725" w:rsidRDefault="00BD6B34" w:rsidP="001718A4">
      <w:pPr>
        <w:pStyle w:val="paragrapheno"/>
        <w:spacing w:line="240" w:lineRule="auto"/>
      </w:pPr>
      <w:r w:rsidRPr="007F749B">
        <w:t>La jurisprudence a interprété restrictivement cet alinéa</w:t>
      </w:r>
      <w:r>
        <w:t xml:space="preserve"> et enseigne qu’il ne vise pas le gain manqué par la résiliation unilatérale ou les pertes de profits anticipés</w:t>
      </w:r>
      <w:r>
        <w:rPr>
          <w:rStyle w:val="Appelnotedebasdep"/>
        </w:rPr>
        <w:footnoteReference w:id="93"/>
      </w:r>
      <w:r>
        <w:t>.</w:t>
      </w:r>
    </w:p>
    <w:p w14:paraId="015B2A74" w14:textId="77777777" w:rsidR="009E5777" w:rsidRDefault="00BD6B34" w:rsidP="001718A4">
      <w:pPr>
        <w:pStyle w:val="paragrapheno"/>
        <w:spacing w:line="240" w:lineRule="auto"/>
      </w:pPr>
      <w:r>
        <w:t>Cogir</w:t>
      </w:r>
      <w:r w:rsidR="00620D51">
        <w:t xml:space="preserve"> a donc la faculté </w:t>
      </w:r>
      <w:r>
        <w:t xml:space="preserve">de mettre fin au contrat de service </w:t>
      </w:r>
      <w:r w:rsidR="008F37BE">
        <w:t>de M.</w:t>
      </w:r>
      <w:r w:rsidR="00383FEA">
        <w:t> </w:t>
      </w:r>
      <w:r w:rsidR="008F37BE">
        <w:t xml:space="preserve">Pereira </w:t>
      </w:r>
      <w:r>
        <w:t>en tout temps</w:t>
      </w:r>
      <w:r w:rsidR="00417A84">
        <w:t xml:space="preserve"> pour quelque motif que ce soit. L’obligation de Cogir est alors de payer pour les services rendu</w:t>
      </w:r>
      <w:r w:rsidR="00875651">
        <w:t>s</w:t>
      </w:r>
      <w:r w:rsidR="00417A84">
        <w:t xml:space="preserve"> ju</w:t>
      </w:r>
      <w:r w:rsidR="00DB03B0">
        <w:t xml:space="preserve">squ’à la date de la résiliation du contrat. </w:t>
      </w:r>
    </w:p>
    <w:p w14:paraId="217848C8" w14:textId="77777777" w:rsidR="007D2ADE" w:rsidRPr="00473DD5" w:rsidRDefault="00BD6B34" w:rsidP="001718A4">
      <w:pPr>
        <w:pStyle w:val="paragrapheno"/>
        <w:spacing w:line="240" w:lineRule="auto"/>
      </w:pPr>
      <w:r>
        <w:t>Peu importe</w:t>
      </w:r>
      <w:r w:rsidR="008333B6">
        <w:t xml:space="preserve"> que </w:t>
      </w:r>
      <w:r>
        <w:t xml:space="preserve">le Tribunal retienne comme motif pour la fin du contrat </w:t>
      </w:r>
      <w:r w:rsidR="008333B6">
        <w:t xml:space="preserve">de </w:t>
      </w:r>
      <w:r>
        <w:t>service</w:t>
      </w:r>
      <w:r w:rsidR="008333B6">
        <w:t xml:space="preserve"> </w:t>
      </w:r>
      <w:r w:rsidR="00EC184B">
        <w:t>la pression que suscite la présence de M.</w:t>
      </w:r>
      <w:r w:rsidR="00383FEA">
        <w:t> </w:t>
      </w:r>
      <w:r w:rsidR="00EC184B">
        <w:t>Pereira sur les chantier</w:t>
      </w:r>
      <w:r w:rsidR="00BC4A7D">
        <w:t>s</w:t>
      </w:r>
      <w:r w:rsidR="00EC184B">
        <w:t xml:space="preserve"> ou</w:t>
      </w:r>
      <w:r w:rsidR="00A16319">
        <w:t xml:space="preserve"> </w:t>
      </w:r>
      <w:r w:rsidR="00E01F96">
        <w:t>les trois motifs</w:t>
      </w:r>
      <w:r w:rsidR="00A16319">
        <w:t xml:space="preserve"> invoqués par Cogir, soit cette pression, son manque</w:t>
      </w:r>
      <w:r w:rsidR="00F57D87">
        <w:t xml:space="preserve"> de </w:t>
      </w:r>
      <w:r w:rsidR="00A16319">
        <w:t>qualification et le</w:t>
      </w:r>
      <w:r w:rsidR="006569E1">
        <w:t>s contraintes</w:t>
      </w:r>
      <w:r w:rsidR="00A16319">
        <w:t xml:space="preserve"> </w:t>
      </w:r>
      <w:r w:rsidR="00E04CD2">
        <w:t>budgétaires</w:t>
      </w:r>
      <w:r w:rsidR="00A16319">
        <w:t xml:space="preserve">, </w:t>
      </w:r>
      <w:r w:rsidR="00253AD5">
        <w:t>Cogir</w:t>
      </w:r>
      <w:r w:rsidR="006865B1">
        <w:t xml:space="preserve"> </w:t>
      </w:r>
      <w:r w:rsidR="00F57D87">
        <w:t xml:space="preserve">n’invoque aucune faute de la part de </w:t>
      </w:r>
      <w:r w:rsidR="00392C9F">
        <w:t>M.</w:t>
      </w:r>
      <w:r w:rsidR="00383FEA">
        <w:t> </w:t>
      </w:r>
      <w:r w:rsidR="00392C9F">
        <w:t>Pereira</w:t>
      </w:r>
      <w:r w:rsidR="00F57D87">
        <w:t xml:space="preserve">. Elle s’appuie sur son droit de résilié le contrat unilatéralement comme le prévoit </w:t>
      </w:r>
      <w:r w:rsidR="005B46B7">
        <w:t>l’artic</w:t>
      </w:r>
      <w:r w:rsidR="00432D2F">
        <w:t>l</w:t>
      </w:r>
      <w:r w:rsidR="005B46B7">
        <w:t>e 2125 C.</w:t>
      </w:r>
      <w:r w:rsidR="00875651">
        <w:t>c</w:t>
      </w:r>
      <w:r w:rsidR="005B46B7">
        <w:t xml:space="preserve">.Q. </w:t>
      </w:r>
    </w:p>
    <w:p w14:paraId="1E8CF3AE" w14:textId="77777777" w:rsidR="00E04CD2" w:rsidRDefault="00BD6B34" w:rsidP="00E04CD2">
      <w:pPr>
        <w:pStyle w:val="paragrapheno"/>
        <w:spacing w:line="240" w:lineRule="auto"/>
      </w:pPr>
      <w:r>
        <w:t xml:space="preserve">Cogir pouvait choisir de privilégier l’harmonie sur ses chantiers plutôt que de faire face aux questions ou même mécontentement de qui que ce soit sur ses chantiers, </w:t>
      </w:r>
      <w:r>
        <w:lastRenderedPageBreak/>
        <w:t xml:space="preserve">fussent-ils des représentants de la </w:t>
      </w:r>
      <w:r w:rsidR="00657FB4">
        <w:t>F.T.Q.</w:t>
      </w:r>
      <w:r>
        <w:t>, FTQ-Construction, d’autres syndicats, du Fonds, du Fonds immobilier, des travailleurs ou encore des entrepreneurs.</w:t>
      </w:r>
    </w:p>
    <w:p w14:paraId="206D2315" w14:textId="77777777" w:rsidR="00A94385" w:rsidRDefault="00BD6B34" w:rsidP="002C3394">
      <w:pPr>
        <w:pStyle w:val="paragrapheno"/>
        <w:spacing w:line="240" w:lineRule="auto"/>
      </w:pPr>
      <w:r>
        <w:t xml:space="preserve">Certes </w:t>
      </w:r>
      <w:r w:rsidR="00392C9F">
        <w:t>M.</w:t>
      </w:r>
      <w:r w:rsidR="00383FEA">
        <w:t> </w:t>
      </w:r>
      <w:r w:rsidR="00392C9F">
        <w:t>Pereira</w:t>
      </w:r>
      <w:r>
        <w:t xml:space="preserve"> aurait préféré que Cogir </w:t>
      </w:r>
      <w:r w:rsidR="00227669">
        <w:t xml:space="preserve">affronte les pressions résultant de sa présence sur les chantiers </w:t>
      </w:r>
      <w:r w:rsidR="003F6F7A">
        <w:t xml:space="preserve">mais </w:t>
      </w:r>
      <w:r w:rsidR="00700680">
        <w:t>Cogir a choisi de plutôt mettre un terme à sa relation avec M</w:t>
      </w:r>
      <w:r w:rsidR="003F4BD0">
        <w:t>.</w:t>
      </w:r>
      <w:r w:rsidR="00383FEA">
        <w:t> </w:t>
      </w:r>
      <w:r w:rsidR="00700680">
        <w:t>Pereira</w:t>
      </w:r>
      <w:r w:rsidR="003F4BD0">
        <w:t>. Elle ne commet aucune faute</w:t>
      </w:r>
      <w:r w:rsidR="00746DA3">
        <w:t xml:space="preserve"> contractuelle</w:t>
      </w:r>
      <w:r w:rsidR="003F6F7A">
        <w:t>.</w:t>
      </w:r>
      <w:r w:rsidR="007A01BD">
        <w:t xml:space="preserve"> Elle n’abuse pas non plus de son droit et n’agit pas de mauvaise foi</w:t>
      </w:r>
      <w:r w:rsidR="00AE1A9C">
        <w:t>.</w:t>
      </w:r>
    </w:p>
    <w:p w14:paraId="15E795B1" w14:textId="77777777" w:rsidR="00845EF1" w:rsidRDefault="00BD6B34" w:rsidP="001718A4">
      <w:pPr>
        <w:pStyle w:val="paragrapheno"/>
        <w:spacing w:line="240" w:lineRule="auto"/>
      </w:pPr>
      <w:r>
        <w:t xml:space="preserve">En effet, </w:t>
      </w:r>
      <w:r w:rsidR="004951B9">
        <w:t>M.</w:t>
      </w:r>
      <w:r w:rsidR="00383FEA">
        <w:t> </w:t>
      </w:r>
      <w:r w:rsidR="004951B9">
        <w:t>Leblanc l’informe de la fin de leur relation de manière respectueuse.</w:t>
      </w:r>
      <w:r w:rsidR="00FE7274">
        <w:t xml:space="preserve"> Il lui </w:t>
      </w:r>
      <w:r w:rsidR="002918AF">
        <w:t>parle de façon positive des services qu’il a rendu</w:t>
      </w:r>
      <w:r w:rsidR="00CF1D8B">
        <w:t>s</w:t>
      </w:r>
      <w:r w:rsidR="002918AF">
        <w:t xml:space="preserve"> et lui offre </w:t>
      </w:r>
      <w:r w:rsidR="006E4515">
        <w:t>de lui remettre une lettre de référence</w:t>
      </w:r>
      <w:r w:rsidR="00DB304B">
        <w:t>,</w:t>
      </w:r>
      <w:r w:rsidR="006E4515">
        <w:t xml:space="preserve"> ce qu’il </w:t>
      </w:r>
      <w:r w:rsidR="002C3394">
        <w:t>a</w:t>
      </w:r>
      <w:r w:rsidR="006E4515">
        <w:t xml:space="preserve"> d</w:t>
      </w:r>
      <w:r w:rsidR="00DE6CEB">
        <w:t>’</w:t>
      </w:r>
      <w:r w:rsidR="006E4515">
        <w:t>ailleurs</w:t>
      </w:r>
      <w:r w:rsidR="002C3394">
        <w:t xml:space="preserve"> fait</w:t>
      </w:r>
      <w:r>
        <w:rPr>
          <w:rStyle w:val="Appelnotedebasdep"/>
        </w:rPr>
        <w:footnoteReference w:id="94"/>
      </w:r>
      <w:r w:rsidR="00DE6CEB">
        <w:t>.</w:t>
      </w:r>
      <w:r w:rsidR="002918AF">
        <w:t xml:space="preserve"> </w:t>
      </w:r>
      <w:r w:rsidR="004951B9">
        <w:t xml:space="preserve"> </w:t>
      </w:r>
    </w:p>
    <w:p w14:paraId="706653D8" w14:textId="77777777" w:rsidR="004A1D95" w:rsidRDefault="00BD6B34" w:rsidP="001718A4">
      <w:pPr>
        <w:pStyle w:val="paragrapheno"/>
        <w:spacing w:line="240" w:lineRule="auto"/>
      </w:pPr>
      <w:r>
        <w:t>M.</w:t>
      </w:r>
      <w:r w:rsidR="00383FEA">
        <w:t> </w:t>
      </w:r>
      <w:r>
        <w:t>D</w:t>
      </w:r>
      <w:r w:rsidR="00CD68C5">
        <w:t>ug</w:t>
      </w:r>
      <w:r w:rsidR="00FE7274">
        <w:t xml:space="preserve">uay l’appelle quelques minutes </w:t>
      </w:r>
      <w:r w:rsidR="00C24EEF">
        <w:t>après M.</w:t>
      </w:r>
      <w:r w:rsidR="00383FEA">
        <w:t> </w:t>
      </w:r>
      <w:r w:rsidR="00C24EEF">
        <w:t>Leblanc</w:t>
      </w:r>
      <w:r w:rsidR="00FE7274">
        <w:t xml:space="preserve"> pour le remerci</w:t>
      </w:r>
      <w:r w:rsidR="001967ED">
        <w:t>er</w:t>
      </w:r>
      <w:r w:rsidR="00FE7274">
        <w:t xml:space="preserve"> et lui expliquer le contexte. Il lui dit que </w:t>
      </w:r>
      <w:r w:rsidR="00C24EEF">
        <w:t>s</w:t>
      </w:r>
      <w:r w:rsidR="00FE7274">
        <w:t>a porte est ouverte</w:t>
      </w:r>
      <w:r w:rsidR="00DE432D">
        <w:t>. Il accepte d’ailleurs de le rencontrer un mois plus tard lorsque M.</w:t>
      </w:r>
      <w:r w:rsidR="00383FEA">
        <w:t> </w:t>
      </w:r>
      <w:r w:rsidR="00DE432D">
        <w:t>Pereira lui demande s’il peut aider un entre</w:t>
      </w:r>
      <w:r w:rsidR="0049531A">
        <w:t>preneur</w:t>
      </w:r>
      <w:r w:rsidR="00DE432D">
        <w:t xml:space="preserve"> qu’il connait à avoir un contact avec le Fonds.</w:t>
      </w:r>
    </w:p>
    <w:p w14:paraId="20AB71EE" w14:textId="77777777" w:rsidR="002378AA" w:rsidRDefault="00BD6B34" w:rsidP="002378AA">
      <w:pPr>
        <w:pStyle w:val="paragrapheno"/>
        <w:spacing w:line="240" w:lineRule="auto"/>
      </w:pPr>
      <w:r>
        <w:t>Enfin, M.</w:t>
      </w:r>
      <w:r w:rsidR="00383FEA">
        <w:t> </w:t>
      </w:r>
      <w:r>
        <w:t>Pereira a reconnu que Cogir n’avait rien fait pour lui nuire. Il admet qu’elle était d’ailleurs la seule entreprise à lui donner la chance de remettre les pieds sur un chantier alors qu’il se dit « </w:t>
      </w:r>
      <w:r w:rsidRPr="00AE6388">
        <w:rPr>
          <w:i/>
          <w:iCs/>
        </w:rPr>
        <w:t>barré</w:t>
      </w:r>
      <w:r>
        <w:t> » des chantier</w:t>
      </w:r>
      <w:r w:rsidR="00352AEA">
        <w:t>s</w:t>
      </w:r>
      <w:r>
        <w:t xml:space="preserve"> depuis 2009.</w:t>
      </w:r>
    </w:p>
    <w:p w14:paraId="6C3E7B45" w14:textId="77777777" w:rsidR="00EE6D88" w:rsidRDefault="00BD6B34" w:rsidP="002378AA">
      <w:pPr>
        <w:pStyle w:val="paragrapheno"/>
        <w:spacing w:line="240" w:lineRule="auto"/>
      </w:pPr>
      <w:r>
        <w:t>Cogir n’a donc pas commis de faute en résiliant le contrat de service qui l’unissait à M.</w:t>
      </w:r>
      <w:r w:rsidR="00383FEA">
        <w:t> </w:t>
      </w:r>
      <w:r>
        <w:t>Pereira</w:t>
      </w:r>
      <w:r w:rsidR="008632B8">
        <w:t>.</w:t>
      </w:r>
    </w:p>
    <w:p w14:paraId="340BEEAB" w14:textId="77777777" w:rsidR="00881D22" w:rsidRDefault="00BD6B34" w:rsidP="00300521">
      <w:pPr>
        <w:pStyle w:val="paragrapheno"/>
        <w:spacing w:line="240" w:lineRule="auto"/>
      </w:pPr>
      <w:r w:rsidRPr="00650F8F">
        <w:t>Par ailleurs</w:t>
      </w:r>
      <w:r w:rsidR="009F770E" w:rsidRPr="00650F8F">
        <w:t>,</w:t>
      </w:r>
      <w:r w:rsidRPr="00650F8F">
        <w:t xml:space="preserve"> Cogir reconnaît que si le Tribunal conclu</w:t>
      </w:r>
      <w:r w:rsidR="00B87019">
        <w:t>t</w:t>
      </w:r>
      <w:r w:rsidRPr="00650F8F">
        <w:t xml:space="preserve"> à l’existence d’un </w:t>
      </w:r>
      <w:r w:rsidR="00554138" w:rsidRPr="00650F8F">
        <w:t>contrat</w:t>
      </w:r>
      <w:r w:rsidRPr="00650F8F">
        <w:t xml:space="preserve"> de travail entre elle et M.</w:t>
      </w:r>
      <w:r w:rsidR="00383FEA">
        <w:t> </w:t>
      </w:r>
      <w:r w:rsidRPr="00650F8F">
        <w:t>Pereira</w:t>
      </w:r>
      <w:r w:rsidR="009F770E" w:rsidRPr="00650F8F">
        <w:t xml:space="preserve">, </w:t>
      </w:r>
      <w:r w:rsidR="007D7B1E" w:rsidRPr="00650F8F">
        <w:t xml:space="preserve">il y a eu résiliation du contrat sans motif sérieux et </w:t>
      </w:r>
      <w:r w:rsidR="004B7DB4" w:rsidRPr="00650F8F">
        <w:t>M.</w:t>
      </w:r>
      <w:r w:rsidR="00383FEA">
        <w:t> </w:t>
      </w:r>
      <w:r w:rsidR="004B7DB4" w:rsidRPr="00650F8F">
        <w:t xml:space="preserve">Pereira aurait droit à une </w:t>
      </w:r>
      <w:r w:rsidR="00CF5B7D" w:rsidRPr="00650F8F">
        <w:t>indemnité</w:t>
      </w:r>
      <w:r w:rsidR="004B7DB4" w:rsidRPr="00650F8F">
        <w:t xml:space="preserve"> tenant lieu de délai de congé conformément à l’article </w:t>
      </w:r>
      <w:r w:rsidR="003701E2" w:rsidRPr="00650F8F">
        <w:t>20</w:t>
      </w:r>
      <w:r w:rsidR="00CF5B7D" w:rsidRPr="00650F8F">
        <w:t>91 C</w:t>
      </w:r>
      <w:r w:rsidR="00A445FF">
        <w:t>. c.</w:t>
      </w:r>
      <w:r w:rsidR="00CF5B7D" w:rsidRPr="00650F8F">
        <w:t xml:space="preserve">Q. Le Quantum de cette indemnité est abordé dans la section </w:t>
      </w:r>
      <w:r w:rsidR="000550EA" w:rsidRPr="00650F8F">
        <w:t>portant sur les dommage</w:t>
      </w:r>
      <w:r w:rsidR="00A6330B">
        <w:t>s.</w:t>
      </w:r>
    </w:p>
    <w:p w14:paraId="48CFDF7A" w14:textId="77777777" w:rsidR="005A0FEC" w:rsidRDefault="00BD6B34" w:rsidP="00122779">
      <w:pPr>
        <w:pStyle w:val="paragrapheno"/>
        <w:spacing w:line="240" w:lineRule="auto"/>
      </w:pPr>
      <w:r w:rsidRPr="00831518">
        <w:t>En</w:t>
      </w:r>
      <w:r w:rsidR="00BB2DC5" w:rsidRPr="00831518">
        <w:t xml:space="preserve"> effet, en</w:t>
      </w:r>
      <w:r w:rsidRPr="00831518">
        <w:t xml:space="preserve"> vertu de l’article 2091 C.</w:t>
      </w:r>
      <w:r w:rsidR="00A445FF">
        <w:t>c</w:t>
      </w:r>
      <w:r w:rsidRPr="00831518">
        <w:t>.Q. l’employeur peut mettre fin au contrat de travail sans motif sérieux en donnant à l’employé un préavis ou en lui remettant une indemnité en tenant lieu. La résiliation du contrat de travail en remettant un préavis raisonnable ou une indemnité en tenant lieu n’est pas en soi une faute</w:t>
      </w:r>
      <w:r>
        <w:rPr>
          <w:rStyle w:val="Appelnotedebasdep"/>
        </w:rPr>
        <w:footnoteReference w:id="95"/>
      </w:r>
      <w:r w:rsidRPr="00831518">
        <w:t xml:space="preserve">. </w:t>
      </w:r>
      <w:r w:rsidR="00E57BC2">
        <w:t>P</w:t>
      </w:r>
      <w:r w:rsidRPr="00831518">
        <w:t>our que l’employé ait droit à des dommages moraux en plus du délai de congé</w:t>
      </w:r>
      <w:r w:rsidR="00AE7CA4" w:rsidRPr="00AE7CA4">
        <w:t xml:space="preserve"> </w:t>
      </w:r>
      <w:r w:rsidR="00AE7CA4" w:rsidRPr="00831518">
        <w:t>ou de l’indemnité en tenant lieu</w:t>
      </w:r>
      <w:r w:rsidRPr="00831518">
        <w:t xml:space="preserve"> </w:t>
      </w:r>
      <w:r w:rsidR="00BA6FDB">
        <w:t>prévu à l’article 2091 C</w:t>
      </w:r>
      <w:r w:rsidR="00A445FF">
        <w:t>.c.</w:t>
      </w:r>
      <w:r w:rsidR="00BA6FDB">
        <w:t>Q</w:t>
      </w:r>
      <w:r w:rsidR="00E57BC2">
        <w:t>, il doit démontrer que l’employeur a abusé de son droit de mettre fin à son emploi.</w:t>
      </w:r>
    </w:p>
    <w:p w14:paraId="69BD1E7D" w14:textId="77777777" w:rsidR="00991F9F" w:rsidRPr="00122779" w:rsidRDefault="00BD6B34" w:rsidP="001718A4">
      <w:pPr>
        <w:pStyle w:val="Titre2"/>
        <w:spacing w:line="240" w:lineRule="auto"/>
      </w:pPr>
      <w:r w:rsidRPr="00122779">
        <w:lastRenderedPageBreak/>
        <w:t>M.</w:t>
      </w:r>
      <w:r w:rsidR="00383FEA">
        <w:t> </w:t>
      </w:r>
      <w:r w:rsidRPr="00122779">
        <w:t>Pereira a-t-il droit aux dommages réclamés ?</w:t>
      </w:r>
    </w:p>
    <w:p w14:paraId="17479314" w14:textId="77777777" w:rsidR="00991F9F" w:rsidRPr="00CD57FB" w:rsidRDefault="00BD6B34" w:rsidP="001718A4">
      <w:pPr>
        <w:pStyle w:val="Titre3"/>
        <w:spacing w:line="240" w:lineRule="auto"/>
      </w:pPr>
      <w:r w:rsidRPr="00CD57FB">
        <w:t>Salaire perdu de 2018 à l’âge de la retraite en 2030, soit 1</w:t>
      </w:r>
      <w:r w:rsidR="00611719">
        <w:t> 620 </w:t>
      </w:r>
      <w:r w:rsidRPr="00CD57FB">
        <w:t>000</w:t>
      </w:r>
      <w:r w:rsidR="00EB11F2">
        <w:t> </w:t>
      </w:r>
      <w:r w:rsidRPr="00CD57FB">
        <w:t>$</w:t>
      </w:r>
    </w:p>
    <w:p w14:paraId="2FE22ECC" w14:textId="77777777" w:rsidR="00261A74" w:rsidRDefault="00BD6B34" w:rsidP="001718A4">
      <w:pPr>
        <w:pStyle w:val="paragrapheno"/>
        <w:spacing w:line="240" w:lineRule="auto"/>
      </w:pPr>
      <w:r>
        <w:t xml:space="preserve">Comme </w:t>
      </w:r>
      <w:r w:rsidR="00655DF1">
        <w:t>Cogir met fin à un contrat de service</w:t>
      </w:r>
      <w:r w:rsidR="00C202C8">
        <w:t>, l</w:t>
      </w:r>
      <w:r w:rsidR="0050672E">
        <w:t xml:space="preserve">’article </w:t>
      </w:r>
      <w:r w:rsidR="00A32067">
        <w:t>2129</w:t>
      </w:r>
      <w:r w:rsidR="008C0FC6">
        <w:t xml:space="preserve"> </w:t>
      </w:r>
      <w:r w:rsidR="00A445FF">
        <w:t xml:space="preserve">C.c.Q </w:t>
      </w:r>
      <w:r w:rsidR="008C0FC6">
        <w:t>prévoit qu</w:t>
      </w:r>
      <w:r w:rsidR="00CF382D">
        <w:t>e M.</w:t>
      </w:r>
      <w:r w:rsidR="00383FEA">
        <w:t> </w:t>
      </w:r>
      <w:r w:rsidR="00CF382D">
        <w:t>Pereira</w:t>
      </w:r>
      <w:r w:rsidR="008C0FC6">
        <w:t xml:space="preserve"> a droit à la rémunération pour les services </w:t>
      </w:r>
      <w:r w:rsidR="008C0FC6" w:rsidRPr="00CD57FB">
        <w:t>rendus</w:t>
      </w:r>
      <w:r w:rsidR="00EC74BD">
        <w:t xml:space="preserve"> </w:t>
      </w:r>
      <w:r w:rsidR="00C252DE">
        <w:t>jusqu’à la date de la résiliation.</w:t>
      </w:r>
      <w:r w:rsidR="00C202C8" w:rsidRPr="00C202C8">
        <w:t xml:space="preserve"> </w:t>
      </w:r>
      <w:r w:rsidR="00771D18">
        <w:t>L</w:t>
      </w:r>
      <w:r w:rsidR="001B0F97">
        <w:t>e 3</w:t>
      </w:r>
      <w:r w:rsidR="001B0F97" w:rsidRPr="001B0F97">
        <w:rPr>
          <w:vertAlign w:val="superscript"/>
        </w:rPr>
        <w:t>e</w:t>
      </w:r>
      <w:r w:rsidR="001B0F97">
        <w:t xml:space="preserve"> alinéa de l’article 2129 </w:t>
      </w:r>
      <w:r w:rsidR="00A445FF">
        <w:t xml:space="preserve">C.c.Q </w:t>
      </w:r>
      <w:r w:rsidR="001B0F97">
        <w:t>prévoit que M.</w:t>
      </w:r>
      <w:r w:rsidR="00383FEA">
        <w:t> </w:t>
      </w:r>
      <w:r w:rsidR="001B0F97">
        <w:t>Pereira pourrait aussi avoir droit</w:t>
      </w:r>
      <w:r w:rsidR="00E23099">
        <w:t xml:space="preserve"> </w:t>
      </w:r>
      <w:r w:rsidR="004E0944">
        <w:t>à des dommages pour compenser le préjudice qu’il subit en raison de la résiliation du contrat de service. Cet alinéa a été interprété restrictivement et ne vise pas</w:t>
      </w:r>
      <w:r w:rsidR="00C202C8">
        <w:t xml:space="preserve"> les gains manqués pour le futur</w:t>
      </w:r>
      <w:r>
        <w:rPr>
          <w:rStyle w:val="Appelnotedebasdep"/>
        </w:rPr>
        <w:footnoteReference w:id="96"/>
      </w:r>
      <w:r w:rsidR="00C202C8">
        <w:t>.</w:t>
      </w:r>
    </w:p>
    <w:p w14:paraId="132A1B5C" w14:textId="77777777" w:rsidR="00654619" w:rsidRDefault="00BD6B34" w:rsidP="001718A4">
      <w:pPr>
        <w:pStyle w:val="paragrapheno"/>
        <w:spacing w:line="240" w:lineRule="auto"/>
      </w:pPr>
      <w:r>
        <w:t>Comme i</w:t>
      </w:r>
      <w:r w:rsidR="00C252DE">
        <w:t xml:space="preserve">l </w:t>
      </w:r>
      <w:r w:rsidR="00523946">
        <w:t>reconnaît</w:t>
      </w:r>
      <w:r w:rsidR="00C252DE">
        <w:t xml:space="preserve"> avoir été payé pour </w:t>
      </w:r>
      <w:r w:rsidR="000F3562">
        <w:t>tous les services qu’</w:t>
      </w:r>
      <w:r w:rsidR="004A235D">
        <w:t>il a rendu</w:t>
      </w:r>
      <w:r w:rsidR="005639CA">
        <w:t>s</w:t>
      </w:r>
      <w:r w:rsidR="00B17677">
        <w:t>, M.</w:t>
      </w:r>
      <w:r w:rsidR="00383FEA">
        <w:t> </w:t>
      </w:r>
      <w:r w:rsidR="00B17677">
        <w:t>Pereira n’a droit à rien de plus</w:t>
      </w:r>
      <w:r w:rsidR="00665047">
        <w:t>.</w:t>
      </w:r>
    </w:p>
    <w:p w14:paraId="51684454" w14:textId="77777777" w:rsidR="00991F9F" w:rsidRDefault="00BD6B34" w:rsidP="001718A4">
      <w:pPr>
        <w:pStyle w:val="paragrapheno"/>
        <w:spacing w:line="240" w:lineRule="auto"/>
      </w:pPr>
      <w:r>
        <w:t>Par ailleurs, même si le Tribunal avait conclu que la nature du contrat entre Cogir et M.</w:t>
      </w:r>
      <w:r w:rsidR="00383FEA">
        <w:t> </w:t>
      </w:r>
      <w:r>
        <w:t xml:space="preserve">Pereira est un contrat de travail, Cogir pouvait y mettre fin en tout temps même sans motif suffisant en versant une indemnité tenant lieu de </w:t>
      </w:r>
      <w:r w:rsidR="007176AC">
        <w:t>délai</w:t>
      </w:r>
      <w:r w:rsidR="005639CA">
        <w:t>-</w:t>
      </w:r>
      <w:r w:rsidR="007176AC">
        <w:t>cong</w:t>
      </w:r>
      <w:r w:rsidR="003F0C3D">
        <w:t>é</w:t>
      </w:r>
      <w:r>
        <w:rPr>
          <w:rStyle w:val="Appelnotedebasdep"/>
        </w:rPr>
        <w:footnoteReference w:id="97"/>
      </w:r>
      <w:r>
        <w:t xml:space="preserve">. </w:t>
      </w:r>
    </w:p>
    <w:p w14:paraId="2812354A" w14:textId="77777777" w:rsidR="00991F9F" w:rsidRPr="00346D81" w:rsidRDefault="00BD6B34" w:rsidP="002F775B">
      <w:pPr>
        <w:pStyle w:val="paragrapheno"/>
        <w:spacing w:line="240" w:lineRule="auto"/>
      </w:pPr>
      <w:r w:rsidRPr="00346D81">
        <w:t xml:space="preserve">Le montant de cette indemnité </w:t>
      </w:r>
      <w:r w:rsidR="000D7421" w:rsidRPr="00346D81">
        <w:t xml:space="preserve">est </w:t>
      </w:r>
      <w:r w:rsidR="00C97D55" w:rsidRPr="00346D81">
        <w:t>établi</w:t>
      </w:r>
      <w:r w:rsidRPr="00346D81">
        <w:t xml:space="preserve"> en fonction de plusieurs facteur</w:t>
      </w:r>
      <w:r w:rsidR="007176AC" w:rsidRPr="00346D81">
        <w:t>s</w:t>
      </w:r>
      <w:r w:rsidR="004A5B55">
        <w:t>,</w:t>
      </w:r>
      <w:r w:rsidRPr="00346D81">
        <w:t xml:space="preserve"> dont l’importance du poste dans l’entreprise</w:t>
      </w:r>
      <w:r w:rsidR="00F02D30" w:rsidRPr="00346D81">
        <w:t xml:space="preserve">, </w:t>
      </w:r>
      <w:r w:rsidR="001F3088" w:rsidRPr="00346D81">
        <w:t>les circonstances</w:t>
      </w:r>
      <w:r w:rsidR="00F02D30" w:rsidRPr="00346D81">
        <w:t xml:space="preserve"> de l’embauche</w:t>
      </w:r>
      <w:r w:rsidR="000209BB" w:rsidRPr="00346D81">
        <w:t xml:space="preserve"> et</w:t>
      </w:r>
      <w:r w:rsidRPr="00346D81">
        <w:t xml:space="preserve"> la durée de service</w:t>
      </w:r>
      <w:r>
        <w:rPr>
          <w:rStyle w:val="Appelnotedebasdep"/>
        </w:rPr>
        <w:footnoteReference w:id="98"/>
      </w:r>
      <w:r w:rsidRPr="00346D81">
        <w:t>.</w:t>
      </w:r>
    </w:p>
    <w:p w14:paraId="5D932B80" w14:textId="77777777" w:rsidR="00930365" w:rsidRDefault="00BD6B34" w:rsidP="005E1E98">
      <w:pPr>
        <w:pStyle w:val="paragrapheno"/>
        <w:spacing w:line="240" w:lineRule="auto"/>
      </w:pPr>
      <w:r>
        <w:t>En l’espèce, M.</w:t>
      </w:r>
      <w:r w:rsidR="00383FEA">
        <w:t> </w:t>
      </w:r>
      <w:r>
        <w:t xml:space="preserve">Pereira </w:t>
      </w:r>
      <w:r w:rsidR="00B95518">
        <w:t>reconnaît</w:t>
      </w:r>
      <w:r>
        <w:t xml:space="preserve"> avoir </w:t>
      </w:r>
      <w:r w:rsidR="00C02196">
        <w:t>agi</w:t>
      </w:r>
      <w:r>
        <w:t xml:space="preserve"> comme homme à tout faire pendant </w:t>
      </w:r>
      <w:r w:rsidR="00B53840">
        <w:t>deux</w:t>
      </w:r>
      <w:r>
        <w:t xml:space="preserve"> </w:t>
      </w:r>
      <w:r w:rsidR="00FC7574">
        <w:t>mois, il</w:t>
      </w:r>
      <w:r>
        <w:t xml:space="preserve"> n’a pas quitté un emploi rémunérateur de longue date pour se joindre à Cogir</w:t>
      </w:r>
      <w:r w:rsidR="00C02196">
        <w:t xml:space="preserve"> et il reconnaît n’avoir eu </w:t>
      </w:r>
      <w:r w:rsidR="00662CFE">
        <w:t>aucune promesse</w:t>
      </w:r>
      <w:r w:rsidR="00C02196">
        <w:t xml:space="preserve"> quant à la durée de </w:t>
      </w:r>
      <w:r w:rsidR="00FC7574">
        <w:t>son contrat avec Cogir. Il reconnaît également que dans l’industrie de la construction il n’y a aucune garantie quant à la durée d’un emploi</w:t>
      </w:r>
      <w:r>
        <w:t>.</w:t>
      </w:r>
    </w:p>
    <w:p w14:paraId="71F8C29C" w14:textId="77777777" w:rsidR="00991F9F" w:rsidRPr="00125283" w:rsidRDefault="00BD6B34" w:rsidP="005E1E98">
      <w:pPr>
        <w:pStyle w:val="paragrapheno"/>
        <w:spacing w:line="240" w:lineRule="auto"/>
      </w:pPr>
      <w:r>
        <w:t xml:space="preserve">Le </w:t>
      </w:r>
      <w:r w:rsidR="00C97D55">
        <w:t>T</w:t>
      </w:r>
      <w:r>
        <w:t>ribunal évalue à une semaine de rémunération l’indemnité à laquelle il aurait pu avoir droit</w:t>
      </w:r>
      <w:r w:rsidR="00386025">
        <w:t xml:space="preserve"> si le Tribunal avait conclu à l’existence d’un contrat de </w:t>
      </w:r>
      <w:r w:rsidR="003D247E">
        <w:t>travail.</w:t>
      </w:r>
    </w:p>
    <w:p w14:paraId="6F4ED733" w14:textId="77777777" w:rsidR="00991F9F" w:rsidRPr="00F062CC" w:rsidRDefault="00BD6B34" w:rsidP="005E1E98">
      <w:pPr>
        <w:pStyle w:val="paragrapheno"/>
        <w:spacing w:line="240" w:lineRule="auto"/>
      </w:pPr>
      <w:r w:rsidRPr="00F062CC">
        <w:t>Quant au Fonds</w:t>
      </w:r>
      <w:r>
        <w:t>,</w:t>
      </w:r>
      <w:r w:rsidRPr="00F062CC">
        <w:t xml:space="preserve"> même si le Tribunal avait conclu à une faute, ce qu’il ne fait pas, le Fonds ne pourrait pas être tenu responsable de dommages plus élevés que ceux auxquels pourraient être condamné Cogir</w:t>
      </w:r>
      <w:r>
        <w:t xml:space="preserve"> puisque </w:t>
      </w:r>
      <w:r w:rsidR="00BE7439">
        <w:t>le préjudice de M.</w:t>
      </w:r>
      <w:r w:rsidR="00383FEA">
        <w:t> </w:t>
      </w:r>
      <w:r w:rsidR="00BE7439">
        <w:t xml:space="preserve">Pereira </w:t>
      </w:r>
      <w:r>
        <w:t>est la perte de s</w:t>
      </w:r>
      <w:r w:rsidR="00AD77FF">
        <w:t>on contrat</w:t>
      </w:r>
      <w:r>
        <w:t xml:space="preserve"> avec Cogir et que Cogir pouvait y mettre fin au mieux pour M.</w:t>
      </w:r>
      <w:r w:rsidR="00383FEA">
        <w:t> </w:t>
      </w:r>
      <w:r>
        <w:t>Pereira en lui payant une indemnité tenant lieu de délai</w:t>
      </w:r>
      <w:r w:rsidR="005639CA">
        <w:t>-</w:t>
      </w:r>
      <w:r>
        <w:t xml:space="preserve">congé équivalente à une semaine de </w:t>
      </w:r>
      <w:r w:rsidR="001E5024">
        <w:t>rémunération</w:t>
      </w:r>
      <w:r>
        <w:t>.</w:t>
      </w:r>
    </w:p>
    <w:p w14:paraId="3EA2BB89" w14:textId="77777777" w:rsidR="00991F9F" w:rsidRDefault="00BD6B34" w:rsidP="005E1E98">
      <w:pPr>
        <w:pStyle w:val="Titre3"/>
        <w:spacing w:line="240" w:lineRule="auto"/>
      </w:pPr>
      <w:r>
        <w:lastRenderedPageBreak/>
        <w:t>Dommages moraux de 500</w:t>
      </w:r>
      <w:r w:rsidR="00352DDA">
        <w:t> </w:t>
      </w:r>
      <w:r>
        <w:t>000</w:t>
      </w:r>
      <w:r w:rsidR="00EB11F2">
        <w:t> </w:t>
      </w:r>
      <w:r>
        <w:t>$</w:t>
      </w:r>
    </w:p>
    <w:p w14:paraId="040141ED" w14:textId="77777777" w:rsidR="00991F9F" w:rsidRDefault="00BD6B34" w:rsidP="002F775B">
      <w:pPr>
        <w:pStyle w:val="paragrapheno"/>
        <w:spacing w:line="240" w:lineRule="auto"/>
      </w:pPr>
      <w:r>
        <w:t>M.</w:t>
      </w:r>
      <w:r w:rsidR="00383FEA">
        <w:t> </w:t>
      </w:r>
      <w:r>
        <w:t xml:space="preserve">Pereira </w:t>
      </w:r>
      <w:r w:rsidR="00B05BF4">
        <w:t xml:space="preserve">réclame </w:t>
      </w:r>
      <w:r>
        <w:t>500</w:t>
      </w:r>
      <w:r w:rsidR="00352DDA">
        <w:t> </w:t>
      </w:r>
      <w:r>
        <w:t>000</w:t>
      </w:r>
      <w:r w:rsidR="00C83920">
        <w:t> </w:t>
      </w:r>
      <w:r>
        <w:t>$ en dommages moraux pour les motifs suivants</w:t>
      </w:r>
      <w:r>
        <w:rPr>
          <w:rStyle w:val="Appelnotedebasdep"/>
        </w:rPr>
        <w:footnoteReference w:id="99"/>
      </w:r>
    </w:p>
    <w:p w14:paraId="3F4ADBB1" w14:textId="77777777" w:rsidR="00991F9F" w:rsidRDefault="00BD6B34" w:rsidP="00C84D5C">
      <w:pPr>
        <w:pStyle w:val="Puce1"/>
        <w:spacing w:before="60" w:after="60"/>
        <w:ind w:left="1077" w:hanging="357"/>
      </w:pPr>
      <w:r>
        <w:t>La perte de son droit de travailler dans son domaine et dans la région où sa famille est établie;</w:t>
      </w:r>
    </w:p>
    <w:p w14:paraId="35DAF0CA" w14:textId="77777777" w:rsidR="00991F9F" w:rsidRDefault="00BD6B34" w:rsidP="00C84D5C">
      <w:pPr>
        <w:pStyle w:val="Puce1"/>
        <w:spacing w:before="60" w:after="60"/>
        <w:ind w:left="1077" w:hanging="357"/>
      </w:pPr>
      <w:r>
        <w:t>Le bris d’équilibre au sein de sa famille en raison de l’annihilation de son droit de travailler;</w:t>
      </w:r>
    </w:p>
    <w:p w14:paraId="2B5446E8" w14:textId="77777777" w:rsidR="00991F9F" w:rsidRDefault="00BD6B34" w:rsidP="00C84D5C">
      <w:pPr>
        <w:pStyle w:val="Puce1"/>
        <w:spacing w:before="60" w:after="60"/>
        <w:ind w:left="1077" w:hanging="357"/>
      </w:pPr>
      <w:r>
        <w:t>Le temps qu’il n’a pu consacrer à sa famille en raison des présentes procédures judiciaires; et</w:t>
      </w:r>
    </w:p>
    <w:p w14:paraId="5B30FDBC" w14:textId="77777777" w:rsidR="00991F9F" w:rsidRDefault="00BD6B34" w:rsidP="00C84D5C">
      <w:pPr>
        <w:pStyle w:val="Puce1"/>
        <w:spacing w:before="60" w:after="60"/>
        <w:ind w:left="1077" w:hanging="357"/>
      </w:pPr>
      <w:r>
        <w:t>l’anxiété vécue par lui et sa famille relativement à leur avenir financier.</w:t>
      </w:r>
    </w:p>
    <w:p w14:paraId="0182EBC5" w14:textId="77777777" w:rsidR="00E34B2E" w:rsidRPr="00122779" w:rsidRDefault="00BD6B34" w:rsidP="002F775B">
      <w:pPr>
        <w:pStyle w:val="paragrapheno"/>
        <w:spacing w:line="240" w:lineRule="auto"/>
      </w:pPr>
      <w:r w:rsidRPr="00122779">
        <w:t>L</w:t>
      </w:r>
      <w:r w:rsidR="00BC5A42" w:rsidRPr="00122779">
        <w:t>a</w:t>
      </w:r>
      <w:r w:rsidRPr="00122779">
        <w:t xml:space="preserve"> preuve ne démontre aucune faute </w:t>
      </w:r>
      <w:r w:rsidR="00163618" w:rsidRPr="00122779">
        <w:t xml:space="preserve">ou abus de droit </w:t>
      </w:r>
      <w:r w:rsidRPr="00122779">
        <w:t>que ce soit de la part de</w:t>
      </w:r>
      <w:r w:rsidR="00BC5A42" w:rsidRPr="00122779">
        <w:t xml:space="preserve"> Cogir ou du Fonds comme mentionné précédemment.</w:t>
      </w:r>
    </w:p>
    <w:p w14:paraId="169B8936" w14:textId="77777777" w:rsidR="00477D5B" w:rsidRDefault="00BD6B34" w:rsidP="00F86468">
      <w:pPr>
        <w:pStyle w:val="paragrapheno"/>
        <w:spacing w:line="240" w:lineRule="auto"/>
      </w:pPr>
      <w:r>
        <w:t xml:space="preserve">Même si le Tribunal avait </w:t>
      </w:r>
      <w:r w:rsidR="00AF47CB">
        <w:t>conclu</w:t>
      </w:r>
      <w:r>
        <w:t xml:space="preserve"> à une faute </w:t>
      </w:r>
      <w:r w:rsidR="007C1822">
        <w:t xml:space="preserve">distincte </w:t>
      </w:r>
      <w:r w:rsidR="00140B80">
        <w:t>parce que Cogir avait abusé de son droit de résilier le contrat</w:t>
      </w:r>
      <w:r w:rsidR="00C356CF">
        <w:t xml:space="preserve"> de service ou le contrat de travail</w:t>
      </w:r>
      <w:r>
        <w:t>, M.</w:t>
      </w:r>
      <w:r w:rsidR="00383FEA">
        <w:t> </w:t>
      </w:r>
      <w:r>
        <w:t>Pe</w:t>
      </w:r>
      <w:r w:rsidR="00721483">
        <w:t>reira ne fait pas la preuve de ses dommages.</w:t>
      </w:r>
    </w:p>
    <w:p w14:paraId="67EB8946" w14:textId="77777777" w:rsidR="00991F9F" w:rsidRDefault="00BD6B34" w:rsidP="00F86468">
      <w:pPr>
        <w:pStyle w:val="paragrapheno"/>
        <w:spacing w:line="240" w:lineRule="auto"/>
      </w:pPr>
      <w:r>
        <w:t xml:space="preserve">Bien que le Tribunal puisse apprécier que l’impossibilité de travailler dans son domaine de formation puisse créer un préjudice </w:t>
      </w:r>
      <w:r w:rsidR="005C484B">
        <w:t>lorsque</w:t>
      </w:r>
      <w:r>
        <w:t xml:space="preserve"> cette impossibilité </w:t>
      </w:r>
      <w:r w:rsidR="005C484B">
        <w:t xml:space="preserve">résulte </w:t>
      </w:r>
      <w:r w:rsidR="00247155">
        <w:t>du comportement d’un tiers</w:t>
      </w:r>
      <w:r>
        <w:t>, M.</w:t>
      </w:r>
      <w:r w:rsidR="00383FEA">
        <w:t> </w:t>
      </w:r>
      <w:r>
        <w:t>Pereira n’a administré aucune preuve à l’égard de ce préjudice moral</w:t>
      </w:r>
      <w:r w:rsidR="00BD7185">
        <w:t>.</w:t>
      </w:r>
      <w:r>
        <w:t xml:space="preserve"> Le témoignage de M.</w:t>
      </w:r>
      <w:r w:rsidR="00383FEA">
        <w:t> </w:t>
      </w:r>
      <w:r>
        <w:t>Pereira a surtout porté sur le passé</w:t>
      </w:r>
      <w:r w:rsidR="00120978">
        <w:t xml:space="preserve">, soit ses difficultés </w:t>
      </w:r>
      <w:r>
        <w:t>de travaille</w:t>
      </w:r>
      <w:r w:rsidR="00A8250F">
        <w:t>r</w:t>
      </w:r>
      <w:r>
        <w:t xml:space="preserve"> en Alberta et son refus de travailler à nouveau dans cette </w:t>
      </w:r>
      <w:r w:rsidR="00DD1DB5">
        <w:t>province</w:t>
      </w:r>
      <w:r w:rsidR="009D4FF9">
        <w:t>,</w:t>
      </w:r>
      <w:r>
        <w:t xml:space="preserve"> car il s’éloigne de sa famille mais sans plus. </w:t>
      </w:r>
    </w:p>
    <w:p w14:paraId="51FE31A9" w14:textId="77777777" w:rsidR="00991F9F" w:rsidRDefault="00BD6B34" w:rsidP="00F86468">
      <w:pPr>
        <w:pStyle w:val="paragrapheno"/>
        <w:spacing w:line="240" w:lineRule="auto"/>
      </w:pPr>
      <w:r>
        <w:t>Son témoignage a aussi porté sur l’anxiété causé</w:t>
      </w:r>
      <w:r w:rsidR="003C58CE">
        <w:t>e</w:t>
      </w:r>
      <w:r>
        <w:t xml:space="preserve"> par les menace</w:t>
      </w:r>
      <w:r w:rsidR="00C340C1">
        <w:t>s</w:t>
      </w:r>
      <w:r>
        <w:t xml:space="preserve"> qu’il a reçues du crime organisé et de </w:t>
      </w:r>
      <w:r w:rsidR="00415A0A">
        <w:t>personnes criminalisées</w:t>
      </w:r>
      <w:r>
        <w:t xml:space="preserve"> au sein de l’industrie de la construction après son passage à la Commission Charbonneau et à la suite de ses différente dénonciation ou implication dans </w:t>
      </w:r>
      <w:r w:rsidR="00F9617D">
        <w:t>deux projets</w:t>
      </w:r>
      <w:r>
        <w:t xml:space="preserve"> de loi. On peut très bien comprendre l’anxiété vécu</w:t>
      </w:r>
      <w:r w:rsidR="00561ABF">
        <w:t>e</w:t>
      </w:r>
      <w:r>
        <w:t xml:space="preserve"> par M.</w:t>
      </w:r>
      <w:r w:rsidR="00383FEA">
        <w:t> </w:t>
      </w:r>
      <w:r>
        <w:t>Pereira et sa famille. Toutefois ces évènements sont bien antérieurs à sa relation avec Cogir</w:t>
      </w:r>
      <w:r w:rsidR="00A43675">
        <w:t xml:space="preserve"> et aux évènements mis en preuve dans le présent dossier</w:t>
      </w:r>
      <w:r>
        <w:t xml:space="preserve">. </w:t>
      </w:r>
    </w:p>
    <w:p w14:paraId="1FC3FFDB" w14:textId="77777777" w:rsidR="00991F9F" w:rsidRPr="00774583" w:rsidRDefault="00BD6B34" w:rsidP="00774583">
      <w:pPr>
        <w:pStyle w:val="paragrapheno"/>
        <w:spacing w:line="240" w:lineRule="auto"/>
      </w:pPr>
      <w:r>
        <w:t xml:space="preserve">Quant à l’anxiété pour </w:t>
      </w:r>
      <w:r w:rsidR="00F4297A">
        <w:t>son</w:t>
      </w:r>
      <w:r>
        <w:t xml:space="preserve"> avenir financier, M.</w:t>
      </w:r>
      <w:r w:rsidR="00383FEA">
        <w:t> </w:t>
      </w:r>
      <w:r>
        <w:t xml:space="preserve">Pereira </w:t>
      </w:r>
      <w:r w:rsidR="00E84CD4">
        <w:t>n’a présenté aucune preuve</w:t>
      </w:r>
      <w:r w:rsidR="0096340D">
        <w:t xml:space="preserve"> et il n’a </w:t>
      </w:r>
      <w:r>
        <w:t xml:space="preserve">pas remis </w:t>
      </w:r>
      <w:r w:rsidR="002C2646">
        <w:t>ses déclarations</w:t>
      </w:r>
      <w:r>
        <w:t xml:space="preserve"> de revenus</w:t>
      </w:r>
      <w:r w:rsidR="002C2B06">
        <w:t xml:space="preserve"> bien que sommé de la faire </w:t>
      </w:r>
      <w:r w:rsidR="001D192A">
        <w:t xml:space="preserve">à plusieurs occasions et même par une </w:t>
      </w:r>
      <w:r w:rsidR="00AF718C">
        <w:t>citation</w:t>
      </w:r>
      <w:r w:rsidR="001D192A">
        <w:t xml:space="preserve"> à comparaître</w:t>
      </w:r>
      <w:r w:rsidR="00AF718C">
        <w:t>.</w:t>
      </w:r>
    </w:p>
    <w:p w14:paraId="3D3B37C5" w14:textId="77777777" w:rsidR="00991F9F" w:rsidRDefault="00BD6B34" w:rsidP="00F86468">
      <w:pPr>
        <w:pStyle w:val="paragrapheno"/>
        <w:spacing w:line="240" w:lineRule="auto"/>
      </w:pPr>
      <w:r>
        <w:t>Quant à la perte de temps pour préparer ce dossier, la jurisprudence enseigne qu’il ne s’agit pas d’un préjudice indemnisable</w:t>
      </w:r>
      <w:r>
        <w:rPr>
          <w:rStyle w:val="Appelnotedebasdep"/>
        </w:rPr>
        <w:footnoteReference w:id="100"/>
      </w:r>
      <w:r>
        <w:t>.</w:t>
      </w:r>
    </w:p>
    <w:p w14:paraId="23D757C9" w14:textId="77777777" w:rsidR="00991F9F" w:rsidRDefault="00BD6B34" w:rsidP="00F86468">
      <w:pPr>
        <w:pStyle w:val="Titre3"/>
        <w:spacing w:line="240" w:lineRule="auto"/>
      </w:pPr>
      <w:r>
        <w:lastRenderedPageBreak/>
        <w:t>Dommages exemplaires de 1</w:t>
      </w:r>
      <w:r w:rsidR="00352DDA">
        <w:t> 500 </w:t>
      </w:r>
      <w:r>
        <w:t>000</w:t>
      </w:r>
      <w:r w:rsidR="00C83920">
        <w:t> </w:t>
      </w:r>
      <w:r>
        <w:t>$</w:t>
      </w:r>
    </w:p>
    <w:p w14:paraId="174F7DFB" w14:textId="77777777" w:rsidR="006327E3" w:rsidRDefault="00BD6B34" w:rsidP="006327E3">
      <w:pPr>
        <w:pStyle w:val="paragrapheno"/>
      </w:pPr>
      <w:r>
        <w:t>M.</w:t>
      </w:r>
      <w:r w:rsidR="00383FEA">
        <w:t> </w:t>
      </w:r>
      <w:r>
        <w:t xml:space="preserve">Pereira réclame des dommages punitifs. </w:t>
      </w:r>
    </w:p>
    <w:p w14:paraId="5FA0D65B" w14:textId="77777777" w:rsidR="006327E3" w:rsidRDefault="00BD6B34" w:rsidP="006327E3">
      <w:pPr>
        <w:pStyle w:val="paragrapheno"/>
        <w:spacing w:line="240" w:lineRule="auto"/>
      </w:pPr>
      <w:r>
        <w:t>Ceux-ci ne peuvent être accordé</w:t>
      </w:r>
      <w:r w:rsidR="00561ABF">
        <w:t>s</w:t>
      </w:r>
      <w:r>
        <w:t xml:space="preserve"> que si la loi le prévoit. </w:t>
      </w:r>
    </w:p>
    <w:p w14:paraId="384C4889" w14:textId="77777777" w:rsidR="006327E3" w:rsidRDefault="00BD6B34" w:rsidP="006327E3">
      <w:pPr>
        <w:pStyle w:val="paragrapheno"/>
        <w:spacing w:line="240" w:lineRule="auto"/>
      </w:pPr>
      <w:r>
        <w:t>En l’espèce, M.</w:t>
      </w:r>
      <w:r w:rsidR="00383FEA">
        <w:t> </w:t>
      </w:r>
      <w:r>
        <w:t>Pereira fonde sa demande de dommages punitifs sur l’article 49 de la Charte puisqu’il invoque une atteinte à ses droits fondamentaux prévu</w:t>
      </w:r>
      <w:r w:rsidR="00561ABF">
        <w:t>e</w:t>
      </w:r>
      <w:r>
        <w:t xml:space="preserve"> à la Charte.</w:t>
      </w:r>
    </w:p>
    <w:p w14:paraId="618783B0" w14:textId="77777777" w:rsidR="006327E3" w:rsidRDefault="00BD6B34" w:rsidP="006327E3">
      <w:pPr>
        <w:pStyle w:val="paragrapheno"/>
        <w:spacing w:line="240" w:lineRule="auto"/>
      </w:pPr>
      <w:r>
        <w:t>L’article 49 de la Charte prévoit que pour donner droit à des dommages punitifs, l’atteinte à un droit fondamental protégé par la charte doit être illicite et intentionnelle</w:t>
      </w:r>
      <w:r>
        <w:rPr>
          <w:rStyle w:val="Appelnotedebasdep"/>
        </w:rPr>
        <w:footnoteReference w:id="101"/>
      </w:r>
      <w:r>
        <w:t xml:space="preserve">. </w:t>
      </w:r>
    </w:p>
    <w:p w14:paraId="26D3E190" w14:textId="77777777" w:rsidR="00991F9F" w:rsidRPr="00307B7C" w:rsidRDefault="00BD6B34" w:rsidP="00F86468">
      <w:pPr>
        <w:pStyle w:val="paragrapheno"/>
        <w:spacing w:line="240" w:lineRule="auto"/>
      </w:pPr>
      <w:r>
        <w:t xml:space="preserve">Comme mentionné plus haut, le Tribunal considère </w:t>
      </w:r>
      <w:r w:rsidR="004E3C88">
        <w:t xml:space="preserve">que même si les </w:t>
      </w:r>
      <w:r w:rsidR="000377F5">
        <w:t>pressions</w:t>
      </w:r>
      <w:r w:rsidR="004E3C88">
        <w:t xml:space="preserve"> du Fonds alléguées par M.</w:t>
      </w:r>
      <w:r w:rsidR="00383FEA">
        <w:t> </w:t>
      </w:r>
      <w:r w:rsidR="000377F5">
        <w:t>Pereira</w:t>
      </w:r>
      <w:r w:rsidR="004E3C88">
        <w:t xml:space="preserve"> </w:t>
      </w:r>
      <w:r w:rsidR="005A18A8">
        <w:t>avaient été</w:t>
      </w:r>
      <w:r w:rsidR="000377F5">
        <w:t xml:space="preserve"> démontrées, </w:t>
      </w:r>
      <w:r>
        <w:t>il n’y a pas d’atteinte à un droit protégé par la Charte. Par conséquent, M.</w:t>
      </w:r>
      <w:r w:rsidR="00383FEA">
        <w:t> </w:t>
      </w:r>
      <w:r>
        <w:t>Pereira ne fait pas la preuve d’une atteinte illicite et intentionnelle à ses droits fondamentaux.</w:t>
      </w:r>
    </w:p>
    <w:p w14:paraId="298116FF" w14:textId="77777777" w:rsidR="00991F9F" w:rsidRPr="00DB0878" w:rsidRDefault="00BD6B34" w:rsidP="00F86468">
      <w:pPr>
        <w:pStyle w:val="Titre3"/>
        <w:spacing w:line="240" w:lineRule="auto"/>
      </w:pPr>
      <w:r w:rsidRPr="00DB0878">
        <w:t>L’absence de minimisation des dommages</w:t>
      </w:r>
    </w:p>
    <w:p w14:paraId="585C0BA1" w14:textId="77777777" w:rsidR="00991F9F" w:rsidRDefault="00BD6B34" w:rsidP="00F86468">
      <w:pPr>
        <w:pStyle w:val="paragrapheno"/>
        <w:spacing w:line="240" w:lineRule="auto"/>
      </w:pPr>
      <w:r>
        <w:t xml:space="preserve">L’article 1479 </w:t>
      </w:r>
      <w:r w:rsidR="003F013A">
        <w:t>C.c.Q</w:t>
      </w:r>
      <w:r>
        <w:t xml:space="preserve"> prévoit l’obligation de M.</w:t>
      </w:r>
      <w:r w:rsidR="00383FEA">
        <w:t> </w:t>
      </w:r>
      <w:r>
        <w:t>Pereira de minimiser ses dommages</w:t>
      </w:r>
      <w:r w:rsidR="00E1699A">
        <w:t xml:space="preserve">. </w:t>
      </w:r>
      <w:r w:rsidR="0065250C">
        <w:t>Ainsi, les</w:t>
      </w:r>
      <w:r>
        <w:t xml:space="preserve"> sommes gagnées après la résiliation du contrat pour la période réclamée, </w:t>
      </w:r>
      <w:r w:rsidR="00BB77D7">
        <w:t xml:space="preserve">soit </w:t>
      </w:r>
      <w:r>
        <w:t>ici jusqu’en 2030</w:t>
      </w:r>
      <w:r w:rsidR="005E1331">
        <w:t>,</w:t>
      </w:r>
      <w:r>
        <w:t xml:space="preserve"> doivent être déduite de toute sommes accordées par le Tribunal</w:t>
      </w:r>
      <w:r w:rsidR="001A6046">
        <w:t>, et ce q</w:t>
      </w:r>
      <w:r>
        <w:t>ue le contrat soit un contrat de travail</w:t>
      </w:r>
      <w:r>
        <w:rPr>
          <w:rStyle w:val="Appelnotedebasdep"/>
        </w:rPr>
        <w:footnoteReference w:id="102"/>
      </w:r>
      <w:r>
        <w:t xml:space="preserve"> ou de service</w:t>
      </w:r>
      <w:r>
        <w:rPr>
          <w:rStyle w:val="Appelnotedebasdep"/>
        </w:rPr>
        <w:footnoteReference w:id="103"/>
      </w:r>
      <w:r>
        <w:t>.</w:t>
      </w:r>
    </w:p>
    <w:p w14:paraId="5E36F4E8" w14:textId="77777777" w:rsidR="00991F9F" w:rsidRDefault="00BD6B34" w:rsidP="00F86468">
      <w:pPr>
        <w:pStyle w:val="paragrapheno"/>
        <w:spacing w:line="240" w:lineRule="auto"/>
      </w:pPr>
      <w:r>
        <w:t>Cette obligation n’est pas une obligation de résultat mais bien une obligation de moyen</w:t>
      </w:r>
      <w:r w:rsidR="00DC5F63">
        <w:t xml:space="preserve">. Elle </w:t>
      </w:r>
      <w:r>
        <w:t xml:space="preserve">ne va </w:t>
      </w:r>
      <w:r w:rsidR="00DC5F63">
        <w:t>donc</w:t>
      </w:r>
      <w:r>
        <w:t xml:space="preserve"> pas au-delà « </w:t>
      </w:r>
      <w:r w:rsidRPr="00A75F9C">
        <w:rPr>
          <w:i/>
          <w:iCs/>
        </w:rPr>
        <w:t>de ce que l’on peut exiger d’u</w:t>
      </w:r>
      <w:r>
        <w:rPr>
          <w:i/>
          <w:iCs/>
        </w:rPr>
        <w:t>n</w:t>
      </w:r>
      <w:r w:rsidRPr="00A75F9C">
        <w:rPr>
          <w:i/>
          <w:iCs/>
        </w:rPr>
        <w:t>e personne raisonnable placée dans les mêmes circonstances</w:t>
      </w:r>
      <w:r>
        <w:t>. »</w:t>
      </w:r>
      <w:r>
        <w:rPr>
          <w:rStyle w:val="Appelnotedebasdep"/>
        </w:rPr>
        <w:footnoteReference w:id="104"/>
      </w:r>
    </w:p>
    <w:p w14:paraId="7D5E44D0" w14:textId="77777777" w:rsidR="00991F9F" w:rsidRDefault="00BD6B34" w:rsidP="00F86468">
      <w:pPr>
        <w:pStyle w:val="paragrapheno"/>
        <w:spacing w:line="240" w:lineRule="auto"/>
      </w:pPr>
      <w:r>
        <w:t>La Cour d’appel précise également que « </w:t>
      </w:r>
      <w:r w:rsidRPr="00761552">
        <w:rPr>
          <w:i/>
          <w:iCs/>
        </w:rPr>
        <w:t>l’absence de mitigation des dommages doit, pour être considérée, avoir causé l’aggravation du préjudice subi (…) Il est en effet des situations où, en toute probabilité, les efforts de mitigation n’auraient rien donné ou si peu que pas. </w:t>
      </w:r>
      <w:r>
        <w:t>»</w:t>
      </w:r>
      <w:r>
        <w:rPr>
          <w:rStyle w:val="Appelnotedebasdep"/>
        </w:rPr>
        <w:footnoteReference w:id="105"/>
      </w:r>
      <w:r>
        <w:t xml:space="preserve"> </w:t>
      </w:r>
    </w:p>
    <w:p w14:paraId="2482EC48" w14:textId="77777777" w:rsidR="00991F9F" w:rsidRDefault="00BD6B34" w:rsidP="00F86468">
      <w:pPr>
        <w:pStyle w:val="paragrapheno"/>
        <w:spacing w:line="240" w:lineRule="auto"/>
      </w:pPr>
      <w:r>
        <w:lastRenderedPageBreak/>
        <w:t>Quant au fardeau en matière de mitigation de dommages, la Cour d’appel le décrit comme suit</w:t>
      </w:r>
      <w:r>
        <w:rPr>
          <w:rStyle w:val="Appelnotedebasdep"/>
        </w:rPr>
        <w:footnoteReference w:id="106"/>
      </w:r>
      <w:r>
        <w:t> :</w:t>
      </w:r>
    </w:p>
    <w:p w14:paraId="4DAF3E6D" w14:textId="77777777" w:rsidR="00991F9F" w:rsidRDefault="00BD6B34" w:rsidP="00546CEF">
      <w:pPr>
        <w:pStyle w:val="Style-citation"/>
        <w:spacing w:line="240" w:lineRule="auto"/>
      </w:pPr>
      <w:r>
        <w:t xml:space="preserve">[112] (…) Dans l’affaire Evans c. Teamsters Local Union No. 3161, la Cour suprême indique clairement « qu’il incombe à l’employeur de démontrer, d’une part, que l’employé n’a pas fait d’efforts raisonnables pour trouver du travail et, d’autre part, qu’il aurait pu en trouver (Red Deer College c. Michaels, [1976] 2 R.C.S. 324) » 62. </w:t>
      </w:r>
    </w:p>
    <w:p w14:paraId="56FAC53F" w14:textId="77777777" w:rsidR="00991F9F" w:rsidRDefault="00BD6B34" w:rsidP="00546CEF">
      <w:pPr>
        <w:pStyle w:val="Style-citation"/>
        <w:spacing w:line="240" w:lineRule="auto"/>
      </w:pPr>
      <w:r>
        <w:t>[113] Bien qu’il s’agisse d’une affaire de common law, le même principe doit valoir en droit civil québécois (il est d’ailleurs conforme au second al. de l’art. 2803 C.c.Q.), appliqué et adapté au domaine du travail.</w:t>
      </w:r>
    </w:p>
    <w:p w14:paraId="6D6DE012" w14:textId="77777777" w:rsidR="00991F9F" w:rsidRDefault="00BD6B34" w:rsidP="00546CEF">
      <w:pPr>
        <w:pStyle w:val="paragrapheno"/>
        <w:spacing w:line="240" w:lineRule="auto"/>
      </w:pPr>
      <w:r>
        <w:t>Le Tribunal estime que ces principes s’appliquent également avec les adaptations nécessaires à l’obligation de mitiger les dommages dans le contexte d’un contrat de service puisqu’en vertu de l’article 1479</w:t>
      </w:r>
      <w:r w:rsidR="00C83920">
        <w:t> </w:t>
      </w:r>
      <w:r>
        <w:t>C.</w:t>
      </w:r>
      <w:r w:rsidR="007D442A">
        <w:t>c</w:t>
      </w:r>
      <w:r>
        <w:t>.Q.</w:t>
      </w:r>
      <w:r w:rsidR="003E7B6E">
        <w:t>, l’obligation</w:t>
      </w:r>
      <w:r>
        <w:t xml:space="preserve"> de minimiser les dommages s’applique à tout créancier</w:t>
      </w:r>
      <w:r>
        <w:rPr>
          <w:rStyle w:val="Appelnotedebasdep"/>
        </w:rPr>
        <w:footnoteReference w:id="107"/>
      </w:r>
      <w:r w:rsidR="00C84D5C">
        <w:t>.</w:t>
      </w:r>
    </w:p>
    <w:p w14:paraId="2B39F8BE" w14:textId="77777777" w:rsidR="00DF6F56" w:rsidRDefault="00BD6B34" w:rsidP="00546CEF">
      <w:pPr>
        <w:pStyle w:val="paragrapheno"/>
        <w:spacing w:line="240" w:lineRule="auto"/>
      </w:pPr>
      <w:r>
        <w:t>En l’espèce bien que M.</w:t>
      </w:r>
      <w:r w:rsidR="00383FEA">
        <w:t> </w:t>
      </w:r>
      <w:r>
        <w:t xml:space="preserve">Pereira </w:t>
      </w:r>
      <w:r w:rsidR="00BD6995">
        <w:t xml:space="preserve">témoigne qu’il ne peut plus travailler dans l’industrie de la construction, il ne </w:t>
      </w:r>
      <w:r>
        <w:t>fournit</w:t>
      </w:r>
      <w:r w:rsidR="00BD6995">
        <w:t xml:space="preserve"> aucune preuve</w:t>
      </w:r>
      <w:r w:rsidR="00CB5044">
        <w:t>.</w:t>
      </w:r>
    </w:p>
    <w:p w14:paraId="6A086192" w14:textId="77777777" w:rsidR="00BA1DF9" w:rsidRDefault="00BD6B34" w:rsidP="00546CEF">
      <w:pPr>
        <w:pStyle w:val="paragrapheno"/>
        <w:spacing w:line="240" w:lineRule="auto"/>
      </w:pPr>
      <w:r>
        <w:t>Lor</w:t>
      </w:r>
      <w:r w:rsidR="003E0262">
        <w:t>s</w:t>
      </w:r>
      <w:r>
        <w:t xml:space="preserve"> de son interrogatoire hors cour</w:t>
      </w:r>
      <w:r w:rsidR="00D566A5">
        <w:t>,</w:t>
      </w:r>
      <w:r>
        <w:t xml:space="preserve"> il affirme avoir fait des centaines d’application</w:t>
      </w:r>
      <w:r w:rsidR="00D566A5">
        <w:t>s</w:t>
      </w:r>
      <w:r w:rsidR="00512B96">
        <w:t xml:space="preserve"> et ne pas avoir conservé de preuve de ces démarches</w:t>
      </w:r>
      <w:r>
        <w:rPr>
          <w:rStyle w:val="Appelnotedebasdep"/>
        </w:rPr>
        <w:footnoteReference w:id="108"/>
      </w:r>
      <w:r w:rsidR="0038246B">
        <w:t xml:space="preserve">. Il fut informé qu’il devait </w:t>
      </w:r>
      <w:r w:rsidR="00ED77DA">
        <w:t>conserver</w:t>
      </w:r>
      <w:r w:rsidR="00BE0C37">
        <w:t xml:space="preserve"> les </w:t>
      </w:r>
      <w:r w:rsidR="00ED77DA">
        <w:t>preuves</w:t>
      </w:r>
      <w:r w:rsidR="00BE0C37">
        <w:t xml:space="preserve"> de ses démarches. À l’audience</w:t>
      </w:r>
      <w:r w:rsidR="00D566A5">
        <w:t>,</w:t>
      </w:r>
      <w:r w:rsidR="00CC0037">
        <w:t xml:space="preserve"> il reconnaît ne rien avoir conservé pour démontrer </w:t>
      </w:r>
      <w:r w:rsidR="00ED77DA">
        <w:t>ses recherches</w:t>
      </w:r>
      <w:r w:rsidR="00CC0037">
        <w:t xml:space="preserve"> d’emploi</w:t>
      </w:r>
      <w:r w:rsidR="00ED77DA">
        <w:t xml:space="preserve"> </w:t>
      </w:r>
      <w:r w:rsidR="003F62BA">
        <w:t>depuis 2018</w:t>
      </w:r>
      <w:r w:rsidR="00FF7CD0">
        <w:t xml:space="preserve"> </w:t>
      </w:r>
      <w:r w:rsidR="00ED77DA">
        <w:t>et qu’il n’accepterait pas un poste qui n’est pas dans l’industrie de la construction</w:t>
      </w:r>
      <w:r w:rsidR="00CC0037">
        <w:t xml:space="preserve">. </w:t>
      </w:r>
    </w:p>
    <w:p w14:paraId="5E9401FE" w14:textId="77777777" w:rsidR="004B70B3" w:rsidRDefault="00BD6B34" w:rsidP="0027027B">
      <w:pPr>
        <w:pStyle w:val="paragrapheno"/>
        <w:spacing w:line="240" w:lineRule="auto"/>
      </w:pPr>
      <w:r>
        <w:t>Si cette preuve avait été faite, M.</w:t>
      </w:r>
      <w:r w:rsidR="00383FEA">
        <w:t> </w:t>
      </w:r>
      <w:r>
        <w:t>Pereira aurait peut-être réussi à démontrer qu’il était vain pour lui de tenter de minimiser ses dommages</w:t>
      </w:r>
      <w:r w:rsidR="00F571BA">
        <w:t xml:space="preserve"> comme il le plaide</w:t>
      </w:r>
      <w:r>
        <w:t>. Le Tribunal ne peut en juger puisque la preuve est absente.</w:t>
      </w:r>
    </w:p>
    <w:p w14:paraId="6F1D52F3" w14:textId="77777777" w:rsidR="000A243A" w:rsidRDefault="00BD6B34" w:rsidP="00EA58E6">
      <w:pPr>
        <w:pStyle w:val="paragrapheno"/>
        <w:spacing w:line="240" w:lineRule="auto"/>
      </w:pPr>
      <w:r>
        <w:t>Par ailleurs</w:t>
      </w:r>
      <w:r w:rsidR="00765D45">
        <w:t>, malgré les demandes répét</w:t>
      </w:r>
      <w:r w:rsidR="007E46B5">
        <w:t>ées</w:t>
      </w:r>
      <w:r w:rsidR="001D727A">
        <w:t xml:space="preserve"> et la citation à </w:t>
      </w:r>
      <w:r w:rsidR="00B95518">
        <w:t>comparaître</w:t>
      </w:r>
      <w:r w:rsidR="00765D45">
        <w:t>, M.</w:t>
      </w:r>
      <w:r w:rsidR="00383FEA">
        <w:t> </w:t>
      </w:r>
      <w:r w:rsidR="00765D45">
        <w:t>Pereira n</w:t>
      </w:r>
      <w:r w:rsidR="00E1164A">
        <w:t>e</w:t>
      </w:r>
      <w:r w:rsidR="00765D45">
        <w:t xml:space="preserve"> rem</w:t>
      </w:r>
      <w:r w:rsidR="00E1164A">
        <w:t>et</w:t>
      </w:r>
      <w:r w:rsidR="00765D45">
        <w:t xml:space="preserve"> pas ses déclarations de revenus depuis 2018</w:t>
      </w:r>
      <w:r>
        <w:t>.</w:t>
      </w:r>
    </w:p>
    <w:p w14:paraId="530420C6" w14:textId="77777777" w:rsidR="00F14798" w:rsidRDefault="00BD6B34" w:rsidP="00EA58E6">
      <w:pPr>
        <w:pStyle w:val="paragrapheno"/>
        <w:spacing w:line="240" w:lineRule="auto"/>
      </w:pPr>
      <w:r>
        <w:t>Compte tenu</w:t>
      </w:r>
      <w:r w:rsidR="00917F10">
        <w:t xml:space="preserve"> de </w:t>
      </w:r>
      <w:r w:rsidR="00E83F67">
        <w:t>ce qui précède</w:t>
      </w:r>
      <w:r w:rsidR="007E46B5">
        <w:t>,</w:t>
      </w:r>
      <w:r w:rsidR="00E83F67">
        <w:t xml:space="preserve"> le Tribunal doit conclure que M</w:t>
      </w:r>
      <w:r w:rsidR="00BE1DA8">
        <w:t>.</w:t>
      </w:r>
      <w:r w:rsidR="00383FEA">
        <w:t> </w:t>
      </w:r>
      <w:r w:rsidR="00E83F67">
        <w:t>Pereira empêche</w:t>
      </w:r>
      <w:r w:rsidR="00B34F1D">
        <w:t xml:space="preserve"> </w:t>
      </w:r>
      <w:r w:rsidR="00E83F67">
        <w:t xml:space="preserve">les défenderesses </w:t>
      </w:r>
      <w:r w:rsidR="006759FD">
        <w:t>d</w:t>
      </w:r>
      <w:r w:rsidR="00E83F67">
        <w:t>e pouvoir</w:t>
      </w:r>
      <w:r w:rsidR="00E7668F">
        <w:t xml:space="preserve"> démontrer qu</w:t>
      </w:r>
      <w:r w:rsidR="003225C6">
        <w:t>’il</w:t>
      </w:r>
      <w:r w:rsidR="00E7668F">
        <w:t xml:space="preserve"> n’a pas minimis</w:t>
      </w:r>
      <w:r w:rsidR="00596804">
        <w:t>é ses dommages</w:t>
      </w:r>
      <w:r w:rsidR="00461564">
        <w:t xml:space="preserve"> et au Tribunal de tenir compte </w:t>
      </w:r>
      <w:r w:rsidR="006272A1">
        <w:t>de la rémunération gagné</w:t>
      </w:r>
      <w:r w:rsidR="00CF5867">
        <w:t>e</w:t>
      </w:r>
      <w:r w:rsidR="006272A1">
        <w:t xml:space="preserve"> après la fin de son contrat avec Cogir</w:t>
      </w:r>
      <w:r>
        <w:t>.</w:t>
      </w:r>
    </w:p>
    <w:p w14:paraId="606A265E" w14:textId="77777777" w:rsidR="008C1E2E" w:rsidRDefault="00BD6B34" w:rsidP="00EA58E6">
      <w:pPr>
        <w:pStyle w:val="paragrapheno"/>
        <w:spacing w:line="240" w:lineRule="auto"/>
      </w:pPr>
      <w:r>
        <w:lastRenderedPageBreak/>
        <w:t>L’indemnité d’une semaine de rémunération à laquelle il aurait pu avoir droit de</w:t>
      </w:r>
      <w:r w:rsidR="004121AE">
        <w:t xml:space="preserve"> la part de</w:t>
      </w:r>
      <w:r>
        <w:t xml:space="preserve"> Cogir si le </w:t>
      </w:r>
      <w:r w:rsidR="00496AD2">
        <w:t>T</w:t>
      </w:r>
      <w:r>
        <w:t xml:space="preserve">ribunal avait conclu à la résiliation d’un contrat de travail </w:t>
      </w:r>
      <w:r w:rsidR="00AB2F57">
        <w:t>aurait</w:t>
      </w:r>
      <w:r w:rsidR="00EA58E6">
        <w:t>, en raison de ce qui précède,</w:t>
      </w:r>
      <w:r w:rsidR="00AB2F57">
        <w:t xml:space="preserve"> été </w:t>
      </w:r>
      <w:r w:rsidR="00E807C1">
        <w:t xml:space="preserve">réduite à zéro. </w:t>
      </w:r>
      <w:r w:rsidR="00E83F67">
        <w:t xml:space="preserve"> </w:t>
      </w:r>
    </w:p>
    <w:p w14:paraId="634EC734" w14:textId="77777777" w:rsidR="00774D73" w:rsidRDefault="00BD6B34" w:rsidP="00956630">
      <w:pPr>
        <w:pStyle w:val="Titre2"/>
        <w:spacing w:line="240" w:lineRule="auto"/>
        <w:ind w:left="992" w:right="720"/>
      </w:pPr>
      <w:r>
        <w:t>Les frais de justice</w:t>
      </w:r>
    </w:p>
    <w:p w14:paraId="603CF4AC" w14:textId="77777777" w:rsidR="00E25928" w:rsidRDefault="00BD6B34" w:rsidP="00A5246F">
      <w:pPr>
        <w:pStyle w:val="paragrapheno"/>
        <w:spacing w:line="240" w:lineRule="auto"/>
      </w:pPr>
      <w:r>
        <w:t>Bien que selon la règle générale, la partie qui succombe, ici M. Pereira, est condamnée à payer les frais de justice à la partie qui a gain de cause, en l’espèce les défenderesses, le Tribunal a un large pouvoir discrétionnaire à l’égard des frais de justice, lequel doit cependant être exercé judiciairement</w:t>
      </w:r>
      <w:r>
        <w:rPr>
          <w:rStyle w:val="Appelnotedebasdep"/>
        </w:rPr>
        <w:footnoteReference w:id="109"/>
      </w:r>
    </w:p>
    <w:p w14:paraId="1D836213" w14:textId="77777777" w:rsidR="000A3637" w:rsidRDefault="00BD6B34" w:rsidP="00A5246F">
      <w:pPr>
        <w:pStyle w:val="paragrapheno"/>
        <w:spacing w:line="240" w:lineRule="auto"/>
      </w:pPr>
      <w:r>
        <w:t>Selon la jurisprudence,</w:t>
      </w:r>
      <w:r w:rsidR="00765F40">
        <w:t xml:space="preserve"> le Tribunal peut déroger à la règle générale </w:t>
      </w:r>
      <w:r w:rsidR="00D1172A">
        <w:t xml:space="preserve">lorsqu’il y a </w:t>
      </w:r>
      <w:r>
        <w:t xml:space="preserve">disparité </w:t>
      </w:r>
      <w:r w:rsidR="00D1172A">
        <w:t>financière</w:t>
      </w:r>
      <w:r>
        <w:t xml:space="preserve"> entre les parties</w:t>
      </w:r>
      <w:r w:rsidR="004F4D90">
        <w:t>,</w:t>
      </w:r>
      <w:r w:rsidR="00D1172A">
        <w:t xml:space="preserve"> ce qui est le cas en l’espèce</w:t>
      </w:r>
      <w:r>
        <w:rPr>
          <w:rStyle w:val="Appelnotedebasdep"/>
        </w:rPr>
        <w:footnoteReference w:id="110"/>
      </w:r>
      <w:r w:rsidR="00D1172A">
        <w:t>.</w:t>
      </w:r>
    </w:p>
    <w:p w14:paraId="5456227B" w14:textId="77777777" w:rsidR="00BC251C" w:rsidRDefault="00BD6B34" w:rsidP="00A5246F">
      <w:pPr>
        <w:pStyle w:val="paragrapheno"/>
        <w:spacing w:line="240" w:lineRule="auto"/>
      </w:pPr>
      <w:r>
        <w:t>La demande sera donc rejetée sans frais.</w:t>
      </w:r>
    </w:p>
    <w:p w14:paraId="0775AFA4" w14:textId="77777777" w:rsidR="004924D2" w:rsidRPr="00A83751" w:rsidRDefault="00BD6B34" w:rsidP="00B43902">
      <w:pPr>
        <w:pStyle w:val="paragrapheno"/>
        <w:numPr>
          <w:ilvl w:val="0"/>
          <w:numId w:val="0"/>
        </w:numPr>
        <w:spacing w:before="240" w:after="240" w:line="240" w:lineRule="auto"/>
        <w:rPr>
          <w:b/>
        </w:rPr>
      </w:pPr>
      <w:r w:rsidRPr="00A83751">
        <w:rPr>
          <w:b/>
        </w:rPr>
        <w:t>POUR CES MOTIFS,</w:t>
      </w:r>
      <w:r w:rsidR="00797975" w:rsidRPr="00A83751">
        <w:rPr>
          <w:b/>
        </w:rPr>
        <w:t xml:space="preserve"> </w:t>
      </w:r>
      <w:r w:rsidRPr="00A83751">
        <w:rPr>
          <w:b/>
        </w:rPr>
        <w:t>LE TRIBUNAL :</w:t>
      </w:r>
    </w:p>
    <w:p w14:paraId="48DFC9B8" w14:textId="77777777" w:rsidR="00BC49B5" w:rsidRDefault="00BD6B34" w:rsidP="002A4B7F">
      <w:pPr>
        <w:pStyle w:val="paragrapheno"/>
        <w:spacing w:line="240" w:lineRule="auto"/>
      </w:pPr>
      <w:r w:rsidRPr="00A83751">
        <w:rPr>
          <w:b/>
        </w:rPr>
        <w:t>REJETTE</w:t>
      </w:r>
      <w:r>
        <w:t xml:space="preserve"> la demande introductive d’instance modifié</w:t>
      </w:r>
      <w:r w:rsidR="00AD110C">
        <w:t>e</w:t>
      </w:r>
      <w:r>
        <w:t xml:space="preserve"> </w:t>
      </w:r>
      <w:r w:rsidR="00B96F2D">
        <w:t>;</w:t>
      </w:r>
    </w:p>
    <w:p w14:paraId="4C4A78F3" w14:textId="77777777" w:rsidR="00B96F2D" w:rsidRDefault="00BD6B34" w:rsidP="002A4B7F">
      <w:pPr>
        <w:pStyle w:val="paragrapheno"/>
        <w:spacing w:line="240" w:lineRule="auto"/>
      </w:pPr>
      <w:r w:rsidRPr="00A83751">
        <w:rPr>
          <w:b/>
        </w:rPr>
        <w:t>REJETTE</w:t>
      </w:r>
      <w:r>
        <w:t xml:space="preserve"> la demande </w:t>
      </w:r>
      <w:r w:rsidR="00B96F79">
        <w:t xml:space="preserve">verbale </w:t>
      </w:r>
      <w:r>
        <w:t>du Fonds de solidarité des travailleurs (F.T.Q.)</w:t>
      </w:r>
      <w:r w:rsidR="002340CC">
        <w:t xml:space="preserve"> de déclarer abusive la Demande introductive d’instance modifiée</w:t>
      </w:r>
      <w:r>
        <w:t>;</w:t>
      </w:r>
    </w:p>
    <w:p w14:paraId="600EEBB3" w14:textId="77777777" w:rsidR="00B96F2D" w:rsidRPr="001B6AB4" w:rsidRDefault="00BD6B34" w:rsidP="002A4B7F">
      <w:pPr>
        <w:pStyle w:val="paragrapheno"/>
        <w:spacing w:line="240" w:lineRule="auto"/>
      </w:pPr>
      <w:r w:rsidRPr="00A83751">
        <w:rPr>
          <w:b/>
        </w:rPr>
        <w:t>R</w:t>
      </w:r>
      <w:r w:rsidR="00797975" w:rsidRPr="00A83751">
        <w:rPr>
          <w:b/>
        </w:rPr>
        <w:t>EJETTE</w:t>
      </w:r>
      <w:r>
        <w:t xml:space="preserve"> la demande </w:t>
      </w:r>
      <w:r w:rsidR="00B96F79">
        <w:t xml:space="preserve">verbale </w:t>
      </w:r>
      <w:r w:rsidR="00F5524B">
        <w:t>de Cogir immobilier</w:t>
      </w:r>
      <w:r w:rsidR="009C32D6">
        <w:t>, société en commandite de déclarer abusive la Demande introductive d’instance modifiée;</w:t>
      </w:r>
    </w:p>
    <w:tbl>
      <w:tblPr>
        <w:tblW w:w="9505" w:type="dxa"/>
        <w:tblLayout w:type="fixed"/>
        <w:tblCellMar>
          <w:left w:w="70" w:type="dxa"/>
          <w:right w:w="70" w:type="dxa"/>
        </w:tblCellMar>
        <w:tblLook w:val="0000" w:firstRow="0" w:lastRow="0" w:firstColumn="0" w:lastColumn="0" w:noHBand="0" w:noVBand="0"/>
      </w:tblPr>
      <w:tblGrid>
        <w:gridCol w:w="2068"/>
        <w:gridCol w:w="2799"/>
        <w:gridCol w:w="4638"/>
      </w:tblGrid>
      <w:tr w:rsidR="00752581" w14:paraId="552A225C" w14:textId="77777777" w:rsidTr="3AF6E4C3">
        <w:trPr>
          <w:trHeight w:val="576"/>
        </w:trPr>
        <w:tc>
          <w:tcPr>
            <w:tcW w:w="9505" w:type="dxa"/>
            <w:gridSpan w:val="3"/>
          </w:tcPr>
          <w:p w14:paraId="377521AC" w14:textId="77777777" w:rsidR="004924D2" w:rsidRDefault="00BD6B34" w:rsidP="002A4B7F">
            <w:pPr>
              <w:pStyle w:val="paragrapheno"/>
              <w:spacing w:line="240" w:lineRule="auto"/>
            </w:pPr>
            <w:r w:rsidRPr="00643B3C">
              <w:rPr>
                <w:b/>
                <w:bCs/>
              </w:rPr>
              <w:t>LE TOUT</w:t>
            </w:r>
            <w:r w:rsidRPr="00643B3C">
              <w:t xml:space="preserve">, </w:t>
            </w:r>
            <w:r w:rsidR="00B55A12">
              <w:t>sans frais.</w:t>
            </w:r>
          </w:p>
          <w:p w14:paraId="23998FB0" w14:textId="77777777" w:rsidR="00211059" w:rsidRPr="003E75F9" w:rsidRDefault="00211059" w:rsidP="00C84D5C">
            <w:pPr>
              <w:pStyle w:val="paragrapheno"/>
              <w:numPr>
                <w:ilvl w:val="0"/>
                <w:numId w:val="0"/>
              </w:numPr>
              <w:spacing w:line="240" w:lineRule="auto"/>
            </w:pPr>
          </w:p>
        </w:tc>
      </w:tr>
      <w:tr w:rsidR="00752581" w14:paraId="2AD1FDE0" w14:textId="77777777" w:rsidTr="3AF6E4C3">
        <w:tblPrEx>
          <w:tblCellMar>
            <w:left w:w="0" w:type="dxa"/>
            <w:right w:w="0" w:type="dxa"/>
          </w:tblCellMar>
        </w:tblPrEx>
        <w:trPr>
          <w:cantSplit/>
        </w:trPr>
        <w:tc>
          <w:tcPr>
            <w:tcW w:w="4867" w:type="dxa"/>
            <w:gridSpan w:val="2"/>
          </w:tcPr>
          <w:p w14:paraId="4C7511F1" w14:textId="77777777" w:rsidR="004924D2" w:rsidRPr="003E75F9" w:rsidRDefault="004924D2" w:rsidP="00A83751">
            <w:pPr>
              <w:spacing w:line="240" w:lineRule="auto"/>
            </w:pPr>
          </w:p>
        </w:tc>
        <w:tc>
          <w:tcPr>
            <w:tcW w:w="4638" w:type="dxa"/>
          </w:tcPr>
          <w:p w14:paraId="423E2151" w14:textId="77777777" w:rsidR="004924D2" w:rsidRPr="00A81452" w:rsidRDefault="00BD6B34" w:rsidP="00A81452">
            <w:pPr>
              <w:pStyle w:val="zSoquijdatSignature3Juge"/>
              <w:spacing w:before="0" w:after="0" w:line="240" w:lineRule="auto"/>
              <w:rPr>
                <w:b/>
                <w:bCs/>
              </w:rPr>
            </w:pPr>
            <w:r w:rsidRPr="00A81452">
              <w:rPr>
                <w:b/>
                <w:bCs/>
              </w:rPr>
              <w:t>_______________________</w:t>
            </w:r>
          </w:p>
          <w:p w14:paraId="6491074D" w14:textId="77777777" w:rsidR="004924D2" w:rsidRDefault="00BD6B34" w:rsidP="00A81452">
            <w:pPr>
              <w:pStyle w:val="zSoquijdatSignature3Juge"/>
              <w:spacing w:before="0" w:after="0" w:line="240" w:lineRule="auto"/>
            </w:pPr>
            <w:r w:rsidRPr="0096569D">
              <w:rPr>
                <w:b/>
                <w:bCs/>
                <w:smallCaps/>
              </w:rPr>
              <w:t>Chantal Lamarche, j.</w:t>
            </w:r>
            <w:r w:rsidR="00E77C69">
              <w:rPr>
                <w:b/>
                <w:bCs/>
                <w:smallCaps/>
              </w:rPr>
              <w:t>c.s.</w:t>
            </w:r>
          </w:p>
        </w:tc>
      </w:tr>
      <w:tr w:rsidR="00752581" w14:paraId="4471C236" w14:textId="77777777" w:rsidTr="3AF6E4C3">
        <w:tc>
          <w:tcPr>
            <w:tcW w:w="9505" w:type="dxa"/>
            <w:gridSpan w:val="3"/>
          </w:tcPr>
          <w:p w14:paraId="5505393D" w14:textId="77777777" w:rsidR="004924D2" w:rsidRDefault="004924D2" w:rsidP="00A83751">
            <w:pPr>
              <w:spacing w:line="240" w:lineRule="auto"/>
            </w:pPr>
          </w:p>
        </w:tc>
      </w:tr>
      <w:tr w:rsidR="00752581" w14:paraId="03170FAF" w14:textId="77777777" w:rsidTr="3AF6E4C3">
        <w:tc>
          <w:tcPr>
            <w:tcW w:w="9505" w:type="dxa"/>
            <w:gridSpan w:val="3"/>
          </w:tcPr>
          <w:p w14:paraId="5B345E6B" w14:textId="77777777" w:rsidR="009A4CE3" w:rsidRDefault="00BD6B34" w:rsidP="00A35366">
            <w:pPr>
              <w:spacing w:before="0" w:after="0" w:line="240" w:lineRule="auto"/>
            </w:pPr>
            <w:r w:rsidRPr="009819AF">
              <w:t>Kenneth Pereira</w:t>
            </w:r>
          </w:p>
        </w:tc>
      </w:tr>
      <w:tr w:rsidR="00752581" w14:paraId="61B7399B" w14:textId="77777777" w:rsidTr="3AF6E4C3">
        <w:tc>
          <w:tcPr>
            <w:tcW w:w="9505" w:type="dxa"/>
            <w:gridSpan w:val="3"/>
          </w:tcPr>
          <w:p w14:paraId="26C153C3" w14:textId="77777777" w:rsidR="009A4CE3" w:rsidRDefault="00BD6B34" w:rsidP="00A35366">
            <w:pPr>
              <w:spacing w:before="0" w:after="0" w:line="240" w:lineRule="auto"/>
            </w:pPr>
            <w:r>
              <w:t xml:space="preserve">Se représente </w:t>
            </w:r>
            <w:r w:rsidR="008B68F7">
              <w:t>lui-même.</w:t>
            </w:r>
          </w:p>
        </w:tc>
      </w:tr>
      <w:tr w:rsidR="00752581" w14:paraId="58445AE5" w14:textId="77777777" w:rsidTr="3AF6E4C3">
        <w:tc>
          <w:tcPr>
            <w:tcW w:w="9505" w:type="dxa"/>
            <w:gridSpan w:val="3"/>
          </w:tcPr>
          <w:p w14:paraId="4D29D104" w14:textId="77777777" w:rsidR="009A4CE3" w:rsidRDefault="009A4CE3" w:rsidP="00A35366">
            <w:pPr>
              <w:spacing w:before="0" w:after="0" w:line="240" w:lineRule="auto"/>
            </w:pPr>
          </w:p>
        </w:tc>
      </w:tr>
      <w:tr w:rsidR="00752581" w14:paraId="6F182677" w14:textId="77777777" w:rsidTr="3AF6E4C3">
        <w:trPr>
          <w:cantSplit/>
        </w:trPr>
        <w:tc>
          <w:tcPr>
            <w:tcW w:w="9505" w:type="dxa"/>
            <w:gridSpan w:val="3"/>
          </w:tcPr>
          <w:p w14:paraId="515FF83B" w14:textId="77777777" w:rsidR="00E90904" w:rsidRPr="00E90904" w:rsidRDefault="00BD6B34" w:rsidP="00A35366">
            <w:pPr>
              <w:pStyle w:val="zSoquijdatNomProcureurDem"/>
              <w:spacing w:before="0" w:after="0" w:line="240" w:lineRule="auto"/>
              <w:rPr>
                <w:lang w:val="en-CA"/>
              </w:rPr>
            </w:pPr>
            <w:r w:rsidRPr="00E90904">
              <w:rPr>
                <w:lang w:val="en-CA"/>
              </w:rPr>
              <w:t>Me André Ryan, Ad. E.</w:t>
            </w:r>
          </w:p>
          <w:p w14:paraId="69C2BEA1" w14:textId="77777777" w:rsidR="00862F8A" w:rsidRDefault="00BD6B34" w:rsidP="00A35366">
            <w:pPr>
              <w:pStyle w:val="zSoquijdatNomProcureurDem"/>
              <w:spacing w:before="0" w:after="0" w:line="240" w:lineRule="auto"/>
            </w:pPr>
            <w:r>
              <w:t>Me Kristina Pellerin-Stonie</w:t>
            </w:r>
            <w:r w:rsidR="0622371E">
              <w:t>r</w:t>
            </w:r>
          </w:p>
        </w:tc>
      </w:tr>
      <w:tr w:rsidR="00752581" w14:paraId="6C975D3F" w14:textId="77777777" w:rsidTr="3AF6E4C3">
        <w:trPr>
          <w:cantSplit/>
        </w:trPr>
        <w:tc>
          <w:tcPr>
            <w:tcW w:w="9505" w:type="dxa"/>
            <w:gridSpan w:val="3"/>
          </w:tcPr>
          <w:p w14:paraId="0C88865D" w14:textId="77777777" w:rsidR="00862F8A" w:rsidRDefault="00BD6B34" w:rsidP="00A35366">
            <w:pPr>
              <w:pStyle w:val="zSoquijdatNomProcureurDem"/>
              <w:spacing w:before="0" w:after="0" w:line="240" w:lineRule="auto"/>
            </w:pPr>
            <w:r w:rsidRPr="00E34F5E">
              <w:t>BCF s.e.n.c.r.l.</w:t>
            </w:r>
          </w:p>
        </w:tc>
      </w:tr>
      <w:tr w:rsidR="00752581" w14:paraId="5A8F0A17" w14:textId="77777777" w:rsidTr="3AF6E4C3">
        <w:trPr>
          <w:cantSplit/>
        </w:trPr>
        <w:tc>
          <w:tcPr>
            <w:tcW w:w="9505" w:type="dxa"/>
            <w:gridSpan w:val="3"/>
          </w:tcPr>
          <w:p w14:paraId="05E13453" w14:textId="77777777" w:rsidR="003F230D" w:rsidRDefault="00BD6B34" w:rsidP="003F230D">
            <w:pPr>
              <w:pStyle w:val="zSoquijdatNomProcureurDem"/>
              <w:spacing w:before="0" w:after="0" w:line="240" w:lineRule="auto"/>
            </w:pPr>
            <w:r>
              <w:lastRenderedPageBreak/>
              <w:t xml:space="preserve">Avocats du </w:t>
            </w:r>
            <w:r w:rsidR="00E34F5E">
              <w:t xml:space="preserve">Défendeur </w:t>
            </w:r>
            <w:r w:rsidR="00A46B96">
              <w:t xml:space="preserve">Fonds </w:t>
            </w:r>
            <w:r w:rsidR="007A7CF0">
              <w:t>d</w:t>
            </w:r>
            <w:r w:rsidR="00A46B96">
              <w:t xml:space="preserve">e Solidarité </w:t>
            </w:r>
          </w:p>
          <w:p w14:paraId="2BA10023" w14:textId="77777777" w:rsidR="00862F8A" w:rsidRDefault="00BD6B34" w:rsidP="003F230D">
            <w:pPr>
              <w:pStyle w:val="zSoquijdatNomProcureurDem"/>
              <w:spacing w:before="0" w:after="0" w:line="240" w:lineRule="auto"/>
            </w:pPr>
            <w:r>
              <w:t>des Travailleurs du Québec</w:t>
            </w:r>
            <w:r w:rsidR="003F230D">
              <w:t xml:space="preserve"> (</w:t>
            </w:r>
            <w:r w:rsidR="00E34F5E">
              <w:t>F.T.Q</w:t>
            </w:r>
            <w:r>
              <w:t>)</w:t>
            </w:r>
          </w:p>
        </w:tc>
      </w:tr>
      <w:tr w:rsidR="00752581" w14:paraId="0A2BD579" w14:textId="77777777" w:rsidTr="3AF6E4C3">
        <w:trPr>
          <w:cantSplit/>
        </w:trPr>
        <w:tc>
          <w:tcPr>
            <w:tcW w:w="9505" w:type="dxa"/>
            <w:gridSpan w:val="3"/>
          </w:tcPr>
          <w:p w14:paraId="3C830A38" w14:textId="77777777" w:rsidR="004924D2" w:rsidRDefault="004924D2" w:rsidP="00A35366">
            <w:pPr>
              <w:spacing w:before="0" w:after="0" w:line="240" w:lineRule="auto"/>
            </w:pPr>
          </w:p>
        </w:tc>
      </w:tr>
      <w:tr w:rsidR="00752581" w14:paraId="66E0F04D" w14:textId="77777777" w:rsidTr="3AF6E4C3">
        <w:trPr>
          <w:cantSplit/>
        </w:trPr>
        <w:tc>
          <w:tcPr>
            <w:tcW w:w="9505" w:type="dxa"/>
            <w:gridSpan w:val="3"/>
          </w:tcPr>
          <w:p w14:paraId="4EA92F3D" w14:textId="77777777" w:rsidR="00FE6A75" w:rsidRDefault="00BD6B34" w:rsidP="00A35366">
            <w:pPr>
              <w:spacing w:before="0" w:after="0" w:line="240" w:lineRule="auto"/>
            </w:pPr>
            <w:r>
              <w:t>Me Marie-Pier Emery-Rochette</w:t>
            </w:r>
          </w:p>
          <w:p w14:paraId="4B861E69" w14:textId="77777777" w:rsidR="00FE6A75" w:rsidRDefault="00BD6B34" w:rsidP="00A35366">
            <w:pPr>
              <w:spacing w:before="0" w:after="0" w:line="240" w:lineRule="auto"/>
            </w:pPr>
            <w:r>
              <w:t>Me Justine Boulais Laurier</w:t>
            </w:r>
          </w:p>
          <w:p w14:paraId="73498785" w14:textId="77777777" w:rsidR="00862F8A" w:rsidRDefault="00BD6B34" w:rsidP="00A35366">
            <w:pPr>
              <w:spacing w:before="0" w:after="0" w:line="240" w:lineRule="auto"/>
            </w:pPr>
            <w:r>
              <w:t>Me Kabrina Péron</w:t>
            </w:r>
          </w:p>
        </w:tc>
      </w:tr>
      <w:tr w:rsidR="00752581" w14:paraId="7C15C6BF" w14:textId="77777777" w:rsidTr="3AF6E4C3">
        <w:trPr>
          <w:cantSplit/>
        </w:trPr>
        <w:tc>
          <w:tcPr>
            <w:tcW w:w="9505" w:type="dxa"/>
            <w:gridSpan w:val="3"/>
          </w:tcPr>
          <w:p w14:paraId="5E6FA4E5" w14:textId="77777777" w:rsidR="00862F8A" w:rsidRPr="000562D2" w:rsidRDefault="00BD6B34" w:rsidP="00A35366">
            <w:pPr>
              <w:spacing w:before="0" w:after="0" w:line="240" w:lineRule="auto"/>
              <w:rPr>
                <w:lang w:val="en-CA"/>
              </w:rPr>
            </w:pPr>
            <w:r w:rsidRPr="00E31466">
              <w:rPr>
                <w:lang w:val="en-CA"/>
              </w:rPr>
              <w:t>Borden Ladner Gervais s.e.n.c.r.l</w:t>
            </w:r>
          </w:p>
        </w:tc>
      </w:tr>
      <w:tr w:rsidR="00752581" w14:paraId="6BEE8D20" w14:textId="77777777" w:rsidTr="3AF6E4C3">
        <w:trPr>
          <w:cantSplit/>
        </w:trPr>
        <w:tc>
          <w:tcPr>
            <w:tcW w:w="9505" w:type="dxa"/>
            <w:gridSpan w:val="3"/>
          </w:tcPr>
          <w:p w14:paraId="6A767A41" w14:textId="77777777" w:rsidR="00080212" w:rsidRDefault="00BD6B34" w:rsidP="007A7CF0">
            <w:pPr>
              <w:spacing w:before="0" w:after="0" w:line="240" w:lineRule="auto"/>
            </w:pPr>
            <w:r>
              <w:t>Avocat</w:t>
            </w:r>
            <w:r w:rsidR="002709EA">
              <w:t>e</w:t>
            </w:r>
            <w:r>
              <w:t>s d</w:t>
            </w:r>
            <w:r w:rsidR="00A05BC3">
              <w:t>es</w:t>
            </w:r>
            <w:r>
              <w:t xml:space="preserve"> Défendeur</w:t>
            </w:r>
            <w:r w:rsidR="00A05BC3">
              <w:t>s</w:t>
            </w:r>
            <w:r w:rsidR="002709EA">
              <w:t xml:space="preserve"> </w:t>
            </w:r>
            <w:r w:rsidR="008A3469">
              <w:t xml:space="preserve">Construction </w:t>
            </w:r>
          </w:p>
          <w:p w14:paraId="5E3D0CF7" w14:textId="77777777" w:rsidR="00080212" w:rsidRDefault="00BD6B34" w:rsidP="007A7CF0">
            <w:pPr>
              <w:spacing w:before="0" w:after="0" w:line="240" w:lineRule="auto"/>
            </w:pPr>
            <w:r>
              <w:t xml:space="preserve">Cogir </w:t>
            </w:r>
            <w:r w:rsidR="00394FED">
              <w:t>I</w:t>
            </w:r>
            <w:r>
              <w:t xml:space="preserve">nc. </w:t>
            </w:r>
            <w:r w:rsidR="008A3469">
              <w:t>e</w:t>
            </w:r>
            <w:r>
              <w:t xml:space="preserve">t Cogir immobilier, </w:t>
            </w:r>
            <w:r w:rsidR="008A3469">
              <w:t>s</w:t>
            </w:r>
            <w:r>
              <w:t xml:space="preserve">ociété </w:t>
            </w:r>
          </w:p>
          <w:p w14:paraId="67275B83" w14:textId="77777777" w:rsidR="00862F8A" w:rsidRDefault="00BD6B34" w:rsidP="007A7CF0">
            <w:pPr>
              <w:spacing w:before="0" w:after="0" w:line="240" w:lineRule="auto"/>
            </w:pPr>
            <w:r>
              <w:t>e</w:t>
            </w:r>
            <w:r w:rsidR="00510CA8">
              <w:t xml:space="preserve">n </w:t>
            </w:r>
            <w:r>
              <w:t>c</w:t>
            </w:r>
            <w:r w:rsidR="00510CA8">
              <w:t>ommandite.</w:t>
            </w:r>
          </w:p>
        </w:tc>
      </w:tr>
      <w:tr w:rsidR="00752581" w14:paraId="204B5775" w14:textId="77777777" w:rsidTr="3AF6E4C3">
        <w:trPr>
          <w:cantSplit/>
        </w:trPr>
        <w:tc>
          <w:tcPr>
            <w:tcW w:w="9505" w:type="dxa"/>
            <w:gridSpan w:val="3"/>
          </w:tcPr>
          <w:p w14:paraId="39A8EAFA" w14:textId="77777777" w:rsidR="00862F8A" w:rsidRDefault="00862F8A" w:rsidP="00A35366">
            <w:pPr>
              <w:spacing w:before="0" w:after="0" w:line="240" w:lineRule="auto"/>
            </w:pPr>
          </w:p>
        </w:tc>
      </w:tr>
      <w:tr w:rsidR="00752581" w14:paraId="57B0B191" w14:textId="77777777" w:rsidTr="3AF6E4C3">
        <w:tc>
          <w:tcPr>
            <w:tcW w:w="9505" w:type="dxa"/>
            <w:gridSpan w:val="3"/>
          </w:tcPr>
          <w:p w14:paraId="0566E6CB" w14:textId="77777777" w:rsidR="004924D2" w:rsidRDefault="004924D2" w:rsidP="00A83751">
            <w:pPr>
              <w:spacing w:line="240" w:lineRule="auto"/>
            </w:pPr>
          </w:p>
        </w:tc>
      </w:tr>
      <w:tr w:rsidR="00752581" w14:paraId="453A5179" w14:textId="77777777" w:rsidTr="3AF6E4C3">
        <w:tc>
          <w:tcPr>
            <w:tcW w:w="2068" w:type="dxa"/>
          </w:tcPr>
          <w:p w14:paraId="3098EDE1" w14:textId="77777777" w:rsidR="00862F8A" w:rsidRDefault="00BD6B34" w:rsidP="00A83751">
            <w:pPr>
              <w:pStyle w:val="zSoquijlblDateAudience"/>
              <w:spacing w:line="240" w:lineRule="auto"/>
            </w:pPr>
            <w:r>
              <w:t>Date d’audience:</w:t>
            </w:r>
          </w:p>
        </w:tc>
        <w:tc>
          <w:tcPr>
            <w:tcW w:w="7437" w:type="dxa"/>
            <w:gridSpan w:val="2"/>
          </w:tcPr>
          <w:p w14:paraId="75EAA149" w14:textId="77777777" w:rsidR="00862F8A" w:rsidRDefault="00BD6B34" w:rsidP="00A83751">
            <w:pPr>
              <w:pStyle w:val="zSoquijdatDateAudience"/>
              <w:spacing w:line="240" w:lineRule="auto"/>
            </w:pPr>
            <w:r>
              <w:t>10, 11, 12, 13, 14</w:t>
            </w:r>
            <w:r w:rsidR="00126DC0">
              <w:t> </w:t>
            </w:r>
            <w:r w:rsidR="008A7A6C">
              <w:t xml:space="preserve">mars 2025 </w:t>
            </w:r>
          </w:p>
        </w:tc>
      </w:tr>
    </w:tbl>
    <w:p w14:paraId="695474C8" w14:textId="77777777" w:rsidR="00145742" w:rsidRDefault="00145742"/>
    <w:sectPr w:rsidR="00145742" w:rsidSect="004442C2">
      <w:headerReference w:type="default" r:id="rId7"/>
      <w:footerReference w:type="even" r:id="rId8"/>
      <w:footnotePr>
        <w:numRestart w:val="eachSect"/>
      </w:footnotePr>
      <w:pgSz w:w="12242" w:h="15842" w:code="1"/>
      <w:pgMar w:top="1440" w:right="1008" w:bottom="1440" w:left="1872" w:header="907" w:footer="73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38B7E" w14:textId="77777777" w:rsidR="00BD6B34" w:rsidRDefault="00BD6B34">
      <w:pPr>
        <w:spacing w:before="0" w:after="0" w:line="240" w:lineRule="auto"/>
      </w:pPr>
      <w:r>
        <w:separator/>
      </w:r>
    </w:p>
  </w:endnote>
  <w:endnote w:type="continuationSeparator" w:id="0">
    <w:p w14:paraId="079DDDB9" w14:textId="77777777" w:rsidR="00BD6B34" w:rsidRDefault="00BD6B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yriad Pro Cond">
    <w:altName w:val="Arial"/>
    <w:panose1 w:val="00000000000000000000"/>
    <w:charset w:val="00"/>
    <w:family w:val="swiss"/>
    <w:notTrueType/>
    <w:pitch w:val="variable"/>
    <w:sig w:usb0="00000001"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FAF3" w14:textId="77777777" w:rsidR="00145742" w:rsidRDefault="00BD6B34">
    <w:pPr>
      <w:framePr w:wrap="around" w:vAnchor="text" w:hAnchor="margin" w:xAlign="right" w:y="1"/>
    </w:pPr>
    <w:r>
      <w:fldChar w:fldCharType="begin"/>
    </w:r>
    <w:r>
      <w:instrText xml:space="preserve">PAGE  </w:instrText>
    </w:r>
    <w:r>
      <w:fldChar w:fldCharType="separate"/>
    </w:r>
    <w:r>
      <w:fldChar w:fldCharType="end"/>
    </w:r>
  </w:p>
  <w:p w14:paraId="5D650375" w14:textId="77777777" w:rsidR="00145742" w:rsidRDefault="00145742">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E8C48" w14:textId="77777777" w:rsidR="008F0F3A" w:rsidRDefault="00BD6B34">
      <w:r>
        <w:separator/>
      </w:r>
    </w:p>
  </w:footnote>
  <w:footnote w:type="continuationSeparator" w:id="0">
    <w:p w14:paraId="792B1CE1" w14:textId="77777777" w:rsidR="008F0F3A" w:rsidRDefault="00BD6B34">
      <w:r>
        <w:continuationSeparator/>
      </w:r>
    </w:p>
  </w:footnote>
  <w:footnote w:type="continuationNotice" w:id="1">
    <w:p w14:paraId="41886C60" w14:textId="77777777" w:rsidR="008F0F3A" w:rsidRDefault="008F0F3A"/>
  </w:footnote>
  <w:footnote w:id="2">
    <w:p w14:paraId="0FEE17B3" w14:textId="77777777" w:rsidR="0079096B" w:rsidRDefault="00BD6B34" w:rsidP="00DF5050">
      <w:pPr>
        <w:pStyle w:val="Notedebasdepage"/>
        <w:spacing w:before="0" w:after="0" w:line="240" w:lineRule="auto"/>
        <w:ind w:left="357" w:hanging="357"/>
      </w:pPr>
      <w:r>
        <w:rPr>
          <w:rStyle w:val="Appelnotedebasdep"/>
        </w:rPr>
        <w:footnoteRef/>
      </w:r>
      <w:r>
        <w:t xml:space="preserve"> </w:t>
      </w:r>
      <w:r>
        <w:tab/>
        <w:t>Paragraphes 53, 54</w:t>
      </w:r>
      <w:r w:rsidR="00352DDA">
        <w:t>.</w:t>
      </w:r>
      <w:r>
        <w:t>1 et conclusions de la Demande introductive d’instance modifiée.</w:t>
      </w:r>
    </w:p>
  </w:footnote>
  <w:footnote w:id="3">
    <w:p w14:paraId="3C0FF450" w14:textId="77777777" w:rsidR="00121DFD" w:rsidRDefault="00BD6B34" w:rsidP="00DF5050">
      <w:pPr>
        <w:pStyle w:val="Notedebasdepage"/>
        <w:spacing w:before="0" w:after="0" w:line="240" w:lineRule="auto"/>
        <w:ind w:left="357" w:hanging="357"/>
      </w:pPr>
      <w:r>
        <w:rPr>
          <w:rStyle w:val="Appelnotedebasdep"/>
        </w:rPr>
        <w:footnoteRef/>
      </w:r>
      <w:r>
        <w:t xml:space="preserve"> </w:t>
      </w:r>
      <w:r>
        <w:tab/>
        <w:t>P-1.</w:t>
      </w:r>
    </w:p>
  </w:footnote>
  <w:footnote w:id="4">
    <w:p w14:paraId="4B1C6313" w14:textId="77777777" w:rsidR="00121DFD" w:rsidRDefault="00BD6B34" w:rsidP="00DF5050">
      <w:pPr>
        <w:pStyle w:val="Notedebasdepage"/>
        <w:spacing w:before="0" w:after="0" w:line="240" w:lineRule="auto"/>
        <w:ind w:left="357" w:hanging="357"/>
      </w:pPr>
      <w:r>
        <w:rPr>
          <w:rStyle w:val="Appelnotedebasdep"/>
        </w:rPr>
        <w:footnoteRef/>
      </w:r>
      <w:r>
        <w:t xml:space="preserve"> </w:t>
      </w:r>
      <w:r>
        <w:tab/>
        <w:t>P-2.</w:t>
      </w:r>
    </w:p>
  </w:footnote>
  <w:footnote w:id="5">
    <w:p w14:paraId="1B11AAB8" w14:textId="77777777" w:rsidR="00807A41" w:rsidRDefault="00BD6B34" w:rsidP="00DF5050">
      <w:pPr>
        <w:pStyle w:val="Notedebasdepage"/>
        <w:spacing w:before="0" w:after="0" w:line="240" w:lineRule="auto"/>
        <w:ind w:left="357" w:hanging="357"/>
      </w:pPr>
      <w:r>
        <w:rPr>
          <w:rStyle w:val="Appelnotedebasdep"/>
        </w:rPr>
        <w:footnoteRef/>
      </w:r>
      <w:r>
        <w:t xml:space="preserve"> </w:t>
      </w:r>
      <w:r>
        <w:tab/>
        <w:t>P-7.</w:t>
      </w:r>
    </w:p>
  </w:footnote>
  <w:footnote w:id="6">
    <w:p w14:paraId="0FCF0E04" w14:textId="77777777" w:rsidR="00807A41" w:rsidRDefault="00BD6B34" w:rsidP="00DF5050">
      <w:pPr>
        <w:pStyle w:val="Notedebasdepage"/>
        <w:spacing w:before="0" w:after="0" w:line="240" w:lineRule="auto"/>
        <w:ind w:left="357" w:hanging="357"/>
      </w:pPr>
      <w:r>
        <w:rPr>
          <w:rStyle w:val="Appelnotedebasdep"/>
        </w:rPr>
        <w:footnoteRef/>
      </w:r>
      <w:r>
        <w:t xml:space="preserve"> </w:t>
      </w:r>
      <w:r>
        <w:tab/>
        <w:t>DF-2.</w:t>
      </w:r>
    </w:p>
  </w:footnote>
  <w:footnote w:id="7">
    <w:p w14:paraId="155979A3" w14:textId="77777777" w:rsidR="0078228A" w:rsidRDefault="00BD6B34" w:rsidP="0078228A">
      <w:pPr>
        <w:pStyle w:val="Notedebasdepage"/>
        <w:spacing w:before="0" w:after="0" w:line="240" w:lineRule="auto"/>
        <w:ind w:left="357" w:hanging="357"/>
      </w:pPr>
      <w:r>
        <w:rPr>
          <w:rStyle w:val="Appelnotedebasdep"/>
        </w:rPr>
        <w:footnoteRef/>
      </w:r>
      <w:r>
        <w:t xml:space="preserve"> </w:t>
      </w:r>
      <w:r>
        <w:tab/>
        <w:t>Interrogatoire hors cour de M.</w:t>
      </w:r>
      <w:r w:rsidR="00383FEA">
        <w:t> </w:t>
      </w:r>
      <w:r>
        <w:t>Duguay du 24</w:t>
      </w:r>
      <w:r w:rsidR="00126DC0">
        <w:t> </w:t>
      </w:r>
      <w:r>
        <w:t>février 2022, p. 18</w:t>
      </w:r>
      <w:r w:rsidR="003F5678">
        <w:t>.</w:t>
      </w:r>
    </w:p>
  </w:footnote>
  <w:footnote w:id="8">
    <w:p w14:paraId="249C0EF3" w14:textId="77777777" w:rsidR="003F1EB4" w:rsidRDefault="00BD6B34" w:rsidP="00AB3FFE">
      <w:pPr>
        <w:pStyle w:val="Notedebasdepage"/>
        <w:spacing w:before="0" w:after="0" w:line="240" w:lineRule="auto"/>
        <w:ind w:left="357" w:hanging="357"/>
      </w:pPr>
      <w:r>
        <w:rPr>
          <w:rStyle w:val="Appelnotedebasdep"/>
        </w:rPr>
        <w:footnoteRef/>
      </w:r>
      <w:r>
        <w:t xml:space="preserve"> </w:t>
      </w:r>
      <w:r>
        <w:tab/>
        <w:t>Interrogatoire de M. Duguay du 24 février 2022, p. 23 et 24.</w:t>
      </w:r>
    </w:p>
  </w:footnote>
  <w:footnote w:id="9">
    <w:p w14:paraId="11F6449D" w14:textId="77777777" w:rsidR="00F550C4" w:rsidRDefault="00BD6B34" w:rsidP="005E1E98">
      <w:pPr>
        <w:pStyle w:val="Notedebasdepage"/>
        <w:spacing w:before="0" w:after="0" w:line="240" w:lineRule="auto"/>
        <w:ind w:left="357" w:hanging="357"/>
      </w:pPr>
      <w:r>
        <w:rPr>
          <w:rStyle w:val="Appelnotedebasdep"/>
        </w:rPr>
        <w:footnoteRef/>
      </w:r>
      <w:r>
        <w:t xml:space="preserve"> </w:t>
      </w:r>
      <w:r>
        <w:tab/>
      </w:r>
      <w:r w:rsidR="00061BB2" w:rsidRPr="00061BB2">
        <w:t>RLRQ, chap. C-12</w:t>
      </w:r>
      <w:r w:rsidR="003F5678">
        <w:t>.</w:t>
      </w:r>
    </w:p>
  </w:footnote>
  <w:footnote w:id="10">
    <w:p w14:paraId="2FB307B0" w14:textId="77777777" w:rsidR="00DA0888" w:rsidRDefault="00BD6B34" w:rsidP="0083016E">
      <w:pPr>
        <w:pStyle w:val="Notedebasdepage"/>
        <w:spacing w:before="0" w:after="0" w:line="240" w:lineRule="auto"/>
        <w:ind w:left="357" w:hanging="357"/>
      </w:pPr>
      <w:r>
        <w:rPr>
          <w:rStyle w:val="Appelnotedebasdep"/>
        </w:rPr>
        <w:footnoteRef/>
      </w:r>
      <w:r>
        <w:t xml:space="preserve"> </w:t>
      </w:r>
      <w:r>
        <w:tab/>
        <w:t>P-2.</w:t>
      </w:r>
    </w:p>
  </w:footnote>
  <w:footnote w:id="11">
    <w:p w14:paraId="023ABDD0" w14:textId="77777777" w:rsidR="00BB27DE" w:rsidRDefault="00BD6B34" w:rsidP="0083016E">
      <w:pPr>
        <w:pStyle w:val="Notedebasdepage"/>
        <w:spacing w:before="0" w:after="0" w:line="240" w:lineRule="auto"/>
        <w:ind w:left="357" w:hanging="357"/>
      </w:pPr>
      <w:r>
        <w:rPr>
          <w:rStyle w:val="Appelnotedebasdep"/>
        </w:rPr>
        <w:footnoteRef/>
      </w:r>
      <w:r>
        <w:t xml:space="preserve"> </w:t>
      </w:r>
      <w:r>
        <w:tab/>
        <w:t xml:space="preserve">Interrogatoire hors cour </w:t>
      </w:r>
      <w:r w:rsidR="00763F20">
        <w:t>de KP du 17 juin 2021 réalisé par BCF, p. 25.</w:t>
      </w:r>
    </w:p>
  </w:footnote>
  <w:footnote w:id="12">
    <w:p w14:paraId="229083FF" w14:textId="77777777" w:rsidR="006A204E" w:rsidRDefault="00BD6B34" w:rsidP="0083016E">
      <w:pPr>
        <w:pStyle w:val="Notedebasdepage"/>
        <w:spacing w:before="0" w:after="0" w:line="240" w:lineRule="auto"/>
        <w:ind w:left="357" w:hanging="357"/>
      </w:pPr>
      <w:r>
        <w:rPr>
          <w:rStyle w:val="Appelnotedebasdep"/>
        </w:rPr>
        <w:footnoteRef/>
      </w:r>
      <w:r>
        <w:t xml:space="preserve"> </w:t>
      </w:r>
      <w:r>
        <w:tab/>
        <w:t>Dans les faits</w:t>
      </w:r>
      <w:r w:rsidR="00996893">
        <w:t>,</w:t>
      </w:r>
      <w:r>
        <w:t xml:space="preserve"> il s’agit du projet de loi 135</w:t>
      </w:r>
      <w:r w:rsidR="00321D92">
        <w:t xml:space="preserve"> </w:t>
      </w:r>
      <w:r w:rsidR="00742C53">
        <w:t>(« </w:t>
      </w:r>
      <w:r w:rsidR="00742C53" w:rsidRPr="00742C53">
        <w:rPr>
          <w:b/>
          <w:bCs/>
        </w:rPr>
        <w:t>PL-135</w:t>
      </w:r>
      <w:r w:rsidR="00742C53">
        <w:t xml:space="preserve"> ») </w:t>
      </w:r>
      <w:r w:rsidR="0064411B">
        <w:t xml:space="preserve">lequel modifiait la Loi </w:t>
      </w:r>
      <w:r w:rsidR="003D6762">
        <w:t>sur les relations du travail, la formation professionnelle et la gestion de la main</w:t>
      </w:r>
      <w:r w:rsidR="009A150A">
        <w:t>-</w:t>
      </w:r>
      <w:r w:rsidR="003D6762">
        <w:t>d’</w:t>
      </w:r>
      <w:r w:rsidR="00937882">
        <w:t>œuvre dans l’Industrie de la construction</w:t>
      </w:r>
      <w:r w:rsidR="00996893">
        <w:t>,</w:t>
      </w:r>
      <w:r w:rsidR="00DC3D5F">
        <w:t xml:space="preserve"> déposé en 2005 et qui fut </w:t>
      </w:r>
      <w:r w:rsidR="00FE2E32">
        <w:t>sanctionnée le 15 décembre 20</w:t>
      </w:r>
      <w:r w:rsidR="00102B6F">
        <w:t>05.</w:t>
      </w:r>
    </w:p>
  </w:footnote>
  <w:footnote w:id="13">
    <w:p w14:paraId="1D24804B" w14:textId="77777777" w:rsidR="00E83191" w:rsidRDefault="00BD6B34" w:rsidP="007D79BE">
      <w:pPr>
        <w:pStyle w:val="Notedebasdepage"/>
        <w:spacing w:before="0" w:after="0" w:line="240" w:lineRule="auto"/>
        <w:ind w:left="357" w:hanging="357"/>
      </w:pPr>
      <w:r>
        <w:rPr>
          <w:rStyle w:val="Appelnotedebasdep"/>
        </w:rPr>
        <w:footnoteRef/>
      </w:r>
      <w:r>
        <w:t xml:space="preserve"> </w:t>
      </w:r>
      <w:r>
        <w:tab/>
        <w:t>P-8</w:t>
      </w:r>
      <w:r w:rsidR="007D79BE">
        <w:t>.</w:t>
      </w:r>
      <w:r w:rsidRPr="00E83191">
        <w:t xml:space="preserve"> </w:t>
      </w:r>
      <w:r>
        <w:t>La Cour suprême rejette la demande d’autorisation d’appel.</w:t>
      </w:r>
    </w:p>
  </w:footnote>
  <w:footnote w:id="14">
    <w:p w14:paraId="1C5A7FA3" w14:textId="77777777" w:rsidR="009613AF" w:rsidRDefault="00BD6B34" w:rsidP="0083016E">
      <w:pPr>
        <w:pStyle w:val="Notedebasdepage"/>
        <w:spacing w:before="0" w:after="0" w:line="240" w:lineRule="auto"/>
        <w:ind w:left="357" w:hanging="357"/>
      </w:pPr>
      <w:r>
        <w:rPr>
          <w:rStyle w:val="Appelnotedebasdep"/>
        </w:rPr>
        <w:footnoteRef/>
      </w:r>
      <w:r>
        <w:t xml:space="preserve"> </w:t>
      </w:r>
      <w:r>
        <w:tab/>
        <w:t>P-8</w:t>
      </w:r>
      <w:r w:rsidR="007D79BE">
        <w:t>,</w:t>
      </w:r>
      <w:r w:rsidR="00D71503">
        <w:t xml:space="preserve"> </w:t>
      </w:r>
      <w:r w:rsidR="007D79BE">
        <w:t>voir particulièrement les par</w:t>
      </w:r>
      <w:r w:rsidR="00D7064F">
        <w:t xml:space="preserve">agraphes </w:t>
      </w:r>
      <w:r w:rsidR="000B2B51">
        <w:t>34 à 55 de la décision de première instance et les par</w:t>
      </w:r>
      <w:r w:rsidR="00D7064F">
        <w:t>agraphes</w:t>
      </w:r>
      <w:r w:rsidR="006F3186">
        <w:t xml:space="preserve"> 74 à 87 de la décision de la Cour d’appel</w:t>
      </w:r>
      <w:r w:rsidR="00664794">
        <w:t>.</w:t>
      </w:r>
    </w:p>
  </w:footnote>
  <w:footnote w:id="15">
    <w:p w14:paraId="56DF4124" w14:textId="77777777" w:rsidR="00AA6236" w:rsidRDefault="00BD6B34" w:rsidP="001D547F">
      <w:pPr>
        <w:pStyle w:val="Notedebasdepage"/>
        <w:spacing w:before="0" w:after="0" w:line="240" w:lineRule="auto"/>
        <w:ind w:left="357" w:hanging="357"/>
      </w:pPr>
      <w:r>
        <w:rPr>
          <w:rStyle w:val="Appelnotedebasdep"/>
        </w:rPr>
        <w:footnoteRef/>
      </w:r>
      <w:r>
        <w:t xml:space="preserve"> </w:t>
      </w:r>
      <w:r>
        <w:tab/>
        <w:t xml:space="preserve">P-27, p. </w:t>
      </w:r>
      <w:r w:rsidR="002C23EF">
        <w:t xml:space="preserve">2002 </w:t>
      </w:r>
      <w:r w:rsidR="00407C75">
        <w:t>à</w:t>
      </w:r>
      <w:r w:rsidR="002C23EF">
        <w:t xml:space="preserve"> 200</w:t>
      </w:r>
      <w:r w:rsidR="00407C75">
        <w:t>4</w:t>
      </w:r>
      <w:r w:rsidR="00153D59">
        <w:t>.</w:t>
      </w:r>
    </w:p>
  </w:footnote>
  <w:footnote w:id="16">
    <w:p w14:paraId="4DD2F35F" w14:textId="77777777" w:rsidR="00781D0F" w:rsidRDefault="00BD6B34" w:rsidP="001D547F">
      <w:pPr>
        <w:pStyle w:val="Notedebasdepage"/>
        <w:spacing w:before="0" w:after="0" w:line="240" w:lineRule="auto"/>
        <w:ind w:left="357" w:hanging="357"/>
      </w:pPr>
      <w:r>
        <w:rPr>
          <w:rStyle w:val="Appelnotedebasdep"/>
        </w:rPr>
        <w:footnoteRef/>
      </w:r>
      <w:r>
        <w:t xml:space="preserve"> </w:t>
      </w:r>
      <w:r>
        <w:tab/>
        <w:t>P-27, p. 2002</w:t>
      </w:r>
      <w:r w:rsidR="00153D59">
        <w:t>.</w:t>
      </w:r>
    </w:p>
  </w:footnote>
  <w:footnote w:id="17">
    <w:p w14:paraId="30CF4F91" w14:textId="77777777" w:rsidR="00112D96" w:rsidRDefault="00BD6B34" w:rsidP="001D547F">
      <w:pPr>
        <w:pStyle w:val="Notedebasdepage"/>
        <w:spacing w:before="0" w:after="0" w:line="240" w:lineRule="auto"/>
        <w:ind w:left="357" w:hanging="357"/>
      </w:pPr>
      <w:r>
        <w:rPr>
          <w:rStyle w:val="Appelnotedebasdep"/>
        </w:rPr>
        <w:footnoteRef/>
      </w:r>
      <w:r>
        <w:t xml:space="preserve"> </w:t>
      </w:r>
      <w:r w:rsidR="009F4B4C">
        <w:t xml:space="preserve"> </w:t>
      </w:r>
      <w:r w:rsidR="003D7714">
        <w:t xml:space="preserve">  </w:t>
      </w:r>
      <w:r w:rsidR="009F4B4C">
        <w:t>P-16, ligne</w:t>
      </w:r>
      <w:r w:rsidR="00494AF8">
        <w:t>s</w:t>
      </w:r>
      <w:r w:rsidR="009F4B4C">
        <w:t xml:space="preserve"> 31</w:t>
      </w:r>
      <w:r w:rsidR="00494AF8">
        <w:t xml:space="preserve"> et </w:t>
      </w:r>
      <w:r w:rsidR="00D1053C">
        <w:t>33.</w:t>
      </w:r>
    </w:p>
  </w:footnote>
  <w:footnote w:id="18">
    <w:p w14:paraId="1C2C2F2A" w14:textId="77777777" w:rsidR="00560D6B" w:rsidRDefault="00BD6B34" w:rsidP="001D547F">
      <w:pPr>
        <w:pStyle w:val="Notedebasdepage"/>
        <w:spacing w:before="0" w:after="0" w:line="240" w:lineRule="auto"/>
        <w:ind w:left="357" w:hanging="357"/>
      </w:pPr>
      <w:r>
        <w:rPr>
          <w:rStyle w:val="Appelnotedebasdep"/>
        </w:rPr>
        <w:footnoteRef/>
      </w:r>
      <w:r>
        <w:t xml:space="preserve"> </w:t>
      </w:r>
      <w:r>
        <w:tab/>
        <w:t>P-27, p. 2004</w:t>
      </w:r>
      <w:r w:rsidR="003F5678">
        <w:t>.</w:t>
      </w:r>
    </w:p>
  </w:footnote>
  <w:footnote w:id="19">
    <w:p w14:paraId="661A2EA7" w14:textId="77777777" w:rsidR="00590D46" w:rsidRDefault="00BD6B34" w:rsidP="001D547F">
      <w:pPr>
        <w:pStyle w:val="Notedebasdepage"/>
        <w:spacing w:before="0" w:after="0" w:line="240" w:lineRule="auto"/>
        <w:ind w:left="357" w:hanging="357"/>
      </w:pPr>
      <w:r>
        <w:rPr>
          <w:rStyle w:val="Appelnotedebasdep"/>
        </w:rPr>
        <w:footnoteRef/>
      </w:r>
      <w:r>
        <w:t xml:space="preserve"> </w:t>
      </w:r>
      <w:r>
        <w:tab/>
        <w:t xml:space="preserve">P-27, p. </w:t>
      </w:r>
      <w:r w:rsidR="005C78C2">
        <w:t>2004</w:t>
      </w:r>
      <w:r w:rsidR="003F5678">
        <w:t>.</w:t>
      </w:r>
    </w:p>
  </w:footnote>
  <w:footnote w:id="20">
    <w:p w14:paraId="157CB90D" w14:textId="77777777" w:rsidR="007E416A" w:rsidRDefault="00BD6B34" w:rsidP="001D547F">
      <w:pPr>
        <w:pStyle w:val="Notedebasdepage"/>
        <w:spacing w:before="0" w:after="0" w:line="240" w:lineRule="auto"/>
        <w:ind w:left="357" w:hanging="357"/>
      </w:pPr>
      <w:r>
        <w:rPr>
          <w:rStyle w:val="Appelnotedebasdep"/>
        </w:rPr>
        <w:footnoteRef/>
      </w:r>
      <w:r>
        <w:t xml:space="preserve"> </w:t>
      </w:r>
      <w:r>
        <w:tab/>
        <w:t>Interrogatoire hors cour de M. Duguay du</w:t>
      </w:r>
      <w:r w:rsidR="00186A20">
        <w:t xml:space="preserve"> 24 février 2022, p. </w:t>
      </w:r>
      <w:r w:rsidR="00141C7E">
        <w:t xml:space="preserve">45 et </w:t>
      </w:r>
      <w:r w:rsidR="00186A20">
        <w:t>47</w:t>
      </w:r>
      <w:r w:rsidR="00141C7E">
        <w:t>.</w:t>
      </w:r>
    </w:p>
  </w:footnote>
  <w:footnote w:id="21">
    <w:p w14:paraId="6CD3EF47" w14:textId="77777777" w:rsidR="00733E86" w:rsidRDefault="00BD6B34" w:rsidP="001D547F">
      <w:pPr>
        <w:pStyle w:val="Notedebasdepage"/>
        <w:spacing w:before="0" w:after="0" w:line="240" w:lineRule="auto"/>
        <w:ind w:left="357" w:hanging="357"/>
      </w:pPr>
      <w:r>
        <w:rPr>
          <w:rStyle w:val="Appelnotedebasdep"/>
        </w:rPr>
        <w:footnoteRef/>
      </w:r>
      <w:r>
        <w:t xml:space="preserve"> </w:t>
      </w:r>
      <w:r>
        <w:tab/>
        <w:t>P-16 A, ligne 27.</w:t>
      </w:r>
    </w:p>
  </w:footnote>
  <w:footnote w:id="22">
    <w:p w14:paraId="198F628B" w14:textId="77777777" w:rsidR="00C62A2B" w:rsidRDefault="00BD6B34" w:rsidP="001D547F">
      <w:pPr>
        <w:pStyle w:val="Notedebasdepage"/>
        <w:spacing w:before="0" w:after="0" w:line="240" w:lineRule="auto"/>
        <w:ind w:left="357" w:hanging="357"/>
      </w:pPr>
      <w:r>
        <w:rPr>
          <w:rStyle w:val="Appelnotedebasdep"/>
        </w:rPr>
        <w:footnoteRef/>
      </w:r>
      <w:r>
        <w:t xml:space="preserve"> </w:t>
      </w:r>
      <w:r>
        <w:tab/>
        <w:t>DC-1.</w:t>
      </w:r>
    </w:p>
  </w:footnote>
  <w:footnote w:id="23">
    <w:p w14:paraId="2CC429C4" w14:textId="77777777" w:rsidR="00A31A76" w:rsidRDefault="00BD6B34" w:rsidP="001D547F">
      <w:pPr>
        <w:pStyle w:val="Notedebasdepage"/>
        <w:spacing w:before="0" w:after="0" w:line="240" w:lineRule="auto"/>
        <w:ind w:left="357" w:hanging="357"/>
      </w:pPr>
      <w:r>
        <w:rPr>
          <w:rStyle w:val="Appelnotedebasdep"/>
        </w:rPr>
        <w:footnoteRef/>
      </w:r>
      <w:r>
        <w:t xml:space="preserve"> </w:t>
      </w:r>
      <w:r>
        <w:tab/>
        <w:t xml:space="preserve">DC-1, p. </w:t>
      </w:r>
      <w:r w:rsidR="00FD0621">
        <w:t>2150</w:t>
      </w:r>
      <w:r w:rsidR="003F5678">
        <w:t>.</w:t>
      </w:r>
    </w:p>
  </w:footnote>
  <w:footnote w:id="24">
    <w:p w14:paraId="7C8311AD" w14:textId="77777777" w:rsidR="00E243F6" w:rsidRDefault="00BD6B34" w:rsidP="001D547F">
      <w:pPr>
        <w:pStyle w:val="Notedebasdepage"/>
        <w:spacing w:before="0" w:after="0" w:line="240" w:lineRule="auto"/>
        <w:ind w:left="357" w:hanging="357"/>
      </w:pPr>
      <w:r>
        <w:rPr>
          <w:rStyle w:val="Appelnotedebasdep"/>
        </w:rPr>
        <w:footnoteRef/>
      </w:r>
      <w:r>
        <w:t xml:space="preserve"> </w:t>
      </w:r>
      <w:r>
        <w:tab/>
        <w:t xml:space="preserve">P-27, p. </w:t>
      </w:r>
      <w:r w:rsidR="00044FD8">
        <w:t>1956</w:t>
      </w:r>
      <w:r w:rsidR="003F5678">
        <w:t>.</w:t>
      </w:r>
    </w:p>
  </w:footnote>
  <w:footnote w:id="25">
    <w:p w14:paraId="4B4A1302" w14:textId="77777777" w:rsidR="00B07CF7" w:rsidRDefault="00BD6B34" w:rsidP="001D547F">
      <w:pPr>
        <w:pStyle w:val="Notedebasdepage"/>
        <w:spacing w:before="0" w:after="0" w:line="240" w:lineRule="auto"/>
        <w:ind w:left="357" w:hanging="357"/>
      </w:pPr>
      <w:r>
        <w:rPr>
          <w:rStyle w:val="Appelnotedebasdep"/>
        </w:rPr>
        <w:footnoteRef/>
      </w:r>
      <w:r>
        <w:t xml:space="preserve"> </w:t>
      </w:r>
      <w:r>
        <w:tab/>
        <w:t>DC-1, p. 2151 et</w:t>
      </w:r>
      <w:r w:rsidR="00A24F5C">
        <w:t xml:space="preserve"> 2154.</w:t>
      </w:r>
    </w:p>
  </w:footnote>
  <w:footnote w:id="26">
    <w:p w14:paraId="73C802A0" w14:textId="77777777" w:rsidR="00163CA3" w:rsidRDefault="00BD6B34" w:rsidP="00331C4E">
      <w:pPr>
        <w:pStyle w:val="Notedebasdepage"/>
        <w:spacing w:before="0" w:after="0" w:line="240" w:lineRule="auto"/>
        <w:ind w:left="357" w:hanging="357"/>
      </w:pPr>
      <w:r>
        <w:rPr>
          <w:rStyle w:val="Appelnotedebasdep"/>
        </w:rPr>
        <w:footnoteRef/>
      </w:r>
      <w:r>
        <w:t xml:space="preserve"> </w:t>
      </w:r>
      <w:r>
        <w:tab/>
        <w:t xml:space="preserve">P-27, p. </w:t>
      </w:r>
      <w:r w:rsidR="00CF6127">
        <w:t xml:space="preserve">1907 à 1923 et </w:t>
      </w:r>
      <w:r w:rsidR="00C03A7E">
        <w:t>1950 et 1951,</w:t>
      </w:r>
      <w:r w:rsidR="00B44630">
        <w:t xml:space="preserve"> 1958</w:t>
      </w:r>
      <w:r w:rsidR="00CF7B18">
        <w:t>.</w:t>
      </w:r>
    </w:p>
  </w:footnote>
  <w:footnote w:id="27">
    <w:p w14:paraId="5B19983A" w14:textId="77777777" w:rsidR="00F754CF" w:rsidRDefault="00BD6B34" w:rsidP="00331C4E">
      <w:pPr>
        <w:pStyle w:val="Notedebasdepage"/>
        <w:spacing w:before="0" w:after="0" w:line="240" w:lineRule="auto"/>
        <w:ind w:left="357" w:hanging="357"/>
      </w:pPr>
      <w:r>
        <w:rPr>
          <w:rStyle w:val="Appelnotedebasdep"/>
        </w:rPr>
        <w:footnoteRef/>
      </w:r>
      <w:r>
        <w:t xml:space="preserve"> </w:t>
      </w:r>
      <w:r>
        <w:tab/>
        <w:t xml:space="preserve">P-27, p. </w:t>
      </w:r>
      <w:r w:rsidR="0078545B">
        <w:t>1916</w:t>
      </w:r>
      <w:r w:rsidR="003F5678">
        <w:t>.</w:t>
      </w:r>
    </w:p>
  </w:footnote>
  <w:footnote w:id="28">
    <w:p w14:paraId="7FF1DCAE" w14:textId="77777777" w:rsidR="00B141CE" w:rsidRDefault="00BD6B34" w:rsidP="00966DD5">
      <w:pPr>
        <w:pStyle w:val="Notedebasdepage"/>
        <w:spacing w:before="0" w:after="0" w:line="240" w:lineRule="auto"/>
        <w:ind w:left="357" w:hanging="357"/>
      </w:pPr>
      <w:r>
        <w:rPr>
          <w:rStyle w:val="Appelnotedebasdep"/>
        </w:rPr>
        <w:footnoteRef/>
      </w:r>
      <w:r>
        <w:t xml:space="preserve"> </w:t>
      </w:r>
      <w:r>
        <w:tab/>
        <w:t>P-27, p. 1959</w:t>
      </w:r>
      <w:r w:rsidR="00211B01">
        <w:t xml:space="preserve"> et 1960</w:t>
      </w:r>
      <w:r>
        <w:t>.</w:t>
      </w:r>
    </w:p>
  </w:footnote>
  <w:footnote w:id="29">
    <w:p w14:paraId="7CAC09D3" w14:textId="77777777" w:rsidR="00DE1280" w:rsidRDefault="00BD6B34" w:rsidP="00966DD5">
      <w:pPr>
        <w:pStyle w:val="Notedebasdepage"/>
        <w:spacing w:before="0" w:after="0" w:line="240" w:lineRule="auto"/>
        <w:ind w:left="357" w:hanging="357"/>
      </w:pPr>
      <w:r>
        <w:rPr>
          <w:rStyle w:val="Appelnotedebasdep"/>
        </w:rPr>
        <w:footnoteRef/>
      </w:r>
      <w:r>
        <w:t xml:space="preserve"> </w:t>
      </w:r>
      <w:r>
        <w:tab/>
        <w:t>Interrogatoire hors cour du</w:t>
      </w:r>
      <w:r w:rsidR="00D71503">
        <w:t xml:space="preserve"> </w:t>
      </w:r>
      <w:r>
        <w:t xml:space="preserve">24 février 2022, p. </w:t>
      </w:r>
      <w:r w:rsidR="00687443">
        <w:t>31 et ss</w:t>
      </w:r>
      <w:r w:rsidR="003F5678">
        <w:t>.</w:t>
      </w:r>
    </w:p>
  </w:footnote>
  <w:footnote w:id="30">
    <w:p w14:paraId="6F01E55A" w14:textId="77777777" w:rsidR="00635B78" w:rsidRDefault="00BD6B34" w:rsidP="00966DD5">
      <w:pPr>
        <w:pStyle w:val="Notedebasdepage"/>
        <w:spacing w:before="0" w:after="0" w:line="240" w:lineRule="auto"/>
        <w:ind w:left="357" w:hanging="357"/>
      </w:pPr>
      <w:r>
        <w:rPr>
          <w:rStyle w:val="Appelnotedebasdep"/>
        </w:rPr>
        <w:footnoteRef/>
      </w:r>
      <w:r>
        <w:t xml:space="preserve"> </w:t>
      </w:r>
      <w:r>
        <w:tab/>
        <w:t xml:space="preserve">P-27, p. </w:t>
      </w:r>
      <w:r w:rsidR="00C858B1">
        <w:t>1959</w:t>
      </w:r>
      <w:r w:rsidR="003F5678">
        <w:t>.</w:t>
      </w:r>
    </w:p>
  </w:footnote>
  <w:footnote w:id="31">
    <w:p w14:paraId="36C897B8" w14:textId="77777777" w:rsidR="008D1B92" w:rsidRDefault="00BD6B34" w:rsidP="00966DD5">
      <w:pPr>
        <w:pStyle w:val="Notedebasdepage"/>
        <w:spacing w:before="0" w:after="0" w:line="240" w:lineRule="auto"/>
        <w:ind w:left="357" w:hanging="357"/>
      </w:pPr>
      <w:r>
        <w:rPr>
          <w:rStyle w:val="Appelnotedebasdep"/>
        </w:rPr>
        <w:footnoteRef/>
      </w:r>
      <w:r>
        <w:t xml:space="preserve"> </w:t>
      </w:r>
      <w:r>
        <w:tab/>
        <w:t>P-27, p. 1960</w:t>
      </w:r>
      <w:r w:rsidR="003F5678">
        <w:t>.</w:t>
      </w:r>
    </w:p>
  </w:footnote>
  <w:footnote w:id="32">
    <w:p w14:paraId="48714895" w14:textId="77777777" w:rsidR="00B961F9" w:rsidRDefault="00BD6B34" w:rsidP="00966DD5">
      <w:pPr>
        <w:pStyle w:val="Notedebasdepage"/>
        <w:spacing w:before="0" w:after="0" w:line="240" w:lineRule="auto"/>
        <w:ind w:left="357" w:hanging="357"/>
      </w:pPr>
      <w:r>
        <w:rPr>
          <w:rStyle w:val="Appelnotedebasdep"/>
        </w:rPr>
        <w:footnoteRef/>
      </w:r>
      <w:r>
        <w:t xml:space="preserve"> </w:t>
      </w:r>
      <w:r w:rsidR="001B6619">
        <w:tab/>
        <w:t>P-19</w:t>
      </w:r>
      <w:r w:rsidR="003F5678">
        <w:t>.</w:t>
      </w:r>
    </w:p>
  </w:footnote>
  <w:footnote w:id="33">
    <w:p w14:paraId="3CFA54B2" w14:textId="77777777" w:rsidR="00307149" w:rsidRDefault="00BD6B34" w:rsidP="00966DD5">
      <w:pPr>
        <w:pStyle w:val="Notedebasdepage"/>
        <w:spacing w:before="0" w:after="0" w:line="240" w:lineRule="auto"/>
        <w:ind w:left="357" w:hanging="357"/>
      </w:pPr>
      <w:r>
        <w:rPr>
          <w:rStyle w:val="Appelnotedebasdep"/>
        </w:rPr>
        <w:footnoteRef/>
      </w:r>
      <w:r>
        <w:t xml:space="preserve"> </w:t>
      </w:r>
      <w:r>
        <w:tab/>
        <w:t xml:space="preserve">P-27, p. </w:t>
      </w:r>
      <w:r w:rsidR="00A20F1B">
        <w:t>1958</w:t>
      </w:r>
      <w:r w:rsidR="003F5678">
        <w:t>.</w:t>
      </w:r>
    </w:p>
  </w:footnote>
  <w:footnote w:id="34">
    <w:p w14:paraId="6A8FFEF6" w14:textId="77777777" w:rsidR="001D7360" w:rsidRDefault="00BD6B34" w:rsidP="00966DD5">
      <w:pPr>
        <w:pStyle w:val="Notedebasdepage"/>
        <w:spacing w:before="0" w:after="0" w:line="240" w:lineRule="auto"/>
        <w:ind w:left="357" w:hanging="357"/>
      </w:pPr>
      <w:r>
        <w:rPr>
          <w:rStyle w:val="Appelnotedebasdep"/>
        </w:rPr>
        <w:footnoteRef/>
      </w:r>
      <w:r>
        <w:t xml:space="preserve"> </w:t>
      </w:r>
      <w:r>
        <w:tab/>
        <w:t>P-27, p. 1955</w:t>
      </w:r>
      <w:r w:rsidR="003F5678">
        <w:t>.</w:t>
      </w:r>
    </w:p>
  </w:footnote>
  <w:footnote w:id="35">
    <w:p w14:paraId="31351C74" w14:textId="77777777" w:rsidR="00DF10BD" w:rsidRDefault="00BD6B34" w:rsidP="00966DD5">
      <w:pPr>
        <w:pStyle w:val="Notedebasdepage"/>
        <w:spacing w:before="0" w:after="0" w:line="240" w:lineRule="auto"/>
        <w:ind w:left="357" w:hanging="357"/>
      </w:pPr>
      <w:r>
        <w:rPr>
          <w:rStyle w:val="Appelnotedebasdep"/>
        </w:rPr>
        <w:footnoteRef/>
      </w:r>
      <w:r>
        <w:t xml:space="preserve"> </w:t>
      </w:r>
      <w:r>
        <w:tab/>
        <w:t>P-27, p. 1954</w:t>
      </w:r>
      <w:r w:rsidR="003F5678">
        <w:t>.</w:t>
      </w:r>
    </w:p>
  </w:footnote>
  <w:footnote w:id="36">
    <w:p w14:paraId="5D9155FF" w14:textId="77777777" w:rsidR="006A6802" w:rsidRDefault="00BD6B34" w:rsidP="00966DD5">
      <w:pPr>
        <w:pStyle w:val="Notedebasdepage"/>
        <w:spacing w:before="0" w:after="0" w:line="240" w:lineRule="auto"/>
        <w:ind w:left="357" w:hanging="357"/>
      </w:pPr>
      <w:r>
        <w:rPr>
          <w:rStyle w:val="Appelnotedebasdep"/>
        </w:rPr>
        <w:footnoteRef/>
      </w:r>
      <w:r>
        <w:t xml:space="preserve"> </w:t>
      </w:r>
      <w:r>
        <w:tab/>
        <w:t xml:space="preserve">P-27, p. </w:t>
      </w:r>
      <w:r w:rsidR="00211B01">
        <w:t>1959</w:t>
      </w:r>
      <w:r w:rsidR="003F5678">
        <w:t>.</w:t>
      </w:r>
    </w:p>
  </w:footnote>
  <w:footnote w:id="37">
    <w:p w14:paraId="2B9CF8E5" w14:textId="77777777" w:rsidR="0057367F" w:rsidRDefault="00BD6B34" w:rsidP="00966DD5">
      <w:pPr>
        <w:pStyle w:val="Notedebasdepage"/>
        <w:spacing w:before="0" w:after="0" w:line="240" w:lineRule="auto"/>
        <w:ind w:left="357" w:hanging="357"/>
      </w:pPr>
      <w:r>
        <w:rPr>
          <w:rStyle w:val="Appelnotedebasdep"/>
        </w:rPr>
        <w:footnoteRef/>
      </w:r>
      <w:r>
        <w:t xml:space="preserve"> </w:t>
      </w:r>
      <w:r>
        <w:tab/>
        <w:t xml:space="preserve">P-27, p. </w:t>
      </w:r>
      <w:r w:rsidR="008E565C">
        <w:t>1927 à 1949</w:t>
      </w:r>
      <w:r w:rsidR="00697AFF">
        <w:t xml:space="preserve"> et </w:t>
      </w:r>
      <w:r w:rsidR="002001D6">
        <w:t xml:space="preserve">1965 </w:t>
      </w:r>
      <w:r w:rsidR="00697AFF">
        <w:t>à 2001</w:t>
      </w:r>
      <w:r w:rsidR="003F5678">
        <w:t>.</w:t>
      </w:r>
    </w:p>
  </w:footnote>
  <w:footnote w:id="38">
    <w:p w14:paraId="40053A30" w14:textId="77777777" w:rsidR="00472230" w:rsidRDefault="00BD6B34" w:rsidP="00966DD5">
      <w:pPr>
        <w:pStyle w:val="Notedebasdepage"/>
        <w:spacing w:before="0" w:after="0" w:line="240" w:lineRule="auto"/>
        <w:ind w:left="357" w:hanging="357"/>
      </w:pPr>
      <w:r>
        <w:rPr>
          <w:rStyle w:val="Appelnotedebasdep"/>
        </w:rPr>
        <w:footnoteRef/>
      </w:r>
      <w:r>
        <w:t xml:space="preserve"> </w:t>
      </w:r>
      <w:r>
        <w:tab/>
      </w:r>
      <w:r w:rsidR="004B7182">
        <w:t>T</w:t>
      </w:r>
      <w:r w:rsidR="00A5337A">
        <w:t>é</w:t>
      </w:r>
      <w:r w:rsidR="004B7182">
        <w:t xml:space="preserve">moignage de M. </w:t>
      </w:r>
      <w:r w:rsidR="004B7182" w:rsidRPr="00597516">
        <w:t>Duguay le 11 mars 2025 à 14</w:t>
      </w:r>
      <w:r w:rsidR="00320C8B" w:rsidRPr="00597516">
        <w:t xml:space="preserve"> </w:t>
      </w:r>
      <w:r w:rsidR="004B7182" w:rsidRPr="00597516">
        <w:t>h</w:t>
      </w:r>
      <w:r w:rsidR="00320C8B" w:rsidRPr="00597516">
        <w:t xml:space="preserve"> </w:t>
      </w:r>
      <w:r w:rsidR="004B7182" w:rsidRPr="00597516">
        <w:t>31</w:t>
      </w:r>
      <w:r w:rsidR="00150117">
        <w:t>.</w:t>
      </w:r>
    </w:p>
  </w:footnote>
  <w:footnote w:id="39">
    <w:p w14:paraId="23962AD7" w14:textId="77777777" w:rsidR="00F14E18" w:rsidRDefault="00BD6B34" w:rsidP="00966DD5">
      <w:pPr>
        <w:pStyle w:val="Notedebasdepage"/>
        <w:spacing w:before="0" w:after="0" w:line="240" w:lineRule="auto"/>
        <w:ind w:left="357" w:hanging="357"/>
      </w:pPr>
      <w:r>
        <w:rPr>
          <w:rStyle w:val="Appelnotedebasdep"/>
        </w:rPr>
        <w:footnoteRef/>
      </w:r>
      <w:r>
        <w:t xml:space="preserve"> </w:t>
      </w:r>
      <w:r>
        <w:tab/>
        <w:t>P-16 et P-16A</w:t>
      </w:r>
      <w:r w:rsidR="003F5678">
        <w:t>.</w:t>
      </w:r>
    </w:p>
  </w:footnote>
  <w:footnote w:id="40">
    <w:p w14:paraId="52F6470E" w14:textId="77777777" w:rsidR="00855408" w:rsidRDefault="00BD6B34" w:rsidP="00966DD5">
      <w:pPr>
        <w:pStyle w:val="Notedebasdepage"/>
        <w:spacing w:before="0" w:after="0" w:line="240" w:lineRule="auto"/>
        <w:ind w:left="357" w:hanging="357"/>
      </w:pPr>
      <w:r>
        <w:rPr>
          <w:rStyle w:val="Appelnotedebasdep"/>
        </w:rPr>
        <w:footnoteRef/>
      </w:r>
      <w:r>
        <w:t xml:space="preserve"> </w:t>
      </w:r>
      <w:r>
        <w:tab/>
        <w:t>P-</w:t>
      </w:r>
      <w:r w:rsidR="00167FCA">
        <w:t>16 A, l</w:t>
      </w:r>
      <w:r w:rsidR="00F47490">
        <w:t>igne</w:t>
      </w:r>
      <w:r w:rsidR="00167FCA">
        <w:t xml:space="preserve"> 13</w:t>
      </w:r>
      <w:r w:rsidR="003F5678">
        <w:t>.</w:t>
      </w:r>
    </w:p>
  </w:footnote>
  <w:footnote w:id="41">
    <w:p w14:paraId="4D10D2D4" w14:textId="77777777" w:rsidR="00523724" w:rsidRDefault="00BD6B34" w:rsidP="00966DD5">
      <w:pPr>
        <w:pStyle w:val="Notedebasdepage"/>
        <w:spacing w:before="0" w:after="0" w:line="240" w:lineRule="auto"/>
        <w:ind w:left="357" w:hanging="357"/>
      </w:pPr>
      <w:r>
        <w:rPr>
          <w:rStyle w:val="Appelnotedebasdep"/>
        </w:rPr>
        <w:footnoteRef/>
      </w:r>
      <w:r>
        <w:t xml:space="preserve">  </w:t>
      </w:r>
      <w:r w:rsidR="0001683C">
        <w:t xml:space="preserve">  </w:t>
      </w:r>
      <w:r>
        <w:t>P-16A</w:t>
      </w:r>
      <w:r w:rsidR="007D68E5">
        <w:t>, ligne 15</w:t>
      </w:r>
      <w:r w:rsidR="003F5678">
        <w:t>.</w:t>
      </w:r>
    </w:p>
  </w:footnote>
  <w:footnote w:id="42">
    <w:p w14:paraId="1974FAB1" w14:textId="77777777" w:rsidR="0001683C" w:rsidRDefault="00BD6B34" w:rsidP="00966DD5">
      <w:pPr>
        <w:pStyle w:val="Notedebasdepage"/>
        <w:spacing w:before="0" w:after="0" w:line="240" w:lineRule="auto"/>
        <w:ind w:left="357" w:hanging="357"/>
      </w:pPr>
      <w:r>
        <w:rPr>
          <w:rStyle w:val="Appelnotedebasdep"/>
        </w:rPr>
        <w:footnoteRef/>
      </w:r>
      <w:r>
        <w:t xml:space="preserve"> </w:t>
      </w:r>
      <w:r>
        <w:tab/>
        <w:t>P-16 A, ligne 17</w:t>
      </w:r>
      <w:r w:rsidR="000E794A">
        <w:t xml:space="preserve"> et</w:t>
      </w:r>
      <w:r>
        <w:t xml:space="preserve"> ligne 21</w:t>
      </w:r>
      <w:r w:rsidR="003F5678">
        <w:t>.</w:t>
      </w:r>
    </w:p>
  </w:footnote>
  <w:footnote w:id="43">
    <w:p w14:paraId="37C20C74" w14:textId="77777777" w:rsidR="00B74D75" w:rsidRDefault="00BD6B34" w:rsidP="00966DD5">
      <w:pPr>
        <w:pStyle w:val="Notedebasdepage"/>
        <w:spacing w:before="0" w:after="0" w:line="240" w:lineRule="auto"/>
        <w:ind w:left="357" w:hanging="357"/>
      </w:pPr>
      <w:r>
        <w:rPr>
          <w:rStyle w:val="Appelnotedebasdep"/>
        </w:rPr>
        <w:footnoteRef/>
      </w:r>
      <w:r>
        <w:t xml:space="preserve"> </w:t>
      </w:r>
      <w:r>
        <w:tab/>
        <w:t>P-16 A, ligne 21</w:t>
      </w:r>
      <w:r w:rsidR="003F5678">
        <w:t>.</w:t>
      </w:r>
    </w:p>
  </w:footnote>
  <w:footnote w:id="44">
    <w:p w14:paraId="2A6481CD" w14:textId="77777777" w:rsidR="00B126CD" w:rsidRDefault="00BD6B34" w:rsidP="00966DD5">
      <w:pPr>
        <w:pStyle w:val="Notedebasdepage"/>
        <w:spacing w:before="0" w:after="0" w:line="240" w:lineRule="auto"/>
        <w:ind w:left="357" w:hanging="357"/>
      </w:pPr>
      <w:r>
        <w:rPr>
          <w:rStyle w:val="Appelnotedebasdep"/>
        </w:rPr>
        <w:footnoteRef/>
      </w:r>
      <w:r>
        <w:t xml:space="preserve"> </w:t>
      </w:r>
      <w:r>
        <w:tab/>
        <w:t>P-16A, ligne</w:t>
      </w:r>
      <w:r w:rsidR="00C940BE">
        <w:t xml:space="preserve"> 39</w:t>
      </w:r>
      <w:r w:rsidR="003F5678">
        <w:t>.</w:t>
      </w:r>
    </w:p>
  </w:footnote>
  <w:footnote w:id="45">
    <w:p w14:paraId="6CD47022" w14:textId="77777777" w:rsidR="0082762F" w:rsidRDefault="00BD6B34" w:rsidP="00966DD5">
      <w:pPr>
        <w:pStyle w:val="Notedebasdepage"/>
        <w:spacing w:before="0" w:after="0" w:line="240" w:lineRule="auto"/>
        <w:ind w:left="357" w:hanging="357"/>
      </w:pPr>
      <w:r>
        <w:rPr>
          <w:rStyle w:val="Appelnotedebasdep"/>
        </w:rPr>
        <w:footnoteRef/>
      </w:r>
      <w:r>
        <w:t xml:space="preserve"> </w:t>
      </w:r>
      <w:r>
        <w:tab/>
        <w:t xml:space="preserve">P-16 A, ligne </w:t>
      </w:r>
      <w:r w:rsidR="000D75D8">
        <w:t>41</w:t>
      </w:r>
      <w:r w:rsidR="003F5678">
        <w:t>.</w:t>
      </w:r>
    </w:p>
  </w:footnote>
  <w:footnote w:id="46">
    <w:p w14:paraId="2CDEC050" w14:textId="77777777" w:rsidR="008619D7" w:rsidRDefault="00BD6B34" w:rsidP="00966DD5">
      <w:pPr>
        <w:pStyle w:val="Notedebasdepage"/>
        <w:spacing w:before="0" w:after="0" w:line="240" w:lineRule="auto"/>
        <w:ind w:left="357" w:hanging="357"/>
      </w:pPr>
      <w:r>
        <w:rPr>
          <w:rStyle w:val="Appelnotedebasdep"/>
        </w:rPr>
        <w:footnoteRef/>
      </w:r>
      <w:r>
        <w:t xml:space="preserve"> </w:t>
      </w:r>
      <w:r>
        <w:tab/>
        <w:t xml:space="preserve">P-16 A, ligne </w:t>
      </w:r>
      <w:r w:rsidR="0040258E">
        <w:t>55.</w:t>
      </w:r>
    </w:p>
  </w:footnote>
  <w:footnote w:id="47">
    <w:p w14:paraId="78848F8E" w14:textId="77777777" w:rsidR="001300ED" w:rsidRDefault="00BD6B34" w:rsidP="00966DD5">
      <w:pPr>
        <w:pStyle w:val="Notedebasdepage"/>
        <w:spacing w:before="0" w:after="0" w:line="240" w:lineRule="auto"/>
        <w:ind w:left="357" w:hanging="357"/>
      </w:pPr>
      <w:r>
        <w:rPr>
          <w:rStyle w:val="Appelnotedebasdep"/>
        </w:rPr>
        <w:footnoteRef/>
      </w:r>
      <w:r>
        <w:t xml:space="preserve"> </w:t>
      </w:r>
      <w:r>
        <w:tab/>
        <w:t>P-17 et P-17A</w:t>
      </w:r>
      <w:r w:rsidR="003F5678">
        <w:t>.</w:t>
      </w:r>
    </w:p>
  </w:footnote>
  <w:footnote w:id="48">
    <w:p w14:paraId="10843A44" w14:textId="77777777" w:rsidR="004A40BB" w:rsidRDefault="00BD6B34" w:rsidP="00966DD5">
      <w:pPr>
        <w:pStyle w:val="Notedebasdepage"/>
        <w:spacing w:before="0" w:after="0" w:line="240" w:lineRule="auto"/>
        <w:ind w:left="357" w:hanging="357"/>
      </w:pPr>
      <w:r>
        <w:rPr>
          <w:rStyle w:val="Appelnotedebasdep"/>
        </w:rPr>
        <w:footnoteRef/>
      </w:r>
      <w:r>
        <w:t xml:space="preserve">  </w:t>
      </w:r>
      <w:r w:rsidR="0028682A">
        <w:tab/>
      </w:r>
      <w:r>
        <w:t>P-17 A, ligne</w:t>
      </w:r>
      <w:r w:rsidR="002975AA">
        <w:t>s 21 et 23</w:t>
      </w:r>
      <w:r w:rsidR="003F5678">
        <w:t>.</w:t>
      </w:r>
    </w:p>
  </w:footnote>
  <w:footnote w:id="49">
    <w:p w14:paraId="3BBC09F6" w14:textId="77777777" w:rsidR="00261299" w:rsidRDefault="00BD6B34" w:rsidP="00966DD5">
      <w:pPr>
        <w:pStyle w:val="Notedebasdepage"/>
        <w:spacing w:before="0" w:after="0" w:line="240" w:lineRule="auto"/>
        <w:ind w:left="357" w:hanging="357"/>
      </w:pPr>
      <w:r>
        <w:rPr>
          <w:rStyle w:val="Appelnotedebasdep"/>
        </w:rPr>
        <w:footnoteRef/>
      </w:r>
      <w:r>
        <w:t xml:space="preserve"> </w:t>
      </w:r>
      <w:r w:rsidR="00320C6E">
        <w:tab/>
        <w:t>P-</w:t>
      </w:r>
      <w:r w:rsidR="000A75E8">
        <w:t>24 et P-24 A</w:t>
      </w:r>
      <w:r w:rsidR="003F5678">
        <w:t>.</w:t>
      </w:r>
    </w:p>
  </w:footnote>
  <w:footnote w:id="50">
    <w:p w14:paraId="37D6F23E" w14:textId="77777777" w:rsidR="00AC339E" w:rsidRDefault="00BD6B34" w:rsidP="00966DD5">
      <w:pPr>
        <w:pStyle w:val="Notedebasdepage"/>
        <w:spacing w:before="0" w:after="0" w:line="240" w:lineRule="auto"/>
        <w:ind w:left="357" w:hanging="357"/>
      </w:pPr>
      <w:r>
        <w:rPr>
          <w:rStyle w:val="Appelnotedebasdep"/>
        </w:rPr>
        <w:footnoteRef/>
      </w:r>
      <w:r>
        <w:t xml:space="preserve"> </w:t>
      </w:r>
      <w:r>
        <w:tab/>
        <w:t>Procès-verbal du 9 novembre 2020.</w:t>
      </w:r>
    </w:p>
  </w:footnote>
  <w:footnote w:id="51">
    <w:p w14:paraId="4C180020" w14:textId="77777777" w:rsidR="00285238" w:rsidRDefault="00BD6B34" w:rsidP="00966DD5">
      <w:pPr>
        <w:pStyle w:val="Notedebasdepage"/>
        <w:spacing w:before="0" w:after="0" w:line="240" w:lineRule="auto"/>
        <w:ind w:left="357" w:hanging="357"/>
      </w:pPr>
      <w:r>
        <w:rPr>
          <w:rStyle w:val="Appelnotedebasdep"/>
        </w:rPr>
        <w:footnoteRef/>
      </w:r>
      <w:r>
        <w:t xml:space="preserve"> </w:t>
      </w:r>
      <w:r>
        <w:tab/>
        <w:t>Procès-verbal du 14 janvier 2022.</w:t>
      </w:r>
    </w:p>
  </w:footnote>
  <w:footnote w:id="52">
    <w:p w14:paraId="4FC9B007" w14:textId="77777777" w:rsidR="00DA59E5" w:rsidRDefault="00BD6B34" w:rsidP="00966DD5">
      <w:pPr>
        <w:pStyle w:val="Notedebasdepage"/>
        <w:spacing w:before="0" w:after="0" w:line="240" w:lineRule="auto"/>
        <w:ind w:left="357" w:hanging="357"/>
      </w:pPr>
      <w:r>
        <w:rPr>
          <w:rStyle w:val="Appelnotedebasdep"/>
        </w:rPr>
        <w:footnoteRef/>
      </w:r>
      <w:r>
        <w:t xml:space="preserve"> </w:t>
      </w:r>
      <w:r>
        <w:tab/>
        <w:t>P-24 et P-24 A</w:t>
      </w:r>
      <w:r w:rsidR="003F5678">
        <w:t>.</w:t>
      </w:r>
    </w:p>
  </w:footnote>
  <w:footnote w:id="53">
    <w:p w14:paraId="0772E5AC" w14:textId="77777777" w:rsidR="00DA59E5" w:rsidRDefault="00BD6B34" w:rsidP="00966DD5">
      <w:pPr>
        <w:pStyle w:val="Notedebasdepage"/>
        <w:spacing w:before="0" w:after="0" w:line="240" w:lineRule="auto"/>
        <w:ind w:left="357" w:hanging="357"/>
      </w:pPr>
      <w:r>
        <w:rPr>
          <w:rStyle w:val="Appelnotedebasdep"/>
        </w:rPr>
        <w:footnoteRef/>
      </w:r>
      <w:r>
        <w:t xml:space="preserve"> </w:t>
      </w:r>
      <w:r>
        <w:tab/>
        <w:t>P-28 et P-28 A</w:t>
      </w:r>
      <w:r w:rsidR="003F5678">
        <w:t>.</w:t>
      </w:r>
    </w:p>
  </w:footnote>
  <w:footnote w:id="54">
    <w:p w14:paraId="5DE1A4E4" w14:textId="77777777" w:rsidR="00980027" w:rsidRDefault="00BD6B34" w:rsidP="009B5FD9">
      <w:pPr>
        <w:pStyle w:val="Notedebasdepage"/>
        <w:spacing w:before="0" w:after="0" w:line="240" w:lineRule="auto"/>
        <w:ind w:left="357" w:hanging="357"/>
      </w:pPr>
      <w:r>
        <w:rPr>
          <w:rStyle w:val="Appelnotedebasdep"/>
        </w:rPr>
        <w:footnoteRef/>
      </w:r>
      <w:r>
        <w:t xml:space="preserve"> </w:t>
      </w:r>
      <w:r>
        <w:tab/>
        <w:t>2019 QCCQ 3262, par. 5 à 14; M.J. c. Mulé, 2021 QCCS 1377, par. 111; Droit de la famille 241806, 2024 QCCS 4486, par. 41.</w:t>
      </w:r>
    </w:p>
  </w:footnote>
  <w:footnote w:id="55">
    <w:p w14:paraId="347F9B84" w14:textId="77777777" w:rsidR="00A266F2" w:rsidRDefault="00BD6B34" w:rsidP="005E1E98">
      <w:pPr>
        <w:pStyle w:val="Notedebasdepage"/>
        <w:spacing w:before="0" w:after="0" w:line="240" w:lineRule="auto"/>
      </w:pPr>
      <w:r>
        <w:rPr>
          <w:rStyle w:val="Appelnotedebasdep"/>
        </w:rPr>
        <w:footnoteRef/>
      </w:r>
      <w:r>
        <w:t xml:space="preserve"> </w:t>
      </w:r>
      <w:r>
        <w:tab/>
        <w:t>P-28 A, lignes 65 et 67.</w:t>
      </w:r>
    </w:p>
  </w:footnote>
  <w:footnote w:id="56">
    <w:p w14:paraId="1E7DE4E2" w14:textId="77777777" w:rsidR="008934FE" w:rsidRDefault="00BD6B34" w:rsidP="005E1E98">
      <w:pPr>
        <w:pStyle w:val="Notedebasdepage"/>
        <w:spacing w:before="0" w:after="0" w:line="240" w:lineRule="auto"/>
      </w:pPr>
      <w:r>
        <w:rPr>
          <w:rStyle w:val="Appelnotedebasdep"/>
        </w:rPr>
        <w:footnoteRef/>
      </w:r>
      <w:r>
        <w:t xml:space="preserve"> </w:t>
      </w:r>
      <w:r>
        <w:tab/>
        <w:t xml:space="preserve">P-24 A, ligne </w:t>
      </w:r>
      <w:r w:rsidR="009C04FA">
        <w:t>48 et 50.</w:t>
      </w:r>
    </w:p>
  </w:footnote>
  <w:footnote w:id="57">
    <w:p w14:paraId="5EC261FB" w14:textId="77777777" w:rsidR="005E13F0" w:rsidRDefault="00BD6B34" w:rsidP="005E1E98">
      <w:pPr>
        <w:pStyle w:val="Notedebasdepage"/>
        <w:spacing w:before="0" w:after="0" w:line="240" w:lineRule="auto"/>
      </w:pPr>
      <w:r>
        <w:rPr>
          <w:rStyle w:val="Appelnotedebasdep"/>
        </w:rPr>
        <w:footnoteRef/>
      </w:r>
      <w:r>
        <w:t xml:space="preserve"> </w:t>
      </w:r>
      <w:r>
        <w:tab/>
        <w:t>AZ-</w:t>
      </w:r>
      <w:r w:rsidR="00193335">
        <w:t>91011895 (QC CA), p. 6 et 7</w:t>
      </w:r>
      <w:r w:rsidR="003F5678">
        <w:t>.</w:t>
      </w:r>
    </w:p>
  </w:footnote>
  <w:footnote w:id="58">
    <w:p w14:paraId="6235B6A5" w14:textId="77777777" w:rsidR="00DF3ACE" w:rsidRDefault="00BD6B34" w:rsidP="005E1E98">
      <w:pPr>
        <w:pStyle w:val="Notedebasdepage"/>
        <w:spacing w:before="0" w:after="0" w:line="240" w:lineRule="auto"/>
      </w:pPr>
      <w:r>
        <w:rPr>
          <w:rStyle w:val="Appelnotedebasdep"/>
        </w:rPr>
        <w:footnoteRef/>
      </w:r>
      <w:r>
        <w:t xml:space="preserve"> </w:t>
      </w:r>
      <w:r>
        <w:tab/>
        <w:t xml:space="preserve">P-28 A, lignes 53, 55, 59, 65, 67. </w:t>
      </w:r>
    </w:p>
  </w:footnote>
  <w:footnote w:id="59">
    <w:p w14:paraId="41ACB753" w14:textId="77777777" w:rsidR="007420FD" w:rsidRDefault="00BD6B34" w:rsidP="005E1E98">
      <w:pPr>
        <w:pStyle w:val="Notedebasdepage"/>
        <w:spacing w:before="0" w:after="0" w:line="240" w:lineRule="auto"/>
      </w:pPr>
      <w:r>
        <w:rPr>
          <w:rStyle w:val="Appelnotedebasdep"/>
        </w:rPr>
        <w:footnoteRef/>
      </w:r>
      <w:r>
        <w:t xml:space="preserve"> </w:t>
      </w:r>
      <w:r>
        <w:tab/>
        <w:t>P-26.</w:t>
      </w:r>
    </w:p>
  </w:footnote>
  <w:footnote w:id="60">
    <w:p w14:paraId="1A01CDC3" w14:textId="77777777" w:rsidR="006046D0" w:rsidRDefault="00BD6B34" w:rsidP="005E1E98">
      <w:pPr>
        <w:pStyle w:val="Notedebasdepage"/>
        <w:spacing w:before="0" w:after="0" w:line="240" w:lineRule="auto"/>
      </w:pPr>
      <w:r>
        <w:rPr>
          <w:rStyle w:val="Appelnotedebasdep"/>
        </w:rPr>
        <w:footnoteRef/>
      </w:r>
      <w:r>
        <w:t xml:space="preserve"> </w:t>
      </w:r>
      <w:r>
        <w:tab/>
        <w:t>Le témoin parle des photos attachées aux différents texto que M. Pereira envoie à Cogir alors qu’il travaille sur les chantiers, P-27.</w:t>
      </w:r>
    </w:p>
  </w:footnote>
  <w:footnote w:id="61">
    <w:p w14:paraId="523F66D0" w14:textId="77777777" w:rsidR="00DD332E" w:rsidRDefault="00BD6B34" w:rsidP="005E1E98">
      <w:pPr>
        <w:pStyle w:val="Notedebasdepage"/>
        <w:spacing w:before="0" w:after="0" w:line="240" w:lineRule="auto"/>
      </w:pPr>
      <w:r>
        <w:rPr>
          <w:rStyle w:val="Appelnotedebasdep"/>
        </w:rPr>
        <w:footnoteRef/>
      </w:r>
      <w:r>
        <w:t xml:space="preserve"> </w:t>
      </w:r>
      <w:r>
        <w:tab/>
        <w:t>Interrogatoire hors cour de M. Duguay du 24 février 2022, p. 48.</w:t>
      </w:r>
    </w:p>
  </w:footnote>
  <w:footnote w:id="62">
    <w:p w14:paraId="65582382" w14:textId="77777777" w:rsidR="00DD332E" w:rsidRDefault="00BD6B34" w:rsidP="005E1E98">
      <w:pPr>
        <w:pStyle w:val="Notedebasdepage"/>
        <w:spacing w:before="0" w:after="0" w:line="240" w:lineRule="auto"/>
      </w:pPr>
      <w:r>
        <w:rPr>
          <w:rStyle w:val="Appelnotedebasdep"/>
        </w:rPr>
        <w:footnoteRef/>
      </w:r>
      <w:r>
        <w:t xml:space="preserve"> </w:t>
      </w:r>
      <w:r>
        <w:tab/>
        <w:t>DC-1, p. 2</w:t>
      </w:r>
      <w:r w:rsidR="003F5678">
        <w:t>.</w:t>
      </w:r>
    </w:p>
  </w:footnote>
  <w:footnote w:id="63">
    <w:p w14:paraId="01572C4A" w14:textId="77777777" w:rsidR="003C0472" w:rsidRDefault="00BD6B34" w:rsidP="005E1E98">
      <w:pPr>
        <w:pStyle w:val="Notedebasdepage"/>
        <w:spacing w:before="0" w:after="0" w:line="240" w:lineRule="auto"/>
      </w:pPr>
      <w:r>
        <w:rPr>
          <w:rStyle w:val="Appelnotedebasdep"/>
        </w:rPr>
        <w:footnoteRef/>
      </w:r>
      <w:r>
        <w:t xml:space="preserve"> </w:t>
      </w:r>
      <w:r>
        <w:tab/>
        <w:t>Interrogatoire Hors cour</w:t>
      </w:r>
      <w:r w:rsidR="00160AAD">
        <w:t xml:space="preserve"> du 24 février 2022, p. 31.</w:t>
      </w:r>
    </w:p>
  </w:footnote>
  <w:footnote w:id="64">
    <w:p w14:paraId="084AC23E" w14:textId="77777777" w:rsidR="00AA0974" w:rsidRDefault="00BD6B34" w:rsidP="005E1E98">
      <w:pPr>
        <w:pStyle w:val="Notedebasdepage"/>
        <w:spacing w:before="0" w:after="0" w:line="240" w:lineRule="auto"/>
      </w:pPr>
      <w:r>
        <w:rPr>
          <w:rStyle w:val="Appelnotedebasdep"/>
        </w:rPr>
        <w:footnoteRef/>
      </w:r>
      <w:r>
        <w:t xml:space="preserve"> </w:t>
      </w:r>
      <w:r>
        <w:tab/>
        <w:t>P-19.</w:t>
      </w:r>
    </w:p>
  </w:footnote>
  <w:footnote w:id="65">
    <w:p w14:paraId="370A7035" w14:textId="77777777" w:rsidR="004B4C44" w:rsidRDefault="00BD6B34" w:rsidP="005E1E98">
      <w:pPr>
        <w:pStyle w:val="Notedebasdepage"/>
        <w:spacing w:before="0" w:after="0" w:line="240" w:lineRule="auto"/>
      </w:pPr>
      <w:r>
        <w:rPr>
          <w:rStyle w:val="Appelnotedebasdep"/>
        </w:rPr>
        <w:footnoteRef/>
      </w:r>
      <w:r>
        <w:t xml:space="preserve"> </w:t>
      </w:r>
      <w:r>
        <w:tab/>
      </w:r>
      <w:r w:rsidR="004C54BC">
        <w:t xml:space="preserve">Article </w:t>
      </w:r>
      <w:r w:rsidR="00AC2E91">
        <w:t>2849 C.</w:t>
      </w:r>
      <w:r w:rsidR="00875651">
        <w:t>c</w:t>
      </w:r>
      <w:r w:rsidR="00AC2E91">
        <w:t xml:space="preserve">.Q.; </w:t>
      </w:r>
      <w:r w:rsidRPr="00C84D5C">
        <w:rPr>
          <w:i/>
          <w:iCs/>
        </w:rPr>
        <w:t>Promutuel Assurance Boréale</w:t>
      </w:r>
      <w:r w:rsidR="00220D9C">
        <w:t xml:space="preserve"> c. </w:t>
      </w:r>
      <w:r w:rsidR="00220D9C" w:rsidRPr="00C84D5C">
        <w:rPr>
          <w:i/>
          <w:iCs/>
        </w:rPr>
        <w:t>McKnight</w:t>
      </w:r>
      <w:r w:rsidR="00220D9C">
        <w:t>, 2022 QCCA 1735</w:t>
      </w:r>
      <w:r w:rsidR="003F5678">
        <w:t>.</w:t>
      </w:r>
    </w:p>
  </w:footnote>
  <w:footnote w:id="66">
    <w:p w14:paraId="267F82A0" w14:textId="77777777" w:rsidR="008E4B86" w:rsidRDefault="00BD6B34" w:rsidP="005E1E98">
      <w:pPr>
        <w:pStyle w:val="Notedebasdepage"/>
        <w:spacing w:before="0" w:after="0" w:line="240" w:lineRule="auto"/>
      </w:pPr>
      <w:r>
        <w:rPr>
          <w:rStyle w:val="Appelnotedebasdep"/>
        </w:rPr>
        <w:footnoteRef/>
      </w:r>
      <w:r>
        <w:t xml:space="preserve"> </w:t>
      </w:r>
      <w:r>
        <w:tab/>
        <w:t>2022 QCCA 1735</w:t>
      </w:r>
      <w:r w:rsidR="00602721">
        <w:t>, par. 76 à 78.</w:t>
      </w:r>
    </w:p>
  </w:footnote>
  <w:footnote w:id="67">
    <w:p w14:paraId="04C2FC5C" w14:textId="77777777" w:rsidR="008928F4" w:rsidRDefault="00BD6B34" w:rsidP="005E1E98">
      <w:pPr>
        <w:pStyle w:val="Notedebasdepage"/>
        <w:spacing w:before="0" w:after="0" w:line="240" w:lineRule="auto"/>
        <w:ind w:left="357" w:hanging="357"/>
      </w:pPr>
      <w:r>
        <w:rPr>
          <w:rStyle w:val="Appelnotedebasdep"/>
        </w:rPr>
        <w:footnoteRef/>
      </w:r>
      <w:r>
        <w:t xml:space="preserve"> </w:t>
      </w:r>
      <w:r>
        <w:tab/>
        <w:t>Témoignage de KP du 11 mars 2025 à 9h43.</w:t>
      </w:r>
    </w:p>
  </w:footnote>
  <w:footnote w:id="68">
    <w:p w14:paraId="47580CCB" w14:textId="77777777" w:rsidR="00A01F87" w:rsidRDefault="00BD6B34" w:rsidP="005E1E98">
      <w:pPr>
        <w:pStyle w:val="Notedebasdepage"/>
        <w:spacing w:before="0" w:after="0" w:line="240" w:lineRule="auto"/>
        <w:ind w:left="357" w:hanging="357"/>
      </w:pPr>
      <w:r>
        <w:rPr>
          <w:rStyle w:val="Appelnotedebasdep"/>
        </w:rPr>
        <w:footnoteRef/>
      </w:r>
      <w:r>
        <w:t xml:space="preserve"> </w:t>
      </w:r>
      <w:r>
        <w:tab/>
        <w:t>Interrogatoire de KP du 17 juin 2021 par BCF, p. 25.</w:t>
      </w:r>
    </w:p>
  </w:footnote>
  <w:footnote w:id="69">
    <w:p w14:paraId="17EFAA81" w14:textId="77777777" w:rsidR="001D6025" w:rsidRDefault="00BD6B34" w:rsidP="005E1E98">
      <w:pPr>
        <w:pStyle w:val="Notedebasdepage"/>
        <w:spacing w:before="0" w:after="0" w:line="240" w:lineRule="auto"/>
        <w:ind w:left="357" w:hanging="357"/>
      </w:pPr>
      <w:r>
        <w:rPr>
          <w:rStyle w:val="Appelnotedebasdep"/>
        </w:rPr>
        <w:footnoteRef/>
      </w:r>
      <w:r>
        <w:t xml:space="preserve"> </w:t>
      </w:r>
      <w:r>
        <w:tab/>
        <w:t>P-7.</w:t>
      </w:r>
    </w:p>
  </w:footnote>
  <w:footnote w:id="70">
    <w:p w14:paraId="606CD9C6" w14:textId="77777777" w:rsidR="00A666BB" w:rsidRDefault="00BD6B34" w:rsidP="005E1E98">
      <w:pPr>
        <w:pStyle w:val="Notedebasdepage"/>
        <w:spacing w:before="0" w:after="0" w:line="240" w:lineRule="auto"/>
        <w:ind w:left="357" w:hanging="357"/>
      </w:pPr>
      <w:r>
        <w:rPr>
          <w:rStyle w:val="Appelnotedebasdep"/>
        </w:rPr>
        <w:footnoteRef/>
      </w:r>
      <w:r>
        <w:t xml:space="preserve"> </w:t>
      </w:r>
      <w:r>
        <w:tab/>
      </w:r>
      <w:r w:rsidR="00862F87">
        <w:t>F-3.2.1</w:t>
      </w:r>
      <w:r w:rsidR="003F5678">
        <w:t>.</w:t>
      </w:r>
    </w:p>
  </w:footnote>
  <w:footnote w:id="71">
    <w:p w14:paraId="4AEB62A3" w14:textId="77777777" w:rsidR="005C0C0E" w:rsidRDefault="00BD6B34" w:rsidP="005E1E98">
      <w:pPr>
        <w:pStyle w:val="Notedebasdepage"/>
        <w:spacing w:before="0" w:after="0" w:line="240" w:lineRule="auto"/>
        <w:ind w:left="357" w:hanging="357"/>
      </w:pPr>
      <w:r>
        <w:rPr>
          <w:rStyle w:val="Appelnotedebasdep"/>
        </w:rPr>
        <w:footnoteRef/>
      </w:r>
      <w:r>
        <w:t xml:space="preserve"> </w:t>
      </w:r>
      <w:r>
        <w:tab/>
        <w:t xml:space="preserve"> P-33, P. 11 à 22.</w:t>
      </w:r>
    </w:p>
  </w:footnote>
  <w:footnote w:id="72">
    <w:p w14:paraId="4333DBA9" w14:textId="77777777" w:rsidR="00640DEB" w:rsidRDefault="00BD6B34" w:rsidP="005E1E98">
      <w:pPr>
        <w:pStyle w:val="Notedebasdepage"/>
        <w:spacing w:before="0" w:after="0" w:line="240" w:lineRule="auto"/>
        <w:ind w:left="357" w:hanging="357"/>
      </w:pPr>
      <w:r>
        <w:rPr>
          <w:rStyle w:val="Appelnotedebasdep"/>
        </w:rPr>
        <w:footnoteRef/>
      </w:r>
      <w:r>
        <w:t xml:space="preserve"> </w:t>
      </w:r>
      <w:r>
        <w:tab/>
        <w:t>P-9, Tome 3 de 4, p. 1437 et 1438.</w:t>
      </w:r>
    </w:p>
  </w:footnote>
  <w:footnote w:id="73">
    <w:p w14:paraId="377EB112" w14:textId="77777777" w:rsidR="002E65F6" w:rsidRDefault="00BD6B34" w:rsidP="005E1E98">
      <w:pPr>
        <w:pStyle w:val="Notedebasdepage"/>
        <w:spacing w:before="0" w:after="0" w:line="240" w:lineRule="auto"/>
        <w:ind w:left="357" w:hanging="357"/>
      </w:pPr>
      <w:r>
        <w:rPr>
          <w:rStyle w:val="Appelnotedebasdep"/>
        </w:rPr>
        <w:footnoteRef/>
      </w:r>
      <w:r>
        <w:t xml:space="preserve"> </w:t>
      </w:r>
      <w:r>
        <w:tab/>
        <w:t>P-19</w:t>
      </w:r>
      <w:r w:rsidR="003F5678">
        <w:t>.</w:t>
      </w:r>
    </w:p>
  </w:footnote>
  <w:footnote w:id="74">
    <w:p w14:paraId="125BCEBE" w14:textId="77777777" w:rsidR="002E65F6" w:rsidRDefault="00BD6B34" w:rsidP="005E1E98">
      <w:pPr>
        <w:pStyle w:val="Notedebasdepage"/>
        <w:spacing w:before="0" w:after="0" w:line="240" w:lineRule="auto"/>
        <w:ind w:left="357" w:hanging="357"/>
      </w:pPr>
      <w:r>
        <w:rPr>
          <w:rStyle w:val="Appelnotedebasdep"/>
        </w:rPr>
        <w:footnoteRef/>
      </w:r>
      <w:r>
        <w:t xml:space="preserve"> </w:t>
      </w:r>
      <w:r>
        <w:tab/>
        <w:t>P-27, p. 1954 et 1955</w:t>
      </w:r>
      <w:r w:rsidR="003F5678">
        <w:t>.</w:t>
      </w:r>
    </w:p>
  </w:footnote>
  <w:footnote w:id="75">
    <w:p w14:paraId="67170246" w14:textId="77777777" w:rsidR="002573B2" w:rsidRDefault="00BD6B34" w:rsidP="005E1E98">
      <w:pPr>
        <w:pStyle w:val="Notedebasdepage"/>
        <w:spacing w:before="0" w:after="0" w:line="240" w:lineRule="auto"/>
        <w:ind w:left="357" w:hanging="357"/>
      </w:pPr>
      <w:r>
        <w:rPr>
          <w:rStyle w:val="Appelnotedebasdep"/>
        </w:rPr>
        <w:footnoteRef/>
      </w:r>
      <w:r>
        <w:t xml:space="preserve"> </w:t>
      </w:r>
      <w:r>
        <w:tab/>
      </w:r>
      <w:r w:rsidRPr="00C84D5C">
        <w:rPr>
          <w:i/>
          <w:iCs/>
        </w:rPr>
        <w:t>Société de terminus Montréal Gateway</w:t>
      </w:r>
      <w:r>
        <w:t xml:space="preserve"> c. </w:t>
      </w:r>
      <w:r w:rsidRPr="00C84D5C">
        <w:rPr>
          <w:i/>
          <w:iCs/>
        </w:rPr>
        <w:t>Le Procureur général du Québec</w:t>
      </w:r>
      <w:r>
        <w:t>, 2006 QCCS 6261, par. 23 et 24.</w:t>
      </w:r>
    </w:p>
  </w:footnote>
  <w:footnote w:id="76">
    <w:p w14:paraId="78BF1A8F" w14:textId="77777777" w:rsidR="004431F1" w:rsidRDefault="00BD6B34" w:rsidP="005E1E98">
      <w:pPr>
        <w:pStyle w:val="Notedebasdepage"/>
        <w:spacing w:before="0" w:after="0" w:line="240" w:lineRule="auto"/>
        <w:ind w:left="357" w:hanging="357"/>
      </w:pPr>
      <w:r>
        <w:rPr>
          <w:rStyle w:val="Appelnotedebasdep"/>
        </w:rPr>
        <w:footnoteRef/>
      </w:r>
      <w:r>
        <w:t xml:space="preserve"> </w:t>
      </w:r>
      <w:r>
        <w:tab/>
        <w:t>P-7</w:t>
      </w:r>
      <w:r w:rsidR="003F5678">
        <w:t>.</w:t>
      </w:r>
    </w:p>
  </w:footnote>
  <w:footnote w:id="77">
    <w:p w14:paraId="566AC5B3" w14:textId="77777777" w:rsidR="004431F1" w:rsidRDefault="00BD6B34" w:rsidP="005E1E98">
      <w:pPr>
        <w:pStyle w:val="Notedebasdepage"/>
        <w:spacing w:before="0" w:after="0" w:line="240" w:lineRule="auto"/>
        <w:ind w:left="357" w:hanging="357"/>
      </w:pPr>
      <w:r>
        <w:rPr>
          <w:rStyle w:val="Appelnotedebasdep"/>
        </w:rPr>
        <w:footnoteRef/>
      </w:r>
      <w:r>
        <w:t xml:space="preserve"> </w:t>
      </w:r>
      <w:r>
        <w:tab/>
        <w:t>DF-2</w:t>
      </w:r>
      <w:r w:rsidR="003F5678">
        <w:t>.</w:t>
      </w:r>
    </w:p>
  </w:footnote>
  <w:footnote w:id="78">
    <w:p w14:paraId="592F57A4" w14:textId="77777777" w:rsidR="00556B98" w:rsidRDefault="00BD6B34" w:rsidP="00784F24">
      <w:pPr>
        <w:pStyle w:val="Notedebasdepage"/>
        <w:spacing w:before="0" w:after="0" w:line="240" w:lineRule="auto"/>
        <w:ind w:left="357" w:hanging="357"/>
      </w:pPr>
      <w:r>
        <w:rPr>
          <w:rStyle w:val="Appelnotedebasdep"/>
        </w:rPr>
        <w:footnoteRef/>
      </w:r>
      <w:r>
        <w:t xml:space="preserve"> </w:t>
      </w:r>
      <w:r>
        <w:tab/>
        <w:t>Article 1 de la Charte</w:t>
      </w:r>
      <w:r w:rsidR="00995C22">
        <w:t>.</w:t>
      </w:r>
    </w:p>
  </w:footnote>
  <w:footnote w:id="79">
    <w:p w14:paraId="084212D6" w14:textId="77777777" w:rsidR="00961FE3" w:rsidRDefault="00BD6B34" w:rsidP="00784F24">
      <w:pPr>
        <w:pStyle w:val="Notedebasdepage"/>
        <w:spacing w:before="0" w:after="0" w:line="240" w:lineRule="auto"/>
        <w:ind w:left="357" w:hanging="357"/>
      </w:pPr>
      <w:r>
        <w:rPr>
          <w:rStyle w:val="Appelnotedebasdep"/>
        </w:rPr>
        <w:footnoteRef/>
      </w:r>
      <w:r>
        <w:t xml:space="preserve"> </w:t>
      </w:r>
      <w:r>
        <w:tab/>
        <w:t>Art</w:t>
      </w:r>
      <w:r w:rsidR="00995C22">
        <w:t>icle</w:t>
      </w:r>
      <w:r>
        <w:t xml:space="preserve"> 4 de la Charte.</w:t>
      </w:r>
    </w:p>
  </w:footnote>
  <w:footnote w:id="80">
    <w:p w14:paraId="69D95090" w14:textId="77777777" w:rsidR="00FD54E1" w:rsidRPr="00FD54E1" w:rsidRDefault="00BD6B34" w:rsidP="00784F24">
      <w:pPr>
        <w:pStyle w:val="Notedebasdepage"/>
        <w:spacing w:before="0" w:after="0" w:line="240" w:lineRule="auto"/>
        <w:ind w:left="357" w:hanging="357"/>
      </w:pPr>
      <w:r>
        <w:rPr>
          <w:rStyle w:val="Appelnotedebasdep"/>
        </w:rPr>
        <w:footnoteRef/>
      </w:r>
      <w:r w:rsidRPr="00FD54E1">
        <w:t xml:space="preserve"> </w:t>
      </w:r>
      <w:r w:rsidRPr="00FD54E1">
        <w:tab/>
      </w:r>
      <w:r w:rsidRPr="00C84D5C">
        <w:rPr>
          <w:i/>
          <w:iCs/>
        </w:rPr>
        <w:t>Ward</w:t>
      </w:r>
      <w:r w:rsidRPr="00FD54E1">
        <w:t xml:space="preserve"> c. </w:t>
      </w:r>
      <w:r w:rsidRPr="00C84D5C">
        <w:rPr>
          <w:i/>
          <w:iCs/>
        </w:rPr>
        <w:t>Québec (Commission des droits de la personne et des droits de la jeunesse</w:t>
      </w:r>
      <w:r w:rsidR="00F2782F">
        <w:t>)</w:t>
      </w:r>
      <w:r>
        <w:t>, 2021 CSC 43, par. 56</w:t>
      </w:r>
      <w:r w:rsidR="00F877E3">
        <w:t xml:space="preserve"> </w:t>
      </w:r>
      <w:r w:rsidR="004F4009">
        <w:t>à 58</w:t>
      </w:r>
      <w:r w:rsidR="003F5678">
        <w:t>.</w:t>
      </w:r>
    </w:p>
  </w:footnote>
  <w:footnote w:id="81">
    <w:p w14:paraId="50F4A6B0" w14:textId="77777777" w:rsidR="00A7104D" w:rsidRPr="00A7104D" w:rsidRDefault="00BD6B34" w:rsidP="00784F24">
      <w:pPr>
        <w:pStyle w:val="Notedebasdepage"/>
        <w:spacing w:before="0" w:after="0" w:line="240" w:lineRule="auto"/>
        <w:ind w:left="357" w:hanging="357"/>
      </w:pPr>
      <w:r>
        <w:rPr>
          <w:rStyle w:val="Appelnotedebasdep"/>
        </w:rPr>
        <w:footnoteRef/>
      </w:r>
      <w:r w:rsidRPr="00A7104D">
        <w:t xml:space="preserve"> </w:t>
      </w:r>
      <w:r w:rsidRPr="00A7104D">
        <w:tab/>
      </w:r>
      <w:r w:rsidRPr="00C84D5C">
        <w:rPr>
          <w:i/>
          <w:iCs/>
        </w:rPr>
        <w:t xml:space="preserve">Imperial Tobacco Canada Ltée </w:t>
      </w:r>
      <w:r w:rsidRPr="00C10FF9">
        <w:t>c</w:t>
      </w:r>
      <w:r w:rsidRPr="00C84D5C">
        <w:rPr>
          <w:i/>
          <w:iCs/>
        </w:rPr>
        <w:t>. Conseil québécois sur le tabac et la santé</w:t>
      </w:r>
      <w:r>
        <w:t>, 2</w:t>
      </w:r>
      <w:r w:rsidR="00774FFA">
        <w:t>019 QCCA 358, par. 978.</w:t>
      </w:r>
    </w:p>
  </w:footnote>
  <w:footnote w:id="82">
    <w:p w14:paraId="54AB89E0" w14:textId="77777777" w:rsidR="00C22F9A" w:rsidRDefault="00BD6B34" w:rsidP="00784F24">
      <w:pPr>
        <w:pStyle w:val="Notedebasdepage"/>
        <w:spacing w:before="0" w:after="0" w:line="240" w:lineRule="auto"/>
        <w:ind w:left="357" w:hanging="357"/>
      </w:pPr>
      <w:r>
        <w:rPr>
          <w:rStyle w:val="Appelnotedebasdep"/>
        </w:rPr>
        <w:footnoteRef/>
      </w:r>
      <w:r>
        <w:t xml:space="preserve"> </w:t>
      </w:r>
      <w:r w:rsidR="00EC62CC">
        <w:tab/>
      </w:r>
      <w:r w:rsidR="00EC62CC" w:rsidRPr="00EC62CC">
        <w:t>Dominic ROUX, avec la collab. de Gilles DUINAT, « Le droit au travail », dans Pierre BOSSET et Lucie LAMARCHE (dir.), Droit de cité pour les droits économiques, sociaux et culturels, Cowansville, Éditions Yvon Blais, 2011, p. 153, aux pages p. 193-195</w:t>
      </w:r>
      <w:r w:rsidR="00EC62CC">
        <w:t>;</w:t>
      </w:r>
      <w:r w:rsidR="00C41938" w:rsidRPr="00C41938">
        <w:t xml:space="preserve"> </w:t>
      </w:r>
      <w:r w:rsidR="00C41938">
        <w:t xml:space="preserve">Christine CAMPBELL et Stéphanie FOURNIER, « Charte québécoise : droit à la vie, à la sûreté, à l’intégrité et à la liberté de la personne », dans JurisClasseur Québec, coll. « Droit public », </w:t>
      </w:r>
      <w:r w:rsidR="00C41938">
        <w:rPr>
          <w:i/>
          <w:iCs/>
        </w:rPr>
        <w:t>Droit constitutionnel</w:t>
      </w:r>
      <w:r w:rsidR="00C41938">
        <w:t>, Montréal, LexisNexis Canada, à jour au 1er février 2023, fasc. 10.1, par. 43 (LAd/QL);</w:t>
      </w:r>
      <w:r w:rsidR="00C41938" w:rsidRPr="00C41938">
        <w:rPr>
          <w:i/>
          <w:iCs/>
        </w:rPr>
        <w:t xml:space="preserve"> </w:t>
      </w:r>
      <w:r w:rsidR="00C41938">
        <w:rPr>
          <w:i/>
          <w:iCs/>
        </w:rPr>
        <w:t xml:space="preserve">Regroupement des CHSLD des Trois-Rives </w:t>
      </w:r>
      <w:r w:rsidR="00C41938">
        <w:t>c</w:t>
      </w:r>
      <w:r w:rsidR="00C41938">
        <w:rPr>
          <w:i/>
          <w:iCs/>
        </w:rPr>
        <w:t>. Laberge,</w:t>
      </w:r>
      <w:r w:rsidR="00C41938">
        <w:t xml:space="preserve"> 2001 CanLII 24977, par. 56 (C.S.);</w:t>
      </w:r>
      <w:r w:rsidR="00C41938" w:rsidRPr="00C41938">
        <w:rPr>
          <w:i/>
          <w:iCs/>
        </w:rPr>
        <w:t xml:space="preserve"> </w:t>
      </w:r>
      <w:r w:rsidR="00C41938">
        <w:rPr>
          <w:i/>
          <w:iCs/>
        </w:rPr>
        <w:t xml:space="preserve">Ordre des comptables généraux licenciés du Québec </w:t>
      </w:r>
      <w:r w:rsidR="00C41938">
        <w:t>c</w:t>
      </w:r>
      <w:r w:rsidR="00C41938">
        <w:rPr>
          <w:i/>
          <w:iCs/>
        </w:rPr>
        <w:t>. Québec (Procureur général)</w:t>
      </w:r>
      <w:r w:rsidR="00C41938">
        <w:t>, 2004 CanLII 20542, par. 62 (C.A.)</w:t>
      </w:r>
      <w:r w:rsidR="003F5678">
        <w:t>.</w:t>
      </w:r>
    </w:p>
  </w:footnote>
  <w:footnote w:id="83">
    <w:p w14:paraId="53D52B58" w14:textId="77777777" w:rsidR="00396853" w:rsidRPr="00BC0AB1" w:rsidRDefault="00BD6B34" w:rsidP="00A0623B">
      <w:pPr>
        <w:pStyle w:val="Notedebasdepage"/>
        <w:spacing w:before="0" w:after="0" w:line="240" w:lineRule="auto"/>
        <w:ind w:left="357" w:hanging="357"/>
      </w:pPr>
      <w:r>
        <w:rPr>
          <w:rStyle w:val="Appelnotedebasdep"/>
        </w:rPr>
        <w:footnoteRef/>
      </w:r>
      <w:r w:rsidRPr="00BC0AB1">
        <w:t xml:space="preserve"> </w:t>
      </w:r>
      <w:r w:rsidR="004D728F" w:rsidRPr="00BC0AB1">
        <w:tab/>
        <w:t>2012 QCCS 5885</w:t>
      </w:r>
      <w:r w:rsidR="003F5678">
        <w:t>.</w:t>
      </w:r>
    </w:p>
  </w:footnote>
  <w:footnote w:id="84">
    <w:p w14:paraId="33ECA80F" w14:textId="77777777" w:rsidR="00CB14D0" w:rsidRDefault="00BD6B34" w:rsidP="00A0623B">
      <w:pPr>
        <w:pStyle w:val="Notedebasdepage"/>
        <w:spacing w:before="0" w:after="0" w:line="240" w:lineRule="auto"/>
        <w:ind w:left="357" w:hanging="357"/>
      </w:pPr>
      <w:r>
        <w:rPr>
          <w:rStyle w:val="Appelnotedebasdep"/>
        </w:rPr>
        <w:footnoteRef/>
      </w:r>
      <w:r>
        <w:t xml:space="preserve"> </w:t>
      </w:r>
      <w:r>
        <w:tab/>
      </w:r>
      <w:r w:rsidRPr="00396853">
        <w:rPr>
          <w:i/>
          <w:iCs/>
        </w:rPr>
        <w:t>Leclerc</w:t>
      </w:r>
      <w:r>
        <w:t xml:space="preserve"> c. </w:t>
      </w:r>
      <w:r w:rsidRPr="00396853">
        <w:rPr>
          <w:i/>
          <w:iCs/>
        </w:rPr>
        <w:t>Construction Louis-Seize inc</w:t>
      </w:r>
      <w:r w:rsidR="007B0CCD">
        <w:rPr>
          <w:i/>
          <w:iCs/>
        </w:rPr>
        <w:t>.</w:t>
      </w:r>
      <w:r>
        <w:rPr>
          <w:i/>
          <w:iCs/>
        </w:rPr>
        <w:t>,</w:t>
      </w:r>
      <w:r w:rsidR="0028543D">
        <w:rPr>
          <w:i/>
          <w:iCs/>
        </w:rPr>
        <w:t>,</w:t>
      </w:r>
      <w:r>
        <w:rPr>
          <w:i/>
          <w:iCs/>
        </w:rPr>
        <w:t xml:space="preserve"> 2012 QCCS</w:t>
      </w:r>
      <w:r w:rsidR="0028543D">
        <w:rPr>
          <w:i/>
          <w:iCs/>
        </w:rPr>
        <w:t xml:space="preserve"> 5885, par. 39</w:t>
      </w:r>
      <w:r w:rsidR="003F5678">
        <w:rPr>
          <w:i/>
          <w:iCs/>
        </w:rPr>
        <w:t>.</w:t>
      </w:r>
    </w:p>
  </w:footnote>
  <w:footnote w:id="85">
    <w:p w14:paraId="18F8202B" w14:textId="77777777" w:rsidR="001C0CC9" w:rsidRDefault="00BD6B34" w:rsidP="00A0623B">
      <w:pPr>
        <w:pStyle w:val="Notedebasdepage"/>
        <w:spacing w:before="0" w:after="0" w:line="240" w:lineRule="auto"/>
        <w:ind w:left="357" w:hanging="357"/>
      </w:pPr>
      <w:r>
        <w:rPr>
          <w:rStyle w:val="Appelnotedebasdep"/>
        </w:rPr>
        <w:footnoteRef/>
      </w:r>
      <w:r>
        <w:t xml:space="preserve"> </w:t>
      </w:r>
      <w:r>
        <w:tab/>
        <w:t xml:space="preserve">2018 QCCS 6 (appel rejeté : </w:t>
      </w:r>
      <w:r w:rsidR="000B7DC5">
        <w:t>2019 QCCA 2162</w:t>
      </w:r>
      <w:r w:rsidR="003A3BEA">
        <w:t>)</w:t>
      </w:r>
      <w:r w:rsidR="000B7DC5">
        <w:t>.</w:t>
      </w:r>
    </w:p>
  </w:footnote>
  <w:footnote w:id="86">
    <w:p w14:paraId="01F6C780" w14:textId="77777777" w:rsidR="004C4426" w:rsidRDefault="00BD6B34" w:rsidP="004C4426">
      <w:pPr>
        <w:pStyle w:val="Notedebasdepage"/>
        <w:spacing w:before="0" w:after="0" w:line="240" w:lineRule="auto"/>
        <w:ind w:left="357" w:hanging="357"/>
      </w:pPr>
      <w:r>
        <w:rPr>
          <w:rStyle w:val="Appelnotedebasdep"/>
        </w:rPr>
        <w:footnoteRef/>
      </w:r>
      <w:r>
        <w:t xml:space="preserve"> </w:t>
      </w:r>
      <w:r>
        <w:tab/>
      </w:r>
      <w:r w:rsidRPr="00C84D5C">
        <w:rPr>
          <w:i/>
          <w:iCs/>
        </w:rPr>
        <w:t xml:space="preserve">Blenda inc. </w:t>
      </w:r>
      <w:r w:rsidRPr="002D5E99">
        <w:t>c</w:t>
      </w:r>
      <w:r w:rsidRPr="00C84D5C">
        <w:rPr>
          <w:i/>
          <w:iCs/>
        </w:rPr>
        <w:t>. Office municipal de Rosemère</w:t>
      </w:r>
      <w:r>
        <w:t>, 2020 QCCA 149, par. 44.</w:t>
      </w:r>
    </w:p>
  </w:footnote>
  <w:footnote w:id="87">
    <w:p w14:paraId="73501D9D" w14:textId="77777777" w:rsidR="004C4426" w:rsidRDefault="00BD6B34" w:rsidP="004C4426">
      <w:pPr>
        <w:pStyle w:val="Notedebasdepage"/>
        <w:spacing w:before="0" w:after="0" w:line="240" w:lineRule="auto"/>
        <w:ind w:left="357" w:hanging="357"/>
      </w:pPr>
      <w:r>
        <w:rPr>
          <w:rStyle w:val="Appelnotedebasdep"/>
        </w:rPr>
        <w:footnoteRef/>
      </w:r>
      <w:r>
        <w:t xml:space="preserve"> </w:t>
      </w:r>
      <w:r>
        <w:tab/>
      </w:r>
      <w:r w:rsidRPr="00396853">
        <w:rPr>
          <w:i/>
          <w:iCs/>
        </w:rPr>
        <w:t>Leclerc</w:t>
      </w:r>
      <w:r>
        <w:t xml:space="preserve"> c. </w:t>
      </w:r>
      <w:r w:rsidRPr="00396853">
        <w:rPr>
          <w:i/>
          <w:iCs/>
        </w:rPr>
        <w:t>Construction Louis-Seize inc</w:t>
      </w:r>
      <w:r w:rsidR="007B0CCD">
        <w:rPr>
          <w:i/>
          <w:iCs/>
        </w:rPr>
        <w:t>.</w:t>
      </w:r>
      <w:r>
        <w:rPr>
          <w:i/>
          <w:iCs/>
        </w:rPr>
        <w:t>,, 2012 QCCS 5885, par. 47 et 48.</w:t>
      </w:r>
    </w:p>
  </w:footnote>
  <w:footnote w:id="88">
    <w:p w14:paraId="638CFF01" w14:textId="77777777" w:rsidR="004C4426" w:rsidRDefault="00BD6B34" w:rsidP="004C4426">
      <w:pPr>
        <w:pStyle w:val="Notedebasdepage"/>
        <w:spacing w:before="0" w:after="0" w:line="240" w:lineRule="auto"/>
        <w:ind w:left="357" w:hanging="357"/>
      </w:pPr>
      <w:r>
        <w:rPr>
          <w:rStyle w:val="Appelnotedebasdep"/>
        </w:rPr>
        <w:footnoteRef/>
      </w:r>
      <w:r>
        <w:t xml:space="preserve"> </w:t>
      </w:r>
      <w:r>
        <w:tab/>
      </w:r>
      <w:r w:rsidRPr="00C84D5C">
        <w:rPr>
          <w:i/>
          <w:iCs/>
        </w:rPr>
        <w:t xml:space="preserve">Veilleux </w:t>
      </w:r>
      <w:r w:rsidRPr="002D5E99">
        <w:t>c</w:t>
      </w:r>
      <w:r w:rsidRPr="00C84D5C">
        <w:rPr>
          <w:i/>
          <w:iCs/>
        </w:rPr>
        <w:t>. ICAR inc</w:t>
      </w:r>
      <w:r>
        <w:t>., 2022 QCCS 4962, par. 63</w:t>
      </w:r>
      <w:r w:rsidR="003F5678">
        <w:t>.</w:t>
      </w:r>
    </w:p>
  </w:footnote>
  <w:footnote w:id="89">
    <w:p w14:paraId="331FBA95" w14:textId="77777777" w:rsidR="004C4426" w:rsidRDefault="00BD6B34" w:rsidP="004C4426">
      <w:pPr>
        <w:pStyle w:val="Notedebasdepage"/>
        <w:spacing w:before="0" w:after="0" w:line="240" w:lineRule="auto"/>
        <w:ind w:left="357" w:hanging="357"/>
      </w:pPr>
      <w:r>
        <w:rPr>
          <w:rStyle w:val="Appelnotedebasdep"/>
        </w:rPr>
        <w:footnoteRef/>
      </w:r>
      <w:r>
        <w:t xml:space="preserve"> </w:t>
      </w:r>
      <w:r>
        <w:tab/>
      </w:r>
      <w:bookmarkStart w:id="10" w:name="_Hlk193189830"/>
      <w:r w:rsidRPr="00C84D5C">
        <w:rPr>
          <w:i/>
          <w:iCs/>
        </w:rPr>
        <w:t xml:space="preserve">Pelouse Agrotis Turf inc. </w:t>
      </w:r>
      <w:r w:rsidRPr="002D5E99">
        <w:t>c</w:t>
      </w:r>
      <w:r w:rsidRPr="00C84D5C">
        <w:rPr>
          <w:i/>
          <w:iCs/>
        </w:rPr>
        <w:t>. Club de golf Balmoral</w:t>
      </w:r>
      <w:r>
        <w:t xml:space="preserve"> 2003 CanLII 2728 (QC CA), par.</w:t>
      </w:r>
      <w:bookmarkEnd w:id="10"/>
      <w:r>
        <w:t xml:space="preserve"> 36; </w:t>
      </w:r>
      <w:bookmarkStart w:id="11" w:name="_Hlk193189521"/>
      <w:r>
        <w:t xml:space="preserve">Construction </w:t>
      </w:r>
      <w:r w:rsidRPr="00C84D5C">
        <w:rPr>
          <w:i/>
          <w:iCs/>
        </w:rPr>
        <w:t xml:space="preserve">Blenda inc. </w:t>
      </w:r>
      <w:r w:rsidRPr="002D5E99">
        <w:t>c</w:t>
      </w:r>
      <w:r w:rsidRPr="00C84D5C">
        <w:rPr>
          <w:i/>
          <w:iCs/>
        </w:rPr>
        <w:t>. Office municipal de Rosemère</w:t>
      </w:r>
      <w:r>
        <w:t xml:space="preserve">, 2020 QCCA 149, par. </w:t>
      </w:r>
      <w:bookmarkEnd w:id="11"/>
      <w:r>
        <w:t>50</w:t>
      </w:r>
      <w:r w:rsidR="003F5678">
        <w:t>.</w:t>
      </w:r>
    </w:p>
  </w:footnote>
  <w:footnote w:id="90">
    <w:p w14:paraId="6345AB36" w14:textId="77777777" w:rsidR="004C4426" w:rsidRDefault="00BD6B34" w:rsidP="004C4426">
      <w:pPr>
        <w:pStyle w:val="Notedebasdepage"/>
        <w:spacing w:before="0" w:after="0" w:line="240" w:lineRule="auto"/>
        <w:ind w:left="357" w:hanging="357"/>
      </w:pPr>
      <w:r>
        <w:rPr>
          <w:rStyle w:val="Appelnotedebasdep"/>
        </w:rPr>
        <w:footnoteRef/>
      </w:r>
      <w:r>
        <w:t xml:space="preserve"> </w:t>
      </w:r>
      <w:r>
        <w:tab/>
      </w:r>
      <w:r w:rsidRPr="00C84D5C">
        <w:rPr>
          <w:i/>
          <w:iCs/>
        </w:rPr>
        <w:t xml:space="preserve">Construction Blenda inc. </w:t>
      </w:r>
      <w:r w:rsidRPr="000965A1">
        <w:t>c</w:t>
      </w:r>
      <w:r w:rsidRPr="00C84D5C">
        <w:rPr>
          <w:i/>
          <w:iCs/>
        </w:rPr>
        <w:t>. Office municipal de Rosemère</w:t>
      </w:r>
      <w:r>
        <w:t>, 2020 QCCA 149, par.44 à 50</w:t>
      </w:r>
      <w:r w:rsidR="003F5678">
        <w:t>.</w:t>
      </w:r>
    </w:p>
  </w:footnote>
  <w:footnote w:id="91">
    <w:p w14:paraId="02C62298" w14:textId="77777777" w:rsidR="004C4426" w:rsidRDefault="00BD6B34" w:rsidP="004C4426">
      <w:pPr>
        <w:pStyle w:val="Notedebasdepage"/>
        <w:spacing w:before="0" w:after="0" w:line="240" w:lineRule="auto"/>
        <w:ind w:left="357" w:hanging="357"/>
      </w:pPr>
      <w:r>
        <w:rPr>
          <w:rStyle w:val="Appelnotedebasdep"/>
        </w:rPr>
        <w:footnoteRef/>
      </w:r>
      <w:r>
        <w:t xml:space="preserve"> </w:t>
      </w:r>
      <w:r>
        <w:tab/>
      </w:r>
      <w:bookmarkStart w:id="12" w:name="_Hlk193189765"/>
      <w:r w:rsidRPr="00C84D5C">
        <w:rPr>
          <w:i/>
          <w:iCs/>
        </w:rPr>
        <w:t xml:space="preserve">Construction Blenda inc. </w:t>
      </w:r>
      <w:r w:rsidRPr="000965A1">
        <w:t>c</w:t>
      </w:r>
      <w:r w:rsidRPr="00C84D5C">
        <w:rPr>
          <w:i/>
          <w:iCs/>
        </w:rPr>
        <w:t>. Office municipal de Rosemère</w:t>
      </w:r>
      <w:r>
        <w:t>, 2020 QCCA 149, par</w:t>
      </w:r>
      <w:bookmarkEnd w:id="12"/>
      <w:r>
        <w:t xml:space="preserve">.46 à 50; </w:t>
      </w:r>
      <w:r w:rsidRPr="00C84D5C">
        <w:rPr>
          <w:i/>
          <w:iCs/>
        </w:rPr>
        <w:t xml:space="preserve">Neptune security services inc. </w:t>
      </w:r>
      <w:r w:rsidRPr="000965A1">
        <w:t>c</w:t>
      </w:r>
      <w:r w:rsidRPr="00C84D5C">
        <w:rPr>
          <w:i/>
          <w:iCs/>
        </w:rPr>
        <w:t>. Ville de Montréal et al</w:t>
      </w:r>
      <w:r>
        <w:t>., 2021 QCCS 1027, par. 93.</w:t>
      </w:r>
    </w:p>
  </w:footnote>
  <w:footnote w:id="92">
    <w:p w14:paraId="0629CAE2" w14:textId="77777777" w:rsidR="004C4426" w:rsidRDefault="00BD6B34" w:rsidP="004C4426">
      <w:pPr>
        <w:pStyle w:val="Notedebasdepage"/>
        <w:spacing w:before="0" w:after="0" w:line="240" w:lineRule="auto"/>
        <w:ind w:left="357" w:hanging="357"/>
      </w:pPr>
      <w:r>
        <w:rPr>
          <w:rStyle w:val="Appelnotedebasdep"/>
        </w:rPr>
        <w:footnoteRef/>
      </w:r>
      <w:r>
        <w:t xml:space="preserve"> </w:t>
      </w:r>
      <w:r>
        <w:tab/>
        <w:t>2020 QCCA 149, par.47 à 50.</w:t>
      </w:r>
    </w:p>
  </w:footnote>
  <w:footnote w:id="93">
    <w:p w14:paraId="0C58F349" w14:textId="77777777" w:rsidR="004C4426" w:rsidRDefault="00BD6B34" w:rsidP="004C4426">
      <w:pPr>
        <w:pStyle w:val="Notedebasdepage"/>
        <w:spacing w:before="0" w:after="0" w:line="240" w:lineRule="auto"/>
        <w:ind w:left="357" w:hanging="357"/>
      </w:pPr>
      <w:r>
        <w:rPr>
          <w:rStyle w:val="Appelnotedebasdep"/>
        </w:rPr>
        <w:footnoteRef/>
      </w:r>
      <w:r>
        <w:t xml:space="preserve"> </w:t>
      </w:r>
      <w:r>
        <w:tab/>
      </w:r>
      <w:r w:rsidRPr="00C84D5C">
        <w:rPr>
          <w:i/>
          <w:iCs/>
        </w:rPr>
        <w:t xml:space="preserve">Construction Blenda inc. </w:t>
      </w:r>
      <w:r w:rsidRPr="001D6E8C">
        <w:t>c</w:t>
      </w:r>
      <w:r w:rsidRPr="00C84D5C">
        <w:rPr>
          <w:i/>
          <w:iCs/>
        </w:rPr>
        <w:t>. Office municipal de Rosemère</w:t>
      </w:r>
      <w:r>
        <w:t>, 2020 QCCA 149, par. 88;</w:t>
      </w:r>
      <w:r w:rsidRPr="00604921">
        <w:t xml:space="preserve"> </w:t>
      </w:r>
      <w:r w:rsidRPr="00C84D5C">
        <w:rPr>
          <w:i/>
          <w:iCs/>
        </w:rPr>
        <w:t xml:space="preserve">Pelouse Agrotis Turf inc. </w:t>
      </w:r>
      <w:r w:rsidRPr="001D6E8C">
        <w:t>c</w:t>
      </w:r>
      <w:r w:rsidRPr="00C84D5C">
        <w:rPr>
          <w:i/>
          <w:iCs/>
        </w:rPr>
        <w:t xml:space="preserve">. Club de golf Balmoral </w:t>
      </w:r>
      <w:r>
        <w:t>2003 CanLII 2728 (QC CA), par. 20 et 29 à 39.</w:t>
      </w:r>
    </w:p>
  </w:footnote>
  <w:footnote w:id="94">
    <w:p w14:paraId="4B79DDF3" w14:textId="77777777" w:rsidR="00DE6CEB" w:rsidRDefault="00BD6B34" w:rsidP="00A0623B">
      <w:pPr>
        <w:pStyle w:val="Notedebasdepage"/>
        <w:spacing w:before="0" w:after="0" w:line="240" w:lineRule="auto"/>
        <w:ind w:left="357" w:hanging="357"/>
      </w:pPr>
      <w:r>
        <w:rPr>
          <w:rStyle w:val="Appelnotedebasdep"/>
        </w:rPr>
        <w:footnoteRef/>
      </w:r>
      <w:r>
        <w:t xml:space="preserve"> </w:t>
      </w:r>
      <w:r>
        <w:tab/>
        <w:t>P-26.</w:t>
      </w:r>
    </w:p>
  </w:footnote>
  <w:footnote w:id="95">
    <w:p w14:paraId="1D4484D4" w14:textId="77777777" w:rsidR="005A0FEC" w:rsidRDefault="00BD6B34" w:rsidP="005A0FEC">
      <w:pPr>
        <w:pStyle w:val="Notedebasdepage"/>
        <w:spacing w:before="0" w:after="0" w:line="240" w:lineRule="auto"/>
        <w:ind w:left="357" w:hanging="357"/>
      </w:pPr>
      <w:r>
        <w:rPr>
          <w:rStyle w:val="Appelnotedebasdep"/>
        </w:rPr>
        <w:footnoteRef/>
      </w:r>
      <w:r>
        <w:t xml:space="preserve"> </w:t>
      </w:r>
      <w:r>
        <w:tab/>
      </w:r>
      <w:r w:rsidRPr="00C84D5C">
        <w:rPr>
          <w:i/>
          <w:iCs/>
        </w:rPr>
        <w:t xml:space="preserve">Ponce </w:t>
      </w:r>
      <w:r w:rsidRPr="00B072B9">
        <w:t>c</w:t>
      </w:r>
      <w:r w:rsidRPr="00C84D5C">
        <w:rPr>
          <w:i/>
          <w:iCs/>
        </w:rPr>
        <w:t>. Montrusco &amp; Associés</w:t>
      </w:r>
      <w:r>
        <w:t>, 2008 QCCA 329, par.</w:t>
      </w:r>
      <w:r w:rsidR="00136B1A">
        <w:t xml:space="preserve"> </w:t>
      </w:r>
      <w:r>
        <w:t>22</w:t>
      </w:r>
      <w:r w:rsidR="00B072B9">
        <w:t>.</w:t>
      </w:r>
    </w:p>
  </w:footnote>
  <w:footnote w:id="96">
    <w:p w14:paraId="68A88BE2" w14:textId="77777777" w:rsidR="00C202C8" w:rsidRDefault="00BD6B34" w:rsidP="00A0623B">
      <w:pPr>
        <w:pStyle w:val="Notedebasdepage"/>
        <w:spacing w:before="0" w:after="0" w:line="240" w:lineRule="auto"/>
      </w:pPr>
      <w:r>
        <w:rPr>
          <w:rStyle w:val="Appelnotedebasdep"/>
        </w:rPr>
        <w:footnoteRef/>
      </w:r>
      <w:r>
        <w:t xml:space="preserve"> </w:t>
      </w:r>
      <w:r>
        <w:tab/>
      </w:r>
      <w:r w:rsidRPr="00C84D5C">
        <w:rPr>
          <w:i/>
          <w:iCs/>
        </w:rPr>
        <w:t xml:space="preserve">Construction Blenda inc. </w:t>
      </w:r>
      <w:r w:rsidRPr="00B072B9">
        <w:t>c</w:t>
      </w:r>
      <w:r w:rsidRPr="00C84D5C">
        <w:rPr>
          <w:i/>
          <w:iCs/>
        </w:rPr>
        <w:t xml:space="preserve">. </w:t>
      </w:r>
      <w:r w:rsidR="005E25F9" w:rsidRPr="00C84D5C">
        <w:rPr>
          <w:i/>
          <w:iCs/>
        </w:rPr>
        <w:t>Office municipal</w:t>
      </w:r>
      <w:r w:rsidRPr="00C84D5C">
        <w:rPr>
          <w:i/>
          <w:iCs/>
        </w:rPr>
        <w:t xml:space="preserve"> d’habitation de Rosemère</w:t>
      </w:r>
      <w:r>
        <w:t>, 2020 QCCA 149, par. 88</w:t>
      </w:r>
      <w:r w:rsidR="00B072B9">
        <w:t>.</w:t>
      </w:r>
    </w:p>
  </w:footnote>
  <w:footnote w:id="97">
    <w:p w14:paraId="250B5942" w14:textId="77777777" w:rsidR="00D7140B" w:rsidRDefault="00BD6B34" w:rsidP="00A0623B">
      <w:pPr>
        <w:pStyle w:val="Notedebasdepage"/>
        <w:spacing w:before="0" w:after="0" w:line="240" w:lineRule="auto"/>
      </w:pPr>
      <w:r>
        <w:rPr>
          <w:rStyle w:val="Appelnotedebasdep"/>
        </w:rPr>
        <w:footnoteRef/>
      </w:r>
      <w:r>
        <w:t xml:space="preserve"> </w:t>
      </w:r>
      <w:r w:rsidR="00022F4C">
        <w:tab/>
        <w:t>Article 20</w:t>
      </w:r>
      <w:r w:rsidR="0082798B">
        <w:t>91</w:t>
      </w:r>
      <w:r w:rsidR="00D12BBC">
        <w:t xml:space="preserve"> </w:t>
      </w:r>
      <w:r w:rsidR="00B072B9">
        <w:t>C.c.Q</w:t>
      </w:r>
      <w:r w:rsidR="003F5678">
        <w:t>.</w:t>
      </w:r>
    </w:p>
  </w:footnote>
  <w:footnote w:id="98">
    <w:p w14:paraId="3F6C11FE" w14:textId="77777777" w:rsidR="00B83083" w:rsidRDefault="00BD6B34" w:rsidP="00A0623B">
      <w:pPr>
        <w:pStyle w:val="Notedebasdepage"/>
        <w:spacing w:before="0" w:after="0" w:line="240" w:lineRule="auto"/>
        <w:ind w:left="357" w:hanging="357"/>
      </w:pPr>
      <w:r>
        <w:rPr>
          <w:rStyle w:val="Appelnotedebasdep"/>
        </w:rPr>
        <w:footnoteRef/>
      </w:r>
      <w:r>
        <w:t xml:space="preserve"> </w:t>
      </w:r>
      <w:r w:rsidR="000403EC">
        <w:t xml:space="preserve"> </w:t>
      </w:r>
      <w:r w:rsidR="00130BCB">
        <w:t xml:space="preserve"> </w:t>
      </w:r>
      <w:r w:rsidR="00346D81">
        <w:t xml:space="preserve"> </w:t>
      </w:r>
      <w:r w:rsidR="000403EC">
        <w:t xml:space="preserve">Article 2019 al 2 </w:t>
      </w:r>
      <w:r w:rsidR="00B072B9">
        <w:t>C.c.Q.</w:t>
      </w:r>
    </w:p>
  </w:footnote>
  <w:footnote w:id="99">
    <w:p w14:paraId="2FFB0F06" w14:textId="77777777" w:rsidR="00991F9F" w:rsidRDefault="00BD6B34" w:rsidP="00A0623B">
      <w:pPr>
        <w:pStyle w:val="Notedebasdepage"/>
        <w:spacing w:before="0" w:after="0" w:line="240" w:lineRule="auto"/>
        <w:ind w:left="357" w:hanging="357"/>
      </w:pPr>
      <w:r>
        <w:rPr>
          <w:rStyle w:val="Appelnotedebasdep"/>
        </w:rPr>
        <w:footnoteRef/>
      </w:r>
      <w:r>
        <w:t xml:space="preserve"> </w:t>
      </w:r>
      <w:r>
        <w:tab/>
        <w:t>Demande introductive d’instance modifiée, par. 63</w:t>
      </w:r>
      <w:r w:rsidR="00B072B9">
        <w:t>.</w:t>
      </w:r>
    </w:p>
  </w:footnote>
  <w:footnote w:id="100">
    <w:p w14:paraId="4D7C132C" w14:textId="77777777" w:rsidR="00991F9F" w:rsidRDefault="00BD6B34" w:rsidP="00A0623B">
      <w:pPr>
        <w:pStyle w:val="Notedebasdepage"/>
        <w:spacing w:before="0" w:after="0" w:line="240" w:lineRule="auto"/>
        <w:ind w:left="357" w:hanging="357"/>
      </w:pPr>
      <w:r>
        <w:rPr>
          <w:rStyle w:val="Appelnotedebasdep"/>
        </w:rPr>
        <w:footnoteRef/>
      </w:r>
      <w:r>
        <w:t xml:space="preserve"> </w:t>
      </w:r>
      <w:r>
        <w:tab/>
      </w:r>
      <w:r w:rsidRPr="00C84D5C">
        <w:rPr>
          <w:i/>
          <w:iCs/>
        </w:rPr>
        <w:t>Pomerleau c. Lambton (Municipalité de)</w:t>
      </w:r>
      <w:r>
        <w:t>, 2016 QCCS 2084, par.156.</w:t>
      </w:r>
    </w:p>
  </w:footnote>
  <w:footnote w:id="101">
    <w:p w14:paraId="2BF86F74" w14:textId="77777777" w:rsidR="006327E3" w:rsidRDefault="00BD6B34" w:rsidP="006327E3">
      <w:pPr>
        <w:pStyle w:val="Notedebasdepage"/>
        <w:spacing w:before="0" w:after="0" w:line="240" w:lineRule="auto"/>
        <w:ind w:left="357" w:hanging="357"/>
      </w:pPr>
      <w:r>
        <w:rPr>
          <w:rStyle w:val="Appelnotedebasdep"/>
        </w:rPr>
        <w:footnoteRef/>
      </w:r>
      <w:r>
        <w:t xml:space="preserve"> </w:t>
      </w:r>
      <w:r>
        <w:tab/>
      </w:r>
      <w:r w:rsidRPr="00C84D5C">
        <w:rPr>
          <w:i/>
          <w:iCs/>
        </w:rPr>
        <w:t xml:space="preserve">Québec (Curateur public) </w:t>
      </w:r>
      <w:r w:rsidRPr="003F013A">
        <w:t>c</w:t>
      </w:r>
      <w:r w:rsidRPr="00C84D5C">
        <w:rPr>
          <w:i/>
          <w:iCs/>
        </w:rPr>
        <w:t>. Syndicat national des employés de l’hôpital St-Ferdinand</w:t>
      </w:r>
      <w:r>
        <w:t xml:space="preserve">, </w:t>
      </w:r>
      <w:r>
        <w:rPr>
          <w:rFonts w:cs="Arial"/>
        </w:rPr>
        <w:t>[1996] 3 RCS 211, par. 121 et 122.</w:t>
      </w:r>
    </w:p>
  </w:footnote>
  <w:footnote w:id="102">
    <w:p w14:paraId="74D88144" w14:textId="77777777" w:rsidR="00991F9F" w:rsidRDefault="00BD6B34" w:rsidP="00A0623B">
      <w:pPr>
        <w:pStyle w:val="Notedebasdepage"/>
        <w:spacing w:before="0" w:after="0" w:line="240" w:lineRule="auto"/>
        <w:ind w:left="357" w:hanging="357"/>
      </w:pPr>
      <w:r>
        <w:rPr>
          <w:rStyle w:val="Appelnotedebasdep"/>
        </w:rPr>
        <w:footnoteRef/>
      </w:r>
      <w:r>
        <w:t xml:space="preserve"> </w:t>
      </w:r>
      <w:r w:rsidRPr="00C84D5C">
        <w:rPr>
          <w:i/>
          <w:iCs/>
        </w:rPr>
        <w:tab/>
        <w:t xml:space="preserve">Standard Radio inc. </w:t>
      </w:r>
      <w:r w:rsidRPr="003F013A">
        <w:t>c</w:t>
      </w:r>
      <w:r w:rsidRPr="00C84D5C">
        <w:rPr>
          <w:i/>
          <w:iCs/>
        </w:rPr>
        <w:t>. Doudeau</w:t>
      </w:r>
      <w:r>
        <w:t>, 1994 CanLII 5840, p.3 et 4</w:t>
      </w:r>
      <w:r w:rsidR="003F5678">
        <w:t>.</w:t>
      </w:r>
      <w:r>
        <w:t xml:space="preserve"> </w:t>
      </w:r>
    </w:p>
  </w:footnote>
  <w:footnote w:id="103">
    <w:p w14:paraId="30E3FC86" w14:textId="77777777" w:rsidR="00991F9F" w:rsidRPr="00C811B4" w:rsidRDefault="00BD6B34" w:rsidP="00A0623B">
      <w:pPr>
        <w:pStyle w:val="Notedebasdepage"/>
        <w:spacing w:before="0" w:after="0" w:line="240" w:lineRule="auto"/>
        <w:ind w:left="357" w:hanging="357"/>
      </w:pPr>
      <w:r>
        <w:rPr>
          <w:rStyle w:val="Appelnotedebasdep"/>
        </w:rPr>
        <w:footnoteRef/>
      </w:r>
      <w:r w:rsidRPr="00C811B4">
        <w:t xml:space="preserve"> </w:t>
      </w:r>
      <w:r w:rsidRPr="00C811B4">
        <w:tab/>
        <w:t xml:space="preserve">Art. 1479 </w:t>
      </w:r>
      <w:r w:rsidR="003F013A">
        <w:t>C.c.Q</w:t>
      </w:r>
      <w:r w:rsidR="003F013A" w:rsidRPr="00C811B4">
        <w:t xml:space="preserve"> </w:t>
      </w:r>
      <w:r w:rsidRPr="00C811B4">
        <w:t>; Veilleu</w:t>
      </w:r>
      <w:r>
        <w:t>x et al. c. ICAR inc. et al., 2022 QCCS 4962 (appel rejeté : 2024 QCCA 1057), par. 98 à 102.</w:t>
      </w:r>
    </w:p>
  </w:footnote>
  <w:footnote w:id="104">
    <w:p w14:paraId="355B6D08" w14:textId="77777777" w:rsidR="00991F9F" w:rsidRPr="00133F30" w:rsidRDefault="00BD6B34" w:rsidP="00A0623B">
      <w:pPr>
        <w:pStyle w:val="Notedebasdepage"/>
        <w:spacing w:before="0" w:after="0" w:line="240" w:lineRule="auto"/>
        <w:ind w:left="357" w:hanging="357"/>
      </w:pPr>
      <w:r>
        <w:rPr>
          <w:rStyle w:val="Appelnotedebasdep"/>
        </w:rPr>
        <w:footnoteRef/>
      </w:r>
      <w:r w:rsidRPr="00133F30">
        <w:t xml:space="preserve"> </w:t>
      </w:r>
      <w:r w:rsidRPr="00133F30">
        <w:tab/>
      </w:r>
      <w:r w:rsidRPr="00C84D5C">
        <w:rPr>
          <w:i/>
          <w:iCs/>
        </w:rPr>
        <w:t xml:space="preserve">Carrier </w:t>
      </w:r>
      <w:r w:rsidRPr="003F013A">
        <w:t xml:space="preserve">c. </w:t>
      </w:r>
      <w:r w:rsidRPr="00C84D5C">
        <w:rPr>
          <w:i/>
          <w:iCs/>
        </w:rPr>
        <w:t>Mittal Canada inc., 2014</w:t>
      </w:r>
      <w:r w:rsidRPr="00133F30">
        <w:t xml:space="preserve"> QCCA 679, par. 107, pas</w:t>
      </w:r>
      <w:r>
        <w:t xml:space="preserve">sage de la Cour d’appel citant avec approbation le juge de première instance dans </w:t>
      </w:r>
      <w:r w:rsidRPr="00C84D5C">
        <w:rPr>
          <w:i/>
          <w:iCs/>
        </w:rPr>
        <w:t xml:space="preserve">Gareau (Groupe Gareau inc.) </w:t>
      </w:r>
      <w:r w:rsidRPr="0014625F">
        <w:t>c</w:t>
      </w:r>
      <w:r w:rsidRPr="00C84D5C">
        <w:rPr>
          <w:i/>
          <w:iCs/>
        </w:rPr>
        <w:t>. Brouillette</w:t>
      </w:r>
      <w:r>
        <w:t>, 2013 QCCA 969.</w:t>
      </w:r>
    </w:p>
  </w:footnote>
  <w:footnote w:id="105">
    <w:p w14:paraId="0F72A945" w14:textId="77777777" w:rsidR="00991F9F" w:rsidRDefault="00BD6B34" w:rsidP="00A0623B">
      <w:pPr>
        <w:pStyle w:val="Notedebasdepage"/>
        <w:spacing w:before="0" w:after="0" w:line="240" w:lineRule="auto"/>
        <w:ind w:left="357" w:hanging="357"/>
      </w:pPr>
      <w:r>
        <w:rPr>
          <w:rStyle w:val="Appelnotedebasdep"/>
        </w:rPr>
        <w:footnoteRef/>
      </w:r>
      <w:r>
        <w:t xml:space="preserve"> </w:t>
      </w:r>
      <w:r>
        <w:tab/>
      </w:r>
      <w:r w:rsidRPr="00C84D5C">
        <w:rPr>
          <w:i/>
          <w:iCs/>
        </w:rPr>
        <w:t xml:space="preserve">Carrier </w:t>
      </w:r>
      <w:r w:rsidRPr="003F013A">
        <w:t>c</w:t>
      </w:r>
      <w:r w:rsidRPr="00C84D5C">
        <w:rPr>
          <w:i/>
          <w:iCs/>
        </w:rPr>
        <w:t>. Mittal Canada inc</w:t>
      </w:r>
      <w:r w:rsidRPr="00133F30">
        <w:t>., 2014 QCCA 679, par.</w:t>
      </w:r>
      <w:r>
        <w:t xml:space="preserve"> 110.</w:t>
      </w:r>
    </w:p>
  </w:footnote>
  <w:footnote w:id="106">
    <w:p w14:paraId="3CD47BFB" w14:textId="77777777" w:rsidR="00991F9F" w:rsidRDefault="00BD6B34" w:rsidP="00A0623B">
      <w:pPr>
        <w:pStyle w:val="Notedebasdepage"/>
        <w:spacing w:before="0" w:after="0" w:line="240" w:lineRule="auto"/>
        <w:ind w:left="357" w:hanging="357"/>
      </w:pPr>
      <w:r>
        <w:rPr>
          <w:rStyle w:val="Appelnotedebasdep"/>
        </w:rPr>
        <w:footnoteRef/>
      </w:r>
      <w:r>
        <w:t xml:space="preserve"> </w:t>
      </w:r>
      <w:r>
        <w:tab/>
      </w:r>
      <w:r w:rsidRPr="00C84D5C">
        <w:rPr>
          <w:i/>
          <w:iCs/>
        </w:rPr>
        <w:t xml:space="preserve">Carrier </w:t>
      </w:r>
      <w:r w:rsidRPr="003F013A">
        <w:t>c</w:t>
      </w:r>
      <w:r w:rsidRPr="00C84D5C">
        <w:rPr>
          <w:i/>
          <w:iCs/>
        </w:rPr>
        <w:t>. Mittal Canada inc</w:t>
      </w:r>
      <w:r w:rsidRPr="00133F30">
        <w:t>., 2014 QCCA 679, par.</w:t>
      </w:r>
      <w:r>
        <w:t xml:space="preserve"> 112 et 113.</w:t>
      </w:r>
    </w:p>
  </w:footnote>
  <w:footnote w:id="107">
    <w:p w14:paraId="3EA523B3" w14:textId="77777777" w:rsidR="00991F9F" w:rsidRDefault="00BD6B34" w:rsidP="00A0623B">
      <w:pPr>
        <w:pStyle w:val="Notedebasdepage"/>
        <w:spacing w:before="0" w:after="0" w:line="240" w:lineRule="auto"/>
        <w:ind w:left="357" w:hanging="357"/>
      </w:pPr>
      <w:r>
        <w:rPr>
          <w:rStyle w:val="Appelnotedebasdep"/>
        </w:rPr>
        <w:footnoteRef/>
      </w:r>
      <w:r>
        <w:t xml:space="preserve"> </w:t>
      </w:r>
      <w:r>
        <w:tab/>
      </w:r>
      <w:r w:rsidRPr="00C84D5C">
        <w:rPr>
          <w:i/>
          <w:iCs/>
        </w:rPr>
        <w:t xml:space="preserve">Geffard </w:t>
      </w:r>
      <w:r w:rsidRPr="004F0889">
        <w:t>c</w:t>
      </w:r>
      <w:r w:rsidRPr="00C84D5C">
        <w:rPr>
          <w:i/>
          <w:iCs/>
        </w:rPr>
        <w:t>. Fonds d’assurance responsabilité professionnelle de la Chambre des notaires du Québec</w:t>
      </w:r>
      <w:r>
        <w:t>, 2014 QCCA 911, par. 54 à 57.</w:t>
      </w:r>
    </w:p>
  </w:footnote>
  <w:footnote w:id="108">
    <w:p w14:paraId="605769DC" w14:textId="77777777" w:rsidR="00771492" w:rsidRDefault="00BD6B34" w:rsidP="00771492">
      <w:pPr>
        <w:pStyle w:val="Notedebasdepage"/>
        <w:spacing w:before="0" w:after="0" w:line="240" w:lineRule="auto"/>
        <w:ind w:left="357" w:hanging="357"/>
        <w:contextualSpacing/>
      </w:pPr>
      <w:r>
        <w:rPr>
          <w:rStyle w:val="Appelnotedebasdep"/>
        </w:rPr>
        <w:footnoteRef/>
      </w:r>
      <w:r>
        <w:t xml:space="preserve"> </w:t>
      </w:r>
      <w:r>
        <w:tab/>
        <w:t xml:space="preserve">Interrogatoire hors cour de </w:t>
      </w:r>
      <w:r w:rsidR="009A24CE">
        <w:t xml:space="preserve">M. Pereira </w:t>
      </w:r>
      <w:r>
        <w:t>du 17 juin 2021 par BCF, p. 80 et ss</w:t>
      </w:r>
      <w:r w:rsidR="007959FA">
        <w:t>.</w:t>
      </w:r>
    </w:p>
  </w:footnote>
  <w:footnote w:id="109">
    <w:p w14:paraId="148502FA" w14:textId="77777777" w:rsidR="00E25928" w:rsidRDefault="00BD6B34" w:rsidP="00C84D5C">
      <w:pPr>
        <w:pStyle w:val="Notedebasdepage"/>
        <w:spacing w:line="240" w:lineRule="auto"/>
        <w:ind w:left="357" w:hanging="357"/>
        <w:contextualSpacing/>
      </w:pPr>
      <w:r>
        <w:rPr>
          <w:rStyle w:val="Appelnotedebasdep"/>
        </w:rPr>
        <w:footnoteRef/>
      </w:r>
      <w:r>
        <w:t xml:space="preserve"> </w:t>
      </w:r>
      <w:r w:rsidR="00DA2B18">
        <w:tab/>
      </w:r>
      <w:r w:rsidR="00DA2B18" w:rsidRPr="00E20242">
        <w:t>Art. 340 al. 1</w:t>
      </w:r>
      <w:r w:rsidR="0014625F">
        <w:t xml:space="preserve"> C.p.c.</w:t>
      </w:r>
      <w:r w:rsidR="00DA2B18" w:rsidRPr="00E20242">
        <w:t xml:space="preserve">; </w:t>
      </w:r>
      <w:r w:rsidR="00DA2B18" w:rsidRPr="00AF2EF1">
        <w:rPr>
          <w:i/>
          <w:iCs/>
        </w:rPr>
        <w:t xml:space="preserve">Robitaille </w:t>
      </w:r>
      <w:r w:rsidR="00DA2B18" w:rsidRPr="004F0889">
        <w:t>c</w:t>
      </w:r>
      <w:r w:rsidR="00DA2B18" w:rsidRPr="00AF2EF1">
        <w:rPr>
          <w:i/>
          <w:iCs/>
        </w:rPr>
        <w:t>. Picard</w:t>
      </w:r>
      <w:r w:rsidR="00DA2B18" w:rsidRPr="00E20242">
        <w:t>, 2019 QCCS1285, par. 380 à</w:t>
      </w:r>
      <w:r w:rsidR="00DA2B18">
        <w:t xml:space="preserve"> 388</w:t>
      </w:r>
      <w:r w:rsidR="007959FA">
        <w:t>.</w:t>
      </w:r>
    </w:p>
  </w:footnote>
  <w:footnote w:id="110">
    <w:p w14:paraId="4DCFF36E" w14:textId="77777777" w:rsidR="007110BB" w:rsidRDefault="00BD6B34" w:rsidP="00C84D5C">
      <w:pPr>
        <w:pStyle w:val="Notedebasdepage"/>
        <w:spacing w:line="240" w:lineRule="auto"/>
        <w:ind w:left="357" w:hanging="357"/>
        <w:contextualSpacing/>
      </w:pPr>
      <w:r>
        <w:rPr>
          <w:rStyle w:val="Appelnotedebasdep"/>
        </w:rPr>
        <w:footnoteRef/>
      </w:r>
      <w:r>
        <w:t xml:space="preserve"> </w:t>
      </w:r>
      <w:r>
        <w:tab/>
      </w:r>
      <w:r w:rsidR="00CF0B72" w:rsidRPr="00C84D5C">
        <w:rPr>
          <w:i/>
          <w:iCs/>
        </w:rPr>
        <w:t>Hébert</w:t>
      </w:r>
      <w:r w:rsidR="00CF0B72">
        <w:t xml:space="preserve"> c. </w:t>
      </w:r>
      <w:r w:rsidR="00CF0B72" w:rsidRPr="00C84D5C">
        <w:rPr>
          <w:i/>
          <w:iCs/>
        </w:rPr>
        <w:t>Décarel-Verreault</w:t>
      </w:r>
      <w:r w:rsidR="00CF0B72">
        <w:t>, s.e.n.c., 2009 QCCS 1067, par.</w:t>
      </w:r>
      <w:r w:rsidR="007959FA">
        <w:t xml:space="preserve"> </w:t>
      </w:r>
      <w:r w:rsidR="007F1AC0">
        <w:t xml:space="preserve">52; </w:t>
      </w:r>
      <w:r w:rsidR="007F1AC0" w:rsidRPr="00C84D5C">
        <w:rPr>
          <w:i/>
          <w:iCs/>
        </w:rPr>
        <w:t>Roy</w:t>
      </w:r>
      <w:r w:rsidR="007F1AC0">
        <w:t xml:space="preserve"> c</w:t>
      </w:r>
      <w:r w:rsidR="007F1AC0" w:rsidRPr="00C84D5C">
        <w:rPr>
          <w:i/>
          <w:iCs/>
        </w:rPr>
        <w:t>. Procureur général du Québec</w:t>
      </w:r>
      <w:r w:rsidR="007F1AC0">
        <w:t xml:space="preserve">, 2019 QCCS </w:t>
      </w:r>
      <w:r w:rsidR="008A238F">
        <w:t>3528, par.</w:t>
      </w:r>
      <w:r w:rsidR="002E686B">
        <w:t xml:space="preserve"> </w:t>
      </w:r>
      <w:r w:rsidR="008A238F">
        <w:t>217 à 222.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FADC" w14:textId="77777777" w:rsidR="00031EFB" w:rsidRDefault="00BD6B34" w:rsidP="00031EFB">
    <w:pPr>
      <w:tabs>
        <w:tab w:val="center" w:pos="4709"/>
        <w:tab w:val="right" w:pos="9360"/>
      </w:tabs>
      <w:spacing w:line="240" w:lineRule="auto"/>
      <w:ind w:right="522"/>
    </w:pPr>
    <w:r w:rsidRPr="0014205B">
      <w:t>500-17-111714-203</w:t>
    </w:r>
    <w:r w:rsidR="00145742">
      <w:tab/>
    </w:r>
    <w:r w:rsidR="00145742">
      <w:tab/>
      <w:t xml:space="preserve">PAGE : </w:t>
    </w:r>
    <w:r w:rsidR="00145742">
      <w:fldChar w:fldCharType="begin"/>
    </w:r>
    <w:r w:rsidR="00145742">
      <w:instrText xml:space="preserve"> PAGE </w:instrText>
    </w:r>
    <w:r w:rsidR="00145742">
      <w:fldChar w:fldCharType="separate"/>
    </w:r>
    <w:r w:rsidR="00145742">
      <w:t>55</w:t>
    </w:r>
    <w:r w:rsidR="00145742">
      <w:fldChar w:fldCharType="end"/>
    </w:r>
  </w:p>
  <w:p w14:paraId="7708A8A1" w14:textId="77777777" w:rsidR="00824657" w:rsidRDefault="00824657" w:rsidP="00031EFB">
    <w:pPr>
      <w:tabs>
        <w:tab w:val="center" w:pos="4709"/>
        <w:tab w:val="right" w:pos="9360"/>
      </w:tabs>
      <w:spacing w:line="240" w:lineRule="auto"/>
      <w:ind w:right="5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0035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F3681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68884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1B48D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14B7D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BAA8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E499E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4C638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278E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3667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56D1D"/>
    <w:multiLevelType w:val="hybridMultilevel"/>
    <w:tmpl w:val="9D30D85A"/>
    <w:lvl w:ilvl="0" w:tplc="065897AA">
      <w:start w:val="1"/>
      <w:numFmt w:val="bullet"/>
      <w:pStyle w:val="Puce1"/>
      <w:lvlText w:val=""/>
      <w:lvlJc w:val="left"/>
      <w:pPr>
        <w:ind w:left="1800" w:hanging="360"/>
      </w:pPr>
      <w:rPr>
        <w:rFonts w:ascii="Wingdings" w:hAnsi="Wingdings" w:hint="default"/>
      </w:rPr>
    </w:lvl>
    <w:lvl w:ilvl="1" w:tplc="F1E8D5F6" w:tentative="1">
      <w:start w:val="1"/>
      <w:numFmt w:val="bullet"/>
      <w:lvlText w:val="o"/>
      <w:lvlJc w:val="left"/>
      <w:pPr>
        <w:ind w:left="2520" w:hanging="360"/>
      </w:pPr>
      <w:rPr>
        <w:rFonts w:ascii="Courier New" w:hAnsi="Courier New" w:cs="Courier New" w:hint="default"/>
      </w:rPr>
    </w:lvl>
    <w:lvl w:ilvl="2" w:tplc="F0ACBD12" w:tentative="1">
      <w:start w:val="1"/>
      <w:numFmt w:val="bullet"/>
      <w:lvlText w:val=""/>
      <w:lvlJc w:val="left"/>
      <w:pPr>
        <w:ind w:left="3240" w:hanging="360"/>
      </w:pPr>
      <w:rPr>
        <w:rFonts w:ascii="Wingdings" w:hAnsi="Wingdings" w:hint="default"/>
      </w:rPr>
    </w:lvl>
    <w:lvl w:ilvl="3" w:tplc="03E4C38A" w:tentative="1">
      <w:start w:val="1"/>
      <w:numFmt w:val="bullet"/>
      <w:lvlText w:val=""/>
      <w:lvlJc w:val="left"/>
      <w:pPr>
        <w:ind w:left="3960" w:hanging="360"/>
      </w:pPr>
      <w:rPr>
        <w:rFonts w:ascii="Symbol" w:hAnsi="Symbol" w:hint="default"/>
      </w:rPr>
    </w:lvl>
    <w:lvl w:ilvl="4" w:tplc="049C29D0" w:tentative="1">
      <w:start w:val="1"/>
      <w:numFmt w:val="bullet"/>
      <w:lvlText w:val="o"/>
      <w:lvlJc w:val="left"/>
      <w:pPr>
        <w:ind w:left="4680" w:hanging="360"/>
      </w:pPr>
      <w:rPr>
        <w:rFonts w:ascii="Courier New" w:hAnsi="Courier New" w:cs="Courier New" w:hint="default"/>
      </w:rPr>
    </w:lvl>
    <w:lvl w:ilvl="5" w:tplc="5680E5E4" w:tentative="1">
      <w:start w:val="1"/>
      <w:numFmt w:val="bullet"/>
      <w:lvlText w:val=""/>
      <w:lvlJc w:val="left"/>
      <w:pPr>
        <w:ind w:left="5400" w:hanging="360"/>
      </w:pPr>
      <w:rPr>
        <w:rFonts w:ascii="Wingdings" w:hAnsi="Wingdings" w:hint="default"/>
      </w:rPr>
    </w:lvl>
    <w:lvl w:ilvl="6" w:tplc="EFA093A2" w:tentative="1">
      <w:start w:val="1"/>
      <w:numFmt w:val="bullet"/>
      <w:lvlText w:val=""/>
      <w:lvlJc w:val="left"/>
      <w:pPr>
        <w:ind w:left="6120" w:hanging="360"/>
      </w:pPr>
      <w:rPr>
        <w:rFonts w:ascii="Symbol" w:hAnsi="Symbol" w:hint="default"/>
      </w:rPr>
    </w:lvl>
    <w:lvl w:ilvl="7" w:tplc="30E2B116" w:tentative="1">
      <w:start w:val="1"/>
      <w:numFmt w:val="bullet"/>
      <w:lvlText w:val="o"/>
      <w:lvlJc w:val="left"/>
      <w:pPr>
        <w:ind w:left="6840" w:hanging="360"/>
      </w:pPr>
      <w:rPr>
        <w:rFonts w:ascii="Courier New" w:hAnsi="Courier New" w:cs="Courier New" w:hint="default"/>
      </w:rPr>
    </w:lvl>
    <w:lvl w:ilvl="8" w:tplc="2D3E1538" w:tentative="1">
      <w:start w:val="1"/>
      <w:numFmt w:val="bullet"/>
      <w:lvlText w:val=""/>
      <w:lvlJc w:val="left"/>
      <w:pPr>
        <w:ind w:left="7560" w:hanging="360"/>
      </w:pPr>
      <w:rPr>
        <w:rFonts w:ascii="Wingdings" w:hAnsi="Wingdings" w:hint="default"/>
      </w:rPr>
    </w:lvl>
  </w:abstractNum>
  <w:abstractNum w:abstractNumId="11" w15:restartNumberingAfterBreak="0">
    <w:nsid w:val="22137243"/>
    <w:multiLevelType w:val="multilevel"/>
    <w:tmpl w:val="BB925886"/>
    <w:lvl w:ilvl="0">
      <w:start w:val="1"/>
      <w:numFmt w:val="bullet"/>
      <w:pStyle w:val="parapuce1"/>
      <w:lvlText w:val=""/>
      <w:lvlJc w:val="left"/>
      <w:pPr>
        <w:ind w:left="360" w:hanging="360"/>
      </w:pPr>
      <w:rPr>
        <w:rFonts w:ascii="Wingdings" w:hAnsi="Wingdings" w:hint="default"/>
      </w:rPr>
    </w:lvl>
    <w:lvl w:ilvl="1">
      <w:start w:val="1"/>
      <w:numFmt w:val="bullet"/>
      <w:pStyle w:val="Puce2"/>
      <w:lvlText w:val=""/>
      <w:lvlJc w:val="left"/>
      <w:pPr>
        <w:ind w:left="720" w:hanging="360"/>
      </w:pPr>
      <w:rPr>
        <w:rFonts w:ascii="Symbol" w:hAnsi="Symbol" w:hint="default"/>
      </w:rPr>
    </w:lvl>
    <w:lvl w:ilvl="2">
      <w:start w:val="1"/>
      <w:numFmt w:val="bullet"/>
      <w:pStyle w:val="Parapuce3"/>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7E8799F"/>
    <w:multiLevelType w:val="multilevel"/>
    <w:tmpl w:val="CBECD082"/>
    <w:lvl w:ilvl="0">
      <w:start w:val="1"/>
      <w:numFmt w:val="decimal"/>
      <w:pStyle w:val="Liste1"/>
      <w:lvlText w:val="%1."/>
      <w:lvlJc w:val="left"/>
      <w:pPr>
        <w:tabs>
          <w:tab w:val="num" w:pos="720"/>
        </w:tabs>
        <w:ind w:left="720" w:hanging="720"/>
      </w:pPr>
      <w:rPr>
        <w:rFonts w:ascii="Arial" w:hAnsi="Arial" w:cs="Arial" w:hint="default"/>
        <w:b w:val="0"/>
        <w:bCs w:val="0"/>
        <w:strike w:val="0"/>
        <w:color w:val="auto"/>
      </w:rPr>
    </w:lvl>
    <w:lvl w:ilvl="1">
      <w:start w:val="1"/>
      <w:numFmt w:val="lowerLetter"/>
      <w:pStyle w:val="Liste2"/>
      <w:lvlText w:val="%2)"/>
      <w:lvlJc w:val="left"/>
      <w:pPr>
        <w:tabs>
          <w:tab w:val="num" w:pos="1440"/>
        </w:tabs>
        <w:ind w:left="1440" w:hanging="720"/>
      </w:pPr>
      <w:rPr>
        <w:rFonts w:hint="default"/>
      </w:rPr>
    </w:lvl>
    <w:lvl w:ilvl="2">
      <w:start w:val="1"/>
      <w:numFmt w:val="lowerRoman"/>
      <w:pStyle w:val="Liste3"/>
      <w:lvlText w:val="%3)"/>
      <w:lvlJc w:val="left"/>
      <w:pPr>
        <w:tabs>
          <w:tab w:val="num" w:pos="2160"/>
        </w:tabs>
        <w:ind w:left="2160" w:hanging="720"/>
      </w:pPr>
      <w:rPr>
        <w:rFonts w:hint="default"/>
      </w:rPr>
    </w:lvl>
    <w:lvl w:ilvl="3">
      <w:start w:val="1"/>
      <w:numFmt w:val="decimal"/>
      <w:pStyle w:val="Liste4"/>
      <w:lvlText w:val="%4)"/>
      <w:lvlJc w:val="left"/>
      <w:pPr>
        <w:tabs>
          <w:tab w:val="num" w:pos="2880"/>
        </w:tabs>
        <w:ind w:left="288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44716DD"/>
    <w:multiLevelType w:val="hybridMultilevel"/>
    <w:tmpl w:val="F562746C"/>
    <w:lvl w:ilvl="0" w:tplc="97EA7074">
      <w:start w:val="1"/>
      <w:numFmt w:val="decimal"/>
      <w:lvlText w:val="%1."/>
      <w:lvlJc w:val="left"/>
      <w:pPr>
        <w:ind w:left="720" w:hanging="360"/>
      </w:pPr>
      <w:rPr>
        <w:rFonts w:ascii="Arial" w:hAnsi="Arial" w:cs="Arial" w:hint="default"/>
        <w:color w:val="000000"/>
        <w:sz w:val="20"/>
      </w:rPr>
    </w:lvl>
    <w:lvl w:ilvl="1" w:tplc="7396B950" w:tentative="1">
      <w:start w:val="1"/>
      <w:numFmt w:val="lowerLetter"/>
      <w:lvlText w:val="%2."/>
      <w:lvlJc w:val="left"/>
      <w:pPr>
        <w:ind w:left="1440" w:hanging="360"/>
      </w:pPr>
    </w:lvl>
    <w:lvl w:ilvl="2" w:tplc="D66ED488" w:tentative="1">
      <w:start w:val="1"/>
      <w:numFmt w:val="lowerRoman"/>
      <w:lvlText w:val="%3."/>
      <w:lvlJc w:val="right"/>
      <w:pPr>
        <w:ind w:left="2160" w:hanging="180"/>
      </w:pPr>
    </w:lvl>
    <w:lvl w:ilvl="3" w:tplc="10DE7E66" w:tentative="1">
      <w:start w:val="1"/>
      <w:numFmt w:val="decimal"/>
      <w:lvlText w:val="%4."/>
      <w:lvlJc w:val="left"/>
      <w:pPr>
        <w:ind w:left="2880" w:hanging="360"/>
      </w:pPr>
    </w:lvl>
    <w:lvl w:ilvl="4" w:tplc="95A6A0A8" w:tentative="1">
      <w:start w:val="1"/>
      <w:numFmt w:val="lowerLetter"/>
      <w:lvlText w:val="%5."/>
      <w:lvlJc w:val="left"/>
      <w:pPr>
        <w:ind w:left="3600" w:hanging="360"/>
      </w:pPr>
    </w:lvl>
    <w:lvl w:ilvl="5" w:tplc="FB3823C8" w:tentative="1">
      <w:start w:val="1"/>
      <w:numFmt w:val="lowerRoman"/>
      <w:lvlText w:val="%6."/>
      <w:lvlJc w:val="right"/>
      <w:pPr>
        <w:ind w:left="4320" w:hanging="180"/>
      </w:pPr>
    </w:lvl>
    <w:lvl w:ilvl="6" w:tplc="FD4837EC" w:tentative="1">
      <w:start w:val="1"/>
      <w:numFmt w:val="decimal"/>
      <w:lvlText w:val="%7."/>
      <w:lvlJc w:val="left"/>
      <w:pPr>
        <w:ind w:left="5040" w:hanging="360"/>
      </w:pPr>
    </w:lvl>
    <w:lvl w:ilvl="7" w:tplc="AB52EF7E" w:tentative="1">
      <w:start w:val="1"/>
      <w:numFmt w:val="lowerLetter"/>
      <w:lvlText w:val="%8."/>
      <w:lvlJc w:val="left"/>
      <w:pPr>
        <w:ind w:left="5760" w:hanging="360"/>
      </w:pPr>
    </w:lvl>
    <w:lvl w:ilvl="8" w:tplc="768C5BD6" w:tentative="1">
      <w:start w:val="1"/>
      <w:numFmt w:val="lowerRoman"/>
      <w:lvlText w:val="%9."/>
      <w:lvlJc w:val="right"/>
      <w:pPr>
        <w:ind w:left="6480" w:hanging="180"/>
      </w:pPr>
    </w:lvl>
  </w:abstractNum>
  <w:abstractNum w:abstractNumId="14" w15:restartNumberingAfterBreak="0">
    <w:nsid w:val="53B4669A"/>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09C0DCC"/>
    <w:multiLevelType w:val="multilevel"/>
    <w:tmpl w:val="3D1A9AF6"/>
    <w:lvl w:ilvl="0">
      <w:start w:val="1"/>
      <w:numFmt w:val="decimal"/>
      <w:pStyle w:val="paragrapheno"/>
      <w:lvlText w:val="[%1]"/>
      <w:lvlJc w:val="left"/>
      <w:pPr>
        <w:tabs>
          <w:tab w:val="num" w:pos="360"/>
        </w:tabs>
        <w:ind w:left="0" w:firstLine="0"/>
      </w:pPr>
      <w:rPr>
        <w:rFonts w:ascii="Arial" w:hAnsi="Arial" w:hint="default"/>
        <w:b w:val="0"/>
        <w:i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69955202"/>
    <w:multiLevelType w:val="hybridMultilevel"/>
    <w:tmpl w:val="D64E2C68"/>
    <w:lvl w:ilvl="0" w:tplc="D5EC6D12">
      <w:start w:val="1"/>
      <w:numFmt w:val="decimal"/>
      <w:lvlText w:val="[%1]"/>
      <w:lvlJc w:val="left"/>
      <w:pPr>
        <w:ind w:left="720" w:hanging="360"/>
      </w:pPr>
      <w:rPr>
        <w:rFonts w:hint="default"/>
        <w:b w:val="0"/>
      </w:rPr>
    </w:lvl>
    <w:lvl w:ilvl="1" w:tplc="AACE199E" w:tentative="1">
      <w:start w:val="1"/>
      <w:numFmt w:val="lowerLetter"/>
      <w:lvlText w:val="%2."/>
      <w:lvlJc w:val="left"/>
      <w:pPr>
        <w:ind w:left="1440" w:hanging="360"/>
      </w:pPr>
    </w:lvl>
    <w:lvl w:ilvl="2" w:tplc="2608648A" w:tentative="1">
      <w:start w:val="1"/>
      <w:numFmt w:val="lowerRoman"/>
      <w:lvlText w:val="%3."/>
      <w:lvlJc w:val="right"/>
      <w:pPr>
        <w:ind w:left="2160" w:hanging="180"/>
      </w:pPr>
    </w:lvl>
    <w:lvl w:ilvl="3" w:tplc="84040B16" w:tentative="1">
      <w:start w:val="1"/>
      <w:numFmt w:val="decimal"/>
      <w:lvlText w:val="%4."/>
      <w:lvlJc w:val="left"/>
      <w:pPr>
        <w:ind w:left="2880" w:hanging="360"/>
      </w:pPr>
    </w:lvl>
    <w:lvl w:ilvl="4" w:tplc="88B29F6E" w:tentative="1">
      <w:start w:val="1"/>
      <w:numFmt w:val="lowerLetter"/>
      <w:lvlText w:val="%5."/>
      <w:lvlJc w:val="left"/>
      <w:pPr>
        <w:ind w:left="3600" w:hanging="360"/>
      </w:pPr>
    </w:lvl>
    <w:lvl w:ilvl="5" w:tplc="D9ECD0FC" w:tentative="1">
      <w:start w:val="1"/>
      <w:numFmt w:val="lowerRoman"/>
      <w:lvlText w:val="%6."/>
      <w:lvlJc w:val="right"/>
      <w:pPr>
        <w:ind w:left="4320" w:hanging="180"/>
      </w:pPr>
    </w:lvl>
    <w:lvl w:ilvl="6" w:tplc="F69C57FA" w:tentative="1">
      <w:start w:val="1"/>
      <w:numFmt w:val="decimal"/>
      <w:lvlText w:val="%7."/>
      <w:lvlJc w:val="left"/>
      <w:pPr>
        <w:ind w:left="5040" w:hanging="360"/>
      </w:pPr>
    </w:lvl>
    <w:lvl w:ilvl="7" w:tplc="687CF834" w:tentative="1">
      <w:start w:val="1"/>
      <w:numFmt w:val="lowerLetter"/>
      <w:lvlText w:val="%8."/>
      <w:lvlJc w:val="left"/>
      <w:pPr>
        <w:ind w:left="5760" w:hanging="360"/>
      </w:pPr>
    </w:lvl>
    <w:lvl w:ilvl="8" w:tplc="83B419F4" w:tentative="1">
      <w:start w:val="1"/>
      <w:numFmt w:val="lowerRoman"/>
      <w:lvlText w:val="%9."/>
      <w:lvlJc w:val="right"/>
      <w:pPr>
        <w:ind w:left="6480" w:hanging="180"/>
      </w:pPr>
    </w:lvl>
  </w:abstractNum>
  <w:abstractNum w:abstractNumId="17" w15:restartNumberingAfterBreak="0">
    <w:nsid w:val="6F3A62D0"/>
    <w:multiLevelType w:val="multilevel"/>
    <w:tmpl w:val="899483BE"/>
    <w:lvl w:ilvl="0">
      <w:start w:val="1"/>
      <w:numFmt w:val="decimal"/>
      <w:pStyle w:val="Titre1"/>
      <w:lvlText w:val="%1."/>
      <w:lvlJc w:val="left"/>
      <w:pPr>
        <w:ind w:left="720" w:hanging="720"/>
      </w:pPr>
      <w:rPr>
        <w:rFonts w:hint="default"/>
      </w:rPr>
    </w:lvl>
    <w:lvl w:ilvl="1">
      <w:start w:val="1"/>
      <w:numFmt w:val="decimal"/>
      <w:pStyle w:val="Titre2"/>
      <w:lvlText w:val="%1.%2"/>
      <w:lvlJc w:val="left"/>
      <w:pPr>
        <w:tabs>
          <w:tab w:val="num" w:pos="720"/>
        </w:tabs>
        <w:ind w:left="1440" w:hanging="1008"/>
      </w:pPr>
      <w:rPr>
        <w:rFonts w:hint="default"/>
        <w:b/>
        <w:i w:val="0"/>
      </w:rPr>
    </w:lvl>
    <w:lvl w:ilvl="2">
      <w:start w:val="1"/>
      <w:numFmt w:val="decimal"/>
      <w:pStyle w:val="Titre3"/>
      <w:lvlText w:val="%1.%2.%3"/>
      <w:lvlJc w:val="left"/>
      <w:pPr>
        <w:tabs>
          <w:tab w:val="num" w:pos="1440"/>
        </w:tabs>
        <w:ind w:left="2160" w:hanging="720"/>
      </w:pPr>
      <w:rPr>
        <w:rFonts w:hint="default"/>
      </w:rPr>
    </w:lvl>
    <w:lvl w:ilvl="3">
      <w:start w:val="1"/>
      <w:numFmt w:val="decimal"/>
      <w:pStyle w:val="Titre4"/>
      <w:lvlText w:val="%1.%2.%3.%4"/>
      <w:lvlJc w:val="left"/>
      <w:pPr>
        <w:ind w:left="2880" w:hanging="720"/>
      </w:pPr>
      <w:rPr>
        <w:rFonts w:hint="default"/>
      </w:rPr>
    </w:lvl>
    <w:lvl w:ilvl="4">
      <w:start w:val="1"/>
      <w:numFmt w:val="lowerLetter"/>
      <w:pStyle w:val="Titre5"/>
      <w:lvlText w:val="%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8" w15:restartNumberingAfterBreak="0">
    <w:nsid w:val="794631E5"/>
    <w:multiLevelType w:val="multilevel"/>
    <w:tmpl w:val="D8A268B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33772598">
    <w:abstractNumId w:val="15"/>
  </w:num>
  <w:num w:numId="2" w16cid:durableId="475874611">
    <w:abstractNumId w:val="15"/>
  </w:num>
  <w:num w:numId="3" w16cid:durableId="604309849">
    <w:abstractNumId w:val="15"/>
  </w:num>
  <w:num w:numId="4" w16cid:durableId="1410885555">
    <w:abstractNumId w:val="8"/>
  </w:num>
  <w:num w:numId="5" w16cid:durableId="416950783">
    <w:abstractNumId w:val="3"/>
  </w:num>
  <w:num w:numId="6" w16cid:durableId="232934411">
    <w:abstractNumId w:val="2"/>
  </w:num>
  <w:num w:numId="7" w16cid:durableId="97454597">
    <w:abstractNumId w:val="1"/>
  </w:num>
  <w:num w:numId="8" w16cid:durableId="821700389">
    <w:abstractNumId w:val="0"/>
  </w:num>
  <w:num w:numId="9" w16cid:durableId="132795652">
    <w:abstractNumId w:val="9"/>
  </w:num>
  <w:num w:numId="10" w16cid:durableId="461534342">
    <w:abstractNumId w:val="7"/>
  </w:num>
  <w:num w:numId="11" w16cid:durableId="2022051783">
    <w:abstractNumId w:val="6"/>
  </w:num>
  <w:num w:numId="12" w16cid:durableId="1499735590">
    <w:abstractNumId w:val="5"/>
  </w:num>
  <w:num w:numId="13" w16cid:durableId="162204546">
    <w:abstractNumId w:val="4"/>
  </w:num>
  <w:num w:numId="14" w16cid:durableId="9534064">
    <w:abstractNumId w:val="17"/>
  </w:num>
  <w:num w:numId="15" w16cid:durableId="116413703">
    <w:abstractNumId w:val="18"/>
  </w:num>
  <w:num w:numId="16" w16cid:durableId="746802831">
    <w:abstractNumId w:val="11"/>
  </w:num>
  <w:num w:numId="17" w16cid:durableId="1566063547">
    <w:abstractNumId w:val="10"/>
  </w:num>
  <w:num w:numId="18" w16cid:durableId="505706494">
    <w:abstractNumId w:val="14"/>
  </w:num>
  <w:num w:numId="19" w16cid:durableId="1438869416">
    <w:abstractNumId w:val="13"/>
  </w:num>
  <w:num w:numId="20" w16cid:durableId="5074452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2935173">
    <w:abstractNumId w:val="15"/>
  </w:num>
  <w:num w:numId="22" w16cid:durableId="21462386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1997900">
    <w:abstractNumId w:val="12"/>
  </w:num>
  <w:num w:numId="24" w16cid:durableId="20106760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4"/>
  <w:hyphenationZone w:val="425"/>
  <w:displayHorizontalDrawingGridEvery w:val="0"/>
  <w:displayVerticalDrawingGridEvery w:val="0"/>
  <w:doNotUseMarginsForDrawingGridOrigin/>
  <w:noPunctuationKerning/>
  <w:characterSpacingControl w:val="doNotCompress"/>
  <w:footnotePr>
    <w:numRestart w:val="eachSect"/>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BE5"/>
    <w:rsid w:val="00000070"/>
    <w:rsid w:val="0000021C"/>
    <w:rsid w:val="00000817"/>
    <w:rsid w:val="00000873"/>
    <w:rsid w:val="000022EF"/>
    <w:rsid w:val="00002483"/>
    <w:rsid w:val="00002E62"/>
    <w:rsid w:val="000030E6"/>
    <w:rsid w:val="000036B4"/>
    <w:rsid w:val="00003B8E"/>
    <w:rsid w:val="00003EA4"/>
    <w:rsid w:val="00004467"/>
    <w:rsid w:val="00004649"/>
    <w:rsid w:val="00004781"/>
    <w:rsid w:val="00004D51"/>
    <w:rsid w:val="00004EE6"/>
    <w:rsid w:val="0000511C"/>
    <w:rsid w:val="00005240"/>
    <w:rsid w:val="00006966"/>
    <w:rsid w:val="00006E48"/>
    <w:rsid w:val="00006FB7"/>
    <w:rsid w:val="00006FC0"/>
    <w:rsid w:val="000070E5"/>
    <w:rsid w:val="00007A6A"/>
    <w:rsid w:val="00010D73"/>
    <w:rsid w:val="00011738"/>
    <w:rsid w:val="00011746"/>
    <w:rsid w:val="00011C91"/>
    <w:rsid w:val="00011CCE"/>
    <w:rsid w:val="0001225A"/>
    <w:rsid w:val="000135C5"/>
    <w:rsid w:val="00013902"/>
    <w:rsid w:val="00014489"/>
    <w:rsid w:val="000144BF"/>
    <w:rsid w:val="00014EA2"/>
    <w:rsid w:val="0001531C"/>
    <w:rsid w:val="00015D26"/>
    <w:rsid w:val="0001622D"/>
    <w:rsid w:val="0001683C"/>
    <w:rsid w:val="00016B58"/>
    <w:rsid w:val="00016C64"/>
    <w:rsid w:val="00016D5D"/>
    <w:rsid w:val="000170C1"/>
    <w:rsid w:val="000172F9"/>
    <w:rsid w:val="000204D6"/>
    <w:rsid w:val="00020696"/>
    <w:rsid w:val="000209BB"/>
    <w:rsid w:val="000214EF"/>
    <w:rsid w:val="0002164E"/>
    <w:rsid w:val="00021BD9"/>
    <w:rsid w:val="00021D6D"/>
    <w:rsid w:val="00022198"/>
    <w:rsid w:val="000225A2"/>
    <w:rsid w:val="00022611"/>
    <w:rsid w:val="00022F4C"/>
    <w:rsid w:val="000236D6"/>
    <w:rsid w:val="0002386F"/>
    <w:rsid w:val="00023988"/>
    <w:rsid w:val="0002402E"/>
    <w:rsid w:val="0002499F"/>
    <w:rsid w:val="00024DDD"/>
    <w:rsid w:val="0002543E"/>
    <w:rsid w:val="00025478"/>
    <w:rsid w:val="00025B79"/>
    <w:rsid w:val="000260F3"/>
    <w:rsid w:val="0002626D"/>
    <w:rsid w:val="0002647A"/>
    <w:rsid w:val="000265F5"/>
    <w:rsid w:val="00030329"/>
    <w:rsid w:val="000306C1"/>
    <w:rsid w:val="00030AB6"/>
    <w:rsid w:val="00030E70"/>
    <w:rsid w:val="00031152"/>
    <w:rsid w:val="000312D4"/>
    <w:rsid w:val="0003179E"/>
    <w:rsid w:val="00031CA9"/>
    <w:rsid w:val="00031EFB"/>
    <w:rsid w:val="00032557"/>
    <w:rsid w:val="0003287E"/>
    <w:rsid w:val="000328F7"/>
    <w:rsid w:val="00032D36"/>
    <w:rsid w:val="00032D95"/>
    <w:rsid w:val="0003310A"/>
    <w:rsid w:val="00033271"/>
    <w:rsid w:val="000335A7"/>
    <w:rsid w:val="000347AF"/>
    <w:rsid w:val="00034D0A"/>
    <w:rsid w:val="00034D1F"/>
    <w:rsid w:val="00035697"/>
    <w:rsid w:val="00036246"/>
    <w:rsid w:val="00036CD6"/>
    <w:rsid w:val="000377F5"/>
    <w:rsid w:val="000379F8"/>
    <w:rsid w:val="000403EC"/>
    <w:rsid w:val="00041169"/>
    <w:rsid w:val="000416C3"/>
    <w:rsid w:val="00041846"/>
    <w:rsid w:val="00041911"/>
    <w:rsid w:val="00041D67"/>
    <w:rsid w:val="000421D0"/>
    <w:rsid w:val="00042754"/>
    <w:rsid w:val="000427EC"/>
    <w:rsid w:val="000428AA"/>
    <w:rsid w:val="00042C12"/>
    <w:rsid w:val="00042F34"/>
    <w:rsid w:val="0004379B"/>
    <w:rsid w:val="00043C07"/>
    <w:rsid w:val="0004483B"/>
    <w:rsid w:val="000448E4"/>
    <w:rsid w:val="00044FD8"/>
    <w:rsid w:val="0004534A"/>
    <w:rsid w:val="00045CDB"/>
    <w:rsid w:val="00045D29"/>
    <w:rsid w:val="00045DAF"/>
    <w:rsid w:val="00046777"/>
    <w:rsid w:val="00046B5D"/>
    <w:rsid w:val="00046F7E"/>
    <w:rsid w:val="00047134"/>
    <w:rsid w:val="000475F5"/>
    <w:rsid w:val="00047E34"/>
    <w:rsid w:val="00050129"/>
    <w:rsid w:val="00050CB8"/>
    <w:rsid w:val="0005104B"/>
    <w:rsid w:val="000513CC"/>
    <w:rsid w:val="000517D3"/>
    <w:rsid w:val="000523F3"/>
    <w:rsid w:val="00053042"/>
    <w:rsid w:val="00053A0C"/>
    <w:rsid w:val="00053B1F"/>
    <w:rsid w:val="00053D30"/>
    <w:rsid w:val="000547DE"/>
    <w:rsid w:val="000550EA"/>
    <w:rsid w:val="00055147"/>
    <w:rsid w:val="00055664"/>
    <w:rsid w:val="0005590D"/>
    <w:rsid w:val="00055E21"/>
    <w:rsid w:val="00056056"/>
    <w:rsid w:val="00056162"/>
    <w:rsid w:val="000562D2"/>
    <w:rsid w:val="00056E26"/>
    <w:rsid w:val="000571A6"/>
    <w:rsid w:val="0005743C"/>
    <w:rsid w:val="0005773D"/>
    <w:rsid w:val="0005782F"/>
    <w:rsid w:val="00057FE6"/>
    <w:rsid w:val="000600C0"/>
    <w:rsid w:val="000603C1"/>
    <w:rsid w:val="00060ECD"/>
    <w:rsid w:val="00061788"/>
    <w:rsid w:val="00061BB2"/>
    <w:rsid w:val="00062A2C"/>
    <w:rsid w:val="00062ABD"/>
    <w:rsid w:val="00062C0A"/>
    <w:rsid w:val="00062C1F"/>
    <w:rsid w:val="000630DC"/>
    <w:rsid w:val="00063164"/>
    <w:rsid w:val="00063783"/>
    <w:rsid w:val="00063C91"/>
    <w:rsid w:val="00063D4F"/>
    <w:rsid w:val="00063F7B"/>
    <w:rsid w:val="00064668"/>
    <w:rsid w:val="00064CF6"/>
    <w:rsid w:val="000654E5"/>
    <w:rsid w:val="00065F93"/>
    <w:rsid w:val="00066143"/>
    <w:rsid w:val="0006697E"/>
    <w:rsid w:val="00066A03"/>
    <w:rsid w:val="00066F64"/>
    <w:rsid w:val="000673CA"/>
    <w:rsid w:val="00067ECB"/>
    <w:rsid w:val="00067F83"/>
    <w:rsid w:val="000705B2"/>
    <w:rsid w:val="00070B19"/>
    <w:rsid w:val="00070D11"/>
    <w:rsid w:val="0007117A"/>
    <w:rsid w:val="00071AED"/>
    <w:rsid w:val="00072520"/>
    <w:rsid w:val="00072FF4"/>
    <w:rsid w:val="000730A1"/>
    <w:rsid w:val="00074205"/>
    <w:rsid w:val="00074571"/>
    <w:rsid w:val="00074591"/>
    <w:rsid w:val="0007466F"/>
    <w:rsid w:val="00074B6C"/>
    <w:rsid w:val="00077737"/>
    <w:rsid w:val="00077760"/>
    <w:rsid w:val="00077972"/>
    <w:rsid w:val="00077D1E"/>
    <w:rsid w:val="00080174"/>
    <w:rsid w:val="00080193"/>
    <w:rsid w:val="00080212"/>
    <w:rsid w:val="00080CB2"/>
    <w:rsid w:val="00081228"/>
    <w:rsid w:val="00081E5D"/>
    <w:rsid w:val="0008203A"/>
    <w:rsid w:val="000826FA"/>
    <w:rsid w:val="00083971"/>
    <w:rsid w:val="00083A38"/>
    <w:rsid w:val="000840DB"/>
    <w:rsid w:val="00084904"/>
    <w:rsid w:val="00086169"/>
    <w:rsid w:val="0008680C"/>
    <w:rsid w:val="00086E4C"/>
    <w:rsid w:val="00086F3C"/>
    <w:rsid w:val="0008703F"/>
    <w:rsid w:val="0008713A"/>
    <w:rsid w:val="000874AC"/>
    <w:rsid w:val="00090174"/>
    <w:rsid w:val="0009019E"/>
    <w:rsid w:val="000905FE"/>
    <w:rsid w:val="000908C9"/>
    <w:rsid w:val="000925D1"/>
    <w:rsid w:val="000928F4"/>
    <w:rsid w:val="000929B7"/>
    <w:rsid w:val="00092BD3"/>
    <w:rsid w:val="000937C9"/>
    <w:rsid w:val="00093B16"/>
    <w:rsid w:val="0009501C"/>
    <w:rsid w:val="00095380"/>
    <w:rsid w:val="00096542"/>
    <w:rsid w:val="000965A1"/>
    <w:rsid w:val="0009679A"/>
    <w:rsid w:val="00096E15"/>
    <w:rsid w:val="00096F28"/>
    <w:rsid w:val="000973D5"/>
    <w:rsid w:val="000979BB"/>
    <w:rsid w:val="000A0296"/>
    <w:rsid w:val="000A059B"/>
    <w:rsid w:val="000A0A6C"/>
    <w:rsid w:val="000A0C42"/>
    <w:rsid w:val="000A0F5E"/>
    <w:rsid w:val="000A13F2"/>
    <w:rsid w:val="000A14FC"/>
    <w:rsid w:val="000A243A"/>
    <w:rsid w:val="000A26F5"/>
    <w:rsid w:val="000A2890"/>
    <w:rsid w:val="000A2CBA"/>
    <w:rsid w:val="000A336D"/>
    <w:rsid w:val="000A3637"/>
    <w:rsid w:val="000A3C26"/>
    <w:rsid w:val="000A4333"/>
    <w:rsid w:val="000A466C"/>
    <w:rsid w:val="000A4F58"/>
    <w:rsid w:val="000A525D"/>
    <w:rsid w:val="000A5547"/>
    <w:rsid w:val="000A561B"/>
    <w:rsid w:val="000A59B4"/>
    <w:rsid w:val="000A5BBD"/>
    <w:rsid w:val="000A6175"/>
    <w:rsid w:val="000A662B"/>
    <w:rsid w:val="000A70E0"/>
    <w:rsid w:val="000A75E8"/>
    <w:rsid w:val="000A7755"/>
    <w:rsid w:val="000A78E8"/>
    <w:rsid w:val="000A79BC"/>
    <w:rsid w:val="000A7DAB"/>
    <w:rsid w:val="000A7E23"/>
    <w:rsid w:val="000B10A7"/>
    <w:rsid w:val="000B12D1"/>
    <w:rsid w:val="000B2655"/>
    <w:rsid w:val="000B26D6"/>
    <w:rsid w:val="000B2B51"/>
    <w:rsid w:val="000B2B9A"/>
    <w:rsid w:val="000B364D"/>
    <w:rsid w:val="000B4377"/>
    <w:rsid w:val="000B503D"/>
    <w:rsid w:val="000B5372"/>
    <w:rsid w:val="000B5F9B"/>
    <w:rsid w:val="000B6A23"/>
    <w:rsid w:val="000B6AAE"/>
    <w:rsid w:val="000B6C88"/>
    <w:rsid w:val="000B7049"/>
    <w:rsid w:val="000B7488"/>
    <w:rsid w:val="000B78D6"/>
    <w:rsid w:val="000B7A5F"/>
    <w:rsid w:val="000B7DC5"/>
    <w:rsid w:val="000B7F72"/>
    <w:rsid w:val="000C03EA"/>
    <w:rsid w:val="000C051D"/>
    <w:rsid w:val="000C0561"/>
    <w:rsid w:val="000C06BC"/>
    <w:rsid w:val="000C0FE9"/>
    <w:rsid w:val="000C1141"/>
    <w:rsid w:val="000C1378"/>
    <w:rsid w:val="000C17BE"/>
    <w:rsid w:val="000C1988"/>
    <w:rsid w:val="000C1B1C"/>
    <w:rsid w:val="000C1F3D"/>
    <w:rsid w:val="000C2C11"/>
    <w:rsid w:val="000C2DD8"/>
    <w:rsid w:val="000C3FE3"/>
    <w:rsid w:val="000C4B68"/>
    <w:rsid w:val="000C4DB3"/>
    <w:rsid w:val="000C544E"/>
    <w:rsid w:val="000C61FA"/>
    <w:rsid w:val="000C7996"/>
    <w:rsid w:val="000C7BC6"/>
    <w:rsid w:val="000D0273"/>
    <w:rsid w:val="000D0467"/>
    <w:rsid w:val="000D0862"/>
    <w:rsid w:val="000D0A3B"/>
    <w:rsid w:val="000D0EAA"/>
    <w:rsid w:val="000D12D4"/>
    <w:rsid w:val="000D15EF"/>
    <w:rsid w:val="000D172C"/>
    <w:rsid w:val="000D1A93"/>
    <w:rsid w:val="000D20A5"/>
    <w:rsid w:val="000D20DA"/>
    <w:rsid w:val="000D22A7"/>
    <w:rsid w:val="000D30F2"/>
    <w:rsid w:val="000D323B"/>
    <w:rsid w:val="000D3F38"/>
    <w:rsid w:val="000D40DC"/>
    <w:rsid w:val="000D5DFE"/>
    <w:rsid w:val="000D70E0"/>
    <w:rsid w:val="000D72B5"/>
    <w:rsid w:val="000D7421"/>
    <w:rsid w:val="000D7514"/>
    <w:rsid w:val="000D75D8"/>
    <w:rsid w:val="000D7839"/>
    <w:rsid w:val="000D78E8"/>
    <w:rsid w:val="000D7E2C"/>
    <w:rsid w:val="000E05BB"/>
    <w:rsid w:val="000E10FC"/>
    <w:rsid w:val="000E2842"/>
    <w:rsid w:val="000E2B09"/>
    <w:rsid w:val="000E3758"/>
    <w:rsid w:val="000E3A0C"/>
    <w:rsid w:val="000E3ACA"/>
    <w:rsid w:val="000E4739"/>
    <w:rsid w:val="000E5012"/>
    <w:rsid w:val="000E5110"/>
    <w:rsid w:val="000E5B4C"/>
    <w:rsid w:val="000E5E34"/>
    <w:rsid w:val="000E709D"/>
    <w:rsid w:val="000E711F"/>
    <w:rsid w:val="000E794A"/>
    <w:rsid w:val="000F080A"/>
    <w:rsid w:val="000F1533"/>
    <w:rsid w:val="000F2301"/>
    <w:rsid w:val="000F2383"/>
    <w:rsid w:val="000F284C"/>
    <w:rsid w:val="000F2D7B"/>
    <w:rsid w:val="000F30E1"/>
    <w:rsid w:val="000F33E6"/>
    <w:rsid w:val="000F3562"/>
    <w:rsid w:val="000F3780"/>
    <w:rsid w:val="000F3AB4"/>
    <w:rsid w:val="000F4166"/>
    <w:rsid w:val="000F417D"/>
    <w:rsid w:val="000F421B"/>
    <w:rsid w:val="000F48A7"/>
    <w:rsid w:val="000F4ABB"/>
    <w:rsid w:val="000F4ED1"/>
    <w:rsid w:val="000F5C68"/>
    <w:rsid w:val="000F66E9"/>
    <w:rsid w:val="000F6E5B"/>
    <w:rsid w:val="000F710A"/>
    <w:rsid w:val="000F72E6"/>
    <w:rsid w:val="000F7F9E"/>
    <w:rsid w:val="0010049B"/>
    <w:rsid w:val="00100AB8"/>
    <w:rsid w:val="00100AF9"/>
    <w:rsid w:val="00100C13"/>
    <w:rsid w:val="00100E6B"/>
    <w:rsid w:val="00100FE1"/>
    <w:rsid w:val="001019A3"/>
    <w:rsid w:val="00101A4F"/>
    <w:rsid w:val="00101FD9"/>
    <w:rsid w:val="00102B6F"/>
    <w:rsid w:val="001030FC"/>
    <w:rsid w:val="00104003"/>
    <w:rsid w:val="001051E3"/>
    <w:rsid w:val="001057CF"/>
    <w:rsid w:val="00105B39"/>
    <w:rsid w:val="00105D6E"/>
    <w:rsid w:val="00105E01"/>
    <w:rsid w:val="001062E7"/>
    <w:rsid w:val="001069AD"/>
    <w:rsid w:val="00106D2F"/>
    <w:rsid w:val="0010707D"/>
    <w:rsid w:val="00107162"/>
    <w:rsid w:val="00107357"/>
    <w:rsid w:val="00107413"/>
    <w:rsid w:val="001076DE"/>
    <w:rsid w:val="001078D9"/>
    <w:rsid w:val="001079D8"/>
    <w:rsid w:val="0011016A"/>
    <w:rsid w:val="00110200"/>
    <w:rsid w:val="0011021F"/>
    <w:rsid w:val="00110A9E"/>
    <w:rsid w:val="00111038"/>
    <w:rsid w:val="001116DD"/>
    <w:rsid w:val="001118C9"/>
    <w:rsid w:val="00112519"/>
    <w:rsid w:val="00112D96"/>
    <w:rsid w:val="00112EE4"/>
    <w:rsid w:val="001131DF"/>
    <w:rsid w:val="001132EE"/>
    <w:rsid w:val="00113DE7"/>
    <w:rsid w:val="001145C7"/>
    <w:rsid w:val="00116CAA"/>
    <w:rsid w:val="00116DF3"/>
    <w:rsid w:val="0011701A"/>
    <w:rsid w:val="001176AC"/>
    <w:rsid w:val="00117ACB"/>
    <w:rsid w:val="00117F19"/>
    <w:rsid w:val="00120978"/>
    <w:rsid w:val="00121DFD"/>
    <w:rsid w:val="00122779"/>
    <w:rsid w:val="00122AC1"/>
    <w:rsid w:val="00122C90"/>
    <w:rsid w:val="00122F8E"/>
    <w:rsid w:val="00123038"/>
    <w:rsid w:val="001234E0"/>
    <w:rsid w:val="00123C82"/>
    <w:rsid w:val="00124C17"/>
    <w:rsid w:val="001250DF"/>
    <w:rsid w:val="00125283"/>
    <w:rsid w:val="00125332"/>
    <w:rsid w:val="00125FCC"/>
    <w:rsid w:val="00126934"/>
    <w:rsid w:val="00126DC0"/>
    <w:rsid w:val="0012703D"/>
    <w:rsid w:val="0012704A"/>
    <w:rsid w:val="001270BD"/>
    <w:rsid w:val="001270EC"/>
    <w:rsid w:val="001278BE"/>
    <w:rsid w:val="00127DF7"/>
    <w:rsid w:val="00127E90"/>
    <w:rsid w:val="00127EC6"/>
    <w:rsid w:val="00127FF4"/>
    <w:rsid w:val="001300ED"/>
    <w:rsid w:val="00130157"/>
    <w:rsid w:val="00130287"/>
    <w:rsid w:val="00130BCB"/>
    <w:rsid w:val="00131097"/>
    <w:rsid w:val="00131D9D"/>
    <w:rsid w:val="00131F77"/>
    <w:rsid w:val="001321ED"/>
    <w:rsid w:val="001328FA"/>
    <w:rsid w:val="00132BB1"/>
    <w:rsid w:val="00133414"/>
    <w:rsid w:val="00133F30"/>
    <w:rsid w:val="0013402B"/>
    <w:rsid w:val="0013580C"/>
    <w:rsid w:val="0013581B"/>
    <w:rsid w:val="00135906"/>
    <w:rsid w:val="00135B42"/>
    <w:rsid w:val="00135C90"/>
    <w:rsid w:val="00135FAE"/>
    <w:rsid w:val="00135FE9"/>
    <w:rsid w:val="001361C2"/>
    <w:rsid w:val="001364A7"/>
    <w:rsid w:val="00136B1A"/>
    <w:rsid w:val="00136BE3"/>
    <w:rsid w:val="001377F8"/>
    <w:rsid w:val="00137871"/>
    <w:rsid w:val="0014085D"/>
    <w:rsid w:val="00140B80"/>
    <w:rsid w:val="00141375"/>
    <w:rsid w:val="00141C7E"/>
    <w:rsid w:val="00141D62"/>
    <w:rsid w:val="0014205B"/>
    <w:rsid w:val="00142E7B"/>
    <w:rsid w:val="001435E3"/>
    <w:rsid w:val="0014374E"/>
    <w:rsid w:val="00143A1B"/>
    <w:rsid w:val="001441B5"/>
    <w:rsid w:val="00145742"/>
    <w:rsid w:val="001458D7"/>
    <w:rsid w:val="00146105"/>
    <w:rsid w:val="0014625F"/>
    <w:rsid w:val="001462EC"/>
    <w:rsid w:val="00146A55"/>
    <w:rsid w:val="0014762D"/>
    <w:rsid w:val="00147636"/>
    <w:rsid w:val="00147B07"/>
    <w:rsid w:val="00150117"/>
    <w:rsid w:val="00150DCC"/>
    <w:rsid w:val="00150FFB"/>
    <w:rsid w:val="00151BD8"/>
    <w:rsid w:val="00152258"/>
    <w:rsid w:val="00152DD3"/>
    <w:rsid w:val="0015300E"/>
    <w:rsid w:val="0015339E"/>
    <w:rsid w:val="001535AF"/>
    <w:rsid w:val="00153D59"/>
    <w:rsid w:val="00153F67"/>
    <w:rsid w:val="00154665"/>
    <w:rsid w:val="00154A07"/>
    <w:rsid w:val="00154D3E"/>
    <w:rsid w:val="00154F92"/>
    <w:rsid w:val="001555AD"/>
    <w:rsid w:val="001555BE"/>
    <w:rsid w:val="00155675"/>
    <w:rsid w:val="0015612A"/>
    <w:rsid w:val="001570F2"/>
    <w:rsid w:val="00157208"/>
    <w:rsid w:val="00157A8C"/>
    <w:rsid w:val="001605A8"/>
    <w:rsid w:val="001605EA"/>
    <w:rsid w:val="00160AAD"/>
    <w:rsid w:val="00161553"/>
    <w:rsid w:val="00161E4D"/>
    <w:rsid w:val="0016321C"/>
    <w:rsid w:val="00163453"/>
    <w:rsid w:val="00163618"/>
    <w:rsid w:val="00163A68"/>
    <w:rsid w:val="00163CA3"/>
    <w:rsid w:val="001640AA"/>
    <w:rsid w:val="0016463A"/>
    <w:rsid w:val="00164AF6"/>
    <w:rsid w:val="00164B1E"/>
    <w:rsid w:val="00164D2D"/>
    <w:rsid w:val="00165416"/>
    <w:rsid w:val="00165915"/>
    <w:rsid w:val="00165AD5"/>
    <w:rsid w:val="00167459"/>
    <w:rsid w:val="00167698"/>
    <w:rsid w:val="001676FD"/>
    <w:rsid w:val="00167FCA"/>
    <w:rsid w:val="00170CD1"/>
    <w:rsid w:val="001713E6"/>
    <w:rsid w:val="001717A3"/>
    <w:rsid w:val="00171814"/>
    <w:rsid w:val="001718A4"/>
    <w:rsid w:val="001719E2"/>
    <w:rsid w:val="0017237F"/>
    <w:rsid w:val="001734D7"/>
    <w:rsid w:val="00173A87"/>
    <w:rsid w:val="001740A6"/>
    <w:rsid w:val="00174459"/>
    <w:rsid w:val="00174DF4"/>
    <w:rsid w:val="0017631C"/>
    <w:rsid w:val="001777A4"/>
    <w:rsid w:val="00177F27"/>
    <w:rsid w:val="0018048E"/>
    <w:rsid w:val="0018068B"/>
    <w:rsid w:val="00180AD0"/>
    <w:rsid w:val="00181036"/>
    <w:rsid w:val="001810FA"/>
    <w:rsid w:val="00181473"/>
    <w:rsid w:val="00181E6F"/>
    <w:rsid w:val="00181F88"/>
    <w:rsid w:val="001820E9"/>
    <w:rsid w:val="001827CD"/>
    <w:rsid w:val="0018335B"/>
    <w:rsid w:val="00183A3A"/>
    <w:rsid w:val="00183B3E"/>
    <w:rsid w:val="00183D72"/>
    <w:rsid w:val="00183DAC"/>
    <w:rsid w:val="00185367"/>
    <w:rsid w:val="00185A0A"/>
    <w:rsid w:val="0018600E"/>
    <w:rsid w:val="00186A20"/>
    <w:rsid w:val="00186A27"/>
    <w:rsid w:val="00186E9D"/>
    <w:rsid w:val="00186F59"/>
    <w:rsid w:val="00186FA8"/>
    <w:rsid w:val="001875DD"/>
    <w:rsid w:val="00187BA9"/>
    <w:rsid w:val="00187E11"/>
    <w:rsid w:val="00190177"/>
    <w:rsid w:val="00190535"/>
    <w:rsid w:val="00190559"/>
    <w:rsid w:val="00190708"/>
    <w:rsid w:val="00190A3E"/>
    <w:rsid w:val="00190DA2"/>
    <w:rsid w:val="00190F00"/>
    <w:rsid w:val="00191656"/>
    <w:rsid w:val="0019171C"/>
    <w:rsid w:val="00191C6D"/>
    <w:rsid w:val="00193335"/>
    <w:rsid w:val="00193E57"/>
    <w:rsid w:val="00194C60"/>
    <w:rsid w:val="00194C91"/>
    <w:rsid w:val="001952A2"/>
    <w:rsid w:val="00195348"/>
    <w:rsid w:val="00195767"/>
    <w:rsid w:val="00195B6A"/>
    <w:rsid w:val="00195D3D"/>
    <w:rsid w:val="00196177"/>
    <w:rsid w:val="001962AD"/>
    <w:rsid w:val="001967ED"/>
    <w:rsid w:val="00196945"/>
    <w:rsid w:val="00196982"/>
    <w:rsid w:val="001974C0"/>
    <w:rsid w:val="00197D78"/>
    <w:rsid w:val="001A0529"/>
    <w:rsid w:val="001A0682"/>
    <w:rsid w:val="001A077F"/>
    <w:rsid w:val="001A07C6"/>
    <w:rsid w:val="001A0A50"/>
    <w:rsid w:val="001A0AA3"/>
    <w:rsid w:val="001A12D9"/>
    <w:rsid w:val="001A1506"/>
    <w:rsid w:val="001A185E"/>
    <w:rsid w:val="001A1C38"/>
    <w:rsid w:val="001A2565"/>
    <w:rsid w:val="001A293E"/>
    <w:rsid w:val="001A2B5C"/>
    <w:rsid w:val="001A329B"/>
    <w:rsid w:val="001A357D"/>
    <w:rsid w:val="001A3620"/>
    <w:rsid w:val="001A4E26"/>
    <w:rsid w:val="001A54B9"/>
    <w:rsid w:val="001A5E3D"/>
    <w:rsid w:val="001A6046"/>
    <w:rsid w:val="001A616D"/>
    <w:rsid w:val="001A6891"/>
    <w:rsid w:val="001A716A"/>
    <w:rsid w:val="001A71D8"/>
    <w:rsid w:val="001B0380"/>
    <w:rsid w:val="001B0D52"/>
    <w:rsid w:val="001B0DEE"/>
    <w:rsid w:val="001B0F97"/>
    <w:rsid w:val="001B0FBE"/>
    <w:rsid w:val="001B1EF0"/>
    <w:rsid w:val="001B29D5"/>
    <w:rsid w:val="001B2B3D"/>
    <w:rsid w:val="001B3A81"/>
    <w:rsid w:val="001B3EAD"/>
    <w:rsid w:val="001B4076"/>
    <w:rsid w:val="001B4B05"/>
    <w:rsid w:val="001B4EEE"/>
    <w:rsid w:val="001B4FEA"/>
    <w:rsid w:val="001B507A"/>
    <w:rsid w:val="001B527F"/>
    <w:rsid w:val="001B59B9"/>
    <w:rsid w:val="001B59DB"/>
    <w:rsid w:val="001B5A0F"/>
    <w:rsid w:val="001B5B87"/>
    <w:rsid w:val="001B6619"/>
    <w:rsid w:val="001B661B"/>
    <w:rsid w:val="001B6AB4"/>
    <w:rsid w:val="001B7137"/>
    <w:rsid w:val="001B732E"/>
    <w:rsid w:val="001B7C05"/>
    <w:rsid w:val="001C0863"/>
    <w:rsid w:val="001C0A91"/>
    <w:rsid w:val="001C0CC9"/>
    <w:rsid w:val="001C0D9D"/>
    <w:rsid w:val="001C1046"/>
    <w:rsid w:val="001C202D"/>
    <w:rsid w:val="001C2456"/>
    <w:rsid w:val="001C262C"/>
    <w:rsid w:val="001C2E94"/>
    <w:rsid w:val="001C3B58"/>
    <w:rsid w:val="001C4186"/>
    <w:rsid w:val="001C41DC"/>
    <w:rsid w:val="001C453D"/>
    <w:rsid w:val="001C45A5"/>
    <w:rsid w:val="001C4A4A"/>
    <w:rsid w:val="001C4A4F"/>
    <w:rsid w:val="001C4E5C"/>
    <w:rsid w:val="001C52A7"/>
    <w:rsid w:val="001C540D"/>
    <w:rsid w:val="001C57E5"/>
    <w:rsid w:val="001C606E"/>
    <w:rsid w:val="001C62DE"/>
    <w:rsid w:val="001C6694"/>
    <w:rsid w:val="001C6717"/>
    <w:rsid w:val="001C7696"/>
    <w:rsid w:val="001C792B"/>
    <w:rsid w:val="001C7C4D"/>
    <w:rsid w:val="001D034E"/>
    <w:rsid w:val="001D07EB"/>
    <w:rsid w:val="001D0993"/>
    <w:rsid w:val="001D0D66"/>
    <w:rsid w:val="001D105F"/>
    <w:rsid w:val="001D134B"/>
    <w:rsid w:val="001D1851"/>
    <w:rsid w:val="001D192A"/>
    <w:rsid w:val="001D1DFC"/>
    <w:rsid w:val="001D260F"/>
    <w:rsid w:val="001D290B"/>
    <w:rsid w:val="001D3452"/>
    <w:rsid w:val="001D4534"/>
    <w:rsid w:val="001D547F"/>
    <w:rsid w:val="001D57CE"/>
    <w:rsid w:val="001D6025"/>
    <w:rsid w:val="001D6309"/>
    <w:rsid w:val="001D6E8C"/>
    <w:rsid w:val="001D6F15"/>
    <w:rsid w:val="001D711C"/>
    <w:rsid w:val="001D7171"/>
    <w:rsid w:val="001D727A"/>
    <w:rsid w:val="001D7360"/>
    <w:rsid w:val="001D7389"/>
    <w:rsid w:val="001D7752"/>
    <w:rsid w:val="001D7C4F"/>
    <w:rsid w:val="001E0E8F"/>
    <w:rsid w:val="001E1C80"/>
    <w:rsid w:val="001E1CA4"/>
    <w:rsid w:val="001E27AC"/>
    <w:rsid w:val="001E3016"/>
    <w:rsid w:val="001E3698"/>
    <w:rsid w:val="001E377C"/>
    <w:rsid w:val="001E3A92"/>
    <w:rsid w:val="001E5024"/>
    <w:rsid w:val="001E54C7"/>
    <w:rsid w:val="001E5567"/>
    <w:rsid w:val="001E62B1"/>
    <w:rsid w:val="001E78AB"/>
    <w:rsid w:val="001E79E5"/>
    <w:rsid w:val="001E7A08"/>
    <w:rsid w:val="001E7F82"/>
    <w:rsid w:val="001F00F6"/>
    <w:rsid w:val="001F02B2"/>
    <w:rsid w:val="001F0409"/>
    <w:rsid w:val="001F0642"/>
    <w:rsid w:val="001F0DAC"/>
    <w:rsid w:val="001F0FF2"/>
    <w:rsid w:val="001F103B"/>
    <w:rsid w:val="001F1923"/>
    <w:rsid w:val="001F2C53"/>
    <w:rsid w:val="001F2D41"/>
    <w:rsid w:val="001F2F67"/>
    <w:rsid w:val="001F3088"/>
    <w:rsid w:val="001F369B"/>
    <w:rsid w:val="001F3B90"/>
    <w:rsid w:val="001F3D14"/>
    <w:rsid w:val="001F45C9"/>
    <w:rsid w:val="001F4CF6"/>
    <w:rsid w:val="001F55B3"/>
    <w:rsid w:val="001F56F9"/>
    <w:rsid w:val="001F5BD3"/>
    <w:rsid w:val="001F5E26"/>
    <w:rsid w:val="001F608D"/>
    <w:rsid w:val="001F6B11"/>
    <w:rsid w:val="001F711A"/>
    <w:rsid w:val="001F72FD"/>
    <w:rsid w:val="00200016"/>
    <w:rsid w:val="002001C9"/>
    <w:rsid w:val="002001D6"/>
    <w:rsid w:val="0020129A"/>
    <w:rsid w:val="002024B3"/>
    <w:rsid w:val="00202E19"/>
    <w:rsid w:val="0020306C"/>
    <w:rsid w:val="0020348D"/>
    <w:rsid w:val="00203910"/>
    <w:rsid w:val="002039A7"/>
    <w:rsid w:val="00204341"/>
    <w:rsid w:val="00204714"/>
    <w:rsid w:val="00204C53"/>
    <w:rsid w:val="00204CBA"/>
    <w:rsid w:val="00204E35"/>
    <w:rsid w:val="002059A0"/>
    <w:rsid w:val="00205C72"/>
    <w:rsid w:val="00205CAD"/>
    <w:rsid w:val="0020623C"/>
    <w:rsid w:val="0020646A"/>
    <w:rsid w:val="00207843"/>
    <w:rsid w:val="00210507"/>
    <w:rsid w:val="00211059"/>
    <w:rsid w:val="0021123F"/>
    <w:rsid w:val="00211B01"/>
    <w:rsid w:val="00212611"/>
    <w:rsid w:val="00212D09"/>
    <w:rsid w:val="00214093"/>
    <w:rsid w:val="0021423B"/>
    <w:rsid w:val="00214ADA"/>
    <w:rsid w:val="00215767"/>
    <w:rsid w:val="00215B3B"/>
    <w:rsid w:val="002160C5"/>
    <w:rsid w:val="0021660A"/>
    <w:rsid w:val="0021672E"/>
    <w:rsid w:val="002168C3"/>
    <w:rsid w:val="002171BC"/>
    <w:rsid w:val="00217252"/>
    <w:rsid w:val="00217ED8"/>
    <w:rsid w:val="00220459"/>
    <w:rsid w:val="0022095C"/>
    <w:rsid w:val="00220D9C"/>
    <w:rsid w:val="0022213D"/>
    <w:rsid w:val="002231C3"/>
    <w:rsid w:val="00223701"/>
    <w:rsid w:val="00223723"/>
    <w:rsid w:val="00223C1A"/>
    <w:rsid w:val="00224495"/>
    <w:rsid w:val="00224AC7"/>
    <w:rsid w:val="002250B5"/>
    <w:rsid w:val="00225670"/>
    <w:rsid w:val="00225D3D"/>
    <w:rsid w:val="00225E25"/>
    <w:rsid w:val="002273FB"/>
    <w:rsid w:val="00227669"/>
    <w:rsid w:val="002277F3"/>
    <w:rsid w:val="00230154"/>
    <w:rsid w:val="00232712"/>
    <w:rsid w:val="00232B4E"/>
    <w:rsid w:val="00232D6F"/>
    <w:rsid w:val="00232FA3"/>
    <w:rsid w:val="0023337F"/>
    <w:rsid w:val="002336AC"/>
    <w:rsid w:val="00233812"/>
    <w:rsid w:val="002340CC"/>
    <w:rsid w:val="00234B4E"/>
    <w:rsid w:val="00235C53"/>
    <w:rsid w:val="00236623"/>
    <w:rsid w:val="00236728"/>
    <w:rsid w:val="0023702F"/>
    <w:rsid w:val="002370BF"/>
    <w:rsid w:val="00237389"/>
    <w:rsid w:val="002378AA"/>
    <w:rsid w:val="00237CDF"/>
    <w:rsid w:val="002403F2"/>
    <w:rsid w:val="00240DE8"/>
    <w:rsid w:val="00241489"/>
    <w:rsid w:val="00241646"/>
    <w:rsid w:val="0024169E"/>
    <w:rsid w:val="00241A62"/>
    <w:rsid w:val="00242859"/>
    <w:rsid w:val="0024286F"/>
    <w:rsid w:val="00242D3A"/>
    <w:rsid w:val="00243191"/>
    <w:rsid w:val="00243570"/>
    <w:rsid w:val="00243B60"/>
    <w:rsid w:val="00243DE5"/>
    <w:rsid w:val="0024482E"/>
    <w:rsid w:val="00245078"/>
    <w:rsid w:val="0024529F"/>
    <w:rsid w:val="00245398"/>
    <w:rsid w:val="00245715"/>
    <w:rsid w:val="0024572D"/>
    <w:rsid w:val="00246707"/>
    <w:rsid w:val="002468C6"/>
    <w:rsid w:val="00246A68"/>
    <w:rsid w:val="00246C86"/>
    <w:rsid w:val="00246DD6"/>
    <w:rsid w:val="00247155"/>
    <w:rsid w:val="00247203"/>
    <w:rsid w:val="0024747B"/>
    <w:rsid w:val="00250139"/>
    <w:rsid w:val="002511E4"/>
    <w:rsid w:val="00251990"/>
    <w:rsid w:val="00251C1A"/>
    <w:rsid w:val="00252B31"/>
    <w:rsid w:val="00252B5B"/>
    <w:rsid w:val="00253AD5"/>
    <w:rsid w:val="002540CD"/>
    <w:rsid w:val="00254480"/>
    <w:rsid w:val="002544B9"/>
    <w:rsid w:val="0025537F"/>
    <w:rsid w:val="002556B7"/>
    <w:rsid w:val="00255C42"/>
    <w:rsid w:val="002562EB"/>
    <w:rsid w:val="002566DA"/>
    <w:rsid w:val="002573B2"/>
    <w:rsid w:val="002577C5"/>
    <w:rsid w:val="00257A7D"/>
    <w:rsid w:val="00257D1D"/>
    <w:rsid w:val="0026013C"/>
    <w:rsid w:val="0026021D"/>
    <w:rsid w:val="002602DD"/>
    <w:rsid w:val="00260F0C"/>
    <w:rsid w:val="00261299"/>
    <w:rsid w:val="00261A74"/>
    <w:rsid w:val="00261C70"/>
    <w:rsid w:val="00261ED9"/>
    <w:rsid w:val="00262D35"/>
    <w:rsid w:val="00262D4F"/>
    <w:rsid w:val="00263B99"/>
    <w:rsid w:val="00264039"/>
    <w:rsid w:val="0026410C"/>
    <w:rsid w:val="0026451E"/>
    <w:rsid w:val="00264F77"/>
    <w:rsid w:val="0026503D"/>
    <w:rsid w:val="002653E1"/>
    <w:rsid w:val="00265D04"/>
    <w:rsid w:val="00265D69"/>
    <w:rsid w:val="00266231"/>
    <w:rsid w:val="002666B5"/>
    <w:rsid w:val="00267657"/>
    <w:rsid w:val="0026781F"/>
    <w:rsid w:val="00267B4F"/>
    <w:rsid w:val="00267FB4"/>
    <w:rsid w:val="0027027B"/>
    <w:rsid w:val="002709EA"/>
    <w:rsid w:val="00270B4E"/>
    <w:rsid w:val="00270E39"/>
    <w:rsid w:val="00272881"/>
    <w:rsid w:val="00272EA7"/>
    <w:rsid w:val="00272F7E"/>
    <w:rsid w:val="002731AE"/>
    <w:rsid w:val="00273357"/>
    <w:rsid w:val="002739F0"/>
    <w:rsid w:val="00273D4A"/>
    <w:rsid w:val="00274434"/>
    <w:rsid w:val="00274782"/>
    <w:rsid w:val="00274ACE"/>
    <w:rsid w:val="002757B9"/>
    <w:rsid w:val="002762C7"/>
    <w:rsid w:val="00276C67"/>
    <w:rsid w:val="0028011C"/>
    <w:rsid w:val="002804E0"/>
    <w:rsid w:val="00280C4A"/>
    <w:rsid w:val="00280F2B"/>
    <w:rsid w:val="00281771"/>
    <w:rsid w:val="00282048"/>
    <w:rsid w:val="00282122"/>
    <w:rsid w:val="00282309"/>
    <w:rsid w:val="00283023"/>
    <w:rsid w:val="00283679"/>
    <w:rsid w:val="002836CB"/>
    <w:rsid w:val="00283D69"/>
    <w:rsid w:val="00283F9F"/>
    <w:rsid w:val="00284238"/>
    <w:rsid w:val="00285238"/>
    <w:rsid w:val="0028543D"/>
    <w:rsid w:val="00285636"/>
    <w:rsid w:val="00285E60"/>
    <w:rsid w:val="00286377"/>
    <w:rsid w:val="0028682A"/>
    <w:rsid w:val="0028683F"/>
    <w:rsid w:val="00286975"/>
    <w:rsid w:val="00286C01"/>
    <w:rsid w:val="00286E1D"/>
    <w:rsid w:val="002876E5"/>
    <w:rsid w:val="00287AAF"/>
    <w:rsid w:val="00287F24"/>
    <w:rsid w:val="00290564"/>
    <w:rsid w:val="002908EC"/>
    <w:rsid w:val="0029092A"/>
    <w:rsid w:val="00290A1C"/>
    <w:rsid w:val="00290AF0"/>
    <w:rsid w:val="00290CC0"/>
    <w:rsid w:val="002910FB"/>
    <w:rsid w:val="002918AF"/>
    <w:rsid w:val="00291A33"/>
    <w:rsid w:val="00291CEF"/>
    <w:rsid w:val="0029388F"/>
    <w:rsid w:val="002938D1"/>
    <w:rsid w:val="00293C0D"/>
    <w:rsid w:val="00293FE9"/>
    <w:rsid w:val="002944D9"/>
    <w:rsid w:val="00294708"/>
    <w:rsid w:val="00294856"/>
    <w:rsid w:val="002949F0"/>
    <w:rsid w:val="00294D56"/>
    <w:rsid w:val="00295685"/>
    <w:rsid w:val="00295DD0"/>
    <w:rsid w:val="00295F40"/>
    <w:rsid w:val="00296D1C"/>
    <w:rsid w:val="00297430"/>
    <w:rsid w:val="00297566"/>
    <w:rsid w:val="002975AA"/>
    <w:rsid w:val="002977EC"/>
    <w:rsid w:val="00297F71"/>
    <w:rsid w:val="002A0A69"/>
    <w:rsid w:val="002A0ADD"/>
    <w:rsid w:val="002A0C41"/>
    <w:rsid w:val="002A1278"/>
    <w:rsid w:val="002A1297"/>
    <w:rsid w:val="002A17EB"/>
    <w:rsid w:val="002A1F91"/>
    <w:rsid w:val="002A261F"/>
    <w:rsid w:val="002A2809"/>
    <w:rsid w:val="002A2899"/>
    <w:rsid w:val="002A2B48"/>
    <w:rsid w:val="002A2B91"/>
    <w:rsid w:val="002A2DF9"/>
    <w:rsid w:val="002A33F5"/>
    <w:rsid w:val="002A46CD"/>
    <w:rsid w:val="002A4B7F"/>
    <w:rsid w:val="002A4C11"/>
    <w:rsid w:val="002A5587"/>
    <w:rsid w:val="002A56AA"/>
    <w:rsid w:val="002A576F"/>
    <w:rsid w:val="002A5C6F"/>
    <w:rsid w:val="002A5D76"/>
    <w:rsid w:val="002A60F5"/>
    <w:rsid w:val="002A66AD"/>
    <w:rsid w:val="002A6D12"/>
    <w:rsid w:val="002A6EDE"/>
    <w:rsid w:val="002A7144"/>
    <w:rsid w:val="002A77DA"/>
    <w:rsid w:val="002A7C96"/>
    <w:rsid w:val="002B05F0"/>
    <w:rsid w:val="002B0FD8"/>
    <w:rsid w:val="002B1316"/>
    <w:rsid w:val="002B1582"/>
    <w:rsid w:val="002B195A"/>
    <w:rsid w:val="002B1ACC"/>
    <w:rsid w:val="002B1E22"/>
    <w:rsid w:val="002B2203"/>
    <w:rsid w:val="002B29B5"/>
    <w:rsid w:val="002B2A51"/>
    <w:rsid w:val="002B3174"/>
    <w:rsid w:val="002B35C7"/>
    <w:rsid w:val="002B5095"/>
    <w:rsid w:val="002B550E"/>
    <w:rsid w:val="002B69B6"/>
    <w:rsid w:val="002B6A62"/>
    <w:rsid w:val="002B7290"/>
    <w:rsid w:val="002C037F"/>
    <w:rsid w:val="002C0527"/>
    <w:rsid w:val="002C064E"/>
    <w:rsid w:val="002C0E40"/>
    <w:rsid w:val="002C1174"/>
    <w:rsid w:val="002C152D"/>
    <w:rsid w:val="002C174C"/>
    <w:rsid w:val="002C18BA"/>
    <w:rsid w:val="002C23EF"/>
    <w:rsid w:val="002C2646"/>
    <w:rsid w:val="002C2B06"/>
    <w:rsid w:val="002C2BFD"/>
    <w:rsid w:val="002C323C"/>
    <w:rsid w:val="002C3394"/>
    <w:rsid w:val="002C3557"/>
    <w:rsid w:val="002C49E8"/>
    <w:rsid w:val="002C4C53"/>
    <w:rsid w:val="002C4E1C"/>
    <w:rsid w:val="002C4ED8"/>
    <w:rsid w:val="002C5303"/>
    <w:rsid w:val="002C6CD0"/>
    <w:rsid w:val="002C7038"/>
    <w:rsid w:val="002C72DF"/>
    <w:rsid w:val="002C7927"/>
    <w:rsid w:val="002D0602"/>
    <w:rsid w:val="002D0834"/>
    <w:rsid w:val="002D0D3D"/>
    <w:rsid w:val="002D10BF"/>
    <w:rsid w:val="002D14FD"/>
    <w:rsid w:val="002D1511"/>
    <w:rsid w:val="002D2454"/>
    <w:rsid w:val="002D2578"/>
    <w:rsid w:val="002D2CB8"/>
    <w:rsid w:val="002D35B2"/>
    <w:rsid w:val="002D3E86"/>
    <w:rsid w:val="002D43D4"/>
    <w:rsid w:val="002D4440"/>
    <w:rsid w:val="002D459E"/>
    <w:rsid w:val="002D51A8"/>
    <w:rsid w:val="002D5E2A"/>
    <w:rsid w:val="002D5E99"/>
    <w:rsid w:val="002D5FDD"/>
    <w:rsid w:val="002D66D4"/>
    <w:rsid w:val="002D6FD6"/>
    <w:rsid w:val="002D7919"/>
    <w:rsid w:val="002E037E"/>
    <w:rsid w:val="002E06BE"/>
    <w:rsid w:val="002E07E1"/>
    <w:rsid w:val="002E0A7D"/>
    <w:rsid w:val="002E0D1C"/>
    <w:rsid w:val="002E10D3"/>
    <w:rsid w:val="002E1A74"/>
    <w:rsid w:val="002E20C1"/>
    <w:rsid w:val="002E2377"/>
    <w:rsid w:val="002E2666"/>
    <w:rsid w:val="002E29A1"/>
    <w:rsid w:val="002E2EA8"/>
    <w:rsid w:val="002E31E0"/>
    <w:rsid w:val="002E3532"/>
    <w:rsid w:val="002E367A"/>
    <w:rsid w:val="002E4189"/>
    <w:rsid w:val="002E46E3"/>
    <w:rsid w:val="002E4C2F"/>
    <w:rsid w:val="002E4EDE"/>
    <w:rsid w:val="002E4EE8"/>
    <w:rsid w:val="002E4F09"/>
    <w:rsid w:val="002E518D"/>
    <w:rsid w:val="002E644D"/>
    <w:rsid w:val="002E65F6"/>
    <w:rsid w:val="002E686B"/>
    <w:rsid w:val="002E6AC4"/>
    <w:rsid w:val="002E7D54"/>
    <w:rsid w:val="002E7FDD"/>
    <w:rsid w:val="002F098A"/>
    <w:rsid w:val="002F0C68"/>
    <w:rsid w:val="002F0E32"/>
    <w:rsid w:val="002F1598"/>
    <w:rsid w:val="002F1D10"/>
    <w:rsid w:val="002F1F77"/>
    <w:rsid w:val="002F2445"/>
    <w:rsid w:val="002F24B1"/>
    <w:rsid w:val="002F2A6F"/>
    <w:rsid w:val="002F2E68"/>
    <w:rsid w:val="002F3B2A"/>
    <w:rsid w:val="002F5F17"/>
    <w:rsid w:val="002F5F9A"/>
    <w:rsid w:val="002F6391"/>
    <w:rsid w:val="002F6397"/>
    <w:rsid w:val="002F66CD"/>
    <w:rsid w:val="002F6954"/>
    <w:rsid w:val="002F6C01"/>
    <w:rsid w:val="002F6F65"/>
    <w:rsid w:val="002F775B"/>
    <w:rsid w:val="002F78CA"/>
    <w:rsid w:val="002F7A59"/>
    <w:rsid w:val="002F7F38"/>
    <w:rsid w:val="00300521"/>
    <w:rsid w:val="00300C39"/>
    <w:rsid w:val="00301CBE"/>
    <w:rsid w:val="003022A2"/>
    <w:rsid w:val="00302607"/>
    <w:rsid w:val="00302672"/>
    <w:rsid w:val="00302AE0"/>
    <w:rsid w:val="003030A0"/>
    <w:rsid w:val="003032DF"/>
    <w:rsid w:val="00303817"/>
    <w:rsid w:val="00303908"/>
    <w:rsid w:val="00303EBB"/>
    <w:rsid w:val="00304446"/>
    <w:rsid w:val="00304617"/>
    <w:rsid w:val="00304931"/>
    <w:rsid w:val="0030507D"/>
    <w:rsid w:val="0030508C"/>
    <w:rsid w:val="00305255"/>
    <w:rsid w:val="0030553E"/>
    <w:rsid w:val="00306A35"/>
    <w:rsid w:val="00307149"/>
    <w:rsid w:val="00307213"/>
    <w:rsid w:val="00307692"/>
    <w:rsid w:val="00307AA3"/>
    <w:rsid w:val="00307B7C"/>
    <w:rsid w:val="00307C72"/>
    <w:rsid w:val="0031046B"/>
    <w:rsid w:val="003104A2"/>
    <w:rsid w:val="00310A77"/>
    <w:rsid w:val="00310F72"/>
    <w:rsid w:val="00311555"/>
    <w:rsid w:val="00311AB2"/>
    <w:rsid w:val="00312DCE"/>
    <w:rsid w:val="00312E2A"/>
    <w:rsid w:val="00313331"/>
    <w:rsid w:val="003139F5"/>
    <w:rsid w:val="00314069"/>
    <w:rsid w:val="00314081"/>
    <w:rsid w:val="003148C2"/>
    <w:rsid w:val="0031499C"/>
    <w:rsid w:val="00316948"/>
    <w:rsid w:val="003170DD"/>
    <w:rsid w:val="00317DE9"/>
    <w:rsid w:val="0032027C"/>
    <w:rsid w:val="0032030E"/>
    <w:rsid w:val="00320704"/>
    <w:rsid w:val="003208CC"/>
    <w:rsid w:val="00320C6E"/>
    <w:rsid w:val="00320C8B"/>
    <w:rsid w:val="00320DCC"/>
    <w:rsid w:val="00321409"/>
    <w:rsid w:val="00321419"/>
    <w:rsid w:val="00321D92"/>
    <w:rsid w:val="00322014"/>
    <w:rsid w:val="0032215E"/>
    <w:rsid w:val="00322497"/>
    <w:rsid w:val="003225C6"/>
    <w:rsid w:val="0032272D"/>
    <w:rsid w:val="00322C9F"/>
    <w:rsid w:val="0032321C"/>
    <w:rsid w:val="00323DC2"/>
    <w:rsid w:val="00323E55"/>
    <w:rsid w:val="0032404B"/>
    <w:rsid w:val="00324438"/>
    <w:rsid w:val="00324D36"/>
    <w:rsid w:val="00324D58"/>
    <w:rsid w:val="00325048"/>
    <w:rsid w:val="0032586B"/>
    <w:rsid w:val="00325BDC"/>
    <w:rsid w:val="00325EE7"/>
    <w:rsid w:val="00326A2E"/>
    <w:rsid w:val="003270C8"/>
    <w:rsid w:val="003271A8"/>
    <w:rsid w:val="003272B0"/>
    <w:rsid w:val="003274F6"/>
    <w:rsid w:val="0032771A"/>
    <w:rsid w:val="00327962"/>
    <w:rsid w:val="00330989"/>
    <w:rsid w:val="00330DAB"/>
    <w:rsid w:val="00331C4E"/>
    <w:rsid w:val="003321CC"/>
    <w:rsid w:val="003322C9"/>
    <w:rsid w:val="00332738"/>
    <w:rsid w:val="003329E2"/>
    <w:rsid w:val="0033301C"/>
    <w:rsid w:val="00333425"/>
    <w:rsid w:val="003334C9"/>
    <w:rsid w:val="00333B71"/>
    <w:rsid w:val="0033424C"/>
    <w:rsid w:val="00334FBB"/>
    <w:rsid w:val="00335428"/>
    <w:rsid w:val="003354B0"/>
    <w:rsid w:val="00335A80"/>
    <w:rsid w:val="00335BF3"/>
    <w:rsid w:val="00335ECC"/>
    <w:rsid w:val="00336339"/>
    <w:rsid w:val="00336487"/>
    <w:rsid w:val="00336504"/>
    <w:rsid w:val="0033734B"/>
    <w:rsid w:val="0033783A"/>
    <w:rsid w:val="00337FB4"/>
    <w:rsid w:val="003403C2"/>
    <w:rsid w:val="0034052C"/>
    <w:rsid w:val="0034085F"/>
    <w:rsid w:val="00340D6D"/>
    <w:rsid w:val="00340F8C"/>
    <w:rsid w:val="00341A7F"/>
    <w:rsid w:val="00341D6C"/>
    <w:rsid w:val="0034205E"/>
    <w:rsid w:val="00342931"/>
    <w:rsid w:val="00342FD9"/>
    <w:rsid w:val="00343185"/>
    <w:rsid w:val="003437EA"/>
    <w:rsid w:val="0034381D"/>
    <w:rsid w:val="0034431A"/>
    <w:rsid w:val="003447EA"/>
    <w:rsid w:val="00345CA0"/>
    <w:rsid w:val="00345D1F"/>
    <w:rsid w:val="00345F35"/>
    <w:rsid w:val="00345FD7"/>
    <w:rsid w:val="003464AF"/>
    <w:rsid w:val="00346910"/>
    <w:rsid w:val="00346D45"/>
    <w:rsid w:val="00346D81"/>
    <w:rsid w:val="00346DF4"/>
    <w:rsid w:val="00347419"/>
    <w:rsid w:val="0035062A"/>
    <w:rsid w:val="00350982"/>
    <w:rsid w:val="00350B24"/>
    <w:rsid w:val="003514FE"/>
    <w:rsid w:val="00351AD6"/>
    <w:rsid w:val="00351DCD"/>
    <w:rsid w:val="003520B1"/>
    <w:rsid w:val="00352AEA"/>
    <w:rsid w:val="00352DDA"/>
    <w:rsid w:val="00353012"/>
    <w:rsid w:val="0035307F"/>
    <w:rsid w:val="00353284"/>
    <w:rsid w:val="00353B20"/>
    <w:rsid w:val="00353EC4"/>
    <w:rsid w:val="0035400D"/>
    <w:rsid w:val="00354364"/>
    <w:rsid w:val="0035437A"/>
    <w:rsid w:val="00354696"/>
    <w:rsid w:val="00354AF4"/>
    <w:rsid w:val="00354C75"/>
    <w:rsid w:val="0035549A"/>
    <w:rsid w:val="003554DA"/>
    <w:rsid w:val="00357103"/>
    <w:rsid w:val="00357277"/>
    <w:rsid w:val="00360121"/>
    <w:rsid w:val="0036152C"/>
    <w:rsid w:val="00361AFE"/>
    <w:rsid w:val="003624FB"/>
    <w:rsid w:val="0036283D"/>
    <w:rsid w:val="00362F0C"/>
    <w:rsid w:val="00363D8D"/>
    <w:rsid w:val="0036407D"/>
    <w:rsid w:val="00364314"/>
    <w:rsid w:val="00364730"/>
    <w:rsid w:val="00364AD9"/>
    <w:rsid w:val="00364B41"/>
    <w:rsid w:val="00365267"/>
    <w:rsid w:val="003655FF"/>
    <w:rsid w:val="00365792"/>
    <w:rsid w:val="00366E55"/>
    <w:rsid w:val="0037014B"/>
    <w:rsid w:val="003701E2"/>
    <w:rsid w:val="003705AF"/>
    <w:rsid w:val="003706CE"/>
    <w:rsid w:val="00370A5F"/>
    <w:rsid w:val="00372259"/>
    <w:rsid w:val="003726B3"/>
    <w:rsid w:val="00372CA5"/>
    <w:rsid w:val="00372D82"/>
    <w:rsid w:val="0037416E"/>
    <w:rsid w:val="0037452D"/>
    <w:rsid w:val="00374710"/>
    <w:rsid w:val="00374E7B"/>
    <w:rsid w:val="003759AF"/>
    <w:rsid w:val="00375A8B"/>
    <w:rsid w:val="003760D8"/>
    <w:rsid w:val="003772C3"/>
    <w:rsid w:val="003778D5"/>
    <w:rsid w:val="00377A02"/>
    <w:rsid w:val="00377A26"/>
    <w:rsid w:val="00380167"/>
    <w:rsid w:val="00380424"/>
    <w:rsid w:val="003805C5"/>
    <w:rsid w:val="00380DE3"/>
    <w:rsid w:val="00380FE7"/>
    <w:rsid w:val="003817E1"/>
    <w:rsid w:val="003818AD"/>
    <w:rsid w:val="0038246B"/>
    <w:rsid w:val="00382A92"/>
    <w:rsid w:val="00382E49"/>
    <w:rsid w:val="00382EA7"/>
    <w:rsid w:val="00382F7F"/>
    <w:rsid w:val="00383FEA"/>
    <w:rsid w:val="003841D4"/>
    <w:rsid w:val="0038485E"/>
    <w:rsid w:val="0038528A"/>
    <w:rsid w:val="00386025"/>
    <w:rsid w:val="00386237"/>
    <w:rsid w:val="00386760"/>
    <w:rsid w:val="00386DB8"/>
    <w:rsid w:val="003874A3"/>
    <w:rsid w:val="00387547"/>
    <w:rsid w:val="00387AA3"/>
    <w:rsid w:val="0039008E"/>
    <w:rsid w:val="003911B2"/>
    <w:rsid w:val="0039196E"/>
    <w:rsid w:val="00391D2B"/>
    <w:rsid w:val="00391E9F"/>
    <w:rsid w:val="00392105"/>
    <w:rsid w:val="003921A7"/>
    <w:rsid w:val="00392C9F"/>
    <w:rsid w:val="003934D6"/>
    <w:rsid w:val="003949BC"/>
    <w:rsid w:val="00394FED"/>
    <w:rsid w:val="00395089"/>
    <w:rsid w:val="0039540B"/>
    <w:rsid w:val="00396327"/>
    <w:rsid w:val="00396853"/>
    <w:rsid w:val="00396A7D"/>
    <w:rsid w:val="00397952"/>
    <w:rsid w:val="00397A10"/>
    <w:rsid w:val="00397B84"/>
    <w:rsid w:val="003A070D"/>
    <w:rsid w:val="003A0B74"/>
    <w:rsid w:val="003A1389"/>
    <w:rsid w:val="003A1FC4"/>
    <w:rsid w:val="003A2121"/>
    <w:rsid w:val="003A2208"/>
    <w:rsid w:val="003A249A"/>
    <w:rsid w:val="003A25F4"/>
    <w:rsid w:val="003A3255"/>
    <w:rsid w:val="003A33A5"/>
    <w:rsid w:val="003A38F5"/>
    <w:rsid w:val="003A3BEA"/>
    <w:rsid w:val="003A3E0B"/>
    <w:rsid w:val="003A4439"/>
    <w:rsid w:val="003A464D"/>
    <w:rsid w:val="003A4DE6"/>
    <w:rsid w:val="003A4F99"/>
    <w:rsid w:val="003A5655"/>
    <w:rsid w:val="003A5B0E"/>
    <w:rsid w:val="003A5C5C"/>
    <w:rsid w:val="003A644D"/>
    <w:rsid w:val="003A68BB"/>
    <w:rsid w:val="003A6D9B"/>
    <w:rsid w:val="003A6DBE"/>
    <w:rsid w:val="003A7147"/>
    <w:rsid w:val="003A72E5"/>
    <w:rsid w:val="003A74AF"/>
    <w:rsid w:val="003A7B86"/>
    <w:rsid w:val="003B0651"/>
    <w:rsid w:val="003B08D8"/>
    <w:rsid w:val="003B0939"/>
    <w:rsid w:val="003B1076"/>
    <w:rsid w:val="003B1100"/>
    <w:rsid w:val="003B1742"/>
    <w:rsid w:val="003B1FC3"/>
    <w:rsid w:val="003B31C3"/>
    <w:rsid w:val="003B3259"/>
    <w:rsid w:val="003B3C94"/>
    <w:rsid w:val="003B40FC"/>
    <w:rsid w:val="003B4F9E"/>
    <w:rsid w:val="003B5003"/>
    <w:rsid w:val="003B5578"/>
    <w:rsid w:val="003B5C26"/>
    <w:rsid w:val="003B69E8"/>
    <w:rsid w:val="003B73DF"/>
    <w:rsid w:val="003B772C"/>
    <w:rsid w:val="003B7F0B"/>
    <w:rsid w:val="003C02E8"/>
    <w:rsid w:val="003C0472"/>
    <w:rsid w:val="003C0680"/>
    <w:rsid w:val="003C09D0"/>
    <w:rsid w:val="003C0AFE"/>
    <w:rsid w:val="003C1103"/>
    <w:rsid w:val="003C1146"/>
    <w:rsid w:val="003C170B"/>
    <w:rsid w:val="003C1F56"/>
    <w:rsid w:val="003C2AA1"/>
    <w:rsid w:val="003C307F"/>
    <w:rsid w:val="003C385D"/>
    <w:rsid w:val="003C482A"/>
    <w:rsid w:val="003C487C"/>
    <w:rsid w:val="003C48C6"/>
    <w:rsid w:val="003C4E34"/>
    <w:rsid w:val="003C5024"/>
    <w:rsid w:val="003C5554"/>
    <w:rsid w:val="003C58CE"/>
    <w:rsid w:val="003C5F91"/>
    <w:rsid w:val="003C684F"/>
    <w:rsid w:val="003C722E"/>
    <w:rsid w:val="003C77CB"/>
    <w:rsid w:val="003C7C3B"/>
    <w:rsid w:val="003D0074"/>
    <w:rsid w:val="003D0190"/>
    <w:rsid w:val="003D0260"/>
    <w:rsid w:val="003D04CD"/>
    <w:rsid w:val="003D11BB"/>
    <w:rsid w:val="003D1907"/>
    <w:rsid w:val="003D19F9"/>
    <w:rsid w:val="003D1A3C"/>
    <w:rsid w:val="003D1ECD"/>
    <w:rsid w:val="003D1F94"/>
    <w:rsid w:val="003D247E"/>
    <w:rsid w:val="003D25BC"/>
    <w:rsid w:val="003D2790"/>
    <w:rsid w:val="003D2B3D"/>
    <w:rsid w:val="003D337B"/>
    <w:rsid w:val="003D3EE5"/>
    <w:rsid w:val="003D44FD"/>
    <w:rsid w:val="003D49C8"/>
    <w:rsid w:val="003D4AFD"/>
    <w:rsid w:val="003D4E5F"/>
    <w:rsid w:val="003D50FE"/>
    <w:rsid w:val="003D548D"/>
    <w:rsid w:val="003D54E3"/>
    <w:rsid w:val="003D6762"/>
    <w:rsid w:val="003D68D6"/>
    <w:rsid w:val="003D6997"/>
    <w:rsid w:val="003D6BF7"/>
    <w:rsid w:val="003D6EA8"/>
    <w:rsid w:val="003D70F6"/>
    <w:rsid w:val="003D70FC"/>
    <w:rsid w:val="003D7714"/>
    <w:rsid w:val="003E0096"/>
    <w:rsid w:val="003E0262"/>
    <w:rsid w:val="003E02FA"/>
    <w:rsid w:val="003E1542"/>
    <w:rsid w:val="003E2A52"/>
    <w:rsid w:val="003E2E3F"/>
    <w:rsid w:val="003E2EE2"/>
    <w:rsid w:val="003E3A40"/>
    <w:rsid w:val="003E3B80"/>
    <w:rsid w:val="003E464F"/>
    <w:rsid w:val="003E466C"/>
    <w:rsid w:val="003E51A2"/>
    <w:rsid w:val="003E53A1"/>
    <w:rsid w:val="003E5C75"/>
    <w:rsid w:val="003E60B4"/>
    <w:rsid w:val="003E6691"/>
    <w:rsid w:val="003E678C"/>
    <w:rsid w:val="003E6CE4"/>
    <w:rsid w:val="003E71A5"/>
    <w:rsid w:val="003E75F9"/>
    <w:rsid w:val="003E76F6"/>
    <w:rsid w:val="003E7967"/>
    <w:rsid w:val="003E7B6E"/>
    <w:rsid w:val="003E7E67"/>
    <w:rsid w:val="003F013A"/>
    <w:rsid w:val="003F0451"/>
    <w:rsid w:val="003F0C3D"/>
    <w:rsid w:val="003F0F97"/>
    <w:rsid w:val="003F1113"/>
    <w:rsid w:val="003F1CB7"/>
    <w:rsid w:val="003F1EB4"/>
    <w:rsid w:val="003F230D"/>
    <w:rsid w:val="003F2622"/>
    <w:rsid w:val="003F2A55"/>
    <w:rsid w:val="003F348D"/>
    <w:rsid w:val="003F3559"/>
    <w:rsid w:val="003F36E3"/>
    <w:rsid w:val="003F37AF"/>
    <w:rsid w:val="003F395F"/>
    <w:rsid w:val="003F3FDE"/>
    <w:rsid w:val="003F43C3"/>
    <w:rsid w:val="003F4510"/>
    <w:rsid w:val="003F4BD0"/>
    <w:rsid w:val="003F5678"/>
    <w:rsid w:val="003F5D46"/>
    <w:rsid w:val="003F618B"/>
    <w:rsid w:val="003F62BA"/>
    <w:rsid w:val="003F6909"/>
    <w:rsid w:val="003F6B23"/>
    <w:rsid w:val="003F6F7A"/>
    <w:rsid w:val="003F72EC"/>
    <w:rsid w:val="003F75A1"/>
    <w:rsid w:val="003F782C"/>
    <w:rsid w:val="003F7D62"/>
    <w:rsid w:val="003F7DF4"/>
    <w:rsid w:val="0040034C"/>
    <w:rsid w:val="00400BDE"/>
    <w:rsid w:val="00401167"/>
    <w:rsid w:val="0040120D"/>
    <w:rsid w:val="004017EF"/>
    <w:rsid w:val="00401C70"/>
    <w:rsid w:val="0040231D"/>
    <w:rsid w:val="0040258E"/>
    <w:rsid w:val="00402CDD"/>
    <w:rsid w:val="00402CFD"/>
    <w:rsid w:val="00402F75"/>
    <w:rsid w:val="004034A1"/>
    <w:rsid w:val="004034B5"/>
    <w:rsid w:val="0040391A"/>
    <w:rsid w:val="00403AC3"/>
    <w:rsid w:val="00403ED6"/>
    <w:rsid w:val="004046A7"/>
    <w:rsid w:val="00405258"/>
    <w:rsid w:val="004057E5"/>
    <w:rsid w:val="00405B4F"/>
    <w:rsid w:val="00405D66"/>
    <w:rsid w:val="00406002"/>
    <w:rsid w:val="004069C7"/>
    <w:rsid w:val="00406A7D"/>
    <w:rsid w:val="00406FA4"/>
    <w:rsid w:val="00407C75"/>
    <w:rsid w:val="004105EC"/>
    <w:rsid w:val="00410D68"/>
    <w:rsid w:val="0041190F"/>
    <w:rsid w:val="00411984"/>
    <w:rsid w:val="00411B6F"/>
    <w:rsid w:val="00411BD2"/>
    <w:rsid w:val="004121AE"/>
    <w:rsid w:val="00412250"/>
    <w:rsid w:val="0041274D"/>
    <w:rsid w:val="00412AB1"/>
    <w:rsid w:val="00413370"/>
    <w:rsid w:val="00413C98"/>
    <w:rsid w:val="004145D9"/>
    <w:rsid w:val="00414773"/>
    <w:rsid w:val="0041554C"/>
    <w:rsid w:val="0041579C"/>
    <w:rsid w:val="00415A0A"/>
    <w:rsid w:val="00415E81"/>
    <w:rsid w:val="00415ED3"/>
    <w:rsid w:val="004162CF"/>
    <w:rsid w:val="004165D7"/>
    <w:rsid w:val="00416E41"/>
    <w:rsid w:val="004171CA"/>
    <w:rsid w:val="0041789F"/>
    <w:rsid w:val="00417A3A"/>
    <w:rsid w:val="00417A84"/>
    <w:rsid w:val="00417F4B"/>
    <w:rsid w:val="00420889"/>
    <w:rsid w:val="00420B32"/>
    <w:rsid w:val="00420D71"/>
    <w:rsid w:val="0042214F"/>
    <w:rsid w:val="00423374"/>
    <w:rsid w:val="0042375B"/>
    <w:rsid w:val="004237A6"/>
    <w:rsid w:val="00423B1B"/>
    <w:rsid w:val="00425205"/>
    <w:rsid w:val="00425D66"/>
    <w:rsid w:val="00425FCC"/>
    <w:rsid w:val="00426338"/>
    <w:rsid w:val="004266BB"/>
    <w:rsid w:val="00427719"/>
    <w:rsid w:val="0042797D"/>
    <w:rsid w:val="00430043"/>
    <w:rsid w:val="00430218"/>
    <w:rsid w:val="00430D0A"/>
    <w:rsid w:val="0043137D"/>
    <w:rsid w:val="0043184F"/>
    <w:rsid w:val="00431988"/>
    <w:rsid w:val="00431DFF"/>
    <w:rsid w:val="00432240"/>
    <w:rsid w:val="00432C57"/>
    <w:rsid w:val="00432D2F"/>
    <w:rsid w:val="00432F0D"/>
    <w:rsid w:val="00433145"/>
    <w:rsid w:val="00433725"/>
    <w:rsid w:val="00433C41"/>
    <w:rsid w:val="00434423"/>
    <w:rsid w:val="00434927"/>
    <w:rsid w:val="00434E88"/>
    <w:rsid w:val="004353DC"/>
    <w:rsid w:val="00435FF8"/>
    <w:rsid w:val="0043656A"/>
    <w:rsid w:val="004365F1"/>
    <w:rsid w:val="0043673B"/>
    <w:rsid w:val="00436B57"/>
    <w:rsid w:val="004400FD"/>
    <w:rsid w:val="004407C8"/>
    <w:rsid w:val="00440F4C"/>
    <w:rsid w:val="00441086"/>
    <w:rsid w:val="0044176A"/>
    <w:rsid w:val="0044184E"/>
    <w:rsid w:val="0044195B"/>
    <w:rsid w:val="004421A5"/>
    <w:rsid w:val="00442378"/>
    <w:rsid w:val="004431F1"/>
    <w:rsid w:val="004437E1"/>
    <w:rsid w:val="00443D2B"/>
    <w:rsid w:val="00443E66"/>
    <w:rsid w:val="004442C2"/>
    <w:rsid w:val="00444905"/>
    <w:rsid w:val="0044543D"/>
    <w:rsid w:val="00445A16"/>
    <w:rsid w:val="00445FCC"/>
    <w:rsid w:val="004460BF"/>
    <w:rsid w:val="004464EC"/>
    <w:rsid w:val="0044675E"/>
    <w:rsid w:val="00446FB8"/>
    <w:rsid w:val="0044715E"/>
    <w:rsid w:val="0044723E"/>
    <w:rsid w:val="004475A7"/>
    <w:rsid w:val="004477F9"/>
    <w:rsid w:val="0044787B"/>
    <w:rsid w:val="00447931"/>
    <w:rsid w:val="00447E7B"/>
    <w:rsid w:val="004506C8"/>
    <w:rsid w:val="00451399"/>
    <w:rsid w:val="004517CE"/>
    <w:rsid w:val="00451B05"/>
    <w:rsid w:val="00452435"/>
    <w:rsid w:val="00452840"/>
    <w:rsid w:val="00453956"/>
    <w:rsid w:val="00453980"/>
    <w:rsid w:val="00454B4F"/>
    <w:rsid w:val="00455009"/>
    <w:rsid w:val="00455191"/>
    <w:rsid w:val="00456350"/>
    <w:rsid w:val="00456C90"/>
    <w:rsid w:val="00456D79"/>
    <w:rsid w:val="004570BC"/>
    <w:rsid w:val="004570CC"/>
    <w:rsid w:val="00457B7A"/>
    <w:rsid w:val="00460056"/>
    <w:rsid w:val="00460834"/>
    <w:rsid w:val="00460BE6"/>
    <w:rsid w:val="00461564"/>
    <w:rsid w:val="004617DF"/>
    <w:rsid w:val="00463085"/>
    <w:rsid w:val="004635E0"/>
    <w:rsid w:val="00463617"/>
    <w:rsid w:val="00463841"/>
    <w:rsid w:val="00463A87"/>
    <w:rsid w:val="00464324"/>
    <w:rsid w:val="0046447D"/>
    <w:rsid w:val="004645C0"/>
    <w:rsid w:val="00464CC8"/>
    <w:rsid w:val="00464FCB"/>
    <w:rsid w:val="004653FA"/>
    <w:rsid w:val="0046546B"/>
    <w:rsid w:val="0046562F"/>
    <w:rsid w:val="00465812"/>
    <w:rsid w:val="00466221"/>
    <w:rsid w:val="00466F75"/>
    <w:rsid w:val="00467AE0"/>
    <w:rsid w:val="00467B11"/>
    <w:rsid w:val="00467DE8"/>
    <w:rsid w:val="00470561"/>
    <w:rsid w:val="00470639"/>
    <w:rsid w:val="00471030"/>
    <w:rsid w:val="00471A56"/>
    <w:rsid w:val="00472230"/>
    <w:rsid w:val="0047261C"/>
    <w:rsid w:val="00473A71"/>
    <w:rsid w:val="00473DD5"/>
    <w:rsid w:val="00473FCD"/>
    <w:rsid w:val="004740FF"/>
    <w:rsid w:val="00474511"/>
    <w:rsid w:val="00475001"/>
    <w:rsid w:val="00475D59"/>
    <w:rsid w:val="004763AF"/>
    <w:rsid w:val="004776BA"/>
    <w:rsid w:val="00477D5B"/>
    <w:rsid w:val="00477DF8"/>
    <w:rsid w:val="0048025F"/>
    <w:rsid w:val="004803A7"/>
    <w:rsid w:val="00481CF9"/>
    <w:rsid w:val="00481D8B"/>
    <w:rsid w:val="004820B9"/>
    <w:rsid w:val="004825F2"/>
    <w:rsid w:val="00483513"/>
    <w:rsid w:val="00483EC8"/>
    <w:rsid w:val="00483F99"/>
    <w:rsid w:val="004846A9"/>
    <w:rsid w:val="00484B8F"/>
    <w:rsid w:val="00485014"/>
    <w:rsid w:val="0048541D"/>
    <w:rsid w:val="0048554C"/>
    <w:rsid w:val="00485AFE"/>
    <w:rsid w:val="00487602"/>
    <w:rsid w:val="00487B59"/>
    <w:rsid w:val="0049104C"/>
    <w:rsid w:val="0049215E"/>
    <w:rsid w:val="004924D2"/>
    <w:rsid w:val="00492E39"/>
    <w:rsid w:val="0049347A"/>
    <w:rsid w:val="00493D9C"/>
    <w:rsid w:val="00493E62"/>
    <w:rsid w:val="00494AF8"/>
    <w:rsid w:val="00494C4A"/>
    <w:rsid w:val="00494D29"/>
    <w:rsid w:val="004951B9"/>
    <w:rsid w:val="0049531A"/>
    <w:rsid w:val="00495E9E"/>
    <w:rsid w:val="0049699E"/>
    <w:rsid w:val="00496AD2"/>
    <w:rsid w:val="0049731B"/>
    <w:rsid w:val="00497955"/>
    <w:rsid w:val="0049799C"/>
    <w:rsid w:val="00497F62"/>
    <w:rsid w:val="004A048B"/>
    <w:rsid w:val="004A0B4A"/>
    <w:rsid w:val="004A0FC0"/>
    <w:rsid w:val="004A1BE8"/>
    <w:rsid w:val="004A1C05"/>
    <w:rsid w:val="004A1C2E"/>
    <w:rsid w:val="004A1D95"/>
    <w:rsid w:val="004A235D"/>
    <w:rsid w:val="004A264A"/>
    <w:rsid w:val="004A28EA"/>
    <w:rsid w:val="004A28EF"/>
    <w:rsid w:val="004A2F29"/>
    <w:rsid w:val="004A36B9"/>
    <w:rsid w:val="004A3D40"/>
    <w:rsid w:val="004A40BB"/>
    <w:rsid w:val="004A4268"/>
    <w:rsid w:val="004A4805"/>
    <w:rsid w:val="004A4A73"/>
    <w:rsid w:val="004A4D6D"/>
    <w:rsid w:val="004A4EB5"/>
    <w:rsid w:val="004A5229"/>
    <w:rsid w:val="004A5234"/>
    <w:rsid w:val="004A54FF"/>
    <w:rsid w:val="004A5B55"/>
    <w:rsid w:val="004A5BDA"/>
    <w:rsid w:val="004A5D5E"/>
    <w:rsid w:val="004A613C"/>
    <w:rsid w:val="004A6479"/>
    <w:rsid w:val="004A661D"/>
    <w:rsid w:val="004A72E5"/>
    <w:rsid w:val="004A7DB1"/>
    <w:rsid w:val="004A7EBE"/>
    <w:rsid w:val="004B0732"/>
    <w:rsid w:val="004B07F3"/>
    <w:rsid w:val="004B0FFC"/>
    <w:rsid w:val="004B107C"/>
    <w:rsid w:val="004B1EF3"/>
    <w:rsid w:val="004B20C7"/>
    <w:rsid w:val="004B218E"/>
    <w:rsid w:val="004B21F0"/>
    <w:rsid w:val="004B29D6"/>
    <w:rsid w:val="004B32AF"/>
    <w:rsid w:val="004B4C44"/>
    <w:rsid w:val="004B4C5A"/>
    <w:rsid w:val="004B4C98"/>
    <w:rsid w:val="004B4D72"/>
    <w:rsid w:val="004B582D"/>
    <w:rsid w:val="004B6260"/>
    <w:rsid w:val="004B6EAE"/>
    <w:rsid w:val="004B70B3"/>
    <w:rsid w:val="004B7182"/>
    <w:rsid w:val="004B7C70"/>
    <w:rsid w:val="004B7DB4"/>
    <w:rsid w:val="004B7E90"/>
    <w:rsid w:val="004B7EA0"/>
    <w:rsid w:val="004C02BD"/>
    <w:rsid w:val="004C072B"/>
    <w:rsid w:val="004C0B7A"/>
    <w:rsid w:val="004C1443"/>
    <w:rsid w:val="004C1585"/>
    <w:rsid w:val="004C1E21"/>
    <w:rsid w:val="004C2D54"/>
    <w:rsid w:val="004C31FC"/>
    <w:rsid w:val="004C4426"/>
    <w:rsid w:val="004C44FE"/>
    <w:rsid w:val="004C45F2"/>
    <w:rsid w:val="004C54BC"/>
    <w:rsid w:val="004C592B"/>
    <w:rsid w:val="004C5AA5"/>
    <w:rsid w:val="004C72E7"/>
    <w:rsid w:val="004C75EA"/>
    <w:rsid w:val="004C7F8C"/>
    <w:rsid w:val="004D0142"/>
    <w:rsid w:val="004D0692"/>
    <w:rsid w:val="004D0F03"/>
    <w:rsid w:val="004D18F8"/>
    <w:rsid w:val="004D1A88"/>
    <w:rsid w:val="004D1C4F"/>
    <w:rsid w:val="004D1D5A"/>
    <w:rsid w:val="004D1E9A"/>
    <w:rsid w:val="004D2354"/>
    <w:rsid w:val="004D2362"/>
    <w:rsid w:val="004D2B3F"/>
    <w:rsid w:val="004D2C1A"/>
    <w:rsid w:val="004D2E08"/>
    <w:rsid w:val="004D3DC1"/>
    <w:rsid w:val="004D4473"/>
    <w:rsid w:val="004D4560"/>
    <w:rsid w:val="004D46D9"/>
    <w:rsid w:val="004D49CD"/>
    <w:rsid w:val="004D4FFE"/>
    <w:rsid w:val="004D6831"/>
    <w:rsid w:val="004D6909"/>
    <w:rsid w:val="004D6A9A"/>
    <w:rsid w:val="004D6AAD"/>
    <w:rsid w:val="004D6D02"/>
    <w:rsid w:val="004D728F"/>
    <w:rsid w:val="004D7ACA"/>
    <w:rsid w:val="004E0944"/>
    <w:rsid w:val="004E096A"/>
    <w:rsid w:val="004E0AFF"/>
    <w:rsid w:val="004E10C9"/>
    <w:rsid w:val="004E196F"/>
    <w:rsid w:val="004E2097"/>
    <w:rsid w:val="004E20E8"/>
    <w:rsid w:val="004E257B"/>
    <w:rsid w:val="004E28C0"/>
    <w:rsid w:val="004E2E18"/>
    <w:rsid w:val="004E2F1D"/>
    <w:rsid w:val="004E3A33"/>
    <w:rsid w:val="004E3B3C"/>
    <w:rsid w:val="004E3C88"/>
    <w:rsid w:val="004E4191"/>
    <w:rsid w:val="004E4713"/>
    <w:rsid w:val="004E4B4F"/>
    <w:rsid w:val="004E582A"/>
    <w:rsid w:val="004E5C57"/>
    <w:rsid w:val="004E6003"/>
    <w:rsid w:val="004E621E"/>
    <w:rsid w:val="004E6A82"/>
    <w:rsid w:val="004E6B0B"/>
    <w:rsid w:val="004E7282"/>
    <w:rsid w:val="004E7354"/>
    <w:rsid w:val="004E7B9E"/>
    <w:rsid w:val="004F01AA"/>
    <w:rsid w:val="004F055C"/>
    <w:rsid w:val="004F0889"/>
    <w:rsid w:val="004F0B5B"/>
    <w:rsid w:val="004F138E"/>
    <w:rsid w:val="004F1A6F"/>
    <w:rsid w:val="004F1DE1"/>
    <w:rsid w:val="004F22D1"/>
    <w:rsid w:val="004F2A55"/>
    <w:rsid w:val="004F397B"/>
    <w:rsid w:val="004F3CD4"/>
    <w:rsid w:val="004F4009"/>
    <w:rsid w:val="004F4D90"/>
    <w:rsid w:val="004F500C"/>
    <w:rsid w:val="004F5094"/>
    <w:rsid w:val="004F5720"/>
    <w:rsid w:val="004F58F1"/>
    <w:rsid w:val="004F60FE"/>
    <w:rsid w:val="004F6E5A"/>
    <w:rsid w:val="004F7285"/>
    <w:rsid w:val="004F72DA"/>
    <w:rsid w:val="005003B2"/>
    <w:rsid w:val="00500468"/>
    <w:rsid w:val="00500903"/>
    <w:rsid w:val="00500EF5"/>
    <w:rsid w:val="0050107C"/>
    <w:rsid w:val="00501130"/>
    <w:rsid w:val="00501340"/>
    <w:rsid w:val="005019B3"/>
    <w:rsid w:val="00501A73"/>
    <w:rsid w:val="00501C2F"/>
    <w:rsid w:val="005026AF"/>
    <w:rsid w:val="005033A9"/>
    <w:rsid w:val="00503908"/>
    <w:rsid w:val="00503CD0"/>
    <w:rsid w:val="00503CED"/>
    <w:rsid w:val="00503E50"/>
    <w:rsid w:val="00503E7B"/>
    <w:rsid w:val="00503ECA"/>
    <w:rsid w:val="005041F2"/>
    <w:rsid w:val="00504306"/>
    <w:rsid w:val="00504428"/>
    <w:rsid w:val="00504C81"/>
    <w:rsid w:val="00504F7D"/>
    <w:rsid w:val="0050566F"/>
    <w:rsid w:val="00505BEF"/>
    <w:rsid w:val="0050672E"/>
    <w:rsid w:val="005067F5"/>
    <w:rsid w:val="0050685A"/>
    <w:rsid w:val="00506B6D"/>
    <w:rsid w:val="00507003"/>
    <w:rsid w:val="005107A0"/>
    <w:rsid w:val="005107AD"/>
    <w:rsid w:val="00510B24"/>
    <w:rsid w:val="00510CA8"/>
    <w:rsid w:val="00510CCC"/>
    <w:rsid w:val="00510D33"/>
    <w:rsid w:val="00511003"/>
    <w:rsid w:val="00511842"/>
    <w:rsid w:val="00511961"/>
    <w:rsid w:val="00512B96"/>
    <w:rsid w:val="00513056"/>
    <w:rsid w:val="005131AB"/>
    <w:rsid w:val="0051327E"/>
    <w:rsid w:val="00513BC9"/>
    <w:rsid w:val="0051452D"/>
    <w:rsid w:val="005154F7"/>
    <w:rsid w:val="00515843"/>
    <w:rsid w:val="00515976"/>
    <w:rsid w:val="00516396"/>
    <w:rsid w:val="00521153"/>
    <w:rsid w:val="005211CB"/>
    <w:rsid w:val="0052202D"/>
    <w:rsid w:val="00522DFF"/>
    <w:rsid w:val="00523724"/>
    <w:rsid w:val="00523946"/>
    <w:rsid w:val="00523AB4"/>
    <w:rsid w:val="005245BC"/>
    <w:rsid w:val="00524919"/>
    <w:rsid w:val="00524A07"/>
    <w:rsid w:val="00524F32"/>
    <w:rsid w:val="00525371"/>
    <w:rsid w:val="0052559F"/>
    <w:rsid w:val="00526039"/>
    <w:rsid w:val="005268CA"/>
    <w:rsid w:val="0052696F"/>
    <w:rsid w:val="00526B2C"/>
    <w:rsid w:val="005277BB"/>
    <w:rsid w:val="00527A14"/>
    <w:rsid w:val="00527B4D"/>
    <w:rsid w:val="00527CE9"/>
    <w:rsid w:val="00527D43"/>
    <w:rsid w:val="0053012A"/>
    <w:rsid w:val="005303F8"/>
    <w:rsid w:val="00530CF7"/>
    <w:rsid w:val="0053103E"/>
    <w:rsid w:val="005317B2"/>
    <w:rsid w:val="00531B81"/>
    <w:rsid w:val="005323E7"/>
    <w:rsid w:val="0053297E"/>
    <w:rsid w:val="00532B91"/>
    <w:rsid w:val="0053356F"/>
    <w:rsid w:val="00533C93"/>
    <w:rsid w:val="00533F24"/>
    <w:rsid w:val="005347EE"/>
    <w:rsid w:val="005349B3"/>
    <w:rsid w:val="00534B47"/>
    <w:rsid w:val="00535203"/>
    <w:rsid w:val="005355ED"/>
    <w:rsid w:val="00535F1D"/>
    <w:rsid w:val="005363DD"/>
    <w:rsid w:val="00537091"/>
    <w:rsid w:val="00537964"/>
    <w:rsid w:val="00537A92"/>
    <w:rsid w:val="00540B50"/>
    <w:rsid w:val="00540D05"/>
    <w:rsid w:val="00540DB1"/>
    <w:rsid w:val="00541B57"/>
    <w:rsid w:val="00541BFA"/>
    <w:rsid w:val="00541CBA"/>
    <w:rsid w:val="00541DCB"/>
    <w:rsid w:val="00541F1C"/>
    <w:rsid w:val="005420FA"/>
    <w:rsid w:val="00542779"/>
    <w:rsid w:val="005428EC"/>
    <w:rsid w:val="00542DA4"/>
    <w:rsid w:val="00543462"/>
    <w:rsid w:val="005435C2"/>
    <w:rsid w:val="0054412C"/>
    <w:rsid w:val="00544276"/>
    <w:rsid w:val="00544578"/>
    <w:rsid w:val="00544E42"/>
    <w:rsid w:val="00545272"/>
    <w:rsid w:val="005452D6"/>
    <w:rsid w:val="0054552A"/>
    <w:rsid w:val="0054557F"/>
    <w:rsid w:val="005457AB"/>
    <w:rsid w:val="00545DF1"/>
    <w:rsid w:val="00545EA3"/>
    <w:rsid w:val="00545F97"/>
    <w:rsid w:val="00546CEF"/>
    <w:rsid w:val="005475FB"/>
    <w:rsid w:val="00547685"/>
    <w:rsid w:val="00547961"/>
    <w:rsid w:val="005479D3"/>
    <w:rsid w:val="00547E8F"/>
    <w:rsid w:val="00550354"/>
    <w:rsid w:val="00550987"/>
    <w:rsid w:val="00550ADA"/>
    <w:rsid w:val="005512FE"/>
    <w:rsid w:val="005514B4"/>
    <w:rsid w:val="00551EC4"/>
    <w:rsid w:val="00552210"/>
    <w:rsid w:val="00552814"/>
    <w:rsid w:val="00552E15"/>
    <w:rsid w:val="0055401C"/>
    <w:rsid w:val="00554138"/>
    <w:rsid w:val="00554C8F"/>
    <w:rsid w:val="00554F36"/>
    <w:rsid w:val="005558EC"/>
    <w:rsid w:val="00555F45"/>
    <w:rsid w:val="005566CA"/>
    <w:rsid w:val="005566F1"/>
    <w:rsid w:val="00556B98"/>
    <w:rsid w:val="00556D3A"/>
    <w:rsid w:val="00557487"/>
    <w:rsid w:val="00557AA6"/>
    <w:rsid w:val="00557B55"/>
    <w:rsid w:val="00557D99"/>
    <w:rsid w:val="00560B5F"/>
    <w:rsid w:val="00560D6B"/>
    <w:rsid w:val="00561ABF"/>
    <w:rsid w:val="00561D2C"/>
    <w:rsid w:val="005622E0"/>
    <w:rsid w:val="0056248D"/>
    <w:rsid w:val="005625B2"/>
    <w:rsid w:val="00562984"/>
    <w:rsid w:val="00563545"/>
    <w:rsid w:val="0056379C"/>
    <w:rsid w:val="005639CA"/>
    <w:rsid w:val="00564238"/>
    <w:rsid w:val="0056596C"/>
    <w:rsid w:val="00566ED5"/>
    <w:rsid w:val="0056775A"/>
    <w:rsid w:val="00570210"/>
    <w:rsid w:val="00570439"/>
    <w:rsid w:val="005704D5"/>
    <w:rsid w:val="005704DF"/>
    <w:rsid w:val="005712EF"/>
    <w:rsid w:val="005713AA"/>
    <w:rsid w:val="005714CD"/>
    <w:rsid w:val="00571BFC"/>
    <w:rsid w:val="00571D2B"/>
    <w:rsid w:val="00572815"/>
    <w:rsid w:val="00572963"/>
    <w:rsid w:val="00572D82"/>
    <w:rsid w:val="00572DFC"/>
    <w:rsid w:val="0057367F"/>
    <w:rsid w:val="00574264"/>
    <w:rsid w:val="005742F5"/>
    <w:rsid w:val="00574449"/>
    <w:rsid w:val="00575F11"/>
    <w:rsid w:val="005766B4"/>
    <w:rsid w:val="00576BB7"/>
    <w:rsid w:val="005770D8"/>
    <w:rsid w:val="005774DE"/>
    <w:rsid w:val="005775EA"/>
    <w:rsid w:val="00577B50"/>
    <w:rsid w:val="0058097C"/>
    <w:rsid w:val="005809A7"/>
    <w:rsid w:val="00580D21"/>
    <w:rsid w:val="00580F0F"/>
    <w:rsid w:val="0058102A"/>
    <w:rsid w:val="0058127A"/>
    <w:rsid w:val="00581663"/>
    <w:rsid w:val="005816FB"/>
    <w:rsid w:val="00581A9C"/>
    <w:rsid w:val="00582708"/>
    <w:rsid w:val="00582C35"/>
    <w:rsid w:val="00582E52"/>
    <w:rsid w:val="005835B4"/>
    <w:rsid w:val="0058369D"/>
    <w:rsid w:val="005838F4"/>
    <w:rsid w:val="00583CDE"/>
    <w:rsid w:val="00584518"/>
    <w:rsid w:val="005848AB"/>
    <w:rsid w:val="005850AB"/>
    <w:rsid w:val="005854AF"/>
    <w:rsid w:val="00585B4F"/>
    <w:rsid w:val="00586218"/>
    <w:rsid w:val="00586ABF"/>
    <w:rsid w:val="00586E02"/>
    <w:rsid w:val="00587A44"/>
    <w:rsid w:val="00587AA7"/>
    <w:rsid w:val="00587D46"/>
    <w:rsid w:val="005903AC"/>
    <w:rsid w:val="0059063F"/>
    <w:rsid w:val="00590B58"/>
    <w:rsid w:val="00590D46"/>
    <w:rsid w:val="0059105B"/>
    <w:rsid w:val="005915F5"/>
    <w:rsid w:val="00592E2D"/>
    <w:rsid w:val="00592F48"/>
    <w:rsid w:val="00592F91"/>
    <w:rsid w:val="005930A9"/>
    <w:rsid w:val="00593D9E"/>
    <w:rsid w:val="0059542C"/>
    <w:rsid w:val="0059581B"/>
    <w:rsid w:val="005958D9"/>
    <w:rsid w:val="005960CB"/>
    <w:rsid w:val="005962C2"/>
    <w:rsid w:val="00596503"/>
    <w:rsid w:val="00596804"/>
    <w:rsid w:val="00596AD8"/>
    <w:rsid w:val="00597516"/>
    <w:rsid w:val="005979F1"/>
    <w:rsid w:val="00597BA8"/>
    <w:rsid w:val="005A0406"/>
    <w:rsid w:val="005A0781"/>
    <w:rsid w:val="005A0B42"/>
    <w:rsid w:val="005A0FEC"/>
    <w:rsid w:val="005A1272"/>
    <w:rsid w:val="005A18A8"/>
    <w:rsid w:val="005A1CED"/>
    <w:rsid w:val="005A2654"/>
    <w:rsid w:val="005A29CA"/>
    <w:rsid w:val="005A2BE2"/>
    <w:rsid w:val="005A3506"/>
    <w:rsid w:val="005A385F"/>
    <w:rsid w:val="005A3C85"/>
    <w:rsid w:val="005A4980"/>
    <w:rsid w:val="005A4C1E"/>
    <w:rsid w:val="005A4CF7"/>
    <w:rsid w:val="005A5F0B"/>
    <w:rsid w:val="005A62B4"/>
    <w:rsid w:val="005A6568"/>
    <w:rsid w:val="005A6A82"/>
    <w:rsid w:val="005A6D70"/>
    <w:rsid w:val="005A6F1D"/>
    <w:rsid w:val="005A792B"/>
    <w:rsid w:val="005A7BED"/>
    <w:rsid w:val="005A7DC9"/>
    <w:rsid w:val="005B1348"/>
    <w:rsid w:val="005B1C01"/>
    <w:rsid w:val="005B1E11"/>
    <w:rsid w:val="005B22CF"/>
    <w:rsid w:val="005B2391"/>
    <w:rsid w:val="005B2CEF"/>
    <w:rsid w:val="005B2FB4"/>
    <w:rsid w:val="005B3A5E"/>
    <w:rsid w:val="005B3E14"/>
    <w:rsid w:val="005B46B7"/>
    <w:rsid w:val="005B49FF"/>
    <w:rsid w:val="005B59CE"/>
    <w:rsid w:val="005B5BDF"/>
    <w:rsid w:val="005B5CBF"/>
    <w:rsid w:val="005B5E3C"/>
    <w:rsid w:val="005B61F2"/>
    <w:rsid w:val="005B64C5"/>
    <w:rsid w:val="005B6914"/>
    <w:rsid w:val="005B6BA9"/>
    <w:rsid w:val="005B7F97"/>
    <w:rsid w:val="005C09C0"/>
    <w:rsid w:val="005C0C0E"/>
    <w:rsid w:val="005C0D08"/>
    <w:rsid w:val="005C0D20"/>
    <w:rsid w:val="005C0D95"/>
    <w:rsid w:val="005C1B5A"/>
    <w:rsid w:val="005C1BB9"/>
    <w:rsid w:val="005C2038"/>
    <w:rsid w:val="005C23E7"/>
    <w:rsid w:val="005C244A"/>
    <w:rsid w:val="005C289F"/>
    <w:rsid w:val="005C2CB9"/>
    <w:rsid w:val="005C399E"/>
    <w:rsid w:val="005C484B"/>
    <w:rsid w:val="005C4CCB"/>
    <w:rsid w:val="005C596F"/>
    <w:rsid w:val="005C5ACF"/>
    <w:rsid w:val="005C5EBF"/>
    <w:rsid w:val="005C5F18"/>
    <w:rsid w:val="005C5F9F"/>
    <w:rsid w:val="005C6BBA"/>
    <w:rsid w:val="005C6F9D"/>
    <w:rsid w:val="005C78C2"/>
    <w:rsid w:val="005C7948"/>
    <w:rsid w:val="005D0682"/>
    <w:rsid w:val="005D0924"/>
    <w:rsid w:val="005D1C49"/>
    <w:rsid w:val="005D1FEF"/>
    <w:rsid w:val="005D205F"/>
    <w:rsid w:val="005D264A"/>
    <w:rsid w:val="005D2B10"/>
    <w:rsid w:val="005D356C"/>
    <w:rsid w:val="005D3A0C"/>
    <w:rsid w:val="005D3E5D"/>
    <w:rsid w:val="005D3F6A"/>
    <w:rsid w:val="005D450A"/>
    <w:rsid w:val="005D5722"/>
    <w:rsid w:val="005D57A5"/>
    <w:rsid w:val="005D5AB7"/>
    <w:rsid w:val="005D5E65"/>
    <w:rsid w:val="005D6584"/>
    <w:rsid w:val="005D6793"/>
    <w:rsid w:val="005D7488"/>
    <w:rsid w:val="005D75B4"/>
    <w:rsid w:val="005E021C"/>
    <w:rsid w:val="005E073E"/>
    <w:rsid w:val="005E0FA0"/>
    <w:rsid w:val="005E1095"/>
    <w:rsid w:val="005E1331"/>
    <w:rsid w:val="005E13F0"/>
    <w:rsid w:val="005E1830"/>
    <w:rsid w:val="005E1E98"/>
    <w:rsid w:val="005E1FA5"/>
    <w:rsid w:val="005E2170"/>
    <w:rsid w:val="005E25F9"/>
    <w:rsid w:val="005E2ED5"/>
    <w:rsid w:val="005E2F2F"/>
    <w:rsid w:val="005E3A0C"/>
    <w:rsid w:val="005E3CFE"/>
    <w:rsid w:val="005E4CCF"/>
    <w:rsid w:val="005E4EA8"/>
    <w:rsid w:val="005E61C9"/>
    <w:rsid w:val="005E62CD"/>
    <w:rsid w:val="005E62F5"/>
    <w:rsid w:val="005E63F9"/>
    <w:rsid w:val="005E652E"/>
    <w:rsid w:val="005E70A6"/>
    <w:rsid w:val="005E714F"/>
    <w:rsid w:val="005F02E5"/>
    <w:rsid w:val="005F147E"/>
    <w:rsid w:val="005F16B9"/>
    <w:rsid w:val="005F201F"/>
    <w:rsid w:val="005F22D5"/>
    <w:rsid w:val="005F25FC"/>
    <w:rsid w:val="005F2A24"/>
    <w:rsid w:val="005F2F53"/>
    <w:rsid w:val="005F370E"/>
    <w:rsid w:val="005F374F"/>
    <w:rsid w:val="005F3851"/>
    <w:rsid w:val="005F3F92"/>
    <w:rsid w:val="005F4614"/>
    <w:rsid w:val="005F5275"/>
    <w:rsid w:val="005F6BE7"/>
    <w:rsid w:val="005F72CE"/>
    <w:rsid w:val="005F75FB"/>
    <w:rsid w:val="00600694"/>
    <w:rsid w:val="00601461"/>
    <w:rsid w:val="00601B98"/>
    <w:rsid w:val="006025F7"/>
    <w:rsid w:val="00602721"/>
    <w:rsid w:val="00602F56"/>
    <w:rsid w:val="006038E8"/>
    <w:rsid w:val="00603E5F"/>
    <w:rsid w:val="006044E1"/>
    <w:rsid w:val="006046D0"/>
    <w:rsid w:val="00604921"/>
    <w:rsid w:val="00604CD3"/>
    <w:rsid w:val="00604EEB"/>
    <w:rsid w:val="006050CA"/>
    <w:rsid w:val="00605E77"/>
    <w:rsid w:val="00606119"/>
    <w:rsid w:val="00606AE7"/>
    <w:rsid w:val="00607B4B"/>
    <w:rsid w:val="00607C98"/>
    <w:rsid w:val="0061082E"/>
    <w:rsid w:val="00610861"/>
    <w:rsid w:val="00610FBC"/>
    <w:rsid w:val="006111CC"/>
    <w:rsid w:val="00611352"/>
    <w:rsid w:val="00611719"/>
    <w:rsid w:val="006119A7"/>
    <w:rsid w:val="006120C6"/>
    <w:rsid w:val="00612118"/>
    <w:rsid w:val="0061223B"/>
    <w:rsid w:val="00612B53"/>
    <w:rsid w:val="00612C1C"/>
    <w:rsid w:val="00612EAF"/>
    <w:rsid w:val="006132C0"/>
    <w:rsid w:val="006137A3"/>
    <w:rsid w:val="00613966"/>
    <w:rsid w:val="00613C9C"/>
    <w:rsid w:val="00614303"/>
    <w:rsid w:val="006145BD"/>
    <w:rsid w:val="0061480A"/>
    <w:rsid w:val="006149BA"/>
    <w:rsid w:val="00615FD3"/>
    <w:rsid w:val="00616228"/>
    <w:rsid w:val="006162B0"/>
    <w:rsid w:val="006167DB"/>
    <w:rsid w:val="00616953"/>
    <w:rsid w:val="00616E5D"/>
    <w:rsid w:val="00616F80"/>
    <w:rsid w:val="00617D64"/>
    <w:rsid w:val="006206E9"/>
    <w:rsid w:val="00620D51"/>
    <w:rsid w:val="006213A5"/>
    <w:rsid w:val="006215C8"/>
    <w:rsid w:val="0062195F"/>
    <w:rsid w:val="00621A10"/>
    <w:rsid w:val="00621A34"/>
    <w:rsid w:val="00621C92"/>
    <w:rsid w:val="00622104"/>
    <w:rsid w:val="00622943"/>
    <w:rsid w:val="00622BAA"/>
    <w:rsid w:val="00622D4C"/>
    <w:rsid w:val="00622E3D"/>
    <w:rsid w:val="00624398"/>
    <w:rsid w:val="00625279"/>
    <w:rsid w:val="00625993"/>
    <w:rsid w:val="006259C9"/>
    <w:rsid w:val="00625F13"/>
    <w:rsid w:val="006261EF"/>
    <w:rsid w:val="0062642B"/>
    <w:rsid w:val="006272A1"/>
    <w:rsid w:val="00627AC2"/>
    <w:rsid w:val="00630299"/>
    <w:rsid w:val="006306DC"/>
    <w:rsid w:val="00630A0F"/>
    <w:rsid w:val="00630C5C"/>
    <w:rsid w:val="006312A4"/>
    <w:rsid w:val="00631D85"/>
    <w:rsid w:val="006327E3"/>
    <w:rsid w:val="00632A4B"/>
    <w:rsid w:val="00632D2A"/>
    <w:rsid w:val="006331C8"/>
    <w:rsid w:val="006335A0"/>
    <w:rsid w:val="0063367F"/>
    <w:rsid w:val="00633DDA"/>
    <w:rsid w:val="006342E1"/>
    <w:rsid w:val="006358E0"/>
    <w:rsid w:val="00635A68"/>
    <w:rsid w:val="00635ADF"/>
    <w:rsid w:val="00635B78"/>
    <w:rsid w:val="00636C4C"/>
    <w:rsid w:val="0063732C"/>
    <w:rsid w:val="00637A64"/>
    <w:rsid w:val="00637DD2"/>
    <w:rsid w:val="0064044E"/>
    <w:rsid w:val="00640CEE"/>
    <w:rsid w:val="00640D9E"/>
    <w:rsid w:val="00640DEB"/>
    <w:rsid w:val="006411DF"/>
    <w:rsid w:val="006413AD"/>
    <w:rsid w:val="00641412"/>
    <w:rsid w:val="00641495"/>
    <w:rsid w:val="00641882"/>
    <w:rsid w:val="00641DF5"/>
    <w:rsid w:val="00641F78"/>
    <w:rsid w:val="00642552"/>
    <w:rsid w:val="00642602"/>
    <w:rsid w:val="00642BC7"/>
    <w:rsid w:val="00643751"/>
    <w:rsid w:val="00643979"/>
    <w:rsid w:val="006439CF"/>
    <w:rsid w:val="00643B3C"/>
    <w:rsid w:val="0064411B"/>
    <w:rsid w:val="00644D76"/>
    <w:rsid w:val="006451BA"/>
    <w:rsid w:val="0064579B"/>
    <w:rsid w:val="00645FFC"/>
    <w:rsid w:val="006464A7"/>
    <w:rsid w:val="00646583"/>
    <w:rsid w:val="0064695C"/>
    <w:rsid w:val="006469E0"/>
    <w:rsid w:val="00646C3F"/>
    <w:rsid w:val="00646E5C"/>
    <w:rsid w:val="0064723D"/>
    <w:rsid w:val="00647586"/>
    <w:rsid w:val="006475D6"/>
    <w:rsid w:val="00647CA7"/>
    <w:rsid w:val="00647F1A"/>
    <w:rsid w:val="0065020B"/>
    <w:rsid w:val="00650B91"/>
    <w:rsid w:val="00650EFA"/>
    <w:rsid w:val="00650F8F"/>
    <w:rsid w:val="006513B7"/>
    <w:rsid w:val="00651808"/>
    <w:rsid w:val="00651C51"/>
    <w:rsid w:val="0065250C"/>
    <w:rsid w:val="00652DBB"/>
    <w:rsid w:val="006530AF"/>
    <w:rsid w:val="00653599"/>
    <w:rsid w:val="00654597"/>
    <w:rsid w:val="00654619"/>
    <w:rsid w:val="00654E34"/>
    <w:rsid w:val="006550A1"/>
    <w:rsid w:val="006553A5"/>
    <w:rsid w:val="00655871"/>
    <w:rsid w:val="00655A6A"/>
    <w:rsid w:val="00655DF1"/>
    <w:rsid w:val="006561D0"/>
    <w:rsid w:val="00656900"/>
    <w:rsid w:val="006569E1"/>
    <w:rsid w:val="006577C8"/>
    <w:rsid w:val="00657ED9"/>
    <w:rsid w:val="00657FB4"/>
    <w:rsid w:val="00660782"/>
    <w:rsid w:val="0066113B"/>
    <w:rsid w:val="006617B0"/>
    <w:rsid w:val="00661952"/>
    <w:rsid w:val="0066198A"/>
    <w:rsid w:val="00661CF8"/>
    <w:rsid w:val="00662014"/>
    <w:rsid w:val="0066229F"/>
    <w:rsid w:val="00662CFE"/>
    <w:rsid w:val="00662E94"/>
    <w:rsid w:val="00663084"/>
    <w:rsid w:val="00663233"/>
    <w:rsid w:val="006634A6"/>
    <w:rsid w:val="00664794"/>
    <w:rsid w:val="00664EE9"/>
    <w:rsid w:val="00665047"/>
    <w:rsid w:val="006652C9"/>
    <w:rsid w:val="00665FCA"/>
    <w:rsid w:val="006671B1"/>
    <w:rsid w:val="00667364"/>
    <w:rsid w:val="00667527"/>
    <w:rsid w:val="00667FB6"/>
    <w:rsid w:val="00670032"/>
    <w:rsid w:val="00672088"/>
    <w:rsid w:val="006723B9"/>
    <w:rsid w:val="00672405"/>
    <w:rsid w:val="00672415"/>
    <w:rsid w:val="00672843"/>
    <w:rsid w:val="00672B25"/>
    <w:rsid w:val="00672C2E"/>
    <w:rsid w:val="006742B0"/>
    <w:rsid w:val="0067477B"/>
    <w:rsid w:val="0067564C"/>
    <w:rsid w:val="0067573B"/>
    <w:rsid w:val="006759FD"/>
    <w:rsid w:val="00675A2E"/>
    <w:rsid w:val="0067635C"/>
    <w:rsid w:val="0067640B"/>
    <w:rsid w:val="00676D67"/>
    <w:rsid w:val="006771D9"/>
    <w:rsid w:val="006774A8"/>
    <w:rsid w:val="006777D7"/>
    <w:rsid w:val="00677E84"/>
    <w:rsid w:val="0068046D"/>
    <w:rsid w:val="00680568"/>
    <w:rsid w:val="006805AE"/>
    <w:rsid w:val="0068099D"/>
    <w:rsid w:val="00680AA0"/>
    <w:rsid w:val="00681FEE"/>
    <w:rsid w:val="0068286B"/>
    <w:rsid w:val="00684584"/>
    <w:rsid w:val="00684605"/>
    <w:rsid w:val="006848A7"/>
    <w:rsid w:val="00684AA7"/>
    <w:rsid w:val="006856AD"/>
    <w:rsid w:val="006860F8"/>
    <w:rsid w:val="006865B1"/>
    <w:rsid w:val="006865C5"/>
    <w:rsid w:val="00686792"/>
    <w:rsid w:val="00687443"/>
    <w:rsid w:val="00687643"/>
    <w:rsid w:val="00687779"/>
    <w:rsid w:val="00687DC9"/>
    <w:rsid w:val="00687E44"/>
    <w:rsid w:val="00687E74"/>
    <w:rsid w:val="00690133"/>
    <w:rsid w:val="006902ED"/>
    <w:rsid w:val="00690637"/>
    <w:rsid w:val="00690854"/>
    <w:rsid w:val="00690AD8"/>
    <w:rsid w:val="0069198F"/>
    <w:rsid w:val="00691ED2"/>
    <w:rsid w:val="006920AF"/>
    <w:rsid w:val="00692EA2"/>
    <w:rsid w:val="006935AE"/>
    <w:rsid w:val="006956FC"/>
    <w:rsid w:val="00695875"/>
    <w:rsid w:val="006964D7"/>
    <w:rsid w:val="006966D5"/>
    <w:rsid w:val="00696789"/>
    <w:rsid w:val="00696E1A"/>
    <w:rsid w:val="00697756"/>
    <w:rsid w:val="006977A6"/>
    <w:rsid w:val="00697AFF"/>
    <w:rsid w:val="006A162C"/>
    <w:rsid w:val="006A1AD5"/>
    <w:rsid w:val="006A1D26"/>
    <w:rsid w:val="006A204E"/>
    <w:rsid w:val="006A2708"/>
    <w:rsid w:val="006A2CAC"/>
    <w:rsid w:val="006A2D04"/>
    <w:rsid w:val="006A304D"/>
    <w:rsid w:val="006A44F2"/>
    <w:rsid w:val="006A4744"/>
    <w:rsid w:val="006A4843"/>
    <w:rsid w:val="006A4A21"/>
    <w:rsid w:val="006A50B8"/>
    <w:rsid w:val="006A521E"/>
    <w:rsid w:val="006A54FD"/>
    <w:rsid w:val="006A67D2"/>
    <w:rsid w:val="006A6802"/>
    <w:rsid w:val="006A6CD5"/>
    <w:rsid w:val="006A6FAB"/>
    <w:rsid w:val="006A7466"/>
    <w:rsid w:val="006A74F0"/>
    <w:rsid w:val="006A77D2"/>
    <w:rsid w:val="006A7EF5"/>
    <w:rsid w:val="006B063C"/>
    <w:rsid w:val="006B18CD"/>
    <w:rsid w:val="006B1B5A"/>
    <w:rsid w:val="006B1CC0"/>
    <w:rsid w:val="006B233C"/>
    <w:rsid w:val="006B24F2"/>
    <w:rsid w:val="006B298C"/>
    <w:rsid w:val="006B31D8"/>
    <w:rsid w:val="006B3467"/>
    <w:rsid w:val="006B34D0"/>
    <w:rsid w:val="006B4478"/>
    <w:rsid w:val="006B465D"/>
    <w:rsid w:val="006B47A7"/>
    <w:rsid w:val="006B61A7"/>
    <w:rsid w:val="006B625E"/>
    <w:rsid w:val="006B687E"/>
    <w:rsid w:val="006B7874"/>
    <w:rsid w:val="006C0717"/>
    <w:rsid w:val="006C077F"/>
    <w:rsid w:val="006C1B43"/>
    <w:rsid w:val="006C2238"/>
    <w:rsid w:val="006C25CD"/>
    <w:rsid w:val="006C265E"/>
    <w:rsid w:val="006C2F34"/>
    <w:rsid w:val="006C305C"/>
    <w:rsid w:val="006C51EB"/>
    <w:rsid w:val="006C5B68"/>
    <w:rsid w:val="006C5C0F"/>
    <w:rsid w:val="006C62E5"/>
    <w:rsid w:val="006C792F"/>
    <w:rsid w:val="006C7BDF"/>
    <w:rsid w:val="006D008D"/>
    <w:rsid w:val="006D0B04"/>
    <w:rsid w:val="006D1540"/>
    <w:rsid w:val="006D16D0"/>
    <w:rsid w:val="006D1927"/>
    <w:rsid w:val="006D2203"/>
    <w:rsid w:val="006D22F2"/>
    <w:rsid w:val="006D241A"/>
    <w:rsid w:val="006D256B"/>
    <w:rsid w:val="006D291B"/>
    <w:rsid w:val="006D29DD"/>
    <w:rsid w:val="006D34E8"/>
    <w:rsid w:val="006D3867"/>
    <w:rsid w:val="006D3A1D"/>
    <w:rsid w:val="006D41C6"/>
    <w:rsid w:val="006D4B79"/>
    <w:rsid w:val="006D5EC5"/>
    <w:rsid w:val="006D626F"/>
    <w:rsid w:val="006D62E2"/>
    <w:rsid w:val="006D7097"/>
    <w:rsid w:val="006D7AB1"/>
    <w:rsid w:val="006D7C5F"/>
    <w:rsid w:val="006E02C1"/>
    <w:rsid w:val="006E056F"/>
    <w:rsid w:val="006E0ABC"/>
    <w:rsid w:val="006E0E64"/>
    <w:rsid w:val="006E1231"/>
    <w:rsid w:val="006E12D6"/>
    <w:rsid w:val="006E161D"/>
    <w:rsid w:val="006E1B57"/>
    <w:rsid w:val="006E282F"/>
    <w:rsid w:val="006E28FB"/>
    <w:rsid w:val="006E2D08"/>
    <w:rsid w:val="006E3098"/>
    <w:rsid w:val="006E44DC"/>
    <w:rsid w:val="006E4515"/>
    <w:rsid w:val="006E4E89"/>
    <w:rsid w:val="006E5342"/>
    <w:rsid w:val="006E53F5"/>
    <w:rsid w:val="006E6B00"/>
    <w:rsid w:val="006E6B3C"/>
    <w:rsid w:val="006E6CC3"/>
    <w:rsid w:val="006E6DB2"/>
    <w:rsid w:val="006E72E9"/>
    <w:rsid w:val="006E756D"/>
    <w:rsid w:val="006E7764"/>
    <w:rsid w:val="006F053A"/>
    <w:rsid w:val="006F072E"/>
    <w:rsid w:val="006F0DF2"/>
    <w:rsid w:val="006F0FBC"/>
    <w:rsid w:val="006F26BC"/>
    <w:rsid w:val="006F30FE"/>
    <w:rsid w:val="006F3186"/>
    <w:rsid w:val="006F32BF"/>
    <w:rsid w:val="006F3660"/>
    <w:rsid w:val="006F3DDF"/>
    <w:rsid w:val="006F3EEB"/>
    <w:rsid w:val="006F5D80"/>
    <w:rsid w:val="006F5F09"/>
    <w:rsid w:val="006F5F4E"/>
    <w:rsid w:val="006F611A"/>
    <w:rsid w:val="006F73D7"/>
    <w:rsid w:val="006F796D"/>
    <w:rsid w:val="006F7A4F"/>
    <w:rsid w:val="006F7DE2"/>
    <w:rsid w:val="00700045"/>
    <w:rsid w:val="00700680"/>
    <w:rsid w:val="00700834"/>
    <w:rsid w:val="00700D22"/>
    <w:rsid w:val="007014EC"/>
    <w:rsid w:val="00701554"/>
    <w:rsid w:val="007020AB"/>
    <w:rsid w:val="007023C8"/>
    <w:rsid w:val="007025B4"/>
    <w:rsid w:val="00702605"/>
    <w:rsid w:val="00702B76"/>
    <w:rsid w:val="00703228"/>
    <w:rsid w:val="0070346D"/>
    <w:rsid w:val="00703C38"/>
    <w:rsid w:val="007040BF"/>
    <w:rsid w:val="00704155"/>
    <w:rsid w:val="0070466A"/>
    <w:rsid w:val="0070479C"/>
    <w:rsid w:val="00704905"/>
    <w:rsid w:val="00704C68"/>
    <w:rsid w:val="007050EB"/>
    <w:rsid w:val="00705958"/>
    <w:rsid w:val="007059B5"/>
    <w:rsid w:val="00705D33"/>
    <w:rsid w:val="0070635A"/>
    <w:rsid w:val="00706DC3"/>
    <w:rsid w:val="007071B0"/>
    <w:rsid w:val="00710020"/>
    <w:rsid w:val="00710F79"/>
    <w:rsid w:val="007110BB"/>
    <w:rsid w:val="00711C3C"/>
    <w:rsid w:val="00712154"/>
    <w:rsid w:val="007121ED"/>
    <w:rsid w:val="00712735"/>
    <w:rsid w:val="007128EB"/>
    <w:rsid w:val="00713021"/>
    <w:rsid w:val="00713142"/>
    <w:rsid w:val="00713715"/>
    <w:rsid w:val="00714348"/>
    <w:rsid w:val="00714CAA"/>
    <w:rsid w:val="00714FDB"/>
    <w:rsid w:val="00715516"/>
    <w:rsid w:val="0071571D"/>
    <w:rsid w:val="00715B21"/>
    <w:rsid w:val="00715F2F"/>
    <w:rsid w:val="007176AC"/>
    <w:rsid w:val="00717A6B"/>
    <w:rsid w:val="00720583"/>
    <w:rsid w:val="00720B15"/>
    <w:rsid w:val="00720E41"/>
    <w:rsid w:val="00721477"/>
    <w:rsid w:val="00721483"/>
    <w:rsid w:val="007215E0"/>
    <w:rsid w:val="0072207B"/>
    <w:rsid w:val="00722329"/>
    <w:rsid w:val="0072243A"/>
    <w:rsid w:val="00722F43"/>
    <w:rsid w:val="00723058"/>
    <w:rsid w:val="00723BA9"/>
    <w:rsid w:val="007247ED"/>
    <w:rsid w:val="00724D10"/>
    <w:rsid w:val="00725125"/>
    <w:rsid w:val="0072588F"/>
    <w:rsid w:val="00726FD9"/>
    <w:rsid w:val="007272F6"/>
    <w:rsid w:val="007277A7"/>
    <w:rsid w:val="00727A14"/>
    <w:rsid w:val="00730329"/>
    <w:rsid w:val="00730880"/>
    <w:rsid w:val="007320A7"/>
    <w:rsid w:val="007320CA"/>
    <w:rsid w:val="007323D6"/>
    <w:rsid w:val="0073257B"/>
    <w:rsid w:val="007328FA"/>
    <w:rsid w:val="00732FFB"/>
    <w:rsid w:val="0073327D"/>
    <w:rsid w:val="00733B1E"/>
    <w:rsid w:val="00733E86"/>
    <w:rsid w:val="0073415A"/>
    <w:rsid w:val="00734437"/>
    <w:rsid w:val="00735751"/>
    <w:rsid w:val="00735A5E"/>
    <w:rsid w:val="00735C95"/>
    <w:rsid w:val="0073607F"/>
    <w:rsid w:val="007360A1"/>
    <w:rsid w:val="00736755"/>
    <w:rsid w:val="00736767"/>
    <w:rsid w:val="007368D9"/>
    <w:rsid w:val="00736CBF"/>
    <w:rsid w:val="00736E2B"/>
    <w:rsid w:val="00737376"/>
    <w:rsid w:val="0073750A"/>
    <w:rsid w:val="00737546"/>
    <w:rsid w:val="007375AB"/>
    <w:rsid w:val="00737600"/>
    <w:rsid w:val="0073771B"/>
    <w:rsid w:val="007377E2"/>
    <w:rsid w:val="007379B6"/>
    <w:rsid w:val="00737CA8"/>
    <w:rsid w:val="00737E95"/>
    <w:rsid w:val="007407D5"/>
    <w:rsid w:val="00740A47"/>
    <w:rsid w:val="00740AA0"/>
    <w:rsid w:val="00740C0C"/>
    <w:rsid w:val="00740C4A"/>
    <w:rsid w:val="00740FF8"/>
    <w:rsid w:val="00741064"/>
    <w:rsid w:val="00741419"/>
    <w:rsid w:val="00741552"/>
    <w:rsid w:val="00741868"/>
    <w:rsid w:val="00741F18"/>
    <w:rsid w:val="007420FD"/>
    <w:rsid w:val="007423A2"/>
    <w:rsid w:val="00742C1E"/>
    <w:rsid w:val="00742C53"/>
    <w:rsid w:val="00742C99"/>
    <w:rsid w:val="00743491"/>
    <w:rsid w:val="00743499"/>
    <w:rsid w:val="00743932"/>
    <w:rsid w:val="00745787"/>
    <w:rsid w:val="00746277"/>
    <w:rsid w:val="00746B44"/>
    <w:rsid w:val="00746DA3"/>
    <w:rsid w:val="00747430"/>
    <w:rsid w:val="007503FC"/>
    <w:rsid w:val="0075044F"/>
    <w:rsid w:val="00750BBB"/>
    <w:rsid w:val="00750E62"/>
    <w:rsid w:val="007514AA"/>
    <w:rsid w:val="00751E5F"/>
    <w:rsid w:val="00751F95"/>
    <w:rsid w:val="00752241"/>
    <w:rsid w:val="00752581"/>
    <w:rsid w:val="00752EAB"/>
    <w:rsid w:val="00753123"/>
    <w:rsid w:val="00753687"/>
    <w:rsid w:val="00754698"/>
    <w:rsid w:val="0075548A"/>
    <w:rsid w:val="00755766"/>
    <w:rsid w:val="0075589E"/>
    <w:rsid w:val="007558F8"/>
    <w:rsid w:val="007559DB"/>
    <w:rsid w:val="00755ACD"/>
    <w:rsid w:val="007560A8"/>
    <w:rsid w:val="0075673E"/>
    <w:rsid w:val="00757B8A"/>
    <w:rsid w:val="00757CC2"/>
    <w:rsid w:val="00757D06"/>
    <w:rsid w:val="00760FD7"/>
    <w:rsid w:val="00761552"/>
    <w:rsid w:val="00762F3E"/>
    <w:rsid w:val="00763852"/>
    <w:rsid w:val="00763F20"/>
    <w:rsid w:val="00764988"/>
    <w:rsid w:val="00764D97"/>
    <w:rsid w:val="007656BD"/>
    <w:rsid w:val="00765AE0"/>
    <w:rsid w:val="00765D45"/>
    <w:rsid w:val="00765F40"/>
    <w:rsid w:val="00766100"/>
    <w:rsid w:val="00766418"/>
    <w:rsid w:val="0076709A"/>
    <w:rsid w:val="00767718"/>
    <w:rsid w:val="0076781A"/>
    <w:rsid w:val="00767A85"/>
    <w:rsid w:val="00770A0C"/>
    <w:rsid w:val="00770EB6"/>
    <w:rsid w:val="00770FA7"/>
    <w:rsid w:val="00771478"/>
    <w:rsid w:val="00771492"/>
    <w:rsid w:val="00771574"/>
    <w:rsid w:val="007715AE"/>
    <w:rsid w:val="00771D18"/>
    <w:rsid w:val="00772BC4"/>
    <w:rsid w:val="007732FB"/>
    <w:rsid w:val="00773986"/>
    <w:rsid w:val="00773B18"/>
    <w:rsid w:val="007741F1"/>
    <w:rsid w:val="00774342"/>
    <w:rsid w:val="0077444F"/>
    <w:rsid w:val="00774513"/>
    <w:rsid w:val="00774583"/>
    <w:rsid w:val="0077462E"/>
    <w:rsid w:val="00774B70"/>
    <w:rsid w:val="00774D73"/>
    <w:rsid w:val="00774F07"/>
    <w:rsid w:val="00774F95"/>
    <w:rsid w:val="00774FFA"/>
    <w:rsid w:val="007753BD"/>
    <w:rsid w:val="00775523"/>
    <w:rsid w:val="00776486"/>
    <w:rsid w:val="0077651D"/>
    <w:rsid w:val="00776601"/>
    <w:rsid w:val="0077695F"/>
    <w:rsid w:val="00776C75"/>
    <w:rsid w:val="00776F3C"/>
    <w:rsid w:val="007775FB"/>
    <w:rsid w:val="00777691"/>
    <w:rsid w:val="00777E1F"/>
    <w:rsid w:val="00780D8D"/>
    <w:rsid w:val="00780F30"/>
    <w:rsid w:val="00781B06"/>
    <w:rsid w:val="00781B18"/>
    <w:rsid w:val="00781D0F"/>
    <w:rsid w:val="00781FB7"/>
    <w:rsid w:val="00782179"/>
    <w:rsid w:val="0078228A"/>
    <w:rsid w:val="00782537"/>
    <w:rsid w:val="007827E3"/>
    <w:rsid w:val="00783587"/>
    <w:rsid w:val="007843AD"/>
    <w:rsid w:val="00784978"/>
    <w:rsid w:val="00784B14"/>
    <w:rsid w:val="00784F24"/>
    <w:rsid w:val="00784F2D"/>
    <w:rsid w:val="0078545B"/>
    <w:rsid w:val="007858E4"/>
    <w:rsid w:val="007872DD"/>
    <w:rsid w:val="00787EE4"/>
    <w:rsid w:val="007908FA"/>
    <w:rsid w:val="0079096B"/>
    <w:rsid w:val="00790B8D"/>
    <w:rsid w:val="00790CC7"/>
    <w:rsid w:val="0079201F"/>
    <w:rsid w:val="007920F4"/>
    <w:rsid w:val="007923A5"/>
    <w:rsid w:val="00794187"/>
    <w:rsid w:val="007942EE"/>
    <w:rsid w:val="00794742"/>
    <w:rsid w:val="00794D82"/>
    <w:rsid w:val="007955A8"/>
    <w:rsid w:val="00795616"/>
    <w:rsid w:val="00795841"/>
    <w:rsid w:val="007959FA"/>
    <w:rsid w:val="00795B11"/>
    <w:rsid w:val="0079680A"/>
    <w:rsid w:val="007973E3"/>
    <w:rsid w:val="00797975"/>
    <w:rsid w:val="007A01BD"/>
    <w:rsid w:val="007A01CC"/>
    <w:rsid w:val="007A05DE"/>
    <w:rsid w:val="007A0CFB"/>
    <w:rsid w:val="007A1290"/>
    <w:rsid w:val="007A1621"/>
    <w:rsid w:val="007A1A39"/>
    <w:rsid w:val="007A23E4"/>
    <w:rsid w:val="007A2DE9"/>
    <w:rsid w:val="007A3A9A"/>
    <w:rsid w:val="007A53AB"/>
    <w:rsid w:val="007A594C"/>
    <w:rsid w:val="007A59F6"/>
    <w:rsid w:val="007A65B7"/>
    <w:rsid w:val="007A6956"/>
    <w:rsid w:val="007A6DE3"/>
    <w:rsid w:val="007A7971"/>
    <w:rsid w:val="007A7B7F"/>
    <w:rsid w:val="007A7CF0"/>
    <w:rsid w:val="007A7D4E"/>
    <w:rsid w:val="007B0769"/>
    <w:rsid w:val="007B0A37"/>
    <w:rsid w:val="007B0CCD"/>
    <w:rsid w:val="007B0FFF"/>
    <w:rsid w:val="007B132A"/>
    <w:rsid w:val="007B1B1A"/>
    <w:rsid w:val="007B2096"/>
    <w:rsid w:val="007B22B7"/>
    <w:rsid w:val="007B243F"/>
    <w:rsid w:val="007B26AE"/>
    <w:rsid w:val="007B2990"/>
    <w:rsid w:val="007B3458"/>
    <w:rsid w:val="007B3A0A"/>
    <w:rsid w:val="007B3C8A"/>
    <w:rsid w:val="007B4267"/>
    <w:rsid w:val="007B4A23"/>
    <w:rsid w:val="007B4C51"/>
    <w:rsid w:val="007B4F10"/>
    <w:rsid w:val="007B4FAB"/>
    <w:rsid w:val="007B6D03"/>
    <w:rsid w:val="007B6D15"/>
    <w:rsid w:val="007B6D99"/>
    <w:rsid w:val="007C012F"/>
    <w:rsid w:val="007C06CE"/>
    <w:rsid w:val="007C1822"/>
    <w:rsid w:val="007C25CA"/>
    <w:rsid w:val="007C2BE5"/>
    <w:rsid w:val="007C312A"/>
    <w:rsid w:val="007C31AD"/>
    <w:rsid w:val="007C392C"/>
    <w:rsid w:val="007C3F1C"/>
    <w:rsid w:val="007C483A"/>
    <w:rsid w:val="007C4D85"/>
    <w:rsid w:val="007C5C1F"/>
    <w:rsid w:val="007C68BA"/>
    <w:rsid w:val="007C74C8"/>
    <w:rsid w:val="007C7EDF"/>
    <w:rsid w:val="007D09DA"/>
    <w:rsid w:val="007D0A4C"/>
    <w:rsid w:val="007D2087"/>
    <w:rsid w:val="007D25A0"/>
    <w:rsid w:val="007D2A7D"/>
    <w:rsid w:val="007D2ADE"/>
    <w:rsid w:val="007D2C2B"/>
    <w:rsid w:val="007D3AAA"/>
    <w:rsid w:val="007D3DF4"/>
    <w:rsid w:val="007D4356"/>
    <w:rsid w:val="007D442A"/>
    <w:rsid w:val="007D45D3"/>
    <w:rsid w:val="007D5185"/>
    <w:rsid w:val="007D51AB"/>
    <w:rsid w:val="007D544E"/>
    <w:rsid w:val="007D56CE"/>
    <w:rsid w:val="007D5E80"/>
    <w:rsid w:val="007D5F16"/>
    <w:rsid w:val="007D60C1"/>
    <w:rsid w:val="007D6155"/>
    <w:rsid w:val="007D68E5"/>
    <w:rsid w:val="007D6AA7"/>
    <w:rsid w:val="007D73C9"/>
    <w:rsid w:val="007D79BE"/>
    <w:rsid w:val="007D7B1E"/>
    <w:rsid w:val="007E0783"/>
    <w:rsid w:val="007E0F51"/>
    <w:rsid w:val="007E10DD"/>
    <w:rsid w:val="007E13EE"/>
    <w:rsid w:val="007E1496"/>
    <w:rsid w:val="007E1727"/>
    <w:rsid w:val="007E1C27"/>
    <w:rsid w:val="007E1DE1"/>
    <w:rsid w:val="007E21B1"/>
    <w:rsid w:val="007E3405"/>
    <w:rsid w:val="007E34B1"/>
    <w:rsid w:val="007E35B4"/>
    <w:rsid w:val="007E36AE"/>
    <w:rsid w:val="007E38DC"/>
    <w:rsid w:val="007E3AB4"/>
    <w:rsid w:val="007E416A"/>
    <w:rsid w:val="007E44FB"/>
    <w:rsid w:val="007E46B5"/>
    <w:rsid w:val="007E480F"/>
    <w:rsid w:val="007E4F41"/>
    <w:rsid w:val="007E5262"/>
    <w:rsid w:val="007E59F3"/>
    <w:rsid w:val="007E6558"/>
    <w:rsid w:val="007E6BD1"/>
    <w:rsid w:val="007E6F49"/>
    <w:rsid w:val="007E6FAC"/>
    <w:rsid w:val="007E73FC"/>
    <w:rsid w:val="007E7BC1"/>
    <w:rsid w:val="007F005D"/>
    <w:rsid w:val="007F0512"/>
    <w:rsid w:val="007F08F5"/>
    <w:rsid w:val="007F135A"/>
    <w:rsid w:val="007F14B9"/>
    <w:rsid w:val="007F1968"/>
    <w:rsid w:val="007F1AC0"/>
    <w:rsid w:val="007F21E0"/>
    <w:rsid w:val="007F225C"/>
    <w:rsid w:val="007F24D9"/>
    <w:rsid w:val="007F26FC"/>
    <w:rsid w:val="007F2DF1"/>
    <w:rsid w:val="007F2E57"/>
    <w:rsid w:val="007F3198"/>
    <w:rsid w:val="007F45C8"/>
    <w:rsid w:val="007F4C3E"/>
    <w:rsid w:val="007F535F"/>
    <w:rsid w:val="007F573B"/>
    <w:rsid w:val="007F586B"/>
    <w:rsid w:val="007F596F"/>
    <w:rsid w:val="007F5B0D"/>
    <w:rsid w:val="007F5F7A"/>
    <w:rsid w:val="007F6020"/>
    <w:rsid w:val="007F676F"/>
    <w:rsid w:val="007F67A4"/>
    <w:rsid w:val="007F6FAD"/>
    <w:rsid w:val="007F7090"/>
    <w:rsid w:val="007F749B"/>
    <w:rsid w:val="007F7565"/>
    <w:rsid w:val="007F7BA1"/>
    <w:rsid w:val="007F7DD9"/>
    <w:rsid w:val="00800087"/>
    <w:rsid w:val="008000F2"/>
    <w:rsid w:val="008006A1"/>
    <w:rsid w:val="00800B51"/>
    <w:rsid w:val="0080218D"/>
    <w:rsid w:val="008029E0"/>
    <w:rsid w:val="00802CD9"/>
    <w:rsid w:val="00802EB5"/>
    <w:rsid w:val="00802F5C"/>
    <w:rsid w:val="0080343C"/>
    <w:rsid w:val="008042E6"/>
    <w:rsid w:val="00804A94"/>
    <w:rsid w:val="00804D8A"/>
    <w:rsid w:val="008054DC"/>
    <w:rsid w:val="00806C1B"/>
    <w:rsid w:val="00807730"/>
    <w:rsid w:val="00807A41"/>
    <w:rsid w:val="00807FFC"/>
    <w:rsid w:val="00810213"/>
    <w:rsid w:val="00810CDA"/>
    <w:rsid w:val="00810F4B"/>
    <w:rsid w:val="00811052"/>
    <w:rsid w:val="008111B4"/>
    <w:rsid w:val="008115BA"/>
    <w:rsid w:val="00811835"/>
    <w:rsid w:val="00811A79"/>
    <w:rsid w:val="00813146"/>
    <w:rsid w:val="00813B49"/>
    <w:rsid w:val="00814119"/>
    <w:rsid w:val="0081521F"/>
    <w:rsid w:val="008152F6"/>
    <w:rsid w:val="00815812"/>
    <w:rsid w:val="00815D32"/>
    <w:rsid w:val="0081635B"/>
    <w:rsid w:val="008163F8"/>
    <w:rsid w:val="00816BE4"/>
    <w:rsid w:val="0081701A"/>
    <w:rsid w:val="00817A1D"/>
    <w:rsid w:val="00817D7D"/>
    <w:rsid w:val="00820227"/>
    <w:rsid w:val="00820D21"/>
    <w:rsid w:val="0082124D"/>
    <w:rsid w:val="00821ED9"/>
    <w:rsid w:val="0082356B"/>
    <w:rsid w:val="00823B1C"/>
    <w:rsid w:val="00824657"/>
    <w:rsid w:val="00824CEE"/>
    <w:rsid w:val="008251A4"/>
    <w:rsid w:val="00825B3C"/>
    <w:rsid w:val="00825BEA"/>
    <w:rsid w:val="00826BC8"/>
    <w:rsid w:val="00826F6C"/>
    <w:rsid w:val="00827472"/>
    <w:rsid w:val="0082762F"/>
    <w:rsid w:val="0082798B"/>
    <w:rsid w:val="00827AE6"/>
    <w:rsid w:val="0083016E"/>
    <w:rsid w:val="008303E0"/>
    <w:rsid w:val="008305EB"/>
    <w:rsid w:val="00830A43"/>
    <w:rsid w:val="00830AC2"/>
    <w:rsid w:val="00830D15"/>
    <w:rsid w:val="00831518"/>
    <w:rsid w:val="008316C9"/>
    <w:rsid w:val="0083178D"/>
    <w:rsid w:val="0083213E"/>
    <w:rsid w:val="00832827"/>
    <w:rsid w:val="008330E3"/>
    <w:rsid w:val="008333B6"/>
    <w:rsid w:val="00834E9D"/>
    <w:rsid w:val="00835AA4"/>
    <w:rsid w:val="008368C9"/>
    <w:rsid w:val="0083780D"/>
    <w:rsid w:val="00837922"/>
    <w:rsid w:val="008402C1"/>
    <w:rsid w:val="00841577"/>
    <w:rsid w:val="00841ABA"/>
    <w:rsid w:val="0084291A"/>
    <w:rsid w:val="00842F28"/>
    <w:rsid w:val="00842F5B"/>
    <w:rsid w:val="00843BA7"/>
    <w:rsid w:val="00843C77"/>
    <w:rsid w:val="008450A6"/>
    <w:rsid w:val="008455B3"/>
    <w:rsid w:val="00845791"/>
    <w:rsid w:val="00845EF1"/>
    <w:rsid w:val="0084677E"/>
    <w:rsid w:val="00846850"/>
    <w:rsid w:val="00846BA1"/>
    <w:rsid w:val="008479E2"/>
    <w:rsid w:val="00847F80"/>
    <w:rsid w:val="00850A0C"/>
    <w:rsid w:val="0085150E"/>
    <w:rsid w:val="00851A63"/>
    <w:rsid w:val="00851B77"/>
    <w:rsid w:val="00851F04"/>
    <w:rsid w:val="00852A6F"/>
    <w:rsid w:val="00853007"/>
    <w:rsid w:val="0085332B"/>
    <w:rsid w:val="0085368C"/>
    <w:rsid w:val="008537EE"/>
    <w:rsid w:val="0085395F"/>
    <w:rsid w:val="00853A45"/>
    <w:rsid w:val="00854886"/>
    <w:rsid w:val="00854B06"/>
    <w:rsid w:val="00854BCA"/>
    <w:rsid w:val="00855408"/>
    <w:rsid w:val="0085624E"/>
    <w:rsid w:val="008563A5"/>
    <w:rsid w:val="008568BD"/>
    <w:rsid w:val="00856DB4"/>
    <w:rsid w:val="0085705D"/>
    <w:rsid w:val="00857676"/>
    <w:rsid w:val="008576FA"/>
    <w:rsid w:val="008601FA"/>
    <w:rsid w:val="00860556"/>
    <w:rsid w:val="008614ED"/>
    <w:rsid w:val="008619D7"/>
    <w:rsid w:val="00861F4F"/>
    <w:rsid w:val="0086234E"/>
    <w:rsid w:val="008624D7"/>
    <w:rsid w:val="008629C8"/>
    <w:rsid w:val="008629EA"/>
    <w:rsid w:val="00862F87"/>
    <w:rsid w:val="00862F8A"/>
    <w:rsid w:val="00863152"/>
    <w:rsid w:val="008632B8"/>
    <w:rsid w:val="00863580"/>
    <w:rsid w:val="00863B4E"/>
    <w:rsid w:val="00863EE9"/>
    <w:rsid w:val="00864255"/>
    <w:rsid w:val="0086461C"/>
    <w:rsid w:val="00864750"/>
    <w:rsid w:val="00865142"/>
    <w:rsid w:val="0086534A"/>
    <w:rsid w:val="008653FA"/>
    <w:rsid w:val="0086547C"/>
    <w:rsid w:val="008654FA"/>
    <w:rsid w:val="0086593C"/>
    <w:rsid w:val="00865C9A"/>
    <w:rsid w:val="00865CCD"/>
    <w:rsid w:val="00866940"/>
    <w:rsid w:val="00866FD0"/>
    <w:rsid w:val="008674E6"/>
    <w:rsid w:val="008700BD"/>
    <w:rsid w:val="0087033B"/>
    <w:rsid w:val="0087045C"/>
    <w:rsid w:val="00870D20"/>
    <w:rsid w:val="00872071"/>
    <w:rsid w:val="00872920"/>
    <w:rsid w:val="00872BA5"/>
    <w:rsid w:val="00872D9B"/>
    <w:rsid w:val="00872E80"/>
    <w:rsid w:val="00873265"/>
    <w:rsid w:val="00873B7A"/>
    <w:rsid w:val="00873DD7"/>
    <w:rsid w:val="008740D3"/>
    <w:rsid w:val="0087414F"/>
    <w:rsid w:val="00874574"/>
    <w:rsid w:val="008746A6"/>
    <w:rsid w:val="00874759"/>
    <w:rsid w:val="00874A6A"/>
    <w:rsid w:val="00874BDC"/>
    <w:rsid w:val="00875651"/>
    <w:rsid w:val="0087570F"/>
    <w:rsid w:val="00875997"/>
    <w:rsid w:val="00876786"/>
    <w:rsid w:val="00876A43"/>
    <w:rsid w:val="00877A73"/>
    <w:rsid w:val="00880795"/>
    <w:rsid w:val="008808D8"/>
    <w:rsid w:val="0088096A"/>
    <w:rsid w:val="00880E85"/>
    <w:rsid w:val="00881118"/>
    <w:rsid w:val="008816CB"/>
    <w:rsid w:val="0088177A"/>
    <w:rsid w:val="00881D22"/>
    <w:rsid w:val="00881DA5"/>
    <w:rsid w:val="00881F92"/>
    <w:rsid w:val="0088200D"/>
    <w:rsid w:val="00883396"/>
    <w:rsid w:val="00883ECE"/>
    <w:rsid w:val="00883FE4"/>
    <w:rsid w:val="00884866"/>
    <w:rsid w:val="00884FC6"/>
    <w:rsid w:val="00885085"/>
    <w:rsid w:val="008858D6"/>
    <w:rsid w:val="00885BD7"/>
    <w:rsid w:val="00885C08"/>
    <w:rsid w:val="00885C96"/>
    <w:rsid w:val="00885CCF"/>
    <w:rsid w:val="00886368"/>
    <w:rsid w:val="0088640E"/>
    <w:rsid w:val="00886884"/>
    <w:rsid w:val="00886B9C"/>
    <w:rsid w:val="00886FC0"/>
    <w:rsid w:val="00887089"/>
    <w:rsid w:val="008870AF"/>
    <w:rsid w:val="0088730E"/>
    <w:rsid w:val="008873D5"/>
    <w:rsid w:val="00887C8B"/>
    <w:rsid w:val="008901DE"/>
    <w:rsid w:val="008904C0"/>
    <w:rsid w:val="00890944"/>
    <w:rsid w:val="00891793"/>
    <w:rsid w:val="00891D34"/>
    <w:rsid w:val="008921BC"/>
    <w:rsid w:val="008928F4"/>
    <w:rsid w:val="00892950"/>
    <w:rsid w:val="008931A1"/>
    <w:rsid w:val="008931D7"/>
    <w:rsid w:val="00893281"/>
    <w:rsid w:val="00893373"/>
    <w:rsid w:val="008934FE"/>
    <w:rsid w:val="00893C1E"/>
    <w:rsid w:val="00893CF3"/>
    <w:rsid w:val="00893D7B"/>
    <w:rsid w:val="00894055"/>
    <w:rsid w:val="008952D9"/>
    <w:rsid w:val="00895880"/>
    <w:rsid w:val="0089598C"/>
    <w:rsid w:val="00895EF6"/>
    <w:rsid w:val="00897F70"/>
    <w:rsid w:val="008A00F1"/>
    <w:rsid w:val="008A0F7F"/>
    <w:rsid w:val="008A119D"/>
    <w:rsid w:val="008A1D27"/>
    <w:rsid w:val="008A211C"/>
    <w:rsid w:val="008A238F"/>
    <w:rsid w:val="008A29C2"/>
    <w:rsid w:val="008A2E87"/>
    <w:rsid w:val="008A3469"/>
    <w:rsid w:val="008A4D4F"/>
    <w:rsid w:val="008A4D93"/>
    <w:rsid w:val="008A5453"/>
    <w:rsid w:val="008A57E5"/>
    <w:rsid w:val="008A60D2"/>
    <w:rsid w:val="008A65EA"/>
    <w:rsid w:val="008A67B9"/>
    <w:rsid w:val="008A68F2"/>
    <w:rsid w:val="008A7450"/>
    <w:rsid w:val="008A7A6C"/>
    <w:rsid w:val="008B0725"/>
    <w:rsid w:val="008B0D91"/>
    <w:rsid w:val="008B10CE"/>
    <w:rsid w:val="008B1D71"/>
    <w:rsid w:val="008B3E98"/>
    <w:rsid w:val="008B5307"/>
    <w:rsid w:val="008B5AA4"/>
    <w:rsid w:val="008B5CB5"/>
    <w:rsid w:val="008B5CF1"/>
    <w:rsid w:val="008B5CF3"/>
    <w:rsid w:val="008B5DAD"/>
    <w:rsid w:val="008B60DA"/>
    <w:rsid w:val="008B6443"/>
    <w:rsid w:val="008B64D5"/>
    <w:rsid w:val="008B6727"/>
    <w:rsid w:val="008B68F7"/>
    <w:rsid w:val="008B6EE5"/>
    <w:rsid w:val="008B706D"/>
    <w:rsid w:val="008B724A"/>
    <w:rsid w:val="008B74FC"/>
    <w:rsid w:val="008B798A"/>
    <w:rsid w:val="008C0443"/>
    <w:rsid w:val="008C0A2F"/>
    <w:rsid w:val="008C0FC6"/>
    <w:rsid w:val="008C112A"/>
    <w:rsid w:val="008C140C"/>
    <w:rsid w:val="008C1450"/>
    <w:rsid w:val="008C148A"/>
    <w:rsid w:val="008C1743"/>
    <w:rsid w:val="008C1CF5"/>
    <w:rsid w:val="008C1E2E"/>
    <w:rsid w:val="008C31BA"/>
    <w:rsid w:val="008C371F"/>
    <w:rsid w:val="008C3A04"/>
    <w:rsid w:val="008C4A60"/>
    <w:rsid w:val="008C57B6"/>
    <w:rsid w:val="008C5FF0"/>
    <w:rsid w:val="008C642A"/>
    <w:rsid w:val="008C64B8"/>
    <w:rsid w:val="008C64D5"/>
    <w:rsid w:val="008C6A20"/>
    <w:rsid w:val="008C7A89"/>
    <w:rsid w:val="008C7B86"/>
    <w:rsid w:val="008D0094"/>
    <w:rsid w:val="008D0F27"/>
    <w:rsid w:val="008D14AA"/>
    <w:rsid w:val="008D19DB"/>
    <w:rsid w:val="008D1A72"/>
    <w:rsid w:val="008D1B92"/>
    <w:rsid w:val="008D1BE9"/>
    <w:rsid w:val="008D3914"/>
    <w:rsid w:val="008D48EB"/>
    <w:rsid w:val="008D49A0"/>
    <w:rsid w:val="008D4FE5"/>
    <w:rsid w:val="008D52CB"/>
    <w:rsid w:val="008D5704"/>
    <w:rsid w:val="008D5B27"/>
    <w:rsid w:val="008D60BB"/>
    <w:rsid w:val="008D69F2"/>
    <w:rsid w:val="008D6B69"/>
    <w:rsid w:val="008D6C7B"/>
    <w:rsid w:val="008D7B3A"/>
    <w:rsid w:val="008D7DF2"/>
    <w:rsid w:val="008E03DE"/>
    <w:rsid w:val="008E0626"/>
    <w:rsid w:val="008E0AAD"/>
    <w:rsid w:val="008E11BE"/>
    <w:rsid w:val="008E1455"/>
    <w:rsid w:val="008E1A1F"/>
    <w:rsid w:val="008E2194"/>
    <w:rsid w:val="008E23D7"/>
    <w:rsid w:val="008E2780"/>
    <w:rsid w:val="008E2E15"/>
    <w:rsid w:val="008E3518"/>
    <w:rsid w:val="008E45CD"/>
    <w:rsid w:val="008E4642"/>
    <w:rsid w:val="008E4820"/>
    <w:rsid w:val="008E498B"/>
    <w:rsid w:val="008E4B86"/>
    <w:rsid w:val="008E4DE4"/>
    <w:rsid w:val="008E4EE5"/>
    <w:rsid w:val="008E5116"/>
    <w:rsid w:val="008E565C"/>
    <w:rsid w:val="008E5887"/>
    <w:rsid w:val="008E6049"/>
    <w:rsid w:val="008E6488"/>
    <w:rsid w:val="008E6EFD"/>
    <w:rsid w:val="008E6F81"/>
    <w:rsid w:val="008E797D"/>
    <w:rsid w:val="008E7B57"/>
    <w:rsid w:val="008E7C29"/>
    <w:rsid w:val="008E7EB3"/>
    <w:rsid w:val="008F0545"/>
    <w:rsid w:val="008F0BD2"/>
    <w:rsid w:val="008F0F3A"/>
    <w:rsid w:val="008F2E34"/>
    <w:rsid w:val="008F37BE"/>
    <w:rsid w:val="008F43F8"/>
    <w:rsid w:val="008F4EA5"/>
    <w:rsid w:val="008F4EE3"/>
    <w:rsid w:val="008F54E1"/>
    <w:rsid w:val="008F70CC"/>
    <w:rsid w:val="008F723E"/>
    <w:rsid w:val="008F7AE7"/>
    <w:rsid w:val="008F7D0B"/>
    <w:rsid w:val="0090030E"/>
    <w:rsid w:val="00900443"/>
    <w:rsid w:val="009012DF"/>
    <w:rsid w:val="00901EBC"/>
    <w:rsid w:val="00902372"/>
    <w:rsid w:val="009026DF"/>
    <w:rsid w:val="00902BE4"/>
    <w:rsid w:val="00903160"/>
    <w:rsid w:val="00903ABA"/>
    <w:rsid w:val="0090466A"/>
    <w:rsid w:val="00904FDF"/>
    <w:rsid w:val="00905065"/>
    <w:rsid w:val="00905177"/>
    <w:rsid w:val="00906402"/>
    <w:rsid w:val="0090644A"/>
    <w:rsid w:val="00906B36"/>
    <w:rsid w:val="00906BAF"/>
    <w:rsid w:val="0090784C"/>
    <w:rsid w:val="009079B9"/>
    <w:rsid w:val="00907CC2"/>
    <w:rsid w:val="00907D69"/>
    <w:rsid w:val="00910029"/>
    <w:rsid w:val="00910529"/>
    <w:rsid w:val="009105EE"/>
    <w:rsid w:val="00910865"/>
    <w:rsid w:val="00911C36"/>
    <w:rsid w:val="00912164"/>
    <w:rsid w:val="00912420"/>
    <w:rsid w:val="009125E4"/>
    <w:rsid w:val="00913019"/>
    <w:rsid w:val="00913828"/>
    <w:rsid w:val="00913965"/>
    <w:rsid w:val="0091412B"/>
    <w:rsid w:val="009142CE"/>
    <w:rsid w:val="00914496"/>
    <w:rsid w:val="00914A33"/>
    <w:rsid w:val="00914A87"/>
    <w:rsid w:val="00914B48"/>
    <w:rsid w:val="00914E44"/>
    <w:rsid w:val="00914F4A"/>
    <w:rsid w:val="0091560A"/>
    <w:rsid w:val="009163C6"/>
    <w:rsid w:val="009168EE"/>
    <w:rsid w:val="00916A8F"/>
    <w:rsid w:val="00916B97"/>
    <w:rsid w:val="00916C5B"/>
    <w:rsid w:val="0091746B"/>
    <w:rsid w:val="009176EF"/>
    <w:rsid w:val="00917F10"/>
    <w:rsid w:val="00920A36"/>
    <w:rsid w:val="00920E2E"/>
    <w:rsid w:val="009212FF"/>
    <w:rsid w:val="00921628"/>
    <w:rsid w:val="00921A79"/>
    <w:rsid w:val="0092217A"/>
    <w:rsid w:val="00922887"/>
    <w:rsid w:val="00922B4A"/>
    <w:rsid w:val="009230C1"/>
    <w:rsid w:val="00923C5A"/>
    <w:rsid w:val="00923C79"/>
    <w:rsid w:val="0092409F"/>
    <w:rsid w:val="00924C73"/>
    <w:rsid w:val="00925451"/>
    <w:rsid w:val="009256D8"/>
    <w:rsid w:val="00926A1A"/>
    <w:rsid w:val="00926F89"/>
    <w:rsid w:val="00926FC4"/>
    <w:rsid w:val="00927580"/>
    <w:rsid w:val="009277B0"/>
    <w:rsid w:val="00927814"/>
    <w:rsid w:val="00927DDF"/>
    <w:rsid w:val="00930365"/>
    <w:rsid w:val="00930AC9"/>
    <w:rsid w:val="00931453"/>
    <w:rsid w:val="00931E64"/>
    <w:rsid w:val="00931F77"/>
    <w:rsid w:val="00932E9D"/>
    <w:rsid w:val="00933248"/>
    <w:rsid w:val="0093357F"/>
    <w:rsid w:val="00934506"/>
    <w:rsid w:val="0093462E"/>
    <w:rsid w:val="00934D6C"/>
    <w:rsid w:val="00935D05"/>
    <w:rsid w:val="00935E42"/>
    <w:rsid w:val="00936597"/>
    <w:rsid w:val="009369AB"/>
    <w:rsid w:val="00936C54"/>
    <w:rsid w:val="00936D44"/>
    <w:rsid w:val="00937026"/>
    <w:rsid w:val="00937882"/>
    <w:rsid w:val="00937933"/>
    <w:rsid w:val="00937E9C"/>
    <w:rsid w:val="00937EB9"/>
    <w:rsid w:val="0094056D"/>
    <w:rsid w:val="0094085B"/>
    <w:rsid w:val="00940ABE"/>
    <w:rsid w:val="00940B2D"/>
    <w:rsid w:val="00941765"/>
    <w:rsid w:val="009424D2"/>
    <w:rsid w:val="0094252C"/>
    <w:rsid w:val="009430C1"/>
    <w:rsid w:val="009431B9"/>
    <w:rsid w:val="0094339B"/>
    <w:rsid w:val="00943BAA"/>
    <w:rsid w:val="00943F5B"/>
    <w:rsid w:val="00945339"/>
    <w:rsid w:val="009454AE"/>
    <w:rsid w:val="00945761"/>
    <w:rsid w:val="00945B57"/>
    <w:rsid w:val="00945BFB"/>
    <w:rsid w:val="00946252"/>
    <w:rsid w:val="00947129"/>
    <w:rsid w:val="009479B8"/>
    <w:rsid w:val="00947A6A"/>
    <w:rsid w:val="00947AAC"/>
    <w:rsid w:val="00947CD4"/>
    <w:rsid w:val="00950806"/>
    <w:rsid w:val="009514D6"/>
    <w:rsid w:val="0095195F"/>
    <w:rsid w:val="009524F5"/>
    <w:rsid w:val="009526B3"/>
    <w:rsid w:val="009526F0"/>
    <w:rsid w:val="00952BF3"/>
    <w:rsid w:val="0095325C"/>
    <w:rsid w:val="0095347A"/>
    <w:rsid w:val="009535F8"/>
    <w:rsid w:val="00953967"/>
    <w:rsid w:val="00954602"/>
    <w:rsid w:val="009549A8"/>
    <w:rsid w:val="00954F9C"/>
    <w:rsid w:val="00954FC0"/>
    <w:rsid w:val="0095503D"/>
    <w:rsid w:val="0095531F"/>
    <w:rsid w:val="00955355"/>
    <w:rsid w:val="0095535C"/>
    <w:rsid w:val="00956630"/>
    <w:rsid w:val="00956C8A"/>
    <w:rsid w:val="009613AF"/>
    <w:rsid w:val="009614FB"/>
    <w:rsid w:val="009618C6"/>
    <w:rsid w:val="00961949"/>
    <w:rsid w:val="00961FE3"/>
    <w:rsid w:val="00962445"/>
    <w:rsid w:val="00962DD3"/>
    <w:rsid w:val="00963160"/>
    <w:rsid w:val="009631F9"/>
    <w:rsid w:val="009633CA"/>
    <w:rsid w:val="0096340D"/>
    <w:rsid w:val="009635EB"/>
    <w:rsid w:val="00964876"/>
    <w:rsid w:val="009648E5"/>
    <w:rsid w:val="00964A67"/>
    <w:rsid w:val="0096569D"/>
    <w:rsid w:val="00965B2A"/>
    <w:rsid w:val="00965EF0"/>
    <w:rsid w:val="00966DD5"/>
    <w:rsid w:val="00966F07"/>
    <w:rsid w:val="009671E0"/>
    <w:rsid w:val="009675AA"/>
    <w:rsid w:val="0097049F"/>
    <w:rsid w:val="00970584"/>
    <w:rsid w:val="009709C6"/>
    <w:rsid w:val="009712F4"/>
    <w:rsid w:val="009717AC"/>
    <w:rsid w:val="009717F4"/>
    <w:rsid w:val="009719B3"/>
    <w:rsid w:val="00971E68"/>
    <w:rsid w:val="00972125"/>
    <w:rsid w:val="00972520"/>
    <w:rsid w:val="00972C84"/>
    <w:rsid w:val="009730F3"/>
    <w:rsid w:val="00973125"/>
    <w:rsid w:val="00973BA5"/>
    <w:rsid w:val="00973FCC"/>
    <w:rsid w:val="0097512D"/>
    <w:rsid w:val="00975240"/>
    <w:rsid w:val="009759A5"/>
    <w:rsid w:val="00976E18"/>
    <w:rsid w:val="00977178"/>
    <w:rsid w:val="0097756E"/>
    <w:rsid w:val="00977596"/>
    <w:rsid w:val="0097785D"/>
    <w:rsid w:val="00977875"/>
    <w:rsid w:val="00980027"/>
    <w:rsid w:val="009819AF"/>
    <w:rsid w:val="00982E56"/>
    <w:rsid w:val="00982FC8"/>
    <w:rsid w:val="009835BF"/>
    <w:rsid w:val="009836C2"/>
    <w:rsid w:val="00983B45"/>
    <w:rsid w:val="009847BF"/>
    <w:rsid w:val="009848AE"/>
    <w:rsid w:val="00984C45"/>
    <w:rsid w:val="009861FB"/>
    <w:rsid w:val="00986707"/>
    <w:rsid w:val="009868E1"/>
    <w:rsid w:val="00986A17"/>
    <w:rsid w:val="00986A63"/>
    <w:rsid w:val="00986BE2"/>
    <w:rsid w:val="009879B2"/>
    <w:rsid w:val="0099042E"/>
    <w:rsid w:val="00990CC1"/>
    <w:rsid w:val="00991F9F"/>
    <w:rsid w:val="009920D0"/>
    <w:rsid w:val="009928A9"/>
    <w:rsid w:val="00992EC1"/>
    <w:rsid w:val="00992EFD"/>
    <w:rsid w:val="00993395"/>
    <w:rsid w:val="009939E9"/>
    <w:rsid w:val="00993B8B"/>
    <w:rsid w:val="00993D28"/>
    <w:rsid w:val="00994061"/>
    <w:rsid w:val="009942DD"/>
    <w:rsid w:val="009947BD"/>
    <w:rsid w:val="00994A6D"/>
    <w:rsid w:val="00994AC0"/>
    <w:rsid w:val="00994E6D"/>
    <w:rsid w:val="00994FBF"/>
    <w:rsid w:val="00995C22"/>
    <w:rsid w:val="00995E13"/>
    <w:rsid w:val="00996893"/>
    <w:rsid w:val="00996FCB"/>
    <w:rsid w:val="00997112"/>
    <w:rsid w:val="0099783A"/>
    <w:rsid w:val="00997914"/>
    <w:rsid w:val="00997CE6"/>
    <w:rsid w:val="009A03C8"/>
    <w:rsid w:val="009A0AAA"/>
    <w:rsid w:val="009A150A"/>
    <w:rsid w:val="009A1549"/>
    <w:rsid w:val="009A1EBB"/>
    <w:rsid w:val="009A1EF0"/>
    <w:rsid w:val="009A24BC"/>
    <w:rsid w:val="009A24CE"/>
    <w:rsid w:val="009A31D9"/>
    <w:rsid w:val="009A44F7"/>
    <w:rsid w:val="009A4C61"/>
    <w:rsid w:val="009A4CE3"/>
    <w:rsid w:val="009A5008"/>
    <w:rsid w:val="009A5535"/>
    <w:rsid w:val="009A5590"/>
    <w:rsid w:val="009A6C37"/>
    <w:rsid w:val="009A6D03"/>
    <w:rsid w:val="009A6DB5"/>
    <w:rsid w:val="009A70C2"/>
    <w:rsid w:val="009A7EEA"/>
    <w:rsid w:val="009A7EF6"/>
    <w:rsid w:val="009B0E8A"/>
    <w:rsid w:val="009B11BA"/>
    <w:rsid w:val="009B1322"/>
    <w:rsid w:val="009B1327"/>
    <w:rsid w:val="009B1450"/>
    <w:rsid w:val="009B2354"/>
    <w:rsid w:val="009B2E6D"/>
    <w:rsid w:val="009B3711"/>
    <w:rsid w:val="009B3E1E"/>
    <w:rsid w:val="009B4F74"/>
    <w:rsid w:val="009B5250"/>
    <w:rsid w:val="009B597C"/>
    <w:rsid w:val="009B5B3E"/>
    <w:rsid w:val="009B5FD9"/>
    <w:rsid w:val="009B64A9"/>
    <w:rsid w:val="009B6A9B"/>
    <w:rsid w:val="009B7265"/>
    <w:rsid w:val="009B779D"/>
    <w:rsid w:val="009B7FB0"/>
    <w:rsid w:val="009C04BD"/>
    <w:rsid w:val="009C04FA"/>
    <w:rsid w:val="009C06BF"/>
    <w:rsid w:val="009C09AB"/>
    <w:rsid w:val="009C1317"/>
    <w:rsid w:val="009C1380"/>
    <w:rsid w:val="009C18E9"/>
    <w:rsid w:val="009C1A47"/>
    <w:rsid w:val="009C1F2D"/>
    <w:rsid w:val="009C1F40"/>
    <w:rsid w:val="009C26A0"/>
    <w:rsid w:val="009C29B9"/>
    <w:rsid w:val="009C317A"/>
    <w:rsid w:val="009C32D6"/>
    <w:rsid w:val="009C357B"/>
    <w:rsid w:val="009C3892"/>
    <w:rsid w:val="009C3F96"/>
    <w:rsid w:val="009C4BE5"/>
    <w:rsid w:val="009C4C8A"/>
    <w:rsid w:val="009C5BAE"/>
    <w:rsid w:val="009C5EEC"/>
    <w:rsid w:val="009C612E"/>
    <w:rsid w:val="009C6E9D"/>
    <w:rsid w:val="009C730B"/>
    <w:rsid w:val="009C7512"/>
    <w:rsid w:val="009D0829"/>
    <w:rsid w:val="009D0A5A"/>
    <w:rsid w:val="009D143E"/>
    <w:rsid w:val="009D18F8"/>
    <w:rsid w:val="009D2444"/>
    <w:rsid w:val="009D244F"/>
    <w:rsid w:val="009D26FB"/>
    <w:rsid w:val="009D37A2"/>
    <w:rsid w:val="009D4B67"/>
    <w:rsid w:val="009D4FF9"/>
    <w:rsid w:val="009D532F"/>
    <w:rsid w:val="009D5435"/>
    <w:rsid w:val="009D62A1"/>
    <w:rsid w:val="009D63CA"/>
    <w:rsid w:val="009D6637"/>
    <w:rsid w:val="009D67F8"/>
    <w:rsid w:val="009D686E"/>
    <w:rsid w:val="009D6ECB"/>
    <w:rsid w:val="009E0799"/>
    <w:rsid w:val="009E0C0E"/>
    <w:rsid w:val="009E0EA4"/>
    <w:rsid w:val="009E116C"/>
    <w:rsid w:val="009E124C"/>
    <w:rsid w:val="009E15A2"/>
    <w:rsid w:val="009E1B0A"/>
    <w:rsid w:val="009E224A"/>
    <w:rsid w:val="009E2750"/>
    <w:rsid w:val="009E2D12"/>
    <w:rsid w:val="009E39DB"/>
    <w:rsid w:val="009E3BAD"/>
    <w:rsid w:val="009E4213"/>
    <w:rsid w:val="009E4331"/>
    <w:rsid w:val="009E4794"/>
    <w:rsid w:val="009E5777"/>
    <w:rsid w:val="009E5CEA"/>
    <w:rsid w:val="009E63DD"/>
    <w:rsid w:val="009E7256"/>
    <w:rsid w:val="009E75F5"/>
    <w:rsid w:val="009E7B05"/>
    <w:rsid w:val="009E7B1F"/>
    <w:rsid w:val="009E7B80"/>
    <w:rsid w:val="009E7FD0"/>
    <w:rsid w:val="009F040E"/>
    <w:rsid w:val="009F091C"/>
    <w:rsid w:val="009F180C"/>
    <w:rsid w:val="009F290E"/>
    <w:rsid w:val="009F2EAB"/>
    <w:rsid w:val="009F4706"/>
    <w:rsid w:val="009F49AE"/>
    <w:rsid w:val="009F4B4C"/>
    <w:rsid w:val="009F4DB2"/>
    <w:rsid w:val="009F5163"/>
    <w:rsid w:val="009F54B3"/>
    <w:rsid w:val="009F6054"/>
    <w:rsid w:val="009F6F52"/>
    <w:rsid w:val="009F6FD4"/>
    <w:rsid w:val="009F7270"/>
    <w:rsid w:val="009F770E"/>
    <w:rsid w:val="009F7A76"/>
    <w:rsid w:val="00A001B4"/>
    <w:rsid w:val="00A00D55"/>
    <w:rsid w:val="00A01368"/>
    <w:rsid w:val="00A0143E"/>
    <w:rsid w:val="00A0147A"/>
    <w:rsid w:val="00A019BA"/>
    <w:rsid w:val="00A01F87"/>
    <w:rsid w:val="00A022D4"/>
    <w:rsid w:val="00A02CA3"/>
    <w:rsid w:val="00A02EB6"/>
    <w:rsid w:val="00A03173"/>
    <w:rsid w:val="00A031D5"/>
    <w:rsid w:val="00A033B6"/>
    <w:rsid w:val="00A03436"/>
    <w:rsid w:val="00A038F7"/>
    <w:rsid w:val="00A03AB6"/>
    <w:rsid w:val="00A03CFC"/>
    <w:rsid w:val="00A03D61"/>
    <w:rsid w:val="00A03E30"/>
    <w:rsid w:val="00A04AB4"/>
    <w:rsid w:val="00A050F8"/>
    <w:rsid w:val="00A05BC3"/>
    <w:rsid w:val="00A05C85"/>
    <w:rsid w:val="00A05F19"/>
    <w:rsid w:val="00A0623B"/>
    <w:rsid w:val="00A065CC"/>
    <w:rsid w:val="00A06929"/>
    <w:rsid w:val="00A06935"/>
    <w:rsid w:val="00A06FD6"/>
    <w:rsid w:val="00A075AB"/>
    <w:rsid w:val="00A0772B"/>
    <w:rsid w:val="00A0774B"/>
    <w:rsid w:val="00A107A9"/>
    <w:rsid w:val="00A109C2"/>
    <w:rsid w:val="00A10C0D"/>
    <w:rsid w:val="00A10D28"/>
    <w:rsid w:val="00A111BF"/>
    <w:rsid w:val="00A11A59"/>
    <w:rsid w:val="00A12475"/>
    <w:rsid w:val="00A12E28"/>
    <w:rsid w:val="00A1320A"/>
    <w:rsid w:val="00A13687"/>
    <w:rsid w:val="00A14A63"/>
    <w:rsid w:val="00A15C17"/>
    <w:rsid w:val="00A16319"/>
    <w:rsid w:val="00A16394"/>
    <w:rsid w:val="00A16879"/>
    <w:rsid w:val="00A16D3F"/>
    <w:rsid w:val="00A16F9E"/>
    <w:rsid w:val="00A17707"/>
    <w:rsid w:val="00A2096C"/>
    <w:rsid w:val="00A20F1B"/>
    <w:rsid w:val="00A218C5"/>
    <w:rsid w:val="00A21952"/>
    <w:rsid w:val="00A21AFC"/>
    <w:rsid w:val="00A21D25"/>
    <w:rsid w:val="00A21D2E"/>
    <w:rsid w:val="00A21D80"/>
    <w:rsid w:val="00A2236B"/>
    <w:rsid w:val="00A22436"/>
    <w:rsid w:val="00A22B58"/>
    <w:rsid w:val="00A22DD2"/>
    <w:rsid w:val="00A23453"/>
    <w:rsid w:val="00A235A6"/>
    <w:rsid w:val="00A23A5B"/>
    <w:rsid w:val="00A23CB3"/>
    <w:rsid w:val="00A23E0E"/>
    <w:rsid w:val="00A24F5C"/>
    <w:rsid w:val="00A25100"/>
    <w:rsid w:val="00A2569E"/>
    <w:rsid w:val="00A25ADE"/>
    <w:rsid w:val="00A25BA2"/>
    <w:rsid w:val="00A264F9"/>
    <w:rsid w:val="00A266F2"/>
    <w:rsid w:val="00A27739"/>
    <w:rsid w:val="00A27820"/>
    <w:rsid w:val="00A3134B"/>
    <w:rsid w:val="00A318B7"/>
    <w:rsid w:val="00A3192C"/>
    <w:rsid w:val="00A31A76"/>
    <w:rsid w:val="00A32067"/>
    <w:rsid w:val="00A32487"/>
    <w:rsid w:val="00A3285A"/>
    <w:rsid w:val="00A32AF2"/>
    <w:rsid w:val="00A334F3"/>
    <w:rsid w:val="00A3397D"/>
    <w:rsid w:val="00A33BBC"/>
    <w:rsid w:val="00A33F3D"/>
    <w:rsid w:val="00A3402A"/>
    <w:rsid w:val="00A340AA"/>
    <w:rsid w:val="00A343AC"/>
    <w:rsid w:val="00A35366"/>
    <w:rsid w:val="00A35FB7"/>
    <w:rsid w:val="00A36712"/>
    <w:rsid w:val="00A36AE3"/>
    <w:rsid w:val="00A36E78"/>
    <w:rsid w:val="00A37380"/>
    <w:rsid w:val="00A376A6"/>
    <w:rsid w:val="00A37758"/>
    <w:rsid w:val="00A40322"/>
    <w:rsid w:val="00A40C27"/>
    <w:rsid w:val="00A416FD"/>
    <w:rsid w:val="00A41908"/>
    <w:rsid w:val="00A4212C"/>
    <w:rsid w:val="00A42797"/>
    <w:rsid w:val="00A42B39"/>
    <w:rsid w:val="00A42BA9"/>
    <w:rsid w:val="00A4300E"/>
    <w:rsid w:val="00A43140"/>
    <w:rsid w:val="00A43675"/>
    <w:rsid w:val="00A43795"/>
    <w:rsid w:val="00A445FF"/>
    <w:rsid w:val="00A44A3A"/>
    <w:rsid w:val="00A44CD6"/>
    <w:rsid w:val="00A451F1"/>
    <w:rsid w:val="00A456A3"/>
    <w:rsid w:val="00A45C67"/>
    <w:rsid w:val="00A461FB"/>
    <w:rsid w:val="00A46285"/>
    <w:rsid w:val="00A462F8"/>
    <w:rsid w:val="00A469AC"/>
    <w:rsid w:val="00A46B96"/>
    <w:rsid w:val="00A46D01"/>
    <w:rsid w:val="00A46E23"/>
    <w:rsid w:val="00A50C58"/>
    <w:rsid w:val="00A510AF"/>
    <w:rsid w:val="00A5246F"/>
    <w:rsid w:val="00A52688"/>
    <w:rsid w:val="00A52ABF"/>
    <w:rsid w:val="00A52F3C"/>
    <w:rsid w:val="00A53171"/>
    <w:rsid w:val="00A5337A"/>
    <w:rsid w:val="00A541DE"/>
    <w:rsid w:val="00A54206"/>
    <w:rsid w:val="00A54575"/>
    <w:rsid w:val="00A5477E"/>
    <w:rsid w:val="00A54DED"/>
    <w:rsid w:val="00A552C7"/>
    <w:rsid w:val="00A552F5"/>
    <w:rsid w:val="00A554CA"/>
    <w:rsid w:val="00A5563B"/>
    <w:rsid w:val="00A559A1"/>
    <w:rsid w:val="00A57855"/>
    <w:rsid w:val="00A57E1E"/>
    <w:rsid w:val="00A60B71"/>
    <w:rsid w:val="00A613AA"/>
    <w:rsid w:val="00A61569"/>
    <w:rsid w:val="00A62301"/>
    <w:rsid w:val="00A624AC"/>
    <w:rsid w:val="00A62ED4"/>
    <w:rsid w:val="00A632EC"/>
    <w:rsid w:val="00A6330B"/>
    <w:rsid w:val="00A635B3"/>
    <w:rsid w:val="00A6441D"/>
    <w:rsid w:val="00A65151"/>
    <w:rsid w:val="00A66449"/>
    <w:rsid w:val="00A666BB"/>
    <w:rsid w:val="00A66998"/>
    <w:rsid w:val="00A67F11"/>
    <w:rsid w:val="00A7024B"/>
    <w:rsid w:val="00A70A00"/>
    <w:rsid w:val="00A70A10"/>
    <w:rsid w:val="00A70B33"/>
    <w:rsid w:val="00A7104D"/>
    <w:rsid w:val="00A71251"/>
    <w:rsid w:val="00A716F9"/>
    <w:rsid w:val="00A7195E"/>
    <w:rsid w:val="00A71BFE"/>
    <w:rsid w:val="00A71C1A"/>
    <w:rsid w:val="00A72573"/>
    <w:rsid w:val="00A72DC6"/>
    <w:rsid w:val="00A73185"/>
    <w:rsid w:val="00A733F0"/>
    <w:rsid w:val="00A73403"/>
    <w:rsid w:val="00A73D30"/>
    <w:rsid w:val="00A73D54"/>
    <w:rsid w:val="00A73DBC"/>
    <w:rsid w:val="00A749FC"/>
    <w:rsid w:val="00A753AB"/>
    <w:rsid w:val="00A7564F"/>
    <w:rsid w:val="00A75F9C"/>
    <w:rsid w:val="00A7602D"/>
    <w:rsid w:val="00A76D8A"/>
    <w:rsid w:val="00A77222"/>
    <w:rsid w:val="00A77A9F"/>
    <w:rsid w:val="00A77AD0"/>
    <w:rsid w:val="00A800BA"/>
    <w:rsid w:val="00A802BD"/>
    <w:rsid w:val="00A80956"/>
    <w:rsid w:val="00A81452"/>
    <w:rsid w:val="00A81683"/>
    <w:rsid w:val="00A81E2D"/>
    <w:rsid w:val="00A81EDA"/>
    <w:rsid w:val="00A8250F"/>
    <w:rsid w:val="00A832C0"/>
    <w:rsid w:val="00A83751"/>
    <w:rsid w:val="00A83779"/>
    <w:rsid w:val="00A83EB6"/>
    <w:rsid w:val="00A84049"/>
    <w:rsid w:val="00A85418"/>
    <w:rsid w:val="00A85A8E"/>
    <w:rsid w:val="00A8680C"/>
    <w:rsid w:val="00A869B9"/>
    <w:rsid w:val="00A87273"/>
    <w:rsid w:val="00A87C7A"/>
    <w:rsid w:val="00A87C81"/>
    <w:rsid w:val="00A90105"/>
    <w:rsid w:val="00A907B6"/>
    <w:rsid w:val="00A90E7D"/>
    <w:rsid w:val="00A91020"/>
    <w:rsid w:val="00A911FE"/>
    <w:rsid w:val="00A91547"/>
    <w:rsid w:val="00A918BD"/>
    <w:rsid w:val="00A92694"/>
    <w:rsid w:val="00A92698"/>
    <w:rsid w:val="00A926F3"/>
    <w:rsid w:val="00A938AC"/>
    <w:rsid w:val="00A93C36"/>
    <w:rsid w:val="00A93F50"/>
    <w:rsid w:val="00A94329"/>
    <w:rsid w:val="00A94385"/>
    <w:rsid w:val="00A9479A"/>
    <w:rsid w:val="00A9486F"/>
    <w:rsid w:val="00A95633"/>
    <w:rsid w:val="00A956A0"/>
    <w:rsid w:val="00A95B22"/>
    <w:rsid w:val="00A9615E"/>
    <w:rsid w:val="00A96ACA"/>
    <w:rsid w:val="00A9712C"/>
    <w:rsid w:val="00A97347"/>
    <w:rsid w:val="00A97ECB"/>
    <w:rsid w:val="00A97F58"/>
    <w:rsid w:val="00AA026F"/>
    <w:rsid w:val="00AA054D"/>
    <w:rsid w:val="00AA0601"/>
    <w:rsid w:val="00AA0692"/>
    <w:rsid w:val="00AA0974"/>
    <w:rsid w:val="00AA22CE"/>
    <w:rsid w:val="00AA3069"/>
    <w:rsid w:val="00AA3532"/>
    <w:rsid w:val="00AA379F"/>
    <w:rsid w:val="00AA397E"/>
    <w:rsid w:val="00AA3B3D"/>
    <w:rsid w:val="00AA419A"/>
    <w:rsid w:val="00AA41E3"/>
    <w:rsid w:val="00AA48DF"/>
    <w:rsid w:val="00AA4B49"/>
    <w:rsid w:val="00AA5189"/>
    <w:rsid w:val="00AA52E8"/>
    <w:rsid w:val="00AA5435"/>
    <w:rsid w:val="00AA56AE"/>
    <w:rsid w:val="00AA5B88"/>
    <w:rsid w:val="00AA6236"/>
    <w:rsid w:val="00AA64B2"/>
    <w:rsid w:val="00AA7F38"/>
    <w:rsid w:val="00AB0BB1"/>
    <w:rsid w:val="00AB0C81"/>
    <w:rsid w:val="00AB0F3B"/>
    <w:rsid w:val="00AB0F4E"/>
    <w:rsid w:val="00AB118F"/>
    <w:rsid w:val="00AB16F2"/>
    <w:rsid w:val="00AB1938"/>
    <w:rsid w:val="00AB293D"/>
    <w:rsid w:val="00AB2E3E"/>
    <w:rsid w:val="00AB2F57"/>
    <w:rsid w:val="00AB31A5"/>
    <w:rsid w:val="00AB31D7"/>
    <w:rsid w:val="00AB3FFE"/>
    <w:rsid w:val="00AB60D4"/>
    <w:rsid w:val="00AB6164"/>
    <w:rsid w:val="00AB62D6"/>
    <w:rsid w:val="00AB64B2"/>
    <w:rsid w:val="00AB6B78"/>
    <w:rsid w:val="00AB6EC2"/>
    <w:rsid w:val="00AB7030"/>
    <w:rsid w:val="00AB706D"/>
    <w:rsid w:val="00AB7572"/>
    <w:rsid w:val="00AB798D"/>
    <w:rsid w:val="00AC007F"/>
    <w:rsid w:val="00AC066F"/>
    <w:rsid w:val="00AC0C6C"/>
    <w:rsid w:val="00AC0F5A"/>
    <w:rsid w:val="00AC178C"/>
    <w:rsid w:val="00AC1AEA"/>
    <w:rsid w:val="00AC2258"/>
    <w:rsid w:val="00AC244B"/>
    <w:rsid w:val="00AC2E91"/>
    <w:rsid w:val="00AC300F"/>
    <w:rsid w:val="00AC339E"/>
    <w:rsid w:val="00AC39C8"/>
    <w:rsid w:val="00AC3FE3"/>
    <w:rsid w:val="00AC4530"/>
    <w:rsid w:val="00AC51BB"/>
    <w:rsid w:val="00AC52F9"/>
    <w:rsid w:val="00AC5709"/>
    <w:rsid w:val="00AC5948"/>
    <w:rsid w:val="00AC5A44"/>
    <w:rsid w:val="00AC699A"/>
    <w:rsid w:val="00AC706A"/>
    <w:rsid w:val="00AC7466"/>
    <w:rsid w:val="00AC7623"/>
    <w:rsid w:val="00AC7A25"/>
    <w:rsid w:val="00AC7D5D"/>
    <w:rsid w:val="00AD0841"/>
    <w:rsid w:val="00AD0C33"/>
    <w:rsid w:val="00AD0F74"/>
    <w:rsid w:val="00AD110C"/>
    <w:rsid w:val="00AD1515"/>
    <w:rsid w:val="00AD18F2"/>
    <w:rsid w:val="00AD1FF1"/>
    <w:rsid w:val="00AD2A19"/>
    <w:rsid w:val="00AD3228"/>
    <w:rsid w:val="00AD36DB"/>
    <w:rsid w:val="00AD48E3"/>
    <w:rsid w:val="00AD4A94"/>
    <w:rsid w:val="00AD4AFC"/>
    <w:rsid w:val="00AD4CB7"/>
    <w:rsid w:val="00AD51B2"/>
    <w:rsid w:val="00AD5CFC"/>
    <w:rsid w:val="00AD63A6"/>
    <w:rsid w:val="00AD6A6E"/>
    <w:rsid w:val="00AD6B6C"/>
    <w:rsid w:val="00AD6C17"/>
    <w:rsid w:val="00AD70A1"/>
    <w:rsid w:val="00AD77FF"/>
    <w:rsid w:val="00AE0439"/>
    <w:rsid w:val="00AE09AB"/>
    <w:rsid w:val="00AE102B"/>
    <w:rsid w:val="00AE10A9"/>
    <w:rsid w:val="00AE12A3"/>
    <w:rsid w:val="00AE1544"/>
    <w:rsid w:val="00AE196F"/>
    <w:rsid w:val="00AE1A9C"/>
    <w:rsid w:val="00AE1C16"/>
    <w:rsid w:val="00AE1FDB"/>
    <w:rsid w:val="00AE2ECC"/>
    <w:rsid w:val="00AE35B3"/>
    <w:rsid w:val="00AE35CF"/>
    <w:rsid w:val="00AE36B2"/>
    <w:rsid w:val="00AE3C80"/>
    <w:rsid w:val="00AE3F91"/>
    <w:rsid w:val="00AE4452"/>
    <w:rsid w:val="00AE4B1C"/>
    <w:rsid w:val="00AE4B6C"/>
    <w:rsid w:val="00AE4C0A"/>
    <w:rsid w:val="00AE4DF3"/>
    <w:rsid w:val="00AE56FF"/>
    <w:rsid w:val="00AE6388"/>
    <w:rsid w:val="00AE719D"/>
    <w:rsid w:val="00AE7CA4"/>
    <w:rsid w:val="00AF00FC"/>
    <w:rsid w:val="00AF063E"/>
    <w:rsid w:val="00AF0815"/>
    <w:rsid w:val="00AF0881"/>
    <w:rsid w:val="00AF23AE"/>
    <w:rsid w:val="00AF2839"/>
    <w:rsid w:val="00AF2872"/>
    <w:rsid w:val="00AF2B0D"/>
    <w:rsid w:val="00AF2EF1"/>
    <w:rsid w:val="00AF2FF5"/>
    <w:rsid w:val="00AF39F8"/>
    <w:rsid w:val="00AF41D2"/>
    <w:rsid w:val="00AF47CB"/>
    <w:rsid w:val="00AF4E04"/>
    <w:rsid w:val="00AF5204"/>
    <w:rsid w:val="00AF52BB"/>
    <w:rsid w:val="00AF55AF"/>
    <w:rsid w:val="00AF60B9"/>
    <w:rsid w:val="00AF718C"/>
    <w:rsid w:val="00AF75A2"/>
    <w:rsid w:val="00AF7A71"/>
    <w:rsid w:val="00AF7EAB"/>
    <w:rsid w:val="00B00114"/>
    <w:rsid w:val="00B0025B"/>
    <w:rsid w:val="00B002B8"/>
    <w:rsid w:val="00B00A90"/>
    <w:rsid w:val="00B01278"/>
    <w:rsid w:val="00B02449"/>
    <w:rsid w:val="00B02827"/>
    <w:rsid w:val="00B02925"/>
    <w:rsid w:val="00B02BAA"/>
    <w:rsid w:val="00B03E97"/>
    <w:rsid w:val="00B04A9A"/>
    <w:rsid w:val="00B04DBA"/>
    <w:rsid w:val="00B04DEC"/>
    <w:rsid w:val="00B04EEF"/>
    <w:rsid w:val="00B05297"/>
    <w:rsid w:val="00B0547E"/>
    <w:rsid w:val="00B05B37"/>
    <w:rsid w:val="00B05BF4"/>
    <w:rsid w:val="00B05FC4"/>
    <w:rsid w:val="00B06C92"/>
    <w:rsid w:val="00B06DE5"/>
    <w:rsid w:val="00B072B9"/>
    <w:rsid w:val="00B078F3"/>
    <w:rsid w:val="00B07C3D"/>
    <w:rsid w:val="00B07CA5"/>
    <w:rsid w:val="00B07CF7"/>
    <w:rsid w:val="00B07EA6"/>
    <w:rsid w:val="00B104A6"/>
    <w:rsid w:val="00B10932"/>
    <w:rsid w:val="00B10B85"/>
    <w:rsid w:val="00B10FDD"/>
    <w:rsid w:val="00B11BC8"/>
    <w:rsid w:val="00B12441"/>
    <w:rsid w:val="00B12571"/>
    <w:rsid w:val="00B126A4"/>
    <w:rsid w:val="00B126CD"/>
    <w:rsid w:val="00B1284D"/>
    <w:rsid w:val="00B12DB2"/>
    <w:rsid w:val="00B1313D"/>
    <w:rsid w:val="00B134F8"/>
    <w:rsid w:val="00B13641"/>
    <w:rsid w:val="00B13B8A"/>
    <w:rsid w:val="00B13EF6"/>
    <w:rsid w:val="00B1401B"/>
    <w:rsid w:val="00B14087"/>
    <w:rsid w:val="00B141CE"/>
    <w:rsid w:val="00B1443D"/>
    <w:rsid w:val="00B1519A"/>
    <w:rsid w:val="00B15BAB"/>
    <w:rsid w:val="00B167B8"/>
    <w:rsid w:val="00B16F88"/>
    <w:rsid w:val="00B17677"/>
    <w:rsid w:val="00B17752"/>
    <w:rsid w:val="00B20842"/>
    <w:rsid w:val="00B20E10"/>
    <w:rsid w:val="00B20E38"/>
    <w:rsid w:val="00B21CEC"/>
    <w:rsid w:val="00B22364"/>
    <w:rsid w:val="00B226A2"/>
    <w:rsid w:val="00B22BA5"/>
    <w:rsid w:val="00B23D25"/>
    <w:rsid w:val="00B2421A"/>
    <w:rsid w:val="00B24C35"/>
    <w:rsid w:val="00B24D7D"/>
    <w:rsid w:val="00B2515A"/>
    <w:rsid w:val="00B25B16"/>
    <w:rsid w:val="00B25B60"/>
    <w:rsid w:val="00B25B72"/>
    <w:rsid w:val="00B26729"/>
    <w:rsid w:val="00B277AF"/>
    <w:rsid w:val="00B3015B"/>
    <w:rsid w:val="00B3071A"/>
    <w:rsid w:val="00B30C7A"/>
    <w:rsid w:val="00B30F67"/>
    <w:rsid w:val="00B317F2"/>
    <w:rsid w:val="00B325B4"/>
    <w:rsid w:val="00B32BDB"/>
    <w:rsid w:val="00B32C4F"/>
    <w:rsid w:val="00B34579"/>
    <w:rsid w:val="00B34F1D"/>
    <w:rsid w:val="00B3518B"/>
    <w:rsid w:val="00B35513"/>
    <w:rsid w:val="00B358AE"/>
    <w:rsid w:val="00B35A10"/>
    <w:rsid w:val="00B35A70"/>
    <w:rsid w:val="00B36122"/>
    <w:rsid w:val="00B36613"/>
    <w:rsid w:val="00B36FD6"/>
    <w:rsid w:val="00B374CF"/>
    <w:rsid w:val="00B37CD6"/>
    <w:rsid w:val="00B37D31"/>
    <w:rsid w:val="00B37E8B"/>
    <w:rsid w:val="00B400FC"/>
    <w:rsid w:val="00B40B42"/>
    <w:rsid w:val="00B40E2B"/>
    <w:rsid w:val="00B41B27"/>
    <w:rsid w:val="00B41B6D"/>
    <w:rsid w:val="00B41BB3"/>
    <w:rsid w:val="00B421B1"/>
    <w:rsid w:val="00B422AA"/>
    <w:rsid w:val="00B422D3"/>
    <w:rsid w:val="00B425B9"/>
    <w:rsid w:val="00B42EAD"/>
    <w:rsid w:val="00B4312C"/>
    <w:rsid w:val="00B43902"/>
    <w:rsid w:val="00B43BD8"/>
    <w:rsid w:val="00B44630"/>
    <w:rsid w:val="00B44C04"/>
    <w:rsid w:val="00B45155"/>
    <w:rsid w:val="00B451C2"/>
    <w:rsid w:val="00B45572"/>
    <w:rsid w:val="00B46371"/>
    <w:rsid w:val="00B46405"/>
    <w:rsid w:val="00B46620"/>
    <w:rsid w:val="00B50225"/>
    <w:rsid w:val="00B5066E"/>
    <w:rsid w:val="00B506BF"/>
    <w:rsid w:val="00B51532"/>
    <w:rsid w:val="00B51F2A"/>
    <w:rsid w:val="00B520CA"/>
    <w:rsid w:val="00B527F7"/>
    <w:rsid w:val="00B531CB"/>
    <w:rsid w:val="00B53200"/>
    <w:rsid w:val="00B53840"/>
    <w:rsid w:val="00B5407A"/>
    <w:rsid w:val="00B54D83"/>
    <w:rsid w:val="00B55058"/>
    <w:rsid w:val="00B550BB"/>
    <w:rsid w:val="00B551D7"/>
    <w:rsid w:val="00B552AB"/>
    <w:rsid w:val="00B553C5"/>
    <w:rsid w:val="00B55A12"/>
    <w:rsid w:val="00B56665"/>
    <w:rsid w:val="00B5691C"/>
    <w:rsid w:val="00B56C33"/>
    <w:rsid w:val="00B56D28"/>
    <w:rsid w:val="00B576C8"/>
    <w:rsid w:val="00B6076F"/>
    <w:rsid w:val="00B615A7"/>
    <w:rsid w:val="00B619EF"/>
    <w:rsid w:val="00B624C8"/>
    <w:rsid w:val="00B62527"/>
    <w:rsid w:val="00B6321F"/>
    <w:rsid w:val="00B63283"/>
    <w:rsid w:val="00B64447"/>
    <w:rsid w:val="00B647A1"/>
    <w:rsid w:val="00B64F05"/>
    <w:rsid w:val="00B700BF"/>
    <w:rsid w:val="00B706A6"/>
    <w:rsid w:val="00B70A77"/>
    <w:rsid w:val="00B70EF6"/>
    <w:rsid w:val="00B71139"/>
    <w:rsid w:val="00B71759"/>
    <w:rsid w:val="00B718B3"/>
    <w:rsid w:val="00B733CD"/>
    <w:rsid w:val="00B73CBB"/>
    <w:rsid w:val="00B74D75"/>
    <w:rsid w:val="00B74F77"/>
    <w:rsid w:val="00B75DBB"/>
    <w:rsid w:val="00B764AD"/>
    <w:rsid w:val="00B76F98"/>
    <w:rsid w:val="00B80C23"/>
    <w:rsid w:val="00B812C2"/>
    <w:rsid w:val="00B81C14"/>
    <w:rsid w:val="00B8205C"/>
    <w:rsid w:val="00B8239C"/>
    <w:rsid w:val="00B82519"/>
    <w:rsid w:val="00B82657"/>
    <w:rsid w:val="00B82B7E"/>
    <w:rsid w:val="00B82E74"/>
    <w:rsid w:val="00B83083"/>
    <w:rsid w:val="00B83477"/>
    <w:rsid w:val="00B84060"/>
    <w:rsid w:val="00B846A1"/>
    <w:rsid w:val="00B860B6"/>
    <w:rsid w:val="00B869B9"/>
    <w:rsid w:val="00B87019"/>
    <w:rsid w:val="00B87610"/>
    <w:rsid w:val="00B87BD8"/>
    <w:rsid w:val="00B90003"/>
    <w:rsid w:val="00B903B1"/>
    <w:rsid w:val="00B906D4"/>
    <w:rsid w:val="00B91055"/>
    <w:rsid w:val="00B9198D"/>
    <w:rsid w:val="00B91A2C"/>
    <w:rsid w:val="00B91A2D"/>
    <w:rsid w:val="00B91FA1"/>
    <w:rsid w:val="00B929B3"/>
    <w:rsid w:val="00B941FA"/>
    <w:rsid w:val="00B942E9"/>
    <w:rsid w:val="00B953E7"/>
    <w:rsid w:val="00B95518"/>
    <w:rsid w:val="00B956EB"/>
    <w:rsid w:val="00B95806"/>
    <w:rsid w:val="00B961F9"/>
    <w:rsid w:val="00B966B5"/>
    <w:rsid w:val="00B96B97"/>
    <w:rsid w:val="00B96F2D"/>
    <w:rsid w:val="00B96F79"/>
    <w:rsid w:val="00B97C48"/>
    <w:rsid w:val="00BA037F"/>
    <w:rsid w:val="00BA0539"/>
    <w:rsid w:val="00BA08F8"/>
    <w:rsid w:val="00BA0AD2"/>
    <w:rsid w:val="00BA0D45"/>
    <w:rsid w:val="00BA0EED"/>
    <w:rsid w:val="00BA16C6"/>
    <w:rsid w:val="00BA1DF9"/>
    <w:rsid w:val="00BA24B7"/>
    <w:rsid w:val="00BA2508"/>
    <w:rsid w:val="00BA2B9D"/>
    <w:rsid w:val="00BA33B6"/>
    <w:rsid w:val="00BA3527"/>
    <w:rsid w:val="00BA38AB"/>
    <w:rsid w:val="00BA4157"/>
    <w:rsid w:val="00BA4267"/>
    <w:rsid w:val="00BA42B8"/>
    <w:rsid w:val="00BA44F4"/>
    <w:rsid w:val="00BA4EBD"/>
    <w:rsid w:val="00BA507C"/>
    <w:rsid w:val="00BA53EB"/>
    <w:rsid w:val="00BA5881"/>
    <w:rsid w:val="00BA59E4"/>
    <w:rsid w:val="00BA5F1F"/>
    <w:rsid w:val="00BA6155"/>
    <w:rsid w:val="00BA67F7"/>
    <w:rsid w:val="00BA69EA"/>
    <w:rsid w:val="00BA6C66"/>
    <w:rsid w:val="00BA6FDB"/>
    <w:rsid w:val="00BA72B9"/>
    <w:rsid w:val="00BA78B4"/>
    <w:rsid w:val="00BA7D27"/>
    <w:rsid w:val="00BB042A"/>
    <w:rsid w:val="00BB0442"/>
    <w:rsid w:val="00BB04F8"/>
    <w:rsid w:val="00BB083B"/>
    <w:rsid w:val="00BB0868"/>
    <w:rsid w:val="00BB1A18"/>
    <w:rsid w:val="00BB1C4B"/>
    <w:rsid w:val="00BB1E10"/>
    <w:rsid w:val="00BB1E52"/>
    <w:rsid w:val="00BB2647"/>
    <w:rsid w:val="00BB27DE"/>
    <w:rsid w:val="00BB2DC5"/>
    <w:rsid w:val="00BB3275"/>
    <w:rsid w:val="00BB3576"/>
    <w:rsid w:val="00BB39DE"/>
    <w:rsid w:val="00BB3B7E"/>
    <w:rsid w:val="00BB4963"/>
    <w:rsid w:val="00BB5121"/>
    <w:rsid w:val="00BB5B9E"/>
    <w:rsid w:val="00BB66F6"/>
    <w:rsid w:val="00BB670A"/>
    <w:rsid w:val="00BB6F6F"/>
    <w:rsid w:val="00BB725C"/>
    <w:rsid w:val="00BB75EF"/>
    <w:rsid w:val="00BB77D7"/>
    <w:rsid w:val="00BB7C11"/>
    <w:rsid w:val="00BC037D"/>
    <w:rsid w:val="00BC0741"/>
    <w:rsid w:val="00BC07AD"/>
    <w:rsid w:val="00BC0AB1"/>
    <w:rsid w:val="00BC0BF7"/>
    <w:rsid w:val="00BC0F75"/>
    <w:rsid w:val="00BC2058"/>
    <w:rsid w:val="00BC251C"/>
    <w:rsid w:val="00BC27DB"/>
    <w:rsid w:val="00BC31C5"/>
    <w:rsid w:val="00BC35D1"/>
    <w:rsid w:val="00BC4033"/>
    <w:rsid w:val="00BC42E6"/>
    <w:rsid w:val="00BC49B5"/>
    <w:rsid w:val="00BC4A7D"/>
    <w:rsid w:val="00BC52EB"/>
    <w:rsid w:val="00BC5A42"/>
    <w:rsid w:val="00BC6265"/>
    <w:rsid w:val="00BC687B"/>
    <w:rsid w:val="00BC6A2E"/>
    <w:rsid w:val="00BC72FE"/>
    <w:rsid w:val="00BD0973"/>
    <w:rsid w:val="00BD0BA6"/>
    <w:rsid w:val="00BD0C73"/>
    <w:rsid w:val="00BD0CC1"/>
    <w:rsid w:val="00BD1D3E"/>
    <w:rsid w:val="00BD22A0"/>
    <w:rsid w:val="00BD2AEA"/>
    <w:rsid w:val="00BD4007"/>
    <w:rsid w:val="00BD4A37"/>
    <w:rsid w:val="00BD4CAE"/>
    <w:rsid w:val="00BD502F"/>
    <w:rsid w:val="00BD5C7E"/>
    <w:rsid w:val="00BD664D"/>
    <w:rsid w:val="00BD6995"/>
    <w:rsid w:val="00BD6B34"/>
    <w:rsid w:val="00BD7185"/>
    <w:rsid w:val="00BD7422"/>
    <w:rsid w:val="00BD75AB"/>
    <w:rsid w:val="00BE0171"/>
    <w:rsid w:val="00BE0648"/>
    <w:rsid w:val="00BE0C37"/>
    <w:rsid w:val="00BE11AD"/>
    <w:rsid w:val="00BE17E3"/>
    <w:rsid w:val="00BE1DA8"/>
    <w:rsid w:val="00BE1DC9"/>
    <w:rsid w:val="00BE240B"/>
    <w:rsid w:val="00BE24C1"/>
    <w:rsid w:val="00BE30A8"/>
    <w:rsid w:val="00BE3349"/>
    <w:rsid w:val="00BE42B0"/>
    <w:rsid w:val="00BE43C6"/>
    <w:rsid w:val="00BE4AB9"/>
    <w:rsid w:val="00BE4ED4"/>
    <w:rsid w:val="00BE5233"/>
    <w:rsid w:val="00BE5E75"/>
    <w:rsid w:val="00BE5F15"/>
    <w:rsid w:val="00BE67BD"/>
    <w:rsid w:val="00BE6E93"/>
    <w:rsid w:val="00BE6EC3"/>
    <w:rsid w:val="00BE71CF"/>
    <w:rsid w:val="00BE7439"/>
    <w:rsid w:val="00BE7941"/>
    <w:rsid w:val="00BE7E6B"/>
    <w:rsid w:val="00BF00F5"/>
    <w:rsid w:val="00BF012B"/>
    <w:rsid w:val="00BF0848"/>
    <w:rsid w:val="00BF1ECC"/>
    <w:rsid w:val="00BF1F55"/>
    <w:rsid w:val="00BF1FC7"/>
    <w:rsid w:val="00BF4830"/>
    <w:rsid w:val="00BF4F18"/>
    <w:rsid w:val="00BF4FBE"/>
    <w:rsid w:val="00BF5480"/>
    <w:rsid w:val="00BF5A46"/>
    <w:rsid w:val="00BF6398"/>
    <w:rsid w:val="00BF66CC"/>
    <w:rsid w:val="00BF6E8E"/>
    <w:rsid w:val="00BF7415"/>
    <w:rsid w:val="00C004A6"/>
    <w:rsid w:val="00C00C9A"/>
    <w:rsid w:val="00C012F6"/>
    <w:rsid w:val="00C01415"/>
    <w:rsid w:val="00C01C60"/>
    <w:rsid w:val="00C02196"/>
    <w:rsid w:val="00C02469"/>
    <w:rsid w:val="00C02BD4"/>
    <w:rsid w:val="00C038B3"/>
    <w:rsid w:val="00C03A7E"/>
    <w:rsid w:val="00C03BCB"/>
    <w:rsid w:val="00C03EBB"/>
    <w:rsid w:val="00C04229"/>
    <w:rsid w:val="00C04600"/>
    <w:rsid w:val="00C0474F"/>
    <w:rsid w:val="00C04BC6"/>
    <w:rsid w:val="00C055E5"/>
    <w:rsid w:val="00C0566E"/>
    <w:rsid w:val="00C0581D"/>
    <w:rsid w:val="00C05E44"/>
    <w:rsid w:val="00C06724"/>
    <w:rsid w:val="00C06A0E"/>
    <w:rsid w:val="00C0792E"/>
    <w:rsid w:val="00C079F6"/>
    <w:rsid w:val="00C10015"/>
    <w:rsid w:val="00C1003B"/>
    <w:rsid w:val="00C101E5"/>
    <w:rsid w:val="00C1066F"/>
    <w:rsid w:val="00C10C4B"/>
    <w:rsid w:val="00C10FF9"/>
    <w:rsid w:val="00C11149"/>
    <w:rsid w:val="00C113BD"/>
    <w:rsid w:val="00C11838"/>
    <w:rsid w:val="00C11A57"/>
    <w:rsid w:val="00C11AB5"/>
    <w:rsid w:val="00C11D14"/>
    <w:rsid w:val="00C12131"/>
    <w:rsid w:val="00C123E1"/>
    <w:rsid w:val="00C1319C"/>
    <w:rsid w:val="00C13687"/>
    <w:rsid w:val="00C13F39"/>
    <w:rsid w:val="00C14985"/>
    <w:rsid w:val="00C14C37"/>
    <w:rsid w:val="00C152C6"/>
    <w:rsid w:val="00C157EB"/>
    <w:rsid w:val="00C15818"/>
    <w:rsid w:val="00C15941"/>
    <w:rsid w:val="00C15B14"/>
    <w:rsid w:val="00C15B2F"/>
    <w:rsid w:val="00C16052"/>
    <w:rsid w:val="00C1633A"/>
    <w:rsid w:val="00C17676"/>
    <w:rsid w:val="00C1799C"/>
    <w:rsid w:val="00C17C5B"/>
    <w:rsid w:val="00C17DBD"/>
    <w:rsid w:val="00C20233"/>
    <w:rsid w:val="00C202C8"/>
    <w:rsid w:val="00C215AE"/>
    <w:rsid w:val="00C21951"/>
    <w:rsid w:val="00C21B6F"/>
    <w:rsid w:val="00C2242E"/>
    <w:rsid w:val="00C224E1"/>
    <w:rsid w:val="00C22F9A"/>
    <w:rsid w:val="00C22FBC"/>
    <w:rsid w:val="00C23048"/>
    <w:rsid w:val="00C23128"/>
    <w:rsid w:val="00C2313C"/>
    <w:rsid w:val="00C2340D"/>
    <w:rsid w:val="00C23BFD"/>
    <w:rsid w:val="00C23DA5"/>
    <w:rsid w:val="00C249A7"/>
    <w:rsid w:val="00C24EEF"/>
    <w:rsid w:val="00C252DE"/>
    <w:rsid w:val="00C255D3"/>
    <w:rsid w:val="00C26E50"/>
    <w:rsid w:val="00C26E6E"/>
    <w:rsid w:val="00C26E8B"/>
    <w:rsid w:val="00C275CF"/>
    <w:rsid w:val="00C275E7"/>
    <w:rsid w:val="00C27CF8"/>
    <w:rsid w:val="00C27E68"/>
    <w:rsid w:val="00C30411"/>
    <w:rsid w:val="00C31D37"/>
    <w:rsid w:val="00C31FE2"/>
    <w:rsid w:val="00C335B2"/>
    <w:rsid w:val="00C3381E"/>
    <w:rsid w:val="00C340C1"/>
    <w:rsid w:val="00C34729"/>
    <w:rsid w:val="00C353DD"/>
    <w:rsid w:val="00C356CF"/>
    <w:rsid w:val="00C37195"/>
    <w:rsid w:val="00C371C8"/>
    <w:rsid w:val="00C37624"/>
    <w:rsid w:val="00C3769F"/>
    <w:rsid w:val="00C4060A"/>
    <w:rsid w:val="00C40CF3"/>
    <w:rsid w:val="00C40E5F"/>
    <w:rsid w:val="00C40F7B"/>
    <w:rsid w:val="00C41623"/>
    <w:rsid w:val="00C41671"/>
    <w:rsid w:val="00C41938"/>
    <w:rsid w:val="00C41D9C"/>
    <w:rsid w:val="00C41E09"/>
    <w:rsid w:val="00C42006"/>
    <w:rsid w:val="00C4232A"/>
    <w:rsid w:val="00C42BBD"/>
    <w:rsid w:val="00C42C2B"/>
    <w:rsid w:val="00C4334A"/>
    <w:rsid w:val="00C449C2"/>
    <w:rsid w:val="00C44A7F"/>
    <w:rsid w:val="00C44AF8"/>
    <w:rsid w:val="00C44ECC"/>
    <w:rsid w:val="00C45707"/>
    <w:rsid w:val="00C45793"/>
    <w:rsid w:val="00C45CD9"/>
    <w:rsid w:val="00C462D1"/>
    <w:rsid w:val="00C467D8"/>
    <w:rsid w:val="00C47195"/>
    <w:rsid w:val="00C479AF"/>
    <w:rsid w:val="00C47AC1"/>
    <w:rsid w:val="00C47CE1"/>
    <w:rsid w:val="00C47D24"/>
    <w:rsid w:val="00C50489"/>
    <w:rsid w:val="00C50CD9"/>
    <w:rsid w:val="00C51130"/>
    <w:rsid w:val="00C51A47"/>
    <w:rsid w:val="00C51A4D"/>
    <w:rsid w:val="00C52D96"/>
    <w:rsid w:val="00C53B68"/>
    <w:rsid w:val="00C5439D"/>
    <w:rsid w:val="00C543B6"/>
    <w:rsid w:val="00C548DF"/>
    <w:rsid w:val="00C54B3D"/>
    <w:rsid w:val="00C55377"/>
    <w:rsid w:val="00C55AAC"/>
    <w:rsid w:val="00C55B0B"/>
    <w:rsid w:val="00C55CAA"/>
    <w:rsid w:val="00C55FA4"/>
    <w:rsid w:val="00C5622C"/>
    <w:rsid w:val="00C562BD"/>
    <w:rsid w:val="00C56E38"/>
    <w:rsid w:val="00C57116"/>
    <w:rsid w:val="00C57B2C"/>
    <w:rsid w:val="00C57D47"/>
    <w:rsid w:val="00C60017"/>
    <w:rsid w:val="00C60422"/>
    <w:rsid w:val="00C60631"/>
    <w:rsid w:val="00C60632"/>
    <w:rsid w:val="00C60C24"/>
    <w:rsid w:val="00C60C39"/>
    <w:rsid w:val="00C60D9A"/>
    <w:rsid w:val="00C61154"/>
    <w:rsid w:val="00C618F6"/>
    <w:rsid w:val="00C61DC1"/>
    <w:rsid w:val="00C6200C"/>
    <w:rsid w:val="00C62A2B"/>
    <w:rsid w:val="00C62EFC"/>
    <w:rsid w:val="00C62FFF"/>
    <w:rsid w:val="00C6423F"/>
    <w:rsid w:val="00C6446B"/>
    <w:rsid w:val="00C6465C"/>
    <w:rsid w:val="00C651C2"/>
    <w:rsid w:val="00C6535E"/>
    <w:rsid w:val="00C655D1"/>
    <w:rsid w:val="00C65CA3"/>
    <w:rsid w:val="00C65EFF"/>
    <w:rsid w:val="00C65F50"/>
    <w:rsid w:val="00C66879"/>
    <w:rsid w:val="00C668E8"/>
    <w:rsid w:val="00C66B4A"/>
    <w:rsid w:val="00C66C93"/>
    <w:rsid w:val="00C66DCF"/>
    <w:rsid w:val="00C67274"/>
    <w:rsid w:val="00C675F1"/>
    <w:rsid w:val="00C675FA"/>
    <w:rsid w:val="00C67956"/>
    <w:rsid w:val="00C67A01"/>
    <w:rsid w:val="00C67B0C"/>
    <w:rsid w:val="00C70594"/>
    <w:rsid w:val="00C70799"/>
    <w:rsid w:val="00C7105D"/>
    <w:rsid w:val="00C718AD"/>
    <w:rsid w:val="00C71C4F"/>
    <w:rsid w:val="00C721F4"/>
    <w:rsid w:val="00C7263F"/>
    <w:rsid w:val="00C72A3A"/>
    <w:rsid w:val="00C73139"/>
    <w:rsid w:val="00C731D4"/>
    <w:rsid w:val="00C74147"/>
    <w:rsid w:val="00C74B54"/>
    <w:rsid w:val="00C74EC6"/>
    <w:rsid w:val="00C7517B"/>
    <w:rsid w:val="00C756FD"/>
    <w:rsid w:val="00C75994"/>
    <w:rsid w:val="00C75B29"/>
    <w:rsid w:val="00C75CDD"/>
    <w:rsid w:val="00C75E9F"/>
    <w:rsid w:val="00C7671E"/>
    <w:rsid w:val="00C76ABD"/>
    <w:rsid w:val="00C76B88"/>
    <w:rsid w:val="00C76BC9"/>
    <w:rsid w:val="00C774DD"/>
    <w:rsid w:val="00C77934"/>
    <w:rsid w:val="00C77B2B"/>
    <w:rsid w:val="00C77ECF"/>
    <w:rsid w:val="00C8008C"/>
    <w:rsid w:val="00C800E4"/>
    <w:rsid w:val="00C807D3"/>
    <w:rsid w:val="00C807F9"/>
    <w:rsid w:val="00C811B4"/>
    <w:rsid w:val="00C8254D"/>
    <w:rsid w:val="00C82760"/>
    <w:rsid w:val="00C8281D"/>
    <w:rsid w:val="00C829A2"/>
    <w:rsid w:val="00C83920"/>
    <w:rsid w:val="00C83AEC"/>
    <w:rsid w:val="00C83CD3"/>
    <w:rsid w:val="00C8412B"/>
    <w:rsid w:val="00C84A44"/>
    <w:rsid w:val="00C84D5C"/>
    <w:rsid w:val="00C84E29"/>
    <w:rsid w:val="00C8501A"/>
    <w:rsid w:val="00C853FC"/>
    <w:rsid w:val="00C858B1"/>
    <w:rsid w:val="00C85991"/>
    <w:rsid w:val="00C86417"/>
    <w:rsid w:val="00C86AD3"/>
    <w:rsid w:val="00C86CE1"/>
    <w:rsid w:val="00C87AD7"/>
    <w:rsid w:val="00C87DCD"/>
    <w:rsid w:val="00C87FCC"/>
    <w:rsid w:val="00C90051"/>
    <w:rsid w:val="00C9014E"/>
    <w:rsid w:val="00C919ED"/>
    <w:rsid w:val="00C91B34"/>
    <w:rsid w:val="00C921D2"/>
    <w:rsid w:val="00C92479"/>
    <w:rsid w:val="00C92A54"/>
    <w:rsid w:val="00C92C32"/>
    <w:rsid w:val="00C92D96"/>
    <w:rsid w:val="00C93399"/>
    <w:rsid w:val="00C940BE"/>
    <w:rsid w:val="00C945DB"/>
    <w:rsid w:val="00C946C8"/>
    <w:rsid w:val="00C948C2"/>
    <w:rsid w:val="00C94BBA"/>
    <w:rsid w:val="00C95684"/>
    <w:rsid w:val="00C95881"/>
    <w:rsid w:val="00C958CA"/>
    <w:rsid w:val="00C960A2"/>
    <w:rsid w:val="00C9628E"/>
    <w:rsid w:val="00C96BE9"/>
    <w:rsid w:val="00C972B4"/>
    <w:rsid w:val="00C97313"/>
    <w:rsid w:val="00C97D55"/>
    <w:rsid w:val="00C97DDF"/>
    <w:rsid w:val="00CA0042"/>
    <w:rsid w:val="00CA03DA"/>
    <w:rsid w:val="00CA03E4"/>
    <w:rsid w:val="00CA09F6"/>
    <w:rsid w:val="00CA149F"/>
    <w:rsid w:val="00CA1615"/>
    <w:rsid w:val="00CA1619"/>
    <w:rsid w:val="00CA1949"/>
    <w:rsid w:val="00CA1F8E"/>
    <w:rsid w:val="00CA223C"/>
    <w:rsid w:val="00CA2BA8"/>
    <w:rsid w:val="00CA2E54"/>
    <w:rsid w:val="00CA2F7C"/>
    <w:rsid w:val="00CA306E"/>
    <w:rsid w:val="00CA319F"/>
    <w:rsid w:val="00CA3305"/>
    <w:rsid w:val="00CA4F71"/>
    <w:rsid w:val="00CA5921"/>
    <w:rsid w:val="00CA6264"/>
    <w:rsid w:val="00CA66E2"/>
    <w:rsid w:val="00CA6DC1"/>
    <w:rsid w:val="00CA703F"/>
    <w:rsid w:val="00CA70FF"/>
    <w:rsid w:val="00CA7557"/>
    <w:rsid w:val="00CA7A57"/>
    <w:rsid w:val="00CA7E06"/>
    <w:rsid w:val="00CA7F6C"/>
    <w:rsid w:val="00CB059E"/>
    <w:rsid w:val="00CB0ECC"/>
    <w:rsid w:val="00CB14D0"/>
    <w:rsid w:val="00CB20AD"/>
    <w:rsid w:val="00CB2803"/>
    <w:rsid w:val="00CB3C31"/>
    <w:rsid w:val="00CB3D77"/>
    <w:rsid w:val="00CB3FB1"/>
    <w:rsid w:val="00CB41BC"/>
    <w:rsid w:val="00CB4A6E"/>
    <w:rsid w:val="00CB4D02"/>
    <w:rsid w:val="00CB4F60"/>
    <w:rsid w:val="00CB5044"/>
    <w:rsid w:val="00CB5C92"/>
    <w:rsid w:val="00CB60F0"/>
    <w:rsid w:val="00CB64A2"/>
    <w:rsid w:val="00CB6A5B"/>
    <w:rsid w:val="00CB6ABA"/>
    <w:rsid w:val="00CB6C04"/>
    <w:rsid w:val="00CC0037"/>
    <w:rsid w:val="00CC18E9"/>
    <w:rsid w:val="00CC18F4"/>
    <w:rsid w:val="00CC1FD1"/>
    <w:rsid w:val="00CC2456"/>
    <w:rsid w:val="00CC2500"/>
    <w:rsid w:val="00CC26F9"/>
    <w:rsid w:val="00CC2931"/>
    <w:rsid w:val="00CC29EC"/>
    <w:rsid w:val="00CC2B7D"/>
    <w:rsid w:val="00CC38F9"/>
    <w:rsid w:val="00CC3E39"/>
    <w:rsid w:val="00CC3FB6"/>
    <w:rsid w:val="00CC4A09"/>
    <w:rsid w:val="00CC4CA5"/>
    <w:rsid w:val="00CC4FA2"/>
    <w:rsid w:val="00CC5621"/>
    <w:rsid w:val="00CC5D60"/>
    <w:rsid w:val="00CC6514"/>
    <w:rsid w:val="00CC6A1D"/>
    <w:rsid w:val="00CC6BFF"/>
    <w:rsid w:val="00CC797C"/>
    <w:rsid w:val="00CC7E59"/>
    <w:rsid w:val="00CC7F7D"/>
    <w:rsid w:val="00CD0062"/>
    <w:rsid w:val="00CD0887"/>
    <w:rsid w:val="00CD2A90"/>
    <w:rsid w:val="00CD3312"/>
    <w:rsid w:val="00CD43DC"/>
    <w:rsid w:val="00CD48F1"/>
    <w:rsid w:val="00CD4AE3"/>
    <w:rsid w:val="00CD4CD7"/>
    <w:rsid w:val="00CD534D"/>
    <w:rsid w:val="00CD57FB"/>
    <w:rsid w:val="00CD58B8"/>
    <w:rsid w:val="00CD602D"/>
    <w:rsid w:val="00CD62D4"/>
    <w:rsid w:val="00CD68C5"/>
    <w:rsid w:val="00CD7C48"/>
    <w:rsid w:val="00CE044C"/>
    <w:rsid w:val="00CE2067"/>
    <w:rsid w:val="00CE233E"/>
    <w:rsid w:val="00CE29B6"/>
    <w:rsid w:val="00CE2A96"/>
    <w:rsid w:val="00CE38F9"/>
    <w:rsid w:val="00CE3ED4"/>
    <w:rsid w:val="00CE5513"/>
    <w:rsid w:val="00CE56DB"/>
    <w:rsid w:val="00CE5B2B"/>
    <w:rsid w:val="00CE5C90"/>
    <w:rsid w:val="00CE609F"/>
    <w:rsid w:val="00CE6598"/>
    <w:rsid w:val="00CE770B"/>
    <w:rsid w:val="00CE7B36"/>
    <w:rsid w:val="00CE7BA6"/>
    <w:rsid w:val="00CF02BF"/>
    <w:rsid w:val="00CF0B0E"/>
    <w:rsid w:val="00CF0B72"/>
    <w:rsid w:val="00CF1970"/>
    <w:rsid w:val="00CF1D8B"/>
    <w:rsid w:val="00CF1DD3"/>
    <w:rsid w:val="00CF241F"/>
    <w:rsid w:val="00CF30D8"/>
    <w:rsid w:val="00CF3522"/>
    <w:rsid w:val="00CF3538"/>
    <w:rsid w:val="00CF382D"/>
    <w:rsid w:val="00CF3916"/>
    <w:rsid w:val="00CF43CE"/>
    <w:rsid w:val="00CF45B5"/>
    <w:rsid w:val="00CF4DEE"/>
    <w:rsid w:val="00CF505C"/>
    <w:rsid w:val="00CF5188"/>
    <w:rsid w:val="00CF55D7"/>
    <w:rsid w:val="00CF55E4"/>
    <w:rsid w:val="00CF5867"/>
    <w:rsid w:val="00CF5B7D"/>
    <w:rsid w:val="00CF5DEA"/>
    <w:rsid w:val="00CF6127"/>
    <w:rsid w:val="00CF644F"/>
    <w:rsid w:val="00CF6B60"/>
    <w:rsid w:val="00CF6CB0"/>
    <w:rsid w:val="00CF6CBF"/>
    <w:rsid w:val="00CF6FCB"/>
    <w:rsid w:val="00CF7B18"/>
    <w:rsid w:val="00CF7F43"/>
    <w:rsid w:val="00D001EB"/>
    <w:rsid w:val="00D00415"/>
    <w:rsid w:val="00D00B9D"/>
    <w:rsid w:val="00D0174A"/>
    <w:rsid w:val="00D0176C"/>
    <w:rsid w:val="00D02B9D"/>
    <w:rsid w:val="00D030FF"/>
    <w:rsid w:val="00D036F1"/>
    <w:rsid w:val="00D03A9C"/>
    <w:rsid w:val="00D03E03"/>
    <w:rsid w:val="00D03F7B"/>
    <w:rsid w:val="00D04142"/>
    <w:rsid w:val="00D041D7"/>
    <w:rsid w:val="00D042EC"/>
    <w:rsid w:val="00D045E8"/>
    <w:rsid w:val="00D04BCB"/>
    <w:rsid w:val="00D04F17"/>
    <w:rsid w:val="00D04FFF"/>
    <w:rsid w:val="00D0504B"/>
    <w:rsid w:val="00D0525E"/>
    <w:rsid w:val="00D05302"/>
    <w:rsid w:val="00D053F0"/>
    <w:rsid w:val="00D0576D"/>
    <w:rsid w:val="00D059F8"/>
    <w:rsid w:val="00D06034"/>
    <w:rsid w:val="00D06E01"/>
    <w:rsid w:val="00D06F2E"/>
    <w:rsid w:val="00D071EF"/>
    <w:rsid w:val="00D0757A"/>
    <w:rsid w:val="00D07BD1"/>
    <w:rsid w:val="00D1053C"/>
    <w:rsid w:val="00D1090F"/>
    <w:rsid w:val="00D10D2F"/>
    <w:rsid w:val="00D10DD9"/>
    <w:rsid w:val="00D11350"/>
    <w:rsid w:val="00D1137B"/>
    <w:rsid w:val="00D11679"/>
    <w:rsid w:val="00D1172A"/>
    <w:rsid w:val="00D11A3D"/>
    <w:rsid w:val="00D126CD"/>
    <w:rsid w:val="00D12BBC"/>
    <w:rsid w:val="00D130B1"/>
    <w:rsid w:val="00D130C1"/>
    <w:rsid w:val="00D13710"/>
    <w:rsid w:val="00D13DF7"/>
    <w:rsid w:val="00D1479A"/>
    <w:rsid w:val="00D1512C"/>
    <w:rsid w:val="00D16521"/>
    <w:rsid w:val="00D17376"/>
    <w:rsid w:val="00D17DDB"/>
    <w:rsid w:val="00D2006A"/>
    <w:rsid w:val="00D20577"/>
    <w:rsid w:val="00D20882"/>
    <w:rsid w:val="00D209F0"/>
    <w:rsid w:val="00D20A99"/>
    <w:rsid w:val="00D20AA3"/>
    <w:rsid w:val="00D20F58"/>
    <w:rsid w:val="00D21EA0"/>
    <w:rsid w:val="00D22366"/>
    <w:rsid w:val="00D228D0"/>
    <w:rsid w:val="00D23503"/>
    <w:rsid w:val="00D23B3C"/>
    <w:rsid w:val="00D23C7F"/>
    <w:rsid w:val="00D24436"/>
    <w:rsid w:val="00D25010"/>
    <w:rsid w:val="00D2525C"/>
    <w:rsid w:val="00D256A2"/>
    <w:rsid w:val="00D25F29"/>
    <w:rsid w:val="00D25F2D"/>
    <w:rsid w:val="00D2641D"/>
    <w:rsid w:val="00D26C55"/>
    <w:rsid w:val="00D2707E"/>
    <w:rsid w:val="00D27420"/>
    <w:rsid w:val="00D27AC2"/>
    <w:rsid w:val="00D27C30"/>
    <w:rsid w:val="00D301C9"/>
    <w:rsid w:val="00D30417"/>
    <w:rsid w:val="00D309CF"/>
    <w:rsid w:val="00D30A57"/>
    <w:rsid w:val="00D30AE2"/>
    <w:rsid w:val="00D31571"/>
    <w:rsid w:val="00D31BF5"/>
    <w:rsid w:val="00D31FC7"/>
    <w:rsid w:val="00D32269"/>
    <w:rsid w:val="00D32414"/>
    <w:rsid w:val="00D32526"/>
    <w:rsid w:val="00D3261D"/>
    <w:rsid w:val="00D329A4"/>
    <w:rsid w:val="00D32A0E"/>
    <w:rsid w:val="00D332A0"/>
    <w:rsid w:val="00D33B7E"/>
    <w:rsid w:val="00D3402D"/>
    <w:rsid w:val="00D34327"/>
    <w:rsid w:val="00D3443F"/>
    <w:rsid w:val="00D349FE"/>
    <w:rsid w:val="00D34AF3"/>
    <w:rsid w:val="00D35343"/>
    <w:rsid w:val="00D35346"/>
    <w:rsid w:val="00D37617"/>
    <w:rsid w:val="00D37D85"/>
    <w:rsid w:val="00D402E6"/>
    <w:rsid w:val="00D40817"/>
    <w:rsid w:val="00D4113A"/>
    <w:rsid w:val="00D414B4"/>
    <w:rsid w:val="00D41C09"/>
    <w:rsid w:val="00D41DBC"/>
    <w:rsid w:val="00D41F91"/>
    <w:rsid w:val="00D4370B"/>
    <w:rsid w:val="00D439D4"/>
    <w:rsid w:val="00D43DE7"/>
    <w:rsid w:val="00D44526"/>
    <w:rsid w:val="00D452B4"/>
    <w:rsid w:val="00D452E9"/>
    <w:rsid w:val="00D4537F"/>
    <w:rsid w:val="00D45CB2"/>
    <w:rsid w:val="00D46465"/>
    <w:rsid w:val="00D467E8"/>
    <w:rsid w:val="00D4697C"/>
    <w:rsid w:val="00D476C5"/>
    <w:rsid w:val="00D478B0"/>
    <w:rsid w:val="00D50008"/>
    <w:rsid w:val="00D5004D"/>
    <w:rsid w:val="00D501CE"/>
    <w:rsid w:val="00D507B6"/>
    <w:rsid w:val="00D50C7F"/>
    <w:rsid w:val="00D50DDA"/>
    <w:rsid w:val="00D51E7D"/>
    <w:rsid w:val="00D52DDC"/>
    <w:rsid w:val="00D52ED0"/>
    <w:rsid w:val="00D5413B"/>
    <w:rsid w:val="00D54DFE"/>
    <w:rsid w:val="00D55123"/>
    <w:rsid w:val="00D5558B"/>
    <w:rsid w:val="00D5563F"/>
    <w:rsid w:val="00D55F57"/>
    <w:rsid w:val="00D566A5"/>
    <w:rsid w:val="00D568A5"/>
    <w:rsid w:val="00D56CAF"/>
    <w:rsid w:val="00D571A2"/>
    <w:rsid w:val="00D572B5"/>
    <w:rsid w:val="00D577E8"/>
    <w:rsid w:val="00D57897"/>
    <w:rsid w:val="00D60BAE"/>
    <w:rsid w:val="00D6129E"/>
    <w:rsid w:val="00D64F7B"/>
    <w:rsid w:val="00D65A22"/>
    <w:rsid w:val="00D663BC"/>
    <w:rsid w:val="00D673CD"/>
    <w:rsid w:val="00D67550"/>
    <w:rsid w:val="00D677A1"/>
    <w:rsid w:val="00D677AA"/>
    <w:rsid w:val="00D67F95"/>
    <w:rsid w:val="00D7064F"/>
    <w:rsid w:val="00D70669"/>
    <w:rsid w:val="00D70A39"/>
    <w:rsid w:val="00D70A5D"/>
    <w:rsid w:val="00D7138D"/>
    <w:rsid w:val="00D7140B"/>
    <w:rsid w:val="00D71503"/>
    <w:rsid w:val="00D7228E"/>
    <w:rsid w:val="00D7314D"/>
    <w:rsid w:val="00D74EA6"/>
    <w:rsid w:val="00D74F4C"/>
    <w:rsid w:val="00D75782"/>
    <w:rsid w:val="00D76377"/>
    <w:rsid w:val="00D77002"/>
    <w:rsid w:val="00D773E6"/>
    <w:rsid w:val="00D779E8"/>
    <w:rsid w:val="00D81106"/>
    <w:rsid w:val="00D8183B"/>
    <w:rsid w:val="00D819BA"/>
    <w:rsid w:val="00D81AEA"/>
    <w:rsid w:val="00D81E38"/>
    <w:rsid w:val="00D82A83"/>
    <w:rsid w:val="00D82AF6"/>
    <w:rsid w:val="00D83557"/>
    <w:rsid w:val="00D8366B"/>
    <w:rsid w:val="00D8406D"/>
    <w:rsid w:val="00D843FE"/>
    <w:rsid w:val="00D84590"/>
    <w:rsid w:val="00D8469A"/>
    <w:rsid w:val="00D849D7"/>
    <w:rsid w:val="00D84EAC"/>
    <w:rsid w:val="00D8513E"/>
    <w:rsid w:val="00D85DF6"/>
    <w:rsid w:val="00D85EEE"/>
    <w:rsid w:val="00D8600F"/>
    <w:rsid w:val="00D86482"/>
    <w:rsid w:val="00D8652A"/>
    <w:rsid w:val="00D866C4"/>
    <w:rsid w:val="00D8675A"/>
    <w:rsid w:val="00D867B4"/>
    <w:rsid w:val="00D86A13"/>
    <w:rsid w:val="00D8754A"/>
    <w:rsid w:val="00D8791D"/>
    <w:rsid w:val="00D879E7"/>
    <w:rsid w:val="00D87C6C"/>
    <w:rsid w:val="00D87FE6"/>
    <w:rsid w:val="00D90D49"/>
    <w:rsid w:val="00D90E50"/>
    <w:rsid w:val="00D90EF5"/>
    <w:rsid w:val="00D916ED"/>
    <w:rsid w:val="00D91BDE"/>
    <w:rsid w:val="00D91FD8"/>
    <w:rsid w:val="00D92245"/>
    <w:rsid w:val="00D925AC"/>
    <w:rsid w:val="00D925F2"/>
    <w:rsid w:val="00D92D8B"/>
    <w:rsid w:val="00D92ED1"/>
    <w:rsid w:val="00D9383D"/>
    <w:rsid w:val="00D93CE2"/>
    <w:rsid w:val="00D93E47"/>
    <w:rsid w:val="00D93E4E"/>
    <w:rsid w:val="00D94044"/>
    <w:rsid w:val="00D941FB"/>
    <w:rsid w:val="00D94CC3"/>
    <w:rsid w:val="00D9539A"/>
    <w:rsid w:val="00D95F6B"/>
    <w:rsid w:val="00D96155"/>
    <w:rsid w:val="00D96202"/>
    <w:rsid w:val="00D97546"/>
    <w:rsid w:val="00D97A26"/>
    <w:rsid w:val="00D97E8C"/>
    <w:rsid w:val="00D97F3F"/>
    <w:rsid w:val="00DA03B7"/>
    <w:rsid w:val="00DA0693"/>
    <w:rsid w:val="00DA06F1"/>
    <w:rsid w:val="00DA0888"/>
    <w:rsid w:val="00DA1C9A"/>
    <w:rsid w:val="00DA205C"/>
    <w:rsid w:val="00DA2412"/>
    <w:rsid w:val="00DA2B18"/>
    <w:rsid w:val="00DA2BDE"/>
    <w:rsid w:val="00DA3412"/>
    <w:rsid w:val="00DA367E"/>
    <w:rsid w:val="00DA3787"/>
    <w:rsid w:val="00DA40B1"/>
    <w:rsid w:val="00DA43B4"/>
    <w:rsid w:val="00DA475B"/>
    <w:rsid w:val="00DA47CB"/>
    <w:rsid w:val="00DA4D3E"/>
    <w:rsid w:val="00DA4F8A"/>
    <w:rsid w:val="00DA52EF"/>
    <w:rsid w:val="00DA55A6"/>
    <w:rsid w:val="00DA5679"/>
    <w:rsid w:val="00DA59E5"/>
    <w:rsid w:val="00DA609F"/>
    <w:rsid w:val="00DA69C4"/>
    <w:rsid w:val="00DA6BCF"/>
    <w:rsid w:val="00DA72F7"/>
    <w:rsid w:val="00DA7829"/>
    <w:rsid w:val="00DA7B9A"/>
    <w:rsid w:val="00DB017D"/>
    <w:rsid w:val="00DB02A7"/>
    <w:rsid w:val="00DB02BF"/>
    <w:rsid w:val="00DB03B0"/>
    <w:rsid w:val="00DB0878"/>
    <w:rsid w:val="00DB13AD"/>
    <w:rsid w:val="00DB1845"/>
    <w:rsid w:val="00DB25FE"/>
    <w:rsid w:val="00DB2B22"/>
    <w:rsid w:val="00DB2B47"/>
    <w:rsid w:val="00DB2FA2"/>
    <w:rsid w:val="00DB304B"/>
    <w:rsid w:val="00DB33D6"/>
    <w:rsid w:val="00DB3F4B"/>
    <w:rsid w:val="00DB3F6A"/>
    <w:rsid w:val="00DB460F"/>
    <w:rsid w:val="00DB504F"/>
    <w:rsid w:val="00DB644B"/>
    <w:rsid w:val="00DB6557"/>
    <w:rsid w:val="00DB72E3"/>
    <w:rsid w:val="00DB7596"/>
    <w:rsid w:val="00DB7D81"/>
    <w:rsid w:val="00DB7E9E"/>
    <w:rsid w:val="00DB7F7D"/>
    <w:rsid w:val="00DC0295"/>
    <w:rsid w:val="00DC0ADC"/>
    <w:rsid w:val="00DC0D09"/>
    <w:rsid w:val="00DC1A0E"/>
    <w:rsid w:val="00DC1E53"/>
    <w:rsid w:val="00DC1F34"/>
    <w:rsid w:val="00DC299F"/>
    <w:rsid w:val="00DC2D37"/>
    <w:rsid w:val="00DC3936"/>
    <w:rsid w:val="00DC3BC6"/>
    <w:rsid w:val="00DC3D5F"/>
    <w:rsid w:val="00DC3E5B"/>
    <w:rsid w:val="00DC4223"/>
    <w:rsid w:val="00DC4262"/>
    <w:rsid w:val="00DC4934"/>
    <w:rsid w:val="00DC50B5"/>
    <w:rsid w:val="00DC532E"/>
    <w:rsid w:val="00DC58F9"/>
    <w:rsid w:val="00DC5B57"/>
    <w:rsid w:val="00DC5DBD"/>
    <w:rsid w:val="00DC5F63"/>
    <w:rsid w:val="00DC640F"/>
    <w:rsid w:val="00DC7679"/>
    <w:rsid w:val="00DD0372"/>
    <w:rsid w:val="00DD14A2"/>
    <w:rsid w:val="00DD1646"/>
    <w:rsid w:val="00DD164E"/>
    <w:rsid w:val="00DD1DB5"/>
    <w:rsid w:val="00DD1ED1"/>
    <w:rsid w:val="00DD225F"/>
    <w:rsid w:val="00DD23C7"/>
    <w:rsid w:val="00DD243F"/>
    <w:rsid w:val="00DD26D4"/>
    <w:rsid w:val="00DD2AC0"/>
    <w:rsid w:val="00DD2FBD"/>
    <w:rsid w:val="00DD2FFC"/>
    <w:rsid w:val="00DD332E"/>
    <w:rsid w:val="00DD34DC"/>
    <w:rsid w:val="00DD35B2"/>
    <w:rsid w:val="00DD42C7"/>
    <w:rsid w:val="00DD47AB"/>
    <w:rsid w:val="00DD480A"/>
    <w:rsid w:val="00DD5084"/>
    <w:rsid w:val="00DD51D5"/>
    <w:rsid w:val="00DD5FC8"/>
    <w:rsid w:val="00DD6374"/>
    <w:rsid w:val="00DD6CAC"/>
    <w:rsid w:val="00DD6EF7"/>
    <w:rsid w:val="00DD798F"/>
    <w:rsid w:val="00DD7E57"/>
    <w:rsid w:val="00DD7FD5"/>
    <w:rsid w:val="00DE0F21"/>
    <w:rsid w:val="00DE11FB"/>
    <w:rsid w:val="00DE1280"/>
    <w:rsid w:val="00DE1DBA"/>
    <w:rsid w:val="00DE1E69"/>
    <w:rsid w:val="00DE205A"/>
    <w:rsid w:val="00DE3E54"/>
    <w:rsid w:val="00DE432D"/>
    <w:rsid w:val="00DE4452"/>
    <w:rsid w:val="00DE5C36"/>
    <w:rsid w:val="00DE5F3B"/>
    <w:rsid w:val="00DE659C"/>
    <w:rsid w:val="00DE662C"/>
    <w:rsid w:val="00DE6CEA"/>
    <w:rsid w:val="00DE6CEB"/>
    <w:rsid w:val="00DE71CC"/>
    <w:rsid w:val="00DE74AA"/>
    <w:rsid w:val="00DE7850"/>
    <w:rsid w:val="00DF0027"/>
    <w:rsid w:val="00DF0D2D"/>
    <w:rsid w:val="00DF0ED5"/>
    <w:rsid w:val="00DF10BD"/>
    <w:rsid w:val="00DF1314"/>
    <w:rsid w:val="00DF189C"/>
    <w:rsid w:val="00DF2003"/>
    <w:rsid w:val="00DF21C0"/>
    <w:rsid w:val="00DF23B4"/>
    <w:rsid w:val="00DF2907"/>
    <w:rsid w:val="00DF2C31"/>
    <w:rsid w:val="00DF30B9"/>
    <w:rsid w:val="00DF362F"/>
    <w:rsid w:val="00DF370B"/>
    <w:rsid w:val="00DF3ACE"/>
    <w:rsid w:val="00DF4D0F"/>
    <w:rsid w:val="00DF4D52"/>
    <w:rsid w:val="00DF4E48"/>
    <w:rsid w:val="00DF5050"/>
    <w:rsid w:val="00DF5099"/>
    <w:rsid w:val="00DF52B3"/>
    <w:rsid w:val="00DF5955"/>
    <w:rsid w:val="00DF5B5F"/>
    <w:rsid w:val="00DF5C49"/>
    <w:rsid w:val="00DF5DBC"/>
    <w:rsid w:val="00DF6744"/>
    <w:rsid w:val="00DF69EC"/>
    <w:rsid w:val="00DF6E10"/>
    <w:rsid w:val="00DF6F56"/>
    <w:rsid w:val="00DF76BF"/>
    <w:rsid w:val="00DF7D2F"/>
    <w:rsid w:val="00E013E1"/>
    <w:rsid w:val="00E017D8"/>
    <w:rsid w:val="00E01F96"/>
    <w:rsid w:val="00E02D1F"/>
    <w:rsid w:val="00E037BE"/>
    <w:rsid w:val="00E038CE"/>
    <w:rsid w:val="00E03AD0"/>
    <w:rsid w:val="00E03E14"/>
    <w:rsid w:val="00E04031"/>
    <w:rsid w:val="00E0468E"/>
    <w:rsid w:val="00E04B29"/>
    <w:rsid w:val="00E04C1C"/>
    <w:rsid w:val="00E04CD2"/>
    <w:rsid w:val="00E04ED1"/>
    <w:rsid w:val="00E05528"/>
    <w:rsid w:val="00E06080"/>
    <w:rsid w:val="00E0618E"/>
    <w:rsid w:val="00E0665F"/>
    <w:rsid w:val="00E0716D"/>
    <w:rsid w:val="00E07256"/>
    <w:rsid w:val="00E073F9"/>
    <w:rsid w:val="00E100C2"/>
    <w:rsid w:val="00E10524"/>
    <w:rsid w:val="00E10E16"/>
    <w:rsid w:val="00E11612"/>
    <w:rsid w:val="00E11615"/>
    <w:rsid w:val="00E1164A"/>
    <w:rsid w:val="00E11E64"/>
    <w:rsid w:val="00E12712"/>
    <w:rsid w:val="00E129D6"/>
    <w:rsid w:val="00E13176"/>
    <w:rsid w:val="00E13942"/>
    <w:rsid w:val="00E139E5"/>
    <w:rsid w:val="00E13A21"/>
    <w:rsid w:val="00E13A78"/>
    <w:rsid w:val="00E14769"/>
    <w:rsid w:val="00E14A3B"/>
    <w:rsid w:val="00E14CE0"/>
    <w:rsid w:val="00E14D78"/>
    <w:rsid w:val="00E14E06"/>
    <w:rsid w:val="00E14F83"/>
    <w:rsid w:val="00E153B6"/>
    <w:rsid w:val="00E16039"/>
    <w:rsid w:val="00E163D8"/>
    <w:rsid w:val="00E1699A"/>
    <w:rsid w:val="00E17561"/>
    <w:rsid w:val="00E17C26"/>
    <w:rsid w:val="00E20242"/>
    <w:rsid w:val="00E20466"/>
    <w:rsid w:val="00E20EA3"/>
    <w:rsid w:val="00E20FC7"/>
    <w:rsid w:val="00E21B04"/>
    <w:rsid w:val="00E21D69"/>
    <w:rsid w:val="00E21D9E"/>
    <w:rsid w:val="00E226E5"/>
    <w:rsid w:val="00E22C1E"/>
    <w:rsid w:val="00E23099"/>
    <w:rsid w:val="00E23745"/>
    <w:rsid w:val="00E23AC7"/>
    <w:rsid w:val="00E24233"/>
    <w:rsid w:val="00E243F6"/>
    <w:rsid w:val="00E24452"/>
    <w:rsid w:val="00E2476A"/>
    <w:rsid w:val="00E250D8"/>
    <w:rsid w:val="00E25424"/>
    <w:rsid w:val="00E25928"/>
    <w:rsid w:val="00E259F0"/>
    <w:rsid w:val="00E265EF"/>
    <w:rsid w:val="00E266A4"/>
    <w:rsid w:val="00E26AE6"/>
    <w:rsid w:val="00E2792A"/>
    <w:rsid w:val="00E305CA"/>
    <w:rsid w:val="00E309B9"/>
    <w:rsid w:val="00E31466"/>
    <w:rsid w:val="00E31855"/>
    <w:rsid w:val="00E3191C"/>
    <w:rsid w:val="00E32899"/>
    <w:rsid w:val="00E335A4"/>
    <w:rsid w:val="00E33809"/>
    <w:rsid w:val="00E343A2"/>
    <w:rsid w:val="00E344C9"/>
    <w:rsid w:val="00E34774"/>
    <w:rsid w:val="00E347CC"/>
    <w:rsid w:val="00E349D2"/>
    <w:rsid w:val="00E34B2E"/>
    <w:rsid w:val="00E34F5E"/>
    <w:rsid w:val="00E35434"/>
    <w:rsid w:val="00E35887"/>
    <w:rsid w:val="00E35FA4"/>
    <w:rsid w:val="00E369C9"/>
    <w:rsid w:val="00E36E5F"/>
    <w:rsid w:val="00E3723B"/>
    <w:rsid w:val="00E37403"/>
    <w:rsid w:val="00E37868"/>
    <w:rsid w:val="00E37DCE"/>
    <w:rsid w:val="00E4074B"/>
    <w:rsid w:val="00E410B0"/>
    <w:rsid w:val="00E41C02"/>
    <w:rsid w:val="00E42477"/>
    <w:rsid w:val="00E42783"/>
    <w:rsid w:val="00E4357D"/>
    <w:rsid w:val="00E43983"/>
    <w:rsid w:val="00E44236"/>
    <w:rsid w:val="00E448E6"/>
    <w:rsid w:val="00E45728"/>
    <w:rsid w:val="00E45976"/>
    <w:rsid w:val="00E45B83"/>
    <w:rsid w:val="00E46C7F"/>
    <w:rsid w:val="00E46D0E"/>
    <w:rsid w:val="00E46F6D"/>
    <w:rsid w:val="00E470D0"/>
    <w:rsid w:val="00E4762D"/>
    <w:rsid w:val="00E503CE"/>
    <w:rsid w:val="00E5064D"/>
    <w:rsid w:val="00E50729"/>
    <w:rsid w:val="00E5087F"/>
    <w:rsid w:val="00E50A5A"/>
    <w:rsid w:val="00E50AFA"/>
    <w:rsid w:val="00E50D5E"/>
    <w:rsid w:val="00E514C3"/>
    <w:rsid w:val="00E5233B"/>
    <w:rsid w:val="00E52553"/>
    <w:rsid w:val="00E52898"/>
    <w:rsid w:val="00E52D24"/>
    <w:rsid w:val="00E52D51"/>
    <w:rsid w:val="00E53318"/>
    <w:rsid w:val="00E53490"/>
    <w:rsid w:val="00E54F4B"/>
    <w:rsid w:val="00E54FEA"/>
    <w:rsid w:val="00E56F3F"/>
    <w:rsid w:val="00E57001"/>
    <w:rsid w:val="00E5740F"/>
    <w:rsid w:val="00E57481"/>
    <w:rsid w:val="00E574BC"/>
    <w:rsid w:val="00E577D7"/>
    <w:rsid w:val="00E578C2"/>
    <w:rsid w:val="00E57BC2"/>
    <w:rsid w:val="00E57D42"/>
    <w:rsid w:val="00E606C0"/>
    <w:rsid w:val="00E60A81"/>
    <w:rsid w:val="00E60FCA"/>
    <w:rsid w:val="00E61C93"/>
    <w:rsid w:val="00E62102"/>
    <w:rsid w:val="00E62C42"/>
    <w:rsid w:val="00E63107"/>
    <w:rsid w:val="00E631F5"/>
    <w:rsid w:val="00E632AE"/>
    <w:rsid w:val="00E63608"/>
    <w:rsid w:val="00E64176"/>
    <w:rsid w:val="00E6425F"/>
    <w:rsid w:val="00E6437C"/>
    <w:rsid w:val="00E646B4"/>
    <w:rsid w:val="00E64AAC"/>
    <w:rsid w:val="00E657B1"/>
    <w:rsid w:val="00E6584E"/>
    <w:rsid w:val="00E65A18"/>
    <w:rsid w:val="00E66012"/>
    <w:rsid w:val="00E66096"/>
    <w:rsid w:val="00E661D6"/>
    <w:rsid w:val="00E66B46"/>
    <w:rsid w:val="00E66CC8"/>
    <w:rsid w:val="00E66E6C"/>
    <w:rsid w:val="00E6709C"/>
    <w:rsid w:val="00E67477"/>
    <w:rsid w:val="00E67679"/>
    <w:rsid w:val="00E67885"/>
    <w:rsid w:val="00E67889"/>
    <w:rsid w:val="00E704CD"/>
    <w:rsid w:val="00E70A5D"/>
    <w:rsid w:val="00E70AEF"/>
    <w:rsid w:val="00E70E3A"/>
    <w:rsid w:val="00E7161B"/>
    <w:rsid w:val="00E71C99"/>
    <w:rsid w:val="00E71EF5"/>
    <w:rsid w:val="00E71F69"/>
    <w:rsid w:val="00E727AF"/>
    <w:rsid w:val="00E7283B"/>
    <w:rsid w:val="00E7303E"/>
    <w:rsid w:val="00E73C64"/>
    <w:rsid w:val="00E7420A"/>
    <w:rsid w:val="00E7535A"/>
    <w:rsid w:val="00E755D7"/>
    <w:rsid w:val="00E7668F"/>
    <w:rsid w:val="00E76C1E"/>
    <w:rsid w:val="00E7732A"/>
    <w:rsid w:val="00E77482"/>
    <w:rsid w:val="00E77982"/>
    <w:rsid w:val="00E77C69"/>
    <w:rsid w:val="00E80029"/>
    <w:rsid w:val="00E80167"/>
    <w:rsid w:val="00E807C1"/>
    <w:rsid w:val="00E80842"/>
    <w:rsid w:val="00E808D0"/>
    <w:rsid w:val="00E810F4"/>
    <w:rsid w:val="00E81209"/>
    <w:rsid w:val="00E8123B"/>
    <w:rsid w:val="00E813D8"/>
    <w:rsid w:val="00E813EC"/>
    <w:rsid w:val="00E819AC"/>
    <w:rsid w:val="00E826AC"/>
    <w:rsid w:val="00E8295F"/>
    <w:rsid w:val="00E82D26"/>
    <w:rsid w:val="00E83191"/>
    <w:rsid w:val="00E83B8C"/>
    <w:rsid w:val="00E83F67"/>
    <w:rsid w:val="00E84CD4"/>
    <w:rsid w:val="00E84CED"/>
    <w:rsid w:val="00E84F8A"/>
    <w:rsid w:val="00E84FB6"/>
    <w:rsid w:val="00E855C8"/>
    <w:rsid w:val="00E85626"/>
    <w:rsid w:val="00E858F2"/>
    <w:rsid w:val="00E8609D"/>
    <w:rsid w:val="00E8782E"/>
    <w:rsid w:val="00E87B47"/>
    <w:rsid w:val="00E90904"/>
    <w:rsid w:val="00E90BA5"/>
    <w:rsid w:val="00E90ED9"/>
    <w:rsid w:val="00E91025"/>
    <w:rsid w:val="00E91734"/>
    <w:rsid w:val="00E920A0"/>
    <w:rsid w:val="00E92949"/>
    <w:rsid w:val="00E92996"/>
    <w:rsid w:val="00E92F61"/>
    <w:rsid w:val="00E94787"/>
    <w:rsid w:val="00E959A2"/>
    <w:rsid w:val="00E95CE4"/>
    <w:rsid w:val="00E95DFD"/>
    <w:rsid w:val="00E96279"/>
    <w:rsid w:val="00E96917"/>
    <w:rsid w:val="00E96EC6"/>
    <w:rsid w:val="00E974C2"/>
    <w:rsid w:val="00E97A0D"/>
    <w:rsid w:val="00EA04E1"/>
    <w:rsid w:val="00EA05DB"/>
    <w:rsid w:val="00EA0707"/>
    <w:rsid w:val="00EA0A29"/>
    <w:rsid w:val="00EA0BAC"/>
    <w:rsid w:val="00EA1153"/>
    <w:rsid w:val="00EA12B6"/>
    <w:rsid w:val="00EA1310"/>
    <w:rsid w:val="00EA156A"/>
    <w:rsid w:val="00EA156F"/>
    <w:rsid w:val="00EA1955"/>
    <w:rsid w:val="00EA2E38"/>
    <w:rsid w:val="00EA3C3E"/>
    <w:rsid w:val="00EA3F10"/>
    <w:rsid w:val="00EA58E6"/>
    <w:rsid w:val="00EA5C67"/>
    <w:rsid w:val="00EA607A"/>
    <w:rsid w:val="00EA68E1"/>
    <w:rsid w:val="00EA6DB0"/>
    <w:rsid w:val="00EA6F8C"/>
    <w:rsid w:val="00EA714E"/>
    <w:rsid w:val="00EA718F"/>
    <w:rsid w:val="00EA76A7"/>
    <w:rsid w:val="00EB00A7"/>
    <w:rsid w:val="00EB039B"/>
    <w:rsid w:val="00EB11F2"/>
    <w:rsid w:val="00EB1856"/>
    <w:rsid w:val="00EB1AC1"/>
    <w:rsid w:val="00EB21BD"/>
    <w:rsid w:val="00EB2383"/>
    <w:rsid w:val="00EB2C63"/>
    <w:rsid w:val="00EB30AB"/>
    <w:rsid w:val="00EB3207"/>
    <w:rsid w:val="00EB4038"/>
    <w:rsid w:val="00EB452B"/>
    <w:rsid w:val="00EB49F4"/>
    <w:rsid w:val="00EB4B66"/>
    <w:rsid w:val="00EB5467"/>
    <w:rsid w:val="00EB5622"/>
    <w:rsid w:val="00EB717C"/>
    <w:rsid w:val="00EB7619"/>
    <w:rsid w:val="00EB7A6E"/>
    <w:rsid w:val="00EB7B05"/>
    <w:rsid w:val="00EB7C90"/>
    <w:rsid w:val="00EC00BF"/>
    <w:rsid w:val="00EC0978"/>
    <w:rsid w:val="00EC0979"/>
    <w:rsid w:val="00EC0B76"/>
    <w:rsid w:val="00EC0CD5"/>
    <w:rsid w:val="00EC174F"/>
    <w:rsid w:val="00EC184B"/>
    <w:rsid w:val="00EC19FF"/>
    <w:rsid w:val="00EC1C5C"/>
    <w:rsid w:val="00EC1CAA"/>
    <w:rsid w:val="00EC211C"/>
    <w:rsid w:val="00EC22E1"/>
    <w:rsid w:val="00EC24A6"/>
    <w:rsid w:val="00EC28CA"/>
    <w:rsid w:val="00EC2931"/>
    <w:rsid w:val="00EC35BF"/>
    <w:rsid w:val="00EC36EF"/>
    <w:rsid w:val="00EC3847"/>
    <w:rsid w:val="00EC3B0D"/>
    <w:rsid w:val="00EC3B11"/>
    <w:rsid w:val="00EC588F"/>
    <w:rsid w:val="00EC5AA4"/>
    <w:rsid w:val="00EC5F27"/>
    <w:rsid w:val="00EC62CC"/>
    <w:rsid w:val="00EC6503"/>
    <w:rsid w:val="00EC6C27"/>
    <w:rsid w:val="00EC6CDA"/>
    <w:rsid w:val="00EC6F88"/>
    <w:rsid w:val="00EC74BD"/>
    <w:rsid w:val="00EC7B05"/>
    <w:rsid w:val="00EC7DEA"/>
    <w:rsid w:val="00EC7EB0"/>
    <w:rsid w:val="00EC7FE9"/>
    <w:rsid w:val="00ED02EF"/>
    <w:rsid w:val="00ED04E1"/>
    <w:rsid w:val="00ED0D17"/>
    <w:rsid w:val="00ED1424"/>
    <w:rsid w:val="00ED1D5C"/>
    <w:rsid w:val="00ED1D5D"/>
    <w:rsid w:val="00ED2745"/>
    <w:rsid w:val="00ED2888"/>
    <w:rsid w:val="00ED3601"/>
    <w:rsid w:val="00ED376F"/>
    <w:rsid w:val="00ED39F3"/>
    <w:rsid w:val="00ED4024"/>
    <w:rsid w:val="00ED469F"/>
    <w:rsid w:val="00ED4A58"/>
    <w:rsid w:val="00ED4B96"/>
    <w:rsid w:val="00ED4C2E"/>
    <w:rsid w:val="00ED517D"/>
    <w:rsid w:val="00ED6545"/>
    <w:rsid w:val="00ED658A"/>
    <w:rsid w:val="00ED749F"/>
    <w:rsid w:val="00ED77DA"/>
    <w:rsid w:val="00ED7906"/>
    <w:rsid w:val="00ED7DBB"/>
    <w:rsid w:val="00EE0761"/>
    <w:rsid w:val="00EE0C35"/>
    <w:rsid w:val="00EE189B"/>
    <w:rsid w:val="00EE219F"/>
    <w:rsid w:val="00EE301D"/>
    <w:rsid w:val="00EE425A"/>
    <w:rsid w:val="00EE43A0"/>
    <w:rsid w:val="00EE45FE"/>
    <w:rsid w:val="00EE62D3"/>
    <w:rsid w:val="00EE6D44"/>
    <w:rsid w:val="00EE6D88"/>
    <w:rsid w:val="00EE72AC"/>
    <w:rsid w:val="00EE7DD5"/>
    <w:rsid w:val="00EF0194"/>
    <w:rsid w:val="00EF0286"/>
    <w:rsid w:val="00EF0EA5"/>
    <w:rsid w:val="00EF1C2F"/>
    <w:rsid w:val="00EF20CA"/>
    <w:rsid w:val="00EF23BA"/>
    <w:rsid w:val="00EF273F"/>
    <w:rsid w:val="00EF2A1E"/>
    <w:rsid w:val="00EF4DA7"/>
    <w:rsid w:val="00EF5391"/>
    <w:rsid w:val="00EF5906"/>
    <w:rsid w:val="00EF5CA2"/>
    <w:rsid w:val="00EF5E5F"/>
    <w:rsid w:val="00EF612D"/>
    <w:rsid w:val="00EF6DAD"/>
    <w:rsid w:val="00EF754F"/>
    <w:rsid w:val="00EF764B"/>
    <w:rsid w:val="00EF7CDA"/>
    <w:rsid w:val="00EF7DF8"/>
    <w:rsid w:val="00F00456"/>
    <w:rsid w:val="00F006CF"/>
    <w:rsid w:val="00F01460"/>
    <w:rsid w:val="00F016AB"/>
    <w:rsid w:val="00F01778"/>
    <w:rsid w:val="00F01DDB"/>
    <w:rsid w:val="00F0272D"/>
    <w:rsid w:val="00F02D30"/>
    <w:rsid w:val="00F04259"/>
    <w:rsid w:val="00F055D0"/>
    <w:rsid w:val="00F060D7"/>
    <w:rsid w:val="00F0619A"/>
    <w:rsid w:val="00F062CC"/>
    <w:rsid w:val="00F06880"/>
    <w:rsid w:val="00F06955"/>
    <w:rsid w:val="00F069D0"/>
    <w:rsid w:val="00F06C37"/>
    <w:rsid w:val="00F07151"/>
    <w:rsid w:val="00F077A9"/>
    <w:rsid w:val="00F0789F"/>
    <w:rsid w:val="00F07BD5"/>
    <w:rsid w:val="00F1027B"/>
    <w:rsid w:val="00F10820"/>
    <w:rsid w:val="00F10EE4"/>
    <w:rsid w:val="00F11046"/>
    <w:rsid w:val="00F11752"/>
    <w:rsid w:val="00F11C49"/>
    <w:rsid w:val="00F11D8A"/>
    <w:rsid w:val="00F11DDB"/>
    <w:rsid w:val="00F12301"/>
    <w:rsid w:val="00F127F8"/>
    <w:rsid w:val="00F12D1F"/>
    <w:rsid w:val="00F12E53"/>
    <w:rsid w:val="00F1308F"/>
    <w:rsid w:val="00F13388"/>
    <w:rsid w:val="00F13B4C"/>
    <w:rsid w:val="00F13D5F"/>
    <w:rsid w:val="00F13F2F"/>
    <w:rsid w:val="00F1462B"/>
    <w:rsid w:val="00F14798"/>
    <w:rsid w:val="00F14E18"/>
    <w:rsid w:val="00F14EA6"/>
    <w:rsid w:val="00F15102"/>
    <w:rsid w:val="00F158AF"/>
    <w:rsid w:val="00F163F6"/>
    <w:rsid w:val="00F16498"/>
    <w:rsid w:val="00F16812"/>
    <w:rsid w:val="00F17A09"/>
    <w:rsid w:val="00F17D8F"/>
    <w:rsid w:val="00F202E6"/>
    <w:rsid w:val="00F20525"/>
    <w:rsid w:val="00F2074D"/>
    <w:rsid w:val="00F225B3"/>
    <w:rsid w:val="00F2299E"/>
    <w:rsid w:val="00F22B09"/>
    <w:rsid w:val="00F22D2C"/>
    <w:rsid w:val="00F235D2"/>
    <w:rsid w:val="00F23643"/>
    <w:rsid w:val="00F23821"/>
    <w:rsid w:val="00F23A3E"/>
    <w:rsid w:val="00F23D67"/>
    <w:rsid w:val="00F2439C"/>
    <w:rsid w:val="00F245EB"/>
    <w:rsid w:val="00F262EA"/>
    <w:rsid w:val="00F263A7"/>
    <w:rsid w:val="00F265F0"/>
    <w:rsid w:val="00F26FFF"/>
    <w:rsid w:val="00F2782F"/>
    <w:rsid w:val="00F27E94"/>
    <w:rsid w:val="00F31670"/>
    <w:rsid w:val="00F319B5"/>
    <w:rsid w:val="00F319F3"/>
    <w:rsid w:val="00F326BC"/>
    <w:rsid w:val="00F328F4"/>
    <w:rsid w:val="00F32C3C"/>
    <w:rsid w:val="00F32CC2"/>
    <w:rsid w:val="00F34123"/>
    <w:rsid w:val="00F34778"/>
    <w:rsid w:val="00F352D7"/>
    <w:rsid w:val="00F35B90"/>
    <w:rsid w:val="00F36575"/>
    <w:rsid w:val="00F36788"/>
    <w:rsid w:val="00F36AB0"/>
    <w:rsid w:val="00F36E68"/>
    <w:rsid w:val="00F36F45"/>
    <w:rsid w:val="00F3710E"/>
    <w:rsid w:val="00F40110"/>
    <w:rsid w:val="00F4012F"/>
    <w:rsid w:val="00F40450"/>
    <w:rsid w:val="00F4080B"/>
    <w:rsid w:val="00F40873"/>
    <w:rsid w:val="00F40B88"/>
    <w:rsid w:val="00F41C24"/>
    <w:rsid w:val="00F4297A"/>
    <w:rsid w:val="00F42EBC"/>
    <w:rsid w:val="00F43D5D"/>
    <w:rsid w:val="00F4433A"/>
    <w:rsid w:val="00F4468F"/>
    <w:rsid w:val="00F44C6A"/>
    <w:rsid w:val="00F44D38"/>
    <w:rsid w:val="00F4597B"/>
    <w:rsid w:val="00F45A65"/>
    <w:rsid w:val="00F460DF"/>
    <w:rsid w:val="00F46116"/>
    <w:rsid w:val="00F46288"/>
    <w:rsid w:val="00F464F0"/>
    <w:rsid w:val="00F46FF3"/>
    <w:rsid w:val="00F47329"/>
    <w:rsid w:val="00F47474"/>
    <w:rsid w:val="00F47490"/>
    <w:rsid w:val="00F4769F"/>
    <w:rsid w:val="00F47A2D"/>
    <w:rsid w:val="00F47D5E"/>
    <w:rsid w:val="00F47D5F"/>
    <w:rsid w:val="00F47FEB"/>
    <w:rsid w:val="00F50041"/>
    <w:rsid w:val="00F503CC"/>
    <w:rsid w:val="00F50673"/>
    <w:rsid w:val="00F50695"/>
    <w:rsid w:val="00F522E6"/>
    <w:rsid w:val="00F52477"/>
    <w:rsid w:val="00F530E3"/>
    <w:rsid w:val="00F533E7"/>
    <w:rsid w:val="00F53CB4"/>
    <w:rsid w:val="00F53E2B"/>
    <w:rsid w:val="00F540C6"/>
    <w:rsid w:val="00F543ED"/>
    <w:rsid w:val="00F54548"/>
    <w:rsid w:val="00F54582"/>
    <w:rsid w:val="00F54966"/>
    <w:rsid w:val="00F54DA0"/>
    <w:rsid w:val="00F550C4"/>
    <w:rsid w:val="00F5524B"/>
    <w:rsid w:val="00F561DE"/>
    <w:rsid w:val="00F5671B"/>
    <w:rsid w:val="00F56DA2"/>
    <w:rsid w:val="00F571BA"/>
    <w:rsid w:val="00F57495"/>
    <w:rsid w:val="00F57D87"/>
    <w:rsid w:val="00F60106"/>
    <w:rsid w:val="00F6055F"/>
    <w:rsid w:val="00F6081F"/>
    <w:rsid w:val="00F60A43"/>
    <w:rsid w:val="00F60A68"/>
    <w:rsid w:val="00F60B30"/>
    <w:rsid w:val="00F6141F"/>
    <w:rsid w:val="00F61AE9"/>
    <w:rsid w:val="00F61DEC"/>
    <w:rsid w:val="00F624BC"/>
    <w:rsid w:val="00F628AA"/>
    <w:rsid w:val="00F63EEB"/>
    <w:rsid w:val="00F64398"/>
    <w:rsid w:val="00F65260"/>
    <w:rsid w:val="00F6536D"/>
    <w:rsid w:val="00F65C4D"/>
    <w:rsid w:val="00F66477"/>
    <w:rsid w:val="00F66909"/>
    <w:rsid w:val="00F670A3"/>
    <w:rsid w:val="00F673A5"/>
    <w:rsid w:val="00F67508"/>
    <w:rsid w:val="00F67CF6"/>
    <w:rsid w:val="00F70224"/>
    <w:rsid w:val="00F703CD"/>
    <w:rsid w:val="00F71365"/>
    <w:rsid w:val="00F71994"/>
    <w:rsid w:val="00F71B84"/>
    <w:rsid w:val="00F721B7"/>
    <w:rsid w:val="00F72359"/>
    <w:rsid w:val="00F730C2"/>
    <w:rsid w:val="00F738DA"/>
    <w:rsid w:val="00F74120"/>
    <w:rsid w:val="00F74777"/>
    <w:rsid w:val="00F752DE"/>
    <w:rsid w:val="00F7537A"/>
    <w:rsid w:val="00F754CF"/>
    <w:rsid w:val="00F75789"/>
    <w:rsid w:val="00F76347"/>
    <w:rsid w:val="00F76829"/>
    <w:rsid w:val="00F76B3E"/>
    <w:rsid w:val="00F76D12"/>
    <w:rsid w:val="00F7729A"/>
    <w:rsid w:val="00F773CF"/>
    <w:rsid w:val="00F7761C"/>
    <w:rsid w:val="00F777EA"/>
    <w:rsid w:val="00F77C67"/>
    <w:rsid w:val="00F77EC6"/>
    <w:rsid w:val="00F80309"/>
    <w:rsid w:val="00F8042D"/>
    <w:rsid w:val="00F8075D"/>
    <w:rsid w:val="00F80A17"/>
    <w:rsid w:val="00F80ACB"/>
    <w:rsid w:val="00F80B72"/>
    <w:rsid w:val="00F817B7"/>
    <w:rsid w:val="00F81839"/>
    <w:rsid w:val="00F81C6B"/>
    <w:rsid w:val="00F81DDB"/>
    <w:rsid w:val="00F829D6"/>
    <w:rsid w:val="00F8342A"/>
    <w:rsid w:val="00F83B38"/>
    <w:rsid w:val="00F8422C"/>
    <w:rsid w:val="00F848CE"/>
    <w:rsid w:val="00F849B7"/>
    <w:rsid w:val="00F851C1"/>
    <w:rsid w:val="00F8520F"/>
    <w:rsid w:val="00F85540"/>
    <w:rsid w:val="00F857ED"/>
    <w:rsid w:val="00F858C5"/>
    <w:rsid w:val="00F85DBF"/>
    <w:rsid w:val="00F85FB8"/>
    <w:rsid w:val="00F86468"/>
    <w:rsid w:val="00F8699E"/>
    <w:rsid w:val="00F8700C"/>
    <w:rsid w:val="00F8705E"/>
    <w:rsid w:val="00F877E3"/>
    <w:rsid w:val="00F87A3B"/>
    <w:rsid w:val="00F87B2C"/>
    <w:rsid w:val="00F87C78"/>
    <w:rsid w:val="00F907A5"/>
    <w:rsid w:val="00F91199"/>
    <w:rsid w:val="00F91729"/>
    <w:rsid w:val="00F91C4A"/>
    <w:rsid w:val="00F92321"/>
    <w:rsid w:val="00F92B54"/>
    <w:rsid w:val="00F92BEF"/>
    <w:rsid w:val="00F9349A"/>
    <w:rsid w:val="00F9442F"/>
    <w:rsid w:val="00F9470D"/>
    <w:rsid w:val="00F94A4A"/>
    <w:rsid w:val="00F950FE"/>
    <w:rsid w:val="00F95978"/>
    <w:rsid w:val="00F9607F"/>
    <w:rsid w:val="00F9617D"/>
    <w:rsid w:val="00F96948"/>
    <w:rsid w:val="00F96963"/>
    <w:rsid w:val="00F96B78"/>
    <w:rsid w:val="00F971D2"/>
    <w:rsid w:val="00F97970"/>
    <w:rsid w:val="00FA0DC3"/>
    <w:rsid w:val="00FA0E6E"/>
    <w:rsid w:val="00FA0F08"/>
    <w:rsid w:val="00FA1887"/>
    <w:rsid w:val="00FA2505"/>
    <w:rsid w:val="00FA27B9"/>
    <w:rsid w:val="00FA34E6"/>
    <w:rsid w:val="00FA35E2"/>
    <w:rsid w:val="00FA35FF"/>
    <w:rsid w:val="00FA3D97"/>
    <w:rsid w:val="00FA3EEE"/>
    <w:rsid w:val="00FA4199"/>
    <w:rsid w:val="00FA4E4A"/>
    <w:rsid w:val="00FA557A"/>
    <w:rsid w:val="00FA5AB9"/>
    <w:rsid w:val="00FA5C58"/>
    <w:rsid w:val="00FA61ED"/>
    <w:rsid w:val="00FA649E"/>
    <w:rsid w:val="00FA66CA"/>
    <w:rsid w:val="00FA6AE0"/>
    <w:rsid w:val="00FA73F4"/>
    <w:rsid w:val="00FA783E"/>
    <w:rsid w:val="00FA7DD6"/>
    <w:rsid w:val="00FB0012"/>
    <w:rsid w:val="00FB0440"/>
    <w:rsid w:val="00FB0516"/>
    <w:rsid w:val="00FB062D"/>
    <w:rsid w:val="00FB13D2"/>
    <w:rsid w:val="00FB1546"/>
    <w:rsid w:val="00FB19CC"/>
    <w:rsid w:val="00FB1AE2"/>
    <w:rsid w:val="00FB1EDA"/>
    <w:rsid w:val="00FB2CB4"/>
    <w:rsid w:val="00FB3027"/>
    <w:rsid w:val="00FB3337"/>
    <w:rsid w:val="00FB4456"/>
    <w:rsid w:val="00FB483A"/>
    <w:rsid w:val="00FB6051"/>
    <w:rsid w:val="00FB6255"/>
    <w:rsid w:val="00FB688B"/>
    <w:rsid w:val="00FB6C63"/>
    <w:rsid w:val="00FB6FEA"/>
    <w:rsid w:val="00FC0E80"/>
    <w:rsid w:val="00FC10DC"/>
    <w:rsid w:val="00FC1DF3"/>
    <w:rsid w:val="00FC2379"/>
    <w:rsid w:val="00FC270F"/>
    <w:rsid w:val="00FC3029"/>
    <w:rsid w:val="00FC306D"/>
    <w:rsid w:val="00FC3B38"/>
    <w:rsid w:val="00FC45E3"/>
    <w:rsid w:val="00FC46D1"/>
    <w:rsid w:val="00FC4BD1"/>
    <w:rsid w:val="00FC5476"/>
    <w:rsid w:val="00FC5748"/>
    <w:rsid w:val="00FC6C1A"/>
    <w:rsid w:val="00FC6F6F"/>
    <w:rsid w:val="00FC7164"/>
    <w:rsid w:val="00FC7574"/>
    <w:rsid w:val="00FC7952"/>
    <w:rsid w:val="00FC7BC0"/>
    <w:rsid w:val="00FC7CC7"/>
    <w:rsid w:val="00FD0621"/>
    <w:rsid w:val="00FD0950"/>
    <w:rsid w:val="00FD1A2F"/>
    <w:rsid w:val="00FD1E63"/>
    <w:rsid w:val="00FD2244"/>
    <w:rsid w:val="00FD2399"/>
    <w:rsid w:val="00FD2837"/>
    <w:rsid w:val="00FD29B3"/>
    <w:rsid w:val="00FD4601"/>
    <w:rsid w:val="00FD4630"/>
    <w:rsid w:val="00FD46B3"/>
    <w:rsid w:val="00FD4804"/>
    <w:rsid w:val="00FD5138"/>
    <w:rsid w:val="00FD54E1"/>
    <w:rsid w:val="00FD5528"/>
    <w:rsid w:val="00FD5B23"/>
    <w:rsid w:val="00FD5C31"/>
    <w:rsid w:val="00FD6926"/>
    <w:rsid w:val="00FD6D15"/>
    <w:rsid w:val="00FD76F5"/>
    <w:rsid w:val="00FE013D"/>
    <w:rsid w:val="00FE0372"/>
    <w:rsid w:val="00FE05B5"/>
    <w:rsid w:val="00FE0624"/>
    <w:rsid w:val="00FE0D08"/>
    <w:rsid w:val="00FE149B"/>
    <w:rsid w:val="00FE17AE"/>
    <w:rsid w:val="00FE1E9B"/>
    <w:rsid w:val="00FE21B0"/>
    <w:rsid w:val="00FE27B2"/>
    <w:rsid w:val="00FE28D9"/>
    <w:rsid w:val="00FE2D0E"/>
    <w:rsid w:val="00FE2E32"/>
    <w:rsid w:val="00FE3405"/>
    <w:rsid w:val="00FE345D"/>
    <w:rsid w:val="00FE3660"/>
    <w:rsid w:val="00FE3A9C"/>
    <w:rsid w:val="00FE4589"/>
    <w:rsid w:val="00FE4634"/>
    <w:rsid w:val="00FE5B03"/>
    <w:rsid w:val="00FE5CB3"/>
    <w:rsid w:val="00FE630B"/>
    <w:rsid w:val="00FE6A75"/>
    <w:rsid w:val="00FE7274"/>
    <w:rsid w:val="00FE7330"/>
    <w:rsid w:val="00FE7EAB"/>
    <w:rsid w:val="00FF002A"/>
    <w:rsid w:val="00FF023C"/>
    <w:rsid w:val="00FF04A2"/>
    <w:rsid w:val="00FF0D74"/>
    <w:rsid w:val="00FF0D7D"/>
    <w:rsid w:val="00FF1903"/>
    <w:rsid w:val="00FF19FB"/>
    <w:rsid w:val="00FF2623"/>
    <w:rsid w:val="00FF399D"/>
    <w:rsid w:val="00FF3C63"/>
    <w:rsid w:val="00FF3DA9"/>
    <w:rsid w:val="00FF3DE6"/>
    <w:rsid w:val="00FF41C9"/>
    <w:rsid w:val="00FF43AB"/>
    <w:rsid w:val="00FF46AD"/>
    <w:rsid w:val="00FF584A"/>
    <w:rsid w:val="00FF5AF5"/>
    <w:rsid w:val="00FF5DF1"/>
    <w:rsid w:val="00FF62CB"/>
    <w:rsid w:val="00FF69B9"/>
    <w:rsid w:val="00FF78BE"/>
    <w:rsid w:val="00FF7CD0"/>
    <w:rsid w:val="0622371E"/>
    <w:rsid w:val="182DC23C"/>
    <w:rsid w:val="3AF6E4C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9B2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D2C"/>
    <w:rPr>
      <w:rFonts w:ascii="Arial" w:hAnsi="Arial"/>
      <w:sz w:val="24"/>
      <w:lang w:eastAsia="fr-FR"/>
    </w:rPr>
  </w:style>
  <w:style w:type="paragraph" w:styleId="Titre1">
    <w:name w:val="heading 1"/>
    <w:basedOn w:val="Normal"/>
    <w:next w:val="Normal"/>
    <w:qFormat/>
    <w:rsid w:val="00A93F50"/>
    <w:pPr>
      <w:keepNext/>
      <w:numPr>
        <w:numId w:val="14"/>
      </w:numPr>
      <w:tabs>
        <w:tab w:val="left" w:pos="446"/>
      </w:tabs>
      <w:spacing w:before="240" w:after="60"/>
      <w:ind w:left="495" w:hanging="495"/>
      <w:outlineLvl w:val="0"/>
    </w:pPr>
    <w:rPr>
      <w:b/>
      <w:caps/>
      <w:kern w:val="28"/>
    </w:rPr>
  </w:style>
  <w:style w:type="paragraph" w:styleId="Titre2">
    <w:name w:val="heading 2"/>
    <w:basedOn w:val="Normal"/>
    <w:next w:val="Normal"/>
    <w:autoRedefine/>
    <w:qFormat/>
    <w:rsid w:val="00D70A39"/>
    <w:pPr>
      <w:keepNext/>
      <w:numPr>
        <w:ilvl w:val="1"/>
        <w:numId w:val="14"/>
      </w:numPr>
      <w:tabs>
        <w:tab w:val="clear" w:pos="720"/>
        <w:tab w:val="left" w:pos="990"/>
      </w:tabs>
      <w:spacing w:before="240" w:after="60"/>
      <w:ind w:left="990" w:right="722" w:hanging="720"/>
      <w:outlineLvl w:val="1"/>
    </w:pPr>
    <w:rPr>
      <w:b/>
    </w:rPr>
  </w:style>
  <w:style w:type="paragraph" w:styleId="Titre3">
    <w:name w:val="heading 3"/>
    <w:basedOn w:val="Normal"/>
    <w:next w:val="Normal"/>
    <w:qFormat/>
    <w:rsid w:val="003B0939"/>
    <w:pPr>
      <w:keepNext/>
      <w:numPr>
        <w:ilvl w:val="2"/>
        <w:numId w:val="14"/>
      </w:numPr>
      <w:tabs>
        <w:tab w:val="clear" w:pos="1440"/>
        <w:tab w:val="num" w:pos="1350"/>
      </w:tabs>
      <w:spacing w:before="240" w:after="60"/>
      <w:ind w:left="1350" w:hanging="990"/>
      <w:outlineLvl w:val="2"/>
    </w:pPr>
    <w:rPr>
      <w:i/>
      <w:u w:val="single"/>
    </w:rPr>
  </w:style>
  <w:style w:type="paragraph" w:styleId="Titre4">
    <w:name w:val="heading 4"/>
    <w:basedOn w:val="Normal"/>
    <w:next w:val="Normal"/>
    <w:qFormat/>
    <w:rsid w:val="00F22D2C"/>
    <w:pPr>
      <w:keepNext/>
      <w:numPr>
        <w:ilvl w:val="3"/>
        <w:numId w:val="14"/>
      </w:numPr>
      <w:tabs>
        <w:tab w:val="left" w:pos="1890"/>
      </w:tabs>
      <w:spacing w:before="240" w:after="60"/>
      <w:ind w:left="1890" w:hanging="1080"/>
      <w:outlineLvl w:val="3"/>
    </w:pPr>
  </w:style>
  <w:style w:type="paragraph" w:styleId="Titre5">
    <w:name w:val="heading 5"/>
    <w:basedOn w:val="Normal"/>
    <w:next w:val="Normal"/>
    <w:qFormat/>
    <w:rsid w:val="00A93F50"/>
    <w:pPr>
      <w:numPr>
        <w:ilvl w:val="4"/>
        <w:numId w:val="14"/>
      </w:numPr>
      <w:tabs>
        <w:tab w:val="left" w:pos="1440"/>
      </w:tabs>
      <w:spacing w:before="240" w:after="60"/>
      <w:ind w:left="1440" w:hanging="630"/>
      <w:outlineLvl w:val="4"/>
    </w:pPr>
    <w:rPr>
      <w:sz w:val="22"/>
    </w:rPr>
  </w:style>
  <w:style w:type="paragraph" w:styleId="Titre6">
    <w:name w:val="heading 6"/>
    <w:basedOn w:val="Normal"/>
    <w:next w:val="Normal"/>
    <w:qFormat/>
    <w:pPr>
      <w:numPr>
        <w:ilvl w:val="5"/>
        <w:numId w:val="14"/>
      </w:numPr>
      <w:spacing w:before="240" w:after="60"/>
      <w:outlineLvl w:val="5"/>
    </w:pPr>
    <w:rPr>
      <w:i/>
      <w:sz w:val="22"/>
    </w:rPr>
  </w:style>
  <w:style w:type="paragraph" w:styleId="Titre7">
    <w:name w:val="heading 7"/>
    <w:basedOn w:val="Normal"/>
    <w:next w:val="Normal"/>
    <w:qFormat/>
    <w:pPr>
      <w:numPr>
        <w:ilvl w:val="6"/>
        <w:numId w:val="14"/>
      </w:numPr>
      <w:spacing w:before="240" w:after="60"/>
      <w:outlineLvl w:val="6"/>
    </w:pPr>
    <w:rPr>
      <w:sz w:val="20"/>
    </w:rPr>
  </w:style>
  <w:style w:type="paragraph" w:styleId="Titre8">
    <w:name w:val="heading 8"/>
    <w:basedOn w:val="Normal"/>
    <w:next w:val="Normal"/>
    <w:qFormat/>
    <w:pPr>
      <w:numPr>
        <w:ilvl w:val="7"/>
        <w:numId w:val="14"/>
      </w:numPr>
      <w:spacing w:before="240" w:after="60"/>
      <w:outlineLvl w:val="7"/>
    </w:pPr>
    <w:rPr>
      <w:i/>
      <w:sz w:val="20"/>
    </w:rPr>
  </w:style>
  <w:style w:type="paragraph" w:styleId="Titre9">
    <w:name w:val="heading 9"/>
    <w:basedOn w:val="Normal"/>
    <w:next w:val="Normal"/>
    <w:qFormat/>
    <w:pPr>
      <w:numPr>
        <w:ilvl w:val="8"/>
        <w:numId w:val="14"/>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link w:val="ParagrapheCar"/>
    <w:rsid w:val="003B0939"/>
    <w:pPr>
      <w:tabs>
        <w:tab w:val="left" w:pos="720"/>
      </w:tabs>
      <w:spacing w:line="500" w:lineRule="exact"/>
    </w:pPr>
    <w:rPr>
      <w:kern w:val="28"/>
    </w:rPr>
  </w:style>
  <w:style w:type="paragraph" w:styleId="Corpsdetexte">
    <w:name w:val="Body Text"/>
    <w:basedOn w:val="Normal"/>
    <w:semiHidden/>
  </w:style>
  <w:style w:type="paragraph" w:styleId="Notedebasdepage">
    <w:name w:val="footnote text"/>
    <w:basedOn w:val="Normal"/>
    <w:link w:val="NotedebasdepageCar"/>
    <w:uiPriority w:val="99"/>
    <w:pPr>
      <w:ind w:left="360" w:hanging="360"/>
    </w:pPr>
    <w:rPr>
      <w:sz w:val="20"/>
    </w:rPr>
  </w:style>
  <w:style w:type="paragraph" w:styleId="Notedefin">
    <w:name w:val="endnote text"/>
    <w:basedOn w:val="Normal"/>
    <w:semiHidden/>
    <w:pPr>
      <w:ind w:left="-360"/>
    </w:pPr>
    <w:rPr>
      <w:sz w:val="20"/>
    </w:rPr>
  </w:style>
  <w:style w:type="paragraph" w:customStyle="1" w:styleId="zSoquijlblCour">
    <w:name w:val="zSoquij_lblCour"/>
    <w:basedOn w:val="Normal"/>
    <w:pPr>
      <w:jc w:val="center"/>
    </w:pPr>
    <w:rPr>
      <w:b/>
      <w:sz w:val="36"/>
    </w:rPr>
  </w:style>
  <w:style w:type="paragraph" w:customStyle="1" w:styleId="zSoquijlblPays">
    <w:name w:val="zSoquij_lblPays"/>
    <w:basedOn w:val="Normal"/>
  </w:style>
  <w:style w:type="paragraph" w:customStyle="1" w:styleId="zSoquijlblProvince">
    <w:name w:val="zSoquij_lblProvince"/>
    <w:basedOn w:val="Normal"/>
  </w:style>
  <w:style w:type="paragraph" w:customStyle="1" w:styleId="zSoquijlblGreffe">
    <w:name w:val="zSoquij_lblGreffe"/>
    <w:basedOn w:val="Normal"/>
    <w:pPr>
      <w:ind w:left="70"/>
    </w:pPr>
  </w:style>
  <w:style w:type="paragraph" w:customStyle="1" w:styleId="zSoquijdatGreffe">
    <w:name w:val="zSoquij_datGreffe"/>
    <w:basedOn w:val="Normal"/>
    <w:pPr>
      <w:ind w:left="29"/>
    </w:pPr>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pPr>
      <w:ind w:left="70"/>
    </w:pPr>
    <w:rPr>
      <w:b/>
    </w:rPr>
  </w:style>
  <w:style w:type="paragraph" w:customStyle="1" w:styleId="zSoquijdatQteJuge">
    <w:name w:val="zSoquij_datQteJuge"/>
    <w:basedOn w:val="Normal"/>
    <w:pPr>
      <w:ind w:left="29"/>
    </w:pPr>
    <w:rPr>
      <w:b/>
    </w:rPr>
  </w:style>
  <w:style w:type="paragraph" w:customStyle="1" w:styleId="zSoquijdatJuge">
    <w:name w:val="zSoquij_datJuge"/>
    <w:basedOn w:val="Normal"/>
    <w:pPr>
      <w:ind w:left="52"/>
    </w:pPr>
    <w:rPr>
      <w:b/>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tabs>
        <w:tab w:val="left" w:pos="720"/>
      </w:tabs>
      <w:jc w:val="center"/>
    </w:pPr>
  </w:style>
  <w:style w:type="character" w:customStyle="1" w:styleId="zSoquijlblEntNoDossier">
    <w:name w:val="zSoquij_lblEntNoDossier"/>
    <w:basedOn w:val="Policepardfaut"/>
    <w:rPr>
      <w:lang w:val="fr-CA"/>
    </w:rPr>
  </w:style>
  <w:style w:type="paragraph" w:customStyle="1" w:styleId="zSoquijlblTitrePartie">
    <w:name w:val="zSoquij_lblTitrePartie"/>
    <w:basedOn w:val="Normal"/>
  </w:style>
  <w:style w:type="paragraph" w:customStyle="1" w:styleId="zSoquijdatSignature3Juge">
    <w:name w:val="zSoquij_datSignature3Juge"/>
    <w:basedOn w:val="Normal"/>
  </w:style>
  <w:style w:type="paragraph" w:customStyle="1" w:styleId="zSoquijdatIdJuge">
    <w:name w:val="zSoquij_datIdJuge"/>
    <w:basedOn w:val="Normal"/>
    <w:pPr>
      <w:jc w:val="center"/>
    </w:pPr>
    <w:rPr>
      <w:sz w:val="20"/>
    </w:rPr>
  </w:style>
  <w:style w:type="paragraph" w:customStyle="1" w:styleId="zSoquijdatNomProcureurDem">
    <w:name w:val="zSoquij_datNomProcureurDem"/>
    <w:basedOn w:val="zSoquijlblProcureurDem"/>
  </w:style>
  <w:style w:type="paragraph" w:customStyle="1" w:styleId="zSoquijdatNomProcureurDef">
    <w:name w:val="zSoquij_datNomProcureurDef"/>
    <w:basedOn w:val="zSoquijlblProcureurDef"/>
  </w:style>
  <w:style w:type="paragraph" w:customStyle="1" w:styleId="zSoquijdatCabinetProcureurDem">
    <w:name w:val="zSoquij_datCabinetProcureurDem"/>
    <w:basedOn w:val="Normal"/>
  </w:style>
  <w:style w:type="paragraph" w:customStyle="1" w:styleId="zSoquijdatCabinetProcureurDef">
    <w:name w:val="zSoquij_datCabinetProcureurDef"/>
    <w:basedOn w:val="zSoquijlblProcureurDef"/>
  </w:style>
  <w:style w:type="paragraph" w:customStyle="1" w:styleId="zSoquijdatSignatureJuge1">
    <w:name w:val="zSoquij_datSignatureJuge1"/>
    <w:basedOn w:val="Normal"/>
  </w:style>
  <w:style w:type="paragraph" w:customStyle="1" w:styleId="zSoquijdatSignatureJuge2">
    <w:name w:val="zSoquij_datSignatureJuge2"/>
    <w:basedOn w:val="Normal"/>
  </w:style>
  <w:style w:type="paragraph" w:customStyle="1" w:styleId="zSoquijdatSignatureJuge3">
    <w:name w:val="zSoquij_datSignatureJuge3"/>
    <w:basedOn w:val="Normal"/>
  </w:style>
  <w:style w:type="paragraph" w:customStyle="1" w:styleId="zSoquijdatRepertorie">
    <w:name w:val="zSoquij_datRepertorie"/>
    <w:basedOn w:val="zSoquijlblCour"/>
    <w:pPr>
      <w:jc w:val="left"/>
    </w:pPr>
    <w:rPr>
      <w:noProof/>
      <w:sz w:val="22"/>
    </w:rPr>
  </w:style>
  <w:style w:type="paragraph" w:customStyle="1" w:styleId="zSoquijdatRefNeutre">
    <w:name w:val="zSoquij_datRefNeutre"/>
    <w:basedOn w:val="zSoquijlblCour"/>
    <w:pPr>
      <w:jc w:val="left"/>
    </w:pPr>
    <w:rPr>
      <w:noProof/>
      <w:sz w:val="22"/>
    </w:rPr>
  </w:style>
  <w:style w:type="paragraph" w:customStyle="1" w:styleId="parapuce1">
    <w:name w:val="parapuce 1"/>
    <w:basedOn w:val="Normal"/>
    <w:autoRedefine/>
    <w:rsid w:val="00965EF0"/>
    <w:pPr>
      <w:numPr>
        <w:numId w:val="16"/>
      </w:numPr>
      <w:tabs>
        <w:tab w:val="left" w:pos="720"/>
        <w:tab w:val="left" w:pos="1267"/>
      </w:tabs>
      <w:ind w:left="1267" w:right="720" w:hanging="547"/>
    </w:pPr>
    <w:rPr>
      <w:kern w:val="28"/>
    </w:rPr>
  </w:style>
  <w:style w:type="paragraph" w:customStyle="1" w:styleId="Parapuce2">
    <w:name w:val="Parapuce 2"/>
    <w:basedOn w:val="Normal"/>
    <w:autoRedefine/>
    <w:rsid w:val="00294D56"/>
    <w:pPr>
      <w:tabs>
        <w:tab w:val="left" w:pos="720"/>
        <w:tab w:val="left" w:pos="1886"/>
      </w:tabs>
      <w:spacing w:line="500" w:lineRule="exact"/>
      <w:ind w:left="1901" w:right="1442" w:hanging="634"/>
    </w:pPr>
    <w:rPr>
      <w:kern w:val="28"/>
    </w:rPr>
  </w:style>
  <w:style w:type="paragraph" w:customStyle="1" w:styleId="Parapuce3">
    <w:name w:val="Parapuce 3"/>
    <w:basedOn w:val="Normal"/>
    <w:autoRedefine/>
    <w:rsid w:val="00D256A2"/>
    <w:pPr>
      <w:numPr>
        <w:ilvl w:val="2"/>
        <w:numId w:val="16"/>
      </w:numPr>
      <w:tabs>
        <w:tab w:val="left" w:pos="720"/>
        <w:tab w:val="left" w:pos="1886"/>
        <w:tab w:val="left" w:pos="2434"/>
      </w:tabs>
      <w:ind w:left="2433" w:right="1440" w:hanging="547"/>
    </w:pPr>
    <w:rPr>
      <w:kern w:val="28"/>
    </w:rPr>
  </w:style>
  <w:style w:type="paragraph" w:customStyle="1" w:styleId="Citationretrait1">
    <w:name w:val="Citation retrait 1"/>
    <w:basedOn w:val="Normal"/>
    <w:autoRedefine/>
    <w:rsid w:val="008C140C"/>
    <w:pPr>
      <w:tabs>
        <w:tab w:val="left" w:pos="1620"/>
        <w:tab w:val="left" w:pos="2070"/>
      </w:tabs>
      <w:ind w:left="1980" w:right="2162"/>
    </w:pPr>
    <w:rPr>
      <w:i/>
      <w:iCs/>
      <w:kern w:val="24"/>
      <w:sz w:val="22"/>
    </w:rPr>
  </w:style>
  <w:style w:type="paragraph" w:customStyle="1" w:styleId="citationenretrait2">
    <w:name w:val="citation en retrait 2"/>
    <w:basedOn w:val="Citationretrait1"/>
    <w:autoRedefine/>
    <w:rsid w:val="00BE4AB9"/>
    <w:pPr>
      <w:ind w:left="2430"/>
    </w:pPr>
    <w:rPr>
      <w:rFonts w:ascii="Trebuchet MS" w:hAnsi="Trebuchet MS"/>
      <w:i w:val="0"/>
      <w:sz w:val="20"/>
    </w:rPr>
  </w:style>
  <w:style w:type="paragraph" w:customStyle="1" w:styleId="paragrapheno">
    <w:name w:val="paragraphe no."/>
    <w:basedOn w:val="Paragraphe"/>
    <w:link w:val="paragraphenoCar"/>
    <w:qFormat/>
    <w:rsid w:val="00F15102"/>
    <w:pPr>
      <w:numPr>
        <w:numId w:val="1"/>
      </w:numPr>
      <w:tabs>
        <w:tab w:val="clear" w:pos="720"/>
      </w:tabs>
    </w:pPr>
  </w:style>
  <w:style w:type="character" w:customStyle="1" w:styleId="ParagrapheCar">
    <w:name w:val="Paragraphe Car"/>
    <w:basedOn w:val="Policepardfaut"/>
    <w:link w:val="Paragraphe"/>
    <w:rsid w:val="00F15102"/>
    <w:rPr>
      <w:rFonts w:ascii="Arial" w:hAnsi="Arial"/>
      <w:kern w:val="28"/>
      <w:sz w:val="24"/>
      <w:lang w:eastAsia="fr-FR"/>
    </w:rPr>
  </w:style>
  <w:style w:type="character" w:customStyle="1" w:styleId="paragraphenoCar">
    <w:name w:val="paragraphe no. Car"/>
    <w:basedOn w:val="ParagrapheCar"/>
    <w:link w:val="paragrapheno"/>
    <w:rsid w:val="00F15102"/>
    <w:rPr>
      <w:rFonts w:ascii="Arial" w:hAnsi="Arial"/>
      <w:kern w:val="28"/>
      <w:sz w:val="24"/>
      <w:lang w:eastAsia="fr-FR"/>
    </w:rPr>
  </w:style>
  <w:style w:type="paragraph" w:customStyle="1" w:styleId="ParaPuce10">
    <w:name w:val="ParaPuce1"/>
    <w:basedOn w:val="Normal"/>
    <w:link w:val="ParaPuce1Car"/>
    <w:qFormat/>
    <w:rsid w:val="005D356C"/>
    <w:pPr>
      <w:tabs>
        <w:tab w:val="left" w:pos="720"/>
        <w:tab w:val="left" w:pos="1267"/>
      </w:tabs>
      <w:spacing w:line="500" w:lineRule="exact"/>
      <w:ind w:left="360" w:hanging="360"/>
    </w:pPr>
    <w:rPr>
      <w:kern w:val="28"/>
    </w:rPr>
  </w:style>
  <w:style w:type="paragraph" w:customStyle="1" w:styleId="ParaPuce20">
    <w:name w:val="ParaPuce2"/>
    <w:basedOn w:val="ParaPuce10"/>
    <w:link w:val="ParaPuce2Car"/>
    <w:qFormat/>
    <w:rsid w:val="005D356C"/>
    <w:pPr>
      <w:tabs>
        <w:tab w:val="clear" w:pos="1267"/>
        <w:tab w:val="left" w:pos="1886"/>
      </w:tabs>
      <w:ind w:left="720"/>
    </w:pPr>
  </w:style>
  <w:style w:type="paragraph" w:customStyle="1" w:styleId="Style-citation">
    <w:name w:val="Style - citation"/>
    <w:basedOn w:val="Normal"/>
    <w:link w:val="Style-citationCar"/>
    <w:qFormat/>
    <w:rsid w:val="005D356C"/>
    <w:pPr>
      <w:tabs>
        <w:tab w:val="left" w:pos="1800"/>
      </w:tabs>
      <w:ind w:left="1260" w:right="720"/>
    </w:pPr>
    <w:rPr>
      <w:i/>
      <w:kern w:val="24"/>
      <w:sz w:val="22"/>
    </w:rPr>
  </w:style>
  <w:style w:type="character" w:customStyle="1" w:styleId="Style-citationCar">
    <w:name w:val="Style - citation Car"/>
    <w:link w:val="Style-citation"/>
    <w:rsid w:val="005D356C"/>
    <w:rPr>
      <w:rFonts w:ascii="Arial" w:hAnsi="Arial"/>
      <w:i/>
      <w:kern w:val="24"/>
      <w:sz w:val="22"/>
      <w:lang w:eastAsia="fr-FR"/>
    </w:rPr>
  </w:style>
  <w:style w:type="paragraph" w:customStyle="1" w:styleId="Style2-citation">
    <w:name w:val="Style 2- citation"/>
    <w:basedOn w:val="Normal"/>
    <w:link w:val="Style2-citationCar"/>
    <w:qFormat/>
    <w:rsid w:val="005D356C"/>
    <w:pPr>
      <w:tabs>
        <w:tab w:val="left" w:pos="720"/>
      </w:tabs>
      <w:ind w:left="2160" w:right="2162"/>
    </w:pPr>
    <w:rPr>
      <w:rFonts w:ascii="Trebuchet MS" w:hAnsi="Trebuchet MS"/>
      <w:bCs/>
      <w:kern w:val="28"/>
      <w:sz w:val="20"/>
    </w:rPr>
  </w:style>
  <w:style w:type="character" w:customStyle="1" w:styleId="Style2-citationCar">
    <w:name w:val="Style 2- citation Car"/>
    <w:link w:val="Style2-citation"/>
    <w:rsid w:val="005D356C"/>
    <w:rPr>
      <w:rFonts w:ascii="Trebuchet MS" w:hAnsi="Trebuchet MS"/>
      <w:bCs/>
      <w:kern w:val="28"/>
      <w:lang w:eastAsia="fr-FR"/>
    </w:rPr>
  </w:style>
  <w:style w:type="paragraph" w:customStyle="1" w:styleId="Puce1">
    <w:name w:val="Puce 1"/>
    <w:basedOn w:val="ParaPuce10"/>
    <w:link w:val="Puce1Car"/>
    <w:qFormat/>
    <w:rsid w:val="005D356C"/>
    <w:pPr>
      <w:numPr>
        <w:numId w:val="17"/>
      </w:numPr>
      <w:tabs>
        <w:tab w:val="clear" w:pos="720"/>
        <w:tab w:val="clear" w:pos="1267"/>
      </w:tabs>
      <w:spacing w:line="240" w:lineRule="auto"/>
      <w:ind w:left="1080"/>
    </w:pPr>
  </w:style>
  <w:style w:type="paragraph" w:customStyle="1" w:styleId="Puce2">
    <w:name w:val="Puce 2"/>
    <w:basedOn w:val="ParaPuce20"/>
    <w:link w:val="Puce2Car"/>
    <w:qFormat/>
    <w:rsid w:val="005D356C"/>
    <w:pPr>
      <w:numPr>
        <w:ilvl w:val="1"/>
        <w:numId w:val="16"/>
      </w:numPr>
      <w:tabs>
        <w:tab w:val="clear" w:pos="720"/>
        <w:tab w:val="clear" w:pos="1886"/>
        <w:tab w:val="left" w:pos="1620"/>
      </w:tabs>
      <w:spacing w:line="240" w:lineRule="auto"/>
      <w:ind w:left="1620" w:right="720"/>
    </w:pPr>
  </w:style>
  <w:style w:type="character" w:customStyle="1" w:styleId="ParaPuce1Car">
    <w:name w:val="ParaPuce1 Car"/>
    <w:basedOn w:val="Policepardfaut"/>
    <w:link w:val="ParaPuce10"/>
    <w:rsid w:val="005D356C"/>
    <w:rPr>
      <w:rFonts w:ascii="Arial" w:hAnsi="Arial"/>
      <w:kern w:val="28"/>
      <w:sz w:val="24"/>
      <w:lang w:eastAsia="fr-FR"/>
    </w:rPr>
  </w:style>
  <w:style w:type="character" w:customStyle="1" w:styleId="Puce1Car">
    <w:name w:val="Puce 1 Car"/>
    <w:basedOn w:val="ParaPuce1Car"/>
    <w:link w:val="Puce1"/>
    <w:rsid w:val="005D356C"/>
    <w:rPr>
      <w:rFonts w:ascii="Arial" w:hAnsi="Arial"/>
      <w:kern w:val="28"/>
      <w:sz w:val="24"/>
      <w:lang w:eastAsia="fr-FR"/>
    </w:rPr>
  </w:style>
  <w:style w:type="character" w:customStyle="1" w:styleId="ParaPuce2Car">
    <w:name w:val="ParaPuce2 Car"/>
    <w:basedOn w:val="ParaPuce1Car"/>
    <w:link w:val="ParaPuce20"/>
    <w:rsid w:val="005D356C"/>
    <w:rPr>
      <w:rFonts w:ascii="Arial" w:hAnsi="Arial"/>
      <w:kern w:val="28"/>
      <w:sz w:val="24"/>
      <w:lang w:eastAsia="fr-FR"/>
    </w:rPr>
  </w:style>
  <w:style w:type="character" w:customStyle="1" w:styleId="Puce2Car">
    <w:name w:val="Puce 2 Car"/>
    <w:basedOn w:val="ParaPuce2Car"/>
    <w:link w:val="Puce2"/>
    <w:rsid w:val="005D356C"/>
    <w:rPr>
      <w:rFonts w:ascii="Arial" w:hAnsi="Arial"/>
      <w:kern w:val="28"/>
      <w:sz w:val="24"/>
      <w:lang w:eastAsia="fr-FR"/>
    </w:rPr>
  </w:style>
  <w:style w:type="paragraph" w:customStyle="1" w:styleId="Style6">
    <w:name w:val="Style6"/>
    <w:basedOn w:val="Normal"/>
    <w:link w:val="Style6Car"/>
    <w:autoRedefine/>
    <w:qFormat/>
    <w:rsid w:val="00046B5D"/>
    <w:pPr>
      <w:spacing w:line="500" w:lineRule="exact"/>
      <w:ind w:left="1468"/>
    </w:pPr>
    <w:rPr>
      <w:i/>
      <w:kern w:val="28"/>
    </w:rPr>
  </w:style>
  <w:style w:type="character" w:customStyle="1" w:styleId="Style6Car">
    <w:name w:val="Style6 Car"/>
    <w:basedOn w:val="Policepardfaut"/>
    <w:link w:val="Style6"/>
    <w:rsid w:val="00046B5D"/>
    <w:rPr>
      <w:rFonts w:ascii="Arial" w:hAnsi="Arial"/>
      <w:i/>
      <w:kern w:val="28"/>
      <w:sz w:val="24"/>
      <w:lang w:eastAsia="fr-FR"/>
    </w:rPr>
  </w:style>
  <w:style w:type="character" w:styleId="Appelnotedebasdep">
    <w:name w:val="footnote reference"/>
    <w:uiPriority w:val="99"/>
    <w:rsid w:val="00C77B2B"/>
    <w:rPr>
      <w:rFonts w:cs="Times New Roman"/>
      <w:sz w:val="20"/>
      <w:vertAlign w:val="superscript"/>
    </w:rPr>
  </w:style>
  <w:style w:type="character" w:customStyle="1" w:styleId="NotedebasdepageCar">
    <w:name w:val="Note de bas de page Car"/>
    <w:link w:val="Notedebasdepage"/>
    <w:uiPriority w:val="99"/>
    <w:locked/>
    <w:rsid w:val="00C77B2B"/>
    <w:rPr>
      <w:rFonts w:ascii="Arial" w:hAnsi="Arial"/>
      <w:lang w:eastAsia="fr-FR"/>
    </w:rPr>
  </w:style>
  <w:style w:type="character" w:styleId="Hyperlien">
    <w:name w:val="Hyperlink"/>
    <w:uiPriority w:val="99"/>
    <w:rsid w:val="00C77B2B"/>
    <w:rPr>
      <w:rFonts w:cs="Times New Roman"/>
      <w:color w:val="0000FF"/>
      <w:u w:val="none"/>
    </w:rPr>
  </w:style>
  <w:style w:type="character" w:customStyle="1" w:styleId="Heading1NONUMBERChar">
    <w:name w:val="Heading 1 NONUMBER Char"/>
    <w:rsid w:val="00C77B2B"/>
    <w:rPr>
      <w:rFonts w:ascii="Myriad Pro Cond" w:hAnsi="Myriad Pro Cond"/>
      <w:b/>
      <w:color w:val="1F497D"/>
      <w:sz w:val="56"/>
      <w:lang w:val="fr-CA" w:eastAsia="fr-FR"/>
    </w:rPr>
  </w:style>
  <w:style w:type="paragraph" w:styleId="En-tte">
    <w:name w:val="header"/>
    <w:basedOn w:val="Normal"/>
    <w:link w:val="En-tteCar"/>
    <w:uiPriority w:val="99"/>
    <w:unhideWhenUsed/>
    <w:rsid w:val="00CC26F9"/>
    <w:pPr>
      <w:tabs>
        <w:tab w:val="center" w:pos="4320"/>
        <w:tab w:val="right" w:pos="8640"/>
      </w:tabs>
    </w:pPr>
  </w:style>
  <w:style w:type="character" w:customStyle="1" w:styleId="En-tteCar">
    <w:name w:val="En-tête Car"/>
    <w:basedOn w:val="Policepardfaut"/>
    <w:link w:val="En-tte"/>
    <w:uiPriority w:val="99"/>
    <w:rsid w:val="00CC26F9"/>
    <w:rPr>
      <w:rFonts w:ascii="Arial" w:hAnsi="Arial"/>
      <w:sz w:val="24"/>
      <w:lang w:eastAsia="fr-FR"/>
    </w:rPr>
  </w:style>
  <w:style w:type="paragraph" w:styleId="Pieddepage">
    <w:name w:val="footer"/>
    <w:basedOn w:val="Normal"/>
    <w:link w:val="PieddepageCar"/>
    <w:uiPriority w:val="99"/>
    <w:unhideWhenUsed/>
    <w:rsid w:val="00CC26F9"/>
    <w:pPr>
      <w:tabs>
        <w:tab w:val="center" w:pos="4320"/>
        <w:tab w:val="right" w:pos="8640"/>
      </w:tabs>
    </w:pPr>
  </w:style>
  <w:style w:type="character" w:customStyle="1" w:styleId="PieddepageCar">
    <w:name w:val="Pied de page Car"/>
    <w:basedOn w:val="Policepardfaut"/>
    <w:link w:val="Pieddepage"/>
    <w:uiPriority w:val="99"/>
    <w:rsid w:val="00CC26F9"/>
    <w:rPr>
      <w:rFonts w:ascii="Arial" w:hAnsi="Arial"/>
      <w:sz w:val="24"/>
      <w:lang w:eastAsia="fr-FR"/>
    </w:rPr>
  </w:style>
  <w:style w:type="paragraph" w:styleId="Paragraphedeliste">
    <w:name w:val="List Paragraph"/>
    <w:basedOn w:val="Normal"/>
    <w:uiPriority w:val="34"/>
    <w:qFormat/>
    <w:rsid w:val="00503E5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citationenretrait">
    <w:name w:val="citationenretrait"/>
    <w:basedOn w:val="Normal"/>
    <w:rsid w:val="00F7761C"/>
    <w:pPr>
      <w:spacing w:before="100" w:beforeAutospacing="1" w:after="100" w:afterAutospacing="1" w:line="240" w:lineRule="auto"/>
      <w:jc w:val="left"/>
    </w:pPr>
    <w:rPr>
      <w:rFonts w:ascii="Times New Roman" w:hAnsi="Times New Roman"/>
      <w:szCs w:val="24"/>
      <w:lang w:eastAsia="fr-CA"/>
    </w:rPr>
  </w:style>
  <w:style w:type="paragraph" w:customStyle="1" w:styleId="Liste1">
    <w:name w:val="Liste 1"/>
    <w:basedOn w:val="Normal"/>
    <w:rsid w:val="00640DEB"/>
    <w:pPr>
      <w:numPr>
        <w:numId w:val="23"/>
      </w:numPr>
      <w:spacing w:before="0" w:after="240" w:line="240" w:lineRule="auto"/>
    </w:pPr>
    <w:rPr>
      <w:rFonts w:eastAsiaTheme="minorHAnsi" w:cstheme="minorBidi"/>
      <w:szCs w:val="22"/>
      <w:lang w:eastAsia="en-US"/>
    </w:rPr>
  </w:style>
  <w:style w:type="paragraph" w:styleId="Liste2">
    <w:name w:val="List 2"/>
    <w:basedOn w:val="Normal"/>
    <w:rsid w:val="00640DEB"/>
    <w:pPr>
      <w:numPr>
        <w:ilvl w:val="1"/>
        <w:numId w:val="23"/>
      </w:numPr>
      <w:spacing w:before="0" w:after="240" w:line="240" w:lineRule="auto"/>
    </w:pPr>
    <w:rPr>
      <w:rFonts w:eastAsiaTheme="minorHAnsi" w:cstheme="minorBidi"/>
      <w:szCs w:val="22"/>
      <w:lang w:eastAsia="en-US"/>
    </w:rPr>
  </w:style>
  <w:style w:type="paragraph" w:styleId="Liste3">
    <w:name w:val="List 3"/>
    <w:basedOn w:val="Normal"/>
    <w:rsid w:val="00640DEB"/>
    <w:pPr>
      <w:numPr>
        <w:ilvl w:val="2"/>
        <w:numId w:val="23"/>
      </w:numPr>
      <w:spacing w:before="0" w:after="240" w:line="240" w:lineRule="auto"/>
    </w:pPr>
    <w:rPr>
      <w:rFonts w:eastAsiaTheme="minorHAnsi" w:cstheme="minorBidi"/>
      <w:szCs w:val="22"/>
      <w:lang w:eastAsia="en-US"/>
    </w:rPr>
  </w:style>
  <w:style w:type="paragraph" w:styleId="Liste4">
    <w:name w:val="List 4"/>
    <w:basedOn w:val="Normal"/>
    <w:rsid w:val="00640DEB"/>
    <w:pPr>
      <w:numPr>
        <w:ilvl w:val="3"/>
        <w:numId w:val="23"/>
      </w:numPr>
      <w:spacing w:before="0" w:after="240" w:line="240" w:lineRule="auto"/>
    </w:pPr>
    <w:rPr>
      <w:rFonts w:eastAsiaTheme="minorHAnsi" w:cstheme="minorBidi"/>
      <w:szCs w:val="22"/>
      <w:lang w:eastAsia="en-US"/>
    </w:rPr>
  </w:style>
  <w:style w:type="paragraph" w:styleId="Rvision">
    <w:name w:val="Revision"/>
    <w:hidden/>
    <w:uiPriority w:val="99"/>
    <w:semiHidden/>
    <w:rsid w:val="00061BB2"/>
    <w:pPr>
      <w:spacing w:before="0" w:after="0" w:line="240" w:lineRule="auto"/>
      <w:jc w:val="left"/>
    </w:pPr>
    <w:rPr>
      <w:rFonts w:ascii="Arial" w:hAnsi="Arial"/>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f6dec78-7ded-4395-975c-6edbb7d10b16}" enabled="0" method="" siteId="{3f6dec78-7ded-4395-975c-6edbb7d10b1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52</Pages>
  <Words>20217</Words>
  <Characters>99458</Characters>
  <Application>Microsoft Office Word</Application>
  <DocSecurity>4</DocSecurity>
  <Lines>828</Lines>
  <Paragraphs>238</Paragraphs>
  <ScaleCrop>false</ScaleCrop>
  <Company/>
  <LinksUpToDate>false</LinksUpToDate>
  <CharactersWithSpaces>119437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2025-11-18T18:49:00Z</dcterms:created>
  <dcterms:modified xsi:type="dcterms:W3CDTF">2025-11-18T18:49:00Z</dcterms:modified>
</cp:coreProperties>
</file>