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1E0" w:firstRow="1" w:lastRow="1" w:firstColumn="1" w:lastColumn="1" w:noHBand="0" w:noVBand="0"/>
      </w:tblPr>
      <w:tblGrid>
        <w:gridCol w:w="7086"/>
        <w:gridCol w:w="2483"/>
      </w:tblGrid>
      <w:tr w:rsidR="00655478" w14:paraId="4786CE53" w14:textId="77777777" w:rsidTr="00655478">
        <w:tc>
          <w:tcPr>
            <w:tcW w:w="7086" w:type="dxa"/>
          </w:tcPr>
          <w:p w14:paraId="5A52C28D" w14:textId="595DF345" w:rsidR="00655478" w:rsidRPr="00166BF5" w:rsidRDefault="00166BF5" w:rsidP="00166BF5">
            <w:pPr>
              <w:pStyle w:val="zSoquijdatRepertorie"/>
              <w:rPr>
                <w:rFonts w:cs="Arial"/>
              </w:rPr>
            </w:pPr>
            <w:r>
              <w:rPr>
                <w:rFonts w:cs="Arial"/>
              </w:rPr>
              <w:t>Entreprises Bertrand Roberge ltée c. Giroux</w:t>
            </w:r>
          </w:p>
        </w:tc>
        <w:tc>
          <w:tcPr>
            <w:tcW w:w="2483" w:type="dxa"/>
          </w:tcPr>
          <w:p w14:paraId="33FE8D7D" w14:textId="62E8BC34" w:rsidR="00655478" w:rsidRPr="00E07359" w:rsidRDefault="00E07359" w:rsidP="00E07359">
            <w:pPr>
              <w:pStyle w:val="zSoquijdatRefNeutre"/>
              <w:jc w:val="right"/>
              <w:rPr>
                <w:rFonts w:cs="Arial"/>
              </w:rPr>
            </w:pPr>
            <w:r w:rsidRPr="00E07359">
              <w:rPr>
                <w:rFonts w:cs="Arial"/>
              </w:rPr>
              <w:t>2025 QCCS 4157</w:t>
            </w:r>
          </w:p>
        </w:tc>
      </w:tr>
    </w:tbl>
    <w:p w14:paraId="0A4A9779" w14:textId="77777777" w:rsidR="00655478" w:rsidRDefault="00655478"/>
    <w:tbl>
      <w:tblPr>
        <w:tblW w:w="9647" w:type="dxa"/>
        <w:tblLayout w:type="fixed"/>
        <w:tblCellMar>
          <w:left w:w="70" w:type="dxa"/>
          <w:right w:w="70" w:type="dxa"/>
        </w:tblCellMar>
        <w:tblLook w:val="0000" w:firstRow="0" w:lastRow="0" w:firstColumn="0" w:lastColumn="0" w:noHBand="0" w:noVBand="0"/>
      </w:tblPr>
      <w:tblGrid>
        <w:gridCol w:w="142"/>
        <w:gridCol w:w="1063"/>
        <w:gridCol w:w="552"/>
        <w:gridCol w:w="7748"/>
        <w:gridCol w:w="142"/>
      </w:tblGrid>
      <w:tr w:rsidR="00FE3D17" w14:paraId="04B55C8A" w14:textId="77777777" w:rsidTr="00464380">
        <w:trPr>
          <w:gridAfter w:val="1"/>
          <w:wAfter w:w="142" w:type="dxa"/>
          <w:trHeight w:val="426"/>
        </w:trPr>
        <w:tc>
          <w:tcPr>
            <w:tcW w:w="9505" w:type="dxa"/>
            <w:gridSpan w:val="4"/>
            <w:vAlign w:val="bottom"/>
          </w:tcPr>
          <w:p w14:paraId="5A18CE76" w14:textId="77777777" w:rsidR="009057A0" w:rsidRPr="009C6B0C" w:rsidRDefault="009057A0" w:rsidP="005B3F75">
            <w:pPr>
              <w:pStyle w:val="zSoquijlblCour"/>
              <w:outlineLvl w:val="0"/>
              <w:rPr>
                <w:noProof/>
                <w:sz w:val="32"/>
                <w:szCs w:val="32"/>
              </w:rPr>
            </w:pPr>
          </w:p>
        </w:tc>
      </w:tr>
      <w:tr w:rsidR="00FE3D17" w14:paraId="5A690DC4" w14:textId="77777777" w:rsidTr="00464380">
        <w:trPr>
          <w:gridAfter w:val="1"/>
          <w:wAfter w:w="142" w:type="dxa"/>
          <w:trHeight w:val="810"/>
        </w:trPr>
        <w:tc>
          <w:tcPr>
            <w:tcW w:w="9505" w:type="dxa"/>
            <w:gridSpan w:val="4"/>
            <w:vAlign w:val="bottom"/>
          </w:tcPr>
          <w:p w14:paraId="3CABBB2D" w14:textId="77777777" w:rsidR="00847638" w:rsidRDefault="00730A01" w:rsidP="0098012F">
            <w:pPr>
              <w:pStyle w:val="zSoquijlblCour"/>
              <w:spacing w:before="40"/>
            </w:pPr>
            <w:r>
              <w:rPr>
                <w:noProof/>
                <w:sz w:val="20"/>
              </w:rPr>
              <mc:AlternateContent>
                <mc:Choice Requires="wps">
                  <w:drawing>
                    <wp:anchor distT="0" distB="0" distL="114300" distR="114300" simplePos="0" relativeHeight="251658240" behindDoc="0" locked="1" layoutInCell="1" allowOverlap="1" wp14:anchorId="57F8A303" wp14:editId="78929B4E">
                      <wp:simplePos x="0" y="0"/>
                      <wp:positionH relativeFrom="column">
                        <wp:posOffset>-988695</wp:posOffset>
                      </wp:positionH>
                      <wp:positionV relativeFrom="page">
                        <wp:posOffset>7589520</wp:posOffset>
                      </wp:positionV>
                      <wp:extent cx="731520" cy="228600"/>
                      <wp:effectExtent l="0" t="0" r="0" b="0"/>
                      <wp:wrapNone/>
                      <wp:docPr id="3055116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152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922860" w14:textId="77777777" w:rsidR="00847638" w:rsidRDefault="00730A01">
                                  <w:pPr>
                                    <w:pStyle w:val="zSoquijdatIdJuge"/>
                                  </w:pPr>
                                  <w:r>
                                    <w:t>J</w:t>
                                  </w:r>
                                  <w:r w:rsidR="009A3E62">
                                    <w:t>G0688</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7.6pt;height:18pt;margin-top:597.6pt;margin-left:-77.85pt;mso-height-percent:0;mso-height-relative:page;mso-position-vertical-relative:page;mso-width-percent:0;mso-width-relative:page;mso-wrap-distance-bottom:0;mso-wrap-distance-left:9pt;mso-wrap-distance-right:9pt;mso-wrap-distance-top:0;mso-wrap-style:square;position:absolute;visibility:visible;v-text-anchor:top;z-index:251659264" filled="f" stroked="f">
                      <v:textbox inset="0,0,0,0">
                        <w:txbxContent>
                          <w:p w:rsidR="00847638" w14:paraId="77EEE43F" w14:textId="77777777">
                            <w:pPr>
                              <w:pStyle w:val="zSoquijdatIdJuge"/>
                            </w:pPr>
                            <w:r>
                              <w:t>J</w:t>
                            </w:r>
                            <w:r w:rsidR="009A3E62">
                              <w:t>G0688</w:t>
                            </w:r>
                          </w:p>
                        </w:txbxContent>
                      </v:textbox>
                      <w10:anchorlock/>
                    </v:shape>
                  </w:pict>
                </mc:Fallback>
              </mc:AlternateContent>
            </w:r>
            <w:r>
              <w:t>COUR SUPÉRIEURE</w:t>
            </w:r>
          </w:p>
          <w:p w14:paraId="23388B29" w14:textId="77777777" w:rsidR="00B95CDE" w:rsidRDefault="00730A01" w:rsidP="0098012F">
            <w:pPr>
              <w:pStyle w:val="zSoquijlblCour"/>
              <w:spacing w:before="40"/>
              <w:rPr>
                <w:sz w:val="22"/>
                <w:szCs w:val="22"/>
              </w:rPr>
            </w:pPr>
            <w:r w:rsidRPr="00B95CDE">
              <w:rPr>
                <w:sz w:val="22"/>
                <w:szCs w:val="22"/>
              </w:rPr>
              <w:t xml:space="preserve">(Chambre </w:t>
            </w:r>
            <w:r w:rsidR="00350298">
              <w:rPr>
                <w:sz w:val="22"/>
                <w:szCs w:val="22"/>
              </w:rPr>
              <w:t>civile</w:t>
            </w:r>
            <w:r w:rsidRPr="00B95CDE">
              <w:rPr>
                <w:sz w:val="22"/>
                <w:szCs w:val="22"/>
              </w:rPr>
              <w:t>)</w:t>
            </w:r>
          </w:p>
          <w:p w14:paraId="4B3F6741" w14:textId="77777777" w:rsidR="00B95CDE" w:rsidRPr="00B95CDE" w:rsidRDefault="00B95CDE" w:rsidP="0098012F">
            <w:pPr>
              <w:pStyle w:val="zSoquijlblCour"/>
              <w:spacing w:before="40"/>
              <w:rPr>
                <w:sz w:val="22"/>
                <w:szCs w:val="22"/>
              </w:rPr>
            </w:pPr>
          </w:p>
        </w:tc>
      </w:tr>
      <w:tr w:rsidR="00FE3D17" w14:paraId="7D2B9370" w14:textId="77777777" w:rsidTr="00464380">
        <w:trPr>
          <w:gridBefore w:val="1"/>
          <w:wBefore w:w="142" w:type="dxa"/>
        </w:trPr>
        <w:tc>
          <w:tcPr>
            <w:tcW w:w="9505" w:type="dxa"/>
            <w:gridSpan w:val="4"/>
          </w:tcPr>
          <w:p w14:paraId="0B41FA4A" w14:textId="77777777" w:rsidR="00847638" w:rsidRPr="00533BC9" w:rsidRDefault="00730A01" w:rsidP="000C7988">
            <w:pPr>
              <w:pStyle w:val="zSoquijlblPays"/>
              <w:rPr>
                <w:b/>
                <w:bCs/>
              </w:rPr>
            </w:pPr>
            <w:r w:rsidRPr="00533BC9">
              <w:rPr>
                <w:b/>
                <w:bCs/>
              </w:rPr>
              <w:t>CANADA</w:t>
            </w:r>
          </w:p>
        </w:tc>
      </w:tr>
      <w:tr w:rsidR="00FE3D17" w14:paraId="016B0433" w14:textId="77777777" w:rsidTr="00464380">
        <w:trPr>
          <w:gridBefore w:val="1"/>
          <w:wBefore w:w="142" w:type="dxa"/>
        </w:trPr>
        <w:tc>
          <w:tcPr>
            <w:tcW w:w="9505" w:type="dxa"/>
            <w:gridSpan w:val="4"/>
          </w:tcPr>
          <w:p w14:paraId="0BC4367D" w14:textId="77777777" w:rsidR="00847638" w:rsidRPr="00533BC9" w:rsidRDefault="00730A01" w:rsidP="000C7988">
            <w:pPr>
              <w:pStyle w:val="zSoquijlblProvince"/>
              <w:spacing w:before="40"/>
              <w:rPr>
                <w:b/>
                <w:bCs/>
              </w:rPr>
            </w:pPr>
            <w:r w:rsidRPr="00533BC9">
              <w:rPr>
                <w:b/>
                <w:bCs/>
              </w:rPr>
              <w:t>PROVINCE DE QUÉBEC</w:t>
            </w:r>
          </w:p>
        </w:tc>
      </w:tr>
      <w:tr w:rsidR="00FE3D17" w14:paraId="43DA8803" w14:textId="77777777" w:rsidTr="00464380">
        <w:tblPrEx>
          <w:tblCellMar>
            <w:left w:w="0" w:type="dxa"/>
            <w:right w:w="0" w:type="dxa"/>
          </w:tblCellMar>
        </w:tblPrEx>
        <w:trPr>
          <w:gridBefore w:val="1"/>
          <w:wBefore w:w="142" w:type="dxa"/>
          <w:cantSplit/>
        </w:trPr>
        <w:tc>
          <w:tcPr>
            <w:tcW w:w="1615" w:type="dxa"/>
            <w:gridSpan w:val="2"/>
          </w:tcPr>
          <w:p w14:paraId="018CC125" w14:textId="77777777" w:rsidR="00847638" w:rsidRPr="00533BC9" w:rsidRDefault="00730A01" w:rsidP="000C7988">
            <w:pPr>
              <w:pStyle w:val="zSoquijlblGreffe"/>
              <w:spacing w:before="40"/>
              <w:ind w:left="2"/>
              <w:rPr>
                <w:b/>
                <w:bCs/>
              </w:rPr>
            </w:pPr>
            <w:r>
              <w:rPr>
                <w:b/>
                <w:bCs/>
              </w:rPr>
              <w:t xml:space="preserve"> </w:t>
            </w:r>
            <w:r w:rsidRPr="00533BC9">
              <w:rPr>
                <w:b/>
                <w:bCs/>
              </w:rPr>
              <w:t>DISTRICT DE</w:t>
            </w:r>
          </w:p>
        </w:tc>
        <w:tc>
          <w:tcPr>
            <w:tcW w:w="7890" w:type="dxa"/>
            <w:gridSpan w:val="2"/>
          </w:tcPr>
          <w:p w14:paraId="0FDA46CB" w14:textId="77777777" w:rsidR="00847638" w:rsidRPr="00533BC9" w:rsidRDefault="00730A01" w:rsidP="000C7988">
            <w:pPr>
              <w:pStyle w:val="zSoquijdatGreffe"/>
              <w:spacing w:before="40"/>
              <w:ind w:left="0"/>
              <w:rPr>
                <w:b/>
                <w:bCs/>
              </w:rPr>
            </w:pPr>
            <w:r>
              <w:rPr>
                <w:b/>
                <w:bCs/>
              </w:rPr>
              <w:t>QUÉBEC</w:t>
            </w:r>
          </w:p>
        </w:tc>
      </w:tr>
      <w:tr w:rsidR="00FE3D17" w14:paraId="7DA74BE4" w14:textId="77777777" w:rsidTr="00464380">
        <w:trPr>
          <w:gridBefore w:val="1"/>
          <w:wBefore w:w="142" w:type="dxa"/>
          <w:trHeight w:val="201"/>
        </w:trPr>
        <w:tc>
          <w:tcPr>
            <w:tcW w:w="9505" w:type="dxa"/>
            <w:gridSpan w:val="4"/>
          </w:tcPr>
          <w:p w14:paraId="31A0B75D" w14:textId="77777777" w:rsidR="00847638" w:rsidRPr="00DD0524" w:rsidRDefault="00847638" w:rsidP="000C7988">
            <w:pPr>
              <w:pStyle w:val="zSoquijlblNomChambre"/>
              <w:rPr>
                <w:sz w:val="16"/>
                <w:szCs w:val="16"/>
              </w:rPr>
            </w:pPr>
          </w:p>
        </w:tc>
      </w:tr>
      <w:tr w:rsidR="00FE3D17" w14:paraId="57B7BA01" w14:textId="77777777" w:rsidTr="00464380">
        <w:trPr>
          <w:gridBefore w:val="1"/>
          <w:wBefore w:w="142" w:type="dxa"/>
        </w:trPr>
        <w:tc>
          <w:tcPr>
            <w:tcW w:w="1063" w:type="dxa"/>
          </w:tcPr>
          <w:p w14:paraId="16175341" w14:textId="77777777" w:rsidR="00847638" w:rsidRDefault="00730A01" w:rsidP="000C7988">
            <w:pPr>
              <w:pStyle w:val="zSoquijlblNoDossier"/>
            </w:pPr>
            <w:r>
              <w:t>N</w:t>
            </w:r>
            <w:r w:rsidR="00002DED" w:rsidRPr="00002DED">
              <w:rPr>
                <w:vertAlign w:val="superscript"/>
              </w:rPr>
              <w:t>o</w:t>
            </w:r>
            <w:r w:rsidR="00AE712A">
              <w:rPr>
                <w:vertAlign w:val="superscript"/>
              </w:rPr>
              <w:t>s</w:t>
            </w:r>
            <w:r w:rsidR="00002DED">
              <w:t> </w:t>
            </w:r>
            <w:r>
              <w:t>:</w:t>
            </w:r>
          </w:p>
        </w:tc>
        <w:tc>
          <w:tcPr>
            <w:tcW w:w="8442" w:type="dxa"/>
            <w:gridSpan w:val="3"/>
          </w:tcPr>
          <w:p w14:paraId="17E1ADF9" w14:textId="77777777" w:rsidR="00464841" w:rsidRDefault="00730A01" w:rsidP="000C7988">
            <w:pPr>
              <w:pStyle w:val="zSoquijdatNoDossier"/>
            </w:pPr>
            <w:r>
              <w:t>2</w:t>
            </w:r>
            <w:r w:rsidR="00CF60C4">
              <w:t>00-</w:t>
            </w:r>
            <w:r w:rsidR="00F33355">
              <w:t>17-</w:t>
            </w:r>
            <w:r>
              <w:t>034967-232</w:t>
            </w:r>
          </w:p>
          <w:p w14:paraId="47DBD644" w14:textId="77777777" w:rsidR="00847638" w:rsidRDefault="00730A01" w:rsidP="000C7988">
            <w:pPr>
              <w:pStyle w:val="zSoquijdatNoDossier"/>
            </w:pPr>
            <w:r>
              <w:t>200-17-</w:t>
            </w:r>
            <w:r w:rsidR="00F33355">
              <w:t>034968-230</w:t>
            </w:r>
          </w:p>
        </w:tc>
      </w:tr>
      <w:tr w:rsidR="00FE3D17" w14:paraId="29886239" w14:textId="77777777" w:rsidTr="00464380">
        <w:trPr>
          <w:gridBefore w:val="1"/>
          <w:wBefore w:w="142" w:type="dxa"/>
          <w:cantSplit/>
          <w:trHeight w:val="235"/>
        </w:trPr>
        <w:tc>
          <w:tcPr>
            <w:tcW w:w="9505" w:type="dxa"/>
            <w:gridSpan w:val="4"/>
          </w:tcPr>
          <w:p w14:paraId="3E67A742" w14:textId="77777777" w:rsidR="00847638" w:rsidRPr="00DD0524" w:rsidRDefault="00847638" w:rsidP="000C7988">
            <w:pPr>
              <w:rPr>
                <w:sz w:val="16"/>
                <w:szCs w:val="16"/>
              </w:rPr>
            </w:pPr>
          </w:p>
        </w:tc>
      </w:tr>
      <w:tr w:rsidR="00FE3D17" w14:paraId="45C1FDEA" w14:textId="77777777" w:rsidTr="00464380">
        <w:trPr>
          <w:gridBefore w:val="1"/>
          <w:wBefore w:w="142" w:type="dxa"/>
        </w:trPr>
        <w:tc>
          <w:tcPr>
            <w:tcW w:w="1063" w:type="dxa"/>
          </w:tcPr>
          <w:p w14:paraId="702CF6FA" w14:textId="77777777" w:rsidR="00847638" w:rsidRDefault="00730A01" w:rsidP="000C7988">
            <w:pPr>
              <w:pStyle w:val="zSoquijlblDateJugement"/>
            </w:pPr>
            <w:r w:rsidRPr="00BE4607">
              <w:t>DATE :</w:t>
            </w:r>
          </w:p>
        </w:tc>
        <w:tc>
          <w:tcPr>
            <w:tcW w:w="8442" w:type="dxa"/>
            <w:gridSpan w:val="3"/>
          </w:tcPr>
          <w:p w14:paraId="080BBF99" w14:textId="77777777" w:rsidR="00847638" w:rsidRDefault="00730A01" w:rsidP="000C7988">
            <w:pPr>
              <w:pStyle w:val="zSoquijdatDateJugement"/>
            </w:pPr>
            <w:r>
              <w:t>18 novembre 2025</w:t>
            </w:r>
          </w:p>
        </w:tc>
      </w:tr>
      <w:tr w:rsidR="00FE3D17" w14:paraId="57CBE49E" w14:textId="77777777" w:rsidTr="00464380">
        <w:trPr>
          <w:gridBefore w:val="1"/>
          <w:wBefore w:w="142" w:type="dxa"/>
        </w:trPr>
        <w:tc>
          <w:tcPr>
            <w:tcW w:w="9505" w:type="dxa"/>
            <w:gridSpan w:val="4"/>
          </w:tcPr>
          <w:p w14:paraId="3E36CFBA" w14:textId="77777777" w:rsidR="00847638" w:rsidRDefault="00730A01" w:rsidP="000C7988">
            <w:pPr>
              <w:ind w:left="67"/>
            </w:pPr>
            <w:r>
              <w:t>_____________________________________________________________________</w:t>
            </w:r>
          </w:p>
        </w:tc>
      </w:tr>
      <w:tr w:rsidR="00FE3D17" w14:paraId="7536ABAF" w14:textId="77777777" w:rsidTr="00464380">
        <w:trPr>
          <w:gridBefore w:val="1"/>
          <w:wBefore w:w="142" w:type="dxa"/>
        </w:trPr>
        <w:tc>
          <w:tcPr>
            <w:tcW w:w="9505" w:type="dxa"/>
            <w:gridSpan w:val="4"/>
          </w:tcPr>
          <w:p w14:paraId="440E5744" w14:textId="77777777" w:rsidR="00847638" w:rsidRPr="00DD0524" w:rsidRDefault="00847638" w:rsidP="000C7988">
            <w:pPr>
              <w:ind w:left="67"/>
              <w:rPr>
                <w:sz w:val="16"/>
                <w:szCs w:val="16"/>
              </w:rPr>
            </w:pPr>
          </w:p>
        </w:tc>
      </w:tr>
      <w:tr w:rsidR="00FE3D17" w14:paraId="4237110C" w14:textId="77777777" w:rsidTr="00464380">
        <w:tblPrEx>
          <w:tblCellMar>
            <w:left w:w="0" w:type="dxa"/>
            <w:right w:w="0" w:type="dxa"/>
          </w:tblCellMar>
        </w:tblPrEx>
        <w:trPr>
          <w:gridBefore w:val="1"/>
          <w:wBefore w:w="142" w:type="dxa"/>
          <w:cantSplit/>
        </w:trPr>
        <w:tc>
          <w:tcPr>
            <w:tcW w:w="9505" w:type="dxa"/>
            <w:gridSpan w:val="4"/>
          </w:tcPr>
          <w:p w14:paraId="4D654C90" w14:textId="77777777" w:rsidR="00847638" w:rsidRPr="009A3E62" w:rsidRDefault="00730A01" w:rsidP="000C7988">
            <w:pPr>
              <w:pStyle w:val="zSoquijdatJuge"/>
              <w:spacing w:before="40"/>
              <w:ind w:left="67"/>
              <w:rPr>
                <w:szCs w:val="24"/>
              </w:rPr>
            </w:pPr>
            <w:r w:rsidRPr="009A3E62">
              <w:rPr>
                <w:szCs w:val="24"/>
              </w:rPr>
              <w:t xml:space="preserve">SOUS LA PRÉSIDENCE DE L’HONORABLE </w:t>
            </w:r>
            <w:r w:rsidR="009A3E62" w:rsidRPr="009A3E62">
              <w:rPr>
                <w:szCs w:val="24"/>
              </w:rPr>
              <w:t>JOCELYN GEOFFROY</w:t>
            </w:r>
            <w:r w:rsidRPr="009A3E62">
              <w:rPr>
                <w:szCs w:val="24"/>
              </w:rPr>
              <w:t>, J.C.S.</w:t>
            </w:r>
          </w:p>
        </w:tc>
      </w:tr>
      <w:tr w:rsidR="00FE3D17" w14:paraId="6CF15E6F" w14:textId="77777777" w:rsidTr="00464380">
        <w:trPr>
          <w:gridBefore w:val="1"/>
          <w:wBefore w:w="142" w:type="dxa"/>
        </w:trPr>
        <w:tc>
          <w:tcPr>
            <w:tcW w:w="9505" w:type="dxa"/>
            <w:gridSpan w:val="4"/>
          </w:tcPr>
          <w:p w14:paraId="5595BFF1" w14:textId="77777777" w:rsidR="00847638" w:rsidRDefault="00730A01" w:rsidP="000C7988">
            <w:pPr>
              <w:ind w:left="67"/>
            </w:pPr>
            <w:r>
              <w:t>_____________________________________________________________________</w:t>
            </w:r>
          </w:p>
        </w:tc>
      </w:tr>
      <w:tr w:rsidR="00FE3D17" w14:paraId="3686AF7C" w14:textId="77777777" w:rsidTr="00464380">
        <w:trPr>
          <w:gridBefore w:val="1"/>
          <w:wBefore w:w="142" w:type="dxa"/>
        </w:trPr>
        <w:tc>
          <w:tcPr>
            <w:tcW w:w="9505" w:type="dxa"/>
            <w:gridSpan w:val="4"/>
          </w:tcPr>
          <w:p w14:paraId="02C0B905" w14:textId="77777777" w:rsidR="00314F82" w:rsidRPr="00DD0524" w:rsidRDefault="00314F82" w:rsidP="000C7988">
            <w:pPr>
              <w:ind w:left="67"/>
              <w:rPr>
                <w:sz w:val="16"/>
                <w:szCs w:val="16"/>
              </w:rPr>
            </w:pPr>
          </w:p>
        </w:tc>
      </w:tr>
      <w:tr w:rsidR="00FE3D17" w14:paraId="142AA8D5" w14:textId="77777777" w:rsidTr="00464380">
        <w:trPr>
          <w:gridBefore w:val="1"/>
          <w:wBefore w:w="142" w:type="dxa"/>
        </w:trPr>
        <w:tc>
          <w:tcPr>
            <w:tcW w:w="9505" w:type="dxa"/>
            <w:gridSpan w:val="4"/>
          </w:tcPr>
          <w:p w14:paraId="68070A81" w14:textId="77777777" w:rsidR="00314F82" w:rsidRPr="002A2E37" w:rsidRDefault="00730A01" w:rsidP="000C7988">
            <w:pPr>
              <w:pStyle w:val="zSoquijlblTitrePartie"/>
              <w:ind w:left="67"/>
              <w:jc w:val="both"/>
              <w:rPr>
                <w:b/>
                <w:bCs/>
                <w:i/>
                <w:iCs/>
                <w:u w:val="single"/>
              </w:rPr>
            </w:pPr>
            <w:r>
              <w:rPr>
                <w:b/>
                <w:bCs/>
                <w:i/>
                <w:iCs/>
              </w:rPr>
              <w:tab/>
            </w:r>
            <w:r w:rsidRPr="002A2E37">
              <w:rPr>
                <w:b/>
                <w:bCs/>
                <w:i/>
                <w:iCs/>
                <w:u w:val="single"/>
              </w:rPr>
              <w:t>Dossier 200-17-034967-232</w:t>
            </w:r>
          </w:p>
          <w:p w14:paraId="712ADB44" w14:textId="77777777" w:rsidR="00314F82" w:rsidRPr="00DD0524" w:rsidRDefault="00314F82" w:rsidP="000C7988">
            <w:pPr>
              <w:pStyle w:val="zSoquijlblTitrePartie"/>
              <w:ind w:left="67"/>
              <w:jc w:val="both"/>
              <w:rPr>
                <w:b/>
                <w:bCs/>
                <w:i/>
                <w:iCs/>
                <w:sz w:val="16"/>
                <w:szCs w:val="16"/>
              </w:rPr>
            </w:pPr>
          </w:p>
        </w:tc>
      </w:tr>
      <w:tr w:rsidR="00FE3D17" w14:paraId="3B978907" w14:textId="77777777" w:rsidTr="00464380">
        <w:trPr>
          <w:gridBefore w:val="1"/>
          <w:wBefore w:w="142" w:type="dxa"/>
        </w:trPr>
        <w:tc>
          <w:tcPr>
            <w:tcW w:w="9505" w:type="dxa"/>
            <w:gridSpan w:val="4"/>
          </w:tcPr>
          <w:p w14:paraId="439BA0DC" w14:textId="77777777" w:rsidR="00314F82" w:rsidRDefault="00730A01" w:rsidP="0097231B">
            <w:pPr>
              <w:pStyle w:val="zSoquijdatNomPartieDem"/>
              <w:ind w:left="-74"/>
              <w:jc w:val="both"/>
            </w:pPr>
            <w:r>
              <w:t>LES ENTREPRISES BERTRAND ROBERGE LTÉE</w:t>
            </w:r>
          </w:p>
          <w:p w14:paraId="4476FB94" w14:textId="77777777" w:rsidR="00314F82" w:rsidRDefault="00730A01" w:rsidP="0097231B">
            <w:pPr>
              <w:pStyle w:val="zSoquijdatNomPartieDem"/>
              <w:ind w:left="-74"/>
              <w:jc w:val="both"/>
            </w:pPr>
            <w:r>
              <w:t>GEXPHARM ULC</w:t>
            </w:r>
          </w:p>
          <w:p w14:paraId="239E2692" w14:textId="77777777" w:rsidR="00314F82" w:rsidRDefault="00730A01" w:rsidP="0097231B">
            <w:pPr>
              <w:pStyle w:val="zSoquijdatNomPartieDem"/>
              <w:ind w:left="-74"/>
              <w:jc w:val="both"/>
            </w:pPr>
            <w:r>
              <w:t>GESTION MATABEL INC.</w:t>
            </w:r>
          </w:p>
          <w:p w14:paraId="053A85A9" w14:textId="77777777" w:rsidR="00314F82" w:rsidRDefault="00730A01" w:rsidP="0097231B">
            <w:pPr>
              <w:pStyle w:val="zSoquijdatNomPartieDem"/>
              <w:ind w:left="-74"/>
              <w:jc w:val="both"/>
            </w:pPr>
            <w:r>
              <w:t>9221-5029 QUÉBEC INC.</w:t>
            </w:r>
          </w:p>
          <w:p w14:paraId="312656F9" w14:textId="77777777" w:rsidR="00314F82" w:rsidRDefault="00730A01" w:rsidP="0097231B">
            <w:pPr>
              <w:pStyle w:val="zSoquijdatNomPartieDem"/>
              <w:ind w:left="-74"/>
              <w:jc w:val="both"/>
            </w:pPr>
            <w:r>
              <w:t>GESTION JOCELYN MAURICE GIGUÈRE INC.</w:t>
            </w:r>
          </w:p>
          <w:p w14:paraId="26E3593D" w14:textId="77777777" w:rsidR="00314F82" w:rsidRDefault="00730A01" w:rsidP="0097231B">
            <w:pPr>
              <w:pStyle w:val="zSoquijdatNomPartieDem"/>
              <w:ind w:left="-74"/>
              <w:jc w:val="both"/>
            </w:pPr>
            <w:r>
              <w:t>GESTION IMMOBILIÈRE R. GODBOUT INC.</w:t>
            </w:r>
          </w:p>
          <w:p w14:paraId="7AE33746" w14:textId="77777777" w:rsidR="00314F82" w:rsidRPr="00314F82" w:rsidRDefault="00730A01" w:rsidP="0097231B">
            <w:pPr>
              <w:pStyle w:val="zSoquijdatNomPartieDem"/>
              <w:ind w:left="-74"/>
              <w:jc w:val="both"/>
            </w:pPr>
            <w:r w:rsidRPr="00314F82">
              <w:t>GESTION FINANCIÈRE ALAN GUAY INC.</w:t>
            </w:r>
          </w:p>
          <w:p w14:paraId="79CC6885" w14:textId="77777777" w:rsidR="00314F82" w:rsidRPr="00314F82" w:rsidRDefault="00730A01" w:rsidP="0097231B">
            <w:pPr>
              <w:pStyle w:val="zSoquijdatNomPartieDem"/>
              <w:ind w:left="-74"/>
              <w:jc w:val="both"/>
            </w:pPr>
            <w:r w:rsidRPr="00314F82">
              <w:t>9023-0772 QUÉBEC INC.</w:t>
            </w:r>
          </w:p>
          <w:p w14:paraId="31D2AC54" w14:textId="77777777" w:rsidR="00314F82" w:rsidRPr="00314F82" w:rsidRDefault="00730A01" w:rsidP="0097231B">
            <w:pPr>
              <w:pStyle w:val="zSoquijdatNomPartieDem"/>
              <w:ind w:left="-74"/>
              <w:jc w:val="both"/>
            </w:pPr>
            <w:r w:rsidRPr="00314F82">
              <w:t>3586103 CANADA INC.</w:t>
            </w:r>
          </w:p>
          <w:p w14:paraId="7A29EFA6" w14:textId="77777777" w:rsidR="00314F82" w:rsidRPr="00314F82" w:rsidRDefault="00730A01" w:rsidP="0097231B">
            <w:pPr>
              <w:pStyle w:val="zSoquijdatNomPartieDem"/>
              <w:ind w:left="-74"/>
              <w:jc w:val="both"/>
            </w:pPr>
            <w:r w:rsidRPr="00314F82">
              <w:t>9136-5908 QUÉBEC INC.</w:t>
            </w:r>
          </w:p>
          <w:p w14:paraId="35DBAB0B" w14:textId="77777777" w:rsidR="00314F82" w:rsidRDefault="00730A01" w:rsidP="0097231B">
            <w:pPr>
              <w:pStyle w:val="zSoquijdatNomPartieDem"/>
              <w:ind w:left="-74"/>
              <w:jc w:val="both"/>
            </w:pPr>
            <w:r w:rsidRPr="00B26347">
              <w:t>LES IMMEUBLES A&amp;R P</w:t>
            </w:r>
            <w:r>
              <w:t>ERRON INC.</w:t>
            </w:r>
          </w:p>
          <w:p w14:paraId="473D82A9" w14:textId="77777777" w:rsidR="00314F82" w:rsidRDefault="00730A01" w:rsidP="0097231B">
            <w:pPr>
              <w:pStyle w:val="zSoquijdatNomPartieDem"/>
              <w:ind w:left="-74"/>
              <w:jc w:val="both"/>
            </w:pPr>
            <w:r>
              <w:t>APPALACHES INVESTISSEMENTS INC.</w:t>
            </w:r>
          </w:p>
          <w:p w14:paraId="1DCA7A0B" w14:textId="77777777" w:rsidR="00314F82" w:rsidRDefault="00730A01" w:rsidP="0097231B">
            <w:pPr>
              <w:pStyle w:val="zSoquijdatNomPartieDem"/>
              <w:ind w:left="-74"/>
              <w:jc w:val="both"/>
            </w:pPr>
            <w:r>
              <w:t>GESTION JEAPE 2 INC.</w:t>
            </w:r>
          </w:p>
          <w:p w14:paraId="7BB8BA01" w14:textId="77777777" w:rsidR="00314F82" w:rsidRDefault="00730A01" w:rsidP="0097231B">
            <w:pPr>
              <w:pStyle w:val="zSoquijdatNomPartieDem"/>
              <w:ind w:left="-74"/>
              <w:jc w:val="both"/>
            </w:pPr>
            <w:r>
              <w:t>GESTION IMMOBILIÈRE DSTC INC.</w:t>
            </w:r>
          </w:p>
          <w:p w14:paraId="78C4B989" w14:textId="77777777" w:rsidR="00314F82" w:rsidRDefault="00730A01" w:rsidP="0097231B">
            <w:pPr>
              <w:pStyle w:val="zSoquijdatNomPartieDem"/>
              <w:ind w:left="-74"/>
              <w:jc w:val="both"/>
            </w:pPr>
            <w:r>
              <w:t>ÉRIC TREMBLAY</w:t>
            </w:r>
          </w:p>
          <w:p w14:paraId="2E0EC2AB" w14:textId="77777777" w:rsidR="00314F82" w:rsidRDefault="00730A01" w:rsidP="0097231B">
            <w:pPr>
              <w:pStyle w:val="zSoquijdatNomPartieDem"/>
              <w:ind w:left="-74"/>
              <w:jc w:val="both"/>
            </w:pPr>
            <w:r>
              <w:t>GESTION JAYVAN INC.</w:t>
            </w:r>
          </w:p>
          <w:p w14:paraId="074EE461" w14:textId="77777777" w:rsidR="00314F82" w:rsidRPr="00293549" w:rsidRDefault="00730A01" w:rsidP="0097231B">
            <w:pPr>
              <w:pStyle w:val="zSoquijdatNomPartieDem"/>
              <w:ind w:left="-74"/>
              <w:jc w:val="both"/>
              <w:rPr>
                <w:b w:val="0"/>
                <w:bCs w:val="0"/>
              </w:rPr>
            </w:pPr>
            <w:r>
              <w:t>DANIEL ARGUIN</w:t>
            </w:r>
            <w:r w:rsidR="00293549">
              <w:t xml:space="preserve">, </w:t>
            </w:r>
            <w:r w:rsidR="00AD6B33">
              <w:t xml:space="preserve">en sa </w:t>
            </w:r>
            <w:r w:rsidR="00293549" w:rsidRPr="00AD6B33">
              <w:t>qualité de fiduciaire de Fiducie familiale Daniel Arguin</w:t>
            </w:r>
          </w:p>
          <w:p w14:paraId="789C10F0" w14:textId="77777777" w:rsidR="004F668B" w:rsidRDefault="00730A01" w:rsidP="0097231B">
            <w:pPr>
              <w:pStyle w:val="zSoquijdatNomPartieDem"/>
              <w:ind w:left="-74"/>
              <w:jc w:val="both"/>
            </w:pPr>
            <w:r>
              <w:t>9136-6245 QUÉBEC INC.</w:t>
            </w:r>
          </w:p>
          <w:p w14:paraId="1642ADC4" w14:textId="77777777" w:rsidR="00293549" w:rsidRDefault="00730A01" w:rsidP="0097231B">
            <w:pPr>
              <w:pStyle w:val="zSoquijdatNomPartieDem"/>
              <w:ind w:left="-74"/>
              <w:jc w:val="both"/>
            </w:pPr>
            <w:r w:rsidRPr="00AD6B33">
              <w:t>GESTION IMMOBILIÈRE ROBERT ROBITAILLE INC.</w:t>
            </w:r>
          </w:p>
          <w:p w14:paraId="1711054F" w14:textId="77777777" w:rsidR="00212373" w:rsidRPr="00DD0524" w:rsidRDefault="00212373" w:rsidP="0097231B">
            <w:pPr>
              <w:pStyle w:val="zSoquijdatNomPartieDem"/>
              <w:ind w:left="-74"/>
              <w:jc w:val="both"/>
              <w:rPr>
                <w:sz w:val="16"/>
                <w:szCs w:val="16"/>
              </w:rPr>
            </w:pPr>
          </w:p>
          <w:p w14:paraId="030557A8" w14:textId="77777777" w:rsidR="00212373" w:rsidRDefault="00730A01" w:rsidP="0097231B">
            <w:pPr>
              <w:pStyle w:val="zSoquijdatNomPartieDem"/>
              <w:ind w:left="-74"/>
              <w:jc w:val="both"/>
            </w:pPr>
            <w:r>
              <w:t>et</w:t>
            </w:r>
          </w:p>
          <w:p w14:paraId="7F008518" w14:textId="77777777" w:rsidR="00212373" w:rsidRPr="00DD0524" w:rsidRDefault="00212373" w:rsidP="0097231B">
            <w:pPr>
              <w:pStyle w:val="zSoquijdatNomPartieDem"/>
              <w:ind w:left="-74"/>
              <w:jc w:val="both"/>
              <w:rPr>
                <w:sz w:val="16"/>
                <w:szCs w:val="16"/>
              </w:rPr>
            </w:pPr>
          </w:p>
          <w:p w14:paraId="51FEEB59" w14:textId="77777777" w:rsidR="004F668B" w:rsidRPr="00B26347" w:rsidRDefault="00730A01" w:rsidP="0097231B">
            <w:pPr>
              <w:pStyle w:val="zSoquijdatNomPartieDem"/>
              <w:ind w:left="-74"/>
              <w:jc w:val="both"/>
            </w:pPr>
            <w:r>
              <w:t>FONDS D’INVESTISSEMENT IMMOBILIER SH, S.E.</w:t>
            </w:r>
            <w:r w:rsidR="00AA2817">
              <w:t>C.</w:t>
            </w:r>
            <w:r w:rsidR="00212373">
              <w:t>, agissant et représentée par son command</w:t>
            </w:r>
            <w:r w:rsidR="00AA2817">
              <w:t>ité</w:t>
            </w:r>
            <w:r w:rsidR="00212373">
              <w:t xml:space="preserve"> 9489-3401 QUÉBEC inc.</w:t>
            </w:r>
          </w:p>
        </w:tc>
      </w:tr>
      <w:tr w:rsidR="00FE3D17" w14:paraId="5FCD8762" w14:textId="77777777" w:rsidTr="00464380">
        <w:trPr>
          <w:gridAfter w:val="1"/>
          <w:wAfter w:w="142" w:type="dxa"/>
        </w:trPr>
        <w:tc>
          <w:tcPr>
            <w:tcW w:w="9505" w:type="dxa"/>
            <w:gridSpan w:val="4"/>
          </w:tcPr>
          <w:p w14:paraId="3F70A743" w14:textId="77777777" w:rsidR="00314F82" w:rsidRPr="0097231B" w:rsidRDefault="00730A01" w:rsidP="0097231B">
            <w:pPr>
              <w:pStyle w:val="zSoquijdatQtePartieDem"/>
              <w:spacing w:after="120"/>
              <w:ind w:left="919"/>
              <w:jc w:val="both"/>
            </w:pPr>
            <w:r w:rsidRPr="0097231B">
              <w:t>DEMANDEURS</w:t>
            </w:r>
            <w:r w:rsidR="00212373">
              <w:t>/Défendeurs reconventionnels</w:t>
            </w:r>
          </w:p>
        </w:tc>
      </w:tr>
      <w:tr w:rsidR="00FE3D17" w14:paraId="3DA5E95D" w14:textId="77777777" w:rsidTr="00464380">
        <w:trPr>
          <w:gridAfter w:val="1"/>
          <w:wAfter w:w="142" w:type="dxa"/>
        </w:trPr>
        <w:tc>
          <w:tcPr>
            <w:tcW w:w="9505" w:type="dxa"/>
            <w:gridSpan w:val="4"/>
          </w:tcPr>
          <w:p w14:paraId="6ACFB6D5" w14:textId="77777777" w:rsidR="00314F82" w:rsidRPr="00AE712A" w:rsidRDefault="00730A01" w:rsidP="0097231B">
            <w:pPr>
              <w:pStyle w:val="zSoquijlblLienParties"/>
              <w:spacing w:after="120"/>
              <w:jc w:val="both"/>
              <w:rPr>
                <w:b/>
                <w:bCs/>
              </w:rPr>
            </w:pPr>
            <w:r w:rsidRPr="00AE712A">
              <w:rPr>
                <w:b/>
                <w:bCs/>
              </w:rPr>
              <w:lastRenderedPageBreak/>
              <w:t>c.</w:t>
            </w:r>
          </w:p>
        </w:tc>
      </w:tr>
      <w:tr w:rsidR="00FE3D17" w14:paraId="6DC39511" w14:textId="77777777" w:rsidTr="00464380">
        <w:trPr>
          <w:gridAfter w:val="1"/>
          <w:wAfter w:w="142" w:type="dxa"/>
        </w:trPr>
        <w:tc>
          <w:tcPr>
            <w:tcW w:w="9505" w:type="dxa"/>
            <w:gridSpan w:val="4"/>
          </w:tcPr>
          <w:p w14:paraId="20F6627D" w14:textId="77777777" w:rsidR="00314F82" w:rsidRDefault="00730A01" w:rsidP="0097231B">
            <w:pPr>
              <w:pStyle w:val="zSoquijdatNomPartieDef"/>
              <w:jc w:val="both"/>
            </w:pPr>
            <w:r>
              <w:t>ROBERT GIROUX</w:t>
            </w:r>
          </w:p>
          <w:p w14:paraId="272D16C0" w14:textId="77777777" w:rsidR="00314F82" w:rsidRDefault="00730A01" w:rsidP="0097231B">
            <w:pPr>
              <w:pStyle w:val="zSoquijdatNomPartieDef"/>
              <w:jc w:val="both"/>
            </w:pPr>
            <w:r>
              <w:t>9416-1395 QUÉBEC INC.</w:t>
            </w:r>
          </w:p>
          <w:p w14:paraId="07CE8637" w14:textId="77777777" w:rsidR="00314F82" w:rsidRDefault="00730A01" w:rsidP="0097231B">
            <w:pPr>
              <w:pStyle w:val="zSoquijdatNomPartieDef"/>
              <w:jc w:val="both"/>
            </w:pPr>
            <w:r>
              <w:t>9180-6646 QUÉBEC INC.</w:t>
            </w:r>
          </w:p>
          <w:p w14:paraId="18FFA3E1" w14:textId="77777777" w:rsidR="00314F82" w:rsidRDefault="00730A01" w:rsidP="0097231B">
            <w:pPr>
              <w:pStyle w:val="zSoquijdatNomPartieDef"/>
              <w:jc w:val="both"/>
            </w:pPr>
            <w:r>
              <w:t>9355-8096 QUÉBEC INC.</w:t>
            </w:r>
          </w:p>
          <w:p w14:paraId="223EB58C" w14:textId="77777777" w:rsidR="00314F82" w:rsidRDefault="00730A01" w:rsidP="0097231B">
            <w:pPr>
              <w:pStyle w:val="zSoquijdatNomPartieDef"/>
              <w:jc w:val="both"/>
            </w:pPr>
            <w:r>
              <w:t>X2 CAPITAL INC.</w:t>
            </w:r>
          </w:p>
          <w:p w14:paraId="5AC78849" w14:textId="77777777" w:rsidR="00CD6DEF" w:rsidRDefault="00730A01" w:rsidP="0097231B">
            <w:pPr>
              <w:pStyle w:val="zSoquijdatNomPartieDef"/>
              <w:ind w:left="919"/>
              <w:jc w:val="both"/>
              <w:rPr>
                <w:b w:val="0"/>
                <w:bCs w:val="0"/>
              </w:rPr>
            </w:pPr>
            <w:r w:rsidRPr="0097231B">
              <w:rPr>
                <w:b w:val="0"/>
                <w:bCs w:val="0"/>
              </w:rPr>
              <w:t>DÉFENDEURS</w:t>
            </w:r>
            <w:r w:rsidR="00212373">
              <w:rPr>
                <w:b w:val="0"/>
                <w:bCs w:val="0"/>
              </w:rPr>
              <w:t>/Demandeurs reconventionnels</w:t>
            </w:r>
          </w:p>
          <w:p w14:paraId="33C43CD9" w14:textId="77777777" w:rsidR="003676EE" w:rsidRPr="00DD0524" w:rsidRDefault="003676EE" w:rsidP="0097231B">
            <w:pPr>
              <w:pStyle w:val="zSoquijdatQtePartieDef"/>
              <w:ind w:left="0"/>
              <w:jc w:val="both"/>
              <w:rPr>
                <w:b/>
                <w:bCs/>
                <w:sz w:val="16"/>
                <w:szCs w:val="16"/>
              </w:rPr>
            </w:pPr>
          </w:p>
          <w:p w14:paraId="0A5F32FE" w14:textId="77777777" w:rsidR="0097231B" w:rsidRPr="00AE712A" w:rsidRDefault="00730A01" w:rsidP="0097231B">
            <w:pPr>
              <w:pStyle w:val="zSoquijdatQtePartieDef"/>
              <w:ind w:left="0"/>
              <w:jc w:val="both"/>
              <w:rPr>
                <w:b/>
                <w:bCs/>
              </w:rPr>
            </w:pPr>
            <w:r w:rsidRPr="00AE712A">
              <w:rPr>
                <w:b/>
                <w:bCs/>
              </w:rPr>
              <w:t>et</w:t>
            </w:r>
          </w:p>
          <w:p w14:paraId="0133EBCE" w14:textId="77777777" w:rsidR="00212373" w:rsidRPr="00DD0524" w:rsidRDefault="00212373" w:rsidP="0097231B">
            <w:pPr>
              <w:pStyle w:val="zSoquijdatQtePartieDef"/>
              <w:ind w:left="0"/>
              <w:jc w:val="both"/>
              <w:rPr>
                <w:sz w:val="16"/>
                <w:szCs w:val="16"/>
              </w:rPr>
            </w:pPr>
          </w:p>
          <w:p w14:paraId="3FE9F3C9" w14:textId="77777777" w:rsidR="0097231B" w:rsidRDefault="00730A01" w:rsidP="0097231B">
            <w:pPr>
              <w:pStyle w:val="zSoquijdatQtePartieDef"/>
              <w:spacing w:before="120"/>
              <w:ind w:left="0"/>
              <w:jc w:val="both"/>
              <w:rPr>
                <w:b/>
                <w:bCs/>
              </w:rPr>
            </w:pPr>
            <w:r w:rsidRPr="00D07A6E">
              <w:rPr>
                <w:b/>
                <w:bCs/>
              </w:rPr>
              <w:t>GIROUX ARPENTAGE INC.</w:t>
            </w:r>
          </w:p>
          <w:p w14:paraId="0D3A3779" w14:textId="77777777" w:rsidR="0097231B" w:rsidRPr="0097231B" w:rsidRDefault="00730A01" w:rsidP="0097231B">
            <w:pPr>
              <w:pStyle w:val="zSoquijdatNomPartieDef"/>
              <w:ind w:left="928"/>
              <w:jc w:val="both"/>
              <w:rPr>
                <w:b w:val="0"/>
                <w:bCs w:val="0"/>
              </w:rPr>
            </w:pPr>
            <w:r w:rsidRPr="0097231B">
              <w:rPr>
                <w:b w:val="0"/>
                <w:bCs w:val="0"/>
              </w:rPr>
              <w:t>INTERVENANTE AGRESSIVE</w:t>
            </w:r>
          </w:p>
          <w:p w14:paraId="0D6EC68C" w14:textId="77777777" w:rsidR="00314F82" w:rsidRDefault="00730A01" w:rsidP="007F0F8B">
            <w:pPr>
              <w:pStyle w:val="zSoquijdatNomPartieDef"/>
              <w:spacing w:before="120" w:after="120"/>
              <w:jc w:val="both"/>
            </w:pPr>
            <w:r>
              <w:t>______________________________________________________________________</w:t>
            </w:r>
          </w:p>
        </w:tc>
      </w:tr>
      <w:tr w:rsidR="00FE3D17" w14:paraId="7851AB13" w14:textId="77777777" w:rsidTr="00464380">
        <w:trPr>
          <w:gridAfter w:val="1"/>
          <w:wAfter w:w="142" w:type="dxa"/>
        </w:trPr>
        <w:tc>
          <w:tcPr>
            <w:tcW w:w="9505" w:type="dxa"/>
            <w:gridSpan w:val="4"/>
          </w:tcPr>
          <w:p w14:paraId="033A8D76" w14:textId="77777777" w:rsidR="00314F82" w:rsidRPr="002A2E37" w:rsidRDefault="00730A01" w:rsidP="007F0F8B">
            <w:pPr>
              <w:pStyle w:val="zSoquijlblTitrePartie"/>
              <w:spacing w:before="120" w:after="120"/>
              <w:jc w:val="both"/>
              <w:rPr>
                <w:b/>
                <w:bCs/>
                <w:i/>
                <w:iCs/>
              </w:rPr>
            </w:pPr>
            <w:r>
              <w:rPr>
                <w:b/>
                <w:bCs/>
                <w:i/>
                <w:iCs/>
              </w:rPr>
              <w:tab/>
            </w:r>
            <w:r w:rsidRPr="002A2E37">
              <w:rPr>
                <w:b/>
                <w:bCs/>
                <w:i/>
                <w:iCs/>
                <w:u w:val="single"/>
              </w:rPr>
              <w:t>Dossier 200-17-03496</w:t>
            </w:r>
            <w:r>
              <w:rPr>
                <w:b/>
                <w:bCs/>
                <w:i/>
                <w:iCs/>
                <w:u w:val="single"/>
              </w:rPr>
              <w:t>8</w:t>
            </w:r>
            <w:r w:rsidRPr="002A2E37">
              <w:rPr>
                <w:b/>
                <w:bCs/>
                <w:i/>
                <w:iCs/>
                <w:u w:val="single"/>
              </w:rPr>
              <w:t>-23</w:t>
            </w:r>
            <w:r>
              <w:rPr>
                <w:b/>
                <w:bCs/>
                <w:i/>
                <w:iCs/>
                <w:u w:val="single"/>
              </w:rPr>
              <w:t>0</w:t>
            </w:r>
          </w:p>
        </w:tc>
      </w:tr>
      <w:tr w:rsidR="00FE3D17" w14:paraId="45D5C6AA" w14:textId="77777777" w:rsidTr="00464380">
        <w:trPr>
          <w:gridAfter w:val="1"/>
          <w:wAfter w:w="142" w:type="dxa"/>
        </w:trPr>
        <w:tc>
          <w:tcPr>
            <w:tcW w:w="9505" w:type="dxa"/>
            <w:gridSpan w:val="4"/>
          </w:tcPr>
          <w:p w14:paraId="701CF57B" w14:textId="77777777" w:rsidR="007F0F8B" w:rsidRDefault="00730A01" w:rsidP="0097231B">
            <w:pPr>
              <w:pStyle w:val="zSoquijdatNomPartieDem"/>
              <w:spacing w:before="120"/>
              <w:jc w:val="both"/>
            </w:pPr>
            <w:r>
              <w:t>LES ENTREPRISES BERTRAND ROBERGE LTÉE</w:t>
            </w:r>
          </w:p>
          <w:p w14:paraId="22027116" w14:textId="77777777" w:rsidR="007F0F8B" w:rsidRDefault="00730A01" w:rsidP="0097231B">
            <w:pPr>
              <w:pStyle w:val="zSoquijdatNomPartieDem"/>
              <w:jc w:val="both"/>
            </w:pPr>
            <w:r>
              <w:t>GEXPHARM ULC</w:t>
            </w:r>
          </w:p>
          <w:p w14:paraId="52B92724" w14:textId="77777777" w:rsidR="007F0F8B" w:rsidRDefault="00730A01" w:rsidP="0097231B">
            <w:pPr>
              <w:pStyle w:val="zSoquijdatNomPartieDem"/>
              <w:jc w:val="both"/>
            </w:pPr>
            <w:r>
              <w:t>GESTION MATABEL INC.</w:t>
            </w:r>
          </w:p>
          <w:p w14:paraId="241F7B3A" w14:textId="77777777" w:rsidR="00D7791D" w:rsidRPr="00293549" w:rsidRDefault="00730A01" w:rsidP="0097231B">
            <w:pPr>
              <w:pStyle w:val="zSoquijdatNomPartieDem"/>
              <w:jc w:val="both"/>
            </w:pPr>
            <w:r w:rsidRPr="00293549">
              <w:t>ANDRÉ BÉLANGER</w:t>
            </w:r>
          </w:p>
          <w:p w14:paraId="66C7302B" w14:textId="77777777" w:rsidR="007F0F8B" w:rsidRPr="00293549" w:rsidRDefault="00730A01" w:rsidP="0097231B">
            <w:pPr>
              <w:pStyle w:val="zSoquijdatNomPartieDem"/>
              <w:jc w:val="both"/>
            </w:pPr>
            <w:r w:rsidRPr="00293549">
              <w:t>2842-0172 QUÉBEC INC.</w:t>
            </w:r>
          </w:p>
          <w:p w14:paraId="028FC222" w14:textId="77777777" w:rsidR="007F0F8B" w:rsidRDefault="00730A01" w:rsidP="0097231B">
            <w:pPr>
              <w:pStyle w:val="zSoquijdatNomPartieDem"/>
              <w:jc w:val="both"/>
            </w:pPr>
            <w:r w:rsidRPr="008E161C">
              <w:t>CAPITAL B.F.D. INC.</w:t>
            </w:r>
          </w:p>
          <w:p w14:paraId="60174407" w14:textId="77777777" w:rsidR="007F0F8B" w:rsidRPr="008E161C" w:rsidRDefault="00730A01" w:rsidP="0097231B">
            <w:pPr>
              <w:pStyle w:val="zSoquijdatNomPartieDem"/>
              <w:jc w:val="both"/>
            </w:pPr>
            <w:r w:rsidRPr="008E161C">
              <w:t>GESTION COBO INC.</w:t>
            </w:r>
          </w:p>
          <w:p w14:paraId="7799AACA" w14:textId="77777777" w:rsidR="00586072" w:rsidRPr="008E161C" w:rsidRDefault="00730A01" w:rsidP="0097231B">
            <w:pPr>
              <w:pStyle w:val="zSoquijdatNomPartieDem"/>
              <w:jc w:val="both"/>
            </w:pPr>
            <w:r w:rsidRPr="008E161C">
              <w:t>9221-5029 QUÉBEC INC.</w:t>
            </w:r>
          </w:p>
          <w:p w14:paraId="5D3A0DF4" w14:textId="77777777" w:rsidR="00586072" w:rsidRPr="00586072" w:rsidRDefault="00730A01" w:rsidP="0097231B">
            <w:pPr>
              <w:pStyle w:val="zSoquijdatNomPartieDem"/>
              <w:jc w:val="both"/>
            </w:pPr>
            <w:r w:rsidRPr="00586072">
              <w:t>PLACEMENTS RÉAL BOURDEAU INC.</w:t>
            </w:r>
          </w:p>
          <w:p w14:paraId="17362C2D" w14:textId="77777777" w:rsidR="00586072" w:rsidRDefault="00730A01" w:rsidP="0097231B">
            <w:pPr>
              <w:pStyle w:val="zSoquijdatNomPartieDem"/>
              <w:jc w:val="both"/>
            </w:pPr>
            <w:r w:rsidRPr="00586072">
              <w:t>G</w:t>
            </w:r>
            <w:r>
              <w:t>ESTION PIERRE BRETON INC.</w:t>
            </w:r>
          </w:p>
          <w:p w14:paraId="1449685B" w14:textId="77777777" w:rsidR="00586072" w:rsidRDefault="00730A01" w:rsidP="0097231B">
            <w:pPr>
              <w:pStyle w:val="zSoquijdatNomPartieDem"/>
              <w:jc w:val="both"/>
            </w:pPr>
            <w:r>
              <w:t>PROJET PM CANADA INC.</w:t>
            </w:r>
          </w:p>
          <w:p w14:paraId="5F3532C3" w14:textId="77777777" w:rsidR="00586072" w:rsidRDefault="00730A01" w:rsidP="0097231B">
            <w:pPr>
              <w:pStyle w:val="zSoquijdatNomPartieDem"/>
              <w:jc w:val="both"/>
            </w:pPr>
            <w:r>
              <w:t>DIANE DALLAIRE</w:t>
            </w:r>
          </w:p>
          <w:p w14:paraId="16E95C87" w14:textId="77777777" w:rsidR="00586072" w:rsidRPr="00AD6B33" w:rsidRDefault="00730A01" w:rsidP="0097231B">
            <w:pPr>
              <w:pStyle w:val="zSoquijdatNomPartieDem"/>
              <w:jc w:val="both"/>
            </w:pPr>
            <w:r w:rsidRPr="00AD6B33">
              <w:t>2740-0084 QUÉBEC INC.</w:t>
            </w:r>
          </w:p>
          <w:p w14:paraId="118F59EC" w14:textId="77777777" w:rsidR="00586072" w:rsidRPr="00AD6B33" w:rsidRDefault="00730A01" w:rsidP="0097231B">
            <w:pPr>
              <w:pStyle w:val="zSoquijdatNomPartieDem"/>
              <w:jc w:val="both"/>
            </w:pPr>
            <w:r w:rsidRPr="00AD6B33">
              <w:t>NANCY FOLEY</w:t>
            </w:r>
          </w:p>
          <w:p w14:paraId="43797306" w14:textId="77777777" w:rsidR="00586072" w:rsidRDefault="00730A01" w:rsidP="0097231B">
            <w:pPr>
              <w:pStyle w:val="zSoquijdatNomPartieDem"/>
              <w:jc w:val="both"/>
            </w:pPr>
            <w:r>
              <w:t>BIANCA FREEMAN</w:t>
            </w:r>
            <w:r w:rsidR="00AD6B33">
              <w:t>, en sa qualité de fiduciaire de FIDUCIE FAMILIALE BIANCA FREEMAN</w:t>
            </w:r>
          </w:p>
          <w:p w14:paraId="253E812D" w14:textId="77777777" w:rsidR="00586072" w:rsidRPr="00AD6B33" w:rsidRDefault="00730A01" w:rsidP="0097231B">
            <w:pPr>
              <w:pStyle w:val="zSoquijdatNomPartieDem"/>
              <w:jc w:val="both"/>
            </w:pPr>
            <w:r w:rsidRPr="00AD6B33">
              <w:t>9269-0585 QUÉBEC INC.</w:t>
            </w:r>
          </w:p>
          <w:p w14:paraId="69EE6693" w14:textId="77777777" w:rsidR="00586072" w:rsidRDefault="00730A01" w:rsidP="0097231B">
            <w:pPr>
              <w:pStyle w:val="zSoquijdatNomPartieDem"/>
              <w:jc w:val="both"/>
            </w:pPr>
            <w:r>
              <w:t>GESTION JOCELYN MAURICE GIGUÈRE</w:t>
            </w:r>
            <w:r w:rsidR="00CE28D1">
              <w:t xml:space="preserve"> INC.</w:t>
            </w:r>
          </w:p>
          <w:p w14:paraId="79E1FD53" w14:textId="77777777" w:rsidR="00293549" w:rsidRPr="00AD6B33" w:rsidRDefault="00730A01" w:rsidP="0097231B">
            <w:pPr>
              <w:pStyle w:val="zSoquijdatNomPartieDem"/>
              <w:jc w:val="both"/>
            </w:pPr>
            <w:r w:rsidRPr="00AD6B33">
              <w:t>GESTION MAURICE ROUSSIN INC.</w:t>
            </w:r>
          </w:p>
          <w:p w14:paraId="6DC056E1" w14:textId="77777777" w:rsidR="00586072" w:rsidRPr="00AD6B33" w:rsidRDefault="00730A01" w:rsidP="0097231B">
            <w:pPr>
              <w:pStyle w:val="zSoquijdatNomPartieDem"/>
              <w:jc w:val="both"/>
            </w:pPr>
            <w:r w:rsidRPr="00AD6B33">
              <w:t>GESTION IMMOBILIÈRE R. GODBOUT</w:t>
            </w:r>
          </w:p>
          <w:p w14:paraId="06D1EE27" w14:textId="77777777" w:rsidR="00586072" w:rsidRDefault="00730A01" w:rsidP="0097231B">
            <w:pPr>
              <w:pStyle w:val="zSoquijdatNomPartieDem"/>
              <w:jc w:val="both"/>
            </w:pPr>
            <w:r>
              <w:t>9023-0772 QUÉBEC INC.</w:t>
            </w:r>
          </w:p>
          <w:p w14:paraId="3EA9FDBF" w14:textId="77777777" w:rsidR="00586072" w:rsidRDefault="00730A01" w:rsidP="0097231B">
            <w:pPr>
              <w:pStyle w:val="zSoquijdatNomPartieDem"/>
              <w:jc w:val="both"/>
            </w:pPr>
            <w:r>
              <w:t>GESTION MARIO INC.</w:t>
            </w:r>
          </w:p>
          <w:p w14:paraId="1A786F57" w14:textId="77777777" w:rsidR="00586072" w:rsidRDefault="00730A01" w:rsidP="0097231B">
            <w:pPr>
              <w:pStyle w:val="zSoquijdatNomPartieDem"/>
              <w:jc w:val="both"/>
            </w:pPr>
            <w:r>
              <w:t>VARIÉTÉS DU LAC INC.</w:t>
            </w:r>
          </w:p>
          <w:p w14:paraId="1954261D" w14:textId="77777777" w:rsidR="00586072" w:rsidRPr="00AD6B33" w:rsidRDefault="00730A01" w:rsidP="0097231B">
            <w:pPr>
              <w:pStyle w:val="zSoquijdatNomPartieDem"/>
              <w:jc w:val="both"/>
            </w:pPr>
            <w:r w:rsidRPr="00AD6B33">
              <w:t>NORMAND LAROCHE</w:t>
            </w:r>
          </w:p>
          <w:p w14:paraId="4C46E147" w14:textId="77777777" w:rsidR="00586072" w:rsidRPr="00AD6B33" w:rsidRDefault="00730A01" w:rsidP="0097231B">
            <w:pPr>
              <w:pStyle w:val="zSoquijdatNomPartieDem"/>
              <w:jc w:val="both"/>
            </w:pPr>
            <w:r w:rsidRPr="00AD6B33">
              <w:t>3586103 CANADA INC.</w:t>
            </w:r>
          </w:p>
          <w:p w14:paraId="563D4A37" w14:textId="77777777" w:rsidR="00586072" w:rsidRPr="00AD6B33" w:rsidRDefault="00730A01" w:rsidP="0097231B">
            <w:pPr>
              <w:pStyle w:val="zSoquijdatNomPartieDem"/>
              <w:jc w:val="both"/>
            </w:pPr>
            <w:r w:rsidRPr="00AD6B33">
              <w:t>GESTION MARIO LORTIE INC.</w:t>
            </w:r>
          </w:p>
          <w:p w14:paraId="08550FA1" w14:textId="77777777" w:rsidR="00586072" w:rsidRDefault="00730A01" w:rsidP="0097231B">
            <w:pPr>
              <w:pStyle w:val="zSoquijdatNomPartieDem"/>
              <w:jc w:val="both"/>
            </w:pPr>
            <w:r>
              <w:t>9136-5908 QUÉBEC INC.</w:t>
            </w:r>
          </w:p>
          <w:p w14:paraId="42453954" w14:textId="77777777" w:rsidR="00586072" w:rsidRDefault="00730A01" w:rsidP="0097231B">
            <w:pPr>
              <w:pStyle w:val="zSoquijdatNomPartieDem"/>
              <w:jc w:val="both"/>
            </w:pPr>
            <w:r w:rsidRPr="00586072">
              <w:t>GESTION J.G.O. BAIE-COMEAU INC</w:t>
            </w:r>
            <w:r>
              <w:t>.</w:t>
            </w:r>
          </w:p>
          <w:p w14:paraId="74B51AF0" w14:textId="77777777" w:rsidR="00586072" w:rsidRPr="00AD6B33" w:rsidRDefault="00730A01" w:rsidP="0097231B">
            <w:pPr>
              <w:pStyle w:val="zSoquijdatNomPartieDem"/>
              <w:jc w:val="both"/>
            </w:pPr>
            <w:r w:rsidRPr="00AD6B33">
              <w:lastRenderedPageBreak/>
              <w:t>LES IMMEUBLES A&amp;R PERRON INC.</w:t>
            </w:r>
          </w:p>
          <w:p w14:paraId="62D757B4" w14:textId="77777777" w:rsidR="00586072" w:rsidRPr="0097231B" w:rsidRDefault="00730A01" w:rsidP="0097231B">
            <w:pPr>
              <w:pStyle w:val="zSoquijdatNomPartieDem"/>
              <w:jc w:val="both"/>
              <w:rPr>
                <w:caps/>
              </w:rPr>
            </w:pPr>
            <w:r>
              <w:t xml:space="preserve">FRANCIS POMERLEAU, </w:t>
            </w:r>
            <w:r w:rsidR="0097231B" w:rsidRPr="0097231B">
              <w:t>en sa qualité</w:t>
            </w:r>
            <w:r w:rsidRPr="0097231B">
              <w:t xml:space="preserve"> de fiduciaire de </w:t>
            </w:r>
            <w:r w:rsidRPr="0097231B">
              <w:rPr>
                <w:caps/>
              </w:rPr>
              <w:t>Fiducie familial</w:t>
            </w:r>
            <w:r w:rsidR="00293549" w:rsidRPr="0097231B">
              <w:rPr>
                <w:caps/>
              </w:rPr>
              <w:t>e</w:t>
            </w:r>
            <w:r w:rsidRPr="0097231B">
              <w:rPr>
                <w:caps/>
              </w:rPr>
              <w:t xml:space="preserve"> Francis Pomerleau</w:t>
            </w:r>
            <w:r w:rsidR="00096BF2" w:rsidRPr="0097231B">
              <w:rPr>
                <w:caps/>
              </w:rPr>
              <w:t xml:space="preserve"> 2018</w:t>
            </w:r>
          </w:p>
          <w:p w14:paraId="7A4C9198" w14:textId="77777777" w:rsidR="00586072" w:rsidRDefault="00730A01" w:rsidP="0097231B">
            <w:pPr>
              <w:pStyle w:val="zSoquijdatNomPartieDem"/>
              <w:jc w:val="both"/>
            </w:pPr>
            <w:r>
              <w:t>9372-3351 QUÉBEC INC.</w:t>
            </w:r>
          </w:p>
          <w:p w14:paraId="667A6210" w14:textId="77777777" w:rsidR="00586072" w:rsidRDefault="00730A01" w:rsidP="0097231B">
            <w:pPr>
              <w:pStyle w:val="zSoquijdatNomPartieDem"/>
              <w:jc w:val="both"/>
            </w:pPr>
            <w:r>
              <w:t>GESTION D2 INC.</w:t>
            </w:r>
          </w:p>
          <w:p w14:paraId="0010E4BF" w14:textId="77777777" w:rsidR="00586072" w:rsidRDefault="00730A01" w:rsidP="0097231B">
            <w:pPr>
              <w:pStyle w:val="zSoquijdatNomPartieDem"/>
              <w:jc w:val="both"/>
            </w:pPr>
            <w:r>
              <w:t>9169-6054 QUÉBEC INC.</w:t>
            </w:r>
          </w:p>
          <w:p w14:paraId="23241A34" w14:textId="77777777" w:rsidR="00586072" w:rsidRDefault="00730A01" w:rsidP="0097231B">
            <w:pPr>
              <w:pStyle w:val="zSoquijdatNomPartieDem"/>
              <w:jc w:val="both"/>
            </w:pPr>
            <w:r>
              <w:t>APPALACHES INVESTISSEMENTS INC.</w:t>
            </w:r>
          </w:p>
          <w:p w14:paraId="3B0DF3D1" w14:textId="77777777" w:rsidR="0097231B" w:rsidRPr="0097231B" w:rsidRDefault="00730A01" w:rsidP="0097231B">
            <w:pPr>
              <w:pStyle w:val="zSoquijdatNomPartieDem"/>
              <w:jc w:val="both"/>
              <w:rPr>
                <w:caps/>
              </w:rPr>
            </w:pPr>
            <w:r>
              <w:t xml:space="preserve">DANIEL SAMSON, </w:t>
            </w:r>
            <w:r w:rsidRPr="0097231B">
              <w:t xml:space="preserve">en sa qualité de fiduciaire de </w:t>
            </w:r>
            <w:r w:rsidRPr="0097231B">
              <w:rPr>
                <w:caps/>
              </w:rPr>
              <w:t xml:space="preserve">Fiducie familiale </w:t>
            </w:r>
            <w:r>
              <w:rPr>
                <w:caps/>
              </w:rPr>
              <w:t>DANIEL SAMSON</w:t>
            </w:r>
          </w:p>
          <w:p w14:paraId="214F5F83" w14:textId="77777777" w:rsidR="00586072" w:rsidRDefault="00730A01" w:rsidP="0097231B">
            <w:pPr>
              <w:pStyle w:val="zSoquijdatNomPartieDem"/>
              <w:jc w:val="both"/>
            </w:pPr>
            <w:r>
              <w:t>GESTION JEAPE 2 INC.</w:t>
            </w:r>
          </w:p>
          <w:p w14:paraId="7D0FDC1C" w14:textId="77777777" w:rsidR="00586072" w:rsidRPr="008E161C" w:rsidRDefault="00730A01" w:rsidP="0097231B">
            <w:pPr>
              <w:pStyle w:val="zSoquijdatNomPartieDem"/>
              <w:jc w:val="both"/>
            </w:pPr>
            <w:r w:rsidRPr="008E161C">
              <w:t>SOLIGO TOTAL S.E.N.C.</w:t>
            </w:r>
          </w:p>
          <w:p w14:paraId="647C0EDD" w14:textId="77777777" w:rsidR="00586072" w:rsidRPr="00AD6B33" w:rsidRDefault="00730A01" w:rsidP="0097231B">
            <w:pPr>
              <w:pStyle w:val="zSoquijdatNomPartieDem"/>
              <w:jc w:val="both"/>
            </w:pPr>
            <w:r w:rsidRPr="00AD6B33">
              <w:t>GESTION IMMOBILIÈRE DSTC INC.</w:t>
            </w:r>
          </w:p>
          <w:p w14:paraId="06531552" w14:textId="77777777" w:rsidR="00586072" w:rsidRPr="00AD6B33" w:rsidRDefault="00730A01" w:rsidP="0097231B">
            <w:pPr>
              <w:pStyle w:val="zSoquijdatNomPartieDem"/>
              <w:jc w:val="both"/>
            </w:pPr>
            <w:r w:rsidRPr="00AD6B33">
              <w:t>CLAUDIA THERRIEN</w:t>
            </w:r>
          </w:p>
          <w:p w14:paraId="3C65A6E2" w14:textId="77777777" w:rsidR="00586072" w:rsidRPr="00AD6B33" w:rsidRDefault="00730A01" w:rsidP="0097231B">
            <w:pPr>
              <w:pStyle w:val="zSoquijdatNomPartieDem"/>
              <w:jc w:val="both"/>
            </w:pPr>
            <w:r w:rsidRPr="00AD6B33">
              <w:t>GESTION JAYVAN INC.</w:t>
            </w:r>
          </w:p>
          <w:p w14:paraId="22BFF981" w14:textId="77777777" w:rsidR="00586072" w:rsidRPr="00AD6B33" w:rsidRDefault="00730A01" w:rsidP="0097231B">
            <w:pPr>
              <w:pStyle w:val="zSoquijdatNomPartieDem"/>
              <w:jc w:val="both"/>
            </w:pPr>
            <w:r w:rsidRPr="00AD6B33">
              <w:t>GESTION CLOVO INC.</w:t>
            </w:r>
          </w:p>
          <w:p w14:paraId="39D395B1" w14:textId="77777777" w:rsidR="00096BF2" w:rsidRDefault="00730A01" w:rsidP="0097231B">
            <w:pPr>
              <w:pStyle w:val="zSoquijdatNomPartieDem"/>
              <w:jc w:val="both"/>
            </w:pPr>
            <w:r>
              <w:t>9136-6245 QUÉBEC INC.</w:t>
            </w:r>
          </w:p>
          <w:p w14:paraId="05227A40" w14:textId="77777777" w:rsidR="0097231B" w:rsidRPr="0097231B" w:rsidRDefault="00730A01" w:rsidP="0097231B">
            <w:pPr>
              <w:pStyle w:val="zSoquijdatNomPartieDem"/>
              <w:jc w:val="both"/>
              <w:rPr>
                <w:caps/>
              </w:rPr>
            </w:pPr>
            <w:r w:rsidRPr="00AD6B33">
              <w:t xml:space="preserve">ROCKY ROY, </w:t>
            </w:r>
            <w:r w:rsidRPr="0097231B">
              <w:t xml:space="preserve">en sa qualité de fiduciaire de </w:t>
            </w:r>
            <w:r w:rsidRPr="0097231B">
              <w:rPr>
                <w:caps/>
              </w:rPr>
              <w:t xml:space="preserve">Fiducie familiale </w:t>
            </w:r>
            <w:r>
              <w:rPr>
                <w:caps/>
              </w:rPr>
              <w:t>rocky roy</w:t>
            </w:r>
          </w:p>
          <w:p w14:paraId="16B89FA7" w14:textId="77777777" w:rsidR="00096BF2" w:rsidRPr="00AD6B33" w:rsidRDefault="00730A01" w:rsidP="0097231B">
            <w:pPr>
              <w:pStyle w:val="zSoquijdatNomPartieDem"/>
              <w:jc w:val="both"/>
            </w:pPr>
            <w:r w:rsidRPr="00AD6B33">
              <w:t>MICHEL RENAUD</w:t>
            </w:r>
          </w:p>
          <w:p w14:paraId="43D17833" w14:textId="77777777" w:rsidR="00096BF2" w:rsidRPr="00AD6B33" w:rsidRDefault="00730A01" w:rsidP="0097231B">
            <w:pPr>
              <w:pStyle w:val="zSoquijdatNomPartieDem"/>
              <w:jc w:val="both"/>
              <w:rPr>
                <w:i/>
                <w:iCs/>
              </w:rPr>
            </w:pPr>
            <w:r w:rsidRPr="00AD6B33">
              <w:t>TRUST ETERNA INC.,</w:t>
            </w:r>
            <w:r w:rsidR="0097231B" w:rsidRPr="00AD6B33">
              <w:rPr>
                <w:i/>
                <w:iCs/>
              </w:rPr>
              <w:t xml:space="preserve"> </w:t>
            </w:r>
            <w:r w:rsidR="0097231B" w:rsidRPr="00AD6B33">
              <w:t>en sa qualité</w:t>
            </w:r>
            <w:r w:rsidRPr="00AD6B33">
              <w:rPr>
                <w:i/>
                <w:iCs/>
              </w:rPr>
              <w:t xml:space="preserve"> </w:t>
            </w:r>
            <w:r w:rsidRPr="00AD6B33">
              <w:t xml:space="preserve">de fiduciaire de </w:t>
            </w:r>
            <w:r w:rsidRPr="00AD6B33">
              <w:rPr>
                <w:caps/>
              </w:rPr>
              <w:t>Fonds de prêts privés Eterna</w:t>
            </w:r>
          </w:p>
          <w:p w14:paraId="55FD0EA6" w14:textId="77777777" w:rsidR="00096BF2" w:rsidRDefault="00730A01" w:rsidP="0097231B">
            <w:pPr>
              <w:pStyle w:val="zSoquijdatNomPartieDem"/>
              <w:jc w:val="both"/>
            </w:pPr>
            <w:r w:rsidRPr="00AD6B33">
              <w:t>GESTION IMMOBILIÈRE ROBERT ROBITAILLE INC.</w:t>
            </w:r>
          </w:p>
          <w:p w14:paraId="6827D324" w14:textId="77777777" w:rsidR="00DD0524" w:rsidRPr="00DD0524" w:rsidRDefault="00DD0524" w:rsidP="0097231B">
            <w:pPr>
              <w:pStyle w:val="zSoquijdatNomPartieDem"/>
              <w:jc w:val="both"/>
              <w:rPr>
                <w:sz w:val="16"/>
                <w:szCs w:val="16"/>
              </w:rPr>
            </w:pPr>
          </w:p>
          <w:p w14:paraId="5ADBE7F0" w14:textId="77777777" w:rsidR="00DD0524" w:rsidRDefault="00730A01" w:rsidP="0097231B">
            <w:pPr>
              <w:pStyle w:val="zSoquijdatNomPartieDem"/>
              <w:jc w:val="both"/>
            </w:pPr>
            <w:r>
              <w:t>et</w:t>
            </w:r>
          </w:p>
          <w:p w14:paraId="415DD68D" w14:textId="77777777" w:rsidR="00DD0524" w:rsidRPr="00DD0524" w:rsidRDefault="00DD0524" w:rsidP="0097231B">
            <w:pPr>
              <w:pStyle w:val="zSoquijdatNomPartieDem"/>
              <w:jc w:val="both"/>
              <w:rPr>
                <w:i/>
                <w:iCs/>
                <w:sz w:val="16"/>
                <w:szCs w:val="16"/>
              </w:rPr>
            </w:pPr>
          </w:p>
          <w:p w14:paraId="47FCBC6F" w14:textId="77777777" w:rsidR="00731C6B" w:rsidRPr="00731C6B" w:rsidRDefault="00730A01" w:rsidP="0097231B">
            <w:pPr>
              <w:pStyle w:val="zSoquijdatNomPartieDem"/>
              <w:jc w:val="both"/>
            </w:pPr>
            <w:r w:rsidRPr="00731C6B">
              <w:t>Q-12 CAPIT</w:t>
            </w:r>
            <w:r>
              <w:t>AL</w:t>
            </w:r>
            <w:r w:rsidR="00D62BA0">
              <w:t>,</w:t>
            </w:r>
            <w:r>
              <w:t xml:space="preserve"> S.E.C</w:t>
            </w:r>
            <w:r w:rsidR="00D62BA0">
              <w:t>.</w:t>
            </w:r>
            <w:r w:rsidR="00212373">
              <w:t>, agissant et représentée par son commandité</w:t>
            </w:r>
            <w:r w:rsidR="00AA2817">
              <w:t xml:space="preserve"> </w:t>
            </w:r>
            <w:r w:rsidR="00212373">
              <w:t>9489-3385 QUÉBEC inc.</w:t>
            </w:r>
          </w:p>
        </w:tc>
      </w:tr>
      <w:tr w:rsidR="00FE3D17" w14:paraId="0B4B720A" w14:textId="77777777" w:rsidTr="00464380">
        <w:trPr>
          <w:gridAfter w:val="1"/>
          <w:wAfter w:w="142" w:type="dxa"/>
        </w:trPr>
        <w:tc>
          <w:tcPr>
            <w:tcW w:w="9505" w:type="dxa"/>
            <w:gridSpan w:val="4"/>
          </w:tcPr>
          <w:p w14:paraId="35334784" w14:textId="77777777" w:rsidR="00F33355" w:rsidRPr="0097231B" w:rsidRDefault="00730A01" w:rsidP="0097231B">
            <w:pPr>
              <w:pStyle w:val="zSoquijdatQtePartieDem"/>
              <w:ind w:left="634"/>
              <w:jc w:val="both"/>
            </w:pPr>
            <w:r w:rsidRPr="0097231B">
              <w:lastRenderedPageBreak/>
              <w:t>DEMANDEURS</w:t>
            </w:r>
            <w:r w:rsidR="00212373">
              <w:t>/Défendeurs reconventionnels</w:t>
            </w:r>
          </w:p>
        </w:tc>
      </w:tr>
      <w:tr w:rsidR="00FE3D17" w14:paraId="0888B143" w14:textId="77777777" w:rsidTr="00464380">
        <w:trPr>
          <w:gridAfter w:val="1"/>
          <w:wAfter w:w="142" w:type="dxa"/>
        </w:trPr>
        <w:tc>
          <w:tcPr>
            <w:tcW w:w="9505" w:type="dxa"/>
            <w:gridSpan w:val="4"/>
          </w:tcPr>
          <w:p w14:paraId="6862B05D" w14:textId="77777777" w:rsidR="003676EE" w:rsidRPr="00DD0524" w:rsidRDefault="003676EE" w:rsidP="00C01A28">
            <w:pPr>
              <w:pStyle w:val="zSoquijlblLienParties"/>
              <w:spacing w:before="120"/>
              <w:jc w:val="both"/>
              <w:rPr>
                <w:b/>
                <w:bCs/>
                <w:sz w:val="16"/>
                <w:szCs w:val="16"/>
              </w:rPr>
            </w:pPr>
          </w:p>
          <w:p w14:paraId="2D14CB9C" w14:textId="77777777" w:rsidR="00F33355" w:rsidRPr="00CC078E" w:rsidRDefault="00730A01" w:rsidP="00C01A28">
            <w:pPr>
              <w:pStyle w:val="zSoquijlblLienParties"/>
              <w:spacing w:before="120"/>
              <w:jc w:val="both"/>
              <w:rPr>
                <w:b/>
                <w:bCs/>
              </w:rPr>
            </w:pPr>
            <w:r w:rsidRPr="00CC078E">
              <w:rPr>
                <w:b/>
                <w:bCs/>
              </w:rPr>
              <w:t>c.</w:t>
            </w:r>
          </w:p>
          <w:p w14:paraId="11D3E1C3" w14:textId="77777777" w:rsidR="0097231B" w:rsidRPr="00DD0524" w:rsidRDefault="0097231B" w:rsidP="00C01A28">
            <w:pPr>
              <w:pStyle w:val="zSoquijlblLienParties"/>
              <w:spacing w:before="120"/>
              <w:jc w:val="both"/>
              <w:rPr>
                <w:sz w:val="16"/>
                <w:szCs w:val="16"/>
              </w:rPr>
            </w:pPr>
          </w:p>
        </w:tc>
      </w:tr>
      <w:tr w:rsidR="00FE3D17" w14:paraId="2B150DD8" w14:textId="77777777" w:rsidTr="00464380">
        <w:trPr>
          <w:gridAfter w:val="1"/>
          <w:wAfter w:w="142" w:type="dxa"/>
        </w:trPr>
        <w:tc>
          <w:tcPr>
            <w:tcW w:w="9505" w:type="dxa"/>
            <w:gridSpan w:val="4"/>
          </w:tcPr>
          <w:p w14:paraId="7F050C63" w14:textId="77777777" w:rsidR="00F33355" w:rsidRDefault="00730A01" w:rsidP="0097231B">
            <w:pPr>
              <w:pStyle w:val="zSoquijdatNomPartieDef"/>
              <w:jc w:val="both"/>
            </w:pPr>
            <w:r>
              <w:t>ROBERT GIROUX</w:t>
            </w:r>
          </w:p>
          <w:p w14:paraId="7FB922E1" w14:textId="77777777" w:rsidR="00F33355" w:rsidRDefault="00730A01" w:rsidP="0097231B">
            <w:pPr>
              <w:pStyle w:val="zSoquijdatNomPartieDef"/>
              <w:jc w:val="both"/>
            </w:pPr>
            <w:r>
              <w:t>9355-9797 QUÉBEC INC.</w:t>
            </w:r>
          </w:p>
          <w:p w14:paraId="7C7C07BF" w14:textId="77777777" w:rsidR="00F33355" w:rsidRDefault="00730A01" w:rsidP="0097231B">
            <w:pPr>
              <w:pStyle w:val="zSoquijdatNomPartieDef"/>
              <w:jc w:val="both"/>
            </w:pPr>
            <w:r>
              <w:t>9180-6646 QUÉBEC INC.</w:t>
            </w:r>
          </w:p>
          <w:p w14:paraId="3D422DE3" w14:textId="77777777" w:rsidR="00FC46C4" w:rsidRDefault="00730A01" w:rsidP="0097231B">
            <w:pPr>
              <w:pStyle w:val="zSoquijdatNomPartieDef"/>
              <w:jc w:val="both"/>
              <w:rPr>
                <w:b w:val="0"/>
                <w:bCs w:val="0"/>
              </w:rPr>
            </w:pPr>
            <w:r>
              <w:t>X2 CAPITAL INC.</w:t>
            </w:r>
          </w:p>
          <w:p w14:paraId="2EE72EEA" w14:textId="77777777" w:rsidR="00464380" w:rsidRDefault="00730A01" w:rsidP="0097231B">
            <w:pPr>
              <w:pStyle w:val="zSoquijdatQtePartieDef"/>
              <w:ind w:left="634"/>
              <w:jc w:val="both"/>
            </w:pPr>
            <w:r w:rsidRPr="0097231B">
              <w:t>DÉFENDEURS</w:t>
            </w:r>
            <w:r w:rsidR="00212373">
              <w:t>/Demandeurs reconventionnels</w:t>
            </w:r>
          </w:p>
          <w:p w14:paraId="75FF8B7D" w14:textId="77777777" w:rsidR="003676EE" w:rsidRPr="00DD0524" w:rsidRDefault="003676EE" w:rsidP="0097231B">
            <w:pPr>
              <w:pStyle w:val="zSoquijdatQtePartieDef"/>
              <w:ind w:left="0"/>
              <w:jc w:val="both"/>
              <w:rPr>
                <w:b/>
                <w:bCs/>
                <w:sz w:val="16"/>
                <w:szCs w:val="16"/>
              </w:rPr>
            </w:pPr>
          </w:p>
          <w:p w14:paraId="67973B5C" w14:textId="77777777" w:rsidR="0097231B" w:rsidRDefault="00730A01" w:rsidP="0097231B">
            <w:pPr>
              <w:pStyle w:val="zSoquijdatQtePartieDef"/>
              <w:ind w:left="0"/>
              <w:jc w:val="both"/>
              <w:rPr>
                <w:b/>
                <w:bCs/>
              </w:rPr>
            </w:pPr>
            <w:r>
              <w:rPr>
                <w:b/>
                <w:bCs/>
              </w:rPr>
              <w:t>e</w:t>
            </w:r>
            <w:r w:rsidRPr="00212373">
              <w:rPr>
                <w:b/>
                <w:bCs/>
              </w:rPr>
              <w:t>t</w:t>
            </w:r>
          </w:p>
          <w:p w14:paraId="2FCD297D" w14:textId="77777777" w:rsidR="00212373" w:rsidRPr="00DD0524" w:rsidRDefault="00212373" w:rsidP="0097231B">
            <w:pPr>
              <w:pStyle w:val="zSoquijdatQtePartieDef"/>
              <w:ind w:left="0"/>
              <w:jc w:val="both"/>
              <w:rPr>
                <w:b/>
                <w:bCs/>
                <w:sz w:val="16"/>
                <w:szCs w:val="16"/>
              </w:rPr>
            </w:pPr>
          </w:p>
          <w:p w14:paraId="6CBD7DEB" w14:textId="77777777" w:rsidR="00464380" w:rsidRDefault="00730A01" w:rsidP="0097231B">
            <w:pPr>
              <w:pStyle w:val="zSoquijdatQtePartieDef"/>
              <w:spacing w:before="120"/>
              <w:ind w:left="0"/>
              <w:jc w:val="both"/>
              <w:rPr>
                <w:b/>
                <w:bCs/>
              </w:rPr>
            </w:pPr>
            <w:r w:rsidRPr="00D07A6E">
              <w:rPr>
                <w:b/>
                <w:bCs/>
              </w:rPr>
              <w:t>GIROUX ARPENTAGE INC.</w:t>
            </w:r>
          </w:p>
          <w:p w14:paraId="3C949496" w14:textId="77777777" w:rsidR="008628F2" w:rsidRPr="0097231B" w:rsidRDefault="00730A01" w:rsidP="0097231B">
            <w:pPr>
              <w:pStyle w:val="zSoquijdatQtePartieDef"/>
              <w:ind w:left="641"/>
              <w:jc w:val="both"/>
            </w:pPr>
            <w:r w:rsidRPr="0097231B">
              <w:t>INTERVENANTE AGRESSIVE</w:t>
            </w:r>
          </w:p>
        </w:tc>
      </w:tr>
      <w:tr w:rsidR="00FE3D17" w14:paraId="3E447FEB" w14:textId="77777777" w:rsidTr="00464380">
        <w:trPr>
          <w:gridAfter w:val="1"/>
          <w:wAfter w:w="142" w:type="dxa"/>
        </w:trPr>
        <w:tc>
          <w:tcPr>
            <w:tcW w:w="9505" w:type="dxa"/>
            <w:gridSpan w:val="4"/>
          </w:tcPr>
          <w:p w14:paraId="61C0D8A8" w14:textId="77777777" w:rsidR="00847638" w:rsidRPr="008628F2" w:rsidRDefault="00730A01" w:rsidP="0098012F">
            <w:r w:rsidRPr="008628F2">
              <w:t>____________________________________________________________________</w:t>
            </w:r>
            <w:r w:rsidR="000C51E7">
              <w:t>__</w:t>
            </w:r>
          </w:p>
        </w:tc>
      </w:tr>
      <w:tr w:rsidR="00FE3D17" w14:paraId="5681976F" w14:textId="77777777" w:rsidTr="00464380">
        <w:trPr>
          <w:gridAfter w:val="1"/>
          <w:wAfter w:w="142" w:type="dxa"/>
        </w:trPr>
        <w:tc>
          <w:tcPr>
            <w:tcW w:w="9505" w:type="dxa"/>
            <w:gridSpan w:val="4"/>
          </w:tcPr>
          <w:p w14:paraId="64EC40DF" w14:textId="77777777" w:rsidR="00847638" w:rsidRDefault="00847638" w:rsidP="0098012F">
            <w:pPr>
              <w:jc w:val="center"/>
            </w:pPr>
          </w:p>
        </w:tc>
      </w:tr>
      <w:tr w:rsidR="00FE3D17" w14:paraId="157762ED" w14:textId="77777777" w:rsidTr="00464380">
        <w:trPr>
          <w:gridAfter w:val="1"/>
          <w:wAfter w:w="142" w:type="dxa"/>
        </w:trPr>
        <w:tc>
          <w:tcPr>
            <w:tcW w:w="9505" w:type="dxa"/>
            <w:gridSpan w:val="4"/>
          </w:tcPr>
          <w:p w14:paraId="449B50CB" w14:textId="77777777" w:rsidR="00847638" w:rsidRPr="00EB0DB7" w:rsidRDefault="00730A01" w:rsidP="0098012F">
            <w:pPr>
              <w:pStyle w:val="zSoquijlblTypeDocument"/>
              <w:rPr>
                <w:b/>
                <w:bCs/>
              </w:rPr>
            </w:pPr>
            <w:r w:rsidRPr="00EB0DB7">
              <w:rPr>
                <w:b/>
                <w:bCs/>
              </w:rPr>
              <w:t>JUGEMENT</w:t>
            </w:r>
          </w:p>
        </w:tc>
      </w:tr>
      <w:tr w:rsidR="00FE3D17" w14:paraId="40961E30" w14:textId="77777777" w:rsidTr="00464380">
        <w:trPr>
          <w:gridAfter w:val="1"/>
          <w:wAfter w:w="142" w:type="dxa"/>
        </w:trPr>
        <w:tc>
          <w:tcPr>
            <w:tcW w:w="9505" w:type="dxa"/>
            <w:gridSpan w:val="4"/>
          </w:tcPr>
          <w:p w14:paraId="201AD625" w14:textId="77777777" w:rsidR="00847638" w:rsidRDefault="00730A01" w:rsidP="0098012F">
            <w:r>
              <w:t>______________________________________________________________________</w:t>
            </w:r>
          </w:p>
        </w:tc>
      </w:tr>
    </w:tbl>
    <w:bookmarkStart w:id="0" w:name="_Toc211600614" w:displacedByCustomXml="next"/>
    <w:bookmarkEnd w:id="0" w:displacedByCustomXml="next"/>
    <w:bookmarkStart w:id="1" w:name="_Toc211495195" w:displacedByCustomXml="next"/>
    <w:sdt>
      <w:sdtPr>
        <w:rPr>
          <w:b w:val="0"/>
          <w:kern w:val="0"/>
          <w:sz w:val="24"/>
          <w:lang w:val="fr-FR"/>
        </w:rPr>
        <w:id w:val="1076401289"/>
        <w:docPartObj>
          <w:docPartGallery w:val="Table of Contents"/>
          <w:docPartUnique/>
        </w:docPartObj>
      </w:sdtPr>
      <w:sdtEndPr>
        <w:rPr>
          <w:bCs/>
        </w:rPr>
      </w:sdtEndPr>
      <w:sdtContent>
        <w:p w14:paraId="5A10DB9F" w14:textId="77777777" w:rsidR="00333298" w:rsidRDefault="00730A01" w:rsidP="008E161C">
          <w:pPr>
            <w:pStyle w:val="Titre1"/>
            <w:jc w:val="center"/>
            <w:rPr>
              <w:rFonts w:ascii="Calibri" w:eastAsia="MS Gothic" w:hAnsi="Calibri"/>
              <w:bCs/>
              <w:kern w:val="0"/>
              <w:sz w:val="32"/>
              <w:szCs w:val="32"/>
              <w:lang w:eastAsia="en-US"/>
            </w:rPr>
          </w:pPr>
          <w:r w:rsidRPr="00655203">
            <w:rPr>
              <w:rFonts w:ascii="Calibri" w:eastAsia="MS Gothic" w:hAnsi="Calibri"/>
              <w:bCs/>
              <w:kern w:val="0"/>
              <w:sz w:val="32"/>
              <w:szCs w:val="32"/>
              <w:lang w:eastAsia="en-US"/>
            </w:rPr>
            <w:t>TABLE DES MATIÈRES</w:t>
          </w:r>
        </w:p>
        <w:p w14:paraId="53C647D7" w14:textId="77777777" w:rsidR="00655203" w:rsidRPr="007C2939" w:rsidRDefault="00730A01" w:rsidP="00774285">
          <w:pPr>
            <w:tabs>
              <w:tab w:val="right" w:pos="8931"/>
            </w:tabs>
            <w:spacing w:after="120" w:line="276" w:lineRule="auto"/>
            <w:contextualSpacing/>
            <w:rPr>
              <w:rFonts w:ascii="Cambria" w:eastAsia="MS Mincho" w:hAnsi="Cambria"/>
              <w:b/>
              <w:bCs/>
              <w:sz w:val="28"/>
              <w:szCs w:val="28"/>
              <w:lang w:eastAsia="en-US"/>
            </w:rPr>
          </w:pPr>
          <w:r w:rsidRPr="007C2939">
            <w:rPr>
              <w:rFonts w:ascii="Cambria" w:eastAsia="MS Mincho" w:hAnsi="Cambria"/>
              <w:b/>
              <w:bCs/>
              <w:sz w:val="28"/>
              <w:szCs w:val="28"/>
              <w:lang w:eastAsia="en-US"/>
            </w:rPr>
            <w:t>PARTIE 1</w:t>
          </w:r>
        </w:p>
        <w:p w14:paraId="78BEDE37" w14:textId="77777777" w:rsidR="00993AE4" w:rsidRDefault="00730A01" w:rsidP="00A437BA">
          <w:pPr>
            <w:tabs>
              <w:tab w:val="left" w:pos="2727"/>
              <w:tab w:val="right" w:pos="8931"/>
            </w:tabs>
            <w:spacing w:after="60"/>
            <w:rPr>
              <w:rFonts w:ascii="Cambria" w:eastAsia="MS Mincho" w:hAnsi="Cambria"/>
              <w:szCs w:val="24"/>
              <w:lang w:eastAsia="en-US"/>
            </w:rPr>
          </w:pPr>
          <w:r w:rsidRPr="00617232">
            <w:rPr>
              <w:rFonts w:ascii="Cambria" w:eastAsia="MS Mincho" w:hAnsi="Cambria"/>
              <w:b/>
              <w:bCs/>
              <w:szCs w:val="24"/>
              <w:lang w:eastAsia="en-US"/>
            </w:rPr>
            <w:t>L’APERÇ</w:t>
          </w:r>
          <w:r w:rsidR="003C7B2F">
            <w:rPr>
              <w:rFonts w:ascii="Cambria" w:eastAsia="MS Mincho" w:hAnsi="Cambria"/>
              <w:b/>
              <w:bCs/>
              <w:szCs w:val="24"/>
              <w:lang w:eastAsia="en-US"/>
            </w:rPr>
            <w:t>U</w:t>
          </w:r>
          <w:r w:rsidR="00EE5457">
            <w:rPr>
              <w:rFonts w:ascii="Cambria" w:eastAsia="MS Mincho" w:hAnsi="Cambria"/>
              <w:b/>
              <w:bCs/>
              <w:szCs w:val="24"/>
              <w:lang w:eastAsia="en-US"/>
            </w:rPr>
            <w:t xml:space="preserve"> </w:t>
          </w:r>
          <w:r w:rsidR="00742343" w:rsidRPr="00206177">
            <w:rPr>
              <w:rFonts w:ascii="Cambria" w:eastAsia="MS Mincho" w:hAnsi="Cambria"/>
              <w:szCs w:val="24"/>
              <w:u w:val="single"/>
              <w:lang w:eastAsia="en-US"/>
            </w:rPr>
            <w:tab/>
          </w:r>
          <w:r w:rsidR="00206177" w:rsidRPr="00206177">
            <w:rPr>
              <w:rFonts w:ascii="Cambria" w:eastAsia="MS Mincho" w:hAnsi="Cambria"/>
              <w:szCs w:val="24"/>
              <w:u w:val="single"/>
              <w:lang w:eastAsia="en-US"/>
            </w:rPr>
            <w:tab/>
          </w:r>
          <w:r w:rsidR="003F617F">
            <w:rPr>
              <w:rFonts w:ascii="Cambria" w:eastAsia="MS Mincho" w:hAnsi="Cambria"/>
              <w:szCs w:val="24"/>
              <w:lang w:eastAsia="en-US"/>
            </w:rPr>
            <w:t>8</w:t>
          </w:r>
        </w:p>
        <w:p w14:paraId="4D5FDF63" w14:textId="77777777" w:rsidR="00742343" w:rsidRPr="00D3414D" w:rsidRDefault="00730A01" w:rsidP="00A437BA">
          <w:pPr>
            <w:tabs>
              <w:tab w:val="right" w:pos="8931"/>
            </w:tabs>
            <w:spacing w:after="60"/>
            <w:rPr>
              <w:rFonts w:ascii="Cambria" w:eastAsia="MS Mincho" w:hAnsi="Cambria"/>
              <w:szCs w:val="24"/>
              <w:lang w:eastAsia="en-US"/>
            </w:rPr>
          </w:pPr>
          <w:r>
            <w:rPr>
              <w:rFonts w:ascii="Cambria" w:eastAsia="MS Mincho" w:hAnsi="Cambria"/>
              <w:b/>
              <w:bCs/>
              <w:szCs w:val="24"/>
              <w:lang w:eastAsia="en-US"/>
            </w:rPr>
            <w:t>LE</w:t>
          </w:r>
          <w:r w:rsidR="00655203" w:rsidRPr="00617232">
            <w:rPr>
              <w:rFonts w:ascii="Cambria" w:eastAsia="MS Mincho" w:hAnsi="Cambria"/>
              <w:b/>
              <w:bCs/>
              <w:szCs w:val="24"/>
              <w:lang w:eastAsia="en-US"/>
            </w:rPr>
            <w:t>S PARTIE</w:t>
          </w:r>
          <w:r w:rsidR="003C7B2F">
            <w:rPr>
              <w:rFonts w:ascii="Cambria" w:eastAsia="MS Mincho" w:hAnsi="Cambria"/>
              <w:b/>
              <w:bCs/>
              <w:szCs w:val="24"/>
              <w:lang w:eastAsia="en-US"/>
            </w:rPr>
            <w:t>S</w:t>
          </w:r>
          <w:r w:rsidR="00EE5457">
            <w:rPr>
              <w:rFonts w:ascii="Cambria" w:eastAsia="MS Mincho" w:hAnsi="Cambria"/>
              <w:b/>
              <w:bCs/>
              <w:szCs w:val="24"/>
              <w:lang w:eastAsia="en-US"/>
            </w:rPr>
            <w:t xml:space="preserve"> </w:t>
          </w:r>
          <w:r w:rsidR="00D3414D" w:rsidRPr="00206177">
            <w:rPr>
              <w:rFonts w:ascii="Cambria" w:eastAsia="MS Mincho" w:hAnsi="Cambria"/>
              <w:szCs w:val="24"/>
              <w:u w:val="single"/>
              <w:lang w:eastAsia="en-US"/>
            </w:rPr>
            <w:tab/>
          </w:r>
          <w:r w:rsidR="003F617F">
            <w:rPr>
              <w:rFonts w:ascii="Cambria" w:eastAsia="MS Mincho" w:hAnsi="Cambria"/>
              <w:szCs w:val="24"/>
              <w:lang w:eastAsia="en-US"/>
            </w:rPr>
            <w:t>9</w:t>
          </w:r>
        </w:p>
        <w:p w14:paraId="7209B918" w14:textId="77777777" w:rsidR="00742343" w:rsidRPr="00D3414D" w:rsidRDefault="00730A01" w:rsidP="0011672B">
          <w:pPr>
            <w:tabs>
              <w:tab w:val="right" w:pos="8931"/>
            </w:tabs>
            <w:rPr>
              <w:rFonts w:ascii="Cambria" w:eastAsia="MS Mincho" w:hAnsi="Cambria"/>
              <w:szCs w:val="24"/>
              <w:lang w:eastAsia="en-US"/>
            </w:rPr>
          </w:pPr>
          <w:r w:rsidRPr="00617232">
            <w:rPr>
              <w:rFonts w:ascii="Cambria" w:eastAsia="MS Mincho" w:hAnsi="Cambria"/>
              <w:b/>
              <w:bCs/>
              <w:szCs w:val="24"/>
              <w:lang w:eastAsia="en-US"/>
            </w:rPr>
            <w:t>LE</w:t>
          </w:r>
          <w:r w:rsidR="00B3403F">
            <w:rPr>
              <w:rFonts w:ascii="Cambria" w:eastAsia="MS Mincho" w:hAnsi="Cambria"/>
              <w:b/>
              <w:bCs/>
              <w:szCs w:val="24"/>
              <w:lang w:eastAsia="en-US"/>
            </w:rPr>
            <w:t xml:space="preserve"> </w:t>
          </w:r>
          <w:r w:rsidRPr="00617232">
            <w:rPr>
              <w:rFonts w:ascii="Cambria" w:eastAsia="MS Mincho" w:hAnsi="Cambria"/>
              <w:b/>
              <w:bCs/>
              <w:szCs w:val="24"/>
              <w:lang w:eastAsia="en-US"/>
            </w:rPr>
            <w:t>CONT</w:t>
          </w:r>
          <w:r w:rsidR="002129C3">
            <w:rPr>
              <w:rFonts w:ascii="Cambria" w:eastAsia="MS Mincho" w:hAnsi="Cambria"/>
              <w:b/>
              <w:bCs/>
              <w:szCs w:val="24"/>
              <w:lang w:eastAsia="en-US"/>
            </w:rPr>
            <w:t>EX</w:t>
          </w:r>
          <w:r w:rsidR="00B3403F">
            <w:rPr>
              <w:rFonts w:ascii="Cambria" w:eastAsia="MS Mincho" w:hAnsi="Cambria"/>
              <w:b/>
              <w:bCs/>
              <w:szCs w:val="24"/>
              <w:lang w:eastAsia="en-US"/>
            </w:rPr>
            <w:t>TE</w:t>
          </w:r>
          <w:r w:rsidR="00EE5457">
            <w:rPr>
              <w:rFonts w:ascii="Cambria" w:eastAsia="MS Mincho" w:hAnsi="Cambria"/>
              <w:b/>
              <w:bCs/>
              <w:szCs w:val="24"/>
              <w:lang w:eastAsia="en-US"/>
            </w:rPr>
            <w:t xml:space="preserve"> </w:t>
          </w:r>
          <w:r w:rsidR="00D3414D" w:rsidRPr="00E35740">
            <w:rPr>
              <w:rFonts w:ascii="Cambria" w:eastAsia="MS Mincho" w:hAnsi="Cambria"/>
              <w:szCs w:val="24"/>
              <w:u w:val="single"/>
              <w:lang w:eastAsia="en-US"/>
            </w:rPr>
            <w:tab/>
          </w:r>
          <w:r w:rsidR="00D3414D">
            <w:rPr>
              <w:rFonts w:ascii="Cambria" w:eastAsia="MS Mincho" w:hAnsi="Cambria"/>
              <w:szCs w:val="24"/>
              <w:lang w:eastAsia="en-US"/>
            </w:rPr>
            <w:t>1</w:t>
          </w:r>
          <w:r w:rsidR="003F617F">
            <w:rPr>
              <w:rFonts w:ascii="Cambria" w:eastAsia="MS Mincho" w:hAnsi="Cambria"/>
              <w:szCs w:val="24"/>
              <w:lang w:eastAsia="en-US"/>
            </w:rPr>
            <w:t>0</w:t>
          </w:r>
        </w:p>
        <w:p w14:paraId="7A0ECFA4" w14:textId="77777777" w:rsidR="00742343" w:rsidRPr="00D3414D" w:rsidRDefault="00730A01" w:rsidP="00993AE4">
          <w:pPr>
            <w:tabs>
              <w:tab w:val="right" w:pos="8931"/>
            </w:tabs>
            <w:rPr>
              <w:rFonts w:ascii="Cambria" w:eastAsia="MS Mincho" w:hAnsi="Cambria"/>
              <w:szCs w:val="24"/>
              <w:lang w:eastAsia="en-US"/>
            </w:rPr>
          </w:pPr>
          <w:r w:rsidRPr="00ED3969">
            <w:rPr>
              <w:rFonts w:ascii="Cambria" w:eastAsia="MS Mincho" w:hAnsi="Cambria"/>
              <w:b/>
              <w:bCs/>
              <w:i/>
              <w:iCs/>
              <w:szCs w:val="24"/>
              <w:lang w:eastAsia="en-US"/>
            </w:rPr>
            <w:t>Historique factuel</w:t>
          </w:r>
          <w:r w:rsidR="00EE5457">
            <w:rPr>
              <w:rFonts w:ascii="Cambria" w:eastAsia="MS Mincho" w:hAnsi="Cambria"/>
              <w:b/>
              <w:bCs/>
              <w:i/>
              <w:iCs/>
              <w:szCs w:val="24"/>
              <w:lang w:eastAsia="en-US"/>
            </w:rPr>
            <w:t xml:space="preserve"> </w:t>
          </w:r>
          <w:r w:rsidR="00D3414D" w:rsidRPr="00E35740">
            <w:rPr>
              <w:rFonts w:ascii="Cambria" w:eastAsia="MS Mincho" w:hAnsi="Cambria"/>
              <w:i/>
              <w:iCs/>
              <w:szCs w:val="24"/>
              <w:u w:val="single"/>
              <w:lang w:eastAsia="en-US"/>
            </w:rPr>
            <w:tab/>
          </w:r>
          <w:r w:rsidR="00D3414D">
            <w:rPr>
              <w:rFonts w:ascii="Cambria" w:eastAsia="MS Mincho" w:hAnsi="Cambria"/>
              <w:szCs w:val="24"/>
              <w:lang w:eastAsia="en-US"/>
            </w:rPr>
            <w:t>1</w:t>
          </w:r>
          <w:r w:rsidR="003F617F">
            <w:rPr>
              <w:rFonts w:ascii="Cambria" w:eastAsia="MS Mincho" w:hAnsi="Cambria"/>
              <w:szCs w:val="24"/>
              <w:lang w:eastAsia="en-US"/>
            </w:rPr>
            <w:t>0</w:t>
          </w:r>
        </w:p>
        <w:p w14:paraId="2540C595" w14:textId="77777777" w:rsidR="00742343" w:rsidRPr="00DC2679" w:rsidRDefault="00730A01" w:rsidP="00DA3BCC">
          <w:pPr>
            <w:pStyle w:val="Paragraphedeliste"/>
            <w:numPr>
              <w:ilvl w:val="0"/>
              <w:numId w:val="154"/>
            </w:numPr>
            <w:tabs>
              <w:tab w:val="right" w:pos="8931"/>
            </w:tabs>
            <w:ind w:left="567" w:hanging="283"/>
            <w:rPr>
              <w:rFonts w:ascii="Cambria" w:eastAsia="MS Mincho" w:hAnsi="Cambria"/>
              <w:i/>
              <w:iCs/>
              <w:sz w:val="22"/>
              <w:szCs w:val="22"/>
              <w:lang w:eastAsia="en-US"/>
            </w:rPr>
          </w:pPr>
          <w:r>
            <w:rPr>
              <w:rFonts w:ascii="Cambria" w:eastAsia="MS Mincho" w:hAnsi="Cambria"/>
              <w:i/>
              <w:iCs/>
              <w:sz w:val="22"/>
              <w:szCs w:val="22"/>
              <w:lang w:eastAsia="en-US"/>
            </w:rPr>
            <w:t xml:space="preserve"> </w:t>
          </w:r>
          <w:r w:rsidR="002129C3" w:rsidRPr="00DC2679">
            <w:rPr>
              <w:rFonts w:ascii="Cambria" w:eastAsia="MS Mincho" w:hAnsi="Cambria"/>
              <w:i/>
              <w:iCs/>
              <w:sz w:val="22"/>
              <w:szCs w:val="22"/>
              <w:lang w:eastAsia="en-US"/>
            </w:rPr>
            <w:t xml:space="preserve">La </w:t>
          </w:r>
          <w:r w:rsidR="00655203" w:rsidRPr="00DC2679">
            <w:rPr>
              <w:rFonts w:ascii="Cambria" w:eastAsia="MS Mincho" w:hAnsi="Cambria"/>
              <w:i/>
              <w:iCs/>
              <w:sz w:val="22"/>
              <w:szCs w:val="22"/>
              <w:lang w:eastAsia="en-US"/>
            </w:rPr>
            <w:t>constitution et l’objet de FIISH</w:t>
          </w:r>
          <w:r w:rsidR="00EE5457" w:rsidRPr="00DC2679">
            <w:rPr>
              <w:rFonts w:ascii="Cambria" w:eastAsia="MS Mincho" w:hAnsi="Cambria"/>
              <w:i/>
              <w:iCs/>
              <w:sz w:val="22"/>
              <w:szCs w:val="22"/>
              <w:lang w:eastAsia="en-US"/>
            </w:rPr>
            <w:t xml:space="preserve"> </w:t>
          </w:r>
          <w:r w:rsidR="00D3414D" w:rsidRPr="00C940A7">
            <w:rPr>
              <w:rFonts w:ascii="Cambria" w:eastAsia="MS Mincho" w:hAnsi="Cambria"/>
              <w:i/>
              <w:iCs/>
              <w:sz w:val="22"/>
              <w:szCs w:val="22"/>
              <w:u w:val="single"/>
              <w:lang w:eastAsia="en-US"/>
            </w:rPr>
            <w:tab/>
          </w:r>
          <w:r w:rsidR="00D3414D" w:rsidRPr="00C940A7">
            <w:rPr>
              <w:rFonts w:ascii="Cambria" w:eastAsia="MS Mincho" w:hAnsi="Cambria"/>
              <w:szCs w:val="24"/>
              <w:lang w:eastAsia="en-US"/>
            </w:rPr>
            <w:t>1</w:t>
          </w:r>
          <w:r w:rsidR="003F617F" w:rsidRPr="00C940A7">
            <w:rPr>
              <w:rFonts w:ascii="Cambria" w:eastAsia="MS Mincho" w:hAnsi="Cambria"/>
              <w:szCs w:val="24"/>
              <w:lang w:eastAsia="en-US"/>
            </w:rPr>
            <w:t>1</w:t>
          </w:r>
        </w:p>
        <w:p w14:paraId="40E8BA79" w14:textId="77777777" w:rsidR="00993AE4" w:rsidRPr="00C940A7" w:rsidRDefault="00730A01" w:rsidP="00A437BA">
          <w:pPr>
            <w:pStyle w:val="Paragraphedeliste"/>
            <w:numPr>
              <w:ilvl w:val="0"/>
              <w:numId w:val="154"/>
            </w:numPr>
            <w:tabs>
              <w:tab w:val="right" w:pos="8931"/>
            </w:tabs>
            <w:spacing w:after="60"/>
            <w:ind w:left="568" w:hanging="284"/>
            <w:rPr>
              <w:rFonts w:ascii="Cambria" w:eastAsia="MS Mincho" w:hAnsi="Cambria"/>
              <w:i/>
              <w:iCs/>
              <w:sz w:val="22"/>
              <w:szCs w:val="22"/>
              <w:lang w:eastAsia="en-US"/>
            </w:rPr>
          </w:pPr>
          <w:r w:rsidRPr="00C940A7">
            <w:rPr>
              <w:rFonts w:ascii="Cambria" w:eastAsia="MS Mincho" w:hAnsi="Cambria"/>
              <w:i/>
              <w:iCs/>
              <w:sz w:val="22"/>
              <w:szCs w:val="22"/>
              <w:lang w:eastAsia="en-US"/>
            </w:rPr>
            <w:t xml:space="preserve">La </w:t>
          </w:r>
          <w:r w:rsidR="00655203" w:rsidRPr="00C940A7">
            <w:rPr>
              <w:rFonts w:ascii="Cambria" w:eastAsia="MS Mincho" w:hAnsi="Cambria"/>
              <w:i/>
              <w:iCs/>
              <w:sz w:val="22"/>
              <w:szCs w:val="22"/>
              <w:lang w:eastAsia="en-US"/>
            </w:rPr>
            <w:t>constitution et l’objet du Fonds Q-</w:t>
          </w:r>
          <w:r w:rsidR="00C01A28" w:rsidRPr="00C940A7">
            <w:rPr>
              <w:rFonts w:ascii="Cambria" w:eastAsia="MS Mincho" w:hAnsi="Cambria"/>
              <w:i/>
              <w:iCs/>
              <w:sz w:val="22"/>
              <w:szCs w:val="22"/>
              <w:lang w:eastAsia="en-US"/>
            </w:rPr>
            <w:t>12</w:t>
          </w:r>
          <w:r w:rsidR="00EE5457" w:rsidRPr="00C940A7">
            <w:rPr>
              <w:rFonts w:ascii="Cambria" w:eastAsia="MS Mincho" w:hAnsi="Cambria"/>
              <w:i/>
              <w:iCs/>
              <w:sz w:val="22"/>
              <w:szCs w:val="22"/>
              <w:lang w:eastAsia="en-US"/>
            </w:rPr>
            <w:t xml:space="preserve"> </w:t>
          </w:r>
          <w:r w:rsidR="00D3414D" w:rsidRPr="00DA3BCC">
            <w:rPr>
              <w:rFonts w:ascii="Cambria" w:eastAsia="MS Mincho" w:hAnsi="Cambria"/>
              <w:i/>
              <w:iCs/>
              <w:sz w:val="22"/>
              <w:szCs w:val="22"/>
              <w:u w:val="single"/>
              <w:lang w:eastAsia="en-US"/>
            </w:rPr>
            <w:tab/>
          </w:r>
          <w:r w:rsidR="00D3414D" w:rsidRPr="0011672B">
            <w:rPr>
              <w:rFonts w:ascii="Cambria" w:eastAsia="MS Mincho" w:hAnsi="Cambria"/>
              <w:szCs w:val="24"/>
              <w:lang w:eastAsia="en-US"/>
            </w:rPr>
            <w:t>1</w:t>
          </w:r>
          <w:r w:rsidR="003F617F" w:rsidRPr="0011672B">
            <w:rPr>
              <w:rFonts w:ascii="Cambria" w:eastAsia="MS Mincho" w:hAnsi="Cambria"/>
              <w:szCs w:val="24"/>
              <w:lang w:eastAsia="en-US"/>
            </w:rPr>
            <w:t>2</w:t>
          </w:r>
        </w:p>
        <w:p w14:paraId="3B468987" w14:textId="77777777" w:rsidR="00ED3969" w:rsidRPr="00993AE4" w:rsidRDefault="00730A01" w:rsidP="00A437BA">
          <w:pPr>
            <w:tabs>
              <w:tab w:val="right" w:pos="8931"/>
            </w:tabs>
            <w:rPr>
              <w:rFonts w:ascii="Cambria" w:eastAsia="MS Mincho" w:hAnsi="Cambria"/>
              <w:i/>
              <w:iCs/>
              <w:sz w:val="22"/>
              <w:szCs w:val="22"/>
              <w:lang w:eastAsia="en-US"/>
            </w:rPr>
          </w:pPr>
          <w:r w:rsidRPr="00AA2817">
            <w:rPr>
              <w:rFonts w:ascii="Cambria" w:eastAsia="MS Mincho" w:hAnsi="Cambria"/>
              <w:b/>
              <w:bCs/>
              <w:szCs w:val="24"/>
              <w:lang w:eastAsia="en-US"/>
            </w:rPr>
            <w:t>L</w:t>
          </w:r>
          <w:r w:rsidR="00655203" w:rsidRPr="00993AE4">
            <w:rPr>
              <w:rFonts w:ascii="Cambria" w:eastAsia="MS Mincho" w:hAnsi="Cambria"/>
              <w:b/>
              <w:bCs/>
              <w:szCs w:val="24"/>
              <w:lang w:eastAsia="en-US"/>
            </w:rPr>
            <w:t>A POSITION DES PARTIE</w:t>
          </w:r>
          <w:r w:rsidR="008E161C" w:rsidRPr="00993AE4">
            <w:rPr>
              <w:rFonts w:ascii="Cambria" w:eastAsia="MS Mincho" w:hAnsi="Cambria"/>
              <w:b/>
              <w:bCs/>
              <w:szCs w:val="24"/>
              <w:lang w:eastAsia="en-US"/>
            </w:rPr>
            <w:t>S</w:t>
          </w:r>
          <w:r w:rsidR="00EE5457">
            <w:rPr>
              <w:rFonts w:ascii="Cambria" w:eastAsia="MS Mincho" w:hAnsi="Cambria"/>
              <w:b/>
              <w:bCs/>
              <w:szCs w:val="24"/>
              <w:lang w:eastAsia="en-US"/>
            </w:rPr>
            <w:t xml:space="preserve"> </w:t>
          </w:r>
          <w:r w:rsidR="00D3414D" w:rsidRPr="00E35740">
            <w:rPr>
              <w:rFonts w:ascii="Cambria" w:eastAsia="MS Mincho" w:hAnsi="Cambria"/>
              <w:szCs w:val="24"/>
              <w:u w:val="single"/>
              <w:lang w:eastAsia="en-US"/>
            </w:rPr>
            <w:tab/>
          </w:r>
          <w:r w:rsidR="00D3414D" w:rsidRPr="00993AE4">
            <w:rPr>
              <w:rFonts w:ascii="Cambria" w:eastAsia="MS Mincho" w:hAnsi="Cambria"/>
              <w:szCs w:val="24"/>
              <w:lang w:eastAsia="en-US"/>
            </w:rPr>
            <w:t>1</w:t>
          </w:r>
          <w:r w:rsidR="003F617F">
            <w:rPr>
              <w:rFonts w:ascii="Cambria" w:eastAsia="MS Mincho" w:hAnsi="Cambria"/>
              <w:szCs w:val="24"/>
              <w:lang w:eastAsia="en-US"/>
            </w:rPr>
            <w:t>4</w:t>
          </w:r>
        </w:p>
        <w:p w14:paraId="1C16C428" w14:textId="77777777" w:rsidR="00ED3969" w:rsidRPr="00D3414D"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A) La position des Deman</w:t>
          </w:r>
          <w:r w:rsidR="00B3403F">
            <w:rPr>
              <w:rFonts w:ascii="Cambria" w:eastAsia="MS Mincho" w:hAnsi="Cambria"/>
              <w:sz w:val="22"/>
              <w:szCs w:val="22"/>
              <w:lang w:eastAsia="en-US"/>
            </w:rPr>
            <w:t>deurs</w:t>
          </w:r>
          <w:r w:rsidR="00EE5457">
            <w:rPr>
              <w:rFonts w:ascii="Cambria" w:eastAsia="MS Mincho" w:hAnsi="Cambria"/>
              <w:sz w:val="22"/>
              <w:szCs w:val="22"/>
              <w:lang w:eastAsia="en-US"/>
            </w:rPr>
            <w:t xml:space="preserve"> </w:t>
          </w:r>
          <w:r w:rsidR="00D3414D" w:rsidRPr="00E35740">
            <w:rPr>
              <w:rFonts w:ascii="Cambria" w:eastAsia="MS Mincho" w:hAnsi="Cambria"/>
              <w:szCs w:val="24"/>
              <w:u w:val="single"/>
              <w:lang w:eastAsia="en-US"/>
            </w:rPr>
            <w:tab/>
          </w:r>
          <w:r w:rsidR="00D3414D">
            <w:rPr>
              <w:rFonts w:ascii="Cambria" w:eastAsia="MS Mincho" w:hAnsi="Cambria"/>
              <w:szCs w:val="24"/>
              <w:lang w:eastAsia="en-US"/>
            </w:rPr>
            <w:t>1</w:t>
          </w:r>
          <w:r w:rsidR="003F617F">
            <w:rPr>
              <w:rFonts w:ascii="Cambria" w:eastAsia="MS Mincho" w:hAnsi="Cambria"/>
              <w:szCs w:val="24"/>
              <w:lang w:eastAsia="en-US"/>
            </w:rPr>
            <w:t>4</w:t>
          </w:r>
        </w:p>
        <w:p w14:paraId="306FEA47" w14:textId="77777777" w:rsidR="00655203" w:rsidRPr="00D3414D" w:rsidRDefault="00730A01" w:rsidP="00E304E8">
          <w:pPr>
            <w:tabs>
              <w:tab w:val="right" w:pos="8931"/>
            </w:tabs>
            <w:spacing w:after="60"/>
            <w:ind w:left="142"/>
            <w:rPr>
              <w:rFonts w:ascii="Cambria" w:eastAsia="MS Mincho" w:hAnsi="Cambria"/>
              <w:szCs w:val="24"/>
              <w:lang w:eastAsia="en-US"/>
            </w:rPr>
          </w:pPr>
          <w:r>
            <w:rPr>
              <w:rFonts w:ascii="Cambria" w:eastAsia="MS Mincho" w:hAnsi="Cambria"/>
              <w:sz w:val="22"/>
              <w:szCs w:val="22"/>
              <w:lang w:eastAsia="en-US"/>
            </w:rPr>
            <w:t>B)</w:t>
          </w:r>
          <w:r w:rsidRPr="00655203">
            <w:rPr>
              <w:rFonts w:ascii="Cambria" w:eastAsia="MS Mincho" w:hAnsi="Cambria"/>
              <w:sz w:val="22"/>
              <w:szCs w:val="22"/>
              <w:lang w:eastAsia="en-US"/>
            </w:rPr>
            <w:t xml:space="preserve"> La position des Défendeurs</w:t>
          </w:r>
          <w:r w:rsidR="00EE5457">
            <w:rPr>
              <w:rFonts w:ascii="Cambria" w:eastAsia="MS Mincho" w:hAnsi="Cambria"/>
              <w:sz w:val="22"/>
              <w:szCs w:val="22"/>
              <w:lang w:eastAsia="en-US"/>
            </w:rPr>
            <w:t xml:space="preserve"> </w:t>
          </w:r>
          <w:r w:rsidR="00D3414D" w:rsidRPr="00E35740">
            <w:rPr>
              <w:rFonts w:ascii="Cambria" w:eastAsia="MS Mincho" w:hAnsi="Cambria"/>
              <w:sz w:val="22"/>
              <w:szCs w:val="22"/>
              <w:u w:val="single"/>
              <w:lang w:eastAsia="en-US"/>
            </w:rPr>
            <w:tab/>
          </w:r>
          <w:r w:rsidR="00D3414D">
            <w:rPr>
              <w:rFonts w:ascii="Cambria" w:eastAsia="MS Mincho" w:hAnsi="Cambria"/>
              <w:szCs w:val="24"/>
              <w:lang w:eastAsia="en-US"/>
            </w:rPr>
            <w:t>1</w:t>
          </w:r>
          <w:r w:rsidR="00FB615A">
            <w:rPr>
              <w:rFonts w:ascii="Cambria" w:eastAsia="MS Mincho" w:hAnsi="Cambria"/>
              <w:szCs w:val="24"/>
              <w:lang w:eastAsia="en-US"/>
            </w:rPr>
            <w:t>4</w:t>
          </w:r>
        </w:p>
        <w:p w14:paraId="507B8507" w14:textId="77777777" w:rsidR="00655203" w:rsidRPr="00D3414D" w:rsidRDefault="00730A01" w:rsidP="007C2939">
          <w:pPr>
            <w:tabs>
              <w:tab w:val="right" w:pos="8931"/>
            </w:tabs>
            <w:spacing w:after="120"/>
            <w:rPr>
              <w:rFonts w:ascii="Cambria" w:eastAsia="MS Mincho" w:hAnsi="Cambria"/>
              <w:szCs w:val="24"/>
              <w:lang w:eastAsia="en-US"/>
            </w:rPr>
          </w:pPr>
          <w:r w:rsidRPr="00655203">
            <w:rPr>
              <w:rFonts w:ascii="Cambria" w:eastAsia="MS Mincho" w:hAnsi="Cambria"/>
              <w:b/>
              <w:bCs/>
              <w:szCs w:val="24"/>
              <w:lang w:eastAsia="en-US"/>
            </w:rPr>
            <w:t>LES QUESTIONS EN LITIGE</w:t>
          </w:r>
          <w:r w:rsidR="00EE5457">
            <w:rPr>
              <w:rFonts w:ascii="Cambria" w:eastAsia="MS Mincho" w:hAnsi="Cambria"/>
              <w:b/>
              <w:bCs/>
              <w:szCs w:val="24"/>
              <w:lang w:eastAsia="en-US"/>
            </w:rPr>
            <w:t xml:space="preserve"> </w:t>
          </w:r>
          <w:r w:rsidR="00D3414D" w:rsidRPr="00E35740">
            <w:rPr>
              <w:rFonts w:ascii="Cambria" w:eastAsia="MS Mincho" w:hAnsi="Cambria"/>
              <w:sz w:val="20"/>
              <w:u w:val="single"/>
              <w:lang w:eastAsia="en-US"/>
            </w:rPr>
            <w:tab/>
          </w:r>
          <w:r w:rsidR="00D3414D">
            <w:rPr>
              <w:rFonts w:ascii="Cambria" w:eastAsia="MS Mincho" w:hAnsi="Cambria"/>
              <w:szCs w:val="24"/>
              <w:lang w:eastAsia="en-US"/>
            </w:rPr>
            <w:t>1</w:t>
          </w:r>
          <w:r w:rsidR="003F617F">
            <w:rPr>
              <w:rFonts w:ascii="Cambria" w:eastAsia="MS Mincho" w:hAnsi="Cambria"/>
              <w:szCs w:val="24"/>
              <w:lang w:eastAsia="en-US"/>
            </w:rPr>
            <w:t>6</w:t>
          </w:r>
        </w:p>
        <w:p w14:paraId="2DAB3237" w14:textId="77777777" w:rsidR="00A51375" w:rsidRPr="00A51375" w:rsidRDefault="00730A01" w:rsidP="007C2939">
          <w:pPr>
            <w:tabs>
              <w:tab w:val="left" w:pos="3686"/>
              <w:tab w:val="right" w:pos="8931"/>
            </w:tabs>
            <w:contextualSpacing/>
            <w:rPr>
              <w:rFonts w:ascii="Cambria" w:eastAsia="MS Mincho" w:hAnsi="Cambria"/>
              <w:sz w:val="28"/>
              <w:szCs w:val="28"/>
              <w:lang w:eastAsia="en-US"/>
            </w:rPr>
          </w:pPr>
          <w:r>
            <w:rPr>
              <w:rFonts w:ascii="Cambria" w:eastAsia="MS Mincho" w:hAnsi="Cambria"/>
              <w:b/>
              <w:bCs/>
              <w:sz w:val="28"/>
              <w:szCs w:val="28"/>
              <w:lang w:eastAsia="en-US"/>
            </w:rPr>
            <w:tab/>
          </w:r>
          <w:r w:rsidRPr="00A51375">
            <w:rPr>
              <w:rFonts w:ascii="Cambria" w:eastAsia="MS Mincho" w:hAnsi="Cambria"/>
              <w:sz w:val="28"/>
              <w:szCs w:val="28"/>
              <w:lang w:eastAsia="en-US"/>
            </w:rPr>
            <w:t>* * *</w:t>
          </w:r>
        </w:p>
        <w:p w14:paraId="1BB22533" w14:textId="77777777" w:rsidR="00655203" w:rsidRPr="007C2939" w:rsidRDefault="00730A01" w:rsidP="00774285">
          <w:pPr>
            <w:tabs>
              <w:tab w:val="right" w:pos="8931"/>
            </w:tabs>
            <w:spacing w:after="120"/>
            <w:rPr>
              <w:rFonts w:ascii="Cambria" w:eastAsia="MS Mincho" w:hAnsi="Cambria"/>
              <w:b/>
              <w:bCs/>
              <w:sz w:val="28"/>
              <w:szCs w:val="28"/>
              <w:lang w:eastAsia="en-US"/>
            </w:rPr>
          </w:pPr>
          <w:r w:rsidRPr="007C2939">
            <w:rPr>
              <w:rFonts w:ascii="Cambria" w:eastAsia="MS Mincho" w:hAnsi="Cambria"/>
              <w:b/>
              <w:bCs/>
              <w:sz w:val="28"/>
              <w:szCs w:val="28"/>
              <w:lang w:eastAsia="en-US"/>
            </w:rPr>
            <w:t>PARTIE 2</w:t>
          </w:r>
        </w:p>
        <w:p w14:paraId="1C49D85E" w14:textId="77777777" w:rsidR="00B3403F" w:rsidRDefault="00730A01" w:rsidP="00A437BA">
          <w:pPr>
            <w:tabs>
              <w:tab w:val="right" w:pos="8931"/>
            </w:tabs>
            <w:spacing w:after="60"/>
            <w:contextualSpacing/>
            <w:rPr>
              <w:rFonts w:ascii="Cambria" w:eastAsia="MS Mincho" w:hAnsi="Cambria"/>
              <w:szCs w:val="24"/>
              <w:lang w:eastAsia="en-US"/>
            </w:rPr>
          </w:pPr>
          <w:r w:rsidRPr="00B3403F">
            <w:rPr>
              <w:rFonts w:ascii="Cambria" w:eastAsia="MS Mincho" w:hAnsi="Cambria"/>
              <w:b/>
              <w:bCs/>
              <w:szCs w:val="24"/>
              <w:lang w:eastAsia="en-US"/>
            </w:rPr>
            <w:t>L’ANALYSE</w:t>
          </w:r>
          <w:r w:rsidR="007C4EF4">
            <w:rPr>
              <w:rFonts w:ascii="Cambria" w:eastAsia="MS Mincho" w:hAnsi="Cambria"/>
              <w:b/>
              <w:bCs/>
              <w:szCs w:val="24"/>
              <w:lang w:eastAsia="en-US"/>
            </w:rPr>
            <w:t xml:space="preserve"> </w:t>
          </w:r>
          <w:r w:rsidR="00514919" w:rsidRPr="007C4EF4">
            <w:rPr>
              <w:rFonts w:ascii="Cambria" w:eastAsia="MS Mincho" w:hAnsi="Cambria"/>
              <w:szCs w:val="24"/>
              <w:u w:val="single"/>
              <w:lang w:eastAsia="en-US"/>
            </w:rPr>
            <w:tab/>
          </w:r>
          <w:r w:rsidR="00514919">
            <w:rPr>
              <w:rFonts w:ascii="Cambria" w:eastAsia="MS Mincho" w:hAnsi="Cambria"/>
              <w:szCs w:val="24"/>
              <w:lang w:eastAsia="en-US"/>
            </w:rPr>
            <w:t>1</w:t>
          </w:r>
          <w:r w:rsidR="003F617F">
            <w:rPr>
              <w:rFonts w:ascii="Cambria" w:eastAsia="MS Mincho" w:hAnsi="Cambria"/>
              <w:szCs w:val="24"/>
              <w:lang w:eastAsia="en-US"/>
            </w:rPr>
            <w:t>7</w:t>
          </w:r>
        </w:p>
        <w:p w14:paraId="57FE4286" w14:textId="77777777" w:rsidR="004274FB" w:rsidRPr="004274FB" w:rsidRDefault="00730A01" w:rsidP="00A437BA">
          <w:pPr>
            <w:tabs>
              <w:tab w:val="right" w:pos="8931"/>
            </w:tabs>
            <w:spacing w:after="60"/>
            <w:rPr>
              <w:rFonts w:ascii="Cambria" w:eastAsia="MS Mincho" w:hAnsi="Cambria"/>
              <w:szCs w:val="24"/>
              <w:lang w:eastAsia="en-US"/>
            </w:rPr>
          </w:pPr>
          <w:r w:rsidRPr="004274FB">
            <w:rPr>
              <w:rFonts w:ascii="Cambria" w:eastAsia="MS Mincho" w:hAnsi="Cambria"/>
              <w:b/>
              <w:bCs/>
              <w:sz w:val="22"/>
              <w:szCs w:val="22"/>
              <w:lang w:eastAsia="en-US"/>
            </w:rPr>
            <w:t>1. La recevabilité du recours des Demandeurs</w:t>
          </w:r>
          <w:r w:rsidRPr="004274FB">
            <w:rPr>
              <w:rFonts w:ascii="Cambria" w:eastAsia="MS Mincho" w:hAnsi="Cambria"/>
              <w:szCs w:val="24"/>
              <w:lang w:eastAsia="en-US"/>
            </w:rPr>
            <w:t xml:space="preserve"> </w:t>
          </w:r>
          <w:r w:rsidRPr="004274FB">
            <w:rPr>
              <w:rFonts w:ascii="Cambria" w:eastAsia="MS Mincho" w:hAnsi="Cambria"/>
              <w:szCs w:val="24"/>
              <w:u w:val="single"/>
              <w:lang w:eastAsia="en-US"/>
            </w:rPr>
            <w:tab/>
          </w:r>
          <w:r w:rsidRPr="004274FB">
            <w:rPr>
              <w:rFonts w:ascii="Cambria" w:eastAsia="MS Mincho" w:hAnsi="Cambria"/>
              <w:szCs w:val="24"/>
              <w:lang w:eastAsia="en-US"/>
            </w:rPr>
            <w:t>17</w:t>
          </w:r>
        </w:p>
        <w:p w14:paraId="504AE73F" w14:textId="77777777" w:rsidR="004274FB" w:rsidRPr="004274FB" w:rsidRDefault="00730A01" w:rsidP="0011672B">
          <w:pPr>
            <w:tabs>
              <w:tab w:val="right" w:pos="8931"/>
            </w:tabs>
            <w:rPr>
              <w:rFonts w:ascii="Cambria" w:eastAsia="MS Mincho" w:hAnsi="Cambria"/>
              <w:szCs w:val="24"/>
              <w:lang w:eastAsia="en-US"/>
            </w:rPr>
          </w:pPr>
          <w:r w:rsidRPr="004274FB">
            <w:rPr>
              <w:rFonts w:ascii="Cambria" w:eastAsia="MS Mincho" w:hAnsi="Cambria"/>
              <w:b/>
              <w:bCs/>
              <w:sz w:val="22"/>
              <w:szCs w:val="22"/>
              <w:lang w:eastAsia="en-US"/>
            </w:rPr>
            <w:t>2. Qu’en est-il des incidents procéduraux</w:t>
          </w:r>
          <w:r w:rsidRPr="004274FB">
            <w:rPr>
              <w:rFonts w:ascii="Cambria" w:eastAsia="MS Mincho" w:hAnsi="Cambria"/>
              <w:szCs w:val="24"/>
              <w:lang w:eastAsia="en-US"/>
            </w:rPr>
            <w:t xml:space="preserve"> </w:t>
          </w:r>
          <w:r w:rsidRPr="004274FB">
            <w:rPr>
              <w:rFonts w:ascii="Cambria" w:eastAsia="MS Mincho" w:hAnsi="Cambria"/>
              <w:szCs w:val="24"/>
              <w:u w:val="single"/>
              <w:lang w:eastAsia="en-US"/>
            </w:rPr>
            <w:tab/>
          </w:r>
          <w:r w:rsidRPr="004274FB">
            <w:rPr>
              <w:rFonts w:ascii="Cambria" w:eastAsia="MS Mincho" w:hAnsi="Cambria"/>
              <w:szCs w:val="24"/>
              <w:lang w:eastAsia="en-US"/>
            </w:rPr>
            <w:t>1</w:t>
          </w:r>
          <w:r w:rsidR="00FB615A">
            <w:rPr>
              <w:rFonts w:ascii="Cambria" w:eastAsia="MS Mincho" w:hAnsi="Cambria"/>
              <w:szCs w:val="24"/>
              <w:lang w:eastAsia="en-US"/>
            </w:rPr>
            <w:t>8</w:t>
          </w:r>
        </w:p>
        <w:p w14:paraId="64962A2F" w14:textId="77777777" w:rsidR="008D74F0" w:rsidRPr="00514919" w:rsidRDefault="00730A01" w:rsidP="00087CE6">
          <w:pPr>
            <w:tabs>
              <w:tab w:val="left" w:pos="142"/>
              <w:tab w:val="right" w:pos="8931"/>
            </w:tabs>
            <w:rPr>
              <w:rFonts w:ascii="Cambria" w:eastAsia="MS Mincho" w:hAnsi="Cambria"/>
              <w:szCs w:val="24"/>
              <w:lang w:eastAsia="en-US"/>
            </w:rPr>
          </w:pPr>
          <w:r>
            <w:rPr>
              <w:rFonts w:ascii="Cambria" w:eastAsia="MS Mincho" w:hAnsi="Cambria"/>
              <w:b/>
              <w:bCs/>
              <w:i/>
              <w:iCs/>
              <w:szCs w:val="24"/>
              <w:lang w:eastAsia="en-US"/>
            </w:rPr>
            <w:tab/>
          </w:r>
          <w:r w:rsidR="00B3403F" w:rsidRPr="006429E7">
            <w:rPr>
              <w:rFonts w:ascii="Cambria" w:eastAsia="MS Mincho" w:hAnsi="Cambria"/>
              <w:b/>
              <w:bCs/>
              <w:i/>
              <w:iCs/>
              <w:szCs w:val="24"/>
              <w:lang w:eastAsia="en-US"/>
            </w:rPr>
            <w:t xml:space="preserve">La rencontre du </w:t>
          </w:r>
          <w:r w:rsidR="00246A33" w:rsidRPr="006429E7">
            <w:rPr>
              <w:rFonts w:ascii="Cambria" w:eastAsia="MS Mincho" w:hAnsi="Cambria"/>
              <w:b/>
              <w:bCs/>
              <w:i/>
              <w:iCs/>
              <w:szCs w:val="24"/>
              <w:lang w:eastAsia="en-US"/>
            </w:rPr>
            <w:t>2</w:t>
          </w:r>
          <w:r w:rsidR="00514919" w:rsidRPr="006429E7">
            <w:rPr>
              <w:rFonts w:ascii="Cambria" w:eastAsia="MS Mincho" w:hAnsi="Cambria"/>
              <w:b/>
              <w:bCs/>
              <w:i/>
              <w:iCs/>
              <w:szCs w:val="24"/>
              <w:lang w:eastAsia="en-US"/>
            </w:rPr>
            <w:t xml:space="preserve"> </w:t>
          </w:r>
          <w:r w:rsidR="00246A33" w:rsidRPr="006429E7">
            <w:rPr>
              <w:rFonts w:ascii="Cambria" w:eastAsia="MS Mincho" w:hAnsi="Cambria"/>
              <w:b/>
              <w:bCs/>
              <w:i/>
              <w:iCs/>
              <w:szCs w:val="24"/>
              <w:lang w:eastAsia="en-US"/>
            </w:rPr>
            <w:t xml:space="preserve">mars </w:t>
          </w:r>
          <w:r w:rsidR="00655203" w:rsidRPr="006429E7">
            <w:rPr>
              <w:rFonts w:ascii="Cambria" w:eastAsia="MS Mincho" w:hAnsi="Cambria"/>
              <w:b/>
              <w:bCs/>
              <w:i/>
              <w:iCs/>
              <w:szCs w:val="24"/>
              <w:lang w:eastAsia="en-US"/>
            </w:rPr>
            <w:t>202</w:t>
          </w:r>
          <w:r w:rsidR="00246A33" w:rsidRPr="006429E7">
            <w:rPr>
              <w:rFonts w:ascii="Cambria" w:eastAsia="MS Mincho" w:hAnsi="Cambria"/>
              <w:b/>
              <w:bCs/>
              <w:i/>
              <w:iCs/>
              <w:szCs w:val="24"/>
              <w:lang w:eastAsia="en-US"/>
            </w:rPr>
            <w:t>2</w:t>
          </w:r>
          <w:r w:rsidR="007C4EF4">
            <w:rPr>
              <w:rFonts w:ascii="Cambria" w:eastAsia="MS Mincho" w:hAnsi="Cambria"/>
              <w:b/>
              <w:bCs/>
              <w:i/>
              <w:iCs/>
              <w:szCs w:val="24"/>
              <w:lang w:eastAsia="en-US"/>
            </w:rPr>
            <w:t xml:space="preserve"> </w:t>
          </w:r>
          <w:r w:rsidR="00514919" w:rsidRPr="007C4EF4">
            <w:rPr>
              <w:rFonts w:ascii="Cambria" w:eastAsia="MS Mincho" w:hAnsi="Cambria"/>
              <w:szCs w:val="24"/>
              <w:u w:val="single"/>
              <w:lang w:eastAsia="en-US"/>
            </w:rPr>
            <w:tab/>
          </w:r>
          <w:r w:rsidR="00514919">
            <w:rPr>
              <w:rFonts w:ascii="Cambria" w:eastAsia="MS Mincho" w:hAnsi="Cambria"/>
              <w:szCs w:val="24"/>
              <w:lang w:eastAsia="en-US"/>
            </w:rPr>
            <w:t>1</w:t>
          </w:r>
          <w:r w:rsidR="00FB615A">
            <w:rPr>
              <w:rFonts w:ascii="Cambria" w:eastAsia="MS Mincho" w:hAnsi="Cambria"/>
              <w:szCs w:val="24"/>
              <w:lang w:eastAsia="en-US"/>
            </w:rPr>
            <w:t>8</w:t>
          </w:r>
        </w:p>
        <w:p w14:paraId="6FDD4628" w14:textId="77777777" w:rsidR="00514919" w:rsidRPr="00087CE6" w:rsidRDefault="00730A01" w:rsidP="00087CE6">
          <w:pPr>
            <w:tabs>
              <w:tab w:val="left" w:pos="142"/>
              <w:tab w:val="right" w:pos="8931"/>
            </w:tabs>
            <w:rPr>
              <w:rFonts w:ascii="Cambria" w:eastAsia="MS Mincho" w:hAnsi="Cambria"/>
              <w:b/>
              <w:bCs/>
              <w:i/>
              <w:iCs/>
              <w:szCs w:val="24"/>
              <w:lang w:eastAsia="en-US"/>
            </w:rPr>
          </w:pPr>
          <w:r>
            <w:rPr>
              <w:rFonts w:ascii="Cambria" w:eastAsia="MS Mincho" w:hAnsi="Cambria"/>
              <w:b/>
              <w:bCs/>
              <w:i/>
              <w:iCs/>
              <w:szCs w:val="24"/>
              <w:lang w:eastAsia="en-US"/>
            </w:rPr>
            <w:tab/>
          </w:r>
          <w:r w:rsidR="00655203" w:rsidRPr="006429E7">
            <w:rPr>
              <w:rFonts w:ascii="Cambria" w:eastAsia="MS Mincho" w:hAnsi="Cambria"/>
              <w:b/>
              <w:bCs/>
              <w:i/>
              <w:iCs/>
              <w:szCs w:val="24"/>
              <w:lang w:eastAsia="en-US"/>
            </w:rPr>
            <w:t>La crédibilité de Girou</w:t>
          </w:r>
          <w:r w:rsidR="00246A33" w:rsidRPr="006429E7">
            <w:rPr>
              <w:rFonts w:ascii="Cambria" w:eastAsia="MS Mincho" w:hAnsi="Cambria"/>
              <w:b/>
              <w:bCs/>
              <w:i/>
              <w:iCs/>
              <w:szCs w:val="24"/>
              <w:lang w:eastAsia="en-US"/>
            </w:rPr>
            <w:t>x</w:t>
          </w:r>
          <w:r w:rsidR="007C4EF4">
            <w:rPr>
              <w:rFonts w:ascii="Cambria" w:eastAsia="MS Mincho" w:hAnsi="Cambria"/>
              <w:b/>
              <w:bCs/>
              <w:i/>
              <w:iCs/>
              <w:szCs w:val="24"/>
              <w:lang w:eastAsia="en-US"/>
            </w:rPr>
            <w:t xml:space="preserve"> </w:t>
          </w:r>
          <w:r w:rsidR="007C4EF4" w:rsidRPr="00087CE6">
            <w:rPr>
              <w:rFonts w:ascii="Cambria" w:eastAsia="MS Mincho" w:hAnsi="Cambria"/>
              <w:szCs w:val="24"/>
              <w:u w:val="single"/>
              <w:lang w:eastAsia="en-US"/>
            </w:rPr>
            <w:tab/>
          </w:r>
          <w:r w:rsidRPr="00087CE6">
            <w:rPr>
              <w:rFonts w:ascii="Cambria" w:eastAsia="MS Mincho" w:hAnsi="Cambria"/>
              <w:szCs w:val="24"/>
              <w:lang w:eastAsia="en-US"/>
            </w:rPr>
            <w:t>2</w:t>
          </w:r>
          <w:r w:rsidR="00FB615A" w:rsidRPr="00087CE6">
            <w:rPr>
              <w:rFonts w:ascii="Cambria" w:eastAsia="MS Mincho" w:hAnsi="Cambria"/>
              <w:szCs w:val="24"/>
              <w:lang w:eastAsia="en-US"/>
            </w:rPr>
            <w:t>2</w:t>
          </w:r>
        </w:p>
        <w:p w14:paraId="16D95AC1" w14:textId="77777777" w:rsidR="008D74F0" w:rsidRPr="00514919" w:rsidRDefault="00730A01" w:rsidP="00E304E8">
          <w:pPr>
            <w:tabs>
              <w:tab w:val="right" w:pos="8931"/>
            </w:tabs>
            <w:ind w:left="142"/>
            <w:rPr>
              <w:rFonts w:ascii="Cambria" w:eastAsia="MS Mincho" w:hAnsi="Cambria"/>
              <w:szCs w:val="24"/>
              <w:lang w:eastAsia="en-US"/>
            </w:rPr>
          </w:pPr>
          <w:r>
            <w:rPr>
              <w:rFonts w:ascii="Cambria" w:eastAsia="MS Mincho" w:hAnsi="Cambria"/>
              <w:sz w:val="22"/>
              <w:szCs w:val="22"/>
              <w:lang w:eastAsia="en-US"/>
            </w:rPr>
            <w:t>a)</w:t>
          </w:r>
          <w:r w:rsidRPr="00655203">
            <w:rPr>
              <w:rFonts w:ascii="Cambria" w:eastAsia="MS Mincho" w:hAnsi="Cambria"/>
              <w:sz w:val="22"/>
              <w:szCs w:val="22"/>
              <w:lang w:eastAsia="en-US"/>
            </w:rPr>
            <w:t xml:space="preserve"> Des</w:t>
          </w:r>
          <w:r w:rsidR="00655203" w:rsidRPr="00655203">
            <w:rPr>
              <w:rFonts w:ascii="Cambria" w:eastAsia="MS Mincho" w:hAnsi="Cambria"/>
              <w:sz w:val="22"/>
              <w:szCs w:val="22"/>
              <w:lang w:eastAsia="en-US"/>
            </w:rPr>
            <w:t xml:space="preserve"> réponses évasives </w:t>
          </w:r>
          <w:r w:rsidR="00514919" w:rsidRPr="00E35740">
            <w:rPr>
              <w:rFonts w:ascii="Cambria" w:eastAsia="MS Mincho" w:hAnsi="Cambria"/>
              <w:szCs w:val="24"/>
              <w:u w:val="single"/>
              <w:lang w:eastAsia="en-US"/>
            </w:rPr>
            <w:tab/>
          </w:r>
          <w:r w:rsidR="00514919">
            <w:rPr>
              <w:rFonts w:ascii="Cambria" w:eastAsia="MS Mincho" w:hAnsi="Cambria"/>
              <w:szCs w:val="24"/>
              <w:lang w:eastAsia="en-US"/>
            </w:rPr>
            <w:t>2</w:t>
          </w:r>
          <w:r w:rsidR="00FB615A">
            <w:rPr>
              <w:rFonts w:ascii="Cambria" w:eastAsia="MS Mincho" w:hAnsi="Cambria"/>
              <w:szCs w:val="24"/>
              <w:lang w:eastAsia="en-US"/>
            </w:rPr>
            <w:t>2</w:t>
          </w:r>
        </w:p>
        <w:p w14:paraId="2B7B5915" w14:textId="77777777" w:rsidR="00FB615A" w:rsidRDefault="00730A01" w:rsidP="00E304E8">
          <w:pPr>
            <w:tabs>
              <w:tab w:val="right" w:pos="8931"/>
            </w:tabs>
            <w:ind w:left="142"/>
            <w:rPr>
              <w:rFonts w:ascii="Cambria" w:eastAsia="MS Mincho" w:hAnsi="Cambria"/>
              <w:sz w:val="22"/>
              <w:szCs w:val="22"/>
              <w:lang w:eastAsia="en-US"/>
            </w:rPr>
          </w:pPr>
          <w:r w:rsidRPr="00655203">
            <w:rPr>
              <w:rFonts w:ascii="Cambria" w:eastAsia="MS Mincho" w:hAnsi="Cambria"/>
              <w:sz w:val="22"/>
              <w:szCs w:val="22"/>
              <w:lang w:eastAsia="en-US"/>
            </w:rPr>
            <w:t>b)</w:t>
          </w:r>
          <w:r w:rsidR="001F06BD">
            <w:rPr>
              <w:rFonts w:ascii="Cambria" w:eastAsia="MS Mincho" w:hAnsi="Cambria"/>
              <w:sz w:val="22"/>
              <w:szCs w:val="22"/>
              <w:lang w:eastAsia="en-US"/>
            </w:rPr>
            <w:t xml:space="preserve"> </w:t>
          </w:r>
          <w:r w:rsidRPr="00655203">
            <w:rPr>
              <w:rFonts w:ascii="Cambria" w:eastAsia="MS Mincho" w:hAnsi="Cambria"/>
              <w:sz w:val="22"/>
              <w:szCs w:val="22"/>
              <w:lang w:eastAsia="en-US"/>
            </w:rPr>
            <w:t xml:space="preserve">Des déclarations non crédibles sur ce qu’il a dit aux commanditaires </w:t>
          </w:r>
        </w:p>
        <w:p w14:paraId="36155298" w14:textId="77777777" w:rsidR="00514919" w:rsidRPr="00514919" w:rsidRDefault="00730A01" w:rsidP="00E304E8">
          <w:pPr>
            <w:tabs>
              <w:tab w:val="right" w:pos="8931"/>
            </w:tabs>
            <w:ind w:left="142"/>
            <w:rPr>
              <w:rFonts w:ascii="Cambria" w:eastAsia="MS Mincho" w:hAnsi="Cambria"/>
              <w:szCs w:val="24"/>
              <w:lang w:eastAsia="en-US"/>
            </w:rPr>
          </w:pPr>
          <w:r>
            <w:rPr>
              <w:rFonts w:ascii="Cambria" w:eastAsia="MS Mincho" w:hAnsi="Cambria"/>
              <w:sz w:val="22"/>
              <w:szCs w:val="22"/>
              <w:lang w:eastAsia="en-US"/>
            </w:rPr>
            <w:t xml:space="preserve">     </w:t>
          </w:r>
          <w:r w:rsidR="00655203" w:rsidRPr="00655203">
            <w:rPr>
              <w:rFonts w:ascii="Cambria" w:eastAsia="MS Mincho" w:hAnsi="Cambria"/>
              <w:sz w:val="22"/>
              <w:szCs w:val="22"/>
              <w:lang w:eastAsia="en-US"/>
            </w:rPr>
            <w:t>de FIISH après la</w:t>
          </w:r>
          <w:r w:rsidR="008D74F0">
            <w:rPr>
              <w:rFonts w:ascii="Cambria" w:eastAsia="MS Mincho" w:hAnsi="Cambria"/>
              <w:sz w:val="22"/>
              <w:szCs w:val="22"/>
              <w:lang w:eastAsia="en-US"/>
            </w:rPr>
            <w:t xml:space="preserve"> </w:t>
          </w:r>
          <w:r w:rsidR="00655203" w:rsidRPr="00655203">
            <w:rPr>
              <w:rFonts w:ascii="Cambria" w:eastAsia="MS Mincho" w:hAnsi="Cambria"/>
              <w:sz w:val="22"/>
              <w:szCs w:val="22"/>
              <w:lang w:eastAsia="en-US"/>
            </w:rPr>
            <w:t>rencontre du 2 mars 202</w:t>
          </w:r>
          <w:r>
            <w:rPr>
              <w:rFonts w:ascii="Cambria" w:eastAsia="MS Mincho" w:hAnsi="Cambria"/>
              <w:sz w:val="22"/>
              <w:szCs w:val="22"/>
              <w:lang w:eastAsia="en-US"/>
            </w:rPr>
            <w:t>2</w:t>
          </w:r>
          <w:r w:rsidR="00EE5457">
            <w:rPr>
              <w:rFonts w:ascii="Cambria" w:eastAsia="MS Mincho" w:hAnsi="Cambria"/>
              <w:sz w:val="22"/>
              <w:szCs w:val="22"/>
              <w:lang w:eastAsia="en-US"/>
            </w:rPr>
            <w:t xml:space="preserve"> </w:t>
          </w:r>
          <w:r w:rsidRPr="00E35740">
            <w:rPr>
              <w:rFonts w:ascii="Cambria" w:eastAsia="MS Mincho" w:hAnsi="Cambria"/>
              <w:szCs w:val="24"/>
              <w:u w:val="single"/>
              <w:lang w:eastAsia="en-US"/>
            </w:rPr>
            <w:tab/>
          </w:r>
          <w:r>
            <w:rPr>
              <w:rFonts w:ascii="Cambria" w:eastAsia="MS Mincho" w:hAnsi="Cambria"/>
              <w:szCs w:val="24"/>
              <w:lang w:eastAsia="en-US"/>
            </w:rPr>
            <w:t>23</w:t>
          </w:r>
        </w:p>
        <w:p w14:paraId="6B0E747F" w14:textId="77777777" w:rsidR="008D74F0" w:rsidRPr="00514919"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c) Du camouflage d’information</w:t>
          </w:r>
          <w:r w:rsidR="009165EA">
            <w:rPr>
              <w:rFonts w:ascii="Cambria" w:eastAsia="MS Mincho" w:hAnsi="Cambria"/>
              <w:sz w:val="22"/>
              <w:szCs w:val="22"/>
              <w:lang w:eastAsia="en-US"/>
            </w:rPr>
            <w:t>s</w:t>
          </w:r>
          <w:r w:rsidRPr="00655203">
            <w:rPr>
              <w:rFonts w:ascii="Cambria" w:eastAsia="MS Mincho" w:hAnsi="Cambria"/>
              <w:sz w:val="22"/>
              <w:szCs w:val="22"/>
              <w:lang w:eastAsia="en-US"/>
            </w:rPr>
            <w:t xml:space="preserve"> </w:t>
          </w:r>
          <w:r w:rsidR="00514919" w:rsidRPr="00E35740">
            <w:rPr>
              <w:rFonts w:ascii="Cambria" w:eastAsia="MS Mincho" w:hAnsi="Cambria"/>
              <w:szCs w:val="24"/>
              <w:u w:val="single"/>
              <w:lang w:eastAsia="en-US"/>
            </w:rPr>
            <w:tab/>
          </w:r>
          <w:r w:rsidR="00514919">
            <w:rPr>
              <w:rFonts w:ascii="Cambria" w:eastAsia="MS Mincho" w:hAnsi="Cambria"/>
              <w:szCs w:val="24"/>
              <w:lang w:eastAsia="en-US"/>
            </w:rPr>
            <w:t>2</w:t>
          </w:r>
          <w:r w:rsidR="00865E6C">
            <w:rPr>
              <w:rFonts w:ascii="Cambria" w:eastAsia="MS Mincho" w:hAnsi="Cambria"/>
              <w:szCs w:val="24"/>
              <w:lang w:eastAsia="en-US"/>
            </w:rPr>
            <w:t>5</w:t>
          </w:r>
        </w:p>
        <w:p w14:paraId="24981FD4" w14:textId="77777777" w:rsidR="008D74F0" w:rsidRPr="00514919"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d) Des contradictions sur le prêt FIISH</w:t>
          </w:r>
          <w:r w:rsidR="00EE5457">
            <w:rPr>
              <w:rFonts w:ascii="Cambria" w:eastAsia="MS Mincho" w:hAnsi="Cambria"/>
              <w:sz w:val="22"/>
              <w:szCs w:val="22"/>
              <w:lang w:eastAsia="en-US"/>
            </w:rPr>
            <w:t xml:space="preserve"> </w:t>
          </w:r>
          <w:r w:rsidR="00514919" w:rsidRPr="00E35740">
            <w:rPr>
              <w:rFonts w:ascii="Cambria" w:eastAsia="MS Mincho" w:hAnsi="Cambria"/>
              <w:szCs w:val="24"/>
              <w:u w:val="single"/>
              <w:lang w:eastAsia="en-US"/>
            </w:rPr>
            <w:tab/>
          </w:r>
          <w:r w:rsidR="00514919">
            <w:rPr>
              <w:rFonts w:ascii="Cambria" w:eastAsia="MS Mincho" w:hAnsi="Cambria"/>
              <w:szCs w:val="24"/>
              <w:lang w:eastAsia="en-US"/>
            </w:rPr>
            <w:t>2</w:t>
          </w:r>
          <w:r w:rsidR="00865E6C">
            <w:rPr>
              <w:rFonts w:ascii="Cambria" w:eastAsia="MS Mincho" w:hAnsi="Cambria"/>
              <w:szCs w:val="24"/>
              <w:lang w:eastAsia="en-US"/>
            </w:rPr>
            <w:t>6</w:t>
          </w:r>
        </w:p>
        <w:p w14:paraId="7B09CCDF" w14:textId="77777777" w:rsidR="008D74F0" w:rsidRPr="00514919"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e) Des affirmations contredites</w:t>
          </w:r>
          <w:r w:rsidR="00EE5457">
            <w:rPr>
              <w:rFonts w:ascii="Cambria" w:eastAsia="MS Mincho" w:hAnsi="Cambria"/>
              <w:sz w:val="22"/>
              <w:szCs w:val="22"/>
              <w:lang w:eastAsia="en-US"/>
            </w:rPr>
            <w:t xml:space="preserve"> </w:t>
          </w:r>
          <w:r w:rsidR="00514919" w:rsidRPr="00113A8A">
            <w:rPr>
              <w:rFonts w:ascii="Cambria" w:eastAsia="MS Mincho" w:hAnsi="Cambria"/>
              <w:szCs w:val="24"/>
              <w:u w:val="single"/>
              <w:lang w:eastAsia="en-US"/>
            </w:rPr>
            <w:tab/>
          </w:r>
          <w:r w:rsidR="00514919">
            <w:rPr>
              <w:rFonts w:ascii="Cambria" w:eastAsia="MS Mincho" w:hAnsi="Cambria"/>
              <w:szCs w:val="24"/>
              <w:lang w:eastAsia="en-US"/>
            </w:rPr>
            <w:t>2</w:t>
          </w:r>
          <w:r w:rsidR="00865E6C">
            <w:rPr>
              <w:rFonts w:ascii="Cambria" w:eastAsia="MS Mincho" w:hAnsi="Cambria"/>
              <w:szCs w:val="24"/>
              <w:lang w:eastAsia="en-US"/>
            </w:rPr>
            <w:t>7</w:t>
          </w:r>
        </w:p>
        <w:p w14:paraId="42058471" w14:textId="77777777" w:rsidR="008D74F0" w:rsidRPr="003F617F"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f) Des actifs camouflé</w:t>
          </w:r>
          <w:r w:rsidR="003F617F">
            <w:rPr>
              <w:rFonts w:ascii="Cambria" w:eastAsia="MS Mincho" w:hAnsi="Cambria"/>
              <w:sz w:val="22"/>
              <w:szCs w:val="22"/>
              <w:lang w:eastAsia="en-US"/>
            </w:rPr>
            <w:t>s</w:t>
          </w:r>
          <w:r w:rsidR="00EE5457">
            <w:rPr>
              <w:rFonts w:ascii="Cambria" w:eastAsia="MS Mincho" w:hAnsi="Cambria"/>
              <w:sz w:val="22"/>
              <w:szCs w:val="22"/>
              <w:lang w:eastAsia="en-US"/>
            </w:rPr>
            <w:t xml:space="preserve"> </w:t>
          </w:r>
          <w:r w:rsidR="003F617F" w:rsidRPr="00113A8A">
            <w:rPr>
              <w:rFonts w:ascii="Cambria" w:eastAsia="MS Mincho" w:hAnsi="Cambria"/>
              <w:szCs w:val="24"/>
              <w:u w:val="single"/>
              <w:lang w:eastAsia="en-US"/>
            </w:rPr>
            <w:tab/>
          </w:r>
          <w:r w:rsidR="003F617F">
            <w:rPr>
              <w:rFonts w:ascii="Cambria" w:eastAsia="MS Mincho" w:hAnsi="Cambria"/>
              <w:szCs w:val="24"/>
              <w:lang w:eastAsia="en-US"/>
            </w:rPr>
            <w:t>2</w:t>
          </w:r>
          <w:r w:rsidR="00865E6C">
            <w:rPr>
              <w:rFonts w:ascii="Cambria" w:eastAsia="MS Mincho" w:hAnsi="Cambria"/>
              <w:szCs w:val="24"/>
              <w:lang w:eastAsia="en-US"/>
            </w:rPr>
            <w:t>8</w:t>
          </w:r>
        </w:p>
        <w:p w14:paraId="68B6BF96" w14:textId="77777777" w:rsidR="00655203" w:rsidRPr="003F617F" w:rsidRDefault="00730A01" w:rsidP="00E304E8">
          <w:pPr>
            <w:tabs>
              <w:tab w:val="right" w:pos="8931"/>
            </w:tabs>
            <w:spacing w:after="120"/>
            <w:ind w:left="142"/>
            <w:rPr>
              <w:rFonts w:ascii="Cambria" w:eastAsia="MS Mincho" w:hAnsi="Cambria"/>
              <w:szCs w:val="24"/>
              <w:lang w:eastAsia="en-US"/>
            </w:rPr>
          </w:pPr>
          <w:r w:rsidRPr="00655203">
            <w:rPr>
              <w:rFonts w:ascii="Cambria" w:eastAsia="MS Mincho" w:hAnsi="Cambria"/>
              <w:sz w:val="22"/>
              <w:szCs w:val="22"/>
              <w:lang w:eastAsia="en-US"/>
            </w:rPr>
            <w:t>g) Les antécédents judiciaires dont il ne se souvient pas</w:t>
          </w:r>
          <w:r w:rsidR="00EE5457">
            <w:rPr>
              <w:rFonts w:ascii="Cambria" w:eastAsia="MS Mincho" w:hAnsi="Cambria"/>
              <w:sz w:val="22"/>
              <w:szCs w:val="22"/>
              <w:lang w:eastAsia="en-US"/>
            </w:rPr>
            <w:t xml:space="preserve"> </w:t>
          </w:r>
          <w:r w:rsidR="003F617F" w:rsidRPr="00857CC7">
            <w:rPr>
              <w:rFonts w:ascii="Cambria" w:eastAsia="MS Mincho" w:hAnsi="Cambria"/>
              <w:szCs w:val="24"/>
              <w:u w:val="single"/>
              <w:lang w:eastAsia="en-US"/>
            </w:rPr>
            <w:tab/>
          </w:r>
          <w:r w:rsidR="003F617F">
            <w:rPr>
              <w:rFonts w:ascii="Cambria" w:eastAsia="MS Mincho" w:hAnsi="Cambria"/>
              <w:szCs w:val="24"/>
              <w:lang w:eastAsia="en-US"/>
            </w:rPr>
            <w:t>2</w:t>
          </w:r>
          <w:r w:rsidR="00865E6C">
            <w:rPr>
              <w:rFonts w:ascii="Cambria" w:eastAsia="MS Mincho" w:hAnsi="Cambria"/>
              <w:szCs w:val="24"/>
              <w:lang w:eastAsia="en-US"/>
            </w:rPr>
            <w:t>9</w:t>
          </w:r>
        </w:p>
        <w:p w14:paraId="45E0C3D8" w14:textId="77777777" w:rsidR="00C01A28" w:rsidRPr="00C01A28" w:rsidRDefault="00730A01" w:rsidP="00A437BA">
          <w:pPr>
            <w:tabs>
              <w:tab w:val="right" w:pos="8931"/>
            </w:tabs>
            <w:spacing w:after="60"/>
            <w:rPr>
              <w:rFonts w:ascii="Cambria" w:eastAsia="MS Mincho" w:hAnsi="Cambria"/>
              <w:szCs w:val="24"/>
              <w:lang w:eastAsia="en-US"/>
            </w:rPr>
          </w:pPr>
          <w:r w:rsidRPr="00C01A28">
            <w:rPr>
              <w:rFonts w:ascii="Cambria" w:eastAsia="MS Mincho" w:hAnsi="Cambria"/>
              <w:b/>
              <w:bCs/>
              <w:i/>
              <w:iCs/>
              <w:szCs w:val="24"/>
              <w:lang w:eastAsia="en-US"/>
            </w:rPr>
            <w:t>Les points en litige</w:t>
          </w:r>
          <w:r w:rsidRPr="00C01A28">
            <w:rPr>
              <w:rFonts w:ascii="Cambria" w:eastAsia="MS Mincho" w:hAnsi="Cambria"/>
              <w:szCs w:val="24"/>
              <w:lang w:eastAsia="en-US"/>
            </w:rPr>
            <w:t xml:space="preserve"> </w:t>
          </w:r>
          <w:r w:rsidRPr="00857CC7">
            <w:rPr>
              <w:rFonts w:ascii="Cambria" w:eastAsia="MS Mincho" w:hAnsi="Cambria"/>
              <w:szCs w:val="24"/>
              <w:u w:val="single"/>
              <w:lang w:eastAsia="en-US"/>
            </w:rPr>
            <w:tab/>
          </w:r>
          <w:r>
            <w:rPr>
              <w:rFonts w:ascii="Cambria" w:eastAsia="MS Mincho" w:hAnsi="Cambria"/>
              <w:szCs w:val="24"/>
              <w:lang w:eastAsia="en-US"/>
            </w:rPr>
            <w:t>3</w:t>
          </w:r>
          <w:r w:rsidR="00865E6C">
            <w:rPr>
              <w:rFonts w:ascii="Cambria" w:eastAsia="MS Mincho" w:hAnsi="Cambria"/>
              <w:szCs w:val="24"/>
              <w:lang w:eastAsia="en-US"/>
            </w:rPr>
            <w:t>2</w:t>
          </w:r>
        </w:p>
        <w:p w14:paraId="5AC613F4" w14:textId="77777777" w:rsidR="00C01A28" w:rsidRPr="00C01A28" w:rsidRDefault="00730A01" w:rsidP="00087CE6">
          <w:pPr>
            <w:tabs>
              <w:tab w:val="right" w:pos="8931"/>
            </w:tabs>
            <w:rPr>
              <w:rFonts w:ascii="Cambria" w:eastAsia="MS Mincho" w:hAnsi="Cambria"/>
              <w:szCs w:val="24"/>
              <w:lang w:eastAsia="en-US"/>
            </w:rPr>
          </w:pPr>
          <w:r>
            <w:rPr>
              <w:rFonts w:ascii="Cambria" w:eastAsia="MS Mincho" w:hAnsi="Cambria"/>
              <w:b/>
              <w:bCs/>
              <w:sz w:val="22"/>
              <w:szCs w:val="22"/>
              <w:lang w:eastAsia="en-US"/>
            </w:rPr>
            <w:t>3.</w:t>
          </w:r>
          <w:r w:rsidR="00655203" w:rsidRPr="00655203">
            <w:rPr>
              <w:rFonts w:ascii="Cambria" w:eastAsia="MS Mincho" w:hAnsi="Cambria"/>
              <w:b/>
              <w:bCs/>
              <w:sz w:val="22"/>
              <w:szCs w:val="22"/>
              <w:lang w:eastAsia="en-US"/>
            </w:rPr>
            <w:t xml:space="preserve"> </w:t>
          </w:r>
          <w:r w:rsidR="00655203" w:rsidRPr="004274FB">
            <w:rPr>
              <w:rFonts w:ascii="Cambria" w:eastAsia="MS Mincho" w:hAnsi="Cambria"/>
              <w:b/>
              <w:bCs/>
              <w:sz w:val="22"/>
              <w:szCs w:val="22"/>
              <w:lang w:eastAsia="en-US"/>
            </w:rPr>
            <w:t>Giroux a commis des fautes à l’égard des Demandeurs, engageant sa responsabilité personnelle extracontractuelle</w:t>
          </w:r>
          <w:r w:rsidR="00EE5457">
            <w:rPr>
              <w:rFonts w:ascii="Cambria" w:eastAsia="MS Mincho" w:hAnsi="Cambria"/>
              <w:b/>
              <w:bCs/>
              <w:i/>
              <w:iCs/>
              <w:smallCaps/>
              <w:sz w:val="22"/>
              <w:szCs w:val="22"/>
              <w:lang w:eastAsia="en-US"/>
            </w:rPr>
            <w:t xml:space="preserve"> </w:t>
          </w:r>
          <w:r w:rsidRPr="00857CC7">
            <w:rPr>
              <w:rFonts w:ascii="Cambria" w:eastAsia="MS Mincho" w:hAnsi="Cambria"/>
              <w:b/>
              <w:bCs/>
              <w:sz w:val="22"/>
              <w:szCs w:val="22"/>
              <w:u w:val="single"/>
              <w:lang w:eastAsia="en-US"/>
            </w:rPr>
            <w:tab/>
          </w:r>
          <w:r>
            <w:rPr>
              <w:rFonts w:ascii="Cambria" w:eastAsia="MS Mincho" w:hAnsi="Cambria"/>
              <w:szCs w:val="24"/>
              <w:lang w:eastAsia="en-US"/>
            </w:rPr>
            <w:t>3</w:t>
          </w:r>
          <w:r w:rsidR="00865E6C">
            <w:rPr>
              <w:rFonts w:ascii="Cambria" w:eastAsia="MS Mincho" w:hAnsi="Cambria"/>
              <w:szCs w:val="24"/>
              <w:lang w:eastAsia="en-US"/>
            </w:rPr>
            <w:t>2</w:t>
          </w:r>
        </w:p>
        <w:p w14:paraId="7BF85359" w14:textId="77777777" w:rsidR="00C01A28" w:rsidRPr="00804E26"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a) Fausses représentations sur son expérience, aux investisseurs, par Giroux</w:t>
          </w:r>
          <w:r w:rsidR="00EE5457">
            <w:rPr>
              <w:rFonts w:ascii="Cambria" w:eastAsia="MS Mincho" w:hAnsi="Cambria"/>
              <w:sz w:val="22"/>
              <w:szCs w:val="22"/>
              <w:lang w:eastAsia="en-US"/>
            </w:rPr>
            <w:t xml:space="preserve"> </w:t>
          </w:r>
          <w:r w:rsidR="00804E26" w:rsidRPr="00857CC7">
            <w:rPr>
              <w:rFonts w:ascii="Cambria" w:eastAsia="MS Mincho" w:hAnsi="Cambria"/>
              <w:szCs w:val="24"/>
              <w:u w:val="single"/>
              <w:lang w:eastAsia="en-US"/>
            </w:rPr>
            <w:tab/>
          </w:r>
          <w:r w:rsidR="00804E26">
            <w:rPr>
              <w:rFonts w:ascii="Cambria" w:eastAsia="MS Mincho" w:hAnsi="Cambria"/>
              <w:szCs w:val="24"/>
              <w:lang w:eastAsia="en-US"/>
            </w:rPr>
            <w:t>3</w:t>
          </w:r>
          <w:r w:rsidR="00865E6C">
            <w:rPr>
              <w:rFonts w:ascii="Cambria" w:eastAsia="MS Mincho" w:hAnsi="Cambria"/>
              <w:szCs w:val="24"/>
              <w:lang w:eastAsia="en-US"/>
            </w:rPr>
            <w:t>3</w:t>
          </w:r>
        </w:p>
        <w:p w14:paraId="00A28A20" w14:textId="77777777" w:rsidR="00D80CDF" w:rsidRDefault="00730A01" w:rsidP="00E304E8">
          <w:pPr>
            <w:tabs>
              <w:tab w:val="right" w:pos="8931"/>
            </w:tabs>
            <w:ind w:left="142"/>
            <w:rPr>
              <w:rFonts w:ascii="Cambria" w:eastAsia="MS Mincho" w:hAnsi="Cambria"/>
              <w:sz w:val="22"/>
              <w:szCs w:val="22"/>
              <w:lang w:eastAsia="en-US"/>
            </w:rPr>
          </w:pPr>
          <w:r w:rsidRPr="00655203">
            <w:rPr>
              <w:rFonts w:ascii="Cambria" w:eastAsia="MS Mincho" w:hAnsi="Cambria"/>
              <w:sz w:val="22"/>
              <w:szCs w:val="22"/>
              <w:lang w:eastAsia="en-US"/>
            </w:rPr>
            <w:t>b) Représentations frauduleuses sur les garanties et les risques liés aux Fond</w:t>
          </w:r>
          <w:r w:rsidR="00C01A28">
            <w:rPr>
              <w:rFonts w:ascii="Cambria" w:eastAsia="MS Mincho" w:hAnsi="Cambria"/>
              <w:sz w:val="22"/>
              <w:szCs w:val="22"/>
              <w:lang w:eastAsia="en-US"/>
            </w:rPr>
            <w:t>s</w:t>
          </w:r>
        </w:p>
        <w:p w14:paraId="7699ACC9" w14:textId="77777777" w:rsidR="00C01A28" w:rsidRPr="00804E26" w:rsidRDefault="00730A01" w:rsidP="00E304E8">
          <w:pPr>
            <w:tabs>
              <w:tab w:val="right" w:pos="8931"/>
            </w:tabs>
            <w:ind w:left="142"/>
            <w:rPr>
              <w:rFonts w:ascii="Cambria" w:eastAsia="MS Mincho" w:hAnsi="Cambria"/>
              <w:szCs w:val="24"/>
              <w:lang w:eastAsia="en-US"/>
            </w:rPr>
          </w:pPr>
          <w:r>
            <w:rPr>
              <w:rFonts w:ascii="Cambria" w:eastAsia="MS Mincho" w:hAnsi="Cambria"/>
              <w:sz w:val="22"/>
              <w:szCs w:val="22"/>
              <w:lang w:eastAsia="en-US"/>
            </w:rPr>
            <w:t>FIISH et Q-23</w:t>
          </w:r>
          <w:r w:rsidR="00EE5457">
            <w:rPr>
              <w:rFonts w:ascii="Cambria" w:eastAsia="MS Mincho" w:hAnsi="Cambria"/>
              <w:sz w:val="22"/>
              <w:szCs w:val="22"/>
              <w:lang w:eastAsia="en-US"/>
            </w:rPr>
            <w:t xml:space="preserve"> </w:t>
          </w:r>
          <w:r w:rsidR="00804E26" w:rsidRPr="00857CC7">
            <w:rPr>
              <w:rFonts w:ascii="Cambria" w:eastAsia="MS Mincho" w:hAnsi="Cambria"/>
              <w:szCs w:val="24"/>
              <w:u w:val="single"/>
              <w:lang w:eastAsia="en-US"/>
            </w:rPr>
            <w:tab/>
          </w:r>
          <w:r w:rsidR="00804E26">
            <w:rPr>
              <w:rFonts w:ascii="Cambria" w:eastAsia="MS Mincho" w:hAnsi="Cambria"/>
              <w:szCs w:val="24"/>
              <w:lang w:eastAsia="en-US"/>
            </w:rPr>
            <w:t>3</w:t>
          </w:r>
          <w:r w:rsidR="00865E6C">
            <w:rPr>
              <w:rFonts w:ascii="Cambria" w:eastAsia="MS Mincho" w:hAnsi="Cambria"/>
              <w:szCs w:val="24"/>
              <w:lang w:eastAsia="en-US"/>
            </w:rPr>
            <w:t>4</w:t>
          </w:r>
        </w:p>
        <w:p w14:paraId="00869FF3" w14:textId="77777777" w:rsidR="00C01A28" w:rsidRPr="00804E26"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c) Le manque de contrôle prudentiel (tant par FIISH que Q</w:t>
          </w:r>
          <w:r w:rsidR="00D80CDF">
            <w:rPr>
              <w:rFonts w:ascii="Cambria" w:eastAsia="MS Mincho" w:hAnsi="Cambria"/>
              <w:sz w:val="22"/>
              <w:szCs w:val="22"/>
              <w:lang w:eastAsia="en-US"/>
            </w:rPr>
            <w:t>-</w:t>
          </w:r>
          <w:r w:rsidRPr="00655203">
            <w:rPr>
              <w:rFonts w:ascii="Cambria" w:eastAsia="MS Mincho" w:hAnsi="Cambria"/>
              <w:sz w:val="22"/>
              <w:szCs w:val="22"/>
              <w:lang w:eastAsia="en-US"/>
            </w:rPr>
            <w:t>12)</w:t>
          </w:r>
          <w:r w:rsidR="00EE5457">
            <w:rPr>
              <w:rFonts w:ascii="Cambria" w:eastAsia="MS Mincho" w:hAnsi="Cambria"/>
              <w:sz w:val="22"/>
              <w:szCs w:val="22"/>
              <w:lang w:eastAsia="en-US"/>
            </w:rPr>
            <w:t xml:space="preserve"> </w:t>
          </w:r>
          <w:r w:rsidR="00804E26" w:rsidRPr="00857CC7">
            <w:rPr>
              <w:rFonts w:ascii="Cambria" w:eastAsia="MS Mincho" w:hAnsi="Cambria"/>
              <w:szCs w:val="24"/>
              <w:u w:val="single"/>
              <w:lang w:eastAsia="en-US"/>
            </w:rPr>
            <w:tab/>
          </w:r>
          <w:r w:rsidR="00804E26">
            <w:rPr>
              <w:rFonts w:ascii="Cambria" w:eastAsia="MS Mincho" w:hAnsi="Cambria"/>
              <w:szCs w:val="24"/>
              <w:lang w:eastAsia="en-US"/>
            </w:rPr>
            <w:t>3</w:t>
          </w:r>
          <w:r w:rsidR="00865E6C">
            <w:rPr>
              <w:rFonts w:ascii="Cambria" w:eastAsia="MS Mincho" w:hAnsi="Cambria"/>
              <w:szCs w:val="24"/>
              <w:lang w:eastAsia="en-US"/>
            </w:rPr>
            <w:t>5</w:t>
          </w:r>
        </w:p>
        <w:p w14:paraId="47B2CEC5" w14:textId="77777777" w:rsidR="00C01A28" w:rsidRPr="00804E26"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 xml:space="preserve">d) Omission de divulguer les difficultés financières </w:t>
          </w:r>
          <w:r w:rsidR="00804E26" w:rsidRPr="00857CC7">
            <w:rPr>
              <w:rFonts w:ascii="Cambria" w:eastAsia="MS Mincho" w:hAnsi="Cambria"/>
              <w:szCs w:val="24"/>
              <w:u w:val="single"/>
              <w:lang w:eastAsia="en-US"/>
            </w:rPr>
            <w:tab/>
          </w:r>
          <w:r w:rsidR="00804E26">
            <w:rPr>
              <w:rFonts w:ascii="Cambria" w:eastAsia="MS Mincho" w:hAnsi="Cambria"/>
              <w:szCs w:val="24"/>
              <w:lang w:eastAsia="en-US"/>
            </w:rPr>
            <w:t>3</w:t>
          </w:r>
          <w:r w:rsidR="00865E6C">
            <w:rPr>
              <w:rFonts w:ascii="Cambria" w:eastAsia="MS Mincho" w:hAnsi="Cambria"/>
              <w:szCs w:val="24"/>
              <w:lang w:eastAsia="en-US"/>
            </w:rPr>
            <w:t>6</w:t>
          </w:r>
        </w:p>
        <w:p w14:paraId="31B33CD3" w14:textId="77777777" w:rsidR="00C01A28" w:rsidRPr="00804E26"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 xml:space="preserve">e) Falsification des tableaux financiers </w:t>
          </w:r>
          <w:r w:rsidR="00804E26" w:rsidRPr="00857CC7">
            <w:rPr>
              <w:rFonts w:ascii="Cambria" w:eastAsia="MS Mincho" w:hAnsi="Cambria"/>
              <w:szCs w:val="24"/>
              <w:u w:val="single"/>
              <w:lang w:eastAsia="en-US"/>
            </w:rPr>
            <w:tab/>
          </w:r>
          <w:r w:rsidR="00804E26">
            <w:rPr>
              <w:rFonts w:ascii="Cambria" w:eastAsia="MS Mincho" w:hAnsi="Cambria"/>
              <w:szCs w:val="24"/>
              <w:lang w:eastAsia="en-US"/>
            </w:rPr>
            <w:t>3</w:t>
          </w:r>
          <w:r w:rsidR="00865E6C">
            <w:rPr>
              <w:rFonts w:ascii="Cambria" w:eastAsia="MS Mincho" w:hAnsi="Cambria"/>
              <w:szCs w:val="24"/>
              <w:lang w:eastAsia="en-US"/>
            </w:rPr>
            <w:t>7</w:t>
          </w:r>
        </w:p>
        <w:p w14:paraId="4431471D" w14:textId="77777777" w:rsidR="00C01A28" w:rsidRPr="00804E26" w:rsidRDefault="00730A01" w:rsidP="00E304E8">
          <w:pPr>
            <w:tabs>
              <w:tab w:val="right" w:pos="8931"/>
            </w:tabs>
            <w:ind w:left="142"/>
            <w:rPr>
              <w:rFonts w:ascii="Cambria" w:eastAsia="MS Mincho" w:hAnsi="Cambria"/>
              <w:b/>
              <w:bCs/>
              <w:szCs w:val="24"/>
              <w:lang w:eastAsia="en-US"/>
            </w:rPr>
          </w:pPr>
          <w:r w:rsidRPr="00655203">
            <w:rPr>
              <w:rFonts w:ascii="Cambria" w:eastAsia="MS Mincho" w:hAnsi="Cambria"/>
              <w:sz w:val="22"/>
              <w:szCs w:val="22"/>
              <w:lang w:eastAsia="en-US"/>
            </w:rPr>
            <w:t xml:space="preserve">f) </w:t>
          </w:r>
          <w:r w:rsidR="00865E6C">
            <w:rPr>
              <w:rFonts w:ascii="Cambria" w:eastAsia="MS Mincho" w:hAnsi="Cambria"/>
              <w:sz w:val="22"/>
              <w:szCs w:val="22"/>
              <w:lang w:eastAsia="en-US"/>
            </w:rPr>
            <w:t>Des défauts de paiements non déclarés</w:t>
          </w:r>
          <w:r w:rsidR="00EE5457">
            <w:rPr>
              <w:rFonts w:ascii="Cambria" w:eastAsia="MS Mincho" w:hAnsi="Cambria"/>
              <w:sz w:val="22"/>
              <w:szCs w:val="22"/>
              <w:lang w:eastAsia="en-US"/>
            </w:rPr>
            <w:t xml:space="preserve"> </w:t>
          </w:r>
          <w:r w:rsidR="00804E26" w:rsidRPr="00857CC7">
            <w:rPr>
              <w:rFonts w:ascii="Cambria" w:eastAsia="MS Mincho" w:hAnsi="Cambria"/>
              <w:i/>
              <w:iCs/>
              <w:sz w:val="22"/>
              <w:szCs w:val="22"/>
              <w:u w:val="single"/>
              <w:lang w:eastAsia="en-US"/>
            </w:rPr>
            <w:tab/>
          </w:r>
          <w:r w:rsidR="00804E26">
            <w:rPr>
              <w:rFonts w:ascii="Cambria" w:eastAsia="MS Mincho" w:hAnsi="Cambria"/>
              <w:szCs w:val="24"/>
              <w:lang w:eastAsia="en-US"/>
            </w:rPr>
            <w:t>3</w:t>
          </w:r>
          <w:r w:rsidR="00865E6C">
            <w:rPr>
              <w:rFonts w:ascii="Cambria" w:eastAsia="MS Mincho" w:hAnsi="Cambria"/>
              <w:szCs w:val="24"/>
              <w:lang w:eastAsia="en-US"/>
            </w:rPr>
            <w:t>8</w:t>
          </w:r>
        </w:p>
        <w:p w14:paraId="318202EC" w14:textId="77777777" w:rsidR="00B5572E" w:rsidRPr="00804E26" w:rsidRDefault="00730A01" w:rsidP="00E304E8">
          <w:pPr>
            <w:tabs>
              <w:tab w:val="right" w:pos="8931"/>
            </w:tabs>
            <w:spacing w:after="60"/>
            <w:ind w:left="142"/>
            <w:rPr>
              <w:rFonts w:ascii="Cambria" w:eastAsia="MS Mincho" w:hAnsi="Cambria"/>
              <w:szCs w:val="24"/>
              <w:lang w:eastAsia="en-US"/>
            </w:rPr>
          </w:pPr>
          <w:r w:rsidRPr="00655203">
            <w:rPr>
              <w:rFonts w:ascii="Cambria" w:eastAsia="MS Mincho" w:hAnsi="Cambria"/>
              <w:sz w:val="22"/>
              <w:szCs w:val="22"/>
              <w:lang w:eastAsia="en-US"/>
            </w:rPr>
            <w:t xml:space="preserve">g) </w:t>
          </w:r>
          <w:r w:rsidR="00865E6C">
            <w:rPr>
              <w:rFonts w:ascii="Cambria" w:eastAsia="MS Mincho" w:hAnsi="Cambria"/>
              <w:sz w:val="22"/>
              <w:szCs w:val="22"/>
              <w:lang w:eastAsia="en-US"/>
            </w:rPr>
            <w:t>Des taux abusifs</w:t>
          </w:r>
          <w:r w:rsidR="00EE5457">
            <w:rPr>
              <w:rFonts w:ascii="Cambria" w:eastAsia="MS Mincho" w:hAnsi="Cambria"/>
              <w:sz w:val="22"/>
              <w:szCs w:val="22"/>
              <w:lang w:eastAsia="en-US"/>
            </w:rPr>
            <w:t xml:space="preserve"> </w:t>
          </w:r>
          <w:r w:rsidR="00804E26" w:rsidRPr="00D2162B">
            <w:rPr>
              <w:rFonts w:ascii="Cambria" w:eastAsia="MS Mincho" w:hAnsi="Cambria"/>
              <w:szCs w:val="24"/>
              <w:u w:val="single"/>
              <w:lang w:eastAsia="en-US"/>
            </w:rPr>
            <w:tab/>
          </w:r>
          <w:r>
            <w:rPr>
              <w:rFonts w:ascii="Cambria" w:eastAsia="MS Mincho" w:hAnsi="Cambria"/>
              <w:szCs w:val="24"/>
              <w:lang w:eastAsia="en-US"/>
            </w:rPr>
            <w:t>3</w:t>
          </w:r>
          <w:r w:rsidR="00865E6C">
            <w:rPr>
              <w:rFonts w:ascii="Cambria" w:eastAsia="MS Mincho" w:hAnsi="Cambria"/>
              <w:szCs w:val="24"/>
              <w:lang w:eastAsia="en-US"/>
            </w:rPr>
            <w:t>9</w:t>
          </w:r>
        </w:p>
        <w:p w14:paraId="63B6D3FA" w14:textId="77777777" w:rsidR="00993AE4" w:rsidRDefault="00730A01" w:rsidP="00A437BA">
          <w:pPr>
            <w:tabs>
              <w:tab w:val="right" w:pos="8931"/>
            </w:tabs>
            <w:spacing w:after="60" w:line="276" w:lineRule="auto"/>
            <w:rPr>
              <w:rFonts w:ascii="Cambria" w:eastAsia="MS Mincho" w:hAnsi="Cambria"/>
              <w:szCs w:val="24"/>
              <w:lang w:eastAsia="en-US"/>
            </w:rPr>
          </w:pPr>
          <w:r>
            <w:rPr>
              <w:rFonts w:ascii="Cambria" w:eastAsia="MS Mincho" w:hAnsi="Cambria"/>
              <w:b/>
              <w:bCs/>
              <w:sz w:val="22"/>
              <w:szCs w:val="22"/>
              <w:lang w:eastAsia="en-US"/>
            </w:rPr>
            <w:t>3</w:t>
          </w:r>
          <w:r w:rsidR="00655203" w:rsidRPr="00655203">
            <w:rPr>
              <w:rFonts w:ascii="Cambria" w:eastAsia="MS Mincho" w:hAnsi="Cambria"/>
              <w:b/>
              <w:bCs/>
              <w:sz w:val="22"/>
              <w:szCs w:val="22"/>
              <w:lang w:eastAsia="en-US"/>
            </w:rPr>
            <w:t>.1 Les dommages</w:t>
          </w:r>
          <w:r w:rsidR="00865E6C">
            <w:rPr>
              <w:rFonts w:ascii="Cambria" w:eastAsia="MS Mincho" w:hAnsi="Cambria"/>
              <w:b/>
              <w:bCs/>
              <w:sz w:val="22"/>
              <w:szCs w:val="22"/>
              <w:lang w:eastAsia="en-US"/>
            </w:rPr>
            <w:t xml:space="preserve"> </w:t>
          </w:r>
          <w:r w:rsidR="005E4EAD" w:rsidRPr="00D2162B">
            <w:rPr>
              <w:rFonts w:ascii="Cambria" w:eastAsia="MS Mincho" w:hAnsi="Cambria"/>
              <w:szCs w:val="24"/>
              <w:u w:val="single"/>
              <w:lang w:eastAsia="en-US"/>
            </w:rPr>
            <w:tab/>
          </w:r>
          <w:r w:rsidR="00865E6C">
            <w:rPr>
              <w:rFonts w:ascii="Cambria" w:eastAsia="MS Mincho" w:hAnsi="Cambria"/>
              <w:szCs w:val="24"/>
              <w:lang w:eastAsia="en-US"/>
            </w:rPr>
            <w:t>41</w:t>
          </w:r>
        </w:p>
        <w:p w14:paraId="77EEF928" w14:textId="77777777" w:rsidR="00655203" w:rsidRPr="005E4EAD" w:rsidRDefault="00730A01" w:rsidP="00A437BA">
          <w:pPr>
            <w:tabs>
              <w:tab w:val="right" w:pos="8931"/>
            </w:tabs>
            <w:spacing w:after="60" w:line="276" w:lineRule="auto"/>
            <w:rPr>
              <w:rFonts w:ascii="Cambria" w:eastAsia="MS Mincho" w:hAnsi="Cambria"/>
              <w:szCs w:val="24"/>
              <w:lang w:eastAsia="en-US"/>
            </w:rPr>
          </w:pPr>
          <w:r>
            <w:rPr>
              <w:rFonts w:ascii="Cambria" w:eastAsia="MS Mincho" w:hAnsi="Cambria"/>
              <w:b/>
              <w:bCs/>
              <w:sz w:val="22"/>
              <w:szCs w:val="22"/>
              <w:lang w:eastAsia="en-US"/>
            </w:rPr>
            <w:t>3</w:t>
          </w:r>
          <w:r w:rsidRPr="00655203">
            <w:rPr>
              <w:rFonts w:ascii="Cambria" w:eastAsia="MS Mincho" w:hAnsi="Cambria"/>
              <w:b/>
              <w:bCs/>
              <w:sz w:val="22"/>
              <w:szCs w:val="22"/>
              <w:lang w:eastAsia="en-US"/>
            </w:rPr>
            <w:t xml:space="preserve">.2 Le lien de causalité entre les dommages réclamés et les fautes </w:t>
          </w:r>
          <w:r w:rsidR="005E4EAD">
            <w:rPr>
              <w:rFonts w:ascii="Cambria" w:eastAsia="MS Mincho" w:hAnsi="Cambria"/>
              <w:b/>
              <w:bCs/>
              <w:sz w:val="22"/>
              <w:szCs w:val="22"/>
              <w:lang w:eastAsia="en-US"/>
            </w:rPr>
            <w:t>de Giroux</w:t>
          </w:r>
          <w:r w:rsidR="00EE5457">
            <w:rPr>
              <w:rFonts w:ascii="Cambria" w:eastAsia="MS Mincho" w:hAnsi="Cambria"/>
              <w:b/>
              <w:bCs/>
              <w:sz w:val="22"/>
              <w:szCs w:val="22"/>
              <w:lang w:eastAsia="en-US"/>
            </w:rPr>
            <w:t xml:space="preserve"> </w:t>
          </w:r>
          <w:r w:rsidR="005E4EAD" w:rsidRPr="00D2162B">
            <w:rPr>
              <w:rFonts w:ascii="Cambria" w:eastAsia="MS Mincho" w:hAnsi="Cambria"/>
              <w:szCs w:val="24"/>
              <w:u w:val="single"/>
              <w:lang w:eastAsia="en-US"/>
            </w:rPr>
            <w:tab/>
          </w:r>
          <w:r w:rsidR="00865E6C">
            <w:rPr>
              <w:rFonts w:ascii="Cambria" w:eastAsia="MS Mincho" w:hAnsi="Cambria"/>
              <w:szCs w:val="24"/>
              <w:lang w:eastAsia="en-US"/>
            </w:rPr>
            <w:t>41</w:t>
          </w:r>
        </w:p>
        <w:p w14:paraId="25D95D7B" w14:textId="77777777" w:rsidR="00655203" w:rsidRPr="005E4EAD" w:rsidRDefault="00730A01" w:rsidP="005E4EAD">
          <w:pPr>
            <w:tabs>
              <w:tab w:val="right" w:pos="8931"/>
            </w:tabs>
            <w:rPr>
              <w:rFonts w:ascii="Cambria" w:eastAsia="MS Mincho" w:hAnsi="Cambria"/>
              <w:szCs w:val="24"/>
              <w:lang w:eastAsia="en-US"/>
            </w:rPr>
          </w:pPr>
          <w:r>
            <w:rPr>
              <w:rFonts w:ascii="Cambria" w:eastAsia="MS Mincho" w:hAnsi="Cambria"/>
              <w:b/>
              <w:bCs/>
              <w:sz w:val="22"/>
              <w:szCs w:val="22"/>
              <w:lang w:eastAsia="en-US"/>
            </w:rPr>
            <w:t>4</w:t>
          </w:r>
          <w:r w:rsidRPr="00655203">
            <w:rPr>
              <w:rFonts w:ascii="Cambria" w:eastAsia="MS Mincho" w:hAnsi="Cambria"/>
              <w:b/>
              <w:bCs/>
              <w:sz w:val="22"/>
              <w:szCs w:val="22"/>
              <w:lang w:eastAsia="en-US"/>
            </w:rPr>
            <w:t>. Les fautes des commandités 1395 et 9797, de la société de gestion X2 et des autres sociétés défenderesses liées à Giroux, engageant leur responsabilité à l’égard des Demandeurs</w:t>
          </w:r>
          <w:r w:rsidR="00EE5457">
            <w:rPr>
              <w:rFonts w:ascii="Cambria" w:eastAsia="MS Mincho" w:hAnsi="Cambria"/>
              <w:b/>
              <w:bCs/>
              <w:sz w:val="22"/>
              <w:szCs w:val="22"/>
              <w:lang w:eastAsia="en-US"/>
            </w:rPr>
            <w:t xml:space="preserve"> </w:t>
          </w:r>
          <w:r w:rsidR="005E4EAD" w:rsidRPr="00D2162B">
            <w:rPr>
              <w:rFonts w:ascii="Cambria" w:eastAsia="MS Mincho" w:hAnsi="Cambria"/>
              <w:b/>
              <w:bCs/>
              <w:sz w:val="22"/>
              <w:szCs w:val="22"/>
              <w:u w:val="single"/>
              <w:lang w:eastAsia="en-US"/>
            </w:rPr>
            <w:tab/>
          </w:r>
          <w:r w:rsidR="00865E6C">
            <w:rPr>
              <w:rFonts w:ascii="Cambria" w:eastAsia="MS Mincho" w:hAnsi="Cambria"/>
              <w:szCs w:val="24"/>
              <w:lang w:eastAsia="en-US"/>
            </w:rPr>
            <w:t>42</w:t>
          </w:r>
        </w:p>
        <w:p w14:paraId="1EE40B88" w14:textId="77777777" w:rsidR="005E4EAD" w:rsidRPr="005E4EAD"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a</w:t>
          </w:r>
          <w:r w:rsidR="00333298">
            <w:rPr>
              <w:rFonts w:ascii="Cambria" w:eastAsia="MS Mincho" w:hAnsi="Cambria"/>
              <w:sz w:val="22"/>
              <w:szCs w:val="22"/>
              <w:lang w:eastAsia="en-US"/>
            </w:rPr>
            <w:t>)</w:t>
          </w:r>
          <w:r w:rsidRPr="00655203">
            <w:rPr>
              <w:rFonts w:ascii="Cambria" w:eastAsia="MS Mincho" w:hAnsi="Cambria"/>
              <w:sz w:val="22"/>
              <w:szCs w:val="22"/>
              <w:lang w:eastAsia="en-US"/>
            </w:rPr>
            <w:t xml:space="preserve"> Les fautes en général </w:t>
          </w:r>
          <w:r w:rsidRPr="00D2162B">
            <w:rPr>
              <w:rFonts w:ascii="Cambria" w:eastAsia="MS Mincho" w:hAnsi="Cambria"/>
              <w:szCs w:val="24"/>
              <w:u w:val="single"/>
              <w:lang w:eastAsia="en-US"/>
            </w:rPr>
            <w:tab/>
          </w:r>
          <w:r w:rsidR="00865E6C">
            <w:rPr>
              <w:rFonts w:ascii="Cambria" w:eastAsia="MS Mincho" w:hAnsi="Cambria"/>
              <w:szCs w:val="24"/>
              <w:lang w:eastAsia="en-US"/>
            </w:rPr>
            <w:t>42</w:t>
          </w:r>
        </w:p>
        <w:p w14:paraId="2D9B1DB3" w14:textId="77777777" w:rsidR="005E4EAD" w:rsidRPr="005E4EAD"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b</w:t>
          </w:r>
          <w:r w:rsidR="00333298">
            <w:rPr>
              <w:rFonts w:ascii="Cambria" w:eastAsia="MS Mincho" w:hAnsi="Cambria"/>
              <w:sz w:val="22"/>
              <w:szCs w:val="22"/>
              <w:lang w:eastAsia="en-US"/>
            </w:rPr>
            <w:t>)</w:t>
          </w:r>
          <w:r w:rsidRPr="00655203">
            <w:rPr>
              <w:rFonts w:ascii="Cambria" w:eastAsia="MS Mincho" w:hAnsi="Cambria"/>
              <w:sz w:val="22"/>
              <w:szCs w:val="22"/>
              <w:lang w:eastAsia="en-US"/>
            </w:rPr>
            <w:t xml:space="preserve"> Les fautes en lien avec le prêt FIISH</w:t>
          </w:r>
          <w:r w:rsidR="00EE5457">
            <w:rPr>
              <w:rFonts w:ascii="Cambria" w:eastAsia="MS Mincho" w:hAnsi="Cambria"/>
              <w:sz w:val="22"/>
              <w:szCs w:val="22"/>
              <w:lang w:eastAsia="en-US"/>
            </w:rPr>
            <w:t xml:space="preserve"> </w:t>
          </w:r>
          <w:r w:rsidRPr="00D2162B">
            <w:rPr>
              <w:rFonts w:ascii="Cambria" w:eastAsia="MS Mincho" w:hAnsi="Cambria"/>
              <w:szCs w:val="24"/>
              <w:u w:val="single"/>
              <w:lang w:eastAsia="en-US"/>
            </w:rPr>
            <w:tab/>
          </w:r>
          <w:r w:rsidR="00865E6C">
            <w:rPr>
              <w:rFonts w:ascii="Cambria" w:eastAsia="MS Mincho" w:hAnsi="Cambria"/>
              <w:szCs w:val="24"/>
              <w:lang w:eastAsia="en-US"/>
            </w:rPr>
            <w:t>43</w:t>
          </w:r>
        </w:p>
        <w:p w14:paraId="32CF25D5" w14:textId="77777777" w:rsidR="005E4EAD" w:rsidRPr="005E4EAD"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c</w:t>
          </w:r>
          <w:r w:rsidR="00333298">
            <w:rPr>
              <w:rFonts w:ascii="Cambria" w:eastAsia="MS Mincho" w:hAnsi="Cambria"/>
              <w:sz w:val="22"/>
              <w:szCs w:val="22"/>
              <w:lang w:eastAsia="en-US"/>
            </w:rPr>
            <w:t xml:space="preserve">) </w:t>
          </w:r>
          <w:r w:rsidRPr="00655203">
            <w:rPr>
              <w:rFonts w:ascii="Cambria" w:eastAsia="MS Mincho" w:hAnsi="Cambria"/>
              <w:sz w:val="22"/>
              <w:szCs w:val="22"/>
              <w:lang w:eastAsia="en-US"/>
            </w:rPr>
            <w:t>Les fautes en lien avec l’octroi des prêts par Q-12</w:t>
          </w:r>
          <w:r w:rsidR="00EE5457">
            <w:rPr>
              <w:rFonts w:ascii="Cambria" w:eastAsia="MS Mincho" w:hAnsi="Cambria"/>
              <w:sz w:val="22"/>
              <w:szCs w:val="22"/>
              <w:lang w:eastAsia="en-US"/>
            </w:rPr>
            <w:t xml:space="preserve"> </w:t>
          </w:r>
          <w:r w:rsidRPr="00D2162B">
            <w:rPr>
              <w:rFonts w:ascii="Cambria" w:eastAsia="MS Mincho" w:hAnsi="Cambria"/>
              <w:szCs w:val="24"/>
              <w:u w:val="single"/>
              <w:lang w:eastAsia="en-US"/>
            </w:rPr>
            <w:tab/>
          </w:r>
          <w:r w:rsidR="00865E6C">
            <w:rPr>
              <w:rFonts w:ascii="Cambria" w:eastAsia="MS Mincho" w:hAnsi="Cambria"/>
              <w:szCs w:val="24"/>
              <w:lang w:eastAsia="en-US"/>
            </w:rPr>
            <w:t>46</w:t>
          </w:r>
        </w:p>
        <w:p w14:paraId="4FEB32FF" w14:textId="77777777" w:rsidR="005E4EAD" w:rsidRPr="005E4EAD"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d</w:t>
          </w:r>
          <w:r w:rsidR="00333298">
            <w:rPr>
              <w:rFonts w:ascii="Cambria" w:eastAsia="MS Mincho" w:hAnsi="Cambria"/>
              <w:sz w:val="22"/>
              <w:szCs w:val="22"/>
              <w:lang w:eastAsia="en-US"/>
            </w:rPr>
            <w:t xml:space="preserve">) </w:t>
          </w:r>
          <w:r w:rsidRPr="00655203">
            <w:rPr>
              <w:rFonts w:ascii="Cambria" w:eastAsia="MS Mincho" w:hAnsi="Cambria"/>
              <w:sz w:val="22"/>
              <w:szCs w:val="22"/>
              <w:lang w:eastAsia="en-US"/>
            </w:rPr>
            <w:t>Sommaire des transactions irrégulières</w:t>
          </w:r>
          <w:r w:rsidR="00EE5457">
            <w:rPr>
              <w:rFonts w:ascii="Cambria" w:eastAsia="MS Mincho" w:hAnsi="Cambria"/>
              <w:sz w:val="22"/>
              <w:szCs w:val="22"/>
              <w:lang w:eastAsia="en-US"/>
            </w:rPr>
            <w:t xml:space="preserve"> </w:t>
          </w:r>
          <w:r w:rsidRPr="00D2162B">
            <w:rPr>
              <w:rFonts w:ascii="Cambria" w:eastAsia="MS Mincho" w:hAnsi="Cambria"/>
              <w:szCs w:val="24"/>
              <w:u w:val="single"/>
              <w:lang w:eastAsia="en-US"/>
            </w:rPr>
            <w:tab/>
          </w:r>
          <w:r w:rsidR="00865E6C">
            <w:rPr>
              <w:rFonts w:ascii="Cambria" w:eastAsia="MS Mincho" w:hAnsi="Cambria"/>
              <w:szCs w:val="24"/>
              <w:lang w:eastAsia="en-US"/>
            </w:rPr>
            <w:t>46</w:t>
          </w:r>
        </w:p>
        <w:p w14:paraId="0D103994" w14:textId="77777777" w:rsidR="005E4EAD" w:rsidRPr="005E4EAD" w:rsidRDefault="00730A01" w:rsidP="005E4EAD">
          <w:pPr>
            <w:tabs>
              <w:tab w:val="right" w:pos="8931"/>
            </w:tabs>
            <w:ind w:left="284"/>
            <w:rPr>
              <w:rFonts w:ascii="Cambria" w:eastAsia="MS Mincho" w:hAnsi="Cambria"/>
              <w:szCs w:val="24"/>
              <w:lang w:eastAsia="en-US"/>
            </w:rPr>
          </w:pPr>
          <w:r w:rsidRPr="005E4EAD">
            <w:rPr>
              <w:rFonts w:ascii="Cambria" w:eastAsia="MS Mincho" w:hAnsi="Cambria"/>
              <w:i/>
              <w:iCs/>
              <w:sz w:val="22"/>
              <w:szCs w:val="22"/>
              <w:lang w:eastAsia="en-US"/>
            </w:rPr>
            <w:t>i)</w:t>
          </w:r>
          <w:r w:rsidR="00655203" w:rsidRPr="005E4EAD">
            <w:rPr>
              <w:rFonts w:ascii="Cambria" w:eastAsia="MS Mincho" w:hAnsi="Cambria"/>
              <w:i/>
              <w:iCs/>
              <w:sz w:val="22"/>
              <w:szCs w:val="22"/>
              <w:lang w:eastAsia="en-US"/>
            </w:rPr>
            <w:t xml:space="preserve"> Détail des prêts irréguliers </w:t>
          </w:r>
          <w:r w:rsidRPr="00D2162B">
            <w:rPr>
              <w:rFonts w:ascii="Cambria" w:eastAsia="MS Mincho" w:hAnsi="Cambria"/>
              <w:szCs w:val="24"/>
              <w:u w:val="single"/>
              <w:lang w:eastAsia="en-US"/>
            </w:rPr>
            <w:tab/>
          </w:r>
          <w:r w:rsidR="00865E6C">
            <w:rPr>
              <w:rFonts w:ascii="Cambria" w:eastAsia="MS Mincho" w:hAnsi="Cambria"/>
              <w:szCs w:val="24"/>
              <w:lang w:eastAsia="en-US"/>
            </w:rPr>
            <w:t>46</w:t>
          </w:r>
        </w:p>
        <w:p w14:paraId="427DAD8B" w14:textId="77777777" w:rsidR="00655203" w:rsidRDefault="00730A01" w:rsidP="00865E6C">
          <w:pPr>
            <w:tabs>
              <w:tab w:val="right" w:pos="8931"/>
            </w:tabs>
            <w:ind w:left="284"/>
            <w:rPr>
              <w:rFonts w:ascii="Cambria" w:eastAsia="MS Mincho" w:hAnsi="Cambria"/>
              <w:szCs w:val="24"/>
              <w:lang w:eastAsia="en-US"/>
            </w:rPr>
          </w:pPr>
          <w:r w:rsidRPr="005E4EAD">
            <w:rPr>
              <w:rFonts w:ascii="Cambria" w:eastAsia="MS Mincho" w:hAnsi="Cambria"/>
              <w:i/>
              <w:iCs/>
              <w:sz w:val="22"/>
              <w:szCs w:val="22"/>
              <w:lang w:eastAsia="en-US"/>
            </w:rPr>
            <w:t xml:space="preserve">ii) Détail des remboursements </w:t>
          </w:r>
          <w:r w:rsidRPr="00865E6C">
            <w:rPr>
              <w:rFonts w:ascii="Cambria" w:eastAsia="MS Mincho" w:hAnsi="Cambria"/>
              <w:i/>
              <w:iCs/>
              <w:sz w:val="22"/>
              <w:szCs w:val="22"/>
              <w:lang w:eastAsia="en-US"/>
            </w:rPr>
            <w:t>irrégulie</w:t>
          </w:r>
          <w:r w:rsidR="005E4EAD" w:rsidRPr="00865E6C">
            <w:rPr>
              <w:rFonts w:ascii="Cambria" w:eastAsia="MS Mincho" w:hAnsi="Cambria"/>
              <w:i/>
              <w:iCs/>
              <w:sz w:val="22"/>
              <w:szCs w:val="22"/>
              <w:lang w:eastAsia="en-US"/>
            </w:rPr>
            <w:t>rs</w:t>
          </w:r>
          <w:r w:rsidR="00EE5457" w:rsidRPr="00865E6C">
            <w:rPr>
              <w:rFonts w:ascii="Cambria" w:eastAsia="MS Mincho" w:hAnsi="Cambria"/>
              <w:sz w:val="22"/>
              <w:szCs w:val="22"/>
              <w:lang w:eastAsia="en-US"/>
            </w:rPr>
            <w:t xml:space="preserve"> </w:t>
          </w:r>
          <w:r w:rsidR="005E4EAD" w:rsidRPr="00D2162B">
            <w:rPr>
              <w:rFonts w:ascii="Cambria" w:eastAsia="MS Mincho" w:hAnsi="Cambria"/>
              <w:szCs w:val="24"/>
              <w:u w:val="single"/>
              <w:lang w:eastAsia="en-US"/>
            </w:rPr>
            <w:tab/>
          </w:r>
          <w:r w:rsidR="00865E6C">
            <w:rPr>
              <w:rFonts w:ascii="Cambria" w:eastAsia="MS Mincho" w:hAnsi="Cambria"/>
              <w:szCs w:val="24"/>
              <w:lang w:eastAsia="en-US"/>
            </w:rPr>
            <w:t>47</w:t>
          </w:r>
        </w:p>
        <w:p w14:paraId="6A7791F9" w14:textId="77777777" w:rsidR="00865E6C" w:rsidRDefault="00730A01" w:rsidP="00E304E8">
          <w:pPr>
            <w:tabs>
              <w:tab w:val="right" w:pos="8931"/>
            </w:tabs>
            <w:ind w:left="142"/>
            <w:rPr>
              <w:rFonts w:ascii="Cambria" w:eastAsia="MS Mincho" w:hAnsi="Cambria"/>
              <w:sz w:val="22"/>
              <w:szCs w:val="22"/>
              <w:lang w:eastAsia="en-US"/>
            </w:rPr>
          </w:pPr>
          <w:r>
            <w:rPr>
              <w:rFonts w:ascii="Cambria" w:eastAsia="MS Mincho" w:hAnsi="Cambria"/>
              <w:sz w:val="22"/>
              <w:szCs w:val="22"/>
              <w:lang w:eastAsia="en-US"/>
            </w:rPr>
            <w:t xml:space="preserve">e) Violations à la stratégie de prêt prévue aux convention de Q-12 et FIISH </w:t>
          </w:r>
          <w:r w:rsidRPr="00531D41">
            <w:rPr>
              <w:rFonts w:ascii="Cambria" w:eastAsia="MS Mincho" w:hAnsi="Cambria"/>
              <w:sz w:val="22"/>
              <w:szCs w:val="22"/>
              <w:u w:val="single"/>
              <w:lang w:eastAsia="en-US"/>
            </w:rPr>
            <w:tab/>
          </w:r>
          <w:r w:rsidRPr="0002678B">
            <w:rPr>
              <w:rFonts w:ascii="Cambria" w:eastAsia="MS Mincho" w:hAnsi="Cambria"/>
              <w:szCs w:val="24"/>
              <w:lang w:eastAsia="en-US"/>
            </w:rPr>
            <w:t>48</w:t>
          </w:r>
        </w:p>
        <w:p w14:paraId="0827ED8E" w14:textId="77777777" w:rsidR="00282989"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i) Violations à la stratégie de prêt de Q-12</w:t>
          </w:r>
          <w:r w:rsidRPr="00282989">
            <w:rPr>
              <w:rFonts w:ascii="Cambria" w:eastAsia="MS Mincho" w:hAnsi="Cambria"/>
              <w:i/>
              <w:iCs/>
              <w:sz w:val="22"/>
              <w:szCs w:val="22"/>
              <w:u w:val="single"/>
              <w:lang w:eastAsia="en-US"/>
            </w:rPr>
            <w:tab/>
          </w:r>
          <w:r w:rsidRPr="0002678B">
            <w:rPr>
              <w:rFonts w:ascii="Cambria" w:eastAsia="MS Mincho" w:hAnsi="Cambria"/>
              <w:szCs w:val="24"/>
              <w:lang w:eastAsia="en-US"/>
            </w:rPr>
            <w:t>49</w:t>
          </w:r>
        </w:p>
        <w:p w14:paraId="7ED109DE" w14:textId="77777777" w:rsidR="00282989"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ii) Violations à la stratégie de prêt de FIISH</w:t>
          </w:r>
          <w:r w:rsidRPr="00282989">
            <w:rPr>
              <w:rFonts w:ascii="Cambria" w:eastAsia="MS Mincho" w:hAnsi="Cambria"/>
              <w:i/>
              <w:iCs/>
              <w:sz w:val="22"/>
              <w:szCs w:val="22"/>
              <w:u w:val="single"/>
              <w:lang w:eastAsia="en-US"/>
            </w:rPr>
            <w:tab/>
          </w:r>
          <w:r w:rsidRPr="0002678B">
            <w:rPr>
              <w:rFonts w:ascii="Cambria" w:eastAsia="MS Mincho" w:hAnsi="Cambria"/>
              <w:szCs w:val="24"/>
              <w:lang w:eastAsia="en-US"/>
            </w:rPr>
            <w:t>49</w:t>
          </w:r>
        </w:p>
        <w:p w14:paraId="34748D13" w14:textId="77777777" w:rsidR="00282989" w:rsidRDefault="00730A01" w:rsidP="00E304E8">
          <w:pPr>
            <w:tabs>
              <w:tab w:val="right" w:pos="8931"/>
            </w:tabs>
            <w:ind w:left="142"/>
            <w:rPr>
              <w:rFonts w:ascii="Cambria" w:eastAsia="MS Mincho" w:hAnsi="Cambria"/>
              <w:sz w:val="22"/>
              <w:szCs w:val="22"/>
              <w:lang w:eastAsia="en-US"/>
            </w:rPr>
          </w:pPr>
          <w:r>
            <w:rPr>
              <w:rFonts w:ascii="Cambria" w:eastAsia="MS Mincho" w:hAnsi="Cambria"/>
              <w:sz w:val="22"/>
              <w:szCs w:val="22"/>
              <w:lang w:eastAsia="en-US"/>
            </w:rPr>
            <w:t xml:space="preserve">f) Injections de fonds téméraires après le 2 mars 2022 </w:t>
          </w:r>
          <w:r w:rsidRPr="00282989">
            <w:rPr>
              <w:rFonts w:ascii="Cambria" w:eastAsia="MS Mincho" w:hAnsi="Cambria"/>
              <w:sz w:val="22"/>
              <w:szCs w:val="22"/>
              <w:u w:val="single"/>
              <w:lang w:eastAsia="en-US"/>
            </w:rPr>
            <w:tab/>
          </w:r>
          <w:r w:rsidRPr="0002678B">
            <w:rPr>
              <w:rFonts w:ascii="Cambria" w:eastAsia="MS Mincho" w:hAnsi="Cambria"/>
              <w:szCs w:val="24"/>
              <w:lang w:eastAsia="en-US"/>
            </w:rPr>
            <w:t>50</w:t>
          </w:r>
        </w:p>
        <w:p w14:paraId="7654DC74" w14:textId="77777777" w:rsidR="00282989" w:rsidRDefault="00730A01" w:rsidP="00E304E8">
          <w:pPr>
            <w:tabs>
              <w:tab w:val="right" w:pos="8931"/>
            </w:tabs>
            <w:ind w:left="142"/>
            <w:rPr>
              <w:rFonts w:ascii="Cambria" w:eastAsia="MS Mincho" w:hAnsi="Cambria"/>
              <w:sz w:val="22"/>
              <w:szCs w:val="22"/>
              <w:lang w:eastAsia="en-US"/>
            </w:rPr>
          </w:pPr>
          <w:r>
            <w:rPr>
              <w:rFonts w:ascii="Cambria" w:eastAsia="MS Mincho" w:hAnsi="Cambria"/>
              <w:sz w:val="22"/>
              <w:szCs w:val="22"/>
              <w:lang w:eastAsia="en-US"/>
            </w:rPr>
            <w:t xml:space="preserve">g) Des transactions de type Ponzi </w:t>
          </w:r>
          <w:r w:rsidRPr="00282989">
            <w:rPr>
              <w:rFonts w:ascii="Cambria" w:eastAsia="MS Mincho" w:hAnsi="Cambria"/>
              <w:sz w:val="22"/>
              <w:szCs w:val="22"/>
              <w:u w:val="single"/>
              <w:lang w:eastAsia="en-US"/>
            </w:rPr>
            <w:tab/>
          </w:r>
          <w:r w:rsidRPr="0002678B">
            <w:rPr>
              <w:rFonts w:ascii="Cambria" w:eastAsia="MS Mincho" w:hAnsi="Cambria"/>
              <w:szCs w:val="24"/>
              <w:lang w:eastAsia="en-US"/>
            </w:rPr>
            <w:t>51</w:t>
          </w:r>
        </w:p>
        <w:p w14:paraId="309A4414" w14:textId="77777777" w:rsidR="00282989" w:rsidRDefault="00730A01" w:rsidP="00282989">
          <w:pPr>
            <w:tabs>
              <w:tab w:val="right" w:pos="8931"/>
            </w:tabs>
            <w:ind w:left="284"/>
            <w:rPr>
              <w:rFonts w:ascii="Cambria" w:eastAsia="MS Mincho" w:hAnsi="Cambria"/>
              <w:sz w:val="22"/>
              <w:szCs w:val="22"/>
              <w:lang w:eastAsia="en-US"/>
            </w:rPr>
          </w:pPr>
          <w:r w:rsidRPr="00282989">
            <w:rPr>
              <w:rFonts w:ascii="Cambria" w:eastAsia="MS Mincho" w:hAnsi="Cambria"/>
              <w:i/>
              <w:iCs/>
              <w:sz w:val="22"/>
              <w:szCs w:val="22"/>
              <w:lang w:eastAsia="en-US"/>
            </w:rPr>
            <w:t>i) FIISH 2020 – Intérêts Huot (avril 2020</w:t>
          </w:r>
          <w:r>
            <w:rPr>
              <w:rFonts w:ascii="Cambria" w:eastAsia="MS Mincho" w:hAnsi="Cambria"/>
              <w:i/>
              <w:iCs/>
              <w:sz w:val="22"/>
              <w:szCs w:val="22"/>
              <w:lang w:eastAsia="en-US"/>
            </w:rPr>
            <w:t xml:space="preserve">, PSH-12) </w:t>
          </w:r>
          <w:r w:rsidRPr="00282989">
            <w:rPr>
              <w:rFonts w:ascii="Cambria" w:eastAsia="MS Mincho" w:hAnsi="Cambria"/>
              <w:i/>
              <w:iCs/>
              <w:sz w:val="22"/>
              <w:szCs w:val="22"/>
              <w:u w:val="single"/>
              <w:lang w:eastAsia="en-US"/>
            </w:rPr>
            <w:tab/>
          </w:r>
          <w:r w:rsidRPr="0002678B">
            <w:rPr>
              <w:rFonts w:ascii="Cambria" w:eastAsia="MS Mincho" w:hAnsi="Cambria"/>
              <w:szCs w:val="24"/>
              <w:lang w:eastAsia="en-US"/>
            </w:rPr>
            <w:t>53</w:t>
          </w:r>
        </w:p>
        <w:p w14:paraId="29328983" w14:textId="77777777" w:rsidR="00282989"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 xml:space="preserve">ii) FIISH 2021 – Intérêts Huot (mai 2021, PSH-16) </w:t>
          </w:r>
          <w:r w:rsidRPr="00282989">
            <w:rPr>
              <w:rFonts w:ascii="Cambria" w:eastAsia="MS Mincho" w:hAnsi="Cambria"/>
              <w:i/>
              <w:iCs/>
              <w:sz w:val="22"/>
              <w:szCs w:val="22"/>
              <w:u w:val="single"/>
              <w:lang w:eastAsia="en-US"/>
            </w:rPr>
            <w:tab/>
          </w:r>
          <w:r w:rsidRPr="0002678B">
            <w:rPr>
              <w:rFonts w:ascii="Cambria" w:eastAsia="MS Mincho" w:hAnsi="Cambria"/>
              <w:szCs w:val="24"/>
              <w:lang w:eastAsia="en-US"/>
            </w:rPr>
            <w:t>53</w:t>
          </w:r>
        </w:p>
        <w:p w14:paraId="12D21CB1" w14:textId="77777777" w:rsidR="00282989" w:rsidRDefault="00730A01" w:rsidP="00282989">
          <w:pPr>
            <w:tabs>
              <w:tab w:val="right" w:pos="8931"/>
            </w:tabs>
            <w:ind w:left="284"/>
            <w:rPr>
              <w:rFonts w:ascii="Cambria" w:eastAsia="MS Mincho" w:hAnsi="Cambria"/>
              <w:sz w:val="22"/>
              <w:szCs w:val="22"/>
              <w:lang w:eastAsia="en-US"/>
            </w:rPr>
          </w:pPr>
          <w:r>
            <w:rPr>
              <w:rFonts w:ascii="Cambria" w:eastAsia="MS Mincho" w:hAnsi="Cambria"/>
              <w:i/>
              <w:iCs/>
              <w:sz w:val="22"/>
              <w:szCs w:val="22"/>
              <w:lang w:eastAsia="en-US"/>
            </w:rPr>
            <w:t xml:space="preserve">iii) FIISH 2021 – Déboursé vers Q-12 (juillet 2021, PSH 16) </w:t>
          </w:r>
          <w:r w:rsidRPr="00282989">
            <w:rPr>
              <w:rFonts w:ascii="Cambria" w:eastAsia="MS Mincho" w:hAnsi="Cambria"/>
              <w:i/>
              <w:iCs/>
              <w:sz w:val="22"/>
              <w:szCs w:val="22"/>
              <w:u w:val="single"/>
              <w:lang w:eastAsia="en-US"/>
            </w:rPr>
            <w:tab/>
          </w:r>
          <w:r w:rsidRPr="0002678B">
            <w:rPr>
              <w:rFonts w:ascii="Cambria" w:eastAsia="MS Mincho" w:hAnsi="Cambria"/>
              <w:szCs w:val="24"/>
              <w:lang w:eastAsia="en-US"/>
            </w:rPr>
            <w:t>53</w:t>
          </w:r>
        </w:p>
        <w:p w14:paraId="21A36B53" w14:textId="77777777" w:rsidR="00282989"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 xml:space="preserve">iv) Remboursement du prêt P040 – Aventura IX (2021) </w:t>
          </w:r>
          <w:r w:rsidRPr="00282989">
            <w:rPr>
              <w:rFonts w:ascii="Cambria" w:eastAsia="MS Mincho" w:hAnsi="Cambria"/>
              <w:i/>
              <w:iCs/>
              <w:sz w:val="22"/>
              <w:szCs w:val="22"/>
              <w:u w:val="single"/>
              <w:lang w:eastAsia="en-US"/>
            </w:rPr>
            <w:tab/>
          </w:r>
          <w:r w:rsidRPr="0002678B">
            <w:rPr>
              <w:rFonts w:ascii="Cambria" w:eastAsia="MS Mincho" w:hAnsi="Cambria"/>
              <w:szCs w:val="24"/>
              <w:lang w:eastAsia="en-US"/>
            </w:rPr>
            <w:t>53</w:t>
          </w:r>
        </w:p>
        <w:p w14:paraId="15590B66" w14:textId="77777777" w:rsidR="00282989"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 xml:space="preserve">v) Remboursement du prêt Morille (2021) </w:t>
          </w:r>
          <w:r w:rsidRPr="00282989">
            <w:rPr>
              <w:rFonts w:ascii="Cambria" w:eastAsia="MS Mincho" w:hAnsi="Cambria"/>
              <w:i/>
              <w:iCs/>
              <w:sz w:val="22"/>
              <w:szCs w:val="22"/>
              <w:u w:val="single"/>
              <w:lang w:eastAsia="en-US"/>
            </w:rPr>
            <w:tab/>
          </w:r>
          <w:r w:rsidRPr="0002678B">
            <w:rPr>
              <w:rFonts w:ascii="Cambria" w:eastAsia="MS Mincho" w:hAnsi="Cambria"/>
              <w:szCs w:val="24"/>
              <w:lang w:eastAsia="en-US"/>
            </w:rPr>
            <w:t>54</w:t>
          </w:r>
        </w:p>
        <w:p w14:paraId="1416FD08" w14:textId="77777777" w:rsidR="00282989"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 xml:space="preserve">vi) Prêt Transrapide – Intérêts (février 2022, PQ-15.1) </w:t>
          </w:r>
          <w:r w:rsidRPr="00282989">
            <w:rPr>
              <w:rFonts w:ascii="Cambria" w:eastAsia="MS Mincho" w:hAnsi="Cambria"/>
              <w:i/>
              <w:iCs/>
              <w:sz w:val="22"/>
              <w:szCs w:val="22"/>
              <w:u w:val="single"/>
              <w:lang w:eastAsia="en-US"/>
            </w:rPr>
            <w:tab/>
          </w:r>
          <w:r w:rsidRPr="0002678B">
            <w:rPr>
              <w:rFonts w:ascii="Cambria" w:eastAsia="MS Mincho" w:hAnsi="Cambria"/>
              <w:szCs w:val="24"/>
              <w:lang w:eastAsia="en-US"/>
            </w:rPr>
            <w:t>54</w:t>
          </w:r>
        </w:p>
        <w:p w14:paraId="50F5DF7E" w14:textId="77777777" w:rsidR="00282989"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 xml:space="preserve">vii) Q-12 – Intérêts </w:t>
          </w:r>
          <w:r w:rsidR="00B17721">
            <w:rPr>
              <w:rFonts w:ascii="Cambria" w:eastAsia="MS Mincho" w:hAnsi="Cambria"/>
              <w:i/>
              <w:iCs/>
              <w:sz w:val="22"/>
              <w:szCs w:val="22"/>
              <w:lang w:eastAsia="en-US"/>
            </w:rPr>
            <w:t xml:space="preserve">Huot (mars 2022, PSH-22) </w:t>
          </w:r>
          <w:r w:rsidR="00B17721" w:rsidRPr="00B17721">
            <w:rPr>
              <w:rFonts w:ascii="Cambria" w:eastAsia="MS Mincho" w:hAnsi="Cambria"/>
              <w:i/>
              <w:iCs/>
              <w:sz w:val="22"/>
              <w:szCs w:val="22"/>
              <w:u w:val="single"/>
              <w:lang w:eastAsia="en-US"/>
            </w:rPr>
            <w:tab/>
          </w:r>
          <w:r w:rsidR="00B17721" w:rsidRPr="0002678B">
            <w:rPr>
              <w:rFonts w:ascii="Cambria" w:eastAsia="MS Mincho" w:hAnsi="Cambria"/>
              <w:szCs w:val="24"/>
              <w:lang w:eastAsia="en-US"/>
            </w:rPr>
            <w:t>54</w:t>
          </w:r>
        </w:p>
        <w:p w14:paraId="038BB879" w14:textId="77777777" w:rsidR="00B17721"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 xml:space="preserve">viii) FIISH 2022 – Intérêts Huot (mars-avril 2022, PSH-22) </w:t>
          </w:r>
          <w:r w:rsidRPr="00B17721">
            <w:rPr>
              <w:rFonts w:ascii="Cambria" w:eastAsia="MS Mincho" w:hAnsi="Cambria"/>
              <w:i/>
              <w:iCs/>
              <w:sz w:val="22"/>
              <w:szCs w:val="22"/>
              <w:u w:val="single"/>
              <w:lang w:eastAsia="en-US"/>
            </w:rPr>
            <w:tab/>
          </w:r>
          <w:r w:rsidRPr="0002678B">
            <w:rPr>
              <w:rFonts w:ascii="Cambria" w:eastAsia="MS Mincho" w:hAnsi="Cambria"/>
              <w:szCs w:val="24"/>
              <w:lang w:eastAsia="en-US"/>
            </w:rPr>
            <w:t>54</w:t>
          </w:r>
        </w:p>
        <w:p w14:paraId="2230A950" w14:textId="77777777" w:rsidR="00B17721"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 xml:space="preserve">ix) Prêt P100 de Q-12 – Huot (octobre 2022, PQ-16.2) </w:t>
          </w:r>
          <w:r w:rsidRPr="00B17721">
            <w:rPr>
              <w:rFonts w:ascii="Cambria" w:eastAsia="MS Mincho" w:hAnsi="Cambria"/>
              <w:i/>
              <w:iCs/>
              <w:sz w:val="22"/>
              <w:szCs w:val="22"/>
              <w:u w:val="single"/>
              <w:lang w:eastAsia="en-US"/>
            </w:rPr>
            <w:tab/>
          </w:r>
          <w:r w:rsidRPr="0002678B">
            <w:rPr>
              <w:rFonts w:ascii="Cambria" w:eastAsia="MS Mincho" w:hAnsi="Cambria"/>
              <w:szCs w:val="24"/>
              <w:lang w:eastAsia="en-US"/>
            </w:rPr>
            <w:t>54</w:t>
          </w:r>
        </w:p>
        <w:p w14:paraId="3FDC341C" w14:textId="77777777" w:rsidR="00B17721" w:rsidRDefault="00730A01" w:rsidP="00282989">
          <w:pPr>
            <w:tabs>
              <w:tab w:val="right" w:pos="8931"/>
            </w:tabs>
            <w:ind w:left="284"/>
            <w:rPr>
              <w:rFonts w:ascii="Cambria" w:eastAsia="MS Mincho" w:hAnsi="Cambria"/>
              <w:i/>
              <w:iCs/>
              <w:sz w:val="22"/>
              <w:szCs w:val="22"/>
              <w:lang w:eastAsia="en-US"/>
            </w:rPr>
          </w:pPr>
          <w:r>
            <w:rPr>
              <w:rFonts w:ascii="Cambria" w:eastAsia="MS Mincho" w:hAnsi="Cambria"/>
              <w:i/>
              <w:iCs/>
              <w:sz w:val="22"/>
              <w:szCs w:val="22"/>
              <w:lang w:eastAsia="en-US"/>
            </w:rPr>
            <w:t xml:space="preserve">x) Prêt P093 – Huot (décembre 2022, PQ-94) </w:t>
          </w:r>
          <w:r w:rsidRPr="00B17721">
            <w:rPr>
              <w:rFonts w:ascii="Cambria" w:eastAsia="MS Mincho" w:hAnsi="Cambria"/>
              <w:i/>
              <w:iCs/>
              <w:sz w:val="22"/>
              <w:szCs w:val="22"/>
              <w:u w:val="single"/>
              <w:lang w:eastAsia="en-US"/>
            </w:rPr>
            <w:tab/>
          </w:r>
          <w:r w:rsidRPr="0002678B">
            <w:rPr>
              <w:rFonts w:ascii="Cambria" w:eastAsia="MS Mincho" w:hAnsi="Cambria"/>
              <w:szCs w:val="24"/>
              <w:lang w:eastAsia="en-US"/>
            </w:rPr>
            <w:t>55</w:t>
          </w:r>
        </w:p>
        <w:p w14:paraId="7DC7EC09" w14:textId="77777777" w:rsidR="00B17721" w:rsidRDefault="00730A01" w:rsidP="00E304E8">
          <w:pPr>
            <w:tabs>
              <w:tab w:val="right" w:pos="8931"/>
            </w:tabs>
            <w:ind w:left="142"/>
            <w:rPr>
              <w:rFonts w:ascii="Cambria" w:eastAsia="MS Mincho" w:hAnsi="Cambria"/>
              <w:sz w:val="22"/>
              <w:szCs w:val="22"/>
              <w:lang w:eastAsia="en-US"/>
            </w:rPr>
          </w:pPr>
          <w:r>
            <w:rPr>
              <w:rFonts w:ascii="Cambria" w:eastAsia="MS Mincho" w:hAnsi="Cambria"/>
              <w:sz w:val="22"/>
              <w:szCs w:val="22"/>
              <w:lang w:eastAsia="en-US"/>
            </w:rPr>
            <w:t xml:space="preserve">h) Détournement de capitaux des commanditaires vers ses sociétés </w:t>
          </w:r>
          <w:r w:rsidRPr="00DC2679">
            <w:rPr>
              <w:rFonts w:ascii="Cambria" w:eastAsia="MS Mincho" w:hAnsi="Cambria"/>
              <w:sz w:val="22"/>
              <w:szCs w:val="22"/>
              <w:u w:val="single"/>
              <w:lang w:eastAsia="en-US"/>
            </w:rPr>
            <w:tab/>
          </w:r>
          <w:r w:rsidRPr="0002678B">
            <w:rPr>
              <w:rFonts w:ascii="Cambria" w:eastAsia="MS Mincho" w:hAnsi="Cambria"/>
              <w:szCs w:val="24"/>
              <w:lang w:eastAsia="en-US"/>
            </w:rPr>
            <w:t>55</w:t>
          </w:r>
        </w:p>
        <w:p w14:paraId="79B71B9D" w14:textId="77777777" w:rsidR="00DC2679" w:rsidRPr="00716F98" w:rsidRDefault="00730A01" w:rsidP="00E304E8">
          <w:pPr>
            <w:tabs>
              <w:tab w:val="right" w:pos="8931"/>
            </w:tabs>
            <w:ind w:left="142"/>
            <w:rPr>
              <w:rFonts w:ascii="Cambria" w:eastAsia="MS Mincho" w:hAnsi="Cambria"/>
              <w:sz w:val="22"/>
              <w:szCs w:val="22"/>
              <w:lang w:eastAsia="en-US"/>
            </w:rPr>
          </w:pPr>
          <w:r w:rsidRPr="00716F98">
            <w:rPr>
              <w:rFonts w:ascii="Cambria" w:eastAsia="MS Mincho" w:hAnsi="Cambria"/>
              <w:sz w:val="22"/>
              <w:szCs w:val="22"/>
              <w:lang w:eastAsia="en-US"/>
            </w:rPr>
            <w:t xml:space="preserve">i) Double facturation </w:t>
          </w:r>
          <w:r w:rsidRPr="00716F98">
            <w:rPr>
              <w:rFonts w:ascii="Cambria" w:eastAsia="MS Mincho" w:hAnsi="Cambria"/>
              <w:sz w:val="22"/>
              <w:szCs w:val="22"/>
              <w:u w:val="single"/>
              <w:lang w:eastAsia="en-US"/>
            </w:rPr>
            <w:tab/>
          </w:r>
          <w:r w:rsidRPr="0002678B">
            <w:rPr>
              <w:rFonts w:ascii="Cambria" w:eastAsia="MS Mincho" w:hAnsi="Cambria"/>
              <w:szCs w:val="24"/>
              <w:lang w:eastAsia="en-US"/>
            </w:rPr>
            <w:t>57</w:t>
          </w:r>
        </w:p>
        <w:p w14:paraId="00AB4A1A" w14:textId="77777777" w:rsidR="00DC2679" w:rsidRPr="00716F98" w:rsidRDefault="00730A01" w:rsidP="00E304E8">
          <w:pPr>
            <w:tabs>
              <w:tab w:val="right" w:pos="8931"/>
            </w:tabs>
            <w:spacing w:after="60"/>
            <w:ind w:left="142"/>
            <w:rPr>
              <w:rFonts w:ascii="Cambria" w:eastAsia="MS Mincho" w:hAnsi="Cambria"/>
              <w:sz w:val="22"/>
              <w:szCs w:val="22"/>
              <w:lang w:eastAsia="en-US"/>
            </w:rPr>
          </w:pPr>
          <w:r>
            <w:rPr>
              <w:rFonts w:ascii="Cambria" w:eastAsia="MS Mincho" w:hAnsi="Cambria"/>
              <w:sz w:val="22"/>
              <w:szCs w:val="22"/>
              <w:lang w:eastAsia="en-US"/>
            </w:rPr>
            <w:t>j</w:t>
          </w:r>
          <w:r w:rsidRPr="00716F98">
            <w:rPr>
              <w:rFonts w:ascii="Cambria" w:eastAsia="MS Mincho" w:hAnsi="Cambria"/>
              <w:sz w:val="22"/>
              <w:szCs w:val="22"/>
              <w:lang w:eastAsia="en-US"/>
            </w:rPr>
            <w:t xml:space="preserve">) Le défaut de protéger le capital des commandites </w:t>
          </w:r>
          <w:r w:rsidRPr="00716F98">
            <w:rPr>
              <w:rFonts w:ascii="Cambria" w:eastAsia="MS Mincho" w:hAnsi="Cambria"/>
              <w:sz w:val="22"/>
              <w:szCs w:val="22"/>
              <w:u w:val="single"/>
              <w:lang w:eastAsia="en-US"/>
            </w:rPr>
            <w:tab/>
          </w:r>
          <w:r w:rsidRPr="0002678B">
            <w:rPr>
              <w:rFonts w:ascii="Cambria" w:eastAsia="MS Mincho" w:hAnsi="Cambria"/>
              <w:szCs w:val="24"/>
              <w:lang w:eastAsia="en-US"/>
            </w:rPr>
            <w:t>5</w:t>
          </w:r>
          <w:r w:rsidR="00D80CDF">
            <w:rPr>
              <w:rFonts w:ascii="Cambria" w:eastAsia="MS Mincho" w:hAnsi="Cambria"/>
              <w:szCs w:val="24"/>
              <w:lang w:eastAsia="en-US"/>
            </w:rPr>
            <w:t>8</w:t>
          </w:r>
        </w:p>
        <w:p w14:paraId="464688DC" w14:textId="77777777" w:rsidR="009B48F0" w:rsidRPr="00D85D62" w:rsidRDefault="00730A01" w:rsidP="00A437BA">
          <w:pPr>
            <w:tabs>
              <w:tab w:val="right" w:pos="8931"/>
            </w:tabs>
            <w:spacing w:after="60"/>
            <w:rPr>
              <w:rFonts w:ascii="Cambria" w:eastAsia="MS Mincho" w:hAnsi="Cambria"/>
              <w:szCs w:val="24"/>
              <w:lang w:eastAsia="en-US"/>
            </w:rPr>
          </w:pPr>
          <w:r>
            <w:rPr>
              <w:rFonts w:ascii="Cambria" w:eastAsia="MS Mincho" w:hAnsi="Cambria"/>
              <w:b/>
              <w:bCs/>
              <w:sz w:val="22"/>
              <w:szCs w:val="22"/>
              <w:lang w:eastAsia="en-US"/>
            </w:rPr>
            <w:t>4</w:t>
          </w:r>
          <w:r w:rsidR="00655203" w:rsidRPr="00655203">
            <w:rPr>
              <w:rFonts w:ascii="Cambria" w:eastAsia="MS Mincho" w:hAnsi="Cambria"/>
              <w:b/>
              <w:bCs/>
              <w:sz w:val="22"/>
              <w:szCs w:val="22"/>
              <w:lang w:eastAsia="en-US"/>
            </w:rPr>
            <w:t>.1 Le lien de causalité entre les dommages réclamés et les fautes des sociétés</w:t>
          </w:r>
          <w:r w:rsidR="00655203" w:rsidRPr="00655203">
            <w:rPr>
              <w:rFonts w:ascii="Cambria" w:eastAsia="MS Mincho" w:hAnsi="Cambria"/>
              <w:sz w:val="22"/>
              <w:szCs w:val="22"/>
              <w:lang w:eastAsia="en-US"/>
            </w:rPr>
            <w:t xml:space="preserve"> </w:t>
          </w:r>
          <w:r w:rsidR="00655203" w:rsidRPr="00655203">
            <w:rPr>
              <w:rFonts w:ascii="Cambria" w:eastAsia="MS Mincho" w:hAnsi="Cambria"/>
              <w:b/>
              <w:bCs/>
              <w:sz w:val="22"/>
              <w:szCs w:val="22"/>
              <w:lang w:eastAsia="en-US"/>
            </w:rPr>
            <w:t>défenderesses</w:t>
          </w:r>
          <w:r w:rsidR="00EE5457">
            <w:rPr>
              <w:rFonts w:ascii="Cambria" w:eastAsia="MS Mincho" w:hAnsi="Cambria"/>
              <w:b/>
              <w:bCs/>
              <w:sz w:val="22"/>
              <w:szCs w:val="22"/>
              <w:lang w:eastAsia="en-US"/>
            </w:rPr>
            <w:t xml:space="preserve"> </w:t>
          </w:r>
          <w:r w:rsidR="00D85D62" w:rsidRPr="00D2162B">
            <w:rPr>
              <w:rFonts w:ascii="Cambria" w:eastAsia="MS Mincho" w:hAnsi="Cambria"/>
              <w:szCs w:val="24"/>
              <w:u w:val="single"/>
              <w:lang w:eastAsia="en-US"/>
            </w:rPr>
            <w:tab/>
          </w:r>
          <w:r w:rsidR="00716F98">
            <w:rPr>
              <w:rFonts w:ascii="Cambria" w:eastAsia="MS Mincho" w:hAnsi="Cambria"/>
              <w:szCs w:val="24"/>
              <w:lang w:eastAsia="en-US"/>
            </w:rPr>
            <w:t>60</w:t>
          </w:r>
        </w:p>
        <w:p w14:paraId="1AFD295B" w14:textId="77777777" w:rsidR="00D85D62" w:rsidRDefault="00730A01" w:rsidP="00D85D62">
          <w:pPr>
            <w:tabs>
              <w:tab w:val="right" w:pos="8931"/>
            </w:tabs>
            <w:rPr>
              <w:rFonts w:ascii="Cambria" w:eastAsia="MS Mincho" w:hAnsi="Cambria"/>
              <w:b/>
              <w:bCs/>
              <w:sz w:val="22"/>
              <w:szCs w:val="22"/>
              <w:lang w:eastAsia="en-US"/>
            </w:rPr>
          </w:pPr>
          <w:r>
            <w:rPr>
              <w:rFonts w:ascii="Cambria" w:eastAsia="MS Mincho" w:hAnsi="Cambria"/>
              <w:b/>
              <w:bCs/>
              <w:sz w:val="22"/>
              <w:szCs w:val="22"/>
              <w:lang w:eastAsia="en-US"/>
            </w:rPr>
            <w:t>5</w:t>
          </w:r>
          <w:r w:rsidR="00655203" w:rsidRPr="00D85D62">
            <w:rPr>
              <w:rFonts w:ascii="Cambria" w:eastAsia="MS Mincho" w:hAnsi="Cambria"/>
              <w:b/>
              <w:bCs/>
              <w:sz w:val="22"/>
              <w:szCs w:val="22"/>
              <w:lang w:eastAsia="en-US"/>
            </w:rPr>
            <w:t>. Un partage de responsabilité</w:t>
          </w:r>
          <w:r w:rsidR="009B48F0">
            <w:rPr>
              <w:rFonts w:ascii="Cambria" w:eastAsia="MS Mincho" w:hAnsi="Cambria"/>
              <w:b/>
              <w:bCs/>
              <w:sz w:val="22"/>
              <w:szCs w:val="22"/>
              <w:lang w:eastAsia="en-US"/>
            </w:rPr>
            <w:t>s</w:t>
          </w:r>
          <w:r w:rsidR="00655203" w:rsidRPr="00D85D62">
            <w:rPr>
              <w:rFonts w:ascii="Cambria" w:eastAsia="MS Mincho" w:hAnsi="Cambria"/>
              <w:b/>
              <w:bCs/>
              <w:sz w:val="22"/>
              <w:szCs w:val="22"/>
              <w:lang w:eastAsia="en-US"/>
            </w:rPr>
            <w:t xml:space="preserve"> entre</w:t>
          </w:r>
          <w:r>
            <w:rPr>
              <w:rFonts w:ascii="Cambria" w:eastAsia="MS Mincho" w:hAnsi="Cambria"/>
              <w:b/>
              <w:bCs/>
              <w:sz w:val="22"/>
              <w:szCs w:val="22"/>
              <w:lang w:eastAsia="en-US"/>
            </w:rPr>
            <w:t xml:space="preserve"> </w:t>
          </w:r>
          <w:r w:rsidR="00655203" w:rsidRPr="00D85D62">
            <w:rPr>
              <w:rFonts w:ascii="Cambria" w:eastAsia="MS Mincho" w:hAnsi="Cambria"/>
              <w:b/>
              <w:bCs/>
              <w:sz w:val="22"/>
              <w:szCs w:val="22"/>
              <w:lang w:eastAsia="en-US"/>
            </w:rPr>
            <w:t xml:space="preserve">les Défendeurs et les Demandeurs </w:t>
          </w:r>
        </w:p>
        <w:p w14:paraId="7D28474B" w14:textId="77777777" w:rsidR="005E4EAD" w:rsidRPr="002E7477" w:rsidRDefault="00730A01" w:rsidP="00D85D62">
          <w:pPr>
            <w:tabs>
              <w:tab w:val="right" w:pos="8931"/>
            </w:tabs>
            <w:rPr>
              <w:rFonts w:ascii="Cambria" w:eastAsia="MS Mincho" w:hAnsi="Cambria"/>
              <w:szCs w:val="24"/>
              <w:lang w:eastAsia="en-US"/>
            </w:rPr>
          </w:pPr>
          <w:r w:rsidRPr="00D85D62">
            <w:rPr>
              <w:rFonts w:ascii="Cambria" w:eastAsia="MS Mincho" w:hAnsi="Cambria"/>
              <w:b/>
              <w:bCs/>
              <w:sz w:val="22"/>
              <w:szCs w:val="22"/>
              <w:lang w:eastAsia="en-US"/>
            </w:rPr>
            <w:t>n’est pas justifié</w:t>
          </w:r>
          <w:r w:rsidR="00EE5457">
            <w:rPr>
              <w:rFonts w:ascii="Cambria" w:eastAsia="MS Mincho" w:hAnsi="Cambria"/>
              <w:b/>
              <w:bCs/>
              <w:sz w:val="22"/>
              <w:szCs w:val="22"/>
              <w:lang w:eastAsia="en-US"/>
            </w:rPr>
            <w:t xml:space="preserve"> </w:t>
          </w:r>
          <w:r w:rsidR="002E7477" w:rsidRPr="00D2162B">
            <w:rPr>
              <w:rFonts w:ascii="Cambria" w:eastAsia="MS Mincho" w:hAnsi="Cambria"/>
              <w:szCs w:val="24"/>
              <w:u w:val="single"/>
              <w:lang w:eastAsia="en-US"/>
            </w:rPr>
            <w:tab/>
          </w:r>
          <w:r w:rsidR="002E7477">
            <w:rPr>
              <w:rFonts w:ascii="Cambria" w:eastAsia="MS Mincho" w:hAnsi="Cambria"/>
              <w:szCs w:val="24"/>
              <w:lang w:eastAsia="en-US"/>
            </w:rPr>
            <w:t>6</w:t>
          </w:r>
          <w:r w:rsidR="00B5572E">
            <w:rPr>
              <w:rFonts w:ascii="Cambria" w:eastAsia="MS Mincho" w:hAnsi="Cambria"/>
              <w:szCs w:val="24"/>
              <w:lang w:eastAsia="en-US"/>
            </w:rPr>
            <w:t>3</w:t>
          </w:r>
        </w:p>
        <w:p w14:paraId="0D441424" w14:textId="77777777" w:rsidR="005E4EAD" w:rsidRPr="002E7477"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a) Les prétentions des Défendeurs quant aux pertes qu’ils auraient eux-mêmes subies</w:t>
          </w:r>
          <w:r w:rsidR="00EE5457">
            <w:rPr>
              <w:rFonts w:ascii="Cambria" w:eastAsia="MS Mincho" w:hAnsi="Cambria"/>
              <w:sz w:val="22"/>
              <w:szCs w:val="22"/>
              <w:lang w:eastAsia="en-US"/>
            </w:rPr>
            <w:t xml:space="preserve"> </w:t>
          </w:r>
          <w:r w:rsidR="002E7477" w:rsidRPr="00D2162B">
            <w:rPr>
              <w:rFonts w:ascii="Cambria" w:eastAsia="MS Mincho" w:hAnsi="Cambria"/>
              <w:szCs w:val="24"/>
              <w:u w:val="single"/>
              <w:lang w:eastAsia="en-US"/>
            </w:rPr>
            <w:tab/>
          </w:r>
          <w:r w:rsidR="002E7477">
            <w:rPr>
              <w:rFonts w:ascii="Cambria" w:eastAsia="MS Mincho" w:hAnsi="Cambria"/>
              <w:szCs w:val="24"/>
              <w:lang w:eastAsia="en-US"/>
            </w:rPr>
            <w:t>6</w:t>
          </w:r>
          <w:r w:rsidR="00B5572E">
            <w:rPr>
              <w:rFonts w:ascii="Cambria" w:eastAsia="MS Mincho" w:hAnsi="Cambria"/>
              <w:szCs w:val="24"/>
              <w:lang w:eastAsia="en-US"/>
            </w:rPr>
            <w:t>5</w:t>
          </w:r>
        </w:p>
        <w:p w14:paraId="07C5615A" w14:textId="77777777" w:rsidR="00655203" w:rsidRPr="002E7477" w:rsidRDefault="00730A01" w:rsidP="00E304E8">
          <w:pPr>
            <w:tabs>
              <w:tab w:val="right" w:pos="8931"/>
            </w:tabs>
            <w:spacing w:after="60"/>
            <w:ind w:left="142"/>
            <w:rPr>
              <w:rFonts w:ascii="Cambria" w:eastAsia="MS Mincho" w:hAnsi="Cambria"/>
              <w:szCs w:val="24"/>
              <w:lang w:eastAsia="en-US"/>
            </w:rPr>
          </w:pPr>
          <w:r w:rsidRPr="00655203">
            <w:rPr>
              <w:rFonts w:ascii="Cambria" w:eastAsia="MS Mincho" w:hAnsi="Cambria"/>
              <w:sz w:val="22"/>
              <w:szCs w:val="22"/>
              <w:lang w:eastAsia="en-US"/>
            </w:rPr>
            <w:t>b) L’augmentation du patrimoine de Giroux</w:t>
          </w:r>
          <w:r w:rsidR="00EE5457">
            <w:rPr>
              <w:rFonts w:ascii="Cambria" w:eastAsia="MS Mincho" w:hAnsi="Cambria"/>
              <w:sz w:val="22"/>
              <w:szCs w:val="22"/>
              <w:lang w:eastAsia="en-US"/>
            </w:rPr>
            <w:t xml:space="preserve"> </w:t>
          </w:r>
          <w:r w:rsidR="002E7477" w:rsidRPr="00D2162B">
            <w:rPr>
              <w:rFonts w:ascii="Cambria" w:eastAsia="MS Mincho" w:hAnsi="Cambria"/>
              <w:szCs w:val="24"/>
              <w:u w:val="single"/>
              <w:lang w:eastAsia="en-US"/>
            </w:rPr>
            <w:tab/>
          </w:r>
          <w:r w:rsidR="002E7477">
            <w:rPr>
              <w:rFonts w:ascii="Cambria" w:eastAsia="MS Mincho" w:hAnsi="Cambria"/>
              <w:szCs w:val="24"/>
              <w:lang w:eastAsia="en-US"/>
            </w:rPr>
            <w:t>6</w:t>
          </w:r>
          <w:r w:rsidR="00B5572E">
            <w:rPr>
              <w:rFonts w:ascii="Cambria" w:eastAsia="MS Mincho" w:hAnsi="Cambria"/>
              <w:szCs w:val="24"/>
              <w:lang w:eastAsia="en-US"/>
            </w:rPr>
            <w:t>5</w:t>
          </w:r>
        </w:p>
        <w:p w14:paraId="3A347CFB" w14:textId="77777777" w:rsidR="00655203" w:rsidRPr="002E7477" w:rsidRDefault="00730A01" w:rsidP="00A437BA">
          <w:pPr>
            <w:tabs>
              <w:tab w:val="right" w:pos="8931"/>
            </w:tabs>
            <w:spacing w:after="60"/>
            <w:rPr>
              <w:rFonts w:ascii="Cambria" w:eastAsia="MS Mincho" w:hAnsi="Cambria"/>
              <w:szCs w:val="24"/>
              <w:lang w:eastAsia="en-US"/>
            </w:rPr>
          </w:pPr>
          <w:r>
            <w:rPr>
              <w:rFonts w:ascii="Cambria" w:eastAsia="MS Mincho" w:hAnsi="Cambria"/>
              <w:b/>
              <w:bCs/>
              <w:szCs w:val="24"/>
              <w:lang w:eastAsia="en-US"/>
            </w:rPr>
            <w:t>6</w:t>
          </w:r>
          <w:r w:rsidRPr="00655203">
            <w:rPr>
              <w:rFonts w:ascii="Cambria" w:eastAsia="MS Mincho" w:hAnsi="Cambria"/>
              <w:b/>
              <w:bCs/>
              <w:szCs w:val="24"/>
              <w:lang w:eastAsia="en-US"/>
            </w:rPr>
            <w:t xml:space="preserve">. </w:t>
          </w:r>
          <w:r w:rsidRPr="002E7477">
            <w:rPr>
              <w:rFonts w:ascii="Cambria" w:eastAsia="MS Mincho" w:hAnsi="Cambria"/>
              <w:b/>
              <w:bCs/>
              <w:sz w:val="22"/>
              <w:szCs w:val="22"/>
              <w:lang w:eastAsia="en-US"/>
            </w:rPr>
            <w:t xml:space="preserve">La non-applicabilité des clauses de </w:t>
          </w:r>
          <w:r w:rsidR="006429E7">
            <w:rPr>
              <w:rFonts w:ascii="Cambria" w:eastAsia="MS Mincho" w:hAnsi="Cambria"/>
              <w:b/>
              <w:bCs/>
              <w:sz w:val="22"/>
              <w:szCs w:val="22"/>
              <w:lang w:eastAsia="en-US"/>
            </w:rPr>
            <w:t xml:space="preserve">limitation de </w:t>
          </w:r>
          <w:r w:rsidRPr="002E7477">
            <w:rPr>
              <w:rFonts w:ascii="Cambria" w:eastAsia="MS Mincho" w:hAnsi="Cambria"/>
              <w:b/>
              <w:bCs/>
              <w:sz w:val="22"/>
              <w:szCs w:val="22"/>
              <w:lang w:eastAsia="en-US"/>
            </w:rPr>
            <w:t>responsabilité contenues aux Convention</w:t>
          </w:r>
          <w:r w:rsidR="00993AE4">
            <w:rPr>
              <w:rFonts w:ascii="Cambria" w:eastAsia="MS Mincho" w:hAnsi="Cambria"/>
              <w:b/>
              <w:bCs/>
              <w:sz w:val="22"/>
              <w:szCs w:val="22"/>
              <w:lang w:eastAsia="en-US"/>
            </w:rPr>
            <w:t>s</w:t>
          </w:r>
          <w:r w:rsidR="00B603DB" w:rsidRPr="002E7477">
            <w:rPr>
              <w:rFonts w:ascii="Cambria" w:eastAsia="MS Mincho" w:hAnsi="Cambria"/>
              <w:b/>
              <w:bCs/>
              <w:sz w:val="22"/>
              <w:szCs w:val="22"/>
              <w:lang w:eastAsia="en-US"/>
            </w:rPr>
            <w:t xml:space="preserve"> </w:t>
          </w:r>
          <w:r w:rsidRPr="002E7477">
            <w:rPr>
              <w:rFonts w:ascii="Cambria" w:eastAsia="MS Mincho" w:hAnsi="Cambria"/>
              <w:b/>
              <w:bCs/>
              <w:sz w:val="22"/>
              <w:szCs w:val="22"/>
              <w:lang w:eastAsia="en-US"/>
            </w:rPr>
            <w:t>des sociétés en commandite Q-12 et FIISH</w:t>
          </w:r>
          <w:r w:rsidR="00EE5457">
            <w:rPr>
              <w:rFonts w:ascii="Cambria" w:eastAsia="MS Mincho" w:hAnsi="Cambria"/>
              <w:b/>
              <w:bCs/>
              <w:sz w:val="22"/>
              <w:szCs w:val="22"/>
              <w:lang w:eastAsia="en-US"/>
            </w:rPr>
            <w:t xml:space="preserve"> </w:t>
          </w:r>
          <w:r w:rsidR="00D2162B" w:rsidRPr="00D2162B">
            <w:rPr>
              <w:rFonts w:ascii="Cambria" w:eastAsia="MS Mincho" w:hAnsi="Cambria"/>
              <w:b/>
              <w:bCs/>
              <w:sz w:val="22"/>
              <w:szCs w:val="22"/>
              <w:u w:val="single"/>
              <w:lang w:eastAsia="en-US"/>
            </w:rPr>
            <w:tab/>
          </w:r>
          <w:r w:rsidR="00B5572E">
            <w:rPr>
              <w:rFonts w:ascii="Cambria" w:eastAsia="MS Mincho" w:hAnsi="Cambria"/>
              <w:szCs w:val="24"/>
              <w:lang w:eastAsia="en-US"/>
            </w:rPr>
            <w:t>67</w:t>
          </w:r>
        </w:p>
        <w:p w14:paraId="0AAB875F" w14:textId="77777777" w:rsidR="002E7477" w:rsidRPr="002E7477" w:rsidRDefault="00730A01" w:rsidP="002E7477">
          <w:pPr>
            <w:tabs>
              <w:tab w:val="right" w:pos="8931"/>
            </w:tabs>
            <w:rPr>
              <w:rFonts w:ascii="Cambria" w:eastAsia="MS Mincho" w:hAnsi="Cambria"/>
              <w:szCs w:val="24"/>
              <w:lang w:eastAsia="en-US"/>
            </w:rPr>
          </w:pPr>
          <w:r>
            <w:rPr>
              <w:rFonts w:ascii="Cambria" w:eastAsia="MS Mincho" w:hAnsi="Cambria"/>
              <w:b/>
              <w:bCs/>
              <w:sz w:val="22"/>
              <w:szCs w:val="22"/>
              <w:lang w:eastAsia="en-US"/>
            </w:rPr>
            <w:t>7</w:t>
          </w:r>
          <w:r w:rsidR="00655203" w:rsidRPr="00993AE4">
            <w:rPr>
              <w:rFonts w:ascii="Cambria" w:eastAsia="MS Mincho" w:hAnsi="Cambria"/>
              <w:b/>
              <w:bCs/>
              <w:sz w:val="22"/>
              <w:szCs w:val="22"/>
              <w:lang w:eastAsia="en-US"/>
            </w:rPr>
            <w:t>. La levée du voile corporatif</w:t>
          </w:r>
          <w:r w:rsidR="00EE5457">
            <w:rPr>
              <w:rFonts w:ascii="Cambria" w:eastAsia="MS Mincho" w:hAnsi="Cambria"/>
              <w:b/>
              <w:bCs/>
              <w:sz w:val="22"/>
              <w:szCs w:val="22"/>
              <w:lang w:eastAsia="en-US"/>
            </w:rPr>
            <w:t xml:space="preserve"> </w:t>
          </w:r>
          <w:r w:rsidRPr="00D2162B">
            <w:rPr>
              <w:rFonts w:ascii="Cambria" w:eastAsia="MS Mincho" w:hAnsi="Cambria"/>
              <w:szCs w:val="24"/>
              <w:u w:val="single"/>
              <w:lang w:eastAsia="en-US"/>
            </w:rPr>
            <w:tab/>
          </w:r>
          <w:r w:rsidR="00B5572E">
            <w:rPr>
              <w:rFonts w:ascii="Cambria" w:eastAsia="MS Mincho" w:hAnsi="Cambria"/>
              <w:szCs w:val="24"/>
              <w:lang w:eastAsia="en-US"/>
            </w:rPr>
            <w:t>69</w:t>
          </w:r>
        </w:p>
        <w:p w14:paraId="71750759" w14:textId="77777777" w:rsidR="002E7477" w:rsidRPr="009B48F0" w:rsidRDefault="00730A01" w:rsidP="00E304E8">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a</w:t>
          </w:r>
          <w:r>
            <w:rPr>
              <w:rFonts w:ascii="Cambria" w:eastAsia="MS Mincho" w:hAnsi="Cambria"/>
              <w:sz w:val="22"/>
              <w:szCs w:val="22"/>
              <w:lang w:eastAsia="en-US"/>
            </w:rPr>
            <w:t>)</w:t>
          </w:r>
          <w:r w:rsidRPr="00655203">
            <w:rPr>
              <w:rFonts w:ascii="Cambria" w:eastAsia="MS Mincho" w:hAnsi="Cambria"/>
              <w:sz w:val="22"/>
              <w:szCs w:val="22"/>
              <w:lang w:eastAsia="en-US"/>
            </w:rPr>
            <w:t xml:space="preserve"> Cadre juridique applicable </w:t>
          </w:r>
          <w:r w:rsidR="009B48F0" w:rsidRPr="00D2162B">
            <w:rPr>
              <w:rFonts w:ascii="Cambria" w:eastAsia="MS Mincho" w:hAnsi="Cambria"/>
              <w:szCs w:val="24"/>
              <w:u w:val="single"/>
              <w:lang w:eastAsia="en-US"/>
            </w:rPr>
            <w:tab/>
          </w:r>
          <w:r w:rsidR="00B5572E">
            <w:rPr>
              <w:rFonts w:ascii="Cambria" w:eastAsia="MS Mincho" w:hAnsi="Cambria"/>
              <w:szCs w:val="24"/>
              <w:lang w:eastAsia="en-US"/>
            </w:rPr>
            <w:t>69</w:t>
          </w:r>
        </w:p>
        <w:p w14:paraId="31A7D83F" w14:textId="77777777" w:rsidR="00655203" w:rsidRDefault="00730A01" w:rsidP="00E304E8">
          <w:pPr>
            <w:tabs>
              <w:tab w:val="right" w:pos="8931"/>
            </w:tabs>
            <w:spacing w:after="60"/>
            <w:ind w:left="142"/>
            <w:rPr>
              <w:rFonts w:ascii="Cambria" w:eastAsia="MS Mincho" w:hAnsi="Cambria"/>
              <w:szCs w:val="24"/>
              <w:lang w:eastAsia="en-US"/>
            </w:rPr>
          </w:pPr>
          <w:r w:rsidRPr="00655203">
            <w:rPr>
              <w:rFonts w:ascii="Cambria" w:eastAsia="MS Mincho" w:hAnsi="Cambria"/>
              <w:sz w:val="22"/>
              <w:szCs w:val="22"/>
              <w:lang w:eastAsia="en-US"/>
            </w:rPr>
            <w:t>b</w:t>
          </w:r>
          <w:r w:rsidR="002E7477">
            <w:rPr>
              <w:rFonts w:ascii="Cambria" w:eastAsia="MS Mincho" w:hAnsi="Cambria"/>
              <w:sz w:val="22"/>
              <w:szCs w:val="22"/>
              <w:lang w:eastAsia="en-US"/>
            </w:rPr>
            <w:t xml:space="preserve">) </w:t>
          </w:r>
          <w:r w:rsidRPr="00655203">
            <w:rPr>
              <w:rFonts w:ascii="Cambria" w:eastAsia="MS Mincho" w:hAnsi="Cambria"/>
              <w:sz w:val="22"/>
              <w:szCs w:val="22"/>
              <w:lang w:eastAsia="en-US"/>
            </w:rPr>
            <w:t xml:space="preserve">Faits applicables justifiant la levée du voile corporatif </w:t>
          </w:r>
          <w:r w:rsidR="009B48F0" w:rsidRPr="00D2162B">
            <w:rPr>
              <w:rFonts w:ascii="Cambria" w:eastAsia="MS Mincho" w:hAnsi="Cambria"/>
              <w:szCs w:val="24"/>
              <w:u w:val="single"/>
              <w:lang w:eastAsia="en-US"/>
            </w:rPr>
            <w:tab/>
          </w:r>
          <w:r w:rsidR="002E0808">
            <w:rPr>
              <w:rFonts w:ascii="Cambria" w:eastAsia="MS Mincho" w:hAnsi="Cambria"/>
              <w:szCs w:val="24"/>
              <w:lang w:eastAsia="en-US"/>
            </w:rPr>
            <w:t>69</w:t>
          </w:r>
        </w:p>
        <w:p w14:paraId="0F1FA68E" w14:textId="77777777" w:rsidR="00A51375" w:rsidRDefault="00730A01" w:rsidP="002E766E">
          <w:pPr>
            <w:tabs>
              <w:tab w:val="right" w:pos="8931"/>
            </w:tabs>
            <w:rPr>
              <w:rFonts w:ascii="Cambria" w:eastAsia="MS Mincho" w:hAnsi="Cambria"/>
              <w:szCs w:val="24"/>
              <w:lang w:eastAsia="en-US"/>
            </w:rPr>
          </w:pPr>
          <w:r>
            <w:rPr>
              <w:rFonts w:ascii="Cambria" w:eastAsia="MS Mincho" w:hAnsi="Cambria"/>
              <w:b/>
              <w:bCs/>
              <w:sz w:val="22"/>
              <w:szCs w:val="22"/>
              <w:lang w:eastAsia="en-US"/>
            </w:rPr>
            <w:t>8</w:t>
          </w:r>
          <w:r w:rsidR="00655203" w:rsidRPr="009B48F0">
            <w:rPr>
              <w:rFonts w:ascii="Cambria" w:eastAsia="MS Mincho" w:hAnsi="Cambria"/>
              <w:b/>
              <w:bCs/>
              <w:sz w:val="22"/>
              <w:szCs w:val="22"/>
              <w:lang w:eastAsia="en-US"/>
            </w:rPr>
            <w:t>. La quantification des dommages subis par les Demandeurs</w:t>
          </w:r>
          <w:r w:rsidR="00EE5457">
            <w:rPr>
              <w:rFonts w:ascii="Cambria" w:eastAsia="MS Mincho" w:hAnsi="Cambria"/>
              <w:b/>
              <w:bCs/>
              <w:sz w:val="22"/>
              <w:szCs w:val="22"/>
              <w:lang w:eastAsia="en-US"/>
            </w:rPr>
            <w:t xml:space="preserve"> </w:t>
          </w:r>
          <w:r w:rsidR="009B48F0" w:rsidRPr="00D2162B">
            <w:rPr>
              <w:rFonts w:ascii="Cambria" w:eastAsia="MS Mincho" w:hAnsi="Cambria"/>
              <w:szCs w:val="24"/>
              <w:u w:val="single"/>
              <w:lang w:eastAsia="en-US"/>
            </w:rPr>
            <w:tab/>
          </w:r>
          <w:r w:rsidR="002E0808">
            <w:rPr>
              <w:rFonts w:ascii="Cambria" w:eastAsia="MS Mincho" w:hAnsi="Cambria"/>
              <w:szCs w:val="24"/>
              <w:lang w:eastAsia="en-US"/>
            </w:rPr>
            <w:t>79</w:t>
          </w:r>
        </w:p>
        <w:p w14:paraId="4C455BDE" w14:textId="77777777" w:rsidR="00655203" w:rsidRPr="00993AE4" w:rsidRDefault="00730A01" w:rsidP="008E1BD8">
          <w:pPr>
            <w:tabs>
              <w:tab w:val="right" w:pos="8931"/>
            </w:tabs>
            <w:rPr>
              <w:rFonts w:ascii="Cambria" w:eastAsia="MS Mincho" w:hAnsi="Cambria"/>
              <w:szCs w:val="24"/>
              <w:lang w:eastAsia="en-US"/>
            </w:rPr>
          </w:pPr>
          <w:r w:rsidRPr="008E1BD8">
            <w:rPr>
              <w:rFonts w:ascii="Cambria" w:eastAsia="MS Mincho" w:hAnsi="Cambria"/>
              <w:sz w:val="22"/>
              <w:szCs w:val="22"/>
              <w:lang w:eastAsia="en-US"/>
            </w:rPr>
            <w:t xml:space="preserve">A) Quantification des dommages - FIISH </w:t>
          </w:r>
          <w:r w:rsidR="00993AE4" w:rsidRPr="00D2162B">
            <w:rPr>
              <w:rFonts w:ascii="Cambria" w:eastAsia="MS Mincho" w:hAnsi="Cambria"/>
              <w:szCs w:val="24"/>
              <w:u w:val="single"/>
              <w:lang w:eastAsia="en-US"/>
            </w:rPr>
            <w:tab/>
          </w:r>
          <w:r w:rsidR="002E0808">
            <w:rPr>
              <w:rFonts w:ascii="Cambria" w:eastAsia="MS Mincho" w:hAnsi="Cambria"/>
              <w:szCs w:val="24"/>
              <w:lang w:eastAsia="en-US"/>
            </w:rPr>
            <w:t>79</w:t>
          </w:r>
        </w:p>
        <w:p w14:paraId="1BE23C07" w14:textId="77777777" w:rsidR="00993AE4" w:rsidRPr="00993AE4" w:rsidRDefault="00730A01" w:rsidP="00566EF7">
          <w:pPr>
            <w:tabs>
              <w:tab w:val="left" w:pos="284"/>
              <w:tab w:val="right" w:pos="8931"/>
            </w:tabs>
            <w:rPr>
              <w:rFonts w:ascii="Cambria" w:eastAsia="MS Mincho" w:hAnsi="Cambria"/>
              <w:szCs w:val="24"/>
              <w:lang w:eastAsia="en-US"/>
            </w:rPr>
          </w:pPr>
          <w:r>
            <w:rPr>
              <w:rFonts w:ascii="Cambria" w:eastAsia="MS Mincho" w:hAnsi="Cambria"/>
              <w:sz w:val="22"/>
              <w:szCs w:val="22"/>
              <w:lang w:eastAsia="en-US"/>
            </w:rPr>
            <w:tab/>
          </w:r>
          <w:r w:rsidR="00655203" w:rsidRPr="00655203">
            <w:rPr>
              <w:rFonts w:ascii="Cambria" w:eastAsia="MS Mincho" w:hAnsi="Cambria"/>
              <w:sz w:val="22"/>
              <w:szCs w:val="22"/>
              <w:lang w:eastAsia="en-US"/>
            </w:rPr>
            <w:t>1. Le détail des pertes globales de FIISH</w:t>
          </w:r>
          <w:r w:rsidR="00EE5457">
            <w:rPr>
              <w:rFonts w:ascii="Cambria" w:eastAsia="MS Mincho" w:hAnsi="Cambria"/>
              <w:sz w:val="22"/>
              <w:szCs w:val="22"/>
              <w:lang w:eastAsia="en-US"/>
            </w:rPr>
            <w:t xml:space="preserve"> </w:t>
          </w:r>
          <w:r w:rsidRPr="00D2162B">
            <w:rPr>
              <w:rFonts w:ascii="Cambria" w:eastAsia="MS Mincho" w:hAnsi="Cambria"/>
              <w:szCs w:val="24"/>
              <w:u w:val="single"/>
              <w:lang w:eastAsia="en-US"/>
            </w:rPr>
            <w:tab/>
          </w:r>
          <w:r w:rsidR="002E0808">
            <w:rPr>
              <w:rFonts w:ascii="Cambria" w:eastAsia="MS Mincho" w:hAnsi="Cambria"/>
              <w:szCs w:val="24"/>
              <w:lang w:eastAsia="en-US"/>
            </w:rPr>
            <w:t>79</w:t>
          </w:r>
        </w:p>
        <w:p w14:paraId="51258CFE" w14:textId="77777777" w:rsidR="00655203" w:rsidRPr="00993AE4" w:rsidRDefault="00730A01" w:rsidP="00566EF7">
          <w:pPr>
            <w:tabs>
              <w:tab w:val="left" w:pos="284"/>
              <w:tab w:val="right" w:pos="8931"/>
            </w:tabs>
            <w:rPr>
              <w:rFonts w:ascii="Cambria" w:eastAsia="MS Mincho" w:hAnsi="Cambria"/>
              <w:szCs w:val="24"/>
              <w:lang w:eastAsia="en-US"/>
            </w:rPr>
          </w:pPr>
          <w:r>
            <w:rPr>
              <w:rFonts w:ascii="Cambria" w:eastAsia="MS Mincho" w:hAnsi="Cambria"/>
              <w:sz w:val="22"/>
              <w:szCs w:val="22"/>
              <w:lang w:eastAsia="en-US"/>
            </w:rPr>
            <w:tab/>
          </w:r>
          <w:r w:rsidRPr="00655203">
            <w:rPr>
              <w:rFonts w:ascii="Cambria" w:eastAsia="MS Mincho" w:hAnsi="Cambria"/>
              <w:sz w:val="22"/>
              <w:szCs w:val="22"/>
              <w:lang w:eastAsia="en-US"/>
            </w:rPr>
            <w:t xml:space="preserve">2. Répartition par commanditaire </w:t>
          </w:r>
          <w:r w:rsidR="00993AE4" w:rsidRPr="00D2162B">
            <w:rPr>
              <w:rFonts w:ascii="Cambria" w:eastAsia="MS Mincho" w:hAnsi="Cambria"/>
              <w:szCs w:val="24"/>
              <w:u w:val="single"/>
              <w:lang w:eastAsia="en-US"/>
            </w:rPr>
            <w:tab/>
          </w:r>
          <w:r w:rsidR="00993AE4">
            <w:rPr>
              <w:rFonts w:ascii="Cambria" w:eastAsia="MS Mincho" w:hAnsi="Cambria"/>
              <w:szCs w:val="24"/>
              <w:lang w:eastAsia="en-US"/>
            </w:rPr>
            <w:t>8</w:t>
          </w:r>
          <w:r w:rsidR="002E0808">
            <w:rPr>
              <w:rFonts w:ascii="Cambria" w:eastAsia="MS Mincho" w:hAnsi="Cambria"/>
              <w:szCs w:val="24"/>
              <w:lang w:eastAsia="en-US"/>
            </w:rPr>
            <w:t>0</w:t>
          </w:r>
        </w:p>
        <w:p w14:paraId="289ECBCF" w14:textId="77777777" w:rsidR="00655203" w:rsidRPr="00993AE4" w:rsidRDefault="00730A01" w:rsidP="00993AE4">
          <w:pPr>
            <w:tabs>
              <w:tab w:val="right" w:pos="8931"/>
            </w:tabs>
            <w:rPr>
              <w:rFonts w:ascii="Cambria" w:eastAsia="MS Mincho" w:hAnsi="Cambria"/>
              <w:szCs w:val="24"/>
              <w:lang w:eastAsia="en-US"/>
            </w:rPr>
          </w:pPr>
          <w:r w:rsidRPr="002E0808">
            <w:rPr>
              <w:rFonts w:ascii="Cambria" w:eastAsia="MS Mincho" w:hAnsi="Cambria"/>
              <w:sz w:val="22"/>
              <w:szCs w:val="22"/>
              <w:lang w:eastAsia="en-US"/>
            </w:rPr>
            <w:t>B)</w:t>
          </w:r>
          <w:r w:rsidRPr="002E766E">
            <w:rPr>
              <w:rFonts w:ascii="Cambria" w:eastAsia="MS Mincho" w:hAnsi="Cambria"/>
              <w:i/>
              <w:iCs/>
              <w:sz w:val="22"/>
              <w:szCs w:val="22"/>
              <w:lang w:eastAsia="en-US"/>
            </w:rPr>
            <w:t xml:space="preserve"> </w:t>
          </w:r>
          <w:r w:rsidRPr="002E0808">
            <w:rPr>
              <w:rFonts w:ascii="Cambria" w:eastAsia="MS Mincho" w:hAnsi="Cambria"/>
              <w:sz w:val="22"/>
              <w:szCs w:val="22"/>
              <w:lang w:eastAsia="en-US"/>
            </w:rPr>
            <w:t>Quantification des dommages – Q-12</w:t>
          </w:r>
          <w:r w:rsidR="00EE5457">
            <w:rPr>
              <w:rFonts w:ascii="Cambria" w:eastAsia="MS Mincho" w:hAnsi="Cambria"/>
              <w:sz w:val="22"/>
              <w:szCs w:val="22"/>
              <w:lang w:eastAsia="en-US"/>
            </w:rPr>
            <w:t xml:space="preserve"> </w:t>
          </w:r>
          <w:r w:rsidR="00993AE4" w:rsidRPr="00D2162B">
            <w:rPr>
              <w:rFonts w:ascii="Cambria" w:eastAsia="MS Mincho" w:hAnsi="Cambria"/>
              <w:szCs w:val="24"/>
              <w:u w:val="single"/>
              <w:lang w:eastAsia="en-US"/>
            </w:rPr>
            <w:tab/>
          </w:r>
          <w:r w:rsidR="00993AE4">
            <w:rPr>
              <w:rFonts w:ascii="Cambria" w:eastAsia="MS Mincho" w:hAnsi="Cambria"/>
              <w:szCs w:val="24"/>
              <w:lang w:eastAsia="en-US"/>
            </w:rPr>
            <w:t>8</w:t>
          </w:r>
          <w:r w:rsidR="002E0808">
            <w:rPr>
              <w:rFonts w:ascii="Cambria" w:eastAsia="MS Mincho" w:hAnsi="Cambria"/>
              <w:szCs w:val="24"/>
              <w:lang w:eastAsia="en-US"/>
            </w:rPr>
            <w:t>3</w:t>
          </w:r>
        </w:p>
        <w:p w14:paraId="6EFD8E60" w14:textId="77777777" w:rsidR="00655203" w:rsidRPr="00993AE4" w:rsidRDefault="00730A01" w:rsidP="00566EF7">
          <w:pPr>
            <w:tabs>
              <w:tab w:val="left" w:pos="284"/>
              <w:tab w:val="right" w:pos="8931"/>
            </w:tabs>
            <w:rPr>
              <w:rFonts w:ascii="Cambria" w:eastAsia="MS Mincho" w:hAnsi="Cambria"/>
              <w:szCs w:val="24"/>
              <w:lang w:eastAsia="en-US"/>
            </w:rPr>
          </w:pPr>
          <w:r>
            <w:rPr>
              <w:rFonts w:ascii="Cambria" w:eastAsia="MS Mincho" w:hAnsi="Cambria"/>
              <w:sz w:val="22"/>
              <w:szCs w:val="22"/>
              <w:lang w:eastAsia="en-US"/>
            </w:rPr>
            <w:tab/>
          </w:r>
          <w:r w:rsidRPr="00655203">
            <w:rPr>
              <w:rFonts w:ascii="Cambria" w:eastAsia="MS Mincho" w:hAnsi="Cambria"/>
              <w:sz w:val="22"/>
              <w:szCs w:val="22"/>
              <w:lang w:eastAsia="en-US"/>
            </w:rPr>
            <w:t>1. Pertes par projet</w:t>
          </w:r>
          <w:r w:rsidR="00EE5457">
            <w:rPr>
              <w:rFonts w:ascii="Cambria" w:eastAsia="MS Mincho" w:hAnsi="Cambria"/>
              <w:sz w:val="22"/>
              <w:szCs w:val="22"/>
              <w:lang w:eastAsia="en-US"/>
            </w:rPr>
            <w:t xml:space="preserve"> </w:t>
          </w:r>
          <w:r w:rsidR="00993AE4" w:rsidRPr="00D2162B">
            <w:rPr>
              <w:rFonts w:ascii="Cambria" w:eastAsia="MS Mincho" w:hAnsi="Cambria"/>
              <w:szCs w:val="24"/>
              <w:u w:val="single"/>
              <w:lang w:eastAsia="en-US"/>
            </w:rPr>
            <w:tab/>
          </w:r>
          <w:r w:rsidR="00993AE4">
            <w:rPr>
              <w:rFonts w:ascii="Cambria" w:eastAsia="MS Mincho" w:hAnsi="Cambria"/>
              <w:szCs w:val="24"/>
              <w:lang w:eastAsia="en-US"/>
            </w:rPr>
            <w:t>8</w:t>
          </w:r>
          <w:r w:rsidR="002E0808">
            <w:rPr>
              <w:rFonts w:ascii="Cambria" w:eastAsia="MS Mincho" w:hAnsi="Cambria"/>
              <w:szCs w:val="24"/>
              <w:lang w:eastAsia="en-US"/>
            </w:rPr>
            <w:t>3</w:t>
          </w:r>
        </w:p>
        <w:p w14:paraId="104BF256" w14:textId="77777777" w:rsidR="00655203" w:rsidRPr="00655203" w:rsidRDefault="00730A01" w:rsidP="00566EF7">
          <w:pPr>
            <w:tabs>
              <w:tab w:val="left" w:pos="284"/>
              <w:tab w:val="right" w:pos="8931"/>
            </w:tabs>
            <w:rPr>
              <w:rFonts w:ascii="Cambria" w:eastAsia="MS Mincho" w:hAnsi="Cambria"/>
              <w:sz w:val="22"/>
              <w:szCs w:val="22"/>
              <w:lang w:eastAsia="en-US"/>
            </w:rPr>
          </w:pPr>
          <w:r>
            <w:rPr>
              <w:rFonts w:ascii="Cambria" w:eastAsia="MS Mincho" w:hAnsi="Cambria"/>
              <w:sz w:val="22"/>
              <w:szCs w:val="22"/>
              <w:lang w:eastAsia="en-US"/>
            </w:rPr>
            <w:tab/>
          </w:r>
          <w:r w:rsidRPr="00655203">
            <w:rPr>
              <w:rFonts w:ascii="Cambria" w:eastAsia="MS Mincho" w:hAnsi="Cambria"/>
              <w:sz w:val="22"/>
              <w:szCs w:val="22"/>
              <w:lang w:eastAsia="en-US"/>
            </w:rPr>
            <w:t>2. Résultats consolidés</w:t>
          </w:r>
          <w:r w:rsidR="00EE5457">
            <w:rPr>
              <w:rFonts w:ascii="Cambria" w:eastAsia="MS Mincho" w:hAnsi="Cambria"/>
              <w:sz w:val="22"/>
              <w:szCs w:val="22"/>
              <w:lang w:eastAsia="en-US"/>
            </w:rPr>
            <w:t xml:space="preserve"> </w:t>
          </w:r>
          <w:r w:rsidR="00993AE4" w:rsidRPr="00D2162B">
            <w:rPr>
              <w:rFonts w:ascii="Cambria" w:eastAsia="MS Mincho" w:hAnsi="Cambria"/>
              <w:sz w:val="22"/>
              <w:szCs w:val="22"/>
              <w:u w:val="single"/>
              <w:lang w:eastAsia="en-US"/>
            </w:rPr>
            <w:tab/>
          </w:r>
          <w:r w:rsidR="00993AE4" w:rsidRPr="0002678B">
            <w:rPr>
              <w:rFonts w:ascii="Cambria" w:eastAsia="MS Mincho" w:hAnsi="Cambria"/>
              <w:szCs w:val="24"/>
              <w:lang w:eastAsia="en-US"/>
            </w:rPr>
            <w:t>8</w:t>
          </w:r>
          <w:r w:rsidR="002E0808" w:rsidRPr="0002678B">
            <w:rPr>
              <w:rFonts w:ascii="Cambria" w:eastAsia="MS Mincho" w:hAnsi="Cambria"/>
              <w:szCs w:val="24"/>
              <w:lang w:eastAsia="en-US"/>
            </w:rPr>
            <w:t>4</w:t>
          </w:r>
        </w:p>
        <w:p w14:paraId="4C9C91A7" w14:textId="77777777" w:rsidR="00655203" w:rsidRPr="00154029" w:rsidRDefault="00730A01" w:rsidP="0002678B">
          <w:pPr>
            <w:tabs>
              <w:tab w:val="left" w:pos="284"/>
              <w:tab w:val="right" w:pos="8931"/>
            </w:tabs>
            <w:spacing w:after="120"/>
            <w:rPr>
              <w:rFonts w:ascii="Cambria" w:eastAsia="MS Mincho" w:hAnsi="Cambria"/>
              <w:sz w:val="22"/>
              <w:szCs w:val="22"/>
              <w:lang w:eastAsia="en-US"/>
            </w:rPr>
          </w:pPr>
          <w:r>
            <w:rPr>
              <w:rFonts w:ascii="Cambria" w:eastAsia="MS Mincho" w:hAnsi="Cambria"/>
              <w:sz w:val="22"/>
              <w:szCs w:val="22"/>
              <w:lang w:eastAsia="en-US"/>
            </w:rPr>
            <w:tab/>
          </w:r>
          <w:r w:rsidRPr="00655203">
            <w:rPr>
              <w:rFonts w:ascii="Cambria" w:eastAsia="MS Mincho" w:hAnsi="Cambria"/>
              <w:sz w:val="22"/>
              <w:szCs w:val="22"/>
              <w:lang w:eastAsia="en-US"/>
            </w:rPr>
            <w:t>3. Répartition par commanditaire</w:t>
          </w:r>
          <w:r w:rsidR="00EE5457">
            <w:rPr>
              <w:rFonts w:ascii="Cambria" w:eastAsia="MS Mincho" w:hAnsi="Cambria"/>
              <w:sz w:val="22"/>
              <w:szCs w:val="22"/>
              <w:lang w:eastAsia="en-US"/>
            </w:rPr>
            <w:t xml:space="preserve"> </w:t>
          </w:r>
          <w:r w:rsidR="00993AE4" w:rsidRPr="00F34B55">
            <w:rPr>
              <w:rFonts w:ascii="Cambria" w:eastAsia="MS Mincho" w:hAnsi="Cambria"/>
              <w:sz w:val="22"/>
              <w:szCs w:val="22"/>
              <w:u w:val="single"/>
              <w:lang w:eastAsia="en-US"/>
            </w:rPr>
            <w:tab/>
          </w:r>
          <w:r w:rsidR="00993AE4" w:rsidRPr="0002678B">
            <w:rPr>
              <w:rFonts w:ascii="Cambria" w:eastAsia="MS Mincho" w:hAnsi="Cambria"/>
              <w:szCs w:val="24"/>
              <w:lang w:eastAsia="en-US"/>
            </w:rPr>
            <w:t>8</w:t>
          </w:r>
          <w:r w:rsidR="002E0808" w:rsidRPr="0002678B">
            <w:rPr>
              <w:rFonts w:ascii="Cambria" w:eastAsia="MS Mincho" w:hAnsi="Cambria"/>
              <w:szCs w:val="24"/>
              <w:lang w:eastAsia="en-US"/>
            </w:rPr>
            <w:t>5</w:t>
          </w:r>
        </w:p>
        <w:p w14:paraId="2D8C874A" w14:textId="77777777" w:rsidR="00655203" w:rsidRPr="00A51375" w:rsidRDefault="00730A01" w:rsidP="00993AE4">
          <w:pPr>
            <w:tabs>
              <w:tab w:val="right" w:pos="8931"/>
            </w:tabs>
            <w:rPr>
              <w:rFonts w:ascii="Cambria" w:eastAsia="MS Mincho" w:hAnsi="Cambria"/>
              <w:szCs w:val="24"/>
              <w:lang w:eastAsia="en-US"/>
            </w:rPr>
          </w:pPr>
          <w:r w:rsidRPr="00A51375">
            <w:rPr>
              <w:rFonts w:ascii="Cambria" w:eastAsia="MS Mincho" w:hAnsi="Cambria"/>
              <w:b/>
              <w:bCs/>
              <w:sz w:val="22"/>
              <w:szCs w:val="22"/>
              <w:lang w:eastAsia="en-US"/>
            </w:rPr>
            <w:t>8.</w:t>
          </w:r>
          <w:r w:rsidR="00FA445F">
            <w:rPr>
              <w:rFonts w:ascii="Cambria" w:eastAsia="MS Mincho" w:hAnsi="Cambria"/>
              <w:b/>
              <w:bCs/>
              <w:sz w:val="22"/>
              <w:szCs w:val="22"/>
              <w:lang w:eastAsia="en-US"/>
            </w:rPr>
            <w:t>1</w:t>
          </w:r>
          <w:r w:rsidRPr="00A51375">
            <w:rPr>
              <w:rFonts w:ascii="Cambria" w:eastAsia="MS Mincho" w:hAnsi="Cambria"/>
              <w:b/>
              <w:bCs/>
              <w:sz w:val="22"/>
              <w:szCs w:val="22"/>
              <w:lang w:eastAsia="en-US"/>
            </w:rPr>
            <w:t xml:space="preserve"> La nature de la réclamation recherchée</w:t>
          </w:r>
          <w:r w:rsidR="00EE5457">
            <w:rPr>
              <w:rFonts w:ascii="Cambria" w:eastAsia="MS Mincho" w:hAnsi="Cambria"/>
              <w:b/>
              <w:bCs/>
              <w:sz w:val="22"/>
              <w:szCs w:val="22"/>
              <w:lang w:eastAsia="en-US"/>
            </w:rPr>
            <w:t xml:space="preserve"> </w:t>
          </w:r>
          <w:r w:rsidR="00A51375" w:rsidRPr="005E12E0">
            <w:rPr>
              <w:rFonts w:ascii="Cambria" w:eastAsia="MS Mincho" w:hAnsi="Cambria"/>
              <w:szCs w:val="24"/>
              <w:u w:val="single"/>
              <w:lang w:eastAsia="en-US"/>
            </w:rPr>
            <w:tab/>
          </w:r>
          <w:r w:rsidR="002E0808">
            <w:rPr>
              <w:rFonts w:ascii="Cambria" w:eastAsia="MS Mincho" w:hAnsi="Cambria"/>
              <w:szCs w:val="24"/>
              <w:lang w:eastAsia="en-US"/>
            </w:rPr>
            <w:t>87</w:t>
          </w:r>
        </w:p>
        <w:p w14:paraId="032EF0A3" w14:textId="77777777" w:rsidR="00655203" w:rsidRPr="00A51375" w:rsidRDefault="00730A01" w:rsidP="00D80CDF">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a) Solidaire</w:t>
          </w:r>
          <w:r w:rsidR="00EE5457">
            <w:rPr>
              <w:rFonts w:ascii="Cambria" w:eastAsia="MS Mincho" w:hAnsi="Cambria"/>
              <w:sz w:val="22"/>
              <w:szCs w:val="22"/>
              <w:lang w:eastAsia="en-US"/>
            </w:rPr>
            <w:t xml:space="preserve"> </w:t>
          </w:r>
          <w:r w:rsidR="00A51375" w:rsidRPr="005E12E0">
            <w:rPr>
              <w:rFonts w:ascii="Cambria" w:eastAsia="MS Mincho" w:hAnsi="Cambria"/>
              <w:szCs w:val="24"/>
              <w:u w:val="single"/>
              <w:lang w:eastAsia="en-US"/>
            </w:rPr>
            <w:tab/>
          </w:r>
          <w:r w:rsidR="002E0808">
            <w:rPr>
              <w:rFonts w:ascii="Cambria" w:eastAsia="MS Mincho" w:hAnsi="Cambria"/>
              <w:szCs w:val="24"/>
              <w:lang w:eastAsia="en-US"/>
            </w:rPr>
            <w:t>87</w:t>
          </w:r>
        </w:p>
        <w:p w14:paraId="3AD24D05" w14:textId="77777777" w:rsidR="00655203" w:rsidRPr="00A51375" w:rsidRDefault="00730A01" w:rsidP="00D80CDF">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b) Collective</w:t>
          </w:r>
          <w:r w:rsidR="00EE5457">
            <w:rPr>
              <w:rFonts w:ascii="Cambria" w:eastAsia="MS Mincho" w:hAnsi="Cambria"/>
              <w:sz w:val="22"/>
              <w:szCs w:val="22"/>
              <w:lang w:eastAsia="en-US"/>
            </w:rPr>
            <w:t xml:space="preserve"> </w:t>
          </w:r>
          <w:r w:rsidR="00A51375" w:rsidRPr="005E12E0">
            <w:rPr>
              <w:rFonts w:ascii="Cambria" w:eastAsia="MS Mincho" w:hAnsi="Cambria"/>
              <w:szCs w:val="24"/>
              <w:u w:val="single"/>
              <w:lang w:eastAsia="en-US"/>
            </w:rPr>
            <w:tab/>
          </w:r>
          <w:r w:rsidR="002E0808">
            <w:rPr>
              <w:rFonts w:ascii="Cambria" w:eastAsia="MS Mincho" w:hAnsi="Cambria"/>
              <w:szCs w:val="24"/>
              <w:lang w:eastAsia="en-US"/>
            </w:rPr>
            <w:t>88</w:t>
          </w:r>
        </w:p>
        <w:p w14:paraId="30E18E50" w14:textId="77777777" w:rsidR="00655203" w:rsidRPr="00A51375" w:rsidRDefault="00730A01" w:rsidP="00D80CDF">
          <w:pPr>
            <w:tabs>
              <w:tab w:val="right" w:pos="8931"/>
            </w:tabs>
            <w:ind w:left="142"/>
            <w:rPr>
              <w:rFonts w:ascii="Cambria" w:eastAsia="MS Mincho" w:hAnsi="Cambria"/>
              <w:szCs w:val="24"/>
              <w:lang w:eastAsia="en-US"/>
            </w:rPr>
          </w:pPr>
          <w:r w:rsidRPr="00655203">
            <w:rPr>
              <w:rFonts w:ascii="Cambria" w:eastAsia="MS Mincho" w:hAnsi="Cambria"/>
              <w:sz w:val="22"/>
              <w:szCs w:val="22"/>
              <w:lang w:eastAsia="en-US"/>
            </w:rPr>
            <w:t xml:space="preserve">c) </w:t>
          </w:r>
          <w:r w:rsidR="00A51375">
            <w:rPr>
              <w:rFonts w:ascii="Cambria" w:eastAsia="MS Mincho" w:hAnsi="Cambria"/>
              <w:sz w:val="22"/>
              <w:szCs w:val="22"/>
              <w:lang w:eastAsia="en-US"/>
            </w:rPr>
            <w:t>D</w:t>
          </w:r>
          <w:r w:rsidRPr="00655203">
            <w:rPr>
              <w:rFonts w:ascii="Cambria" w:eastAsia="MS Mincho" w:hAnsi="Cambria"/>
              <w:sz w:val="22"/>
              <w:szCs w:val="22"/>
              <w:lang w:eastAsia="en-US"/>
            </w:rPr>
            <w:t>irecte (personnelle)</w:t>
          </w:r>
          <w:r w:rsidR="00EE5457">
            <w:rPr>
              <w:rFonts w:ascii="Cambria" w:eastAsia="MS Mincho" w:hAnsi="Cambria"/>
              <w:sz w:val="22"/>
              <w:szCs w:val="22"/>
              <w:lang w:eastAsia="en-US"/>
            </w:rPr>
            <w:t xml:space="preserve"> </w:t>
          </w:r>
          <w:r w:rsidR="00A51375" w:rsidRPr="005E12E0">
            <w:rPr>
              <w:rFonts w:ascii="Cambria" w:eastAsia="MS Mincho" w:hAnsi="Cambria"/>
              <w:szCs w:val="24"/>
              <w:u w:val="single"/>
              <w:lang w:eastAsia="en-US"/>
            </w:rPr>
            <w:tab/>
          </w:r>
          <w:r w:rsidR="002E0808">
            <w:rPr>
              <w:rFonts w:ascii="Cambria" w:eastAsia="MS Mincho" w:hAnsi="Cambria"/>
              <w:szCs w:val="24"/>
              <w:lang w:eastAsia="en-US"/>
            </w:rPr>
            <w:t>88</w:t>
          </w:r>
        </w:p>
        <w:p w14:paraId="581D6735" w14:textId="77777777" w:rsidR="00655203" w:rsidRPr="00A51375" w:rsidRDefault="00730A01" w:rsidP="00D80CDF">
          <w:pPr>
            <w:tabs>
              <w:tab w:val="right" w:pos="8931"/>
            </w:tabs>
            <w:spacing w:after="120"/>
            <w:ind w:left="142"/>
            <w:rPr>
              <w:rFonts w:ascii="Cambria" w:eastAsia="MS Mincho" w:hAnsi="Cambria"/>
              <w:szCs w:val="24"/>
              <w:lang w:eastAsia="en-US"/>
            </w:rPr>
          </w:pPr>
          <w:r w:rsidRPr="00655203">
            <w:rPr>
              <w:rFonts w:ascii="Cambria" w:eastAsia="MS Mincho" w:hAnsi="Cambria"/>
              <w:sz w:val="22"/>
              <w:szCs w:val="22"/>
              <w:lang w:eastAsia="en-US"/>
            </w:rPr>
            <w:t xml:space="preserve">d) </w:t>
          </w:r>
          <w:r w:rsidR="00A51375">
            <w:rPr>
              <w:rFonts w:ascii="Cambria" w:eastAsia="MS Mincho" w:hAnsi="Cambria"/>
              <w:sz w:val="22"/>
              <w:szCs w:val="22"/>
              <w:lang w:eastAsia="en-US"/>
            </w:rPr>
            <w:t>O</w:t>
          </w:r>
          <w:r w:rsidRPr="00655203">
            <w:rPr>
              <w:rFonts w:ascii="Cambria" w:eastAsia="MS Mincho" w:hAnsi="Cambria"/>
              <w:sz w:val="22"/>
              <w:szCs w:val="22"/>
              <w:lang w:eastAsia="en-US"/>
            </w:rPr>
            <w:t>blique</w:t>
          </w:r>
          <w:r w:rsidR="00A51375" w:rsidRPr="005E12E0">
            <w:rPr>
              <w:rFonts w:ascii="Cambria" w:eastAsia="MS Mincho" w:hAnsi="Cambria"/>
              <w:szCs w:val="24"/>
              <w:u w:val="single"/>
              <w:lang w:eastAsia="en-US"/>
            </w:rPr>
            <w:tab/>
          </w:r>
          <w:r w:rsidR="002E0808">
            <w:rPr>
              <w:rFonts w:ascii="Cambria" w:eastAsia="MS Mincho" w:hAnsi="Cambria"/>
              <w:szCs w:val="24"/>
              <w:lang w:eastAsia="en-US"/>
            </w:rPr>
            <w:t>88</w:t>
          </w:r>
        </w:p>
        <w:p w14:paraId="7B0D356A" w14:textId="77777777" w:rsidR="00655203" w:rsidRPr="00A51375" w:rsidRDefault="00730A01" w:rsidP="0002678B">
          <w:pPr>
            <w:tabs>
              <w:tab w:val="right" w:pos="8931"/>
            </w:tabs>
            <w:spacing w:after="120"/>
            <w:rPr>
              <w:rFonts w:ascii="Cambria" w:eastAsia="MS Mincho" w:hAnsi="Cambria"/>
              <w:szCs w:val="24"/>
              <w:lang w:eastAsia="en-US"/>
            </w:rPr>
          </w:pPr>
          <w:r w:rsidRPr="00A51375">
            <w:rPr>
              <w:rFonts w:ascii="Cambria" w:eastAsia="MS Mincho" w:hAnsi="Cambria"/>
              <w:b/>
              <w:bCs/>
              <w:sz w:val="22"/>
              <w:szCs w:val="22"/>
              <w:lang w:eastAsia="en-US"/>
            </w:rPr>
            <w:t>9. La mitigation des dommages par les Demandeurs</w:t>
          </w:r>
          <w:r w:rsidR="00EE5457">
            <w:rPr>
              <w:rFonts w:ascii="Cambria" w:eastAsia="MS Mincho" w:hAnsi="Cambria"/>
              <w:b/>
              <w:bCs/>
              <w:sz w:val="22"/>
              <w:szCs w:val="22"/>
              <w:lang w:eastAsia="en-US"/>
            </w:rPr>
            <w:t xml:space="preserve"> </w:t>
          </w:r>
          <w:r w:rsidR="00A51375" w:rsidRPr="005E12E0">
            <w:rPr>
              <w:rFonts w:ascii="Cambria" w:eastAsia="MS Mincho" w:hAnsi="Cambria"/>
              <w:szCs w:val="24"/>
              <w:u w:val="single"/>
              <w:lang w:eastAsia="en-US"/>
            </w:rPr>
            <w:tab/>
          </w:r>
          <w:r w:rsidR="002E0808">
            <w:rPr>
              <w:rFonts w:ascii="Cambria" w:eastAsia="MS Mincho" w:hAnsi="Cambria"/>
              <w:szCs w:val="24"/>
              <w:lang w:eastAsia="en-US"/>
            </w:rPr>
            <w:t>89</w:t>
          </w:r>
        </w:p>
        <w:p w14:paraId="44C7298E" w14:textId="77777777" w:rsidR="00655203" w:rsidRPr="00A51375" w:rsidRDefault="00730A01" w:rsidP="0002678B">
          <w:pPr>
            <w:tabs>
              <w:tab w:val="right" w:pos="8931"/>
            </w:tabs>
            <w:spacing w:after="120"/>
            <w:rPr>
              <w:rFonts w:ascii="Cambria" w:eastAsia="MS Mincho" w:hAnsi="Cambria"/>
              <w:szCs w:val="24"/>
              <w:lang w:eastAsia="en-US"/>
            </w:rPr>
          </w:pPr>
          <w:r w:rsidRPr="00A51375">
            <w:rPr>
              <w:rFonts w:ascii="Cambria" w:eastAsia="MS Mincho" w:hAnsi="Cambria"/>
              <w:b/>
              <w:bCs/>
              <w:sz w:val="22"/>
              <w:szCs w:val="22"/>
              <w:lang w:eastAsia="en-US"/>
            </w:rPr>
            <w:t>10. L’admissibilité des intérêts au taux de 12</w:t>
          </w:r>
          <w:r w:rsidR="00A51375">
            <w:rPr>
              <w:rFonts w:ascii="Cambria" w:eastAsia="MS Mincho" w:hAnsi="Cambria"/>
              <w:b/>
              <w:bCs/>
              <w:sz w:val="22"/>
              <w:szCs w:val="22"/>
              <w:lang w:eastAsia="en-US"/>
            </w:rPr>
            <w:t> </w:t>
          </w:r>
          <w:r w:rsidRPr="00A51375">
            <w:rPr>
              <w:rFonts w:ascii="Cambria" w:eastAsia="MS Mincho" w:hAnsi="Cambria"/>
              <w:b/>
              <w:bCs/>
              <w:sz w:val="22"/>
              <w:szCs w:val="22"/>
              <w:lang w:eastAsia="en-US"/>
            </w:rPr>
            <w:t>%</w:t>
          </w:r>
          <w:r w:rsidR="00EE5457">
            <w:rPr>
              <w:rFonts w:ascii="Cambria" w:eastAsia="MS Mincho" w:hAnsi="Cambria"/>
              <w:b/>
              <w:bCs/>
              <w:sz w:val="22"/>
              <w:szCs w:val="22"/>
              <w:lang w:eastAsia="en-US"/>
            </w:rPr>
            <w:t xml:space="preserve"> </w:t>
          </w:r>
          <w:r w:rsidR="00A51375" w:rsidRPr="005E12E0">
            <w:rPr>
              <w:rFonts w:ascii="Cambria" w:eastAsia="MS Mincho" w:hAnsi="Cambria"/>
              <w:szCs w:val="24"/>
              <w:u w:val="single"/>
              <w:lang w:eastAsia="en-US"/>
            </w:rPr>
            <w:tab/>
          </w:r>
          <w:r w:rsidR="002E0808">
            <w:rPr>
              <w:rFonts w:ascii="Cambria" w:eastAsia="MS Mincho" w:hAnsi="Cambria"/>
              <w:szCs w:val="24"/>
              <w:lang w:eastAsia="en-US"/>
            </w:rPr>
            <w:t>93</w:t>
          </w:r>
        </w:p>
        <w:p w14:paraId="279204C7" w14:textId="77777777" w:rsidR="00655203" w:rsidRDefault="00730A01" w:rsidP="007C2939">
          <w:pPr>
            <w:tabs>
              <w:tab w:val="right" w:pos="8931"/>
            </w:tabs>
            <w:spacing w:after="60"/>
            <w:rPr>
              <w:rFonts w:ascii="Cambria" w:eastAsia="MS Mincho" w:hAnsi="Cambria"/>
              <w:szCs w:val="24"/>
              <w:lang w:eastAsia="en-US"/>
            </w:rPr>
          </w:pPr>
          <w:r w:rsidRPr="00A51375">
            <w:rPr>
              <w:rFonts w:ascii="Cambria" w:eastAsia="MS Mincho" w:hAnsi="Cambria"/>
              <w:b/>
              <w:bCs/>
              <w:sz w:val="22"/>
              <w:szCs w:val="22"/>
              <w:lang w:eastAsia="en-US"/>
            </w:rPr>
            <w:t>11. Le rejet de la demande reconventionnelle</w:t>
          </w:r>
          <w:r w:rsidR="00EE5457">
            <w:rPr>
              <w:rFonts w:ascii="Cambria" w:eastAsia="MS Mincho" w:hAnsi="Cambria"/>
              <w:b/>
              <w:bCs/>
              <w:sz w:val="22"/>
              <w:szCs w:val="22"/>
              <w:lang w:eastAsia="en-US"/>
            </w:rPr>
            <w:t xml:space="preserve"> </w:t>
          </w:r>
          <w:r w:rsidR="00A51375" w:rsidRPr="005E12E0">
            <w:rPr>
              <w:rFonts w:ascii="Cambria" w:eastAsia="MS Mincho" w:hAnsi="Cambria"/>
              <w:szCs w:val="24"/>
              <w:u w:val="single"/>
              <w:lang w:eastAsia="en-US"/>
            </w:rPr>
            <w:tab/>
          </w:r>
          <w:r w:rsidR="00A51375">
            <w:rPr>
              <w:rFonts w:ascii="Cambria" w:eastAsia="MS Mincho" w:hAnsi="Cambria"/>
              <w:szCs w:val="24"/>
              <w:lang w:eastAsia="en-US"/>
            </w:rPr>
            <w:t>9</w:t>
          </w:r>
          <w:r w:rsidR="002E0808">
            <w:rPr>
              <w:rFonts w:ascii="Cambria" w:eastAsia="MS Mincho" w:hAnsi="Cambria"/>
              <w:szCs w:val="24"/>
              <w:lang w:eastAsia="en-US"/>
            </w:rPr>
            <w:t>4</w:t>
          </w:r>
        </w:p>
        <w:p w14:paraId="27CE181E" w14:textId="77777777" w:rsidR="00A51375" w:rsidRPr="00A51375" w:rsidRDefault="00730A01" w:rsidP="00774285">
          <w:pPr>
            <w:tabs>
              <w:tab w:val="left" w:pos="3686"/>
              <w:tab w:val="right" w:pos="8931"/>
            </w:tabs>
            <w:contextualSpacing/>
            <w:rPr>
              <w:rFonts w:ascii="Cambria" w:eastAsia="MS Mincho" w:hAnsi="Cambria"/>
              <w:szCs w:val="24"/>
              <w:lang w:eastAsia="en-US"/>
            </w:rPr>
          </w:pPr>
          <w:r>
            <w:rPr>
              <w:rFonts w:ascii="Cambria" w:eastAsia="MS Mincho" w:hAnsi="Cambria"/>
              <w:szCs w:val="24"/>
              <w:lang w:eastAsia="en-US"/>
            </w:rPr>
            <w:tab/>
            <w:t>* * *</w:t>
          </w:r>
        </w:p>
        <w:p w14:paraId="287FF7DD" w14:textId="77777777" w:rsidR="00655203" w:rsidRPr="007C2939" w:rsidRDefault="00730A01" w:rsidP="00774285">
          <w:pPr>
            <w:tabs>
              <w:tab w:val="right" w:pos="8931"/>
            </w:tabs>
            <w:spacing w:after="120"/>
            <w:rPr>
              <w:rFonts w:ascii="Cambria" w:eastAsia="MS Mincho" w:hAnsi="Cambria"/>
              <w:sz w:val="28"/>
              <w:szCs w:val="28"/>
              <w:lang w:eastAsia="en-US"/>
            </w:rPr>
          </w:pPr>
          <w:r w:rsidRPr="007C2939">
            <w:rPr>
              <w:rFonts w:ascii="Cambria" w:eastAsia="MS Mincho" w:hAnsi="Cambria"/>
              <w:b/>
              <w:bCs/>
              <w:sz w:val="28"/>
              <w:szCs w:val="28"/>
              <w:lang w:eastAsia="en-US"/>
            </w:rPr>
            <w:t>PARTIE 3</w:t>
          </w:r>
        </w:p>
        <w:p w14:paraId="50549F44" w14:textId="77777777" w:rsidR="00655203" w:rsidRPr="002E766E" w:rsidRDefault="00730A01" w:rsidP="00A437BA">
          <w:pPr>
            <w:tabs>
              <w:tab w:val="right" w:pos="8931"/>
            </w:tabs>
            <w:spacing w:after="120"/>
            <w:rPr>
              <w:rFonts w:ascii="Cambria" w:eastAsia="MS Mincho" w:hAnsi="Cambria"/>
              <w:szCs w:val="24"/>
              <w:lang w:eastAsia="en-US"/>
            </w:rPr>
          </w:pPr>
          <w:r w:rsidRPr="00655203">
            <w:rPr>
              <w:rFonts w:ascii="Cambria" w:eastAsia="MS Mincho" w:hAnsi="Cambria"/>
              <w:b/>
              <w:bCs/>
              <w:szCs w:val="24"/>
              <w:lang w:eastAsia="en-US"/>
            </w:rPr>
            <w:t>LES INCIDENTS PROCÉDURA</w:t>
          </w:r>
          <w:r w:rsidR="002E766E">
            <w:rPr>
              <w:rFonts w:ascii="Cambria" w:eastAsia="MS Mincho" w:hAnsi="Cambria"/>
              <w:b/>
              <w:bCs/>
              <w:szCs w:val="24"/>
              <w:lang w:eastAsia="en-US"/>
            </w:rPr>
            <w:t>UX</w:t>
          </w:r>
          <w:r w:rsidR="00EE5457">
            <w:rPr>
              <w:rFonts w:ascii="Cambria" w:eastAsia="MS Mincho" w:hAnsi="Cambria"/>
              <w:b/>
              <w:bCs/>
              <w:szCs w:val="24"/>
              <w:lang w:eastAsia="en-US"/>
            </w:rPr>
            <w:t xml:space="preserve"> </w:t>
          </w:r>
          <w:r w:rsidR="002E766E" w:rsidRPr="005E12E0">
            <w:rPr>
              <w:rFonts w:ascii="Cambria" w:eastAsia="MS Mincho" w:hAnsi="Cambria"/>
              <w:szCs w:val="24"/>
              <w:u w:val="single"/>
              <w:lang w:eastAsia="en-US"/>
            </w:rPr>
            <w:tab/>
          </w:r>
          <w:r w:rsidR="002E0808">
            <w:rPr>
              <w:rFonts w:ascii="Cambria" w:eastAsia="MS Mincho" w:hAnsi="Cambria"/>
              <w:szCs w:val="24"/>
              <w:lang w:eastAsia="en-US"/>
            </w:rPr>
            <w:t>97</w:t>
          </w:r>
        </w:p>
        <w:p w14:paraId="596EE691" w14:textId="77777777" w:rsidR="00655203" w:rsidRPr="0002678B" w:rsidRDefault="00730A01" w:rsidP="0002678B">
          <w:pPr>
            <w:pStyle w:val="Paragraphedeliste"/>
            <w:numPr>
              <w:ilvl w:val="0"/>
              <w:numId w:val="92"/>
            </w:numPr>
            <w:tabs>
              <w:tab w:val="right" w:pos="8931"/>
            </w:tabs>
            <w:ind w:left="284" w:hanging="284"/>
            <w:rPr>
              <w:rFonts w:ascii="Cambria" w:eastAsia="MS Mincho" w:hAnsi="Cambria"/>
              <w:sz w:val="22"/>
              <w:szCs w:val="22"/>
              <w:lang w:eastAsia="en-US"/>
            </w:rPr>
          </w:pPr>
          <w:r w:rsidRPr="0002678B">
            <w:rPr>
              <w:rFonts w:ascii="Cambria" w:eastAsia="MS Mincho" w:hAnsi="Cambria"/>
              <w:b/>
              <w:bCs/>
              <w:sz w:val="22"/>
              <w:szCs w:val="22"/>
              <w:lang w:eastAsia="en-US"/>
            </w:rPr>
            <w:t xml:space="preserve">Les modifications du 7 mai </w:t>
          </w:r>
          <w:r w:rsidR="00F01A99" w:rsidRPr="0002678B">
            <w:rPr>
              <w:rFonts w:ascii="Cambria" w:eastAsia="MS Mincho" w:hAnsi="Cambria"/>
              <w:b/>
              <w:bCs/>
              <w:sz w:val="22"/>
              <w:szCs w:val="22"/>
              <w:lang w:eastAsia="en-US"/>
            </w:rPr>
            <w:t>2</w:t>
          </w:r>
          <w:r w:rsidRPr="0002678B">
            <w:rPr>
              <w:rFonts w:ascii="Cambria" w:eastAsia="MS Mincho" w:hAnsi="Cambria"/>
              <w:b/>
              <w:bCs/>
              <w:sz w:val="22"/>
              <w:szCs w:val="22"/>
              <w:lang w:eastAsia="en-US"/>
            </w:rPr>
            <w:t>025 aux demandes introductives d’instance</w:t>
          </w:r>
          <w:r w:rsidR="00EE5457" w:rsidRPr="0002678B">
            <w:rPr>
              <w:rFonts w:ascii="Cambria" w:eastAsia="MS Mincho" w:hAnsi="Cambria"/>
              <w:sz w:val="22"/>
              <w:szCs w:val="22"/>
              <w:lang w:eastAsia="en-US"/>
            </w:rPr>
            <w:t xml:space="preserve"> </w:t>
          </w:r>
          <w:r w:rsidR="005E12E0" w:rsidRPr="0002678B">
            <w:rPr>
              <w:rFonts w:ascii="Cambria" w:eastAsia="MS Mincho" w:hAnsi="Cambria"/>
              <w:sz w:val="22"/>
              <w:szCs w:val="22"/>
              <w:u w:val="single"/>
              <w:lang w:eastAsia="en-US"/>
            </w:rPr>
            <w:tab/>
          </w:r>
          <w:r w:rsidR="002E0808" w:rsidRPr="0002678B">
            <w:rPr>
              <w:rFonts w:ascii="Cambria" w:eastAsia="MS Mincho" w:hAnsi="Cambria"/>
              <w:szCs w:val="24"/>
              <w:lang w:eastAsia="en-US"/>
            </w:rPr>
            <w:t>97</w:t>
          </w:r>
        </w:p>
        <w:p w14:paraId="0E9033FA" w14:textId="77777777" w:rsidR="00655203" w:rsidRPr="0002678B" w:rsidRDefault="00730A01" w:rsidP="0002678B">
          <w:pPr>
            <w:numPr>
              <w:ilvl w:val="0"/>
              <w:numId w:val="92"/>
            </w:numPr>
            <w:tabs>
              <w:tab w:val="right" w:pos="8931"/>
            </w:tabs>
            <w:ind w:left="284" w:hanging="284"/>
            <w:contextualSpacing/>
            <w:rPr>
              <w:rFonts w:ascii="Cambria" w:eastAsia="MS Mincho" w:hAnsi="Cambria"/>
              <w:sz w:val="22"/>
              <w:szCs w:val="22"/>
              <w:lang w:eastAsia="en-US"/>
            </w:rPr>
          </w:pPr>
          <w:r w:rsidRPr="0002678B">
            <w:rPr>
              <w:rFonts w:ascii="Cambria" w:eastAsia="MS Mincho" w:hAnsi="Cambria"/>
              <w:b/>
              <w:bCs/>
              <w:sz w:val="22"/>
              <w:szCs w:val="22"/>
              <w:lang w:eastAsia="en-US"/>
            </w:rPr>
            <w:t>Les objections à trancher</w:t>
          </w:r>
          <w:r w:rsidR="00EE5457" w:rsidRPr="0002678B">
            <w:rPr>
              <w:rFonts w:ascii="Cambria" w:eastAsia="MS Mincho" w:hAnsi="Cambria"/>
              <w:sz w:val="22"/>
              <w:szCs w:val="22"/>
              <w:lang w:eastAsia="en-US"/>
            </w:rPr>
            <w:t xml:space="preserve"> </w:t>
          </w:r>
          <w:r w:rsidR="002E766E" w:rsidRPr="0002678B">
            <w:rPr>
              <w:rFonts w:ascii="Cambria" w:eastAsia="MS Mincho" w:hAnsi="Cambria"/>
              <w:szCs w:val="24"/>
              <w:u w:val="single"/>
              <w:lang w:eastAsia="en-US"/>
            </w:rPr>
            <w:tab/>
          </w:r>
          <w:r w:rsidR="002E0808" w:rsidRPr="0002678B">
            <w:rPr>
              <w:rFonts w:ascii="Cambria" w:eastAsia="MS Mincho" w:hAnsi="Cambria"/>
              <w:szCs w:val="24"/>
              <w:lang w:eastAsia="en-US"/>
            </w:rPr>
            <w:t>99</w:t>
          </w:r>
        </w:p>
        <w:p w14:paraId="4D26B57E" w14:textId="77777777" w:rsidR="002E766E" w:rsidRPr="002E766E" w:rsidRDefault="00730A01" w:rsidP="00566EF7">
          <w:pPr>
            <w:tabs>
              <w:tab w:val="left" w:pos="284"/>
              <w:tab w:val="right" w:pos="8931"/>
            </w:tabs>
            <w:contextualSpacing/>
            <w:rPr>
              <w:rFonts w:ascii="Cambria" w:eastAsia="MS Mincho" w:hAnsi="Cambria"/>
              <w:szCs w:val="24"/>
              <w:lang w:eastAsia="en-US"/>
            </w:rPr>
          </w:pPr>
          <w:r>
            <w:rPr>
              <w:rFonts w:ascii="Cambria" w:eastAsia="MS Mincho" w:hAnsi="Cambria"/>
              <w:sz w:val="22"/>
              <w:szCs w:val="22"/>
              <w:lang w:eastAsia="en-US"/>
            </w:rPr>
            <w:tab/>
          </w:r>
          <w:r w:rsidR="00655203" w:rsidRPr="00655203">
            <w:rPr>
              <w:rFonts w:ascii="Cambria" w:eastAsia="MS Mincho" w:hAnsi="Cambria"/>
              <w:sz w:val="22"/>
              <w:szCs w:val="22"/>
              <w:lang w:eastAsia="en-US"/>
            </w:rPr>
            <w:t>1) Les objections formulées par les Demandeurs</w:t>
          </w:r>
          <w:r w:rsidR="00EE5457">
            <w:rPr>
              <w:rFonts w:ascii="Cambria" w:eastAsia="MS Mincho" w:hAnsi="Cambria"/>
              <w:sz w:val="22"/>
              <w:szCs w:val="22"/>
              <w:lang w:eastAsia="en-US"/>
            </w:rPr>
            <w:t xml:space="preserve"> </w:t>
          </w:r>
          <w:r w:rsidR="005E12E0" w:rsidRPr="005E12E0">
            <w:rPr>
              <w:rFonts w:ascii="Cambria" w:eastAsia="MS Mincho" w:hAnsi="Cambria"/>
              <w:sz w:val="22"/>
              <w:szCs w:val="22"/>
              <w:u w:val="single"/>
              <w:lang w:eastAsia="en-US"/>
            </w:rPr>
            <w:tab/>
          </w:r>
          <w:r w:rsidR="002E0808">
            <w:rPr>
              <w:rFonts w:ascii="Cambria" w:eastAsia="MS Mincho" w:hAnsi="Cambria"/>
              <w:szCs w:val="24"/>
              <w:lang w:eastAsia="en-US"/>
            </w:rPr>
            <w:t>99</w:t>
          </w:r>
        </w:p>
        <w:p w14:paraId="610D7B0A" w14:textId="77777777" w:rsidR="00F01A99" w:rsidRDefault="00730A01" w:rsidP="0002678B">
          <w:pPr>
            <w:tabs>
              <w:tab w:val="left" w:pos="284"/>
              <w:tab w:val="right" w:pos="8931"/>
            </w:tabs>
            <w:contextualSpacing/>
            <w:rPr>
              <w:rFonts w:ascii="Cambria" w:eastAsia="MS Mincho" w:hAnsi="Cambria"/>
              <w:szCs w:val="24"/>
              <w:lang w:eastAsia="en-US"/>
            </w:rPr>
          </w:pPr>
          <w:r>
            <w:rPr>
              <w:rFonts w:ascii="Cambria" w:eastAsia="MS Mincho" w:hAnsi="Cambria"/>
              <w:sz w:val="22"/>
              <w:szCs w:val="22"/>
              <w:lang w:eastAsia="en-US"/>
            </w:rPr>
            <w:tab/>
          </w:r>
          <w:r w:rsidR="00655203" w:rsidRPr="00655203">
            <w:rPr>
              <w:rFonts w:ascii="Cambria" w:eastAsia="MS Mincho" w:hAnsi="Cambria"/>
              <w:sz w:val="22"/>
              <w:szCs w:val="22"/>
              <w:lang w:eastAsia="en-US"/>
            </w:rPr>
            <w:t>2) Les objections formulées par les Défendeurs</w:t>
          </w:r>
          <w:r w:rsidR="00EE5457">
            <w:rPr>
              <w:rFonts w:ascii="Cambria" w:eastAsia="MS Mincho" w:hAnsi="Cambria"/>
              <w:sz w:val="22"/>
              <w:szCs w:val="22"/>
              <w:lang w:eastAsia="en-US"/>
            </w:rPr>
            <w:t xml:space="preserve"> </w:t>
          </w:r>
          <w:r w:rsidR="002E766E" w:rsidRPr="005E12E0">
            <w:rPr>
              <w:rFonts w:ascii="Cambria" w:eastAsia="MS Mincho" w:hAnsi="Cambria"/>
              <w:szCs w:val="24"/>
              <w:u w:val="single"/>
              <w:lang w:eastAsia="en-US"/>
            </w:rPr>
            <w:tab/>
          </w:r>
          <w:r w:rsidR="002E766E">
            <w:rPr>
              <w:rFonts w:ascii="Cambria" w:eastAsia="MS Mincho" w:hAnsi="Cambria"/>
              <w:szCs w:val="24"/>
              <w:lang w:eastAsia="en-US"/>
            </w:rPr>
            <w:t>10</w:t>
          </w:r>
          <w:r w:rsidR="002E0808">
            <w:rPr>
              <w:rFonts w:ascii="Cambria" w:eastAsia="MS Mincho" w:hAnsi="Cambria"/>
              <w:szCs w:val="24"/>
              <w:lang w:eastAsia="en-US"/>
            </w:rPr>
            <w:t>2</w:t>
          </w:r>
        </w:p>
        <w:p w14:paraId="5D36076C" w14:textId="77777777" w:rsidR="00293D84" w:rsidRPr="00F34B55" w:rsidRDefault="00730A01" w:rsidP="0002678B">
          <w:pPr>
            <w:pStyle w:val="Paragraphedeliste"/>
            <w:numPr>
              <w:ilvl w:val="0"/>
              <w:numId w:val="92"/>
            </w:numPr>
            <w:tabs>
              <w:tab w:val="right" w:pos="8931"/>
            </w:tabs>
            <w:ind w:left="284" w:hanging="284"/>
            <w:rPr>
              <w:rFonts w:ascii="Cambria" w:eastAsia="MS Mincho" w:hAnsi="Cambria"/>
              <w:b/>
              <w:bCs/>
              <w:sz w:val="22"/>
              <w:szCs w:val="22"/>
              <w:lang w:eastAsia="en-US"/>
            </w:rPr>
          </w:pPr>
          <w:r w:rsidRPr="00F01A99">
            <w:rPr>
              <w:rFonts w:ascii="Cambria" w:eastAsia="MS Mincho" w:hAnsi="Cambria"/>
              <w:b/>
              <w:bCs/>
              <w:sz w:val="22"/>
              <w:szCs w:val="22"/>
              <w:lang w:eastAsia="en-US"/>
            </w:rPr>
            <w:t>La demande en rejet du rapport d’expert KPMG</w:t>
          </w:r>
          <w:r w:rsidR="00EE5457">
            <w:rPr>
              <w:rFonts w:ascii="Cambria" w:eastAsia="MS Mincho" w:hAnsi="Cambria"/>
              <w:b/>
              <w:bCs/>
              <w:sz w:val="22"/>
              <w:szCs w:val="22"/>
              <w:lang w:eastAsia="en-US"/>
            </w:rPr>
            <w:t xml:space="preserve"> </w:t>
          </w:r>
          <w:r w:rsidRPr="005E12E0">
            <w:rPr>
              <w:rFonts w:ascii="Cambria" w:eastAsia="MS Mincho" w:hAnsi="Cambria"/>
              <w:szCs w:val="24"/>
              <w:u w:val="single"/>
              <w:lang w:eastAsia="en-US"/>
            </w:rPr>
            <w:tab/>
          </w:r>
          <w:r w:rsidR="00F01A99">
            <w:rPr>
              <w:rFonts w:ascii="Cambria" w:eastAsia="MS Mincho" w:hAnsi="Cambria"/>
              <w:szCs w:val="24"/>
              <w:lang w:eastAsia="en-US"/>
            </w:rPr>
            <w:t>10</w:t>
          </w:r>
          <w:r w:rsidR="002E0808">
            <w:rPr>
              <w:rFonts w:ascii="Cambria" w:eastAsia="MS Mincho" w:hAnsi="Cambria"/>
              <w:szCs w:val="24"/>
              <w:lang w:eastAsia="en-US"/>
            </w:rPr>
            <w:t>4</w:t>
          </w:r>
        </w:p>
        <w:p w14:paraId="7CC79D70" w14:textId="77777777" w:rsidR="00293D84" w:rsidRPr="00293D84" w:rsidRDefault="00730A01" w:rsidP="00566EF7">
          <w:pPr>
            <w:tabs>
              <w:tab w:val="left" w:pos="284"/>
              <w:tab w:val="right" w:pos="8931"/>
            </w:tabs>
            <w:spacing w:after="200" w:line="276" w:lineRule="auto"/>
            <w:contextualSpacing/>
            <w:rPr>
              <w:rFonts w:ascii="Cambria" w:eastAsia="MS Mincho" w:hAnsi="Cambria"/>
              <w:szCs w:val="24"/>
              <w:lang w:eastAsia="en-US"/>
            </w:rPr>
          </w:pPr>
          <w:r>
            <w:rPr>
              <w:rFonts w:ascii="Cambria" w:eastAsia="MS Mincho" w:hAnsi="Cambria"/>
              <w:sz w:val="22"/>
              <w:szCs w:val="22"/>
              <w:lang w:eastAsia="en-US"/>
            </w:rPr>
            <w:tab/>
          </w:r>
          <w:r w:rsidR="00655203" w:rsidRPr="00655203">
            <w:rPr>
              <w:rFonts w:ascii="Cambria" w:eastAsia="MS Mincho" w:hAnsi="Cambria"/>
              <w:sz w:val="22"/>
              <w:szCs w:val="22"/>
              <w:lang w:eastAsia="en-US"/>
            </w:rPr>
            <w:t>1)</w:t>
          </w:r>
          <w:r w:rsidR="00655203" w:rsidRPr="00655203">
            <w:rPr>
              <w:rFonts w:ascii="Cambria" w:eastAsia="MS Mincho" w:hAnsi="Cambria"/>
              <w:b/>
              <w:bCs/>
              <w:sz w:val="22"/>
              <w:szCs w:val="22"/>
              <w:lang w:eastAsia="en-US"/>
            </w:rPr>
            <w:t xml:space="preserve"> </w:t>
          </w:r>
          <w:r w:rsidR="00655203" w:rsidRPr="00655203">
            <w:rPr>
              <w:rFonts w:ascii="Cambria" w:eastAsia="MS Mincho" w:hAnsi="Cambria"/>
              <w:sz w:val="22"/>
              <w:szCs w:val="22"/>
              <w:lang w:eastAsia="en-US"/>
            </w:rPr>
            <w:t>Le moyen préliminaire : La Demande serait hor</w:t>
          </w:r>
          <w:r w:rsidR="002555BB">
            <w:rPr>
              <w:rFonts w:ascii="Cambria" w:eastAsia="MS Mincho" w:hAnsi="Cambria"/>
              <w:sz w:val="22"/>
              <w:szCs w:val="22"/>
              <w:lang w:eastAsia="en-US"/>
            </w:rPr>
            <w:t>s délai</w:t>
          </w:r>
          <w:r w:rsidR="00EE5457">
            <w:rPr>
              <w:rFonts w:ascii="Cambria" w:eastAsia="MS Mincho" w:hAnsi="Cambria"/>
              <w:sz w:val="22"/>
              <w:szCs w:val="22"/>
              <w:lang w:eastAsia="en-US"/>
            </w:rPr>
            <w:t xml:space="preserve"> </w:t>
          </w:r>
          <w:r w:rsidRPr="005E12E0">
            <w:rPr>
              <w:rFonts w:ascii="Cambria" w:eastAsia="MS Mincho" w:hAnsi="Cambria"/>
              <w:szCs w:val="24"/>
              <w:u w:val="single"/>
              <w:lang w:eastAsia="en-US"/>
            </w:rPr>
            <w:tab/>
          </w:r>
          <w:r>
            <w:rPr>
              <w:rFonts w:ascii="Cambria" w:eastAsia="MS Mincho" w:hAnsi="Cambria"/>
              <w:szCs w:val="24"/>
              <w:lang w:eastAsia="en-US"/>
            </w:rPr>
            <w:t>10</w:t>
          </w:r>
          <w:r w:rsidR="002E0808">
            <w:rPr>
              <w:rFonts w:ascii="Cambria" w:eastAsia="MS Mincho" w:hAnsi="Cambria"/>
              <w:szCs w:val="24"/>
              <w:lang w:eastAsia="en-US"/>
            </w:rPr>
            <w:t>4</w:t>
          </w:r>
        </w:p>
        <w:p w14:paraId="10EFBE69" w14:textId="77777777" w:rsidR="00293D84" w:rsidRPr="00293D84" w:rsidRDefault="00730A01" w:rsidP="00566EF7">
          <w:pPr>
            <w:tabs>
              <w:tab w:val="left" w:pos="284"/>
              <w:tab w:val="right" w:pos="8931"/>
            </w:tabs>
            <w:spacing w:after="200" w:line="276" w:lineRule="auto"/>
            <w:ind w:left="284" w:hanging="284"/>
            <w:contextualSpacing/>
            <w:rPr>
              <w:rFonts w:ascii="Cambria" w:eastAsia="MS Mincho" w:hAnsi="Cambria"/>
              <w:szCs w:val="24"/>
              <w:lang w:eastAsia="en-US"/>
            </w:rPr>
          </w:pPr>
          <w:r>
            <w:rPr>
              <w:rFonts w:ascii="Cambria" w:eastAsia="MS Mincho" w:hAnsi="Cambria"/>
              <w:sz w:val="22"/>
              <w:szCs w:val="22"/>
              <w:lang w:eastAsia="en-US"/>
            </w:rPr>
            <w:tab/>
          </w:r>
          <w:r w:rsidR="00655203" w:rsidRPr="00655203">
            <w:rPr>
              <w:rFonts w:ascii="Cambria" w:eastAsia="MS Mincho" w:hAnsi="Cambria"/>
              <w:sz w:val="22"/>
              <w:szCs w:val="22"/>
              <w:lang w:eastAsia="en-US"/>
            </w:rPr>
            <w:t xml:space="preserve">2) L’irrégularité allégué du rapport </w:t>
          </w:r>
          <w:r w:rsidRPr="005E12E0">
            <w:rPr>
              <w:rFonts w:ascii="Cambria" w:eastAsia="MS Mincho" w:hAnsi="Cambria"/>
              <w:szCs w:val="24"/>
              <w:u w:val="single"/>
              <w:lang w:eastAsia="en-US"/>
            </w:rPr>
            <w:tab/>
          </w:r>
          <w:r>
            <w:rPr>
              <w:rFonts w:ascii="Cambria" w:eastAsia="MS Mincho" w:hAnsi="Cambria"/>
              <w:szCs w:val="24"/>
              <w:lang w:eastAsia="en-US"/>
            </w:rPr>
            <w:t>10</w:t>
          </w:r>
          <w:r w:rsidR="002E0808">
            <w:rPr>
              <w:rFonts w:ascii="Cambria" w:eastAsia="MS Mincho" w:hAnsi="Cambria"/>
              <w:szCs w:val="24"/>
              <w:lang w:eastAsia="en-US"/>
            </w:rPr>
            <w:t>6</w:t>
          </w:r>
        </w:p>
        <w:p w14:paraId="58688B33" w14:textId="77777777" w:rsidR="00293D84" w:rsidRPr="00293D84" w:rsidRDefault="00730A01" w:rsidP="00566EF7">
          <w:pPr>
            <w:tabs>
              <w:tab w:val="left" w:pos="284"/>
              <w:tab w:val="right" w:pos="8931"/>
            </w:tabs>
            <w:spacing w:after="200" w:line="276" w:lineRule="auto"/>
            <w:ind w:left="284" w:hanging="284"/>
            <w:contextualSpacing/>
            <w:rPr>
              <w:rFonts w:ascii="Cambria" w:eastAsia="MS Mincho" w:hAnsi="Cambria"/>
              <w:b/>
              <w:bCs/>
              <w:szCs w:val="24"/>
              <w:lang w:eastAsia="en-US"/>
            </w:rPr>
          </w:pPr>
          <w:r>
            <w:rPr>
              <w:rFonts w:ascii="Cambria" w:eastAsia="MS Mincho" w:hAnsi="Cambria"/>
              <w:sz w:val="22"/>
              <w:szCs w:val="22"/>
              <w:lang w:eastAsia="en-US"/>
            </w:rPr>
            <w:tab/>
          </w:r>
          <w:r w:rsidR="00655203" w:rsidRPr="00655203">
            <w:rPr>
              <w:rFonts w:ascii="Cambria" w:eastAsia="MS Mincho" w:hAnsi="Cambria"/>
              <w:sz w:val="22"/>
              <w:szCs w:val="22"/>
              <w:lang w:eastAsia="en-US"/>
            </w:rPr>
            <w:t>3) La partialité invoquée du rapport</w:t>
          </w:r>
          <w:r w:rsidR="00EE5457">
            <w:rPr>
              <w:rFonts w:ascii="Cambria" w:eastAsia="MS Mincho" w:hAnsi="Cambria"/>
              <w:sz w:val="22"/>
              <w:szCs w:val="22"/>
              <w:lang w:eastAsia="en-US"/>
            </w:rPr>
            <w:t xml:space="preserve"> </w:t>
          </w:r>
          <w:r w:rsidRPr="005E12E0">
            <w:rPr>
              <w:rFonts w:ascii="Cambria" w:eastAsia="MS Mincho" w:hAnsi="Cambria"/>
              <w:szCs w:val="24"/>
              <w:u w:val="single"/>
              <w:lang w:eastAsia="en-US"/>
            </w:rPr>
            <w:tab/>
          </w:r>
          <w:r>
            <w:rPr>
              <w:rFonts w:ascii="Cambria" w:eastAsia="MS Mincho" w:hAnsi="Cambria"/>
              <w:szCs w:val="24"/>
              <w:lang w:eastAsia="en-US"/>
            </w:rPr>
            <w:t>10</w:t>
          </w:r>
          <w:r w:rsidR="002E0808">
            <w:rPr>
              <w:rFonts w:ascii="Cambria" w:eastAsia="MS Mincho" w:hAnsi="Cambria"/>
              <w:szCs w:val="24"/>
              <w:lang w:eastAsia="en-US"/>
            </w:rPr>
            <w:t>6</w:t>
          </w:r>
        </w:p>
        <w:p w14:paraId="3DB10130" w14:textId="77777777" w:rsidR="00C746E1" w:rsidRPr="00293D84" w:rsidRDefault="00730A01" w:rsidP="0002678B">
          <w:pPr>
            <w:tabs>
              <w:tab w:val="left" w:pos="284"/>
              <w:tab w:val="right" w:pos="8931"/>
            </w:tabs>
            <w:ind w:left="284" w:hanging="284"/>
            <w:contextualSpacing/>
            <w:rPr>
              <w:rFonts w:ascii="Cambria" w:eastAsia="MS Mincho" w:hAnsi="Cambria"/>
              <w:szCs w:val="24"/>
              <w:lang w:eastAsia="en-US"/>
            </w:rPr>
          </w:pPr>
          <w:r>
            <w:rPr>
              <w:rFonts w:ascii="Cambria" w:eastAsia="MS Mincho" w:hAnsi="Cambria"/>
              <w:sz w:val="22"/>
              <w:szCs w:val="22"/>
              <w:lang w:eastAsia="en-US"/>
            </w:rPr>
            <w:tab/>
          </w:r>
          <w:r w:rsidR="00655203" w:rsidRPr="00655203">
            <w:rPr>
              <w:rFonts w:ascii="Cambria" w:eastAsia="MS Mincho" w:hAnsi="Cambria"/>
              <w:sz w:val="22"/>
              <w:szCs w:val="22"/>
              <w:lang w:eastAsia="en-US"/>
            </w:rPr>
            <w:t>4)</w:t>
          </w:r>
          <w:r w:rsidR="00655203" w:rsidRPr="00655203">
            <w:rPr>
              <w:rFonts w:ascii="Cambria" w:eastAsia="MS Mincho" w:hAnsi="Cambria"/>
              <w:b/>
              <w:bCs/>
              <w:sz w:val="22"/>
              <w:szCs w:val="22"/>
              <w:lang w:eastAsia="en-US"/>
            </w:rPr>
            <w:t xml:space="preserve"> </w:t>
          </w:r>
          <w:r w:rsidR="00655203" w:rsidRPr="00655203">
            <w:rPr>
              <w:rFonts w:ascii="Cambria" w:eastAsia="MS Mincho" w:hAnsi="Cambria"/>
              <w:sz w:val="22"/>
              <w:szCs w:val="22"/>
              <w:lang w:eastAsia="en-US"/>
            </w:rPr>
            <w:t xml:space="preserve">L’erreur grave susceptible de conséquences sérieuses </w:t>
          </w:r>
          <w:r w:rsidR="00293D84" w:rsidRPr="005E12E0">
            <w:rPr>
              <w:rFonts w:ascii="Cambria" w:eastAsia="MS Mincho" w:hAnsi="Cambria"/>
              <w:szCs w:val="24"/>
              <w:u w:val="single"/>
              <w:lang w:eastAsia="en-US"/>
            </w:rPr>
            <w:tab/>
          </w:r>
          <w:r w:rsidR="00293D84">
            <w:rPr>
              <w:rFonts w:ascii="Cambria" w:eastAsia="MS Mincho" w:hAnsi="Cambria"/>
              <w:szCs w:val="24"/>
              <w:lang w:eastAsia="en-US"/>
            </w:rPr>
            <w:t>1</w:t>
          </w:r>
          <w:r w:rsidR="002E0808">
            <w:rPr>
              <w:rFonts w:ascii="Cambria" w:eastAsia="MS Mincho" w:hAnsi="Cambria"/>
              <w:szCs w:val="24"/>
              <w:lang w:eastAsia="en-US"/>
            </w:rPr>
            <w:t>07</w:t>
          </w:r>
        </w:p>
        <w:p w14:paraId="4A876A39" w14:textId="77777777" w:rsidR="00655203" w:rsidRPr="002A2796" w:rsidRDefault="00730A01" w:rsidP="00443B59">
          <w:pPr>
            <w:pStyle w:val="Paragraphedeliste"/>
            <w:numPr>
              <w:ilvl w:val="0"/>
              <w:numId w:val="92"/>
            </w:numPr>
            <w:tabs>
              <w:tab w:val="right" w:pos="8931"/>
            </w:tabs>
            <w:ind w:left="284" w:hanging="284"/>
            <w:rPr>
              <w:rFonts w:ascii="Cambria" w:eastAsia="MS Mincho" w:hAnsi="Cambria"/>
              <w:sz w:val="22"/>
              <w:szCs w:val="22"/>
              <w:lang w:eastAsia="en-US"/>
            </w:rPr>
          </w:pPr>
          <w:r w:rsidRPr="00655203">
            <w:rPr>
              <w:rFonts w:ascii="Cambria" w:eastAsia="MS Mincho" w:hAnsi="Cambria"/>
              <w:b/>
              <w:bCs/>
              <w:szCs w:val="24"/>
              <w:lang w:eastAsia="en-US"/>
            </w:rPr>
            <w:t>La complétion de certaines notes sténographique</w:t>
          </w:r>
          <w:r w:rsidR="00F01A99">
            <w:rPr>
              <w:rFonts w:ascii="Cambria" w:eastAsia="MS Mincho" w:hAnsi="Cambria"/>
              <w:b/>
              <w:bCs/>
              <w:szCs w:val="24"/>
              <w:lang w:eastAsia="en-US"/>
            </w:rPr>
            <w:t>s</w:t>
          </w:r>
          <w:r w:rsidR="00EE5457">
            <w:rPr>
              <w:rFonts w:ascii="Cambria" w:eastAsia="MS Mincho" w:hAnsi="Cambria"/>
              <w:b/>
              <w:bCs/>
              <w:szCs w:val="24"/>
              <w:lang w:eastAsia="en-US"/>
            </w:rPr>
            <w:t xml:space="preserve"> </w:t>
          </w:r>
          <w:r w:rsidR="00F01A99" w:rsidRPr="005E12E0">
            <w:rPr>
              <w:rFonts w:ascii="Cambria" w:eastAsia="MS Mincho" w:hAnsi="Cambria"/>
              <w:szCs w:val="24"/>
              <w:u w:val="single"/>
              <w:lang w:eastAsia="en-US"/>
            </w:rPr>
            <w:tab/>
          </w:r>
          <w:r w:rsidR="002A2796">
            <w:rPr>
              <w:rFonts w:ascii="Cambria" w:eastAsia="MS Mincho" w:hAnsi="Cambria"/>
              <w:szCs w:val="24"/>
              <w:lang w:eastAsia="en-US"/>
            </w:rPr>
            <w:t>1</w:t>
          </w:r>
          <w:r w:rsidR="002E0808">
            <w:rPr>
              <w:rFonts w:ascii="Cambria" w:eastAsia="MS Mincho" w:hAnsi="Cambria"/>
              <w:szCs w:val="24"/>
              <w:lang w:eastAsia="en-US"/>
            </w:rPr>
            <w:t>08</w:t>
          </w:r>
        </w:p>
        <w:p w14:paraId="4802FA1A" w14:textId="77777777" w:rsidR="002A2796" w:rsidRDefault="00730A01" w:rsidP="00566EF7">
          <w:pPr>
            <w:tabs>
              <w:tab w:val="left" w:pos="284"/>
              <w:tab w:val="right" w:pos="8931"/>
            </w:tabs>
            <w:rPr>
              <w:rFonts w:ascii="Cambria" w:eastAsia="MS Mincho" w:hAnsi="Cambria"/>
              <w:szCs w:val="24"/>
              <w:lang w:eastAsia="en-US"/>
            </w:rPr>
          </w:pPr>
          <w:r>
            <w:rPr>
              <w:rFonts w:ascii="Cambria" w:eastAsia="MS Mincho" w:hAnsi="Cambria"/>
              <w:sz w:val="22"/>
              <w:szCs w:val="22"/>
              <w:lang w:eastAsia="en-US"/>
            </w:rPr>
            <w:tab/>
            <w:t>1) Position des parties</w:t>
          </w:r>
          <w:r w:rsidR="00EE5457">
            <w:rPr>
              <w:rFonts w:ascii="Cambria" w:eastAsia="MS Mincho" w:hAnsi="Cambria"/>
              <w:sz w:val="22"/>
              <w:szCs w:val="22"/>
              <w:lang w:eastAsia="en-US"/>
            </w:rPr>
            <w:t xml:space="preserve"> </w:t>
          </w:r>
          <w:r w:rsidRPr="005E12E0">
            <w:rPr>
              <w:rFonts w:ascii="Cambria" w:eastAsia="MS Mincho" w:hAnsi="Cambria"/>
              <w:szCs w:val="24"/>
              <w:u w:val="single"/>
              <w:lang w:eastAsia="en-US"/>
            </w:rPr>
            <w:tab/>
          </w:r>
          <w:r>
            <w:rPr>
              <w:rFonts w:ascii="Cambria" w:eastAsia="MS Mincho" w:hAnsi="Cambria"/>
              <w:szCs w:val="24"/>
              <w:lang w:eastAsia="en-US"/>
            </w:rPr>
            <w:t>1</w:t>
          </w:r>
          <w:r w:rsidR="002E0808">
            <w:rPr>
              <w:rFonts w:ascii="Cambria" w:eastAsia="MS Mincho" w:hAnsi="Cambria"/>
              <w:szCs w:val="24"/>
              <w:lang w:eastAsia="en-US"/>
            </w:rPr>
            <w:t>09</w:t>
          </w:r>
        </w:p>
        <w:p w14:paraId="354198C7" w14:textId="77777777" w:rsidR="002A2796" w:rsidRDefault="00730A01" w:rsidP="00566EF7">
          <w:pPr>
            <w:tabs>
              <w:tab w:val="left" w:pos="284"/>
              <w:tab w:val="right" w:pos="8931"/>
            </w:tabs>
            <w:rPr>
              <w:rFonts w:ascii="Cambria" w:eastAsia="MS Mincho" w:hAnsi="Cambria"/>
              <w:szCs w:val="24"/>
              <w:lang w:eastAsia="en-US"/>
            </w:rPr>
          </w:pPr>
          <w:r>
            <w:rPr>
              <w:rFonts w:ascii="Cambria" w:eastAsia="MS Mincho" w:hAnsi="Cambria"/>
              <w:sz w:val="22"/>
              <w:szCs w:val="22"/>
              <w:lang w:eastAsia="en-US"/>
            </w:rPr>
            <w:tab/>
          </w:r>
          <w:r w:rsidR="0057726F">
            <w:rPr>
              <w:rFonts w:ascii="Cambria" w:eastAsia="MS Mincho" w:hAnsi="Cambria"/>
              <w:sz w:val="22"/>
              <w:szCs w:val="22"/>
              <w:lang w:eastAsia="en-US"/>
            </w:rPr>
            <w:t>2) Analyse</w:t>
          </w:r>
          <w:r w:rsidR="00EE5457">
            <w:rPr>
              <w:rFonts w:ascii="Cambria" w:eastAsia="MS Mincho" w:hAnsi="Cambria"/>
              <w:sz w:val="22"/>
              <w:szCs w:val="22"/>
              <w:lang w:eastAsia="en-US"/>
            </w:rPr>
            <w:t xml:space="preserve"> </w:t>
          </w:r>
          <w:r w:rsidR="0057726F" w:rsidRPr="005E12E0">
            <w:rPr>
              <w:rFonts w:ascii="Cambria" w:eastAsia="MS Mincho" w:hAnsi="Cambria"/>
              <w:szCs w:val="24"/>
              <w:u w:val="single"/>
              <w:lang w:eastAsia="en-US"/>
            </w:rPr>
            <w:tab/>
          </w:r>
          <w:r w:rsidR="0057726F">
            <w:rPr>
              <w:rFonts w:ascii="Cambria" w:eastAsia="MS Mincho" w:hAnsi="Cambria"/>
              <w:szCs w:val="24"/>
              <w:lang w:eastAsia="en-US"/>
            </w:rPr>
            <w:t>11</w:t>
          </w:r>
          <w:r w:rsidR="002E0808">
            <w:rPr>
              <w:rFonts w:ascii="Cambria" w:eastAsia="MS Mincho" w:hAnsi="Cambria"/>
              <w:szCs w:val="24"/>
              <w:lang w:eastAsia="en-US"/>
            </w:rPr>
            <w:t>0</w:t>
          </w:r>
        </w:p>
        <w:p w14:paraId="308EE243" w14:textId="77777777" w:rsidR="0057726F" w:rsidRPr="0057726F" w:rsidRDefault="00730A01" w:rsidP="0002678B">
          <w:pPr>
            <w:tabs>
              <w:tab w:val="left" w:pos="284"/>
              <w:tab w:val="right" w:pos="8931"/>
            </w:tabs>
            <w:rPr>
              <w:rFonts w:ascii="Cambria" w:eastAsia="MS Mincho" w:hAnsi="Cambria"/>
              <w:szCs w:val="24"/>
              <w:lang w:eastAsia="en-US"/>
            </w:rPr>
          </w:pPr>
          <w:r>
            <w:rPr>
              <w:rFonts w:ascii="Cambria" w:eastAsia="MS Mincho" w:hAnsi="Cambria"/>
              <w:sz w:val="22"/>
              <w:szCs w:val="22"/>
              <w:lang w:eastAsia="en-US"/>
            </w:rPr>
            <w:tab/>
          </w:r>
          <w:r w:rsidRPr="0057726F">
            <w:rPr>
              <w:rFonts w:ascii="Cambria" w:eastAsia="MS Mincho" w:hAnsi="Cambria"/>
              <w:sz w:val="22"/>
              <w:szCs w:val="22"/>
              <w:lang w:eastAsia="en-US"/>
            </w:rPr>
            <w:t>3) Conclusion</w:t>
          </w:r>
          <w:r w:rsidR="00154029">
            <w:rPr>
              <w:rFonts w:ascii="Cambria" w:eastAsia="MS Mincho" w:hAnsi="Cambria"/>
              <w:sz w:val="22"/>
              <w:szCs w:val="22"/>
              <w:lang w:eastAsia="en-US"/>
            </w:rPr>
            <w:t xml:space="preserve"> </w:t>
          </w:r>
          <w:r w:rsidRPr="005E12E0">
            <w:rPr>
              <w:rFonts w:ascii="Cambria" w:eastAsia="MS Mincho" w:hAnsi="Cambria"/>
              <w:szCs w:val="24"/>
              <w:u w:val="single"/>
              <w:lang w:eastAsia="en-US"/>
            </w:rPr>
            <w:tab/>
          </w:r>
          <w:r>
            <w:rPr>
              <w:rFonts w:ascii="Cambria" w:eastAsia="MS Mincho" w:hAnsi="Cambria"/>
              <w:szCs w:val="24"/>
              <w:lang w:eastAsia="en-US"/>
            </w:rPr>
            <w:t>11</w:t>
          </w:r>
          <w:r w:rsidR="002E0808">
            <w:rPr>
              <w:rFonts w:ascii="Cambria" w:eastAsia="MS Mincho" w:hAnsi="Cambria"/>
              <w:szCs w:val="24"/>
              <w:lang w:eastAsia="en-US"/>
            </w:rPr>
            <w:t>1</w:t>
          </w:r>
        </w:p>
        <w:p w14:paraId="748AE141" w14:textId="77777777" w:rsidR="00655203" w:rsidRPr="00655203" w:rsidRDefault="00730A01" w:rsidP="0002678B">
          <w:pPr>
            <w:pStyle w:val="Paragraphedeliste"/>
            <w:numPr>
              <w:ilvl w:val="0"/>
              <w:numId w:val="92"/>
            </w:numPr>
            <w:tabs>
              <w:tab w:val="right" w:pos="8931"/>
            </w:tabs>
            <w:ind w:left="284" w:hanging="284"/>
            <w:rPr>
              <w:rFonts w:ascii="Cambria" w:eastAsia="MS Mincho" w:hAnsi="Cambria"/>
              <w:b/>
              <w:bCs/>
              <w:szCs w:val="24"/>
              <w:lang w:eastAsia="en-US"/>
            </w:rPr>
          </w:pPr>
          <w:r w:rsidRPr="00655203">
            <w:rPr>
              <w:rFonts w:ascii="Cambria" w:eastAsia="MS Mincho" w:hAnsi="Cambria"/>
              <w:b/>
              <w:bCs/>
              <w:szCs w:val="24"/>
              <w:lang w:eastAsia="en-US"/>
            </w:rPr>
            <w:t>La non-fiabilité du rapport LMD</w:t>
          </w:r>
          <w:r w:rsidR="00154029">
            <w:rPr>
              <w:rFonts w:ascii="Cambria" w:eastAsia="MS Mincho" w:hAnsi="Cambria"/>
              <w:b/>
              <w:bCs/>
              <w:szCs w:val="24"/>
              <w:lang w:eastAsia="en-US"/>
            </w:rPr>
            <w:t xml:space="preserve"> </w:t>
          </w:r>
          <w:r w:rsidR="0057726F" w:rsidRPr="005E12E0">
            <w:rPr>
              <w:rFonts w:ascii="Cambria" w:eastAsia="MS Mincho" w:hAnsi="Cambria"/>
              <w:szCs w:val="24"/>
              <w:u w:val="single"/>
              <w:lang w:eastAsia="en-US"/>
            </w:rPr>
            <w:tab/>
          </w:r>
          <w:r w:rsidR="0057726F">
            <w:rPr>
              <w:rFonts w:ascii="Cambria" w:eastAsia="MS Mincho" w:hAnsi="Cambria"/>
              <w:szCs w:val="24"/>
              <w:lang w:eastAsia="en-US"/>
            </w:rPr>
            <w:t>11</w:t>
          </w:r>
          <w:r w:rsidR="002E0808">
            <w:rPr>
              <w:rFonts w:ascii="Cambria" w:eastAsia="MS Mincho" w:hAnsi="Cambria"/>
              <w:szCs w:val="24"/>
              <w:lang w:eastAsia="en-US"/>
            </w:rPr>
            <w:t>2</w:t>
          </w:r>
        </w:p>
        <w:p w14:paraId="0EF06E4E" w14:textId="77777777" w:rsidR="00655203" w:rsidRPr="00655203" w:rsidRDefault="00730A01" w:rsidP="00566EF7">
          <w:pPr>
            <w:tabs>
              <w:tab w:val="left" w:pos="284"/>
              <w:tab w:val="right" w:pos="8931"/>
            </w:tabs>
            <w:rPr>
              <w:rFonts w:ascii="Cambria" w:eastAsia="MS Mincho" w:hAnsi="Cambria"/>
              <w:sz w:val="22"/>
              <w:szCs w:val="22"/>
              <w:lang w:eastAsia="en-US"/>
            </w:rPr>
          </w:pPr>
          <w:r>
            <w:rPr>
              <w:rFonts w:ascii="Cambria" w:eastAsia="MS Mincho" w:hAnsi="Cambria"/>
              <w:sz w:val="22"/>
              <w:szCs w:val="22"/>
              <w:lang w:eastAsia="en-US"/>
            </w:rPr>
            <w:tab/>
          </w:r>
          <w:r w:rsidRPr="00655203">
            <w:rPr>
              <w:rFonts w:ascii="Cambria" w:eastAsia="MS Mincho" w:hAnsi="Cambria"/>
              <w:sz w:val="22"/>
              <w:szCs w:val="22"/>
              <w:lang w:eastAsia="en-US"/>
            </w:rPr>
            <w:t>1) Le manque d’indépendance et d’objectivité</w:t>
          </w:r>
          <w:r w:rsidR="00154029">
            <w:rPr>
              <w:rFonts w:ascii="Cambria" w:eastAsia="MS Mincho" w:hAnsi="Cambria"/>
              <w:sz w:val="22"/>
              <w:szCs w:val="22"/>
              <w:lang w:eastAsia="en-US"/>
            </w:rPr>
            <w:t xml:space="preserve"> </w:t>
          </w:r>
          <w:r w:rsidR="0057726F" w:rsidRPr="005E12E0">
            <w:rPr>
              <w:rFonts w:ascii="Cambria" w:eastAsia="MS Mincho" w:hAnsi="Cambria"/>
              <w:szCs w:val="24"/>
              <w:u w:val="single"/>
              <w:lang w:eastAsia="en-US"/>
            </w:rPr>
            <w:tab/>
          </w:r>
          <w:r w:rsidR="0057726F">
            <w:rPr>
              <w:rFonts w:ascii="Cambria" w:eastAsia="MS Mincho" w:hAnsi="Cambria"/>
              <w:szCs w:val="24"/>
              <w:lang w:eastAsia="en-US"/>
            </w:rPr>
            <w:t>11</w:t>
          </w:r>
          <w:r w:rsidR="002E0808">
            <w:rPr>
              <w:rFonts w:ascii="Cambria" w:eastAsia="MS Mincho" w:hAnsi="Cambria"/>
              <w:szCs w:val="24"/>
              <w:lang w:eastAsia="en-US"/>
            </w:rPr>
            <w:t>2</w:t>
          </w:r>
        </w:p>
        <w:p w14:paraId="38C46B32" w14:textId="77777777" w:rsidR="00655203" w:rsidRPr="0057726F" w:rsidRDefault="00730A01" w:rsidP="00566EF7">
          <w:pPr>
            <w:tabs>
              <w:tab w:val="left" w:pos="284"/>
              <w:tab w:val="right" w:pos="8931"/>
            </w:tabs>
            <w:rPr>
              <w:rFonts w:ascii="Cambria" w:eastAsia="MS Mincho" w:hAnsi="Cambria"/>
              <w:szCs w:val="24"/>
              <w:lang w:eastAsia="en-US"/>
            </w:rPr>
          </w:pPr>
          <w:r>
            <w:rPr>
              <w:rFonts w:ascii="Cambria" w:eastAsia="MS Mincho" w:hAnsi="Cambria"/>
              <w:sz w:val="22"/>
              <w:szCs w:val="22"/>
              <w:lang w:eastAsia="en-US"/>
            </w:rPr>
            <w:tab/>
          </w:r>
          <w:r w:rsidRPr="00655203">
            <w:rPr>
              <w:rFonts w:ascii="Cambria" w:eastAsia="MS Mincho" w:hAnsi="Cambria"/>
              <w:sz w:val="22"/>
              <w:szCs w:val="22"/>
              <w:lang w:eastAsia="en-US"/>
            </w:rPr>
            <w:t>2) Refus de traiter la preuve pertinente et minimisation des faits</w:t>
          </w:r>
          <w:r w:rsidR="00154029">
            <w:rPr>
              <w:rFonts w:ascii="Cambria" w:eastAsia="MS Mincho" w:hAnsi="Cambria"/>
              <w:sz w:val="22"/>
              <w:szCs w:val="22"/>
              <w:lang w:eastAsia="en-US"/>
            </w:rPr>
            <w:t xml:space="preserve"> </w:t>
          </w:r>
          <w:r w:rsidR="0057726F" w:rsidRPr="005E12E0">
            <w:rPr>
              <w:rFonts w:ascii="Cambria" w:eastAsia="MS Mincho" w:hAnsi="Cambria"/>
              <w:szCs w:val="24"/>
              <w:u w:val="single"/>
              <w:lang w:eastAsia="en-US"/>
            </w:rPr>
            <w:tab/>
          </w:r>
          <w:r w:rsidR="0057726F">
            <w:rPr>
              <w:rFonts w:ascii="Cambria" w:eastAsia="MS Mincho" w:hAnsi="Cambria"/>
              <w:szCs w:val="24"/>
              <w:lang w:eastAsia="en-US"/>
            </w:rPr>
            <w:t>11</w:t>
          </w:r>
          <w:r w:rsidR="002E0808">
            <w:rPr>
              <w:rFonts w:ascii="Cambria" w:eastAsia="MS Mincho" w:hAnsi="Cambria"/>
              <w:szCs w:val="24"/>
              <w:lang w:eastAsia="en-US"/>
            </w:rPr>
            <w:t>3</w:t>
          </w:r>
        </w:p>
        <w:p w14:paraId="6251343B" w14:textId="77777777" w:rsidR="00655203" w:rsidRPr="0057726F" w:rsidRDefault="00730A01" w:rsidP="00566EF7">
          <w:pPr>
            <w:tabs>
              <w:tab w:val="left" w:pos="284"/>
              <w:tab w:val="right" w:pos="8931"/>
              <w:tab w:val="right" w:pos="9072"/>
            </w:tabs>
            <w:rPr>
              <w:rFonts w:ascii="Cambria" w:eastAsia="MS Mincho" w:hAnsi="Cambria"/>
              <w:szCs w:val="24"/>
              <w:lang w:eastAsia="en-US"/>
            </w:rPr>
          </w:pPr>
          <w:r>
            <w:rPr>
              <w:rFonts w:ascii="Cambria" w:eastAsia="MS Mincho" w:hAnsi="Cambria"/>
              <w:sz w:val="22"/>
              <w:szCs w:val="22"/>
              <w:lang w:eastAsia="en-US"/>
            </w:rPr>
            <w:tab/>
          </w:r>
          <w:r w:rsidRPr="00655203">
            <w:rPr>
              <w:rFonts w:ascii="Cambria" w:eastAsia="MS Mincho" w:hAnsi="Cambria"/>
              <w:sz w:val="22"/>
              <w:szCs w:val="22"/>
              <w:lang w:eastAsia="en-US"/>
            </w:rPr>
            <w:t xml:space="preserve">3) L’attitude au procès : réticences et contradictions </w:t>
          </w:r>
          <w:r w:rsidR="0057726F" w:rsidRPr="005E12E0">
            <w:rPr>
              <w:rFonts w:ascii="Cambria" w:eastAsia="MS Mincho" w:hAnsi="Cambria"/>
              <w:szCs w:val="24"/>
              <w:u w:val="single"/>
              <w:lang w:eastAsia="en-US"/>
            </w:rPr>
            <w:tab/>
          </w:r>
          <w:r w:rsidR="0057726F">
            <w:rPr>
              <w:rFonts w:ascii="Cambria" w:eastAsia="MS Mincho" w:hAnsi="Cambria"/>
              <w:szCs w:val="24"/>
              <w:lang w:eastAsia="en-US"/>
            </w:rPr>
            <w:t>11</w:t>
          </w:r>
          <w:r w:rsidR="002E0808">
            <w:rPr>
              <w:rFonts w:ascii="Cambria" w:eastAsia="MS Mincho" w:hAnsi="Cambria"/>
              <w:szCs w:val="24"/>
              <w:lang w:eastAsia="en-US"/>
            </w:rPr>
            <w:t>4</w:t>
          </w:r>
        </w:p>
        <w:p w14:paraId="604D97D2" w14:textId="77777777" w:rsidR="00655203" w:rsidRPr="00655203" w:rsidRDefault="00730A01" w:rsidP="00566EF7">
          <w:pPr>
            <w:tabs>
              <w:tab w:val="left" w:pos="284"/>
              <w:tab w:val="right" w:pos="8931"/>
              <w:tab w:val="right" w:pos="9072"/>
            </w:tabs>
            <w:rPr>
              <w:rFonts w:ascii="Cambria" w:eastAsia="MS Mincho" w:hAnsi="Cambria"/>
              <w:sz w:val="22"/>
              <w:szCs w:val="22"/>
              <w:lang w:eastAsia="en-US"/>
            </w:rPr>
          </w:pPr>
          <w:r>
            <w:rPr>
              <w:rFonts w:ascii="Cambria" w:eastAsia="MS Mincho" w:hAnsi="Cambria"/>
              <w:sz w:val="22"/>
              <w:szCs w:val="22"/>
              <w:lang w:eastAsia="en-US"/>
            </w:rPr>
            <w:tab/>
          </w:r>
          <w:r w:rsidRPr="00655203">
            <w:rPr>
              <w:rFonts w:ascii="Cambria" w:eastAsia="MS Mincho" w:hAnsi="Cambria"/>
              <w:sz w:val="22"/>
              <w:szCs w:val="22"/>
              <w:lang w:eastAsia="en-US"/>
            </w:rPr>
            <w:t>4) La présentation de tableaux et graphiques trompeurs</w:t>
          </w:r>
          <w:r w:rsidR="00154029">
            <w:rPr>
              <w:rFonts w:ascii="Cambria" w:eastAsia="MS Mincho" w:hAnsi="Cambria"/>
              <w:sz w:val="22"/>
              <w:szCs w:val="22"/>
              <w:lang w:eastAsia="en-US"/>
            </w:rPr>
            <w:t xml:space="preserve"> </w:t>
          </w:r>
          <w:r w:rsidR="0057726F" w:rsidRPr="005E12E0">
            <w:rPr>
              <w:rFonts w:ascii="Cambria" w:eastAsia="MS Mincho" w:hAnsi="Cambria"/>
              <w:szCs w:val="24"/>
              <w:u w:val="single"/>
              <w:lang w:eastAsia="en-US"/>
            </w:rPr>
            <w:tab/>
          </w:r>
          <w:r w:rsidR="0057726F">
            <w:rPr>
              <w:rFonts w:ascii="Cambria" w:eastAsia="MS Mincho" w:hAnsi="Cambria"/>
              <w:szCs w:val="24"/>
              <w:lang w:eastAsia="en-US"/>
            </w:rPr>
            <w:t>11</w:t>
          </w:r>
          <w:r w:rsidR="002E0808">
            <w:rPr>
              <w:rFonts w:ascii="Cambria" w:eastAsia="MS Mincho" w:hAnsi="Cambria"/>
              <w:szCs w:val="24"/>
              <w:lang w:eastAsia="en-US"/>
            </w:rPr>
            <w:t>4</w:t>
          </w:r>
        </w:p>
        <w:p w14:paraId="1BC62BB5" w14:textId="77777777" w:rsidR="00655203" w:rsidRPr="00655203" w:rsidRDefault="00730A01" w:rsidP="00C82AC1">
          <w:pPr>
            <w:tabs>
              <w:tab w:val="left" w:pos="284"/>
              <w:tab w:val="right" w:pos="8931"/>
              <w:tab w:val="right" w:pos="9072"/>
            </w:tabs>
            <w:rPr>
              <w:rFonts w:ascii="Cambria" w:eastAsia="MS Mincho" w:hAnsi="Cambria"/>
              <w:sz w:val="22"/>
              <w:szCs w:val="22"/>
              <w:lang w:eastAsia="en-US"/>
            </w:rPr>
          </w:pPr>
          <w:r>
            <w:rPr>
              <w:rFonts w:ascii="Cambria" w:eastAsia="MS Mincho" w:hAnsi="Cambria"/>
              <w:sz w:val="22"/>
              <w:szCs w:val="22"/>
              <w:lang w:eastAsia="en-US"/>
            </w:rPr>
            <w:tab/>
          </w:r>
          <w:r w:rsidRPr="00655203">
            <w:rPr>
              <w:rFonts w:ascii="Cambria" w:eastAsia="MS Mincho" w:hAnsi="Cambria"/>
              <w:sz w:val="22"/>
              <w:szCs w:val="22"/>
              <w:lang w:eastAsia="en-US"/>
            </w:rPr>
            <w:t xml:space="preserve">5) La réputation judiciaire antérieure </w:t>
          </w:r>
          <w:r w:rsidR="00C82AC1" w:rsidRPr="00C82AC1">
            <w:rPr>
              <w:rFonts w:ascii="Cambria" w:eastAsia="MS Mincho" w:hAnsi="Cambria"/>
              <w:sz w:val="22"/>
              <w:szCs w:val="22"/>
              <w:u w:val="single"/>
              <w:lang w:eastAsia="en-US"/>
            </w:rPr>
            <w:tab/>
          </w:r>
          <w:r w:rsidR="0057726F" w:rsidRPr="00C82AC1">
            <w:rPr>
              <w:rFonts w:ascii="Cambria" w:eastAsia="MS Mincho" w:hAnsi="Cambria"/>
              <w:sz w:val="22"/>
              <w:szCs w:val="22"/>
              <w:lang w:eastAsia="en-US"/>
            </w:rPr>
            <w:t>11</w:t>
          </w:r>
          <w:r w:rsidR="002E0808" w:rsidRPr="00C82AC1">
            <w:rPr>
              <w:rFonts w:ascii="Cambria" w:eastAsia="MS Mincho" w:hAnsi="Cambria"/>
              <w:sz w:val="22"/>
              <w:szCs w:val="22"/>
              <w:lang w:eastAsia="en-US"/>
            </w:rPr>
            <w:t>4</w:t>
          </w:r>
        </w:p>
        <w:p w14:paraId="1C877F1F" w14:textId="77777777" w:rsidR="008F6FA9" w:rsidRPr="00C82AC1" w:rsidRDefault="00730A01" w:rsidP="008D7646">
          <w:pPr>
            <w:tabs>
              <w:tab w:val="left" w:pos="284"/>
              <w:tab w:val="right" w:pos="8931"/>
              <w:tab w:val="right" w:pos="9072"/>
            </w:tabs>
            <w:spacing w:after="240"/>
            <w:rPr>
              <w:rFonts w:ascii="Cambria" w:eastAsia="MS Mincho" w:hAnsi="Cambria"/>
              <w:sz w:val="22"/>
              <w:szCs w:val="22"/>
              <w:lang w:eastAsia="en-US"/>
            </w:rPr>
          </w:pPr>
          <w:r>
            <w:rPr>
              <w:rFonts w:ascii="Cambria" w:eastAsia="MS Mincho" w:hAnsi="Cambria"/>
              <w:sz w:val="22"/>
              <w:szCs w:val="22"/>
              <w:lang w:eastAsia="en-US"/>
            </w:rPr>
            <w:tab/>
          </w:r>
          <w:r w:rsidR="00655203" w:rsidRPr="00655203">
            <w:rPr>
              <w:rFonts w:ascii="Cambria" w:eastAsia="MS Mincho" w:hAnsi="Cambria"/>
              <w:sz w:val="22"/>
              <w:szCs w:val="22"/>
              <w:lang w:eastAsia="en-US"/>
            </w:rPr>
            <w:t>6) En résumé</w:t>
          </w:r>
          <w:r w:rsidR="00154029">
            <w:rPr>
              <w:rFonts w:ascii="Cambria" w:eastAsia="MS Mincho" w:hAnsi="Cambria"/>
              <w:sz w:val="22"/>
              <w:szCs w:val="22"/>
              <w:lang w:eastAsia="en-US"/>
            </w:rPr>
            <w:t xml:space="preserve"> </w:t>
          </w:r>
          <w:r w:rsidR="00C82AC1" w:rsidRPr="00C82AC1">
            <w:rPr>
              <w:rFonts w:ascii="Cambria" w:eastAsia="MS Mincho" w:hAnsi="Cambria"/>
              <w:sz w:val="22"/>
              <w:szCs w:val="22"/>
              <w:u w:val="single"/>
              <w:lang w:eastAsia="en-US"/>
            </w:rPr>
            <w:tab/>
          </w:r>
          <w:r w:rsidR="0057726F" w:rsidRPr="00C82AC1">
            <w:rPr>
              <w:rFonts w:ascii="Cambria" w:eastAsia="MS Mincho" w:hAnsi="Cambria"/>
              <w:sz w:val="22"/>
              <w:szCs w:val="22"/>
              <w:lang w:eastAsia="en-US"/>
            </w:rPr>
            <w:t>11</w:t>
          </w:r>
          <w:r w:rsidR="002E0808" w:rsidRPr="00C82AC1">
            <w:rPr>
              <w:rFonts w:ascii="Cambria" w:eastAsia="MS Mincho" w:hAnsi="Cambria"/>
              <w:sz w:val="22"/>
              <w:szCs w:val="22"/>
              <w:lang w:eastAsia="en-US"/>
            </w:rPr>
            <w:t>5</w:t>
          </w:r>
        </w:p>
        <w:p w14:paraId="15247CDD" w14:textId="77777777" w:rsidR="0057726F" w:rsidRDefault="00730A01" w:rsidP="0057726F">
          <w:pPr>
            <w:tabs>
              <w:tab w:val="left" w:pos="3686"/>
              <w:tab w:val="right" w:pos="8931"/>
              <w:tab w:val="right" w:pos="9072"/>
            </w:tabs>
            <w:rPr>
              <w:rFonts w:ascii="Cambria" w:eastAsia="MS Mincho" w:hAnsi="Cambria"/>
              <w:szCs w:val="24"/>
              <w:lang w:eastAsia="en-US"/>
            </w:rPr>
          </w:pPr>
          <w:r>
            <w:rPr>
              <w:rFonts w:ascii="Cambria" w:eastAsia="MS Mincho" w:hAnsi="Cambria"/>
              <w:szCs w:val="24"/>
              <w:lang w:eastAsia="en-US"/>
            </w:rPr>
            <w:tab/>
            <w:t>* * *</w:t>
          </w:r>
        </w:p>
        <w:p w14:paraId="33D6F165" w14:textId="77777777" w:rsidR="00774285" w:rsidRDefault="00774285" w:rsidP="0057726F">
          <w:pPr>
            <w:tabs>
              <w:tab w:val="left" w:pos="3686"/>
              <w:tab w:val="right" w:pos="8931"/>
              <w:tab w:val="right" w:pos="9072"/>
            </w:tabs>
            <w:rPr>
              <w:rFonts w:ascii="Cambria" w:eastAsia="MS Mincho" w:hAnsi="Cambria"/>
              <w:szCs w:val="24"/>
              <w:lang w:eastAsia="en-US"/>
            </w:rPr>
          </w:pPr>
        </w:p>
        <w:p w14:paraId="57F771A1" w14:textId="77777777" w:rsidR="00774285" w:rsidRDefault="00774285" w:rsidP="0057726F">
          <w:pPr>
            <w:tabs>
              <w:tab w:val="left" w:pos="3686"/>
              <w:tab w:val="right" w:pos="8931"/>
              <w:tab w:val="right" w:pos="9072"/>
            </w:tabs>
            <w:rPr>
              <w:rFonts w:ascii="Cambria" w:eastAsia="MS Mincho" w:hAnsi="Cambria"/>
              <w:szCs w:val="24"/>
              <w:lang w:eastAsia="en-US"/>
            </w:rPr>
          </w:pPr>
        </w:p>
        <w:p w14:paraId="4ACF0155" w14:textId="77777777" w:rsidR="00655203" w:rsidRPr="007C2939" w:rsidRDefault="00730A01" w:rsidP="00774285">
          <w:pPr>
            <w:tabs>
              <w:tab w:val="right" w:pos="8931"/>
              <w:tab w:val="right" w:pos="9072"/>
            </w:tabs>
            <w:spacing w:after="120"/>
            <w:rPr>
              <w:rFonts w:ascii="Cambria" w:eastAsia="MS Mincho" w:hAnsi="Cambria"/>
              <w:sz w:val="28"/>
              <w:szCs w:val="28"/>
              <w:lang w:eastAsia="en-US"/>
            </w:rPr>
          </w:pPr>
          <w:r w:rsidRPr="007C2939">
            <w:rPr>
              <w:rFonts w:ascii="Cambria" w:eastAsia="MS Mincho" w:hAnsi="Cambria"/>
              <w:b/>
              <w:bCs/>
              <w:sz w:val="28"/>
              <w:szCs w:val="28"/>
              <w:lang w:eastAsia="en-US"/>
            </w:rPr>
            <w:t>PARTIE 4</w:t>
          </w:r>
        </w:p>
        <w:p w14:paraId="0272FD8A" w14:textId="77777777" w:rsidR="00655203" w:rsidRPr="00655203" w:rsidRDefault="00730A01" w:rsidP="00774285">
          <w:pPr>
            <w:tabs>
              <w:tab w:val="right" w:pos="8931"/>
              <w:tab w:val="right" w:pos="9072"/>
            </w:tabs>
            <w:spacing w:after="60"/>
            <w:rPr>
              <w:rFonts w:ascii="Cambria" w:eastAsia="MS Mincho" w:hAnsi="Cambria"/>
              <w:sz w:val="22"/>
              <w:szCs w:val="22"/>
              <w:lang w:eastAsia="en-US"/>
            </w:rPr>
          </w:pPr>
          <w:r w:rsidRPr="00655203">
            <w:rPr>
              <w:rFonts w:ascii="Cambria" w:eastAsia="MS Mincho" w:hAnsi="Cambria"/>
              <w:b/>
              <w:bCs/>
              <w:sz w:val="22"/>
              <w:szCs w:val="22"/>
              <w:lang w:eastAsia="en-US"/>
            </w:rPr>
            <w:t>A) LES MESURES DE PROTECTION PENDANT L’APPEL</w:t>
          </w:r>
          <w:r w:rsidR="00154029">
            <w:rPr>
              <w:rFonts w:ascii="Cambria" w:eastAsia="MS Mincho" w:hAnsi="Cambria"/>
              <w:b/>
              <w:bCs/>
              <w:sz w:val="22"/>
              <w:szCs w:val="22"/>
              <w:lang w:eastAsia="en-US"/>
            </w:rPr>
            <w:t xml:space="preserve"> </w:t>
          </w:r>
          <w:r w:rsidR="0057726F" w:rsidRPr="008F6FA9">
            <w:rPr>
              <w:rFonts w:ascii="Cambria" w:eastAsia="MS Mincho" w:hAnsi="Cambria"/>
              <w:szCs w:val="24"/>
              <w:u w:val="single"/>
              <w:lang w:eastAsia="en-US"/>
            </w:rPr>
            <w:tab/>
          </w:r>
          <w:r w:rsidR="0057726F">
            <w:rPr>
              <w:rFonts w:ascii="Cambria" w:eastAsia="MS Mincho" w:hAnsi="Cambria"/>
              <w:szCs w:val="24"/>
              <w:lang w:eastAsia="en-US"/>
            </w:rPr>
            <w:t>11</w:t>
          </w:r>
          <w:r w:rsidR="002E0808">
            <w:rPr>
              <w:rFonts w:ascii="Cambria" w:eastAsia="MS Mincho" w:hAnsi="Cambria"/>
              <w:szCs w:val="24"/>
              <w:lang w:eastAsia="en-US"/>
            </w:rPr>
            <w:t>6</w:t>
          </w:r>
        </w:p>
        <w:p w14:paraId="10753A94" w14:textId="77777777" w:rsidR="00655203" w:rsidRPr="00525E2D" w:rsidRDefault="00730A01" w:rsidP="00774285">
          <w:pPr>
            <w:tabs>
              <w:tab w:val="right" w:pos="8931"/>
              <w:tab w:val="right" w:pos="9072"/>
            </w:tabs>
            <w:spacing w:after="60"/>
            <w:rPr>
              <w:rFonts w:ascii="Cambria" w:eastAsia="MS Mincho" w:hAnsi="Cambria"/>
              <w:szCs w:val="24"/>
              <w:lang w:eastAsia="en-US"/>
            </w:rPr>
          </w:pPr>
          <w:r w:rsidRPr="00525E2D">
            <w:rPr>
              <w:rFonts w:ascii="Cambria" w:eastAsia="MS Mincho" w:hAnsi="Cambria"/>
              <w:b/>
              <w:bCs/>
              <w:sz w:val="22"/>
              <w:szCs w:val="22"/>
              <w:lang w:eastAsia="en-US"/>
            </w:rPr>
            <w:t xml:space="preserve">1. L’ordonnance </w:t>
          </w:r>
          <w:r w:rsidRPr="006429E7">
            <w:rPr>
              <w:rFonts w:ascii="Cambria" w:eastAsia="MS Mincho" w:hAnsi="Cambria"/>
              <w:b/>
              <w:bCs/>
              <w:i/>
              <w:iCs/>
              <w:sz w:val="22"/>
              <w:szCs w:val="22"/>
              <w:lang w:eastAsia="en-US"/>
            </w:rPr>
            <w:t>Mareva</w:t>
          </w:r>
          <w:r w:rsidRPr="00525E2D">
            <w:rPr>
              <w:rFonts w:ascii="Cambria" w:eastAsia="MS Mincho" w:hAnsi="Cambria"/>
              <w:b/>
              <w:bCs/>
              <w:sz w:val="22"/>
              <w:szCs w:val="22"/>
              <w:lang w:eastAsia="en-US"/>
            </w:rPr>
            <w:t xml:space="preserve"> permanente</w:t>
          </w:r>
          <w:r w:rsidRPr="00655203">
            <w:rPr>
              <w:rFonts w:ascii="Cambria" w:eastAsia="MS Mincho" w:hAnsi="Cambria"/>
              <w:sz w:val="22"/>
              <w:szCs w:val="22"/>
              <w:lang w:eastAsia="en-US"/>
            </w:rPr>
            <w:t xml:space="preserve"> </w:t>
          </w:r>
          <w:r w:rsidR="00525E2D" w:rsidRPr="008F6FA9">
            <w:rPr>
              <w:rFonts w:ascii="Cambria" w:eastAsia="MS Mincho" w:hAnsi="Cambria"/>
              <w:szCs w:val="24"/>
              <w:u w:val="single"/>
              <w:lang w:eastAsia="en-US"/>
            </w:rPr>
            <w:tab/>
          </w:r>
          <w:r w:rsidR="00525E2D">
            <w:rPr>
              <w:rFonts w:ascii="Cambria" w:eastAsia="MS Mincho" w:hAnsi="Cambria"/>
              <w:szCs w:val="24"/>
              <w:lang w:eastAsia="en-US"/>
            </w:rPr>
            <w:t>11</w:t>
          </w:r>
          <w:r w:rsidR="002E0808">
            <w:rPr>
              <w:rFonts w:ascii="Cambria" w:eastAsia="MS Mincho" w:hAnsi="Cambria"/>
              <w:szCs w:val="24"/>
              <w:lang w:eastAsia="en-US"/>
            </w:rPr>
            <w:t>6</w:t>
          </w:r>
        </w:p>
        <w:p w14:paraId="7C54F005" w14:textId="77777777" w:rsidR="00655203" w:rsidRPr="00525E2D" w:rsidRDefault="00730A01" w:rsidP="0002678B">
          <w:pPr>
            <w:tabs>
              <w:tab w:val="right" w:pos="8931"/>
            </w:tabs>
            <w:rPr>
              <w:rFonts w:ascii="Cambria" w:eastAsia="MS Mincho" w:hAnsi="Cambria"/>
              <w:szCs w:val="24"/>
              <w:lang w:eastAsia="en-US"/>
            </w:rPr>
          </w:pPr>
          <w:r w:rsidRPr="00655203">
            <w:rPr>
              <w:rFonts w:ascii="Cambria" w:eastAsia="MS Mincho" w:hAnsi="Cambria"/>
              <w:b/>
              <w:bCs/>
              <w:sz w:val="22"/>
              <w:szCs w:val="22"/>
              <w:lang w:eastAsia="en-US"/>
            </w:rPr>
            <w:t>2. L’exécution provisoire nonobstant appel</w:t>
          </w:r>
          <w:r w:rsidRPr="00655203">
            <w:rPr>
              <w:rFonts w:ascii="Cambria" w:eastAsia="MS Mincho" w:hAnsi="Cambria"/>
              <w:sz w:val="22"/>
              <w:szCs w:val="22"/>
              <w:lang w:eastAsia="en-US"/>
            </w:rPr>
            <w:t xml:space="preserve"> </w:t>
          </w:r>
          <w:r w:rsidR="00525E2D" w:rsidRPr="008F6FA9">
            <w:rPr>
              <w:rFonts w:ascii="Cambria" w:eastAsia="MS Mincho" w:hAnsi="Cambria"/>
              <w:szCs w:val="24"/>
              <w:u w:val="single"/>
              <w:lang w:eastAsia="en-US"/>
            </w:rPr>
            <w:tab/>
          </w:r>
          <w:r w:rsidR="00525E2D">
            <w:rPr>
              <w:rFonts w:ascii="Cambria" w:eastAsia="MS Mincho" w:hAnsi="Cambria"/>
              <w:szCs w:val="24"/>
              <w:lang w:eastAsia="en-US"/>
            </w:rPr>
            <w:t>1</w:t>
          </w:r>
          <w:r w:rsidR="002E0808">
            <w:rPr>
              <w:rFonts w:ascii="Cambria" w:eastAsia="MS Mincho" w:hAnsi="Cambria"/>
              <w:szCs w:val="24"/>
              <w:lang w:eastAsia="en-US"/>
            </w:rPr>
            <w:t>19</w:t>
          </w:r>
        </w:p>
        <w:p w14:paraId="6188DFC2" w14:textId="77777777" w:rsidR="00655203" w:rsidRPr="00525E2D" w:rsidRDefault="00730A01" w:rsidP="00525E2D">
          <w:pPr>
            <w:tabs>
              <w:tab w:val="right" w:pos="8931"/>
              <w:tab w:val="right" w:pos="9072"/>
            </w:tabs>
            <w:rPr>
              <w:rFonts w:ascii="Cambria" w:eastAsia="MS Mincho" w:hAnsi="Cambria"/>
              <w:szCs w:val="24"/>
              <w:lang w:eastAsia="en-US"/>
            </w:rPr>
          </w:pPr>
          <w:r w:rsidRPr="00655203">
            <w:rPr>
              <w:rFonts w:ascii="Cambria" w:eastAsia="MS Mincho" w:hAnsi="Cambria"/>
              <w:sz w:val="22"/>
              <w:szCs w:val="22"/>
              <w:lang w:eastAsia="en-US"/>
            </w:rPr>
            <w:t>a. Le risque manifeste de dissipation d’actifs</w:t>
          </w:r>
          <w:r w:rsidR="00154029">
            <w:rPr>
              <w:rFonts w:ascii="Cambria" w:eastAsia="MS Mincho" w:hAnsi="Cambria"/>
              <w:sz w:val="22"/>
              <w:szCs w:val="22"/>
              <w:lang w:eastAsia="en-US"/>
            </w:rPr>
            <w:t xml:space="preserve"> </w:t>
          </w:r>
          <w:r w:rsidR="00525E2D" w:rsidRPr="008F6FA9">
            <w:rPr>
              <w:rFonts w:ascii="Cambria" w:eastAsia="MS Mincho" w:hAnsi="Cambria"/>
              <w:szCs w:val="24"/>
              <w:u w:val="single"/>
              <w:lang w:eastAsia="en-US"/>
            </w:rPr>
            <w:tab/>
          </w:r>
          <w:r w:rsidR="00525E2D">
            <w:rPr>
              <w:rFonts w:ascii="Cambria" w:eastAsia="MS Mincho" w:hAnsi="Cambria"/>
              <w:szCs w:val="24"/>
              <w:lang w:eastAsia="en-US"/>
            </w:rPr>
            <w:t>12</w:t>
          </w:r>
          <w:r w:rsidR="002E0808">
            <w:rPr>
              <w:rFonts w:ascii="Cambria" w:eastAsia="MS Mincho" w:hAnsi="Cambria"/>
              <w:szCs w:val="24"/>
              <w:lang w:eastAsia="en-US"/>
            </w:rPr>
            <w:t>0</w:t>
          </w:r>
        </w:p>
        <w:p w14:paraId="5AFCFDB3" w14:textId="77777777" w:rsidR="00655203" w:rsidRPr="00525E2D" w:rsidRDefault="00730A01" w:rsidP="00525E2D">
          <w:pPr>
            <w:tabs>
              <w:tab w:val="right" w:pos="8931"/>
            </w:tabs>
            <w:rPr>
              <w:rFonts w:ascii="Cambria" w:eastAsia="MS Mincho" w:hAnsi="Cambria"/>
              <w:szCs w:val="24"/>
              <w:lang w:eastAsia="en-US"/>
            </w:rPr>
          </w:pPr>
          <w:r w:rsidRPr="00655203">
            <w:rPr>
              <w:rFonts w:ascii="Cambria" w:eastAsia="MS Mincho" w:hAnsi="Cambria"/>
              <w:sz w:val="22"/>
              <w:szCs w:val="22"/>
              <w:lang w:eastAsia="en-US"/>
            </w:rPr>
            <w:t>b. La volonté de soustraire les biens à l’exé</w:t>
          </w:r>
          <w:r w:rsidR="00525E2D">
            <w:rPr>
              <w:rFonts w:ascii="Cambria" w:eastAsia="MS Mincho" w:hAnsi="Cambria"/>
              <w:sz w:val="22"/>
              <w:szCs w:val="22"/>
              <w:lang w:eastAsia="en-US"/>
            </w:rPr>
            <w:t>cution</w:t>
          </w:r>
          <w:r w:rsidR="00154029">
            <w:rPr>
              <w:rFonts w:ascii="Cambria" w:eastAsia="MS Mincho" w:hAnsi="Cambria"/>
              <w:sz w:val="22"/>
              <w:szCs w:val="22"/>
              <w:lang w:eastAsia="en-US"/>
            </w:rPr>
            <w:t xml:space="preserve"> </w:t>
          </w:r>
          <w:r w:rsidR="00525E2D" w:rsidRPr="008F6FA9">
            <w:rPr>
              <w:rFonts w:ascii="Cambria" w:eastAsia="MS Mincho" w:hAnsi="Cambria"/>
              <w:szCs w:val="24"/>
              <w:u w:val="single"/>
              <w:lang w:eastAsia="en-US"/>
            </w:rPr>
            <w:tab/>
          </w:r>
          <w:r w:rsidR="00525E2D">
            <w:rPr>
              <w:rFonts w:ascii="Cambria" w:eastAsia="MS Mincho" w:hAnsi="Cambria"/>
              <w:szCs w:val="24"/>
              <w:lang w:eastAsia="en-US"/>
            </w:rPr>
            <w:t>12</w:t>
          </w:r>
          <w:r w:rsidR="002E0808">
            <w:rPr>
              <w:rFonts w:ascii="Cambria" w:eastAsia="MS Mincho" w:hAnsi="Cambria"/>
              <w:szCs w:val="24"/>
              <w:lang w:eastAsia="en-US"/>
            </w:rPr>
            <w:t>0</w:t>
          </w:r>
        </w:p>
        <w:p w14:paraId="369DAF45" w14:textId="77777777" w:rsidR="00655203" w:rsidRPr="00525E2D" w:rsidRDefault="00730A01" w:rsidP="00525E2D">
          <w:pPr>
            <w:tabs>
              <w:tab w:val="right" w:pos="8931"/>
              <w:tab w:val="right" w:pos="9072"/>
            </w:tabs>
            <w:rPr>
              <w:rFonts w:ascii="Cambria" w:eastAsia="MS Mincho" w:hAnsi="Cambria"/>
              <w:szCs w:val="24"/>
              <w:lang w:eastAsia="en-US"/>
            </w:rPr>
          </w:pPr>
          <w:r w:rsidRPr="00655203">
            <w:rPr>
              <w:rFonts w:ascii="Cambria" w:eastAsia="MS Mincho" w:hAnsi="Cambria"/>
              <w:sz w:val="22"/>
              <w:szCs w:val="22"/>
              <w:lang w:eastAsia="en-US"/>
            </w:rPr>
            <w:t>c. La nature frauduleuse et la gravité des fautes</w:t>
          </w:r>
          <w:r w:rsidR="00154029">
            <w:rPr>
              <w:rFonts w:ascii="Cambria" w:eastAsia="MS Mincho" w:hAnsi="Cambria"/>
              <w:sz w:val="22"/>
              <w:szCs w:val="22"/>
              <w:lang w:eastAsia="en-US"/>
            </w:rPr>
            <w:t xml:space="preserve"> </w:t>
          </w:r>
          <w:r w:rsidR="00525E2D" w:rsidRPr="008F6FA9">
            <w:rPr>
              <w:rFonts w:ascii="Cambria" w:eastAsia="MS Mincho" w:hAnsi="Cambria"/>
              <w:szCs w:val="24"/>
              <w:u w:val="single"/>
              <w:lang w:eastAsia="en-US"/>
            </w:rPr>
            <w:tab/>
          </w:r>
          <w:r w:rsidR="00525E2D">
            <w:rPr>
              <w:rFonts w:ascii="Cambria" w:eastAsia="MS Mincho" w:hAnsi="Cambria"/>
              <w:szCs w:val="24"/>
              <w:lang w:eastAsia="en-US"/>
            </w:rPr>
            <w:t>12</w:t>
          </w:r>
          <w:r w:rsidR="002E0808">
            <w:rPr>
              <w:rFonts w:ascii="Cambria" w:eastAsia="MS Mincho" w:hAnsi="Cambria"/>
              <w:szCs w:val="24"/>
              <w:lang w:eastAsia="en-US"/>
            </w:rPr>
            <w:t>0</w:t>
          </w:r>
        </w:p>
        <w:p w14:paraId="5A59AB7A" w14:textId="77777777" w:rsidR="00655203" w:rsidRPr="00525E2D" w:rsidRDefault="00730A01" w:rsidP="00774285">
          <w:pPr>
            <w:tabs>
              <w:tab w:val="right" w:pos="8931"/>
              <w:tab w:val="right" w:pos="9072"/>
            </w:tabs>
            <w:spacing w:after="60" w:line="276" w:lineRule="auto"/>
            <w:rPr>
              <w:rFonts w:ascii="Cambria" w:eastAsia="MS Mincho" w:hAnsi="Cambria"/>
              <w:szCs w:val="24"/>
              <w:lang w:eastAsia="en-US"/>
            </w:rPr>
          </w:pPr>
          <w:r w:rsidRPr="00655203">
            <w:rPr>
              <w:rFonts w:ascii="Cambria" w:eastAsia="MS Mincho" w:hAnsi="Cambria"/>
              <w:sz w:val="22"/>
              <w:szCs w:val="22"/>
              <w:lang w:eastAsia="en-US"/>
            </w:rPr>
            <w:t>d. La protection des investisseurs et l’impératif de justice</w:t>
          </w:r>
          <w:r w:rsidR="00154029">
            <w:rPr>
              <w:rFonts w:ascii="Cambria" w:eastAsia="MS Mincho" w:hAnsi="Cambria"/>
              <w:sz w:val="22"/>
              <w:szCs w:val="22"/>
              <w:lang w:eastAsia="en-US"/>
            </w:rPr>
            <w:t xml:space="preserve"> </w:t>
          </w:r>
          <w:r w:rsidR="00525E2D" w:rsidRPr="008F6FA9">
            <w:rPr>
              <w:rFonts w:ascii="Cambria" w:eastAsia="MS Mincho" w:hAnsi="Cambria"/>
              <w:szCs w:val="24"/>
              <w:u w:val="single"/>
              <w:lang w:eastAsia="en-US"/>
            </w:rPr>
            <w:tab/>
          </w:r>
          <w:r w:rsidR="00525E2D">
            <w:rPr>
              <w:rFonts w:ascii="Cambria" w:eastAsia="MS Mincho" w:hAnsi="Cambria"/>
              <w:szCs w:val="24"/>
              <w:lang w:eastAsia="en-US"/>
            </w:rPr>
            <w:t>12</w:t>
          </w:r>
          <w:r w:rsidR="002E0808">
            <w:rPr>
              <w:rFonts w:ascii="Cambria" w:eastAsia="MS Mincho" w:hAnsi="Cambria"/>
              <w:szCs w:val="24"/>
              <w:lang w:eastAsia="en-US"/>
            </w:rPr>
            <w:t>0</w:t>
          </w:r>
        </w:p>
        <w:p w14:paraId="3D14571D" w14:textId="77777777" w:rsidR="00525E2D" w:rsidRDefault="00730A01" w:rsidP="00525E2D">
          <w:pPr>
            <w:tabs>
              <w:tab w:val="right" w:pos="8931"/>
              <w:tab w:val="right" w:pos="9072"/>
            </w:tabs>
            <w:rPr>
              <w:rFonts w:ascii="Cambria" w:eastAsia="MS Mincho" w:hAnsi="Cambria"/>
              <w:szCs w:val="24"/>
              <w:lang w:eastAsia="en-US"/>
            </w:rPr>
          </w:pPr>
          <w:r w:rsidRPr="00655203">
            <w:rPr>
              <w:rFonts w:ascii="Cambria" w:eastAsia="MS Mincho" w:hAnsi="Cambria"/>
              <w:b/>
              <w:bCs/>
              <w:sz w:val="22"/>
              <w:szCs w:val="22"/>
              <w:lang w:eastAsia="en-US"/>
            </w:rPr>
            <w:t xml:space="preserve">B) L’ABUS DE PROCÉDURE </w:t>
          </w:r>
          <w:r w:rsidRPr="008F6FA9">
            <w:rPr>
              <w:rFonts w:ascii="Cambria" w:eastAsia="MS Mincho" w:hAnsi="Cambria"/>
              <w:szCs w:val="24"/>
              <w:u w:val="single"/>
              <w:lang w:eastAsia="en-US"/>
            </w:rPr>
            <w:tab/>
          </w:r>
          <w:r>
            <w:rPr>
              <w:rFonts w:ascii="Cambria" w:eastAsia="MS Mincho" w:hAnsi="Cambria"/>
              <w:szCs w:val="24"/>
              <w:lang w:eastAsia="en-US"/>
            </w:rPr>
            <w:t>12</w:t>
          </w:r>
          <w:r w:rsidR="002E0808">
            <w:rPr>
              <w:rFonts w:ascii="Cambria" w:eastAsia="MS Mincho" w:hAnsi="Cambria"/>
              <w:szCs w:val="24"/>
              <w:lang w:eastAsia="en-US"/>
            </w:rPr>
            <w:t>2</w:t>
          </w:r>
        </w:p>
        <w:p w14:paraId="505ECDAC" w14:textId="77777777" w:rsidR="00525E2D" w:rsidRPr="00525E2D" w:rsidRDefault="00730A01" w:rsidP="00525E2D">
          <w:pPr>
            <w:tabs>
              <w:tab w:val="right" w:pos="8931"/>
              <w:tab w:val="right" w:pos="9072"/>
            </w:tabs>
            <w:rPr>
              <w:rFonts w:ascii="Cambria" w:eastAsia="MS Mincho" w:hAnsi="Cambria"/>
              <w:szCs w:val="24"/>
              <w:lang w:eastAsia="en-US"/>
            </w:rPr>
          </w:pPr>
          <w:r w:rsidRPr="00655203">
            <w:rPr>
              <w:rFonts w:ascii="Cambria" w:eastAsia="MS Mincho" w:hAnsi="Cambria"/>
              <w:sz w:val="22"/>
              <w:szCs w:val="22"/>
              <w:lang w:eastAsia="en-US"/>
            </w:rPr>
            <w:t>1. Les demandes des Demandeurs en lien avec l’abus de procédure</w:t>
          </w:r>
          <w:r w:rsidR="00154029">
            <w:rPr>
              <w:rFonts w:ascii="Cambria" w:eastAsia="MS Mincho" w:hAnsi="Cambria"/>
              <w:sz w:val="22"/>
              <w:szCs w:val="22"/>
              <w:lang w:eastAsia="en-US"/>
            </w:rPr>
            <w:t xml:space="preserve"> </w:t>
          </w:r>
          <w:r w:rsidRPr="008F6FA9">
            <w:rPr>
              <w:rFonts w:ascii="Cambria" w:eastAsia="MS Mincho" w:hAnsi="Cambria"/>
              <w:szCs w:val="24"/>
              <w:u w:val="single"/>
              <w:lang w:eastAsia="en-US"/>
            </w:rPr>
            <w:tab/>
          </w:r>
          <w:r>
            <w:rPr>
              <w:rFonts w:ascii="Cambria" w:eastAsia="MS Mincho" w:hAnsi="Cambria"/>
              <w:szCs w:val="24"/>
              <w:lang w:eastAsia="en-US"/>
            </w:rPr>
            <w:t>12</w:t>
          </w:r>
          <w:r w:rsidR="002E0808">
            <w:rPr>
              <w:rFonts w:ascii="Cambria" w:eastAsia="MS Mincho" w:hAnsi="Cambria"/>
              <w:szCs w:val="24"/>
              <w:lang w:eastAsia="en-US"/>
            </w:rPr>
            <w:t>2</w:t>
          </w:r>
        </w:p>
        <w:p w14:paraId="60052D07" w14:textId="77777777" w:rsidR="00525E2D" w:rsidRDefault="00730A01" w:rsidP="00525E2D">
          <w:pPr>
            <w:tabs>
              <w:tab w:val="right" w:pos="8931"/>
              <w:tab w:val="right" w:pos="9072"/>
            </w:tabs>
            <w:rPr>
              <w:rFonts w:ascii="Cambria" w:eastAsia="MS Mincho" w:hAnsi="Cambria"/>
              <w:sz w:val="22"/>
              <w:szCs w:val="22"/>
              <w:lang w:eastAsia="en-US"/>
            </w:rPr>
          </w:pPr>
          <w:r>
            <w:rPr>
              <w:rFonts w:ascii="Cambria" w:eastAsia="MS Mincho" w:hAnsi="Cambria"/>
              <w:sz w:val="22"/>
              <w:szCs w:val="22"/>
              <w:lang w:eastAsia="en-US"/>
            </w:rPr>
            <w:t xml:space="preserve">2. </w:t>
          </w:r>
          <w:r w:rsidR="00655203" w:rsidRPr="00655203">
            <w:rPr>
              <w:rFonts w:ascii="Cambria" w:eastAsia="MS Mincho" w:hAnsi="Cambria"/>
              <w:sz w:val="22"/>
              <w:szCs w:val="22"/>
              <w:lang w:eastAsia="en-US"/>
            </w:rPr>
            <w:t>Le cadre juridique applicable</w:t>
          </w:r>
          <w:r w:rsidR="00154029">
            <w:rPr>
              <w:rFonts w:ascii="Cambria" w:eastAsia="MS Mincho" w:hAnsi="Cambria"/>
              <w:sz w:val="22"/>
              <w:szCs w:val="22"/>
              <w:lang w:eastAsia="en-US"/>
            </w:rPr>
            <w:t xml:space="preserve"> </w:t>
          </w:r>
          <w:r w:rsidRPr="008F6FA9">
            <w:rPr>
              <w:rFonts w:ascii="Cambria" w:eastAsia="MS Mincho" w:hAnsi="Cambria"/>
              <w:szCs w:val="24"/>
              <w:u w:val="single"/>
              <w:lang w:eastAsia="en-US"/>
            </w:rPr>
            <w:tab/>
          </w:r>
          <w:r>
            <w:rPr>
              <w:rFonts w:ascii="Cambria" w:eastAsia="MS Mincho" w:hAnsi="Cambria"/>
              <w:szCs w:val="24"/>
              <w:lang w:eastAsia="en-US"/>
            </w:rPr>
            <w:t>12</w:t>
          </w:r>
          <w:r w:rsidR="002E0808">
            <w:rPr>
              <w:rFonts w:ascii="Cambria" w:eastAsia="MS Mincho" w:hAnsi="Cambria"/>
              <w:szCs w:val="24"/>
              <w:lang w:eastAsia="en-US"/>
            </w:rPr>
            <w:t>2</w:t>
          </w:r>
        </w:p>
        <w:p w14:paraId="419D54D0" w14:textId="77777777" w:rsidR="00655203" w:rsidRPr="00525E2D" w:rsidRDefault="00730A01" w:rsidP="00774285">
          <w:pPr>
            <w:tabs>
              <w:tab w:val="right" w:pos="8931"/>
              <w:tab w:val="right" w:pos="9072"/>
            </w:tabs>
            <w:spacing w:after="60"/>
            <w:rPr>
              <w:rFonts w:ascii="Cambria" w:eastAsia="MS Mincho" w:hAnsi="Cambria"/>
              <w:szCs w:val="24"/>
              <w:lang w:eastAsia="en-US"/>
            </w:rPr>
          </w:pPr>
          <w:r>
            <w:rPr>
              <w:rFonts w:ascii="Cambria" w:eastAsia="MS Mincho" w:hAnsi="Cambria"/>
              <w:sz w:val="22"/>
              <w:szCs w:val="22"/>
              <w:lang w:eastAsia="en-US"/>
            </w:rPr>
            <w:t xml:space="preserve">3. </w:t>
          </w:r>
          <w:r w:rsidRPr="00655203">
            <w:rPr>
              <w:rFonts w:ascii="Cambria" w:eastAsia="MS Mincho" w:hAnsi="Cambria"/>
              <w:sz w:val="22"/>
              <w:szCs w:val="22"/>
              <w:lang w:eastAsia="en-US"/>
            </w:rPr>
            <w:t>Application au présent dossier</w:t>
          </w:r>
          <w:r w:rsidR="00154029">
            <w:rPr>
              <w:rFonts w:ascii="Cambria" w:eastAsia="MS Mincho" w:hAnsi="Cambria"/>
              <w:sz w:val="22"/>
              <w:szCs w:val="22"/>
              <w:lang w:eastAsia="en-US"/>
            </w:rPr>
            <w:t xml:space="preserve"> </w:t>
          </w:r>
          <w:r w:rsidR="00525E2D" w:rsidRPr="008F6FA9">
            <w:rPr>
              <w:rFonts w:ascii="Cambria" w:eastAsia="MS Mincho" w:hAnsi="Cambria"/>
              <w:szCs w:val="24"/>
              <w:u w:val="single"/>
              <w:lang w:eastAsia="en-US"/>
            </w:rPr>
            <w:tab/>
          </w:r>
          <w:r w:rsidR="00525E2D">
            <w:rPr>
              <w:rFonts w:ascii="Cambria" w:eastAsia="MS Mincho" w:hAnsi="Cambria"/>
              <w:szCs w:val="24"/>
              <w:lang w:eastAsia="en-US"/>
            </w:rPr>
            <w:t>12</w:t>
          </w:r>
          <w:r w:rsidR="002E0808">
            <w:rPr>
              <w:rFonts w:ascii="Cambria" w:eastAsia="MS Mincho" w:hAnsi="Cambria"/>
              <w:szCs w:val="24"/>
              <w:lang w:eastAsia="en-US"/>
            </w:rPr>
            <w:t>3</w:t>
          </w:r>
        </w:p>
        <w:p w14:paraId="4BCB7F49" w14:textId="77777777" w:rsidR="00655203" w:rsidRPr="002E0808" w:rsidRDefault="00730A01" w:rsidP="00774285">
          <w:pPr>
            <w:tabs>
              <w:tab w:val="right" w:pos="8931"/>
              <w:tab w:val="right" w:pos="9072"/>
            </w:tabs>
            <w:spacing w:after="60"/>
            <w:rPr>
              <w:rFonts w:ascii="Cambria" w:eastAsia="MS Mincho" w:hAnsi="Cambria"/>
              <w:szCs w:val="24"/>
              <w:lang w:eastAsia="en-US"/>
            </w:rPr>
          </w:pPr>
          <w:r w:rsidRPr="00655203">
            <w:rPr>
              <w:rFonts w:ascii="Cambria" w:eastAsia="MS Mincho" w:hAnsi="Cambria"/>
              <w:b/>
              <w:bCs/>
              <w:szCs w:val="24"/>
              <w:lang w:eastAsia="en-US"/>
            </w:rPr>
            <w:t>LES CONCLUSIONS</w:t>
          </w:r>
          <w:r w:rsidR="00154029">
            <w:rPr>
              <w:rFonts w:ascii="Cambria" w:eastAsia="MS Mincho" w:hAnsi="Cambria"/>
              <w:b/>
              <w:bCs/>
              <w:szCs w:val="24"/>
              <w:lang w:eastAsia="en-US"/>
            </w:rPr>
            <w:t xml:space="preserve"> </w:t>
          </w:r>
          <w:r w:rsidR="002E0808" w:rsidRPr="008F6FA9">
            <w:rPr>
              <w:rFonts w:ascii="Cambria" w:eastAsia="MS Mincho" w:hAnsi="Cambria"/>
              <w:szCs w:val="24"/>
              <w:u w:val="single"/>
              <w:lang w:eastAsia="en-US"/>
            </w:rPr>
            <w:tab/>
          </w:r>
          <w:r w:rsidR="002E0808">
            <w:rPr>
              <w:rFonts w:ascii="Cambria" w:eastAsia="MS Mincho" w:hAnsi="Cambria"/>
              <w:szCs w:val="24"/>
              <w:lang w:eastAsia="en-US"/>
            </w:rPr>
            <w:t>12</w:t>
          </w:r>
          <w:r w:rsidR="001F1B85">
            <w:rPr>
              <w:rFonts w:ascii="Cambria" w:eastAsia="MS Mincho" w:hAnsi="Cambria"/>
              <w:szCs w:val="24"/>
              <w:lang w:eastAsia="en-US"/>
            </w:rPr>
            <w:t>5</w:t>
          </w:r>
        </w:p>
        <w:p w14:paraId="58DEF78C" w14:textId="77777777" w:rsidR="00C3503D" w:rsidRPr="00C3503D" w:rsidRDefault="00730A01" w:rsidP="00774285">
          <w:pPr>
            <w:tabs>
              <w:tab w:val="right" w:pos="8931"/>
              <w:tab w:val="right" w:pos="9072"/>
            </w:tabs>
            <w:spacing w:after="60"/>
            <w:rPr>
              <w:rFonts w:ascii="Cambria" w:eastAsia="MS Mincho" w:hAnsi="Cambria"/>
              <w:smallCaps/>
              <w:szCs w:val="24"/>
              <w:lang w:eastAsia="en-US"/>
            </w:rPr>
          </w:pPr>
          <w:r>
            <w:rPr>
              <w:rFonts w:ascii="Cambria" w:eastAsia="MS Mincho" w:hAnsi="Cambria"/>
              <w:b/>
              <w:bCs/>
              <w:smallCaps/>
              <w:szCs w:val="24"/>
              <w:lang w:eastAsia="en-US"/>
            </w:rPr>
            <w:t xml:space="preserve">Sur la demande en irrecevabilité </w:t>
          </w:r>
          <w:r w:rsidRPr="00C3503D">
            <w:rPr>
              <w:rFonts w:ascii="Cambria" w:eastAsia="MS Mincho" w:hAnsi="Cambria"/>
              <w:smallCaps/>
              <w:szCs w:val="24"/>
              <w:u w:val="single"/>
              <w:lang w:eastAsia="en-US"/>
            </w:rPr>
            <w:tab/>
          </w:r>
          <w:r w:rsidRPr="00C3503D">
            <w:rPr>
              <w:rFonts w:ascii="Cambria" w:eastAsia="MS Mincho" w:hAnsi="Cambria"/>
              <w:smallCaps/>
              <w:szCs w:val="24"/>
              <w:lang w:eastAsia="en-US"/>
            </w:rPr>
            <w:t>125</w:t>
          </w:r>
        </w:p>
        <w:p w14:paraId="7CCBA281" w14:textId="77777777" w:rsidR="00731C6B" w:rsidRPr="00154029" w:rsidRDefault="00730A01" w:rsidP="007C2939">
          <w:pPr>
            <w:tabs>
              <w:tab w:val="right" w:pos="8931"/>
              <w:tab w:val="right" w:pos="9072"/>
            </w:tabs>
            <w:rPr>
              <w:rFonts w:ascii="Cambria" w:eastAsia="MS Mincho" w:hAnsi="Cambria"/>
              <w:smallCaps/>
              <w:szCs w:val="24"/>
              <w:lang w:eastAsia="en-US"/>
            </w:rPr>
          </w:pPr>
          <w:r w:rsidRPr="00B00A95">
            <w:rPr>
              <w:rFonts w:ascii="Cambria" w:eastAsia="MS Mincho" w:hAnsi="Cambria"/>
              <w:b/>
              <w:bCs/>
              <w:smallCaps/>
              <w:szCs w:val="24"/>
              <w:lang w:eastAsia="en-US"/>
            </w:rPr>
            <w:t>Sur les incidents procéduraux</w:t>
          </w:r>
          <w:r w:rsidR="00154029">
            <w:rPr>
              <w:rFonts w:ascii="Cambria" w:eastAsia="MS Mincho" w:hAnsi="Cambria"/>
              <w:b/>
              <w:bCs/>
              <w:smallCaps/>
              <w:szCs w:val="24"/>
              <w:lang w:eastAsia="en-US"/>
            </w:rPr>
            <w:t xml:space="preserve"> </w:t>
          </w:r>
          <w:r w:rsidR="00154029" w:rsidRPr="00154029">
            <w:rPr>
              <w:rFonts w:ascii="Cambria" w:eastAsia="MS Mincho" w:hAnsi="Cambria"/>
              <w:smallCaps/>
              <w:szCs w:val="24"/>
              <w:u w:val="single"/>
              <w:lang w:eastAsia="en-US"/>
            </w:rPr>
            <w:tab/>
          </w:r>
          <w:r w:rsidR="00154029" w:rsidRPr="00154029">
            <w:rPr>
              <w:rFonts w:ascii="Cambria" w:eastAsia="MS Mincho" w:hAnsi="Cambria"/>
              <w:smallCaps/>
              <w:szCs w:val="24"/>
              <w:lang w:eastAsia="en-US"/>
            </w:rPr>
            <w:t>12</w:t>
          </w:r>
          <w:r w:rsidR="001F1B85">
            <w:rPr>
              <w:rFonts w:ascii="Cambria" w:eastAsia="MS Mincho" w:hAnsi="Cambria"/>
              <w:smallCaps/>
              <w:szCs w:val="24"/>
              <w:lang w:eastAsia="en-US"/>
            </w:rPr>
            <w:t>5</w:t>
          </w:r>
        </w:p>
        <w:p w14:paraId="2B26173D" w14:textId="77777777" w:rsidR="00731C6B" w:rsidRPr="00F507F1" w:rsidRDefault="00730A01" w:rsidP="006429E7">
          <w:pPr>
            <w:tabs>
              <w:tab w:val="right" w:pos="8931"/>
              <w:tab w:val="right" w:pos="9072"/>
            </w:tabs>
            <w:rPr>
              <w:rFonts w:ascii="Cambria" w:eastAsia="MS Mincho" w:hAnsi="Cambria"/>
              <w:szCs w:val="24"/>
              <w:lang w:eastAsia="en-US"/>
            </w:rPr>
          </w:pPr>
          <w:r w:rsidRPr="006429E7">
            <w:rPr>
              <w:rFonts w:ascii="Cambria" w:eastAsia="MS Mincho" w:hAnsi="Cambria"/>
              <w:sz w:val="22"/>
              <w:szCs w:val="22"/>
              <w:lang w:eastAsia="en-US"/>
            </w:rPr>
            <w:t>S</w:t>
          </w:r>
          <w:r w:rsidR="00655203" w:rsidRPr="006429E7">
            <w:rPr>
              <w:rFonts w:ascii="Cambria" w:eastAsia="MS Mincho" w:hAnsi="Cambria"/>
              <w:sz w:val="22"/>
              <w:szCs w:val="22"/>
              <w:lang w:eastAsia="en-US"/>
            </w:rPr>
            <w:t>ur les modifications du 7 mai 2025 aux demandes introductives d’instance</w:t>
          </w:r>
          <w:r w:rsidR="00154029">
            <w:rPr>
              <w:rFonts w:ascii="Cambria" w:eastAsia="MS Mincho" w:hAnsi="Cambria"/>
              <w:sz w:val="22"/>
              <w:szCs w:val="22"/>
              <w:lang w:eastAsia="en-US"/>
            </w:rPr>
            <w:t xml:space="preserve"> </w:t>
          </w:r>
          <w:r w:rsidR="00F507F1" w:rsidRPr="008F6FA9">
            <w:rPr>
              <w:rFonts w:ascii="Cambria" w:eastAsia="MS Mincho" w:hAnsi="Cambria"/>
              <w:szCs w:val="24"/>
              <w:u w:val="single"/>
              <w:lang w:eastAsia="en-US"/>
            </w:rPr>
            <w:tab/>
          </w:r>
          <w:r w:rsidR="00F507F1">
            <w:rPr>
              <w:rFonts w:ascii="Cambria" w:eastAsia="MS Mincho" w:hAnsi="Cambria"/>
              <w:szCs w:val="24"/>
              <w:lang w:eastAsia="en-US"/>
            </w:rPr>
            <w:t>12</w:t>
          </w:r>
          <w:r w:rsidR="001F1B85">
            <w:rPr>
              <w:rFonts w:ascii="Cambria" w:eastAsia="MS Mincho" w:hAnsi="Cambria"/>
              <w:szCs w:val="24"/>
              <w:lang w:eastAsia="en-US"/>
            </w:rPr>
            <w:t>5</w:t>
          </w:r>
        </w:p>
        <w:p w14:paraId="6F565A0C" w14:textId="77777777" w:rsidR="00F507F1" w:rsidRPr="006429E7" w:rsidRDefault="00730A01" w:rsidP="006429E7">
          <w:pPr>
            <w:tabs>
              <w:tab w:val="right" w:pos="8931"/>
              <w:tab w:val="right" w:pos="9072"/>
            </w:tabs>
            <w:rPr>
              <w:rFonts w:ascii="Cambria" w:eastAsia="MS Mincho" w:hAnsi="Cambria"/>
              <w:szCs w:val="24"/>
              <w:lang w:eastAsia="en-US"/>
            </w:rPr>
          </w:pPr>
          <w:r w:rsidRPr="006429E7">
            <w:rPr>
              <w:rFonts w:ascii="Cambria" w:eastAsia="MS Mincho" w:hAnsi="Cambria"/>
              <w:sz w:val="22"/>
              <w:szCs w:val="22"/>
              <w:lang w:eastAsia="en-US"/>
            </w:rPr>
            <w:t>Sur les objections formulées par les Demandeurs</w:t>
          </w:r>
          <w:r w:rsidR="00154029">
            <w:rPr>
              <w:rFonts w:ascii="Cambria" w:eastAsia="MS Mincho" w:hAnsi="Cambria"/>
              <w:sz w:val="22"/>
              <w:szCs w:val="22"/>
              <w:lang w:eastAsia="en-US"/>
            </w:rPr>
            <w:t xml:space="preserve"> </w:t>
          </w:r>
          <w:r w:rsidRPr="008F6FA9">
            <w:rPr>
              <w:rFonts w:ascii="Cambria" w:eastAsia="MS Mincho" w:hAnsi="Cambria"/>
              <w:szCs w:val="24"/>
              <w:u w:val="single"/>
              <w:lang w:eastAsia="en-US"/>
            </w:rPr>
            <w:tab/>
          </w:r>
          <w:r w:rsidRPr="006429E7">
            <w:rPr>
              <w:rFonts w:ascii="Cambria" w:eastAsia="MS Mincho" w:hAnsi="Cambria"/>
              <w:szCs w:val="24"/>
              <w:lang w:eastAsia="en-US"/>
            </w:rPr>
            <w:t>12</w:t>
          </w:r>
          <w:r w:rsidR="001F1B85">
            <w:rPr>
              <w:rFonts w:ascii="Cambria" w:eastAsia="MS Mincho" w:hAnsi="Cambria"/>
              <w:szCs w:val="24"/>
              <w:lang w:eastAsia="en-US"/>
            </w:rPr>
            <w:t>5</w:t>
          </w:r>
        </w:p>
        <w:p w14:paraId="5EC964DC" w14:textId="77777777" w:rsidR="00F507F1" w:rsidRPr="006429E7" w:rsidRDefault="00730A01" w:rsidP="006429E7">
          <w:pPr>
            <w:tabs>
              <w:tab w:val="right" w:pos="8931"/>
              <w:tab w:val="right" w:pos="9072"/>
            </w:tabs>
            <w:rPr>
              <w:rFonts w:ascii="Cambria" w:eastAsia="MS Mincho" w:hAnsi="Cambria"/>
              <w:szCs w:val="24"/>
              <w:lang w:eastAsia="en-US"/>
            </w:rPr>
          </w:pPr>
          <w:r w:rsidRPr="006429E7">
            <w:rPr>
              <w:rFonts w:ascii="Cambria" w:eastAsia="MS Mincho" w:hAnsi="Cambria"/>
              <w:sz w:val="22"/>
              <w:szCs w:val="22"/>
              <w:lang w:eastAsia="en-US"/>
            </w:rPr>
            <w:t>Sur les objections formulées par les Défendeurs</w:t>
          </w:r>
          <w:r w:rsidR="00154029">
            <w:rPr>
              <w:rFonts w:ascii="Cambria" w:eastAsia="MS Mincho" w:hAnsi="Cambria"/>
              <w:sz w:val="22"/>
              <w:szCs w:val="22"/>
              <w:lang w:eastAsia="en-US"/>
            </w:rPr>
            <w:t xml:space="preserve"> </w:t>
          </w:r>
          <w:r w:rsidRPr="008F6FA9">
            <w:rPr>
              <w:rFonts w:ascii="Cambria" w:eastAsia="MS Mincho" w:hAnsi="Cambria"/>
              <w:sz w:val="22"/>
              <w:szCs w:val="22"/>
              <w:u w:val="single"/>
              <w:lang w:eastAsia="en-US"/>
            </w:rPr>
            <w:tab/>
          </w:r>
          <w:r w:rsidRPr="006429E7">
            <w:rPr>
              <w:rFonts w:ascii="Cambria" w:eastAsia="MS Mincho" w:hAnsi="Cambria"/>
              <w:szCs w:val="24"/>
              <w:lang w:eastAsia="en-US"/>
            </w:rPr>
            <w:t>12</w:t>
          </w:r>
          <w:r w:rsidR="001F1B85">
            <w:rPr>
              <w:rFonts w:ascii="Cambria" w:eastAsia="MS Mincho" w:hAnsi="Cambria"/>
              <w:szCs w:val="24"/>
              <w:lang w:eastAsia="en-US"/>
            </w:rPr>
            <w:t>5</w:t>
          </w:r>
        </w:p>
        <w:p w14:paraId="6F2F3857" w14:textId="77777777" w:rsidR="00F507F1" w:rsidRPr="006429E7" w:rsidRDefault="00730A01" w:rsidP="006429E7">
          <w:pPr>
            <w:tabs>
              <w:tab w:val="right" w:pos="8931"/>
              <w:tab w:val="right" w:pos="9072"/>
            </w:tabs>
            <w:rPr>
              <w:rFonts w:ascii="Cambria" w:eastAsia="MS Mincho" w:hAnsi="Cambria"/>
              <w:szCs w:val="24"/>
              <w:lang w:eastAsia="en-US"/>
            </w:rPr>
          </w:pPr>
          <w:r w:rsidRPr="006429E7">
            <w:rPr>
              <w:rFonts w:ascii="Cambria" w:eastAsia="MS Mincho" w:hAnsi="Cambria"/>
              <w:sz w:val="22"/>
              <w:szCs w:val="22"/>
              <w:lang w:eastAsia="en-US"/>
            </w:rPr>
            <w:t>Sur la demande en rejet du rapport d’expert KPMG</w:t>
          </w:r>
          <w:r w:rsidR="00154029">
            <w:rPr>
              <w:rFonts w:ascii="Cambria" w:eastAsia="MS Mincho" w:hAnsi="Cambria"/>
              <w:sz w:val="22"/>
              <w:szCs w:val="22"/>
              <w:lang w:eastAsia="en-US"/>
            </w:rPr>
            <w:t xml:space="preserve"> </w:t>
          </w:r>
          <w:r w:rsidRPr="008F6FA9">
            <w:rPr>
              <w:rFonts w:ascii="Cambria" w:eastAsia="MS Mincho" w:hAnsi="Cambria"/>
              <w:szCs w:val="24"/>
              <w:u w:val="single"/>
              <w:lang w:eastAsia="en-US"/>
            </w:rPr>
            <w:tab/>
          </w:r>
          <w:r w:rsidRPr="006429E7">
            <w:rPr>
              <w:rFonts w:ascii="Cambria" w:eastAsia="MS Mincho" w:hAnsi="Cambria"/>
              <w:szCs w:val="24"/>
              <w:lang w:eastAsia="en-US"/>
            </w:rPr>
            <w:t>1</w:t>
          </w:r>
          <w:r w:rsidR="002E0808" w:rsidRPr="006429E7">
            <w:rPr>
              <w:rFonts w:ascii="Cambria" w:eastAsia="MS Mincho" w:hAnsi="Cambria"/>
              <w:szCs w:val="24"/>
              <w:lang w:eastAsia="en-US"/>
            </w:rPr>
            <w:t>26</w:t>
          </w:r>
        </w:p>
        <w:p w14:paraId="01915B71" w14:textId="77777777" w:rsidR="00731C6B" w:rsidRPr="006429E7" w:rsidRDefault="00730A01" w:rsidP="00774285">
          <w:pPr>
            <w:tabs>
              <w:tab w:val="right" w:pos="8931"/>
              <w:tab w:val="right" w:pos="9072"/>
            </w:tabs>
            <w:spacing w:after="60"/>
            <w:rPr>
              <w:rFonts w:ascii="Cambria" w:eastAsia="MS Mincho" w:hAnsi="Cambria"/>
              <w:szCs w:val="24"/>
              <w:lang w:eastAsia="en-US"/>
            </w:rPr>
          </w:pPr>
          <w:r w:rsidRPr="006429E7">
            <w:rPr>
              <w:rFonts w:ascii="Cambria" w:eastAsia="MS Mincho" w:hAnsi="Cambria"/>
              <w:sz w:val="22"/>
              <w:szCs w:val="22"/>
              <w:lang w:eastAsia="en-US"/>
            </w:rPr>
            <w:t>Sur la complétion de certaines notes sténographiques</w:t>
          </w:r>
          <w:r w:rsidR="00154029">
            <w:rPr>
              <w:rFonts w:ascii="Cambria" w:eastAsia="MS Mincho" w:hAnsi="Cambria"/>
              <w:sz w:val="22"/>
              <w:szCs w:val="22"/>
              <w:lang w:eastAsia="en-US"/>
            </w:rPr>
            <w:t xml:space="preserve"> </w:t>
          </w:r>
          <w:r w:rsidR="00F507F1" w:rsidRPr="008F6FA9">
            <w:rPr>
              <w:rFonts w:ascii="Cambria" w:eastAsia="MS Mincho" w:hAnsi="Cambria"/>
              <w:szCs w:val="24"/>
              <w:u w:val="single"/>
              <w:lang w:eastAsia="en-US"/>
            </w:rPr>
            <w:tab/>
          </w:r>
          <w:r w:rsidR="00F507F1" w:rsidRPr="006429E7">
            <w:rPr>
              <w:rFonts w:ascii="Cambria" w:eastAsia="MS Mincho" w:hAnsi="Cambria"/>
              <w:szCs w:val="24"/>
              <w:lang w:eastAsia="en-US"/>
            </w:rPr>
            <w:t>1</w:t>
          </w:r>
          <w:r w:rsidR="002E0808" w:rsidRPr="006429E7">
            <w:rPr>
              <w:rFonts w:ascii="Cambria" w:eastAsia="MS Mincho" w:hAnsi="Cambria"/>
              <w:szCs w:val="24"/>
              <w:lang w:eastAsia="en-US"/>
            </w:rPr>
            <w:t>2</w:t>
          </w:r>
          <w:r w:rsidR="001F1B85">
            <w:rPr>
              <w:rFonts w:ascii="Cambria" w:eastAsia="MS Mincho" w:hAnsi="Cambria"/>
              <w:szCs w:val="24"/>
              <w:lang w:eastAsia="en-US"/>
            </w:rPr>
            <w:t>6</w:t>
          </w:r>
        </w:p>
        <w:p w14:paraId="406DBF04" w14:textId="77777777" w:rsidR="00655203" w:rsidRPr="00F507F1" w:rsidRDefault="00730A01" w:rsidP="00774285">
          <w:pPr>
            <w:tabs>
              <w:tab w:val="right" w:pos="8931"/>
              <w:tab w:val="right" w:pos="9072"/>
            </w:tabs>
            <w:spacing w:after="60" w:line="276" w:lineRule="auto"/>
            <w:rPr>
              <w:rFonts w:ascii="Cambria" w:eastAsia="MS Mincho" w:hAnsi="Cambria"/>
              <w:szCs w:val="24"/>
              <w:lang w:eastAsia="en-US"/>
            </w:rPr>
          </w:pPr>
          <w:r w:rsidRPr="00774285">
            <w:rPr>
              <w:rFonts w:ascii="Cambria" w:eastAsia="MS Mincho" w:hAnsi="Cambria"/>
              <w:b/>
              <w:bCs/>
              <w:smallCaps/>
              <w:szCs w:val="24"/>
              <w:lang w:eastAsia="en-US"/>
            </w:rPr>
            <w:t>Sur le fond</w:t>
          </w:r>
          <w:r w:rsidR="00566EF7">
            <w:rPr>
              <w:rFonts w:ascii="Cambria" w:eastAsia="MS Mincho" w:hAnsi="Cambria"/>
              <w:szCs w:val="24"/>
              <w:lang w:eastAsia="en-US"/>
            </w:rPr>
            <w:t xml:space="preserve"> </w:t>
          </w:r>
          <w:r w:rsidR="008F6FA9" w:rsidRPr="00154029">
            <w:rPr>
              <w:rFonts w:ascii="Cambria" w:eastAsia="MS Mincho" w:hAnsi="Cambria"/>
              <w:szCs w:val="24"/>
              <w:u w:val="single"/>
              <w:lang w:eastAsia="en-US"/>
            </w:rPr>
            <w:tab/>
          </w:r>
          <w:r w:rsidR="00F507F1">
            <w:rPr>
              <w:rFonts w:ascii="Cambria" w:eastAsia="MS Mincho" w:hAnsi="Cambria"/>
              <w:szCs w:val="24"/>
              <w:lang w:eastAsia="en-US"/>
            </w:rPr>
            <w:t>1</w:t>
          </w:r>
          <w:r w:rsidR="002E0808">
            <w:rPr>
              <w:rFonts w:ascii="Cambria" w:eastAsia="MS Mincho" w:hAnsi="Cambria"/>
              <w:szCs w:val="24"/>
              <w:lang w:eastAsia="en-US"/>
            </w:rPr>
            <w:t>2</w:t>
          </w:r>
          <w:r w:rsidR="001F1B85">
            <w:rPr>
              <w:rFonts w:ascii="Cambria" w:eastAsia="MS Mincho" w:hAnsi="Cambria"/>
              <w:szCs w:val="24"/>
              <w:lang w:eastAsia="en-US"/>
            </w:rPr>
            <w:t>6</w:t>
          </w:r>
        </w:p>
        <w:p w14:paraId="4D45C270" w14:textId="77777777" w:rsidR="00051BA3" w:rsidRDefault="00730A01" w:rsidP="007C2939">
          <w:pPr>
            <w:tabs>
              <w:tab w:val="right" w:pos="8931"/>
              <w:tab w:val="right" w:pos="9072"/>
            </w:tabs>
            <w:rPr>
              <w:rFonts w:ascii="Cambria" w:hAnsi="Cambria"/>
              <w:sz w:val="22"/>
              <w:szCs w:val="22"/>
              <w:lang w:eastAsia="en-US"/>
            </w:rPr>
          </w:pPr>
          <w:r w:rsidRPr="002E0808">
            <w:rPr>
              <w:rFonts w:ascii="Cambria" w:hAnsi="Cambria"/>
              <w:b/>
              <w:bCs/>
              <w:sz w:val="22"/>
              <w:szCs w:val="22"/>
              <w:lang w:eastAsia="en-US"/>
            </w:rPr>
            <w:t>ANNEXE A</w:t>
          </w:r>
          <w:bookmarkStart w:id="2" w:name="_Hlk211764978"/>
          <w:r w:rsidRPr="002E0808">
            <w:rPr>
              <w:rFonts w:ascii="Cambria" w:hAnsi="Cambria"/>
              <w:b/>
              <w:bCs/>
              <w:sz w:val="22"/>
              <w:szCs w:val="22"/>
              <w:lang w:eastAsia="en-US"/>
            </w:rPr>
            <w:t xml:space="preserve"> </w:t>
          </w:r>
          <w:bookmarkEnd w:id="2"/>
        </w:p>
        <w:p w14:paraId="08411AA8" w14:textId="77777777" w:rsidR="00DE6437" w:rsidRPr="002A7B34" w:rsidRDefault="00730A01" w:rsidP="00ED1859">
          <w:pPr>
            <w:pStyle w:val="Paragraphedeliste"/>
            <w:numPr>
              <w:ilvl w:val="0"/>
              <w:numId w:val="155"/>
            </w:numPr>
            <w:tabs>
              <w:tab w:val="right" w:pos="8931"/>
              <w:tab w:val="right" w:pos="9072"/>
            </w:tabs>
            <w:ind w:left="426" w:hanging="426"/>
            <w:rPr>
              <w:rFonts w:ascii="Cambria" w:hAnsi="Cambria"/>
              <w:smallCaps/>
              <w:sz w:val="22"/>
              <w:szCs w:val="22"/>
              <w:lang w:eastAsia="en-US"/>
            </w:rPr>
          </w:pPr>
          <w:r w:rsidRPr="002A7B34">
            <w:rPr>
              <w:rFonts w:ascii="Cambria" w:hAnsi="Cambria"/>
              <w:smallCaps/>
              <w:sz w:val="22"/>
              <w:szCs w:val="22"/>
              <w:lang w:eastAsia="en-US"/>
            </w:rPr>
            <w:t>Le manque de crédibilité de Giroux</w:t>
          </w:r>
          <w:r w:rsidR="00154029" w:rsidRPr="002A7B34">
            <w:rPr>
              <w:rFonts w:ascii="Cambria" w:hAnsi="Cambria"/>
              <w:smallCaps/>
              <w:sz w:val="22"/>
              <w:szCs w:val="22"/>
              <w:lang w:eastAsia="en-US"/>
            </w:rPr>
            <w:t xml:space="preserve"> </w:t>
          </w:r>
          <w:r w:rsidR="00F507F1" w:rsidRPr="002A7B34">
            <w:rPr>
              <w:rFonts w:ascii="Cambria" w:hAnsi="Cambria"/>
              <w:smallCaps/>
              <w:sz w:val="22"/>
              <w:szCs w:val="22"/>
              <w:u w:val="single"/>
              <w:lang w:eastAsia="en-US"/>
            </w:rPr>
            <w:tab/>
          </w:r>
          <w:r w:rsidR="00F507F1" w:rsidRPr="002A7B34">
            <w:rPr>
              <w:rFonts w:ascii="Cambria" w:hAnsi="Cambria"/>
              <w:smallCaps/>
              <w:szCs w:val="24"/>
              <w:lang w:eastAsia="en-US"/>
            </w:rPr>
            <w:t>13</w:t>
          </w:r>
          <w:r w:rsidR="001F1B85" w:rsidRPr="002A7B34">
            <w:rPr>
              <w:rFonts w:ascii="Cambria" w:hAnsi="Cambria"/>
              <w:smallCaps/>
              <w:szCs w:val="24"/>
              <w:lang w:eastAsia="en-US"/>
            </w:rPr>
            <w:t>7</w:t>
          </w:r>
        </w:p>
        <w:p w14:paraId="44A85BF3" w14:textId="77777777" w:rsidR="002A7B34" w:rsidRDefault="00730A01" w:rsidP="00ED1859">
          <w:pPr>
            <w:pStyle w:val="Paragraphedeliste"/>
            <w:numPr>
              <w:ilvl w:val="0"/>
              <w:numId w:val="155"/>
            </w:numPr>
            <w:tabs>
              <w:tab w:val="right" w:pos="8931"/>
              <w:tab w:val="right" w:pos="9072"/>
            </w:tabs>
            <w:ind w:left="426" w:hanging="426"/>
            <w:rPr>
              <w:rFonts w:ascii="Cambria" w:hAnsi="Cambria"/>
              <w:smallCaps/>
              <w:sz w:val="22"/>
              <w:szCs w:val="22"/>
              <w:lang w:eastAsia="en-US"/>
            </w:rPr>
          </w:pPr>
          <w:r>
            <w:rPr>
              <w:rFonts w:ascii="Cambria" w:hAnsi="Cambria"/>
              <w:smallCaps/>
              <w:sz w:val="22"/>
              <w:szCs w:val="22"/>
              <w:lang w:eastAsia="en-US"/>
            </w:rPr>
            <w:t xml:space="preserve">la production à la Cour de bilans tronqués </w:t>
          </w:r>
          <w:r w:rsidRPr="002A7B34">
            <w:rPr>
              <w:rFonts w:ascii="Cambria" w:hAnsi="Cambria"/>
              <w:smallCaps/>
              <w:sz w:val="22"/>
              <w:szCs w:val="22"/>
              <w:u w:val="single"/>
              <w:lang w:eastAsia="en-US"/>
            </w:rPr>
            <w:tab/>
          </w:r>
          <w:r>
            <w:rPr>
              <w:rFonts w:ascii="Cambria" w:hAnsi="Cambria"/>
              <w:smallCaps/>
              <w:sz w:val="22"/>
              <w:szCs w:val="22"/>
              <w:lang w:eastAsia="en-US"/>
            </w:rPr>
            <w:t>140</w:t>
          </w:r>
        </w:p>
        <w:p w14:paraId="09DC469B" w14:textId="77777777" w:rsidR="002A7B34" w:rsidRDefault="00730A01" w:rsidP="00ED1859">
          <w:pPr>
            <w:pStyle w:val="Paragraphedeliste"/>
            <w:numPr>
              <w:ilvl w:val="0"/>
              <w:numId w:val="155"/>
            </w:numPr>
            <w:tabs>
              <w:tab w:val="right" w:pos="8931"/>
              <w:tab w:val="right" w:pos="9072"/>
            </w:tabs>
            <w:ind w:left="426" w:hanging="426"/>
            <w:rPr>
              <w:rFonts w:ascii="Cambria" w:hAnsi="Cambria"/>
              <w:smallCaps/>
              <w:sz w:val="22"/>
              <w:szCs w:val="22"/>
              <w:lang w:eastAsia="en-US"/>
            </w:rPr>
          </w:pPr>
          <w:r>
            <w:rPr>
              <w:rFonts w:ascii="Cambria" w:hAnsi="Cambria"/>
              <w:smallCaps/>
              <w:sz w:val="22"/>
              <w:szCs w:val="22"/>
              <w:lang w:eastAsia="en-US"/>
            </w:rPr>
            <w:t xml:space="preserve">Les prêts à taux usuraires accordés au Groupe Huot par Giroux et niés par lui </w:t>
          </w:r>
          <w:r w:rsidRPr="002A7B34">
            <w:rPr>
              <w:rFonts w:ascii="Cambria" w:hAnsi="Cambria"/>
              <w:smallCaps/>
              <w:sz w:val="22"/>
              <w:szCs w:val="22"/>
              <w:u w:val="single"/>
              <w:lang w:eastAsia="en-US"/>
            </w:rPr>
            <w:tab/>
          </w:r>
          <w:r>
            <w:rPr>
              <w:rFonts w:ascii="Cambria" w:hAnsi="Cambria"/>
              <w:smallCaps/>
              <w:sz w:val="22"/>
              <w:szCs w:val="22"/>
              <w:lang w:eastAsia="en-US"/>
            </w:rPr>
            <w:t>142</w:t>
          </w:r>
        </w:p>
        <w:p w14:paraId="628D6D2A" w14:textId="77777777" w:rsidR="002A7B34" w:rsidRDefault="00730A01" w:rsidP="00ED1859">
          <w:pPr>
            <w:pStyle w:val="Paragraphedeliste"/>
            <w:numPr>
              <w:ilvl w:val="0"/>
              <w:numId w:val="155"/>
            </w:numPr>
            <w:tabs>
              <w:tab w:val="right" w:pos="8931"/>
              <w:tab w:val="right" w:pos="9072"/>
            </w:tabs>
            <w:ind w:left="426" w:hanging="426"/>
            <w:rPr>
              <w:rFonts w:ascii="Cambria" w:hAnsi="Cambria"/>
              <w:smallCaps/>
              <w:sz w:val="22"/>
              <w:szCs w:val="22"/>
              <w:lang w:eastAsia="en-US"/>
            </w:rPr>
          </w:pPr>
          <w:r>
            <w:rPr>
              <w:rFonts w:ascii="Cambria" w:hAnsi="Cambria"/>
              <w:smallCaps/>
              <w:sz w:val="22"/>
              <w:szCs w:val="22"/>
              <w:lang w:eastAsia="en-US"/>
            </w:rPr>
            <w:t xml:space="preserve">Les transactions Ponzi et les paiements préférentiels niés par Giroux </w:t>
          </w:r>
          <w:r w:rsidRPr="002A7B34">
            <w:rPr>
              <w:rFonts w:ascii="Cambria" w:hAnsi="Cambria"/>
              <w:smallCaps/>
              <w:sz w:val="22"/>
              <w:szCs w:val="22"/>
              <w:u w:val="single"/>
              <w:lang w:eastAsia="en-US"/>
            </w:rPr>
            <w:tab/>
          </w:r>
          <w:r>
            <w:rPr>
              <w:rFonts w:ascii="Cambria" w:hAnsi="Cambria"/>
              <w:smallCaps/>
              <w:sz w:val="22"/>
              <w:szCs w:val="22"/>
              <w:lang w:eastAsia="en-US"/>
            </w:rPr>
            <w:t>143</w:t>
          </w:r>
        </w:p>
        <w:p w14:paraId="66A1E1B0" w14:textId="77777777" w:rsidR="002A7B34" w:rsidRDefault="00730A01" w:rsidP="00ED1859">
          <w:pPr>
            <w:pStyle w:val="Paragraphedeliste"/>
            <w:numPr>
              <w:ilvl w:val="0"/>
              <w:numId w:val="155"/>
            </w:numPr>
            <w:tabs>
              <w:tab w:val="right" w:pos="8931"/>
              <w:tab w:val="right" w:pos="9072"/>
            </w:tabs>
            <w:ind w:left="426" w:hanging="426"/>
            <w:rPr>
              <w:rFonts w:ascii="Cambria" w:hAnsi="Cambria"/>
              <w:smallCaps/>
              <w:sz w:val="22"/>
              <w:szCs w:val="22"/>
              <w:lang w:eastAsia="en-US"/>
            </w:rPr>
          </w:pPr>
          <w:r>
            <w:rPr>
              <w:rFonts w:ascii="Cambria" w:hAnsi="Cambria"/>
              <w:smallCaps/>
              <w:sz w:val="22"/>
              <w:szCs w:val="22"/>
              <w:lang w:eastAsia="en-US"/>
            </w:rPr>
            <w:t xml:space="preserve">Les informations cachées aux commanditaires et niées par Giroux </w:t>
          </w:r>
          <w:r w:rsidRPr="002A7B34">
            <w:rPr>
              <w:rFonts w:ascii="Cambria" w:hAnsi="Cambria"/>
              <w:smallCaps/>
              <w:sz w:val="22"/>
              <w:szCs w:val="22"/>
              <w:u w:val="single"/>
              <w:lang w:eastAsia="en-US"/>
            </w:rPr>
            <w:tab/>
          </w:r>
          <w:r>
            <w:rPr>
              <w:rFonts w:ascii="Cambria" w:hAnsi="Cambria"/>
              <w:smallCaps/>
              <w:sz w:val="22"/>
              <w:szCs w:val="22"/>
              <w:lang w:eastAsia="en-US"/>
            </w:rPr>
            <w:t>144</w:t>
          </w:r>
        </w:p>
        <w:p w14:paraId="6B5BF952" w14:textId="77777777" w:rsidR="002A7B34" w:rsidRDefault="00730A01" w:rsidP="00ED1859">
          <w:pPr>
            <w:pStyle w:val="Paragraphedeliste"/>
            <w:numPr>
              <w:ilvl w:val="0"/>
              <w:numId w:val="155"/>
            </w:numPr>
            <w:tabs>
              <w:tab w:val="right" w:pos="8931"/>
              <w:tab w:val="right" w:pos="9072"/>
            </w:tabs>
            <w:ind w:left="426" w:hanging="426"/>
            <w:rPr>
              <w:rFonts w:ascii="Cambria" w:hAnsi="Cambria"/>
              <w:smallCaps/>
              <w:sz w:val="22"/>
              <w:szCs w:val="22"/>
              <w:lang w:eastAsia="en-US"/>
            </w:rPr>
          </w:pPr>
          <w:r>
            <w:rPr>
              <w:rFonts w:ascii="Cambria" w:hAnsi="Cambria"/>
              <w:smallCaps/>
              <w:sz w:val="22"/>
              <w:szCs w:val="22"/>
              <w:lang w:eastAsia="en-US"/>
            </w:rPr>
            <w:t xml:space="preserve">Les prétentions de Giroux incompatibles avec ses autres affirmations </w:t>
          </w:r>
          <w:r w:rsidRPr="002A7B34">
            <w:rPr>
              <w:rFonts w:ascii="Cambria" w:hAnsi="Cambria"/>
              <w:smallCaps/>
              <w:sz w:val="22"/>
              <w:szCs w:val="22"/>
              <w:u w:val="single"/>
              <w:lang w:eastAsia="en-US"/>
            </w:rPr>
            <w:tab/>
          </w:r>
          <w:r>
            <w:rPr>
              <w:rFonts w:ascii="Cambria" w:hAnsi="Cambria"/>
              <w:smallCaps/>
              <w:sz w:val="22"/>
              <w:szCs w:val="22"/>
              <w:lang w:eastAsia="en-US"/>
            </w:rPr>
            <w:t>14</w:t>
          </w:r>
          <w:r w:rsidR="00637D9E">
            <w:rPr>
              <w:rFonts w:ascii="Cambria" w:hAnsi="Cambria"/>
              <w:smallCaps/>
              <w:sz w:val="22"/>
              <w:szCs w:val="22"/>
              <w:lang w:eastAsia="en-US"/>
            </w:rPr>
            <w:t>8</w:t>
          </w:r>
        </w:p>
        <w:p w14:paraId="4278BD91" w14:textId="77777777" w:rsidR="002A7B34" w:rsidRDefault="00730A01" w:rsidP="00ED1859">
          <w:pPr>
            <w:pStyle w:val="Paragraphedeliste"/>
            <w:numPr>
              <w:ilvl w:val="0"/>
              <w:numId w:val="155"/>
            </w:numPr>
            <w:tabs>
              <w:tab w:val="right" w:pos="8931"/>
              <w:tab w:val="right" w:pos="9072"/>
            </w:tabs>
            <w:ind w:left="426" w:hanging="426"/>
            <w:rPr>
              <w:rFonts w:ascii="Cambria" w:hAnsi="Cambria"/>
              <w:smallCaps/>
              <w:sz w:val="22"/>
              <w:szCs w:val="22"/>
              <w:lang w:eastAsia="en-US"/>
            </w:rPr>
          </w:pPr>
          <w:r>
            <w:rPr>
              <w:rFonts w:ascii="Cambria" w:hAnsi="Cambria"/>
              <w:smallCaps/>
              <w:sz w:val="22"/>
              <w:szCs w:val="22"/>
              <w:lang w:eastAsia="en-US"/>
            </w:rPr>
            <w:t xml:space="preserve">Giroux se pose en victime et met la responsabilité sur les autres </w:t>
          </w:r>
          <w:r w:rsidRPr="002A7B34">
            <w:rPr>
              <w:rFonts w:ascii="Cambria" w:hAnsi="Cambria"/>
              <w:smallCaps/>
              <w:sz w:val="22"/>
              <w:szCs w:val="22"/>
              <w:u w:val="single"/>
              <w:lang w:eastAsia="en-US"/>
            </w:rPr>
            <w:tab/>
          </w:r>
          <w:r>
            <w:rPr>
              <w:rFonts w:ascii="Cambria" w:hAnsi="Cambria"/>
              <w:smallCaps/>
              <w:sz w:val="22"/>
              <w:szCs w:val="22"/>
              <w:lang w:eastAsia="en-US"/>
            </w:rPr>
            <w:t>15</w:t>
          </w:r>
          <w:r w:rsidR="00637D9E">
            <w:rPr>
              <w:rFonts w:ascii="Cambria" w:hAnsi="Cambria"/>
              <w:smallCaps/>
              <w:sz w:val="22"/>
              <w:szCs w:val="22"/>
              <w:lang w:eastAsia="en-US"/>
            </w:rPr>
            <w:t>1</w:t>
          </w:r>
        </w:p>
        <w:p w14:paraId="2D0D4A67" w14:textId="77777777" w:rsidR="002A7B34" w:rsidRDefault="00730A01" w:rsidP="00ED1859">
          <w:pPr>
            <w:pStyle w:val="Paragraphedeliste"/>
            <w:numPr>
              <w:ilvl w:val="0"/>
              <w:numId w:val="155"/>
            </w:numPr>
            <w:tabs>
              <w:tab w:val="right" w:pos="8931"/>
              <w:tab w:val="right" w:pos="9072"/>
            </w:tabs>
            <w:ind w:left="426" w:hanging="426"/>
            <w:rPr>
              <w:rFonts w:ascii="Cambria" w:hAnsi="Cambria"/>
              <w:smallCaps/>
              <w:sz w:val="22"/>
              <w:szCs w:val="22"/>
              <w:lang w:eastAsia="en-US"/>
            </w:rPr>
          </w:pPr>
          <w:r>
            <w:rPr>
              <w:rFonts w:ascii="Cambria" w:hAnsi="Cambria"/>
              <w:smallCaps/>
              <w:sz w:val="22"/>
              <w:szCs w:val="22"/>
              <w:lang w:eastAsia="en-US"/>
            </w:rPr>
            <w:t xml:space="preserve">La demande reconventionnelle de X2 </w:t>
          </w:r>
          <w:r w:rsidRPr="002A7B34">
            <w:rPr>
              <w:rFonts w:ascii="Cambria" w:hAnsi="Cambria"/>
              <w:smallCaps/>
              <w:sz w:val="22"/>
              <w:szCs w:val="22"/>
              <w:u w:val="single"/>
              <w:lang w:eastAsia="en-US"/>
            </w:rPr>
            <w:tab/>
          </w:r>
          <w:r>
            <w:rPr>
              <w:rFonts w:ascii="Cambria" w:hAnsi="Cambria"/>
              <w:smallCaps/>
              <w:sz w:val="22"/>
              <w:szCs w:val="22"/>
              <w:lang w:eastAsia="en-US"/>
            </w:rPr>
            <w:t>15</w:t>
          </w:r>
          <w:r w:rsidR="00637D9E">
            <w:rPr>
              <w:rFonts w:ascii="Cambria" w:hAnsi="Cambria"/>
              <w:smallCaps/>
              <w:sz w:val="22"/>
              <w:szCs w:val="22"/>
              <w:lang w:eastAsia="en-US"/>
            </w:rPr>
            <w:t>2</w:t>
          </w:r>
        </w:p>
        <w:p w14:paraId="71EC2C61" w14:textId="77777777" w:rsidR="002A7B34" w:rsidRPr="002A7B34" w:rsidRDefault="00730A01" w:rsidP="00ED1859">
          <w:pPr>
            <w:pStyle w:val="Paragraphedeliste"/>
            <w:numPr>
              <w:ilvl w:val="0"/>
              <w:numId w:val="155"/>
            </w:numPr>
            <w:tabs>
              <w:tab w:val="right" w:pos="8931"/>
              <w:tab w:val="right" w:pos="9072"/>
            </w:tabs>
            <w:ind w:left="426" w:hanging="426"/>
            <w:rPr>
              <w:rFonts w:ascii="Cambria" w:hAnsi="Cambria"/>
              <w:smallCaps/>
              <w:sz w:val="22"/>
              <w:szCs w:val="22"/>
              <w:lang w:eastAsia="en-US"/>
            </w:rPr>
          </w:pPr>
          <w:r>
            <w:rPr>
              <w:rFonts w:ascii="Cambria" w:hAnsi="Cambria"/>
              <w:smallCaps/>
              <w:sz w:val="22"/>
              <w:szCs w:val="22"/>
              <w:lang w:eastAsia="en-US"/>
            </w:rPr>
            <w:t xml:space="preserve">La documentation tronquée par Giroux et les autres faussetés </w:t>
          </w:r>
          <w:r w:rsidRPr="002A7B34">
            <w:rPr>
              <w:rFonts w:ascii="Cambria" w:hAnsi="Cambria"/>
              <w:smallCaps/>
              <w:sz w:val="22"/>
              <w:szCs w:val="22"/>
              <w:u w:val="single"/>
              <w:lang w:eastAsia="en-US"/>
            </w:rPr>
            <w:tab/>
          </w:r>
          <w:r>
            <w:rPr>
              <w:rFonts w:ascii="Cambria" w:hAnsi="Cambria"/>
              <w:smallCaps/>
              <w:sz w:val="22"/>
              <w:szCs w:val="22"/>
              <w:lang w:eastAsia="en-US"/>
            </w:rPr>
            <w:t>15</w:t>
          </w:r>
          <w:r w:rsidR="00637D9E">
            <w:rPr>
              <w:rFonts w:ascii="Cambria" w:hAnsi="Cambria"/>
              <w:smallCaps/>
              <w:sz w:val="22"/>
              <w:szCs w:val="22"/>
              <w:lang w:eastAsia="en-US"/>
            </w:rPr>
            <w:t>3</w:t>
          </w:r>
        </w:p>
        <w:p w14:paraId="0C6F72B6" w14:textId="77777777" w:rsidR="00051BA3" w:rsidRDefault="00730A01" w:rsidP="007C2939">
          <w:pPr>
            <w:tabs>
              <w:tab w:val="right" w:pos="8931"/>
              <w:tab w:val="right" w:pos="9072"/>
            </w:tabs>
            <w:spacing w:before="60"/>
            <w:rPr>
              <w:rFonts w:ascii="Cambria" w:hAnsi="Cambria"/>
              <w:sz w:val="22"/>
              <w:szCs w:val="22"/>
              <w:lang w:eastAsia="en-US"/>
            </w:rPr>
          </w:pPr>
          <w:r w:rsidRPr="002E0808">
            <w:rPr>
              <w:rFonts w:ascii="Cambria" w:hAnsi="Cambria"/>
              <w:b/>
              <w:bCs/>
              <w:sz w:val="22"/>
              <w:szCs w:val="22"/>
              <w:lang w:eastAsia="en-US"/>
            </w:rPr>
            <w:t xml:space="preserve">ANNEXE B </w:t>
          </w:r>
        </w:p>
        <w:p w14:paraId="2A907221" w14:textId="77777777" w:rsidR="00DE6437" w:rsidRPr="005F441E" w:rsidRDefault="00730A01" w:rsidP="0057726F">
          <w:pPr>
            <w:tabs>
              <w:tab w:val="right" w:pos="8931"/>
              <w:tab w:val="right" w:pos="9072"/>
            </w:tabs>
            <w:rPr>
              <w:rFonts w:ascii="Cambria" w:hAnsi="Cambria"/>
              <w:smallCaps/>
              <w:sz w:val="22"/>
              <w:szCs w:val="22"/>
              <w:lang w:eastAsia="en-US"/>
            </w:rPr>
          </w:pPr>
          <w:r w:rsidRPr="005F441E">
            <w:rPr>
              <w:rFonts w:ascii="Cambria" w:hAnsi="Cambria"/>
              <w:smallCaps/>
              <w:sz w:val="22"/>
              <w:szCs w:val="22"/>
              <w:lang w:eastAsia="en-US"/>
            </w:rPr>
            <w:t>Les financements effectués par FIISH et les manquements</w:t>
          </w:r>
          <w:r w:rsidR="00051BA3" w:rsidRPr="005F441E">
            <w:rPr>
              <w:rFonts w:ascii="Cambria" w:hAnsi="Cambria"/>
              <w:smallCaps/>
              <w:sz w:val="22"/>
              <w:szCs w:val="22"/>
              <w:lang w:eastAsia="en-US"/>
            </w:rPr>
            <w:t xml:space="preserve"> </w:t>
          </w:r>
          <w:r w:rsidRPr="005F441E">
            <w:rPr>
              <w:rFonts w:ascii="Cambria" w:hAnsi="Cambria"/>
              <w:smallCaps/>
              <w:sz w:val="22"/>
              <w:szCs w:val="22"/>
              <w:lang w:eastAsia="en-US"/>
            </w:rPr>
            <w:t>en lien avec ces financements</w:t>
          </w:r>
          <w:r w:rsidR="00154029">
            <w:rPr>
              <w:rFonts w:ascii="Cambria" w:hAnsi="Cambria"/>
              <w:smallCaps/>
              <w:sz w:val="22"/>
              <w:szCs w:val="22"/>
              <w:lang w:eastAsia="en-US"/>
            </w:rPr>
            <w:t xml:space="preserve"> </w:t>
          </w:r>
          <w:r w:rsidR="00F507F1" w:rsidRPr="008F6FA9">
            <w:rPr>
              <w:rFonts w:ascii="Cambria" w:hAnsi="Cambria"/>
              <w:smallCaps/>
              <w:sz w:val="22"/>
              <w:szCs w:val="22"/>
              <w:u w:val="single"/>
              <w:lang w:eastAsia="en-US"/>
            </w:rPr>
            <w:tab/>
          </w:r>
          <w:r w:rsidR="00F507F1" w:rsidRPr="005F441E">
            <w:rPr>
              <w:rFonts w:ascii="Cambria" w:hAnsi="Cambria"/>
              <w:smallCaps/>
              <w:sz w:val="22"/>
              <w:szCs w:val="22"/>
              <w:lang w:eastAsia="en-US"/>
            </w:rPr>
            <w:t>15</w:t>
          </w:r>
          <w:r w:rsidR="00637D9E">
            <w:rPr>
              <w:rFonts w:ascii="Cambria" w:hAnsi="Cambria"/>
              <w:smallCaps/>
              <w:sz w:val="22"/>
              <w:szCs w:val="22"/>
              <w:lang w:eastAsia="en-US"/>
            </w:rPr>
            <w:t>6</w:t>
          </w:r>
        </w:p>
        <w:p w14:paraId="027736CE" w14:textId="77777777" w:rsidR="00051BA3" w:rsidRDefault="00730A01" w:rsidP="007C2939">
          <w:pPr>
            <w:tabs>
              <w:tab w:val="right" w:pos="8931"/>
              <w:tab w:val="right" w:pos="9072"/>
            </w:tabs>
            <w:spacing w:before="60"/>
            <w:rPr>
              <w:rFonts w:ascii="Cambria" w:hAnsi="Cambria"/>
              <w:sz w:val="22"/>
              <w:szCs w:val="22"/>
              <w:lang w:eastAsia="en-US"/>
            </w:rPr>
          </w:pPr>
          <w:r w:rsidRPr="002E0808">
            <w:rPr>
              <w:rFonts w:ascii="Cambria" w:hAnsi="Cambria"/>
              <w:b/>
              <w:bCs/>
              <w:sz w:val="22"/>
              <w:szCs w:val="22"/>
              <w:lang w:eastAsia="en-US"/>
            </w:rPr>
            <w:t xml:space="preserve">ANNEXE C </w:t>
          </w:r>
        </w:p>
        <w:p w14:paraId="327E3602" w14:textId="77777777" w:rsidR="00DE6437" w:rsidRPr="005F441E" w:rsidRDefault="00730A01" w:rsidP="00051BA3">
          <w:pPr>
            <w:tabs>
              <w:tab w:val="right" w:pos="8931"/>
              <w:tab w:val="right" w:pos="9072"/>
            </w:tabs>
            <w:rPr>
              <w:rFonts w:ascii="Cambria" w:hAnsi="Cambria"/>
              <w:smallCaps/>
              <w:szCs w:val="24"/>
              <w:lang w:eastAsia="en-US"/>
            </w:rPr>
          </w:pPr>
          <w:r w:rsidRPr="005F441E">
            <w:rPr>
              <w:rFonts w:ascii="Cambria" w:hAnsi="Cambria"/>
              <w:smallCaps/>
              <w:sz w:val="22"/>
              <w:szCs w:val="22"/>
              <w:lang w:eastAsia="en-US"/>
            </w:rPr>
            <w:t>Les projets Huot financés par Q-12 et les manquement</w:t>
          </w:r>
          <w:r w:rsidR="002E0808" w:rsidRPr="005F441E">
            <w:rPr>
              <w:rFonts w:ascii="Cambria" w:hAnsi="Cambria"/>
              <w:smallCaps/>
              <w:sz w:val="22"/>
              <w:szCs w:val="22"/>
              <w:lang w:eastAsia="en-US"/>
            </w:rPr>
            <w:t xml:space="preserve">s reprochés </w:t>
          </w:r>
          <w:r w:rsidR="002E0808" w:rsidRPr="008F6FA9">
            <w:rPr>
              <w:rFonts w:ascii="Cambria" w:hAnsi="Cambria"/>
              <w:smallCaps/>
              <w:szCs w:val="24"/>
              <w:u w:val="single"/>
              <w:lang w:eastAsia="en-US"/>
            </w:rPr>
            <w:tab/>
          </w:r>
          <w:r w:rsidR="002E0808" w:rsidRPr="005F441E">
            <w:rPr>
              <w:rFonts w:ascii="Cambria" w:hAnsi="Cambria"/>
              <w:smallCaps/>
              <w:szCs w:val="24"/>
              <w:lang w:eastAsia="en-US"/>
            </w:rPr>
            <w:t>1</w:t>
          </w:r>
          <w:r w:rsidR="00051BA3" w:rsidRPr="005F441E">
            <w:rPr>
              <w:rFonts w:ascii="Cambria" w:hAnsi="Cambria"/>
              <w:smallCaps/>
              <w:szCs w:val="24"/>
              <w:lang w:eastAsia="en-US"/>
            </w:rPr>
            <w:t>7</w:t>
          </w:r>
          <w:r w:rsidR="00637D9E">
            <w:rPr>
              <w:rFonts w:ascii="Cambria" w:hAnsi="Cambria"/>
              <w:smallCaps/>
              <w:szCs w:val="24"/>
              <w:lang w:eastAsia="en-US"/>
            </w:rPr>
            <w:t>6</w:t>
          </w:r>
        </w:p>
        <w:p w14:paraId="2EEAB4E9" w14:textId="77777777" w:rsidR="00051BA3" w:rsidRDefault="00730A01" w:rsidP="007C2939">
          <w:pPr>
            <w:tabs>
              <w:tab w:val="right" w:pos="8931"/>
              <w:tab w:val="right" w:pos="9072"/>
            </w:tabs>
            <w:spacing w:before="60"/>
            <w:rPr>
              <w:rFonts w:ascii="Cambria" w:hAnsi="Cambria"/>
              <w:sz w:val="22"/>
              <w:szCs w:val="22"/>
              <w:lang w:eastAsia="en-US"/>
            </w:rPr>
          </w:pPr>
          <w:r w:rsidRPr="002E0808">
            <w:rPr>
              <w:rFonts w:ascii="Cambria" w:hAnsi="Cambria"/>
              <w:b/>
              <w:bCs/>
              <w:sz w:val="22"/>
              <w:szCs w:val="22"/>
              <w:lang w:eastAsia="en-US"/>
            </w:rPr>
            <w:t xml:space="preserve">ANNEXE D </w:t>
          </w:r>
        </w:p>
        <w:p w14:paraId="7D2B1260" w14:textId="77777777" w:rsidR="00DE6437" w:rsidRPr="005F441E" w:rsidRDefault="00730A01" w:rsidP="00051BA3">
          <w:pPr>
            <w:tabs>
              <w:tab w:val="right" w:pos="8931"/>
              <w:tab w:val="right" w:pos="9072"/>
            </w:tabs>
            <w:rPr>
              <w:rFonts w:ascii="Cambria" w:hAnsi="Cambria"/>
              <w:smallCaps/>
              <w:sz w:val="22"/>
              <w:szCs w:val="22"/>
              <w:lang w:eastAsia="en-US"/>
            </w:rPr>
          </w:pPr>
          <w:r w:rsidRPr="005F441E">
            <w:rPr>
              <w:rFonts w:ascii="Cambria" w:hAnsi="Cambria"/>
              <w:smallCaps/>
              <w:sz w:val="22"/>
              <w:szCs w:val="22"/>
              <w:lang w:eastAsia="en-US"/>
            </w:rPr>
            <w:t>Dépôt de milliers de pièces additionnelles</w:t>
          </w:r>
          <w:r w:rsidR="00154029">
            <w:rPr>
              <w:rFonts w:ascii="Cambria" w:hAnsi="Cambria"/>
              <w:smallCaps/>
              <w:sz w:val="22"/>
              <w:szCs w:val="22"/>
              <w:lang w:eastAsia="en-US"/>
            </w:rPr>
            <w:t xml:space="preserve"> </w:t>
          </w:r>
          <w:r w:rsidR="00051BA3" w:rsidRPr="008F6FA9">
            <w:rPr>
              <w:rFonts w:ascii="Cambria" w:hAnsi="Cambria"/>
              <w:smallCaps/>
              <w:sz w:val="22"/>
              <w:szCs w:val="22"/>
              <w:u w:val="single"/>
              <w:lang w:eastAsia="en-US"/>
            </w:rPr>
            <w:tab/>
          </w:r>
          <w:r w:rsidR="00F507F1" w:rsidRPr="005F441E">
            <w:rPr>
              <w:rFonts w:ascii="Cambria" w:hAnsi="Cambria"/>
              <w:smallCaps/>
              <w:szCs w:val="24"/>
              <w:lang w:eastAsia="en-US"/>
            </w:rPr>
            <w:t>18</w:t>
          </w:r>
          <w:r w:rsidR="00637D9E">
            <w:rPr>
              <w:rFonts w:ascii="Cambria" w:hAnsi="Cambria"/>
              <w:smallCaps/>
              <w:szCs w:val="24"/>
              <w:lang w:eastAsia="en-US"/>
            </w:rPr>
            <w:t>6</w:t>
          </w:r>
        </w:p>
        <w:p w14:paraId="786CF4DE" w14:textId="77777777" w:rsidR="00051BA3" w:rsidRDefault="00730A01" w:rsidP="007C2939">
          <w:pPr>
            <w:tabs>
              <w:tab w:val="right" w:pos="8931"/>
              <w:tab w:val="right" w:pos="9072"/>
            </w:tabs>
            <w:spacing w:before="60"/>
            <w:rPr>
              <w:rFonts w:ascii="Cambria" w:hAnsi="Cambria"/>
              <w:sz w:val="22"/>
              <w:szCs w:val="22"/>
              <w:lang w:eastAsia="en-US"/>
            </w:rPr>
          </w:pPr>
          <w:r w:rsidRPr="002E0808">
            <w:rPr>
              <w:rFonts w:ascii="Cambria" w:hAnsi="Cambria"/>
              <w:b/>
              <w:bCs/>
              <w:sz w:val="22"/>
              <w:szCs w:val="22"/>
              <w:lang w:eastAsia="en-US"/>
            </w:rPr>
            <w:t xml:space="preserve">ANNEXE E </w:t>
          </w:r>
        </w:p>
        <w:p w14:paraId="06FADC91" w14:textId="77777777" w:rsidR="00AF7E49" w:rsidRPr="00586245" w:rsidRDefault="00730A01" w:rsidP="00051BA3">
          <w:pPr>
            <w:tabs>
              <w:tab w:val="right" w:pos="8931"/>
              <w:tab w:val="right" w:pos="9072"/>
            </w:tabs>
            <w:rPr>
              <w:rFonts w:ascii="Cambria" w:hAnsi="Cambria"/>
              <w:smallCaps/>
              <w:szCs w:val="24"/>
              <w:lang w:eastAsia="en-US"/>
            </w:rPr>
          </w:pPr>
          <w:r w:rsidRPr="00586245">
            <w:rPr>
              <w:rFonts w:ascii="Cambria" w:hAnsi="Cambria"/>
              <w:smallCaps/>
              <w:sz w:val="22"/>
              <w:szCs w:val="22"/>
              <w:lang w:eastAsia="en-US"/>
            </w:rPr>
            <w:t>La désinvolture des Défendeurs face aux diverses ordonnances</w:t>
          </w:r>
          <w:r w:rsidR="00051BA3" w:rsidRPr="00586245">
            <w:rPr>
              <w:rFonts w:ascii="Cambria" w:hAnsi="Cambria"/>
              <w:smallCaps/>
              <w:sz w:val="22"/>
              <w:szCs w:val="22"/>
              <w:lang w:eastAsia="en-US"/>
            </w:rPr>
            <w:t xml:space="preserve"> </w:t>
          </w:r>
          <w:r w:rsidRPr="00586245">
            <w:rPr>
              <w:rFonts w:ascii="Cambria" w:hAnsi="Cambria"/>
              <w:smallCaps/>
              <w:sz w:val="22"/>
              <w:szCs w:val="22"/>
              <w:lang w:eastAsia="en-US"/>
            </w:rPr>
            <w:t>du Tribunal</w:t>
          </w:r>
          <w:r w:rsidR="00154029">
            <w:rPr>
              <w:rFonts w:ascii="Cambria" w:hAnsi="Cambria"/>
              <w:smallCaps/>
              <w:sz w:val="22"/>
              <w:szCs w:val="22"/>
              <w:lang w:eastAsia="en-US"/>
            </w:rPr>
            <w:t xml:space="preserve"> </w:t>
          </w:r>
          <w:r w:rsidR="00051BA3" w:rsidRPr="008F6FA9">
            <w:rPr>
              <w:rFonts w:ascii="Cambria" w:hAnsi="Cambria"/>
              <w:smallCaps/>
              <w:sz w:val="22"/>
              <w:szCs w:val="22"/>
              <w:u w:val="single"/>
              <w:lang w:eastAsia="en-US"/>
            </w:rPr>
            <w:tab/>
          </w:r>
          <w:r w:rsidR="00051BA3" w:rsidRPr="00586245">
            <w:rPr>
              <w:rFonts w:ascii="Cambria" w:hAnsi="Cambria"/>
              <w:smallCaps/>
              <w:szCs w:val="24"/>
              <w:lang w:eastAsia="en-US"/>
            </w:rPr>
            <w:t>1</w:t>
          </w:r>
          <w:r w:rsidR="00AB5B84">
            <w:rPr>
              <w:rFonts w:ascii="Cambria" w:hAnsi="Cambria"/>
              <w:smallCaps/>
              <w:szCs w:val="24"/>
              <w:lang w:eastAsia="en-US"/>
            </w:rPr>
            <w:t>8</w:t>
          </w:r>
          <w:r w:rsidR="00637D9E">
            <w:rPr>
              <w:rFonts w:ascii="Cambria" w:hAnsi="Cambria"/>
              <w:smallCaps/>
              <w:szCs w:val="24"/>
              <w:lang w:eastAsia="en-US"/>
            </w:rPr>
            <w:t>9</w:t>
          </w:r>
        </w:p>
        <w:p w14:paraId="60EC5A26" w14:textId="77777777" w:rsidR="009A1828" w:rsidRPr="00774285" w:rsidRDefault="009A1828" w:rsidP="0057726F">
          <w:pPr>
            <w:tabs>
              <w:tab w:val="right" w:pos="8931"/>
              <w:tab w:val="right" w:pos="9072"/>
            </w:tabs>
            <w:rPr>
              <w:rFonts w:ascii="Cambria" w:hAnsi="Cambria"/>
              <w:sz w:val="16"/>
              <w:szCs w:val="16"/>
              <w:lang w:eastAsia="en-US"/>
            </w:rPr>
          </w:pPr>
        </w:p>
        <w:p w14:paraId="664B5BD6" w14:textId="77777777" w:rsidR="00D7791D" w:rsidRDefault="00730A01" w:rsidP="002A7B34">
          <w:pPr>
            <w:tabs>
              <w:tab w:val="right" w:pos="8931"/>
              <w:tab w:val="right" w:pos="9072"/>
            </w:tabs>
          </w:pPr>
          <w:r w:rsidRPr="00586245">
            <w:rPr>
              <w:rFonts w:ascii="Cambria" w:hAnsi="Cambria"/>
              <w:b/>
              <w:bCs/>
              <w:caps/>
              <w:sz w:val="22"/>
              <w:szCs w:val="22"/>
              <w:lang w:eastAsia="en-US"/>
            </w:rPr>
            <w:t>Table des matières de</w:t>
          </w:r>
          <w:r w:rsidR="00B53F18" w:rsidRPr="00586245">
            <w:rPr>
              <w:rFonts w:ascii="Cambria" w:hAnsi="Cambria"/>
              <w:b/>
              <w:bCs/>
              <w:caps/>
              <w:sz w:val="22"/>
              <w:szCs w:val="22"/>
              <w:lang w:eastAsia="en-US"/>
            </w:rPr>
            <w:t>s A</w:t>
          </w:r>
          <w:r w:rsidRPr="00586245">
            <w:rPr>
              <w:rFonts w:ascii="Cambria" w:hAnsi="Cambria"/>
              <w:b/>
              <w:bCs/>
              <w:caps/>
              <w:sz w:val="22"/>
              <w:szCs w:val="22"/>
              <w:lang w:eastAsia="en-US"/>
            </w:rPr>
            <w:t>nnexes</w:t>
          </w:r>
          <w:r w:rsidR="00154029">
            <w:rPr>
              <w:rFonts w:ascii="Cambria" w:hAnsi="Cambria"/>
              <w:b/>
              <w:bCs/>
              <w:caps/>
              <w:sz w:val="22"/>
              <w:szCs w:val="22"/>
              <w:lang w:eastAsia="en-US"/>
            </w:rPr>
            <w:t xml:space="preserve"> </w:t>
          </w:r>
          <w:r w:rsidR="00AD6B33" w:rsidRPr="008F6FA9">
            <w:rPr>
              <w:rFonts w:ascii="Cambria" w:hAnsi="Cambria"/>
              <w:caps/>
              <w:sz w:val="22"/>
              <w:szCs w:val="22"/>
              <w:u w:val="single"/>
              <w:lang w:eastAsia="en-US"/>
            </w:rPr>
            <w:tab/>
          </w:r>
          <w:r w:rsidR="00322EDD" w:rsidRPr="00586245">
            <w:rPr>
              <w:rFonts w:ascii="Cambria" w:hAnsi="Cambria"/>
              <w:caps/>
              <w:szCs w:val="24"/>
              <w:lang w:eastAsia="en-US"/>
            </w:rPr>
            <w:t>19</w:t>
          </w:r>
          <w:r w:rsidR="00637D9E">
            <w:rPr>
              <w:rFonts w:ascii="Cambria" w:hAnsi="Cambria"/>
              <w:caps/>
              <w:szCs w:val="24"/>
              <w:lang w:eastAsia="en-US"/>
            </w:rPr>
            <w:t>5</w:t>
          </w:r>
        </w:p>
      </w:sdtContent>
    </w:sdt>
    <w:p w14:paraId="740F207E" w14:textId="77777777" w:rsidR="00022178" w:rsidRPr="00022178" w:rsidRDefault="00730A01" w:rsidP="00FF736E">
      <w:pPr>
        <w:pStyle w:val="Titre1"/>
        <w:tabs>
          <w:tab w:val="right" w:pos="9328"/>
        </w:tabs>
        <w:spacing w:before="480" w:after="0"/>
      </w:pPr>
      <w:bookmarkStart w:id="3" w:name="_Toc211600615"/>
      <w:r w:rsidRPr="00022178">
        <w:t>PARTIE 1</w:t>
      </w:r>
      <w:bookmarkEnd w:id="3"/>
      <w:bookmarkEnd w:id="1"/>
      <w:r w:rsidR="008D74F0">
        <w:tab/>
      </w:r>
    </w:p>
    <w:p w14:paraId="035E765E" w14:textId="77777777" w:rsidR="00F21FFE" w:rsidRPr="008956DC" w:rsidRDefault="00730A01" w:rsidP="00FF736E">
      <w:pPr>
        <w:pStyle w:val="Titre1"/>
        <w:spacing w:before="100" w:beforeAutospacing="1"/>
        <w:rPr>
          <w:sz w:val="24"/>
          <w:szCs w:val="24"/>
        </w:rPr>
      </w:pPr>
      <w:bookmarkStart w:id="4" w:name="_Toc211495196"/>
      <w:bookmarkStart w:id="5" w:name="_Toc211600616"/>
      <w:r w:rsidRPr="008956DC">
        <w:rPr>
          <w:sz w:val="24"/>
          <w:szCs w:val="24"/>
        </w:rPr>
        <w:t>L’</w:t>
      </w:r>
      <w:r w:rsidR="004D0652" w:rsidRPr="008956DC">
        <w:rPr>
          <w:sz w:val="24"/>
          <w:szCs w:val="24"/>
        </w:rPr>
        <w:t>APERÇU</w:t>
      </w:r>
      <w:bookmarkEnd w:id="4"/>
      <w:bookmarkEnd w:id="5"/>
    </w:p>
    <w:p w14:paraId="59EF9989" w14:textId="77777777" w:rsidR="007E5F83" w:rsidRPr="007E5F83" w:rsidRDefault="00730A01" w:rsidP="008D74F0">
      <w:pPr>
        <w:pStyle w:val="Paragraphe"/>
        <w:tabs>
          <w:tab w:val="clear" w:pos="786"/>
        </w:tabs>
        <w:spacing w:line="240" w:lineRule="auto"/>
        <w:ind w:left="0" w:right="-28"/>
        <w:rPr>
          <w:b/>
          <w:bCs/>
          <w:szCs w:val="24"/>
        </w:rPr>
      </w:pPr>
      <w:r w:rsidRPr="007E5F83">
        <w:t>Les</w:t>
      </w:r>
      <w:r w:rsidRPr="003F56A7">
        <w:rPr>
          <w:bCs/>
          <w:szCs w:val="24"/>
        </w:rPr>
        <w:t xml:space="preserve"> </w:t>
      </w:r>
      <w:r w:rsidR="00780049" w:rsidRPr="003F56A7">
        <w:rPr>
          <w:bCs/>
          <w:szCs w:val="24"/>
        </w:rPr>
        <w:t>D</w:t>
      </w:r>
      <w:r w:rsidRPr="003F56A7">
        <w:rPr>
          <w:bCs/>
          <w:szCs w:val="24"/>
        </w:rPr>
        <w:t xml:space="preserve">emandeurs, </w:t>
      </w:r>
      <w:r w:rsidR="003F56A7">
        <w:rPr>
          <w:bCs/>
          <w:szCs w:val="24"/>
        </w:rPr>
        <w:t>l</w:t>
      </w:r>
      <w:r w:rsidRPr="003F56A7">
        <w:rPr>
          <w:bCs/>
          <w:szCs w:val="24"/>
        </w:rPr>
        <w:t>es sociétés e</w:t>
      </w:r>
      <w:r w:rsidR="003F56A7">
        <w:rPr>
          <w:bCs/>
          <w:szCs w:val="24"/>
        </w:rPr>
        <w:t>n com</w:t>
      </w:r>
      <w:r w:rsidRPr="003F56A7">
        <w:rPr>
          <w:bCs/>
          <w:szCs w:val="24"/>
        </w:rPr>
        <w:t xml:space="preserve">mandite Fonds d’investissement immobilier </w:t>
      </w:r>
      <w:r w:rsidR="009611EC">
        <w:rPr>
          <w:bCs/>
          <w:szCs w:val="24"/>
        </w:rPr>
        <w:t xml:space="preserve">SH </w:t>
      </w:r>
      <w:r w:rsidRPr="003F56A7">
        <w:rPr>
          <w:bCs/>
          <w:szCs w:val="24"/>
        </w:rPr>
        <w:t>S.E.C. (« FIISH »</w:t>
      </w:r>
      <w:r w:rsidR="00163511">
        <w:rPr>
          <w:bCs/>
          <w:szCs w:val="24"/>
        </w:rPr>
        <w:t xml:space="preserve"> et parfois « Fonds SH »</w:t>
      </w:r>
      <w:r w:rsidRPr="003F56A7">
        <w:rPr>
          <w:bCs/>
          <w:szCs w:val="24"/>
        </w:rPr>
        <w:t xml:space="preserve">) et </w:t>
      </w:r>
      <w:r w:rsidR="00942D37" w:rsidRPr="003F56A7">
        <w:rPr>
          <w:bCs/>
          <w:szCs w:val="24"/>
        </w:rPr>
        <w:t xml:space="preserve">Q-12 Capital S.E.C </w:t>
      </w:r>
      <w:r w:rsidRPr="003F56A7">
        <w:rPr>
          <w:bCs/>
          <w:szCs w:val="24"/>
        </w:rPr>
        <w:t>(« </w:t>
      </w:r>
      <w:r w:rsidR="00942D37" w:rsidRPr="003F56A7">
        <w:rPr>
          <w:bCs/>
          <w:szCs w:val="24"/>
        </w:rPr>
        <w:t>Q</w:t>
      </w:r>
      <w:r w:rsidR="009611EC">
        <w:rPr>
          <w:bCs/>
          <w:szCs w:val="24"/>
        </w:rPr>
        <w:noBreakHyphen/>
      </w:r>
      <w:r w:rsidR="00942D37" w:rsidRPr="003F56A7">
        <w:rPr>
          <w:bCs/>
          <w:szCs w:val="24"/>
        </w:rPr>
        <w:t>12 ») ainsi qu’une grande majorité de leurs commanditaires</w:t>
      </w:r>
      <w:r w:rsidR="009611EC">
        <w:rPr>
          <w:bCs/>
          <w:szCs w:val="24"/>
        </w:rPr>
        <w:t>,</w:t>
      </w:r>
      <w:r w:rsidR="00942D37" w:rsidRPr="003F56A7">
        <w:rPr>
          <w:bCs/>
          <w:szCs w:val="24"/>
        </w:rPr>
        <w:t xml:space="preserve"> recherchent la condamnation solidaire de Robert Giroux </w:t>
      </w:r>
      <w:r w:rsidR="00F21FFE">
        <w:rPr>
          <w:bCs/>
          <w:szCs w:val="24"/>
        </w:rPr>
        <w:t>(« Giroux</w:t>
      </w:r>
      <w:r w:rsidR="00EC09F7">
        <w:rPr>
          <w:bCs/>
          <w:szCs w:val="24"/>
        </w:rPr>
        <w:t> »</w:t>
      </w:r>
      <w:r w:rsidR="00F21FFE">
        <w:rPr>
          <w:bCs/>
          <w:szCs w:val="24"/>
        </w:rPr>
        <w:t xml:space="preserve">) </w:t>
      </w:r>
      <w:r w:rsidR="00942D37" w:rsidRPr="003F56A7">
        <w:rPr>
          <w:bCs/>
          <w:szCs w:val="24"/>
        </w:rPr>
        <w:t>et des sociétés qui lui sont liées (« Groupe Giroux ») en remboursement de sommes d’argent qu’ils ont investies et des pertes qu’ils ont subies</w:t>
      </w:r>
      <w:r w:rsidR="004F668B" w:rsidRPr="003F56A7">
        <w:rPr>
          <w:bCs/>
          <w:szCs w:val="24"/>
        </w:rPr>
        <w:t>,</w:t>
      </w:r>
      <w:r w:rsidR="00942D37" w:rsidRPr="003F56A7">
        <w:rPr>
          <w:bCs/>
          <w:szCs w:val="24"/>
        </w:rPr>
        <w:t xml:space="preserve"> en raison de la gestion grossièrement </w:t>
      </w:r>
      <w:r w:rsidR="00780049" w:rsidRPr="003F56A7">
        <w:rPr>
          <w:bCs/>
          <w:szCs w:val="24"/>
        </w:rPr>
        <w:t>négligente</w:t>
      </w:r>
      <w:r w:rsidR="00942D37" w:rsidRPr="003F56A7">
        <w:rPr>
          <w:bCs/>
          <w:szCs w:val="24"/>
        </w:rPr>
        <w:t xml:space="preserve"> et impro</w:t>
      </w:r>
      <w:r w:rsidR="004F668B" w:rsidRPr="003F56A7">
        <w:rPr>
          <w:bCs/>
          <w:szCs w:val="24"/>
        </w:rPr>
        <w:t>pre</w:t>
      </w:r>
      <w:r w:rsidR="00942D37" w:rsidRPr="003F56A7">
        <w:rPr>
          <w:bCs/>
          <w:szCs w:val="24"/>
        </w:rPr>
        <w:t xml:space="preserve"> des Fonds FIISH et Q-12 </w:t>
      </w:r>
    </w:p>
    <w:p w14:paraId="57E20F1C" w14:textId="77777777" w:rsidR="00C1421F" w:rsidRPr="007E5F83" w:rsidRDefault="00730A01" w:rsidP="008D74F0">
      <w:pPr>
        <w:pStyle w:val="Paragraphe"/>
        <w:tabs>
          <w:tab w:val="clear" w:pos="786"/>
        </w:tabs>
        <w:spacing w:line="240" w:lineRule="auto"/>
        <w:ind w:left="0" w:right="-28"/>
        <w:rPr>
          <w:b/>
          <w:bCs/>
          <w:szCs w:val="24"/>
        </w:rPr>
      </w:pPr>
      <w:r w:rsidRPr="007E5F83">
        <w:rPr>
          <w:bCs/>
          <w:szCs w:val="24"/>
        </w:rPr>
        <w:t>Le</w:t>
      </w:r>
      <w:r w:rsidR="004F668B" w:rsidRPr="007E5F83">
        <w:rPr>
          <w:bCs/>
          <w:szCs w:val="24"/>
        </w:rPr>
        <w:t xml:space="preserve">s deux recours faisant l’objet du présent jugement, soit le recours FIISH (200-17-034967-232) pour </w:t>
      </w:r>
      <w:r w:rsidR="00762DC6" w:rsidRPr="007E5F83">
        <w:rPr>
          <w:bCs/>
          <w:szCs w:val="24"/>
        </w:rPr>
        <w:t>plus de</w:t>
      </w:r>
      <w:r w:rsidR="00EC09F7">
        <w:rPr>
          <w:bCs/>
          <w:szCs w:val="24"/>
        </w:rPr>
        <w:t> </w:t>
      </w:r>
      <w:r w:rsidR="00D34BC8">
        <w:rPr>
          <w:bCs/>
          <w:szCs w:val="24"/>
        </w:rPr>
        <w:t>73</w:t>
      </w:r>
      <w:r w:rsidR="00762DC6" w:rsidRPr="007E5F83">
        <w:rPr>
          <w:bCs/>
          <w:szCs w:val="24"/>
        </w:rPr>
        <w:t> </w:t>
      </w:r>
      <w:r w:rsidR="00D43141" w:rsidRPr="007E5F83">
        <w:rPr>
          <w:bCs/>
          <w:szCs w:val="24"/>
        </w:rPr>
        <w:t>M$</w:t>
      </w:r>
      <w:r w:rsidRPr="007E5F83">
        <w:rPr>
          <w:bCs/>
          <w:szCs w:val="24"/>
        </w:rPr>
        <w:t xml:space="preserve"> et le recours Q-12 (200-17-034968-230) pour plus de</w:t>
      </w:r>
      <w:r w:rsidR="00EC09F7">
        <w:rPr>
          <w:bCs/>
          <w:szCs w:val="24"/>
        </w:rPr>
        <w:t> </w:t>
      </w:r>
      <w:r w:rsidR="00D34BC8">
        <w:rPr>
          <w:bCs/>
          <w:szCs w:val="24"/>
        </w:rPr>
        <w:t>55,5</w:t>
      </w:r>
      <w:r w:rsidRPr="007E5F83">
        <w:rPr>
          <w:bCs/>
          <w:szCs w:val="24"/>
        </w:rPr>
        <w:t> </w:t>
      </w:r>
      <w:r w:rsidR="00D43141" w:rsidRPr="007E5F83">
        <w:rPr>
          <w:bCs/>
          <w:szCs w:val="24"/>
        </w:rPr>
        <w:t>M$</w:t>
      </w:r>
      <w:r>
        <w:rPr>
          <w:rStyle w:val="Appelnotedebasdep"/>
          <w:bCs/>
          <w:szCs w:val="24"/>
        </w:rPr>
        <w:footnoteReference w:id="1"/>
      </w:r>
      <w:r w:rsidRPr="007E5F83">
        <w:rPr>
          <w:bCs/>
          <w:szCs w:val="24"/>
        </w:rPr>
        <w:t>, s’inscrivent dans la foulée de la débâcle financière, en février</w:t>
      </w:r>
      <w:r w:rsidR="00EC09F7">
        <w:rPr>
          <w:bCs/>
          <w:szCs w:val="24"/>
        </w:rPr>
        <w:t> </w:t>
      </w:r>
      <w:r w:rsidRPr="007E5F83">
        <w:rPr>
          <w:bCs/>
          <w:szCs w:val="24"/>
        </w:rPr>
        <w:t>2023, de Stéphan Huot (« Huot »)</w:t>
      </w:r>
      <w:r w:rsidR="009611EC">
        <w:rPr>
          <w:bCs/>
          <w:szCs w:val="24"/>
        </w:rPr>
        <w:t>,</w:t>
      </w:r>
      <w:r w:rsidRPr="007E5F83">
        <w:rPr>
          <w:bCs/>
          <w:szCs w:val="24"/>
        </w:rPr>
        <w:t xml:space="preserve"> une figure marquante du monde de la construction de la région de Québec</w:t>
      </w:r>
      <w:r w:rsidR="009611EC">
        <w:rPr>
          <w:bCs/>
          <w:szCs w:val="24"/>
        </w:rPr>
        <w:t>,</w:t>
      </w:r>
      <w:r w:rsidRPr="007E5F83">
        <w:rPr>
          <w:bCs/>
          <w:szCs w:val="24"/>
        </w:rPr>
        <w:t xml:space="preserve"> et de ses nombreuses sociétés liées (le « Groupe Huot »). </w:t>
      </w:r>
    </w:p>
    <w:p w14:paraId="166A860F" w14:textId="77777777" w:rsidR="00942D37" w:rsidRDefault="00730A01" w:rsidP="008D74F0">
      <w:pPr>
        <w:pStyle w:val="Paragraphe"/>
        <w:tabs>
          <w:tab w:val="clear" w:pos="786"/>
        </w:tabs>
        <w:spacing w:line="240" w:lineRule="auto"/>
        <w:ind w:left="0" w:right="-28"/>
      </w:pPr>
      <w:r>
        <w:t>Les Demandeurs reprochent à Giroux et ses sociétés</w:t>
      </w:r>
      <w:r w:rsidR="00D34BC8">
        <w:t xml:space="preserve">, dont </w:t>
      </w:r>
      <w:r>
        <w:t>9355-9797 Québec</w:t>
      </w:r>
      <w:r w:rsidR="00EC09F7">
        <w:t> </w:t>
      </w:r>
      <w:r>
        <w:t>inc. (« </w:t>
      </w:r>
      <w:r>
        <w:rPr>
          <w:b/>
          <w:bCs/>
        </w:rPr>
        <w:t>9797</w:t>
      </w:r>
      <w:r>
        <w:t> »), 9180-6646 Québec inc. (« </w:t>
      </w:r>
      <w:r>
        <w:rPr>
          <w:b/>
          <w:bCs/>
        </w:rPr>
        <w:t>6646</w:t>
      </w:r>
      <w:r>
        <w:t> »), et X2 Capital inc. (« </w:t>
      </w:r>
      <w:r>
        <w:rPr>
          <w:b/>
          <w:bCs/>
        </w:rPr>
        <w:t>X2</w:t>
      </w:r>
      <w:r>
        <w:t> ») d’avoir élaboré et mis en place un stratagème qui leur a permis, sous de fausses considérations, de</w:t>
      </w:r>
      <w:r w:rsidR="000A7CB6">
        <w:t xml:space="preserve"> leur </w:t>
      </w:r>
      <w:r>
        <w:t>soutir</w:t>
      </w:r>
      <w:r w:rsidR="009611EC">
        <w:t>er</w:t>
      </w:r>
      <w:r>
        <w:t xml:space="preserve"> des millions de dollars, le tout dans l’objectif de s’enrichir à leurs dépens et de bénéficier à Huot et à son Groupe.</w:t>
      </w:r>
    </w:p>
    <w:p w14:paraId="0FA59B9C" w14:textId="77777777" w:rsidR="00C1421F" w:rsidRDefault="00730A01" w:rsidP="008D74F0">
      <w:pPr>
        <w:pStyle w:val="Paragraphe"/>
        <w:tabs>
          <w:tab w:val="clear" w:pos="786"/>
        </w:tabs>
        <w:spacing w:line="240" w:lineRule="auto"/>
        <w:ind w:left="0" w:right="-28"/>
      </w:pPr>
      <w:r>
        <w:t>L</w:t>
      </w:r>
      <w:r w:rsidR="00942D37">
        <w:t xml:space="preserve">es </w:t>
      </w:r>
      <w:r>
        <w:t>Demandeurs (commanditaires et sociétés en commandite), se déclarant tous victimes des mêmes fautes systémiques commises par les mêmes acteurs, se joignent pour présenter une réclamation unique pour chacun des Fonds.</w:t>
      </w:r>
    </w:p>
    <w:p w14:paraId="5F4F5EF3" w14:textId="77777777" w:rsidR="00C1421F" w:rsidRDefault="00730A01" w:rsidP="008D74F0">
      <w:pPr>
        <w:pStyle w:val="Paragraphe"/>
        <w:tabs>
          <w:tab w:val="clear" w:pos="786"/>
        </w:tabs>
        <w:spacing w:line="240" w:lineRule="auto"/>
        <w:ind w:left="0" w:right="-28"/>
      </w:pPr>
      <w:r>
        <w:t>Les Défendeurs con</w:t>
      </w:r>
      <w:r w:rsidR="00942D37">
        <w:t>testent vigoureusement</w:t>
      </w:r>
      <w:r w:rsidR="000A7CB6">
        <w:t>. Ils</w:t>
      </w:r>
      <w:r>
        <w:t xml:space="preserve"> se portent Demandeurs reconventionnels e</w:t>
      </w:r>
      <w:r w:rsidR="00F21FFE">
        <w:t>t</w:t>
      </w:r>
      <w:r>
        <w:t xml:space="preserve"> réclam</w:t>
      </w:r>
      <w:r w:rsidR="00F21FFE">
        <w:t>e</w:t>
      </w:r>
      <w:r>
        <w:t>nt</w:t>
      </w:r>
      <w:r w:rsidR="000A7CB6">
        <w:t>, pour leur part,</w:t>
      </w:r>
      <w:r>
        <w:t xml:space="preserve"> plus de</w:t>
      </w:r>
      <w:r w:rsidR="00EC09F7">
        <w:t> </w:t>
      </w:r>
      <w:r>
        <w:t>22 </w:t>
      </w:r>
      <w:r w:rsidR="00D43141">
        <w:t>M$</w:t>
      </w:r>
      <w:r>
        <w:t xml:space="preserve"> </w:t>
      </w:r>
      <w:r w:rsidR="00762DC6">
        <w:t>pour</w:t>
      </w:r>
      <w:r>
        <w:t xml:space="preserve"> dommages </w:t>
      </w:r>
      <w:r w:rsidR="00762DC6">
        <w:t>et</w:t>
      </w:r>
      <w:r>
        <w:t xml:space="preserve"> atteinte à leur réputation, dommages moraux et pécuniaires ainsi que dommages punitifs. </w:t>
      </w:r>
    </w:p>
    <w:p w14:paraId="02FA81B9" w14:textId="77777777" w:rsidR="008D74F0" w:rsidRDefault="00730A01" w:rsidP="008D74F0">
      <w:pPr>
        <w:pStyle w:val="Paragraphe"/>
        <w:tabs>
          <w:tab w:val="clear" w:pos="786"/>
        </w:tabs>
        <w:spacing w:line="240" w:lineRule="auto"/>
        <w:ind w:left="0" w:right="-28"/>
      </w:pPr>
      <w:r>
        <w:t xml:space="preserve">À première vue, il peut sembler que les Demandeurs ont investi aveuglément, par appât du gain, en ne se méfiant pas ou peu du risque associé à leur investissement. C’est du moins la première impression qu’en avait le soussigné avant d’entendre la preuve qui l’a </w:t>
      </w:r>
      <w:r w:rsidR="009611EC">
        <w:t xml:space="preserve">cependant </w:t>
      </w:r>
      <w:r>
        <w:t>convaincu que ce n’était pas le cas de ces hommes et femmes d’affaires aguerri(e)s</w:t>
      </w:r>
      <w:r>
        <w:rPr>
          <w:rStyle w:val="Appelnotedebasdep"/>
        </w:rPr>
        <w:footnoteReference w:id="2"/>
      </w:r>
      <w:r>
        <w:t>. Le Tribunal fait siens les propos de l’une d’elles qui mentionne : « </w:t>
      </w:r>
      <w:r w:rsidRPr="00CC3226">
        <w:rPr>
          <w:u w:val="single"/>
        </w:rPr>
        <w:t>Le risque, ça ne permet pas la fraude</w:t>
      </w:r>
      <w:r>
        <w:rPr>
          <w:rStyle w:val="Appelnotedebasdep"/>
        </w:rPr>
        <w:footnoteReference w:id="3"/>
      </w:r>
      <w:r w:rsidR="00EC09F7" w:rsidRPr="00EC09F7">
        <w:t> </w:t>
      </w:r>
      <w:r>
        <w:t>».</w:t>
      </w:r>
    </w:p>
    <w:p w14:paraId="5F4F49D5" w14:textId="77777777" w:rsidR="000A4DF0" w:rsidRDefault="00730A01" w:rsidP="008D74F0">
      <w:pPr>
        <w:pStyle w:val="Paragraphe"/>
        <w:tabs>
          <w:tab w:val="clear" w:pos="786"/>
        </w:tabs>
        <w:spacing w:line="240" w:lineRule="auto"/>
        <w:ind w:left="0" w:right="-28"/>
      </w:pPr>
      <w:r>
        <w:t>Les demandes des Demandeurs seront ainsi accueillies en grande partie et par conséquent celles des Défendeurs seront rejetées parce que la preuve démontre de façon claire et répétée que Giroux et ses sociétés ont manqué à leurs obligations légales, contractuelles et extracontractuelles, en induisant notamment les commanditaires en erreur et en camouflant des faits essentiels.</w:t>
      </w:r>
    </w:p>
    <w:p w14:paraId="7FD04FFC" w14:textId="77777777" w:rsidR="000A4DF0" w:rsidRPr="000A4DF0" w:rsidRDefault="00730A01" w:rsidP="008D74F0">
      <w:pPr>
        <w:pStyle w:val="Paragraphe"/>
        <w:spacing w:line="240" w:lineRule="auto"/>
        <w:ind w:left="0" w:right="-28"/>
        <w:rPr>
          <w:rFonts w:cs="Arial"/>
        </w:rPr>
      </w:pPr>
      <w:r>
        <w:t xml:space="preserve">Le Tribunal </w:t>
      </w:r>
      <w:r w:rsidR="00163511">
        <w:t xml:space="preserve">retient </w:t>
      </w:r>
      <w:r>
        <w:t xml:space="preserve">en effet </w:t>
      </w:r>
      <w:r w:rsidR="00163511">
        <w:t xml:space="preserve">de la preuve </w:t>
      </w:r>
      <w:r w:rsidR="000A7CB6">
        <w:t xml:space="preserve">que </w:t>
      </w:r>
      <w:r>
        <w:t>Giroux a fait de la gestion de Q</w:t>
      </w:r>
      <w:r w:rsidR="009611EC">
        <w:noBreakHyphen/>
      </w:r>
      <w:r>
        <w:t xml:space="preserve">12 et FIISH </w:t>
      </w:r>
      <w:r w:rsidRPr="000A4DF0">
        <w:rPr>
          <w:rFonts w:cs="Arial"/>
          <w:szCs w:val="24"/>
          <w:lang w:eastAsia="fr-CA"/>
        </w:rPr>
        <w:t xml:space="preserve">un instrument pour </w:t>
      </w:r>
      <w:r w:rsidR="009611EC">
        <w:rPr>
          <w:rFonts w:cs="Arial"/>
          <w:szCs w:val="24"/>
          <w:lang w:eastAsia="fr-CA"/>
        </w:rPr>
        <w:t xml:space="preserve">se </w:t>
      </w:r>
      <w:r w:rsidRPr="000A4DF0">
        <w:rPr>
          <w:rFonts w:cs="Arial"/>
          <w:szCs w:val="24"/>
          <w:lang w:eastAsia="fr-CA"/>
        </w:rPr>
        <w:t>générer des revenus et préserver son patrimoine, en faisant «</w:t>
      </w:r>
      <w:r>
        <w:rPr>
          <w:rFonts w:cs="Arial"/>
          <w:szCs w:val="24"/>
          <w:lang w:eastAsia="fr-CA"/>
        </w:rPr>
        <w:t> </w:t>
      </w:r>
      <w:r w:rsidRPr="000A4DF0">
        <w:rPr>
          <w:rFonts w:cs="Arial"/>
          <w:szCs w:val="24"/>
          <w:lang w:eastAsia="fr-CA"/>
        </w:rPr>
        <w:t>de l’argent sur le dos des commanditaires</w:t>
      </w:r>
      <w:r>
        <w:rPr>
          <w:rFonts w:cs="Arial"/>
          <w:szCs w:val="24"/>
          <w:lang w:eastAsia="fr-CA"/>
        </w:rPr>
        <w:t> </w:t>
      </w:r>
      <w:r w:rsidRPr="000A4DF0">
        <w:rPr>
          <w:rFonts w:cs="Arial"/>
          <w:szCs w:val="24"/>
          <w:lang w:eastAsia="fr-CA"/>
        </w:rPr>
        <w:t>» au lieu d’agir en fiduciaire loyal et transparent. Il a choisi de gérer dans l’ombre, de dissimuler les défauts de Huot et de manipuler l’information financière pour donner l’illusion d’une équité croissante de façon à protéger ses propres intérêts ainsi que ceux de Huot, au détriment des commanditaires qui lui avaient confié leur argent.</w:t>
      </w:r>
    </w:p>
    <w:p w14:paraId="7599850F" w14:textId="77777777" w:rsidR="000A4DF0" w:rsidRPr="000A4DF0" w:rsidRDefault="00730A01" w:rsidP="008D74F0">
      <w:pPr>
        <w:numPr>
          <w:ilvl w:val="0"/>
          <w:numId w:val="1"/>
        </w:numPr>
        <w:tabs>
          <w:tab w:val="clear" w:pos="786"/>
        </w:tabs>
        <w:spacing w:before="120" w:after="120"/>
        <w:ind w:left="0" w:right="-28"/>
        <w:jc w:val="both"/>
        <w:rPr>
          <w:rFonts w:cs="Arial"/>
          <w:bCs/>
          <w:kern w:val="28"/>
        </w:rPr>
      </w:pPr>
      <w:r w:rsidRPr="000A4DF0">
        <w:rPr>
          <w:rFonts w:cs="Arial"/>
          <w:bCs/>
          <w:kern w:val="28"/>
        </w:rPr>
        <w:t>Voyons ce qu’il en est :</w:t>
      </w:r>
    </w:p>
    <w:p w14:paraId="1D927CDF" w14:textId="77777777" w:rsidR="00E73602" w:rsidRPr="008956DC" w:rsidRDefault="00730A01" w:rsidP="008956DC">
      <w:pPr>
        <w:pStyle w:val="Titre1"/>
        <w:rPr>
          <w:sz w:val="24"/>
          <w:szCs w:val="24"/>
        </w:rPr>
      </w:pPr>
      <w:bookmarkStart w:id="6" w:name="_Toc205902144"/>
      <w:bookmarkStart w:id="7" w:name="_Toc211495197"/>
      <w:bookmarkStart w:id="8" w:name="_Toc211600617"/>
      <w:r w:rsidRPr="008956DC">
        <w:rPr>
          <w:sz w:val="24"/>
          <w:szCs w:val="24"/>
        </w:rPr>
        <w:t>LES PARTIES</w:t>
      </w:r>
      <w:bookmarkEnd w:id="6"/>
      <w:bookmarkEnd w:id="7"/>
      <w:bookmarkEnd w:id="8"/>
    </w:p>
    <w:p w14:paraId="17CD4A8F" w14:textId="77777777" w:rsidR="00DB07B5" w:rsidRPr="00153BA4" w:rsidRDefault="00730A01" w:rsidP="00BE04E8">
      <w:pPr>
        <w:pStyle w:val="Paragraphe"/>
        <w:tabs>
          <w:tab w:val="clear" w:pos="786"/>
        </w:tabs>
        <w:spacing w:line="240" w:lineRule="auto"/>
        <w:ind w:left="0" w:right="-28"/>
        <w:rPr>
          <w:szCs w:val="24"/>
        </w:rPr>
      </w:pPr>
      <w:r>
        <w:t xml:space="preserve">Les Demandeurs (autres que </w:t>
      </w:r>
      <w:r w:rsidR="00E73602">
        <w:t xml:space="preserve">Q12 </w:t>
      </w:r>
      <w:r>
        <w:t>et FIISH) représentent la grande majorité des commanditaires de Q-12 (</w:t>
      </w:r>
      <w:r w:rsidR="0095103D">
        <w:t>88,97</w:t>
      </w:r>
      <w:r>
        <w:t> %) et de FIISH (7</w:t>
      </w:r>
      <w:r w:rsidR="0095103D">
        <w:t>9,77</w:t>
      </w:r>
      <w:r>
        <w:t> </w:t>
      </w:r>
      <w:r w:rsidRPr="00B225A6">
        <w:rPr>
          <w:sz w:val="20"/>
        </w:rPr>
        <w:t>%)</w:t>
      </w:r>
      <w:r w:rsidR="00405D3F">
        <w:rPr>
          <w:sz w:val="20"/>
        </w:rPr>
        <w:t xml:space="preserve">. </w:t>
      </w:r>
    </w:p>
    <w:p w14:paraId="39B217BB" w14:textId="77777777" w:rsidR="00DC222B" w:rsidRDefault="00730A01" w:rsidP="00BE04E8">
      <w:pPr>
        <w:pStyle w:val="Paragraphe"/>
        <w:tabs>
          <w:tab w:val="clear" w:pos="786"/>
        </w:tabs>
        <w:spacing w:line="240" w:lineRule="auto"/>
        <w:ind w:left="0" w:right="-28"/>
      </w:pPr>
      <w:r>
        <w:t xml:space="preserve">Q-12 </w:t>
      </w:r>
      <w:r w:rsidR="00E73602">
        <w:t>est une société en commandite œuvrant dans le secteur du financement des entreprises et plus spécifiquement, des prêts privés assortis de garanties hypothécaires</w:t>
      </w:r>
      <w:r>
        <w:rPr>
          <w:rStyle w:val="Appelnotedebasdep"/>
        </w:rPr>
        <w:footnoteReference w:id="4"/>
      </w:r>
      <w:r w:rsidR="009F4E55">
        <w:t>.</w:t>
      </w:r>
    </w:p>
    <w:p w14:paraId="00453B3A" w14:textId="77777777" w:rsidR="00E73602" w:rsidRDefault="00730A01" w:rsidP="00BE04E8">
      <w:pPr>
        <w:pStyle w:val="Paragraphe"/>
        <w:tabs>
          <w:tab w:val="clear" w:pos="786"/>
        </w:tabs>
        <w:spacing w:line="240" w:lineRule="auto"/>
        <w:ind w:left="0" w:right="-28"/>
      </w:pPr>
      <w:r>
        <w:t>FIISH est une société en commandite créée en vu</w:t>
      </w:r>
      <w:r w:rsidR="00DB07B5">
        <w:t>e</w:t>
      </w:r>
      <w:r>
        <w:t xml:space="preserve"> de consentir un prêt (principalement au Groupe Huot) assorti de garanties hypothécaires</w:t>
      </w:r>
      <w:r>
        <w:rPr>
          <w:rStyle w:val="Appelnotedebasdep"/>
        </w:rPr>
        <w:footnoteReference w:id="5"/>
      </w:r>
      <w:r>
        <w:t>.</w:t>
      </w:r>
    </w:p>
    <w:p w14:paraId="7AFDCED3" w14:textId="77777777" w:rsidR="00DC222B" w:rsidRDefault="00730A01" w:rsidP="00BE04E8">
      <w:pPr>
        <w:pStyle w:val="Paragraphe"/>
        <w:tabs>
          <w:tab w:val="clear" w:pos="786"/>
        </w:tabs>
        <w:spacing w:line="240" w:lineRule="auto"/>
        <w:ind w:left="0" w:right="-28"/>
      </w:pPr>
      <w:r>
        <w:t>Robert Giroux (« </w:t>
      </w:r>
      <w:r>
        <w:rPr>
          <w:b/>
          <w:bCs/>
        </w:rPr>
        <w:t>Giroux</w:t>
      </w:r>
      <w:r>
        <w:t xml:space="preserve"> ») est arpenteur-géomètre de profession. Il est l’administrateur unique et gestionnaire des quatre sociétés défenderesses (9797, </w:t>
      </w:r>
      <w:r w:rsidRPr="00462987">
        <w:t>1395, 8096</w:t>
      </w:r>
      <w:r>
        <w:t xml:space="preserve"> et 6646).</w:t>
      </w:r>
    </w:p>
    <w:p w14:paraId="75F45BAD" w14:textId="77777777" w:rsidR="004339FD" w:rsidRDefault="00730A01" w:rsidP="00BE04E8">
      <w:pPr>
        <w:pStyle w:val="Paragraphe"/>
        <w:tabs>
          <w:tab w:val="clear" w:pos="786"/>
        </w:tabs>
        <w:spacing w:line="240" w:lineRule="auto"/>
        <w:ind w:left="0" w:right="-28"/>
      </w:pPr>
      <w:r>
        <w:t>9797 est une société de portefeuille constituée aux fins d’agir comme commandit</w:t>
      </w:r>
      <w:r w:rsidR="00D76579">
        <w:t>é</w:t>
      </w:r>
      <w:r>
        <w:t xml:space="preserve"> </w:t>
      </w:r>
      <w:r w:rsidR="0095103D">
        <w:t>de Q</w:t>
      </w:r>
      <w:r w:rsidR="0095103D">
        <w:noBreakHyphen/>
        <w:t xml:space="preserve">12. </w:t>
      </w:r>
      <w:r>
        <w:t xml:space="preserve">Giroux </w:t>
      </w:r>
      <w:r w:rsidR="0095103D">
        <w:t xml:space="preserve">en </w:t>
      </w:r>
      <w:r>
        <w:t>est l’administrateur unique et l’âme dirigeante</w:t>
      </w:r>
      <w:r>
        <w:rPr>
          <w:rStyle w:val="Appelnotedebasdep"/>
        </w:rPr>
        <w:footnoteReference w:id="6"/>
      </w:r>
      <w:r>
        <w:t>.</w:t>
      </w:r>
    </w:p>
    <w:p w14:paraId="3A6E0125" w14:textId="77777777" w:rsidR="004339FD" w:rsidRDefault="00730A01" w:rsidP="00BE04E8">
      <w:pPr>
        <w:pStyle w:val="Paragraphe"/>
        <w:tabs>
          <w:tab w:val="clear" w:pos="786"/>
        </w:tabs>
        <w:spacing w:line="240" w:lineRule="auto"/>
        <w:ind w:left="0" w:right="-28"/>
      </w:pPr>
      <w:r>
        <w:t>9416-1395 Québec inc. (« </w:t>
      </w:r>
      <w:r w:rsidRPr="00153BA4">
        <w:rPr>
          <w:b/>
          <w:bCs/>
        </w:rPr>
        <w:t>1395</w:t>
      </w:r>
      <w:r>
        <w:t xml:space="preserve"> ») </w:t>
      </w:r>
      <w:r w:rsidRPr="00153BA4">
        <w:t>est</w:t>
      </w:r>
      <w:r>
        <w:t xml:space="preserve"> une société de portefeuille </w:t>
      </w:r>
      <w:r w:rsidR="0095103D">
        <w:t>constituée aux fins d’agir comme commandité de FIISH. G</w:t>
      </w:r>
      <w:r>
        <w:t xml:space="preserve">iroux </w:t>
      </w:r>
      <w:r w:rsidR="0095103D">
        <w:t xml:space="preserve">en </w:t>
      </w:r>
      <w:r>
        <w:t>est l’administrateur unique et l’âme dirigeante</w:t>
      </w:r>
      <w:r>
        <w:rPr>
          <w:rStyle w:val="Appelnotedebasdep"/>
        </w:rPr>
        <w:footnoteReference w:id="7"/>
      </w:r>
      <w:r>
        <w:t>.</w:t>
      </w:r>
    </w:p>
    <w:p w14:paraId="292EC7AD" w14:textId="77777777" w:rsidR="00DB07B5" w:rsidRDefault="00730A01" w:rsidP="00BE04E8">
      <w:pPr>
        <w:pStyle w:val="Paragraphe"/>
        <w:tabs>
          <w:tab w:val="clear" w:pos="786"/>
        </w:tabs>
        <w:spacing w:line="240" w:lineRule="auto"/>
        <w:ind w:left="0" w:right="-28"/>
      </w:pPr>
      <w:r>
        <w:t>9355-8096 Québec inc. (« </w:t>
      </w:r>
      <w:r w:rsidRPr="00153BA4">
        <w:rPr>
          <w:b/>
          <w:bCs/>
        </w:rPr>
        <w:t>8096</w:t>
      </w:r>
      <w:r>
        <w:t> ») est une société de portefeuille dont l’actionnaire est 6646 et dont Giroux est l’administrateur unique et l’âme dirigeante</w:t>
      </w:r>
      <w:r>
        <w:rPr>
          <w:rStyle w:val="Appelnotedebasdep"/>
        </w:rPr>
        <w:footnoteReference w:id="8"/>
      </w:r>
      <w:r>
        <w:t>.</w:t>
      </w:r>
    </w:p>
    <w:p w14:paraId="02AF0C85" w14:textId="77777777" w:rsidR="00DB07B5" w:rsidRDefault="00730A01" w:rsidP="00BE04E8">
      <w:pPr>
        <w:pStyle w:val="Paragraphe"/>
        <w:tabs>
          <w:tab w:val="clear" w:pos="786"/>
        </w:tabs>
        <w:spacing w:line="240" w:lineRule="auto"/>
        <w:ind w:left="0" w:right="-28"/>
      </w:pPr>
      <w:r>
        <w:t>6646 est une société de portefeuille œuvrant dans le prêt hypothécaire et le prêt d’argent assortis de garanties hypothécaires dont Giroux est le principal actionnaire (personnellement et par le biais de sa Fiducie familiale) et administrateur</w:t>
      </w:r>
      <w:r>
        <w:rPr>
          <w:rStyle w:val="Appelnotedebasdep"/>
        </w:rPr>
        <w:footnoteReference w:id="9"/>
      </w:r>
      <w:r w:rsidR="00EC09F7">
        <w:t>.</w:t>
      </w:r>
    </w:p>
    <w:p w14:paraId="10800789" w14:textId="77777777" w:rsidR="004339FD" w:rsidRDefault="00730A01" w:rsidP="00BE04E8">
      <w:pPr>
        <w:pStyle w:val="Paragraphe"/>
        <w:tabs>
          <w:tab w:val="clear" w:pos="786"/>
        </w:tabs>
        <w:spacing w:line="240" w:lineRule="auto"/>
        <w:ind w:left="0" w:right="-28"/>
      </w:pPr>
      <w:r>
        <w:t>X2 est une société qui œuvre dans le domaine du service d’analyse de projets et de gestions, dont Giroux est actionnaire par le biais de</w:t>
      </w:r>
      <w:r w:rsidR="00EC09F7">
        <w:t> </w:t>
      </w:r>
      <w:r>
        <w:t>6646 et l’administrateur unique et l’âme dirigeante</w:t>
      </w:r>
      <w:r>
        <w:rPr>
          <w:rStyle w:val="Appelnotedebasdep"/>
        </w:rPr>
        <w:footnoteReference w:id="10"/>
      </w:r>
      <w:r>
        <w:t>.</w:t>
      </w:r>
    </w:p>
    <w:p w14:paraId="1AADD59C" w14:textId="77777777" w:rsidR="00DE15C6" w:rsidRDefault="00730A01" w:rsidP="00BE04E8">
      <w:pPr>
        <w:pStyle w:val="Paragraphe"/>
        <w:tabs>
          <w:tab w:val="clear" w:pos="786"/>
        </w:tabs>
        <w:spacing w:line="240" w:lineRule="auto"/>
        <w:ind w:left="0" w:right="-28"/>
      </w:pPr>
      <w:r>
        <w:t xml:space="preserve">Giroux Arpentage inc. (« Giroux </w:t>
      </w:r>
      <w:r w:rsidR="000A7CB6">
        <w:t>A</w:t>
      </w:r>
      <w:r>
        <w:t>rpentage ») est une corporation dont les seuls actionnaires sont Giroux et 6646</w:t>
      </w:r>
      <w:r>
        <w:rPr>
          <w:rStyle w:val="Appelnotedebasdep"/>
        </w:rPr>
        <w:footnoteReference w:id="11"/>
      </w:r>
      <w:r>
        <w:t>. Elle est intervenue de façon agressive, au début des procédures, pour se joindre à la Demande reconventionnelle des Défendeurs relativement à l’atteinte à la réputation. Elle s’est finalement désistée à la fin du procès.</w:t>
      </w:r>
    </w:p>
    <w:p w14:paraId="19E88D0D" w14:textId="77777777" w:rsidR="004339FD" w:rsidRPr="008956DC" w:rsidRDefault="00730A01" w:rsidP="008956DC">
      <w:pPr>
        <w:pStyle w:val="Titre1"/>
        <w:rPr>
          <w:sz w:val="24"/>
          <w:szCs w:val="24"/>
        </w:rPr>
      </w:pPr>
      <w:bookmarkStart w:id="9" w:name="_Toc205902145"/>
      <w:bookmarkStart w:id="10" w:name="_Toc211495198"/>
      <w:bookmarkStart w:id="11" w:name="_Toc211600618"/>
      <w:r w:rsidRPr="008956DC">
        <w:rPr>
          <w:sz w:val="24"/>
          <w:szCs w:val="24"/>
        </w:rPr>
        <w:t>LE CONTEXTE</w:t>
      </w:r>
      <w:bookmarkEnd w:id="9"/>
      <w:bookmarkEnd w:id="10"/>
      <w:bookmarkEnd w:id="11"/>
    </w:p>
    <w:p w14:paraId="0977FB3A" w14:textId="77777777" w:rsidR="007A6C58" w:rsidRPr="00BA56F5" w:rsidRDefault="00730A01" w:rsidP="00E56521">
      <w:pPr>
        <w:pStyle w:val="Style2"/>
        <w:ind w:right="-28"/>
        <w:rPr>
          <w:b/>
          <w:bCs w:val="0"/>
        </w:rPr>
      </w:pPr>
      <w:bookmarkStart w:id="12" w:name="_Toc205902146"/>
      <w:bookmarkStart w:id="13" w:name="_Toc211495199"/>
      <w:bookmarkStart w:id="14" w:name="_Toc211600619"/>
      <w:r w:rsidRPr="00BA56F5">
        <w:rPr>
          <w:b/>
          <w:bCs w:val="0"/>
        </w:rPr>
        <w:t>H</w:t>
      </w:r>
      <w:bookmarkEnd w:id="12"/>
      <w:r w:rsidR="001A5B45" w:rsidRPr="00BA56F5">
        <w:rPr>
          <w:b/>
          <w:bCs w:val="0"/>
        </w:rPr>
        <w:t>istorique factuel</w:t>
      </w:r>
      <w:bookmarkEnd w:id="13"/>
      <w:bookmarkEnd w:id="14"/>
    </w:p>
    <w:p w14:paraId="5AED88D4" w14:textId="77777777" w:rsidR="007A6C58" w:rsidRDefault="00730A01" w:rsidP="00BE04E8">
      <w:pPr>
        <w:pStyle w:val="Paragraphe"/>
        <w:tabs>
          <w:tab w:val="clear" w:pos="786"/>
        </w:tabs>
        <w:spacing w:line="240" w:lineRule="auto"/>
        <w:ind w:left="0" w:right="-28"/>
      </w:pPr>
      <w:r>
        <w:t xml:space="preserve">En 1991, Giroux fonde l’entreprise </w:t>
      </w:r>
      <w:r>
        <w:rPr>
          <w:i/>
          <w:iCs/>
        </w:rPr>
        <w:t>Giroux Arpentage</w:t>
      </w:r>
      <w:r>
        <w:t xml:space="preserve"> qui devient une importante entreprise dans ce domaine. En 2011, </w:t>
      </w:r>
      <w:r w:rsidR="00462987">
        <w:t>il</w:t>
      </w:r>
      <w:r>
        <w:t xml:space="preserve"> vend </w:t>
      </w:r>
      <w:r>
        <w:rPr>
          <w:i/>
          <w:iCs/>
        </w:rPr>
        <w:t>Giroux Arpentage</w:t>
      </w:r>
      <w:r>
        <w:t xml:space="preserve"> à Genivar (maintenant WSP) et il la rachètera en 2020.</w:t>
      </w:r>
    </w:p>
    <w:p w14:paraId="65A72606" w14:textId="77777777" w:rsidR="007A6C58" w:rsidRPr="007A6C58" w:rsidRDefault="00730A01" w:rsidP="00BE04E8">
      <w:pPr>
        <w:pStyle w:val="Paragraphe"/>
        <w:numPr>
          <w:ilvl w:val="0"/>
          <w:numId w:val="1"/>
        </w:numPr>
        <w:tabs>
          <w:tab w:val="clear" w:pos="786"/>
        </w:tabs>
        <w:spacing w:line="240" w:lineRule="auto"/>
        <w:ind w:left="0" w:right="-28"/>
        <w:rPr>
          <w:rFonts w:cs="Arial"/>
          <w:szCs w:val="24"/>
        </w:rPr>
      </w:pPr>
      <w:r>
        <w:rPr>
          <w:rFonts w:cs="Arial"/>
          <w:szCs w:val="24"/>
        </w:rPr>
        <w:t>A</w:t>
      </w:r>
      <w:r w:rsidRPr="007A6C58">
        <w:rPr>
          <w:rFonts w:cs="Arial"/>
          <w:szCs w:val="24"/>
        </w:rPr>
        <w:t xml:space="preserve">yant </w:t>
      </w:r>
      <w:r w:rsidR="000A7CB6">
        <w:rPr>
          <w:rFonts w:cs="Arial"/>
          <w:szCs w:val="24"/>
        </w:rPr>
        <w:t xml:space="preserve">ainsi </w:t>
      </w:r>
      <w:r w:rsidRPr="007A6C58">
        <w:rPr>
          <w:rFonts w:cs="Arial"/>
          <w:szCs w:val="24"/>
        </w:rPr>
        <w:t xml:space="preserve">œuvré de nombreuses années dans le domaine de l'arpentage, </w:t>
      </w:r>
      <w:r>
        <w:rPr>
          <w:rFonts w:cs="Arial"/>
          <w:szCs w:val="24"/>
        </w:rPr>
        <w:t>Giroux</w:t>
      </w:r>
      <w:r w:rsidRPr="007A6C58">
        <w:rPr>
          <w:rFonts w:cs="Arial"/>
          <w:szCs w:val="24"/>
        </w:rPr>
        <w:t xml:space="preserve"> s'est développé un important réseau de connaissances et d'amis gravitant autour de ce milieu, incluant plusieurs promoteurs immobiliers dont Stéphan Huot qui était devenu un ami proche.</w:t>
      </w:r>
    </w:p>
    <w:p w14:paraId="586A9B6E" w14:textId="77777777" w:rsidR="007A6C58" w:rsidRPr="007A6C58" w:rsidRDefault="00730A01" w:rsidP="00BE04E8">
      <w:pPr>
        <w:pStyle w:val="Paragraphe"/>
        <w:numPr>
          <w:ilvl w:val="0"/>
          <w:numId w:val="1"/>
        </w:numPr>
        <w:tabs>
          <w:tab w:val="clear" w:pos="786"/>
        </w:tabs>
        <w:spacing w:line="240" w:lineRule="auto"/>
        <w:ind w:left="0" w:right="-28"/>
        <w:rPr>
          <w:rFonts w:cs="Arial"/>
          <w:szCs w:val="24"/>
        </w:rPr>
      </w:pPr>
      <w:r w:rsidRPr="007A6C58">
        <w:rPr>
          <w:rFonts w:cs="Arial"/>
          <w:szCs w:val="24"/>
        </w:rPr>
        <w:t xml:space="preserve">Après la vente de </w:t>
      </w:r>
      <w:r w:rsidRPr="000A7CB6">
        <w:rPr>
          <w:rFonts w:cs="Arial"/>
          <w:szCs w:val="24"/>
        </w:rPr>
        <w:t>Giroux Arpentage</w:t>
      </w:r>
      <w:r w:rsidRPr="007A6C58">
        <w:rPr>
          <w:rFonts w:cs="Arial"/>
          <w:szCs w:val="24"/>
        </w:rPr>
        <w:t>, Giroux se consacre principalement au domaine du prêt d’argent, dont des prêts-relais (Bridge Loan) ou prêts</w:t>
      </w:r>
      <w:r w:rsidR="000A7CB6">
        <w:rPr>
          <w:rFonts w:cs="Arial"/>
          <w:szCs w:val="24"/>
        </w:rPr>
        <w:t xml:space="preserve"> mezzanine</w:t>
      </w:r>
      <w:r w:rsidR="00163511">
        <w:rPr>
          <w:rFonts w:cs="Arial"/>
          <w:szCs w:val="24"/>
        </w:rPr>
        <w:t>s</w:t>
      </w:r>
      <w:r w:rsidRPr="007A6C58">
        <w:rPr>
          <w:rFonts w:cs="Arial"/>
          <w:szCs w:val="24"/>
        </w:rPr>
        <w:t>, qui</w:t>
      </w:r>
      <w:r w:rsidR="00163511">
        <w:rPr>
          <w:rFonts w:cs="Arial"/>
          <w:szCs w:val="24"/>
        </w:rPr>
        <w:t xml:space="preserve"> sont des</w:t>
      </w:r>
      <w:r w:rsidRPr="007A6C58">
        <w:rPr>
          <w:rFonts w:cs="Arial"/>
          <w:szCs w:val="24"/>
        </w:rPr>
        <w:t xml:space="preserve"> financement</w:t>
      </w:r>
      <w:r w:rsidR="00163511">
        <w:rPr>
          <w:rFonts w:cs="Arial"/>
          <w:szCs w:val="24"/>
        </w:rPr>
        <w:t>s</w:t>
      </w:r>
      <w:r w:rsidRPr="007A6C58">
        <w:rPr>
          <w:rFonts w:cs="Arial"/>
          <w:szCs w:val="24"/>
        </w:rPr>
        <w:t xml:space="preserve"> temporaire</w:t>
      </w:r>
      <w:r w:rsidR="00163511">
        <w:rPr>
          <w:rFonts w:cs="Arial"/>
          <w:szCs w:val="24"/>
        </w:rPr>
        <w:t>s</w:t>
      </w:r>
      <w:r w:rsidRPr="007A6C58">
        <w:rPr>
          <w:rFonts w:cs="Arial"/>
          <w:szCs w:val="24"/>
        </w:rPr>
        <w:t xml:space="preserve"> permettant au souscripteur de financer une construction ou un achat en attendant le financement à long terme. Il est reconnu </w:t>
      </w:r>
      <w:r w:rsidR="00462987">
        <w:rPr>
          <w:rFonts w:cs="Arial"/>
          <w:szCs w:val="24"/>
        </w:rPr>
        <w:t xml:space="preserve">dans le milieu financier </w:t>
      </w:r>
      <w:r w:rsidRPr="007A6C58">
        <w:rPr>
          <w:rFonts w:cs="Arial"/>
          <w:szCs w:val="24"/>
        </w:rPr>
        <w:t>que les taux d’intérêt des prêts-relais sont généralement plus élevés que les taux hypothécaires traditionnels</w:t>
      </w:r>
      <w:r>
        <w:rPr>
          <w:rStyle w:val="Appelnotedebasdep"/>
          <w:rFonts w:cs="Arial"/>
          <w:szCs w:val="24"/>
        </w:rPr>
        <w:footnoteReference w:id="12"/>
      </w:r>
      <w:r w:rsidR="00EC09F7">
        <w:rPr>
          <w:rFonts w:cs="Arial"/>
          <w:szCs w:val="24"/>
        </w:rPr>
        <w:t>.</w:t>
      </w:r>
    </w:p>
    <w:p w14:paraId="0CD9B058" w14:textId="77777777" w:rsidR="007A6C58" w:rsidRPr="007A6C58" w:rsidRDefault="00730A01" w:rsidP="00BE04E8">
      <w:pPr>
        <w:pStyle w:val="Paragraphe"/>
        <w:numPr>
          <w:ilvl w:val="0"/>
          <w:numId w:val="1"/>
        </w:numPr>
        <w:tabs>
          <w:tab w:val="clear" w:pos="786"/>
        </w:tabs>
        <w:spacing w:line="240" w:lineRule="auto"/>
        <w:ind w:left="0" w:right="-28"/>
        <w:rPr>
          <w:rFonts w:cs="Arial"/>
          <w:szCs w:val="24"/>
        </w:rPr>
      </w:pPr>
      <w:r w:rsidRPr="007A6C58">
        <w:rPr>
          <w:rFonts w:cs="Arial"/>
          <w:szCs w:val="24"/>
        </w:rPr>
        <w:t xml:space="preserve">Giroux recrute alors des investisseurs pour financer </w:t>
      </w:r>
      <w:r w:rsidRPr="007A6C58">
        <w:rPr>
          <w:rFonts w:cs="Arial"/>
          <w:color w:val="001D35"/>
          <w:szCs w:val="24"/>
        </w:rPr>
        <w:t>l</w:t>
      </w:r>
      <w:r w:rsidRPr="007A6C58">
        <w:rPr>
          <w:rFonts w:cs="Arial"/>
          <w:color w:val="001D35"/>
          <w:szCs w:val="24"/>
          <w:lang w:eastAsia="fr-CA"/>
        </w:rPr>
        <w:t xml:space="preserve">es projets </w:t>
      </w:r>
      <w:r w:rsidRPr="007A6C58">
        <w:rPr>
          <w:rFonts w:cs="Arial"/>
          <w:color w:val="001D35"/>
          <w:szCs w:val="24"/>
        </w:rPr>
        <w:t xml:space="preserve">de construction </w:t>
      </w:r>
      <w:r w:rsidRPr="007A6C58">
        <w:rPr>
          <w:rFonts w:cs="Arial"/>
          <w:color w:val="001D35"/>
          <w:szCs w:val="24"/>
          <w:lang w:eastAsia="fr-CA"/>
        </w:rPr>
        <w:t>immobiliers du Groupe Huot.</w:t>
      </w:r>
      <w:r w:rsidRPr="007A6C58">
        <w:rPr>
          <w:rFonts w:cs="Arial"/>
          <w:szCs w:val="24"/>
        </w:rPr>
        <w:t xml:space="preserve"> </w:t>
      </w:r>
      <w:r w:rsidRPr="007A6C58">
        <w:rPr>
          <w:rFonts w:cs="Arial"/>
          <w:color w:val="001D35"/>
          <w:szCs w:val="24"/>
          <w:lang w:eastAsia="fr-CA"/>
        </w:rPr>
        <w:t xml:space="preserve">Au fil du temps, il crée différentes sociétés dont les </w:t>
      </w:r>
      <w:r w:rsidRPr="007A6C58">
        <w:rPr>
          <w:rFonts w:cs="Arial"/>
          <w:szCs w:val="24"/>
        </w:rPr>
        <w:t>deux sociétés en commandite, FIISH et Q-12</w:t>
      </w:r>
      <w:r>
        <w:rPr>
          <w:rFonts w:cs="Arial"/>
          <w:szCs w:val="24"/>
        </w:rPr>
        <w:t>,</w:t>
      </w:r>
      <w:r w:rsidRPr="007A6C58">
        <w:rPr>
          <w:rFonts w:cs="Arial"/>
          <w:szCs w:val="24"/>
        </w:rPr>
        <w:t xml:space="preserve"> ainsi que les quatre sociétés</w:t>
      </w:r>
      <w:r>
        <w:rPr>
          <w:rFonts w:cs="Arial"/>
          <w:szCs w:val="24"/>
        </w:rPr>
        <w:t xml:space="preserve"> (</w:t>
      </w:r>
      <w:r w:rsidRPr="007A6C58">
        <w:rPr>
          <w:rFonts w:cs="Arial"/>
          <w:szCs w:val="24"/>
        </w:rPr>
        <w:t>9797,1395, 8096 et 6646</w:t>
      </w:r>
      <w:r>
        <w:rPr>
          <w:rFonts w:cs="Arial"/>
          <w:szCs w:val="24"/>
        </w:rPr>
        <w:t>)</w:t>
      </w:r>
      <w:r w:rsidRPr="007A6C58">
        <w:rPr>
          <w:rFonts w:cs="Arial"/>
          <w:szCs w:val="24"/>
        </w:rPr>
        <w:t>.</w:t>
      </w:r>
    </w:p>
    <w:p w14:paraId="164ECA3B" w14:textId="77777777" w:rsidR="000A7CB6" w:rsidRPr="000A7CB6" w:rsidRDefault="00730A01" w:rsidP="00BE04E8">
      <w:pPr>
        <w:pStyle w:val="Paragraphe"/>
        <w:numPr>
          <w:ilvl w:val="0"/>
          <w:numId w:val="1"/>
        </w:numPr>
        <w:tabs>
          <w:tab w:val="clear" w:pos="786"/>
        </w:tabs>
        <w:spacing w:line="240" w:lineRule="auto"/>
        <w:ind w:left="0" w:right="-28"/>
        <w:rPr>
          <w:rFonts w:cs="Arial"/>
          <w:szCs w:val="24"/>
        </w:rPr>
      </w:pPr>
      <w:r w:rsidRPr="007A6C58">
        <w:rPr>
          <w:rFonts w:cs="Arial"/>
          <w:szCs w:val="24"/>
        </w:rPr>
        <w:t xml:space="preserve">Les sociétés 9797 </w:t>
      </w:r>
      <w:r w:rsidR="00CC3226">
        <w:rPr>
          <w:rFonts w:cs="Arial"/>
          <w:szCs w:val="24"/>
        </w:rPr>
        <w:t xml:space="preserve">et 1395 </w:t>
      </w:r>
      <w:r w:rsidRPr="007A6C58">
        <w:rPr>
          <w:rFonts w:cs="Arial"/>
          <w:szCs w:val="24"/>
        </w:rPr>
        <w:t xml:space="preserve">ont été constituées afin d’agir comme commandités </w:t>
      </w:r>
      <w:r>
        <w:rPr>
          <w:rFonts w:cs="Arial"/>
          <w:szCs w:val="24"/>
        </w:rPr>
        <w:t>des fonds Q-12 et FIISH et</w:t>
      </w:r>
      <w:r w:rsidRPr="007A6C58">
        <w:rPr>
          <w:rFonts w:cs="Arial"/>
          <w:szCs w:val="24"/>
        </w:rPr>
        <w:t xml:space="preserve"> ont toujours été contrôlées par Giroux à titre d’administrateur et d’âme dirigeante de ces sociétés.</w:t>
      </w:r>
    </w:p>
    <w:p w14:paraId="67B0FDFE" w14:textId="77777777" w:rsidR="007A6C58" w:rsidRPr="007A6C58" w:rsidRDefault="00730A01" w:rsidP="00BE04E8">
      <w:pPr>
        <w:pStyle w:val="Paragraphe"/>
        <w:numPr>
          <w:ilvl w:val="0"/>
          <w:numId w:val="1"/>
        </w:numPr>
        <w:tabs>
          <w:tab w:val="clear" w:pos="786"/>
        </w:tabs>
        <w:spacing w:line="240" w:lineRule="auto"/>
        <w:ind w:left="0" w:right="-28"/>
        <w:rPr>
          <w:rFonts w:cs="Arial"/>
          <w:szCs w:val="24"/>
        </w:rPr>
      </w:pPr>
      <w:r>
        <w:rPr>
          <w:rFonts w:cs="Arial"/>
          <w:color w:val="001D35"/>
          <w:szCs w:val="24"/>
          <w:lang w:eastAsia="fr-CA"/>
        </w:rPr>
        <w:t>Depuis le</w:t>
      </w:r>
      <w:r w:rsidRPr="007A6C58">
        <w:rPr>
          <w:rFonts w:cs="Arial"/>
          <w:szCs w:val="24"/>
        </w:rPr>
        <w:t xml:space="preserve"> 15</w:t>
      </w:r>
      <w:r>
        <w:rPr>
          <w:rFonts w:cs="Arial"/>
          <w:szCs w:val="24"/>
        </w:rPr>
        <w:t> m</w:t>
      </w:r>
      <w:r w:rsidRPr="007A6C58">
        <w:rPr>
          <w:rFonts w:cs="Arial"/>
          <w:szCs w:val="24"/>
        </w:rPr>
        <w:t>ai</w:t>
      </w:r>
      <w:r>
        <w:rPr>
          <w:rFonts w:cs="Arial"/>
          <w:szCs w:val="24"/>
        </w:rPr>
        <w:t> </w:t>
      </w:r>
      <w:r w:rsidRPr="007A6C58">
        <w:rPr>
          <w:rFonts w:cs="Arial"/>
          <w:szCs w:val="24"/>
        </w:rPr>
        <w:t xml:space="preserve">2023, </w:t>
      </w:r>
      <w:r>
        <w:rPr>
          <w:rFonts w:cs="Arial"/>
          <w:szCs w:val="24"/>
        </w:rPr>
        <w:t>les nouveaux commandités d</w:t>
      </w:r>
      <w:r w:rsidRPr="007A6C58">
        <w:rPr>
          <w:rFonts w:cs="Arial"/>
          <w:szCs w:val="24"/>
        </w:rPr>
        <w:t>e Q-12</w:t>
      </w:r>
      <w:r>
        <w:rPr>
          <w:rFonts w:cs="Arial"/>
          <w:szCs w:val="24"/>
        </w:rPr>
        <w:t xml:space="preserve"> et FIISH sont respectivement </w:t>
      </w:r>
      <w:r w:rsidR="00E3389E">
        <w:rPr>
          <w:rFonts w:cs="Arial"/>
          <w:szCs w:val="24"/>
        </w:rPr>
        <w:t>9489-</w:t>
      </w:r>
      <w:r w:rsidRPr="000A7CB6">
        <w:rPr>
          <w:rFonts w:cs="Arial"/>
          <w:szCs w:val="24"/>
        </w:rPr>
        <w:t>3385</w:t>
      </w:r>
      <w:r w:rsidRPr="007A6C58">
        <w:rPr>
          <w:rFonts w:cs="Arial"/>
          <w:szCs w:val="24"/>
        </w:rPr>
        <w:t xml:space="preserve"> Québec inc</w:t>
      </w:r>
      <w:r>
        <w:rPr>
          <w:rFonts w:cs="Arial"/>
          <w:szCs w:val="24"/>
        </w:rPr>
        <w:t>. et 9489-3401 Québec inc., des</w:t>
      </w:r>
      <w:r w:rsidR="004040F0">
        <w:rPr>
          <w:rFonts w:cs="Arial"/>
          <w:szCs w:val="24"/>
        </w:rPr>
        <w:t xml:space="preserve"> société</w:t>
      </w:r>
      <w:r>
        <w:rPr>
          <w:rFonts w:cs="Arial"/>
          <w:szCs w:val="24"/>
        </w:rPr>
        <w:t>s qui ne sont pas contrôlées par Giroux</w:t>
      </w:r>
      <w:r w:rsidR="00462987" w:rsidRPr="00E3389E">
        <w:rPr>
          <w:rFonts w:cs="Arial"/>
          <w:szCs w:val="24"/>
        </w:rPr>
        <w:t>.</w:t>
      </w:r>
    </w:p>
    <w:p w14:paraId="0C0CDAD5" w14:textId="77777777" w:rsidR="007A6C58" w:rsidRPr="00E3389E" w:rsidRDefault="00730A01" w:rsidP="0042740E">
      <w:pPr>
        <w:pStyle w:val="Style2"/>
        <w:numPr>
          <w:ilvl w:val="0"/>
          <w:numId w:val="28"/>
        </w:numPr>
        <w:ind w:left="851" w:right="-28" w:hanging="491"/>
        <w:rPr>
          <w:b/>
          <w:bCs w:val="0"/>
          <w:i w:val="0"/>
        </w:rPr>
      </w:pPr>
      <w:bookmarkStart w:id="15" w:name="_Toc205902147"/>
      <w:bookmarkStart w:id="16" w:name="_Toc211495200"/>
      <w:bookmarkStart w:id="17" w:name="_Toc211600620"/>
      <w:r w:rsidRPr="00E3389E">
        <w:rPr>
          <w:b/>
        </w:rPr>
        <w:t>La constitution et l’objet de FIISH</w:t>
      </w:r>
      <w:bookmarkEnd w:id="15"/>
      <w:bookmarkEnd w:id="16"/>
      <w:bookmarkEnd w:id="17"/>
      <w:r w:rsidRPr="00E3389E">
        <w:rPr>
          <w:b/>
        </w:rPr>
        <w:t xml:space="preserve"> </w:t>
      </w:r>
    </w:p>
    <w:p w14:paraId="6433E3E2" w14:textId="77777777" w:rsidR="007A6C58" w:rsidRDefault="00730A01" w:rsidP="00BE04E8">
      <w:pPr>
        <w:pStyle w:val="Paragraphe"/>
        <w:numPr>
          <w:ilvl w:val="0"/>
          <w:numId w:val="1"/>
        </w:numPr>
        <w:tabs>
          <w:tab w:val="clear" w:pos="786"/>
        </w:tabs>
        <w:spacing w:line="240" w:lineRule="auto"/>
        <w:ind w:left="0" w:right="-28"/>
      </w:pPr>
      <w:r>
        <w:t>FIISH a été constitué en mars</w:t>
      </w:r>
      <w:r w:rsidR="00EC09F7">
        <w:t> </w:t>
      </w:r>
      <w:r>
        <w:t>2017 dans le but de consentir un prêt</w:t>
      </w:r>
      <w:r w:rsidR="00462987">
        <w:t xml:space="preserve"> </w:t>
      </w:r>
      <w:r>
        <w:t>de</w:t>
      </w:r>
      <w:r w:rsidR="00EC09F7">
        <w:t> </w:t>
      </w:r>
      <w:r>
        <w:t>59 </w:t>
      </w:r>
      <w:r w:rsidR="00D43141">
        <w:t>M$</w:t>
      </w:r>
      <w:r>
        <w:t xml:space="preserve"> </w:t>
      </w:r>
      <w:r w:rsidR="00E3389E">
        <w:t>à Huot</w:t>
      </w:r>
      <w:r w:rsidR="00A81C70">
        <w:t>, sur une possibilité maximale de</w:t>
      </w:r>
      <w:r w:rsidR="00EC09F7">
        <w:t> </w:t>
      </w:r>
      <w:r w:rsidR="00A81C70">
        <w:t>75 M$,</w:t>
      </w:r>
      <w:r w:rsidR="00E3389E">
        <w:t xml:space="preserve"> </w:t>
      </w:r>
      <w:r w:rsidR="004040F0">
        <w:t>pouvant être assorti</w:t>
      </w:r>
      <w:r w:rsidR="00A81C70">
        <w:t xml:space="preserve"> </w:t>
      </w:r>
      <w:r w:rsidR="004040F0">
        <w:t>de garanties hypothécaires mobilières ou immobilières</w:t>
      </w:r>
      <w:r w:rsidR="004040F0" w:rsidRPr="007A6C58">
        <w:rPr>
          <w:rFonts w:cs="Arial"/>
          <w:szCs w:val="24"/>
        </w:rPr>
        <w:t xml:space="preserve"> </w:t>
      </w:r>
      <w:r w:rsidR="00E3389E" w:rsidRPr="007A6C58">
        <w:rPr>
          <w:rFonts w:cs="Arial"/>
          <w:szCs w:val="24"/>
        </w:rPr>
        <w:t>pour le développement de projets immobiliers de sociétés liées ou contrôlées directement ou indirectement par ce dernier (le Groupe Huot)</w:t>
      </w:r>
      <w:r>
        <w:rPr>
          <w:rStyle w:val="Appelnotedebasdep"/>
        </w:rPr>
        <w:footnoteReference w:id="13"/>
      </w:r>
      <w:r>
        <w:t xml:space="preserve">. </w:t>
      </w:r>
    </w:p>
    <w:p w14:paraId="35BA5262" w14:textId="77777777" w:rsidR="007A6C58" w:rsidRDefault="00730A01" w:rsidP="00BE04E8">
      <w:pPr>
        <w:pStyle w:val="Paragraphe"/>
        <w:numPr>
          <w:ilvl w:val="0"/>
          <w:numId w:val="1"/>
        </w:numPr>
        <w:tabs>
          <w:tab w:val="clear" w:pos="786"/>
        </w:tabs>
        <w:spacing w:line="240" w:lineRule="auto"/>
        <w:ind w:left="0" w:right="-28"/>
      </w:pPr>
      <w:r>
        <w:t>Les prêts consentis</w:t>
      </w:r>
      <w:r w:rsidR="00E3389E">
        <w:t xml:space="preserve"> </w:t>
      </w:r>
      <w:r>
        <w:t>par FIISH doivent être effectués dans le respect de la stratégie de prêt énoncée à la Convention</w:t>
      </w:r>
      <w:r w:rsidR="00D34BC8">
        <w:t>. Le montant maximal pouvant être consenti</w:t>
      </w:r>
      <w:r>
        <w:t xml:space="preserve"> a évolué au fil du temps. Un amendement daté du 4</w:t>
      </w:r>
      <w:r w:rsidR="00192E75">
        <w:t> </w:t>
      </w:r>
      <w:r>
        <w:t>mars</w:t>
      </w:r>
      <w:r w:rsidR="00EC09F7">
        <w:t> </w:t>
      </w:r>
      <w:r>
        <w:t>2022 se lit ainsi</w:t>
      </w:r>
      <w:r>
        <w:rPr>
          <w:rStyle w:val="Appelnotedebasdep"/>
        </w:rPr>
        <w:footnoteReference w:id="14"/>
      </w:r>
      <w:r>
        <w:t xml:space="preserve"> : </w:t>
      </w:r>
    </w:p>
    <w:p w14:paraId="47F7480D" w14:textId="77777777" w:rsidR="007A6C58" w:rsidRPr="00462987" w:rsidRDefault="00730A01" w:rsidP="00C3503D">
      <w:pPr>
        <w:pStyle w:val="Style4"/>
        <w:numPr>
          <w:ilvl w:val="0"/>
          <w:numId w:val="151"/>
        </w:numPr>
        <w:ind w:right="539"/>
        <w:rPr>
          <w:i/>
          <w:iCs/>
        </w:rPr>
      </w:pPr>
      <w:r w:rsidRPr="00462987">
        <w:rPr>
          <w:i/>
          <w:iCs/>
        </w:rPr>
        <w:t>Prêt à M.</w:t>
      </w:r>
      <w:r w:rsidR="00C3503D">
        <w:rPr>
          <w:i/>
          <w:iCs/>
        </w:rPr>
        <w:t> </w:t>
      </w:r>
      <w:r w:rsidRPr="00462987">
        <w:rPr>
          <w:i/>
          <w:iCs/>
        </w:rPr>
        <w:t xml:space="preserve">Huot </w:t>
      </w:r>
      <w:r w:rsidR="00C3503D">
        <w:rPr>
          <w:i/>
          <w:iCs/>
        </w:rPr>
        <w:t>d’un</w:t>
      </w:r>
      <w:r w:rsidRPr="00462987">
        <w:rPr>
          <w:i/>
          <w:iCs/>
        </w:rPr>
        <w:t xml:space="preserve"> montant maximal de cent vingt</w:t>
      </w:r>
      <w:r w:rsidR="007F0F8B">
        <w:rPr>
          <w:i/>
          <w:iCs/>
        </w:rPr>
        <w:t xml:space="preserve"> </w:t>
      </w:r>
      <w:r w:rsidRPr="00462987">
        <w:rPr>
          <w:i/>
          <w:iCs/>
        </w:rPr>
        <w:t>un millions trois cent cinquante mille dollars</w:t>
      </w:r>
      <w:r w:rsidR="005E2D1F">
        <w:rPr>
          <w:i/>
          <w:iCs/>
        </w:rPr>
        <w:t xml:space="preserve"> (121 350 000 $</w:t>
      </w:r>
      <w:r w:rsidRPr="00462987">
        <w:rPr>
          <w:i/>
          <w:iCs/>
        </w:rPr>
        <w:t>);</w:t>
      </w:r>
    </w:p>
    <w:p w14:paraId="7493FB61" w14:textId="77777777" w:rsidR="007A6C58" w:rsidRPr="00462987" w:rsidRDefault="00730A01" w:rsidP="00C3503D">
      <w:pPr>
        <w:pStyle w:val="Style4"/>
        <w:numPr>
          <w:ilvl w:val="0"/>
          <w:numId w:val="151"/>
        </w:numPr>
        <w:ind w:right="539"/>
        <w:rPr>
          <w:i/>
          <w:iCs/>
        </w:rPr>
      </w:pPr>
      <w:r>
        <w:rPr>
          <w:i/>
          <w:iCs/>
        </w:rPr>
        <w:t>Tout d</w:t>
      </w:r>
      <w:r w:rsidRPr="00462987">
        <w:rPr>
          <w:i/>
          <w:iCs/>
        </w:rPr>
        <w:t>éboursé additionnel, le cas échéant, devra également être justifié par un ratio d’équité au moins équivalent à celui existant en date des présentes;</w:t>
      </w:r>
    </w:p>
    <w:p w14:paraId="6C1F9E37" w14:textId="77777777" w:rsidR="007A6C58" w:rsidRPr="00462987" w:rsidRDefault="00730A01" w:rsidP="00C3503D">
      <w:pPr>
        <w:pStyle w:val="Style4"/>
        <w:numPr>
          <w:ilvl w:val="0"/>
          <w:numId w:val="151"/>
        </w:numPr>
        <w:ind w:right="539"/>
        <w:rPr>
          <w:i/>
          <w:iCs/>
        </w:rPr>
      </w:pPr>
      <w:r w:rsidRPr="00462987">
        <w:rPr>
          <w:i/>
          <w:iCs/>
        </w:rPr>
        <w:t xml:space="preserve">Taux annuel de </w:t>
      </w:r>
      <w:r w:rsidR="005E2D1F">
        <w:rPr>
          <w:i/>
          <w:iCs/>
        </w:rPr>
        <w:t>douze pourcent (</w:t>
      </w:r>
      <w:r w:rsidRPr="00462987">
        <w:rPr>
          <w:i/>
          <w:iCs/>
        </w:rPr>
        <w:t>12 %</w:t>
      </w:r>
      <w:r w:rsidR="005E2D1F">
        <w:rPr>
          <w:i/>
          <w:iCs/>
        </w:rPr>
        <w:t>)</w:t>
      </w:r>
      <w:r w:rsidRPr="00462987">
        <w:rPr>
          <w:i/>
          <w:iCs/>
        </w:rPr>
        <w:t>;</w:t>
      </w:r>
    </w:p>
    <w:p w14:paraId="14058611" w14:textId="77777777" w:rsidR="007A6C58" w:rsidRPr="00462987" w:rsidRDefault="00730A01" w:rsidP="00C3503D">
      <w:pPr>
        <w:pStyle w:val="Style4"/>
        <w:numPr>
          <w:ilvl w:val="0"/>
          <w:numId w:val="151"/>
        </w:numPr>
        <w:ind w:right="539"/>
        <w:rPr>
          <w:i/>
          <w:iCs/>
        </w:rPr>
      </w:pPr>
      <w:r w:rsidRPr="00462987">
        <w:rPr>
          <w:i/>
          <w:iCs/>
        </w:rPr>
        <w:t>Terme maximal du prêt : 3</w:t>
      </w:r>
      <w:r w:rsidR="00EC09F7">
        <w:rPr>
          <w:i/>
          <w:iCs/>
        </w:rPr>
        <w:t> </w:t>
      </w:r>
      <w:r w:rsidRPr="00462987">
        <w:rPr>
          <w:i/>
          <w:iCs/>
        </w:rPr>
        <w:t>ans. Le terme pourra être prolongé par voie de Résolution spéciale de Associés.</w:t>
      </w:r>
    </w:p>
    <w:p w14:paraId="32F4E4D0" w14:textId="77777777" w:rsidR="007A6C58" w:rsidRDefault="00730A01" w:rsidP="008D74F0">
      <w:pPr>
        <w:pStyle w:val="Paragraphe"/>
        <w:numPr>
          <w:ilvl w:val="0"/>
          <w:numId w:val="1"/>
        </w:numPr>
        <w:tabs>
          <w:tab w:val="clear" w:pos="786"/>
        </w:tabs>
        <w:spacing w:before="240" w:after="0" w:line="240" w:lineRule="auto"/>
        <w:ind w:left="0" w:right="-28"/>
      </w:pPr>
      <w:r>
        <w:t>En contrepartie de leur investissement</w:t>
      </w:r>
      <w:r w:rsidR="00462987">
        <w:t xml:space="preserve"> dans FIISH,</w:t>
      </w:r>
      <w:r>
        <w:t xml:space="preserve"> les </w:t>
      </w:r>
      <w:r w:rsidR="00462987">
        <w:t>investisseurs</w:t>
      </w:r>
      <w:r>
        <w:t xml:space="preserve"> doivent recevoir un rendement d’intérêts</w:t>
      </w:r>
      <w:r w:rsidR="0065115E">
        <w:t xml:space="preserve"> annuel</w:t>
      </w:r>
      <w:r>
        <w:t xml:space="preserve"> à un taux de 12 % de leur apport en capital au fonds commun de FIISH.</w:t>
      </w:r>
    </w:p>
    <w:p w14:paraId="77FAC099" w14:textId="77777777" w:rsidR="008D74F0" w:rsidRDefault="00730A01" w:rsidP="008D74F0">
      <w:pPr>
        <w:pStyle w:val="Paragraphe"/>
        <w:numPr>
          <w:ilvl w:val="0"/>
          <w:numId w:val="1"/>
        </w:numPr>
        <w:tabs>
          <w:tab w:val="clear" w:pos="786"/>
        </w:tabs>
        <w:spacing w:line="240" w:lineRule="auto"/>
        <w:ind w:left="0" w:right="-28"/>
      </w:pPr>
      <w:r>
        <w:t>En</w:t>
      </w:r>
      <w:r w:rsidR="00EC09F7">
        <w:t> </w:t>
      </w:r>
      <w:r>
        <w:t>2020, l’administration de FIISH est confiée à X2 qui se décrit comme une société de financement et d’investissement immobilier privé détenant un actif de gestion de plus de</w:t>
      </w:r>
      <w:r w:rsidR="00EC09F7">
        <w:t> </w:t>
      </w:r>
      <w:r>
        <w:t>280 </w:t>
      </w:r>
      <w:r w:rsidR="00D43141">
        <w:t>M$</w:t>
      </w:r>
      <w:r>
        <w:rPr>
          <w:rStyle w:val="Appelnotedebasdep"/>
        </w:rPr>
        <w:footnoteReference w:id="15"/>
      </w:r>
      <w:r>
        <w:t>.</w:t>
      </w:r>
    </w:p>
    <w:p w14:paraId="69BBA0E5" w14:textId="77777777" w:rsidR="008D74F0" w:rsidRDefault="00730A01">
      <w:pPr>
        <w:rPr>
          <w:kern w:val="28"/>
        </w:rPr>
      </w:pPr>
      <w:r>
        <w:br w:type="page"/>
      </w:r>
    </w:p>
    <w:p w14:paraId="5E186002" w14:textId="77777777" w:rsidR="007A6C58" w:rsidRPr="00BE04E8" w:rsidRDefault="00730A01" w:rsidP="0042740E">
      <w:pPr>
        <w:pStyle w:val="Style2"/>
        <w:numPr>
          <w:ilvl w:val="0"/>
          <w:numId w:val="28"/>
        </w:numPr>
        <w:ind w:left="851" w:right="-28" w:hanging="491"/>
        <w:rPr>
          <w:b/>
          <w:bCs w:val="0"/>
        </w:rPr>
      </w:pPr>
      <w:bookmarkStart w:id="18" w:name="_Toc205902148"/>
      <w:bookmarkStart w:id="19" w:name="_Toc211495201"/>
      <w:bookmarkStart w:id="20" w:name="_Toc211600621"/>
      <w:r w:rsidRPr="00BE04E8">
        <w:rPr>
          <w:b/>
          <w:bCs w:val="0"/>
        </w:rPr>
        <w:t>La constitution et l’objet du Fonds Q-12</w:t>
      </w:r>
      <w:bookmarkEnd w:id="18"/>
      <w:bookmarkEnd w:id="19"/>
      <w:bookmarkEnd w:id="20"/>
    </w:p>
    <w:p w14:paraId="68281F5D" w14:textId="77777777" w:rsidR="007A6C58" w:rsidRDefault="00730A01" w:rsidP="00BE04E8">
      <w:pPr>
        <w:pStyle w:val="Paragraphe"/>
        <w:numPr>
          <w:ilvl w:val="0"/>
          <w:numId w:val="1"/>
        </w:numPr>
        <w:tabs>
          <w:tab w:val="clear" w:pos="786"/>
        </w:tabs>
        <w:spacing w:line="240" w:lineRule="auto"/>
        <w:ind w:left="0" w:right="-28"/>
      </w:pPr>
      <w:r>
        <w:t>Q-12 a été constituée en juillet</w:t>
      </w:r>
      <w:r w:rsidR="00EC09F7">
        <w:t> </w:t>
      </w:r>
      <w:r>
        <w:t>2017 dans le but de détenir un portefeuille de prêt</w:t>
      </w:r>
      <w:r w:rsidR="004040F0">
        <w:t>s</w:t>
      </w:r>
      <w:r>
        <w:t xml:space="preserve"> pouvant être assorti de garanties hypothécaires, mobilières et immobilières, selon la convention de société en commandite de Q-12 du 6</w:t>
      </w:r>
      <w:r w:rsidR="00192E75">
        <w:t> </w:t>
      </w:r>
      <w:r>
        <w:t>juillet</w:t>
      </w:r>
      <w:r w:rsidR="00EC09F7">
        <w:t> </w:t>
      </w:r>
      <w:r>
        <w:t>2017 et de sa version amendée du 15</w:t>
      </w:r>
      <w:r w:rsidR="00192E75">
        <w:t> </w:t>
      </w:r>
      <w:r>
        <w:t>février</w:t>
      </w:r>
      <w:r w:rsidR="00EC09F7">
        <w:t> </w:t>
      </w:r>
      <w:r>
        <w:t>2018</w:t>
      </w:r>
      <w:r>
        <w:rPr>
          <w:rStyle w:val="Appelnotedebasdep"/>
        </w:rPr>
        <w:footnoteReference w:id="16"/>
      </w:r>
      <w:r>
        <w:t>.</w:t>
      </w:r>
    </w:p>
    <w:p w14:paraId="66482F8A" w14:textId="77777777" w:rsidR="007A6C58" w:rsidRDefault="00730A01" w:rsidP="00BE04E8">
      <w:pPr>
        <w:pStyle w:val="Paragraphe"/>
        <w:numPr>
          <w:ilvl w:val="0"/>
          <w:numId w:val="1"/>
        </w:numPr>
        <w:tabs>
          <w:tab w:val="clear" w:pos="786"/>
        </w:tabs>
        <w:spacing w:line="240" w:lineRule="auto"/>
        <w:ind w:left="0" w:right="-28"/>
      </w:pPr>
      <w:r>
        <w:t>Les activités de Q-12 consistent à consentir des prêts privés à court terme à des promoteurs, gestionnaires et constructeurs immobiliers afin de leur offrir un financement venant combler l’écart entre la mise de fonds et le montant du prêt hypothécaire à être obtenu des institutions financières. En résumé, Q-12 se spécialise dans les prêts-relais</w:t>
      </w:r>
      <w:r w:rsidR="00153BA4">
        <w:t>.</w:t>
      </w:r>
      <w:r>
        <w:t xml:space="preserve"> </w:t>
      </w:r>
    </w:p>
    <w:p w14:paraId="7A54AB87" w14:textId="77777777" w:rsidR="007A6C58" w:rsidRDefault="00730A01" w:rsidP="00BE04E8">
      <w:pPr>
        <w:pStyle w:val="Paragraphe"/>
        <w:numPr>
          <w:ilvl w:val="0"/>
          <w:numId w:val="1"/>
        </w:numPr>
        <w:tabs>
          <w:tab w:val="clear" w:pos="786"/>
        </w:tabs>
        <w:spacing w:line="240" w:lineRule="auto"/>
        <w:ind w:left="0" w:right="-28"/>
      </w:pPr>
      <w:r>
        <w:t xml:space="preserve">Ces prêts consentis par Q-12 doivent être effectués dans le respect de la stratégie de prêt énoncée </w:t>
      </w:r>
      <w:r w:rsidR="00153BA4">
        <w:t xml:space="preserve">comme suit </w:t>
      </w:r>
      <w:r>
        <w:t>à la Convention de constitution</w:t>
      </w:r>
      <w:r>
        <w:rPr>
          <w:rStyle w:val="Appelnotedebasdep"/>
        </w:rPr>
        <w:footnoteReference w:id="17"/>
      </w:r>
      <w:r w:rsidR="000C51E7">
        <w:t> :</w:t>
      </w:r>
    </w:p>
    <w:p w14:paraId="1D45578D" w14:textId="77777777" w:rsidR="007A6C58" w:rsidRPr="00A81C70" w:rsidRDefault="00730A01" w:rsidP="00443B59">
      <w:pPr>
        <w:pStyle w:val="Citationenretrait"/>
        <w:numPr>
          <w:ilvl w:val="0"/>
          <w:numId w:val="45"/>
        </w:numPr>
        <w:spacing w:after="0"/>
        <w:ind w:left="1077" w:right="539" w:hanging="357"/>
        <w:rPr>
          <w:i/>
          <w:iCs/>
        </w:rPr>
      </w:pPr>
      <w:r w:rsidRPr="00A81C70">
        <w:rPr>
          <w:i/>
          <w:iCs/>
        </w:rPr>
        <w:t>Gérer des capitaux du fonds par des professionnels du prêt d’expérience;</w:t>
      </w:r>
    </w:p>
    <w:p w14:paraId="083C794B" w14:textId="77777777" w:rsidR="007A6C58" w:rsidRPr="00A81C70" w:rsidRDefault="00730A01" w:rsidP="00443B59">
      <w:pPr>
        <w:pStyle w:val="Citationenretrait"/>
        <w:numPr>
          <w:ilvl w:val="0"/>
          <w:numId w:val="45"/>
        </w:numPr>
        <w:spacing w:after="0"/>
        <w:ind w:left="1077" w:right="539" w:hanging="357"/>
        <w:rPr>
          <w:i/>
          <w:iCs/>
        </w:rPr>
      </w:pPr>
      <w:r w:rsidRPr="00A81C70">
        <w:rPr>
          <w:i/>
          <w:iCs/>
        </w:rPr>
        <w:t>Protéger l’investisseur, préserver et accroître son capital;</w:t>
      </w:r>
    </w:p>
    <w:p w14:paraId="1305E726" w14:textId="77777777" w:rsidR="007A6C58" w:rsidRPr="00A81C70" w:rsidRDefault="00730A01" w:rsidP="00443B59">
      <w:pPr>
        <w:pStyle w:val="Citationenretrait"/>
        <w:numPr>
          <w:ilvl w:val="0"/>
          <w:numId w:val="45"/>
        </w:numPr>
        <w:spacing w:after="0"/>
        <w:ind w:left="1077" w:right="539" w:hanging="357"/>
        <w:rPr>
          <w:i/>
          <w:iCs/>
        </w:rPr>
      </w:pPr>
      <w:r w:rsidRPr="00A81C70">
        <w:rPr>
          <w:i/>
          <w:iCs/>
        </w:rPr>
        <w:t>Stimuler la promotion immobilière au Québec;</w:t>
      </w:r>
    </w:p>
    <w:p w14:paraId="6481596B" w14:textId="77777777" w:rsidR="007A6C58" w:rsidRPr="00A81C70" w:rsidRDefault="00730A01" w:rsidP="00443B59">
      <w:pPr>
        <w:pStyle w:val="Citationenretrait"/>
        <w:numPr>
          <w:ilvl w:val="0"/>
          <w:numId w:val="45"/>
        </w:numPr>
        <w:spacing w:after="0"/>
        <w:ind w:left="1077" w:right="539" w:hanging="357"/>
        <w:rPr>
          <w:i/>
          <w:iCs/>
        </w:rPr>
      </w:pPr>
      <w:r w:rsidRPr="00A81C70">
        <w:rPr>
          <w:i/>
          <w:iCs/>
        </w:rPr>
        <w:t>Appliquer un processus bien défini de sélection de dossiers judicieux;</w:t>
      </w:r>
    </w:p>
    <w:p w14:paraId="51505C0D" w14:textId="77777777" w:rsidR="007A6C58" w:rsidRPr="00A81C70" w:rsidRDefault="00730A01" w:rsidP="00443B59">
      <w:pPr>
        <w:pStyle w:val="Citationenretrait"/>
        <w:numPr>
          <w:ilvl w:val="0"/>
          <w:numId w:val="45"/>
        </w:numPr>
        <w:spacing w:after="0"/>
        <w:ind w:left="1077" w:right="539" w:hanging="357"/>
        <w:rPr>
          <w:i/>
          <w:iCs/>
        </w:rPr>
      </w:pPr>
      <w:r w:rsidRPr="00A81C70">
        <w:rPr>
          <w:i/>
          <w:iCs/>
        </w:rPr>
        <w:t>Pouvoir offrir plus efficacement que les banques des prêts dans le cadre de projets immobiliers;</w:t>
      </w:r>
    </w:p>
    <w:p w14:paraId="12E83412" w14:textId="77777777" w:rsidR="007A6C58" w:rsidRPr="00A81C70" w:rsidRDefault="00730A01" w:rsidP="00443B59">
      <w:pPr>
        <w:pStyle w:val="Citationenretrait"/>
        <w:numPr>
          <w:ilvl w:val="0"/>
          <w:numId w:val="45"/>
        </w:numPr>
        <w:spacing w:after="0"/>
        <w:ind w:left="1077" w:right="539" w:hanging="357"/>
        <w:rPr>
          <w:i/>
          <w:iCs/>
        </w:rPr>
      </w:pPr>
      <w:r w:rsidRPr="00A81C70">
        <w:rPr>
          <w:i/>
          <w:iCs/>
        </w:rPr>
        <w:t>Offrir des prêts selon les modalités concurrentielles;</w:t>
      </w:r>
    </w:p>
    <w:p w14:paraId="712245BE" w14:textId="77777777" w:rsidR="007A6C58" w:rsidRPr="00A81C70" w:rsidRDefault="00730A01" w:rsidP="00443B59">
      <w:pPr>
        <w:pStyle w:val="Citationenretrait"/>
        <w:numPr>
          <w:ilvl w:val="0"/>
          <w:numId w:val="45"/>
        </w:numPr>
        <w:spacing w:after="0"/>
        <w:ind w:left="1077" w:right="539" w:hanging="357"/>
        <w:rPr>
          <w:i/>
          <w:iCs/>
        </w:rPr>
      </w:pPr>
      <w:r w:rsidRPr="00A81C70">
        <w:rPr>
          <w:i/>
          <w:iCs/>
        </w:rPr>
        <w:t>Sécuriser tous les prêts à des sûretés acceptables ou convenables et autres garanties;</w:t>
      </w:r>
    </w:p>
    <w:p w14:paraId="4ADA747F" w14:textId="77777777" w:rsidR="007A6C58" w:rsidRPr="00A81C70" w:rsidRDefault="00730A01" w:rsidP="00443B59">
      <w:pPr>
        <w:pStyle w:val="Citationenretrait"/>
        <w:numPr>
          <w:ilvl w:val="0"/>
          <w:numId w:val="45"/>
        </w:numPr>
        <w:spacing w:after="0"/>
        <w:ind w:left="1077" w:right="539" w:hanging="357"/>
        <w:rPr>
          <w:i/>
          <w:iCs/>
        </w:rPr>
      </w:pPr>
      <w:r w:rsidRPr="00A81C70">
        <w:rPr>
          <w:i/>
          <w:iCs/>
        </w:rPr>
        <w:t>Assurer un contrôle et un suivi rigoureux sur les prêts; et</w:t>
      </w:r>
    </w:p>
    <w:p w14:paraId="39B40A53" w14:textId="77777777" w:rsidR="007A6C58" w:rsidRPr="00A81C70" w:rsidRDefault="00730A01" w:rsidP="00443B59">
      <w:pPr>
        <w:pStyle w:val="Citationenretrait"/>
        <w:numPr>
          <w:ilvl w:val="0"/>
          <w:numId w:val="45"/>
        </w:numPr>
        <w:spacing w:after="0"/>
        <w:ind w:left="1077" w:right="539" w:hanging="357"/>
        <w:rPr>
          <w:i/>
          <w:iCs/>
        </w:rPr>
      </w:pPr>
      <w:r w:rsidRPr="00A81C70">
        <w:rPr>
          <w:i/>
          <w:iCs/>
        </w:rPr>
        <w:t>Respecter les normes d’éthique et de gouvernance les plus élevées de l’industrie.</w:t>
      </w:r>
    </w:p>
    <w:p w14:paraId="4AFCD1FE" w14:textId="77777777" w:rsidR="007A6C58" w:rsidRPr="00A81C70" w:rsidRDefault="00730A01" w:rsidP="00BE04E8">
      <w:pPr>
        <w:pStyle w:val="Citationenretrait"/>
        <w:spacing w:after="0"/>
        <w:ind w:right="-28"/>
        <w:rPr>
          <w:i/>
          <w:iCs/>
        </w:rPr>
      </w:pPr>
      <w:r w:rsidRPr="00A81C70">
        <w:rPr>
          <w:i/>
          <w:iCs/>
        </w:rPr>
        <w:t>Le cadre, les critères et les paramètres du prêt sont bien définis tout en accordant aux gestionnaires une grande marge de manœuvre pour :</w:t>
      </w:r>
    </w:p>
    <w:p w14:paraId="6010CDD2" w14:textId="77777777" w:rsidR="007A6C58" w:rsidRPr="00A81C70" w:rsidRDefault="00730A01" w:rsidP="00443B59">
      <w:pPr>
        <w:pStyle w:val="Citationenretrait"/>
        <w:numPr>
          <w:ilvl w:val="0"/>
          <w:numId w:val="45"/>
        </w:numPr>
        <w:spacing w:after="0"/>
        <w:ind w:right="539"/>
        <w:rPr>
          <w:i/>
          <w:iCs/>
        </w:rPr>
      </w:pPr>
      <w:r w:rsidRPr="00A81C70">
        <w:rPr>
          <w:i/>
          <w:iCs/>
        </w:rPr>
        <w:t>Déterminer les meilleurs dossiers; et</w:t>
      </w:r>
    </w:p>
    <w:p w14:paraId="7FB4D53D" w14:textId="77777777" w:rsidR="007A6C58" w:rsidRPr="00A81C70" w:rsidRDefault="00730A01" w:rsidP="00443B59">
      <w:pPr>
        <w:pStyle w:val="Citationenretrait"/>
        <w:numPr>
          <w:ilvl w:val="0"/>
          <w:numId w:val="45"/>
        </w:numPr>
        <w:spacing w:after="0"/>
        <w:ind w:right="539"/>
        <w:rPr>
          <w:i/>
          <w:iCs/>
        </w:rPr>
      </w:pPr>
      <w:r w:rsidRPr="00A81C70">
        <w:rPr>
          <w:i/>
          <w:iCs/>
        </w:rPr>
        <w:t>Optimise</w:t>
      </w:r>
      <w:r w:rsidR="00153BA4" w:rsidRPr="00A81C70">
        <w:rPr>
          <w:i/>
          <w:iCs/>
        </w:rPr>
        <w:t>r</w:t>
      </w:r>
      <w:r w:rsidRPr="00A81C70">
        <w:rPr>
          <w:i/>
          <w:iCs/>
        </w:rPr>
        <w:t xml:space="preserve"> le rendement des investisseurs (sans courir de risques non calculés).</w:t>
      </w:r>
    </w:p>
    <w:p w14:paraId="57659133" w14:textId="77777777" w:rsidR="007A6C58" w:rsidRPr="00A81C70" w:rsidRDefault="00730A01" w:rsidP="00BE04E8">
      <w:pPr>
        <w:pStyle w:val="Citationenretrait"/>
        <w:spacing w:after="0"/>
        <w:ind w:left="1066" w:right="-28" w:firstLine="14"/>
        <w:rPr>
          <w:i/>
          <w:iCs/>
        </w:rPr>
      </w:pPr>
      <w:r w:rsidRPr="00A81C70">
        <w:rPr>
          <w:i/>
          <w:iCs/>
        </w:rPr>
        <w:t>(…)</w:t>
      </w:r>
    </w:p>
    <w:p w14:paraId="6E803E19" w14:textId="77777777" w:rsidR="007A6C58" w:rsidRPr="006668F1" w:rsidRDefault="00730A01" w:rsidP="003359CD">
      <w:pPr>
        <w:pStyle w:val="Citationenretrait"/>
        <w:ind w:right="-28"/>
        <w:rPr>
          <w:b/>
          <w:bCs/>
          <w:i/>
          <w:iCs/>
        </w:rPr>
      </w:pPr>
      <w:r w:rsidRPr="006668F1">
        <w:rPr>
          <w:b/>
          <w:bCs/>
          <w:i/>
          <w:iCs/>
        </w:rPr>
        <w:t>1</w:t>
      </w:r>
      <w:r w:rsidR="003359CD">
        <w:rPr>
          <w:b/>
          <w:bCs/>
          <w:i/>
          <w:iCs/>
        </w:rPr>
        <w:t>.</w:t>
      </w:r>
      <w:r w:rsidRPr="006668F1">
        <w:rPr>
          <w:b/>
          <w:bCs/>
          <w:i/>
          <w:iCs/>
        </w:rPr>
        <w:t xml:space="preserve"> Portefeuille de prêts bien diversifié</w:t>
      </w:r>
    </w:p>
    <w:p w14:paraId="48DB267D" w14:textId="77777777" w:rsidR="007A6C58" w:rsidRPr="00A81C70" w:rsidRDefault="00730A01" w:rsidP="00BE04E8">
      <w:pPr>
        <w:pStyle w:val="Citationenretrait"/>
        <w:spacing w:after="0"/>
        <w:ind w:right="-28"/>
        <w:rPr>
          <w:i/>
          <w:iCs/>
        </w:rPr>
      </w:pPr>
      <w:r w:rsidRPr="00A81C70">
        <w:rPr>
          <w:i/>
          <w:iCs/>
        </w:rPr>
        <w:t>Le fonds entend offrir le plus grand nombre de prêts possible dans le plus grand nombre de régions possible afin d’atteindre un haut niveau de diversification.</w:t>
      </w:r>
    </w:p>
    <w:p w14:paraId="1A606859" w14:textId="77777777" w:rsidR="007A6C58" w:rsidRPr="00A81C70" w:rsidRDefault="00730A01" w:rsidP="00BE04E8">
      <w:pPr>
        <w:pStyle w:val="Citationenretrait"/>
        <w:spacing w:after="0"/>
        <w:ind w:right="-28"/>
        <w:rPr>
          <w:i/>
          <w:iCs/>
        </w:rPr>
      </w:pPr>
      <w:r w:rsidRPr="00A81C70">
        <w:rPr>
          <w:i/>
          <w:iCs/>
        </w:rPr>
        <w:t>(…)</w:t>
      </w:r>
    </w:p>
    <w:p w14:paraId="7F8FD720" w14:textId="77777777" w:rsidR="007A6C58" w:rsidRPr="006668F1" w:rsidRDefault="00730A01" w:rsidP="003359CD">
      <w:pPr>
        <w:pStyle w:val="Citationenretrait"/>
        <w:ind w:right="-28"/>
        <w:rPr>
          <w:b/>
          <w:bCs/>
          <w:i/>
          <w:iCs/>
        </w:rPr>
      </w:pPr>
      <w:r w:rsidRPr="006668F1">
        <w:rPr>
          <w:b/>
          <w:bCs/>
          <w:i/>
          <w:iCs/>
        </w:rPr>
        <w:t>2. Critères et paramètres minimaux</w:t>
      </w:r>
    </w:p>
    <w:p w14:paraId="4C3CDAB0" w14:textId="77777777" w:rsidR="007A6C58" w:rsidRPr="00A81C70" w:rsidRDefault="00730A01" w:rsidP="00BE04E8">
      <w:pPr>
        <w:pStyle w:val="Citationenretrait"/>
        <w:spacing w:after="0"/>
        <w:ind w:right="-28"/>
        <w:rPr>
          <w:i/>
          <w:iCs/>
        </w:rPr>
      </w:pPr>
      <w:r w:rsidRPr="00A81C70">
        <w:rPr>
          <w:i/>
          <w:iCs/>
        </w:rPr>
        <w:t>Les critères et paramètres suivants seront évalués par le Commandité dans le cadre de l’octroi de prêts :</w:t>
      </w:r>
    </w:p>
    <w:p w14:paraId="559E79B6" w14:textId="77777777" w:rsidR="007A6C58" w:rsidRPr="00A81C70" w:rsidRDefault="00730A01" w:rsidP="00443B59">
      <w:pPr>
        <w:pStyle w:val="Citationenretrait"/>
        <w:numPr>
          <w:ilvl w:val="0"/>
          <w:numId w:val="45"/>
        </w:numPr>
        <w:spacing w:after="0"/>
        <w:ind w:right="-28"/>
        <w:rPr>
          <w:i/>
          <w:iCs/>
        </w:rPr>
      </w:pPr>
      <w:r w:rsidRPr="00A81C70">
        <w:rPr>
          <w:i/>
          <w:iCs/>
        </w:rPr>
        <w:t>Qualité générale de l’opportunité d’affaires présentée au Commandité;</w:t>
      </w:r>
    </w:p>
    <w:p w14:paraId="3BB02AE9" w14:textId="77777777" w:rsidR="007A6C58" w:rsidRPr="00A81C70" w:rsidRDefault="00730A01" w:rsidP="00443B59">
      <w:pPr>
        <w:pStyle w:val="Citationenretrait"/>
        <w:numPr>
          <w:ilvl w:val="0"/>
          <w:numId w:val="45"/>
        </w:numPr>
        <w:spacing w:after="0"/>
        <w:ind w:right="-28"/>
        <w:rPr>
          <w:i/>
          <w:iCs/>
        </w:rPr>
      </w:pPr>
      <w:r w:rsidRPr="00A81C70">
        <w:rPr>
          <w:i/>
          <w:iCs/>
        </w:rPr>
        <w:t>Équité suffisante sur les biens donnés en garantie;</w:t>
      </w:r>
    </w:p>
    <w:p w14:paraId="706B06C8" w14:textId="77777777" w:rsidR="007A6C58" w:rsidRPr="00A81C70" w:rsidRDefault="00730A01" w:rsidP="00443B59">
      <w:pPr>
        <w:pStyle w:val="Citationenretrait"/>
        <w:numPr>
          <w:ilvl w:val="0"/>
          <w:numId w:val="45"/>
        </w:numPr>
        <w:spacing w:after="0"/>
        <w:ind w:right="-28"/>
        <w:rPr>
          <w:i/>
          <w:iCs/>
        </w:rPr>
      </w:pPr>
      <w:r w:rsidRPr="00A81C70">
        <w:rPr>
          <w:i/>
          <w:iCs/>
        </w:rPr>
        <w:t>Mise de fonds de l’emprunteur;</w:t>
      </w:r>
    </w:p>
    <w:p w14:paraId="54F01433" w14:textId="77777777" w:rsidR="007A6C58" w:rsidRPr="00A81C70" w:rsidRDefault="00730A01" w:rsidP="00443B59">
      <w:pPr>
        <w:pStyle w:val="Citationenretrait"/>
        <w:numPr>
          <w:ilvl w:val="0"/>
          <w:numId w:val="45"/>
        </w:numPr>
        <w:spacing w:after="0"/>
        <w:ind w:right="-28"/>
        <w:rPr>
          <w:i/>
          <w:iCs/>
        </w:rPr>
      </w:pPr>
      <w:r w:rsidRPr="00A81C70">
        <w:rPr>
          <w:i/>
          <w:iCs/>
        </w:rPr>
        <w:t>Capacité de remboursement de l’emprunteur;</w:t>
      </w:r>
    </w:p>
    <w:p w14:paraId="1943D7F3" w14:textId="77777777" w:rsidR="007A6C58" w:rsidRPr="00A81C70" w:rsidRDefault="00730A01" w:rsidP="00443B59">
      <w:pPr>
        <w:pStyle w:val="Citationenretrait"/>
        <w:numPr>
          <w:ilvl w:val="0"/>
          <w:numId w:val="45"/>
        </w:numPr>
        <w:spacing w:after="240"/>
        <w:ind w:left="1077" w:right="-28" w:hanging="357"/>
        <w:rPr>
          <w:i/>
          <w:iCs/>
        </w:rPr>
      </w:pPr>
      <w:r w:rsidRPr="00A81C70">
        <w:rPr>
          <w:i/>
          <w:iCs/>
        </w:rPr>
        <w:t>Octroi de garanties suffisantes en cas de réalisation et/ou de reprise.</w:t>
      </w:r>
    </w:p>
    <w:p w14:paraId="5AC03C93" w14:textId="77777777" w:rsidR="007A6C58" w:rsidRPr="006668F1" w:rsidRDefault="00730A01" w:rsidP="003359CD">
      <w:pPr>
        <w:pStyle w:val="Citationenretrait"/>
        <w:ind w:right="-28"/>
        <w:rPr>
          <w:b/>
          <w:bCs/>
          <w:i/>
          <w:iCs/>
        </w:rPr>
      </w:pPr>
      <w:r w:rsidRPr="006668F1">
        <w:rPr>
          <w:b/>
          <w:bCs/>
          <w:i/>
          <w:iCs/>
        </w:rPr>
        <w:t>3. Enquête préalable avant l’octroi du prêt</w:t>
      </w:r>
    </w:p>
    <w:p w14:paraId="1BE0AF31" w14:textId="77777777" w:rsidR="00502521" w:rsidRPr="00A81C70" w:rsidRDefault="00730A01" w:rsidP="003359CD">
      <w:pPr>
        <w:pStyle w:val="Citationenretrait"/>
        <w:spacing w:after="240"/>
        <w:ind w:right="-28"/>
        <w:rPr>
          <w:i/>
          <w:iCs/>
        </w:rPr>
      </w:pPr>
      <w:r w:rsidRPr="00A81C70">
        <w:rPr>
          <w:i/>
          <w:iCs/>
        </w:rPr>
        <w:t>Au cours de la phase d’évaluation du dossier, l’enquête vise à cerner les facteurs de risque associés à un prêt et assurer une protection contre ceux-ci. Le fonds effectue une enquête approfondie des critères et des paramètres présentés ci-dessus avant l’octroi de chaque prêt, qui comprend un processus d’approbation efficace et d’une rigueur exemplaire, dont notamment la réalisation d’une enquête de crédit Equifax, la recherche aux différents plumitifs judiciaires et la signature de tout document requis afin d’obtenir les renseignements personnels pertinents sur l’emprunteur.</w:t>
      </w:r>
    </w:p>
    <w:p w14:paraId="15ADB1D6" w14:textId="77777777" w:rsidR="007A6C58" w:rsidRPr="006668F1" w:rsidRDefault="00730A01" w:rsidP="003359CD">
      <w:pPr>
        <w:pStyle w:val="Citationenretrait"/>
        <w:ind w:right="-28"/>
        <w:rPr>
          <w:b/>
          <w:bCs/>
          <w:i/>
          <w:iCs/>
        </w:rPr>
      </w:pPr>
      <w:r w:rsidRPr="006668F1">
        <w:rPr>
          <w:b/>
          <w:bCs/>
          <w:i/>
          <w:iCs/>
        </w:rPr>
        <w:t>4. Suivi</w:t>
      </w:r>
    </w:p>
    <w:p w14:paraId="438C19B6" w14:textId="77777777" w:rsidR="007A6C58" w:rsidRPr="00A81C70" w:rsidRDefault="00730A01" w:rsidP="00BE04E8">
      <w:pPr>
        <w:pStyle w:val="Citationenretrait"/>
        <w:spacing w:after="0"/>
        <w:ind w:right="-28"/>
        <w:rPr>
          <w:i/>
          <w:iCs/>
        </w:rPr>
      </w:pPr>
      <w:r w:rsidRPr="00A81C70">
        <w:rPr>
          <w:i/>
          <w:iCs/>
        </w:rPr>
        <w:t>Le Fonds assurera une stricte surveillance de ses prêts et du déroulement des projets des emprunteurs, dont notamment :</w:t>
      </w:r>
    </w:p>
    <w:p w14:paraId="70C33315" w14:textId="77777777" w:rsidR="007A6C58" w:rsidRPr="00A81C70" w:rsidRDefault="00730A01" w:rsidP="00443B59">
      <w:pPr>
        <w:pStyle w:val="Citationenretrait"/>
        <w:numPr>
          <w:ilvl w:val="0"/>
          <w:numId w:val="45"/>
        </w:numPr>
        <w:spacing w:after="0"/>
        <w:ind w:right="539"/>
        <w:rPr>
          <w:i/>
          <w:iCs/>
        </w:rPr>
      </w:pPr>
      <w:r w:rsidRPr="00A81C70">
        <w:rPr>
          <w:i/>
          <w:iCs/>
        </w:rPr>
        <w:t>Assurera un suivi attentif et fréquent des projets (visites sur les chantiers et communications constantes avec les gestionnaires des projets);</w:t>
      </w:r>
    </w:p>
    <w:p w14:paraId="0B8B8FEA" w14:textId="77777777" w:rsidR="007A6C58" w:rsidRPr="00A81C70" w:rsidRDefault="00730A01" w:rsidP="00443B59">
      <w:pPr>
        <w:pStyle w:val="Citationenretrait"/>
        <w:numPr>
          <w:ilvl w:val="0"/>
          <w:numId w:val="45"/>
        </w:numPr>
        <w:spacing w:after="0"/>
        <w:ind w:right="539"/>
        <w:rPr>
          <w:i/>
          <w:iCs/>
        </w:rPr>
      </w:pPr>
      <w:r w:rsidRPr="00A81C70">
        <w:rPr>
          <w:i/>
          <w:iCs/>
        </w:rPr>
        <w:t>Effectuera un contrôle périodique des coûts, des ventes et des autres activités;</w:t>
      </w:r>
    </w:p>
    <w:p w14:paraId="041CAB0D" w14:textId="77777777" w:rsidR="007A6C58" w:rsidRPr="00A81C70" w:rsidRDefault="00730A01" w:rsidP="00307881">
      <w:pPr>
        <w:pStyle w:val="Citationenretrait"/>
        <w:numPr>
          <w:ilvl w:val="0"/>
          <w:numId w:val="45"/>
        </w:numPr>
        <w:spacing w:after="0"/>
        <w:ind w:left="1077" w:right="539" w:hanging="357"/>
        <w:rPr>
          <w:i/>
          <w:iCs/>
        </w:rPr>
      </w:pPr>
      <w:r w:rsidRPr="00A81C70">
        <w:rPr>
          <w:i/>
          <w:iCs/>
        </w:rPr>
        <w:t>S’assurera que les emprunteurs respectent les obligations de prêt.</w:t>
      </w:r>
    </w:p>
    <w:p w14:paraId="5ADAB72F" w14:textId="77777777" w:rsidR="007A6C58" w:rsidRPr="00EC09F7" w:rsidRDefault="00730A01" w:rsidP="00BE04E8">
      <w:pPr>
        <w:pStyle w:val="Citationenretrait"/>
        <w:spacing w:after="0"/>
        <w:ind w:right="539"/>
        <w:jc w:val="right"/>
        <w:rPr>
          <w:sz w:val="20"/>
        </w:rPr>
      </w:pPr>
      <w:r w:rsidRPr="00EC09F7">
        <w:rPr>
          <w:sz w:val="20"/>
        </w:rPr>
        <w:t>[Reproduction intégrale]</w:t>
      </w:r>
    </w:p>
    <w:p w14:paraId="13B27F63" w14:textId="77777777" w:rsidR="007A6C58" w:rsidRPr="00997207" w:rsidRDefault="00730A01" w:rsidP="00BE04E8">
      <w:pPr>
        <w:pStyle w:val="Paragraphe"/>
        <w:numPr>
          <w:ilvl w:val="0"/>
          <w:numId w:val="1"/>
        </w:numPr>
        <w:tabs>
          <w:tab w:val="clear" w:pos="786"/>
        </w:tabs>
        <w:spacing w:before="240" w:line="240" w:lineRule="auto"/>
        <w:ind w:left="0" w:right="-28"/>
      </w:pPr>
      <w:r w:rsidRPr="00997207">
        <w:t>En contrepartie de leur investissement</w:t>
      </w:r>
      <w:r w:rsidR="0065115E">
        <w:t xml:space="preserve"> dans Q-12</w:t>
      </w:r>
      <w:r w:rsidRPr="00997207">
        <w:t xml:space="preserve">, les </w:t>
      </w:r>
      <w:r w:rsidR="0065115E">
        <w:t>investisseurs</w:t>
      </w:r>
      <w:r w:rsidRPr="00997207">
        <w:t xml:space="preserve"> doivent recevoir un rendement d’intérêts à un taux de</w:t>
      </w:r>
      <w:r w:rsidR="00EC09F7">
        <w:t> </w:t>
      </w:r>
      <w:r w:rsidRPr="00997207">
        <w:t xml:space="preserve">12 % </w:t>
      </w:r>
      <w:r w:rsidR="0095103D">
        <w:t xml:space="preserve">l’an </w:t>
      </w:r>
      <w:r w:rsidRPr="00997207">
        <w:t xml:space="preserve">de leur apport en capital au fonds commun </w:t>
      </w:r>
      <w:r w:rsidR="00B271E1" w:rsidRPr="00997207">
        <w:t>de Q</w:t>
      </w:r>
      <w:r w:rsidR="00997207" w:rsidRPr="00997207">
        <w:noBreakHyphen/>
      </w:r>
      <w:r w:rsidR="00B271E1" w:rsidRPr="00997207">
        <w:t>1</w:t>
      </w:r>
      <w:r w:rsidRPr="00997207">
        <w:t>2.</w:t>
      </w:r>
    </w:p>
    <w:p w14:paraId="41CDAF5D" w14:textId="77777777" w:rsidR="0065115E" w:rsidRDefault="00730A01" w:rsidP="00BE04E8">
      <w:pPr>
        <w:pStyle w:val="Paragraphe"/>
        <w:numPr>
          <w:ilvl w:val="0"/>
          <w:numId w:val="1"/>
        </w:numPr>
        <w:tabs>
          <w:tab w:val="clear" w:pos="786"/>
        </w:tabs>
        <w:spacing w:line="240" w:lineRule="auto"/>
        <w:ind w:left="0" w:right="-28"/>
      </w:pPr>
      <w:r>
        <w:t>L’administration du Fonds Q-12 est confié</w:t>
      </w:r>
      <w:r w:rsidR="0095103D">
        <w:t>e</w:t>
      </w:r>
      <w:r>
        <w:t xml:space="preserve"> à X2.</w:t>
      </w:r>
    </w:p>
    <w:p w14:paraId="0ACD57AF" w14:textId="77777777" w:rsidR="00503F2A" w:rsidRPr="001C2476" w:rsidRDefault="00730A01" w:rsidP="00BE04E8">
      <w:pPr>
        <w:pStyle w:val="Paragraphe"/>
        <w:numPr>
          <w:ilvl w:val="0"/>
          <w:numId w:val="1"/>
        </w:numPr>
        <w:tabs>
          <w:tab w:val="clear" w:pos="786"/>
        </w:tabs>
        <w:spacing w:line="240" w:lineRule="auto"/>
        <w:ind w:left="0" w:right="-28"/>
      </w:pPr>
      <w:r w:rsidRPr="0065115E">
        <w:rPr>
          <w:bCs/>
          <w:szCs w:val="24"/>
        </w:rPr>
        <w:t>La Convention prévoit que l’entité désignée par</w:t>
      </w:r>
      <w:r w:rsidR="00EC09F7">
        <w:rPr>
          <w:bCs/>
          <w:szCs w:val="24"/>
        </w:rPr>
        <w:t> </w:t>
      </w:r>
      <w:r w:rsidRPr="0065115E">
        <w:rPr>
          <w:bCs/>
          <w:szCs w:val="24"/>
        </w:rPr>
        <w:t>9797 – en l’occurrence X2 – pourra recevoir des frais de gestion représentant un minimum de</w:t>
      </w:r>
      <w:r w:rsidR="00EC09F7">
        <w:rPr>
          <w:bCs/>
          <w:szCs w:val="24"/>
        </w:rPr>
        <w:t> </w:t>
      </w:r>
      <w:r w:rsidRPr="0065115E">
        <w:rPr>
          <w:bCs/>
          <w:szCs w:val="24"/>
        </w:rPr>
        <w:t>1 % du montant en capital de chaque prêt, lesquels frais sont payables directement par l’emprunteur</w:t>
      </w:r>
      <w:r>
        <w:rPr>
          <w:rStyle w:val="Appelnotedebasdep"/>
        </w:rPr>
        <w:footnoteReference w:id="18"/>
      </w:r>
      <w:r>
        <w:t>.</w:t>
      </w:r>
      <w:r w:rsidR="00F82F93" w:rsidRPr="00F82F93">
        <w:t xml:space="preserve"> </w:t>
      </w:r>
    </w:p>
    <w:p w14:paraId="02A98056" w14:textId="77777777" w:rsidR="005D13E5" w:rsidRDefault="00730A01" w:rsidP="00631CAA">
      <w:pPr>
        <w:pStyle w:val="Paragraphe"/>
        <w:numPr>
          <w:ilvl w:val="0"/>
          <w:numId w:val="1"/>
        </w:numPr>
        <w:tabs>
          <w:tab w:val="clear" w:pos="786"/>
        </w:tabs>
        <w:spacing w:before="360" w:line="240" w:lineRule="auto"/>
        <w:ind w:left="0" w:right="-28"/>
      </w:pPr>
      <w:r w:rsidRPr="00503F2A">
        <w:rPr>
          <w:rFonts w:cs="Arial"/>
          <w:szCs w:val="24"/>
          <w:lang w:eastAsia="fr-CA"/>
        </w:rPr>
        <w:t xml:space="preserve">Tant sur les prêts consentis par Q-12 que par FIISH, les sociétés de Giroux imposent systématiquement un </w:t>
      </w:r>
      <w:r w:rsidRPr="000434C8">
        <w:rPr>
          <w:rFonts w:cs="Arial"/>
          <w:szCs w:val="24"/>
          <w:lang w:eastAsia="fr-CA"/>
        </w:rPr>
        <w:t>frais de gestion de</w:t>
      </w:r>
      <w:r w:rsidR="00EC09F7">
        <w:rPr>
          <w:rFonts w:cs="Arial"/>
          <w:szCs w:val="24"/>
          <w:lang w:eastAsia="fr-CA"/>
        </w:rPr>
        <w:t> </w:t>
      </w:r>
      <w:r w:rsidRPr="000434C8">
        <w:rPr>
          <w:rFonts w:cs="Arial"/>
          <w:szCs w:val="24"/>
          <w:lang w:eastAsia="fr-CA"/>
        </w:rPr>
        <w:t>3</w:t>
      </w:r>
      <w:r w:rsidR="000434C8">
        <w:rPr>
          <w:rFonts w:cs="Arial"/>
          <w:szCs w:val="24"/>
          <w:lang w:eastAsia="fr-CA"/>
        </w:rPr>
        <w:t> </w:t>
      </w:r>
      <w:r w:rsidRPr="000434C8">
        <w:rPr>
          <w:rFonts w:cs="Arial"/>
          <w:szCs w:val="24"/>
          <w:lang w:eastAsia="fr-CA"/>
        </w:rPr>
        <w:t>%.</w:t>
      </w:r>
      <w:r w:rsidRPr="00503F2A">
        <w:rPr>
          <w:rFonts w:cs="Arial"/>
          <w:szCs w:val="24"/>
          <w:lang w:eastAsia="fr-CA"/>
        </w:rPr>
        <w:t xml:space="preserve"> Ce pourcentage constitu</w:t>
      </w:r>
      <w:r w:rsidR="00D34BC8">
        <w:rPr>
          <w:rFonts w:cs="Arial"/>
          <w:szCs w:val="24"/>
          <w:lang w:eastAsia="fr-CA"/>
        </w:rPr>
        <w:t>e</w:t>
      </w:r>
      <w:r w:rsidRPr="00503F2A">
        <w:rPr>
          <w:rFonts w:cs="Arial"/>
          <w:szCs w:val="24"/>
          <w:lang w:eastAsia="fr-CA"/>
        </w:rPr>
        <w:t xml:space="preserve"> un prélèvement automatique et constant,</w:t>
      </w:r>
      <w:r w:rsidRPr="00503F2A">
        <w:rPr>
          <w:rFonts w:cs="Arial"/>
        </w:rPr>
        <w:t xml:space="preserve"> déduit avant même la distribution des revenus ou l’application des intérêts</w:t>
      </w:r>
      <w:r>
        <w:rPr>
          <w:rStyle w:val="Appelnotedebasdep"/>
          <w:rFonts w:cs="Arial"/>
        </w:rPr>
        <w:footnoteReference w:id="19"/>
      </w:r>
      <w:r w:rsidR="00EC09F7">
        <w:rPr>
          <w:rFonts w:cs="Arial"/>
        </w:rPr>
        <w:t>.</w:t>
      </w:r>
      <w:r w:rsidRPr="00503F2A">
        <w:rPr>
          <w:rFonts w:cs="Arial"/>
          <w:szCs w:val="24"/>
          <w:lang w:eastAsia="fr-CA"/>
        </w:rPr>
        <w:t xml:space="preserve"> </w:t>
      </w:r>
    </w:p>
    <w:p w14:paraId="3BAD19B7" w14:textId="77777777" w:rsidR="00BA56F5" w:rsidRDefault="00730A01" w:rsidP="00BE04E8">
      <w:pPr>
        <w:pStyle w:val="Titre1"/>
        <w:ind w:right="-28"/>
        <w:rPr>
          <w:sz w:val="24"/>
          <w:szCs w:val="24"/>
        </w:rPr>
      </w:pPr>
      <w:bookmarkStart w:id="21" w:name="_Toc211495202"/>
      <w:bookmarkStart w:id="22" w:name="_Toc211600622"/>
      <w:r w:rsidRPr="006C6395">
        <w:rPr>
          <w:sz w:val="24"/>
          <w:szCs w:val="24"/>
        </w:rPr>
        <w:t>LA POSITION DES PARTIES</w:t>
      </w:r>
      <w:bookmarkEnd w:id="21"/>
      <w:bookmarkEnd w:id="22"/>
    </w:p>
    <w:p w14:paraId="7AC05D57" w14:textId="77777777" w:rsidR="003447F9" w:rsidRPr="00F76BC3" w:rsidRDefault="00730A01" w:rsidP="00443B59">
      <w:pPr>
        <w:pStyle w:val="Titre2"/>
        <w:numPr>
          <w:ilvl w:val="0"/>
          <w:numId w:val="84"/>
        </w:numPr>
        <w:ind w:right="-28"/>
        <w:rPr>
          <w:szCs w:val="24"/>
          <w:u w:val="single"/>
        </w:rPr>
      </w:pPr>
      <w:bookmarkStart w:id="23" w:name="_Toc211495203"/>
      <w:bookmarkStart w:id="24" w:name="_Toc211600623"/>
      <w:r w:rsidRPr="00F76BC3">
        <w:rPr>
          <w:u w:val="single"/>
          <w:lang w:eastAsia="fr-CA"/>
        </w:rPr>
        <w:t>La position des Demandeurs</w:t>
      </w:r>
      <w:bookmarkEnd w:id="23"/>
      <w:bookmarkEnd w:id="24"/>
      <w:r w:rsidRPr="00F76BC3">
        <w:rPr>
          <w:u w:val="single"/>
        </w:rPr>
        <w:t xml:space="preserve"> </w:t>
      </w:r>
    </w:p>
    <w:p w14:paraId="40C9DDF9" w14:textId="77777777" w:rsidR="003447F9" w:rsidRDefault="00730A01" w:rsidP="00BE04E8">
      <w:pPr>
        <w:pStyle w:val="Paragraphe"/>
        <w:numPr>
          <w:ilvl w:val="0"/>
          <w:numId w:val="1"/>
        </w:numPr>
        <w:tabs>
          <w:tab w:val="clear" w:pos="786"/>
        </w:tabs>
        <w:spacing w:line="240" w:lineRule="auto"/>
        <w:ind w:left="0" w:right="-28"/>
      </w:pPr>
      <w:r w:rsidRPr="00980E22">
        <w:t>En gros,</w:t>
      </w:r>
      <w:r>
        <w:t xml:space="preserve"> dans ces deux dossiers, les Demandeurs reprochent à Giroux de les avoir encouragés à investir dans les </w:t>
      </w:r>
      <w:r w:rsidRPr="003447F9">
        <w:t>f</w:t>
      </w:r>
      <w:r>
        <w:t>onds</w:t>
      </w:r>
      <w:r w:rsidR="00192E75">
        <w:t xml:space="preserve"> </w:t>
      </w:r>
      <w:r>
        <w:t>Q-12 et FIISH, dès leur constitution en</w:t>
      </w:r>
      <w:r w:rsidR="00EC09F7">
        <w:t> </w:t>
      </w:r>
      <w:r>
        <w:t xml:space="preserve">2017, sous de fausses représentations en leur représentant que leurs investissements étaient protégés par des garanties suffisantes, qui, si </w:t>
      </w:r>
      <w:r w:rsidRPr="003447F9">
        <w:t>elles</w:t>
      </w:r>
      <w:r>
        <w:t xml:space="preserve"> devaient être réalisées, le seraient « avec le sourire » puisqu’il en résulterait un profit substantiel</w:t>
      </w:r>
      <w:r>
        <w:rPr>
          <w:rStyle w:val="Appelnotedebasdep"/>
        </w:rPr>
        <w:footnoteReference w:id="20"/>
      </w:r>
      <w:r>
        <w:t>.</w:t>
      </w:r>
    </w:p>
    <w:p w14:paraId="1B556D9B" w14:textId="77777777" w:rsidR="003447F9" w:rsidRDefault="00730A01" w:rsidP="00BE04E8">
      <w:pPr>
        <w:pStyle w:val="Paragraphe"/>
        <w:numPr>
          <w:ilvl w:val="0"/>
          <w:numId w:val="1"/>
        </w:numPr>
        <w:tabs>
          <w:tab w:val="clear" w:pos="786"/>
        </w:tabs>
        <w:spacing w:line="240" w:lineRule="auto"/>
        <w:ind w:left="0" w:right="-28"/>
      </w:pPr>
      <w:r>
        <w:t>Ils reprochent à Giroux de ne pas avoir respecté les stratégies de prêt énoncées aux Conventions de Q-12 et de FIISH, notamment quant à la sécurité des investissements proposés, aux analyses qui devaient être réalisées avant l’octroi de chaque prêt et à la santé financière du Groupe Huot malgré les représentations qu’il leur faisait pour les inciter à lui confier des sommes très importantes, jusqu’en février</w:t>
      </w:r>
      <w:r w:rsidR="00EC09F7">
        <w:t> </w:t>
      </w:r>
      <w:r>
        <w:t>2023, abusant ainsi de leur confiance et engageant sa responsabilité à leur égard.</w:t>
      </w:r>
    </w:p>
    <w:p w14:paraId="375A861C" w14:textId="77777777" w:rsidR="003447F9" w:rsidRPr="00C47CD0" w:rsidRDefault="00730A01" w:rsidP="00BE04E8">
      <w:pPr>
        <w:pStyle w:val="Paragraphe"/>
        <w:numPr>
          <w:ilvl w:val="0"/>
          <w:numId w:val="1"/>
        </w:numPr>
        <w:tabs>
          <w:tab w:val="clear" w:pos="786"/>
        </w:tabs>
        <w:spacing w:line="240" w:lineRule="auto"/>
        <w:ind w:left="0" w:right="-28"/>
        <w:rPr>
          <w:rFonts w:cs="Arial"/>
        </w:rPr>
      </w:pPr>
      <w:r w:rsidRPr="00C47CD0">
        <w:rPr>
          <w:rFonts w:cs="Arial"/>
          <w:szCs w:val="24"/>
          <w:lang w:eastAsia="fr-CA"/>
        </w:rPr>
        <w:t>Les Demandeurs</w:t>
      </w:r>
      <w:r w:rsidR="00F82F93" w:rsidRPr="00C47CD0">
        <w:rPr>
          <w:rFonts w:cs="Arial"/>
          <w:szCs w:val="24"/>
          <w:lang w:eastAsia="fr-CA"/>
        </w:rPr>
        <w:t xml:space="preserve"> soutiennent</w:t>
      </w:r>
      <w:r w:rsidRPr="00C47CD0">
        <w:rPr>
          <w:rFonts w:cs="Arial"/>
          <w:szCs w:val="24"/>
          <w:lang w:eastAsia="fr-CA"/>
        </w:rPr>
        <w:t xml:space="preserve"> aussi</w:t>
      </w:r>
      <w:r w:rsidR="00F82F93" w:rsidRPr="00C47CD0">
        <w:rPr>
          <w:rFonts w:cs="Arial"/>
          <w:szCs w:val="24"/>
          <w:lang w:eastAsia="fr-CA"/>
        </w:rPr>
        <w:t xml:space="preserve"> que Giroux contrôlait directement l’octroi et la gestion des prêts</w:t>
      </w:r>
      <w:r w:rsidR="00F82F93" w:rsidRPr="00C47CD0">
        <w:rPr>
          <w:rFonts w:cs="Arial"/>
          <w:b/>
          <w:bCs/>
          <w:szCs w:val="24"/>
          <w:lang w:eastAsia="fr-CA"/>
        </w:rPr>
        <w:t xml:space="preserve"> </w:t>
      </w:r>
      <w:r w:rsidR="00F82F93" w:rsidRPr="00C47CD0">
        <w:rPr>
          <w:rFonts w:cs="Arial"/>
          <w:szCs w:val="24"/>
          <w:lang w:eastAsia="fr-CA"/>
        </w:rPr>
        <w:t>consentis par FIISH et Q-12 au Groupe Huot</w:t>
      </w:r>
      <w:r w:rsidRPr="00C47CD0">
        <w:rPr>
          <w:rFonts w:cs="Arial"/>
          <w:szCs w:val="24"/>
          <w:lang w:eastAsia="fr-CA"/>
        </w:rPr>
        <w:t>,</w:t>
      </w:r>
      <w:r w:rsidR="00F82F93" w:rsidRPr="00C47CD0">
        <w:rPr>
          <w:rFonts w:cs="Arial"/>
          <w:szCs w:val="24"/>
          <w:lang w:eastAsia="fr-CA"/>
        </w:rPr>
        <w:t xml:space="preserve"> que les ratios d’équité n’ont pas été respectés</w:t>
      </w:r>
      <w:r w:rsidR="00F82F93" w:rsidRPr="00C47CD0">
        <w:rPr>
          <w:rFonts w:cs="Arial"/>
          <w:b/>
          <w:bCs/>
          <w:szCs w:val="24"/>
          <w:lang w:eastAsia="fr-CA"/>
        </w:rPr>
        <w:t xml:space="preserve"> </w:t>
      </w:r>
      <w:r w:rsidR="00F82F93" w:rsidRPr="00C47CD0">
        <w:rPr>
          <w:rFonts w:cs="Arial"/>
          <w:szCs w:val="24"/>
          <w:lang w:eastAsia="fr-CA"/>
        </w:rPr>
        <w:t>et que les</w:t>
      </w:r>
      <w:r w:rsidR="00F82F93" w:rsidRPr="00C47CD0">
        <w:rPr>
          <w:rFonts w:cs="Arial"/>
          <w:b/>
          <w:bCs/>
          <w:szCs w:val="24"/>
          <w:lang w:eastAsia="fr-CA"/>
        </w:rPr>
        <w:t xml:space="preserve"> </w:t>
      </w:r>
      <w:r w:rsidR="00F82F93" w:rsidRPr="00C47CD0">
        <w:rPr>
          <w:rFonts w:cs="Arial"/>
          <w:szCs w:val="24"/>
          <w:lang w:eastAsia="fr-CA"/>
        </w:rPr>
        <w:t xml:space="preserve">défauts </w:t>
      </w:r>
      <w:r w:rsidRPr="00C47CD0">
        <w:rPr>
          <w:rFonts w:cs="Arial"/>
          <w:szCs w:val="24"/>
          <w:lang w:eastAsia="fr-CA"/>
        </w:rPr>
        <w:t>financiers ont</w:t>
      </w:r>
      <w:r w:rsidR="00F82F93" w:rsidRPr="00C47CD0">
        <w:rPr>
          <w:rFonts w:cs="Arial"/>
          <w:szCs w:val="24"/>
          <w:lang w:eastAsia="fr-CA"/>
        </w:rPr>
        <w:t xml:space="preserve"> été sciemment cachés</w:t>
      </w:r>
      <w:r w:rsidRPr="00C47CD0">
        <w:rPr>
          <w:rFonts w:cs="Arial"/>
          <w:b/>
          <w:bCs/>
          <w:szCs w:val="24"/>
          <w:lang w:eastAsia="fr-CA"/>
        </w:rPr>
        <w:t xml:space="preserve"> </w:t>
      </w:r>
      <w:r w:rsidR="00F82F93" w:rsidRPr="00C47CD0">
        <w:rPr>
          <w:rFonts w:cs="Arial"/>
          <w:szCs w:val="24"/>
          <w:lang w:eastAsia="fr-CA"/>
        </w:rPr>
        <w:t>depuis la création des fonds.</w:t>
      </w:r>
    </w:p>
    <w:p w14:paraId="26D7BFDB" w14:textId="77777777" w:rsidR="00631CAA" w:rsidRDefault="00730A01" w:rsidP="00BE04E8">
      <w:pPr>
        <w:pStyle w:val="Paragraphe"/>
        <w:numPr>
          <w:ilvl w:val="0"/>
          <w:numId w:val="1"/>
        </w:numPr>
        <w:tabs>
          <w:tab w:val="clear" w:pos="786"/>
        </w:tabs>
        <w:spacing w:line="240" w:lineRule="auto"/>
        <w:ind w:left="0" w:right="-28"/>
        <w:rPr>
          <w:rFonts w:cs="Arial"/>
          <w:szCs w:val="24"/>
          <w:lang w:eastAsia="fr-CA"/>
        </w:rPr>
      </w:pPr>
      <w:r w:rsidRPr="00C47CD0">
        <w:rPr>
          <w:rFonts w:cs="Arial"/>
          <w:szCs w:val="24"/>
          <w:lang w:eastAsia="fr-CA"/>
        </w:rPr>
        <w:t xml:space="preserve">Ils </w:t>
      </w:r>
      <w:r w:rsidR="00F82F93" w:rsidRPr="00C47CD0">
        <w:rPr>
          <w:rFonts w:cs="Arial"/>
          <w:szCs w:val="24"/>
          <w:lang w:eastAsia="fr-CA"/>
        </w:rPr>
        <w:t xml:space="preserve">reprochent </w:t>
      </w:r>
      <w:r w:rsidRPr="00C47CD0">
        <w:rPr>
          <w:rFonts w:cs="Arial"/>
          <w:szCs w:val="24"/>
          <w:lang w:eastAsia="fr-CA"/>
        </w:rPr>
        <w:t>également</w:t>
      </w:r>
      <w:r w:rsidR="00F82F93" w:rsidRPr="00C47CD0">
        <w:rPr>
          <w:rFonts w:cs="Arial"/>
          <w:szCs w:val="24"/>
          <w:lang w:eastAsia="fr-CA"/>
        </w:rPr>
        <w:t xml:space="preserve"> une absence d’analyse diligente et de suivi des projet</w:t>
      </w:r>
      <w:r w:rsidR="00F82F93" w:rsidRPr="00BE04E8">
        <w:rPr>
          <w:rFonts w:cs="Arial"/>
          <w:szCs w:val="24"/>
          <w:lang w:eastAsia="fr-CA"/>
        </w:rPr>
        <w:t>s</w:t>
      </w:r>
      <w:r w:rsidR="00F82F93" w:rsidRPr="00C47CD0">
        <w:rPr>
          <w:rFonts w:cs="Arial"/>
          <w:szCs w:val="24"/>
          <w:lang w:eastAsia="fr-CA"/>
        </w:rPr>
        <w:t xml:space="preserve"> liés au Groupe Huot, en contraste avec le traitement réservé aux prêts</w:t>
      </w:r>
      <w:r w:rsidR="00D97738">
        <w:rPr>
          <w:rFonts w:cs="Arial"/>
          <w:szCs w:val="24"/>
          <w:lang w:eastAsia="fr-CA"/>
        </w:rPr>
        <w:t xml:space="preserve"> consentis aux autres emprunteurs que Huot</w:t>
      </w:r>
      <w:r w:rsidR="00F82F93" w:rsidRPr="00C47CD0">
        <w:rPr>
          <w:rFonts w:cs="Arial"/>
          <w:szCs w:val="24"/>
          <w:lang w:eastAsia="fr-CA"/>
        </w:rPr>
        <w:t>. Ils demandent la</w:t>
      </w:r>
      <w:r w:rsidR="00F82F93" w:rsidRPr="00C47CD0">
        <w:rPr>
          <w:rFonts w:cs="Arial"/>
          <w:b/>
          <w:bCs/>
          <w:szCs w:val="24"/>
          <w:lang w:eastAsia="fr-CA"/>
        </w:rPr>
        <w:t xml:space="preserve"> </w:t>
      </w:r>
      <w:r w:rsidR="00F82F93" w:rsidRPr="00C47CD0">
        <w:rPr>
          <w:rFonts w:cs="Arial"/>
          <w:szCs w:val="24"/>
          <w:lang w:eastAsia="fr-CA"/>
        </w:rPr>
        <w:t>levée du voile corporatif à l’égard de Giroux et de ses sociétés (9797, 1395, 8096, 6646, X2), en invoquant l’article</w:t>
      </w:r>
      <w:r w:rsidR="00EC09F7">
        <w:rPr>
          <w:rFonts w:cs="Arial"/>
          <w:szCs w:val="24"/>
          <w:lang w:eastAsia="fr-CA"/>
        </w:rPr>
        <w:t> </w:t>
      </w:r>
      <w:r w:rsidR="00F82F93" w:rsidRPr="00C47CD0">
        <w:rPr>
          <w:rFonts w:cs="Arial"/>
          <w:szCs w:val="24"/>
          <w:lang w:eastAsia="fr-CA"/>
        </w:rPr>
        <w:t xml:space="preserve">317 C.c.Q. Enfin, ils affirment que les fautes et manquements imputés aux Défendeurs sont la cause directe de l’ensemble des dommages </w:t>
      </w:r>
      <w:r w:rsidR="00D97738">
        <w:rPr>
          <w:rFonts w:cs="Arial"/>
          <w:szCs w:val="24"/>
          <w:lang w:eastAsia="fr-CA"/>
        </w:rPr>
        <w:t xml:space="preserve">qu’ils ont </w:t>
      </w:r>
      <w:r w:rsidR="00F82F93" w:rsidRPr="00C47CD0">
        <w:rPr>
          <w:rFonts w:cs="Arial"/>
          <w:szCs w:val="24"/>
          <w:lang w:eastAsia="fr-CA"/>
        </w:rPr>
        <w:t>subis</w:t>
      </w:r>
      <w:r w:rsidR="00D97738">
        <w:rPr>
          <w:rFonts w:cs="Arial"/>
          <w:szCs w:val="24"/>
          <w:lang w:eastAsia="fr-CA"/>
        </w:rPr>
        <w:t>.</w:t>
      </w:r>
    </w:p>
    <w:p w14:paraId="3DE80CAD" w14:textId="77777777" w:rsidR="003F56A7" w:rsidRPr="00F76BC3" w:rsidRDefault="00730A01" w:rsidP="00443B59">
      <w:pPr>
        <w:pStyle w:val="Titre2"/>
        <w:numPr>
          <w:ilvl w:val="0"/>
          <w:numId w:val="84"/>
        </w:numPr>
        <w:spacing w:before="120"/>
        <w:ind w:left="714" w:hanging="357"/>
        <w:rPr>
          <w:u w:val="single"/>
        </w:rPr>
      </w:pPr>
      <w:bookmarkStart w:id="25" w:name="_Toc211495204"/>
      <w:bookmarkStart w:id="26" w:name="_Toc211600624"/>
      <w:r w:rsidRPr="00F76BC3">
        <w:rPr>
          <w:u w:val="single"/>
        </w:rPr>
        <w:t>La position des Défendeurs</w:t>
      </w:r>
      <w:bookmarkEnd w:id="25"/>
      <w:bookmarkEnd w:id="26"/>
      <w:r w:rsidRPr="00F76BC3">
        <w:rPr>
          <w:u w:val="single"/>
        </w:rPr>
        <w:t xml:space="preserve"> </w:t>
      </w:r>
    </w:p>
    <w:p w14:paraId="0A3B13B4" w14:textId="77777777" w:rsidR="003F56A7" w:rsidRPr="00C47CD0" w:rsidRDefault="00730A01" w:rsidP="0098012F">
      <w:pPr>
        <w:pStyle w:val="Paragraphe"/>
        <w:numPr>
          <w:ilvl w:val="0"/>
          <w:numId w:val="1"/>
        </w:numPr>
        <w:tabs>
          <w:tab w:val="clear" w:pos="786"/>
        </w:tabs>
        <w:spacing w:line="240" w:lineRule="auto"/>
        <w:ind w:left="0"/>
        <w:rPr>
          <w:rFonts w:cs="Arial"/>
        </w:rPr>
      </w:pPr>
      <w:r w:rsidRPr="00C47CD0">
        <w:rPr>
          <w:rFonts w:cs="Arial"/>
          <w:szCs w:val="24"/>
          <w:lang w:eastAsia="fr-CA"/>
        </w:rPr>
        <w:t>Les Défendeurs, pour leur part, nuancent le rôle de Giroux. Ils demandent de distinguer FIISH de Q-12 et d’examiner chaque prêt selon son contexte temporel, en soulignant l’implication d’autres acteurs tels que Guillaume St-Gelais</w:t>
      </w:r>
      <w:r>
        <w:rPr>
          <w:rStyle w:val="Appelnotedebasdep"/>
          <w:rFonts w:cs="Arial"/>
          <w:szCs w:val="24"/>
          <w:lang w:eastAsia="fr-CA"/>
        </w:rPr>
        <w:footnoteReference w:id="21"/>
      </w:r>
      <w:r w:rsidRPr="00C47CD0">
        <w:rPr>
          <w:rFonts w:cs="Arial"/>
          <w:szCs w:val="24"/>
          <w:lang w:eastAsia="fr-CA"/>
        </w:rPr>
        <w:t>, Nadine Lehoux</w:t>
      </w:r>
      <w:r>
        <w:rPr>
          <w:rStyle w:val="Appelnotedebasdep"/>
          <w:rFonts w:cs="Arial"/>
          <w:szCs w:val="24"/>
          <w:lang w:eastAsia="fr-CA"/>
        </w:rPr>
        <w:footnoteReference w:id="22"/>
      </w:r>
      <w:r w:rsidRPr="00C47CD0">
        <w:rPr>
          <w:rFonts w:cs="Arial"/>
          <w:szCs w:val="24"/>
          <w:lang w:eastAsia="fr-CA"/>
        </w:rPr>
        <w:t>, Hélène Germain</w:t>
      </w:r>
      <w:r>
        <w:rPr>
          <w:rStyle w:val="Appelnotedebasdep"/>
          <w:rFonts w:cs="Arial"/>
          <w:szCs w:val="24"/>
          <w:lang w:eastAsia="fr-CA"/>
        </w:rPr>
        <w:footnoteReference w:id="23"/>
      </w:r>
      <w:r w:rsidRPr="00C47CD0">
        <w:rPr>
          <w:rFonts w:cs="Arial"/>
          <w:szCs w:val="24"/>
          <w:lang w:eastAsia="fr-CA"/>
        </w:rPr>
        <w:t xml:space="preserve"> et divers professionnels (avocats, évaluateurs, comptables).</w:t>
      </w:r>
    </w:p>
    <w:p w14:paraId="176FA57A" w14:textId="77777777" w:rsidR="003F56A7" w:rsidRPr="003D0910" w:rsidRDefault="00730A01" w:rsidP="0098012F">
      <w:pPr>
        <w:pStyle w:val="Paragraphe"/>
        <w:numPr>
          <w:ilvl w:val="0"/>
          <w:numId w:val="1"/>
        </w:numPr>
        <w:tabs>
          <w:tab w:val="clear" w:pos="786"/>
        </w:tabs>
        <w:spacing w:line="240" w:lineRule="auto"/>
        <w:ind w:left="0"/>
        <w:rPr>
          <w:rFonts w:cs="Arial"/>
        </w:rPr>
      </w:pPr>
      <w:r w:rsidRPr="00C47CD0">
        <w:rPr>
          <w:rFonts w:cs="Arial"/>
          <w:szCs w:val="24"/>
          <w:lang w:eastAsia="fr-CA"/>
        </w:rPr>
        <w:t xml:space="preserve">Ils </w:t>
      </w:r>
      <w:r w:rsidR="00D97738">
        <w:rPr>
          <w:rFonts w:cs="Arial"/>
          <w:szCs w:val="24"/>
          <w:lang w:eastAsia="fr-CA"/>
        </w:rPr>
        <w:t>soumett</w:t>
      </w:r>
      <w:r w:rsidRPr="00C47CD0">
        <w:rPr>
          <w:rFonts w:cs="Arial"/>
          <w:szCs w:val="24"/>
          <w:lang w:eastAsia="fr-CA"/>
        </w:rPr>
        <w:t xml:space="preserve">ent que les Demandeurs </w:t>
      </w:r>
      <w:r w:rsidR="003D0910">
        <w:rPr>
          <w:rFonts w:cs="Arial"/>
          <w:szCs w:val="24"/>
          <w:lang w:eastAsia="fr-CA"/>
        </w:rPr>
        <w:t>so</w:t>
      </w:r>
      <w:r w:rsidRPr="00C47CD0">
        <w:rPr>
          <w:rFonts w:cs="Arial"/>
          <w:szCs w:val="24"/>
          <w:lang w:eastAsia="fr-CA"/>
        </w:rPr>
        <w:t>nt des investisseurs aguerris et qualifiés, souvent eux-mêmes partenaires d’affaires de Stéphan Huot, et que FIISH et Q-12 ont obtenu des sûretés couvrant l’ensemble des actifs du Groupe Huot. Contrairement aux allégations, les Défendeurs maintiennent que les stratégies de prêts ont été respectées</w:t>
      </w:r>
      <w:r w:rsidR="003D0910">
        <w:rPr>
          <w:rFonts w:cs="Arial"/>
          <w:szCs w:val="24"/>
          <w:lang w:eastAsia="fr-CA"/>
        </w:rPr>
        <w:t>,</w:t>
      </w:r>
      <w:r w:rsidRPr="00C47CD0">
        <w:rPr>
          <w:rFonts w:cs="Arial"/>
          <w:szCs w:val="24"/>
          <w:lang w:eastAsia="fr-CA"/>
        </w:rPr>
        <w:t xml:space="preserve"> que les garanties étaient suffisantes</w:t>
      </w:r>
      <w:r w:rsidR="003D0910">
        <w:rPr>
          <w:rFonts w:cs="Arial"/>
          <w:szCs w:val="24"/>
          <w:lang w:eastAsia="fr-CA"/>
        </w:rPr>
        <w:t xml:space="preserve"> et </w:t>
      </w:r>
      <w:r w:rsidRPr="003D0910">
        <w:rPr>
          <w:rFonts w:cs="Arial"/>
          <w:szCs w:val="24"/>
          <w:lang w:eastAsia="fr-CA"/>
        </w:rPr>
        <w:t xml:space="preserve">que les ratios d’équité ont </w:t>
      </w:r>
      <w:r w:rsidR="003D0910">
        <w:rPr>
          <w:rFonts w:cs="Arial"/>
          <w:szCs w:val="24"/>
          <w:lang w:eastAsia="fr-CA"/>
        </w:rPr>
        <w:t xml:space="preserve">aussi </w:t>
      </w:r>
      <w:r w:rsidRPr="003D0910">
        <w:rPr>
          <w:rFonts w:cs="Arial"/>
          <w:szCs w:val="24"/>
          <w:lang w:eastAsia="fr-CA"/>
        </w:rPr>
        <w:t>été respectés</w:t>
      </w:r>
      <w:r w:rsidR="003D0910">
        <w:rPr>
          <w:rFonts w:cs="Arial"/>
          <w:szCs w:val="24"/>
          <w:lang w:eastAsia="fr-CA"/>
        </w:rPr>
        <w:t xml:space="preserve">. </w:t>
      </w:r>
      <w:r w:rsidRPr="003D0910">
        <w:rPr>
          <w:rFonts w:cs="Arial"/>
          <w:szCs w:val="24"/>
          <w:lang w:eastAsia="fr-CA"/>
        </w:rPr>
        <w:t>Les Défendeurs contestent l’idée qu’ils aient caché les défauts du Groupe Huot, estimant que cette question n’a pas été alléguée de façon cohérente, et qu</w:t>
      </w:r>
      <w:r w:rsidR="003D0910">
        <w:rPr>
          <w:rFonts w:cs="Arial"/>
          <w:szCs w:val="24"/>
          <w:lang w:eastAsia="fr-CA"/>
        </w:rPr>
        <w:t>e</w:t>
      </w:r>
      <w:r w:rsidRPr="003D0910">
        <w:rPr>
          <w:rFonts w:cs="Arial"/>
          <w:szCs w:val="24"/>
          <w:lang w:eastAsia="fr-CA"/>
        </w:rPr>
        <w:t xml:space="preserve"> les propos de Huot du 2</w:t>
      </w:r>
      <w:r w:rsidR="00192E75">
        <w:rPr>
          <w:rFonts w:cs="Arial"/>
          <w:szCs w:val="24"/>
          <w:lang w:eastAsia="fr-CA"/>
        </w:rPr>
        <w:t> </w:t>
      </w:r>
      <w:r w:rsidRPr="003D0910">
        <w:rPr>
          <w:rFonts w:cs="Arial"/>
          <w:szCs w:val="24"/>
          <w:lang w:eastAsia="fr-CA"/>
        </w:rPr>
        <w:t>mars</w:t>
      </w:r>
      <w:r w:rsidR="00EC09F7">
        <w:rPr>
          <w:rFonts w:cs="Arial"/>
          <w:szCs w:val="24"/>
          <w:lang w:eastAsia="fr-CA"/>
        </w:rPr>
        <w:t> </w:t>
      </w:r>
      <w:r w:rsidRPr="003D0910">
        <w:rPr>
          <w:rFonts w:cs="Arial"/>
          <w:szCs w:val="24"/>
          <w:lang w:eastAsia="fr-CA"/>
        </w:rPr>
        <w:t>2022 démontrent le contraire</w:t>
      </w:r>
      <w:r>
        <w:rPr>
          <w:rStyle w:val="Appelnotedebasdep"/>
          <w:rFonts w:cs="Arial"/>
          <w:szCs w:val="24"/>
          <w:lang w:eastAsia="fr-CA"/>
        </w:rPr>
        <w:footnoteReference w:id="24"/>
      </w:r>
      <w:r w:rsidR="00EC09F7">
        <w:rPr>
          <w:rFonts w:cs="Arial"/>
          <w:szCs w:val="24"/>
          <w:lang w:eastAsia="fr-CA"/>
        </w:rPr>
        <w:t>.</w:t>
      </w:r>
    </w:p>
    <w:p w14:paraId="312BFEEE" w14:textId="77777777" w:rsidR="003F56A7" w:rsidRPr="00C47CD0" w:rsidRDefault="00730A01" w:rsidP="0098012F">
      <w:pPr>
        <w:pStyle w:val="Paragraphe"/>
        <w:numPr>
          <w:ilvl w:val="0"/>
          <w:numId w:val="1"/>
        </w:numPr>
        <w:tabs>
          <w:tab w:val="clear" w:pos="786"/>
        </w:tabs>
        <w:spacing w:line="240" w:lineRule="auto"/>
        <w:ind w:left="0"/>
        <w:rPr>
          <w:rFonts w:cs="Arial"/>
        </w:rPr>
      </w:pPr>
      <w:r>
        <w:rPr>
          <w:rFonts w:cs="Arial"/>
          <w:szCs w:val="24"/>
          <w:lang w:eastAsia="fr-CA"/>
        </w:rPr>
        <w:t>Concernant</w:t>
      </w:r>
      <w:r w:rsidR="00F82F93" w:rsidRPr="00C47CD0">
        <w:rPr>
          <w:rFonts w:cs="Arial"/>
          <w:szCs w:val="24"/>
          <w:lang w:eastAsia="fr-CA"/>
        </w:rPr>
        <w:t xml:space="preserve"> la levée du voile corporatif, ils répliquent que les Demandeurs connaissaient parfaitement l’existence des entités corporatives distinctes</w:t>
      </w:r>
      <w:r w:rsidR="00F82F93" w:rsidRPr="00C47CD0">
        <w:rPr>
          <w:rFonts w:cs="Arial"/>
          <w:b/>
          <w:bCs/>
          <w:szCs w:val="24"/>
          <w:lang w:eastAsia="fr-CA"/>
        </w:rPr>
        <w:t>,</w:t>
      </w:r>
      <w:r w:rsidR="00F82F93" w:rsidRPr="00C47CD0">
        <w:rPr>
          <w:rFonts w:cs="Arial"/>
          <w:szCs w:val="24"/>
          <w:lang w:eastAsia="fr-CA"/>
        </w:rPr>
        <w:t xml:space="preserve"> toutes créées pour des fins légitimes et gérées conformément aux règles, avec états financiers et registres distincts. </w:t>
      </w:r>
    </w:p>
    <w:p w14:paraId="7FDFC07B" w14:textId="77777777" w:rsidR="00F82F93" w:rsidRPr="00532971" w:rsidRDefault="00730A01" w:rsidP="0098012F">
      <w:pPr>
        <w:pStyle w:val="Paragraphe"/>
        <w:numPr>
          <w:ilvl w:val="0"/>
          <w:numId w:val="1"/>
        </w:numPr>
        <w:tabs>
          <w:tab w:val="clear" w:pos="786"/>
        </w:tabs>
        <w:spacing w:line="240" w:lineRule="auto"/>
        <w:ind w:left="0"/>
        <w:rPr>
          <w:rFonts w:cs="Arial"/>
        </w:rPr>
      </w:pPr>
      <w:r w:rsidRPr="00C47CD0">
        <w:rPr>
          <w:rFonts w:cs="Arial"/>
          <w:szCs w:val="24"/>
          <w:lang w:eastAsia="fr-CA"/>
        </w:rPr>
        <w:t>Enfin, ils affirment que toute la problématique dans cette affaire découle de la déconfiture du Groupe Huot</w:t>
      </w:r>
      <w:r w:rsidR="00540E24">
        <w:rPr>
          <w:rFonts w:cs="Arial"/>
          <w:szCs w:val="24"/>
          <w:lang w:eastAsia="fr-CA"/>
        </w:rPr>
        <w:t>, laquelle</w:t>
      </w:r>
      <w:r w:rsidRPr="00C47CD0">
        <w:rPr>
          <w:rFonts w:cs="Arial"/>
          <w:szCs w:val="24"/>
          <w:lang w:eastAsia="fr-CA"/>
        </w:rPr>
        <w:t xml:space="preserve"> n’est nullement imputable à leurs agissements.</w:t>
      </w:r>
    </w:p>
    <w:p w14:paraId="45E82E96" w14:textId="77777777" w:rsidR="006E3876" w:rsidRDefault="00730A01" w:rsidP="00252A4B">
      <w:pPr>
        <w:pStyle w:val="Paragraphedeliste"/>
        <w:tabs>
          <w:tab w:val="left" w:pos="3686"/>
        </w:tabs>
        <w:rPr>
          <w:szCs w:val="24"/>
        </w:rPr>
      </w:pPr>
      <w:bookmarkStart w:id="27" w:name="_Toc205902149"/>
      <w:r>
        <w:rPr>
          <w:szCs w:val="24"/>
        </w:rPr>
        <w:tab/>
        <w:t>* * *</w:t>
      </w:r>
    </w:p>
    <w:p w14:paraId="77500CBA" w14:textId="77777777" w:rsidR="006E3876" w:rsidRDefault="00730A01">
      <w:pPr>
        <w:rPr>
          <w:szCs w:val="24"/>
        </w:rPr>
      </w:pPr>
      <w:r>
        <w:rPr>
          <w:szCs w:val="24"/>
        </w:rPr>
        <w:br w:type="page"/>
      </w:r>
    </w:p>
    <w:p w14:paraId="55052C69" w14:textId="77777777" w:rsidR="007A6C58" w:rsidRPr="008956DC" w:rsidRDefault="00730A01" w:rsidP="000267F8">
      <w:pPr>
        <w:pStyle w:val="Titre1"/>
        <w:ind w:right="-28"/>
        <w:rPr>
          <w:b w:val="0"/>
          <w:bCs/>
          <w:sz w:val="24"/>
          <w:szCs w:val="24"/>
        </w:rPr>
      </w:pPr>
      <w:bookmarkStart w:id="28" w:name="_Toc211495205"/>
      <w:bookmarkStart w:id="29" w:name="_Toc211600625"/>
      <w:r w:rsidRPr="008956DC">
        <w:rPr>
          <w:bCs/>
          <w:sz w:val="24"/>
          <w:szCs w:val="24"/>
        </w:rPr>
        <w:t>LES QUESTIONS EN LITIGE</w:t>
      </w:r>
      <w:bookmarkEnd w:id="27"/>
      <w:bookmarkEnd w:id="28"/>
      <w:bookmarkEnd w:id="29"/>
    </w:p>
    <w:p w14:paraId="4285A743" w14:textId="77777777" w:rsidR="00443B59" w:rsidRDefault="00730A01" w:rsidP="00FF736E">
      <w:pPr>
        <w:pStyle w:val="Paragraphe"/>
        <w:numPr>
          <w:ilvl w:val="0"/>
          <w:numId w:val="4"/>
        </w:numPr>
        <w:spacing w:after="60" w:line="240" w:lineRule="auto"/>
        <w:ind w:left="425" w:hanging="425"/>
        <w:rPr>
          <w:b/>
          <w:bCs/>
        </w:rPr>
      </w:pPr>
      <w:bookmarkStart w:id="30" w:name="_Hlk208323243"/>
      <w:r>
        <w:rPr>
          <w:b/>
          <w:bCs/>
        </w:rPr>
        <w:t>Est-ce que le recours des commanditaires est recevable?</w:t>
      </w:r>
    </w:p>
    <w:p w14:paraId="1C6E9D7E" w14:textId="77777777" w:rsidR="006B0097" w:rsidRDefault="00730A01" w:rsidP="00FF736E">
      <w:pPr>
        <w:pStyle w:val="Paragraphe"/>
        <w:numPr>
          <w:ilvl w:val="0"/>
          <w:numId w:val="4"/>
        </w:numPr>
        <w:spacing w:after="60" w:line="240" w:lineRule="auto"/>
        <w:ind w:left="425" w:hanging="425"/>
        <w:rPr>
          <w:b/>
          <w:bCs/>
        </w:rPr>
      </w:pPr>
      <w:r>
        <w:rPr>
          <w:b/>
          <w:bCs/>
        </w:rPr>
        <w:t>Qu’en est-il des incidents procéduraux?</w:t>
      </w:r>
    </w:p>
    <w:p w14:paraId="5A9CB0AE" w14:textId="77777777" w:rsidR="00C47CD0" w:rsidRDefault="00730A01" w:rsidP="00FF736E">
      <w:pPr>
        <w:pStyle w:val="Paragraphe"/>
        <w:numPr>
          <w:ilvl w:val="0"/>
          <w:numId w:val="4"/>
        </w:numPr>
        <w:spacing w:after="60" w:line="240" w:lineRule="auto"/>
        <w:ind w:left="425" w:hanging="425"/>
        <w:rPr>
          <w:b/>
          <w:bCs/>
        </w:rPr>
      </w:pPr>
      <w:r w:rsidRPr="001B0D2F">
        <w:rPr>
          <w:b/>
          <w:bCs/>
        </w:rPr>
        <w:t xml:space="preserve">Est-ce que Giroux a commis une </w:t>
      </w:r>
      <w:r w:rsidR="006668F1">
        <w:rPr>
          <w:b/>
          <w:bCs/>
        </w:rPr>
        <w:t xml:space="preserve">ou des </w:t>
      </w:r>
      <w:r w:rsidRPr="001B0D2F">
        <w:rPr>
          <w:b/>
          <w:bCs/>
        </w:rPr>
        <w:t>faute</w:t>
      </w:r>
      <w:r w:rsidR="006668F1">
        <w:rPr>
          <w:b/>
          <w:bCs/>
        </w:rPr>
        <w:t>s</w:t>
      </w:r>
      <w:r w:rsidRPr="001B0D2F">
        <w:rPr>
          <w:b/>
          <w:bCs/>
        </w:rPr>
        <w:t xml:space="preserve"> à l’égard des </w:t>
      </w:r>
      <w:r>
        <w:rPr>
          <w:b/>
          <w:bCs/>
        </w:rPr>
        <w:t>D</w:t>
      </w:r>
      <w:r w:rsidRPr="001B0D2F">
        <w:rPr>
          <w:b/>
          <w:bCs/>
        </w:rPr>
        <w:t xml:space="preserve">emandeurs, engageant sa responsabilité personnelle extracontractuelle? </w:t>
      </w:r>
    </w:p>
    <w:p w14:paraId="4832EF1C" w14:textId="77777777" w:rsidR="006668F1" w:rsidRPr="0095103D" w:rsidRDefault="00730A01" w:rsidP="00FF736E">
      <w:pPr>
        <w:pStyle w:val="Paragraphe"/>
        <w:numPr>
          <w:ilvl w:val="1"/>
          <w:numId w:val="146"/>
        </w:numPr>
        <w:spacing w:after="60" w:line="240" w:lineRule="auto"/>
        <w:ind w:left="851" w:hanging="567"/>
      </w:pPr>
      <w:r w:rsidRPr="0095103D">
        <w:t xml:space="preserve">Dans l’affirmative, est-ce que cette ou ces fautes ont été génératrices de dommages? </w:t>
      </w:r>
    </w:p>
    <w:p w14:paraId="650BCE3A" w14:textId="77777777" w:rsidR="007A6C58" w:rsidRPr="0095103D" w:rsidRDefault="00730A01" w:rsidP="00FF736E">
      <w:pPr>
        <w:pStyle w:val="Paragraphe"/>
        <w:numPr>
          <w:ilvl w:val="1"/>
          <w:numId w:val="146"/>
        </w:numPr>
        <w:spacing w:after="60" w:line="240" w:lineRule="auto"/>
        <w:ind w:left="851" w:hanging="567"/>
      </w:pPr>
      <w:r w:rsidRPr="0095103D">
        <w:t>Existe-t-il un lien de causalité entre les dommages réclamés et cette ou ces fautes?</w:t>
      </w:r>
    </w:p>
    <w:p w14:paraId="10F364BC" w14:textId="77777777" w:rsidR="00C47CD0" w:rsidRDefault="00730A01" w:rsidP="00FF736E">
      <w:pPr>
        <w:pStyle w:val="Paragraphe"/>
        <w:numPr>
          <w:ilvl w:val="0"/>
          <w:numId w:val="146"/>
        </w:numPr>
        <w:spacing w:after="60" w:line="240" w:lineRule="auto"/>
        <w:ind w:left="425" w:hanging="425"/>
        <w:rPr>
          <w:b/>
          <w:bCs/>
        </w:rPr>
      </w:pPr>
      <w:bookmarkStart w:id="31" w:name="_Hlk204521143"/>
      <w:r w:rsidRPr="001B0D2F">
        <w:rPr>
          <w:b/>
          <w:bCs/>
        </w:rPr>
        <w:t xml:space="preserve">Est-ce que les commandités 1395 et 9797 de même que la </w:t>
      </w:r>
      <w:r>
        <w:rPr>
          <w:b/>
          <w:bCs/>
        </w:rPr>
        <w:t>s</w:t>
      </w:r>
      <w:r w:rsidRPr="001B0D2F">
        <w:rPr>
          <w:b/>
          <w:bCs/>
        </w:rPr>
        <w:t xml:space="preserve">ociété de gestion X2 et les autres sociétés défenderesses liées à Robert Giroux ont commis </w:t>
      </w:r>
      <w:r w:rsidR="00D97738">
        <w:rPr>
          <w:b/>
          <w:bCs/>
        </w:rPr>
        <w:t xml:space="preserve">une ou </w:t>
      </w:r>
      <w:r w:rsidRPr="001B0D2F">
        <w:rPr>
          <w:b/>
          <w:bCs/>
        </w:rPr>
        <w:t xml:space="preserve">des fautes engageant leur responsabilité à l’égard des </w:t>
      </w:r>
      <w:r>
        <w:rPr>
          <w:b/>
          <w:bCs/>
        </w:rPr>
        <w:t>D</w:t>
      </w:r>
      <w:r w:rsidRPr="001B0D2F">
        <w:rPr>
          <w:b/>
          <w:bCs/>
        </w:rPr>
        <w:t>emandeurs?</w:t>
      </w:r>
      <w:r>
        <w:rPr>
          <w:b/>
          <w:bCs/>
        </w:rPr>
        <w:t xml:space="preserve"> </w:t>
      </w:r>
    </w:p>
    <w:p w14:paraId="646C35B8" w14:textId="77777777" w:rsidR="007A6C58" w:rsidRPr="0095103D" w:rsidRDefault="00730A01" w:rsidP="00FF736E">
      <w:pPr>
        <w:pStyle w:val="Paragraphe"/>
        <w:numPr>
          <w:ilvl w:val="1"/>
          <w:numId w:val="146"/>
        </w:numPr>
        <w:spacing w:after="60" w:line="240" w:lineRule="auto"/>
        <w:ind w:left="851" w:hanging="567"/>
      </w:pPr>
      <w:r w:rsidRPr="0095103D">
        <w:t>Dans l’affirmative, existe-t-il un lien de causalité entre les dommages réclamés et cette ou ces fautes?</w:t>
      </w:r>
    </w:p>
    <w:bookmarkEnd w:id="31"/>
    <w:p w14:paraId="2655C13E" w14:textId="77777777" w:rsidR="00B82F43" w:rsidRDefault="00730A01" w:rsidP="00FF736E">
      <w:pPr>
        <w:pStyle w:val="Paragraphe"/>
        <w:numPr>
          <w:ilvl w:val="0"/>
          <w:numId w:val="146"/>
        </w:numPr>
        <w:spacing w:after="60" w:line="240" w:lineRule="auto"/>
        <w:ind w:left="426" w:hanging="426"/>
        <w:rPr>
          <w:b/>
          <w:bCs/>
        </w:rPr>
      </w:pPr>
      <w:r w:rsidRPr="001B0D2F">
        <w:rPr>
          <w:b/>
          <w:bCs/>
        </w:rPr>
        <w:t xml:space="preserve">Est-ce qu’il y a lieu d’opérer un partage de responsabilité entre les </w:t>
      </w:r>
      <w:r>
        <w:rPr>
          <w:b/>
          <w:bCs/>
        </w:rPr>
        <w:t>D</w:t>
      </w:r>
      <w:r w:rsidRPr="001B0D2F">
        <w:rPr>
          <w:b/>
          <w:bCs/>
        </w:rPr>
        <w:t xml:space="preserve">éfendeurs et les </w:t>
      </w:r>
      <w:r>
        <w:rPr>
          <w:b/>
          <w:bCs/>
        </w:rPr>
        <w:t>D</w:t>
      </w:r>
      <w:r w:rsidRPr="001B0D2F">
        <w:rPr>
          <w:b/>
          <w:bCs/>
        </w:rPr>
        <w:t>emandeurs et, le cas échéant</w:t>
      </w:r>
      <w:r>
        <w:rPr>
          <w:b/>
          <w:bCs/>
        </w:rPr>
        <w:t>,</w:t>
      </w:r>
      <w:r w:rsidRPr="001B0D2F">
        <w:rPr>
          <w:b/>
          <w:bCs/>
        </w:rPr>
        <w:t xml:space="preserve"> dans quelle mesure?</w:t>
      </w:r>
      <w:bookmarkStart w:id="32" w:name="_Hlk204598357"/>
    </w:p>
    <w:p w14:paraId="42E3227E" w14:textId="77777777" w:rsidR="00B82F43" w:rsidRDefault="00730A01" w:rsidP="00FF736E">
      <w:pPr>
        <w:pStyle w:val="Paragraphe"/>
        <w:numPr>
          <w:ilvl w:val="0"/>
          <w:numId w:val="146"/>
        </w:numPr>
        <w:spacing w:after="60" w:line="240" w:lineRule="auto"/>
        <w:ind w:left="426" w:hanging="426"/>
        <w:rPr>
          <w:b/>
          <w:bCs/>
        </w:rPr>
      </w:pPr>
      <w:r w:rsidRPr="00B82F43">
        <w:rPr>
          <w:b/>
          <w:bCs/>
        </w:rPr>
        <w:t>Est-ce que les clauses de limitation de responsabilité que l’on retrouvent aux Conventions des sociétés en commandite Q-12 et FIISH sont applicables en l’espèce?</w:t>
      </w:r>
      <w:bookmarkEnd w:id="32"/>
    </w:p>
    <w:p w14:paraId="1EAF13BE" w14:textId="77777777" w:rsidR="00C47CD0" w:rsidRPr="00B82F43" w:rsidRDefault="00730A01" w:rsidP="00FF736E">
      <w:pPr>
        <w:pStyle w:val="Paragraphe"/>
        <w:numPr>
          <w:ilvl w:val="0"/>
          <w:numId w:val="146"/>
        </w:numPr>
        <w:spacing w:after="60" w:line="240" w:lineRule="auto"/>
        <w:ind w:left="426" w:hanging="426"/>
        <w:rPr>
          <w:b/>
          <w:bCs/>
        </w:rPr>
      </w:pPr>
      <w:r w:rsidRPr="00B82F43">
        <w:rPr>
          <w:b/>
          <w:bCs/>
        </w:rPr>
        <w:t xml:space="preserve">Est-ce qu’il doit y avoir levée du voile corporatif en l’instance? </w:t>
      </w:r>
    </w:p>
    <w:p w14:paraId="3D951CF1" w14:textId="77777777" w:rsidR="005A6243" w:rsidRPr="006E3876" w:rsidRDefault="00730A01" w:rsidP="00FF736E">
      <w:pPr>
        <w:pStyle w:val="Paragraphe"/>
        <w:numPr>
          <w:ilvl w:val="1"/>
          <w:numId w:val="146"/>
        </w:numPr>
        <w:spacing w:after="60" w:line="240" w:lineRule="auto"/>
        <w:ind w:left="851" w:hanging="567"/>
      </w:pPr>
      <w:r w:rsidRPr="0095103D">
        <w:t>Dans l’affirmative, en faveur de qui? À l’égard de qui? Sur quelle(s) base(s)?</w:t>
      </w:r>
      <w:r w:rsidR="00B82F43" w:rsidRPr="0095103D">
        <w:t xml:space="preserve"> </w:t>
      </w:r>
    </w:p>
    <w:p w14:paraId="1C8416E1" w14:textId="77777777" w:rsidR="00B82F43" w:rsidRPr="00E8523A" w:rsidRDefault="00730A01" w:rsidP="00FF736E">
      <w:pPr>
        <w:pStyle w:val="Paragraphe"/>
        <w:numPr>
          <w:ilvl w:val="0"/>
          <w:numId w:val="146"/>
        </w:numPr>
        <w:spacing w:after="60" w:line="240" w:lineRule="auto"/>
        <w:ind w:left="426" w:hanging="426"/>
        <w:rPr>
          <w:b/>
          <w:bCs/>
        </w:rPr>
      </w:pPr>
      <w:r>
        <w:rPr>
          <w:b/>
          <w:bCs/>
        </w:rPr>
        <w:t xml:space="preserve">Quel est le </w:t>
      </w:r>
      <w:r w:rsidR="007A6C58" w:rsidRPr="00E8523A">
        <w:rPr>
          <w:b/>
          <w:bCs/>
        </w:rPr>
        <w:t>quantum</w:t>
      </w:r>
      <w:r w:rsidR="007A6C58" w:rsidRPr="00E8523A">
        <w:rPr>
          <w:b/>
          <w:bCs/>
          <w:i/>
          <w:iCs/>
        </w:rPr>
        <w:t xml:space="preserve"> </w:t>
      </w:r>
      <w:r w:rsidR="007A6C58" w:rsidRPr="00E8523A">
        <w:rPr>
          <w:b/>
          <w:bCs/>
        </w:rPr>
        <w:t xml:space="preserve">des dommages subis par les Demandeurs? </w:t>
      </w:r>
    </w:p>
    <w:p w14:paraId="126E7A9A" w14:textId="77777777" w:rsidR="007A6C58" w:rsidRPr="0095103D" w:rsidRDefault="00730A01" w:rsidP="00FF736E">
      <w:pPr>
        <w:pStyle w:val="Paragraphe"/>
        <w:numPr>
          <w:ilvl w:val="1"/>
          <w:numId w:val="146"/>
        </w:numPr>
        <w:spacing w:after="60" w:line="240" w:lineRule="auto"/>
        <w:ind w:left="851" w:hanging="567"/>
      </w:pPr>
      <w:r w:rsidRPr="0095103D">
        <w:t>Est-ce que les Demandeurs peuvent rechercher (tant dans le dossier FIISH que Q-12) une réclamation unique/collective/oblique/solidaire?</w:t>
      </w:r>
    </w:p>
    <w:p w14:paraId="336216A6" w14:textId="77777777" w:rsidR="006B0097" w:rsidRDefault="00730A01" w:rsidP="00FF736E">
      <w:pPr>
        <w:pStyle w:val="Paragraphe"/>
        <w:numPr>
          <w:ilvl w:val="0"/>
          <w:numId w:val="146"/>
        </w:numPr>
        <w:spacing w:after="60" w:line="240" w:lineRule="auto"/>
        <w:ind w:left="426" w:hanging="426"/>
        <w:rPr>
          <w:b/>
          <w:bCs/>
        </w:rPr>
      </w:pPr>
      <w:r w:rsidRPr="00B82F43">
        <w:rPr>
          <w:b/>
          <w:bCs/>
        </w:rPr>
        <w:t>Est-ce que les Demandeurs ont rempli leur obligation de minimiser les dommages?</w:t>
      </w:r>
    </w:p>
    <w:p w14:paraId="550BBAB1" w14:textId="77777777" w:rsidR="00B82F43" w:rsidRDefault="00730A01" w:rsidP="00FF736E">
      <w:pPr>
        <w:pStyle w:val="Paragraphe"/>
        <w:numPr>
          <w:ilvl w:val="0"/>
          <w:numId w:val="146"/>
        </w:numPr>
        <w:spacing w:after="60" w:line="240" w:lineRule="auto"/>
        <w:ind w:left="426" w:hanging="426"/>
        <w:rPr>
          <w:b/>
          <w:bCs/>
        </w:rPr>
      </w:pPr>
      <w:r w:rsidRPr="007F7E9C">
        <w:rPr>
          <w:b/>
          <w:bCs/>
        </w:rPr>
        <w:t xml:space="preserve">Est-ce que </w:t>
      </w:r>
      <w:r>
        <w:rPr>
          <w:b/>
          <w:bCs/>
        </w:rPr>
        <w:t>d</w:t>
      </w:r>
      <w:r w:rsidRPr="007F7E9C">
        <w:rPr>
          <w:b/>
          <w:bCs/>
        </w:rPr>
        <w:t>es intérêts à 12 % peuvent être réclamés?</w:t>
      </w:r>
      <w:r>
        <w:rPr>
          <w:b/>
          <w:bCs/>
        </w:rPr>
        <w:t xml:space="preserve"> </w:t>
      </w:r>
    </w:p>
    <w:p w14:paraId="3E05F0B7" w14:textId="77777777" w:rsidR="00782DBA" w:rsidRDefault="00730A01" w:rsidP="00443B59">
      <w:pPr>
        <w:pStyle w:val="Paragraphe"/>
        <w:numPr>
          <w:ilvl w:val="0"/>
          <w:numId w:val="146"/>
        </w:numPr>
        <w:spacing w:line="240" w:lineRule="auto"/>
        <w:ind w:left="426" w:hanging="426"/>
        <w:rPr>
          <w:b/>
          <w:bCs/>
        </w:rPr>
      </w:pPr>
      <w:r w:rsidRPr="007F7E9C">
        <w:rPr>
          <w:b/>
          <w:bCs/>
        </w:rPr>
        <w:t xml:space="preserve">Relativement à la demande reconventionnelle, est-ce que les </w:t>
      </w:r>
      <w:r>
        <w:rPr>
          <w:b/>
          <w:bCs/>
        </w:rPr>
        <w:t>D</w:t>
      </w:r>
      <w:r w:rsidRPr="007F7E9C">
        <w:rPr>
          <w:b/>
          <w:bCs/>
        </w:rPr>
        <w:t xml:space="preserve">emandeurs ont diffamé les </w:t>
      </w:r>
      <w:r>
        <w:rPr>
          <w:b/>
          <w:bCs/>
        </w:rPr>
        <w:t>D</w:t>
      </w:r>
      <w:r w:rsidRPr="007F7E9C">
        <w:rPr>
          <w:b/>
          <w:bCs/>
        </w:rPr>
        <w:t>éfendeurs ou leur ont causé préjudice par leurs agissements?</w:t>
      </w:r>
    </w:p>
    <w:p w14:paraId="04F08336" w14:textId="77777777" w:rsidR="00BA56F5" w:rsidRDefault="00730A01" w:rsidP="0098012F">
      <w:pPr>
        <w:pStyle w:val="Paragraphe"/>
        <w:numPr>
          <w:ilvl w:val="0"/>
          <w:numId w:val="0"/>
        </w:numPr>
        <w:tabs>
          <w:tab w:val="left" w:pos="3686"/>
        </w:tabs>
        <w:spacing w:line="240" w:lineRule="auto"/>
        <w:ind w:left="426"/>
      </w:pPr>
      <w:r>
        <w:rPr>
          <w:b/>
          <w:bCs/>
        </w:rPr>
        <w:tab/>
      </w:r>
      <w:r>
        <w:t>* * *</w:t>
      </w:r>
    </w:p>
    <w:p w14:paraId="19E66338" w14:textId="77777777" w:rsidR="00BA56F5" w:rsidRPr="00F76BC3" w:rsidRDefault="00730A01" w:rsidP="00FF736E">
      <w:pPr>
        <w:pStyle w:val="Titre1"/>
        <w:spacing w:after="0"/>
        <w:rPr>
          <w:b w:val="0"/>
          <w:szCs w:val="28"/>
        </w:rPr>
      </w:pPr>
      <w:r>
        <w:br w:type="page"/>
      </w:r>
      <w:bookmarkStart w:id="33" w:name="_Toc211495206"/>
      <w:bookmarkStart w:id="34" w:name="_Toc211600626"/>
      <w:r w:rsidRPr="00F76BC3">
        <w:rPr>
          <w:szCs w:val="28"/>
        </w:rPr>
        <w:t>PARTIE 2</w:t>
      </w:r>
      <w:bookmarkEnd w:id="33"/>
      <w:bookmarkEnd w:id="34"/>
      <w:r w:rsidR="00F76BC3" w:rsidRPr="00F76BC3">
        <w:rPr>
          <w:szCs w:val="28"/>
        </w:rPr>
        <w:t xml:space="preserve"> </w:t>
      </w:r>
    </w:p>
    <w:p w14:paraId="36792274" w14:textId="77777777" w:rsidR="0065115E" w:rsidRDefault="00730A01" w:rsidP="00F923AF">
      <w:pPr>
        <w:pStyle w:val="Titre1"/>
        <w:spacing w:before="100" w:beforeAutospacing="1" w:after="120"/>
        <w:rPr>
          <w:bCs/>
          <w:sz w:val="24"/>
          <w:szCs w:val="24"/>
        </w:rPr>
      </w:pPr>
      <w:bookmarkStart w:id="35" w:name="_Toc211495207"/>
      <w:bookmarkStart w:id="36" w:name="_Toc211600627"/>
      <w:r w:rsidRPr="004D0652">
        <w:rPr>
          <w:bCs/>
          <w:sz w:val="24"/>
          <w:szCs w:val="24"/>
        </w:rPr>
        <w:t>L’ANALYSE</w:t>
      </w:r>
      <w:bookmarkEnd w:id="35"/>
      <w:bookmarkEnd w:id="36"/>
    </w:p>
    <w:bookmarkEnd w:id="30"/>
    <w:p w14:paraId="602B7E13" w14:textId="77777777" w:rsidR="00F923AF" w:rsidRPr="00233907" w:rsidRDefault="00730A01" w:rsidP="00F923AF">
      <w:pPr>
        <w:pStyle w:val="Titre2"/>
        <w:numPr>
          <w:ilvl w:val="0"/>
          <w:numId w:val="95"/>
        </w:numPr>
        <w:spacing w:before="120"/>
        <w:ind w:left="567" w:hanging="567"/>
        <w:rPr>
          <w:rFonts w:cs="Arial"/>
          <w:bCs/>
          <w:smallCaps/>
          <w:szCs w:val="24"/>
          <w:lang w:eastAsia="fr-CA"/>
        </w:rPr>
      </w:pPr>
      <w:r w:rsidRPr="00233907">
        <w:rPr>
          <w:bCs/>
          <w:smallCaps/>
          <w:szCs w:val="24"/>
        </w:rPr>
        <w:t>La recevabilité du recours des Demandeurs</w:t>
      </w:r>
    </w:p>
    <w:p w14:paraId="7F90991B" w14:textId="77777777" w:rsidR="00F923AF" w:rsidRPr="00860157" w:rsidRDefault="00730A01" w:rsidP="00F923AF">
      <w:pPr>
        <w:pStyle w:val="Paragraphe"/>
        <w:tabs>
          <w:tab w:val="clear" w:pos="786"/>
        </w:tabs>
        <w:spacing w:line="240" w:lineRule="auto"/>
        <w:ind w:left="0"/>
      </w:pPr>
      <w:r w:rsidRPr="00860157">
        <w:t>Les Défendeurs déposent une demande en irrecevabilité à l’encontre de la procédure des demandeurs. Ils soutiennent que les commanditaires de FIISH et Q-12 n’auraient pas l’intérêt pour agir, car les recours appartiendraient exclusivement aux sociétés en commandite, selon les conventions pertinentes et la jurisprudence en la matière.</w:t>
      </w:r>
    </w:p>
    <w:p w14:paraId="694EAAD3" w14:textId="77777777" w:rsidR="00F923AF" w:rsidRPr="00860157" w:rsidRDefault="00730A01" w:rsidP="00F923AF">
      <w:pPr>
        <w:pStyle w:val="Paragraphe"/>
        <w:tabs>
          <w:tab w:val="clear" w:pos="786"/>
        </w:tabs>
        <w:spacing w:line="240" w:lineRule="auto"/>
        <w:ind w:left="0"/>
      </w:pPr>
      <w:r w:rsidRPr="00860157">
        <w:t xml:space="preserve">Les Demandeurs contestent évidemment cette thèse. </w:t>
      </w:r>
    </w:p>
    <w:p w14:paraId="09FC50F9" w14:textId="77777777" w:rsidR="00EE1FA3" w:rsidRDefault="00730A01" w:rsidP="00F923AF">
      <w:pPr>
        <w:pStyle w:val="Paragraphe"/>
        <w:tabs>
          <w:tab w:val="clear" w:pos="786"/>
        </w:tabs>
        <w:spacing w:line="240" w:lineRule="auto"/>
        <w:ind w:left="0"/>
      </w:pPr>
      <w:r w:rsidRPr="00860157">
        <w:t>Le Tribunal</w:t>
      </w:r>
      <w:r>
        <w:t xml:space="preserve"> rejettera la demande en irrecevabilité pour les motifs suivants : </w:t>
      </w:r>
    </w:p>
    <w:p w14:paraId="2FBB1EA6" w14:textId="77777777" w:rsidR="00F923AF" w:rsidRPr="009B0380" w:rsidRDefault="00730A01" w:rsidP="00F923AF">
      <w:pPr>
        <w:pStyle w:val="Paragraphe"/>
        <w:tabs>
          <w:tab w:val="clear" w:pos="786"/>
        </w:tabs>
        <w:spacing w:line="240" w:lineRule="auto"/>
        <w:ind w:left="0"/>
        <w:rPr>
          <w:rStyle w:val="text-token-text-secondary"/>
        </w:rPr>
      </w:pPr>
      <w:r w:rsidRPr="00014ADA">
        <w:rPr>
          <w:rFonts w:cs="Arial"/>
        </w:rPr>
        <w:t xml:space="preserve">Les </w:t>
      </w:r>
      <w:r w:rsidRPr="00900B65">
        <w:rPr>
          <w:rStyle w:val="lev"/>
          <w:rFonts w:cs="Arial"/>
          <w:b w:val="0"/>
          <w:bCs w:val="0"/>
        </w:rPr>
        <w:t>commanditaires sont les seuls</w:t>
      </w:r>
      <w:r w:rsidRPr="00014ADA">
        <w:rPr>
          <w:rFonts w:cs="Arial"/>
        </w:rPr>
        <w:t xml:space="preserve"> à avoir l’intérêt juridique pour réclamer les dommages découlant des </w:t>
      </w:r>
      <w:r w:rsidRPr="00900B65">
        <w:rPr>
          <w:rStyle w:val="lev"/>
          <w:rFonts w:cs="Arial"/>
          <w:b w:val="0"/>
          <w:bCs w:val="0"/>
        </w:rPr>
        <w:t>fausses représentations et réassurances</w:t>
      </w:r>
      <w:r w:rsidRPr="00900B65">
        <w:rPr>
          <w:rFonts w:cs="Arial"/>
        </w:rPr>
        <w:t xml:space="preserve"> de Giroux, qui les a incités à investir dans les deux fonds</w:t>
      </w:r>
      <w:r w:rsidRPr="00900B65">
        <w:rPr>
          <w:rStyle w:val="text-token-text-secondary"/>
          <w:rFonts w:cs="Arial"/>
        </w:rPr>
        <w:t>.</w:t>
      </w:r>
    </w:p>
    <w:p w14:paraId="38939701" w14:textId="77777777" w:rsidR="00F923AF" w:rsidRPr="00014ADA" w:rsidRDefault="00730A01" w:rsidP="00F923AF">
      <w:pPr>
        <w:pStyle w:val="Paragraphe"/>
        <w:tabs>
          <w:tab w:val="clear" w:pos="786"/>
        </w:tabs>
        <w:spacing w:line="240" w:lineRule="auto"/>
        <w:ind w:left="0"/>
        <w:rPr>
          <w:rFonts w:eastAsia="MS Mincho"/>
          <w:lang w:eastAsia="en-US"/>
        </w:rPr>
      </w:pPr>
      <w:r w:rsidRPr="00014ADA">
        <w:rPr>
          <w:rStyle w:val="text-token-text-secondary"/>
          <w:rFonts w:cs="Arial"/>
          <w:szCs w:val="24"/>
        </w:rPr>
        <w:t xml:space="preserve">En effet, </w:t>
      </w:r>
      <w:r w:rsidRPr="00014ADA">
        <w:rPr>
          <w:rFonts w:eastAsia="MS Mincho"/>
          <w:lang w:eastAsia="en-US"/>
        </w:rPr>
        <w:t>un commanditaire peut avoir un intérêt propre et distinct à intenter un recours, notamment lorsqu’il subit un préjudice direct qui ne se confond pas avec celui de la société en commandite.</w:t>
      </w:r>
    </w:p>
    <w:p w14:paraId="1114CCE5" w14:textId="77777777" w:rsidR="00F923AF" w:rsidRPr="00014ADA" w:rsidRDefault="00730A01" w:rsidP="00F923AF">
      <w:pPr>
        <w:pStyle w:val="Paragraphe"/>
        <w:tabs>
          <w:tab w:val="clear" w:pos="786"/>
        </w:tabs>
        <w:spacing w:line="240" w:lineRule="auto"/>
        <w:ind w:left="0"/>
        <w:rPr>
          <w:rFonts w:eastAsia="MS Mincho"/>
          <w:lang w:eastAsia="en-US"/>
        </w:rPr>
      </w:pPr>
      <w:r w:rsidRPr="00014ADA">
        <w:rPr>
          <w:rFonts w:eastAsia="MS Mincho"/>
          <w:lang w:eastAsia="en-US"/>
        </w:rPr>
        <w:t xml:space="preserve">D’ailleurs, dans </w:t>
      </w:r>
      <w:r w:rsidRPr="00A15CF0">
        <w:rPr>
          <w:rFonts w:eastAsia="MS Mincho"/>
          <w:i/>
          <w:iCs/>
          <w:lang w:eastAsia="en-US"/>
        </w:rPr>
        <w:t>Houle</w:t>
      </w:r>
      <w:r w:rsidRPr="00A15CF0">
        <w:rPr>
          <w:rFonts w:eastAsia="MS Mincho"/>
          <w:lang w:eastAsia="en-US"/>
        </w:rPr>
        <w:t xml:space="preserve"> c. </w:t>
      </w:r>
      <w:r>
        <w:rPr>
          <w:rFonts w:eastAsia="MS Mincho"/>
          <w:i/>
          <w:iCs/>
          <w:lang w:eastAsia="en-US"/>
        </w:rPr>
        <w:t>Banque canadienne nationale</w:t>
      </w:r>
      <w:r>
        <w:rPr>
          <w:rStyle w:val="Appelnotedebasdep"/>
          <w:rFonts w:eastAsia="MS Mincho"/>
          <w:i/>
          <w:iCs/>
          <w:lang w:eastAsia="en-US"/>
        </w:rPr>
        <w:footnoteReference w:id="25"/>
      </w:r>
      <w:r w:rsidRPr="00A15CF0">
        <w:rPr>
          <w:rFonts w:eastAsia="MS Mincho"/>
          <w:i/>
          <w:iCs/>
          <w:lang w:eastAsia="en-US"/>
        </w:rPr>
        <w:t>,</w:t>
      </w:r>
      <w:r w:rsidRPr="00014ADA">
        <w:rPr>
          <w:rFonts w:eastAsia="MS Mincho"/>
          <w:lang w:eastAsia="en-US"/>
        </w:rPr>
        <w:t xml:space="preserve"> la Cour suprême a confirmé que l’investisseur lésé par un comportement fautif peut exercer un droit d’action direct.</w:t>
      </w:r>
    </w:p>
    <w:p w14:paraId="66052443" w14:textId="77777777" w:rsidR="00F923AF" w:rsidRPr="00014ADA" w:rsidRDefault="00730A01" w:rsidP="00F923AF">
      <w:pPr>
        <w:pStyle w:val="Paragraphe"/>
        <w:tabs>
          <w:tab w:val="clear" w:pos="786"/>
        </w:tabs>
        <w:spacing w:line="240" w:lineRule="auto"/>
        <w:ind w:left="0"/>
        <w:rPr>
          <w:rStyle w:val="text-token-text-secondary"/>
          <w:rFonts w:cs="Arial"/>
          <w:szCs w:val="24"/>
        </w:rPr>
      </w:pPr>
      <w:r w:rsidRPr="00014ADA">
        <w:t xml:space="preserve">Tant les commanditaires que les sociétés en commandite disposent d’un </w:t>
      </w:r>
      <w:r w:rsidRPr="00900B65">
        <w:rPr>
          <w:rStyle w:val="lev"/>
          <w:rFonts w:cs="Arial"/>
          <w:b w:val="0"/>
          <w:bCs w:val="0"/>
          <w:szCs w:val="24"/>
        </w:rPr>
        <w:t>recours conjoint</w:t>
      </w:r>
      <w:r w:rsidRPr="00014ADA">
        <w:t xml:space="preserve"> contre les Défendeurs, </w:t>
      </w:r>
      <w:r>
        <w:t xml:space="preserve">notamment </w:t>
      </w:r>
      <w:r w:rsidRPr="00014ADA">
        <w:t>en vertu du régime de l’administration du bien d’autrui et des obligations de bonne foi</w:t>
      </w:r>
      <w:r w:rsidRPr="00014ADA">
        <w:rPr>
          <w:rStyle w:val="text-token-text-secondary"/>
          <w:rFonts w:cs="Arial"/>
          <w:szCs w:val="24"/>
        </w:rPr>
        <w:t>.</w:t>
      </w:r>
    </w:p>
    <w:p w14:paraId="6E4D0B95" w14:textId="77777777" w:rsidR="00F923AF" w:rsidRPr="00014ADA" w:rsidRDefault="00730A01" w:rsidP="00F923AF">
      <w:pPr>
        <w:pStyle w:val="Paragraphe"/>
        <w:tabs>
          <w:tab w:val="clear" w:pos="786"/>
        </w:tabs>
        <w:spacing w:line="240" w:lineRule="auto"/>
        <w:ind w:left="0"/>
        <w:rPr>
          <w:b/>
          <w:bCs/>
        </w:rPr>
      </w:pPr>
      <w:r w:rsidRPr="00014ADA">
        <w:t xml:space="preserve">Même si les sociétés en commandite peuvent également exercer un recours, cela ne retire pas le droit des commanditaires d’agir conjointement avec elles. Le </w:t>
      </w:r>
      <w:r w:rsidRPr="00014ADA">
        <w:rPr>
          <w:i/>
          <w:iCs/>
        </w:rPr>
        <w:t>Code civil du Québec</w:t>
      </w:r>
      <w:r w:rsidRPr="00014ADA">
        <w:t xml:space="preserve"> impose, à son article</w:t>
      </w:r>
      <w:r>
        <w:t> </w:t>
      </w:r>
      <w:r w:rsidRPr="00014ADA">
        <w:t>1309, une obligation de loyauté et de bonne foi qui justifie la participation des commanditaires au litige</w:t>
      </w:r>
      <w:r>
        <w:t> :</w:t>
      </w:r>
      <w:r w:rsidRPr="00014ADA">
        <w:rPr>
          <w:b/>
          <w:bCs/>
        </w:rPr>
        <w:t xml:space="preserve"> </w:t>
      </w:r>
    </w:p>
    <w:p w14:paraId="1CC24CE4" w14:textId="77777777" w:rsidR="00F923AF" w:rsidRPr="001221D9" w:rsidRDefault="00730A01" w:rsidP="00F923AF">
      <w:pPr>
        <w:pStyle w:val="Citationenretrait"/>
        <w:ind w:right="539"/>
      </w:pPr>
      <w:r w:rsidRPr="001221D9">
        <w:t>1309. L’administrateur doit agir avec prudence et diligence.</w:t>
      </w:r>
      <w:r>
        <w:t xml:space="preserve"> </w:t>
      </w:r>
      <w:r w:rsidRPr="001221D9">
        <w:t>Il doit aussi agir avec honnêteté et loyauté, dans le meilleur intérêt du bénéficiaire ou de la fin poursuivie</w:t>
      </w:r>
      <w:r>
        <w:t>.</w:t>
      </w:r>
    </w:p>
    <w:p w14:paraId="650C80BF" w14:textId="77777777" w:rsidR="00F923AF" w:rsidRPr="00014ADA" w:rsidRDefault="00730A01" w:rsidP="00F923AF">
      <w:pPr>
        <w:pStyle w:val="Paragraphe"/>
        <w:tabs>
          <w:tab w:val="clear" w:pos="786"/>
        </w:tabs>
        <w:spacing w:line="240" w:lineRule="auto"/>
        <w:ind w:left="0"/>
        <w:rPr>
          <w:lang w:eastAsia="fr-CA"/>
        </w:rPr>
      </w:pPr>
      <w:r w:rsidRPr="00014ADA">
        <w:rPr>
          <w:lang w:eastAsia="fr-CA"/>
        </w:rPr>
        <w:t xml:space="preserve">À maintes reprises, la Cour d’appel a confirmé le </w:t>
      </w:r>
      <w:r w:rsidRPr="00900B65">
        <w:rPr>
          <w:lang w:eastAsia="fr-CA"/>
        </w:rPr>
        <w:t>caractère impératif</w:t>
      </w:r>
      <w:r w:rsidRPr="00014ADA">
        <w:rPr>
          <w:lang w:eastAsia="fr-CA"/>
        </w:rPr>
        <w:t xml:space="preserve"> des obligations de prudence, diligence, honnêteté et loyauté inhérentes à tout régime d’administration, en précisant notamment qu’aucune clause ne peut les écarter. Les administrateurs du bien d’autrui doivent agir comme une personne honnête et raisonnable, et cette obligation est </w:t>
      </w:r>
      <w:r w:rsidRPr="00900B65">
        <w:rPr>
          <w:lang w:eastAsia="fr-CA"/>
        </w:rPr>
        <w:t>d’ordre public</w:t>
      </w:r>
      <w:r>
        <w:rPr>
          <w:rStyle w:val="Appelnotedebasdep"/>
          <w:rFonts w:cs="Arial"/>
          <w:szCs w:val="24"/>
          <w:lang w:eastAsia="fr-CA"/>
        </w:rPr>
        <w:footnoteReference w:id="26"/>
      </w:r>
      <w:r w:rsidRPr="0043038E">
        <w:rPr>
          <w:lang w:eastAsia="fr-CA"/>
        </w:rPr>
        <w:t>.</w:t>
      </w:r>
    </w:p>
    <w:p w14:paraId="2BB408E3" w14:textId="77777777" w:rsidR="00F923AF" w:rsidRDefault="00730A01" w:rsidP="00F923AF">
      <w:pPr>
        <w:pStyle w:val="Paragraphe"/>
        <w:tabs>
          <w:tab w:val="clear" w:pos="786"/>
        </w:tabs>
        <w:spacing w:line="240" w:lineRule="auto"/>
        <w:ind w:left="0"/>
        <w:rPr>
          <w:rStyle w:val="text-token-text-secondary"/>
          <w:rFonts w:cs="Arial"/>
          <w:szCs w:val="24"/>
        </w:rPr>
      </w:pPr>
      <w:r w:rsidRPr="00014ADA">
        <w:t xml:space="preserve">Pour éviter tout risque </w:t>
      </w:r>
      <w:r w:rsidRPr="00900B65">
        <w:t>de</w:t>
      </w:r>
      <w:r w:rsidRPr="00900B65">
        <w:rPr>
          <w:b/>
          <w:bCs/>
        </w:rPr>
        <w:t xml:space="preserve"> </w:t>
      </w:r>
      <w:r w:rsidRPr="00900B65">
        <w:rPr>
          <w:rStyle w:val="lev"/>
          <w:rFonts w:cs="Arial"/>
          <w:b w:val="0"/>
          <w:bCs w:val="0"/>
          <w:szCs w:val="24"/>
        </w:rPr>
        <w:t>jugement contradictoire</w:t>
      </w:r>
      <w:r w:rsidRPr="00900B65">
        <w:rPr>
          <w:b/>
          <w:bCs/>
        </w:rPr>
        <w:t xml:space="preserve"> </w:t>
      </w:r>
      <w:r w:rsidRPr="00900B65">
        <w:t>ou de</w:t>
      </w:r>
      <w:r w:rsidRPr="00900B65">
        <w:rPr>
          <w:b/>
          <w:bCs/>
        </w:rPr>
        <w:t xml:space="preserve"> </w:t>
      </w:r>
      <w:r w:rsidRPr="00900B65">
        <w:rPr>
          <w:rStyle w:val="lev"/>
          <w:rFonts w:cs="Arial"/>
          <w:b w:val="0"/>
          <w:bCs w:val="0"/>
          <w:szCs w:val="24"/>
        </w:rPr>
        <w:t>double indemnisation</w:t>
      </w:r>
      <w:r w:rsidRPr="00014ADA">
        <w:t>, les Demandeurs, qui peuvent se qualifier à titre de créanciers conjoints au sens de l’article</w:t>
      </w:r>
      <w:r>
        <w:t> </w:t>
      </w:r>
      <w:r w:rsidRPr="00014ADA">
        <w:t>1518, alinéa</w:t>
      </w:r>
      <w:r>
        <w:t> </w:t>
      </w:r>
      <w:r w:rsidRPr="00014ADA">
        <w:t>2</w:t>
      </w:r>
      <w:r>
        <w:t> </w:t>
      </w:r>
      <w:r w:rsidRPr="00014ADA">
        <w:t xml:space="preserve">C.c.Q., ont choisi d’introduire </w:t>
      </w:r>
      <w:r w:rsidRPr="00900B65">
        <w:rPr>
          <w:rStyle w:val="lev"/>
          <w:rFonts w:cs="Arial"/>
          <w:b w:val="0"/>
          <w:bCs w:val="0"/>
          <w:szCs w:val="24"/>
        </w:rPr>
        <w:t>un recours unique</w:t>
      </w:r>
      <w:r w:rsidRPr="00014ADA">
        <w:t xml:space="preserve"> contre l’ensemble des Défendeurs</w:t>
      </w:r>
      <w:r w:rsidRPr="00014ADA">
        <w:rPr>
          <w:rStyle w:val="text-token-text-secondary"/>
          <w:rFonts w:cs="Arial"/>
          <w:szCs w:val="24"/>
        </w:rPr>
        <w:t xml:space="preserve">. </w:t>
      </w:r>
    </w:p>
    <w:p w14:paraId="34C5BCB7" w14:textId="77777777" w:rsidR="00F923AF" w:rsidRPr="0084799F" w:rsidRDefault="00730A01" w:rsidP="00F923AF">
      <w:pPr>
        <w:pStyle w:val="Paragraphe"/>
        <w:tabs>
          <w:tab w:val="clear" w:pos="786"/>
        </w:tabs>
        <w:spacing w:line="240" w:lineRule="auto"/>
        <w:ind w:left="0"/>
        <w:rPr>
          <w:rFonts w:eastAsia="MS Mincho"/>
          <w:lang w:eastAsia="en-US"/>
        </w:rPr>
      </w:pPr>
      <w:r w:rsidRPr="0084799F">
        <w:rPr>
          <w:rStyle w:val="text-token-text-secondary"/>
          <w:rFonts w:cs="Arial"/>
          <w:szCs w:val="24"/>
        </w:rPr>
        <w:t xml:space="preserve">La possibilité </w:t>
      </w:r>
      <w:r w:rsidRPr="0084799F">
        <w:rPr>
          <w:rFonts w:eastAsia="MS Mincho"/>
          <w:lang w:eastAsia="en-US"/>
        </w:rPr>
        <w:t>de regrouper les recours lorsque plusieurs parties subissent un préjudice lié à un même fait générateur</w:t>
      </w:r>
      <w:r>
        <w:rPr>
          <w:rFonts w:eastAsia="MS Mincho"/>
          <w:lang w:eastAsia="en-US"/>
        </w:rPr>
        <w:t xml:space="preserve"> a d’ailleurs toujours été reconnue en droit québécois</w:t>
      </w:r>
      <w:r>
        <w:rPr>
          <w:rStyle w:val="Appelnotedebasdep"/>
          <w:rFonts w:eastAsia="MS Mincho"/>
          <w:lang w:eastAsia="en-US"/>
        </w:rPr>
        <w:footnoteReference w:id="27"/>
      </w:r>
      <w:r w:rsidRPr="0084799F">
        <w:rPr>
          <w:rFonts w:eastAsia="MS Mincho"/>
          <w:lang w:eastAsia="en-US"/>
        </w:rPr>
        <w:t xml:space="preserve">. </w:t>
      </w:r>
    </w:p>
    <w:p w14:paraId="20E58090" w14:textId="77777777" w:rsidR="00F923AF" w:rsidRDefault="00730A01" w:rsidP="00F923AF">
      <w:pPr>
        <w:pStyle w:val="Paragraphe"/>
        <w:tabs>
          <w:tab w:val="clear" w:pos="786"/>
        </w:tabs>
        <w:spacing w:line="240" w:lineRule="auto"/>
        <w:ind w:left="0"/>
      </w:pPr>
      <w:r>
        <w:t>L</w:t>
      </w:r>
      <w:r w:rsidRPr="00014ADA">
        <w:t xml:space="preserve">e Tribunal conclut que le recours des </w:t>
      </w:r>
      <w:r>
        <w:t>D</w:t>
      </w:r>
      <w:r w:rsidRPr="00014ADA">
        <w:t>emandeurs est recevable notamment parce que les commanditaires poursuivent les défendeurs pour un préjudice direct et personnel, distinct de celui des Sociétés en commandite Q-12</w:t>
      </w:r>
      <w:r>
        <w:t xml:space="preserve"> </w:t>
      </w:r>
      <w:r w:rsidRPr="00014ADA">
        <w:t>et FIISH, et qu’ils agissent de concert avec celles-ci afin d’assurer une réparation complète et éviter toute duplication d’indemnisation.</w:t>
      </w:r>
    </w:p>
    <w:p w14:paraId="1F81E41D" w14:textId="77777777" w:rsidR="003D525A" w:rsidRPr="00F923AF" w:rsidRDefault="00730A01" w:rsidP="00F923AF">
      <w:pPr>
        <w:pStyle w:val="Titre2"/>
        <w:numPr>
          <w:ilvl w:val="0"/>
          <w:numId w:val="95"/>
        </w:numPr>
        <w:spacing w:before="120"/>
        <w:ind w:left="567" w:hanging="567"/>
        <w:rPr>
          <w:bCs/>
          <w:smallCaps/>
          <w:szCs w:val="24"/>
        </w:rPr>
      </w:pPr>
      <w:r w:rsidRPr="00F923AF">
        <w:rPr>
          <w:bCs/>
          <w:smallCaps/>
          <w:szCs w:val="24"/>
        </w:rPr>
        <w:t>Qu’en est-il des incidents procéduraux?</w:t>
      </w:r>
    </w:p>
    <w:p w14:paraId="5518F12B" w14:textId="77777777" w:rsidR="003D525A" w:rsidRDefault="00730A01" w:rsidP="0098012F">
      <w:pPr>
        <w:numPr>
          <w:ilvl w:val="0"/>
          <w:numId w:val="2"/>
        </w:numPr>
        <w:tabs>
          <w:tab w:val="clear" w:pos="786"/>
        </w:tabs>
        <w:spacing w:before="100" w:beforeAutospacing="1" w:after="100" w:afterAutospacing="1"/>
        <w:ind w:left="0"/>
        <w:jc w:val="both"/>
        <w:rPr>
          <w:rFonts w:cs="Arial"/>
          <w:szCs w:val="24"/>
          <w:lang w:eastAsia="fr-CA"/>
        </w:rPr>
      </w:pPr>
      <w:r>
        <w:rPr>
          <w:rFonts w:cs="Arial"/>
          <w:szCs w:val="24"/>
          <w:lang w:eastAsia="fr-CA"/>
        </w:rPr>
        <w:t xml:space="preserve">Avant de s’attarder sur le fond du litige, le Tribunal se devait de trancher plusieurs incidents procéduraux soulevés au cours du procès. Afin de ne pas alourdir la lecture de la décision portant sur le fond, l’analyse de ces incidents procéduraux est présentée dans une section séparée, soit la </w:t>
      </w:r>
      <w:r w:rsidR="00236EB1">
        <w:rPr>
          <w:rFonts w:cs="Arial"/>
          <w:szCs w:val="24"/>
          <w:lang w:eastAsia="fr-CA"/>
        </w:rPr>
        <w:t>Partie 3</w:t>
      </w:r>
      <w:r>
        <w:rPr>
          <w:rFonts w:cs="Arial"/>
          <w:szCs w:val="24"/>
          <w:lang w:eastAsia="fr-CA"/>
        </w:rPr>
        <w:t xml:space="preserve"> du présent jugement.</w:t>
      </w:r>
    </w:p>
    <w:p w14:paraId="38E8E726" w14:textId="77777777" w:rsidR="00D05FA3" w:rsidRDefault="00730A01" w:rsidP="0098012F">
      <w:pPr>
        <w:numPr>
          <w:ilvl w:val="0"/>
          <w:numId w:val="2"/>
        </w:numPr>
        <w:tabs>
          <w:tab w:val="clear" w:pos="786"/>
        </w:tabs>
        <w:spacing w:before="100" w:beforeAutospacing="1" w:after="100" w:afterAutospacing="1"/>
        <w:ind w:left="0"/>
        <w:jc w:val="both"/>
        <w:rPr>
          <w:rFonts w:cs="Arial"/>
          <w:szCs w:val="24"/>
          <w:lang w:eastAsia="fr-CA"/>
        </w:rPr>
      </w:pPr>
      <w:r>
        <w:rPr>
          <w:rFonts w:cs="Arial"/>
          <w:szCs w:val="24"/>
          <w:lang w:eastAsia="fr-CA"/>
        </w:rPr>
        <w:t>Enfin, puisque les problématiques en l’espèce ont commencé à poindre au printemps</w:t>
      </w:r>
      <w:r w:rsidR="00CD0C36">
        <w:rPr>
          <w:rFonts w:cs="Arial"/>
          <w:szCs w:val="24"/>
          <w:lang w:eastAsia="fr-CA"/>
        </w:rPr>
        <w:t> </w:t>
      </w:r>
      <w:r>
        <w:rPr>
          <w:rFonts w:cs="Arial"/>
          <w:szCs w:val="24"/>
          <w:lang w:eastAsia="fr-CA"/>
        </w:rPr>
        <w:t>2022, avant de procéder à l’analyse des questions en litige, il apparaît approprié de s’attarder immédiatement à la rencontre du 2</w:t>
      </w:r>
      <w:r w:rsidR="00192E75">
        <w:rPr>
          <w:rFonts w:cs="Arial"/>
          <w:szCs w:val="24"/>
          <w:lang w:eastAsia="fr-CA"/>
        </w:rPr>
        <w:t> </w:t>
      </w:r>
      <w:r>
        <w:rPr>
          <w:rFonts w:cs="Arial"/>
          <w:szCs w:val="24"/>
          <w:lang w:eastAsia="fr-CA"/>
        </w:rPr>
        <w:t>mars</w:t>
      </w:r>
      <w:r w:rsidR="00CD0C36">
        <w:rPr>
          <w:rFonts w:cs="Arial"/>
          <w:szCs w:val="24"/>
          <w:lang w:eastAsia="fr-CA"/>
        </w:rPr>
        <w:t> </w:t>
      </w:r>
      <w:r>
        <w:rPr>
          <w:rFonts w:cs="Arial"/>
          <w:szCs w:val="24"/>
          <w:lang w:eastAsia="fr-CA"/>
        </w:rPr>
        <w:t>202</w:t>
      </w:r>
      <w:r w:rsidR="003D0910">
        <w:rPr>
          <w:rFonts w:cs="Arial"/>
          <w:szCs w:val="24"/>
          <w:lang w:eastAsia="fr-CA"/>
        </w:rPr>
        <w:t>2</w:t>
      </w:r>
      <w:r w:rsidR="00310D12">
        <w:rPr>
          <w:rFonts w:cs="Arial"/>
          <w:szCs w:val="24"/>
          <w:lang w:eastAsia="fr-CA"/>
        </w:rPr>
        <w:t>, d’une durée d</w:t>
      </w:r>
      <w:r w:rsidR="0095103D">
        <w:rPr>
          <w:rFonts w:cs="Arial"/>
          <w:szCs w:val="24"/>
          <w:lang w:eastAsia="fr-CA"/>
        </w:rPr>
        <w:t xml:space="preserve">’environ </w:t>
      </w:r>
      <w:r w:rsidR="00310D12">
        <w:rPr>
          <w:rFonts w:cs="Arial"/>
          <w:szCs w:val="24"/>
          <w:lang w:eastAsia="fr-CA"/>
        </w:rPr>
        <w:t>4</w:t>
      </w:r>
      <w:r w:rsidR="00CD0C36">
        <w:rPr>
          <w:rFonts w:cs="Arial"/>
          <w:szCs w:val="24"/>
          <w:lang w:eastAsia="fr-CA"/>
        </w:rPr>
        <w:t> </w:t>
      </w:r>
      <w:r w:rsidR="00310D12">
        <w:rPr>
          <w:rFonts w:cs="Arial"/>
          <w:szCs w:val="24"/>
          <w:lang w:eastAsia="fr-CA"/>
        </w:rPr>
        <w:t xml:space="preserve">heures, </w:t>
      </w:r>
      <w:r>
        <w:rPr>
          <w:rFonts w:cs="Arial"/>
          <w:szCs w:val="24"/>
          <w:lang w:eastAsia="fr-CA"/>
        </w:rPr>
        <w:t>qui a eu lieu entre Stéphan Huot, Robert Giroux, Guillaume St-Gelais</w:t>
      </w:r>
      <w:r>
        <w:rPr>
          <w:rStyle w:val="Appelnotedebasdep"/>
          <w:rFonts w:cs="Arial"/>
          <w:szCs w:val="24"/>
          <w:lang w:eastAsia="fr-CA"/>
        </w:rPr>
        <w:footnoteReference w:id="28"/>
      </w:r>
      <w:r w:rsidR="006F36BC">
        <w:rPr>
          <w:rFonts w:cs="Arial"/>
          <w:szCs w:val="24"/>
          <w:lang w:eastAsia="fr-CA"/>
        </w:rPr>
        <w:t xml:space="preserve"> et Sophie Larochelle (vice-présidente finances du Groupe Huot</w:t>
      </w:r>
      <w:r w:rsidR="0095103D">
        <w:rPr>
          <w:rFonts w:cs="Arial"/>
          <w:szCs w:val="24"/>
          <w:lang w:eastAsia="fr-CA"/>
        </w:rPr>
        <w:t>).</w:t>
      </w:r>
    </w:p>
    <w:p w14:paraId="59F85F31" w14:textId="77777777" w:rsidR="0095103D" w:rsidRPr="00D05FA3" w:rsidRDefault="00730A01" w:rsidP="0098012F">
      <w:pPr>
        <w:numPr>
          <w:ilvl w:val="0"/>
          <w:numId w:val="2"/>
        </w:numPr>
        <w:tabs>
          <w:tab w:val="clear" w:pos="786"/>
        </w:tabs>
        <w:spacing w:before="100" w:beforeAutospacing="1" w:after="100" w:afterAutospacing="1"/>
        <w:ind w:left="0"/>
        <w:jc w:val="both"/>
        <w:rPr>
          <w:rFonts w:cs="Arial"/>
          <w:szCs w:val="24"/>
          <w:lang w:eastAsia="fr-CA"/>
        </w:rPr>
      </w:pPr>
      <w:r>
        <w:rPr>
          <w:rFonts w:cs="Arial"/>
          <w:szCs w:val="24"/>
          <w:lang w:eastAsia="fr-CA"/>
        </w:rPr>
        <w:t>Il appert que cette rencontre a été enregistrée à l’insu de Giroux. Les 400</w:t>
      </w:r>
      <w:r w:rsidR="00CD0C36">
        <w:rPr>
          <w:rFonts w:cs="Arial"/>
          <w:szCs w:val="24"/>
          <w:lang w:eastAsia="fr-CA"/>
        </w:rPr>
        <w:t> </w:t>
      </w:r>
      <w:r>
        <w:rPr>
          <w:rFonts w:cs="Arial"/>
          <w:szCs w:val="24"/>
          <w:lang w:eastAsia="fr-CA"/>
        </w:rPr>
        <w:t xml:space="preserve">pages </w:t>
      </w:r>
      <w:r w:rsidR="0044005E">
        <w:rPr>
          <w:rFonts w:cs="Arial"/>
          <w:szCs w:val="24"/>
          <w:lang w:eastAsia="fr-CA"/>
        </w:rPr>
        <w:t>de notes sténographiques de cet enregistrement sont déposées sous la cote PQ-103.</w:t>
      </w:r>
    </w:p>
    <w:p w14:paraId="2868B218" w14:textId="77777777" w:rsidR="00782DBA" w:rsidRPr="00BA56F5" w:rsidRDefault="00730A01" w:rsidP="0098012F">
      <w:pPr>
        <w:pStyle w:val="Style2"/>
        <w:rPr>
          <w:b/>
          <w:bCs w:val="0"/>
          <w:lang w:eastAsia="fr-CA"/>
        </w:rPr>
      </w:pPr>
      <w:bookmarkStart w:id="37" w:name="_Toc211495208"/>
      <w:bookmarkStart w:id="38" w:name="_Toc211600628"/>
      <w:r w:rsidRPr="00BA56F5">
        <w:rPr>
          <w:b/>
          <w:bCs w:val="0"/>
          <w:lang w:eastAsia="fr-CA"/>
        </w:rPr>
        <w:t>La rencontre du 2</w:t>
      </w:r>
      <w:r w:rsidR="00192E75">
        <w:rPr>
          <w:b/>
          <w:bCs w:val="0"/>
          <w:lang w:eastAsia="fr-CA"/>
        </w:rPr>
        <w:t> </w:t>
      </w:r>
      <w:r w:rsidRPr="00BA56F5">
        <w:rPr>
          <w:b/>
          <w:bCs w:val="0"/>
          <w:lang w:eastAsia="fr-CA"/>
        </w:rPr>
        <w:t>mars</w:t>
      </w:r>
      <w:r w:rsidR="00CD0C36">
        <w:rPr>
          <w:b/>
          <w:bCs w:val="0"/>
          <w:lang w:eastAsia="fr-CA"/>
        </w:rPr>
        <w:t> </w:t>
      </w:r>
      <w:r w:rsidRPr="00BA56F5">
        <w:rPr>
          <w:b/>
          <w:bCs w:val="0"/>
          <w:lang w:eastAsia="fr-CA"/>
        </w:rPr>
        <w:t>2022</w:t>
      </w:r>
      <w:bookmarkEnd w:id="37"/>
      <w:bookmarkEnd w:id="38"/>
    </w:p>
    <w:p w14:paraId="53850DA5" w14:textId="77777777" w:rsidR="00782DBA" w:rsidRPr="00D97738" w:rsidRDefault="00730A01" w:rsidP="0098012F">
      <w:pPr>
        <w:numPr>
          <w:ilvl w:val="0"/>
          <w:numId w:val="2"/>
        </w:numPr>
        <w:tabs>
          <w:tab w:val="clear" w:pos="786"/>
        </w:tabs>
        <w:spacing w:before="100" w:beforeAutospacing="1" w:after="100" w:afterAutospacing="1"/>
        <w:ind w:left="0"/>
        <w:jc w:val="both"/>
        <w:rPr>
          <w:rFonts w:cs="Arial"/>
          <w:szCs w:val="24"/>
          <w:lang w:eastAsia="fr-CA"/>
        </w:rPr>
      </w:pPr>
      <w:r w:rsidRPr="00427B95">
        <w:rPr>
          <w:rFonts w:cs="Arial"/>
          <w:szCs w:val="24"/>
          <w:lang w:eastAsia="fr-CA"/>
        </w:rPr>
        <w:t>Le Tribunal a eu l’occasion d’entendre une partie de l’enregistrement audio de cette réunion</w:t>
      </w:r>
      <w:r w:rsidR="006F36BC">
        <w:rPr>
          <w:rFonts w:cs="Arial"/>
          <w:szCs w:val="24"/>
          <w:lang w:eastAsia="fr-CA"/>
        </w:rPr>
        <w:t xml:space="preserve"> qui a été enregistrée à l’insu de Giroux</w:t>
      </w:r>
      <w:r>
        <w:rPr>
          <w:rStyle w:val="Appelnotedebasdep"/>
          <w:rFonts w:cs="Arial"/>
          <w:szCs w:val="24"/>
          <w:lang w:eastAsia="fr-CA"/>
        </w:rPr>
        <w:footnoteReference w:id="29"/>
      </w:r>
      <w:r w:rsidRPr="00427B95">
        <w:rPr>
          <w:rFonts w:cs="Arial"/>
          <w:szCs w:val="24"/>
          <w:lang w:eastAsia="fr-CA"/>
        </w:rPr>
        <w:t xml:space="preserve">. Loin d’être une séance ordinaire de travail, celle-ci s’est avérée être une </w:t>
      </w:r>
      <w:r w:rsidRPr="00D97738">
        <w:rPr>
          <w:rFonts w:cs="Arial"/>
          <w:szCs w:val="24"/>
          <w:lang w:eastAsia="fr-CA"/>
        </w:rPr>
        <w:t>rencontre de crise, centrée sur le financement des projets immobiliers, la survie financière du groupe et la menace imminente de faillite.</w:t>
      </w:r>
    </w:p>
    <w:p w14:paraId="3269655C" w14:textId="77777777" w:rsidR="00782DBA" w:rsidRDefault="00730A01" w:rsidP="0098012F">
      <w:pPr>
        <w:numPr>
          <w:ilvl w:val="0"/>
          <w:numId w:val="2"/>
        </w:numPr>
        <w:tabs>
          <w:tab w:val="clear" w:pos="786"/>
        </w:tabs>
        <w:spacing w:before="100" w:beforeAutospacing="1" w:after="100" w:afterAutospacing="1"/>
        <w:ind w:left="0"/>
        <w:jc w:val="both"/>
        <w:rPr>
          <w:rFonts w:cs="Arial"/>
          <w:szCs w:val="24"/>
          <w:lang w:eastAsia="fr-CA"/>
        </w:rPr>
      </w:pPr>
      <w:r w:rsidRPr="00D97738">
        <w:rPr>
          <w:rFonts w:cs="Arial"/>
        </w:rPr>
        <w:t>Les discussions confirment que l’objectif principal était de trouver des</w:t>
      </w:r>
      <w:r w:rsidRPr="00D97738">
        <w:rPr>
          <w:rFonts w:cs="Arial"/>
          <w:b/>
          <w:bCs/>
        </w:rPr>
        <w:t xml:space="preserve"> </w:t>
      </w:r>
      <w:r w:rsidRPr="00D97738">
        <w:rPr>
          <w:rStyle w:val="lev"/>
          <w:rFonts w:cs="Arial"/>
          <w:b w:val="0"/>
          <w:bCs w:val="0"/>
        </w:rPr>
        <w:t>solutions de financement</w:t>
      </w:r>
      <w:r w:rsidRPr="00D97738">
        <w:rPr>
          <w:rFonts w:cs="Arial"/>
          <w:b/>
          <w:bCs/>
        </w:rPr>
        <w:t xml:space="preserve"> </w:t>
      </w:r>
      <w:r w:rsidRPr="00D97738">
        <w:rPr>
          <w:rFonts w:cs="Arial"/>
        </w:rPr>
        <w:t>pour éviter</w:t>
      </w:r>
      <w:r w:rsidRPr="00DF5968">
        <w:rPr>
          <w:rFonts w:cs="Arial"/>
        </w:rPr>
        <w:t xml:space="preserve"> l’effondrement des projets en cours</w:t>
      </w:r>
      <w:r>
        <w:rPr>
          <w:rStyle w:val="Appelnotedebasdep"/>
          <w:rFonts w:cs="Arial"/>
        </w:rPr>
        <w:footnoteReference w:id="30"/>
      </w:r>
      <w:r w:rsidR="00CD0C36">
        <w:rPr>
          <w:rFonts w:cs="Arial"/>
        </w:rPr>
        <w:t>.</w:t>
      </w:r>
    </w:p>
    <w:p w14:paraId="10623BEA" w14:textId="77777777" w:rsidR="006F36BC" w:rsidRPr="006F36BC" w:rsidRDefault="00730A01" w:rsidP="0098012F">
      <w:pPr>
        <w:numPr>
          <w:ilvl w:val="0"/>
          <w:numId w:val="2"/>
        </w:numPr>
        <w:tabs>
          <w:tab w:val="clear" w:pos="786"/>
        </w:tabs>
        <w:spacing w:before="120"/>
        <w:ind w:left="0"/>
        <w:jc w:val="both"/>
        <w:rPr>
          <w:rFonts w:cs="Arial"/>
          <w:szCs w:val="24"/>
          <w:lang w:eastAsia="fr-CA"/>
        </w:rPr>
      </w:pPr>
      <w:r w:rsidRPr="00DF5968">
        <w:rPr>
          <w:rFonts w:cs="Arial"/>
        </w:rPr>
        <w:t>Dans les débuts</w:t>
      </w:r>
      <w:r w:rsidR="00DF570F">
        <w:rPr>
          <w:rFonts w:cs="Arial"/>
        </w:rPr>
        <w:t xml:space="preserve"> de la rencontre</w:t>
      </w:r>
      <w:r w:rsidRPr="00DF5968">
        <w:rPr>
          <w:rFonts w:cs="Arial"/>
        </w:rPr>
        <w:t>, Huot souligne le caractère tendu de sa situation financière</w:t>
      </w:r>
      <w:r>
        <w:rPr>
          <w:rFonts w:cs="Arial"/>
        </w:rPr>
        <w:t> :</w:t>
      </w:r>
      <w:r w:rsidRPr="006F36BC">
        <w:rPr>
          <w:rFonts w:cs="Arial"/>
        </w:rPr>
        <w:t xml:space="preserve"> </w:t>
      </w:r>
    </w:p>
    <w:p w14:paraId="23A12A0B" w14:textId="77777777" w:rsidR="00782DBA" w:rsidRPr="006F36BC" w:rsidRDefault="00730A01" w:rsidP="0098012F">
      <w:pPr>
        <w:pStyle w:val="Citationenretrait"/>
        <w:spacing w:after="0"/>
        <w:ind w:right="0"/>
        <w:rPr>
          <w:rFonts w:cs="Arial"/>
          <w:szCs w:val="24"/>
          <w:lang w:eastAsia="fr-CA"/>
        </w:rPr>
      </w:pPr>
      <w:r w:rsidRPr="002D617F">
        <w:rPr>
          <w:i/>
          <w:iCs/>
        </w:rPr>
        <w:t>Ça, c'est sur la fesse tout le long. Ça, il n'y a pas de farce à faire</w:t>
      </w:r>
      <w:r>
        <w:rPr>
          <w:rStyle w:val="Appelnotedebasdep"/>
        </w:rPr>
        <w:footnoteReference w:id="31"/>
      </w:r>
      <w:r w:rsidR="00CD0C36">
        <w:t>.</w:t>
      </w:r>
    </w:p>
    <w:p w14:paraId="78D6BE03" w14:textId="77777777" w:rsidR="00782DBA" w:rsidRPr="00DF5968" w:rsidRDefault="00730A01" w:rsidP="0098012F">
      <w:pPr>
        <w:numPr>
          <w:ilvl w:val="0"/>
          <w:numId w:val="2"/>
        </w:numPr>
        <w:tabs>
          <w:tab w:val="clear" w:pos="786"/>
        </w:tabs>
        <w:spacing w:before="120"/>
        <w:ind w:left="0"/>
        <w:jc w:val="both"/>
        <w:rPr>
          <w:rFonts w:cs="Arial"/>
          <w:szCs w:val="24"/>
          <w:lang w:eastAsia="fr-CA"/>
        </w:rPr>
      </w:pPr>
      <w:r w:rsidRPr="00DF5968">
        <w:rPr>
          <w:rFonts w:cs="Arial"/>
        </w:rPr>
        <w:t>Puis</w:t>
      </w:r>
      <w:r w:rsidRPr="00427B95">
        <w:rPr>
          <w:rFonts w:cs="Arial"/>
          <w:sz w:val="28"/>
          <w:szCs w:val="28"/>
          <w:lang w:eastAsia="fr-CA"/>
        </w:rPr>
        <w:t xml:space="preserve"> </w:t>
      </w:r>
      <w:r w:rsidRPr="00DF5968">
        <w:rPr>
          <w:rFonts w:cs="Arial"/>
          <w:szCs w:val="24"/>
          <w:lang w:eastAsia="fr-CA"/>
        </w:rPr>
        <w:t xml:space="preserve">Giroux défend ses montages financiers : </w:t>
      </w:r>
    </w:p>
    <w:p w14:paraId="61446702" w14:textId="77777777" w:rsidR="00782DBA" w:rsidRPr="00427B95" w:rsidRDefault="00730A01" w:rsidP="00252A4B">
      <w:pPr>
        <w:pStyle w:val="Citationenretrait"/>
        <w:ind w:right="539"/>
        <w:rPr>
          <w:szCs w:val="24"/>
          <w:lang w:eastAsia="fr-CA"/>
        </w:rPr>
      </w:pPr>
      <w:r w:rsidRPr="002D617F">
        <w:rPr>
          <w:i/>
          <w:iCs/>
          <w:szCs w:val="24"/>
          <w:lang w:eastAsia="fr-CA"/>
        </w:rPr>
        <w:t>…</w:t>
      </w:r>
      <w:r w:rsidRPr="002D617F">
        <w:rPr>
          <w:i/>
          <w:iCs/>
        </w:rPr>
        <w:t>t’sais, la crise qu’on a vécu le mois passé pour nos intérêts, t’sais, vous m’avez garroché ça à minuit moins 30</w:t>
      </w:r>
      <w:r w:rsidR="00CD0C36">
        <w:rPr>
          <w:i/>
          <w:iCs/>
        </w:rPr>
        <w:t> </w:t>
      </w:r>
      <w:r w:rsidRPr="002D617F">
        <w:rPr>
          <w:i/>
          <w:iCs/>
        </w:rPr>
        <w:t xml:space="preserve">secondes d’urgence, encore là, </w:t>
      </w:r>
      <w:r w:rsidRPr="002D617F">
        <w:rPr>
          <w:i/>
          <w:iCs/>
          <w:u w:val="single"/>
        </w:rPr>
        <w:t>on a encore fait des hostie de fling flang</w:t>
      </w:r>
      <w:r w:rsidRPr="002D617F">
        <w:rPr>
          <w:i/>
          <w:iCs/>
        </w:rPr>
        <w:t xml:space="preserve"> pour… pour essayer de vous sortir de la marde, mais là, avant, on vous a donné de l’argent avec les équités qu’on avait. Mais là… puis moi, le Fonds SH, il faut qu’il soit payé, là</w:t>
      </w:r>
      <w:r>
        <w:rPr>
          <w:rStyle w:val="Appelnotedebasdep"/>
          <w:szCs w:val="24"/>
          <w:lang w:eastAsia="fr-CA"/>
        </w:rPr>
        <w:footnoteReference w:id="32"/>
      </w:r>
      <w:r w:rsidR="00CD0C36">
        <w:t>.</w:t>
      </w:r>
    </w:p>
    <w:p w14:paraId="1830A38D" w14:textId="77777777" w:rsidR="00782DBA" w:rsidRDefault="00730A01" w:rsidP="0098012F">
      <w:pPr>
        <w:numPr>
          <w:ilvl w:val="0"/>
          <w:numId w:val="2"/>
        </w:numPr>
        <w:tabs>
          <w:tab w:val="clear" w:pos="786"/>
        </w:tabs>
        <w:spacing w:before="120"/>
        <w:ind w:left="0"/>
        <w:jc w:val="both"/>
        <w:rPr>
          <w:rFonts w:cs="Arial"/>
          <w:szCs w:val="24"/>
          <w:lang w:eastAsia="fr-CA"/>
        </w:rPr>
      </w:pPr>
      <w:r w:rsidRPr="00DF5968">
        <w:rPr>
          <w:rFonts w:cs="Arial"/>
        </w:rPr>
        <w:t>La</w:t>
      </w:r>
      <w:r w:rsidRPr="00427B95">
        <w:rPr>
          <w:rFonts w:cs="Arial"/>
          <w:szCs w:val="24"/>
          <w:lang w:eastAsia="fr-CA"/>
        </w:rPr>
        <w:t xml:space="preserve"> gravité de la situation est exprimée sans détour par Huot et St-Gelais</w:t>
      </w:r>
      <w:r>
        <w:rPr>
          <w:rFonts w:cs="Arial"/>
          <w:szCs w:val="24"/>
          <w:lang w:eastAsia="fr-CA"/>
        </w:rPr>
        <w:t xml:space="preserve">. </w:t>
      </w:r>
      <w:r w:rsidRPr="00DF5968">
        <w:rPr>
          <w:rFonts w:cs="Arial"/>
        </w:rPr>
        <w:t>Huot</w:t>
      </w:r>
      <w:r w:rsidRPr="00DF5968">
        <w:rPr>
          <w:rFonts w:cs="Arial"/>
          <w:szCs w:val="24"/>
          <w:lang w:eastAsia="fr-CA"/>
        </w:rPr>
        <w:t xml:space="preserve"> </w:t>
      </w:r>
      <w:r w:rsidRPr="00DF5968">
        <w:rPr>
          <w:rFonts w:cs="Arial"/>
        </w:rPr>
        <w:t>expose son désarroi</w:t>
      </w:r>
      <w:r w:rsidRPr="00DF5968">
        <w:rPr>
          <w:rFonts w:cs="Arial"/>
          <w:szCs w:val="24"/>
          <w:lang w:eastAsia="fr-CA"/>
        </w:rPr>
        <w:t xml:space="preserve"> : </w:t>
      </w:r>
    </w:p>
    <w:p w14:paraId="1CFF1A50" w14:textId="77777777" w:rsidR="00BA56F5" w:rsidRDefault="00730A01" w:rsidP="00252A4B">
      <w:pPr>
        <w:pStyle w:val="Citationenretrait"/>
        <w:ind w:right="539"/>
        <w:rPr>
          <w:i/>
          <w:iCs/>
          <w:lang w:eastAsia="fr-CA"/>
        </w:rPr>
      </w:pPr>
      <w:r w:rsidRPr="002D617F">
        <w:rPr>
          <w:i/>
          <w:iCs/>
          <w:lang w:eastAsia="fr-CA"/>
        </w:rPr>
        <w:t xml:space="preserve">Moi, aujourd'hui, je ne peux pas rester là-dedans parce que </w:t>
      </w:r>
      <w:r w:rsidRPr="00310D12">
        <w:rPr>
          <w:i/>
          <w:iCs/>
          <w:lang w:eastAsia="fr-CA"/>
        </w:rPr>
        <w:t>je vais aller en faillite. Toi, tu vas faire de l'argent. Moi, je vais aller en faillite</w:t>
      </w:r>
      <w:r w:rsidRPr="002D617F">
        <w:rPr>
          <w:i/>
          <w:iCs/>
          <w:lang w:eastAsia="fr-CA"/>
        </w:rPr>
        <w:t>, comprends-tu</w:t>
      </w:r>
      <w:r>
        <w:rPr>
          <w:rStyle w:val="Appelnotedebasdep"/>
          <w:rFonts w:cs="Arial"/>
          <w:szCs w:val="24"/>
          <w:lang w:eastAsia="fr-CA"/>
        </w:rPr>
        <w:footnoteReference w:id="33"/>
      </w:r>
      <w:r w:rsidR="00CD0C36">
        <w:rPr>
          <w:i/>
          <w:iCs/>
          <w:lang w:eastAsia="fr-CA"/>
        </w:rPr>
        <w:t>?</w:t>
      </w:r>
    </w:p>
    <w:p w14:paraId="01A12A7C" w14:textId="77777777" w:rsidR="00782DBA" w:rsidRPr="003616A0" w:rsidRDefault="00730A01" w:rsidP="0098012F">
      <w:pPr>
        <w:numPr>
          <w:ilvl w:val="0"/>
          <w:numId w:val="2"/>
        </w:numPr>
        <w:tabs>
          <w:tab w:val="clear" w:pos="786"/>
        </w:tabs>
        <w:spacing w:before="120"/>
        <w:ind w:left="0"/>
        <w:jc w:val="both"/>
        <w:rPr>
          <w:rFonts w:cs="Arial"/>
        </w:rPr>
      </w:pPr>
      <w:r w:rsidRPr="00DF5968">
        <w:rPr>
          <w:rFonts w:cs="Arial"/>
        </w:rPr>
        <w:t>Huot</w:t>
      </w:r>
      <w:r w:rsidRPr="003616A0">
        <w:rPr>
          <w:rFonts w:cs="Arial"/>
        </w:rPr>
        <w:t xml:space="preserve"> reprend : </w:t>
      </w:r>
    </w:p>
    <w:p w14:paraId="1EE78C19" w14:textId="77777777" w:rsidR="00782DBA" w:rsidRDefault="00730A01" w:rsidP="00307881">
      <w:pPr>
        <w:pStyle w:val="Citationenretrait"/>
        <w:spacing w:after="0"/>
        <w:ind w:right="539"/>
        <w:rPr>
          <w:lang w:eastAsia="fr-CA"/>
        </w:rPr>
      </w:pPr>
      <w:r w:rsidRPr="002D617F">
        <w:rPr>
          <w:i/>
          <w:iCs/>
          <w:lang w:eastAsia="fr-CA"/>
        </w:rPr>
        <w:t xml:space="preserve">Mais </w:t>
      </w:r>
      <w:r w:rsidRPr="002D617F">
        <w:rPr>
          <w:i/>
          <w:iCs/>
          <w:u w:val="single"/>
          <w:lang w:eastAsia="fr-CA"/>
        </w:rPr>
        <w:t>eux autres</w:t>
      </w:r>
      <w:r w:rsidRPr="002D617F">
        <w:rPr>
          <w:i/>
          <w:iCs/>
          <w:lang w:eastAsia="fr-CA"/>
        </w:rPr>
        <w:t>, s'ils savaient, hostie, que</w:t>
      </w:r>
      <w:r w:rsidRPr="00310D12">
        <w:rPr>
          <w:i/>
          <w:iCs/>
          <w:lang w:eastAsia="fr-CA"/>
        </w:rPr>
        <w:t xml:space="preserve"> je m'en vais dans le mur</w:t>
      </w:r>
      <w:r w:rsidRPr="002D617F">
        <w:rPr>
          <w:i/>
          <w:iCs/>
          <w:lang w:eastAsia="fr-CA"/>
        </w:rPr>
        <w:t>, je ne suis pas sûr qu'ils aimeraient ça</w:t>
      </w:r>
      <w:r>
        <w:rPr>
          <w:rStyle w:val="Appelnotedebasdep"/>
          <w:rFonts w:cs="Arial"/>
          <w:szCs w:val="24"/>
          <w:lang w:eastAsia="fr-CA"/>
        </w:rPr>
        <w:footnoteReference w:id="34"/>
      </w:r>
      <w:r w:rsidR="00CD0C36">
        <w:rPr>
          <w:i/>
          <w:iCs/>
          <w:lang w:eastAsia="fr-CA"/>
        </w:rPr>
        <w:t>.</w:t>
      </w:r>
    </w:p>
    <w:p w14:paraId="33F665A3" w14:textId="77777777" w:rsidR="00782DBA" w:rsidRPr="00CD0C36" w:rsidRDefault="00730A01" w:rsidP="00252A4B">
      <w:pPr>
        <w:pStyle w:val="Citationenretrait"/>
        <w:spacing w:before="0"/>
        <w:ind w:right="539"/>
        <w:jc w:val="right"/>
        <w:rPr>
          <w:sz w:val="20"/>
        </w:rPr>
      </w:pPr>
      <w:r w:rsidRPr="00CD0C36">
        <w:rPr>
          <w:sz w:val="20"/>
          <w:lang w:eastAsia="fr-CA"/>
        </w:rPr>
        <w:t>[Nos soulignés]</w:t>
      </w:r>
    </w:p>
    <w:p w14:paraId="0EA5F94B" w14:textId="77777777" w:rsidR="00782DBA" w:rsidRPr="00427B95" w:rsidRDefault="00730A01" w:rsidP="0098012F">
      <w:pPr>
        <w:numPr>
          <w:ilvl w:val="0"/>
          <w:numId w:val="2"/>
        </w:numPr>
        <w:tabs>
          <w:tab w:val="clear" w:pos="786"/>
        </w:tabs>
        <w:spacing w:before="120"/>
        <w:ind w:left="0"/>
        <w:jc w:val="both"/>
        <w:rPr>
          <w:rFonts w:cs="Arial"/>
          <w:szCs w:val="24"/>
          <w:lang w:eastAsia="fr-CA"/>
        </w:rPr>
      </w:pPr>
      <w:r w:rsidRPr="00427B95">
        <w:rPr>
          <w:rFonts w:cs="Arial"/>
        </w:rPr>
        <w:t>St-Gelais ne cache pas son inquiétude. Il lui dit :</w:t>
      </w:r>
    </w:p>
    <w:p w14:paraId="105970A1" w14:textId="77777777" w:rsidR="00782DBA" w:rsidRPr="00661381" w:rsidRDefault="00730A01" w:rsidP="0098012F">
      <w:pPr>
        <w:pStyle w:val="Citationenretrait"/>
        <w:spacing w:after="0"/>
        <w:ind w:right="0"/>
      </w:pPr>
      <w:r w:rsidRPr="002D617F">
        <w:rPr>
          <w:rStyle w:val="Accentuation"/>
          <w:rFonts w:cs="Arial"/>
        </w:rPr>
        <w:t xml:space="preserve">Bien oui, mais on le sait que ça va t'amener </w:t>
      </w:r>
      <w:r w:rsidRPr="002D617F">
        <w:rPr>
          <w:rStyle w:val="lev"/>
          <w:rFonts w:cs="Arial"/>
          <w:b w:val="0"/>
          <w:bCs w:val="0"/>
        </w:rPr>
        <w:t>dans le mur</w:t>
      </w:r>
      <w:r>
        <w:rPr>
          <w:rStyle w:val="Appelnotedebasdep"/>
          <w:rFonts w:cs="Arial"/>
        </w:rPr>
        <w:footnoteReference w:id="35"/>
      </w:r>
      <w:r w:rsidRPr="00661381">
        <w:t>.</w:t>
      </w:r>
    </w:p>
    <w:p w14:paraId="52427910" w14:textId="77777777" w:rsidR="00782DBA" w:rsidRPr="00661381" w:rsidRDefault="00730A01" w:rsidP="0098012F">
      <w:pPr>
        <w:pStyle w:val="Citationenretrait"/>
        <w:spacing w:after="0"/>
        <w:ind w:right="0"/>
      </w:pPr>
      <w:r w:rsidRPr="00661381">
        <w:t>et à 2</w:t>
      </w:r>
      <w:r w:rsidR="00CD0C36">
        <w:t> </w:t>
      </w:r>
      <w:r w:rsidRPr="00661381">
        <w:t>reprises</w:t>
      </w:r>
      <w:r w:rsidR="00D97738">
        <w:t>,</w:t>
      </w:r>
      <w:r w:rsidRPr="00661381">
        <w:t xml:space="preserve"> il mentionne :</w:t>
      </w:r>
    </w:p>
    <w:p w14:paraId="5B2B2F38" w14:textId="77777777" w:rsidR="00782DBA" w:rsidRPr="00427B95" w:rsidRDefault="00730A01" w:rsidP="0098012F">
      <w:pPr>
        <w:pStyle w:val="Citationenretrait"/>
        <w:ind w:right="0"/>
        <w:rPr>
          <w:szCs w:val="24"/>
          <w:lang w:eastAsia="fr-CA"/>
        </w:rPr>
      </w:pPr>
      <w:r w:rsidRPr="002D617F">
        <w:rPr>
          <w:rStyle w:val="Accentuation"/>
          <w:rFonts w:cs="Arial"/>
        </w:rPr>
        <w:t>Tu creuses ta tombe toi-même</w:t>
      </w:r>
      <w:r>
        <w:rPr>
          <w:rStyle w:val="Appelnotedebasdep"/>
          <w:rFonts w:cs="Arial"/>
        </w:rPr>
        <w:footnoteReference w:id="36"/>
      </w:r>
      <w:r w:rsidRPr="00427B95">
        <w:rPr>
          <w:rStyle w:val="Accentuation"/>
          <w:rFonts w:cs="Arial"/>
        </w:rPr>
        <w:t>.</w:t>
      </w:r>
      <w:r w:rsidRPr="00427B95">
        <w:t xml:space="preserve"> </w:t>
      </w:r>
    </w:p>
    <w:p w14:paraId="22BF55C1" w14:textId="77777777" w:rsidR="00782DBA" w:rsidRPr="00427B95" w:rsidRDefault="00730A01" w:rsidP="0098012F">
      <w:pPr>
        <w:numPr>
          <w:ilvl w:val="0"/>
          <w:numId w:val="2"/>
        </w:numPr>
        <w:tabs>
          <w:tab w:val="clear" w:pos="786"/>
        </w:tabs>
        <w:spacing w:before="120"/>
        <w:ind w:left="0"/>
        <w:jc w:val="both"/>
        <w:rPr>
          <w:rFonts w:cs="Arial"/>
        </w:rPr>
      </w:pPr>
      <w:r w:rsidRPr="00427B95">
        <w:rPr>
          <w:rFonts w:cs="Arial"/>
        </w:rPr>
        <w:t>Huot confirme être rendu au point de rupture :</w:t>
      </w:r>
    </w:p>
    <w:p w14:paraId="2149A1DC" w14:textId="77777777" w:rsidR="00782DBA" w:rsidRPr="006F36BC" w:rsidRDefault="00730A01" w:rsidP="0098012F">
      <w:pPr>
        <w:pStyle w:val="Citationenretrait"/>
        <w:spacing w:after="0"/>
        <w:ind w:right="0"/>
      </w:pPr>
      <w:r w:rsidRPr="002D617F">
        <w:rPr>
          <w:i/>
          <w:iCs/>
        </w:rPr>
        <w:t>Je suis rendu... c'est là, là. T'sais, la ligne était là</w:t>
      </w:r>
      <w:r>
        <w:rPr>
          <w:rStyle w:val="Appelnotedebasdep"/>
          <w:rFonts w:cs="Arial"/>
        </w:rPr>
        <w:footnoteReference w:id="37"/>
      </w:r>
      <w:r w:rsidR="00CD0C36">
        <w:rPr>
          <w:i/>
          <w:iCs/>
        </w:rPr>
        <w:t>.</w:t>
      </w:r>
    </w:p>
    <w:p w14:paraId="20D3391C" w14:textId="77777777" w:rsidR="00782DBA" w:rsidRPr="006F36BC" w:rsidRDefault="00730A01" w:rsidP="0098012F">
      <w:pPr>
        <w:numPr>
          <w:ilvl w:val="0"/>
          <w:numId w:val="2"/>
        </w:numPr>
        <w:tabs>
          <w:tab w:val="clear" w:pos="786"/>
        </w:tabs>
        <w:spacing w:before="240" w:after="120"/>
        <w:ind w:left="0"/>
        <w:jc w:val="both"/>
        <w:rPr>
          <w:rFonts w:cs="Arial"/>
          <w:szCs w:val="24"/>
          <w:lang w:eastAsia="fr-CA"/>
        </w:rPr>
      </w:pPr>
      <w:r>
        <w:rPr>
          <w:rFonts w:cs="Arial"/>
          <w:szCs w:val="24"/>
          <w:lang w:eastAsia="fr-CA"/>
        </w:rPr>
        <w:t>Voici d’autres extraits pertinents tirés des notes sténographiques de cet enregistrement :</w:t>
      </w:r>
      <w:r w:rsidRPr="006F36BC">
        <w:rPr>
          <w:rFonts w:cs="Arial"/>
          <w:szCs w:val="24"/>
          <w:lang w:eastAsia="fr-CA"/>
        </w:rPr>
        <w:t xml:space="preserve"> </w:t>
      </w:r>
    </w:p>
    <w:p w14:paraId="6242A5E3" w14:textId="77777777" w:rsidR="00782DBA" w:rsidRPr="00310D12" w:rsidRDefault="00730A01" w:rsidP="0098012F">
      <w:pPr>
        <w:pStyle w:val="Citationenretrait"/>
        <w:spacing w:after="0"/>
        <w:ind w:right="0"/>
        <w:rPr>
          <w:lang w:eastAsia="fr-CA"/>
        </w:rPr>
      </w:pPr>
      <w:r w:rsidRPr="00310D12">
        <w:rPr>
          <w:lang w:eastAsia="fr-CA"/>
        </w:rPr>
        <w:t>M.</w:t>
      </w:r>
      <w:r w:rsidR="00CD0C36">
        <w:rPr>
          <w:lang w:eastAsia="fr-CA"/>
        </w:rPr>
        <w:t> </w:t>
      </w:r>
      <w:r w:rsidR="00310D12">
        <w:rPr>
          <w:lang w:eastAsia="fr-CA"/>
        </w:rPr>
        <w:t>Robert Giroux</w:t>
      </w:r>
      <w:r w:rsidRPr="00310D12">
        <w:rPr>
          <w:lang w:eastAsia="fr-CA"/>
        </w:rPr>
        <w:t xml:space="preserve"> :</w:t>
      </w:r>
    </w:p>
    <w:p w14:paraId="31E2D094" w14:textId="77777777" w:rsidR="00782DBA" w:rsidRPr="006F36BC" w:rsidRDefault="00730A01" w:rsidP="00252A4B">
      <w:pPr>
        <w:pStyle w:val="Citationenretrait"/>
        <w:spacing w:after="0"/>
        <w:ind w:right="539"/>
        <w:rPr>
          <w:i/>
          <w:iCs/>
          <w:lang w:eastAsia="fr-CA"/>
        </w:rPr>
      </w:pPr>
      <w:r w:rsidRPr="00310D12">
        <w:rPr>
          <w:i/>
          <w:iCs/>
          <w:lang w:eastAsia="fr-CA"/>
        </w:rPr>
        <w:t>Mais c'est quoi le... notre montant d'intérêt, Sophie, par mois, qu'on... que vous nous envoyez</w:t>
      </w:r>
      <w:r w:rsidRPr="006F36BC">
        <w:rPr>
          <w:i/>
          <w:iCs/>
          <w:lang w:eastAsia="fr-CA"/>
        </w:rPr>
        <w:t>?</w:t>
      </w:r>
    </w:p>
    <w:p w14:paraId="656892CF" w14:textId="77777777" w:rsidR="00782DBA" w:rsidRPr="000434C8" w:rsidRDefault="00730A01" w:rsidP="00252A4B">
      <w:pPr>
        <w:pStyle w:val="Citationenretrait"/>
        <w:spacing w:after="0"/>
        <w:ind w:right="539"/>
        <w:rPr>
          <w:b/>
          <w:bCs/>
          <w:lang w:eastAsia="fr-CA"/>
        </w:rPr>
      </w:pPr>
      <w:r>
        <w:rPr>
          <w:lang w:eastAsia="fr-CA"/>
        </w:rPr>
        <w:t>M</w:t>
      </w:r>
      <w:r w:rsidRPr="00CD0C36">
        <w:rPr>
          <w:vertAlign w:val="superscript"/>
          <w:lang w:eastAsia="fr-CA"/>
        </w:rPr>
        <w:t>me</w:t>
      </w:r>
      <w:r w:rsidR="00CD0C36">
        <w:rPr>
          <w:lang w:eastAsia="fr-CA"/>
        </w:rPr>
        <w:t> </w:t>
      </w:r>
      <w:r>
        <w:rPr>
          <w:lang w:eastAsia="fr-CA"/>
        </w:rPr>
        <w:t>Sophie Larochelle</w:t>
      </w:r>
      <w:r w:rsidRPr="000434C8">
        <w:rPr>
          <w:b/>
          <w:bCs/>
          <w:lang w:eastAsia="fr-CA"/>
        </w:rPr>
        <w:t xml:space="preserve"> </w:t>
      </w:r>
      <w:r w:rsidRPr="00310D12">
        <w:rPr>
          <w:lang w:eastAsia="fr-CA"/>
        </w:rPr>
        <w:t>:</w:t>
      </w:r>
    </w:p>
    <w:p w14:paraId="77D4EF41" w14:textId="77777777" w:rsidR="00782DBA" w:rsidRPr="006F36BC" w:rsidRDefault="00730A01" w:rsidP="00252A4B">
      <w:pPr>
        <w:pStyle w:val="Citationenretrait"/>
        <w:spacing w:after="0"/>
        <w:ind w:right="539"/>
        <w:rPr>
          <w:i/>
          <w:iCs/>
          <w:highlight w:val="magenta"/>
        </w:rPr>
      </w:pPr>
      <w:r w:rsidRPr="006F36BC">
        <w:rPr>
          <w:i/>
          <w:iCs/>
          <w:lang w:eastAsia="fr-CA"/>
        </w:rPr>
        <w:t>1,450,000 $</w:t>
      </w:r>
      <w:r>
        <w:rPr>
          <w:rStyle w:val="Appelnotedebasdep"/>
          <w:lang w:eastAsia="fr-CA"/>
        </w:rPr>
        <w:footnoteReference w:id="38"/>
      </w:r>
      <w:r w:rsidRPr="002D617F">
        <w:rPr>
          <w:highlight w:val="yellow"/>
          <w:lang w:eastAsia="fr-CA"/>
        </w:rPr>
        <w:t xml:space="preserve"> </w:t>
      </w:r>
    </w:p>
    <w:p w14:paraId="3EEB8B92" w14:textId="77777777" w:rsidR="00782DBA" w:rsidRPr="006F36BC" w:rsidRDefault="00730A01" w:rsidP="00252A4B">
      <w:pPr>
        <w:pStyle w:val="Citationenretrait"/>
        <w:spacing w:after="0"/>
        <w:ind w:right="539"/>
        <w:rPr>
          <w:i/>
          <w:iCs/>
          <w:lang w:eastAsia="fr-CA"/>
        </w:rPr>
      </w:pPr>
      <w:r w:rsidRPr="006F36BC">
        <w:rPr>
          <w:i/>
          <w:iCs/>
          <w:lang w:eastAsia="fr-CA"/>
        </w:rPr>
        <w:t xml:space="preserve">(…) </w:t>
      </w:r>
    </w:p>
    <w:p w14:paraId="6D563CB9" w14:textId="77777777" w:rsidR="001B5BA0" w:rsidRPr="00310D12" w:rsidRDefault="00730A01" w:rsidP="00802EBA">
      <w:pPr>
        <w:pStyle w:val="Citationenretrait"/>
        <w:spacing w:after="0"/>
        <w:ind w:right="539"/>
        <w:rPr>
          <w:lang w:eastAsia="fr-CA"/>
        </w:rPr>
      </w:pPr>
      <w:r>
        <w:rPr>
          <w:lang w:eastAsia="fr-CA"/>
        </w:rPr>
        <w:t>M.</w:t>
      </w:r>
      <w:r w:rsidR="00CD0C36">
        <w:rPr>
          <w:lang w:eastAsia="fr-CA"/>
        </w:rPr>
        <w:t> </w:t>
      </w:r>
      <w:r>
        <w:rPr>
          <w:lang w:eastAsia="fr-CA"/>
        </w:rPr>
        <w:t>Stéphan Huot</w:t>
      </w:r>
    </w:p>
    <w:p w14:paraId="2064797F" w14:textId="77777777" w:rsidR="00782DBA" w:rsidRPr="006F36BC" w:rsidRDefault="00730A01" w:rsidP="00802EBA">
      <w:pPr>
        <w:pStyle w:val="Citationenretrait"/>
        <w:spacing w:after="0"/>
        <w:ind w:right="539"/>
        <w:rPr>
          <w:i/>
          <w:iCs/>
          <w:lang w:eastAsia="fr-CA"/>
        </w:rPr>
      </w:pPr>
      <w:r w:rsidRPr="006F36BC">
        <w:rPr>
          <w:i/>
          <w:iCs/>
          <w:lang w:eastAsia="fr-CA"/>
        </w:rPr>
        <w:t>Non, je demandais deux millions de cash flow, 1</w:t>
      </w:r>
      <w:r w:rsidR="002D617F">
        <w:rPr>
          <w:i/>
          <w:iCs/>
          <w:lang w:eastAsia="fr-CA"/>
        </w:rPr>
        <w:t>.</w:t>
      </w:r>
      <w:r w:rsidRPr="006F36BC">
        <w:rPr>
          <w:i/>
          <w:iCs/>
          <w:lang w:eastAsia="fr-CA"/>
        </w:rPr>
        <w:t>5 pour le Fonds SH puis 1.5 pour le Fonds SH avril.</w:t>
      </w:r>
    </w:p>
    <w:p w14:paraId="4995D361" w14:textId="77777777" w:rsidR="00782DBA" w:rsidRPr="006F36BC" w:rsidRDefault="00730A01" w:rsidP="00802EBA">
      <w:pPr>
        <w:pStyle w:val="Citationenretrait"/>
        <w:spacing w:after="0"/>
        <w:ind w:right="539"/>
        <w:rPr>
          <w:i/>
          <w:iCs/>
          <w:lang w:eastAsia="fr-CA"/>
        </w:rPr>
      </w:pPr>
      <w:r w:rsidRPr="006F36BC">
        <w:rPr>
          <w:i/>
          <w:iCs/>
          <w:lang w:eastAsia="fr-CA"/>
        </w:rPr>
        <w:t>C'est ça que je demandais. Moi, avec ça, je vais passer, mais ça va passer... ça va bien passer mars</w:t>
      </w:r>
      <w:r>
        <w:rPr>
          <w:rStyle w:val="Appelnotedebasdep"/>
          <w:lang w:eastAsia="fr-CA"/>
        </w:rPr>
        <w:footnoteReference w:id="39"/>
      </w:r>
      <w:r w:rsidR="00CD0C36">
        <w:rPr>
          <w:i/>
          <w:iCs/>
          <w:lang w:eastAsia="fr-CA"/>
        </w:rPr>
        <w:t>.</w:t>
      </w:r>
    </w:p>
    <w:p w14:paraId="13DB0CB4" w14:textId="77777777" w:rsidR="00782DBA" w:rsidRDefault="00730A01" w:rsidP="00802EBA">
      <w:pPr>
        <w:pStyle w:val="Citationenretrait"/>
        <w:spacing w:after="0"/>
        <w:ind w:right="539"/>
        <w:rPr>
          <w:i/>
          <w:iCs/>
          <w:lang w:eastAsia="fr-CA"/>
        </w:rPr>
      </w:pPr>
      <w:r w:rsidRPr="006F36BC">
        <w:rPr>
          <w:i/>
          <w:iCs/>
          <w:lang w:eastAsia="fr-CA"/>
        </w:rPr>
        <w:t>(…)</w:t>
      </w:r>
    </w:p>
    <w:p w14:paraId="55830E69" w14:textId="77777777" w:rsidR="003D0910" w:rsidRPr="00310D12" w:rsidRDefault="00730A01" w:rsidP="00802EBA">
      <w:pPr>
        <w:pStyle w:val="Citationenretrait"/>
        <w:spacing w:after="0"/>
        <w:ind w:right="539"/>
        <w:rPr>
          <w:lang w:eastAsia="fr-CA"/>
        </w:rPr>
      </w:pPr>
      <w:r>
        <w:rPr>
          <w:lang w:eastAsia="fr-CA"/>
        </w:rPr>
        <w:t>M.</w:t>
      </w:r>
      <w:r w:rsidR="00CD0C36">
        <w:rPr>
          <w:lang w:eastAsia="fr-CA"/>
        </w:rPr>
        <w:t> </w:t>
      </w:r>
      <w:r>
        <w:rPr>
          <w:lang w:eastAsia="fr-CA"/>
        </w:rPr>
        <w:t>Robert Giroux</w:t>
      </w:r>
    </w:p>
    <w:p w14:paraId="1FCCB4C1" w14:textId="77777777" w:rsidR="00782DBA" w:rsidRPr="006F36BC" w:rsidRDefault="00730A01" w:rsidP="00802EBA">
      <w:pPr>
        <w:pStyle w:val="Citationenretrait"/>
        <w:spacing w:after="0"/>
        <w:ind w:right="539"/>
        <w:rPr>
          <w:i/>
          <w:iCs/>
          <w:lang w:eastAsia="fr-CA"/>
        </w:rPr>
      </w:pPr>
      <w:r w:rsidRPr="006F36BC">
        <w:rPr>
          <w:i/>
          <w:iCs/>
          <w:lang w:eastAsia="fr-CA"/>
        </w:rPr>
        <w:t>Mais moi, l'argent que... que je pourrais vous passer, c'est pour payer nos intérêts. T'sais, ce n'est pas...</w:t>
      </w:r>
      <w:r>
        <w:rPr>
          <w:rStyle w:val="Appelnotedebasdep"/>
          <w:lang w:eastAsia="fr-CA"/>
        </w:rPr>
        <w:footnoteReference w:id="40"/>
      </w:r>
      <w:r w:rsidR="00CD0C36">
        <w:rPr>
          <w:i/>
          <w:iCs/>
          <w:lang w:eastAsia="fr-CA"/>
        </w:rPr>
        <w:t>.</w:t>
      </w:r>
      <w:r w:rsidRPr="006F36BC">
        <w:rPr>
          <w:i/>
          <w:iCs/>
          <w:lang w:eastAsia="fr-CA"/>
        </w:rPr>
        <w:t xml:space="preserve"> </w:t>
      </w:r>
    </w:p>
    <w:p w14:paraId="0B3F0517" w14:textId="77777777" w:rsidR="00782DBA" w:rsidRPr="006F36BC" w:rsidRDefault="00730A01" w:rsidP="00802EBA">
      <w:pPr>
        <w:pStyle w:val="Citationenretrait"/>
        <w:spacing w:after="0"/>
        <w:ind w:right="539"/>
        <w:rPr>
          <w:i/>
          <w:iCs/>
          <w:lang w:eastAsia="fr-CA"/>
        </w:rPr>
      </w:pPr>
      <w:r w:rsidRPr="006F36BC">
        <w:rPr>
          <w:i/>
          <w:iCs/>
          <w:lang w:eastAsia="fr-CA"/>
        </w:rPr>
        <w:t>... admettons, je te dis : «</w:t>
      </w:r>
      <w:r w:rsidR="00CD0C36">
        <w:rPr>
          <w:i/>
          <w:iCs/>
          <w:lang w:eastAsia="fr-CA"/>
        </w:rPr>
        <w:t> </w:t>
      </w:r>
      <w:r w:rsidRPr="006F36BC">
        <w:rPr>
          <w:i/>
          <w:iCs/>
          <w:lang w:eastAsia="fr-CA"/>
        </w:rPr>
        <w:t>O.K., Steph, là, pour une dernière fois, je m'en vais au front encore...</w:t>
      </w:r>
      <w:r w:rsidR="00CD0C36">
        <w:rPr>
          <w:i/>
          <w:iCs/>
          <w:lang w:eastAsia="fr-CA"/>
        </w:rPr>
        <w:t> </w:t>
      </w:r>
      <w:r w:rsidRPr="006F36BC">
        <w:rPr>
          <w:i/>
          <w:iCs/>
          <w:lang w:eastAsia="fr-CA"/>
        </w:rPr>
        <w:t>»</w:t>
      </w:r>
    </w:p>
    <w:p w14:paraId="0BB306F2" w14:textId="77777777" w:rsidR="00310D12" w:rsidRPr="00310D12" w:rsidRDefault="00730A01" w:rsidP="00802EBA">
      <w:pPr>
        <w:pStyle w:val="Citationenretrait"/>
        <w:spacing w:after="0"/>
        <w:ind w:right="0"/>
        <w:rPr>
          <w:lang w:eastAsia="fr-CA"/>
        </w:rPr>
      </w:pPr>
      <w:r>
        <w:rPr>
          <w:lang w:eastAsia="fr-CA"/>
        </w:rPr>
        <w:t>M.</w:t>
      </w:r>
      <w:r w:rsidR="00CD0C36">
        <w:rPr>
          <w:lang w:eastAsia="fr-CA"/>
        </w:rPr>
        <w:t> </w:t>
      </w:r>
      <w:r>
        <w:rPr>
          <w:lang w:eastAsia="fr-CA"/>
        </w:rPr>
        <w:t>Stéphan Huot :</w:t>
      </w:r>
    </w:p>
    <w:p w14:paraId="6E1E1F3E" w14:textId="77777777" w:rsidR="00782DBA" w:rsidRPr="006F36BC" w:rsidRDefault="00730A01" w:rsidP="00802EBA">
      <w:pPr>
        <w:pStyle w:val="Citationenretrait"/>
        <w:spacing w:after="0"/>
        <w:ind w:right="0"/>
        <w:rPr>
          <w:i/>
          <w:iCs/>
          <w:lang w:eastAsia="fr-CA"/>
        </w:rPr>
      </w:pPr>
      <w:r w:rsidRPr="006F36BC">
        <w:rPr>
          <w:i/>
          <w:iCs/>
          <w:lang w:eastAsia="fr-CA"/>
        </w:rPr>
        <w:t>Tu me le passes, c'est réglé. Il se passe quoi?</w:t>
      </w:r>
    </w:p>
    <w:p w14:paraId="14A1899C" w14:textId="77777777" w:rsidR="00310D12" w:rsidRPr="00310D12" w:rsidRDefault="00730A01" w:rsidP="00802EBA">
      <w:pPr>
        <w:pStyle w:val="Citationenretrait"/>
        <w:spacing w:after="0"/>
        <w:ind w:right="0"/>
        <w:rPr>
          <w:lang w:eastAsia="fr-CA"/>
        </w:rPr>
      </w:pPr>
      <w:r>
        <w:rPr>
          <w:lang w:eastAsia="fr-CA"/>
        </w:rPr>
        <w:t>M.</w:t>
      </w:r>
      <w:r w:rsidR="00CD0C36">
        <w:rPr>
          <w:lang w:eastAsia="fr-CA"/>
        </w:rPr>
        <w:t> </w:t>
      </w:r>
      <w:r>
        <w:rPr>
          <w:lang w:eastAsia="fr-CA"/>
        </w:rPr>
        <w:t>Robert Giroux</w:t>
      </w:r>
    </w:p>
    <w:p w14:paraId="1428D15C" w14:textId="77777777" w:rsidR="00782DBA" w:rsidRPr="006F36BC" w:rsidRDefault="00730A01" w:rsidP="00802EBA">
      <w:pPr>
        <w:pStyle w:val="Citationenretrait"/>
        <w:spacing w:after="0"/>
        <w:ind w:right="0"/>
        <w:rPr>
          <w:i/>
          <w:iCs/>
          <w:lang w:eastAsia="fr-CA"/>
        </w:rPr>
      </w:pPr>
      <w:r w:rsidRPr="006F36BC">
        <w:rPr>
          <w:i/>
          <w:iCs/>
          <w:lang w:eastAsia="fr-CA"/>
        </w:rPr>
        <w:t>Admettons, je réussis à te le donner puis que le 30</w:t>
      </w:r>
      <w:r w:rsidR="00192E75">
        <w:rPr>
          <w:i/>
          <w:iCs/>
          <w:lang w:eastAsia="fr-CA"/>
        </w:rPr>
        <w:t> </w:t>
      </w:r>
      <w:r w:rsidR="0044005E">
        <w:rPr>
          <w:i/>
          <w:iCs/>
          <w:lang w:eastAsia="fr-CA"/>
        </w:rPr>
        <w:t>mai.</w:t>
      </w:r>
      <w:r w:rsidRPr="006F36BC">
        <w:rPr>
          <w:i/>
          <w:iCs/>
          <w:lang w:eastAsia="fr-CA"/>
        </w:rPr>
        <w:t>..</w:t>
      </w:r>
    </w:p>
    <w:p w14:paraId="7CF465EC" w14:textId="77777777" w:rsidR="00310D12" w:rsidRPr="00310D12" w:rsidRDefault="00730A01" w:rsidP="00802EBA">
      <w:pPr>
        <w:pStyle w:val="Citationenretrait"/>
        <w:spacing w:after="0"/>
        <w:ind w:right="0"/>
        <w:rPr>
          <w:lang w:eastAsia="fr-CA"/>
        </w:rPr>
      </w:pPr>
      <w:r>
        <w:rPr>
          <w:lang w:eastAsia="fr-CA"/>
        </w:rPr>
        <w:t>M.</w:t>
      </w:r>
      <w:r w:rsidR="00CD0C36">
        <w:rPr>
          <w:lang w:eastAsia="fr-CA"/>
        </w:rPr>
        <w:t> </w:t>
      </w:r>
      <w:r>
        <w:rPr>
          <w:lang w:eastAsia="fr-CA"/>
        </w:rPr>
        <w:t>Stéphan Huot :</w:t>
      </w:r>
    </w:p>
    <w:p w14:paraId="46F71515" w14:textId="77777777" w:rsidR="00782DBA" w:rsidRPr="006F36BC" w:rsidRDefault="00730A01" w:rsidP="00802EBA">
      <w:pPr>
        <w:pStyle w:val="Citationenretrait"/>
        <w:spacing w:after="0"/>
        <w:ind w:right="0"/>
        <w:rPr>
          <w:i/>
          <w:iCs/>
          <w:lang w:eastAsia="fr-CA"/>
        </w:rPr>
      </w:pPr>
      <w:r w:rsidRPr="006F36BC">
        <w:rPr>
          <w:i/>
          <w:iCs/>
          <w:lang w:eastAsia="fr-CA"/>
        </w:rPr>
        <w:t>Il n'y a rien qui se passe.</w:t>
      </w:r>
    </w:p>
    <w:p w14:paraId="0FF09455" w14:textId="77777777" w:rsidR="00782DBA" w:rsidRPr="00310D12" w:rsidRDefault="00730A01" w:rsidP="00802EBA">
      <w:pPr>
        <w:pStyle w:val="Citationenretrait"/>
        <w:spacing w:after="0"/>
        <w:ind w:right="0"/>
        <w:rPr>
          <w:lang w:eastAsia="fr-CA"/>
        </w:rPr>
      </w:pPr>
      <w:r>
        <w:rPr>
          <w:lang w:eastAsia="fr-CA"/>
        </w:rPr>
        <w:t>M.</w:t>
      </w:r>
      <w:r w:rsidR="00CD0C36">
        <w:rPr>
          <w:lang w:eastAsia="fr-CA"/>
        </w:rPr>
        <w:t> </w:t>
      </w:r>
      <w:r>
        <w:rPr>
          <w:lang w:eastAsia="fr-CA"/>
        </w:rPr>
        <w:t>Robert Giroux</w:t>
      </w:r>
    </w:p>
    <w:p w14:paraId="1B774238" w14:textId="77777777" w:rsidR="00782DBA" w:rsidRPr="006F36BC" w:rsidRDefault="00730A01" w:rsidP="00802EBA">
      <w:pPr>
        <w:pStyle w:val="Citationenretrait"/>
        <w:spacing w:after="0"/>
        <w:ind w:right="0"/>
        <w:rPr>
          <w:i/>
          <w:iCs/>
          <w:lang w:eastAsia="fr-CA"/>
        </w:rPr>
      </w:pPr>
      <w:r w:rsidRPr="006F36BC">
        <w:rPr>
          <w:i/>
          <w:iCs/>
          <w:lang w:eastAsia="fr-CA"/>
        </w:rPr>
        <w:t>Qu'est-ce que je fais?</w:t>
      </w:r>
    </w:p>
    <w:p w14:paraId="493420CE" w14:textId="77777777" w:rsidR="00782DBA" w:rsidRPr="00310D12" w:rsidRDefault="00730A01" w:rsidP="00802EBA">
      <w:pPr>
        <w:pStyle w:val="Citationenretrait"/>
        <w:spacing w:after="0"/>
        <w:ind w:right="0"/>
        <w:rPr>
          <w:lang w:eastAsia="fr-CA"/>
        </w:rPr>
      </w:pPr>
      <w:r>
        <w:rPr>
          <w:lang w:eastAsia="fr-CA"/>
        </w:rPr>
        <w:t>M.</w:t>
      </w:r>
      <w:r w:rsidR="00CD0C36">
        <w:rPr>
          <w:lang w:eastAsia="fr-CA"/>
        </w:rPr>
        <w:t> </w:t>
      </w:r>
      <w:r>
        <w:rPr>
          <w:lang w:eastAsia="fr-CA"/>
        </w:rPr>
        <w:t>Stéphan Huot :</w:t>
      </w:r>
    </w:p>
    <w:p w14:paraId="6FDB5D18" w14:textId="77777777" w:rsidR="00782DBA" w:rsidRPr="006F36BC" w:rsidRDefault="00730A01" w:rsidP="00802EBA">
      <w:pPr>
        <w:pStyle w:val="Citationenretrait"/>
        <w:spacing w:after="0"/>
        <w:ind w:right="0"/>
        <w:rPr>
          <w:i/>
          <w:iCs/>
          <w:lang w:eastAsia="fr-CA"/>
        </w:rPr>
      </w:pPr>
      <w:r w:rsidRPr="006F36BC">
        <w:rPr>
          <w:i/>
          <w:iCs/>
          <w:lang w:eastAsia="fr-CA"/>
        </w:rPr>
        <w:t>C'est impossible</w:t>
      </w:r>
      <w:r>
        <w:rPr>
          <w:rStyle w:val="Appelnotedebasdep"/>
          <w:lang w:eastAsia="fr-CA"/>
        </w:rPr>
        <w:footnoteReference w:id="41"/>
      </w:r>
      <w:r w:rsidR="00CD0C36">
        <w:rPr>
          <w:i/>
          <w:iCs/>
          <w:lang w:eastAsia="fr-CA"/>
        </w:rPr>
        <w:t>.</w:t>
      </w:r>
    </w:p>
    <w:p w14:paraId="4D8F4EE4" w14:textId="77777777" w:rsidR="00310D12" w:rsidRPr="00310D12" w:rsidRDefault="00730A01" w:rsidP="00802EBA">
      <w:pPr>
        <w:pStyle w:val="Citationenretrait"/>
        <w:spacing w:after="0"/>
        <w:ind w:right="0"/>
        <w:rPr>
          <w:lang w:eastAsia="fr-CA"/>
        </w:rPr>
      </w:pPr>
      <w:r>
        <w:rPr>
          <w:lang w:eastAsia="fr-CA"/>
        </w:rPr>
        <w:t>M.</w:t>
      </w:r>
      <w:r w:rsidR="00CD0C36">
        <w:rPr>
          <w:lang w:eastAsia="fr-CA"/>
        </w:rPr>
        <w:t> </w:t>
      </w:r>
      <w:r>
        <w:rPr>
          <w:lang w:eastAsia="fr-CA"/>
        </w:rPr>
        <w:t>Robert Giroux</w:t>
      </w:r>
    </w:p>
    <w:p w14:paraId="0DD24D55" w14:textId="77777777" w:rsidR="00782DBA" w:rsidRPr="006F36BC" w:rsidRDefault="00730A01" w:rsidP="00802EBA">
      <w:pPr>
        <w:pStyle w:val="Citationenretrait"/>
        <w:spacing w:after="0"/>
        <w:ind w:right="539"/>
        <w:rPr>
          <w:i/>
          <w:iCs/>
          <w:lang w:eastAsia="fr-CA"/>
        </w:rPr>
      </w:pPr>
      <w:r w:rsidRPr="006F36BC">
        <w:rPr>
          <w:i/>
          <w:iCs/>
          <w:lang w:eastAsia="fr-CA"/>
        </w:rPr>
        <w:t>Non non, mais admettons qu'il... je ne sais pas, admettons que je n'ai plus de garantie, admettons que c'est sûr que ton... ton hybride, si on... on voit les chiffres, on voit les équités puis on voit tout puis que c'est intéressant puis qu'on est assis sur quelque chose d'intéressant, merveilleux. Mais là, le tableau d'équité que je me suis fait donner, astheure, il faut enlever les commissions, il faut enlever de l'impôt, mais ça, ce n'est pas ça qui m'avait été présenté, Sophie, au départ. C'est</w:t>
      </w:r>
      <w:r w:rsidR="006F36BC">
        <w:rPr>
          <w:i/>
          <w:iCs/>
          <w:lang w:eastAsia="fr-CA"/>
        </w:rPr>
        <w:t> </w:t>
      </w:r>
      <w:r w:rsidRPr="006F36BC">
        <w:rPr>
          <w:i/>
          <w:iCs/>
          <w:lang w:eastAsia="fr-CA"/>
        </w:rPr>
        <w:t>: «</w:t>
      </w:r>
      <w:r w:rsidR="00CD0C36">
        <w:rPr>
          <w:i/>
          <w:iCs/>
          <w:lang w:eastAsia="fr-CA"/>
        </w:rPr>
        <w:t> </w:t>
      </w:r>
      <w:r w:rsidRPr="006F36BC">
        <w:rPr>
          <w:i/>
          <w:iCs/>
          <w:lang w:eastAsia="fr-CA"/>
        </w:rPr>
        <w:t>Voici ton... voici tes équités, Robert...</w:t>
      </w:r>
      <w:r w:rsidR="00CD0C36">
        <w:rPr>
          <w:i/>
          <w:iCs/>
          <w:lang w:eastAsia="fr-CA"/>
        </w:rPr>
        <w:t> </w:t>
      </w:r>
      <w:r w:rsidRPr="006F36BC">
        <w:rPr>
          <w:i/>
          <w:iCs/>
          <w:lang w:eastAsia="fr-CA"/>
        </w:rPr>
        <w:t>»</w:t>
      </w:r>
      <w:r w:rsidR="00CD0C36">
        <w:rPr>
          <w:i/>
          <w:iCs/>
          <w:lang w:eastAsia="fr-CA"/>
        </w:rPr>
        <w:t>.</w:t>
      </w:r>
    </w:p>
    <w:p w14:paraId="57ED7AD0" w14:textId="77777777" w:rsidR="00310D12" w:rsidRPr="00310D12" w:rsidRDefault="00730A01" w:rsidP="00802EBA">
      <w:pPr>
        <w:pStyle w:val="Citationenretrait"/>
        <w:spacing w:after="0"/>
        <w:ind w:right="539"/>
        <w:rPr>
          <w:lang w:eastAsia="fr-CA"/>
        </w:rPr>
      </w:pPr>
      <w:r>
        <w:rPr>
          <w:lang w:eastAsia="fr-CA"/>
        </w:rPr>
        <w:t>M.</w:t>
      </w:r>
      <w:r w:rsidR="00CD0C36">
        <w:rPr>
          <w:lang w:eastAsia="fr-CA"/>
        </w:rPr>
        <w:t> </w:t>
      </w:r>
      <w:r>
        <w:rPr>
          <w:lang w:eastAsia="fr-CA"/>
        </w:rPr>
        <w:t>Stéphan Huot :</w:t>
      </w:r>
    </w:p>
    <w:p w14:paraId="4C8D5B99" w14:textId="77777777" w:rsidR="00782DBA" w:rsidRPr="00DF570F" w:rsidRDefault="00730A01" w:rsidP="00802EBA">
      <w:pPr>
        <w:pStyle w:val="Citationenretrait"/>
        <w:spacing w:after="0"/>
        <w:ind w:right="539"/>
        <w:rPr>
          <w:lang w:eastAsia="fr-CA"/>
        </w:rPr>
      </w:pPr>
      <w:r w:rsidRPr="006F36BC">
        <w:rPr>
          <w:i/>
          <w:iCs/>
          <w:lang w:eastAsia="fr-CA"/>
        </w:rPr>
        <w:t>Oui, mais quand tu... tableau d'équité, tu ne penses jamais à ton équité que ça va être de l'impôt dedans puis les commissions vont être dedans, là</w:t>
      </w:r>
      <w:r>
        <w:rPr>
          <w:rStyle w:val="Appelnotedebasdep"/>
          <w:lang w:eastAsia="fr-CA"/>
        </w:rPr>
        <w:footnoteReference w:id="42"/>
      </w:r>
      <w:r w:rsidR="00CD0C36">
        <w:rPr>
          <w:i/>
          <w:iCs/>
          <w:lang w:eastAsia="fr-CA"/>
        </w:rPr>
        <w:t>.</w:t>
      </w:r>
    </w:p>
    <w:p w14:paraId="65FFD4D8" w14:textId="77777777" w:rsidR="00782DBA" w:rsidRPr="006F36BC" w:rsidRDefault="00730A01" w:rsidP="00802EBA">
      <w:pPr>
        <w:pStyle w:val="Citationenretrait"/>
        <w:spacing w:after="0"/>
        <w:ind w:right="539"/>
        <w:rPr>
          <w:i/>
          <w:iCs/>
          <w:lang w:eastAsia="fr-CA"/>
        </w:rPr>
      </w:pPr>
      <w:r w:rsidRPr="006F36BC">
        <w:rPr>
          <w:i/>
          <w:iCs/>
          <w:lang w:eastAsia="fr-CA"/>
        </w:rPr>
        <w:t xml:space="preserve">(…) </w:t>
      </w:r>
    </w:p>
    <w:p w14:paraId="229561A0" w14:textId="77777777" w:rsidR="00310D12" w:rsidRPr="00310D12" w:rsidRDefault="00730A01" w:rsidP="00802EBA">
      <w:pPr>
        <w:pStyle w:val="Citationenretrait"/>
        <w:spacing w:after="0"/>
        <w:ind w:right="539"/>
        <w:rPr>
          <w:lang w:eastAsia="fr-CA"/>
        </w:rPr>
      </w:pPr>
      <w:r>
        <w:rPr>
          <w:lang w:eastAsia="fr-CA"/>
        </w:rPr>
        <w:t>M.</w:t>
      </w:r>
      <w:r w:rsidR="00CD0C36">
        <w:rPr>
          <w:lang w:eastAsia="fr-CA"/>
        </w:rPr>
        <w:t> </w:t>
      </w:r>
      <w:r>
        <w:rPr>
          <w:lang w:eastAsia="fr-CA"/>
        </w:rPr>
        <w:t>Robert Giroux :</w:t>
      </w:r>
    </w:p>
    <w:p w14:paraId="57CEF3F7" w14:textId="77777777" w:rsidR="00782DBA" w:rsidRPr="006F36BC" w:rsidRDefault="00730A01" w:rsidP="00802EBA">
      <w:pPr>
        <w:pStyle w:val="Citationenretrait"/>
        <w:spacing w:after="0"/>
        <w:ind w:right="539"/>
        <w:rPr>
          <w:i/>
          <w:iCs/>
          <w:lang w:eastAsia="fr-CA"/>
        </w:rPr>
      </w:pPr>
      <w:r w:rsidRPr="006F36BC">
        <w:rPr>
          <w:i/>
          <w:iCs/>
          <w:lang w:eastAsia="fr-CA"/>
        </w:rPr>
        <w:t>Mais je dis quoi, moi, aux gens? Je leur offre... moi, j'ai deux questions à te poser</w:t>
      </w:r>
      <w:r w:rsidR="006F36BC">
        <w:rPr>
          <w:i/>
          <w:iCs/>
          <w:lang w:eastAsia="fr-CA"/>
        </w:rPr>
        <w:t> </w:t>
      </w:r>
      <w:r w:rsidRPr="006F36BC">
        <w:rPr>
          <w:i/>
          <w:iCs/>
          <w:lang w:eastAsia="fr-CA"/>
        </w:rPr>
        <w:t>: je leur offre quoi, puis qu'est-ce qu'il se passe si tu ne peux pas me rembourser, admettons, le 30</w:t>
      </w:r>
      <w:r w:rsidR="00192E75">
        <w:rPr>
          <w:i/>
          <w:iCs/>
          <w:lang w:eastAsia="fr-CA"/>
        </w:rPr>
        <w:t> </w:t>
      </w:r>
      <w:r w:rsidRPr="006F36BC">
        <w:rPr>
          <w:i/>
          <w:iCs/>
          <w:lang w:eastAsia="fr-CA"/>
        </w:rPr>
        <w:t>mai? Dites-moi ça</w:t>
      </w:r>
      <w:r>
        <w:rPr>
          <w:rStyle w:val="Appelnotedebasdep"/>
          <w:lang w:eastAsia="fr-CA"/>
        </w:rPr>
        <w:footnoteReference w:id="43"/>
      </w:r>
      <w:r w:rsidR="00CD0C36">
        <w:rPr>
          <w:i/>
          <w:iCs/>
          <w:lang w:eastAsia="fr-CA"/>
        </w:rPr>
        <w:t>.</w:t>
      </w:r>
    </w:p>
    <w:p w14:paraId="39723774" w14:textId="77777777" w:rsidR="00782DBA" w:rsidRPr="006F36BC" w:rsidRDefault="00730A01" w:rsidP="00802EBA">
      <w:pPr>
        <w:pStyle w:val="Citationenretrait"/>
        <w:spacing w:after="0"/>
        <w:ind w:right="539"/>
        <w:rPr>
          <w:i/>
          <w:iCs/>
          <w:lang w:eastAsia="fr-CA"/>
        </w:rPr>
      </w:pPr>
      <w:r w:rsidRPr="006F36BC">
        <w:rPr>
          <w:i/>
          <w:iCs/>
          <w:lang w:eastAsia="fr-CA"/>
        </w:rPr>
        <w:t>Tant mieux. Mais l'histoire... regarde, on aurait pu s'enregistrer aujourd'hui puis on aurait pu ressortir la... le... l'enregistrement...</w:t>
      </w:r>
      <w:r>
        <w:rPr>
          <w:rStyle w:val="Appelnotedebasdep"/>
          <w:lang w:eastAsia="fr-CA"/>
        </w:rPr>
        <w:footnoteReference w:id="44"/>
      </w:r>
      <w:r w:rsidR="00CD0C36">
        <w:rPr>
          <w:i/>
          <w:iCs/>
          <w:lang w:eastAsia="fr-CA"/>
        </w:rPr>
        <w:t>.</w:t>
      </w:r>
    </w:p>
    <w:p w14:paraId="6DC6261E" w14:textId="77777777" w:rsidR="00782DBA" w:rsidRPr="006F36BC" w:rsidRDefault="00730A01" w:rsidP="00802EBA">
      <w:pPr>
        <w:pStyle w:val="Citationenretrait"/>
        <w:spacing w:after="0"/>
        <w:ind w:right="539"/>
        <w:rPr>
          <w:i/>
          <w:iCs/>
          <w:lang w:eastAsia="fr-CA"/>
        </w:rPr>
      </w:pPr>
      <w:r w:rsidRPr="006F36BC">
        <w:rPr>
          <w:i/>
          <w:iCs/>
          <w:lang w:eastAsia="fr-CA"/>
        </w:rPr>
        <w:t>(…)</w:t>
      </w:r>
    </w:p>
    <w:p w14:paraId="65B149F4" w14:textId="77777777" w:rsidR="00782DBA" w:rsidRPr="006F36BC" w:rsidRDefault="00730A01" w:rsidP="00802EBA">
      <w:pPr>
        <w:pStyle w:val="Citationenretrait"/>
        <w:spacing w:after="0"/>
        <w:ind w:right="539"/>
        <w:rPr>
          <w:i/>
          <w:iCs/>
          <w:lang w:eastAsia="fr-CA"/>
        </w:rPr>
      </w:pPr>
      <w:r w:rsidRPr="006F36BC">
        <w:rPr>
          <w:i/>
          <w:iCs/>
          <w:lang w:eastAsia="fr-CA"/>
        </w:rPr>
        <w:t>Tu te souviens, quand on a refait... Non, ce n'est pas une question d'être devin. C'est qu'on est dans une hostifi de... de belle ouverture pour être capables de vendre</w:t>
      </w:r>
      <w:r>
        <w:rPr>
          <w:rStyle w:val="Appelnotedebasdep"/>
          <w:lang w:eastAsia="fr-CA"/>
        </w:rPr>
        <w:footnoteReference w:id="45"/>
      </w:r>
      <w:r w:rsidR="00CD0C36">
        <w:rPr>
          <w:lang w:eastAsia="fr-CA"/>
        </w:rPr>
        <w:t>.</w:t>
      </w:r>
    </w:p>
    <w:p w14:paraId="5D6EF59F" w14:textId="77777777" w:rsidR="00782DBA" w:rsidRPr="006F36BC" w:rsidRDefault="00730A01" w:rsidP="00802EBA">
      <w:pPr>
        <w:pStyle w:val="Citationenretrait"/>
        <w:spacing w:after="0"/>
        <w:ind w:right="0"/>
        <w:rPr>
          <w:i/>
          <w:iCs/>
        </w:rPr>
      </w:pPr>
      <w:r w:rsidRPr="006F36BC">
        <w:rPr>
          <w:i/>
          <w:iCs/>
        </w:rPr>
        <w:t>(…)</w:t>
      </w:r>
    </w:p>
    <w:p w14:paraId="04D1C8C1" w14:textId="77777777" w:rsidR="00782DBA" w:rsidRDefault="00730A01" w:rsidP="00802EBA">
      <w:pPr>
        <w:pStyle w:val="Citationenretrait"/>
        <w:spacing w:after="0"/>
        <w:ind w:right="539"/>
        <w:rPr>
          <w:i/>
          <w:iCs/>
          <w:lang w:eastAsia="fr-CA"/>
        </w:rPr>
      </w:pPr>
      <w:r w:rsidRPr="00332636">
        <w:rPr>
          <w:i/>
          <w:iCs/>
          <w:lang w:eastAsia="fr-CA"/>
        </w:rPr>
        <w:t>Attends un petit peu, là</w:t>
      </w:r>
      <w:r w:rsidRPr="006F36BC">
        <w:rPr>
          <w:i/>
          <w:iCs/>
          <w:lang w:eastAsia="fr-CA"/>
        </w:rPr>
        <w:t>, on va y aller par étape. Moi, Pierre Thabet est sorti du groupe parce que sa... sa... son interrogation, il en avait rien qu'une. Comment qu'il fait pour nous rembourser, Stéphan? Ça, on en a parlé 1</w:t>
      </w:r>
      <w:r w:rsidR="00CD0C36">
        <w:rPr>
          <w:i/>
          <w:iCs/>
          <w:lang w:eastAsia="fr-CA"/>
        </w:rPr>
        <w:t> </w:t>
      </w:r>
      <w:r w:rsidRPr="006F36BC">
        <w:rPr>
          <w:i/>
          <w:iCs/>
          <w:lang w:eastAsia="fr-CA"/>
        </w:rPr>
        <w:t>000</w:t>
      </w:r>
      <w:r w:rsidR="00CD0C36">
        <w:rPr>
          <w:i/>
          <w:iCs/>
          <w:lang w:eastAsia="fr-CA"/>
        </w:rPr>
        <w:t> </w:t>
      </w:r>
      <w:r w:rsidRPr="006F36BC">
        <w:rPr>
          <w:i/>
          <w:iCs/>
          <w:lang w:eastAsia="fr-CA"/>
        </w:rPr>
        <w:t>fois, hein. C'est un sujet de l'heure, c'est un sujet qu'on parle encore aujourd'hui, c'est un sujet qu'on parlait v'là deux ans, c'est un sujet que je parlais avec lui, que j'ai parlé avec lui pendant trois, quatre ans. La journée qu'il est embarqué, puis on... il m'en a parlé pendant quatre ans de temps, comment qu'il fait pour nous rembourser, c'est pour ça qu'il est arrêté</w:t>
      </w:r>
      <w:r>
        <w:rPr>
          <w:rStyle w:val="Appelnotedebasdep"/>
          <w:lang w:eastAsia="fr-CA"/>
        </w:rPr>
        <w:footnoteReference w:id="46"/>
      </w:r>
      <w:r w:rsidR="00DF570F">
        <w:rPr>
          <w:i/>
          <w:iCs/>
          <w:lang w:eastAsia="fr-CA"/>
        </w:rPr>
        <w:t>.</w:t>
      </w:r>
      <w:r w:rsidRPr="006F36BC">
        <w:rPr>
          <w:i/>
          <w:iCs/>
          <w:lang w:eastAsia="fr-CA"/>
        </w:rPr>
        <w:t xml:space="preserve"> Moi, quand j'appelais les gens avant, je leur disais : «</w:t>
      </w:r>
      <w:r w:rsidR="00DF570F">
        <w:rPr>
          <w:i/>
          <w:iCs/>
          <w:lang w:eastAsia="fr-CA"/>
        </w:rPr>
        <w:t> </w:t>
      </w:r>
      <w:r w:rsidRPr="006F36BC">
        <w:rPr>
          <w:i/>
          <w:iCs/>
          <w:lang w:eastAsia="fr-CA"/>
        </w:rPr>
        <w:t>O.K., il faut repoter tel... tant de millions, mais t'sais, capotez pas, des équités, on en a en masse.</w:t>
      </w:r>
      <w:r w:rsidR="00DF570F">
        <w:rPr>
          <w:i/>
          <w:iCs/>
          <w:lang w:eastAsia="fr-CA"/>
        </w:rPr>
        <w:t> </w:t>
      </w:r>
      <w:r w:rsidRPr="006F36BC">
        <w:rPr>
          <w:i/>
          <w:iCs/>
          <w:lang w:eastAsia="fr-CA"/>
        </w:rPr>
        <w:t>» Bien, «</w:t>
      </w:r>
      <w:r w:rsidR="00DF570F">
        <w:rPr>
          <w:i/>
          <w:iCs/>
          <w:lang w:eastAsia="fr-CA"/>
        </w:rPr>
        <w:t> </w:t>
      </w:r>
      <w:r w:rsidRPr="006F36BC">
        <w:rPr>
          <w:i/>
          <w:iCs/>
          <w:lang w:eastAsia="fr-CA"/>
        </w:rPr>
        <w:t>on en a en masse</w:t>
      </w:r>
      <w:r w:rsidR="00DF570F">
        <w:rPr>
          <w:i/>
          <w:iCs/>
          <w:lang w:eastAsia="fr-CA"/>
        </w:rPr>
        <w:t> </w:t>
      </w:r>
      <w:r w:rsidRPr="006F36BC">
        <w:rPr>
          <w:i/>
          <w:iCs/>
          <w:lang w:eastAsia="fr-CA"/>
        </w:rPr>
        <w:t>», on a</w:t>
      </w:r>
      <w:r w:rsidR="00DF570F">
        <w:rPr>
          <w:i/>
          <w:iCs/>
          <w:lang w:eastAsia="fr-CA"/>
        </w:rPr>
        <w:t xml:space="preserve"> </w:t>
      </w:r>
      <w:r w:rsidRPr="006F36BC">
        <w:rPr>
          <w:i/>
          <w:iCs/>
          <w:lang w:eastAsia="fr-CA"/>
        </w:rPr>
        <w:t>qu'est-ce qu'on s'était entendus. Mais là, moi, le discours, pour moi, il change demain, t'sais. C'est qu'est-ce que... qu'est-ce que j'offre aux gens...</w:t>
      </w:r>
      <w:r>
        <w:rPr>
          <w:rStyle w:val="Appelnotedebasdep"/>
          <w:lang w:eastAsia="fr-CA"/>
        </w:rPr>
        <w:footnoteReference w:id="47"/>
      </w:r>
      <w:r w:rsidR="00CD0C36">
        <w:rPr>
          <w:i/>
          <w:iCs/>
          <w:lang w:eastAsia="fr-CA"/>
        </w:rPr>
        <w:t>.</w:t>
      </w:r>
    </w:p>
    <w:p w14:paraId="7F0F4E7B" w14:textId="77777777" w:rsidR="006A4FD8" w:rsidRPr="006A4FD8" w:rsidRDefault="00730A01" w:rsidP="00802EBA">
      <w:pPr>
        <w:pStyle w:val="Citationenretrait"/>
        <w:spacing w:after="0"/>
        <w:ind w:right="539"/>
        <w:rPr>
          <w:i/>
          <w:iCs/>
          <w:lang w:eastAsia="fr-CA"/>
        </w:rPr>
      </w:pPr>
      <w:r w:rsidRPr="006A4FD8">
        <w:rPr>
          <w:i/>
          <w:iCs/>
        </w:rPr>
        <w:t>… fallait trouver une façon que ça passe. J’ai été obligé de faire des fling-flang, parce que, tu comprends, y’avait pas d’autre solution. J’ai pris ça sur moi, c’est moi qui étais pogné avec ça. J’ai fait ce que j’ai pu pour que ça marche, mais c’est ça, j’ai fait des fling-flang. Là, je vous le dis, j’ai pris le risque, c’est moi qui l’ai assumé</w:t>
      </w:r>
      <w:r>
        <w:rPr>
          <w:rStyle w:val="Appelnotedebasdep"/>
        </w:rPr>
        <w:footnoteReference w:id="48"/>
      </w:r>
      <w:r w:rsidR="00CD0C36">
        <w:rPr>
          <w:i/>
          <w:iCs/>
        </w:rPr>
        <w:t>.</w:t>
      </w:r>
    </w:p>
    <w:p w14:paraId="0942B1A2" w14:textId="77777777" w:rsidR="00782DBA" w:rsidRPr="006F36BC" w:rsidRDefault="00730A01" w:rsidP="00802EBA">
      <w:pPr>
        <w:pStyle w:val="Citationenretrait"/>
        <w:spacing w:after="0"/>
        <w:ind w:right="539"/>
        <w:rPr>
          <w:i/>
          <w:iCs/>
          <w:lang w:eastAsia="fr-CA"/>
        </w:rPr>
      </w:pPr>
      <w:r w:rsidRPr="006F36BC">
        <w:rPr>
          <w:i/>
          <w:iCs/>
          <w:lang w:eastAsia="fr-CA"/>
        </w:rPr>
        <w:t>Ça fait que si on met 500</w:t>
      </w:r>
      <w:r w:rsidR="00CD0C36">
        <w:rPr>
          <w:i/>
          <w:iCs/>
          <w:lang w:eastAsia="fr-CA"/>
        </w:rPr>
        <w:t> </w:t>
      </w:r>
      <w:r w:rsidRPr="006F36BC">
        <w:rPr>
          <w:i/>
          <w:iCs/>
          <w:lang w:eastAsia="fr-CA"/>
        </w:rPr>
        <w:t>000, on vous dit : «</w:t>
      </w:r>
      <w:r w:rsidR="00CD0C36">
        <w:rPr>
          <w:i/>
          <w:iCs/>
          <w:lang w:eastAsia="fr-CA"/>
        </w:rPr>
        <w:t> </w:t>
      </w:r>
      <w:r w:rsidRPr="006F36BC">
        <w:rPr>
          <w:i/>
          <w:iCs/>
          <w:lang w:eastAsia="fr-CA"/>
        </w:rPr>
        <w:t>On vous donne un nanane de... à cause que tu restes là, tu as 0.4</w:t>
      </w:r>
      <w:r w:rsidR="00CD0C36">
        <w:rPr>
          <w:i/>
          <w:iCs/>
          <w:lang w:eastAsia="fr-CA"/>
        </w:rPr>
        <w:t> </w:t>
      </w:r>
      <w:r w:rsidRPr="006F36BC">
        <w:rPr>
          <w:i/>
          <w:iCs/>
          <w:lang w:eastAsia="fr-CA"/>
        </w:rPr>
        <w:t>%</w:t>
      </w:r>
      <w:r w:rsidR="00CD0C36">
        <w:rPr>
          <w:i/>
          <w:iCs/>
          <w:lang w:eastAsia="fr-CA"/>
        </w:rPr>
        <w:t> </w:t>
      </w:r>
      <w:r w:rsidRPr="006F36BC">
        <w:rPr>
          <w:i/>
          <w:iCs/>
          <w:lang w:eastAsia="fr-CA"/>
        </w:rPr>
        <w:t>»</w:t>
      </w:r>
      <w:r>
        <w:rPr>
          <w:rStyle w:val="Appelnotedebasdep"/>
          <w:lang w:eastAsia="fr-CA"/>
        </w:rPr>
        <w:footnoteReference w:id="49"/>
      </w:r>
      <w:r w:rsidR="00CD0C36">
        <w:rPr>
          <w:i/>
          <w:iCs/>
          <w:lang w:eastAsia="fr-CA"/>
        </w:rPr>
        <w:t>.</w:t>
      </w:r>
    </w:p>
    <w:p w14:paraId="5EA54B86" w14:textId="77777777" w:rsidR="00782DBA" w:rsidRPr="00332636" w:rsidRDefault="00730A01" w:rsidP="00802EBA">
      <w:pPr>
        <w:pStyle w:val="Citationenretrait"/>
        <w:spacing w:after="0"/>
        <w:ind w:right="539"/>
        <w:rPr>
          <w:lang w:eastAsia="fr-CA"/>
        </w:rPr>
      </w:pPr>
      <w:r>
        <w:rPr>
          <w:lang w:eastAsia="fr-CA"/>
        </w:rPr>
        <w:t>M.</w:t>
      </w:r>
      <w:r w:rsidR="00CD0C36">
        <w:rPr>
          <w:lang w:eastAsia="fr-CA"/>
        </w:rPr>
        <w:t> </w:t>
      </w:r>
      <w:r>
        <w:rPr>
          <w:lang w:eastAsia="fr-CA"/>
        </w:rPr>
        <w:t>Guillaume St-Gelais :</w:t>
      </w:r>
    </w:p>
    <w:p w14:paraId="064F2BF3" w14:textId="77777777" w:rsidR="00782DBA" w:rsidRPr="006F36BC" w:rsidRDefault="00730A01" w:rsidP="00802EBA">
      <w:pPr>
        <w:pStyle w:val="Citationenretrait"/>
        <w:spacing w:after="0"/>
        <w:ind w:right="539"/>
        <w:rPr>
          <w:i/>
          <w:iCs/>
          <w:lang w:eastAsia="fr-CA"/>
        </w:rPr>
      </w:pPr>
      <w:r w:rsidRPr="006F36BC">
        <w:rPr>
          <w:i/>
          <w:iCs/>
          <w:lang w:eastAsia="fr-CA"/>
        </w:rPr>
        <w:t xml:space="preserve">Bien, c'est pour ça que je te dis que ce n'est pas très cohérent, là. </w:t>
      </w:r>
      <w:r w:rsidRPr="001B5BA0">
        <w:rPr>
          <w:i/>
          <w:iCs/>
          <w:lang w:eastAsia="fr-CA"/>
        </w:rPr>
        <w:t>Je</w:t>
      </w:r>
      <w:r w:rsidR="002D617F" w:rsidRPr="001B5BA0">
        <w:rPr>
          <w:i/>
          <w:iCs/>
          <w:lang w:eastAsia="fr-CA"/>
        </w:rPr>
        <w:t xml:space="preserve"> …</w:t>
      </w:r>
      <w:r w:rsidRPr="006F36BC">
        <w:rPr>
          <w:i/>
          <w:iCs/>
          <w:lang w:eastAsia="fr-CA"/>
        </w:rPr>
        <w:t xml:space="preserve"> </w:t>
      </w:r>
    </w:p>
    <w:p w14:paraId="2655BBB5" w14:textId="77777777" w:rsidR="00782DBA" w:rsidRPr="006F36BC" w:rsidRDefault="00730A01" w:rsidP="00802EBA">
      <w:pPr>
        <w:pStyle w:val="Citationenretrait"/>
        <w:spacing w:after="0"/>
        <w:ind w:right="539"/>
        <w:rPr>
          <w:i/>
          <w:iCs/>
          <w:lang w:eastAsia="fr-CA"/>
        </w:rPr>
      </w:pPr>
      <w:r w:rsidRPr="006F36BC">
        <w:rPr>
          <w:i/>
          <w:iCs/>
          <w:lang w:eastAsia="fr-CA"/>
        </w:rPr>
        <w:t xml:space="preserve">(…) </w:t>
      </w:r>
    </w:p>
    <w:p w14:paraId="420ECB99" w14:textId="77777777" w:rsidR="00782DBA" w:rsidRPr="006F36BC" w:rsidRDefault="00730A01" w:rsidP="00802EBA">
      <w:pPr>
        <w:pStyle w:val="Citationenretrait"/>
        <w:spacing w:after="0"/>
        <w:ind w:right="539"/>
        <w:rPr>
          <w:i/>
          <w:iCs/>
          <w:lang w:eastAsia="fr-CA"/>
        </w:rPr>
      </w:pPr>
      <w:r w:rsidRPr="006F36BC">
        <w:rPr>
          <w:i/>
          <w:iCs/>
          <w:lang w:eastAsia="fr-CA"/>
        </w:rPr>
        <w:t>Sais-tu si on l'avait annuel, ça nous donne un rendement de 1.6</w:t>
      </w:r>
      <w:r w:rsidR="00CD0C36">
        <w:rPr>
          <w:i/>
          <w:iCs/>
          <w:lang w:eastAsia="fr-CA"/>
        </w:rPr>
        <w:t> </w:t>
      </w:r>
      <w:r w:rsidRPr="006F36BC">
        <w:rPr>
          <w:i/>
          <w:iCs/>
          <w:lang w:eastAsia="fr-CA"/>
        </w:rPr>
        <w:t>annuel. Si tu reçois... si tu reçois point zéro... 0.4</w:t>
      </w:r>
      <w:r w:rsidR="00CD0C36">
        <w:rPr>
          <w:i/>
          <w:iCs/>
          <w:lang w:eastAsia="fr-CA"/>
        </w:rPr>
        <w:t> </w:t>
      </w:r>
      <w:r w:rsidRPr="006F36BC">
        <w:rPr>
          <w:i/>
          <w:iCs/>
          <w:lang w:eastAsia="fr-CA"/>
        </w:rPr>
        <w:t>% en quatre mois... multiplié par trois, c'est... 0.4...</w:t>
      </w:r>
      <w:r>
        <w:rPr>
          <w:rStyle w:val="Appelnotedebasdep"/>
          <w:lang w:eastAsia="fr-CA"/>
        </w:rPr>
        <w:footnoteReference w:id="50"/>
      </w:r>
      <w:r w:rsidR="00CD0C36">
        <w:rPr>
          <w:i/>
          <w:iCs/>
          <w:lang w:eastAsia="fr-CA"/>
        </w:rPr>
        <w:t>.</w:t>
      </w:r>
      <w:r w:rsidRPr="006F36BC">
        <w:rPr>
          <w:i/>
          <w:iCs/>
          <w:lang w:eastAsia="fr-CA"/>
        </w:rPr>
        <w:t xml:space="preserve"> </w:t>
      </w:r>
    </w:p>
    <w:p w14:paraId="4CA572F0" w14:textId="77777777" w:rsidR="00782DBA" w:rsidRPr="006F36BC" w:rsidRDefault="00730A01" w:rsidP="00802EBA">
      <w:pPr>
        <w:pStyle w:val="Citationenretrait"/>
        <w:spacing w:after="0"/>
        <w:ind w:right="539"/>
        <w:rPr>
          <w:i/>
          <w:iCs/>
          <w:lang w:eastAsia="fr-CA"/>
        </w:rPr>
      </w:pPr>
      <w:r w:rsidRPr="006F36BC">
        <w:rPr>
          <w:i/>
          <w:iCs/>
          <w:lang w:eastAsia="fr-CA"/>
        </w:rPr>
        <w:t>(…)</w:t>
      </w:r>
    </w:p>
    <w:p w14:paraId="02375089" w14:textId="77777777" w:rsidR="00782DBA" w:rsidRDefault="00730A01" w:rsidP="00802EBA">
      <w:pPr>
        <w:pStyle w:val="Citationenretrait"/>
        <w:spacing w:after="0"/>
        <w:ind w:right="539"/>
        <w:rPr>
          <w:i/>
          <w:iCs/>
          <w:lang w:eastAsia="fr-CA"/>
        </w:rPr>
      </w:pPr>
      <w:r w:rsidRPr="006F36BC">
        <w:rPr>
          <w:i/>
          <w:iCs/>
          <w:lang w:eastAsia="fr-CA"/>
        </w:rPr>
        <w:t>Mais en même temps... en même temps, la logique, c'est de dire c'est 500</w:t>
      </w:r>
      <w:r w:rsidR="002D617F">
        <w:rPr>
          <w:i/>
          <w:iCs/>
          <w:lang w:eastAsia="fr-CA"/>
        </w:rPr>
        <w:t> </w:t>
      </w:r>
      <w:r w:rsidRPr="006F36BC">
        <w:rPr>
          <w:i/>
          <w:iCs/>
          <w:lang w:eastAsia="fr-CA"/>
        </w:rPr>
        <w:t>000</w:t>
      </w:r>
      <w:r w:rsidR="002D617F">
        <w:rPr>
          <w:i/>
          <w:iCs/>
          <w:lang w:eastAsia="fr-CA"/>
        </w:rPr>
        <w:t> </w:t>
      </w:r>
      <w:r w:rsidRPr="006F36BC">
        <w:rPr>
          <w:i/>
          <w:iCs/>
          <w:lang w:eastAsia="fr-CA"/>
        </w:rPr>
        <w:t>$ qu'on ramasse.</w:t>
      </w:r>
    </w:p>
    <w:p w14:paraId="1F19481A" w14:textId="77777777" w:rsidR="00782DBA" w:rsidRPr="00332636" w:rsidRDefault="00730A01" w:rsidP="00802EBA">
      <w:pPr>
        <w:pStyle w:val="Citationenretrait"/>
        <w:spacing w:after="0"/>
        <w:ind w:right="0"/>
        <w:rPr>
          <w:lang w:eastAsia="fr-CA"/>
        </w:rPr>
      </w:pPr>
      <w:r>
        <w:rPr>
          <w:lang w:eastAsia="fr-CA"/>
        </w:rPr>
        <w:t>M.</w:t>
      </w:r>
      <w:r w:rsidR="00CD0C36">
        <w:rPr>
          <w:lang w:eastAsia="fr-CA"/>
        </w:rPr>
        <w:t> </w:t>
      </w:r>
      <w:r>
        <w:rPr>
          <w:lang w:eastAsia="fr-CA"/>
        </w:rPr>
        <w:t>Robert Giroux :</w:t>
      </w:r>
    </w:p>
    <w:p w14:paraId="27EFC6FF" w14:textId="77777777" w:rsidR="00782DBA" w:rsidRDefault="00730A01" w:rsidP="00802EBA">
      <w:pPr>
        <w:pStyle w:val="Citationenretrait"/>
        <w:spacing w:after="0"/>
        <w:ind w:right="0"/>
        <w:rPr>
          <w:i/>
          <w:iCs/>
          <w:lang w:eastAsia="fr-CA"/>
        </w:rPr>
      </w:pPr>
      <w:r w:rsidRPr="006F36BC">
        <w:rPr>
          <w:i/>
          <w:iCs/>
          <w:lang w:eastAsia="fr-CA"/>
        </w:rPr>
        <w:t>C'est ça, il faut... c'est ça qu'il faut que j'utilise, c'est en dollars</w:t>
      </w:r>
      <w:r>
        <w:rPr>
          <w:rStyle w:val="Appelnotedebasdep"/>
          <w:lang w:eastAsia="fr-CA"/>
        </w:rPr>
        <w:footnoteReference w:id="51"/>
      </w:r>
      <w:r w:rsidR="00CD0C36">
        <w:rPr>
          <w:i/>
          <w:iCs/>
          <w:lang w:eastAsia="fr-CA"/>
        </w:rPr>
        <w:t>.</w:t>
      </w:r>
    </w:p>
    <w:p w14:paraId="34B1DBEF" w14:textId="77777777" w:rsidR="006A4FD8" w:rsidRPr="006A4FD8" w:rsidRDefault="00730A01" w:rsidP="00802EBA">
      <w:pPr>
        <w:pStyle w:val="Paragraphe"/>
        <w:tabs>
          <w:tab w:val="clear" w:pos="786"/>
        </w:tabs>
        <w:spacing w:line="240" w:lineRule="auto"/>
        <w:ind w:left="0"/>
        <w:rPr>
          <w:i/>
          <w:iCs/>
        </w:rPr>
      </w:pPr>
      <w:r>
        <w:rPr>
          <w:lang w:eastAsia="fr-CA"/>
        </w:rPr>
        <w:t xml:space="preserve">De toute évidence, l’objectif de </w:t>
      </w:r>
      <w:r w:rsidR="00332636">
        <w:rPr>
          <w:lang w:eastAsia="fr-CA"/>
        </w:rPr>
        <w:t xml:space="preserve">cette </w:t>
      </w:r>
      <w:r>
        <w:rPr>
          <w:lang w:eastAsia="fr-CA"/>
        </w:rPr>
        <w:t xml:space="preserve">discussion est de trouver une façon de convaincre les </w:t>
      </w:r>
      <w:r w:rsidR="00332636">
        <w:rPr>
          <w:lang w:eastAsia="fr-CA"/>
        </w:rPr>
        <w:t>commanditaires</w:t>
      </w:r>
      <w:r>
        <w:rPr>
          <w:lang w:eastAsia="fr-CA"/>
        </w:rPr>
        <w:t xml:space="preserve"> à injecter davantage de fonds sans leur dire toute la vérité.</w:t>
      </w:r>
    </w:p>
    <w:p w14:paraId="264F3B9D" w14:textId="77777777" w:rsidR="00332636" w:rsidRPr="00802EBA" w:rsidRDefault="00730A01" w:rsidP="00802EBA">
      <w:pPr>
        <w:pStyle w:val="Paragraphe"/>
        <w:tabs>
          <w:tab w:val="clear" w:pos="786"/>
        </w:tabs>
        <w:spacing w:line="240" w:lineRule="auto"/>
        <w:ind w:left="0"/>
        <w:rPr>
          <w:i/>
          <w:iCs/>
        </w:rPr>
      </w:pPr>
      <w:r>
        <w:rPr>
          <w:lang w:eastAsia="fr-CA"/>
        </w:rPr>
        <w:t>Au présent stade, il y a lieu de poursuivre avec la crédibilité de Giroux avant d’enchaîner avec les questions en litige.</w:t>
      </w:r>
    </w:p>
    <w:p w14:paraId="48AEBD11" w14:textId="77777777" w:rsidR="00EB3AF7" w:rsidRPr="003616A0" w:rsidRDefault="00730A01" w:rsidP="0098012F">
      <w:pPr>
        <w:pStyle w:val="Style2"/>
        <w:rPr>
          <w:bCs w:val="0"/>
          <w:iCs/>
          <w:szCs w:val="20"/>
          <w:u w:val="none"/>
        </w:rPr>
      </w:pPr>
      <w:bookmarkStart w:id="39" w:name="_Toc211495209"/>
      <w:bookmarkStart w:id="40" w:name="_Toc211600629"/>
      <w:r w:rsidRPr="003616A0">
        <w:rPr>
          <w:b/>
          <w:bCs w:val="0"/>
        </w:rPr>
        <w:t>L</w:t>
      </w:r>
      <w:r w:rsidR="00782DBA" w:rsidRPr="003616A0">
        <w:rPr>
          <w:b/>
        </w:rPr>
        <w:t>a crédibilité de Giroux</w:t>
      </w:r>
      <w:bookmarkEnd w:id="39"/>
      <w:bookmarkEnd w:id="40"/>
    </w:p>
    <w:p w14:paraId="72981681" w14:textId="77777777" w:rsidR="00BF1CCF" w:rsidRPr="00BF1CCF" w:rsidRDefault="00730A01" w:rsidP="0098012F">
      <w:pPr>
        <w:pStyle w:val="Paragraphe"/>
        <w:tabs>
          <w:tab w:val="clear" w:pos="786"/>
        </w:tabs>
        <w:spacing w:line="240" w:lineRule="auto"/>
        <w:ind w:left="0"/>
        <w:rPr>
          <w:rFonts w:cs="Arial"/>
          <w:b/>
          <w:bCs/>
          <w:szCs w:val="24"/>
          <w:lang w:eastAsia="fr-CA"/>
        </w:rPr>
      </w:pPr>
      <w:r>
        <w:rPr>
          <w:rFonts w:cs="Arial"/>
          <w:szCs w:val="24"/>
        </w:rPr>
        <w:t xml:space="preserve">Tout </w:t>
      </w:r>
      <w:r w:rsidR="00BD7188" w:rsidRPr="00BE2122">
        <w:rPr>
          <w:rFonts w:cs="Arial"/>
          <w:szCs w:val="24"/>
        </w:rPr>
        <w:t xml:space="preserve">au long du procès, la crédibilité de Giroux a été mise à rude épreuve, au point où celui-ci ne peut absolument pas être considéré comme digne de confiance. Ses propos sont souvent incohérents, contradictoires, </w:t>
      </w:r>
      <w:r w:rsidR="00BD7188" w:rsidRPr="00BE2122">
        <w:rPr>
          <w:rFonts w:cs="Arial"/>
          <w:szCs w:val="24"/>
          <w:lang w:eastAsia="fr-CA"/>
        </w:rPr>
        <w:t>empreints d’aveux qui s’effacent, de priorités dissimulées et de souvenirs sélectifs.</w:t>
      </w:r>
      <w:r w:rsidR="00BD7188" w:rsidRPr="00BE2122">
        <w:rPr>
          <w:rFonts w:cs="Arial"/>
          <w:szCs w:val="24"/>
        </w:rPr>
        <w:t xml:space="preserve"> Bref, le Tribunal ne peut lui accorder aucune crédibilité. </w:t>
      </w:r>
    </w:p>
    <w:p w14:paraId="4FA45131" w14:textId="77777777" w:rsidR="00BD7188" w:rsidRPr="00BE2122" w:rsidRDefault="00730A01" w:rsidP="0098012F">
      <w:pPr>
        <w:pStyle w:val="Paragraphe"/>
        <w:tabs>
          <w:tab w:val="clear" w:pos="786"/>
        </w:tabs>
        <w:spacing w:line="240" w:lineRule="auto"/>
        <w:ind w:left="0"/>
        <w:rPr>
          <w:rFonts w:cs="Arial"/>
          <w:b/>
          <w:bCs/>
          <w:szCs w:val="24"/>
          <w:lang w:eastAsia="fr-CA"/>
        </w:rPr>
      </w:pPr>
      <w:r w:rsidRPr="00BE2122">
        <w:rPr>
          <w:rFonts w:cs="Arial"/>
          <w:szCs w:val="24"/>
        </w:rPr>
        <w:t>Voici quelques exemples affectant cette crédibilité :</w:t>
      </w:r>
    </w:p>
    <w:p w14:paraId="6DCBA83A" w14:textId="77777777" w:rsidR="00BD7188" w:rsidRPr="00E56521" w:rsidRDefault="00730A01" w:rsidP="00443B59">
      <w:pPr>
        <w:pStyle w:val="Titre3"/>
        <w:numPr>
          <w:ilvl w:val="0"/>
          <w:numId w:val="110"/>
        </w:numPr>
        <w:rPr>
          <w:b/>
          <w:bCs/>
          <w:lang w:eastAsia="fr-CA"/>
        </w:rPr>
      </w:pPr>
      <w:r w:rsidRPr="00E56521">
        <w:rPr>
          <w:b/>
          <w:bCs/>
          <w:lang w:eastAsia="fr-CA"/>
        </w:rPr>
        <w:t>Des réponses évasives</w:t>
      </w:r>
    </w:p>
    <w:p w14:paraId="3901BAB2" w14:textId="77777777" w:rsidR="00BD7188" w:rsidRPr="00BE2122" w:rsidRDefault="00730A01" w:rsidP="0098012F">
      <w:pPr>
        <w:pStyle w:val="Paragraphe"/>
        <w:tabs>
          <w:tab w:val="clear" w:pos="786"/>
        </w:tabs>
        <w:spacing w:line="240" w:lineRule="auto"/>
        <w:ind w:left="0"/>
        <w:rPr>
          <w:lang w:eastAsia="fr-CA"/>
        </w:rPr>
      </w:pPr>
      <w:r w:rsidRPr="00BE2122">
        <w:rPr>
          <w:lang w:eastAsia="fr-CA"/>
        </w:rPr>
        <w:t>Lors de son interrogatoire du 4</w:t>
      </w:r>
      <w:r w:rsidR="00192E75">
        <w:rPr>
          <w:lang w:eastAsia="fr-CA"/>
        </w:rPr>
        <w:t> </w:t>
      </w:r>
      <w:r w:rsidRPr="00BE2122">
        <w:rPr>
          <w:lang w:eastAsia="fr-CA"/>
        </w:rPr>
        <w:t>juin</w:t>
      </w:r>
      <w:r w:rsidR="00CD0C36">
        <w:rPr>
          <w:lang w:eastAsia="fr-CA"/>
        </w:rPr>
        <w:t> </w:t>
      </w:r>
      <w:r w:rsidRPr="00BE2122">
        <w:rPr>
          <w:lang w:eastAsia="fr-CA"/>
        </w:rPr>
        <w:t>2024</w:t>
      </w:r>
      <w:r>
        <w:rPr>
          <w:rStyle w:val="Appelnotedebasdep"/>
          <w:lang w:eastAsia="fr-CA"/>
        </w:rPr>
        <w:footnoteReference w:id="52"/>
      </w:r>
      <w:r w:rsidR="00DF570F">
        <w:rPr>
          <w:lang w:eastAsia="fr-CA"/>
        </w:rPr>
        <w:t xml:space="preserve">, </w:t>
      </w:r>
      <w:r w:rsidRPr="00BE2122">
        <w:rPr>
          <w:lang w:eastAsia="fr-CA"/>
        </w:rPr>
        <w:t>Giroux affirme catégoriquement :</w:t>
      </w:r>
    </w:p>
    <w:p w14:paraId="126421CC" w14:textId="77777777" w:rsidR="00BD7188" w:rsidRPr="002D617F" w:rsidRDefault="00730A01" w:rsidP="00252A4B">
      <w:pPr>
        <w:pStyle w:val="Citationenretrait"/>
        <w:spacing w:after="0"/>
        <w:ind w:right="539"/>
        <w:rPr>
          <w:i/>
          <w:iCs/>
        </w:rPr>
      </w:pPr>
      <w:r w:rsidRPr="003359CD">
        <w:t>Q</w:t>
      </w:r>
      <w:r w:rsidR="003359CD">
        <w:t> :</w:t>
      </w:r>
      <w:r w:rsidRPr="002D617F">
        <w:rPr>
          <w:i/>
          <w:iCs/>
        </w:rPr>
        <w:t xml:space="preserve"> Alors, je vous demandais si vous avez effectivement déjà priorisé vos intérêts en faisant rembourser l'une de vos compagnies numériques, O.K., à même l'argent des investisseurs, sans (…) en aviser au préalable les investisseurs; est-ce que c'est exact, oui ou non?</w:t>
      </w:r>
    </w:p>
    <w:p w14:paraId="26714E80" w14:textId="77777777" w:rsidR="00BD7188" w:rsidRPr="002D617F" w:rsidRDefault="00730A01" w:rsidP="0098012F">
      <w:pPr>
        <w:pStyle w:val="Citationenretrait"/>
        <w:spacing w:after="0"/>
        <w:ind w:right="0"/>
        <w:rPr>
          <w:i/>
          <w:iCs/>
        </w:rPr>
      </w:pPr>
      <w:r w:rsidRPr="003359CD">
        <w:t>R</w:t>
      </w:r>
      <w:r w:rsidR="003359CD">
        <w:t> :</w:t>
      </w:r>
      <w:r w:rsidRPr="002D617F">
        <w:rPr>
          <w:i/>
          <w:iCs/>
        </w:rPr>
        <w:t xml:space="preserve"> Non!</w:t>
      </w:r>
    </w:p>
    <w:p w14:paraId="63DD5199" w14:textId="77777777" w:rsidR="00BD7188" w:rsidRPr="00BE2122" w:rsidRDefault="00730A01" w:rsidP="0098012F">
      <w:pPr>
        <w:pStyle w:val="Paragraphe"/>
        <w:tabs>
          <w:tab w:val="clear" w:pos="786"/>
        </w:tabs>
        <w:spacing w:before="240" w:line="240" w:lineRule="auto"/>
        <w:ind w:left="0"/>
        <w:rPr>
          <w:rFonts w:cs="Arial"/>
          <w:szCs w:val="24"/>
          <w:lang w:eastAsia="fr-CA"/>
        </w:rPr>
      </w:pPr>
      <w:r w:rsidRPr="00CA760A">
        <w:rPr>
          <w:lang w:eastAsia="fr-CA"/>
        </w:rPr>
        <w:t>Mais</w:t>
      </w:r>
      <w:r w:rsidRPr="00BE2122">
        <w:rPr>
          <w:rFonts w:cs="Arial"/>
          <w:szCs w:val="24"/>
          <w:lang w:eastAsia="fr-CA"/>
        </w:rPr>
        <w:t>, dans la même séance</w:t>
      </w:r>
      <w:r>
        <w:rPr>
          <w:rStyle w:val="Appelnotedebasdep"/>
          <w:rFonts w:cs="Arial"/>
          <w:szCs w:val="24"/>
          <w:lang w:eastAsia="fr-CA"/>
        </w:rPr>
        <w:footnoteReference w:id="53"/>
      </w:r>
      <w:r w:rsidRPr="00BE2122">
        <w:rPr>
          <w:rFonts w:cs="Arial"/>
          <w:szCs w:val="24"/>
          <w:lang w:eastAsia="fr-CA"/>
        </w:rPr>
        <w:t>, l’échange suivant démontre son manque de constance :</w:t>
      </w:r>
    </w:p>
    <w:p w14:paraId="3C905743" w14:textId="77777777" w:rsidR="00BD7188" w:rsidRPr="002D617F" w:rsidRDefault="00730A01" w:rsidP="00252A4B">
      <w:pPr>
        <w:pStyle w:val="Citationenretrait"/>
        <w:spacing w:after="0"/>
        <w:ind w:right="539"/>
        <w:rPr>
          <w:i/>
          <w:iCs/>
        </w:rPr>
      </w:pPr>
      <w:r w:rsidRPr="003359CD">
        <w:t>Q</w:t>
      </w:r>
      <w:r w:rsidR="003359CD">
        <w:t> :</w:t>
      </w:r>
      <w:r w:rsidRPr="003359CD">
        <w:t xml:space="preserve"> </w:t>
      </w:r>
      <w:r w:rsidR="00BA3A08" w:rsidRPr="003359CD">
        <w:t>…</w:t>
      </w:r>
      <w:r w:rsidRPr="002D617F">
        <w:rPr>
          <w:i/>
          <w:iCs/>
        </w:rPr>
        <w:t xml:space="preserve"> Donc, vous nous dites que, jamais, vous n'avez, à ce moment-là, demandé à monsieur Huot – là on va commencer par lui, puis, après ça, je passerai à vos employés – donc, demandé à monsieur Huot de faire en sorte que, dès qu'il reçoit de l'argent, il vous paie en priorité, vous ou l'une de vos compagnies; vous n'avez jamais demandé ça, vous nous dites?</w:t>
      </w:r>
    </w:p>
    <w:p w14:paraId="087088C6" w14:textId="77777777" w:rsidR="00BD7188" w:rsidRPr="002D617F" w:rsidRDefault="00730A01" w:rsidP="00252A4B">
      <w:pPr>
        <w:pStyle w:val="Citationenretrait"/>
        <w:spacing w:after="0"/>
        <w:ind w:right="539"/>
        <w:rPr>
          <w:i/>
          <w:iCs/>
        </w:rPr>
      </w:pPr>
      <w:r w:rsidRPr="003359CD">
        <w:t>R</w:t>
      </w:r>
      <w:r w:rsidR="003359CD">
        <w:t> :</w:t>
      </w:r>
      <w:r w:rsidRPr="002D617F">
        <w:rPr>
          <w:i/>
          <w:iCs/>
        </w:rPr>
        <w:t xml:space="preserve"> Si c'est un prêt en équité…</w:t>
      </w:r>
    </w:p>
    <w:p w14:paraId="603BC8D4" w14:textId="77777777" w:rsidR="00BD7188" w:rsidRPr="002D617F" w:rsidRDefault="00730A01" w:rsidP="00252A4B">
      <w:pPr>
        <w:pStyle w:val="Citationenretrait"/>
        <w:spacing w:after="0"/>
        <w:ind w:right="539"/>
        <w:rPr>
          <w:i/>
          <w:iCs/>
        </w:rPr>
      </w:pPr>
      <w:r w:rsidRPr="003359CD">
        <w:t>Q</w:t>
      </w:r>
      <w:r w:rsidR="003359CD">
        <w:t> :</w:t>
      </w:r>
      <w:r w:rsidRPr="002D617F">
        <w:rPr>
          <w:i/>
          <w:iCs/>
        </w:rPr>
        <w:t xml:space="preserve"> Non, ma question, Monsieur : est-ce que vous l'avez déjà demandé à monsieur Huot?</w:t>
      </w:r>
    </w:p>
    <w:p w14:paraId="70944FFE" w14:textId="77777777" w:rsidR="00BD7188" w:rsidRPr="002D617F" w:rsidRDefault="00730A01" w:rsidP="00252A4B">
      <w:pPr>
        <w:pStyle w:val="Citationenretrait"/>
        <w:spacing w:after="0"/>
        <w:ind w:right="539"/>
        <w:rPr>
          <w:i/>
          <w:iCs/>
        </w:rPr>
      </w:pPr>
      <w:r w:rsidRPr="003359CD">
        <w:t>R</w:t>
      </w:r>
      <w:r w:rsidR="003359CD">
        <w:t> :</w:t>
      </w:r>
      <w:r w:rsidRPr="002D617F">
        <w:rPr>
          <w:i/>
          <w:iCs/>
        </w:rPr>
        <w:t xml:space="preserve"> J'ai… j'ai pas de mémoire; O.K.!</w:t>
      </w:r>
    </w:p>
    <w:p w14:paraId="04CDC175" w14:textId="77777777" w:rsidR="00BD7188" w:rsidRPr="002D617F" w:rsidRDefault="00730A01" w:rsidP="00252A4B">
      <w:pPr>
        <w:pStyle w:val="Citationenretrait"/>
        <w:spacing w:after="0"/>
        <w:ind w:right="539"/>
        <w:rPr>
          <w:i/>
          <w:iCs/>
        </w:rPr>
      </w:pPr>
      <w:r w:rsidRPr="003359CD">
        <w:t>Q</w:t>
      </w:r>
      <w:r w:rsidR="003359CD">
        <w:t> :</w:t>
      </w:r>
      <w:r w:rsidRPr="002D617F">
        <w:rPr>
          <w:i/>
          <w:iCs/>
        </w:rPr>
        <w:t xml:space="preserve"> Vous n'avez pas de mémoire ou pas de souvenir?</w:t>
      </w:r>
    </w:p>
    <w:p w14:paraId="6483547B" w14:textId="77777777" w:rsidR="00BD7188" w:rsidRPr="002D617F" w:rsidRDefault="00730A01" w:rsidP="00631CAA">
      <w:pPr>
        <w:pStyle w:val="Citationenretrait"/>
        <w:spacing w:after="0"/>
        <w:ind w:right="539"/>
        <w:rPr>
          <w:i/>
          <w:iCs/>
        </w:rPr>
      </w:pPr>
      <w:r w:rsidRPr="003359CD">
        <w:t>R</w:t>
      </w:r>
      <w:r w:rsidR="003359CD">
        <w:t> :</w:t>
      </w:r>
      <w:r w:rsidRPr="002D617F">
        <w:rPr>
          <w:i/>
          <w:iCs/>
        </w:rPr>
        <w:t xml:space="preserve"> J'ai pas de souvenir, excusez! « Pas de mémoire », excusez-moi, pas de souvenir, je m'en souviens pas. Euh… je m'en souviens pas. Pis si c'était arrivé, ben, c'est parce que c'est un prêt en équité ou quelconque, pis que, finalement, il a payé ses factures, tout simplement!</w:t>
      </w:r>
    </w:p>
    <w:p w14:paraId="1D4CEE9E" w14:textId="77777777" w:rsidR="00BD7188" w:rsidRPr="00BE2122" w:rsidRDefault="00730A01" w:rsidP="0098012F">
      <w:pPr>
        <w:pStyle w:val="Paragraphe"/>
        <w:tabs>
          <w:tab w:val="clear" w:pos="786"/>
        </w:tabs>
        <w:spacing w:before="240" w:line="240" w:lineRule="auto"/>
        <w:ind w:left="0"/>
        <w:rPr>
          <w:lang w:eastAsia="fr-CA"/>
        </w:rPr>
      </w:pPr>
      <w:r w:rsidRPr="00BE2122">
        <w:rPr>
          <w:lang w:eastAsia="fr-CA"/>
        </w:rPr>
        <w:t xml:space="preserve">Ce type de réponse évasive </w:t>
      </w:r>
      <w:r w:rsidR="00BA3A08">
        <w:rPr>
          <w:lang w:eastAsia="fr-CA"/>
        </w:rPr>
        <w:t xml:space="preserve">intervient </w:t>
      </w:r>
      <w:r w:rsidRPr="00BE2122">
        <w:rPr>
          <w:lang w:eastAsia="fr-CA"/>
        </w:rPr>
        <w:t xml:space="preserve">alors que </w:t>
      </w:r>
      <w:r w:rsidR="00BA3A08">
        <w:rPr>
          <w:lang w:eastAsia="fr-CA"/>
        </w:rPr>
        <w:t xml:space="preserve">la preuve démontre que </w:t>
      </w:r>
      <w:r w:rsidRPr="00BE2122">
        <w:rPr>
          <w:lang w:eastAsia="fr-CA"/>
        </w:rPr>
        <w:t xml:space="preserve">les montages financiers consistaient à se rembourser en priorité, </w:t>
      </w:r>
      <w:r w:rsidR="00D56A53">
        <w:rPr>
          <w:lang w:eastAsia="fr-CA"/>
        </w:rPr>
        <w:t>notamment</w:t>
      </w:r>
      <w:r w:rsidRPr="00BE2122">
        <w:rPr>
          <w:lang w:eastAsia="fr-CA"/>
        </w:rPr>
        <w:t xml:space="preserve"> </w:t>
      </w:r>
      <w:r w:rsidRPr="00D56A53">
        <w:rPr>
          <w:lang w:eastAsia="fr-CA"/>
        </w:rPr>
        <w:t>à l’insu des investisseurs</w:t>
      </w:r>
      <w:r>
        <w:rPr>
          <w:rStyle w:val="Appelnotedebasdep"/>
          <w:lang w:eastAsia="fr-CA"/>
        </w:rPr>
        <w:footnoteReference w:id="54"/>
      </w:r>
      <w:r w:rsidRPr="00BA3A08">
        <w:rPr>
          <w:lang w:eastAsia="fr-CA"/>
        </w:rPr>
        <w:t>.</w:t>
      </w:r>
    </w:p>
    <w:p w14:paraId="2B6AE783" w14:textId="77777777" w:rsidR="00BD7188" w:rsidRPr="00BE2122" w:rsidRDefault="00730A01" w:rsidP="00443B59">
      <w:pPr>
        <w:pStyle w:val="Titre3"/>
        <w:numPr>
          <w:ilvl w:val="0"/>
          <w:numId w:val="110"/>
        </w:numPr>
        <w:rPr>
          <w:b/>
          <w:bCs/>
          <w:lang w:eastAsia="fr-CA"/>
        </w:rPr>
      </w:pPr>
      <w:bookmarkStart w:id="41" w:name="_Toc205902171"/>
      <w:r w:rsidRPr="00AC79F3">
        <w:rPr>
          <w:rFonts w:cs="Arial"/>
          <w:b/>
          <w:bCs/>
          <w:szCs w:val="24"/>
          <w:lang w:eastAsia="fr-CA"/>
        </w:rPr>
        <w:t>Des</w:t>
      </w:r>
      <w:r w:rsidRPr="00BE2122">
        <w:rPr>
          <w:b/>
          <w:bCs/>
          <w:lang w:eastAsia="fr-CA"/>
        </w:rPr>
        <w:t xml:space="preserve"> déclarations non crédibles sur ce qu’il a dit aux commanditaires de FIISH</w:t>
      </w:r>
      <w:bookmarkEnd w:id="41"/>
      <w:r w:rsidR="006A4FD8">
        <w:rPr>
          <w:b/>
          <w:bCs/>
          <w:lang w:eastAsia="fr-CA"/>
        </w:rPr>
        <w:t xml:space="preserve"> après la rencontre du 2</w:t>
      </w:r>
      <w:r w:rsidR="00192E75">
        <w:rPr>
          <w:b/>
          <w:bCs/>
          <w:lang w:eastAsia="fr-CA"/>
        </w:rPr>
        <w:t> </w:t>
      </w:r>
      <w:r w:rsidR="006A4FD8">
        <w:rPr>
          <w:b/>
          <w:bCs/>
          <w:lang w:eastAsia="fr-CA"/>
        </w:rPr>
        <w:t>mars</w:t>
      </w:r>
      <w:r w:rsidR="00CD0C36">
        <w:rPr>
          <w:b/>
          <w:bCs/>
          <w:lang w:eastAsia="fr-CA"/>
        </w:rPr>
        <w:t> </w:t>
      </w:r>
      <w:r w:rsidR="006A4FD8">
        <w:rPr>
          <w:b/>
          <w:bCs/>
          <w:lang w:eastAsia="fr-CA"/>
        </w:rPr>
        <w:t>2022</w:t>
      </w:r>
    </w:p>
    <w:p w14:paraId="3F404456" w14:textId="77777777" w:rsidR="00BD7188" w:rsidRPr="00BE2122" w:rsidRDefault="00730A01" w:rsidP="0098012F">
      <w:pPr>
        <w:pStyle w:val="Paragraphe"/>
        <w:tabs>
          <w:tab w:val="clear" w:pos="786"/>
        </w:tabs>
        <w:spacing w:line="240" w:lineRule="auto"/>
        <w:ind w:left="0"/>
        <w:rPr>
          <w:lang w:eastAsia="fr-CA"/>
        </w:rPr>
      </w:pPr>
      <w:r w:rsidRPr="00BE2122">
        <w:rPr>
          <w:lang w:eastAsia="fr-CA"/>
        </w:rPr>
        <w:t>Giroux affirme avoir avisé tous les commanditaires de FIISH, en mars</w:t>
      </w:r>
      <w:r w:rsidR="00CD0C36">
        <w:rPr>
          <w:lang w:eastAsia="fr-CA"/>
        </w:rPr>
        <w:t> </w:t>
      </w:r>
      <w:r w:rsidRPr="00BE2122">
        <w:rPr>
          <w:lang w:eastAsia="fr-CA"/>
        </w:rPr>
        <w:t xml:space="preserve">2022, des difficultés financières de Stéphan Huot et que les nouvelles mises de fonds qui leur étaient demandées visaient à payer </w:t>
      </w:r>
      <w:r w:rsidRPr="00D56A53">
        <w:rPr>
          <w:lang w:eastAsia="fr-CA"/>
        </w:rPr>
        <w:t>leurs propres intérêts</w:t>
      </w:r>
      <w:r w:rsidRPr="00BE2122">
        <w:rPr>
          <w:lang w:eastAsia="fr-CA"/>
        </w:rPr>
        <w:t>. Pourtant, ces déclarations sont contredites non seulement par les témoignages des investisseurs eux-mêmes, mais aussi par ses propres réponses hésitantes et approximatives.</w:t>
      </w:r>
    </w:p>
    <w:p w14:paraId="1F8A767A" w14:textId="77777777" w:rsidR="00BD7188" w:rsidRPr="00BE2122" w:rsidRDefault="00730A01" w:rsidP="0098012F">
      <w:pPr>
        <w:pStyle w:val="Paragraphe"/>
        <w:tabs>
          <w:tab w:val="clear" w:pos="786"/>
        </w:tabs>
        <w:spacing w:line="240" w:lineRule="auto"/>
        <w:ind w:left="0"/>
        <w:rPr>
          <w:lang w:eastAsia="fr-CA"/>
        </w:rPr>
      </w:pPr>
      <w:r w:rsidRPr="00BE2122">
        <w:rPr>
          <w:lang w:eastAsia="fr-CA"/>
        </w:rPr>
        <w:t xml:space="preserve">Lors de son interrogatoire préalable tenu le </w:t>
      </w:r>
      <w:r w:rsidRPr="00D56A53">
        <w:rPr>
          <w:lang w:eastAsia="fr-CA"/>
        </w:rPr>
        <w:t>16</w:t>
      </w:r>
      <w:r w:rsidR="00192E75">
        <w:rPr>
          <w:lang w:eastAsia="fr-CA"/>
        </w:rPr>
        <w:t> </w:t>
      </w:r>
      <w:r w:rsidRPr="00D56A53">
        <w:rPr>
          <w:lang w:eastAsia="fr-CA"/>
        </w:rPr>
        <w:t>février</w:t>
      </w:r>
      <w:r w:rsidR="00CD0C36">
        <w:rPr>
          <w:lang w:eastAsia="fr-CA"/>
        </w:rPr>
        <w:t> </w:t>
      </w:r>
      <w:r w:rsidRPr="00D56A53">
        <w:rPr>
          <w:lang w:eastAsia="fr-CA"/>
        </w:rPr>
        <w:t>2024</w:t>
      </w:r>
      <w:r w:rsidRPr="00BE2122">
        <w:rPr>
          <w:lang w:eastAsia="fr-CA"/>
        </w:rPr>
        <w:t>, M</w:t>
      </w:r>
      <w:r w:rsidRPr="00CD0C36">
        <w:rPr>
          <w:vertAlign w:val="superscript"/>
          <w:lang w:eastAsia="fr-CA"/>
        </w:rPr>
        <w:t>e</w:t>
      </w:r>
      <w:r w:rsidR="00CD0C36">
        <w:rPr>
          <w:lang w:eastAsia="fr-CA"/>
        </w:rPr>
        <w:t> </w:t>
      </w:r>
      <w:r w:rsidRPr="00BE2122">
        <w:rPr>
          <w:lang w:eastAsia="fr-CA"/>
        </w:rPr>
        <w:t>Élodie Drolet-French lui demande :</w:t>
      </w:r>
    </w:p>
    <w:p w14:paraId="1DEFFAFE" w14:textId="77777777" w:rsidR="00BD7188" w:rsidRPr="002D617F" w:rsidRDefault="00730A01" w:rsidP="00252A4B">
      <w:pPr>
        <w:pStyle w:val="Citationenretrait"/>
        <w:spacing w:after="0"/>
        <w:ind w:right="539"/>
        <w:rPr>
          <w:i/>
          <w:iCs/>
        </w:rPr>
      </w:pPr>
      <w:r w:rsidRPr="003359CD">
        <w:t>Q</w:t>
      </w:r>
      <w:r w:rsidR="003359CD">
        <w:t> :</w:t>
      </w:r>
      <w:r w:rsidRPr="002D617F">
        <w:rPr>
          <w:i/>
          <w:iCs/>
        </w:rPr>
        <w:t xml:space="preserve"> Donc, on continue, Monsieur Giroux. Qu’est-ce que vous leur avez dit, justement, quand vous les avez contactés par téléphone au sujet de cette rencontre-là?</w:t>
      </w:r>
    </w:p>
    <w:p w14:paraId="1A7C9F7E" w14:textId="77777777" w:rsidR="00BD7188" w:rsidRPr="002D617F" w:rsidRDefault="00730A01" w:rsidP="00252A4B">
      <w:pPr>
        <w:pStyle w:val="Citationenretrait"/>
        <w:spacing w:after="0"/>
        <w:ind w:right="539"/>
        <w:rPr>
          <w:i/>
          <w:iCs/>
        </w:rPr>
      </w:pPr>
      <w:r w:rsidRPr="003359CD">
        <w:t>R</w:t>
      </w:r>
      <w:r w:rsidR="003359CD">
        <w:t> :</w:t>
      </w:r>
      <w:r w:rsidRPr="002D617F">
        <w:rPr>
          <w:i/>
          <w:iCs/>
        </w:rPr>
        <w:t xml:space="preserve"> Ben, je leur ai fait un… un résumé des quatre cents (400) pages, là, que… qu’il y a… que vous avez entre vos mains, là.</w:t>
      </w:r>
    </w:p>
    <w:p w14:paraId="39FF679C" w14:textId="77777777" w:rsidR="00BD7188" w:rsidRPr="002D617F" w:rsidRDefault="00730A01" w:rsidP="00252A4B">
      <w:pPr>
        <w:pStyle w:val="Citationenretrait"/>
        <w:spacing w:after="0"/>
        <w:ind w:right="539"/>
        <w:rPr>
          <w:i/>
          <w:iCs/>
        </w:rPr>
      </w:pPr>
      <w:r w:rsidRPr="003359CD">
        <w:t>Q</w:t>
      </w:r>
      <w:r w:rsidR="003359CD">
        <w:t> :</w:t>
      </w:r>
      <w:r w:rsidRPr="002D617F">
        <w:rPr>
          <w:i/>
          <w:iCs/>
        </w:rPr>
        <w:t xml:space="preserve"> Pardon?</w:t>
      </w:r>
    </w:p>
    <w:p w14:paraId="1636A66A" w14:textId="77777777" w:rsidR="00BD7188" w:rsidRPr="00CA760A" w:rsidRDefault="00730A01" w:rsidP="00252A4B">
      <w:pPr>
        <w:pStyle w:val="Citationenretrait"/>
        <w:spacing w:after="0"/>
        <w:ind w:right="539"/>
      </w:pPr>
      <w:r w:rsidRPr="003359CD">
        <w:t>R</w:t>
      </w:r>
      <w:r w:rsidR="003359CD">
        <w:t> :</w:t>
      </w:r>
      <w:r w:rsidRPr="002D617F">
        <w:rPr>
          <w:i/>
          <w:iCs/>
        </w:rPr>
        <w:t xml:space="preserve"> J’ai fait un résumé des quatre cents (400) pages que vous avez entre vos mains, là</w:t>
      </w:r>
      <w:r>
        <w:rPr>
          <w:rStyle w:val="Appelnotedebasdep"/>
        </w:rPr>
        <w:footnoteReference w:id="55"/>
      </w:r>
      <w:r w:rsidR="00816780">
        <w:rPr>
          <w:i/>
          <w:iCs/>
        </w:rPr>
        <w:t>.</w:t>
      </w:r>
      <w:r w:rsidRPr="00CA760A">
        <w:t xml:space="preserve"> </w:t>
      </w:r>
    </w:p>
    <w:p w14:paraId="499AE2B6" w14:textId="77777777" w:rsidR="00BD7188" w:rsidRPr="00BE2122" w:rsidRDefault="00730A01" w:rsidP="0098012F">
      <w:pPr>
        <w:pStyle w:val="Paragraphe"/>
        <w:tabs>
          <w:tab w:val="clear" w:pos="786"/>
        </w:tabs>
        <w:spacing w:before="240" w:line="240" w:lineRule="auto"/>
        <w:ind w:left="0"/>
        <w:rPr>
          <w:lang w:eastAsia="fr-CA"/>
        </w:rPr>
      </w:pPr>
      <w:r w:rsidRPr="00BE2122">
        <w:rPr>
          <w:lang w:eastAsia="fr-CA"/>
        </w:rPr>
        <w:t xml:space="preserve">Il répète la même version lors du procès, le </w:t>
      </w:r>
      <w:r w:rsidRPr="00D56A53">
        <w:rPr>
          <w:lang w:eastAsia="fr-CA"/>
        </w:rPr>
        <w:t>11</w:t>
      </w:r>
      <w:r w:rsidR="00192E75">
        <w:rPr>
          <w:lang w:eastAsia="fr-CA"/>
        </w:rPr>
        <w:t> </w:t>
      </w:r>
      <w:r w:rsidRPr="00D56A53">
        <w:rPr>
          <w:lang w:eastAsia="fr-CA"/>
        </w:rPr>
        <w:t>février</w:t>
      </w:r>
      <w:r w:rsidR="00816780">
        <w:rPr>
          <w:lang w:eastAsia="fr-CA"/>
        </w:rPr>
        <w:t> </w:t>
      </w:r>
      <w:r w:rsidRPr="00D56A53">
        <w:rPr>
          <w:lang w:eastAsia="fr-CA"/>
        </w:rPr>
        <w:t>2025</w:t>
      </w:r>
      <w:r w:rsidR="00D56A53">
        <w:rPr>
          <w:lang w:eastAsia="fr-CA"/>
        </w:rPr>
        <w:t> </w:t>
      </w:r>
      <w:r w:rsidRPr="00BE2122">
        <w:rPr>
          <w:lang w:eastAsia="fr-CA"/>
        </w:rPr>
        <w:t>:</w:t>
      </w:r>
    </w:p>
    <w:p w14:paraId="55F82E6B" w14:textId="77777777" w:rsidR="00BD7188" w:rsidRPr="00CA760A" w:rsidRDefault="00730A01" w:rsidP="00252A4B">
      <w:pPr>
        <w:pStyle w:val="Citationenretrait"/>
        <w:ind w:right="539"/>
      </w:pPr>
      <w:r w:rsidRPr="003359CD">
        <w:t>R</w:t>
      </w:r>
      <w:r w:rsidR="003359CD">
        <w:t> :</w:t>
      </w:r>
      <w:r w:rsidRPr="002D617F">
        <w:rPr>
          <w:i/>
          <w:iCs/>
        </w:rPr>
        <w:t xml:space="preserve"> Bien, moi, je partais en vacances dans pas grand-temps, ça fait que pendant deux jours, j’ai fait des appels, j’ai fait des appels, j’ai fait des appels, j’ai expliqué à tout le monde… je ne répéterai pas ce que j’ai dit, là, on l’a… on vient de le passer en enregistrement, c’est ce que j’ai répété à tout le monde sans exception</w:t>
      </w:r>
      <w:r w:rsidR="00816780">
        <w:rPr>
          <w:i/>
          <w:iCs/>
        </w:rPr>
        <w:t>.</w:t>
      </w:r>
      <w:r>
        <w:rPr>
          <w:rStyle w:val="Appelnotedebasdep"/>
          <w:lang w:eastAsia="fr-CA"/>
        </w:rPr>
        <w:footnoteReference w:id="56"/>
      </w:r>
      <w:r w:rsidR="00D56A53" w:rsidRPr="00CA760A">
        <w:t xml:space="preserve"> </w:t>
      </w:r>
    </w:p>
    <w:p w14:paraId="2D199198" w14:textId="77777777" w:rsidR="00BD7188" w:rsidRPr="00BE2122" w:rsidRDefault="00730A01" w:rsidP="0098012F">
      <w:pPr>
        <w:pStyle w:val="Paragraphe"/>
        <w:tabs>
          <w:tab w:val="clear" w:pos="786"/>
        </w:tabs>
        <w:spacing w:before="240" w:line="240" w:lineRule="auto"/>
        <w:ind w:left="0"/>
        <w:rPr>
          <w:rFonts w:cs="Arial"/>
          <w:szCs w:val="24"/>
          <w:lang w:eastAsia="fr-CA"/>
        </w:rPr>
      </w:pPr>
      <w:r w:rsidRPr="00D05662">
        <w:t>Or, chacun des commanditaires demandeurs ayant investi dans FIISH a</w:t>
      </w:r>
      <w:r w:rsidR="00D56A53">
        <w:t>ffirme</w:t>
      </w:r>
      <w:r w:rsidRPr="00D05662">
        <w:t xml:space="preserve"> le contraire</w:t>
      </w:r>
      <w:r w:rsidRPr="00BE2122">
        <w:rPr>
          <w:rFonts w:cs="Arial"/>
          <w:szCs w:val="24"/>
          <w:lang w:eastAsia="fr-CA"/>
        </w:rPr>
        <w:t xml:space="preserve"> dans sa déclaration sous serment pour valoir témoignage. Notamment :</w:t>
      </w:r>
    </w:p>
    <w:p w14:paraId="48F33C13"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Les Entreprises Bertrand Roberge Ltée (Bertrand Roberge) : par.</w:t>
      </w:r>
      <w:r w:rsidR="00816780">
        <w:rPr>
          <w:rFonts w:cs="Arial"/>
          <w:szCs w:val="24"/>
          <w:lang w:eastAsia="fr-CA"/>
        </w:rPr>
        <w:t> </w:t>
      </w:r>
      <w:r w:rsidRPr="00D56A53">
        <w:rPr>
          <w:rFonts w:cs="Arial"/>
          <w:szCs w:val="24"/>
          <w:lang w:eastAsia="fr-CA"/>
        </w:rPr>
        <w:t>18</w:t>
      </w:r>
    </w:p>
    <w:p w14:paraId="36548629"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Gexpharm ULC (Pierre Couture) : par.</w:t>
      </w:r>
      <w:r w:rsidR="00816780">
        <w:rPr>
          <w:rFonts w:cs="Arial"/>
          <w:szCs w:val="24"/>
          <w:lang w:eastAsia="fr-CA"/>
        </w:rPr>
        <w:t> </w:t>
      </w:r>
      <w:r w:rsidRPr="00D56A53">
        <w:rPr>
          <w:rFonts w:cs="Arial"/>
          <w:szCs w:val="24"/>
          <w:lang w:eastAsia="fr-CA"/>
        </w:rPr>
        <w:t>19</w:t>
      </w:r>
    </w:p>
    <w:p w14:paraId="63ABA3E4"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Gestion Matabel inc. (André Bélanger) : par.</w:t>
      </w:r>
      <w:r w:rsidR="00816780">
        <w:rPr>
          <w:rFonts w:cs="Arial"/>
          <w:szCs w:val="24"/>
          <w:lang w:eastAsia="fr-CA"/>
        </w:rPr>
        <w:t> </w:t>
      </w:r>
      <w:r w:rsidRPr="00D56A53">
        <w:rPr>
          <w:rFonts w:cs="Arial"/>
          <w:szCs w:val="24"/>
          <w:lang w:eastAsia="fr-CA"/>
        </w:rPr>
        <w:t>29</w:t>
      </w:r>
    </w:p>
    <w:p w14:paraId="4ABB493B"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9221-5029 Québec inc. (Daniel Bordeleau) : par.</w:t>
      </w:r>
      <w:r w:rsidR="00816780">
        <w:rPr>
          <w:rFonts w:cs="Arial"/>
          <w:szCs w:val="24"/>
          <w:lang w:eastAsia="fr-CA"/>
        </w:rPr>
        <w:t> </w:t>
      </w:r>
      <w:r w:rsidRPr="00D56A53">
        <w:rPr>
          <w:rFonts w:cs="Arial"/>
          <w:szCs w:val="24"/>
          <w:lang w:eastAsia="fr-CA"/>
        </w:rPr>
        <w:t>25-26</w:t>
      </w:r>
    </w:p>
    <w:p w14:paraId="0DF52963"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Gestion Jocelyn Maurice Giguère inc. (Jocelyn Giguère) : par.</w:t>
      </w:r>
      <w:r w:rsidR="00816780">
        <w:rPr>
          <w:rFonts w:cs="Arial"/>
          <w:szCs w:val="24"/>
          <w:lang w:eastAsia="fr-CA"/>
        </w:rPr>
        <w:t> </w:t>
      </w:r>
      <w:r w:rsidRPr="00D56A53">
        <w:rPr>
          <w:rFonts w:cs="Arial"/>
          <w:szCs w:val="24"/>
          <w:lang w:eastAsia="fr-CA"/>
        </w:rPr>
        <w:t>19</w:t>
      </w:r>
    </w:p>
    <w:p w14:paraId="11418359"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Gestion Immobilière R. Godbout inc. (Ronald Godbout) : par.</w:t>
      </w:r>
      <w:r w:rsidR="00816780">
        <w:rPr>
          <w:rFonts w:cs="Arial"/>
          <w:szCs w:val="24"/>
          <w:lang w:eastAsia="fr-CA"/>
        </w:rPr>
        <w:t> </w:t>
      </w:r>
      <w:r w:rsidRPr="00D56A53">
        <w:rPr>
          <w:rFonts w:cs="Arial"/>
          <w:szCs w:val="24"/>
          <w:lang w:eastAsia="fr-CA"/>
        </w:rPr>
        <w:t>13</w:t>
      </w:r>
    </w:p>
    <w:p w14:paraId="1958B2A5"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Gestion Financière Alain Guay inc. (Alain Guay) : par.</w:t>
      </w:r>
      <w:r w:rsidR="00816780">
        <w:rPr>
          <w:rFonts w:cs="Arial"/>
          <w:szCs w:val="24"/>
          <w:lang w:eastAsia="fr-CA"/>
        </w:rPr>
        <w:t> </w:t>
      </w:r>
      <w:r w:rsidRPr="00D56A53">
        <w:rPr>
          <w:rFonts w:cs="Arial"/>
          <w:szCs w:val="24"/>
          <w:lang w:eastAsia="fr-CA"/>
        </w:rPr>
        <w:t>13</w:t>
      </w:r>
    </w:p>
    <w:p w14:paraId="7ACA1817"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9023-0772 Québec inc. (Frankie Lafontaine) : par.</w:t>
      </w:r>
      <w:r w:rsidR="00816780">
        <w:rPr>
          <w:rFonts w:cs="Arial"/>
          <w:szCs w:val="24"/>
          <w:lang w:eastAsia="fr-CA"/>
        </w:rPr>
        <w:t> </w:t>
      </w:r>
      <w:r w:rsidRPr="00D56A53">
        <w:rPr>
          <w:rFonts w:cs="Arial"/>
          <w:szCs w:val="24"/>
          <w:lang w:eastAsia="fr-CA"/>
        </w:rPr>
        <w:t>16</w:t>
      </w:r>
    </w:p>
    <w:p w14:paraId="360B1461"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3586103 Canada inc. (Alain Lemay) : par.</w:t>
      </w:r>
      <w:r w:rsidR="00816780">
        <w:rPr>
          <w:rFonts w:cs="Arial"/>
          <w:szCs w:val="24"/>
          <w:lang w:eastAsia="fr-CA"/>
        </w:rPr>
        <w:t> </w:t>
      </w:r>
      <w:r w:rsidRPr="00D56A53">
        <w:rPr>
          <w:rFonts w:cs="Arial"/>
          <w:szCs w:val="24"/>
          <w:lang w:eastAsia="fr-CA"/>
        </w:rPr>
        <w:t>19</w:t>
      </w:r>
    </w:p>
    <w:p w14:paraId="6219A7FA" w14:textId="77777777" w:rsidR="00BD7188" w:rsidRPr="00D56A53" w:rsidRDefault="00730A01" w:rsidP="0042740E">
      <w:pPr>
        <w:numPr>
          <w:ilvl w:val="0"/>
          <w:numId w:val="9"/>
        </w:numPr>
        <w:spacing w:before="120"/>
        <w:ind w:left="709" w:hanging="284"/>
        <w:rPr>
          <w:rFonts w:cs="Arial"/>
          <w:szCs w:val="24"/>
          <w:lang w:eastAsia="fr-CA"/>
        </w:rPr>
      </w:pPr>
      <w:r w:rsidRPr="00D56A53">
        <w:rPr>
          <w:rFonts w:cs="Arial"/>
          <w:szCs w:val="24"/>
          <w:lang w:eastAsia="fr-CA"/>
        </w:rPr>
        <w:t>9136-5908 Québec inc. (Alix Muller) : par.</w:t>
      </w:r>
      <w:r w:rsidR="00816780">
        <w:rPr>
          <w:rFonts w:cs="Arial"/>
          <w:szCs w:val="24"/>
          <w:lang w:eastAsia="fr-CA"/>
        </w:rPr>
        <w:t> </w:t>
      </w:r>
      <w:r w:rsidRPr="00D56A53">
        <w:rPr>
          <w:rFonts w:cs="Arial"/>
          <w:szCs w:val="24"/>
          <w:lang w:eastAsia="fr-CA"/>
        </w:rPr>
        <w:t>29</w:t>
      </w:r>
    </w:p>
    <w:p w14:paraId="0D4DFA64" w14:textId="77777777" w:rsidR="00BD7188" w:rsidRPr="00BE2122" w:rsidRDefault="00730A01" w:rsidP="0098012F">
      <w:pPr>
        <w:pStyle w:val="Paragraphe"/>
        <w:tabs>
          <w:tab w:val="clear" w:pos="786"/>
        </w:tabs>
        <w:spacing w:before="240" w:line="240" w:lineRule="auto"/>
        <w:ind w:left="0"/>
        <w:rPr>
          <w:rFonts w:cs="Arial"/>
          <w:szCs w:val="24"/>
          <w:lang w:eastAsia="fr-CA"/>
        </w:rPr>
      </w:pPr>
      <w:r w:rsidRPr="00D05662">
        <w:t>Confronté à ces contradictions, Giroux tent</w:t>
      </w:r>
      <w:r w:rsidR="00BA3A08">
        <w:t>e</w:t>
      </w:r>
      <w:r w:rsidRPr="00D05662">
        <w:t xml:space="preserve"> de se dédouaner en imputant la responsabilité de l’information à Nadine Lehoux. Lors de son interrogatoire au procès du</w:t>
      </w:r>
      <w:r w:rsidRPr="00BE2122">
        <w:rPr>
          <w:rFonts w:cs="Arial"/>
          <w:szCs w:val="24"/>
          <w:lang w:eastAsia="fr-CA"/>
        </w:rPr>
        <w:t xml:space="preserve"> </w:t>
      </w:r>
      <w:r w:rsidRPr="00CA760A">
        <w:rPr>
          <w:rFonts w:cs="Arial"/>
          <w:szCs w:val="24"/>
          <w:lang w:eastAsia="fr-CA"/>
        </w:rPr>
        <w:t>3</w:t>
      </w:r>
      <w:r w:rsidR="00192E75">
        <w:rPr>
          <w:rFonts w:cs="Arial"/>
          <w:szCs w:val="24"/>
          <w:lang w:eastAsia="fr-CA"/>
        </w:rPr>
        <w:t> </w:t>
      </w:r>
      <w:r w:rsidRPr="00CA760A">
        <w:rPr>
          <w:rFonts w:cs="Arial"/>
          <w:szCs w:val="24"/>
          <w:lang w:eastAsia="fr-CA"/>
        </w:rPr>
        <w:t>juin</w:t>
      </w:r>
      <w:r w:rsidR="00816780">
        <w:rPr>
          <w:rFonts w:cs="Arial"/>
          <w:szCs w:val="24"/>
          <w:lang w:eastAsia="fr-CA"/>
        </w:rPr>
        <w:t> </w:t>
      </w:r>
      <w:r w:rsidRPr="00CA760A">
        <w:rPr>
          <w:rFonts w:cs="Arial"/>
          <w:szCs w:val="24"/>
          <w:lang w:eastAsia="fr-CA"/>
        </w:rPr>
        <w:t>2024</w:t>
      </w:r>
      <w:r>
        <w:rPr>
          <w:rStyle w:val="Appelnotedebasdep"/>
          <w:rFonts w:cs="Arial"/>
          <w:szCs w:val="24"/>
          <w:lang w:eastAsia="fr-CA"/>
        </w:rPr>
        <w:footnoteReference w:id="57"/>
      </w:r>
      <w:r w:rsidRPr="00CA760A">
        <w:rPr>
          <w:rFonts w:cs="Arial"/>
          <w:szCs w:val="24"/>
          <w:lang w:eastAsia="fr-CA"/>
        </w:rPr>
        <w:t>,</w:t>
      </w:r>
      <w:r w:rsidRPr="00BE2122">
        <w:rPr>
          <w:rFonts w:cs="Arial"/>
          <w:szCs w:val="24"/>
          <w:lang w:eastAsia="fr-CA"/>
        </w:rPr>
        <w:t xml:space="preserve"> il affirme :</w:t>
      </w:r>
    </w:p>
    <w:p w14:paraId="038B7645" w14:textId="77777777" w:rsidR="00BD7188" w:rsidRPr="002D617F" w:rsidRDefault="00730A01" w:rsidP="00252A4B">
      <w:pPr>
        <w:pStyle w:val="Citationenretrait"/>
        <w:spacing w:before="0" w:after="0"/>
        <w:ind w:right="539"/>
        <w:rPr>
          <w:i/>
          <w:iCs/>
        </w:rPr>
      </w:pPr>
      <w:r w:rsidRPr="00A32185">
        <w:t>R</w:t>
      </w:r>
      <w:r w:rsidR="00A32185">
        <w:t> :</w:t>
      </w:r>
      <w:r w:rsidRPr="002D617F">
        <w:rPr>
          <w:i/>
          <w:iCs/>
        </w:rPr>
        <w:t xml:space="preserve"> J’ai dit je l’ai…</w:t>
      </w:r>
    </w:p>
    <w:p w14:paraId="1844E16D" w14:textId="77777777" w:rsidR="00BD7188" w:rsidRPr="002D617F" w:rsidRDefault="00730A01" w:rsidP="00252A4B">
      <w:pPr>
        <w:pStyle w:val="Citationenretrait"/>
        <w:spacing w:after="0"/>
        <w:ind w:right="539"/>
        <w:rPr>
          <w:i/>
          <w:iCs/>
        </w:rPr>
      </w:pPr>
      <w:r w:rsidRPr="00A32185">
        <w:t>Q</w:t>
      </w:r>
      <w:r w:rsidR="00A32185">
        <w:t> :</w:t>
      </w:r>
      <w:r w:rsidRPr="002D617F">
        <w:rPr>
          <w:i/>
          <w:iCs/>
        </w:rPr>
        <w:t xml:space="preserve"> … en quoi c’est…</w:t>
      </w:r>
    </w:p>
    <w:p w14:paraId="2588DA75" w14:textId="77777777" w:rsidR="00BD7188" w:rsidRPr="002D617F" w:rsidRDefault="00730A01" w:rsidP="00252A4B">
      <w:pPr>
        <w:pStyle w:val="Citationenretrait"/>
        <w:spacing w:after="0"/>
        <w:ind w:right="539"/>
        <w:rPr>
          <w:i/>
          <w:iCs/>
        </w:rPr>
      </w:pPr>
      <w:r w:rsidRPr="00A32185">
        <w:t>R</w:t>
      </w:r>
      <w:r w:rsidR="00A32185">
        <w:t> :</w:t>
      </w:r>
      <w:r w:rsidRPr="002D617F">
        <w:rPr>
          <w:i/>
          <w:iCs/>
        </w:rPr>
        <w:t xml:space="preserve"> … avisés! Je vous l’ai répondue, tout à l’heure, à la question, j’ai dit : je les ai avisés!</w:t>
      </w:r>
    </w:p>
    <w:p w14:paraId="0E317567" w14:textId="77777777" w:rsidR="00BD7188" w:rsidRPr="002D617F" w:rsidRDefault="00730A01" w:rsidP="00252A4B">
      <w:pPr>
        <w:pStyle w:val="Citationenretrait"/>
        <w:spacing w:after="0"/>
        <w:ind w:right="539"/>
        <w:rPr>
          <w:i/>
          <w:iCs/>
        </w:rPr>
      </w:pPr>
      <w:r w:rsidRPr="00A32185">
        <w:t>Q</w:t>
      </w:r>
      <w:r w:rsidR="00A32185">
        <w:t> :</w:t>
      </w:r>
      <w:r w:rsidRPr="002D617F">
        <w:rPr>
          <w:i/>
          <w:iCs/>
        </w:rPr>
        <w:t xml:space="preserve"> De quoi?</w:t>
      </w:r>
    </w:p>
    <w:p w14:paraId="1A719B0E" w14:textId="77777777" w:rsidR="00BD7188" w:rsidRPr="00BE2122" w:rsidRDefault="00730A01" w:rsidP="00252A4B">
      <w:pPr>
        <w:pStyle w:val="Citationenretrait"/>
        <w:spacing w:after="0"/>
        <w:ind w:right="539"/>
        <w:rPr>
          <w:lang w:eastAsia="fr-CA"/>
        </w:rPr>
      </w:pPr>
      <w:r w:rsidRPr="00A32185">
        <w:t>R</w:t>
      </w:r>
      <w:r w:rsidR="00A32185">
        <w:t> :</w:t>
      </w:r>
      <w:r w:rsidRPr="002D617F">
        <w:rPr>
          <w:i/>
          <w:iCs/>
        </w:rPr>
        <w:t xml:space="preserve"> Si c’est pas</w:t>
      </w:r>
      <w:r w:rsidRPr="002D617F">
        <w:rPr>
          <w:i/>
          <w:iCs/>
          <w:lang w:eastAsia="fr-CA"/>
        </w:rPr>
        <w:t xml:space="preserve"> moi qui les « a » avisés, bien c’est Nadine Lehoux qui les a avisés</w:t>
      </w:r>
      <w:r w:rsidRPr="00BE2122">
        <w:rPr>
          <w:lang w:eastAsia="fr-CA"/>
        </w:rPr>
        <w:t>.</w:t>
      </w:r>
    </w:p>
    <w:p w14:paraId="13562920" w14:textId="77777777" w:rsidR="00BD7188" w:rsidRPr="00BE2122" w:rsidRDefault="00730A01" w:rsidP="0098012F">
      <w:pPr>
        <w:pStyle w:val="Paragraphe"/>
        <w:tabs>
          <w:tab w:val="clear" w:pos="786"/>
        </w:tabs>
        <w:spacing w:before="240" w:line="240" w:lineRule="auto"/>
        <w:ind w:left="0"/>
        <w:rPr>
          <w:lang w:eastAsia="fr-CA"/>
        </w:rPr>
      </w:pPr>
      <w:r w:rsidRPr="00BE2122">
        <w:rPr>
          <w:lang w:eastAsia="fr-CA"/>
        </w:rPr>
        <w:t>Et plus loin :</w:t>
      </w:r>
    </w:p>
    <w:p w14:paraId="6B747D93" w14:textId="77777777" w:rsidR="00BD7188" w:rsidRPr="002D617F" w:rsidRDefault="00730A01" w:rsidP="0044005E">
      <w:pPr>
        <w:pStyle w:val="Citationenretrait"/>
        <w:spacing w:before="0"/>
        <w:ind w:right="0"/>
        <w:rPr>
          <w:i/>
          <w:iCs/>
        </w:rPr>
      </w:pPr>
      <w:r w:rsidRPr="002D617F">
        <w:rPr>
          <w:i/>
          <w:iCs/>
          <w:lang w:eastAsia="fr-CA"/>
        </w:rPr>
        <w:t xml:space="preserve">R. Ben que si on faisait un prêt en équité, je me souviens “pus” des – de toutes les </w:t>
      </w:r>
      <w:r w:rsidRPr="002D617F">
        <w:rPr>
          <w:i/>
          <w:iCs/>
        </w:rPr>
        <w:t>périodes, les prêts en équité ont été faits… euh… quand Nadine Lehoux était là; de… de mémoire, là. Mais quand que Nadine, elle voulait des commanditaires pour injecter des fonds dans c’te prêt en équité-là, ben, elle devait sûrement dire que c’était un prêt en équité…</w:t>
      </w:r>
    </w:p>
    <w:p w14:paraId="6F025F25" w14:textId="77777777" w:rsidR="00BD7188" w:rsidRPr="002D617F" w:rsidRDefault="00730A01" w:rsidP="0044005E">
      <w:pPr>
        <w:pStyle w:val="Citationenretrait"/>
        <w:spacing w:before="0" w:after="0"/>
        <w:ind w:right="0"/>
        <w:rPr>
          <w:i/>
          <w:iCs/>
        </w:rPr>
      </w:pPr>
      <w:r w:rsidRPr="00A32185">
        <w:t>Q</w:t>
      </w:r>
      <w:r w:rsidR="00A32185">
        <w:t> :</w:t>
      </w:r>
      <w:r w:rsidRPr="002D617F">
        <w:rPr>
          <w:i/>
          <w:iCs/>
        </w:rPr>
        <w:t xml:space="preserve"> «</w:t>
      </w:r>
      <w:r w:rsidR="00A32185">
        <w:rPr>
          <w:i/>
          <w:iCs/>
        </w:rPr>
        <w:t> </w:t>
      </w:r>
      <w:r w:rsidRPr="002D617F">
        <w:rPr>
          <w:i/>
          <w:iCs/>
        </w:rPr>
        <w:t>Sûrement</w:t>
      </w:r>
      <w:r w:rsidR="00A32185">
        <w:rPr>
          <w:i/>
          <w:iCs/>
        </w:rPr>
        <w:t> </w:t>
      </w:r>
      <w:r w:rsidRPr="002D617F">
        <w:rPr>
          <w:i/>
          <w:iCs/>
        </w:rPr>
        <w:t>»?</w:t>
      </w:r>
    </w:p>
    <w:p w14:paraId="4908FA43" w14:textId="77777777" w:rsidR="00BD7188" w:rsidRPr="002D617F" w:rsidRDefault="00730A01" w:rsidP="0098012F">
      <w:pPr>
        <w:pStyle w:val="Citationenretrait"/>
        <w:spacing w:after="0"/>
        <w:ind w:right="0"/>
        <w:rPr>
          <w:i/>
          <w:iCs/>
          <w:lang w:eastAsia="fr-CA"/>
        </w:rPr>
      </w:pPr>
      <w:r w:rsidRPr="00A32185">
        <w:t>R</w:t>
      </w:r>
      <w:r w:rsidR="00A32185" w:rsidRPr="00A32185">
        <w:t> :</w:t>
      </w:r>
      <w:r w:rsidRPr="002D617F">
        <w:rPr>
          <w:i/>
          <w:iCs/>
        </w:rPr>
        <w:t xml:space="preserve"> Non, mais</w:t>
      </w:r>
      <w:r w:rsidRPr="002D617F">
        <w:rPr>
          <w:i/>
          <w:iCs/>
          <w:lang w:eastAsia="fr-CA"/>
        </w:rPr>
        <w:t xml:space="preserve"> « chu » pas Nadine Lehoux</w:t>
      </w:r>
      <w:r w:rsidR="002D617F">
        <w:rPr>
          <w:i/>
          <w:iCs/>
          <w:lang w:eastAsia="fr-CA"/>
        </w:rPr>
        <w:t>.</w:t>
      </w:r>
    </w:p>
    <w:p w14:paraId="7875C4DD" w14:textId="77777777" w:rsidR="00BD7188" w:rsidRDefault="00730A01" w:rsidP="0098012F">
      <w:pPr>
        <w:pStyle w:val="Paragraphe"/>
        <w:tabs>
          <w:tab w:val="clear" w:pos="786"/>
        </w:tabs>
        <w:spacing w:before="240" w:line="240" w:lineRule="auto"/>
        <w:ind w:left="0"/>
        <w:rPr>
          <w:lang w:eastAsia="fr-CA"/>
        </w:rPr>
      </w:pPr>
      <w:r w:rsidRPr="00BE2122">
        <w:rPr>
          <w:lang w:eastAsia="fr-CA"/>
        </w:rPr>
        <w:t>Ainsi, face aux contradictions de son propre récit, Giroux alterne entre affirmations floues, recour</w:t>
      </w:r>
      <w:r w:rsidR="002015A2">
        <w:rPr>
          <w:lang w:eastAsia="fr-CA"/>
        </w:rPr>
        <w:t>s</w:t>
      </w:r>
      <w:r w:rsidRPr="00BE2122">
        <w:rPr>
          <w:lang w:eastAsia="fr-CA"/>
        </w:rPr>
        <w:t xml:space="preserve"> au conditionnel, mémoire défaillante et déplacement de la responsabilité. Il tente de faire croire qu’un simple </w:t>
      </w:r>
      <w:r w:rsidRPr="007A1DCB">
        <w:rPr>
          <w:lang w:eastAsia="fr-CA"/>
        </w:rPr>
        <w:t>résumé verbal</w:t>
      </w:r>
      <w:r w:rsidRPr="00BE2122">
        <w:rPr>
          <w:lang w:eastAsia="fr-CA"/>
        </w:rPr>
        <w:t xml:space="preserve"> de quelques minutes lui a permis de résumer 400</w:t>
      </w:r>
      <w:r w:rsidR="00816780">
        <w:rPr>
          <w:lang w:eastAsia="fr-CA"/>
        </w:rPr>
        <w:t> </w:t>
      </w:r>
      <w:r w:rsidRPr="00BE2122">
        <w:rPr>
          <w:lang w:eastAsia="fr-CA"/>
        </w:rPr>
        <w:t>pages d’enregistrement d’une réunion</w:t>
      </w:r>
      <w:r>
        <w:rPr>
          <w:rStyle w:val="Appelnotedebasdep"/>
          <w:lang w:eastAsia="fr-CA"/>
        </w:rPr>
        <w:footnoteReference w:id="58"/>
      </w:r>
      <w:r w:rsidRPr="00BE2122">
        <w:rPr>
          <w:lang w:eastAsia="fr-CA"/>
        </w:rPr>
        <w:t xml:space="preserve"> et que cela aurait suffi à informer et convaincre les investisseurs que les nouveaux montants qu’il leur demandait d’injecter devait servir à se payer leurs propres intérêts. Ce que tous nient fermement.</w:t>
      </w:r>
    </w:p>
    <w:p w14:paraId="590E3B09" w14:textId="77777777" w:rsidR="00DE15C6" w:rsidRPr="0044005E" w:rsidRDefault="00730A01" w:rsidP="00252A4B">
      <w:pPr>
        <w:pStyle w:val="Citationenretrait"/>
        <w:spacing w:after="0"/>
        <w:ind w:right="539"/>
        <w:rPr>
          <w:rStyle w:val="lev"/>
          <w:b w:val="0"/>
          <w:bCs w:val="0"/>
        </w:rPr>
      </w:pPr>
      <w:r w:rsidRPr="0044005E">
        <w:rPr>
          <w:rStyle w:val="lev"/>
          <w:b w:val="0"/>
          <w:bCs w:val="0"/>
        </w:rPr>
        <w:t>G</w:t>
      </w:r>
      <w:r w:rsidR="00631CAA">
        <w:rPr>
          <w:rStyle w:val="lev"/>
          <w:b w:val="0"/>
          <w:bCs w:val="0"/>
        </w:rPr>
        <w:t>iroux </w:t>
      </w:r>
      <w:r w:rsidRPr="0044005E">
        <w:rPr>
          <w:rStyle w:val="lev"/>
          <w:b w:val="0"/>
          <w:bCs w:val="0"/>
        </w:rPr>
        <w:t>:</w:t>
      </w:r>
    </w:p>
    <w:p w14:paraId="11FB9FB7" w14:textId="77777777" w:rsidR="00631CAA" w:rsidRDefault="00730A01" w:rsidP="00252A4B">
      <w:pPr>
        <w:pStyle w:val="Citationenretrait"/>
        <w:spacing w:after="0"/>
        <w:ind w:right="539"/>
        <w:rPr>
          <w:i/>
          <w:iCs/>
        </w:rPr>
      </w:pPr>
      <w:r w:rsidRPr="002D617F">
        <w:rPr>
          <w:i/>
          <w:iCs/>
        </w:rPr>
        <w:t>… moi, j’ai appelé tout le monde après. Je leur ai résumé la rencontre en quelques minutes, parce que c’était 400</w:t>
      </w:r>
      <w:r w:rsidR="00816780">
        <w:rPr>
          <w:i/>
          <w:iCs/>
        </w:rPr>
        <w:t> </w:t>
      </w:r>
      <w:r w:rsidRPr="002D617F">
        <w:rPr>
          <w:i/>
          <w:iCs/>
        </w:rPr>
        <w:t>pages, c’était trop long à tout reprendre. Je leur ai dit l’essentiel, ce qu’il fallait comprendre</w:t>
      </w:r>
      <w:r w:rsidR="00816780">
        <w:rPr>
          <w:i/>
          <w:iCs/>
        </w:rPr>
        <w:t>.</w:t>
      </w:r>
    </w:p>
    <w:p w14:paraId="7D2AE1FB" w14:textId="77777777" w:rsidR="00DE15C6" w:rsidRPr="0044005E" w:rsidRDefault="00730A01" w:rsidP="00252A4B">
      <w:pPr>
        <w:pStyle w:val="Citationenretrait"/>
        <w:spacing w:before="240" w:after="0"/>
        <w:ind w:right="539"/>
        <w:rPr>
          <w:rStyle w:val="lev"/>
          <w:b w:val="0"/>
          <w:bCs w:val="0"/>
        </w:rPr>
      </w:pPr>
      <w:r>
        <w:rPr>
          <w:rStyle w:val="lev"/>
          <w:b w:val="0"/>
          <w:bCs w:val="0"/>
        </w:rPr>
        <w:t>M</w:t>
      </w:r>
      <w:r w:rsidRPr="00816780">
        <w:rPr>
          <w:rStyle w:val="lev"/>
          <w:b w:val="0"/>
          <w:bCs w:val="0"/>
          <w:vertAlign w:val="superscript"/>
        </w:rPr>
        <w:t>e</w:t>
      </w:r>
      <w:r w:rsidR="00816780">
        <w:rPr>
          <w:rStyle w:val="lev"/>
          <w:b w:val="0"/>
          <w:bCs w:val="0"/>
        </w:rPr>
        <w:t> </w:t>
      </w:r>
      <w:r>
        <w:rPr>
          <w:rStyle w:val="lev"/>
          <w:b w:val="0"/>
          <w:bCs w:val="0"/>
        </w:rPr>
        <w:t>Bertrand</w:t>
      </w:r>
      <w:r w:rsidRPr="0044005E">
        <w:rPr>
          <w:rStyle w:val="lev"/>
          <w:b w:val="0"/>
          <w:bCs w:val="0"/>
        </w:rPr>
        <w:t xml:space="preserve"> :</w:t>
      </w:r>
    </w:p>
    <w:p w14:paraId="712C445B" w14:textId="77777777" w:rsidR="00DE15C6" w:rsidRPr="002D617F" w:rsidRDefault="00730A01" w:rsidP="00252A4B">
      <w:pPr>
        <w:pStyle w:val="Citationenretrait"/>
        <w:spacing w:after="0"/>
        <w:ind w:right="539"/>
        <w:rPr>
          <w:i/>
          <w:iCs/>
        </w:rPr>
      </w:pPr>
      <w:r w:rsidRPr="002D617F">
        <w:rPr>
          <w:i/>
          <w:iCs/>
        </w:rPr>
        <w:t xml:space="preserve">Donc, vous reconnaissez que vous n’avez pas transmis le contenu intégral de la rencontre, mais uniquement ce que </w:t>
      </w:r>
      <w:r w:rsidRPr="002D617F">
        <w:rPr>
          <w:rStyle w:val="Accentuation"/>
          <w:i w:val="0"/>
          <w:iCs w:val="0"/>
        </w:rPr>
        <w:t>vous</w:t>
      </w:r>
      <w:r w:rsidRPr="002D617F">
        <w:rPr>
          <w:i/>
          <w:iCs/>
        </w:rPr>
        <w:t xml:space="preserve"> jugiez essentiel? </w:t>
      </w:r>
    </w:p>
    <w:p w14:paraId="4A473FBC" w14:textId="77777777" w:rsidR="00DE15C6" w:rsidRPr="0044005E" w:rsidRDefault="00730A01" w:rsidP="00252A4B">
      <w:pPr>
        <w:pStyle w:val="Citationenretrait"/>
        <w:spacing w:before="240" w:after="0"/>
        <w:ind w:right="539"/>
        <w:rPr>
          <w:rStyle w:val="lev"/>
          <w:b w:val="0"/>
          <w:bCs w:val="0"/>
        </w:rPr>
      </w:pPr>
      <w:r w:rsidRPr="0044005E">
        <w:rPr>
          <w:rStyle w:val="lev"/>
          <w:b w:val="0"/>
          <w:bCs w:val="0"/>
        </w:rPr>
        <w:t>G</w:t>
      </w:r>
      <w:r w:rsidR="00631CAA">
        <w:rPr>
          <w:rStyle w:val="lev"/>
          <w:b w:val="0"/>
          <w:bCs w:val="0"/>
        </w:rPr>
        <w:t>iroux</w:t>
      </w:r>
      <w:r w:rsidRPr="0044005E">
        <w:rPr>
          <w:rStyle w:val="lev"/>
          <w:b w:val="0"/>
          <w:bCs w:val="0"/>
        </w:rPr>
        <w:t xml:space="preserve"> :</w:t>
      </w:r>
    </w:p>
    <w:p w14:paraId="2A64DFB2" w14:textId="77777777" w:rsidR="00DE15C6" w:rsidRPr="00DE15C6" w:rsidRDefault="00730A01" w:rsidP="00252A4B">
      <w:pPr>
        <w:pStyle w:val="Citationenretrait"/>
        <w:spacing w:after="0"/>
        <w:ind w:right="539"/>
      </w:pPr>
      <w:r w:rsidRPr="002D617F">
        <w:rPr>
          <w:i/>
          <w:iCs/>
        </w:rPr>
        <w:t>Exactement. J’ai résumé, j’ai simplifié, je ne pouvais pas faire autrement</w:t>
      </w:r>
      <w:r>
        <w:rPr>
          <w:rStyle w:val="Appelnotedebasdep"/>
        </w:rPr>
        <w:footnoteReference w:id="59"/>
      </w:r>
      <w:r w:rsidR="00816780">
        <w:rPr>
          <w:i/>
          <w:iCs/>
        </w:rPr>
        <w:t>.</w:t>
      </w:r>
      <w:r w:rsidRPr="00DE15C6">
        <w:t xml:space="preserve"> </w:t>
      </w:r>
    </w:p>
    <w:p w14:paraId="7AE685AE" w14:textId="77777777" w:rsidR="00BD7188" w:rsidRPr="00D05662" w:rsidRDefault="00730A01" w:rsidP="00443B59">
      <w:pPr>
        <w:pStyle w:val="Titre3"/>
        <w:numPr>
          <w:ilvl w:val="0"/>
          <w:numId w:val="110"/>
        </w:numPr>
        <w:rPr>
          <w:rFonts w:cs="Arial"/>
          <w:b/>
          <w:bCs/>
          <w:szCs w:val="24"/>
          <w:lang w:eastAsia="fr-CA"/>
        </w:rPr>
      </w:pPr>
      <w:r w:rsidRPr="00D05662">
        <w:rPr>
          <w:rFonts w:cs="Arial"/>
          <w:b/>
          <w:bCs/>
          <w:szCs w:val="24"/>
          <w:lang w:eastAsia="fr-CA"/>
        </w:rPr>
        <w:t>Du camouflage d’information</w:t>
      </w:r>
      <w:r w:rsidR="00586245">
        <w:rPr>
          <w:rFonts w:cs="Arial"/>
          <w:b/>
          <w:bCs/>
          <w:szCs w:val="24"/>
          <w:lang w:eastAsia="fr-CA"/>
        </w:rPr>
        <w:t>s</w:t>
      </w:r>
    </w:p>
    <w:p w14:paraId="78A35221" w14:textId="77777777" w:rsidR="001B5BA0" w:rsidRDefault="00730A01" w:rsidP="0098012F">
      <w:pPr>
        <w:pStyle w:val="Paragraphe"/>
        <w:tabs>
          <w:tab w:val="clear" w:pos="786"/>
        </w:tabs>
        <w:spacing w:line="240" w:lineRule="auto"/>
        <w:ind w:left="0"/>
        <w:rPr>
          <w:lang w:eastAsia="fr-CA"/>
        </w:rPr>
      </w:pPr>
      <w:r w:rsidRPr="001B5BA0">
        <w:rPr>
          <w:lang w:eastAsia="fr-CA"/>
        </w:rPr>
        <w:t>Giroux a multiplié les contradictions</w:t>
      </w:r>
      <w:r w:rsidR="0044005E">
        <w:rPr>
          <w:lang w:eastAsia="fr-CA"/>
        </w:rPr>
        <w:t> </w:t>
      </w:r>
      <w:r>
        <w:rPr>
          <w:lang w:eastAsia="fr-CA"/>
        </w:rPr>
        <w:t>:</w:t>
      </w:r>
    </w:p>
    <w:p w14:paraId="2C92A7D0" w14:textId="77777777" w:rsidR="001B5BA0" w:rsidRPr="00252A4B" w:rsidRDefault="00730A01" w:rsidP="00443B59">
      <w:pPr>
        <w:pStyle w:val="Paragraphe"/>
        <w:numPr>
          <w:ilvl w:val="0"/>
          <w:numId w:val="63"/>
        </w:numPr>
        <w:spacing w:after="0" w:line="240" w:lineRule="auto"/>
        <w:ind w:left="993" w:right="539" w:hanging="284"/>
        <w:rPr>
          <w:sz w:val="22"/>
          <w:szCs w:val="22"/>
          <w:lang w:eastAsia="fr-CA"/>
        </w:rPr>
      </w:pPr>
      <w:r w:rsidRPr="00252A4B">
        <w:rPr>
          <w:sz w:val="22"/>
          <w:szCs w:val="22"/>
        </w:rPr>
        <w:t>Le 7</w:t>
      </w:r>
      <w:r w:rsidR="00192E75">
        <w:rPr>
          <w:sz w:val="22"/>
          <w:szCs w:val="22"/>
        </w:rPr>
        <w:t> </w:t>
      </w:r>
      <w:r w:rsidRPr="00252A4B">
        <w:rPr>
          <w:sz w:val="22"/>
          <w:szCs w:val="22"/>
        </w:rPr>
        <w:t>juillet</w:t>
      </w:r>
      <w:r w:rsidR="00FF6A85">
        <w:rPr>
          <w:sz w:val="22"/>
          <w:szCs w:val="22"/>
        </w:rPr>
        <w:t> </w:t>
      </w:r>
      <w:r w:rsidRPr="00252A4B">
        <w:rPr>
          <w:sz w:val="22"/>
          <w:szCs w:val="22"/>
        </w:rPr>
        <w:t>2023, il affirmait que le Groupe Huot avait toujours respecté ses engagements (par.</w:t>
      </w:r>
      <w:r w:rsidR="00FF6A85">
        <w:rPr>
          <w:sz w:val="22"/>
          <w:szCs w:val="22"/>
        </w:rPr>
        <w:t> </w:t>
      </w:r>
      <w:r w:rsidRPr="00252A4B">
        <w:rPr>
          <w:sz w:val="22"/>
          <w:szCs w:val="22"/>
        </w:rPr>
        <w:t>36).</w:t>
      </w:r>
    </w:p>
    <w:p w14:paraId="113C98BA" w14:textId="77777777" w:rsidR="002015A2" w:rsidRPr="00252A4B" w:rsidRDefault="00730A01" w:rsidP="00443B59">
      <w:pPr>
        <w:pStyle w:val="Paragraphe"/>
        <w:numPr>
          <w:ilvl w:val="0"/>
          <w:numId w:val="63"/>
        </w:numPr>
        <w:spacing w:after="0" w:line="240" w:lineRule="auto"/>
        <w:ind w:left="993" w:right="539" w:hanging="284"/>
        <w:rPr>
          <w:sz w:val="22"/>
          <w:szCs w:val="22"/>
        </w:rPr>
      </w:pPr>
      <w:r w:rsidRPr="00252A4B">
        <w:rPr>
          <w:sz w:val="22"/>
          <w:szCs w:val="22"/>
        </w:rPr>
        <w:t>Le 25</w:t>
      </w:r>
      <w:r w:rsidR="00192E75">
        <w:rPr>
          <w:sz w:val="22"/>
          <w:szCs w:val="22"/>
        </w:rPr>
        <w:t> </w:t>
      </w:r>
      <w:r w:rsidRPr="00252A4B">
        <w:rPr>
          <w:sz w:val="22"/>
          <w:szCs w:val="22"/>
        </w:rPr>
        <w:t>août</w:t>
      </w:r>
      <w:r w:rsidR="00FF6A85">
        <w:rPr>
          <w:sz w:val="22"/>
          <w:szCs w:val="22"/>
        </w:rPr>
        <w:t> </w:t>
      </w:r>
      <w:r w:rsidRPr="00252A4B">
        <w:rPr>
          <w:sz w:val="22"/>
          <w:szCs w:val="22"/>
        </w:rPr>
        <w:t>2023, il prétendait n’avoir été informé de difficultés financières qu’en décembre</w:t>
      </w:r>
      <w:r w:rsidR="00FF6A85">
        <w:rPr>
          <w:sz w:val="22"/>
          <w:szCs w:val="22"/>
        </w:rPr>
        <w:t> </w:t>
      </w:r>
      <w:r w:rsidRPr="00252A4B">
        <w:rPr>
          <w:sz w:val="22"/>
          <w:szCs w:val="22"/>
        </w:rPr>
        <w:t>2022 (par.</w:t>
      </w:r>
      <w:r w:rsidR="00FF6A85">
        <w:rPr>
          <w:sz w:val="22"/>
          <w:szCs w:val="22"/>
        </w:rPr>
        <w:t> </w:t>
      </w:r>
      <w:r w:rsidRPr="00252A4B">
        <w:rPr>
          <w:sz w:val="22"/>
          <w:szCs w:val="22"/>
        </w:rPr>
        <w:t xml:space="preserve">59). </w:t>
      </w:r>
    </w:p>
    <w:p w14:paraId="5CBBD9F5" w14:textId="77777777" w:rsidR="001B5BA0" w:rsidRPr="001B5BA0" w:rsidRDefault="00730A01" w:rsidP="0098012F">
      <w:pPr>
        <w:pStyle w:val="Paragraphe"/>
        <w:tabs>
          <w:tab w:val="clear" w:pos="786"/>
        </w:tabs>
        <w:spacing w:line="240" w:lineRule="auto"/>
        <w:ind w:left="0"/>
      </w:pPr>
      <w:r w:rsidRPr="001B5BA0">
        <w:t>Or, la preuve démontre que le Groupe Huot avait été en défaut à de nombreuses reprises depuis</w:t>
      </w:r>
      <w:r w:rsidR="00FF6A85">
        <w:t> </w:t>
      </w:r>
      <w:r w:rsidRPr="001B5BA0">
        <w:t>2017</w:t>
      </w:r>
      <w:r w:rsidR="002015A2">
        <w:t xml:space="preserve">. De plus, </w:t>
      </w:r>
      <w:r w:rsidRPr="001B5BA0">
        <w:t>la rencontre du 2</w:t>
      </w:r>
      <w:r w:rsidR="00192E75">
        <w:t> </w:t>
      </w:r>
      <w:r w:rsidRPr="001B5BA0">
        <w:t>mars</w:t>
      </w:r>
      <w:r w:rsidR="00FF6A85">
        <w:t> </w:t>
      </w:r>
      <w:r w:rsidRPr="001B5BA0">
        <w:t>2022</w:t>
      </w:r>
      <w:r w:rsidR="002015A2">
        <w:t xml:space="preserve"> confirme qu’il</w:t>
      </w:r>
      <w:r w:rsidR="004C5FB0">
        <w:t xml:space="preserve"> connaissait les difficultés financières de Huot</w:t>
      </w:r>
      <w:r>
        <w:rPr>
          <w:rStyle w:val="Appelnotedebasdep"/>
        </w:rPr>
        <w:footnoteReference w:id="60"/>
      </w:r>
      <w:r w:rsidR="00FF6A85">
        <w:t>.</w:t>
      </w:r>
    </w:p>
    <w:p w14:paraId="2DA5634C" w14:textId="77777777" w:rsidR="00BD7188" w:rsidRPr="00D05662" w:rsidRDefault="00730A01" w:rsidP="0098012F">
      <w:pPr>
        <w:pStyle w:val="Paragraphe"/>
        <w:tabs>
          <w:tab w:val="clear" w:pos="786"/>
        </w:tabs>
        <w:spacing w:line="240" w:lineRule="auto"/>
        <w:ind w:left="0"/>
        <w:rPr>
          <w:lang w:eastAsia="fr-CA"/>
        </w:rPr>
      </w:pPr>
      <w:r w:rsidRPr="00D05662">
        <w:rPr>
          <w:lang w:eastAsia="fr-CA"/>
        </w:rPr>
        <w:t xml:space="preserve">Dans le cadre de son contre-interrogatoire au préalable, Giroux </w:t>
      </w:r>
      <w:r w:rsidR="004C5FB0">
        <w:rPr>
          <w:lang w:eastAsia="fr-CA"/>
        </w:rPr>
        <w:t xml:space="preserve">tente </w:t>
      </w:r>
      <w:r w:rsidRPr="00D05662">
        <w:rPr>
          <w:lang w:eastAsia="fr-CA"/>
        </w:rPr>
        <w:t>de justifier pourquoi il manquait une ligne sur les tableaux transmis aux commanditaires, soit la ligne indiquant les frais d’intérêt</w:t>
      </w:r>
      <w:r>
        <w:rPr>
          <w:lang w:eastAsia="fr-CA"/>
        </w:rPr>
        <w:t>s</w:t>
      </w:r>
      <w:r w:rsidRPr="00D05662">
        <w:rPr>
          <w:lang w:eastAsia="fr-CA"/>
        </w:rPr>
        <w:t xml:space="preserve"> et de gestion, en affirmant qu’il ne voyait pas bien les tableaux dans Excel parce que «</w:t>
      </w:r>
      <w:r w:rsidRPr="00332636">
        <w:rPr>
          <w:i/>
          <w:iCs/>
          <w:lang w:eastAsia="fr-CA"/>
        </w:rPr>
        <w:t> </w:t>
      </w:r>
      <w:r w:rsidR="00FF6A85">
        <w:rPr>
          <w:i/>
          <w:iCs/>
          <w:lang w:eastAsia="fr-CA"/>
        </w:rPr>
        <w:t> </w:t>
      </w:r>
      <w:r w:rsidRPr="00332636">
        <w:rPr>
          <w:i/>
          <w:iCs/>
          <w:lang w:eastAsia="fr-CA"/>
        </w:rPr>
        <w:t>mon écran d’Apple est petit</w:t>
      </w:r>
      <w:r w:rsidR="00FF6A85">
        <w:rPr>
          <w:i/>
          <w:iCs/>
          <w:lang w:eastAsia="fr-CA"/>
        </w:rPr>
        <w:t> </w:t>
      </w:r>
      <w:r w:rsidRPr="00332636">
        <w:rPr>
          <w:i/>
          <w:iCs/>
          <w:lang w:eastAsia="fr-CA"/>
        </w:rPr>
        <w:t> </w:t>
      </w:r>
      <w:r w:rsidRPr="00332636">
        <w:rPr>
          <w:lang w:eastAsia="fr-CA"/>
        </w:rPr>
        <w:t>»</w:t>
      </w:r>
      <w:r w:rsidR="00332636" w:rsidRPr="00332636">
        <w:rPr>
          <w:lang w:eastAsia="fr-CA"/>
        </w:rPr>
        <w:t>.</w:t>
      </w:r>
    </w:p>
    <w:p w14:paraId="3CDF258A" w14:textId="77777777" w:rsidR="00BD7188" w:rsidRPr="00D05662" w:rsidRDefault="00730A01" w:rsidP="0098012F">
      <w:pPr>
        <w:pStyle w:val="Paragraphe"/>
        <w:tabs>
          <w:tab w:val="clear" w:pos="786"/>
        </w:tabs>
        <w:spacing w:line="240" w:lineRule="auto"/>
        <w:ind w:left="0"/>
        <w:rPr>
          <w:lang w:eastAsia="fr-CA"/>
        </w:rPr>
      </w:pPr>
      <w:r w:rsidRPr="007A1DCB">
        <w:rPr>
          <w:lang w:eastAsia="fr-CA"/>
        </w:rPr>
        <w:t>Cette thèse que l'utilisation de son ordinateur Mac a causé une mauvaise transmission de documents est aussi développée dans le témoignage de Giroux au cours du procès</w:t>
      </w:r>
      <w:r>
        <w:rPr>
          <w:rStyle w:val="Appelnotedebasdep"/>
          <w:rFonts w:cs="Arial"/>
          <w:szCs w:val="24"/>
          <w:lang w:eastAsia="fr-CA"/>
        </w:rPr>
        <w:footnoteReference w:id="61"/>
      </w:r>
      <w:r>
        <w:rPr>
          <w:lang w:eastAsia="fr-CA"/>
        </w:rPr>
        <w:t> :</w:t>
      </w:r>
      <w:r w:rsidRPr="00D05662">
        <w:rPr>
          <w:lang w:eastAsia="fr-CA"/>
        </w:rPr>
        <w:t xml:space="preserve"> </w:t>
      </w:r>
    </w:p>
    <w:p w14:paraId="57AFEB2F" w14:textId="77777777" w:rsidR="00BD7188" w:rsidRDefault="00730A01" w:rsidP="00252A4B">
      <w:pPr>
        <w:pStyle w:val="Citationenretrait"/>
        <w:ind w:right="539"/>
      </w:pPr>
      <w:r w:rsidRPr="002D617F">
        <w:rPr>
          <w:i/>
          <w:iCs/>
        </w:rPr>
        <w:t>Moi, j'ai un Mac, et tout le monde travaille sur du... euh... sur du Windows; ça fait que, moi, je faisais un « printscreen »; je l'ai envoyé! Mais c'est pas un « printscreen » que j'aurais dû faire, j’aurais dû faire... euh... « downloader » le fichier [...] quand j'ai envoyé le fichier, ben, moi, il manquait un bout, c’est normal!</w:t>
      </w:r>
      <w:r w:rsidRPr="00CA760A">
        <w:t> </w:t>
      </w:r>
      <w:r w:rsidRPr="00CA760A">
        <w:rPr>
          <w:highlight w:val="yellow"/>
        </w:rPr>
        <w:t xml:space="preserve"> </w:t>
      </w:r>
    </w:p>
    <w:p w14:paraId="12DE51EE" w14:textId="77777777" w:rsidR="00624321" w:rsidRDefault="00730A01" w:rsidP="0098012F">
      <w:pPr>
        <w:pStyle w:val="Paragraphe"/>
        <w:tabs>
          <w:tab w:val="clear" w:pos="786"/>
        </w:tabs>
        <w:spacing w:line="240" w:lineRule="auto"/>
        <w:ind w:left="0"/>
      </w:pPr>
      <w:r>
        <w:t>En outre, la preuve révèle que les tableaux de bord transmis étaient aussi tronqués en ce que le projet Transrapide y figurait alors qu’il n’aurait jamais dû y apparaître puisqu’il ne bénéficiait d’aucune garantie, ce qui a eu pour effet d’augmenter artificiellement l’équité disponible, dépassant les ratios convenus.</w:t>
      </w:r>
    </w:p>
    <w:p w14:paraId="75F9C17E" w14:textId="77777777" w:rsidR="009776F1" w:rsidRPr="00CA760A" w:rsidRDefault="00730A01" w:rsidP="0098012F">
      <w:pPr>
        <w:pStyle w:val="Paragraphe"/>
        <w:tabs>
          <w:tab w:val="clear" w:pos="786"/>
        </w:tabs>
        <w:spacing w:line="240" w:lineRule="auto"/>
        <w:ind w:left="0"/>
        <w:rPr>
          <w:lang w:eastAsia="fr-CA"/>
        </w:rPr>
      </w:pPr>
      <w:r>
        <w:rPr>
          <w:lang w:eastAsia="fr-CA"/>
        </w:rPr>
        <w:t xml:space="preserve">Rappelons aussi que Giroux camouflait les </w:t>
      </w:r>
      <w:r w:rsidR="004C5FB0">
        <w:rPr>
          <w:lang w:eastAsia="fr-CA"/>
        </w:rPr>
        <w:t xml:space="preserve">informations </w:t>
      </w:r>
      <w:r>
        <w:rPr>
          <w:lang w:eastAsia="fr-CA"/>
        </w:rPr>
        <w:t xml:space="preserve">concernant la situation du Groupe </w:t>
      </w:r>
      <w:r w:rsidR="004C5FB0">
        <w:rPr>
          <w:lang w:eastAsia="fr-CA"/>
        </w:rPr>
        <w:t>H</w:t>
      </w:r>
      <w:r>
        <w:rPr>
          <w:lang w:eastAsia="fr-CA"/>
        </w:rPr>
        <w:t>uot « qui s’en allait dans le mur ». Nous y reviendrons plus loin, au chapitre des fautes de Giroux.</w:t>
      </w:r>
    </w:p>
    <w:p w14:paraId="0980FB28" w14:textId="77777777" w:rsidR="00BD7188" w:rsidRPr="00D05662" w:rsidRDefault="00730A01" w:rsidP="00443B59">
      <w:pPr>
        <w:pStyle w:val="Titre3"/>
        <w:numPr>
          <w:ilvl w:val="0"/>
          <w:numId w:val="110"/>
        </w:numPr>
        <w:rPr>
          <w:rFonts w:cs="Arial"/>
          <w:szCs w:val="24"/>
        </w:rPr>
      </w:pPr>
      <w:r w:rsidRPr="00D05662">
        <w:rPr>
          <w:rFonts w:cs="Arial"/>
          <w:b/>
          <w:bCs/>
          <w:szCs w:val="24"/>
          <w:lang w:eastAsia="fr-CA"/>
        </w:rPr>
        <w:t>Des contradictions sur le prêt FIISH</w:t>
      </w:r>
    </w:p>
    <w:p w14:paraId="342FF517" w14:textId="77777777" w:rsidR="00BD7188" w:rsidRPr="00D05662" w:rsidRDefault="00730A01" w:rsidP="0098012F">
      <w:pPr>
        <w:pStyle w:val="Paragraphe"/>
        <w:tabs>
          <w:tab w:val="clear" w:pos="786"/>
        </w:tabs>
        <w:spacing w:line="240" w:lineRule="auto"/>
        <w:ind w:left="0"/>
        <w:rPr>
          <w:lang w:eastAsia="fr-CA"/>
        </w:rPr>
      </w:pPr>
      <w:r w:rsidRPr="00D05662">
        <w:rPr>
          <w:lang w:eastAsia="fr-CA"/>
        </w:rPr>
        <w:t>Giroux a modifié plusieurs fois sa version des faits quant à la nature du prêt consenti par FIISH au Groupe Huot.</w:t>
      </w:r>
    </w:p>
    <w:p w14:paraId="2EDA38BE" w14:textId="77777777" w:rsidR="00BD7188" w:rsidRPr="00D05662" w:rsidRDefault="00730A01" w:rsidP="0098012F">
      <w:pPr>
        <w:pStyle w:val="Paragraphe"/>
        <w:tabs>
          <w:tab w:val="clear" w:pos="786"/>
        </w:tabs>
        <w:spacing w:line="240" w:lineRule="auto"/>
        <w:ind w:left="0"/>
        <w:rPr>
          <w:lang w:eastAsia="fr-CA"/>
        </w:rPr>
      </w:pPr>
      <w:r w:rsidRPr="00D05662">
        <w:rPr>
          <w:lang w:eastAsia="fr-CA"/>
        </w:rPr>
        <w:t>Lors de son interrogatoire au procès</w:t>
      </w:r>
      <w:r w:rsidR="00BA3A08">
        <w:rPr>
          <w:lang w:eastAsia="fr-CA"/>
        </w:rPr>
        <w:t xml:space="preserve">, </w:t>
      </w:r>
      <w:r w:rsidRPr="00D05662">
        <w:rPr>
          <w:lang w:eastAsia="fr-CA"/>
        </w:rPr>
        <w:t>il affirme :</w:t>
      </w:r>
    </w:p>
    <w:p w14:paraId="04BF8C25" w14:textId="77777777" w:rsidR="00BD7188" w:rsidRPr="00FC7F69" w:rsidRDefault="00730A01" w:rsidP="00252A4B">
      <w:pPr>
        <w:pStyle w:val="Citationenretrait"/>
        <w:ind w:right="539"/>
      </w:pPr>
      <w:r w:rsidRPr="002D617F">
        <w:rPr>
          <w:i/>
          <w:iCs/>
        </w:rPr>
        <w:t>Bien, parce que t’sais, c’était des hauts taux d’intérêts, et puis, c’est bon, ces sortes de prêts là, pour... pour bâtir, pour des besoins, pour monter des bâtiments, mais une fois que les bâtiments sont stabilisés, eh bien, ça ne tient pas la route, là. [...] Le taux est trop onéreux pour supporter une trop longue durée dans ces prêts-là. [...] De donner de l’argent, ça crée une valeur, mais une fois qu’il est stabilisé, bien, c’est l’immeuble, l’immeuble, elle récolte des loyers et tout, ça fait que c’est pour ça que c’est dur de continuer une fois que la bâtisse est stabilisée</w:t>
      </w:r>
      <w:r w:rsidRPr="00FC7F69">
        <w:t xml:space="preserve">. </w:t>
      </w:r>
    </w:p>
    <w:p w14:paraId="437026FB" w14:textId="77777777" w:rsidR="00BD7188" w:rsidRPr="00D05662" w:rsidRDefault="00730A01" w:rsidP="0044005E">
      <w:pPr>
        <w:pStyle w:val="Paragraphe"/>
        <w:tabs>
          <w:tab w:val="clear" w:pos="786"/>
        </w:tabs>
        <w:spacing w:line="240" w:lineRule="auto"/>
        <w:ind w:left="0"/>
        <w:rPr>
          <w:lang w:eastAsia="fr-CA"/>
        </w:rPr>
      </w:pPr>
      <w:r w:rsidRPr="00D05662">
        <w:rPr>
          <w:lang w:eastAsia="fr-CA"/>
        </w:rPr>
        <w:t xml:space="preserve">Mais cette affirmation tranche avec celle </w:t>
      </w:r>
      <w:r w:rsidR="004C5FB0">
        <w:rPr>
          <w:lang w:eastAsia="fr-CA"/>
        </w:rPr>
        <w:t>exprimée</w:t>
      </w:r>
      <w:r w:rsidRPr="00D05662">
        <w:rPr>
          <w:lang w:eastAsia="fr-CA"/>
        </w:rPr>
        <w:t xml:space="preserve"> lors de son interrogatoire préalable</w:t>
      </w:r>
      <w:r>
        <w:rPr>
          <w:rStyle w:val="Appelnotedebasdep"/>
          <w:rFonts w:cs="Arial"/>
          <w:szCs w:val="24"/>
          <w:lang w:eastAsia="fr-CA"/>
        </w:rPr>
        <w:footnoteReference w:id="62"/>
      </w:r>
      <w:r>
        <w:rPr>
          <w:lang w:eastAsia="fr-CA"/>
        </w:rPr>
        <w:t> :</w:t>
      </w:r>
    </w:p>
    <w:p w14:paraId="40944639" w14:textId="77777777" w:rsidR="00BD7188" w:rsidRPr="002D617F" w:rsidRDefault="00730A01" w:rsidP="00252A4B">
      <w:pPr>
        <w:pStyle w:val="Citationenretrait"/>
        <w:spacing w:after="0"/>
        <w:ind w:right="539"/>
        <w:rPr>
          <w:i/>
          <w:iCs/>
        </w:rPr>
      </w:pPr>
      <w:r w:rsidRPr="002D617F">
        <w:rPr>
          <w:i/>
          <w:iCs/>
        </w:rPr>
        <w:t>Q. Il ne vous a pas parlé des frais d’intérêt qui étaient trop élevés?</w:t>
      </w:r>
    </w:p>
    <w:p w14:paraId="1356C6C9" w14:textId="77777777" w:rsidR="00BD7188" w:rsidRPr="002D617F" w:rsidRDefault="00730A01" w:rsidP="00252A4B">
      <w:pPr>
        <w:pStyle w:val="Citationenretrait"/>
        <w:spacing w:after="0"/>
        <w:ind w:right="539"/>
        <w:rPr>
          <w:i/>
          <w:iCs/>
        </w:rPr>
      </w:pPr>
      <w:r w:rsidRPr="002D617F">
        <w:rPr>
          <w:i/>
          <w:iCs/>
        </w:rPr>
        <w:t>R. Ben, les – je peux vous faire « une » bémol sur les frais d’intérêt trop élevés. Je veux dire, moé, à... il y avait pas d’obligation de Stéphan Huot... euh... à faire affaire avec moi, là. Je veux dire, si... heummm... j’ai les... les... les... De mémoire, je ne me souviens pas de ça. Que les frais étaient trop élevés</w:t>
      </w:r>
      <w:r>
        <w:rPr>
          <w:rStyle w:val="Appelnotedebasdep"/>
        </w:rPr>
        <w:footnoteReference w:id="63"/>
      </w:r>
      <w:r w:rsidR="00FF6A85">
        <w:rPr>
          <w:i/>
          <w:iCs/>
        </w:rPr>
        <w:t>.</w:t>
      </w:r>
    </w:p>
    <w:p w14:paraId="0314CAD7" w14:textId="77777777" w:rsidR="00DB562A" w:rsidRPr="00D05662" w:rsidRDefault="00730A01" w:rsidP="00443B59">
      <w:pPr>
        <w:pStyle w:val="Titre3"/>
        <w:numPr>
          <w:ilvl w:val="0"/>
          <w:numId w:val="110"/>
        </w:numPr>
        <w:rPr>
          <w:rFonts w:cs="Arial"/>
          <w:b/>
          <w:bCs/>
          <w:szCs w:val="24"/>
          <w:lang w:eastAsia="fr-CA"/>
        </w:rPr>
      </w:pPr>
      <w:r>
        <w:rPr>
          <w:rFonts w:cs="Arial"/>
          <w:b/>
          <w:bCs/>
          <w:szCs w:val="24"/>
          <w:lang w:eastAsia="fr-CA"/>
        </w:rPr>
        <w:t>Des affirmations contredites</w:t>
      </w:r>
    </w:p>
    <w:p w14:paraId="4FB647F6" w14:textId="77777777" w:rsidR="00DB562A" w:rsidRPr="00D05662" w:rsidRDefault="00730A01" w:rsidP="0098012F">
      <w:pPr>
        <w:pStyle w:val="Paragraphe"/>
        <w:tabs>
          <w:tab w:val="clear" w:pos="786"/>
        </w:tabs>
        <w:spacing w:line="240" w:lineRule="auto"/>
        <w:ind w:left="0"/>
        <w:rPr>
          <w:lang w:eastAsia="fr-CA"/>
        </w:rPr>
      </w:pPr>
      <w:r w:rsidRPr="00D05662">
        <w:rPr>
          <w:lang w:eastAsia="fr-CA"/>
        </w:rPr>
        <w:t xml:space="preserve">Giroux prétend que </w:t>
      </w:r>
      <w:r w:rsidR="007A1DCB">
        <w:rPr>
          <w:lang w:eastAsia="fr-CA"/>
        </w:rPr>
        <w:t>d</w:t>
      </w:r>
      <w:r w:rsidRPr="00D05662">
        <w:rPr>
          <w:lang w:eastAsia="fr-CA"/>
        </w:rPr>
        <w:t>es commanditaires des sociétés demanderesses, réunis au sein du «</w:t>
      </w:r>
      <w:r>
        <w:rPr>
          <w:lang w:eastAsia="fr-CA"/>
        </w:rPr>
        <w:t> </w:t>
      </w:r>
      <w:r w:rsidRPr="00D05662">
        <w:rPr>
          <w:lang w:eastAsia="fr-CA"/>
        </w:rPr>
        <w:t>comité consultatif</w:t>
      </w:r>
      <w:r>
        <w:rPr>
          <w:lang w:eastAsia="fr-CA"/>
        </w:rPr>
        <w:t> </w:t>
      </w:r>
      <w:r w:rsidRPr="00D05662">
        <w:rPr>
          <w:lang w:eastAsia="fr-CA"/>
        </w:rPr>
        <w:t>», auraient refusé la nomination d’un consultant ou d’un vérificateur général afin d’analyser de l’interne les finances du Groupe Huot.</w:t>
      </w:r>
    </w:p>
    <w:p w14:paraId="1EF38881" w14:textId="77777777" w:rsidR="00DB562A" w:rsidRDefault="00730A01" w:rsidP="0098012F">
      <w:pPr>
        <w:pStyle w:val="Paragraphe"/>
        <w:tabs>
          <w:tab w:val="clear" w:pos="786"/>
        </w:tabs>
        <w:spacing w:line="240" w:lineRule="auto"/>
        <w:ind w:left="0"/>
        <w:rPr>
          <w:lang w:eastAsia="fr-CA"/>
        </w:rPr>
      </w:pPr>
      <w:r w:rsidRPr="00D05662">
        <w:rPr>
          <w:lang w:eastAsia="fr-CA"/>
        </w:rPr>
        <w:t>Lors de son interrogatoire au procès</w:t>
      </w:r>
      <w:r>
        <w:rPr>
          <w:lang w:eastAsia="fr-CA"/>
        </w:rPr>
        <w:t xml:space="preserve">, </w:t>
      </w:r>
      <w:r w:rsidRPr="00D05662">
        <w:rPr>
          <w:lang w:eastAsia="fr-CA"/>
        </w:rPr>
        <w:t>Giroux déclare</w:t>
      </w:r>
      <w:r>
        <w:rPr>
          <w:rStyle w:val="Appelnotedebasdep"/>
          <w:lang w:eastAsia="fr-CA"/>
        </w:rPr>
        <w:footnoteReference w:id="64"/>
      </w:r>
      <w:r w:rsidR="00FF6A85">
        <w:rPr>
          <w:lang w:eastAsia="fr-CA"/>
        </w:rPr>
        <w:t> </w:t>
      </w:r>
      <w:r w:rsidRPr="00D05662">
        <w:rPr>
          <w:lang w:eastAsia="fr-CA"/>
        </w:rPr>
        <w:t>:</w:t>
      </w:r>
    </w:p>
    <w:p w14:paraId="7FC88910" w14:textId="77777777" w:rsidR="00DB562A" w:rsidRPr="002D617F" w:rsidRDefault="00730A01" w:rsidP="00252A4B">
      <w:pPr>
        <w:pStyle w:val="Citationenretrait"/>
        <w:ind w:right="539"/>
        <w:rPr>
          <w:i/>
          <w:iCs/>
          <w:lang w:eastAsia="fr-CA"/>
        </w:rPr>
      </w:pPr>
      <w:r w:rsidRPr="002D617F">
        <w:rPr>
          <w:i/>
          <w:iCs/>
        </w:rPr>
        <w:t xml:space="preserve">     Et puis, ce qu’on… ce qui s’est parlé, la décision, c’était que si on rentre dans les…</w:t>
      </w:r>
      <w:r w:rsidR="00252A4B">
        <w:rPr>
          <w:i/>
          <w:iCs/>
        </w:rPr>
        <w:t xml:space="preserve"> </w:t>
      </w:r>
      <w:r w:rsidRPr="002D617F">
        <w:rPr>
          <w:i/>
          <w:iCs/>
        </w:rPr>
        <w:t xml:space="preserve">dans les livres d’Huot, bien, on va en devenir responsables. Ça fait qu’on ne peut pas… il m’avait dit qu’on ne peut pas s’immiscer dans l’administration du Groupe Huot, parce qu’on va devenir responsables, c’est la chose qu’on ne veut pas, être responsables. Donc… donc, il avait été décidé, à l’époque, qu’il n’y en aurait pas, il n’y en aurait pas de ces implications-là à l’interne. </w:t>
      </w:r>
    </w:p>
    <w:p w14:paraId="4B3F2099" w14:textId="77777777" w:rsidR="00DB562A" w:rsidRPr="007A1DCB" w:rsidRDefault="00730A01" w:rsidP="0098012F">
      <w:pPr>
        <w:pStyle w:val="Paragraphe"/>
        <w:tabs>
          <w:tab w:val="clear" w:pos="786"/>
        </w:tabs>
        <w:spacing w:line="240" w:lineRule="auto"/>
        <w:ind w:left="0"/>
        <w:rPr>
          <w:lang w:eastAsia="fr-CA"/>
        </w:rPr>
      </w:pPr>
      <w:r w:rsidRPr="00D05662">
        <w:rPr>
          <w:lang w:eastAsia="fr-CA"/>
        </w:rPr>
        <w:t xml:space="preserve">Cependant, cette version est directement contredite par le témoignage de </w:t>
      </w:r>
      <w:r w:rsidRPr="007A1DCB">
        <w:rPr>
          <w:lang w:eastAsia="fr-CA"/>
        </w:rPr>
        <w:t>Guillaume St-Gelais entendu au procès</w:t>
      </w:r>
      <w:r>
        <w:rPr>
          <w:rStyle w:val="Appelnotedebasdep"/>
          <w:lang w:eastAsia="fr-CA"/>
        </w:rPr>
        <w:footnoteReference w:id="65"/>
      </w:r>
      <w:r w:rsidRPr="007A1DCB">
        <w:rPr>
          <w:lang w:eastAsia="fr-CA"/>
        </w:rPr>
        <w:t> :</w:t>
      </w:r>
    </w:p>
    <w:p w14:paraId="4FD27C1A" w14:textId="77777777" w:rsidR="002D617F" w:rsidRPr="00D05662" w:rsidRDefault="00730A01" w:rsidP="00252A4B">
      <w:pPr>
        <w:pStyle w:val="Citationenretrait"/>
        <w:ind w:right="539"/>
        <w:rPr>
          <w:lang w:eastAsia="fr-CA"/>
        </w:rPr>
      </w:pPr>
      <w:r w:rsidRPr="002D617F">
        <w:rPr>
          <w:i/>
          <w:iCs/>
          <w:lang w:eastAsia="fr-CA"/>
        </w:rPr>
        <w:t>J’avais même suggéré, à plusieurs reprises, que Q-12 et FIISH se dotent d’un vérificateur interne, indépendant, qui aurait pu valider les chiffres et faire un suivi rigoureux des flux de fonds. Monsieur Giroux s’y est toujours opposé. Il répétait que ça coûterait trop cher et que ce n’était pas nécessaire</w:t>
      </w:r>
      <w:r w:rsidRPr="000D7290">
        <w:rPr>
          <w:lang w:eastAsia="fr-CA"/>
        </w:rPr>
        <w:t xml:space="preserve"> puisque, selon lui, il avait déjà le contrôle sur tout</w:t>
      </w:r>
      <w:r>
        <w:rPr>
          <w:rStyle w:val="Appelnotedebasdep"/>
          <w:lang w:eastAsia="fr-CA"/>
        </w:rPr>
        <w:footnoteReference w:id="66"/>
      </w:r>
      <w:r w:rsidR="00FF6A85">
        <w:rPr>
          <w:lang w:eastAsia="fr-CA"/>
        </w:rPr>
        <w:t>.</w:t>
      </w:r>
      <w:r w:rsidRPr="000D7290">
        <w:rPr>
          <w:b/>
          <w:bCs/>
        </w:rPr>
        <w:t xml:space="preserve"> </w:t>
      </w:r>
    </w:p>
    <w:p w14:paraId="58EFC836" w14:textId="77777777" w:rsidR="00BD7188" w:rsidRPr="00D05662" w:rsidRDefault="00730A01" w:rsidP="0098012F">
      <w:pPr>
        <w:pStyle w:val="Paragraphe"/>
        <w:tabs>
          <w:tab w:val="clear" w:pos="786"/>
        </w:tabs>
        <w:spacing w:line="240" w:lineRule="auto"/>
        <w:ind w:left="0"/>
        <w:rPr>
          <w:lang w:eastAsia="fr-CA"/>
        </w:rPr>
      </w:pPr>
      <w:r>
        <w:rPr>
          <w:lang w:eastAsia="fr-CA"/>
        </w:rPr>
        <w:t xml:space="preserve">Giroux a aussi nié au procès savoir combien </w:t>
      </w:r>
      <w:r w:rsidRPr="00D05662">
        <w:rPr>
          <w:lang w:eastAsia="fr-CA"/>
        </w:rPr>
        <w:t xml:space="preserve">d’argent il avait dans son compte de banque. </w:t>
      </w:r>
      <w:r>
        <w:rPr>
          <w:lang w:eastAsia="fr-CA"/>
        </w:rPr>
        <w:t>L’échange</w:t>
      </w:r>
      <w:r w:rsidRPr="00D05662">
        <w:rPr>
          <w:lang w:eastAsia="fr-CA"/>
        </w:rPr>
        <w:t xml:space="preserve"> est révélateur</w:t>
      </w:r>
      <w:r>
        <w:rPr>
          <w:rStyle w:val="Appelnotedebasdep"/>
          <w:lang w:eastAsia="fr-CA"/>
        </w:rPr>
        <w:footnoteReference w:id="67"/>
      </w:r>
      <w:r w:rsidR="00FF6A85">
        <w:rPr>
          <w:lang w:eastAsia="fr-CA"/>
        </w:rPr>
        <w:t> </w:t>
      </w:r>
      <w:r w:rsidRPr="00D05662">
        <w:rPr>
          <w:lang w:eastAsia="fr-CA"/>
        </w:rPr>
        <w:t>:</w:t>
      </w:r>
    </w:p>
    <w:p w14:paraId="01E0A67F" w14:textId="77777777" w:rsidR="00BD7188" w:rsidRPr="002D617F" w:rsidRDefault="00730A01" w:rsidP="00252A4B">
      <w:pPr>
        <w:pStyle w:val="Citationenretrait"/>
        <w:spacing w:after="0"/>
        <w:ind w:right="539"/>
        <w:rPr>
          <w:i/>
          <w:iCs/>
        </w:rPr>
      </w:pPr>
      <w:r w:rsidRPr="002D617F">
        <w:rPr>
          <w:i/>
          <w:iCs/>
        </w:rPr>
        <w:t>Q. Vous, quand vous dites que vous n’êtes pas capable de vous payer un dentifrice puis que vous ne savez pas que votre argent… combien d’argent vous avez dans votre compte de banque, est-ce que vous êtes capable de dire sérieusement que vous ne savez pas à chaque matin combien il y a d’argent dans votre compte de banque?</w:t>
      </w:r>
    </w:p>
    <w:p w14:paraId="226018AD" w14:textId="77777777" w:rsidR="00BD7188" w:rsidRPr="002D617F" w:rsidRDefault="00730A01" w:rsidP="00252A4B">
      <w:pPr>
        <w:pStyle w:val="Citationenretrait"/>
        <w:spacing w:after="0"/>
        <w:ind w:right="539"/>
        <w:rPr>
          <w:i/>
          <w:iCs/>
        </w:rPr>
      </w:pPr>
      <w:r w:rsidRPr="002D617F">
        <w:rPr>
          <w:i/>
          <w:iCs/>
        </w:rPr>
        <w:t>R. Je ne regarde jamais l’argent que j’ai dans mon compte de banque. Je n’ouvre pas ça, un compte de banque. J’ai des gens qui font ma comptabilité, puis à un moment donné, ils me disent c’est quoi mes liquidités. C’est tout, c’est… je ne vais pas voir sur le site de… ici et là, là, j’y vais une fois de temps en temps s’il arrive des problèmes, comme une Mareva.</w:t>
      </w:r>
    </w:p>
    <w:p w14:paraId="5B9F63B7" w14:textId="77777777" w:rsidR="00BD7188" w:rsidRPr="00AF253F" w:rsidRDefault="00730A01" w:rsidP="0098012F">
      <w:pPr>
        <w:pStyle w:val="Paragraphe"/>
        <w:tabs>
          <w:tab w:val="clear" w:pos="786"/>
        </w:tabs>
        <w:spacing w:before="240" w:line="240" w:lineRule="auto"/>
        <w:ind w:left="0"/>
        <w:rPr>
          <w:lang w:eastAsia="fr-CA"/>
        </w:rPr>
      </w:pPr>
      <w:r w:rsidRPr="00AF253F">
        <w:rPr>
          <w:lang w:eastAsia="fr-CA"/>
        </w:rPr>
        <w:t xml:space="preserve">Ce témoignage est contredit </w:t>
      </w:r>
      <w:r w:rsidR="004C5FB0">
        <w:rPr>
          <w:lang w:eastAsia="fr-CA"/>
        </w:rPr>
        <w:t xml:space="preserve">le même jour </w:t>
      </w:r>
      <w:r w:rsidRPr="00AF253F">
        <w:rPr>
          <w:lang w:eastAsia="fr-CA"/>
        </w:rPr>
        <w:t xml:space="preserve">par Céline Carbonneau </w:t>
      </w:r>
      <w:r w:rsidR="00AF253F" w:rsidRPr="00AF253F">
        <w:rPr>
          <w:lang w:eastAsia="fr-CA"/>
        </w:rPr>
        <w:t>(collaboratrice de Giroux qui s’occupe de sa comptabilité)</w:t>
      </w:r>
      <w:r>
        <w:rPr>
          <w:rStyle w:val="Appelnotedebasdep"/>
          <w:rFonts w:cs="Arial"/>
          <w:szCs w:val="24"/>
          <w:lang w:eastAsia="fr-CA"/>
        </w:rPr>
        <w:footnoteReference w:id="68"/>
      </w:r>
      <w:r w:rsidRPr="00AF253F">
        <w:rPr>
          <w:lang w:eastAsia="fr-CA"/>
        </w:rPr>
        <w:t> :</w:t>
      </w:r>
    </w:p>
    <w:p w14:paraId="0CC13D2C" w14:textId="77777777" w:rsidR="00BD7188" w:rsidRPr="00AF253F" w:rsidRDefault="00730A01" w:rsidP="00252A4B">
      <w:pPr>
        <w:pStyle w:val="Citationenretrait"/>
        <w:spacing w:after="0"/>
        <w:ind w:right="539"/>
        <w:rPr>
          <w:i/>
          <w:iCs/>
        </w:rPr>
      </w:pPr>
      <w:r w:rsidRPr="00AF253F">
        <w:rPr>
          <w:i/>
          <w:iCs/>
        </w:rPr>
        <w:t>Q. Alors, monsieur Giroux a toujours été au courant des soldes dans ses comptes de banque?</w:t>
      </w:r>
    </w:p>
    <w:p w14:paraId="6C5484B8" w14:textId="77777777" w:rsidR="00BD7188" w:rsidRPr="00AF253F" w:rsidRDefault="00730A01" w:rsidP="00252A4B">
      <w:pPr>
        <w:pStyle w:val="Citationenretrait"/>
        <w:spacing w:after="0"/>
        <w:ind w:right="539"/>
        <w:rPr>
          <w:lang w:eastAsia="fr-CA"/>
        </w:rPr>
      </w:pPr>
      <w:r w:rsidRPr="00AF253F">
        <w:rPr>
          <w:i/>
          <w:iCs/>
        </w:rPr>
        <w:t>R. Bien oui, parce qu’en</w:t>
      </w:r>
      <w:r w:rsidRPr="00AF253F">
        <w:rPr>
          <w:i/>
          <w:iCs/>
          <w:lang w:eastAsia="fr-CA"/>
        </w:rPr>
        <w:t xml:space="preserve"> plus, on faisait les liquidités à tous les jours</w:t>
      </w:r>
      <w:r w:rsidRPr="00AF253F">
        <w:rPr>
          <w:lang w:eastAsia="fr-CA"/>
        </w:rPr>
        <w:t>.</w:t>
      </w:r>
    </w:p>
    <w:p w14:paraId="0174687B" w14:textId="77777777" w:rsidR="00BD7188" w:rsidRPr="00D05662" w:rsidRDefault="00730A01" w:rsidP="00443B59">
      <w:pPr>
        <w:pStyle w:val="Titre3"/>
        <w:numPr>
          <w:ilvl w:val="0"/>
          <w:numId w:val="110"/>
        </w:numPr>
        <w:rPr>
          <w:rFonts w:cs="Arial"/>
          <w:szCs w:val="24"/>
          <w:lang w:eastAsia="fr-CA"/>
        </w:rPr>
      </w:pPr>
      <w:r w:rsidRPr="00D05662">
        <w:rPr>
          <w:rFonts w:cs="Arial"/>
          <w:b/>
          <w:bCs/>
          <w:szCs w:val="24"/>
          <w:lang w:eastAsia="fr-CA"/>
        </w:rPr>
        <w:t>Des actifs camouflés</w:t>
      </w:r>
      <w:r w:rsidRPr="00D05662">
        <w:rPr>
          <w:rFonts w:cs="Arial"/>
          <w:szCs w:val="24"/>
          <w:lang w:eastAsia="fr-CA"/>
        </w:rPr>
        <w:t xml:space="preserve"> </w:t>
      </w:r>
    </w:p>
    <w:p w14:paraId="69D8DDDE" w14:textId="77777777" w:rsidR="00BD7188" w:rsidRPr="00D05662" w:rsidRDefault="00730A01" w:rsidP="0098012F">
      <w:pPr>
        <w:pStyle w:val="Paragraphe"/>
        <w:tabs>
          <w:tab w:val="clear" w:pos="786"/>
        </w:tabs>
        <w:spacing w:line="240" w:lineRule="auto"/>
        <w:ind w:left="0"/>
        <w:rPr>
          <w:lang w:eastAsia="fr-CA"/>
        </w:rPr>
      </w:pPr>
      <w:r w:rsidRPr="00D05662">
        <w:rPr>
          <w:lang w:eastAsia="fr-CA"/>
        </w:rPr>
        <w:t>Au stade de l’injonction interlocutoire, Giroux a présenté des bilans attestant qu’il détenait des actifs pour plus de</w:t>
      </w:r>
      <w:r w:rsidR="00FF6A85">
        <w:rPr>
          <w:lang w:eastAsia="fr-CA"/>
        </w:rPr>
        <w:t> </w:t>
      </w:r>
      <w:r w:rsidRPr="00D05662">
        <w:rPr>
          <w:lang w:eastAsia="fr-CA"/>
        </w:rPr>
        <w:t>170</w:t>
      </w:r>
      <w:r w:rsidR="00AF253F">
        <w:rPr>
          <w:lang w:eastAsia="fr-CA"/>
        </w:rPr>
        <w:t> </w:t>
      </w:r>
      <w:r w:rsidR="007A1DCB">
        <w:rPr>
          <w:lang w:eastAsia="fr-CA"/>
        </w:rPr>
        <w:t>M</w:t>
      </w:r>
      <w:r w:rsidRPr="00D05662">
        <w:rPr>
          <w:lang w:eastAsia="fr-CA"/>
        </w:rPr>
        <w:t>$. Il a ainsi déposé une déclaration sous serment datée du</w:t>
      </w:r>
      <w:r w:rsidR="00192E75">
        <w:rPr>
          <w:lang w:eastAsia="fr-CA"/>
        </w:rPr>
        <w:t xml:space="preserve"> </w:t>
      </w:r>
      <w:r w:rsidRPr="00D05662">
        <w:rPr>
          <w:lang w:eastAsia="fr-CA"/>
        </w:rPr>
        <w:t>15</w:t>
      </w:r>
      <w:r w:rsidR="00192E75">
        <w:rPr>
          <w:lang w:eastAsia="fr-CA"/>
        </w:rPr>
        <w:t> </w:t>
      </w:r>
      <w:r w:rsidRPr="00D05662">
        <w:rPr>
          <w:lang w:eastAsia="fr-CA"/>
        </w:rPr>
        <w:t>septembre</w:t>
      </w:r>
      <w:r w:rsidR="00192E75">
        <w:rPr>
          <w:lang w:eastAsia="fr-CA"/>
        </w:rPr>
        <w:t> </w:t>
      </w:r>
      <w:r w:rsidRPr="00D05662">
        <w:rPr>
          <w:lang w:eastAsia="fr-CA"/>
        </w:rPr>
        <w:t>2023</w:t>
      </w:r>
      <w:r>
        <w:rPr>
          <w:rStyle w:val="Appelnotedebasdep"/>
          <w:lang w:eastAsia="fr-CA"/>
        </w:rPr>
        <w:footnoteReference w:id="69"/>
      </w:r>
      <w:r w:rsidRPr="00D05662">
        <w:rPr>
          <w:lang w:eastAsia="fr-CA"/>
        </w:rPr>
        <w:t xml:space="preserve"> qui, tout en tenant compte des passifs et des provisions comptables, évaluait sa valeur nette à 170</w:t>
      </w:r>
      <w:r>
        <w:rPr>
          <w:lang w:eastAsia="fr-CA"/>
        </w:rPr>
        <w:t> </w:t>
      </w:r>
      <w:r w:rsidRPr="00D05662">
        <w:rPr>
          <w:lang w:eastAsia="fr-CA"/>
        </w:rPr>
        <w:t>156</w:t>
      </w:r>
      <w:r>
        <w:rPr>
          <w:lang w:eastAsia="fr-CA"/>
        </w:rPr>
        <w:t> </w:t>
      </w:r>
      <w:r w:rsidRPr="00D05662">
        <w:rPr>
          <w:lang w:eastAsia="fr-CA"/>
        </w:rPr>
        <w:t>341</w:t>
      </w:r>
      <w:r>
        <w:rPr>
          <w:lang w:eastAsia="fr-CA"/>
        </w:rPr>
        <w:t> </w:t>
      </w:r>
      <w:r w:rsidRPr="00D05662">
        <w:rPr>
          <w:lang w:eastAsia="fr-CA"/>
        </w:rPr>
        <w:t>$</w:t>
      </w:r>
      <w:r>
        <w:rPr>
          <w:lang w:eastAsia="fr-CA"/>
        </w:rPr>
        <w:t>.</w:t>
      </w:r>
    </w:p>
    <w:p w14:paraId="3FC48DC7" w14:textId="77777777" w:rsidR="00BD7188" w:rsidRDefault="00730A01" w:rsidP="0098012F">
      <w:pPr>
        <w:pStyle w:val="Paragraphe"/>
        <w:tabs>
          <w:tab w:val="clear" w:pos="786"/>
        </w:tabs>
        <w:spacing w:line="240" w:lineRule="auto"/>
        <w:ind w:left="0"/>
        <w:rPr>
          <w:lang w:eastAsia="fr-CA"/>
        </w:rPr>
      </w:pPr>
      <w:r>
        <w:rPr>
          <w:lang w:eastAsia="fr-CA"/>
        </w:rPr>
        <w:t>L</w:t>
      </w:r>
      <w:r w:rsidRPr="00D05662">
        <w:rPr>
          <w:lang w:eastAsia="fr-CA"/>
        </w:rPr>
        <w:t>a preuve d’expertise a démontr</w:t>
      </w:r>
      <w:r>
        <w:rPr>
          <w:lang w:eastAsia="fr-CA"/>
        </w:rPr>
        <w:t>é cependant</w:t>
      </w:r>
      <w:r w:rsidRPr="00D05662">
        <w:rPr>
          <w:lang w:eastAsia="fr-CA"/>
        </w:rPr>
        <w:t xml:space="preserve"> que la valeur réelle du bilan de Giroux serait </w:t>
      </w:r>
      <w:r w:rsidR="007A1DCB">
        <w:rPr>
          <w:lang w:eastAsia="fr-CA"/>
        </w:rPr>
        <w:t xml:space="preserve">plutôt </w:t>
      </w:r>
      <w:r w:rsidRPr="00D05662">
        <w:rPr>
          <w:lang w:eastAsia="fr-CA"/>
        </w:rPr>
        <w:t>de</w:t>
      </w:r>
      <w:r w:rsidR="00FF6A85">
        <w:rPr>
          <w:lang w:eastAsia="fr-CA"/>
        </w:rPr>
        <w:t> </w:t>
      </w:r>
      <w:r w:rsidRPr="00D05662">
        <w:rPr>
          <w:lang w:eastAsia="fr-CA"/>
        </w:rPr>
        <w:t>37</w:t>
      </w:r>
      <w:r>
        <w:rPr>
          <w:lang w:eastAsia="fr-CA"/>
        </w:rPr>
        <w:t> </w:t>
      </w:r>
      <w:r w:rsidR="007A1DCB">
        <w:rPr>
          <w:lang w:eastAsia="fr-CA"/>
        </w:rPr>
        <w:t>M</w:t>
      </w:r>
      <w:r w:rsidRPr="00D05662">
        <w:rPr>
          <w:lang w:eastAsia="fr-CA"/>
        </w:rPr>
        <w:t>$</w:t>
      </w:r>
      <w:r>
        <w:rPr>
          <w:rStyle w:val="Appelnotedebasdep"/>
          <w:lang w:eastAsia="fr-CA"/>
        </w:rPr>
        <w:footnoteReference w:id="70"/>
      </w:r>
      <w:r w:rsidR="00FF6A85">
        <w:rPr>
          <w:lang w:eastAsia="fr-CA"/>
        </w:rPr>
        <w:t>.</w:t>
      </w:r>
      <w:r w:rsidRPr="00D05662">
        <w:rPr>
          <w:lang w:eastAsia="fr-CA"/>
        </w:rPr>
        <w:t xml:space="preserve"> </w:t>
      </w:r>
    </w:p>
    <w:p w14:paraId="727FE175" w14:textId="77777777" w:rsidR="00BD7188" w:rsidRPr="00B969D5" w:rsidRDefault="00730A01" w:rsidP="0098012F">
      <w:pPr>
        <w:pStyle w:val="Paragraphe"/>
        <w:tabs>
          <w:tab w:val="clear" w:pos="786"/>
        </w:tabs>
        <w:spacing w:after="0" w:line="240" w:lineRule="auto"/>
        <w:ind w:left="0"/>
        <w:rPr>
          <w:lang w:eastAsia="fr-CA"/>
        </w:rPr>
      </w:pPr>
      <w:r w:rsidRPr="00B969D5">
        <w:rPr>
          <w:lang w:eastAsia="fr-CA"/>
        </w:rPr>
        <w:t>Lors de son interrogatoire au procès</w:t>
      </w:r>
      <w:r>
        <w:rPr>
          <w:rStyle w:val="Appelnotedebasdep"/>
          <w:lang w:eastAsia="fr-CA"/>
        </w:rPr>
        <w:footnoteReference w:id="71"/>
      </w:r>
      <w:r w:rsidRPr="00B969D5">
        <w:rPr>
          <w:lang w:eastAsia="fr-CA"/>
        </w:rPr>
        <w:t xml:space="preserve">, Giroux </w:t>
      </w:r>
      <w:r w:rsidR="004C5FB0">
        <w:rPr>
          <w:lang w:eastAsia="fr-CA"/>
        </w:rPr>
        <w:t>est</w:t>
      </w:r>
      <w:r w:rsidRPr="00B969D5">
        <w:rPr>
          <w:lang w:eastAsia="fr-CA"/>
        </w:rPr>
        <w:t xml:space="preserve"> confronté à cette réalité</w:t>
      </w:r>
      <w:r w:rsidR="00FF6A85">
        <w:rPr>
          <w:lang w:eastAsia="fr-CA"/>
        </w:rPr>
        <w:t> </w:t>
      </w:r>
      <w:r w:rsidRPr="00B969D5">
        <w:rPr>
          <w:lang w:eastAsia="fr-CA"/>
        </w:rPr>
        <w:t>:</w:t>
      </w:r>
    </w:p>
    <w:p w14:paraId="2EF9415D" w14:textId="77777777" w:rsidR="00BD7188" w:rsidRPr="00AF253F" w:rsidRDefault="00730A01" w:rsidP="00252A4B">
      <w:pPr>
        <w:pStyle w:val="Citationenretrait"/>
        <w:spacing w:after="0"/>
        <w:ind w:right="539"/>
        <w:rPr>
          <w:i/>
          <w:iCs/>
          <w:lang w:eastAsia="fr-CA"/>
        </w:rPr>
      </w:pPr>
      <w:r w:rsidRPr="00A32185">
        <w:rPr>
          <w:lang w:eastAsia="fr-CA"/>
        </w:rPr>
        <w:t>Q</w:t>
      </w:r>
      <w:r w:rsidR="00A32185">
        <w:rPr>
          <w:i/>
          <w:iCs/>
          <w:lang w:eastAsia="fr-CA"/>
        </w:rPr>
        <w:t> :</w:t>
      </w:r>
      <w:r w:rsidRPr="00AF253F">
        <w:rPr>
          <w:i/>
          <w:iCs/>
          <w:lang w:eastAsia="fr-CA"/>
        </w:rPr>
        <w:t xml:space="preserve"> Si l’immeuble est hypothéqué au bouchon, il vaut pas mal moins que la valeur de son… de l’immeuble?</w:t>
      </w:r>
    </w:p>
    <w:p w14:paraId="2B4D4A01" w14:textId="77777777" w:rsidR="00BD7188" w:rsidRPr="00AF253F" w:rsidRDefault="00730A01" w:rsidP="00252A4B">
      <w:pPr>
        <w:pStyle w:val="Citationenretrait"/>
        <w:spacing w:after="0"/>
        <w:ind w:right="539"/>
        <w:rPr>
          <w:i/>
          <w:iCs/>
          <w:lang w:eastAsia="fr-CA"/>
        </w:rPr>
      </w:pPr>
      <w:r w:rsidRPr="00A32185">
        <w:rPr>
          <w:lang w:eastAsia="fr-CA"/>
        </w:rPr>
        <w:t>R</w:t>
      </w:r>
      <w:r w:rsidR="00A32185">
        <w:rPr>
          <w:lang w:eastAsia="fr-CA"/>
        </w:rPr>
        <w:t> :</w:t>
      </w:r>
      <w:r w:rsidRPr="00AF253F">
        <w:rPr>
          <w:i/>
          <w:iCs/>
          <w:lang w:eastAsia="fr-CA"/>
        </w:rPr>
        <w:t xml:space="preserve"> Nécessairement. </w:t>
      </w:r>
    </w:p>
    <w:p w14:paraId="4F1CCB33" w14:textId="77777777" w:rsidR="00802EBA" w:rsidRDefault="00730A01" w:rsidP="00F06B11">
      <w:pPr>
        <w:pStyle w:val="Paragraphe"/>
        <w:tabs>
          <w:tab w:val="clear" w:pos="786"/>
        </w:tabs>
        <w:spacing w:before="240" w:line="240" w:lineRule="auto"/>
        <w:ind w:left="0"/>
        <w:rPr>
          <w:lang w:eastAsia="fr-CA"/>
        </w:rPr>
      </w:pPr>
      <w:r w:rsidRPr="00D05662">
        <w:rPr>
          <w:lang w:eastAsia="fr-CA"/>
        </w:rPr>
        <w:t>Giroux omet aussi de mentionner, dans ses déclarations sous serment sur actifs</w:t>
      </w:r>
      <w:r w:rsidR="00AF253F">
        <w:rPr>
          <w:lang w:eastAsia="fr-CA"/>
        </w:rPr>
        <w:t xml:space="preserve"> déposés à la demande des juges Pilote et Bouchard</w:t>
      </w:r>
      <w:r w:rsidRPr="00D05662">
        <w:rPr>
          <w:lang w:eastAsia="fr-CA"/>
        </w:rPr>
        <w:t>, qu’il est encore copropriétaire d’un deuxième condo en Floride</w:t>
      </w:r>
      <w:r>
        <w:rPr>
          <w:rStyle w:val="Appelnotedebasdep"/>
          <w:rFonts w:cs="Arial"/>
          <w:szCs w:val="24"/>
          <w:lang w:eastAsia="fr-CA"/>
        </w:rPr>
        <w:footnoteReference w:id="72"/>
      </w:r>
      <w:r w:rsidRPr="00D05662">
        <w:rPr>
          <w:lang w:eastAsia="fr-CA"/>
        </w:rPr>
        <w:t xml:space="preserve"> et que la société 6646 est</w:t>
      </w:r>
      <w:r w:rsidR="004C5FB0">
        <w:rPr>
          <w:lang w:eastAsia="fr-CA"/>
        </w:rPr>
        <w:t xml:space="preserve"> (</w:t>
      </w:r>
      <w:r w:rsidRPr="00D05662">
        <w:rPr>
          <w:lang w:eastAsia="fr-CA"/>
        </w:rPr>
        <w:t>encore en date d’aujourd’hui</w:t>
      </w:r>
      <w:r w:rsidR="004C5FB0">
        <w:rPr>
          <w:lang w:eastAsia="fr-CA"/>
        </w:rPr>
        <w:t xml:space="preserve">) </w:t>
      </w:r>
      <w:r w:rsidRPr="00D05662">
        <w:rPr>
          <w:lang w:eastAsia="fr-CA"/>
        </w:rPr>
        <w:t>actionnaire de l’entreprise Les Développements de Beauport inc., laquelle détient une créance de</w:t>
      </w:r>
      <w:r w:rsidR="00FF6A85">
        <w:rPr>
          <w:lang w:eastAsia="fr-CA"/>
        </w:rPr>
        <w:t> </w:t>
      </w:r>
      <w:r w:rsidRPr="00D05662">
        <w:rPr>
          <w:lang w:eastAsia="fr-CA"/>
        </w:rPr>
        <w:t>63</w:t>
      </w:r>
      <w:r>
        <w:rPr>
          <w:lang w:eastAsia="fr-CA"/>
        </w:rPr>
        <w:t> </w:t>
      </w:r>
      <w:r w:rsidRPr="00D05662">
        <w:rPr>
          <w:lang w:eastAsia="fr-CA"/>
        </w:rPr>
        <w:t>000</w:t>
      </w:r>
      <w:r>
        <w:rPr>
          <w:lang w:eastAsia="fr-CA"/>
        </w:rPr>
        <w:t> </w:t>
      </w:r>
      <w:r w:rsidRPr="00D05662">
        <w:rPr>
          <w:lang w:eastAsia="fr-CA"/>
        </w:rPr>
        <w:t>$ contre 6646 et produit chaque année des états financiers et rapports d’impôt</w:t>
      </w:r>
      <w:r>
        <w:rPr>
          <w:rStyle w:val="Appelnotedebasdep"/>
          <w:lang w:eastAsia="fr-CA"/>
        </w:rPr>
        <w:footnoteReference w:id="73"/>
      </w:r>
      <w:r w:rsidR="00FF6A85">
        <w:rPr>
          <w:lang w:eastAsia="fr-CA"/>
        </w:rPr>
        <w:t>.</w:t>
      </w:r>
      <w:r w:rsidRPr="00D05662">
        <w:rPr>
          <w:lang w:eastAsia="fr-CA"/>
        </w:rPr>
        <w:t xml:space="preserve"> </w:t>
      </w:r>
    </w:p>
    <w:p w14:paraId="1EAC3E45" w14:textId="77777777" w:rsidR="00BD7188" w:rsidRDefault="00730A01" w:rsidP="00F06B11">
      <w:pPr>
        <w:pStyle w:val="Paragraphe"/>
        <w:tabs>
          <w:tab w:val="clear" w:pos="786"/>
        </w:tabs>
        <w:spacing w:before="240" w:line="240" w:lineRule="auto"/>
        <w:ind w:left="0"/>
        <w:rPr>
          <w:lang w:eastAsia="fr-CA"/>
        </w:rPr>
      </w:pPr>
      <w:r w:rsidRPr="00D05662">
        <w:rPr>
          <w:lang w:eastAsia="fr-CA"/>
        </w:rPr>
        <w:t xml:space="preserve">Il </w:t>
      </w:r>
      <w:r w:rsidR="004C5FB0">
        <w:rPr>
          <w:lang w:eastAsia="fr-CA"/>
        </w:rPr>
        <w:t>y a lieu de souligner, à ce stade, que selon la jurisprudence constante en la matière, ce genre d’omissions constitue des</w:t>
      </w:r>
      <w:r w:rsidRPr="00D05662">
        <w:rPr>
          <w:lang w:eastAsia="fr-CA"/>
        </w:rPr>
        <w:t xml:space="preserve"> manquements grave</w:t>
      </w:r>
      <w:r>
        <w:rPr>
          <w:rStyle w:val="Appelnotedebasdep"/>
          <w:lang w:eastAsia="fr-CA"/>
        </w:rPr>
        <w:footnoteReference w:id="74"/>
      </w:r>
      <w:r w:rsidRPr="00D05662">
        <w:rPr>
          <w:lang w:eastAsia="fr-CA"/>
        </w:rPr>
        <w:t>.</w:t>
      </w:r>
    </w:p>
    <w:p w14:paraId="50DD8F45" w14:textId="77777777" w:rsidR="00F82F93" w:rsidRPr="00BE2122" w:rsidRDefault="00730A01" w:rsidP="00443B59">
      <w:pPr>
        <w:pStyle w:val="Titre3"/>
        <w:numPr>
          <w:ilvl w:val="0"/>
          <w:numId w:val="110"/>
        </w:numPr>
        <w:rPr>
          <w:rFonts w:cs="Arial"/>
          <w:b/>
          <w:bCs/>
          <w:szCs w:val="24"/>
        </w:rPr>
      </w:pPr>
      <w:r w:rsidRPr="00BE2122">
        <w:rPr>
          <w:rFonts w:cs="Arial"/>
          <w:b/>
          <w:bCs/>
          <w:szCs w:val="24"/>
        </w:rPr>
        <w:t>Les antécédents judiciaires dont il ne se souvient pas</w:t>
      </w:r>
    </w:p>
    <w:p w14:paraId="5ECE185D" w14:textId="77777777" w:rsidR="00F82F93" w:rsidRPr="00617232" w:rsidRDefault="00730A01" w:rsidP="0098012F">
      <w:pPr>
        <w:pStyle w:val="Paragraphe"/>
        <w:numPr>
          <w:ilvl w:val="0"/>
          <w:numId w:val="0"/>
        </w:numPr>
        <w:spacing w:line="240" w:lineRule="auto"/>
        <w:rPr>
          <w:rFonts w:cs="Arial"/>
          <w:i/>
          <w:iCs/>
          <w:szCs w:val="24"/>
        </w:rPr>
      </w:pPr>
      <w:r w:rsidRPr="00617232">
        <w:rPr>
          <w:rFonts w:cs="Arial"/>
          <w:i/>
          <w:iCs/>
          <w:szCs w:val="24"/>
        </w:rPr>
        <w:t>La cause Bédard c. Giroux</w:t>
      </w:r>
    </w:p>
    <w:p w14:paraId="2389A0DF" w14:textId="77777777" w:rsidR="00F82F93" w:rsidRPr="00BE2122" w:rsidRDefault="00730A01" w:rsidP="0098012F">
      <w:pPr>
        <w:pStyle w:val="Paragraphe"/>
        <w:tabs>
          <w:tab w:val="clear" w:pos="786"/>
        </w:tabs>
        <w:spacing w:line="240" w:lineRule="auto"/>
        <w:ind w:left="0"/>
        <w:rPr>
          <w:rFonts w:eastAsia="Aptos" w:cs="Arial"/>
          <w:kern w:val="2"/>
          <w:szCs w:val="24"/>
          <w:lang w:eastAsia="en-US"/>
        </w:rPr>
      </w:pPr>
      <w:r w:rsidRPr="00BE2122">
        <w:rPr>
          <w:rFonts w:cs="Arial"/>
          <w:szCs w:val="24"/>
        </w:rPr>
        <w:t>Giroux nie se rappeler de s’être déjà fait reprocher par la Cour d’avoir usé de finasseries</w:t>
      </w:r>
      <w:r>
        <w:rPr>
          <w:rStyle w:val="Appelnotedebasdep"/>
          <w:rFonts w:cs="Arial"/>
          <w:szCs w:val="24"/>
        </w:rPr>
        <w:footnoteReference w:id="75"/>
      </w:r>
      <w:r w:rsidRPr="00BE2122">
        <w:rPr>
          <w:rFonts w:cs="Arial"/>
          <w:szCs w:val="24"/>
        </w:rPr>
        <w:t>. Pourtant, il s’agit d’un reproche important</w:t>
      </w:r>
      <w:r w:rsidRPr="00BE2122">
        <w:rPr>
          <w:rFonts w:eastAsia="Aptos" w:cs="Arial"/>
          <w:kern w:val="2"/>
          <w:szCs w:val="24"/>
          <w:lang w:eastAsia="en-US"/>
        </w:rPr>
        <w:t xml:space="preserve"> qui avait été formulé à son endroit par le regretté juge Gérald Boisvert de notre Cour.</w:t>
      </w:r>
    </w:p>
    <w:p w14:paraId="71ED52DD" w14:textId="77777777" w:rsidR="00F82F93" w:rsidRPr="00BE2122" w:rsidRDefault="00730A01" w:rsidP="0098012F">
      <w:pPr>
        <w:pStyle w:val="Paragraphe"/>
        <w:tabs>
          <w:tab w:val="clear" w:pos="786"/>
        </w:tabs>
        <w:spacing w:line="240" w:lineRule="auto"/>
        <w:ind w:left="0"/>
        <w:rPr>
          <w:rFonts w:cs="Arial"/>
          <w:szCs w:val="24"/>
        </w:rPr>
      </w:pPr>
      <w:r w:rsidRPr="00BE2122">
        <w:rPr>
          <w:rFonts w:eastAsia="Aptos" w:cs="Arial"/>
          <w:kern w:val="2"/>
          <w:szCs w:val="24"/>
          <w:lang w:eastAsia="en-US"/>
        </w:rPr>
        <w:t>Le contexte était le suivant : À la fin des années</w:t>
      </w:r>
      <w:r w:rsidR="00FF6A85">
        <w:rPr>
          <w:rFonts w:eastAsia="Aptos" w:cs="Arial"/>
          <w:kern w:val="2"/>
          <w:szCs w:val="24"/>
          <w:lang w:eastAsia="en-US"/>
        </w:rPr>
        <w:t> </w:t>
      </w:r>
      <w:r w:rsidRPr="00BE2122">
        <w:rPr>
          <w:rFonts w:eastAsia="Aptos" w:cs="Arial"/>
          <w:kern w:val="2"/>
          <w:szCs w:val="24"/>
          <w:lang w:eastAsia="en-US"/>
        </w:rPr>
        <w:t xml:space="preserve">1990, Giroux a été impliqué, avec Huot, dans un litige lié à la vente de jumelés situés sur la rue Grande-Ligne à Québec. À cette époque, il agissait à titre d’arpenteur dans le cadre de transactions immobilières complexes impliquant notamment des servitudes d’Hydro-Québec. Le juge Gérald Boisvert devait trancher une question liée à la responsabilité de Giroux dans la vente de terrains affectés par une servitude non révélée adéquatement à l’acheteur. Le juge a constaté que Giroux n’avait pas pris toutes les mesures raisonnables pour faire part de la servitude à </w:t>
      </w:r>
      <w:r w:rsidR="00AF253F" w:rsidRPr="00BE2122">
        <w:rPr>
          <w:rFonts w:eastAsia="Aptos" w:cs="Arial"/>
          <w:kern w:val="2"/>
          <w:szCs w:val="24"/>
          <w:lang w:eastAsia="en-US"/>
        </w:rPr>
        <w:t>M</w:t>
      </w:r>
      <w:r w:rsidR="00AF253F" w:rsidRPr="00FF6A85">
        <w:rPr>
          <w:rFonts w:eastAsia="Aptos" w:cs="Arial"/>
          <w:kern w:val="2"/>
          <w:szCs w:val="24"/>
          <w:vertAlign w:val="superscript"/>
          <w:lang w:eastAsia="en-US"/>
        </w:rPr>
        <w:t>e</w:t>
      </w:r>
      <w:r w:rsidR="00FF6A85">
        <w:rPr>
          <w:rFonts w:eastAsia="Aptos" w:cs="Arial"/>
          <w:kern w:val="2"/>
          <w:szCs w:val="24"/>
          <w:lang w:eastAsia="en-US"/>
        </w:rPr>
        <w:t> </w:t>
      </w:r>
      <w:r w:rsidR="00AF253F" w:rsidRPr="00BE2122">
        <w:rPr>
          <w:rFonts w:eastAsia="Aptos" w:cs="Arial"/>
          <w:kern w:val="2"/>
          <w:szCs w:val="24"/>
          <w:lang w:eastAsia="en-US"/>
        </w:rPr>
        <w:t>Brochu</w:t>
      </w:r>
      <w:r w:rsidR="00AF253F">
        <w:rPr>
          <w:rFonts w:eastAsia="Aptos" w:cs="Arial"/>
          <w:kern w:val="2"/>
          <w:szCs w:val="24"/>
          <w:lang w:eastAsia="en-US"/>
        </w:rPr>
        <w:t xml:space="preserve">, </w:t>
      </w:r>
      <w:r w:rsidRPr="00BE2122">
        <w:rPr>
          <w:rFonts w:eastAsia="Aptos" w:cs="Arial"/>
          <w:kern w:val="2"/>
          <w:szCs w:val="24"/>
          <w:lang w:eastAsia="en-US"/>
        </w:rPr>
        <w:t xml:space="preserve">la notaire responsable de rédiger les contrats. Selon le </w:t>
      </w:r>
      <w:r>
        <w:rPr>
          <w:rFonts w:eastAsia="Aptos" w:cs="Arial"/>
          <w:kern w:val="2"/>
          <w:szCs w:val="24"/>
          <w:lang w:eastAsia="en-US"/>
        </w:rPr>
        <w:t>T</w:t>
      </w:r>
      <w:r w:rsidRPr="00BE2122">
        <w:rPr>
          <w:rFonts w:eastAsia="Aptos" w:cs="Arial"/>
          <w:kern w:val="2"/>
          <w:szCs w:val="24"/>
          <w:lang w:eastAsia="en-US"/>
        </w:rPr>
        <w:t xml:space="preserve">ribunal, Giroux s’était contenté d’en parler à </w:t>
      </w:r>
      <w:r w:rsidR="004C5FB0">
        <w:rPr>
          <w:rFonts w:eastAsia="Aptos" w:cs="Arial"/>
          <w:kern w:val="2"/>
          <w:szCs w:val="24"/>
          <w:lang w:eastAsia="en-US"/>
        </w:rPr>
        <w:t>St</w:t>
      </w:r>
      <w:r w:rsidR="00C52C65">
        <w:rPr>
          <w:rFonts w:eastAsia="Aptos" w:cs="Arial"/>
          <w:kern w:val="2"/>
          <w:szCs w:val="24"/>
          <w:lang w:eastAsia="en-US"/>
        </w:rPr>
        <w:t xml:space="preserve">éphan </w:t>
      </w:r>
      <w:r w:rsidRPr="00BE2122">
        <w:rPr>
          <w:rFonts w:eastAsia="Aptos" w:cs="Arial"/>
          <w:kern w:val="2"/>
          <w:szCs w:val="24"/>
          <w:lang w:eastAsia="en-US"/>
        </w:rPr>
        <w:t>Huot, son associé, sans s’assurer que l’information soit correctement relayée à M</w:t>
      </w:r>
      <w:r w:rsidRPr="00FF6A85">
        <w:rPr>
          <w:rFonts w:eastAsia="Aptos" w:cs="Arial"/>
          <w:kern w:val="2"/>
          <w:szCs w:val="24"/>
          <w:vertAlign w:val="superscript"/>
          <w:lang w:eastAsia="en-US"/>
        </w:rPr>
        <w:t>e</w:t>
      </w:r>
      <w:r w:rsidR="00FF6A85">
        <w:rPr>
          <w:rFonts w:eastAsia="Aptos" w:cs="Arial"/>
          <w:kern w:val="2"/>
          <w:szCs w:val="24"/>
          <w:lang w:eastAsia="en-US"/>
        </w:rPr>
        <w:t> </w:t>
      </w:r>
      <w:r w:rsidRPr="00BE2122">
        <w:rPr>
          <w:rFonts w:eastAsia="Aptos" w:cs="Arial"/>
          <w:kern w:val="2"/>
          <w:szCs w:val="24"/>
          <w:lang w:eastAsia="en-US"/>
        </w:rPr>
        <w:t>Brochu ni qu’elle figure aux contrats de vente.</w:t>
      </w:r>
    </w:p>
    <w:p w14:paraId="3890EFE8" w14:textId="77777777" w:rsidR="00F82F93" w:rsidRPr="00BE2122" w:rsidRDefault="00730A01" w:rsidP="0098012F">
      <w:pPr>
        <w:pStyle w:val="Paragraphe"/>
        <w:tabs>
          <w:tab w:val="clear" w:pos="786"/>
        </w:tabs>
        <w:spacing w:line="240" w:lineRule="auto"/>
        <w:ind w:left="0"/>
        <w:rPr>
          <w:rFonts w:cs="Arial"/>
          <w:szCs w:val="24"/>
          <w:lang w:eastAsia="fr-CA"/>
        </w:rPr>
      </w:pPr>
      <w:r w:rsidRPr="00BE2122">
        <w:rPr>
          <w:rFonts w:cs="Arial"/>
          <w:szCs w:val="24"/>
          <w:lang w:eastAsia="fr-CA"/>
        </w:rPr>
        <w:t xml:space="preserve">Le juge Boisvert a reproché à Giroux d’avoir fait preuve </w:t>
      </w:r>
      <w:r w:rsidRPr="00C52C65">
        <w:rPr>
          <w:rFonts w:cs="Arial"/>
          <w:szCs w:val="24"/>
          <w:lang w:eastAsia="fr-CA"/>
        </w:rPr>
        <w:t xml:space="preserve">de </w:t>
      </w:r>
      <w:r w:rsidR="00910E90" w:rsidRPr="00C52C65">
        <w:rPr>
          <w:rFonts w:cs="Arial"/>
          <w:szCs w:val="24"/>
          <w:lang w:eastAsia="fr-CA"/>
        </w:rPr>
        <w:t>« </w:t>
      </w:r>
      <w:r w:rsidRPr="00C52C65">
        <w:rPr>
          <w:rFonts w:cs="Arial"/>
          <w:szCs w:val="24"/>
          <w:lang w:eastAsia="fr-CA"/>
        </w:rPr>
        <w:t>finasserie</w:t>
      </w:r>
      <w:r w:rsidR="00910E90" w:rsidRPr="00C52C65">
        <w:rPr>
          <w:rFonts w:cs="Arial"/>
          <w:szCs w:val="24"/>
          <w:lang w:eastAsia="fr-CA"/>
        </w:rPr>
        <w:t> »</w:t>
      </w:r>
      <w:r w:rsidRPr="00C52C65">
        <w:rPr>
          <w:rFonts w:cs="Arial"/>
          <w:szCs w:val="24"/>
          <w:lang w:eastAsia="fr-CA"/>
        </w:rPr>
        <w:t xml:space="preserve">, </w:t>
      </w:r>
      <w:r w:rsidRPr="00BE2122">
        <w:rPr>
          <w:rFonts w:cs="Arial"/>
          <w:szCs w:val="24"/>
          <w:lang w:eastAsia="fr-CA"/>
        </w:rPr>
        <w:t xml:space="preserve">un terme rarement employé, mais qui traduit une forme de manœuvre subtile, presque rusée, destinée à </w:t>
      </w:r>
      <w:r w:rsidR="00AF253F">
        <w:rPr>
          <w:rFonts w:cs="Arial"/>
          <w:szCs w:val="24"/>
          <w:lang w:eastAsia="fr-CA"/>
        </w:rPr>
        <w:t>tromper</w:t>
      </w:r>
      <w:r>
        <w:rPr>
          <w:rStyle w:val="Appelnotedebasdep"/>
          <w:rFonts w:cs="Arial"/>
          <w:szCs w:val="24"/>
          <w:lang w:eastAsia="fr-CA"/>
        </w:rPr>
        <w:footnoteReference w:id="76"/>
      </w:r>
      <w:r w:rsidRPr="00BE2122">
        <w:rPr>
          <w:rFonts w:cs="Arial"/>
          <w:szCs w:val="24"/>
          <w:lang w:eastAsia="fr-CA"/>
        </w:rPr>
        <w:t>. Plus précisément, le juge a écrit :</w:t>
      </w:r>
    </w:p>
    <w:p w14:paraId="2B50686E" w14:textId="77777777" w:rsidR="00F82F93" w:rsidRPr="00D30C9E" w:rsidRDefault="00730A01" w:rsidP="00252A4B">
      <w:pPr>
        <w:pStyle w:val="Citationenretrait"/>
        <w:spacing w:after="0"/>
        <w:ind w:right="539"/>
      </w:pPr>
      <w:r w:rsidRPr="00D30C9E">
        <w:t> Je suis persuadé, malgré les tentatives de finasserie de l’arpenteur, qu’il savait que M</w:t>
      </w:r>
      <w:r w:rsidRPr="00FF6A85">
        <w:rPr>
          <w:vertAlign w:val="superscript"/>
        </w:rPr>
        <w:t>e</w:t>
      </w:r>
      <w:r w:rsidRPr="00D30C9E">
        <w:t> Brochu s’occupait de rédiger les contrats de vente des jumelés de la Grande-Ligne. Il s’est contenté d’informer Huot de l’existence de la servitude d’Hydro-Québec. Ni l’arpenteur, ni Huot n’en ont informé M</w:t>
      </w:r>
      <w:r w:rsidRPr="00FF6A85">
        <w:rPr>
          <w:vertAlign w:val="superscript"/>
        </w:rPr>
        <w:t>e</w:t>
      </w:r>
      <w:r w:rsidR="00FF6A85">
        <w:t> </w:t>
      </w:r>
      <w:r w:rsidRPr="00D30C9E">
        <w:t xml:space="preserve">Brochu. </w:t>
      </w:r>
    </w:p>
    <w:p w14:paraId="46C312EF" w14:textId="77777777" w:rsidR="00F82F93" w:rsidRPr="00D30C9E" w:rsidRDefault="00730A01" w:rsidP="00252A4B">
      <w:pPr>
        <w:pStyle w:val="Citationenretrait"/>
        <w:spacing w:after="0"/>
        <w:ind w:right="539"/>
      </w:pPr>
      <w:r w:rsidRPr="00D30C9E">
        <w:t xml:space="preserve">[...] </w:t>
      </w:r>
    </w:p>
    <w:p w14:paraId="44BA45E6" w14:textId="77777777" w:rsidR="00F82F93" w:rsidRPr="00D30C9E" w:rsidRDefault="00730A01" w:rsidP="00252A4B">
      <w:pPr>
        <w:pStyle w:val="Citationenretrait"/>
        <w:spacing w:after="0"/>
        <w:ind w:right="539"/>
      </w:pPr>
      <w:r w:rsidRPr="00D30C9E">
        <w:t>Il s’est faiblement défendu en disant que c’était à Huot de faire le nécessaire</w:t>
      </w:r>
      <w:r w:rsidRPr="00BD7188">
        <w:rPr>
          <w:vertAlign w:val="superscript"/>
        </w:rPr>
        <w:t> </w:t>
      </w:r>
      <w:r>
        <w:rPr>
          <w:rStyle w:val="Appelnotedebasdep"/>
        </w:rPr>
        <w:footnoteReference w:id="77"/>
      </w:r>
      <w:r w:rsidR="00FF6A85">
        <w:t>.</w:t>
      </w:r>
      <w:r w:rsidRPr="00D30C9E">
        <w:t xml:space="preserve"> </w:t>
      </w:r>
    </w:p>
    <w:p w14:paraId="391851AF" w14:textId="77777777" w:rsidR="005170D4" w:rsidRDefault="00730A01" w:rsidP="0098012F">
      <w:pPr>
        <w:pStyle w:val="Paragraphe"/>
        <w:tabs>
          <w:tab w:val="clear" w:pos="786"/>
        </w:tabs>
        <w:spacing w:line="240" w:lineRule="auto"/>
        <w:ind w:left="0"/>
        <w:rPr>
          <w:rFonts w:cs="Arial"/>
          <w:szCs w:val="24"/>
          <w:lang w:eastAsia="fr-CA"/>
        </w:rPr>
      </w:pPr>
      <w:r>
        <w:rPr>
          <w:rFonts w:cs="Arial"/>
          <w:szCs w:val="24"/>
          <w:lang w:eastAsia="fr-CA"/>
        </w:rPr>
        <w:t xml:space="preserve">Il apparaît surprenant qu’un professionnel comme Giroux ne se rappelle pas d’un tel reproche, même si cela remonte </w:t>
      </w:r>
      <w:r w:rsidR="006D6CC4">
        <w:rPr>
          <w:rFonts w:cs="Arial"/>
          <w:szCs w:val="24"/>
          <w:lang w:eastAsia="fr-CA"/>
        </w:rPr>
        <w:t xml:space="preserve">à </w:t>
      </w:r>
      <w:r>
        <w:rPr>
          <w:rFonts w:cs="Arial"/>
          <w:szCs w:val="24"/>
          <w:lang w:eastAsia="fr-CA"/>
        </w:rPr>
        <w:t>plusieurs années.</w:t>
      </w:r>
    </w:p>
    <w:p w14:paraId="75028B33" w14:textId="77777777" w:rsidR="00F82F93" w:rsidRPr="00BE2122" w:rsidRDefault="00730A01" w:rsidP="0098012F">
      <w:pPr>
        <w:pStyle w:val="Paragraphe"/>
        <w:tabs>
          <w:tab w:val="clear" w:pos="786"/>
        </w:tabs>
        <w:spacing w:line="240" w:lineRule="auto"/>
        <w:ind w:left="0"/>
        <w:rPr>
          <w:rFonts w:cs="Arial"/>
          <w:szCs w:val="24"/>
          <w:lang w:eastAsia="fr-CA"/>
        </w:rPr>
      </w:pPr>
      <w:r w:rsidRPr="00BE2122">
        <w:rPr>
          <w:rFonts w:cs="Arial"/>
          <w:szCs w:val="24"/>
          <w:lang w:eastAsia="fr-CA"/>
        </w:rPr>
        <w:t xml:space="preserve">Giroux a aussi été confronté à ses </w:t>
      </w:r>
      <w:r w:rsidRPr="0044005E">
        <w:rPr>
          <w:rFonts w:cs="Arial"/>
          <w:szCs w:val="24"/>
          <w:lang w:eastAsia="fr-CA"/>
        </w:rPr>
        <w:t>antécédents disciplinaires</w:t>
      </w:r>
      <w:r w:rsidRPr="00BE2122">
        <w:rPr>
          <w:rFonts w:cs="Arial"/>
          <w:szCs w:val="24"/>
          <w:lang w:eastAsia="fr-CA"/>
        </w:rPr>
        <w:t xml:space="preserve"> pour avoir mis en place un système illégal dans le but de s’enrichir, dans les années</w:t>
      </w:r>
      <w:r w:rsidR="00FF6A85">
        <w:rPr>
          <w:rFonts w:cs="Arial"/>
          <w:szCs w:val="24"/>
          <w:lang w:eastAsia="fr-CA"/>
        </w:rPr>
        <w:t> </w:t>
      </w:r>
      <w:r w:rsidRPr="00BE2122">
        <w:rPr>
          <w:rFonts w:cs="Arial"/>
          <w:szCs w:val="24"/>
          <w:lang w:eastAsia="fr-CA"/>
        </w:rPr>
        <w:t>1990. Lors de son interrogatoire</w:t>
      </w:r>
      <w:r>
        <w:rPr>
          <w:rStyle w:val="Appelnotedebasdep"/>
          <w:rFonts w:cs="Arial"/>
          <w:szCs w:val="24"/>
          <w:lang w:eastAsia="fr-CA"/>
        </w:rPr>
        <w:footnoteReference w:id="78"/>
      </w:r>
      <w:r>
        <w:rPr>
          <w:rFonts w:cs="Arial"/>
          <w:szCs w:val="24"/>
          <w:lang w:eastAsia="fr-CA"/>
        </w:rPr>
        <w:t xml:space="preserve">, </w:t>
      </w:r>
      <w:r w:rsidRPr="00BE2122">
        <w:rPr>
          <w:rFonts w:cs="Arial"/>
          <w:szCs w:val="24"/>
          <w:lang w:eastAsia="fr-CA"/>
        </w:rPr>
        <w:t>l’échange est le suivant</w:t>
      </w:r>
      <w:r w:rsidR="00FF6A85">
        <w:rPr>
          <w:rFonts w:cs="Arial"/>
          <w:szCs w:val="24"/>
          <w:lang w:eastAsia="fr-CA"/>
        </w:rPr>
        <w:t> </w:t>
      </w:r>
      <w:r w:rsidRPr="00BE2122">
        <w:rPr>
          <w:rFonts w:cs="Arial"/>
          <w:szCs w:val="24"/>
          <w:lang w:eastAsia="fr-CA"/>
        </w:rPr>
        <w:t>:</w:t>
      </w:r>
    </w:p>
    <w:p w14:paraId="7DA3218E" w14:textId="77777777" w:rsidR="00F82F93" w:rsidRPr="00FA0E34" w:rsidRDefault="00730A01" w:rsidP="0098012F">
      <w:pPr>
        <w:pStyle w:val="Citationenretrait"/>
        <w:spacing w:after="0"/>
        <w:ind w:right="0"/>
        <w:rPr>
          <w:i/>
          <w:iCs/>
        </w:rPr>
      </w:pPr>
      <w:r w:rsidRPr="00950A67">
        <w:t>Q</w:t>
      </w:r>
      <w:r w:rsidR="00950A67">
        <w:t> </w:t>
      </w:r>
      <w:r w:rsidR="00950A67" w:rsidRPr="00950A67">
        <w:t>:</w:t>
      </w:r>
      <w:r w:rsidRPr="00FA0E34">
        <w:rPr>
          <w:i/>
          <w:iCs/>
        </w:rPr>
        <w:t xml:space="preserve"> Alors, je vais vous suggérer d'autre chose, Monsieur</w:t>
      </w:r>
      <w:r w:rsidR="00FF6A85">
        <w:rPr>
          <w:i/>
          <w:iCs/>
        </w:rPr>
        <w:t> </w:t>
      </w:r>
      <w:r w:rsidRPr="00FA0E34">
        <w:rPr>
          <w:i/>
          <w:iCs/>
        </w:rPr>
        <w:t xml:space="preserve">: est-ce que – dans votre vie, est-ce que vous avez déjà mis sur pied un système illégal pour faire plus d'argent? </w:t>
      </w:r>
    </w:p>
    <w:p w14:paraId="764B3281" w14:textId="77777777" w:rsidR="00F82F93" w:rsidRPr="00FA0E34" w:rsidRDefault="00730A01" w:rsidP="0098012F">
      <w:pPr>
        <w:pStyle w:val="Citationenretrait"/>
        <w:spacing w:after="0"/>
        <w:ind w:right="0"/>
        <w:rPr>
          <w:i/>
          <w:iCs/>
        </w:rPr>
      </w:pPr>
      <w:r w:rsidRPr="00950A67">
        <w:t>R</w:t>
      </w:r>
      <w:r w:rsidR="00950A67">
        <w:t> </w:t>
      </w:r>
      <w:r w:rsidR="00950A67" w:rsidRPr="00950A67">
        <w:t>:</w:t>
      </w:r>
      <w:r w:rsidRPr="00FA0E34">
        <w:rPr>
          <w:i/>
          <w:iCs/>
        </w:rPr>
        <w:t xml:space="preserve"> Non.</w:t>
      </w:r>
    </w:p>
    <w:p w14:paraId="3DDD6AB0" w14:textId="77777777" w:rsidR="00F82F93" w:rsidRPr="00FA0E34" w:rsidRDefault="00730A01" w:rsidP="0098012F">
      <w:pPr>
        <w:pStyle w:val="Citationenretrait"/>
        <w:spacing w:after="0"/>
        <w:ind w:right="0"/>
        <w:rPr>
          <w:i/>
          <w:iCs/>
        </w:rPr>
      </w:pPr>
      <w:r w:rsidRPr="00950A67">
        <w:t>Q</w:t>
      </w:r>
      <w:r w:rsidR="00950A67" w:rsidRPr="00950A67">
        <w:t> :</w:t>
      </w:r>
      <w:r w:rsidRPr="00FA0E34">
        <w:rPr>
          <w:i/>
          <w:iCs/>
        </w:rPr>
        <w:t xml:space="preserve"> Vous n'avez jamais fait ça?</w:t>
      </w:r>
    </w:p>
    <w:p w14:paraId="7252A419" w14:textId="77777777" w:rsidR="00F82F93" w:rsidRPr="00FA0E34" w:rsidRDefault="00730A01" w:rsidP="0098012F">
      <w:pPr>
        <w:pStyle w:val="Citationenretrait"/>
        <w:spacing w:after="0"/>
        <w:ind w:right="0"/>
        <w:rPr>
          <w:i/>
          <w:iCs/>
        </w:rPr>
      </w:pPr>
      <w:r w:rsidRPr="00950A67">
        <w:t>R</w:t>
      </w:r>
      <w:r w:rsidR="00950A67">
        <w:t> :</w:t>
      </w:r>
      <w:r w:rsidRPr="00FA0E34">
        <w:rPr>
          <w:i/>
          <w:iCs/>
        </w:rPr>
        <w:t xml:space="preserve"> Aucunement!</w:t>
      </w:r>
    </w:p>
    <w:p w14:paraId="676E3BD4" w14:textId="77777777" w:rsidR="00F82F93" w:rsidRPr="00BE2122" w:rsidRDefault="00730A01" w:rsidP="0098012F">
      <w:pPr>
        <w:pStyle w:val="Paragraphe"/>
        <w:tabs>
          <w:tab w:val="clear" w:pos="786"/>
        </w:tabs>
        <w:spacing w:before="240" w:line="240" w:lineRule="auto"/>
        <w:ind w:left="0"/>
        <w:rPr>
          <w:rFonts w:cs="Arial"/>
          <w:szCs w:val="24"/>
          <w:lang w:eastAsia="fr-CA"/>
        </w:rPr>
      </w:pPr>
      <w:r w:rsidRPr="00BE2122">
        <w:rPr>
          <w:rFonts w:cs="Arial"/>
          <w:szCs w:val="24"/>
          <w:lang w:eastAsia="fr-CA"/>
        </w:rPr>
        <w:t xml:space="preserve">Pourtant, la décision </w:t>
      </w:r>
      <w:r w:rsidR="00FA0E34">
        <w:rPr>
          <w:rFonts w:cs="Arial"/>
          <w:szCs w:val="24"/>
          <w:lang w:eastAsia="fr-CA"/>
        </w:rPr>
        <w:t xml:space="preserve">rendue </w:t>
      </w:r>
      <w:r w:rsidR="006D6CC4">
        <w:rPr>
          <w:rFonts w:cs="Arial"/>
          <w:szCs w:val="24"/>
          <w:lang w:eastAsia="fr-CA"/>
        </w:rPr>
        <w:t xml:space="preserve">par le </w:t>
      </w:r>
      <w:r w:rsidR="007535EA">
        <w:rPr>
          <w:rFonts w:cs="Arial"/>
          <w:szCs w:val="24"/>
          <w:lang w:eastAsia="fr-CA"/>
        </w:rPr>
        <w:t>c</w:t>
      </w:r>
      <w:r w:rsidR="006D6CC4">
        <w:rPr>
          <w:rFonts w:cs="Arial"/>
          <w:szCs w:val="24"/>
          <w:lang w:eastAsia="fr-CA"/>
        </w:rPr>
        <w:t xml:space="preserve">omité de discipline de l’Ordre dans arpenteurs-géomètres du Québec </w:t>
      </w:r>
      <w:r w:rsidR="00FA0E34">
        <w:rPr>
          <w:rFonts w:cs="Arial"/>
          <w:szCs w:val="24"/>
          <w:lang w:eastAsia="fr-CA"/>
        </w:rPr>
        <w:t xml:space="preserve">dans </w:t>
      </w:r>
      <w:r w:rsidR="00FA0E34" w:rsidRPr="00FA0E34">
        <w:rPr>
          <w:rFonts w:cs="Arial"/>
          <w:i/>
          <w:iCs/>
          <w:szCs w:val="24"/>
          <w:lang w:eastAsia="fr-CA"/>
        </w:rPr>
        <w:t>OAGQ</w:t>
      </w:r>
      <w:r w:rsidR="00FA0E34">
        <w:rPr>
          <w:rFonts w:cs="Arial"/>
          <w:szCs w:val="24"/>
          <w:lang w:eastAsia="fr-CA"/>
        </w:rPr>
        <w:t xml:space="preserve"> c. </w:t>
      </w:r>
      <w:r w:rsidR="00FA0E34" w:rsidRPr="00FA0E34">
        <w:rPr>
          <w:rFonts w:cs="Arial"/>
          <w:i/>
          <w:iCs/>
          <w:szCs w:val="24"/>
          <w:lang w:eastAsia="fr-CA"/>
        </w:rPr>
        <w:t>Giroux</w:t>
      </w:r>
      <w:r w:rsidR="00FA0E34">
        <w:rPr>
          <w:rFonts w:cs="Arial"/>
          <w:szCs w:val="24"/>
          <w:lang w:eastAsia="fr-CA"/>
        </w:rPr>
        <w:t xml:space="preserve"> </w:t>
      </w:r>
      <w:r w:rsidRPr="00BE2122">
        <w:rPr>
          <w:rFonts w:cs="Arial"/>
          <w:szCs w:val="24"/>
          <w:lang w:eastAsia="fr-CA"/>
        </w:rPr>
        <w:t>est sans équivoque</w:t>
      </w:r>
      <w:r>
        <w:rPr>
          <w:rStyle w:val="Appelnotedebasdep"/>
          <w:rFonts w:cs="Arial"/>
          <w:szCs w:val="24"/>
          <w:lang w:eastAsia="fr-CA"/>
        </w:rPr>
        <w:footnoteReference w:id="79"/>
      </w:r>
      <w:r w:rsidRPr="00BE2122">
        <w:rPr>
          <w:rFonts w:cs="Arial"/>
          <w:szCs w:val="24"/>
          <w:lang w:eastAsia="fr-CA"/>
        </w:rPr>
        <w:t>:</w:t>
      </w:r>
    </w:p>
    <w:p w14:paraId="0AFA31D3" w14:textId="77777777" w:rsidR="00F82F93" w:rsidRPr="00910E90" w:rsidRDefault="00730A01" w:rsidP="00252A4B">
      <w:pPr>
        <w:pStyle w:val="Citationenretrait"/>
        <w:spacing w:after="0"/>
        <w:ind w:right="539"/>
        <w:rPr>
          <w:i/>
          <w:iCs/>
        </w:rPr>
      </w:pPr>
      <w:r w:rsidRPr="00910E90">
        <w:rPr>
          <w:i/>
          <w:iCs/>
        </w:rPr>
        <w:t>Le comité est convaincu que l’intimé, M.</w:t>
      </w:r>
      <w:r w:rsidR="001835B8">
        <w:rPr>
          <w:i/>
          <w:iCs/>
        </w:rPr>
        <w:t> </w:t>
      </w:r>
      <w:r w:rsidRPr="00910E90">
        <w:rPr>
          <w:i/>
          <w:iCs/>
        </w:rPr>
        <w:t xml:space="preserve">Giroux, par l’intermédiaire de RE/MAX Le Carrefour et RE/MAX Référence a obtenu de la clientèle moyennant rémunération. </w:t>
      </w:r>
    </w:p>
    <w:p w14:paraId="3B561E28" w14:textId="77777777" w:rsidR="00F82F93" w:rsidRPr="00910E90" w:rsidRDefault="00730A01" w:rsidP="00252A4B">
      <w:pPr>
        <w:pStyle w:val="Citationenretrait"/>
        <w:spacing w:after="0"/>
        <w:ind w:right="539"/>
        <w:rPr>
          <w:i/>
          <w:iCs/>
        </w:rPr>
      </w:pPr>
      <w:r w:rsidRPr="00910E90">
        <w:rPr>
          <w:i/>
          <w:iCs/>
        </w:rPr>
        <w:t xml:space="preserve">(...) Le comité croit que la façon de procéder de l’intimé Giroux est hautement répréhensible et que l’ensemble de la profession d’arpenteur-géomètre et le public n’ont pas à subir de tels agissements de la part de l’un de ses membres. </w:t>
      </w:r>
    </w:p>
    <w:p w14:paraId="71CFA857" w14:textId="77777777" w:rsidR="00F82F93" w:rsidRPr="00910E90" w:rsidRDefault="00730A01" w:rsidP="00252A4B">
      <w:pPr>
        <w:pStyle w:val="Citationenretrait"/>
        <w:spacing w:after="0"/>
        <w:ind w:right="539"/>
        <w:rPr>
          <w:i/>
          <w:iCs/>
        </w:rPr>
      </w:pPr>
      <w:r w:rsidRPr="00910E90">
        <w:rPr>
          <w:i/>
          <w:iCs/>
        </w:rPr>
        <w:t>(...)</w:t>
      </w:r>
    </w:p>
    <w:p w14:paraId="4679FA35" w14:textId="77777777" w:rsidR="00F82F93" w:rsidRPr="00910E90" w:rsidRDefault="00730A01" w:rsidP="00252A4B">
      <w:pPr>
        <w:pStyle w:val="Citationenretrait"/>
        <w:spacing w:after="0"/>
        <w:ind w:right="539"/>
        <w:rPr>
          <w:i/>
          <w:iCs/>
        </w:rPr>
      </w:pPr>
      <w:r w:rsidRPr="00910E90">
        <w:rPr>
          <w:i/>
          <w:iCs/>
        </w:rPr>
        <w:t>À notre avis, les faits parlent par eux-mêmes et le comité a très bien cerné le « système utilisé par l’intimé ».</w:t>
      </w:r>
    </w:p>
    <w:p w14:paraId="50808C9C" w14:textId="77777777" w:rsidR="00F82F93" w:rsidRPr="006D6CC4" w:rsidRDefault="00730A01" w:rsidP="0098012F">
      <w:pPr>
        <w:pStyle w:val="Paragraphe"/>
        <w:tabs>
          <w:tab w:val="clear" w:pos="786"/>
        </w:tabs>
        <w:spacing w:before="240" w:line="240" w:lineRule="auto"/>
        <w:ind w:left="0"/>
        <w:rPr>
          <w:rFonts w:cs="Arial"/>
          <w:szCs w:val="24"/>
          <w:lang w:eastAsia="fr-CA"/>
        </w:rPr>
      </w:pPr>
      <w:r w:rsidRPr="006D6CC4">
        <w:rPr>
          <w:rFonts w:cs="Arial"/>
          <w:szCs w:val="24"/>
          <w:lang w:eastAsia="fr-CA"/>
        </w:rPr>
        <w:t xml:space="preserve">Dans </w:t>
      </w:r>
      <w:r w:rsidR="00D50712">
        <w:rPr>
          <w:rFonts w:cs="Arial"/>
          <w:szCs w:val="24"/>
          <w:lang w:eastAsia="fr-CA"/>
        </w:rPr>
        <w:t>ce</w:t>
      </w:r>
      <w:r w:rsidR="006D6CC4" w:rsidRPr="006D6CC4">
        <w:rPr>
          <w:rFonts w:cs="Arial"/>
          <w:szCs w:val="24"/>
          <w:lang w:eastAsia="fr-CA"/>
        </w:rPr>
        <w:t xml:space="preserve"> dossier disciplinaire, les membres du </w:t>
      </w:r>
      <w:r w:rsidR="007535EA">
        <w:rPr>
          <w:rFonts w:cs="Arial"/>
          <w:szCs w:val="24"/>
          <w:lang w:eastAsia="fr-CA"/>
        </w:rPr>
        <w:t>c</w:t>
      </w:r>
      <w:r w:rsidR="006D6CC4" w:rsidRPr="006D6CC4">
        <w:rPr>
          <w:rFonts w:cs="Arial"/>
          <w:szCs w:val="24"/>
          <w:lang w:eastAsia="fr-CA"/>
        </w:rPr>
        <w:t>omité de discipline s’expriment ainsi</w:t>
      </w:r>
      <w:r w:rsidR="006D6CC4" w:rsidRPr="006D6CC4">
        <w:rPr>
          <w:rStyle w:val="Appelnotedebasdep"/>
          <w:rFonts w:cs="Arial"/>
          <w:szCs w:val="24"/>
          <w:lang w:eastAsia="fr-CA"/>
        </w:rPr>
        <w:t xml:space="preserve"> </w:t>
      </w:r>
      <w:r>
        <w:rPr>
          <w:rStyle w:val="Appelnotedebasdep"/>
          <w:rFonts w:cs="Arial"/>
          <w:szCs w:val="24"/>
          <w:lang w:eastAsia="fr-CA"/>
        </w:rPr>
        <w:footnoteReference w:id="80"/>
      </w:r>
      <w:r w:rsidR="006D6CC4" w:rsidRPr="006D6CC4">
        <w:rPr>
          <w:rStyle w:val="Appelnotedebasdep"/>
          <w:rFonts w:cs="Arial"/>
          <w:szCs w:val="24"/>
          <w:lang w:eastAsia="fr-CA"/>
        </w:rPr>
        <w:t> </w:t>
      </w:r>
      <w:r w:rsidR="006D6CC4" w:rsidRPr="006D6CC4">
        <w:rPr>
          <w:rFonts w:cs="Arial"/>
          <w:szCs w:val="24"/>
          <w:lang w:eastAsia="fr-CA"/>
        </w:rPr>
        <w:t>:</w:t>
      </w:r>
    </w:p>
    <w:p w14:paraId="6E9F0FD7" w14:textId="77777777" w:rsidR="00F82F93" w:rsidRPr="00910E90" w:rsidRDefault="00730A01" w:rsidP="00252A4B">
      <w:pPr>
        <w:pStyle w:val="Citationenretrait"/>
        <w:spacing w:after="0"/>
        <w:ind w:right="539"/>
        <w:rPr>
          <w:i/>
          <w:iCs/>
        </w:rPr>
      </w:pPr>
      <w:r w:rsidRPr="00910E90">
        <w:rPr>
          <w:i/>
          <w:iCs/>
        </w:rPr>
        <w:t>Considérant que les gestes reprochés à l’intimé sont graves et que par ses agissements, il a perdu son indépendance professionnelle.</w:t>
      </w:r>
    </w:p>
    <w:p w14:paraId="672F9CC5" w14:textId="77777777" w:rsidR="00F82F93" w:rsidRPr="00910E90" w:rsidRDefault="00730A01" w:rsidP="00252A4B">
      <w:pPr>
        <w:pStyle w:val="Citationenretrait"/>
        <w:spacing w:after="0"/>
        <w:ind w:right="539"/>
        <w:rPr>
          <w:i/>
          <w:iCs/>
        </w:rPr>
      </w:pPr>
      <w:r w:rsidRPr="00910E90">
        <w:rPr>
          <w:i/>
          <w:iCs/>
        </w:rPr>
        <w:t>Considérant que l’intimé a caché délibérément sa situation au syndic et qu’il a tenté de le compromettre lors de l’enquête en prétextant que le syndic à l’époque des faits reprochés était au courant de ses agissements ce qui a été nié;</w:t>
      </w:r>
    </w:p>
    <w:p w14:paraId="289E2089" w14:textId="77777777" w:rsidR="00F82F93" w:rsidRPr="00910E90" w:rsidRDefault="00730A01" w:rsidP="00252A4B">
      <w:pPr>
        <w:pStyle w:val="Citationenretrait"/>
        <w:spacing w:after="0"/>
        <w:ind w:right="539"/>
        <w:rPr>
          <w:i/>
          <w:iCs/>
        </w:rPr>
      </w:pPr>
      <w:r w:rsidRPr="00910E90">
        <w:rPr>
          <w:i/>
          <w:iCs/>
        </w:rPr>
        <w:t>[...]</w:t>
      </w:r>
    </w:p>
    <w:p w14:paraId="555301FB" w14:textId="77777777" w:rsidR="00F82F93" w:rsidRPr="00910E90" w:rsidRDefault="00730A01" w:rsidP="00252A4B">
      <w:pPr>
        <w:pStyle w:val="Citationenretrait"/>
        <w:spacing w:after="0"/>
        <w:ind w:right="539"/>
        <w:rPr>
          <w:i/>
          <w:iCs/>
        </w:rPr>
      </w:pPr>
      <w:r w:rsidRPr="00910E90">
        <w:rPr>
          <w:i/>
          <w:iCs/>
        </w:rPr>
        <w:t>Considérant le système mis en place par l’intimé;</w:t>
      </w:r>
    </w:p>
    <w:p w14:paraId="6C7FEEB2" w14:textId="77777777" w:rsidR="00F82F93" w:rsidRPr="00910E90" w:rsidRDefault="00730A01" w:rsidP="00252A4B">
      <w:pPr>
        <w:pStyle w:val="Citationenretrait"/>
        <w:spacing w:after="0"/>
        <w:ind w:right="539"/>
        <w:rPr>
          <w:i/>
          <w:iCs/>
        </w:rPr>
      </w:pPr>
      <w:r w:rsidRPr="00910E90">
        <w:rPr>
          <w:i/>
          <w:iCs/>
        </w:rPr>
        <w:t>Considérant qu’il y a eu préméditation dans la commission des actes et que l’intimé ne peut prétendre qu’il ignorait les règlements et plaider son manque d’expérience.</w:t>
      </w:r>
    </w:p>
    <w:p w14:paraId="02F50DD1" w14:textId="77777777" w:rsidR="00F82F93" w:rsidRPr="00910E90" w:rsidRDefault="00730A01" w:rsidP="00252A4B">
      <w:pPr>
        <w:pStyle w:val="Citationenretrait"/>
        <w:spacing w:after="0"/>
        <w:ind w:right="539"/>
        <w:rPr>
          <w:i/>
          <w:iCs/>
        </w:rPr>
      </w:pPr>
      <w:r w:rsidRPr="00910E90">
        <w:rPr>
          <w:i/>
          <w:iCs/>
        </w:rPr>
        <w:t>Considérant le caractère vénal de toute cette affaire;</w:t>
      </w:r>
    </w:p>
    <w:p w14:paraId="0E1FB4D0" w14:textId="77777777" w:rsidR="00F82F93" w:rsidRPr="00910E90" w:rsidRDefault="00730A01" w:rsidP="00252A4B">
      <w:pPr>
        <w:pStyle w:val="Citationenretrait"/>
        <w:spacing w:after="0"/>
        <w:ind w:right="539"/>
        <w:rPr>
          <w:i/>
          <w:iCs/>
        </w:rPr>
      </w:pPr>
      <w:r w:rsidRPr="00910E90">
        <w:rPr>
          <w:i/>
          <w:iCs/>
        </w:rPr>
        <w:t>Considérant les avantages que l’intimé a pu bénéficier suite à la commission des actes reprochés.</w:t>
      </w:r>
    </w:p>
    <w:p w14:paraId="716857A5" w14:textId="77777777" w:rsidR="00F82F93" w:rsidRDefault="00730A01" w:rsidP="0098012F">
      <w:pPr>
        <w:pStyle w:val="Paragraphe"/>
        <w:tabs>
          <w:tab w:val="clear" w:pos="786"/>
        </w:tabs>
        <w:spacing w:before="240" w:line="240" w:lineRule="auto"/>
        <w:ind w:left="0"/>
        <w:rPr>
          <w:rFonts w:cs="Arial"/>
          <w:szCs w:val="24"/>
          <w:lang w:eastAsia="fr-CA"/>
        </w:rPr>
      </w:pPr>
      <w:r w:rsidRPr="003200B0">
        <w:rPr>
          <w:rFonts w:cs="Arial"/>
          <w:szCs w:val="24"/>
          <w:lang w:eastAsia="fr-CA"/>
        </w:rPr>
        <w:t xml:space="preserve">Il </w:t>
      </w:r>
      <w:r w:rsidR="007535EA">
        <w:rPr>
          <w:rFonts w:cs="Arial"/>
          <w:szCs w:val="24"/>
          <w:lang w:eastAsia="fr-CA"/>
        </w:rPr>
        <w:t xml:space="preserve">y a aussi plusieurs autres antécédents judiciaires </w:t>
      </w:r>
      <w:r w:rsidRPr="003200B0">
        <w:rPr>
          <w:rFonts w:cs="Arial"/>
          <w:szCs w:val="24"/>
          <w:lang w:eastAsia="fr-CA"/>
        </w:rPr>
        <w:t>Giroux affirme ne pas se souvenir</w:t>
      </w:r>
      <w:r>
        <w:rPr>
          <w:rStyle w:val="Appelnotedebasdep"/>
          <w:rFonts w:cs="Arial"/>
          <w:szCs w:val="24"/>
          <w:lang w:eastAsia="fr-CA"/>
        </w:rPr>
        <w:footnoteReference w:id="81"/>
      </w:r>
      <w:r w:rsidR="005D5922">
        <w:rPr>
          <w:rFonts w:cs="Arial"/>
          <w:szCs w:val="24"/>
          <w:lang w:eastAsia="fr-CA"/>
        </w:rPr>
        <w:t>.</w:t>
      </w:r>
    </w:p>
    <w:p w14:paraId="4AF73BBE" w14:textId="77777777" w:rsidR="00C52C65" w:rsidRDefault="00730A01" w:rsidP="00307881">
      <w:pPr>
        <w:pStyle w:val="Paragraphe"/>
        <w:tabs>
          <w:tab w:val="clear" w:pos="786"/>
        </w:tabs>
        <w:spacing w:after="0" w:line="240" w:lineRule="auto"/>
        <w:ind w:left="0"/>
        <w:rPr>
          <w:rFonts w:cs="Arial"/>
          <w:szCs w:val="24"/>
          <w:lang w:eastAsia="fr-CA"/>
        </w:rPr>
      </w:pPr>
      <w:r>
        <w:rPr>
          <w:rFonts w:cs="Arial"/>
          <w:szCs w:val="24"/>
          <w:lang w:eastAsia="fr-CA"/>
        </w:rPr>
        <w:t xml:space="preserve">Le Tribunal joint en </w:t>
      </w:r>
      <w:r w:rsidRPr="00B50CBE">
        <w:rPr>
          <w:rFonts w:cs="Arial"/>
          <w:i/>
          <w:iCs/>
          <w:szCs w:val="24"/>
          <w:lang w:eastAsia="fr-CA"/>
        </w:rPr>
        <w:t>Annexe</w:t>
      </w:r>
      <w:r w:rsidR="001835B8">
        <w:rPr>
          <w:rFonts w:cs="Arial"/>
          <w:i/>
          <w:iCs/>
          <w:szCs w:val="24"/>
          <w:lang w:eastAsia="fr-CA"/>
        </w:rPr>
        <w:t> </w:t>
      </w:r>
      <w:r w:rsidRPr="00B50CBE">
        <w:rPr>
          <w:rFonts w:cs="Arial"/>
          <w:i/>
          <w:iCs/>
          <w:szCs w:val="24"/>
          <w:lang w:eastAsia="fr-CA"/>
        </w:rPr>
        <w:t>A</w:t>
      </w:r>
      <w:r>
        <w:rPr>
          <w:rFonts w:cs="Arial"/>
          <w:szCs w:val="24"/>
          <w:lang w:eastAsia="fr-CA"/>
        </w:rPr>
        <w:t xml:space="preserve"> une série d’invraisemblances </w:t>
      </w:r>
      <w:r w:rsidR="0044005E">
        <w:rPr>
          <w:rFonts w:cs="Arial"/>
          <w:szCs w:val="24"/>
          <w:lang w:eastAsia="fr-CA"/>
        </w:rPr>
        <w:t xml:space="preserve">et </w:t>
      </w:r>
      <w:r w:rsidR="00332636">
        <w:rPr>
          <w:rFonts w:cs="Arial"/>
          <w:szCs w:val="24"/>
          <w:lang w:eastAsia="fr-CA"/>
        </w:rPr>
        <w:t xml:space="preserve">de déclarations trompeuses de Giroux </w:t>
      </w:r>
      <w:r>
        <w:rPr>
          <w:rFonts w:cs="Arial"/>
          <w:szCs w:val="24"/>
          <w:lang w:eastAsia="fr-CA"/>
        </w:rPr>
        <w:t xml:space="preserve">affectant </w:t>
      </w:r>
      <w:r w:rsidR="00332636">
        <w:rPr>
          <w:rFonts w:cs="Arial"/>
          <w:szCs w:val="24"/>
          <w:lang w:eastAsia="fr-CA"/>
        </w:rPr>
        <w:t>s</w:t>
      </w:r>
      <w:r>
        <w:rPr>
          <w:rFonts w:cs="Arial"/>
          <w:szCs w:val="24"/>
          <w:lang w:eastAsia="fr-CA"/>
        </w:rPr>
        <w:t>a crédibilité</w:t>
      </w:r>
      <w:r w:rsidR="00332636">
        <w:rPr>
          <w:rFonts w:cs="Arial"/>
          <w:szCs w:val="24"/>
          <w:lang w:eastAsia="fr-CA"/>
        </w:rPr>
        <w:t>.</w:t>
      </w:r>
    </w:p>
    <w:p w14:paraId="09BBC9F5" w14:textId="77777777" w:rsidR="003616A0" w:rsidRPr="0044005E" w:rsidRDefault="00730A01" w:rsidP="0098012F">
      <w:pPr>
        <w:pStyle w:val="Paragraphe"/>
        <w:numPr>
          <w:ilvl w:val="0"/>
          <w:numId w:val="0"/>
        </w:numPr>
        <w:tabs>
          <w:tab w:val="left" w:pos="3686"/>
        </w:tabs>
      </w:pPr>
      <w:r>
        <w:tab/>
      </w:r>
      <w:r w:rsidRPr="0044005E">
        <w:t>* * *</w:t>
      </w:r>
    </w:p>
    <w:p w14:paraId="043F7EFE" w14:textId="77777777" w:rsidR="00C52C65" w:rsidRDefault="00730A01" w:rsidP="0098012F">
      <w:r>
        <w:br w:type="page"/>
      </w:r>
    </w:p>
    <w:p w14:paraId="12F79897" w14:textId="77777777" w:rsidR="0074274A" w:rsidRPr="00F76BC3" w:rsidRDefault="00730A01" w:rsidP="00453D57">
      <w:pPr>
        <w:pStyle w:val="Titre2"/>
        <w:rPr>
          <w:bCs/>
          <w:u w:val="single"/>
        </w:rPr>
      </w:pPr>
      <w:bookmarkStart w:id="42" w:name="_Toc211495210"/>
      <w:bookmarkStart w:id="43" w:name="_Toc211600630"/>
      <w:r w:rsidRPr="00F76BC3">
        <w:rPr>
          <w:u w:val="single"/>
        </w:rPr>
        <w:t>Les points en litige</w:t>
      </w:r>
      <w:bookmarkEnd w:id="42"/>
      <w:bookmarkEnd w:id="43"/>
    </w:p>
    <w:p w14:paraId="3FA582D1" w14:textId="77777777" w:rsidR="007A6C58" w:rsidRPr="00233907" w:rsidRDefault="00730A01" w:rsidP="00443B59">
      <w:pPr>
        <w:pStyle w:val="Titre2"/>
        <w:numPr>
          <w:ilvl w:val="0"/>
          <w:numId w:val="95"/>
        </w:numPr>
        <w:ind w:left="567" w:hanging="567"/>
        <w:rPr>
          <w:bCs/>
          <w:smallCaps/>
          <w:szCs w:val="24"/>
        </w:rPr>
      </w:pPr>
      <w:r w:rsidRPr="00233907">
        <w:rPr>
          <w:bCs/>
          <w:smallCaps/>
          <w:szCs w:val="24"/>
        </w:rPr>
        <w:t xml:space="preserve">Giroux a commis </w:t>
      </w:r>
      <w:r w:rsidR="00C52C65" w:rsidRPr="00233907">
        <w:rPr>
          <w:bCs/>
          <w:smallCaps/>
          <w:szCs w:val="24"/>
        </w:rPr>
        <w:t xml:space="preserve">des fautes </w:t>
      </w:r>
      <w:r w:rsidRPr="00233907">
        <w:rPr>
          <w:bCs/>
          <w:smallCaps/>
          <w:szCs w:val="24"/>
        </w:rPr>
        <w:t xml:space="preserve">à l’égard des Demandeurs, engageant sa responsabilité personnelle extracontractuelle </w:t>
      </w:r>
    </w:p>
    <w:p w14:paraId="4B985AFA" w14:textId="77777777" w:rsidR="00D1596E" w:rsidRDefault="00730A01" w:rsidP="008159E9">
      <w:pPr>
        <w:pStyle w:val="Paragraphe"/>
        <w:tabs>
          <w:tab w:val="clear" w:pos="786"/>
        </w:tabs>
        <w:spacing w:line="240" w:lineRule="auto"/>
        <w:ind w:left="0"/>
        <w:rPr>
          <w:rFonts w:cs="Arial"/>
          <w:szCs w:val="24"/>
        </w:rPr>
      </w:pPr>
      <w:r w:rsidRPr="003B6A36">
        <w:rPr>
          <w:rFonts w:cs="Arial"/>
          <w:szCs w:val="24"/>
          <w:lang w:eastAsia="fr-CA"/>
        </w:rPr>
        <w:t>Tout</w:t>
      </w:r>
      <w:r w:rsidRPr="003B6A36">
        <w:rPr>
          <w:rFonts w:cs="Arial"/>
          <w:szCs w:val="24"/>
        </w:rPr>
        <w:t xml:space="preserve"> d’abord, il y a lieu de savoir que la preuve démontre que Giroux, à l’exclusion de ses collaborateurs, </w:t>
      </w:r>
      <w:r w:rsidRPr="00910E90">
        <w:rPr>
          <w:rStyle w:val="lev"/>
          <w:rFonts w:cs="Arial"/>
          <w:b w:val="0"/>
          <w:bCs w:val="0"/>
          <w:szCs w:val="24"/>
        </w:rPr>
        <w:t>décidait seul des prêts consentis à Huot et au Groupe Huot</w:t>
      </w:r>
      <w:r w:rsidRPr="00910E90">
        <w:rPr>
          <w:rFonts w:cs="Arial"/>
          <w:b/>
          <w:bCs/>
          <w:szCs w:val="24"/>
        </w:rPr>
        <w:t>.</w:t>
      </w:r>
      <w:r w:rsidRPr="003B6A36">
        <w:rPr>
          <w:rFonts w:cs="Arial"/>
          <w:szCs w:val="24"/>
        </w:rPr>
        <w:t xml:space="preserve"> Les témoignages concordants de St-Gelais et de Lehoux, conjugués à la lecture des pièces documentaires, établissent en effet, sans équivoque, que Giroux se réservait toutes les décisions stratégiques concernant ces prêts. </w:t>
      </w:r>
    </w:p>
    <w:p w14:paraId="2EE6F480" w14:textId="77777777" w:rsidR="008159E9" w:rsidRDefault="00730A01" w:rsidP="008159E9">
      <w:pPr>
        <w:pStyle w:val="Paragraphe"/>
        <w:tabs>
          <w:tab w:val="clear" w:pos="786"/>
        </w:tabs>
        <w:spacing w:line="240" w:lineRule="auto"/>
        <w:ind w:left="0"/>
        <w:rPr>
          <w:rFonts w:cs="Arial"/>
          <w:szCs w:val="24"/>
        </w:rPr>
      </w:pPr>
      <w:r w:rsidRPr="00D1596E">
        <w:rPr>
          <w:rFonts w:cs="Arial"/>
          <w:lang w:eastAsia="fr-CA"/>
        </w:rPr>
        <w:t>Guillaume St-Gelais a été catégorique</w:t>
      </w:r>
      <w:r>
        <w:rPr>
          <w:rFonts w:cs="Arial"/>
          <w:lang w:eastAsia="fr-CA"/>
        </w:rPr>
        <w:t> </w:t>
      </w:r>
      <w:r w:rsidRPr="00D1596E">
        <w:rPr>
          <w:rFonts w:cs="Arial"/>
          <w:lang w:eastAsia="fr-CA"/>
        </w:rPr>
        <w:t>:</w:t>
      </w:r>
      <w:r>
        <w:rPr>
          <w:rFonts w:cs="Arial"/>
          <w:lang w:eastAsia="fr-CA"/>
        </w:rPr>
        <w:t> </w:t>
      </w:r>
      <w:r w:rsidRPr="00D1596E">
        <w:rPr>
          <w:rFonts w:cs="Arial"/>
          <w:lang w:eastAsia="fr-CA"/>
        </w:rPr>
        <w:t>il n’avait aucune implication dans Q</w:t>
      </w:r>
      <w:r w:rsidR="00072417">
        <w:rPr>
          <w:rFonts w:cs="Arial"/>
          <w:lang w:eastAsia="fr-CA"/>
        </w:rPr>
        <w:noBreakHyphen/>
      </w:r>
      <w:r w:rsidRPr="00D1596E">
        <w:rPr>
          <w:rFonts w:cs="Arial"/>
          <w:lang w:eastAsia="fr-CA"/>
        </w:rPr>
        <w:t>12</w:t>
      </w:r>
      <w:r w:rsidR="00C52C65">
        <w:rPr>
          <w:rFonts w:cs="Arial"/>
          <w:lang w:eastAsia="fr-CA"/>
        </w:rPr>
        <w:t xml:space="preserve"> </w:t>
      </w:r>
      <w:r w:rsidRPr="00D1596E">
        <w:rPr>
          <w:rFonts w:cs="Arial"/>
          <w:lang w:eastAsia="fr-CA"/>
        </w:rPr>
        <w:t>et n’a pris aucune décision</w:t>
      </w:r>
      <w:r w:rsidR="00C52C65">
        <w:rPr>
          <w:rFonts w:cs="Arial"/>
          <w:lang w:eastAsia="fr-CA"/>
        </w:rPr>
        <w:t xml:space="preserve"> concernant les prêts consentis à Huot, ceux-ci </w:t>
      </w:r>
      <w:r w:rsidRPr="00D1596E">
        <w:rPr>
          <w:rFonts w:cs="Arial"/>
          <w:lang w:eastAsia="fr-CA"/>
        </w:rPr>
        <w:t>relevant exclusivement de Giroux</w:t>
      </w:r>
      <w:r>
        <w:rPr>
          <w:rStyle w:val="Appelnotedebasdep"/>
          <w:rFonts w:cs="Arial"/>
          <w:lang w:eastAsia="fr-CA"/>
        </w:rPr>
        <w:footnoteReference w:id="82"/>
      </w:r>
      <w:r w:rsidR="001835B8">
        <w:rPr>
          <w:rFonts w:cs="Arial"/>
          <w:lang w:eastAsia="fr-CA"/>
        </w:rPr>
        <w:t>.</w:t>
      </w:r>
    </w:p>
    <w:p w14:paraId="6D3E9782" w14:textId="77777777" w:rsidR="008159E9" w:rsidRPr="008159E9" w:rsidRDefault="00730A01" w:rsidP="008159E9">
      <w:pPr>
        <w:pStyle w:val="Paragraphe"/>
        <w:tabs>
          <w:tab w:val="clear" w:pos="786"/>
        </w:tabs>
        <w:spacing w:line="240" w:lineRule="auto"/>
        <w:ind w:left="0"/>
        <w:rPr>
          <w:rFonts w:cs="Arial"/>
          <w:szCs w:val="24"/>
        </w:rPr>
      </w:pPr>
      <w:r>
        <w:rPr>
          <w:rFonts w:cs="Arial"/>
          <w:szCs w:val="24"/>
        </w:rPr>
        <w:t>Par exemple, il</w:t>
      </w:r>
      <w:r w:rsidRPr="00282013">
        <w:t xml:space="preserve"> avait recommandé de ne pas renouveler le prêt en</w:t>
      </w:r>
      <w:r w:rsidR="001835B8">
        <w:t> </w:t>
      </w:r>
      <w:r w:rsidRPr="00282013">
        <w:t xml:space="preserve">2019 en raison de </w:t>
      </w:r>
      <w:r>
        <w:t>« </w:t>
      </w:r>
      <w:r w:rsidRPr="00282013">
        <w:t>l’absence de plan structuré de la part de Huot (c’était du vent)</w:t>
      </w:r>
      <w:r>
        <w:t> »</w:t>
      </w:r>
      <w:r w:rsidRPr="00282013">
        <w:t>, mais Giroux a procédé seul</w:t>
      </w:r>
      <w:r>
        <w:rPr>
          <w:rStyle w:val="Appelnotedebasdep"/>
          <w:szCs w:val="24"/>
        </w:rPr>
        <w:footnoteReference w:id="83"/>
      </w:r>
      <w:r>
        <w:t>.</w:t>
      </w:r>
    </w:p>
    <w:p w14:paraId="15473B3C" w14:textId="77777777" w:rsidR="00D1596E" w:rsidRPr="004646A6" w:rsidRDefault="00730A01" w:rsidP="008159E9">
      <w:pPr>
        <w:pStyle w:val="Paragraphe"/>
        <w:tabs>
          <w:tab w:val="clear" w:pos="786"/>
        </w:tabs>
        <w:spacing w:line="240" w:lineRule="auto"/>
        <w:ind w:left="0"/>
        <w:rPr>
          <w:rFonts w:cs="Arial"/>
          <w:szCs w:val="24"/>
        </w:rPr>
      </w:pPr>
      <w:r w:rsidRPr="004646A6">
        <w:rPr>
          <w:rFonts w:cs="Arial"/>
          <w:lang w:eastAsia="fr-CA"/>
        </w:rPr>
        <w:t>Nadine Lehoux a corroboré cette version en précisant que, même si certains collaborateurs pouvaient intervenir à titre administratif ou donner leur avis, la décision finale appartenait toujours à Giroux</w:t>
      </w:r>
      <w:r>
        <w:rPr>
          <w:rStyle w:val="Appelnotedebasdep"/>
          <w:rFonts w:cs="Arial"/>
          <w:lang w:eastAsia="fr-CA"/>
        </w:rPr>
        <w:footnoteReference w:id="84"/>
      </w:r>
      <w:r w:rsidR="001835B8">
        <w:rPr>
          <w:rFonts w:cs="Arial"/>
          <w:lang w:eastAsia="fr-CA"/>
        </w:rPr>
        <w:t>.</w:t>
      </w:r>
    </w:p>
    <w:p w14:paraId="68B81A93" w14:textId="77777777" w:rsidR="004646A6" w:rsidRPr="008159E9" w:rsidRDefault="00730A01" w:rsidP="008159E9">
      <w:pPr>
        <w:pStyle w:val="Paragraphe"/>
        <w:tabs>
          <w:tab w:val="clear" w:pos="786"/>
        </w:tabs>
        <w:spacing w:line="240" w:lineRule="auto"/>
        <w:ind w:left="0"/>
        <w:rPr>
          <w:rFonts w:cs="Arial"/>
          <w:szCs w:val="24"/>
        </w:rPr>
      </w:pPr>
      <w:r w:rsidRPr="00D1596E">
        <w:rPr>
          <w:rFonts w:cs="Arial"/>
          <w:lang w:eastAsia="fr-CA"/>
        </w:rPr>
        <w:t>Les Défendeurs ont tenté de se servir de certains échanges de courriels et de textos pour suggérer une implication de St-Gelais et autres collaborateurs</w:t>
      </w:r>
      <w:r w:rsidR="00C94DB2">
        <w:rPr>
          <w:rFonts w:cs="Arial"/>
          <w:lang w:eastAsia="fr-CA"/>
        </w:rPr>
        <w:t xml:space="preserve">, </w:t>
      </w:r>
      <w:r w:rsidRPr="00D1596E">
        <w:rPr>
          <w:rFonts w:cs="Arial"/>
          <w:lang w:eastAsia="fr-CA"/>
        </w:rPr>
        <w:t>dont Lehoux, dans le processus décisionnel. Ces extraits ne contredisent cependant pas la preuve testimoniale</w:t>
      </w:r>
      <w:r w:rsidR="00C94DB2">
        <w:rPr>
          <w:rFonts w:cs="Arial"/>
          <w:lang w:eastAsia="fr-CA"/>
        </w:rPr>
        <w:t> </w:t>
      </w:r>
      <w:r w:rsidRPr="00D1596E">
        <w:rPr>
          <w:rFonts w:cs="Arial"/>
          <w:lang w:eastAsia="fr-CA"/>
        </w:rPr>
        <w:t>:</w:t>
      </w:r>
      <w:r w:rsidR="00C94DB2">
        <w:rPr>
          <w:rFonts w:cs="Arial"/>
          <w:lang w:eastAsia="fr-CA"/>
        </w:rPr>
        <w:t> </w:t>
      </w:r>
      <w:r w:rsidRPr="00D1596E">
        <w:rPr>
          <w:rFonts w:cs="Arial"/>
          <w:lang w:eastAsia="fr-CA"/>
        </w:rPr>
        <w:t>la décision finale sur les prêts</w:t>
      </w:r>
      <w:r w:rsidR="00C52C65">
        <w:rPr>
          <w:rFonts w:cs="Arial"/>
          <w:lang w:eastAsia="fr-CA"/>
        </w:rPr>
        <w:t xml:space="preserve"> consentis à Huot et son Groupe</w:t>
      </w:r>
      <w:r w:rsidRPr="00D1596E">
        <w:rPr>
          <w:rFonts w:cs="Arial"/>
          <w:lang w:eastAsia="fr-CA"/>
        </w:rPr>
        <w:t xml:space="preserve"> revenait toujours à Giroux</w:t>
      </w:r>
      <w:r>
        <w:rPr>
          <w:rStyle w:val="Appelnotedebasdep"/>
          <w:rFonts w:cs="Arial"/>
          <w:lang w:eastAsia="fr-CA"/>
        </w:rPr>
        <w:footnoteReference w:id="85"/>
      </w:r>
      <w:r w:rsidR="001835B8">
        <w:rPr>
          <w:rFonts w:cs="Arial"/>
          <w:lang w:eastAsia="fr-CA"/>
        </w:rPr>
        <w:t>.</w:t>
      </w:r>
    </w:p>
    <w:p w14:paraId="79E078ED" w14:textId="77777777" w:rsidR="008159E9" w:rsidRPr="008159E9" w:rsidRDefault="00730A01" w:rsidP="00252A4B">
      <w:pPr>
        <w:pStyle w:val="Paragraphe"/>
        <w:numPr>
          <w:ilvl w:val="0"/>
          <w:numId w:val="0"/>
        </w:numPr>
        <w:spacing w:after="0" w:line="240" w:lineRule="auto"/>
        <w:ind w:left="425" w:right="539"/>
        <w:rPr>
          <w:sz w:val="22"/>
          <w:szCs w:val="22"/>
        </w:rPr>
      </w:pPr>
      <w:r w:rsidRPr="008159E9">
        <w:rPr>
          <w:sz w:val="22"/>
          <w:szCs w:val="22"/>
        </w:rPr>
        <w:t>M.</w:t>
      </w:r>
      <w:r w:rsidR="001835B8">
        <w:rPr>
          <w:sz w:val="22"/>
          <w:szCs w:val="22"/>
        </w:rPr>
        <w:t> </w:t>
      </w:r>
      <w:r w:rsidRPr="008159E9">
        <w:rPr>
          <w:sz w:val="22"/>
          <w:szCs w:val="22"/>
        </w:rPr>
        <w:t>Huot avait une relation d’affaires privilégiée avec M.</w:t>
      </w:r>
      <w:r w:rsidR="001835B8">
        <w:rPr>
          <w:sz w:val="22"/>
          <w:szCs w:val="22"/>
        </w:rPr>
        <w:t> </w:t>
      </w:r>
      <w:r w:rsidRPr="008159E9">
        <w:rPr>
          <w:sz w:val="22"/>
          <w:szCs w:val="22"/>
        </w:rPr>
        <w:t xml:space="preserve">Giroux, et qui résultait en un traitement particulier dans l’octroi des financements accordés au Groupe Huot. </w:t>
      </w:r>
    </w:p>
    <w:p w14:paraId="338C2225" w14:textId="77777777" w:rsidR="008159E9" w:rsidRPr="008159E9" w:rsidRDefault="00730A01" w:rsidP="00252A4B">
      <w:pPr>
        <w:pStyle w:val="Paragraphe"/>
        <w:numPr>
          <w:ilvl w:val="0"/>
          <w:numId w:val="0"/>
        </w:numPr>
        <w:spacing w:after="0" w:line="240" w:lineRule="auto"/>
        <w:ind w:left="425" w:right="539"/>
        <w:rPr>
          <w:rFonts w:eastAsia="MS Mincho"/>
          <w:sz w:val="22"/>
          <w:szCs w:val="22"/>
          <w:lang w:eastAsia="en-US"/>
        </w:rPr>
      </w:pPr>
      <w:r w:rsidRPr="008159E9">
        <w:rPr>
          <w:rFonts w:eastAsia="MS Mincho"/>
          <w:sz w:val="22"/>
          <w:szCs w:val="22"/>
          <w:lang w:eastAsia="en-US"/>
        </w:rPr>
        <w:t xml:space="preserve">(…) </w:t>
      </w:r>
    </w:p>
    <w:p w14:paraId="2206BDA2" w14:textId="77777777" w:rsidR="008159E9" w:rsidRPr="008159E9" w:rsidRDefault="00730A01" w:rsidP="00252A4B">
      <w:pPr>
        <w:pStyle w:val="Paragraphe"/>
        <w:numPr>
          <w:ilvl w:val="0"/>
          <w:numId w:val="0"/>
        </w:numPr>
        <w:spacing w:after="0" w:line="240" w:lineRule="auto"/>
        <w:ind w:left="425" w:right="539"/>
        <w:rPr>
          <w:rFonts w:eastAsia="MS Mincho"/>
          <w:sz w:val="22"/>
          <w:szCs w:val="22"/>
          <w:lang w:eastAsia="en-US"/>
        </w:rPr>
      </w:pPr>
      <w:r w:rsidRPr="008159E9">
        <w:rPr>
          <w:rFonts w:eastAsia="MS Mincho"/>
          <w:sz w:val="22"/>
          <w:szCs w:val="22"/>
          <w:lang w:eastAsia="en-US"/>
        </w:rPr>
        <w:t xml:space="preserve">Les prêts étaient consentis avec très peu de documentation (…) et sans contrôle des déboursés ni suivi périodique. </w:t>
      </w:r>
      <w:bookmarkStart w:id="44" w:name="_Hlk206420974"/>
    </w:p>
    <w:p w14:paraId="77A5C1AC" w14:textId="77777777" w:rsidR="008159E9" w:rsidRPr="008159E9" w:rsidRDefault="00730A01" w:rsidP="00252A4B">
      <w:pPr>
        <w:pStyle w:val="Paragraphe"/>
        <w:numPr>
          <w:ilvl w:val="0"/>
          <w:numId w:val="0"/>
        </w:numPr>
        <w:spacing w:after="0" w:line="240" w:lineRule="auto"/>
        <w:ind w:left="425" w:right="539"/>
        <w:rPr>
          <w:sz w:val="22"/>
          <w:szCs w:val="22"/>
        </w:rPr>
      </w:pPr>
      <w:r w:rsidRPr="008159E9">
        <w:rPr>
          <w:sz w:val="22"/>
          <w:szCs w:val="22"/>
        </w:rPr>
        <w:t xml:space="preserve">Le pouvoir de décision reposait uniquement entre ses mains et c’est lui qui choisissait seul quels projets allaient recevoir du financement. Il décidait ainsi seul </w:t>
      </w:r>
      <w:r w:rsidRPr="008159E9">
        <w:rPr>
          <w:rStyle w:val="lev"/>
          <w:b w:val="0"/>
          <w:bCs w:val="0"/>
          <w:sz w:val="22"/>
          <w:szCs w:val="22"/>
        </w:rPr>
        <w:t>de l’octroi et des renouvellements des prêts par FIISH</w:t>
      </w:r>
      <w:bookmarkEnd w:id="44"/>
      <w:r>
        <w:rPr>
          <w:rStyle w:val="Appelnotedebasdep"/>
          <w:sz w:val="22"/>
          <w:szCs w:val="22"/>
        </w:rPr>
        <w:footnoteReference w:id="86"/>
      </w:r>
      <w:r w:rsidRPr="008159E9">
        <w:rPr>
          <w:rStyle w:val="lev"/>
          <w:b w:val="0"/>
          <w:bCs w:val="0"/>
          <w:sz w:val="22"/>
          <w:szCs w:val="22"/>
        </w:rPr>
        <w:t>.</w:t>
      </w:r>
    </w:p>
    <w:p w14:paraId="2D03CAD0" w14:textId="77777777" w:rsidR="008159E9" w:rsidRPr="008159E9" w:rsidRDefault="00730A01" w:rsidP="00252A4B">
      <w:pPr>
        <w:pStyle w:val="Paragraphe"/>
        <w:numPr>
          <w:ilvl w:val="0"/>
          <w:numId w:val="0"/>
        </w:numPr>
        <w:spacing w:after="0" w:line="240" w:lineRule="auto"/>
        <w:ind w:left="425" w:right="539"/>
        <w:rPr>
          <w:rFonts w:eastAsia="MS Mincho"/>
          <w:sz w:val="22"/>
          <w:szCs w:val="22"/>
          <w:lang w:eastAsia="en-US"/>
        </w:rPr>
      </w:pPr>
      <w:r w:rsidRPr="008159E9">
        <w:rPr>
          <w:sz w:val="22"/>
          <w:szCs w:val="22"/>
        </w:rPr>
        <w:t xml:space="preserve">Mon rôle se limitait </w:t>
      </w:r>
      <w:r w:rsidRPr="008159E9">
        <w:rPr>
          <w:rFonts w:eastAsia="MS Mincho"/>
          <w:sz w:val="22"/>
          <w:szCs w:val="22"/>
          <w:lang w:eastAsia="en-US"/>
        </w:rPr>
        <w:t>donc à revoir la documentation fort limitée transmise par le Groupe Huot, à la présenter à M.</w:t>
      </w:r>
      <w:r w:rsidR="001835B8">
        <w:rPr>
          <w:rFonts w:eastAsia="MS Mincho"/>
          <w:sz w:val="22"/>
          <w:szCs w:val="22"/>
          <w:lang w:eastAsia="en-US"/>
        </w:rPr>
        <w:t> </w:t>
      </w:r>
      <w:r w:rsidRPr="008159E9">
        <w:rPr>
          <w:rFonts w:eastAsia="MS Mincho"/>
          <w:sz w:val="22"/>
          <w:szCs w:val="22"/>
          <w:lang w:eastAsia="en-US"/>
        </w:rPr>
        <w:t>Giroux et à lui faire mes commentaires; Souvent je n’étais pas consultée du tout. Dans tous les cas, c’est toujours M.</w:t>
      </w:r>
      <w:r w:rsidR="001835B8">
        <w:rPr>
          <w:rFonts w:eastAsia="MS Mincho"/>
          <w:sz w:val="22"/>
          <w:szCs w:val="22"/>
          <w:lang w:eastAsia="en-US"/>
        </w:rPr>
        <w:t> </w:t>
      </w:r>
      <w:r w:rsidRPr="008159E9">
        <w:rPr>
          <w:rFonts w:eastAsia="MS Mincho"/>
          <w:sz w:val="22"/>
          <w:szCs w:val="22"/>
          <w:lang w:eastAsia="en-US"/>
        </w:rPr>
        <w:t>Giroux qui décidait d’octroyer les prêts et qui déterminait les termes et conditions de ceux-ci. Je n’ai donc jamais eu de pouvoir décisionnel quant aux prêts consentis aux emprunteurs du Groupe Huot »</w:t>
      </w:r>
      <w:r>
        <w:rPr>
          <w:rStyle w:val="Appelnotedebasdep"/>
          <w:rFonts w:eastAsia="MS Mincho" w:cs="Arial"/>
          <w:sz w:val="22"/>
          <w:szCs w:val="22"/>
          <w:lang w:eastAsia="en-US"/>
        </w:rPr>
        <w:footnoteReference w:id="87"/>
      </w:r>
      <w:r w:rsidRPr="008159E9">
        <w:rPr>
          <w:rFonts w:eastAsia="MS Mincho"/>
          <w:sz w:val="22"/>
          <w:szCs w:val="22"/>
          <w:lang w:eastAsia="en-US"/>
        </w:rPr>
        <w:t>.</w:t>
      </w:r>
    </w:p>
    <w:p w14:paraId="058853A0" w14:textId="77777777" w:rsidR="007A6C58" w:rsidRPr="00932AC8" w:rsidRDefault="00730A01" w:rsidP="008159E9">
      <w:pPr>
        <w:pStyle w:val="Paragraphe"/>
        <w:numPr>
          <w:ilvl w:val="0"/>
          <w:numId w:val="1"/>
        </w:numPr>
        <w:tabs>
          <w:tab w:val="clear" w:pos="786"/>
        </w:tabs>
        <w:spacing w:before="240" w:line="240" w:lineRule="auto"/>
        <w:ind w:left="0"/>
      </w:pPr>
      <w:r>
        <w:t>Le Tribunal conclut que Giroux a effectivement commis des fautes extracontractuelles personnelles, notamment par des représentations frauduleuses, des omissions dolosives et une gestion conflictuelle. Ces fautes</w:t>
      </w:r>
      <w:r w:rsidR="0065115E">
        <w:t xml:space="preserve"> retenues par le Tribunal </w:t>
      </w:r>
      <w:r w:rsidR="00860788">
        <w:t>sont</w:t>
      </w:r>
      <w:r>
        <w:t xml:space="preserve"> les suivantes :</w:t>
      </w:r>
    </w:p>
    <w:p w14:paraId="59FCCE3B" w14:textId="77777777" w:rsidR="007A6C58" w:rsidRPr="008956DC" w:rsidRDefault="00730A01" w:rsidP="0042740E">
      <w:pPr>
        <w:pStyle w:val="Citationenretrait"/>
        <w:numPr>
          <w:ilvl w:val="0"/>
          <w:numId w:val="13"/>
        </w:numPr>
        <w:spacing w:after="0"/>
        <w:ind w:left="850" w:right="539" w:hanging="357"/>
        <w:rPr>
          <w:rFonts w:cs="Arial"/>
          <w:kern w:val="0"/>
          <w:sz w:val="24"/>
          <w:szCs w:val="24"/>
        </w:rPr>
      </w:pPr>
      <w:bookmarkStart w:id="45" w:name="_Hlk204588059"/>
      <w:r w:rsidRPr="008956DC">
        <w:rPr>
          <w:rFonts w:cs="Arial"/>
          <w:kern w:val="0"/>
          <w:sz w:val="24"/>
          <w:szCs w:val="24"/>
        </w:rPr>
        <w:t>Fausses représentations sur son expérience, aux investisseurs, par Giroux;</w:t>
      </w:r>
    </w:p>
    <w:bookmarkEnd w:id="45"/>
    <w:p w14:paraId="5280949C" w14:textId="77777777" w:rsidR="007A6C58"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cs="Arial"/>
          <w:kern w:val="0"/>
          <w:sz w:val="24"/>
          <w:szCs w:val="24"/>
        </w:rPr>
        <w:t>Représentations frauduleuses sur les garanties et les risques liés aux fonds FIISH et Q-12</w:t>
      </w:r>
      <w:r w:rsidR="00072417" w:rsidRPr="008956DC">
        <w:rPr>
          <w:rFonts w:cs="Arial"/>
          <w:kern w:val="0"/>
          <w:sz w:val="24"/>
          <w:szCs w:val="24"/>
        </w:rPr>
        <w:t>;</w:t>
      </w:r>
    </w:p>
    <w:p w14:paraId="29D20315" w14:textId="77777777" w:rsidR="008159E9"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cs="Arial"/>
          <w:kern w:val="0"/>
          <w:sz w:val="24"/>
          <w:szCs w:val="24"/>
        </w:rPr>
        <w:t>Manque de contrôle prudentiel;</w:t>
      </w:r>
    </w:p>
    <w:p w14:paraId="78CD115F" w14:textId="77777777" w:rsidR="007A6C58"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eastAsia="MS Gothic" w:cs="Arial"/>
          <w:kern w:val="0"/>
          <w:sz w:val="24"/>
          <w:szCs w:val="24"/>
          <w:lang w:eastAsia="en-US"/>
        </w:rPr>
        <w:t>Omission de divulguer les difficultés fina</w:t>
      </w:r>
      <w:r w:rsidRPr="008956DC">
        <w:rPr>
          <w:rFonts w:cs="Arial"/>
          <w:kern w:val="0"/>
          <w:sz w:val="24"/>
          <w:szCs w:val="24"/>
          <w:lang w:eastAsia="fr-CA"/>
        </w:rPr>
        <w:t>ncières</w:t>
      </w:r>
      <w:r w:rsidR="00072417" w:rsidRPr="008956DC">
        <w:rPr>
          <w:rFonts w:cs="Arial"/>
          <w:kern w:val="0"/>
          <w:sz w:val="24"/>
          <w:szCs w:val="24"/>
          <w:lang w:eastAsia="fr-CA"/>
        </w:rPr>
        <w:t>;</w:t>
      </w:r>
    </w:p>
    <w:p w14:paraId="6E20540F" w14:textId="77777777" w:rsidR="007A6C58" w:rsidRPr="008956DC" w:rsidRDefault="00730A01" w:rsidP="0042740E">
      <w:pPr>
        <w:pStyle w:val="Citationenretrait"/>
        <w:numPr>
          <w:ilvl w:val="0"/>
          <w:numId w:val="13"/>
        </w:numPr>
        <w:spacing w:after="0"/>
        <w:ind w:left="850" w:right="539" w:hanging="357"/>
        <w:rPr>
          <w:rFonts w:cs="Arial"/>
          <w:kern w:val="0"/>
          <w:sz w:val="24"/>
          <w:szCs w:val="24"/>
        </w:rPr>
      </w:pPr>
      <w:bookmarkStart w:id="46" w:name="_Hlk204506081"/>
      <w:r w:rsidRPr="008956DC">
        <w:rPr>
          <w:rFonts w:eastAsia="MS Gothic" w:cs="Arial"/>
          <w:kern w:val="0"/>
          <w:sz w:val="24"/>
          <w:szCs w:val="24"/>
          <w:lang w:eastAsia="en-US"/>
        </w:rPr>
        <w:t>Falsification des tableaux financiers;</w:t>
      </w:r>
    </w:p>
    <w:p w14:paraId="6945A8AD" w14:textId="77777777" w:rsidR="007A6C58"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eastAsia="MS Gothic" w:cs="Arial"/>
          <w:kern w:val="0"/>
          <w:sz w:val="24"/>
          <w:szCs w:val="24"/>
          <w:lang w:eastAsia="en-US"/>
        </w:rPr>
        <w:t>Violations à la stratégie de prêt de Q-12 et FIISH;</w:t>
      </w:r>
    </w:p>
    <w:p w14:paraId="3064DDF9" w14:textId="77777777" w:rsidR="007A6C58"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eastAsia="MS Gothic" w:cs="Arial"/>
          <w:kern w:val="0"/>
          <w:sz w:val="24"/>
          <w:szCs w:val="24"/>
          <w:lang w:eastAsia="en-US"/>
        </w:rPr>
        <w:t>Injection de fonds téméraire après le 2</w:t>
      </w:r>
      <w:r w:rsidR="00192E75" w:rsidRPr="008956DC">
        <w:rPr>
          <w:rFonts w:eastAsia="MS Gothic" w:cs="Arial"/>
          <w:kern w:val="0"/>
          <w:sz w:val="24"/>
          <w:szCs w:val="24"/>
          <w:lang w:eastAsia="en-US"/>
        </w:rPr>
        <w:t> </w:t>
      </w:r>
      <w:r w:rsidRPr="008956DC">
        <w:rPr>
          <w:rFonts w:eastAsia="MS Gothic" w:cs="Arial"/>
          <w:kern w:val="0"/>
          <w:sz w:val="24"/>
          <w:szCs w:val="24"/>
          <w:lang w:eastAsia="en-US"/>
        </w:rPr>
        <w:t>mars 2022</w:t>
      </w:r>
      <w:bookmarkEnd w:id="46"/>
      <w:r w:rsidRPr="008956DC">
        <w:rPr>
          <w:rFonts w:eastAsia="MS Gothic" w:cs="Arial"/>
          <w:kern w:val="0"/>
          <w:sz w:val="24"/>
          <w:szCs w:val="24"/>
          <w:lang w:eastAsia="en-US"/>
        </w:rPr>
        <w:t>;</w:t>
      </w:r>
    </w:p>
    <w:p w14:paraId="28A46D3B" w14:textId="77777777" w:rsidR="00C94DB2"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cs="Arial"/>
          <w:kern w:val="0"/>
          <w:sz w:val="24"/>
          <w:szCs w:val="24"/>
        </w:rPr>
        <w:t>Des transactions de type Ponzi</w:t>
      </w:r>
      <w:r w:rsidR="00544CC3" w:rsidRPr="008956DC">
        <w:rPr>
          <w:rFonts w:cs="Arial"/>
          <w:kern w:val="0"/>
          <w:sz w:val="24"/>
          <w:szCs w:val="24"/>
        </w:rPr>
        <w:t>;</w:t>
      </w:r>
    </w:p>
    <w:p w14:paraId="46FF26C2" w14:textId="77777777" w:rsidR="00C94DB2"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eastAsia="MS Gothic" w:cs="Arial"/>
          <w:kern w:val="0"/>
          <w:sz w:val="24"/>
          <w:szCs w:val="24"/>
          <w:lang w:eastAsia="en-US"/>
        </w:rPr>
        <w:t>Détournement de capitaux des commanditaires vers ses sociétés;</w:t>
      </w:r>
    </w:p>
    <w:p w14:paraId="457EAE67" w14:textId="77777777" w:rsidR="007A6C58"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eastAsia="MS Gothic" w:cs="Arial"/>
          <w:kern w:val="0"/>
          <w:sz w:val="24"/>
          <w:szCs w:val="24"/>
          <w:lang w:eastAsia="en-US"/>
        </w:rPr>
        <w:t>Double facturation;</w:t>
      </w:r>
    </w:p>
    <w:p w14:paraId="27F57BAA" w14:textId="77777777" w:rsidR="00C94DB2"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eastAsia="MS Gothic" w:cs="Arial"/>
          <w:kern w:val="0"/>
          <w:sz w:val="24"/>
          <w:szCs w:val="24"/>
          <w:lang w:eastAsia="en-US"/>
        </w:rPr>
        <w:t>Des défauts de paiements non déclarés;</w:t>
      </w:r>
    </w:p>
    <w:p w14:paraId="0F95DEDC" w14:textId="77777777" w:rsidR="00C94DB2" w:rsidRPr="008956DC" w:rsidRDefault="00730A01" w:rsidP="0042740E">
      <w:pPr>
        <w:pStyle w:val="Citationenretrait"/>
        <w:numPr>
          <w:ilvl w:val="0"/>
          <w:numId w:val="13"/>
        </w:numPr>
        <w:spacing w:after="0"/>
        <w:ind w:left="850" w:right="539" w:hanging="357"/>
        <w:rPr>
          <w:rFonts w:cs="Arial"/>
          <w:kern w:val="0"/>
          <w:sz w:val="24"/>
          <w:szCs w:val="24"/>
        </w:rPr>
      </w:pPr>
      <w:r w:rsidRPr="008956DC">
        <w:rPr>
          <w:rFonts w:eastAsia="MS Gothic" w:cs="Arial"/>
          <w:kern w:val="0"/>
          <w:sz w:val="24"/>
          <w:szCs w:val="24"/>
          <w:lang w:eastAsia="en-US"/>
        </w:rPr>
        <w:t>Des taux abusifs</w:t>
      </w:r>
      <w:r w:rsidRPr="008956DC">
        <w:rPr>
          <w:rFonts w:cs="Arial"/>
          <w:kern w:val="0"/>
          <w:sz w:val="24"/>
          <w:szCs w:val="24"/>
        </w:rPr>
        <w:t xml:space="preserve"> et d</w:t>
      </w:r>
      <w:r w:rsidRPr="008956DC">
        <w:rPr>
          <w:rFonts w:eastAsia="MS Gothic" w:cs="Arial"/>
          <w:kern w:val="0"/>
          <w:sz w:val="24"/>
          <w:szCs w:val="24"/>
          <w:lang w:eastAsia="en-US"/>
        </w:rPr>
        <w:t>éfaut de protéger le capital des commanditaires</w:t>
      </w:r>
      <w:r w:rsidR="00072417" w:rsidRPr="008956DC">
        <w:rPr>
          <w:rFonts w:eastAsia="MS Gothic" w:cs="Arial"/>
          <w:kern w:val="0"/>
          <w:sz w:val="24"/>
          <w:szCs w:val="24"/>
          <w:lang w:eastAsia="en-US"/>
        </w:rPr>
        <w:t>;</w:t>
      </w:r>
    </w:p>
    <w:p w14:paraId="039356F2" w14:textId="77777777" w:rsidR="00196A8B" w:rsidRPr="008956DC" w:rsidRDefault="00730A01" w:rsidP="0042740E">
      <w:pPr>
        <w:pStyle w:val="Citationenretrait"/>
        <w:numPr>
          <w:ilvl w:val="0"/>
          <w:numId w:val="13"/>
        </w:numPr>
        <w:ind w:left="850" w:right="539" w:hanging="357"/>
        <w:rPr>
          <w:rFonts w:cs="Arial"/>
          <w:kern w:val="0"/>
          <w:sz w:val="24"/>
          <w:szCs w:val="24"/>
        </w:rPr>
      </w:pPr>
      <w:r w:rsidRPr="008956DC">
        <w:rPr>
          <w:rFonts w:eastAsia="MS Gothic" w:cs="Arial"/>
          <w:kern w:val="0"/>
          <w:sz w:val="24"/>
          <w:szCs w:val="24"/>
          <w:lang w:eastAsia="en-US"/>
        </w:rPr>
        <w:t>Le défaut de protéger le capital des commanditaires.</w:t>
      </w:r>
      <w:bookmarkStart w:id="47" w:name="_Toc211495211"/>
    </w:p>
    <w:p w14:paraId="467B3E28" w14:textId="77777777" w:rsidR="007A6C58" w:rsidRPr="00F76BC3" w:rsidRDefault="00730A01" w:rsidP="00443B59">
      <w:pPr>
        <w:pStyle w:val="Titre2"/>
        <w:numPr>
          <w:ilvl w:val="0"/>
          <w:numId w:val="96"/>
        </w:numPr>
        <w:rPr>
          <w:rFonts w:cs="Arial"/>
          <w:i w:val="0"/>
          <w:iCs/>
          <w:u w:val="single"/>
        </w:rPr>
      </w:pPr>
      <w:r w:rsidRPr="00F76BC3">
        <w:rPr>
          <w:i w:val="0"/>
          <w:iCs/>
          <w:u w:val="single"/>
          <w:lang w:eastAsia="fr-CA"/>
        </w:rPr>
        <w:t>Fausses représentations sur son expérience, aux investisseurs, par Giroux</w:t>
      </w:r>
      <w:bookmarkEnd w:id="47"/>
    </w:p>
    <w:p w14:paraId="010C5FDF" w14:textId="77777777" w:rsidR="00D870ED" w:rsidRDefault="00730A01" w:rsidP="0098012F">
      <w:pPr>
        <w:pStyle w:val="Paragraphe"/>
        <w:tabs>
          <w:tab w:val="clear" w:pos="786"/>
        </w:tabs>
        <w:spacing w:line="240" w:lineRule="auto"/>
        <w:ind w:left="0"/>
      </w:pPr>
      <w:r>
        <w:t>Giroux représentait aux commanditaires qu’il avait une longue et solide expérience en matière de financement immobilier, les induisant en erreur sur sa compétence et sa fiabilité.</w:t>
      </w:r>
    </w:p>
    <w:p w14:paraId="52C6B199" w14:textId="77777777" w:rsidR="00D870ED" w:rsidRDefault="00730A01" w:rsidP="0098012F">
      <w:pPr>
        <w:pStyle w:val="Paragraphe"/>
        <w:tabs>
          <w:tab w:val="clear" w:pos="786"/>
        </w:tabs>
        <w:spacing w:line="240" w:lineRule="auto"/>
        <w:ind w:left="0"/>
      </w:pPr>
      <w:r w:rsidRPr="002857FB">
        <w:t>Il contactait des amis, des connaissances ou des personnes que ceux-ci lui</w:t>
      </w:r>
      <w:r>
        <w:t xml:space="preserve"> référaient ou il </w:t>
      </w:r>
      <w:r w:rsidR="0056496B">
        <w:t>était</w:t>
      </w:r>
      <w:r>
        <w:t xml:space="preserve"> contact</w:t>
      </w:r>
      <w:r w:rsidR="0056496B">
        <w:t>é</w:t>
      </w:r>
      <w:r>
        <w:t xml:space="preserve"> par </w:t>
      </w:r>
      <w:r w:rsidRPr="002857FB">
        <w:t xml:space="preserve">eux </w:t>
      </w:r>
      <w:r w:rsidR="00E7684E" w:rsidRPr="002857FB">
        <w:t>à la suite</w:t>
      </w:r>
      <w:r w:rsidR="0056496B" w:rsidRPr="002857FB">
        <w:t xml:space="preserve"> </w:t>
      </w:r>
      <w:r w:rsidR="00E7684E" w:rsidRPr="002857FB">
        <w:t>de t</w:t>
      </w:r>
      <w:r w:rsidRPr="002857FB">
        <w:t>e</w:t>
      </w:r>
      <w:r w:rsidR="0056496B" w:rsidRPr="002857FB">
        <w:t>l</w:t>
      </w:r>
      <w:r>
        <w:t>le</w:t>
      </w:r>
      <w:r w:rsidRPr="002857FB">
        <w:t xml:space="preserve">s références. Lors de ses interactions avec ces investisseurs potentiels, Giroux </w:t>
      </w:r>
      <w:r w:rsidR="003A2FB8">
        <w:t xml:space="preserve">se présentait comme un professionnel </w:t>
      </w:r>
      <w:r w:rsidRPr="002857FB">
        <w:t>aguerri, affirmant avoir plus de 20</w:t>
      </w:r>
      <w:r w:rsidR="001835B8">
        <w:t> </w:t>
      </w:r>
      <w:r w:rsidRPr="002857FB">
        <w:t xml:space="preserve">ans d’expérience </w:t>
      </w:r>
      <w:r w:rsidR="00910E90">
        <w:t xml:space="preserve">en financement immobilier </w:t>
      </w:r>
      <w:r w:rsidRPr="002857FB">
        <w:t xml:space="preserve">sans jamais avoir connu de défaut. Il se </w:t>
      </w:r>
      <w:r w:rsidR="003A2FB8">
        <w:t>décriv</w:t>
      </w:r>
      <w:r w:rsidRPr="002857FB">
        <w:t>ait</w:t>
      </w:r>
      <w:r>
        <w:t xml:space="preserve"> comme rigoureux, fiable et expérimenté dans la gestion de prêts immobiliers. Cette mise en scène a convaincu plusieurs commanditaires de placer leur confiance — et leur arge</w:t>
      </w:r>
      <w:r w:rsidR="00E7684E">
        <w:t>n</w:t>
      </w:r>
      <w:r w:rsidR="003A2FB8">
        <w:t xml:space="preserve">t – </w:t>
      </w:r>
      <w:r>
        <w:t>entre ses mains</w:t>
      </w:r>
      <w:r>
        <w:rPr>
          <w:rStyle w:val="Appelnotedebasdep"/>
        </w:rPr>
        <w:footnoteReference w:id="88"/>
      </w:r>
      <w:r>
        <w:t>.</w:t>
      </w:r>
    </w:p>
    <w:p w14:paraId="2B980E48" w14:textId="77777777" w:rsidR="0051775E" w:rsidRDefault="00730A01" w:rsidP="0098012F">
      <w:pPr>
        <w:pStyle w:val="Paragraphe"/>
        <w:tabs>
          <w:tab w:val="clear" w:pos="786"/>
        </w:tabs>
        <w:spacing w:line="240" w:lineRule="auto"/>
        <w:ind w:left="0"/>
      </w:pPr>
      <w:r>
        <w:t>Or, c</w:t>
      </w:r>
      <w:r w:rsidR="00E7684E">
        <w:t xml:space="preserve">es représentations de Giroux </w:t>
      </w:r>
      <w:r>
        <w:t>induisaient en erreur sur sa compétence et sa fiabilité. Elles</w:t>
      </w:r>
      <w:r w:rsidR="00E7684E">
        <w:t xml:space="preserve"> étaient fausses en ce qu’elles présentaient un portrait surévalué de ses compétences et de ses antécédents professionnels, utilisé pour rassurer les investisseurs et légitimer des investissements risqués, sans divulguer </w:t>
      </w:r>
      <w:r w:rsidR="00AB3B3E">
        <w:t xml:space="preserve">notamment </w:t>
      </w:r>
      <w:r w:rsidR="00E7684E">
        <w:t xml:space="preserve">la réalité des difficultés </w:t>
      </w:r>
      <w:r>
        <w:t>connues</w:t>
      </w:r>
      <w:r w:rsidR="00AB3B3E">
        <w:t xml:space="preserve"> concernant le Groupe Huot</w:t>
      </w:r>
      <w:bookmarkStart w:id="48" w:name="_Hlk204589612"/>
      <w:r w:rsidR="00790076">
        <w:t>.</w:t>
      </w:r>
    </w:p>
    <w:p w14:paraId="03689AFB" w14:textId="77777777" w:rsidR="00945D93" w:rsidRDefault="00730A01" w:rsidP="0098012F">
      <w:pPr>
        <w:pStyle w:val="Paragraphe"/>
        <w:tabs>
          <w:tab w:val="clear" w:pos="786"/>
        </w:tabs>
        <w:spacing w:line="240" w:lineRule="auto"/>
        <w:ind w:left="0"/>
      </w:pPr>
      <w:r>
        <w:t>Par exemple, Giroux s’</w:t>
      </w:r>
      <w:r w:rsidR="00790076">
        <w:t xml:space="preserve">appuyait </w:t>
      </w:r>
      <w:r>
        <w:t>sur une relation présentée comme fiable</w:t>
      </w:r>
      <w:r w:rsidR="00D761C3">
        <w:t xml:space="preserve"> avec Huot</w:t>
      </w:r>
      <w:r>
        <w:t xml:space="preserve"> pour affirmer que le Groupe Huot avait «</w:t>
      </w:r>
      <w:r w:rsidR="0051775E">
        <w:t> </w:t>
      </w:r>
      <w:r>
        <w:t>toujours</w:t>
      </w:r>
      <w:r w:rsidR="0051775E">
        <w:t> </w:t>
      </w:r>
      <w:r>
        <w:t>» respecté ses engagements</w:t>
      </w:r>
      <w:r>
        <w:rPr>
          <w:rStyle w:val="Appelnotedebasdep"/>
        </w:rPr>
        <w:footnoteReference w:id="89"/>
      </w:r>
      <w:r>
        <w:t>.</w:t>
      </w:r>
      <w:r w:rsidR="00D761C3">
        <w:t xml:space="preserve"> </w:t>
      </w:r>
      <w:r>
        <w:t>Or,</w:t>
      </w:r>
      <w:r w:rsidR="00D761C3">
        <w:t xml:space="preserve"> la</w:t>
      </w:r>
      <w:r>
        <w:t xml:space="preserve"> preuve de défauts multiples depuis</w:t>
      </w:r>
      <w:r w:rsidR="001835B8">
        <w:t> </w:t>
      </w:r>
      <w:r>
        <w:t>2017, contredit la fiabilité que Giroux tirait de son vécu et de son historique avec Huot</w:t>
      </w:r>
      <w:r>
        <w:rPr>
          <w:rStyle w:val="Appelnotedebasdep"/>
        </w:rPr>
        <w:footnoteReference w:id="90"/>
      </w:r>
      <w:r>
        <w:t>.</w:t>
      </w:r>
      <w:r w:rsidR="00B836C6">
        <w:t xml:space="preserve"> </w:t>
      </w:r>
    </w:p>
    <w:p w14:paraId="5F0E32D9" w14:textId="77777777" w:rsidR="0074274A" w:rsidRPr="00F76BC3" w:rsidRDefault="00730A01" w:rsidP="00443B59">
      <w:pPr>
        <w:pStyle w:val="Titre2"/>
        <w:numPr>
          <w:ilvl w:val="0"/>
          <w:numId w:val="96"/>
        </w:numPr>
        <w:rPr>
          <w:b w:val="0"/>
          <w:bCs/>
          <w:i w:val="0"/>
          <w:szCs w:val="24"/>
          <w:u w:val="single"/>
        </w:rPr>
      </w:pPr>
      <w:bookmarkStart w:id="49" w:name="_Toc211495212"/>
      <w:bookmarkStart w:id="50" w:name="_Toc211600631"/>
      <w:bookmarkEnd w:id="48"/>
      <w:r w:rsidRPr="00F76BC3">
        <w:rPr>
          <w:i w:val="0"/>
          <w:szCs w:val="24"/>
          <w:u w:val="single"/>
          <w:lang w:eastAsia="fr-CA"/>
        </w:rPr>
        <w:t>Représentations frauduleuses sur les garanties et les risques liés aux</w:t>
      </w:r>
      <w:r w:rsidRPr="00F76BC3">
        <w:rPr>
          <w:i w:val="0"/>
          <w:szCs w:val="24"/>
          <w:u w:val="single"/>
        </w:rPr>
        <w:t xml:space="preserve"> fonds FIISH et Q-12</w:t>
      </w:r>
      <w:bookmarkEnd w:id="49"/>
      <w:bookmarkEnd w:id="50"/>
    </w:p>
    <w:p w14:paraId="3EC19A5B" w14:textId="77777777" w:rsidR="0074274A" w:rsidRPr="007702BD" w:rsidRDefault="00730A01" w:rsidP="0098012F">
      <w:pPr>
        <w:pStyle w:val="Paragraphe"/>
        <w:tabs>
          <w:tab w:val="clear" w:pos="786"/>
        </w:tabs>
        <w:spacing w:line="240" w:lineRule="auto"/>
        <w:ind w:left="0"/>
        <w:rPr>
          <w:b/>
        </w:rPr>
      </w:pPr>
      <w:r w:rsidRPr="00AF2995">
        <w:t>Giroux a induit les commanditaires en erreur en leur garantissant faussement que les placements étaient sécurisés par des «</w:t>
      </w:r>
      <w:r w:rsidR="001835B8">
        <w:t> </w:t>
      </w:r>
      <w:r w:rsidRPr="00AF2995">
        <w:t>garanties béton</w:t>
      </w:r>
      <w:r w:rsidR="001835B8">
        <w:t> </w:t>
      </w:r>
      <w:r w:rsidRPr="00AF2995">
        <w:t>» et sans risques, ce qui s’est révélé faux.</w:t>
      </w:r>
    </w:p>
    <w:p w14:paraId="244B61A3" w14:textId="77777777" w:rsidR="0074274A" w:rsidRPr="00354845" w:rsidRDefault="00730A01" w:rsidP="0098012F">
      <w:pPr>
        <w:pStyle w:val="Paragraphe"/>
        <w:numPr>
          <w:ilvl w:val="0"/>
          <w:numId w:val="1"/>
        </w:numPr>
        <w:tabs>
          <w:tab w:val="clear" w:pos="786"/>
        </w:tabs>
        <w:spacing w:line="240" w:lineRule="auto"/>
        <w:ind w:left="0"/>
        <w:rPr>
          <w:rFonts w:cs="Arial"/>
        </w:rPr>
      </w:pPr>
      <w:r>
        <w:t>Tant relativement à Q-12 qu’à FIISH, Giroux affirmait que même en cas de défaut de Huot, ce serait une bonne nouvelle,</w:t>
      </w:r>
      <w:r w:rsidRPr="00C94DB2">
        <w:t xml:space="preserve"> « on reprendrait avec le sourire » car les actifs repris seraient rentables.</w:t>
      </w:r>
      <w:r>
        <w:t xml:space="preserve"> Il promettait à répétition aux investisseurs que l’analyse des projets était rigoureuse et que les garanties étaient amplement suffisantes, voire doublées. </w:t>
      </w:r>
    </w:p>
    <w:p w14:paraId="7AED761D" w14:textId="77777777" w:rsidR="0074274A" w:rsidRPr="00354845" w:rsidRDefault="00730A01" w:rsidP="0098012F">
      <w:pPr>
        <w:pStyle w:val="Paragraphe"/>
        <w:numPr>
          <w:ilvl w:val="0"/>
          <w:numId w:val="1"/>
        </w:numPr>
        <w:tabs>
          <w:tab w:val="clear" w:pos="786"/>
        </w:tabs>
        <w:spacing w:line="240" w:lineRule="auto"/>
        <w:ind w:left="0"/>
        <w:rPr>
          <w:rFonts w:cs="Arial"/>
        </w:rPr>
      </w:pPr>
      <w:r>
        <w:t>D’ailleurs</w:t>
      </w:r>
      <w:r w:rsidRPr="003B51FD">
        <w:t>, Giroux a</w:t>
      </w:r>
      <w:r>
        <w:t>dmet avoir</w:t>
      </w:r>
      <w:r w:rsidRPr="003B51FD">
        <w:t xml:space="preserve"> représenté aux commanditaires que leurs investissements étaient protégés par des garanties suffisantes, qui, si elle devait être réalisées, </w:t>
      </w:r>
      <w:r>
        <w:t>c</w:t>
      </w:r>
      <w:r w:rsidRPr="003B51FD">
        <w:t>e serait « avec le sourire » puisqu'il en résulterait un profit substantiel</w:t>
      </w:r>
      <w:r>
        <w:rPr>
          <w:rStyle w:val="Appelnotedebasdep"/>
        </w:rPr>
        <w:footnoteReference w:id="91"/>
      </w:r>
      <w:r w:rsidR="001835B8">
        <w:t>.</w:t>
      </w:r>
    </w:p>
    <w:p w14:paraId="02D936D1" w14:textId="77777777" w:rsidR="0074274A" w:rsidRPr="00D23EB5" w:rsidRDefault="00730A01" w:rsidP="0098012F">
      <w:pPr>
        <w:pStyle w:val="Paragraphe"/>
        <w:numPr>
          <w:ilvl w:val="0"/>
          <w:numId w:val="1"/>
        </w:numPr>
        <w:tabs>
          <w:tab w:val="clear" w:pos="786"/>
        </w:tabs>
        <w:spacing w:line="240" w:lineRule="auto"/>
        <w:ind w:left="0"/>
      </w:pPr>
      <w:r w:rsidRPr="007E098C">
        <w:rPr>
          <w:rFonts w:eastAsia="MS Mincho" w:cs="Arial"/>
          <w:szCs w:val="22"/>
          <w:lang w:eastAsia="en-US"/>
        </w:rPr>
        <w:t>À cet égard, le Tribunal tient</w:t>
      </w:r>
      <w:r>
        <w:rPr>
          <w:rFonts w:eastAsia="MS Mincho" w:cs="Arial"/>
          <w:szCs w:val="22"/>
          <w:lang w:eastAsia="en-US"/>
        </w:rPr>
        <w:t xml:space="preserve"> aussi</w:t>
      </w:r>
      <w:r w:rsidRPr="007E098C">
        <w:rPr>
          <w:rFonts w:eastAsia="MS Mincho" w:cs="Arial"/>
          <w:szCs w:val="22"/>
          <w:lang w:eastAsia="en-US"/>
        </w:rPr>
        <w:t xml:space="preserve"> compte des témoignages concordants de la grande majorité des commanditaires dont MM.</w:t>
      </w:r>
      <w:r w:rsidR="001835B8">
        <w:rPr>
          <w:rFonts w:eastAsia="MS Mincho" w:cs="Arial"/>
          <w:szCs w:val="22"/>
          <w:lang w:eastAsia="en-US"/>
        </w:rPr>
        <w:t> </w:t>
      </w:r>
      <w:r w:rsidRPr="007E098C">
        <w:rPr>
          <w:rFonts w:eastAsia="MS Mincho" w:cs="Arial"/>
          <w:szCs w:val="22"/>
          <w:lang w:eastAsia="en-US"/>
        </w:rPr>
        <w:t>Thabet, Denis, Cadrin, Moffet et St-Cyr affirmant que Giroux leur garantissait la sécurité des placements, la suffisance des garanties, et l’absence de risque réel</w:t>
      </w:r>
      <w:r>
        <w:rPr>
          <w:rStyle w:val="Appelnotedebasdep"/>
          <w:rFonts w:eastAsia="MS Mincho" w:cs="Arial"/>
          <w:szCs w:val="22"/>
          <w:lang w:eastAsia="en-US"/>
        </w:rPr>
        <w:footnoteReference w:id="92"/>
      </w:r>
      <w:r w:rsidRPr="007E098C">
        <w:rPr>
          <w:rFonts w:eastAsia="MS Mincho" w:cs="Arial"/>
          <w:szCs w:val="22"/>
          <w:lang w:eastAsia="en-US"/>
        </w:rPr>
        <w:t>.</w:t>
      </w:r>
      <w:r>
        <w:rPr>
          <w:rFonts w:cs="Arial"/>
        </w:rPr>
        <w:t xml:space="preserve"> </w:t>
      </w:r>
    </w:p>
    <w:p w14:paraId="6218A233" w14:textId="77777777" w:rsidR="0074274A" w:rsidRPr="00910E90" w:rsidRDefault="00730A01" w:rsidP="0098012F">
      <w:pPr>
        <w:pStyle w:val="Paragraphe"/>
        <w:numPr>
          <w:ilvl w:val="0"/>
          <w:numId w:val="1"/>
        </w:numPr>
        <w:tabs>
          <w:tab w:val="clear" w:pos="786"/>
        </w:tabs>
        <w:spacing w:line="240" w:lineRule="auto"/>
        <w:ind w:left="0"/>
      </w:pPr>
      <w:r w:rsidRPr="00910E90">
        <w:t>Or, les prêts étaient mal structurés, risqués et déficients</w:t>
      </w:r>
      <w:r>
        <w:rPr>
          <w:rStyle w:val="Appelnotedebasdep"/>
        </w:rPr>
        <w:footnoteReference w:id="93"/>
      </w:r>
      <w:r w:rsidRPr="00910E90">
        <w:t xml:space="preserve">. </w:t>
      </w:r>
    </w:p>
    <w:p w14:paraId="66137A29" w14:textId="77777777" w:rsidR="0074274A" w:rsidRDefault="00730A01" w:rsidP="0098012F">
      <w:pPr>
        <w:pStyle w:val="Paragraphe"/>
        <w:numPr>
          <w:ilvl w:val="0"/>
          <w:numId w:val="1"/>
        </w:numPr>
        <w:tabs>
          <w:tab w:val="clear" w:pos="786"/>
        </w:tabs>
        <w:spacing w:line="240" w:lineRule="auto"/>
        <w:ind w:left="0"/>
      </w:pPr>
      <w:r>
        <w:rPr>
          <w:lang w:eastAsia="fr-CA"/>
        </w:rPr>
        <w:t xml:space="preserve">La demanderesse Bianca Freeman résume assez bien la situation dans son témoignage en contre-interrogatoire lorsqu’elle fait allusion </w:t>
      </w:r>
      <w:r w:rsidRPr="008555F8">
        <w:rPr>
          <w:lang w:eastAsia="fr-CA"/>
        </w:rPr>
        <w:t>au prospectus</w:t>
      </w:r>
      <w:r>
        <w:rPr>
          <w:rStyle w:val="Appelnotedebasdep"/>
          <w:lang w:eastAsia="fr-CA"/>
        </w:rPr>
        <w:footnoteReference w:id="94"/>
      </w:r>
      <w:r>
        <w:rPr>
          <w:lang w:eastAsia="fr-CA"/>
        </w:rPr>
        <w:t xml:space="preserve"> qui lui avait été remis par X2 pour expliquer l’ensemble des fonds offerts pour l’orienter dans son choix d’investissement. Faisant référence à ce prospectus et au document de « mise en garde </w:t>
      </w:r>
      <w:r w:rsidRPr="00CF6050">
        <w:rPr>
          <w:lang w:eastAsia="fr-CA"/>
        </w:rPr>
        <w:t>»</w:t>
      </w:r>
      <w:r>
        <w:rPr>
          <w:lang w:eastAsia="fr-CA"/>
        </w:rPr>
        <w:t xml:space="preserve"> prévu par l’Autorité des marchés financiers (« </w:t>
      </w:r>
      <w:r>
        <w:rPr>
          <w:b/>
          <w:bCs/>
          <w:lang w:eastAsia="fr-CA"/>
        </w:rPr>
        <w:t>AMF</w:t>
      </w:r>
      <w:r>
        <w:rPr>
          <w:lang w:eastAsia="fr-CA"/>
        </w:rPr>
        <w:t xml:space="preserve"> ») concernant le risque lié à ses investissements qu’elle a dû signer, </w:t>
      </w:r>
      <w:r w:rsidRPr="00CF6050">
        <w:rPr>
          <w:lang w:eastAsia="fr-CA"/>
        </w:rPr>
        <w:t>elle mentionne :</w:t>
      </w:r>
    </w:p>
    <w:p w14:paraId="14425C80" w14:textId="77777777" w:rsidR="0074274A" w:rsidRPr="0074205E" w:rsidRDefault="00730A01" w:rsidP="00307881">
      <w:pPr>
        <w:pStyle w:val="Citationenretrait"/>
        <w:spacing w:after="0"/>
        <w:ind w:right="539"/>
      </w:pPr>
      <w:r w:rsidRPr="0074205E">
        <w:t xml:space="preserve">Alors, mon analyse était... était assez simple, que Q-12 était un bon... euh... un bon véhicule, puis c'était pas risqué, parce que c’étaient des prêts diversifiés en immobilier. </w:t>
      </w:r>
      <w:bookmarkStart w:id="51" w:name="_Hlk204597215"/>
      <w:r w:rsidRPr="00860788">
        <w:rPr>
          <w:u w:val="single"/>
        </w:rPr>
        <w:t>Le risque, ça ne permet pas la fraude</w:t>
      </w:r>
      <w:r>
        <w:rPr>
          <w:rStyle w:val="Appelnotedebasdep"/>
        </w:rPr>
        <w:footnoteReference w:id="95"/>
      </w:r>
      <w:bookmarkEnd w:id="51"/>
      <w:r w:rsidR="001835B8">
        <w:t>!</w:t>
      </w:r>
    </w:p>
    <w:p w14:paraId="50E359AA" w14:textId="77777777" w:rsidR="0074274A" w:rsidRPr="001835B8" w:rsidRDefault="00730A01" w:rsidP="00252A4B">
      <w:pPr>
        <w:pStyle w:val="Citationenretrait"/>
        <w:ind w:right="539"/>
        <w:jc w:val="right"/>
        <w:rPr>
          <w:sz w:val="20"/>
        </w:rPr>
      </w:pPr>
      <w:r w:rsidRPr="001835B8">
        <w:rPr>
          <w:sz w:val="20"/>
        </w:rPr>
        <w:t xml:space="preserve">[Nos soulignés] </w:t>
      </w:r>
    </w:p>
    <w:p w14:paraId="3CF3AD51" w14:textId="77777777" w:rsidR="008159E9" w:rsidRPr="00F76BC3" w:rsidRDefault="00730A01" w:rsidP="00443B59">
      <w:pPr>
        <w:pStyle w:val="Titre2"/>
        <w:numPr>
          <w:ilvl w:val="0"/>
          <w:numId w:val="96"/>
        </w:numPr>
        <w:rPr>
          <w:rFonts w:eastAsia="MS Gothic"/>
          <w:bCs/>
          <w:i w:val="0"/>
          <w:iCs/>
          <w:u w:val="single"/>
        </w:rPr>
      </w:pPr>
      <w:bookmarkStart w:id="52" w:name="_Toc211495213"/>
      <w:bookmarkStart w:id="53" w:name="_Toc211600632"/>
      <w:r w:rsidRPr="00F76BC3">
        <w:rPr>
          <w:rFonts w:eastAsia="MS Gothic"/>
          <w:i w:val="0"/>
          <w:iCs/>
          <w:u w:val="single"/>
        </w:rPr>
        <w:t>Le manque de contrôle prudentiel</w:t>
      </w:r>
      <w:r w:rsidR="00EA3DDC" w:rsidRPr="00F76BC3">
        <w:rPr>
          <w:rFonts w:eastAsia="MS Gothic"/>
          <w:i w:val="0"/>
          <w:iCs/>
          <w:u w:val="single"/>
        </w:rPr>
        <w:t xml:space="preserve"> (tant par FIISH que Q</w:t>
      </w:r>
      <w:r w:rsidR="00EA3DDC" w:rsidRPr="00F76BC3">
        <w:rPr>
          <w:rFonts w:eastAsia="MS Gothic"/>
          <w:i w:val="0"/>
          <w:iCs/>
          <w:u w:val="single"/>
        </w:rPr>
        <w:noBreakHyphen/>
        <w:t>12)</w:t>
      </w:r>
      <w:bookmarkEnd w:id="52"/>
      <w:bookmarkEnd w:id="53"/>
    </w:p>
    <w:p w14:paraId="6B4CDF1B" w14:textId="77777777" w:rsidR="00EA3DDC" w:rsidRDefault="00730A01" w:rsidP="00EA3DDC">
      <w:pPr>
        <w:pStyle w:val="Paragraphe"/>
        <w:numPr>
          <w:ilvl w:val="0"/>
          <w:numId w:val="1"/>
        </w:numPr>
        <w:tabs>
          <w:tab w:val="clear" w:pos="786"/>
        </w:tabs>
        <w:spacing w:line="240" w:lineRule="auto"/>
        <w:ind w:left="0"/>
        <w:rPr>
          <w:rFonts w:cs="Arial"/>
          <w:szCs w:val="24"/>
          <w:lang w:eastAsia="fr-CA"/>
        </w:rPr>
      </w:pPr>
      <w:r w:rsidRPr="00427B95">
        <w:t>D’abord</w:t>
      </w:r>
      <w:r w:rsidRPr="00427B95">
        <w:rPr>
          <w:rFonts w:cs="Arial"/>
          <w:szCs w:val="24"/>
          <w:lang w:eastAsia="fr-CA"/>
        </w:rPr>
        <w:t>, comme déjà vu précédemment, les conventions des société</w:t>
      </w:r>
      <w:r>
        <w:rPr>
          <w:rFonts w:cs="Arial"/>
          <w:szCs w:val="24"/>
          <w:lang w:eastAsia="fr-CA"/>
        </w:rPr>
        <w:t>s</w:t>
      </w:r>
      <w:r w:rsidRPr="00427B95">
        <w:rPr>
          <w:rFonts w:cs="Arial"/>
          <w:szCs w:val="24"/>
          <w:lang w:eastAsia="fr-CA"/>
        </w:rPr>
        <w:t xml:space="preserve"> en commandite FIISH et Q-</w:t>
      </w:r>
      <w:r>
        <w:rPr>
          <w:rFonts w:cs="Arial"/>
          <w:szCs w:val="24"/>
          <w:lang w:eastAsia="fr-CA"/>
        </w:rPr>
        <w:t>1</w:t>
      </w:r>
      <w:r w:rsidRPr="00427B95">
        <w:rPr>
          <w:rFonts w:cs="Arial"/>
          <w:szCs w:val="24"/>
          <w:lang w:eastAsia="fr-CA"/>
        </w:rPr>
        <w:t>2 prévoient un cadre strict de gouvernance, incluant la nécessité d’analyses préalables, d’un suivi rigoureux des prêts et du respect des normes de prudence de l’industrie</w:t>
      </w:r>
      <w:r>
        <w:rPr>
          <w:rStyle w:val="Appelnotedebasdep"/>
          <w:rFonts w:cs="Arial"/>
          <w:szCs w:val="24"/>
          <w:lang w:eastAsia="fr-CA"/>
        </w:rPr>
        <w:footnoteReference w:id="96"/>
      </w:r>
      <w:r>
        <w:rPr>
          <w:rFonts w:cs="Arial"/>
          <w:szCs w:val="24"/>
          <w:lang w:eastAsia="fr-CA"/>
        </w:rPr>
        <w:t xml:space="preserve">. </w:t>
      </w:r>
      <w:r w:rsidRPr="00427B95">
        <w:rPr>
          <w:rFonts w:cs="Arial"/>
        </w:rPr>
        <w:t>L</w:t>
      </w:r>
      <w:r w:rsidRPr="00427B95">
        <w:rPr>
          <w:rFonts w:cs="Arial"/>
          <w:szCs w:val="24"/>
          <w:lang w:eastAsia="fr-CA"/>
        </w:rPr>
        <w:t>es commanditaires étaient en droit de s’attendre que pour les décisions importantes de financement, les pouvoirs de celui à qui ils remettaient leur argent étaient exercés honnêtement et de bonne foi, en faisant preuve de la diligence et de la compétence dont ferait preuve, dans des circonstances comparables, toute personne raisonnable et prudente ayant de l’expérience.</w:t>
      </w:r>
    </w:p>
    <w:p w14:paraId="7F17F11C" w14:textId="77777777" w:rsidR="00EA3DDC" w:rsidRDefault="00730A01" w:rsidP="00EA3DDC">
      <w:pPr>
        <w:pStyle w:val="Paragraphe"/>
        <w:numPr>
          <w:ilvl w:val="0"/>
          <w:numId w:val="1"/>
        </w:numPr>
        <w:tabs>
          <w:tab w:val="clear" w:pos="786"/>
        </w:tabs>
        <w:spacing w:line="240" w:lineRule="auto"/>
        <w:ind w:left="0"/>
        <w:rPr>
          <w:rFonts w:cs="Arial"/>
          <w:szCs w:val="24"/>
          <w:lang w:eastAsia="fr-CA"/>
        </w:rPr>
      </w:pPr>
      <w:r w:rsidRPr="00EA3DDC">
        <w:rPr>
          <w:rFonts w:cs="Arial"/>
          <w:szCs w:val="24"/>
          <w:lang w:eastAsia="fr-CA"/>
        </w:rPr>
        <w:t>Pourtant, ces mécanismes de gouvernance et de contrôle prudentiel n’ont jamais été mis en place. Au contraire, « il n’existait pas d’analyse réelle en lien avec les prêts consentis au Groupe Huot », et les prétendues vérifications de St-Gelais reposaient uniquement sur les données fournies par Huot, sans validation indépendante. Bien que St-Gelais ait recommandé la mise en place d’un vérificateur interne au sein du Groupe Huot, aucune mesure de contrôle n’a été instaurée par Giroux et ses associés</w:t>
      </w:r>
      <w:r>
        <w:rPr>
          <w:rStyle w:val="Appelnotedebasdep"/>
          <w:rFonts w:cs="Arial"/>
          <w:szCs w:val="24"/>
          <w:lang w:eastAsia="fr-CA"/>
        </w:rPr>
        <w:footnoteReference w:id="97"/>
      </w:r>
      <w:r w:rsidRPr="00EA3DDC">
        <w:rPr>
          <w:rFonts w:cs="Arial"/>
          <w:szCs w:val="24"/>
          <w:lang w:eastAsia="fr-CA"/>
        </w:rPr>
        <w:t xml:space="preserve">. </w:t>
      </w:r>
    </w:p>
    <w:p w14:paraId="5489CB5D" w14:textId="77777777" w:rsidR="00EA3DDC" w:rsidRDefault="00730A01" w:rsidP="00EA3DDC">
      <w:pPr>
        <w:pStyle w:val="Paragraphe"/>
        <w:numPr>
          <w:ilvl w:val="0"/>
          <w:numId w:val="1"/>
        </w:numPr>
        <w:tabs>
          <w:tab w:val="clear" w:pos="786"/>
        </w:tabs>
        <w:spacing w:line="240" w:lineRule="auto"/>
        <w:ind w:left="0"/>
        <w:rPr>
          <w:rFonts w:cs="Arial"/>
          <w:szCs w:val="24"/>
          <w:lang w:eastAsia="fr-CA"/>
        </w:rPr>
      </w:pPr>
      <w:r w:rsidRPr="00EA3DDC">
        <w:rPr>
          <w:rFonts w:cs="Arial"/>
          <w:szCs w:val="24"/>
          <w:lang w:eastAsia="fr-CA"/>
        </w:rPr>
        <w:t>Les commanditaires eux-mêmes témoignent qu’ils avaient investi en croyant à l’existence de tels mécanismes de prudence et confirment que leurs attentes étaient alimentées par les représentations de Giroux, selon lesquelles leurs placements étaient sécurisés, bien encadrés et appuyés par un suivi rigoureux</w:t>
      </w:r>
      <w:r>
        <w:rPr>
          <w:rStyle w:val="Appelnotedebasdep"/>
          <w:rFonts w:cs="Arial"/>
          <w:szCs w:val="24"/>
          <w:lang w:eastAsia="fr-CA"/>
        </w:rPr>
        <w:footnoteReference w:id="98"/>
      </w:r>
      <w:r w:rsidRPr="00EA3DDC">
        <w:rPr>
          <w:rFonts w:cs="Arial"/>
          <w:szCs w:val="24"/>
          <w:lang w:eastAsia="fr-CA"/>
        </w:rPr>
        <w:t>. Ainsi, la sécurité des investissements et la possibilité de reprendre facilement les projets financés étaient présentées comme garanties, alors qu’aucun contrôle effectif n’existait.</w:t>
      </w:r>
    </w:p>
    <w:p w14:paraId="454B82EE" w14:textId="77777777" w:rsidR="00EA3DDC" w:rsidRPr="00EA3DDC" w:rsidRDefault="00730A01" w:rsidP="00EA3DDC">
      <w:pPr>
        <w:pStyle w:val="Paragraphe"/>
        <w:numPr>
          <w:ilvl w:val="0"/>
          <w:numId w:val="1"/>
        </w:numPr>
        <w:tabs>
          <w:tab w:val="clear" w:pos="786"/>
        </w:tabs>
        <w:spacing w:line="240" w:lineRule="auto"/>
        <w:ind w:left="0"/>
        <w:rPr>
          <w:rFonts w:cs="Arial"/>
          <w:szCs w:val="24"/>
          <w:lang w:eastAsia="fr-CA"/>
        </w:rPr>
      </w:pPr>
      <w:r w:rsidRPr="00EA3DDC">
        <w:rPr>
          <w:rFonts w:cs="Arial"/>
          <w:szCs w:val="24"/>
          <w:lang w:eastAsia="fr-CA"/>
        </w:rPr>
        <w:t>En somme, la contradiction est manifeste</w:t>
      </w:r>
      <w:r w:rsidR="001835B8">
        <w:rPr>
          <w:rFonts w:cs="Arial"/>
          <w:szCs w:val="24"/>
          <w:lang w:eastAsia="fr-CA"/>
        </w:rPr>
        <w:t> </w:t>
      </w:r>
      <w:r w:rsidRPr="00EA3DDC">
        <w:rPr>
          <w:rFonts w:cs="Arial"/>
          <w:szCs w:val="24"/>
          <w:lang w:eastAsia="fr-CA"/>
        </w:rPr>
        <w:t>:</w:t>
      </w:r>
      <w:r w:rsidR="001835B8">
        <w:rPr>
          <w:rFonts w:cs="Arial"/>
          <w:szCs w:val="24"/>
          <w:lang w:eastAsia="fr-CA"/>
        </w:rPr>
        <w:t> </w:t>
      </w:r>
      <w:r w:rsidRPr="00EA3DDC">
        <w:rPr>
          <w:rFonts w:cs="Arial"/>
          <w:szCs w:val="24"/>
          <w:lang w:eastAsia="fr-CA"/>
        </w:rPr>
        <w:t>les conventions et représentations créaient une attente légitime de gouvernance et de diligence, mais en pratique, Giroux a concentré seul le pouvoir décisionnel et refusé d’instaurer les mécanismes de contrôle attendus.</w:t>
      </w:r>
    </w:p>
    <w:p w14:paraId="7CEABD9F" w14:textId="77777777" w:rsidR="007A6C58" w:rsidRPr="00BE4B6D" w:rsidRDefault="00730A01" w:rsidP="00443B59">
      <w:pPr>
        <w:pStyle w:val="Titre2"/>
        <w:numPr>
          <w:ilvl w:val="0"/>
          <w:numId w:val="96"/>
        </w:numPr>
        <w:rPr>
          <w:rFonts w:eastAsia="MS Gothic"/>
          <w:b w:val="0"/>
          <w:bCs/>
          <w:i w:val="0"/>
          <w:iCs/>
          <w:szCs w:val="24"/>
          <w:u w:val="single"/>
        </w:rPr>
      </w:pPr>
      <w:bookmarkStart w:id="54" w:name="_Toc211495214"/>
      <w:bookmarkStart w:id="55" w:name="_Toc211600633"/>
      <w:r w:rsidRPr="00BE4B6D">
        <w:rPr>
          <w:rFonts w:eastAsia="MS Gothic"/>
          <w:i w:val="0"/>
          <w:iCs/>
          <w:szCs w:val="24"/>
          <w:u w:val="single"/>
          <w:lang w:eastAsia="en-US"/>
        </w:rPr>
        <w:t>Omission de divulguer les difficultés fina</w:t>
      </w:r>
      <w:r w:rsidRPr="00BE4B6D">
        <w:rPr>
          <w:i w:val="0"/>
          <w:iCs/>
          <w:szCs w:val="24"/>
          <w:u w:val="single"/>
          <w:lang w:eastAsia="fr-CA"/>
        </w:rPr>
        <w:t>ncières</w:t>
      </w:r>
      <w:bookmarkEnd w:id="54"/>
      <w:bookmarkEnd w:id="55"/>
    </w:p>
    <w:p w14:paraId="547982CF" w14:textId="77777777" w:rsidR="004074B0" w:rsidRDefault="00730A01" w:rsidP="0098012F">
      <w:pPr>
        <w:pStyle w:val="Paragraphe"/>
        <w:tabs>
          <w:tab w:val="clear" w:pos="786"/>
        </w:tabs>
        <w:spacing w:line="240" w:lineRule="auto"/>
        <w:ind w:left="0"/>
        <w:rPr>
          <w:rFonts w:ascii="Times New Roman" w:eastAsia="MS Mincho" w:hAnsi="Times New Roman"/>
          <w:szCs w:val="22"/>
          <w:lang w:eastAsia="en-US"/>
        </w:rPr>
      </w:pPr>
      <w:r w:rsidRPr="008F76BE">
        <w:t xml:space="preserve">Giroux </w:t>
      </w:r>
      <w:r w:rsidRPr="008F76BE">
        <w:rPr>
          <w:rFonts w:eastAsia="MS Mincho"/>
          <w:lang w:eastAsia="en-US"/>
        </w:rPr>
        <w:t>savait</w:t>
      </w:r>
      <w:r w:rsidR="003B51FD">
        <w:rPr>
          <w:rFonts w:eastAsia="MS Mincho"/>
          <w:lang w:eastAsia="en-US"/>
        </w:rPr>
        <w:t>, à la suite de la rencontre du 2</w:t>
      </w:r>
      <w:r w:rsidR="00192E75">
        <w:rPr>
          <w:rFonts w:eastAsia="MS Mincho"/>
          <w:lang w:eastAsia="en-US"/>
        </w:rPr>
        <w:t> </w:t>
      </w:r>
      <w:r w:rsidRPr="008F76BE">
        <w:rPr>
          <w:rFonts w:eastAsia="MS Mincho"/>
          <w:lang w:eastAsia="en-US"/>
        </w:rPr>
        <w:t>mars</w:t>
      </w:r>
      <w:r w:rsidR="001835B8">
        <w:rPr>
          <w:rFonts w:eastAsia="MS Mincho"/>
          <w:lang w:eastAsia="en-US"/>
        </w:rPr>
        <w:t> </w:t>
      </w:r>
      <w:r w:rsidRPr="008F76BE">
        <w:rPr>
          <w:rFonts w:eastAsia="MS Mincho"/>
          <w:lang w:eastAsia="en-US"/>
        </w:rPr>
        <w:t>2022</w:t>
      </w:r>
      <w:r w:rsidR="003B51FD">
        <w:rPr>
          <w:rFonts w:eastAsia="MS Mincho"/>
          <w:lang w:eastAsia="en-US"/>
        </w:rPr>
        <w:t xml:space="preserve"> que</w:t>
      </w:r>
      <w:r w:rsidRPr="008F76BE">
        <w:rPr>
          <w:lang w:eastAsia="fr-CA"/>
        </w:rPr>
        <w:t xml:space="preserve"> Huot</w:t>
      </w:r>
      <w:r w:rsidRPr="008F76BE">
        <w:rPr>
          <w:rFonts w:eastAsia="MS Mincho"/>
          <w:lang w:eastAsia="en-US"/>
        </w:rPr>
        <w:t xml:space="preserve"> ne pouvait plus respecter ses obligations financières. Il</w:t>
      </w:r>
      <w:r w:rsidR="00D64BBC">
        <w:rPr>
          <w:rFonts w:eastAsia="MS Mincho"/>
          <w:lang w:eastAsia="en-US"/>
        </w:rPr>
        <w:t xml:space="preserve"> n’en a </w:t>
      </w:r>
      <w:r w:rsidRPr="008F76BE">
        <w:rPr>
          <w:rFonts w:eastAsia="MS Mincho"/>
          <w:lang w:eastAsia="en-US"/>
        </w:rPr>
        <w:t>toutefois rien dit aux commanditaires</w:t>
      </w:r>
      <w:r>
        <w:rPr>
          <w:rStyle w:val="Appelnotedebasdep"/>
          <w:rFonts w:eastAsia="MS Mincho"/>
          <w:lang w:eastAsia="en-US"/>
        </w:rPr>
        <w:footnoteReference w:id="99"/>
      </w:r>
      <w:r w:rsidR="00E142C0">
        <w:rPr>
          <w:rFonts w:eastAsia="MS Mincho"/>
          <w:lang w:eastAsia="en-US"/>
        </w:rPr>
        <w:t>.</w:t>
      </w:r>
    </w:p>
    <w:p w14:paraId="549C1764" w14:textId="77777777" w:rsidR="00687100" w:rsidRDefault="00730A01" w:rsidP="0098012F">
      <w:pPr>
        <w:pStyle w:val="Paragraphe"/>
        <w:tabs>
          <w:tab w:val="clear" w:pos="786"/>
        </w:tabs>
        <w:spacing w:line="240" w:lineRule="auto"/>
        <w:ind w:left="0"/>
        <w:rPr>
          <w:rFonts w:cs="Arial"/>
        </w:rPr>
      </w:pPr>
      <w:r w:rsidRPr="00E142C0">
        <w:rPr>
          <w:rFonts w:cs="Arial"/>
          <w:lang w:eastAsia="fr-CA"/>
        </w:rPr>
        <w:t>L</w:t>
      </w:r>
      <w:r w:rsidR="007A6C58" w:rsidRPr="00E142C0">
        <w:rPr>
          <w:rFonts w:cs="Arial"/>
          <w:lang w:eastAsia="fr-CA"/>
        </w:rPr>
        <w:t>es témoignages de</w:t>
      </w:r>
      <w:r w:rsidRPr="00E142C0">
        <w:rPr>
          <w:rFonts w:cs="Arial"/>
          <w:lang w:eastAsia="fr-CA"/>
        </w:rPr>
        <w:t>s témoins suivant</w:t>
      </w:r>
      <w:r w:rsidR="00B71AF3">
        <w:rPr>
          <w:rFonts w:cs="Arial"/>
          <w:lang w:eastAsia="fr-CA"/>
        </w:rPr>
        <w:t>s</w:t>
      </w:r>
      <w:r w:rsidRPr="00E142C0">
        <w:rPr>
          <w:rFonts w:cs="Arial"/>
          <w:lang w:eastAsia="fr-CA"/>
        </w:rPr>
        <w:t xml:space="preserve"> sont clairs à cet effet :</w:t>
      </w:r>
      <w:r w:rsidR="007A6C58" w:rsidRPr="00E142C0">
        <w:rPr>
          <w:rFonts w:cs="Arial"/>
          <w:lang w:eastAsia="fr-CA"/>
        </w:rPr>
        <w:t xml:space="preserve"> </w:t>
      </w:r>
      <w:r w:rsidR="007E60ED" w:rsidRPr="00E142C0">
        <w:rPr>
          <w:rFonts w:cs="Arial"/>
          <w:lang w:eastAsia="fr-CA"/>
        </w:rPr>
        <w:t>Denis St-Cyr</w:t>
      </w:r>
      <w:r>
        <w:rPr>
          <w:rStyle w:val="Appelnotedebasdep"/>
          <w:rFonts w:cs="Arial"/>
          <w:lang w:eastAsia="fr-CA"/>
        </w:rPr>
        <w:footnoteReference w:id="100"/>
      </w:r>
      <w:r w:rsidR="007E60ED" w:rsidRPr="00E142C0">
        <w:rPr>
          <w:rFonts w:cs="Arial"/>
          <w:lang w:eastAsia="fr-CA"/>
        </w:rPr>
        <w:t>, Laurent Prémont</w:t>
      </w:r>
      <w:r>
        <w:rPr>
          <w:rStyle w:val="Appelnotedebasdep"/>
          <w:rFonts w:cs="Arial"/>
          <w:lang w:eastAsia="fr-CA"/>
        </w:rPr>
        <w:footnoteReference w:id="101"/>
      </w:r>
      <w:r w:rsidR="007E60ED" w:rsidRPr="00E142C0">
        <w:rPr>
          <w:rFonts w:cs="Arial"/>
          <w:lang w:eastAsia="fr-CA"/>
        </w:rPr>
        <w:t>, Jocelyn Giguère</w:t>
      </w:r>
      <w:r>
        <w:rPr>
          <w:rStyle w:val="Appelnotedebasdep"/>
          <w:rFonts w:cs="Arial"/>
          <w:lang w:eastAsia="fr-CA"/>
        </w:rPr>
        <w:footnoteReference w:id="102"/>
      </w:r>
      <w:r w:rsidR="007E60ED" w:rsidRPr="00E142C0">
        <w:rPr>
          <w:rFonts w:cs="Arial"/>
          <w:lang w:eastAsia="fr-CA"/>
        </w:rPr>
        <w:t>, Serge Ferland</w:t>
      </w:r>
      <w:r>
        <w:rPr>
          <w:rStyle w:val="Appelnotedebasdep"/>
          <w:rFonts w:cs="Arial"/>
          <w:lang w:eastAsia="fr-CA"/>
        </w:rPr>
        <w:footnoteReference w:id="103"/>
      </w:r>
      <w:r w:rsidR="007E60ED" w:rsidRPr="00E142C0">
        <w:rPr>
          <w:rFonts w:cs="Arial"/>
          <w:lang w:eastAsia="fr-CA"/>
        </w:rPr>
        <w:t>, Patrick Brière</w:t>
      </w:r>
      <w:r>
        <w:rPr>
          <w:rStyle w:val="Appelnotedebasdep"/>
          <w:rFonts w:cs="Arial"/>
          <w:lang w:eastAsia="fr-CA"/>
        </w:rPr>
        <w:footnoteReference w:id="104"/>
      </w:r>
      <w:r w:rsidR="007E60ED" w:rsidRPr="00E142C0">
        <w:rPr>
          <w:rFonts w:cs="Arial"/>
          <w:lang w:eastAsia="fr-CA"/>
        </w:rPr>
        <w:t xml:space="preserve">, </w:t>
      </w:r>
      <w:r w:rsidR="00FC0CAA" w:rsidRPr="00E142C0">
        <w:rPr>
          <w:rFonts w:cs="Arial"/>
          <w:lang w:eastAsia="fr-CA"/>
        </w:rPr>
        <w:t>Éric</w:t>
      </w:r>
      <w:r w:rsidR="007E60ED" w:rsidRPr="00E142C0">
        <w:rPr>
          <w:rFonts w:cs="Arial"/>
          <w:lang w:eastAsia="fr-CA"/>
        </w:rPr>
        <w:t xml:space="preserve"> Tremblay</w:t>
      </w:r>
      <w:r>
        <w:rPr>
          <w:rStyle w:val="Appelnotedebasdep"/>
          <w:rFonts w:cs="Arial"/>
          <w:lang w:eastAsia="fr-CA"/>
        </w:rPr>
        <w:footnoteReference w:id="105"/>
      </w:r>
      <w:r w:rsidR="007E60ED" w:rsidRPr="00E142C0">
        <w:rPr>
          <w:rFonts w:cs="Arial"/>
          <w:lang w:eastAsia="fr-CA"/>
        </w:rPr>
        <w:t>, Robert Robitaille</w:t>
      </w:r>
      <w:r>
        <w:rPr>
          <w:rStyle w:val="Appelnotedebasdep"/>
          <w:rFonts w:cs="Arial"/>
          <w:lang w:eastAsia="fr-CA"/>
        </w:rPr>
        <w:footnoteReference w:id="106"/>
      </w:r>
      <w:r w:rsidRPr="00E142C0">
        <w:rPr>
          <w:rFonts w:cs="Arial"/>
          <w:lang w:eastAsia="fr-CA"/>
        </w:rPr>
        <w:t xml:space="preserve">, </w:t>
      </w:r>
      <w:r w:rsidR="007E60ED" w:rsidRPr="00E142C0">
        <w:rPr>
          <w:rFonts w:cs="Arial"/>
          <w:lang w:eastAsia="fr-CA"/>
        </w:rPr>
        <w:t>Pierre Breton</w:t>
      </w:r>
      <w:r>
        <w:rPr>
          <w:rStyle w:val="Appelnotedebasdep"/>
          <w:rFonts w:cs="Arial"/>
          <w:lang w:eastAsia="fr-CA"/>
        </w:rPr>
        <w:footnoteReference w:id="107"/>
      </w:r>
      <w:r w:rsidRPr="00E142C0">
        <w:rPr>
          <w:rFonts w:cs="Arial"/>
          <w:lang w:eastAsia="fr-CA"/>
        </w:rPr>
        <w:t xml:space="preserve">, Alain </w:t>
      </w:r>
      <w:r w:rsidR="00A92015" w:rsidRPr="00E142C0">
        <w:rPr>
          <w:rFonts w:cs="Arial"/>
          <w:lang w:eastAsia="fr-CA"/>
        </w:rPr>
        <w:t>Roy</w:t>
      </w:r>
      <w:r>
        <w:rPr>
          <w:rStyle w:val="Appelnotedebasdep"/>
          <w:rFonts w:cs="Arial"/>
          <w:lang w:eastAsia="fr-CA"/>
        </w:rPr>
        <w:footnoteReference w:id="108"/>
      </w:r>
      <w:r w:rsidR="008C58EB">
        <w:rPr>
          <w:rFonts w:cs="Arial"/>
          <w:lang w:eastAsia="fr-CA"/>
        </w:rPr>
        <w:t xml:space="preserve">, </w:t>
      </w:r>
      <w:r w:rsidR="00A92015" w:rsidRPr="00E142C0">
        <w:rPr>
          <w:rFonts w:cs="Arial"/>
          <w:lang w:eastAsia="fr-CA"/>
        </w:rPr>
        <w:t>Paul-François Pouliot</w:t>
      </w:r>
      <w:r>
        <w:rPr>
          <w:rStyle w:val="Appelnotedebasdep"/>
          <w:rFonts w:cs="Arial"/>
          <w:lang w:eastAsia="fr-CA"/>
        </w:rPr>
        <w:footnoteReference w:id="109"/>
      </w:r>
      <w:r w:rsidR="008C58EB">
        <w:rPr>
          <w:rFonts w:cs="Arial"/>
          <w:lang w:eastAsia="fr-CA"/>
        </w:rPr>
        <w:t xml:space="preserve">, </w:t>
      </w:r>
      <w:r w:rsidR="00A92015" w:rsidRPr="00E142C0">
        <w:rPr>
          <w:rFonts w:cs="Arial"/>
          <w:lang w:eastAsia="fr-CA"/>
        </w:rPr>
        <w:t>Sylvain Tremblay</w:t>
      </w:r>
      <w:r>
        <w:rPr>
          <w:rStyle w:val="Appelnotedebasdep"/>
          <w:rFonts w:cs="Arial"/>
          <w:lang w:eastAsia="fr-CA"/>
        </w:rPr>
        <w:footnoteReference w:id="110"/>
      </w:r>
      <w:r w:rsidR="008C58EB">
        <w:rPr>
          <w:rFonts w:cs="Arial"/>
          <w:lang w:eastAsia="fr-CA"/>
        </w:rPr>
        <w:t xml:space="preserve">, Mario </w:t>
      </w:r>
      <w:r w:rsidR="00A92015" w:rsidRPr="00E142C0">
        <w:rPr>
          <w:rFonts w:cs="Arial"/>
          <w:lang w:eastAsia="fr-CA"/>
        </w:rPr>
        <w:t>Bernardo</w:t>
      </w:r>
      <w:r>
        <w:rPr>
          <w:rStyle w:val="Appelnotedebasdep"/>
          <w:rFonts w:cs="Arial"/>
          <w:lang w:eastAsia="fr-CA"/>
        </w:rPr>
        <w:footnoteReference w:id="111"/>
      </w:r>
      <w:r w:rsidR="008C58EB">
        <w:rPr>
          <w:rFonts w:cs="Arial"/>
          <w:lang w:eastAsia="fr-CA"/>
        </w:rPr>
        <w:t>,</w:t>
      </w:r>
      <w:r w:rsidR="00A92015" w:rsidRPr="00E142C0">
        <w:rPr>
          <w:rFonts w:cs="Arial"/>
          <w:lang w:eastAsia="fr-CA"/>
        </w:rPr>
        <w:t xml:space="preserve"> </w:t>
      </w:r>
      <w:r w:rsidR="00CA738C">
        <w:rPr>
          <w:rFonts w:cs="Arial"/>
          <w:lang w:eastAsia="fr-CA"/>
        </w:rPr>
        <w:t>Frankie Lafontaine</w:t>
      </w:r>
      <w:r>
        <w:rPr>
          <w:rStyle w:val="Appelnotedebasdep"/>
          <w:rFonts w:cs="Arial"/>
          <w:lang w:eastAsia="fr-CA"/>
        </w:rPr>
        <w:footnoteReference w:id="112"/>
      </w:r>
      <w:r w:rsidR="00CA738C">
        <w:rPr>
          <w:rFonts w:cs="Arial"/>
          <w:lang w:eastAsia="fr-CA"/>
        </w:rPr>
        <w:t>, Claudio Valpato</w:t>
      </w:r>
      <w:r>
        <w:rPr>
          <w:rStyle w:val="Appelnotedebasdep"/>
          <w:rFonts w:cs="Arial"/>
          <w:lang w:eastAsia="fr-CA"/>
        </w:rPr>
        <w:footnoteReference w:id="113"/>
      </w:r>
      <w:r w:rsidR="00CA738C">
        <w:rPr>
          <w:rFonts w:cs="Arial"/>
          <w:lang w:eastAsia="fr-CA"/>
        </w:rPr>
        <w:t>, Mario Lortie</w:t>
      </w:r>
      <w:r>
        <w:rPr>
          <w:rStyle w:val="Appelnotedebasdep"/>
          <w:rFonts w:cs="Arial"/>
          <w:lang w:eastAsia="fr-CA"/>
        </w:rPr>
        <w:footnoteReference w:id="114"/>
      </w:r>
      <w:r w:rsidR="00CA738C">
        <w:rPr>
          <w:rFonts w:cs="Arial"/>
          <w:lang w:eastAsia="fr-CA"/>
        </w:rPr>
        <w:t>, Alain Lemay</w:t>
      </w:r>
      <w:r>
        <w:rPr>
          <w:rStyle w:val="Appelnotedebasdep"/>
          <w:rFonts w:cs="Arial"/>
          <w:lang w:eastAsia="fr-CA"/>
        </w:rPr>
        <w:footnoteReference w:id="115"/>
      </w:r>
      <w:r w:rsidR="00CA738C">
        <w:rPr>
          <w:rFonts w:cs="Arial"/>
          <w:lang w:eastAsia="fr-CA"/>
        </w:rPr>
        <w:t>, Daniel Samson</w:t>
      </w:r>
      <w:r>
        <w:rPr>
          <w:rStyle w:val="Appelnotedebasdep"/>
          <w:rFonts w:cs="Arial"/>
          <w:lang w:eastAsia="fr-CA"/>
        </w:rPr>
        <w:footnoteReference w:id="116"/>
      </w:r>
      <w:r w:rsidR="00CA738C">
        <w:rPr>
          <w:rFonts w:cs="Arial"/>
          <w:lang w:eastAsia="fr-CA"/>
        </w:rPr>
        <w:t>, Pierre Pouliot</w:t>
      </w:r>
      <w:r>
        <w:rPr>
          <w:rStyle w:val="Appelnotedebasdep"/>
          <w:rFonts w:cs="Arial"/>
          <w:lang w:eastAsia="fr-CA"/>
        </w:rPr>
        <w:footnoteReference w:id="117"/>
      </w:r>
      <w:r w:rsidR="00CA738C">
        <w:rPr>
          <w:rFonts w:cs="Arial"/>
          <w:lang w:eastAsia="fr-CA"/>
        </w:rPr>
        <w:t>, Daniel Arguin</w:t>
      </w:r>
      <w:r>
        <w:rPr>
          <w:rStyle w:val="Appelnotedebasdep"/>
          <w:rFonts w:cs="Arial"/>
          <w:lang w:eastAsia="fr-CA"/>
        </w:rPr>
        <w:footnoteReference w:id="118"/>
      </w:r>
      <w:r w:rsidR="00CA738C">
        <w:rPr>
          <w:rFonts w:cs="Arial"/>
          <w:lang w:eastAsia="fr-CA"/>
        </w:rPr>
        <w:t>, Nancy Foley</w:t>
      </w:r>
      <w:r>
        <w:rPr>
          <w:rStyle w:val="Appelnotedebasdep"/>
          <w:rFonts w:cs="Arial"/>
          <w:lang w:eastAsia="fr-CA"/>
        </w:rPr>
        <w:footnoteReference w:id="119"/>
      </w:r>
      <w:r w:rsidR="00CA738C">
        <w:rPr>
          <w:rFonts w:cs="Arial"/>
          <w:lang w:eastAsia="fr-CA"/>
        </w:rPr>
        <w:t>, Bertrand Roberge</w:t>
      </w:r>
      <w:r>
        <w:rPr>
          <w:rStyle w:val="Appelnotedebasdep"/>
          <w:rFonts w:cs="Arial"/>
          <w:lang w:eastAsia="fr-CA"/>
        </w:rPr>
        <w:footnoteReference w:id="120"/>
      </w:r>
      <w:r w:rsidR="00CA738C">
        <w:rPr>
          <w:rFonts w:cs="Arial"/>
          <w:lang w:eastAsia="fr-CA"/>
        </w:rPr>
        <w:t>, Alain-Jacques Simard</w:t>
      </w:r>
      <w:r>
        <w:rPr>
          <w:rStyle w:val="Appelnotedebasdep"/>
          <w:rFonts w:cs="Arial"/>
          <w:lang w:eastAsia="fr-CA"/>
        </w:rPr>
        <w:footnoteReference w:id="121"/>
      </w:r>
      <w:r w:rsidR="00CA738C">
        <w:rPr>
          <w:rFonts w:cs="Arial"/>
          <w:lang w:eastAsia="fr-CA"/>
        </w:rPr>
        <w:t>.</w:t>
      </w:r>
    </w:p>
    <w:p w14:paraId="033A2927" w14:textId="77777777" w:rsidR="007A6C58" w:rsidRPr="003B51FD" w:rsidRDefault="00730A01" w:rsidP="0098012F">
      <w:pPr>
        <w:pStyle w:val="Paragraphe"/>
        <w:tabs>
          <w:tab w:val="clear" w:pos="786"/>
        </w:tabs>
        <w:spacing w:line="240" w:lineRule="auto"/>
        <w:ind w:left="0"/>
        <w:rPr>
          <w:rFonts w:cs="Arial"/>
        </w:rPr>
      </w:pPr>
      <w:r w:rsidRPr="00687100">
        <w:rPr>
          <w:rFonts w:cs="Arial"/>
          <w:szCs w:val="24"/>
          <w:lang w:eastAsia="fr-CA"/>
        </w:rPr>
        <w:t>Plusieurs commanditaires ont également témoigné qu’ils n’auraient pas investi ou auraient cessé d’investir s’ils avaient été informés du contenu de cette rencontre</w:t>
      </w:r>
      <w:r>
        <w:rPr>
          <w:rStyle w:val="Appelnotedebasdep"/>
          <w:rFonts w:cs="Arial"/>
          <w:szCs w:val="24"/>
          <w:lang w:eastAsia="fr-CA"/>
        </w:rPr>
        <w:footnoteReference w:id="122"/>
      </w:r>
      <w:r w:rsidRPr="00687100">
        <w:rPr>
          <w:rFonts w:cs="Arial"/>
          <w:szCs w:val="24"/>
          <w:lang w:eastAsia="fr-CA"/>
        </w:rPr>
        <w:t>.</w:t>
      </w:r>
    </w:p>
    <w:p w14:paraId="69497E21" w14:textId="77777777" w:rsidR="003B51FD" w:rsidRPr="00910E90" w:rsidRDefault="00730A01" w:rsidP="0098012F">
      <w:pPr>
        <w:pStyle w:val="Paragraphe"/>
        <w:tabs>
          <w:tab w:val="clear" w:pos="786"/>
        </w:tabs>
        <w:spacing w:line="240" w:lineRule="auto"/>
        <w:ind w:left="0"/>
        <w:rPr>
          <w:rFonts w:cs="Arial"/>
        </w:rPr>
      </w:pPr>
      <w:r w:rsidRPr="00910E90">
        <w:t xml:space="preserve">Ces manquements de transparence de la part de Giroux vont à l’encontre de l’obligation de loyauté et de vérité. Dans </w:t>
      </w:r>
      <w:r w:rsidRPr="00910E90">
        <w:rPr>
          <w:rStyle w:val="lev"/>
          <w:b w:val="0"/>
          <w:bCs w:val="0"/>
          <w:i/>
          <w:iCs/>
        </w:rPr>
        <w:t>Crawford</w:t>
      </w:r>
      <w:r w:rsidRPr="00910E90">
        <w:rPr>
          <w:rStyle w:val="lev"/>
          <w:b w:val="0"/>
          <w:bCs w:val="0"/>
        </w:rPr>
        <w:t xml:space="preserve"> c. </w:t>
      </w:r>
      <w:r w:rsidRPr="00910E90">
        <w:rPr>
          <w:rStyle w:val="lev"/>
          <w:b w:val="0"/>
          <w:bCs w:val="0"/>
          <w:i/>
          <w:iCs/>
        </w:rPr>
        <w:t>Crawford McGregor</w:t>
      </w:r>
      <w:r>
        <w:rPr>
          <w:rStyle w:val="Appelnotedebasdep"/>
        </w:rPr>
        <w:footnoteReference w:id="123"/>
      </w:r>
      <w:r w:rsidRPr="00910E90">
        <w:rPr>
          <w:b/>
          <w:bCs/>
        </w:rPr>
        <w:t>,</w:t>
      </w:r>
      <w:r w:rsidR="005856C5" w:rsidRPr="00910E90">
        <w:t xml:space="preserve"> </w:t>
      </w:r>
      <w:r w:rsidRPr="00910E90">
        <w:t>la Cour suprême du Canada précise qu’aucune clause contractuelle ne peut exonérer un fiduciaire de sa négligence grossière ou de ses manquements fondamentaux à la transparence.</w:t>
      </w:r>
    </w:p>
    <w:p w14:paraId="4378A456" w14:textId="77777777" w:rsidR="007A6C58" w:rsidRPr="00BE4B6D" w:rsidRDefault="00730A01" w:rsidP="00443B59">
      <w:pPr>
        <w:pStyle w:val="Titre2"/>
        <w:numPr>
          <w:ilvl w:val="0"/>
          <w:numId w:val="96"/>
        </w:numPr>
        <w:rPr>
          <w:rFonts w:eastAsia="MS Gothic"/>
          <w:b w:val="0"/>
          <w:bCs/>
          <w:i w:val="0"/>
          <w:iCs/>
          <w:szCs w:val="24"/>
          <w:u w:val="single"/>
          <w:lang w:eastAsia="en-US"/>
        </w:rPr>
      </w:pPr>
      <w:bookmarkStart w:id="56" w:name="_Toc211495215"/>
      <w:bookmarkStart w:id="57" w:name="_Toc211600634"/>
      <w:r w:rsidRPr="00BE4B6D">
        <w:rPr>
          <w:rFonts w:eastAsia="MS Gothic"/>
          <w:i w:val="0"/>
          <w:iCs/>
          <w:szCs w:val="24"/>
          <w:u w:val="single"/>
          <w:lang w:eastAsia="en-US"/>
        </w:rPr>
        <w:t>Falsification des tableaux financiers</w:t>
      </w:r>
      <w:bookmarkEnd w:id="56"/>
      <w:bookmarkEnd w:id="57"/>
    </w:p>
    <w:p w14:paraId="06455AC0" w14:textId="77777777" w:rsidR="00FC0CAA" w:rsidRPr="00274020" w:rsidRDefault="00730A01" w:rsidP="0098012F">
      <w:pPr>
        <w:pStyle w:val="Paragraphe"/>
        <w:tabs>
          <w:tab w:val="clear" w:pos="786"/>
        </w:tabs>
        <w:spacing w:line="240" w:lineRule="auto"/>
        <w:ind w:left="0"/>
        <w:rPr>
          <w:rFonts w:eastAsia="MS Mincho"/>
          <w:lang w:eastAsia="en-US"/>
        </w:rPr>
      </w:pPr>
      <w:r w:rsidRPr="00274020">
        <w:rPr>
          <w:rFonts w:eastAsia="MS Mincho"/>
          <w:lang w:eastAsia="en-US"/>
        </w:rPr>
        <w:t xml:space="preserve">Le Tribunal retient de la preuve que Giroux a manipulé l’information financière afin de dissimuler la situation critique du Groupe Huot. Ces actes peuvent être qualifiés de manœuvres trompeuses à l’égard des commanditaires. Les tableaux mensuels de « cashflows » du Groupe Huot transmis aux commanditaires étaient en effet intentionnellement altérés à la demande de Giroux afin d’en retirer la ligne indiquant les frais et intérêts mensuels dus au prêt FIISH. Ces données figuraient </w:t>
      </w:r>
      <w:r w:rsidR="003A2FB8">
        <w:rPr>
          <w:rFonts w:eastAsia="MS Mincho"/>
          <w:lang w:eastAsia="en-US"/>
        </w:rPr>
        <w:t>pourta</w:t>
      </w:r>
      <w:r w:rsidRPr="00274020">
        <w:rPr>
          <w:rFonts w:eastAsia="MS Mincho"/>
          <w:lang w:eastAsia="en-US"/>
        </w:rPr>
        <w:t xml:space="preserve">nt dans les tableaux originaux transmis </w:t>
      </w:r>
      <w:r w:rsidR="003A2FB8">
        <w:rPr>
          <w:rFonts w:eastAsia="MS Mincho"/>
          <w:lang w:eastAsia="en-US"/>
        </w:rPr>
        <w:t xml:space="preserve">à Giroux </w:t>
      </w:r>
      <w:r w:rsidRPr="00274020">
        <w:rPr>
          <w:rFonts w:eastAsia="MS Mincho"/>
          <w:lang w:eastAsia="en-US"/>
        </w:rPr>
        <w:t>par le Groupe Huot</w:t>
      </w:r>
      <w:r>
        <w:rPr>
          <w:rStyle w:val="Appelnotedebasdep"/>
          <w:rFonts w:eastAsia="MS Mincho"/>
          <w:lang w:eastAsia="en-US"/>
        </w:rPr>
        <w:footnoteReference w:id="124"/>
      </w:r>
      <w:r w:rsidRPr="00274020">
        <w:rPr>
          <w:rFonts w:eastAsia="MS Mincho"/>
          <w:lang w:eastAsia="en-US"/>
        </w:rPr>
        <w:t xml:space="preserve">. </w:t>
      </w:r>
    </w:p>
    <w:p w14:paraId="2DB7339F" w14:textId="77777777" w:rsidR="00274020" w:rsidRPr="00274020" w:rsidRDefault="00730A01" w:rsidP="0098012F">
      <w:pPr>
        <w:pStyle w:val="Paragraphe"/>
        <w:tabs>
          <w:tab w:val="clear" w:pos="786"/>
        </w:tabs>
        <w:spacing w:line="240" w:lineRule="auto"/>
        <w:ind w:left="0"/>
        <w:rPr>
          <w:rFonts w:eastAsia="MS Mincho"/>
          <w:lang w:eastAsia="en-US"/>
        </w:rPr>
      </w:pPr>
      <w:r>
        <w:rPr>
          <w:rFonts w:eastAsia="MS Mincho" w:cs="Arial"/>
          <w:szCs w:val="24"/>
          <w:lang w:eastAsia="en-US"/>
        </w:rPr>
        <w:t>Selon le rapport KPMG, l</w:t>
      </w:r>
      <w:r w:rsidR="007A6C58" w:rsidRPr="00274020">
        <w:rPr>
          <w:rFonts w:eastAsia="MS Mincho" w:cs="Arial"/>
          <w:szCs w:val="24"/>
          <w:lang w:eastAsia="en-US"/>
        </w:rPr>
        <w:t>es tableaux falsifiés ont permis de masquer des déficits de liquidité d’environ 12</w:t>
      </w:r>
      <w:r>
        <w:rPr>
          <w:rFonts w:eastAsia="MS Mincho" w:cs="Arial"/>
          <w:szCs w:val="24"/>
          <w:lang w:eastAsia="en-US"/>
        </w:rPr>
        <w:t> </w:t>
      </w:r>
      <w:r w:rsidR="00D43141">
        <w:rPr>
          <w:rFonts w:eastAsia="MS Mincho" w:cs="Arial"/>
          <w:szCs w:val="24"/>
          <w:lang w:eastAsia="en-US"/>
        </w:rPr>
        <w:t>M$</w:t>
      </w:r>
      <w:r w:rsidR="007A6C58" w:rsidRPr="00274020">
        <w:rPr>
          <w:rFonts w:eastAsia="MS Mincho" w:cs="Arial"/>
          <w:szCs w:val="24"/>
          <w:lang w:eastAsia="en-US"/>
        </w:rPr>
        <w:t xml:space="preserve"> par année depuis</w:t>
      </w:r>
      <w:r w:rsidR="001835B8">
        <w:rPr>
          <w:rFonts w:eastAsia="MS Mincho" w:cs="Arial"/>
          <w:szCs w:val="24"/>
          <w:lang w:eastAsia="en-US"/>
        </w:rPr>
        <w:t> </w:t>
      </w:r>
      <w:r w:rsidR="007A6C58" w:rsidRPr="00274020">
        <w:rPr>
          <w:rFonts w:eastAsia="MS Mincho" w:cs="Arial"/>
          <w:szCs w:val="24"/>
          <w:lang w:eastAsia="en-US"/>
        </w:rPr>
        <w:t>2017</w:t>
      </w:r>
      <w:r>
        <w:rPr>
          <w:rStyle w:val="Appelnotedebasdep"/>
          <w:rFonts w:eastAsia="MS Mincho" w:cs="Arial"/>
          <w:szCs w:val="24"/>
          <w:lang w:eastAsia="en-US"/>
        </w:rPr>
        <w:footnoteReference w:id="125"/>
      </w:r>
      <w:r w:rsidR="007A6C58" w:rsidRPr="00274020">
        <w:rPr>
          <w:rFonts w:eastAsia="MS Mincho" w:cs="Arial"/>
          <w:szCs w:val="24"/>
          <w:lang w:eastAsia="en-US"/>
        </w:rPr>
        <w:t>. Les documents qui étaient transmis aux commanditaires donnaient une fausse impression de la santé financière du Groupe Huot</w:t>
      </w:r>
      <w:r>
        <w:rPr>
          <w:rStyle w:val="Appelnotedebasdep"/>
          <w:rFonts w:eastAsia="MS Mincho" w:cs="Arial"/>
          <w:szCs w:val="24"/>
          <w:lang w:eastAsia="en-US"/>
        </w:rPr>
        <w:footnoteReference w:id="126"/>
      </w:r>
      <w:r w:rsidR="007A6C58" w:rsidRPr="00274020">
        <w:rPr>
          <w:rFonts w:eastAsia="MS Mincho" w:cs="Arial"/>
          <w:szCs w:val="24"/>
          <w:lang w:eastAsia="en-US"/>
        </w:rPr>
        <w:t xml:space="preserve">. Ces derniers étaient alors plus </w:t>
      </w:r>
      <w:r w:rsidRPr="00274020">
        <w:rPr>
          <w:rFonts w:eastAsia="MS Mincho" w:cs="Arial"/>
          <w:szCs w:val="24"/>
          <w:lang w:eastAsia="en-US"/>
        </w:rPr>
        <w:t>enclins</w:t>
      </w:r>
      <w:r w:rsidR="007A6C58" w:rsidRPr="00274020">
        <w:rPr>
          <w:rFonts w:eastAsia="MS Mincho" w:cs="Arial"/>
          <w:szCs w:val="24"/>
          <w:lang w:eastAsia="en-US"/>
        </w:rPr>
        <w:t xml:space="preserve"> à continuer d’investir lorsque Giroux leur demandait</w:t>
      </w:r>
      <w:r w:rsidR="00F51C39">
        <w:rPr>
          <w:rFonts w:eastAsia="MS Mincho" w:cs="Arial"/>
          <w:szCs w:val="24"/>
          <w:lang w:eastAsia="en-US"/>
        </w:rPr>
        <w:t>.</w:t>
      </w:r>
    </w:p>
    <w:p w14:paraId="68441341" w14:textId="77777777" w:rsidR="00274020" w:rsidRPr="00274020" w:rsidRDefault="00730A01" w:rsidP="0098012F">
      <w:pPr>
        <w:pStyle w:val="Paragraphe"/>
        <w:tabs>
          <w:tab w:val="clear" w:pos="786"/>
        </w:tabs>
        <w:spacing w:line="240" w:lineRule="auto"/>
        <w:ind w:left="0"/>
        <w:rPr>
          <w:rFonts w:eastAsia="MS Mincho"/>
          <w:lang w:eastAsia="en-US"/>
        </w:rPr>
      </w:pPr>
      <w:r w:rsidRPr="00274020">
        <w:rPr>
          <w:rFonts w:cs="Arial"/>
          <w:szCs w:val="24"/>
          <w:lang w:eastAsia="fr-CA"/>
        </w:rPr>
        <w:t>Giroux présentait ainsi aux investisseurs un portrait volontairement florissant</w:t>
      </w:r>
      <w:r w:rsidRPr="00274020">
        <w:rPr>
          <w:rFonts w:cs="Arial"/>
          <w:b/>
          <w:bCs/>
          <w:szCs w:val="24"/>
          <w:lang w:eastAsia="fr-CA"/>
        </w:rPr>
        <w:t xml:space="preserve"> </w:t>
      </w:r>
      <w:r w:rsidRPr="0074274A">
        <w:rPr>
          <w:rFonts w:cs="Arial"/>
          <w:szCs w:val="24"/>
          <w:lang w:eastAsia="fr-CA"/>
        </w:rPr>
        <w:t>d</w:t>
      </w:r>
      <w:r w:rsidRPr="00274020">
        <w:rPr>
          <w:rFonts w:cs="Arial"/>
          <w:szCs w:val="24"/>
          <w:lang w:eastAsia="fr-CA"/>
        </w:rPr>
        <w:t>e la du</w:t>
      </w:r>
      <w:r w:rsidRPr="00274020">
        <w:rPr>
          <w:rFonts w:cs="Arial"/>
          <w:b/>
          <w:bCs/>
          <w:szCs w:val="24"/>
          <w:lang w:eastAsia="fr-CA"/>
        </w:rPr>
        <w:t xml:space="preserve"> </w:t>
      </w:r>
      <w:r w:rsidRPr="00274020">
        <w:rPr>
          <w:rFonts w:cs="Arial"/>
          <w:szCs w:val="24"/>
          <w:lang w:eastAsia="fr-CA"/>
        </w:rPr>
        <w:t>situation</w:t>
      </w:r>
      <w:r w:rsidRPr="00274020">
        <w:rPr>
          <w:rFonts w:cs="Arial"/>
          <w:b/>
          <w:bCs/>
          <w:szCs w:val="24"/>
          <w:lang w:eastAsia="fr-CA"/>
        </w:rPr>
        <w:t xml:space="preserve"> </w:t>
      </w:r>
      <w:r w:rsidRPr="00274020">
        <w:rPr>
          <w:rFonts w:cs="Arial"/>
          <w:szCs w:val="24"/>
          <w:lang w:eastAsia="fr-CA"/>
        </w:rPr>
        <w:t>Groupe Huot alors que la réalité était déficitaire.</w:t>
      </w:r>
    </w:p>
    <w:p w14:paraId="16A3A32C" w14:textId="77777777" w:rsidR="00615F37" w:rsidRDefault="00730A01" w:rsidP="0098012F">
      <w:pPr>
        <w:pStyle w:val="Paragraphe"/>
        <w:tabs>
          <w:tab w:val="clear" w:pos="786"/>
        </w:tabs>
        <w:spacing w:line="240" w:lineRule="auto"/>
        <w:ind w:left="0"/>
        <w:rPr>
          <w:rFonts w:eastAsia="MS Mincho"/>
          <w:lang w:eastAsia="en-US"/>
        </w:rPr>
      </w:pPr>
      <w:r w:rsidRPr="00274020">
        <w:rPr>
          <w:rFonts w:eastAsia="MS Mincho" w:cs="Arial"/>
          <w:szCs w:val="24"/>
          <w:lang w:eastAsia="en-US"/>
        </w:rPr>
        <w:t>Giroux affirme que la décision de retrait des intérêts</w:t>
      </w:r>
      <w:r w:rsidR="00860788">
        <w:rPr>
          <w:rFonts w:eastAsia="MS Mincho" w:cs="Arial"/>
          <w:szCs w:val="24"/>
          <w:lang w:eastAsia="en-US"/>
        </w:rPr>
        <w:t xml:space="preserve">, sur les tableaux de bord transmis périodiquement aux commanditaires, </w:t>
      </w:r>
      <w:r w:rsidR="00860788" w:rsidRPr="00274020">
        <w:rPr>
          <w:rFonts w:eastAsia="MS Mincho" w:cs="Arial"/>
          <w:szCs w:val="24"/>
          <w:lang w:eastAsia="en-US"/>
        </w:rPr>
        <w:t>fut</w:t>
      </w:r>
      <w:r w:rsidRPr="00274020">
        <w:rPr>
          <w:rFonts w:eastAsia="MS Mincho" w:cs="Arial"/>
          <w:szCs w:val="24"/>
          <w:lang w:eastAsia="en-US"/>
        </w:rPr>
        <w:t xml:space="preserve"> prise conjointement avec M.</w:t>
      </w:r>
      <w:r w:rsidR="001835B8">
        <w:rPr>
          <w:rFonts w:eastAsia="MS Mincho" w:cs="Arial"/>
          <w:szCs w:val="24"/>
          <w:lang w:eastAsia="en-US"/>
        </w:rPr>
        <w:t> </w:t>
      </w:r>
      <w:r w:rsidRPr="00274020">
        <w:rPr>
          <w:rFonts w:eastAsia="MS Mincho" w:cs="Arial"/>
          <w:szCs w:val="24"/>
          <w:lang w:eastAsia="en-US"/>
        </w:rPr>
        <w:t>St-Gelais. Ce dernier nie catégoriquement cette version, indiquant que la décision venait de M.</w:t>
      </w:r>
      <w:r w:rsidR="001835B8">
        <w:rPr>
          <w:rFonts w:eastAsia="MS Mincho" w:cs="Arial"/>
          <w:szCs w:val="24"/>
          <w:lang w:eastAsia="en-US"/>
        </w:rPr>
        <w:t> </w:t>
      </w:r>
      <w:r w:rsidRPr="00274020">
        <w:rPr>
          <w:rFonts w:eastAsia="MS Mincho" w:cs="Arial"/>
          <w:szCs w:val="24"/>
          <w:lang w:eastAsia="en-US"/>
        </w:rPr>
        <w:t>Giroux seul</w:t>
      </w:r>
      <w:r>
        <w:rPr>
          <w:rStyle w:val="Appelnotedebasdep"/>
          <w:rFonts w:eastAsia="MS Mincho" w:cs="Arial"/>
          <w:szCs w:val="24"/>
          <w:lang w:eastAsia="en-US"/>
        </w:rPr>
        <w:footnoteReference w:id="127"/>
      </w:r>
      <w:r>
        <w:rPr>
          <w:rFonts w:eastAsia="MS Mincho" w:cs="Arial"/>
          <w:szCs w:val="24"/>
          <w:lang w:eastAsia="en-US"/>
        </w:rPr>
        <w:t xml:space="preserve">. </w:t>
      </w:r>
    </w:p>
    <w:p w14:paraId="1EB77A72" w14:textId="77777777" w:rsidR="00213C5F" w:rsidRPr="00EA3DDC" w:rsidRDefault="00730A01" w:rsidP="00EA3DDC">
      <w:pPr>
        <w:pStyle w:val="Paragraphe"/>
        <w:tabs>
          <w:tab w:val="clear" w:pos="786"/>
        </w:tabs>
        <w:spacing w:line="240" w:lineRule="auto"/>
        <w:ind w:left="0"/>
        <w:rPr>
          <w:rFonts w:eastAsia="MS Mincho"/>
          <w:lang w:eastAsia="en-US"/>
        </w:rPr>
      </w:pPr>
      <w:r>
        <w:rPr>
          <w:rFonts w:eastAsia="MS Gothic" w:cs="Arial"/>
          <w:szCs w:val="24"/>
          <w:lang w:eastAsia="en-US"/>
        </w:rPr>
        <w:t>L</w:t>
      </w:r>
      <w:r w:rsidR="007A6C58" w:rsidRPr="00615F37">
        <w:rPr>
          <w:rFonts w:eastAsia="MS Gothic" w:cs="Arial"/>
          <w:szCs w:val="24"/>
          <w:lang w:eastAsia="en-US"/>
        </w:rPr>
        <w:t>e Tribunal retient aussi de la preuve que Giroux avait connaissance du déficit mensuel du Groupe Huot depuis</w:t>
      </w:r>
      <w:r w:rsidR="001835B8">
        <w:rPr>
          <w:rFonts w:eastAsia="MS Gothic" w:cs="Arial"/>
          <w:szCs w:val="24"/>
          <w:lang w:eastAsia="en-US"/>
        </w:rPr>
        <w:t> </w:t>
      </w:r>
      <w:r w:rsidR="007A6C58" w:rsidRPr="00615F37">
        <w:rPr>
          <w:rFonts w:eastAsia="MS Gothic" w:cs="Arial"/>
          <w:szCs w:val="24"/>
          <w:lang w:eastAsia="en-US"/>
        </w:rPr>
        <w:t>2017 et qu’il dissimulait ce fait aux commanditaires.</w:t>
      </w:r>
      <w:r>
        <w:rPr>
          <w:rFonts w:eastAsia="MS Mincho"/>
          <w:lang w:eastAsia="en-US"/>
        </w:rPr>
        <w:t xml:space="preserve"> </w:t>
      </w:r>
      <w:r w:rsidR="007A6C58" w:rsidRPr="00EA3DDC">
        <w:rPr>
          <w:rFonts w:eastAsia="MS Gothic" w:cs="Arial"/>
          <w:szCs w:val="24"/>
          <w:lang w:eastAsia="en-US"/>
        </w:rPr>
        <w:t xml:space="preserve">La comptable du Groupe Huot, </w:t>
      </w:r>
      <w:r w:rsidR="007A6C58" w:rsidRPr="00EA3DDC">
        <w:rPr>
          <w:rFonts w:eastAsia="MS Mincho" w:cs="Arial"/>
          <w:szCs w:val="24"/>
          <w:lang w:eastAsia="en-US"/>
        </w:rPr>
        <w:t>M</w:t>
      </w:r>
      <w:r w:rsidR="007A6C58" w:rsidRPr="001835B8">
        <w:rPr>
          <w:rFonts w:eastAsia="MS Mincho" w:cs="Arial"/>
          <w:szCs w:val="24"/>
          <w:vertAlign w:val="superscript"/>
          <w:lang w:eastAsia="en-US"/>
        </w:rPr>
        <w:t>me</w:t>
      </w:r>
      <w:r w:rsidR="001835B8">
        <w:rPr>
          <w:rFonts w:eastAsia="MS Mincho" w:cs="Arial"/>
          <w:szCs w:val="24"/>
          <w:lang w:eastAsia="en-US"/>
        </w:rPr>
        <w:t> </w:t>
      </w:r>
      <w:r w:rsidR="007A6C58" w:rsidRPr="00EA3DDC">
        <w:rPr>
          <w:rFonts w:eastAsia="MS Mincho" w:cs="Arial"/>
          <w:szCs w:val="24"/>
          <w:lang w:eastAsia="en-US"/>
        </w:rPr>
        <w:t>Larochelle, témoign</w:t>
      </w:r>
      <w:r w:rsidR="00860788" w:rsidRPr="00EA3DDC">
        <w:rPr>
          <w:rFonts w:eastAsia="MS Mincho" w:cs="Arial"/>
          <w:szCs w:val="24"/>
          <w:lang w:eastAsia="en-US"/>
        </w:rPr>
        <w:t>e</w:t>
      </w:r>
      <w:r w:rsidR="00F20AF9" w:rsidRPr="00EA3DDC">
        <w:rPr>
          <w:rFonts w:eastAsia="MS Mincho" w:cs="Arial"/>
          <w:szCs w:val="24"/>
          <w:lang w:eastAsia="en-US"/>
        </w:rPr>
        <w:t xml:space="preserve"> en effet</w:t>
      </w:r>
      <w:r w:rsidR="007A6C58" w:rsidRPr="00EA3DDC">
        <w:rPr>
          <w:rFonts w:eastAsia="MS Mincho" w:cs="Arial"/>
          <w:szCs w:val="24"/>
          <w:lang w:eastAsia="en-US"/>
        </w:rPr>
        <w:t xml:space="preserve"> que Giroux savait que le Groupe Huot enregistrait des pertes d</w:t>
      </w:r>
      <w:r w:rsidR="00247502" w:rsidRPr="00EA3DDC">
        <w:rPr>
          <w:rFonts w:eastAsia="MS Mincho" w:cs="Arial"/>
          <w:szCs w:val="24"/>
          <w:lang w:eastAsia="en-US"/>
        </w:rPr>
        <w:t>’environ</w:t>
      </w:r>
      <w:r w:rsidR="007A6C58" w:rsidRPr="00EA3DDC">
        <w:rPr>
          <w:rFonts w:eastAsia="MS Mincho" w:cs="Arial"/>
          <w:szCs w:val="24"/>
          <w:lang w:eastAsia="en-US"/>
        </w:rPr>
        <w:t xml:space="preserve"> 1</w:t>
      </w:r>
      <w:r w:rsidR="00432EA2" w:rsidRPr="00EA3DDC">
        <w:rPr>
          <w:rFonts w:eastAsia="MS Mincho" w:cs="Arial"/>
          <w:szCs w:val="24"/>
          <w:lang w:eastAsia="en-US"/>
        </w:rPr>
        <w:t> </w:t>
      </w:r>
      <w:r w:rsidR="00D43141" w:rsidRPr="00EA3DDC">
        <w:rPr>
          <w:rFonts w:eastAsia="MS Mincho" w:cs="Arial"/>
          <w:szCs w:val="24"/>
          <w:lang w:eastAsia="en-US"/>
        </w:rPr>
        <w:t>M$</w:t>
      </w:r>
      <w:r w:rsidR="007A6C58" w:rsidRPr="00EA3DDC">
        <w:rPr>
          <w:rFonts w:eastAsia="MS Mincho" w:cs="Arial"/>
          <w:szCs w:val="24"/>
          <w:lang w:eastAsia="en-US"/>
        </w:rPr>
        <w:t xml:space="preserve"> par mois depuis la création du fonds FIISH</w:t>
      </w:r>
      <w:r>
        <w:rPr>
          <w:rStyle w:val="Appelnotedebasdep"/>
          <w:rFonts w:eastAsia="MS Mincho" w:cs="Arial"/>
          <w:szCs w:val="24"/>
          <w:lang w:eastAsia="en-US"/>
        </w:rPr>
        <w:footnoteReference w:id="128"/>
      </w:r>
      <w:r w:rsidR="007A6C58" w:rsidRPr="00EA3DDC">
        <w:rPr>
          <w:rFonts w:eastAsia="MS Mincho" w:cs="Arial"/>
          <w:szCs w:val="24"/>
          <w:lang w:eastAsia="en-US"/>
        </w:rPr>
        <w:t>.</w:t>
      </w:r>
    </w:p>
    <w:p w14:paraId="7FE12860" w14:textId="77777777" w:rsidR="00167380" w:rsidRPr="00213C5F" w:rsidRDefault="00730A01" w:rsidP="0098012F">
      <w:pPr>
        <w:pStyle w:val="Paragraphe"/>
        <w:tabs>
          <w:tab w:val="clear" w:pos="786"/>
        </w:tabs>
        <w:spacing w:line="240" w:lineRule="auto"/>
        <w:ind w:left="0"/>
        <w:rPr>
          <w:rFonts w:eastAsia="MS Mincho"/>
          <w:lang w:eastAsia="en-US"/>
        </w:rPr>
      </w:pPr>
      <w:r w:rsidRPr="00213C5F">
        <w:rPr>
          <w:rFonts w:eastAsia="MS Mincho" w:cs="Arial"/>
          <w:szCs w:val="24"/>
          <w:lang w:eastAsia="en-US"/>
        </w:rPr>
        <w:t>Le rapport KPMG soulign</w:t>
      </w:r>
      <w:r w:rsidR="00860788" w:rsidRPr="00213C5F">
        <w:rPr>
          <w:rFonts w:eastAsia="MS Mincho" w:cs="Arial"/>
          <w:szCs w:val="24"/>
          <w:lang w:eastAsia="en-US"/>
        </w:rPr>
        <w:t>e</w:t>
      </w:r>
      <w:r w:rsidR="00EA3DDC">
        <w:rPr>
          <w:rFonts w:eastAsia="MS Mincho" w:cs="Arial"/>
          <w:szCs w:val="24"/>
          <w:lang w:eastAsia="en-US"/>
        </w:rPr>
        <w:t xml:space="preserve"> également</w:t>
      </w:r>
      <w:r w:rsidRPr="00213C5F">
        <w:rPr>
          <w:rFonts w:eastAsia="MS Mincho" w:cs="Arial"/>
          <w:szCs w:val="24"/>
          <w:lang w:eastAsia="en-US"/>
        </w:rPr>
        <w:t xml:space="preserve"> que le retrait des frais et charges du tableau</w:t>
      </w:r>
      <w:r w:rsidR="00213C5F" w:rsidRPr="00213C5F">
        <w:rPr>
          <w:rFonts w:eastAsia="MS Mincho" w:cs="Arial"/>
          <w:szCs w:val="24"/>
          <w:lang w:eastAsia="en-US"/>
        </w:rPr>
        <w:t xml:space="preserve"> </w:t>
      </w:r>
      <w:r w:rsidRPr="00213C5F">
        <w:rPr>
          <w:rFonts w:eastAsia="MS Mincho" w:cs="Arial"/>
          <w:szCs w:val="24"/>
          <w:lang w:eastAsia="en-US"/>
        </w:rPr>
        <w:t xml:space="preserve">transmis aux commanditaires compromettait l’évaluation réelle de la capacité de remboursement et </w:t>
      </w:r>
      <w:r w:rsidRPr="00213C5F">
        <w:rPr>
          <w:rFonts w:cs="Arial"/>
          <w:szCs w:val="24"/>
          <w:lang w:eastAsia="fr-CA"/>
        </w:rPr>
        <w:t>donnait une image erronée de la capacité de remboursement de Huot</w:t>
      </w:r>
      <w:r>
        <w:rPr>
          <w:rStyle w:val="Appelnotedebasdep"/>
          <w:rFonts w:cs="Arial"/>
          <w:szCs w:val="24"/>
          <w:lang w:eastAsia="fr-CA"/>
        </w:rPr>
        <w:footnoteReference w:id="129"/>
      </w:r>
      <w:r w:rsidRPr="00213C5F">
        <w:rPr>
          <w:rFonts w:cs="Arial"/>
          <w:szCs w:val="24"/>
          <w:lang w:eastAsia="fr-CA"/>
        </w:rPr>
        <w:t>.</w:t>
      </w:r>
      <w:r w:rsidR="00F40D55" w:rsidRPr="00213C5F">
        <w:rPr>
          <w:rFonts w:cs="Arial"/>
          <w:szCs w:val="24"/>
          <w:lang w:eastAsia="fr-CA"/>
        </w:rPr>
        <w:t xml:space="preserve"> </w:t>
      </w:r>
    </w:p>
    <w:p w14:paraId="7BD6D738" w14:textId="77777777" w:rsidR="00437237" w:rsidRPr="000347D0" w:rsidRDefault="00730A01" w:rsidP="00443B59">
      <w:pPr>
        <w:pStyle w:val="Titre2"/>
        <w:numPr>
          <w:ilvl w:val="0"/>
          <w:numId w:val="96"/>
        </w:numPr>
        <w:rPr>
          <w:b w:val="0"/>
          <w:bCs/>
          <w:i w:val="0"/>
          <w:iCs/>
          <w:u w:val="single"/>
        </w:rPr>
      </w:pPr>
      <w:bookmarkStart w:id="58" w:name="_Toc211495236"/>
      <w:bookmarkStart w:id="59" w:name="_Toc211600648"/>
      <w:r w:rsidRPr="000347D0">
        <w:rPr>
          <w:i w:val="0"/>
          <w:iCs/>
          <w:u w:val="single"/>
          <w:lang w:eastAsia="fr-CA"/>
        </w:rPr>
        <w:t>Des défauts de paiements non déclarés</w:t>
      </w:r>
      <w:bookmarkEnd w:id="58"/>
      <w:bookmarkEnd w:id="59"/>
      <w:r w:rsidRPr="000347D0">
        <w:rPr>
          <w:i w:val="0"/>
          <w:iCs/>
          <w:u w:val="single"/>
          <w:lang w:eastAsia="fr-CA"/>
        </w:rPr>
        <w:t xml:space="preserve"> </w:t>
      </w:r>
    </w:p>
    <w:p w14:paraId="7C0B725B" w14:textId="77777777" w:rsidR="00437237" w:rsidRPr="00437237" w:rsidRDefault="00730A01" w:rsidP="0098012F">
      <w:pPr>
        <w:pStyle w:val="Paragraphe"/>
        <w:numPr>
          <w:ilvl w:val="0"/>
          <w:numId w:val="1"/>
        </w:numPr>
        <w:tabs>
          <w:tab w:val="clear" w:pos="786"/>
          <w:tab w:val="num" w:pos="360"/>
        </w:tabs>
        <w:spacing w:line="240" w:lineRule="auto"/>
        <w:ind w:left="0"/>
        <w:rPr>
          <w:rFonts w:cs="Arial"/>
          <w:i/>
          <w:iCs/>
        </w:rPr>
      </w:pPr>
      <w:r>
        <w:rPr>
          <w:rFonts w:cs="Arial"/>
          <w:szCs w:val="24"/>
          <w:lang w:eastAsia="fr-CA"/>
        </w:rPr>
        <w:t xml:space="preserve">Les </w:t>
      </w:r>
      <w:r w:rsidRPr="00437237">
        <w:rPr>
          <w:rFonts w:cs="Arial"/>
          <w:szCs w:val="24"/>
          <w:lang w:eastAsia="fr-CA"/>
        </w:rPr>
        <w:t>conventions de prêts de FIISH et de Q-12 contenaient toutes une clause de</w:t>
      </w:r>
      <w:r w:rsidRPr="00437237">
        <w:rPr>
          <w:rFonts w:cs="Arial"/>
          <w:b/>
          <w:bCs/>
          <w:szCs w:val="24"/>
          <w:lang w:eastAsia="fr-CA"/>
        </w:rPr>
        <w:t xml:space="preserve"> </w:t>
      </w:r>
      <w:r w:rsidRPr="000D7D73">
        <w:rPr>
          <w:rFonts w:cs="Arial"/>
          <w:szCs w:val="24"/>
          <w:lang w:eastAsia="fr-CA"/>
        </w:rPr>
        <w:t>défaut en cas de non-paiement</w:t>
      </w:r>
      <w:r w:rsidRPr="00437237">
        <w:rPr>
          <w:rFonts w:cs="Arial"/>
          <w:szCs w:val="24"/>
          <w:lang w:eastAsia="fr-CA"/>
        </w:rPr>
        <w:t xml:space="preserve"> par Huot ou par ses sociétés dans le cas de Q-12.</w:t>
      </w:r>
    </w:p>
    <w:p w14:paraId="5E2F065E" w14:textId="77777777" w:rsidR="00437237" w:rsidRDefault="00730A01" w:rsidP="0098012F">
      <w:pPr>
        <w:pStyle w:val="Paragraphe"/>
        <w:numPr>
          <w:ilvl w:val="0"/>
          <w:numId w:val="1"/>
        </w:numPr>
        <w:tabs>
          <w:tab w:val="clear" w:pos="786"/>
          <w:tab w:val="num" w:pos="360"/>
        </w:tabs>
        <w:spacing w:line="240" w:lineRule="auto"/>
        <w:ind w:left="0"/>
        <w:rPr>
          <w:rFonts w:cs="Arial"/>
          <w:szCs w:val="24"/>
          <w:lang w:eastAsia="fr-CA"/>
        </w:rPr>
      </w:pPr>
      <w:r w:rsidRPr="00924E75">
        <w:rPr>
          <w:rFonts w:cs="Arial"/>
          <w:szCs w:val="24"/>
          <w:lang w:eastAsia="fr-CA"/>
        </w:rPr>
        <w:t xml:space="preserve">Or, entre </w:t>
      </w:r>
      <w:r w:rsidRPr="000D7D73">
        <w:rPr>
          <w:rFonts w:cs="Arial"/>
          <w:szCs w:val="24"/>
          <w:lang w:eastAsia="fr-CA"/>
        </w:rPr>
        <w:t>avril</w:t>
      </w:r>
      <w:r w:rsidR="00652FE8">
        <w:rPr>
          <w:rFonts w:cs="Arial"/>
          <w:szCs w:val="24"/>
          <w:lang w:eastAsia="fr-CA"/>
        </w:rPr>
        <w:t> </w:t>
      </w:r>
      <w:r w:rsidRPr="000D7D73">
        <w:rPr>
          <w:rFonts w:cs="Arial"/>
          <w:szCs w:val="24"/>
          <w:lang w:eastAsia="fr-CA"/>
        </w:rPr>
        <w:t>2020 et décembre</w:t>
      </w:r>
      <w:r w:rsidR="00652FE8">
        <w:rPr>
          <w:rFonts w:cs="Arial"/>
          <w:szCs w:val="24"/>
          <w:lang w:eastAsia="fr-CA"/>
        </w:rPr>
        <w:t> </w:t>
      </w:r>
      <w:r w:rsidRPr="000D7D73">
        <w:rPr>
          <w:rFonts w:cs="Arial"/>
          <w:szCs w:val="24"/>
          <w:lang w:eastAsia="fr-CA"/>
        </w:rPr>
        <w:t>2022</w:t>
      </w:r>
      <w:r w:rsidRPr="00924E75">
        <w:rPr>
          <w:rFonts w:cs="Arial"/>
          <w:szCs w:val="24"/>
          <w:lang w:eastAsia="fr-CA"/>
        </w:rPr>
        <w:t xml:space="preserve">, le Rapport d’expertise KPMG recense </w:t>
      </w:r>
      <w:r w:rsidRPr="00437237">
        <w:rPr>
          <w:rFonts w:cs="Arial"/>
          <w:szCs w:val="24"/>
          <w:lang w:eastAsia="fr-CA"/>
        </w:rPr>
        <w:t xml:space="preserve">dix occasions </w:t>
      </w:r>
      <w:r w:rsidRPr="00924E75">
        <w:rPr>
          <w:rFonts w:cs="Arial"/>
          <w:szCs w:val="24"/>
          <w:lang w:eastAsia="fr-CA"/>
        </w:rPr>
        <w:t>où des prêts de Q-12 ou des avances de FIISH ont été consentis à Huot ou à des sociétés du Groupe Huot pour payer des intérêts dus aux investisseurs de Q</w:t>
      </w:r>
      <w:r w:rsidR="00652FE8">
        <w:rPr>
          <w:rFonts w:cs="Arial"/>
          <w:szCs w:val="24"/>
          <w:lang w:eastAsia="fr-CA"/>
        </w:rPr>
        <w:noBreakHyphen/>
      </w:r>
      <w:r w:rsidRPr="00924E75">
        <w:rPr>
          <w:rFonts w:cs="Arial"/>
          <w:szCs w:val="24"/>
          <w:lang w:eastAsia="fr-CA"/>
        </w:rPr>
        <w:t>12 et de FIISH, ainsi qu’au Groupe Giroux</w:t>
      </w:r>
      <w:r>
        <w:rPr>
          <w:rStyle w:val="Appelnotedebasdep"/>
          <w:rFonts w:cs="Arial"/>
          <w:szCs w:val="24"/>
          <w:lang w:eastAsia="fr-CA"/>
        </w:rPr>
        <w:footnoteReference w:id="130"/>
      </w:r>
      <w:r w:rsidR="00652FE8">
        <w:rPr>
          <w:rFonts w:cs="Arial"/>
          <w:szCs w:val="24"/>
          <w:lang w:eastAsia="fr-CA"/>
        </w:rPr>
        <w:t>.</w:t>
      </w:r>
    </w:p>
    <w:p w14:paraId="4D1420FC" w14:textId="77777777" w:rsidR="00437237" w:rsidRDefault="00730A01" w:rsidP="0098012F">
      <w:pPr>
        <w:pStyle w:val="Paragraphe"/>
        <w:numPr>
          <w:ilvl w:val="0"/>
          <w:numId w:val="1"/>
        </w:numPr>
        <w:tabs>
          <w:tab w:val="clear" w:pos="786"/>
          <w:tab w:val="num" w:pos="360"/>
        </w:tabs>
        <w:spacing w:line="240" w:lineRule="auto"/>
        <w:ind w:left="0"/>
        <w:rPr>
          <w:rFonts w:cs="Arial"/>
          <w:szCs w:val="24"/>
          <w:lang w:eastAsia="fr-CA"/>
        </w:rPr>
      </w:pPr>
      <w:r w:rsidRPr="00924E75">
        <w:rPr>
          <w:rFonts w:cs="Arial"/>
          <w:szCs w:val="24"/>
          <w:lang w:eastAsia="fr-CA"/>
        </w:rPr>
        <w:t xml:space="preserve">Ces situations correspondent directement à des </w:t>
      </w:r>
      <w:r w:rsidRPr="000D7D73">
        <w:rPr>
          <w:rFonts w:cs="Arial"/>
          <w:szCs w:val="24"/>
          <w:lang w:eastAsia="fr-CA"/>
        </w:rPr>
        <w:t xml:space="preserve">défauts de paiement </w:t>
      </w:r>
      <w:r w:rsidRPr="00924E75">
        <w:rPr>
          <w:rFonts w:cs="Arial"/>
          <w:szCs w:val="24"/>
          <w:lang w:eastAsia="fr-CA"/>
        </w:rPr>
        <w:t>de la part de Huot et de ses sociétés. Plutôt que de déclarer ces défauts comme l’exigeaient les conventions, Giroux a autorisé l’injection de nouvelles mises de fonds d’investisseurs pour couvrir ces obligations.</w:t>
      </w:r>
    </w:p>
    <w:p w14:paraId="18423F69" w14:textId="77777777" w:rsidR="00437237"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924E75">
        <w:rPr>
          <w:rFonts w:cs="Arial"/>
          <w:szCs w:val="24"/>
          <w:lang w:eastAsia="fr-CA"/>
        </w:rPr>
        <w:t xml:space="preserve">Un exemple significatif est relevé en </w:t>
      </w:r>
      <w:r w:rsidRPr="000D7D73">
        <w:rPr>
          <w:rFonts w:cs="Arial"/>
          <w:szCs w:val="24"/>
          <w:lang w:eastAsia="fr-CA"/>
        </w:rPr>
        <w:t>octobre</w:t>
      </w:r>
      <w:r w:rsidR="00652FE8">
        <w:rPr>
          <w:rFonts w:cs="Arial"/>
          <w:szCs w:val="24"/>
          <w:lang w:eastAsia="fr-CA"/>
        </w:rPr>
        <w:t> </w:t>
      </w:r>
      <w:r w:rsidRPr="000D7D73">
        <w:rPr>
          <w:rFonts w:cs="Arial"/>
          <w:szCs w:val="24"/>
          <w:lang w:eastAsia="fr-CA"/>
        </w:rPr>
        <w:t>2022, où X2</w:t>
      </w:r>
      <w:r w:rsidRPr="00924E75">
        <w:rPr>
          <w:rFonts w:cs="Arial"/>
          <w:szCs w:val="24"/>
          <w:lang w:eastAsia="fr-CA"/>
        </w:rPr>
        <w:t xml:space="preserve"> a elle-même payé les intérêts dus par le Groupe Huot à Q-12. Cette opération démontre que Huot n’était plus en mesure de satisfaire à ses obligations, ce qui aurait dû entraîner la constatation d’un défaut</w:t>
      </w:r>
      <w:r>
        <w:rPr>
          <w:rStyle w:val="Appelnotedebasdep"/>
          <w:rFonts w:cs="Arial"/>
          <w:szCs w:val="24"/>
          <w:lang w:eastAsia="fr-CA"/>
        </w:rPr>
        <w:footnoteReference w:id="131"/>
      </w:r>
      <w:r w:rsidR="00652FE8">
        <w:rPr>
          <w:rFonts w:cs="Arial"/>
          <w:szCs w:val="24"/>
          <w:lang w:eastAsia="fr-CA"/>
        </w:rPr>
        <w:t>.</w:t>
      </w:r>
    </w:p>
    <w:p w14:paraId="40876D25" w14:textId="77777777" w:rsidR="00437237"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924E75">
        <w:rPr>
          <w:rFonts w:cs="Arial"/>
          <w:szCs w:val="24"/>
          <w:lang w:eastAsia="fr-CA"/>
        </w:rPr>
        <w:t xml:space="preserve">De plus, en </w:t>
      </w:r>
      <w:r w:rsidRPr="000D7D73">
        <w:rPr>
          <w:rFonts w:cs="Arial"/>
          <w:szCs w:val="24"/>
          <w:lang w:eastAsia="fr-CA"/>
        </w:rPr>
        <w:t>mars</w:t>
      </w:r>
      <w:r w:rsidR="00652FE8">
        <w:rPr>
          <w:rFonts w:cs="Arial"/>
          <w:szCs w:val="24"/>
          <w:lang w:eastAsia="fr-CA"/>
        </w:rPr>
        <w:t> </w:t>
      </w:r>
      <w:r w:rsidRPr="000D7D73">
        <w:rPr>
          <w:rFonts w:cs="Arial"/>
          <w:szCs w:val="24"/>
          <w:lang w:eastAsia="fr-CA"/>
        </w:rPr>
        <w:t>2022, l’Amendement</w:t>
      </w:r>
      <w:r w:rsidR="00652FE8">
        <w:rPr>
          <w:rFonts w:cs="Arial"/>
          <w:szCs w:val="24"/>
          <w:lang w:eastAsia="fr-CA"/>
        </w:rPr>
        <w:t> </w:t>
      </w:r>
      <w:r w:rsidRPr="000D7D73">
        <w:rPr>
          <w:rFonts w:cs="Arial"/>
          <w:szCs w:val="24"/>
          <w:lang w:eastAsia="fr-CA"/>
        </w:rPr>
        <w:t>3 du prêt FIISH</w:t>
      </w:r>
      <w:r w:rsidRPr="00924E75">
        <w:rPr>
          <w:rFonts w:cs="Arial"/>
          <w:szCs w:val="24"/>
          <w:lang w:eastAsia="fr-CA"/>
        </w:rPr>
        <w:t xml:space="preserve"> reconnaît explicitement que Huot était incapable de payer les intérêts dus en mars et avril</w:t>
      </w:r>
      <w:r w:rsidR="00652FE8">
        <w:rPr>
          <w:rFonts w:cs="Arial"/>
          <w:szCs w:val="24"/>
          <w:lang w:eastAsia="fr-CA"/>
        </w:rPr>
        <w:t> </w:t>
      </w:r>
      <w:r w:rsidRPr="00924E75">
        <w:rPr>
          <w:rFonts w:cs="Arial"/>
          <w:szCs w:val="24"/>
          <w:lang w:eastAsia="fr-CA"/>
        </w:rPr>
        <w:t>2022. Cette situation constituait un défaut formel, mais n’a pas été soulevée par FIISH</w:t>
      </w:r>
      <w:r w:rsidR="00E0180B">
        <w:rPr>
          <w:rFonts w:cs="Arial"/>
          <w:szCs w:val="24"/>
          <w:lang w:eastAsia="fr-CA"/>
        </w:rPr>
        <w:t>,</w:t>
      </w:r>
      <w:r w:rsidRPr="00924E75">
        <w:rPr>
          <w:rFonts w:cs="Arial"/>
          <w:szCs w:val="24"/>
          <w:lang w:eastAsia="fr-CA"/>
        </w:rPr>
        <w:t xml:space="preserve"> </w:t>
      </w:r>
      <w:r w:rsidR="00E0180B">
        <w:rPr>
          <w:rFonts w:cs="Arial"/>
          <w:szCs w:val="24"/>
          <w:lang w:eastAsia="fr-CA"/>
        </w:rPr>
        <w:t xml:space="preserve">X2 </w:t>
      </w:r>
      <w:r w:rsidR="00EE1FA3">
        <w:rPr>
          <w:rFonts w:cs="Arial"/>
          <w:szCs w:val="24"/>
          <w:lang w:eastAsia="fr-CA"/>
        </w:rPr>
        <w:t>ou</w:t>
      </w:r>
      <w:r w:rsidR="00E0180B">
        <w:rPr>
          <w:rFonts w:cs="Arial"/>
          <w:szCs w:val="24"/>
          <w:lang w:eastAsia="fr-CA"/>
        </w:rPr>
        <w:t xml:space="preserve"> 9395 en tant qu’administrateur</w:t>
      </w:r>
      <w:r w:rsidRPr="00924E75">
        <w:rPr>
          <w:rFonts w:cs="Arial"/>
          <w:szCs w:val="24"/>
          <w:lang w:eastAsia="fr-CA"/>
        </w:rPr>
        <w:t>.</w:t>
      </w:r>
    </w:p>
    <w:p w14:paraId="267301A7" w14:textId="77777777" w:rsidR="00DC5541"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924E75">
        <w:rPr>
          <w:rFonts w:cs="Arial"/>
          <w:szCs w:val="24"/>
          <w:lang w:eastAsia="fr-CA"/>
        </w:rPr>
        <w:t xml:space="preserve">La preuve révèle que Giroux a </w:t>
      </w:r>
      <w:r w:rsidRPr="000D7D73">
        <w:rPr>
          <w:rFonts w:cs="Arial"/>
          <w:szCs w:val="24"/>
          <w:lang w:eastAsia="fr-CA"/>
        </w:rPr>
        <w:t xml:space="preserve">omis de déclarer des défauts de paiement répétés </w:t>
      </w:r>
      <w:r w:rsidRPr="00924E75">
        <w:rPr>
          <w:rFonts w:cs="Arial"/>
          <w:szCs w:val="24"/>
          <w:lang w:eastAsia="fr-CA"/>
        </w:rPr>
        <w:t>de Huot et de ses sociétés entre</w:t>
      </w:r>
      <w:r w:rsidR="00652FE8">
        <w:rPr>
          <w:rFonts w:cs="Arial"/>
          <w:szCs w:val="24"/>
          <w:lang w:eastAsia="fr-CA"/>
        </w:rPr>
        <w:t> </w:t>
      </w:r>
      <w:r w:rsidRPr="00924E75">
        <w:rPr>
          <w:rFonts w:cs="Arial"/>
          <w:szCs w:val="24"/>
          <w:lang w:eastAsia="fr-CA"/>
        </w:rPr>
        <w:t>2020 et</w:t>
      </w:r>
      <w:r w:rsidR="00652FE8">
        <w:rPr>
          <w:rFonts w:cs="Arial"/>
          <w:szCs w:val="24"/>
          <w:lang w:eastAsia="fr-CA"/>
        </w:rPr>
        <w:t> </w:t>
      </w:r>
      <w:r w:rsidRPr="00924E75">
        <w:rPr>
          <w:rFonts w:cs="Arial"/>
          <w:szCs w:val="24"/>
          <w:lang w:eastAsia="fr-CA"/>
        </w:rPr>
        <w:t>2022, en violation directe des conventions de prêts. Au contraire, de nouvelles mises de fonds d’investisseurs ont été utilisées pour masquer ces défauts, transformant les obligations contractuelles en un système circulaire rappelant les mécanismes d’un Ponzi</w:t>
      </w:r>
      <w:r>
        <w:rPr>
          <w:rStyle w:val="Appelnotedebasdep"/>
          <w:rFonts w:cs="Arial"/>
          <w:szCs w:val="24"/>
          <w:lang w:eastAsia="fr-CA"/>
        </w:rPr>
        <w:footnoteReference w:id="132"/>
      </w:r>
      <w:r w:rsidR="00652FE8">
        <w:rPr>
          <w:rFonts w:cs="Arial"/>
          <w:szCs w:val="24"/>
          <w:lang w:eastAsia="fr-CA"/>
        </w:rPr>
        <w:t>.</w:t>
      </w:r>
    </w:p>
    <w:p w14:paraId="25133C03" w14:textId="77777777" w:rsidR="00E72CC3" w:rsidRPr="00FA64C6" w:rsidRDefault="00730A01" w:rsidP="00443B59">
      <w:pPr>
        <w:pStyle w:val="Titre2"/>
        <w:numPr>
          <w:ilvl w:val="0"/>
          <w:numId w:val="96"/>
        </w:numPr>
        <w:rPr>
          <w:i w:val="0"/>
          <w:iCs/>
          <w:u w:val="single"/>
          <w:lang w:eastAsia="fr-CA"/>
        </w:rPr>
      </w:pPr>
      <w:bookmarkStart w:id="60" w:name="_Toc211495237"/>
      <w:bookmarkStart w:id="61" w:name="_Toc211600649"/>
      <w:r w:rsidRPr="00FA64C6">
        <w:rPr>
          <w:i w:val="0"/>
          <w:iCs/>
          <w:u w:val="single"/>
          <w:lang w:eastAsia="fr-CA"/>
        </w:rPr>
        <w:t>D</w:t>
      </w:r>
      <w:r w:rsidR="00E838AC" w:rsidRPr="00FA64C6">
        <w:rPr>
          <w:i w:val="0"/>
          <w:iCs/>
          <w:u w:val="single"/>
          <w:lang w:eastAsia="fr-CA"/>
        </w:rPr>
        <w:t>es taux abusifs</w:t>
      </w:r>
      <w:bookmarkEnd w:id="60"/>
      <w:bookmarkEnd w:id="61"/>
    </w:p>
    <w:p w14:paraId="6DF1F87C" w14:textId="77777777" w:rsidR="008A33E7" w:rsidRPr="000E4273" w:rsidRDefault="00730A01" w:rsidP="0098012F">
      <w:pPr>
        <w:pStyle w:val="Paragraphe"/>
        <w:numPr>
          <w:ilvl w:val="0"/>
          <w:numId w:val="1"/>
        </w:numPr>
        <w:tabs>
          <w:tab w:val="clear" w:pos="786"/>
          <w:tab w:val="num" w:pos="360"/>
        </w:tabs>
        <w:spacing w:before="100" w:beforeAutospacing="1" w:after="100" w:afterAutospacing="1" w:line="240" w:lineRule="auto"/>
        <w:ind w:left="0"/>
      </w:pPr>
      <w:r w:rsidRPr="000E4273">
        <w:t>La preuve révèle des taux nominaux très élevés sur certains prêts effectués par les sociétés de Giroux. Par exemple, pour un prêt consenti à Millénum, il est expressément question d’un taux annuel de 41 % alors que pour d’autres prêts, les taux pouvaient aller jusqu’à 60 %</w:t>
      </w:r>
      <w:r>
        <w:rPr>
          <w:rStyle w:val="Appelnotedebasdep"/>
        </w:rPr>
        <w:footnoteReference w:id="133"/>
      </w:r>
      <w:r w:rsidR="00652FE8">
        <w:t>.</w:t>
      </w:r>
    </w:p>
    <w:p w14:paraId="76D68C21" w14:textId="77777777" w:rsidR="00E838AC" w:rsidRPr="000E4273" w:rsidRDefault="00730A01" w:rsidP="0098012F">
      <w:pPr>
        <w:pStyle w:val="Paragraphe"/>
        <w:numPr>
          <w:ilvl w:val="0"/>
          <w:numId w:val="1"/>
        </w:numPr>
        <w:tabs>
          <w:tab w:val="clear" w:pos="786"/>
          <w:tab w:val="num" w:pos="360"/>
        </w:tabs>
        <w:spacing w:before="100" w:beforeAutospacing="1" w:after="100" w:afterAutospacing="1" w:line="240" w:lineRule="auto"/>
        <w:ind w:left="0"/>
      </w:pPr>
      <w:r w:rsidRPr="000E4273">
        <w:rPr>
          <w:rStyle w:val="lev"/>
          <w:b w:val="0"/>
          <w:bCs w:val="0"/>
        </w:rPr>
        <w:t>D’ailleurs, un des avocats de Giroux de l’époque, M</w:t>
      </w:r>
      <w:r w:rsidRPr="00652FE8">
        <w:rPr>
          <w:rStyle w:val="lev"/>
          <w:b w:val="0"/>
          <w:bCs w:val="0"/>
          <w:vertAlign w:val="superscript"/>
        </w:rPr>
        <w:t>e</w:t>
      </w:r>
      <w:r w:rsidR="00652FE8">
        <w:rPr>
          <w:rStyle w:val="lev"/>
        </w:rPr>
        <w:t> </w:t>
      </w:r>
      <w:r w:rsidRPr="000E4273">
        <w:t>Sylvain Tassé</w:t>
      </w:r>
      <w:r w:rsidR="00532971">
        <w:t>,</w:t>
      </w:r>
      <w:r w:rsidRPr="000E4273">
        <w:t xml:space="preserve"> lui a </w:t>
      </w:r>
      <w:r w:rsidR="008A33E7" w:rsidRPr="000E4273">
        <w:t>e</w:t>
      </w:r>
      <w:r w:rsidRPr="000E4273">
        <w:t>xpressément rappelé que le calcul du</w:t>
      </w:r>
      <w:r w:rsidRPr="000E4273">
        <w:rPr>
          <w:b/>
          <w:bCs/>
        </w:rPr>
        <w:t xml:space="preserve"> </w:t>
      </w:r>
      <w:r w:rsidRPr="000E4273">
        <w:rPr>
          <w:rStyle w:val="lev"/>
          <w:b w:val="0"/>
          <w:bCs w:val="0"/>
        </w:rPr>
        <w:t>taux annuel total (TAT)</w:t>
      </w:r>
      <w:r w:rsidRPr="000E4273">
        <w:rPr>
          <w:b/>
          <w:bCs/>
        </w:rPr>
        <w:t xml:space="preserve"> </w:t>
      </w:r>
      <w:r w:rsidRPr="000E4273">
        <w:t xml:space="preserve">inclut </w:t>
      </w:r>
      <w:r w:rsidRPr="000E4273">
        <w:rPr>
          <w:rStyle w:val="lev"/>
          <w:b w:val="0"/>
          <w:bCs w:val="0"/>
        </w:rPr>
        <w:t>tous les frais rattachés au prêt</w:t>
      </w:r>
      <w:r w:rsidRPr="000E4273">
        <w:rPr>
          <w:b/>
          <w:bCs/>
        </w:rPr>
        <w:t xml:space="preserve">, </w:t>
      </w:r>
      <w:r w:rsidRPr="000E4273">
        <w:t>et que l’exemple cité excède le seuil de 60</w:t>
      </w:r>
      <w:r w:rsidR="008A33E7" w:rsidRPr="000E4273">
        <w:t> </w:t>
      </w:r>
      <w:r w:rsidRPr="000E4273">
        <w:t>% :</w:t>
      </w:r>
    </w:p>
    <w:p w14:paraId="1FCABB29" w14:textId="77777777" w:rsidR="00E838AC" w:rsidRPr="00E72C08" w:rsidRDefault="00730A01" w:rsidP="00E72C08">
      <w:pPr>
        <w:pStyle w:val="Citationenretrait"/>
        <w:ind w:right="539"/>
        <w:rPr>
          <w:rFonts w:cs="Arial"/>
          <w:lang w:eastAsia="fr-CA"/>
        </w:rPr>
      </w:pPr>
      <w:r w:rsidRPr="000E4273">
        <w:rPr>
          <w:lang w:eastAsia="fr-CA"/>
        </w:rPr>
        <w:t xml:space="preserve">(…) </w:t>
      </w:r>
      <w:r w:rsidRPr="00E72C08">
        <w:rPr>
          <w:rFonts w:cs="Arial"/>
          <w:lang w:eastAsia="fr-CA"/>
        </w:rPr>
        <w:t xml:space="preserve">Je désire porter à ton attention que le prêt envisagé et la garantie qui y est rattachée pourraient être </w:t>
      </w:r>
      <w:r w:rsidRPr="00E72C08">
        <w:rPr>
          <w:rFonts w:eastAsia="ArialMT" w:cs="Arial"/>
          <w:lang w:eastAsia="fr-CA"/>
        </w:rPr>
        <w:t>déclarés nuls. En vertu de l’article</w:t>
      </w:r>
      <w:r w:rsidR="00652FE8">
        <w:rPr>
          <w:rFonts w:eastAsia="ArialMT" w:cs="Arial"/>
          <w:lang w:eastAsia="fr-CA"/>
        </w:rPr>
        <w:t> </w:t>
      </w:r>
      <w:r w:rsidRPr="00E72C08">
        <w:rPr>
          <w:rFonts w:eastAsia="ArialMT" w:cs="Arial"/>
          <w:lang w:eastAsia="fr-CA"/>
        </w:rPr>
        <w:t xml:space="preserve">347 du </w:t>
      </w:r>
      <w:r w:rsidRPr="00652FE8">
        <w:rPr>
          <w:rFonts w:eastAsia="ArialMT" w:cs="Arial"/>
          <w:i/>
          <w:iCs/>
          <w:lang w:eastAsia="fr-CA"/>
        </w:rPr>
        <w:t>Code criminel</w:t>
      </w:r>
      <w:r w:rsidRPr="00E72C08">
        <w:rPr>
          <w:rFonts w:eastAsia="ArialMT" w:cs="Arial"/>
          <w:lang w:eastAsia="fr-CA"/>
        </w:rPr>
        <w:t xml:space="preserve">, le taux d’intérêt </w:t>
      </w:r>
      <w:r w:rsidRPr="00E72C08">
        <w:rPr>
          <w:rFonts w:eastAsia="ArialMT" w:cs="Arial"/>
        </w:rPr>
        <w:t>exigé pourrait se qualifier de taux d’intérêt</w:t>
      </w:r>
      <w:r w:rsidRPr="00E72C08">
        <w:rPr>
          <w:rFonts w:eastAsia="ArialMT" w:cs="Arial"/>
          <w:lang w:eastAsia="fr-CA"/>
        </w:rPr>
        <w:t xml:space="preserve"> </w:t>
      </w:r>
      <w:r w:rsidRPr="00E72C08">
        <w:rPr>
          <w:rFonts w:cs="Arial"/>
          <w:lang w:eastAsia="fr-CA"/>
        </w:rPr>
        <w:t>usuraire</w:t>
      </w:r>
      <w:r>
        <w:rPr>
          <w:rStyle w:val="Appelnotedebasdep"/>
          <w:rFonts w:cs="Arial"/>
          <w:lang w:eastAsia="fr-CA"/>
        </w:rPr>
        <w:footnoteReference w:id="134"/>
      </w:r>
      <w:r w:rsidR="00652FE8">
        <w:rPr>
          <w:rFonts w:cs="Arial"/>
          <w:lang w:eastAsia="fr-CA"/>
        </w:rPr>
        <w:t>.</w:t>
      </w:r>
    </w:p>
    <w:p w14:paraId="3F7AE066" w14:textId="77777777" w:rsidR="008A33E7" w:rsidRPr="000E4273" w:rsidRDefault="00730A01" w:rsidP="0098012F">
      <w:pPr>
        <w:pStyle w:val="Paragraphe"/>
        <w:numPr>
          <w:ilvl w:val="0"/>
          <w:numId w:val="1"/>
        </w:numPr>
        <w:tabs>
          <w:tab w:val="clear" w:pos="786"/>
          <w:tab w:val="num" w:pos="360"/>
        </w:tabs>
        <w:spacing w:before="100" w:beforeAutospacing="1" w:after="100" w:afterAutospacing="1" w:line="240" w:lineRule="auto"/>
        <w:ind w:left="0"/>
      </w:pPr>
      <w:r w:rsidRPr="000E4273">
        <w:t xml:space="preserve">Le prêt a quand même été fait à ce taux abusif et </w:t>
      </w:r>
      <w:r w:rsidRPr="000E4273">
        <w:rPr>
          <w:lang w:eastAsia="fr-CA"/>
        </w:rPr>
        <w:t>Nadine Lehoux témoigne</w:t>
      </w:r>
      <w:r w:rsidRPr="000E4273">
        <w:rPr>
          <w:rFonts w:eastAsia="ArialMT"/>
        </w:rPr>
        <w:t xml:space="preserve"> que,</w:t>
      </w:r>
      <w:r w:rsidRPr="000E4273">
        <w:rPr>
          <w:rFonts w:ascii="ArialMT" w:eastAsia="ArialMT" w:cs="ArialMT"/>
          <w:lang w:eastAsia="fr-CA"/>
        </w:rPr>
        <w:t xml:space="preserve"> </w:t>
      </w:r>
      <w:r w:rsidRPr="000E4273">
        <w:rPr>
          <w:lang w:eastAsia="fr-CA"/>
        </w:rPr>
        <w:t>fort de cette mise en garde de M</w:t>
      </w:r>
      <w:r w:rsidRPr="00652FE8">
        <w:rPr>
          <w:vertAlign w:val="superscript"/>
          <w:lang w:eastAsia="fr-CA"/>
        </w:rPr>
        <w:t>e</w:t>
      </w:r>
      <w:r w:rsidR="00652FE8">
        <w:rPr>
          <w:lang w:eastAsia="fr-CA"/>
        </w:rPr>
        <w:t> </w:t>
      </w:r>
      <w:r w:rsidRPr="000E4273">
        <w:rPr>
          <w:lang w:eastAsia="fr-CA"/>
        </w:rPr>
        <w:t xml:space="preserve">Tassé, Giroux a demandé de faire signer à Huot un engagement de ne pas intenter de poursuites </w:t>
      </w:r>
      <w:r w:rsidRPr="000E4273">
        <w:rPr>
          <w:rFonts w:eastAsia="ArialMT"/>
        </w:rPr>
        <w:t>au motif que le taux d</w:t>
      </w:r>
      <w:r w:rsidRPr="000E4273">
        <w:rPr>
          <w:rFonts w:eastAsia="ArialMT" w:hint="eastAsia"/>
        </w:rPr>
        <w:t>’</w:t>
      </w:r>
      <w:r w:rsidRPr="000E4273">
        <w:rPr>
          <w:rFonts w:eastAsia="ArialMT"/>
        </w:rPr>
        <w:t>int</w:t>
      </w:r>
      <w:r w:rsidRPr="000E4273">
        <w:rPr>
          <w:rFonts w:eastAsia="ArialMT" w:hint="eastAsia"/>
        </w:rPr>
        <w:t>é</w:t>
      </w:r>
      <w:r w:rsidRPr="000E4273">
        <w:rPr>
          <w:rFonts w:eastAsia="ArialMT"/>
        </w:rPr>
        <w:t>r</w:t>
      </w:r>
      <w:r w:rsidRPr="000E4273">
        <w:rPr>
          <w:rFonts w:eastAsia="ArialMT" w:hint="eastAsia"/>
        </w:rPr>
        <w:t>ê</w:t>
      </w:r>
      <w:r w:rsidRPr="000E4273">
        <w:rPr>
          <w:rFonts w:eastAsia="ArialMT"/>
        </w:rPr>
        <w:t xml:space="preserve">t </w:t>
      </w:r>
      <w:r w:rsidRPr="000E4273">
        <w:rPr>
          <w:rFonts w:eastAsia="ArialMT" w:hint="eastAsia"/>
        </w:rPr>
        <w:t>é</w:t>
      </w:r>
      <w:r w:rsidRPr="000E4273">
        <w:rPr>
          <w:rFonts w:eastAsia="ArialMT"/>
        </w:rPr>
        <w:t>tait usuraire</w:t>
      </w:r>
      <w:r>
        <w:rPr>
          <w:rStyle w:val="Appelnotedebasdep"/>
        </w:rPr>
        <w:footnoteReference w:id="135"/>
      </w:r>
      <w:r w:rsidR="00652FE8">
        <w:rPr>
          <w:rFonts w:eastAsia="ArialMT"/>
        </w:rPr>
        <w:t>.</w:t>
      </w:r>
      <w:r w:rsidRPr="000E4273">
        <w:t xml:space="preserve"> </w:t>
      </w:r>
    </w:p>
    <w:p w14:paraId="67FF6DFD" w14:textId="77777777" w:rsidR="008A33E7" w:rsidRPr="000E4273" w:rsidRDefault="00730A01" w:rsidP="0098012F">
      <w:pPr>
        <w:pStyle w:val="Paragraphe"/>
        <w:numPr>
          <w:ilvl w:val="0"/>
          <w:numId w:val="1"/>
        </w:numPr>
        <w:tabs>
          <w:tab w:val="clear" w:pos="786"/>
          <w:tab w:val="num" w:pos="360"/>
        </w:tabs>
        <w:autoSpaceDE w:val="0"/>
        <w:autoSpaceDN w:val="0"/>
        <w:adjustRightInd w:val="0"/>
        <w:spacing w:before="100" w:beforeAutospacing="1" w:after="100" w:afterAutospacing="1" w:line="240" w:lineRule="auto"/>
        <w:ind w:left="0"/>
        <w:rPr>
          <w:rFonts w:cs="Arial"/>
          <w:szCs w:val="24"/>
          <w:lang w:eastAsia="fr-CA"/>
        </w:rPr>
      </w:pPr>
      <w:r w:rsidRPr="000E4273">
        <w:t xml:space="preserve">Qui plus est, </w:t>
      </w:r>
      <w:r w:rsidRPr="000E4273">
        <w:rPr>
          <w:rFonts w:cs="Arial"/>
          <w:szCs w:val="24"/>
          <w:lang w:eastAsia="fr-CA"/>
        </w:rPr>
        <w:t>KPMG fait état dans son rapport de divers prêts à court terme octroyés par 6646 au Groupe Huot entre</w:t>
      </w:r>
      <w:r w:rsidR="00652FE8">
        <w:rPr>
          <w:rFonts w:cs="Arial"/>
          <w:szCs w:val="24"/>
          <w:lang w:eastAsia="fr-CA"/>
        </w:rPr>
        <w:t> </w:t>
      </w:r>
      <w:r w:rsidRPr="000E4273">
        <w:rPr>
          <w:rFonts w:cs="Arial"/>
          <w:szCs w:val="24"/>
          <w:lang w:eastAsia="fr-CA"/>
        </w:rPr>
        <w:t>2015 et</w:t>
      </w:r>
      <w:r w:rsidR="00652FE8">
        <w:rPr>
          <w:rFonts w:cs="Arial"/>
          <w:szCs w:val="24"/>
          <w:lang w:eastAsia="fr-CA"/>
        </w:rPr>
        <w:t> </w:t>
      </w:r>
      <w:r w:rsidRPr="000E4273">
        <w:rPr>
          <w:rFonts w:cs="Arial"/>
          <w:szCs w:val="24"/>
          <w:lang w:eastAsia="fr-CA"/>
        </w:rPr>
        <w:t>2020 pour lesquels le taux combiné (frais de dossier et intérêt</w:t>
      </w:r>
      <w:r w:rsidR="00532971">
        <w:rPr>
          <w:rFonts w:cs="Arial"/>
          <w:szCs w:val="24"/>
          <w:lang w:eastAsia="fr-CA"/>
        </w:rPr>
        <w:t>s</w:t>
      </w:r>
      <w:r w:rsidRPr="000E4273">
        <w:rPr>
          <w:rFonts w:cs="Arial"/>
          <w:szCs w:val="24"/>
          <w:lang w:eastAsia="fr-CA"/>
        </w:rPr>
        <w:t>) oscille entre 76</w:t>
      </w:r>
      <w:r w:rsidR="00532971">
        <w:rPr>
          <w:rFonts w:cs="Arial"/>
          <w:szCs w:val="24"/>
          <w:lang w:eastAsia="fr-CA"/>
        </w:rPr>
        <w:t> </w:t>
      </w:r>
      <w:r w:rsidRPr="000E4273">
        <w:rPr>
          <w:rFonts w:cs="Arial"/>
          <w:szCs w:val="24"/>
          <w:lang w:eastAsia="fr-CA"/>
        </w:rPr>
        <w:t>% et 456</w:t>
      </w:r>
      <w:r w:rsidR="00532971">
        <w:rPr>
          <w:rFonts w:cs="Arial"/>
          <w:szCs w:val="24"/>
          <w:lang w:eastAsia="fr-CA"/>
        </w:rPr>
        <w:t> </w:t>
      </w:r>
      <w:r w:rsidRPr="000E4273">
        <w:rPr>
          <w:rFonts w:cs="Arial"/>
          <w:szCs w:val="24"/>
          <w:lang w:eastAsia="fr-CA"/>
        </w:rPr>
        <w:t>%</w:t>
      </w:r>
      <w:r>
        <w:rPr>
          <w:rStyle w:val="Appelnotedebasdep"/>
          <w:rFonts w:cs="Arial"/>
          <w:szCs w:val="24"/>
          <w:lang w:eastAsia="fr-CA"/>
        </w:rPr>
        <w:footnoteReference w:id="136"/>
      </w:r>
      <w:r w:rsidRPr="000E4273">
        <w:rPr>
          <w:rFonts w:cs="Arial"/>
          <w:szCs w:val="24"/>
          <w:lang w:eastAsia="fr-CA"/>
        </w:rPr>
        <w:t>:</w:t>
      </w:r>
    </w:p>
    <w:p w14:paraId="4D2B60F2" w14:textId="77777777" w:rsidR="00C75239" w:rsidRPr="000E4273" w:rsidRDefault="00730A01" w:rsidP="00C75239">
      <w:pPr>
        <w:pStyle w:val="Paragraphe"/>
        <w:numPr>
          <w:ilvl w:val="0"/>
          <w:numId w:val="0"/>
        </w:numPr>
        <w:spacing w:before="100" w:beforeAutospacing="1" w:after="360" w:line="240" w:lineRule="auto"/>
      </w:pPr>
      <w:r w:rsidRPr="000E4273">
        <w:rPr>
          <w:rStyle w:val="emphtypeital"/>
          <w:noProof/>
        </w:rPr>
        <w:drawing>
          <wp:inline distT="0" distB="0" distL="0" distR="0" wp14:anchorId="2B5CEAC9" wp14:editId="26A7E6C8">
            <wp:extent cx="6037083" cy="2743200"/>
            <wp:effectExtent l="0" t="0" r="1905" b="0"/>
            <wp:docPr id="17890029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6633909" name="Picture 1"/>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6101008" cy="2772247"/>
                    </a:xfrm>
                    <a:prstGeom prst="rect">
                      <a:avLst/>
                    </a:prstGeom>
                    <a:noFill/>
                    <a:ln>
                      <a:noFill/>
                    </a:ln>
                  </pic:spPr>
                </pic:pic>
              </a:graphicData>
            </a:graphic>
          </wp:inline>
        </w:drawing>
      </w:r>
    </w:p>
    <w:p w14:paraId="1432FC2F" w14:textId="77777777" w:rsidR="00E838AC" w:rsidRDefault="00730A01" w:rsidP="00307881">
      <w:pPr>
        <w:pStyle w:val="Paragraphe"/>
        <w:numPr>
          <w:ilvl w:val="0"/>
          <w:numId w:val="1"/>
        </w:numPr>
        <w:tabs>
          <w:tab w:val="clear" w:pos="786"/>
          <w:tab w:val="num" w:pos="360"/>
        </w:tabs>
        <w:autoSpaceDE w:val="0"/>
        <w:autoSpaceDN w:val="0"/>
        <w:adjustRightInd w:val="0"/>
        <w:spacing w:after="0" w:line="240" w:lineRule="auto"/>
        <w:ind w:left="0"/>
      </w:pPr>
      <w:r w:rsidRPr="000E4273">
        <w:t xml:space="preserve">À ces intérêts s’ajoutaient des frais. L’expert François Filion explique que pour </w:t>
      </w:r>
      <w:r w:rsidR="00532971">
        <w:t xml:space="preserve">le projet </w:t>
      </w:r>
      <w:r w:rsidRPr="000E4273">
        <w:t>DMI</w:t>
      </w:r>
      <w:r w:rsidR="00532971">
        <w:t>3</w:t>
      </w:r>
      <w:r w:rsidRPr="000E4273">
        <w:t>, le calcul des intérêts a été fait «</w:t>
      </w:r>
      <w:r w:rsidR="003B4B38">
        <w:t> </w:t>
      </w:r>
      <w:r w:rsidRPr="000E4273">
        <w:t>selon la convention de société en commandite</w:t>
      </w:r>
      <w:r w:rsidR="003B4B38">
        <w:t> </w:t>
      </w:r>
      <w:r w:rsidRPr="000E4273">
        <w:t>», en retranchant «</w:t>
      </w:r>
      <w:r w:rsidR="003B4B38">
        <w:t> </w:t>
      </w:r>
      <w:r w:rsidRPr="000E4273">
        <w:t>un montant de trois pour cent (3</w:t>
      </w:r>
      <w:r w:rsidR="003B4B38">
        <w:t> </w:t>
      </w:r>
      <w:r w:rsidRPr="000E4273">
        <w:t>%) pour des frais de gestion</w:t>
      </w:r>
      <w:r w:rsidR="003B4B38">
        <w:t> </w:t>
      </w:r>
      <w:r w:rsidRPr="000E4273">
        <w:t>». Autrement dit, des frais de 3</w:t>
      </w:r>
      <w:r w:rsidR="003B4B38">
        <w:t> </w:t>
      </w:r>
      <w:r w:rsidRPr="000E4273">
        <w:t>% prélevés en sus du taux nominal entraient dans l’équation économique réelle du prêt. Cet extrait illustre que les «</w:t>
      </w:r>
      <w:r w:rsidR="00652FE8">
        <w:t> </w:t>
      </w:r>
      <w:r w:rsidRPr="000E4273">
        <w:t>frais</w:t>
      </w:r>
      <w:r w:rsidR="00652FE8">
        <w:t> </w:t>
      </w:r>
      <w:r w:rsidRPr="000E4273">
        <w:t>» ne sont pas accessoires</w:t>
      </w:r>
      <w:r w:rsidR="00652FE8">
        <w:t> </w:t>
      </w:r>
      <w:r w:rsidRPr="000E4273">
        <w:t>: ils modifient substantiellement le coût effectif payé par les investisseurs et/ou l’emprunteur</w:t>
      </w:r>
      <w:r>
        <w:rPr>
          <w:rStyle w:val="Appelnotedebasdep"/>
        </w:rPr>
        <w:footnoteReference w:id="137"/>
      </w:r>
      <w:r w:rsidR="00652FE8">
        <w:t>.</w:t>
      </w:r>
    </w:p>
    <w:p w14:paraId="03014981" w14:textId="77777777" w:rsidR="00065613" w:rsidRPr="007E7803" w:rsidRDefault="00730A01" w:rsidP="00307881">
      <w:pPr>
        <w:pStyle w:val="Paragraphedeliste"/>
        <w:tabs>
          <w:tab w:val="left" w:pos="3686"/>
        </w:tabs>
        <w:spacing w:before="120"/>
        <w:rPr>
          <w:bCs/>
        </w:rPr>
      </w:pPr>
      <w:r>
        <w:rPr>
          <w:bCs/>
        </w:rPr>
        <w:tab/>
        <w:t>* * *</w:t>
      </w:r>
    </w:p>
    <w:p w14:paraId="636D96B4" w14:textId="77777777" w:rsidR="00C52C65" w:rsidRDefault="00730A01" w:rsidP="0098012F">
      <w:pPr>
        <w:rPr>
          <w:b/>
          <w:kern w:val="28"/>
        </w:rPr>
      </w:pPr>
      <w:r>
        <w:rPr>
          <w:b/>
        </w:rPr>
        <w:br w:type="page"/>
      </w:r>
    </w:p>
    <w:p w14:paraId="7E3B641C" w14:textId="77777777" w:rsidR="00DC5541" w:rsidRPr="002F6648" w:rsidRDefault="00730A01" w:rsidP="00760913">
      <w:pPr>
        <w:pStyle w:val="Titre2"/>
        <w:ind w:left="284"/>
        <w:rPr>
          <w:rFonts w:cs="Arial"/>
          <w:lang w:eastAsia="fr-CA"/>
        </w:rPr>
      </w:pPr>
      <w:r>
        <w:t>3</w:t>
      </w:r>
      <w:r w:rsidR="00A26231" w:rsidRPr="002F6648">
        <w:t xml:space="preserve">.1 </w:t>
      </w:r>
      <w:r w:rsidR="000E0951" w:rsidRPr="002F6648">
        <w:t xml:space="preserve">Les dommages </w:t>
      </w:r>
    </w:p>
    <w:p w14:paraId="477C8C85" w14:textId="77777777" w:rsidR="00DC5541"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Pr>
          <w:rFonts w:cs="Arial"/>
          <w:szCs w:val="24"/>
          <w:lang w:eastAsia="fr-CA"/>
        </w:rPr>
        <w:t>Le Tribunal retient de la preuve que ces fautes ont généré des dommages de l’ordre de</w:t>
      </w:r>
      <w:r w:rsidR="00652FE8">
        <w:rPr>
          <w:rFonts w:cs="Arial"/>
          <w:szCs w:val="24"/>
          <w:lang w:eastAsia="fr-CA"/>
        </w:rPr>
        <w:t> </w:t>
      </w:r>
      <w:r w:rsidRPr="003B4B38">
        <w:rPr>
          <w:rFonts w:cs="Arial"/>
          <w:szCs w:val="24"/>
          <w:lang w:eastAsia="fr-CA"/>
        </w:rPr>
        <w:t>73</w:t>
      </w:r>
      <w:r w:rsidR="00E86233" w:rsidRPr="003B4B38">
        <w:rPr>
          <w:rFonts w:cs="Arial"/>
          <w:szCs w:val="24"/>
          <w:lang w:eastAsia="fr-CA"/>
        </w:rPr>
        <w:t> </w:t>
      </w:r>
      <w:r w:rsidRPr="003B4B38">
        <w:rPr>
          <w:rFonts w:cs="Arial"/>
          <w:szCs w:val="24"/>
          <w:lang w:eastAsia="fr-CA"/>
        </w:rPr>
        <w:t>024</w:t>
      </w:r>
      <w:r w:rsidR="00E86233" w:rsidRPr="003B4B38">
        <w:rPr>
          <w:rFonts w:cs="Arial"/>
          <w:szCs w:val="24"/>
          <w:lang w:eastAsia="fr-CA"/>
        </w:rPr>
        <w:t> </w:t>
      </w:r>
      <w:r w:rsidRPr="003B4B38">
        <w:rPr>
          <w:rFonts w:cs="Arial"/>
          <w:szCs w:val="24"/>
          <w:lang w:eastAsia="fr-CA"/>
        </w:rPr>
        <w:t>119</w:t>
      </w:r>
      <w:r w:rsidR="00E86233" w:rsidRPr="003B4B38">
        <w:rPr>
          <w:rFonts w:cs="Arial"/>
          <w:szCs w:val="24"/>
          <w:lang w:eastAsia="fr-CA"/>
        </w:rPr>
        <w:t> </w:t>
      </w:r>
      <w:r w:rsidRPr="003B4B38">
        <w:rPr>
          <w:rFonts w:cs="Arial"/>
          <w:szCs w:val="24"/>
          <w:lang w:eastAsia="fr-CA"/>
        </w:rPr>
        <w:t>$</w:t>
      </w:r>
      <w:r w:rsidRPr="00A26231">
        <w:rPr>
          <w:rFonts w:cs="Arial"/>
          <w:b/>
          <w:bCs/>
          <w:szCs w:val="24"/>
          <w:lang w:eastAsia="fr-CA"/>
        </w:rPr>
        <w:t xml:space="preserve"> pour </w:t>
      </w:r>
      <w:r w:rsidRPr="003B4B38">
        <w:rPr>
          <w:rFonts w:cs="Arial"/>
          <w:szCs w:val="24"/>
          <w:lang w:eastAsia="fr-CA"/>
        </w:rPr>
        <w:t>FIIS</w:t>
      </w:r>
      <w:r w:rsidR="00B7035F">
        <w:rPr>
          <w:rFonts w:cs="Arial"/>
          <w:szCs w:val="24"/>
          <w:lang w:eastAsia="fr-CA"/>
        </w:rPr>
        <w:t>H et</w:t>
      </w:r>
      <w:r w:rsidR="00652FE8">
        <w:rPr>
          <w:rFonts w:cs="Arial"/>
          <w:szCs w:val="24"/>
          <w:lang w:eastAsia="fr-CA"/>
        </w:rPr>
        <w:t> </w:t>
      </w:r>
      <w:r w:rsidR="00B7035F">
        <w:rPr>
          <w:rFonts w:cs="Arial"/>
          <w:szCs w:val="24"/>
          <w:lang w:eastAsia="fr-CA"/>
        </w:rPr>
        <w:t>55 555 375 $ po</w:t>
      </w:r>
      <w:r w:rsidRPr="003B4B38">
        <w:rPr>
          <w:rFonts w:cs="Arial"/>
          <w:szCs w:val="24"/>
          <w:lang w:eastAsia="fr-CA"/>
        </w:rPr>
        <w:t>ur Q-12</w:t>
      </w:r>
      <w:r w:rsidRPr="00A26231">
        <w:rPr>
          <w:rFonts w:cs="Arial"/>
          <w:szCs w:val="24"/>
          <w:lang w:eastAsia="fr-CA"/>
        </w:rPr>
        <w:t xml:space="preserve">, </w:t>
      </w:r>
      <w:r>
        <w:rPr>
          <w:rFonts w:cs="Arial"/>
          <w:szCs w:val="24"/>
          <w:lang w:eastAsia="fr-CA"/>
        </w:rPr>
        <w:t xml:space="preserve">tel que chiffrés et </w:t>
      </w:r>
      <w:r w:rsidRPr="00A26231">
        <w:rPr>
          <w:rFonts w:cs="Arial"/>
          <w:szCs w:val="24"/>
          <w:lang w:eastAsia="fr-CA"/>
        </w:rPr>
        <w:t>documentés par l’expertise comptable</w:t>
      </w:r>
      <w:r w:rsidR="00B7035F">
        <w:rPr>
          <w:rFonts w:cs="Arial"/>
          <w:szCs w:val="24"/>
          <w:lang w:eastAsia="fr-CA"/>
        </w:rPr>
        <w:t xml:space="preserve"> et qu’il sera plus amplement détaillé au chapitre d</w:t>
      </w:r>
      <w:r w:rsidR="00E72CC3">
        <w:rPr>
          <w:rFonts w:cs="Arial"/>
          <w:szCs w:val="24"/>
          <w:lang w:eastAsia="fr-CA"/>
        </w:rPr>
        <w:t>e la quantification</w:t>
      </w:r>
      <w:r w:rsidR="00B7035F">
        <w:rPr>
          <w:rFonts w:cs="Arial"/>
          <w:szCs w:val="24"/>
          <w:lang w:eastAsia="fr-CA"/>
        </w:rPr>
        <w:t xml:space="preserve"> des dommages</w:t>
      </w:r>
      <w:r>
        <w:rPr>
          <w:rStyle w:val="Appelnotedebasdep"/>
          <w:rFonts w:cs="Arial"/>
          <w:szCs w:val="24"/>
          <w:lang w:eastAsia="fr-CA"/>
        </w:rPr>
        <w:footnoteReference w:id="138"/>
      </w:r>
      <w:r w:rsidR="00E86233">
        <w:rPr>
          <w:rFonts w:cs="Arial"/>
          <w:szCs w:val="24"/>
          <w:lang w:eastAsia="fr-CA"/>
        </w:rPr>
        <w:t>.</w:t>
      </w:r>
    </w:p>
    <w:p w14:paraId="10279805" w14:textId="77777777" w:rsidR="00DC5541" w:rsidRPr="002F6648" w:rsidRDefault="00730A01" w:rsidP="00760913">
      <w:pPr>
        <w:pStyle w:val="Titre2"/>
        <w:spacing w:before="120"/>
        <w:ind w:left="284"/>
      </w:pPr>
      <w:r>
        <w:t>3</w:t>
      </w:r>
      <w:r w:rsidR="00A26231" w:rsidRPr="00870BD4">
        <w:t xml:space="preserve">.2 </w:t>
      </w:r>
      <w:r w:rsidR="00B7035F" w:rsidRPr="00870BD4">
        <w:t>L</w:t>
      </w:r>
      <w:r w:rsidR="000E0951" w:rsidRPr="00870BD4">
        <w:t>e lien de causalité entre les dommages réclamés et les fautes de Giroux</w:t>
      </w:r>
      <w:r w:rsidR="000E0951" w:rsidRPr="002F6648">
        <w:t xml:space="preserve"> </w:t>
      </w:r>
    </w:p>
    <w:p w14:paraId="59FFB927" w14:textId="77777777" w:rsidR="00DC5541"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A26231">
        <w:rPr>
          <w:rFonts w:cs="Arial"/>
          <w:szCs w:val="24"/>
          <w:lang w:eastAsia="fr-CA"/>
        </w:rPr>
        <w:t>Le lien de causalité entre les fautes de Giroux et les dommages subis par les Demandeurs est manifeste.</w:t>
      </w:r>
    </w:p>
    <w:p w14:paraId="426EF5FE" w14:textId="77777777" w:rsidR="000D7D73"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A26231">
        <w:rPr>
          <w:rFonts w:cs="Arial"/>
          <w:szCs w:val="24"/>
          <w:lang w:eastAsia="fr-CA"/>
        </w:rPr>
        <w:t xml:space="preserve">Ces fautes ont eu </w:t>
      </w:r>
      <w:r w:rsidR="00B7035F">
        <w:rPr>
          <w:rFonts w:cs="Arial"/>
          <w:szCs w:val="24"/>
          <w:lang w:eastAsia="fr-CA"/>
        </w:rPr>
        <w:t xml:space="preserve">notamment </w:t>
      </w:r>
      <w:r w:rsidRPr="00A26231">
        <w:rPr>
          <w:rFonts w:cs="Arial"/>
          <w:szCs w:val="24"/>
          <w:lang w:eastAsia="fr-CA"/>
        </w:rPr>
        <w:t xml:space="preserve">pour conséquence directe la perte des sommes investies par les commanditaires dans FIISH et Q-12. Les Demandeurs ont subi : </w:t>
      </w:r>
    </w:p>
    <w:p w14:paraId="35DFEF89" w14:textId="77777777" w:rsidR="000D7D73" w:rsidRPr="008956DC" w:rsidRDefault="00730A01" w:rsidP="00443B59">
      <w:pPr>
        <w:pStyle w:val="Paragraphe"/>
        <w:numPr>
          <w:ilvl w:val="0"/>
          <w:numId w:val="42"/>
        </w:numPr>
        <w:spacing w:before="0" w:line="240" w:lineRule="auto"/>
        <w:ind w:left="714" w:right="539" w:hanging="357"/>
        <w:rPr>
          <w:rFonts w:cs="Arial"/>
          <w:szCs w:val="24"/>
          <w:lang w:eastAsia="fr-CA"/>
        </w:rPr>
      </w:pPr>
      <w:r w:rsidRPr="008956DC">
        <w:rPr>
          <w:rFonts w:cs="Arial"/>
          <w:szCs w:val="24"/>
          <w:lang w:eastAsia="fr-CA"/>
        </w:rPr>
        <w:t xml:space="preserve">la disparition de leur capital investi, en raison des détournements et du financement circulaire qui a vidé les caisses des sociétés en commandite; </w:t>
      </w:r>
    </w:p>
    <w:p w14:paraId="6AF52193" w14:textId="77777777" w:rsidR="000D7D73" w:rsidRPr="008956DC" w:rsidRDefault="00730A01" w:rsidP="00443B59">
      <w:pPr>
        <w:pStyle w:val="Paragraphe"/>
        <w:numPr>
          <w:ilvl w:val="0"/>
          <w:numId w:val="42"/>
        </w:numPr>
        <w:spacing w:before="0" w:after="0" w:line="240" w:lineRule="auto"/>
        <w:ind w:left="714" w:right="539" w:hanging="357"/>
        <w:rPr>
          <w:rFonts w:cs="Arial"/>
          <w:szCs w:val="24"/>
          <w:lang w:eastAsia="fr-CA"/>
        </w:rPr>
      </w:pPr>
      <w:r w:rsidRPr="008956DC">
        <w:rPr>
          <w:rFonts w:cs="Arial"/>
          <w:szCs w:val="24"/>
          <w:lang w:eastAsia="fr-CA"/>
        </w:rPr>
        <w:t xml:space="preserve">la privation des rendements promis, les versements d’intérêts ayant cessé dès que les stratagèmes de refinancement ont échoué; </w:t>
      </w:r>
    </w:p>
    <w:p w14:paraId="5915F731" w14:textId="77777777" w:rsidR="000D7D73" w:rsidRPr="008956DC" w:rsidRDefault="00730A01" w:rsidP="00443B59">
      <w:pPr>
        <w:pStyle w:val="Paragraphe"/>
        <w:numPr>
          <w:ilvl w:val="0"/>
          <w:numId w:val="42"/>
        </w:numPr>
        <w:spacing w:after="0" w:line="240" w:lineRule="auto"/>
        <w:ind w:left="714" w:right="539" w:hanging="357"/>
        <w:rPr>
          <w:rFonts w:cs="Arial"/>
          <w:szCs w:val="24"/>
          <w:lang w:eastAsia="fr-CA"/>
        </w:rPr>
      </w:pPr>
      <w:r w:rsidRPr="008956DC">
        <w:rPr>
          <w:rFonts w:cs="Arial"/>
          <w:szCs w:val="24"/>
          <w:lang w:eastAsia="fr-CA"/>
        </w:rPr>
        <w:t>des pertes additionnelles découlant du paiement des frais et honoraires facturés par Giroux et ses sociétés, sans contrepartie réelle.</w:t>
      </w:r>
    </w:p>
    <w:p w14:paraId="3AB8F721" w14:textId="77777777" w:rsidR="00DC5541" w:rsidRPr="00A26231" w:rsidRDefault="00730A01" w:rsidP="0098012F">
      <w:pPr>
        <w:pStyle w:val="Paragraphe"/>
        <w:numPr>
          <w:ilvl w:val="0"/>
          <w:numId w:val="1"/>
        </w:numPr>
        <w:tabs>
          <w:tab w:val="clear" w:pos="786"/>
          <w:tab w:val="num" w:pos="360"/>
        </w:tabs>
        <w:spacing w:before="240" w:after="100" w:afterAutospacing="1" w:line="240" w:lineRule="auto"/>
        <w:ind w:left="0"/>
        <w:rPr>
          <w:rFonts w:cs="Arial"/>
          <w:szCs w:val="24"/>
          <w:lang w:eastAsia="fr-CA"/>
        </w:rPr>
      </w:pPr>
      <w:r w:rsidRPr="00A26231">
        <w:rPr>
          <w:rStyle w:val="lev"/>
          <w:rFonts w:cs="Arial"/>
          <w:b w:val="0"/>
          <w:bCs w:val="0"/>
          <w:szCs w:val="24"/>
        </w:rPr>
        <w:t>Sans les détournements</w:t>
      </w:r>
      <w:r w:rsidRPr="00A26231">
        <w:rPr>
          <w:rFonts w:cs="Arial"/>
          <w:b/>
          <w:bCs/>
          <w:szCs w:val="24"/>
        </w:rPr>
        <w:t xml:space="preserve"> </w:t>
      </w:r>
      <w:r w:rsidRPr="00A26231">
        <w:rPr>
          <w:rFonts w:cs="Arial"/>
          <w:szCs w:val="24"/>
        </w:rPr>
        <w:t>(ex. remboursement de dettes personnelles et paiement de factures de 6646 à même les fonds de Q-12), les commanditaires n’auraient pas été privés de leurs mises de fonds (de leur capital)</w:t>
      </w:r>
      <w:r w:rsidR="00652FE8">
        <w:rPr>
          <w:rFonts w:cs="Arial"/>
          <w:szCs w:val="24"/>
        </w:rPr>
        <w:t>.</w:t>
      </w:r>
    </w:p>
    <w:p w14:paraId="64ED8F24" w14:textId="77777777" w:rsidR="00DC5541" w:rsidRPr="00A26231"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A26231">
        <w:rPr>
          <w:rFonts w:cs="Arial"/>
          <w:szCs w:val="24"/>
          <w:lang w:eastAsia="fr-CA"/>
        </w:rPr>
        <w:t>Sans la mise en place d’un système de type Ponzi et la dissimulation des défauts du Groupe Huot, les investisseurs n’auraient pas été entraînés dans un mécanisme voué à l’effondrement,</w:t>
      </w:r>
      <w:r w:rsidRPr="00A26231">
        <w:rPr>
          <w:rFonts w:cs="Arial"/>
          <w:szCs w:val="24"/>
        </w:rPr>
        <w:t xml:space="preserve"> les sommes investies n’auraient pas été utilisées pour financer artificiellement d’autres entités ou pour rémunérer Giroux</w:t>
      </w:r>
      <w:r w:rsidR="00652FE8">
        <w:rPr>
          <w:rFonts w:cs="Arial"/>
          <w:szCs w:val="24"/>
        </w:rPr>
        <w:t>.</w:t>
      </w:r>
    </w:p>
    <w:p w14:paraId="08995656" w14:textId="77777777" w:rsidR="00DC5541" w:rsidRPr="00A26231" w:rsidRDefault="00730A01" w:rsidP="0098012F">
      <w:pPr>
        <w:pStyle w:val="Paragraphe"/>
        <w:numPr>
          <w:ilvl w:val="0"/>
          <w:numId w:val="1"/>
        </w:numPr>
        <w:tabs>
          <w:tab w:val="clear" w:pos="786"/>
          <w:tab w:val="num" w:pos="360"/>
        </w:tabs>
        <w:spacing w:before="100" w:beforeAutospacing="1" w:after="100" w:afterAutospacing="1" w:line="240" w:lineRule="auto"/>
        <w:ind w:left="0"/>
        <w:rPr>
          <w:rStyle w:val="lev"/>
          <w:rFonts w:cs="Arial"/>
          <w:b w:val="0"/>
          <w:bCs w:val="0"/>
          <w:szCs w:val="24"/>
          <w:lang w:eastAsia="fr-CA"/>
        </w:rPr>
      </w:pPr>
      <w:r w:rsidRPr="00A26231">
        <w:rPr>
          <w:rFonts w:cs="Arial"/>
          <w:szCs w:val="24"/>
        </w:rPr>
        <w:t>Sans les fausses représentations de Giroux quant aux garanties offertes et à la solidité des projets, les commanditaires n’auraient pas accepté d’investir dans des placements dépourvus de garanties réelles</w:t>
      </w:r>
      <w:r w:rsidR="00652FE8">
        <w:rPr>
          <w:rFonts w:cs="Arial"/>
          <w:szCs w:val="24"/>
        </w:rPr>
        <w:t>.</w:t>
      </w:r>
    </w:p>
    <w:p w14:paraId="7D91D730" w14:textId="77777777" w:rsidR="00FF1BD9" w:rsidRDefault="00730A01" w:rsidP="00FF1BD9">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A26231">
        <w:rPr>
          <w:rStyle w:val="lev"/>
          <w:rFonts w:cs="Arial"/>
          <w:b w:val="0"/>
          <w:bCs w:val="0"/>
          <w:szCs w:val="24"/>
        </w:rPr>
        <w:t>Sans l’absence volontaire de contrôle interne</w:t>
      </w:r>
      <w:r w:rsidRPr="00A26231">
        <w:rPr>
          <w:rFonts w:cs="Arial"/>
          <w:szCs w:val="24"/>
        </w:rPr>
        <w:t>, les stratagèmes de Giroux auraient pu être détectés et stoppés plus tôt.</w:t>
      </w:r>
    </w:p>
    <w:p w14:paraId="5EF9443F" w14:textId="77777777" w:rsidR="007E7803" w:rsidRPr="00FF1BD9" w:rsidRDefault="00730A01" w:rsidP="00FF1BD9">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FF1BD9">
        <w:rPr>
          <w:rFonts w:cs="Arial"/>
          <w:szCs w:val="24"/>
          <w:lang w:eastAsia="fr-CA"/>
        </w:rPr>
        <w:t>En somme, les fautes de Giroux sont la cause déterminante des pertes</w:t>
      </w:r>
      <w:r w:rsidRPr="00FF1BD9">
        <w:rPr>
          <w:rFonts w:cs="Arial"/>
          <w:b/>
          <w:bCs/>
          <w:szCs w:val="24"/>
          <w:lang w:eastAsia="fr-CA"/>
        </w:rPr>
        <w:t xml:space="preserve"> </w:t>
      </w:r>
      <w:r w:rsidRPr="00FF1BD9">
        <w:rPr>
          <w:rFonts w:cs="Arial"/>
          <w:szCs w:val="24"/>
          <w:lang w:eastAsia="fr-CA"/>
        </w:rPr>
        <w:t xml:space="preserve">réclamées qui seront </w:t>
      </w:r>
      <w:r w:rsidR="000D7D73" w:rsidRPr="00FF1BD9">
        <w:rPr>
          <w:rFonts w:cs="Arial"/>
          <w:szCs w:val="24"/>
          <w:lang w:eastAsia="fr-CA"/>
        </w:rPr>
        <w:t>ventilées</w:t>
      </w:r>
      <w:r w:rsidRPr="00FF1BD9">
        <w:rPr>
          <w:rFonts w:cs="Arial"/>
          <w:szCs w:val="24"/>
          <w:lang w:eastAsia="fr-CA"/>
        </w:rPr>
        <w:t xml:space="preserve"> plus loin au présent jugement. La preuve établit clairement que les dommages financiers des Demandeurs découlent non pas d’aléas de marché ou de risques normaux d’investissement, mais bien de manquements graves et intentionnels commis par Giroux dans l’exercice de son rôle de gestionnaire et de commandité.</w:t>
      </w:r>
    </w:p>
    <w:p w14:paraId="1BBC0FD0" w14:textId="77777777" w:rsidR="00AC4D5F" w:rsidRPr="00233907" w:rsidRDefault="00730A01" w:rsidP="00443B59">
      <w:pPr>
        <w:pStyle w:val="Titre2"/>
        <w:numPr>
          <w:ilvl w:val="0"/>
          <w:numId w:val="95"/>
        </w:numPr>
        <w:ind w:left="567" w:hanging="567"/>
        <w:rPr>
          <w:bCs/>
          <w:smallCaps/>
          <w:szCs w:val="24"/>
        </w:rPr>
      </w:pPr>
      <w:r w:rsidRPr="00233907">
        <w:rPr>
          <w:bCs/>
          <w:smallCaps/>
          <w:szCs w:val="24"/>
        </w:rPr>
        <w:t>Les fautes des commandités 1395 et 9797, de la société de gestion X2 et des autres sociétés défenderesses liées à Giroux, engageant leur responsabilité à l’égard des Demandeurs</w:t>
      </w:r>
    </w:p>
    <w:p w14:paraId="18B759C2" w14:textId="77777777" w:rsidR="00AC4D5F" w:rsidRDefault="00730A01" w:rsidP="00870BD4">
      <w:pPr>
        <w:pStyle w:val="Paragraphe"/>
        <w:tabs>
          <w:tab w:val="clear" w:pos="786"/>
        </w:tabs>
        <w:spacing w:line="240" w:lineRule="auto"/>
        <w:ind w:left="0"/>
        <w:rPr>
          <w:rFonts w:eastAsia="MS Mincho"/>
          <w:lang w:eastAsia="en-US"/>
        </w:rPr>
      </w:pPr>
      <w:r w:rsidRPr="00856438">
        <w:rPr>
          <w:rFonts w:eastAsia="MS Mincho"/>
          <w:lang w:eastAsia="en-US"/>
        </w:rPr>
        <w:t>Le Tribunal retient de la preuve que les commandités 1395 et 9797, la société de gestion X2 ainsi que les entités 6646</w:t>
      </w:r>
      <w:r>
        <w:rPr>
          <w:rFonts w:eastAsia="MS Mincho"/>
          <w:lang w:eastAsia="en-US"/>
        </w:rPr>
        <w:t xml:space="preserve"> et</w:t>
      </w:r>
      <w:r w:rsidRPr="00856438">
        <w:rPr>
          <w:rFonts w:eastAsia="MS Mincho"/>
          <w:lang w:eastAsia="en-US"/>
        </w:rPr>
        <w:t xml:space="preserve"> 8096 ont commis des fautes engageant leur responsabilité extracontractuelle envers les Demandeurs. Ces fautes sont </w:t>
      </w:r>
      <w:r w:rsidR="000D7D73">
        <w:rPr>
          <w:rFonts w:eastAsia="MS Mincho"/>
          <w:lang w:eastAsia="en-US"/>
        </w:rPr>
        <w:t>les suivantes</w:t>
      </w:r>
      <w:r w:rsidR="00870BD4">
        <w:rPr>
          <w:rFonts w:eastAsia="MS Mincho"/>
          <w:lang w:eastAsia="en-US"/>
        </w:rPr>
        <w:t> </w:t>
      </w:r>
      <w:bookmarkStart w:id="62" w:name="_Hlk204706498"/>
      <w:r w:rsidR="00870BD4">
        <w:rPr>
          <w:rFonts w:eastAsia="MS Mincho"/>
          <w:lang w:eastAsia="en-US"/>
        </w:rPr>
        <w:t>:</w:t>
      </w:r>
    </w:p>
    <w:p w14:paraId="4CFB2DFC" w14:textId="77777777" w:rsidR="00EB3447" w:rsidRPr="00EE1FA3" w:rsidRDefault="00730A01" w:rsidP="0042740E">
      <w:pPr>
        <w:pStyle w:val="Titre3"/>
        <w:numPr>
          <w:ilvl w:val="1"/>
          <w:numId w:val="25"/>
        </w:numPr>
        <w:spacing w:before="120"/>
        <w:ind w:left="284" w:hanging="284"/>
        <w:rPr>
          <w:rFonts w:eastAsia="MS Mincho"/>
          <w:b/>
          <w:bCs/>
          <w:u w:val="single"/>
          <w:lang w:eastAsia="en-US"/>
        </w:rPr>
      </w:pPr>
      <w:r w:rsidRPr="00EE1FA3">
        <w:rPr>
          <w:rFonts w:eastAsia="MS Mincho"/>
          <w:b/>
          <w:bCs/>
          <w:u w:val="single"/>
          <w:lang w:eastAsia="en-US"/>
        </w:rPr>
        <w:t>Les fautes en général</w:t>
      </w:r>
    </w:p>
    <w:bookmarkEnd w:id="62"/>
    <w:p w14:paraId="5B1FF376" w14:textId="77777777" w:rsidR="00AC4D5F" w:rsidRDefault="00730A01" w:rsidP="0042740E">
      <w:pPr>
        <w:pStyle w:val="Paragraphe"/>
        <w:numPr>
          <w:ilvl w:val="0"/>
          <w:numId w:val="11"/>
        </w:numPr>
        <w:spacing w:after="0" w:line="240" w:lineRule="auto"/>
        <w:ind w:left="567" w:hanging="283"/>
        <w:rPr>
          <w:rFonts w:ascii="Times New Roman" w:hAnsi="Times New Roman"/>
          <w:lang w:eastAsia="fr-CA"/>
        </w:rPr>
      </w:pPr>
      <w:r>
        <w:t>Les sociétés commanditées 1395 (FIISH) et 9797 (Q-12) devaient veiller sur l’argent des investisseurs, suivre les prêts, vérifier que tout soit conforme, protéger les intérêts des commanditaires.</w:t>
      </w:r>
    </w:p>
    <w:p w14:paraId="73CBEAAD" w14:textId="77777777" w:rsidR="00AC4D5F" w:rsidRDefault="00730A01" w:rsidP="0098012F">
      <w:pPr>
        <w:pStyle w:val="Paragraphe"/>
        <w:numPr>
          <w:ilvl w:val="0"/>
          <w:numId w:val="0"/>
        </w:numPr>
        <w:spacing w:after="0" w:line="240" w:lineRule="auto"/>
        <w:ind w:left="567"/>
        <w:rPr>
          <w:rFonts w:ascii="Times New Roman" w:hAnsi="Times New Roman"/>
          <w:lang w:eastAsia="fr-CA"/>
        </w:rPr>
      </w:pPr>
      <w:r>
        <w:t>Elles ont plutôt agi sans contrôle, autorisé des prêts sans vérifier, encaissé des frais sans gérer quoi que ce soit</w:t>
      </w:r>
      <w:r>
        <w:rPr>
          <w:rStyle w:val="Appelnotedebasdep"/>
        </w:rPr>
        <w:footnoteReference w:id="139"/>
      </w:r>
      <w:r w:rsidR="007D72F5">
        <w:t>.</w:t>
      </w:r>
      <w:r w:rsidRPr="00EA76CB">
        <w:t xml:space="preserve"> </w:t>
      </w:r>
    </w:p>
    <w:p w14:paraId="70F6F5DE" w14:textId="77777777" w:rsidR="00AC4D5F" w:rsidRDefault="00730A01" w:rsidP="0098012F">
      <w:pPr>
        <w:pStyle w:val="Paragraphe"/>
        <w:numPr>
          <w:ilvl w:val="0"/>
          <w:numId w:val="0"/>
        </w:numPr>
        <w:spacing w:after="0" w:line="240" w:lineRule="auto"/>
        <w:ind w:left="567"/>
        <w:rPr>
          <w:rFonts w:ascii="Times New Roman" w:hAnsi="Times New Roman"/>
          <w:lang w:eastAsia="fr-CA"/>
        </w:rPr>
      </w:pPr>
      <w:r w:rsidRPr="004E6605">
        <w:t>Ces sociétés ont facturé d</w:t>
      </w:r>
      <w:r w:rsidR="004B5F52">
        <w:t>es sommes importantes</w:t>
      </w:r>
      <w:r w:rsidRPr="004E6605">
        <w:t xml:space="preserve"> pour des services (analyse de solvabilité, vérification de garanties, suivi des travaux) sans jamais exécuter ces tâches. </w:t>
      </w:r>
      <w:r>
        <w:t xml:space="preserve">Elles n’ont pas pris de mesures particulières </w:t>
      </w:r>
      <w:r w:rsidRPr="004E6605">
        <w:t xml:space="preserve">lorsque Huot </w:t>
      </w:r>
      <w:r>
        <w:t xml:space="preserve">a </w:t>
      </w:r>
      <w:r w:rsidRPr="004E6605">
        <w:t>reconn</w:t>
      </w:r>
      <w:r>
        <w:t>u</w:t>
      </w:r>
      <w:r w:rsidRPr="004E6605">
        <w:t xml:space="preserve"> être en faillite</w:t>
      </w:r>
      <w:r>
        <w:rPr>
          <w:rStyle w:val="Appelnotedebasdep"/>
        </w:rPr>
        <w:footnoteReference w:id="140"/>
      </w:r>
      <w:r w:rsidR="007D72F5">
        <w:t>.</w:t>
      </w:r>
    </w:p>
    <w:p w14:paraId="4D432BC6" w14:textId="77777777" w:rsidR="00AC4D5F" w:rsidRPr="004C06FE" w:rsidRDefault="00730A01" w:rsidP="0098012F">
      <w:pPr>
        <w:pStyle w:val="Paragraphe"/>
        <w:numPr>
          <w:ilvl w:val="0"/>
          <w:numId w:val="0"/>
        </w:numPr>
        <w:spacing w:after="0" w:line="240" w:lineRule="auto"/>
        <w:ind w:left="567"/>
        <w:rPr>
          <w:rFonts w:ascii="Times New Roman" w:hAnsi="Times New Roman"/>
          <w:lang w:eastAsia="fr-CA"/>
        </w:rPr>
      </w:pPr>
      <w:r>
        <w:t>Elles ont abandonné leur rôle de surveillance.</w:t>
      </w:r>
      <w:r w:rsidRPr="00754296">
        <w:t xml:space="preserve"> </w:t>
      </w:r>
      <w:r>
        <w:t>Elles n’ont effectué a</w:t>
      </w:r>
      <w:r w:rsidRPr="004E6605">
        <w:t>ucune vérification réelle des chantiers ou de l’usage des fonds. Certains projets financés n’avaient pas démarré</w:t>
      </w:r>
      <w:r w:rsidR="008568D1">
        <w:t>,</w:t>
      </w:r>
      <w:r w:rsidRPr="004E6605">
        <w:t xml:space="preserve"> les fonds ont été utilisés à d’autres fins</w:t>
      </w:r>
      <w:r>
        <w:rPr>
          <w:rStyle w:val="Appelnotedebasdep"/>
        </w:rPr>
        <w:footnoteReference w:id="141"/>
      </w:r>
      <w:r w:rsidR="007D72F5">
        <w:t>.</w:t>
      </w:r>
    </w:p>
    <w:p w14:paraId="24F33AF3" w14:textId="77777777" w:rsidR="00AC4D5F" w:rsidRDefault="00730A01" w:rsidP="0042740E">
      <w:pPr>
        <w:numPr>
          <w:ilvl w:val="0"/>
          <w:numId w:val="11"/>
        </w:numPr>
        <w:spacing w:before="120"/>
        <w:ind w:left="567" w:hanging="283"/>
        <w:jc w:val="both"/>
      </w:pPr>
      <w:r>
        <w:t>X2 (la société de gestion) devait vérifier les projets, analyser les finances, surveiller les déboursés, rendre compte aux investisseurs. Dans les faits, elle n’a effectué aucune analyse sérieuse, elle ne demandait même pas les états financiers des entreprises du Groupe Huot, mais facturait quand même pour des services non rendus</w:t>
      </w:r>
      <w:r>
        <w:rPr>
          <w:rStyle w:val="Appelnotedebasdep"/>
        </w:rPr>
        <w:footnoteReference w:id="142"/>
      </w:r>
      <w:r w:rsidR="007D72F5">
        <w:t>.</w:t>
      </w:r>
    </w:p>
    <w:p w14:paraId="222944F6" w14:textId="77777777" w:rsidR="00AC4D5F" w:rsidRDefault="00730A01" w:rsidP="0042740E">
      <w:pPr>
        <w:numPr>
          <w:ilvl w:val="0"/>
          <w:numId w:val="11"/>
        </w:numPr>
        <w:spacing w:before="120"/>
        <w:ind w:left="567" w:hanging="283"/>
        <w:jc w:val="both"/>
      </w:pPr>
      <w:r>
        <w:t>Les sociétés 6646, 8096, X2, 1395, 9797 ont servi à faire circuler l’argent vers Giroux. Certaines ont facturé des services fictifs. Elles ont été utilisées pour cacher l’enrichissement personnel de Giroux</w:t>
      </w:r>
      <w:r w:rsidR="004B5F52">
        <w:t>.</w:t>
      </w:r>
    </w:p>
    <w:p w14:paraId="24474C30" w14:textId="77777777" w:rsidR="00AC4D5F" w:rsidRDefault="00730A01" w:rsidP="0042740E">
      <w:pPr>
        <w:numPr>
          <w:ilvl w:val="0"/>
          <w:numId w:val="11"/>
        </w:numPr>
        <w:spacing w:before="120"/>
        <w:ind w:left="567" w:hanging="283"/>
        <w:jc w:val="both"/>
      </w:pPr>
      <w:r>
        <w:t>Ces fautes sont graves car les investisseurs avaient confiance qu’un suivi rigoureux serait fait mais les sociétés chargées de cette tâche ont fermé les yeux ou participé activement aux abus.</w:t>
      </w:r>
    </w:p>
    <w:p w14:paraId="5E429777" w14:textId="77777777" w:rsidR="00AC4D5F" w:rsidRDefault="00730A01" w:rsidP="0098012F">
      <w:pPr>
        <w:spacing w:before="120"/>
        <w:ind w:left="567"/>
        <w:jc w:val="both"/>
      </w:pPr>
      <w:r w:rsidRPr="004E6605">
        <w:t xml:space="preserve">Les profits générés par les entités défenderesses étaient systématiquement transférés à 6646, société mère de Giroux. Les revenus perçus au nom de X2 ou 8096 étaient </w:t>
      </w:r>
      <w:r w:rsidR="0094415E">
        <w:t xml:space="preserve">aussi </w:t>
      </w:r>
      <w:r w:rsidRPr="004E6605">
        <w:t>rapidement dirigés vers cette entité contrôlée par lui</w:t>
      </w:r>
      <w:r>
        <w:rPr>
          <w:rStyle w:val="Appelnotedebasdep"/>
        </w:rPr>
        <w:footnoteReference w:id="143"/>
      </w:r>
      <w:r w:rsidR="007D72F5">
        <w:t>.</w:t>
      </w:r>
    </w:p>
    <w:p w14:paraId="3BB99BC1" w14:textId="77777777" w:rsidR="008568D1" w:rsidRPr="008568D1" w:rsidRDefault="00730A01" w:rsidP="0042740E">
      <w:pPr>
        <w:numPr>
          <w:ilvl w:val="0"/>
          <w:numId w:val="11"/>
        </w:numPr>
        <w:spacing w:before="120"/>
        <w:ind w:left="567" w:hanging="283"/>
        <w:jc w:val="both"/>
      </w:pPr>
      <w:r>
        <w:t>Il y a eu p</w:t>
      </w:r>
      <w:r w:rsidR="00AC4D5F" w:rsidRPr="004E6605">
        <w:t>aiement des intérêts avec les fonds des commanditaires – fraude de type Ponzi</w:t>
      </w:r>
      <w:r w:rsidR="00391387">
        <w:t>. L</w:t>
      </w:r>
      <w:r w:rsidR="00AC4D5F" w:rsidRPr="004E6605">
        <w:t xml:space="preserve">es Défendeurs ont pris de l’argent d’un groupe de commanditaires pour payer les </w:t>
      </w:r>
      <w:r w:rsidR="00AC4D5F" w:rsidRPr="008568D1">
        <w:t>intérêts dus à un autre, dissimulant ainsi les défauts de paiement</w:t>
      </w:r>
      <w:r>
        <w:rPr>
          <w:rStyle w:val="Appelnotedebasdep"/>
        </w:rPr>
        <w:footnoteReference w:id="144"/>
      </w:r>
      <w:r w:rsidR="00AC4D5F" w:rsidRPr="008568D1">
        <w:t xml:space="preserve">. </w:t>
      </w:r>
    </w:p>
    <w:p w14:paraId="5A9907B0" w14:textId="77777777" w:rsidR="00BE4961" w:rsidRPr="00EE1FA3" w:rsidRDefault="00730A01" w:rsidP="0042740E">
      <w:pPr>
        <w:pStyle w:val="Titre3"/>
        <w:numPr>
          <w:ilvl w:val="1"/>
          <w:numId w:val="25"/>
        </w:numPr>
        <w:ind w:left="284" w:hanging="284"/>
        <w:rPr>
          <w:rFonts w:cs="Arial"/>
          <w:b/>
          <w:bCs/>
          <w:u w:val="single"/>
          <w:lang w:eastAsia="fr-CA"/>
        </w:rPr>
      </w:pPr>
      <w:bookmarkStart w:id="63" w:name="_Toc211495240"/>
      <w:bookmarkStart w:id="64" w:name="_Toc211600651"/>
      <w:r w:rsidRPr="00EE1FA3">
        <w:rPr>
          <w:b/>
          <w:bCs/>
          <w:u w:val="single"/>
        </w:rPr>
        <w:t>Les fautes en lien avec le prêt FIISH</w:t>
      </w:r>
      <w:bookmarkEnd w:id="63"/>
      <w:bookmarkEnd w:id="64"/>
    </w:p>
    <w:p w14:paraId="3BC8DD34" w14:textId="77777777" w:rsidR="0018452B" w:rsidRPr="008568D1" w:rsidRDefault="00730A01" w:rsidP="0098012F">
      <w:pPr>
        <w:pStyle w:val="Paragraphe"/>
        <w:numPr>
          <w:ilvl w:val="0"/>
          <w:numId w:val="1"/>
        </w:numPr>
        <w:tabs>
          <w:tab w:val="clear" w:pos="786"/>
          <w:tab w:val="num" w:pos="360"/>
        </w:tabs>
        <w:spacing w:line="240" w:lineRule="auto"/>
        <w:ind w:left="0"/>
        <w:rPr>
          <w:rFonts w:cs="Arial"/>
        </w:rPr>
      </w:pPr>
      <w:r w:rsidRPr="008568D1">
        <w:rPr>
          <w:rStyle w:val="Accentuation"/>
          <w:i w:val="0"/>
          <w:iCs w:val="0"/>
        </w:rPr>
        <w:t>L’examen</w:t>
      </w:r>
      <w:r w:rsidRPr="008568D1">
        <w:rPr>
          <w:rFonts w:cs="Arial"/>
        </w:rPr>
        <w:t xml:space="preserve"> des avances consenties dans le cadre du prêt FIISH révèle une mécanique financière qui s’est éloignée du financement direct des projets immobiliers pour lesquels les investisseurs avaient initialement souscrit. Dès la mise en place de la convention, en mars</w:t>
      </w:r>
      <w:r w:rsidR="007D72F5">
        <w:rPr>
          <w:rFonts w:cs="Arial"/>
        </w:rPr>
        <w:t> </w:t>
      </w:r>
      <w:r w:rsidRPr="008568D1">
        <w:rPr>
          <w:rFonts w:cs="Arial"/>
        </w:rPr>
        <w:t>2017, le prêt a été établi à</w:t>
      </w:r>
      <w:r w:rsidR="007D72F5">
        <w:rPr>
          <w:rFonts w:cs="Arial"/>
        </w:rPr>
        <w:t> </w:t>
      </w:r>
      <w:r w:rsidRPr="008568D1">
        <w:rPr>
          <w:rFonts w:cs="Arial"/>
        </w:rPr>
        <w:t>59</w:t>
      </w:r>
      <w:r w:rsidR="00C54E3F" w:rsidRPr="008568D1">
        <w:rPr>
          <w:rFonts w:cs="Arial"/>
        </w:rPr>
        <w:t> </w:t>
      </w:r>
      <w:r w:rsidR="004B5F52" w:rsidRPr="008568D1">
        <w:rPr>
          <w:rFonts w:cs="Arial"/>
        </w:rPr>
        <w:t>M</w:t>
      </w:r>
      <w:r w:rsidRPr="008568D1">
        <w:rPr>
          <w:rFonts w:cs="Arial"/>
        </w:rPr>
        <w:t xml:space="preserve">$. </w:t>
      </w:r>
      <w:r w:rsidR="00B7035F">
        <w:rPr>
          <w:rFonts w:cs="Arial"/>
        </w:rPr>
        <w:t xml:space="preserve">Ce </w:t>
      </w:r>
      <w:r w:rsidRPr="008568D1">
        <w:rPr>
          <w:rFonts w:cs="Arial"/>
        </w:rPr>
        <w:t>solde est porté à</w:t>
      </w:r>
      <w:r w:rsidR="007D72F5">
        <w:rPr>
          <w:rFonts w:cs="Arial"/>
        </w:rPr>
        <w:t> </w:t>
      </w:r>
      <w:r w:rsidRPr="008568D1">
        <w:rPr>
          <w:rFonts w:cs="Arial"/>
        </w:rPr>
        <w:t>75</w:t>
      </w:r>
      <w:r w:rsidR="005255CF" w:rsidRPr="008568D1">
        <w:rPr>
          <w:rFonts w:cs="Arial"/>
        </w:rPr>
        <w:t> </w:t>
      </w:r>
      <w:r w:rsidR="00B23AB2" w:rsidRPr="008568D1">
        <w:rPr>
          <w:rFonts w:cs="Arial"/>
        </w:rPr>
        <w:t>M</w:t>
      </w:r>
      <w:r w:rsidRPr="008568D1">
        <w:rPr>
          <w:rFonts w:cs="Arial"/>
        </w:rPr>
        <w:t>$ en novembre</w:t>
      </w:r>
      <w:r w:rsidR="007D72F5">
        <w:rPr>
          <w:rFonts w:cs="Arial"/>
        </w:rPr>
        <w:t> </w:t>
      </w:r>
      <w:r w:rsidRPr="008568D1">
        <w:rPr>
          <w:rFonts w:cs="Arial"/>
        </w:rPr>
        <w:t>2018</w:t>
      </w:r>
      <w:r>
        <w:rPr>
          <w:rStyle w:val="Appelnotedebasdep"/>
          <w:rFonts w:cs="Arial"/>
        </w:rPr>
        <w:footnoteReference w:id="145"/>
      </w:r>
      <w:r w:rsidR="00B23AB2" w:rsidRPr="008568D1">
        <w:rPr>
          <w:rFonts w:cs="Arial"/>
        </w:rPr>
        <w:t xml:space="preserve"> puis à</w:t>
      </w:r>
      <w:r w:rsidR="007D72F5">
        <w:rPr>
          <w:rFonts w:cs="Arial"/>
        </w:rPr>
        <w:t> </w:t>
      </w:r>
      <w:r w:rsidR="00B23AB2" w:rsidRPr="008568D1">
        <w:rPr>
          <w:rFonts w:cs="Arial"/>
        </w:rPr>
        <w:t>121</w:t>
      </w:r>
      <w:r w:rsidR="008568D1" w:rsidRPr="008568D1">
        <w:rPr>
          <w:rFonts w:cs="Arial"/>
        </w:rPr>
        <w:t>,</w:t>
      </w:r>
      <w:r w:rsidR="00B23AB2" w:rsidRPr="008568D1">
        <w:rPr>
          <w:rFonts w:cs="Arial"/>
        </w:rPr>
        <w:t>35</w:t>
      </w:r>
      <w:r w:rsidR="008568D1" w:rsidRPr="008568D1">
        <w:rPr>
          <w:rFonts w:cs="Arial"/>
        </w:rPr>
        <w:t> </w:t>
      </w:r>
      <w:r w:rsidR="00B23AB2" w:rsidRPr="008568D1">
        <w:rPr>
          <w:rFonts w:cs="Arial"/>
        </w:rPr>
        <w:t>M$ en mars</w:t>
      </w:r>
      <w:r w:rsidR="007D72F5">
        <w:rPr>
          <w:rFonts w:cs="Arial"/>
        </w:rPr>
        <w:t> </w:t>
      </w:r>
      <w:r w:rsidR="00B23AB2" w:rsidRPr="008568D1">
        <w:rPr>
          <w:rFonts w:cs="Arial"/>
        </w:rPr>
        <w:t>2022</w:t>
      </w:r>
      <w:r>
        <w:rPr>
          <w:rStyle w:val="Appelnotedebasdep"/>
          <w:rFonts w:cs="Arial"/>
        </w:rPr>
        <w:footnoteReference w:id="146"/>
      </w:r>
      <w:r w:rsidR="00B23AB2" w:rsidRPr="008568D1">
        <w:rPr>
          <w:rFonts w:cs="Arial"/>
        </w:rPr>
        <w:t xml:space="preserve">. </w:t>
      </w:r>
    </w:p>
    <w:p w14:paraId="23DAEDCE" w14:textId="77777777" w:rsidR="0018452B" w:rsidRDefault="00730A01" w:rsidP="0098012F">
      <w:pPr>
        <w:pStyle w:val="Paragraphe"/>
        <w:numPr>
          <w:ilvl w:val="0"/>
          <w:numId w:val="1"/>
        </w:numPr>
        <w:tabs>
          <w:tab w:val="clear" w:pos="786"/>
          <w:tab w:val="num" w:pos="360"/>
        </w:tabs>
        <w:spacing w:line="240" w:lineRule="auto"/>
        <w:ind w:left="0"/>
        <w:rPr>
          <w:rFonts w:cs="Arial"/>
        </w:rPr>
      </w:pPr>
      <w:r w:rsidRPr="0018452B">
        <w:rPr>
          <w:rFonts w:cs="Arial"/>
        </w:rPr>
        <w:t>Or, l’analyse comptable démontre qu’une partie importante des fonds levés n’a pas été remise à Huot. Dès</w:t>
      </w:r>
      <w:r w:rsidR="007D72F5">
        <w:rPr>
          <w:rFonts w:cs="Arial"/>
        </w:rPr>
        <w:t> </w:t>
      </w:r>
      <w:r w:rsidRPr="0018452B">
        <w:rPr>
          <w:rFonts w:cs="Arial"/>
        </w:rPr>
        <w:t>2018, des montants ont été détournés vers 6646 et d’autres sociétés du Groupe Giroux, parfois inscrits à titre de revenus d’intérêts de FIISH ou de remboursements d’avances, sans justification claire</w:t>
      </w:r>
      <w:r>
        <w:rPr>
          <w:rStyle w:val="Appelnotedebasdep"/>
          <w:rFonts w:cs="Arial"/>
        </w:rPr>
        <w:footnoteReference w:id="147"/>
      </w:r>
      <w:r w:rsidRPr="0018452B">
        <w:rPr>
          <w:rFonts w:cs="Arial"/>
        </w:rPr>
        <w:t>.</w:t>
      </w:r>
    </w:p>
    <w:p w14:paraId="20E1D07A" w14:textId="77777777" w:rsidR="0018452B" w:rsidRDefault="00730A01" w:rsidP="0098012F">
      <w:pPr>
        <w:pStyle w:val="Paragraphe"/>
        <w:numPr>
          <w:ilvl w:val="0"/>
          <w:numId w:val="1"/>
        </w:numPr>
        <w:tabs>
          <w:tab w:val="clear" w:pos="786"/>
          <w:tab w:val="num" w:pos="360"/>
        </w:tabs>
        <w:spacing w:line="240" w:lineRule="auto"/>
        <w:ind w:left="0"/>
        <w:rPr>
          <w:rFonts w:cs="Arial"/>
        </w:rPr>
      </w:pPr>
      <w:r w:rsidRPr="0018452B">
        <w:rPr>
          <w:rFonts w:cs="Arial"/>
        </w:rPr>
        <w:t>En juillet</w:t>
      </w:r>
      <w:r w:rsidR="007D72F5">
        <w:rPr>
          <w:rFonts w:cs="Arial"/>
        </w:rPr>
        <w:t> </w:t>
      </w:r>
      <w:r w:rsidRPr="0018452B">
        <w:rPr>
          <w:rFonts w:cs="Arial"/>
        </w:rPr>
        <w:t>2019, l’Amendement</w:t>
      </w:r>
      <w:r w:rsidR="007D72F5">
        <w:rPr>
          <w:rFonts w:cs="Arial"/>
        </w:rPr>
        <w:t> </w:t>
      </w:r>
      <w:r w:rsidRPr="0018452B">
        <w:rPr>
          <w:rFonts w:cs="Arial"/>
        </w:rPr>
        <w:t>2 entraîne une nouvelle levée de</w:t>
      </w:r>
      <w:r w:rsidR="007D72F5">
        <w:rPr>
          <w:rFonts w:cs="Arial"/>
        </w:rPr>
        <w:t> </w:t>
      </w:r>
      <w:r w:rsidRPr="0018452B">
        <w:rPr>
          <w:rFonts w:cs="Arial"/>
        </w:rPr>
        <w:t>21</w:t>
      </w:r>
      <w:r w:rsidR="0094415E">
        <w:rPr>
          <w:rFonts w:cs="Arial"/>
        </w:rPr>
        <w:t>,</w:t>
      </w:r>
      <w:r w:rsidRPr="0018452B">
        <w:rPr>
          <w:rFonts w:cs="Arial"/>
        </w:rPr>
        <w:t>7</w:t>
      </w:r>
      <w:r w:rsidR="0094415E">
        <w:rPr>
          <w:rFonts w:cs="Arial"/>
        </w:rPr>
        <w:t> M</w:t>
      </w:r>
      <w:r w:rsidRPr="0018452B">
        <w:rPr>
          <w:rFonts w:cs="Arial"/>
        </w:rPr>
        <w:t>$. De cette somme, 3</w:t>
      </w:r>
      <w:r w:rsidR="00C54E3F">
        <w:rPr>
          <w:rFonts w:cs="Arial"/>
        </w:rPr>
        <w:t> </w:t>
      </w:r>
      <w:r w:rsidRPr="0018452B">
        <w:rPr>
          <w:rFonts w:cs="Arial"/>
        </w:rPr>
        <w:t>060</w:t>
      </w:r>
      <w:r w:rsidR="00C54E3F">
        <w:rPr>
          <w:rFonts w:cs="Arial"/>
        </w:rPr>
        <w:t> </w:t>
      </w:r>
      <w:r w:rsidRPr="0018452B">
        <w:rPr>
          <w:rFonts w:cs="Arial"/>
        </w:rPr>
        <w:t>000</w:t>
      </w:r>
      <w:r w:rsidR="00C54E3F">
        <w:rPr>
          <w:rFonts w:cs="Arial"/>
        </w:rPr>
        <w:t> </w:t>
      </w:r>
      <w:r w:rsidRPr="0018452B">
        <w:rPr>
          <w:rFonts w:cs="Arial"/>
        </w:rPr>
        <w:t>$ servent à rembourser des avances de 6646 et 11</w:t>
      </w:r>
      <w:r w:rsidR="00C54E3F">
        <w:rPr>
          <w:rFonts w:cs="Arial"/>
        </w:rPr>
        <w:t> </w:t>
      </w:r>
      <w:r w:rsidRPr="0018452B">
        <w:rPr>
          <w:rFonts w:cs="Arial"/>
        </w:rPr>
        <w:t>655</w:t>
      </w:r>
      <w:r w:rsidR="00C54E3F">
        <w:rPr>
          <w:rFonts w:cs="Arial"/>
        </w:rPr>
        <w:t> </w:t>
      </w:r>
      <w:r w:rsidRPr="0018452B">
        <w:rPr>
          <w:rFonts w:cs="Arial"/>
        </w:rPr>
        <w:t>959</w:t>
      </w:r>
      <w:r w:rsidR="00C54E3F">
        <w:rPr>
          <w:rFonts w:cs="Arial"/>
        </w:rPr>
        <w:t> </w:t>
      </w:r>
      <w:r w:rsidRPr="0018452B">
        <w:rPr>
          <w:rFonts w:cs="Arial"/>
        </w:rPr>
        <w:t>$ sont versés à Douville Moffet. En définitive, seulement 4</w:t>
      </w:r>
      <w:r w:rsidR="008568D1">
        <w:rPr>
          <w:rFonts w:cs="Arial"/>
        </w:rPr>
        <w:t> </w:t>
      </w:r>
      <w:r w:rsidRPr="0018452B">
        <w:rPr>
          <w:rFonts w:cs="Arial"/>
        </w:rPr>
        <w:t>980</w:t>
      </w:r>
      <w:r w:rsidR="008568D1">
        <w:rPr>
          <w:rFonts w:cs="Arial"/>
        </w:rPr>
        <w:t> </w:t>
      </w:r>
      <w:r w:rsidRPr="0018452B">
        <w:rPr>
          <w:rFonts w:cs="Arial"/>
        </w:rPr>
        <w:t>000</w:t>
      </w:r>
      <w:r w:rsidR="008568D1">
        <w:rPr>
          <w:rFonts w:cs="Arial"/>
        </w:rPr>
        <w:t> </w:t>
      </w:r>
      <w:r w:rsidRPr="0018452B">
        <w:rPr>
          <w:rFonts w:cs="Arial"/>
        </w:rPr>
        <w:t>$, soit environ le quart, parviennent effectivement à Huot</w:t>
      </w:r>
      <w:r>
        <w:rPr>
          <w:rStyle w:val="Appelnotedebasdep"/>
          <w:rFonts w:cs="Arial"/>
        </w:rPr>
        <w:footnoteReference w:id="148"/>
      </w:r>
      <w:r w:rsidRPr="0018452B">
        <w:rPr>
          <w:rFonts w:cs="Arial"/>
        </w:rPr>
        <w:t>. Ces écarts illustrent que moins du tiers des mises de fonds était consacré à la finalité annoncée</w:t>
      </w:r>
      <w:r>
        <w:rPr>
          <w:rStyle w:val="Appelnotedebasdep"/>
          <w:rFonts w:cs="Arial"/>
        </w:rPr>
        <w:footnoteReference w:id="149"/>
      </w:r>
      <w:r w:rsidRPr="0018452B">
        <w:rPr>
          <w:rFonts w:cs="Arial"/>
        </w:rPr>
        <w:t>.</w:t>
      </w:r>
    </w:p>
    <w:p w14:paraId="1207AD98" w14:textId="77777777" w:rsidR="00C54E3F" w:rsidRDefault="00730A01" w:rsidP="0098012F">
      <w:pPr>
        <w:pStyle w:val="Paragraphe"/>
        <w:numPr>
          <w:ilvl w:val="0"/>
          <w:numId w:val="1"/>
        </w:numPr>
        <w:tabs>
          <w:tab w:val="clear" w:pos="786"/>
          <w:tab w:val="num" w:pos="360"/>
        </w:tabs>
        <w:spacing w:line="240" w:lineRule="auto"/>
        <w:ind w:left="0"/>
        <w:rPr>
          <w:rFonts w:cs="Arial"/>
        </w:rPr>
      </w:pPr>
      <w:r w:rsidRPr="0018452B">
        <w:rPr>
          <w:rFonts w:cs="Arial"/>
        </w:rPr>
        <w:t>La situation se reproduit en avril</w:t>
      </w:r>
      <w:r w:rsidR="007D72F5">
        <w:rPr>
          <w:rFonts w:cs="Arial"/>
        </w:rPr>
        <w:t> </w:t>
      </w:r>
      <w:r w:rsidRPr="0018452B">
        <w:rPr>
          <w:rFonts w:cs="Arial"/>
        </w:rPr>
        <w:t xml:space="preserve">2020, lorsque le solde du prêt </w:t>
      </w:r>
      <w:r w:rsidR="00DA0F29">
        <w:rPr>
          <w:rFonts w:cs="Arial"/>
        </w:rPr>
        <w:t xml:space="preserve">passe </w:t>
      </w:r>
      <w:r w:rsidRPr="0018452B">
        <w:rPr>
          <w:rFonts w:cs="Arial"/>
        </w:rPr>
        <w:t>à</w:t>
      </w:r>
      <w:r w:rsidR="007D72F5">
        <w:rPr>
          <w:rFonts w:cs="Arial"/>
        </w:rPr>
        <w:t> </w:t>
      </w:r>
      <w:r w:rsidRPr="0018452B">
        <w:rPr>
          <w:rFonts w:cs="Arial"/>
        </w:rPr>
        <w:t>100</w:t>
      </w:r>
      <w:r>
        <w:rPr>
          <w:rFonts w:cs="Arial"/>
        </w:rPr>
        <w:t> </w:t>
      </w:r>
      <w:r w:rsidR="00DA0F29">
        <w:rPr>
          <w:rFonts w:cs="Arial"/>
        </w:rPr>
        <w:t>M</w:t>
      </w:r>
      <w:r w:rsidRPr="0018452B">
        <w:rPr>
          <w:rFonts w:cs="Arial"/>
        </w:rPr>
        <w:t>$. Parmi les fonds nouvellement levés, une partie importante est absorbée par le remboursement d’un prêt de</w:t>
      </w:r>
      <w:r w:rsidR="007D72F5">
        <w:rPr>
          <w:rFonts w:cs="Arial"/>
        </w:rPr>
        <w:t> </w:t>
      </w:r>
      <w:r w:rsidRPr="0018452B">
        <w:rPr>
          <w:rFonts w:cs="Arial"/>
        </w:rPr>
        <w:t>7</w:t>
      </w:r>
      <w:r>
        <w:rPr>
          <w:rFonts w:cs="Arial"/>
        </w:rPr>
        <w:t> </w:t>
      </w:r>
      <w:r w:rsidR="0094415E">
        <w:rPr>
          <w:rFonts w:cs="Arial"/>
        </w:rPr>
        <w:t>M</w:t>
      </w:r>
      <w:r w:rsidRPr="0018452B">
        <w:rPr>
          <w:rFonts w:cs="Arial"/>
        </w:rPr>
        <w:t>$ accordé par 8096 à Huot et par le paiement de</w:t>
      </w:r>
      <w:r w:rsidR="007D72F5">
        <w:rPr>
          <w:rFonts w:cs="Arial"/>
        </w:rPr>
        <w:t> </w:t>
      </w:r>
      <w:r w:rsidRPr="0018452B">
        <w:rPr>
          <w:rFonts w:cs="Arial"/>
        </w:rPr>
        <w:t>5</w:t>
      </w:r>
      <w:r w:rsidR="0094415E">
        <w:rPr>
          <w:rFonts w:cs="Arial"/>
        </w:rPr>
        <w:t>,37 M</w:t>
      </w:r>
      <w:r w:rsidRPr="0018452B">
        <w:rPr>
          <w:rFonts w:cs="Arial"/>
        </w:rPr>
        <w:t>$ d’intérêts et de frais de services financiers à 8096</w:t>
      </w:r>
      <w:r>
        <w:rPr>
          <w:rStyle w:val="Appelnotedebasdep"/>
          <w:rFonts w:cs="Arial"/>
        </w:rPr>
        <w:footnoteReference w:id="150"/>
      </w:r>
      <w:r w:rsidRPr="0018452B">
        <w:rPr>
          <w:rFonts w:cs="Arial"/>
        </w:rPr>
        <w:t>. Là encore, les sommes nettes disponibles pour Huot demeurent marginales</w:t>
      </w:r>
      <w:r>
        <w:rPr>
          <w:rStyle w:val="Appelnotedebasdep"/>
          <w:rFonts w:cs="Arial"/>
        </w:rPr>
        <w:footnoteReference w:id="151"/>
      </w:r>
      <w:r w:rsidR="007D72F5">
        <w:rPr>
          <w:rFonts w:cs="Arial"/>
        </w:rPr>
        <w:t>.</w:t>
      </w:r>
    </w:p>
    <w:p w14:paraId="4B9B4874" w14:textId="77777777" w:rsidR="00C54E3F" w:rsidRDefault="00730A01" w:rsidP="0098012F">
      <w:pPr>
        <w:pStyle w:val="Paragraphe"/>
        <w:numPr>
          <w:ilvl w:val="0"/>
          <w:numId w:val="1"/>
        </w:numPr>
        <w:tabs>
          <w:tab w:val="clear" w:pos="786"/>
          <w:tab w:val="num" w:pos="360"/>
        </w:tabs>
        <w:spacing w:line="240" w:lineRule="auto"/>
        <w:ind w:left="0"/>
        <w:rPr>
          <w:rFonts w:cs="Arial"/>
        </w:rPr>
      </w:pPr>
      <w:r w:rsidRPr="00C54E3F">
        <w:rPr>
          <w:rFonts w:cs="Arial"/>
        </w:rPr>
        <w:t>En juillet</w:t>
      </w:r>
      <w:r w:rsidR="007D72F5">
        <w:rPr>
          <w:rFonts w:cs="Arial"/>
        </w:rPr>
        <w:t> </w:t>
      </w:r>
      <w:r w:rsidRPr="00C54E3F">
        <w:rPr>
          <w:rFonts w:cs="Arial"/>
        </w:rPr>
        <w:t xml:space="preserve">2021, </w:t>
      </w:r>
      <w:r w:rsidR="00DA0F29">
        <w:rPr>
          <w:rFonts w:cs="Arial"/>
        </w:rPr>
        <w:t>survient une nouvelle augmentation de</w:t>
      </w:r>
      <w:r w:rsidR="007D72F5">
        <w:rPr>
          <w:rFonts w:cs="Arial"/>
        </w:rPr>
        <w:t> </w:t>
      </w:r>
      <w:r w:rsidRPr="00C54E3F">
        <w:rPr>
          <w:rFonts w:cs="Arial"/>
        </w:rPr>
        <w:t>7</w:t>
      </w:r>
      <w:r w:rsidR="0094415E">
        <w:rPr>
          <w:rFonts w:cs="Arial"/>
        </w:rPr>
        <w:t>,9 M</w:t>
      </w:r>
      <w:r w:rsidRPr="00C54E3F">
        <w:rPr>
          <w:rFonts w:cs="Arial"/>
        </w:rPr>
        <w:t>$. L’analyse révèle que ces fonds ont surtout servi à rembourser des avances consenties par Q-12 peu avant, ainsi qu’à payer des frais facturés par 8096 et X2</w:t>
      </w:r>
      <w:r>
        <w:rPr>
          <w:rStyle w:val="Appelnotedebasdep"/>
          <w:rFonts w:cs="Arial"/>
        </w:rPr>
        <w:footnoteReference w:id="152"/>
      </w:r>
      <w:r w:rsidRPr="00C54E3F">
        <w:rPr>
          <w:rFonts w:cs="Arial"/>
        </w:rPr>
        <w:t xml:space="preserve">. Ce cycle démontre que FIISH ne recevait pas de liquidités nouvelles, mais fonctionnait essentiellement en recyclant les apports des investisseurs pour honorer des paiements d’intérêts antérieurs. </w:t>
      </w:r>
    </w:p>
    <w:p w14:paraId="1F3778BD" w14:textId="77777777" w:rsidR="00C54E3F" w:rsidRDefault="00730A01" w:rsidP="0098012F">
      <w:pPr>
        <w:pStyle w:val="Paragraphe"/>
        <w:numPr>
          <w:ilvl w:val="0"/>
          <w:numId w:val="1"/>
        </w:numPr>
        <w:tabs>
          <w:tab w:val="clear" w:pos="786"/>
          <w:tab w:val="num" w:pos="360"/>
        </w:tabs>
        <w:spacing w:line="240" w:lineRule="auto"/>
        <w:ind w:left="0"/>
        <w:rPr>
          <w:rFonts w:cs="Arial"/>
        </w:rPr>
      </w:pPr>
      <w:r w:rsidRPr="00C54E3F">
        <w:rPr>
          <w:rFonts w:cs="Arial"/>
        </w:rPr>
        <w:t>Enfin, en mars</w:t>
      </w:r>
      <w:r w:rsidR="007D72F5">
        <w:rPr>
          <w:rFonts w:cs="Arial"/>
        </w:rPr>
        <w:t> </w:t>
      </w:r>
      <w:r w:rsidRPr="00C54E3F">
        <w:rPr>
          <w:rFonts w:cs="Arial"/>
        </w:rPr>
        <w:t>2022, l’Amendement</w:t>
      </w:r>
      <w:r w:rsidR="007D72F5">
        <w:rPr>
          <w:rFonts w:cs="Arial"/>
        </w:rPr>
        <w:t> </w:t>
      </w:r>
      <w:r w:rsidRPr="00C54E3F">
        <w:rPr>
          <w:rFonts w:cs="Arial"/>
        </w:rPr>
        <w:t>3 ajoute 5</w:t>
      </w:r>
      <w:r w:rsidR="0094415E">
        <w:rPr>
          <w:rFonts w:cs="Arial"/>
        </w:rPr>
        <w:t>,15 M</w:t>
      </w:r>
      <w:r w:rsidRPr="00C54E3F">
        <w:rPr>
          <w:rFonts w:cs="Arial"/>
        </w:rPr>
        <w:t>$, portant le solde du prêt à</w:t>
      </w:r>
      <w:r w:rsidR="007D72F5">
        <w:rPr>
          <w:rFonts w:cs="Arial"/>
        </w:rPr>
        <w:t> </w:t>
      </w:r>
      <w:r w:rsidRPr="00C54E3F">
        <w:rPr>
          <w:rFonts w:cs="Arial"/>
        </w:rPr>
        <w:t>121</w:t>
      </w:r>
      <w:r w:rsidR="0094415E">
        <w:rPr>
          <w:rFonts w:cs="Arial"/>
        </w:rPr>
        <w:t>,35 M</w:t>
      </w:r>
      <w:r w:rsidRPr="00C54E3F">
        <w:rPr>
          <w:rFonts w:cs="Arial"/>
        </w:rPr>
        <w:t>$. L’amendement reconnaît expressément que Huot n’était pas en mesure de payer les intérêts de mars et avril</w:t>
      </w:r>
      <w:r w:rsidR="007D72F5">
        <w:rPr>
          <w:rFonts w:cs="Arial"/>
        </w:rPr>
        <w:t> </w:t>
      </w:r>
      <w:r w:rsidRPr="00C54E3F">
        <w:rPr>
          <w:rFonts w:cs="Arial"/>
        </w:rPr>
        <w:t>2022. Les nouvelles mises de fonds ont ainsi été utilisées en priorité pour couvrir ces paiements, confirmant le caractère circulaire des flux financiers</w:t>
      </w:r>
      <w:r>
        <w:rPr>
          <w:rStyle w:val="Appelnotedebasdep"/>
          <w:rFonts w:cs="Arial"/>
        </w:rPr>
        <w:footnoteReference w:id="153"/>
      </w:r>
      <w:r w:rsidRPr="00C54E3F">
        <w:rPr>
          <w:rFonts w:cs="Arial"/>
        </w:rPr>
        <w:t>.</w:t>
      </w:r>
    </w:p>
    <w:p w14:paraId="2E1FA209" w14:textId="77777777" w:rsidR="00C54E3F" w:rsidRDefault="00730A01" w:rsidP="0098012F">
      <w:pPr>
        <w:pStyle w:val="Paragraphe"/>
        <w:numPr>
          <w:ilvl w:val="0"/>
          <w:numId w:val="1"/>
        </w:numPr>
        <w:tabs>
          <w:tab w:val="clear" w:pos="786"/>
          <w:tab w:val="num" w:pos="360"/>
        </w:tabs>
        <w:spacing w:line="240" w:lineRule="auto"/>
        <w:ind w:left="0"/>
        <w:rPr>
          <w:rFonts w:cs="Arial"/>
        </w:rPr>
      </w:pPr>
      <w:r w:rsidRPr="00C54E3F">
        <w:rPr>
          <w:rFonts w:cs="Arial"/>
        </w:rPr>
        <w:t>En somme, entre</w:t>
      </w:r>
      <w:r w:rsidR="007D72F5">
        <w:rPr>
          <w:rFonts w:cs="Arial"/>
        </w:rPr>
        <w:t> </w:t>
      </w:r>
      <w:r w:rsidRPr="00C54E3F">
        <w:rPr>
          <w:rFonts w:cs="Arial"/>
        </w:rPr>
        <w:t>2017 et</w:t>
      </w:r>
      <w:r w:rsidR="007D72F5">
        <w:rPr>
          <w:rFonts w:cs="Arial"/>
        </w:rPr>
        <w:t> </w:t>
      </w:r>
      <w:r w:rsidRPr="00C54E3F">
        <w:rPr>
          <w:rFonts w:cs="Arial"/>
        </w:rPr>
        <w:t>2022, l’analyse des transactions du prêt FIISH démontre que les avances octroyées ont largement bénéficié aux sociétés de Giroux (6646, 8096, X2, etc.), tandis que de nombreux paiements d’intérêts provenaient directement des nouveaux apports des investisseurs.</w:t>
      </w:r>
      <w:r w:rsidR="0094415E">
        <w:rPr>
          <w:rFonts w:cs="Arial"/>
        </w:rPr>
        <w:t xml:space="preserve"> L</w:t>
      </w:r>
      <w:r w:rsidRPr="00C54E3F">
        <w:rPr>
          <w:rFonts w:cs="Arial"/>
        </w:rPr>
        <w:t xml:space="preserve">es </w:t>
      </w:r>
      <w:r w:rsidR="0094415E">
        <w:rPr>
          <w:rFonts w:cs="Arial"/>
        </w:rPr>
        <w:t xml:space="preserve">nouvelles </w:t>
      </w:r>
      <w:r w:rsidRPr="00C54E3F">
        <w:rPr>
          <w:rFonts w:cs="Arial"/>
        </w:rPr>
        <w:t xml:space="preserve">entrées de fonds servaient </w:t>
      </w:r>
      <w:r w:rsidR="0094415E">
        <w:rPr>
          <w:rFonts w:cs="Arial"/>
        </w:rPr>
        <w:t xml:space="preserve">ainsi </w:t>
      </w:r>
      <w:r w:rsidRPr="00C54E3F">
        <w:rPr>
          <w:rFonts w:cs="Arial"/>
        </w:rPr>
        <w:t>principalement à combler les obligations antérieures.</w:t>
      </w:r>
    </w:p>
    <w:p w14:paraId="0E97EFAA" w14:textId="77777777" w:rsidR="00C54E3F"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C54E3F">
        <w:rPr>
          <w:rFonts w:cs="Arial"/>
          <w:szCs w:val="24"/>
          <w:lang w:eastAsia="fr-CA"/>
        </w:rPr>
        <w:t>L’expert Filion explique qu’un montant de</w:t>
      </w:r>
      <w:r w:rsidR="007D72F5">
        <w:rPr>
          <w:rFonts w:cs="Arial"/>
          <w:szCs w:val="24"/>
          <w:lang w:eastAsia="fr-CA"/>
        </w:rPr>
        <w:t> </w:t>
      </w:r>
      <w:r w:rsidRPr="00C54E3F">
        <w:rPr>
          <w:rFonts w:cs="Arial"/>
          <w:szCs w:val="24"/>
          <w:lang w:eastAsia="fr-CA"/>
        </w:rPr>
        <w:t>24,4</w:t>
      </w:r>
      <w:r w:rsidR="008568D1">
        <w:rPr>
          <w:rFonts w:cs="Arial"/>
          <w:szCs w:val="24"/>
          <w:lang w:eastAsia="fr-CA"/>
        </w:rPr>
        <w:t> </w:t>
      </w:r>
      <w:r w:rsidRPr="00C54E3F">
        <w:rPr>
          <w:rFonts w:cs="Arial"/>
          <w:szCs w:val="24"/>
          <w:lang w:eastAsia="fr-CA"/>
        </w:rPr>
        <w:t>M$ a été payé aux sociétés du Groupe Giroux avec les mises de fonds des Investisseurs de FIISH dans le cadre de l’octroi des avances sur le prêt FIISH à Huot</w:t>
      </w:r>
      <w:r>
        <w:rPr>
          <w:rFonts w:cs="Arial"/>
          <w:szCs w:val="24"/>
          <w:lang w:eastAsia="fr-CA"/>
        </w:rPr>
        <w:t>.</w:t>
      </w:r>
    </w:p>
    <w:p w14:paraId="75D20FAA" w14:textId="77777777" w:rsidR="00BE4961" w:rsidRPr="00C54E3F"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C54E3F">
        <w:rPr>
          <w:rFonts w:cs="Arial"/>
          <w:szCs w:val="24"/>
          <w:lang w:eastAsia="fr-CA"/>
        </w:rPr>
        <w:t>Ces frais concernaient, entre autres</w:t>
      </w:r>
      <w:r w:rsidR="007D72F5">
        <w:rPr>
          <w:rFonts w:cs="Arial"/>
          <w:szCs w:val="24"/>
          <w:lang w:eastAsia="fr-CA"/>
        </w:rPr>
        <w:t> </w:t>
      </w:r>
      <w:r w:rsidRPr="00C54E3F">
        <w:rPr>
          <w:rFonts w:cs="Arial"/>
          <w:szCs w:val="24"/>
          <w:lang w:eastAsia="fr-CA"/>
        </w:rPr>
        <w:t>:</w:t>
      </w:r>
    </w:p>
    <w:p w14:paraId="16AFF4D5" w14:textId="77777777" w:rsidR="00BE4961" w:rsidRPr="002F6648" w:rsidRDefault="00730A01" w:rsidP="00FF1BD9">
      <w:pPr>
        <w:pStyle w:val="Citationenretrait"/>
        <w:spacing w:after="0"/>
        <w:ind w:right="539"/>
        <w:rPr>
          <w:sz w:val="24"/>
          <w:szCs w:val="24"/>
          <w:lang w:eastAsia="fr-CA"/>
        </w:rPr>
      </w:pPr>
      <w:r w:rsidRPr="002F6648">
        <w:rPr>
          <w:sz w:val="24"/>
          <w:szCs w:val="24"/>
          <w:lang w:eastAsia="fr-CA"/>
        </w:rPr>
        <w:t>a) les intérêts et frais de services financiers facturés par 8096 à Stéphan Huot concernant le prêt FIISH au montant de</w:t>
      </w:r>
      <w:r w:rsidR="007D72F5">
        <w:rPr>
          <w:sz w:val="24"/>
          <w:szCs w:val="24"/>
          <w:lang w:eastAsia="fr-CA"/>
        </w:rPr>
        <w:t> </w:t>
      </w:r>
      <w:r w:rsidRPr="002F6648">
        <w:rPr>
          <w:sz w:val="24"/>
          <w:szCs w:val="24"/>
          <w:lang w:eastAsia="fr-CA"/>
        </w:rPr>
        <w:t>1</w:t>
      </w:r>
      <w:r w:rsidR="00C54E3F" w:rsidRPr="002F6648">
        <w:rPr>
          <w:sz w:val="24"/>
          <w:szCs w:val="24"/>
          <w:lang w:eastAsia="fr-CA"/>
        </w:rPr>
        <w:t> </w:t>
      </w:r>
      <w:r w:rsidRPr="002F6648">
        <w:rPr>
          <w:sz w:val="24"/>
          <w:szCs w:val="24"/>
          <w:lang w:eastAsia="fr-CA"/>
        </w:rPr>
        <w:t>919</w:t>
      </w:r>
      <w:r w:rsidR="00C54E3F" w:rsidRPr="002F6648">
        <w:rPr>
          <w:sz w:val="24"/>
          <w:szCs w:val="24"/>
          <w:lang w:eastAsia="fr-CA"/>
        </w:rPr>
        <w:t> </w:t>
      </w:r>
      <w:r w:rsidRPr="002F6648">
        <w:rPr>
          <w:sz w:val="24"/>
          <w:szCs w:val="24"/>
          <w:lang w:eastAsia="fr-CA"/>
        </w:rPr>
        <w:t>219</w:t>
      </w:r>
      <w:r w:rsidR="00C54E3F" w:rsidRPr="002F6648">
        <w:rPr>
          <w:sz w:val="24"/>
          <w:szCs w:val="24"/>
          <w:lang w:eastAsia="fr-CA"/>
        </w:rPr>
        <w:t> </w:t>
      </w:r>
      <w:r w:rsidRPr="002F6648">
        <w:rPr>
          <w:sz w:val="24"/>
          <w:szCs w:val="24"/>
          <w:lang w:eastAsia="fr-CA"/>
        </w:rPr>
        <w:t>$;</w:t>
      </w:r>
    </w:p>
    <w:p w14:paraId="77503D75" w14:textId="77777777" w:rsidR="00BE4961" w:rsidRPr="002F6648" w:rsidRDefault="00730A01" w:rsidP="00FF1BD9">
      <w:pPr>
        <w:pStyle w:val="Citationenretrait"/>
        <w:spacing w:after="0"/>
        <w:ind w:right="539"/>
        <w:rPr>
          <w:sz w:val="24"/>
          <w:szCs w:val="24"/>
          <w:lang w:eastAsia="fr-CA"/>
        </w:rPr>
      </w:pPr>
      <w:r w:rsidRPr="002F6648">
        <w:rPr>
          <w:sz w:val="24"/>
          <w:szCs w:val="24"/>
          <w:lang w:eastAsia="fr-CA"/>
        </w:rPr>
        <w:t>b) le remboursement d’un prêt de</w:t>
      </w:r>
      <w:r w:rsidR="007D72F5">
        <w:rPr>
          <w:sz w:val="24"/>
          <w:szCs w:val="24"/>
          <w:lang w:eastAsia="fr-CA"/>
        </w:rPr>
        <w:t> </w:t>
      </w:r>
      <w:r w:rsidRPr="002F6648">
        <w:rPr>
          <w:sz w:val="24"/>
          <w:szCs w:val="24"/>
          <w:lang w:eastAsia="fr-CA"/>
        </w:rPr>
        <w:t>7</w:t>
      </w:r>
      <w:r w:rsidR="0076467D" w:rsidRPr="002F6648">
        <w:rPr>
          <w:sz w:val="24"/>
          <w:szCs w:val="24"/>
          <w:lang w:eastAsia="fr-CA"/>
        </w:rPr>
        <w:t> </w:t>
      </w:r>
      <w:r w:rsidRPr="002F6648">
        <w:rPr>
          <w:sz w:val="24"/>
          <w:szCs w:val="24"/>
          <w:lang w:eastAsia="fr-CA"/>
        </w:rPr>
        <w:t>M$ dû par Stéphan Huot à 8096. Par ailleurs, ce prêt contracté par Stéphan Huot auprès de 8096 était pour payer des frais de dossier de</w:t>
      </w:r>
      <w:r w:rsidR="007D72F5">
        <w:rPr>
          <w:sz w:val="24"/>
          <w:szCs w:val="24"/>
          <w:lang w:eastAsia="fr-CA"/>
        </w:rPr>
        <w:t> </w:t>
      </w:r>
      <w:r w:rsidRPr="002F6648">
        <w:rPr>
          <w:sz w:val="24"/>
          <w:szCs w:val="24"/>
          <w:lang w:eastAsia="fr-CA"/>
        </w:rPr>
        <w:t>3</w:t>
      </w:r>
      <w:r w:rsidR="0009343F" w:rsidRPr="002F6648">
        <w:rPr>
          <w:sz w:val="24"/>
          <w:szCs w:val="24"/>
          <w:lang w:eastAsia="fr-CA"/>
        </w:rPr>
        <w:t> </w:t>
      </w:r>
      <w:r w:rsidRPr="002F6648">
        <w:rPr>
          <w:sz w:val="24"/>
          <w:szCs w:val="24"/>
          <w:lang w:eastAsia="fr-CA"/>
        </w:rPr>
        <w:t>M$ en</w:t>
      </w:r>
      <w:r w:rsidR="007D72F5">
        <w:rPr>
          <w:sz w:val="24"/>
          <w:szCs w:val="24"/>
          <w:lang w:eastAsia="fr-CA"/>
        </w:rPr>
        <w:t> </w:t>
      </w:r>
      <w:r w:rsidRPr="002F6648">
        <w:rPr>
          <w:sz w:val="24"/>
          <w:szCs w:val="24"/>
          <w:lang w:eastAsia="fr-CA"/>
        </w:rPr>
        <w:t>2020 dû à 8096 dans le cadre de la convention de paiement de frais de dossier du prêt FIISH entre Stéphan Huot et 8096;</w:t>
      </w:r>
    </w:p>
    <w:p w14:paraId="5C52A68A" w14:textId="77777777" w:rsidR="00BE4961" w:rsidRPr="002F6648" w:rsidRDefault="00730A01" w:rsidP="00FF1BD9">
      <w:pPr>
        <w:pStyle w:val="Citationenretrait"/>
        <w:spacing w:after="0"/>
        <w:ind w:right="539"/>
        <w:rPr>
          <w:sz w:val="24"/>
          <w:szCs w:val="24"/>
          <w:lang w:eastAsia="fr-CA"/>
        </w:rPr>
      </w:pPr>
      <w:r w:rsidRPr="002F6648">
        <w:rPr>
          <w:sz w:val="24"/>
          <w:szCs w:val="24"/>
          <w:lang w:eastAsia="fr-CA"/>
        </w:rPr>
        <w:t>c) les frais de dossiers de</w:t>
      </w:r>
      <w:r w:rsidR="007D72F5">
        <w:rPr>
          <w:sz w:val="24"/>
          <w:szCs w:val="24"/>
          <w:lang w:eastAsia="fr-CA"/>
        </w:rPr>
        <w:t> </w:t>
      </w:r>
      <w:r w:rsidRPr="002F6648">
        <w:rPr>
          <w:sz w:val="24"/>
          <w:szCs w:val="24"/>
          <w:lang w:eastAsia="fr-CA"/>
        </w:rPr>
        <w:t>2021 du prêt FIISH facturés par 8096 à Stéphan Huot au montant de</w:t>
      </w:r>
      <w:r w:rsidR="007D72F5">
        <w:rPr>
          <w:sz w:val="24"/>
          <w:szCs w:val="24"/>
          <w:lang w:eastAsia="fr-CA"/>
        </w:rPr>
        <w:t> </w:t>
      </w:r>
      <w:r w:rsidRPr="002F6648">
        <w:rPr>
          <w:sz w:val="24"/>
          <w:szCs w:val="24"/>
          <w:lang w:eastAsia="fr-CA"/>
        </w:rPr>
        <w:t>2,6</w:t>
      </w:r>
      <w:r w:rsidR="0009343F" w:rsidRPr="002F6648">
        <w:rPr>
          <w:sz w:val="24"/>
          <w:szCs w:val="24"/>
          <w:lang w:eastAsia="fr-CA"/>
        </w:rPr>
        <w:t> </w:t>
      </w:r>
      <w:r w:rsidRPr="002F6648">
        <w:rPr>
          <w:sz w:val="24"/>
          <w:szCs w:val="24"/>
          <w:lang w:eastAsia="fr-CA"/>
        </w:rPr>
        <w:t>M$;</w:t>
      </w:r>
    </w:p>
    <w:p w14:paraId="69CBF1D8" w14:textId="77777777" w:rsidR="00BE4961" w:rsidRPr="002F6648" w:rsidRDefault="00730A01" w:rsidP="00FF1BD9">
      <w:pPr>
        <w:pStyle w:val="Citationenretrait"/>
        <w:spacing w:after="0"/>
        <w:ind w:right="539"/>
        <w:rPr>
          <w:sz w:val="24"/>
          <w:szCs w:val="24"/>
          <w:lang w:eastAsia="fr-CA"/>
        </w:rPr>
      </w:pPr>
      <w:r w:rsidRPr="002F6648">
        <w:rPr>
          <w:sz w:val="24"/>
          <w:szCs w:val="24"/>
          <w:lang w:eastAsia="fr-CA"/>
        </w:rPr>
        <w:t>d) des remboursements de prêts à 6646 au montant de 3</w:t>
      </w:r>
      <w:r w:rsidR="00C54E3F" w:rsidRPr="002F6648">
        <w:rPr>
          <w:sz w:val="24"/>
          <w:szCs w:val="24"/>
          <w:lang w:eastAsia="fr-CA"/>
        </w:rPr>
        <w:t> </w:t>
      </w:r>
      <w:r w:rsidRPr="002F6648">
        <w:rPr>
          <w:sz w:val="24"/>
          <w:szCs w:val="24"/>
          <w:lang w:eastAsia="fr-CA"/>
        </w:rPr>
        <w:t>060</w:t>
      </w:r>
      <w:r w:rsidR="00C54E3F" w:rsidRPr="002F6648">
        <w:rPr>
          <w:sz w:val="24"/>
          <w:szCs w:val="24"/>
          <w:lang w:eastAsia="fr-CA"/>
        </w:rPr>
        <w:t> </w:t>
      </w:r>
      <w:r w:rsidRPr="002F6648">
        <w:rPr>
          <w:sz w:val="24"/>
          <w:szCs w:val="24"/>
          <w:lang w:eastAsia="fr-CA"/>
        </w:rPr>
        <w:t>000</w:t>
      </w:r>
      <w:r w:rsidR="00C54E3F" w:rsidRPr="002F6648">
        <w:rPr>
          <w:sz w:val="24"/>
          <w:szCs w:val="24"/>
          <w:lang w:eastAsia="fr-CA"/>
        </w:rPr>
        <w:t> </w:t>
      </w:r>
      <w:r w:rsidRPr="002F6648">
        <w:rPr>
          <w:sz w:val="24"/>
          <w:szCs w:val="24"/>
          <w:lang w:eastAsia="fr-CA"/>
        </w:rPr>
        <w:t>$ dus par Stéphan Huot et ses sociétés;</w:t>
      </w:r>
    </w:p>
    <w:p w14:paraId="5009D305" w14:textId="77777777" w:rsidR="00BE4961" w:rsidRPr="002F6648" w:rsidRDefault="00730A01" w:rsidP="00FF1BD9">
      <w:pPr>
        <w:pStyle w:val="Citationenretrait"/>
        <w:spacing w:after="0"/>
        <w:ind w:right="539"/>
        <w:rPr>
          <w:sz w:val="24"/>
          <w:szCs w:val="24"/>
          <w:lang w:eastAsia="fr-CA"/>
        </w:rPr>
      </w:pPr>
      <w:r w:rsidRPr="002F6648">
        <w:rPr>
          <w:sz w:val="24"/>
          <w:szCs w:val="24"/>
          <w:lang w:eastAsia="fr-CA"/>
        </w:rPr>
        <w:t>e) d’autres déboursés à 6646 au montant de</w:t>
      </w:r>
      <w:r w:rsidR="007D72F5">
        <w:rPr>
          <w:sz w:val="24"/>
          <w:szCs w:val="24"/>
          <w:lang w:eastAsia="fr-CA"/>
        </w:rPr>
        <w:t> </w:t>
      </w:r>
      <w:r w:rsidRPr="002F6648">
        <w:rPr>
          <w:sz w:val="24"/>
          <w:szCs w:val="24"/>
          <w:lang w:eastAsia="fr-CA"/>
        </w:rPr>
        <w:t>2</w:t>
      </w:r>
      <w:r w:rsidR="00C54E3F" w:rsidRPr="002F6648">
        <w:rPr>
          <w:sz w:val="24"/>
          <w:szCs w:val="24"/>
          <w:lang w:eastAsia="fr-CA"/>
        </w:rPr>
        <w:t> </w:t>
      </w:r>
      <w:r w:rsidRPr="002F6648">
        <w:rPr>
          <w:sz w:val="24"/>
          <w:szCs w:val="24"/>
          <w:lang w:eastAsia="fr-CA"/>
        </w:rPr>
        <w:t>172</w:t>
      </w:r>
      <w:r w:rsidR="00C54E3F" w:rsidRPr="002F6648">
        <w:rPr>
          <w:sz w:val="24"/>
          <w:szCs w:val="24"/>
          <w:lang w:eastAsia="fr-CA"/>
        </w:rPr>
        <w:t> </w:t>
      </w:r>
      <w:r w:rsidRPr="002F6648">
        <w:rPr>
          <w:sz w:val="24"/>
          <w:szCs w:val="24"/>
          <w:lang w:eastAsia="fr-CA"/>
        </w:rPr>
        <w:t>836</w:t>
      </w:r>
      <w:r w:rsidR="00C54E3F" w:rsidRPr="002F6648">
        <w:rPr>
          <w:sz w:val="24"/>
          <w:szCs w:val="24"/>
          <w:lang w:eastAsia="fr-CA"/>
        </w:rPr>
        <w:t> </w:t>
      </w:r>
      <w:r w:rsidRPr="002F6648">
        <w:rPr>
          <w:sz w:val="24"/>
          <w:szCs w:val="24"/>
          <w:lang w:eastAsia="fr-CA"/>
        </w:rPr>
        <w:t>$;</w:t>
      </w:r>
    </w:p>
    <w:p w14:paraId="23F141B5" w14:textId="77777777" w:rsidR="00BE4961" w:rsidRPr="002F6648" w:rsidRDefault="00730A01" w:rsidP="00FF1BD9">
      <w:pPr>
        <w:pStyle w:val="Citationenretrait"/>
        <w:spacing w:after="0"/>
        <w:ind w:right="539"/>
        <w:rPr>
          <w:sz w:val="24"/>
          <w:szCs w:val="24"/>
          <w:lang w:eastAsia="fr-CA"/>
        </w:rPr>
      </w:pPr>
      <w:r w:rsidRPr="002F6648">
        <w:rPr>
          <w:sz w:val="24"/>
          <w:szCs w:val="24"/>
          <w:lang w:eastAsia="fr-CA"/>
        </w:rPr>
        <w:t>f) en avril</w:t>
      </w:r>
      <w:r w:rsidR="007D72F5">
        <w:rPr>
          <w:sz w:val="24"/>
          <w:szCs w:val="24"/>
          <w:lang w:eastAsia="fr-CA"/>
        </w:rPr>
        <w:t> </w:t>
      </w:r>
      <w:r w:rsidRPr="002F6648">
        <w:rPr>
          <w:sz w:val="24"/>
          <w:szCs w:val="24"/>
          <w:lang w:eastAsia="fr-CA"/>
        </w:rPr>
        <w:t>2020, lors du renouvellement de la Convention de prêt 2020, avec les nouvelles mises de fonds effectuées par les Investisseurs de FIISH, un montant de</w:t>
      </w:r>
      <w:r w:rsidR="007D72F5">
        <w:rPr>
          <w:sz w:val="24"/>
          <w:szCs w:val="24"/>
          <w:lang w:eastAsia="fr-CA"/>
        </w:rPr>
        <w:t> </w:t>
      </w:r>
      <w:r w:rsidRPr="002F6648">
        <w:rPr>
          <w:sz w:val="24"/>
          <w:szCs w:val="24"/>
          <w:lang w:eastAsia="fr-CA"/>
        </w:rPr>
        <w:t>7,3</w:t>
      </w:r>
      <w:r w:rsidR="0009343F" w:rsidRPr="002F6648">
        <w:rPr>
          <w:sz w:val="24"/>
          <w:szCs w:val="24"/>
          <w:lang w:eastAsia="fr-CA"/>
        </w:rPr>
        <w:t> </w:t>
      </w:r>
      <w:r w:rsidRPr="002F6648">
        <w:rPr>
          <w:sz w:val="24"/>
          <w:szCs w:val="24"/>
          <w:lang w:eastAsia="fr-CA"/>
        </w:rPr>
        <w:t>M$ a été payé à 9797 afin de payer les frais de services facturés par 9797 à Stéphan Huot de</w:t>
      </w:r>
      <w:r w:rsidR="007D72F5">
        <w:rPr>
          <w:sz w:val="24"/>
          <w:szCs w:val="24"/>
          <w:lang w:eastAsia="fr-CA"/>
        </w:rPr>
        <w:t> </w:t>
      </w:r>
      <w:r w:rsidRPr="002F6648">
        <w:rPr>
          <w:sz w:val="24"/>
          <w:szCs w:val="24"/>
          <w:lang w:eastAsia="fr-CA"/>
        </w:rPr>
        <w:t>2017 à</w:t>
      </w:r>
      <w:r w:rsidR="007D72F5">
        <w:rPr>
          <w:sz w:val="24"/>
          <w:szCs w:val="24"/>
          <w:lang w:eastAsia="fr-CA"/>
        </w:rPr>
        <w:t> </w:t>
      </w:r>
      <w:r w:rsidRPr="002F6648">
        <w:rPr>
          <w:sz w:val="24"/>
          <w:szCs w:val="24"/>
          <w:lang w:eastAsia="fr-CA"/>
        </w:rPr>
        <w:t>2020 sur le prêt FIISH, lesquels n’avaient jamais été payés par Stéphan Huot</w:t>
      </w:r>
      <w:r>
        <w:rPr>
          <w:rStyle w:val="Appelnotedebasdep"/>
          <w:sz w:val="24"/>
          <w:szCs w:val="24"/>
          <w:lang w:eastAsia="fr-CA"/>
        </w:rPr>
        <w:footnoteReference w:id="154"/>
      </w:r>
      <w:r w:rsidR="007D72F5">
        <w:rPr>
          <w:sz w:val="24"/>
          <w:szCs w:val="24"/>
          <w:lang w:eastAsia="fr-CA"/>
        </w:rPr>
        <w:t>.</w:t>
      </w:r>
    </w:p>
    <w:p w14:paraId="79727CE4" w14:textId="77777777" w:rsidR="0076467D" w:rsidRDefault="00730A01" w:rsidP="00FF1BD9">
      <w:pPr>
        <w:pStyle w:val="Paragraphe"/>
        <w:numPr>
          <w:ilvl w:val="0"/>
          <w:numId w:val="1"/>
        </w:numPr>
        <w:tabs>
          <w:tab w:val="clear" w:pos="786"/>
          <w:tab w:val="num" w:pos="360"/>
        </w:tabs>
        <w:spacing w:before="360" w:after="100" w:afterAutospacing="1" w:line="240" w:lineRule="auto"/>
        <w:ind w:left="0"/>
        <w:rPr>
          <w:rFonts w:cs="Arial"/>
          <w:szCs w:val="24"/>
          <w:lang w:eastAsia="fr-CA"/>
        </w:rPr>
      </w:pPr>
      <w:r w:rsidRPr="001A1A19">
        <w:rPr>
          <w:rFonts w:cs="Arial"/>
          <w:szCs w:val="24"/>
          <w:lang w:eastAsia="fr-CA"/>
        </w:rPr>
        <w:t xml:space="preserve">L’expert précise qu’à </w:t>
      </w:r>
      <w:r>
        <w:rPr>
          <w:rFonts w:cs="Arial"/>
          <w:szCs w:val="24"/>
          <w:lang w:eastAsia="fr-CA"/>
        </w:rPr>
        <w:t xml:space="preserve">six </w:t>
      </w:r>
      <w:r w:rsidRPr="001A1A19">
        <w:rPr>
          <w:rFonts w:cs="Arial"/>
          <w:szCs w:val="24"/>
          <w:lang w:eastAsia="fr-CA"/>
        </w:rPr>
        <w:t>reprises, entre</w:t>
      </w:r>
      <w:r w:rsidR="007D72F5">
        <w:rPr>
          <w:rFonts w:cs="Arial"/>
          <w:szCs w:val="24"/>
          <w:lang w:eastAsia="fr-CA"/>
        </w:rPr>
        <w:t> </w:t>
      </w:r>
      <w:r w:rsidRPr="001A1A19">
        <w:rPr>
          <w:rFonts w:cs="Arial"/>
          <w:szCs w:val="24"/>
          <w:lang w:eastAsia="fr-CA"/>
        </w:rPr>
        <w:t>2017 et</w:t>
      </w:r>
      <w:r w:rsidR="007D72F5">
        <w:rPr>
          <w:rFonts w:cs="Arial"/>
          <w:szCs w:val="24"/>
          <w:lang w:eastAsia="fr-CA"/>
        </w:rPr>
        <w:t> </w:t>
      </w:r>
      <w:r w:rsidRPr="001A1A19">
        <w:rPr>
          <w:rFonts w:cs="Arial"/>
          <w:szCs w:val="24"/>
          <w:lang w:eastAsia="fr-CA"/>
        </w:rPr>
        <w:t>2022, des paiements à même les mises de fonds des Investisseurs de FIISH ont été effectués par FIISH afin de payer des intérêts dus par Stéphan Huot et Groupe Huot sur le prêt FIISH et les prêts Q-12 pour une somme de</w:t>
      </w:r>
      <w:r w:rsidR="007D72F5">
        <w:rPr>
          <w:rFonts w:cs="Arial"/>
          <w:szCs w:val="24"/>
          <w:lang w:eastAsia="fr-CA"/>
        </w:rPr>
        <w:t> </w:t>
      </w:r>
      <w:r w:rsidRPr="001A1A19">
        <w:rPr>
          <w:rFonts w:cs="Arial"/>
          <w:szCs w:val="24"/>
          <w:lang w:eastAsia="fr-CA"/>
        </w:rPr>
        <w:t>3</w:t>
      </w:r>
      <w:r>
        <w:rPr>
          <w:rFonts w:cs="Arial"/>
          <w:szCs w:val="24"/>
          <w:lang w:eastAsia="fr-CA"/>
        </w:rPr>
        <w:t> </w:t>
      </w:r>
      <w:r w:rsidRPr="001A1A19">
        <w:rPr>
          <w:rFonts w:cs="Arial"/>
          <w:szCs w:val="24"/>
          <w:lang w:eastAsia="fr-CA"/>
        </w:rPr>
        <w:t>799</w:t>
      </w:r>
      <w:r>
        <w:rPr>
          <w:rFonts w:cs="Arial"/>
          <w:szCs w:val="24"/>
          <w:lang w:eastAsia="fr-CA"/>
        </w:rPr>
        <w:t> </w:t>
      </w:r>
      <w:r w:rsidRPr="001A1A19">
        <w:rPr>
          <w:rFonts w:cs="Arial"/>
          <w:szCs w:val="24"/>
          <w:lang w:eastAsia="fr-CA"/>
        </w:rPr>
        <w:t>642</w:t>
      </w:r>
      <w:r>
        <w:rPr>
          <w:rFonts w:cs="Arial"/>
          <w:szCs w:val="24"/>
          <w:lang w:eastAsia="fr-CA"/>
        </w:rPr>
        <w:t> </w:t>
      </w:r>
      <w:r w:rsidRPr="001A1A19">
        <w:rPr>
          <w:rFonts w:cs="Arial"/>
          <w:szCs w:val="24"/>
          <w:lang w:eastAsia="fr-CA"/>
        </w:rPr>
        <w:t xml:space="preserve">$, et ce, afin d’effectuer la distribution aux Investisseurs. À l’instar de l’expert </w:t>
      </w:r>
      <w:r w:rsidR="00557F37">
        <w:rPr>
          <w:rFonts w:cs="Arial"/>
          <w:szCs w:val="24"/>
          <w:lang w:eastAsia="fr-CA"/>
        </w:rPr>
        <w:t>Filion</w:t>
      </w:r>
      <w:r w:rsidRPr="001A1A19">
        <w:rPr>
          <w:rFonts w:cs="Arial"/>
          <w:szCs w:val="24"/>
          <w:lang w:eastAsia="fr-CA"/>
        </w:rPr>
        <w:t xml:space="preserve">, le Tribunal considère que ces transactions </w:t>
      </w:r>
      <w:r w:rsidR="007F6B37">
        <w:rPr>
          <w:rFonts w:cs="Arial"/>
          <w:szCs w:val="24"/>
          <w:lang w:eastAsia="fr-CA"/>
        </w:rPr>
        <w:t>constituent des</w:t>
      </w:r>
      <w:r w:rsidRPr="001A1A19">
        <w:rPr>
          <w:rFonts w:cs="Arial"/>
          <w:szCs w:val="24"/>
          <w:lang w:eastAsia="fr-CA"/>
        </w:rPr>
        <w:t xml:space="preserve"> transactions de </w:t>
      </w:r>
      <w:r w:rsidR="007F6B37">
        <w:rPr>
          <w:rFonts w:cs="Arial"/>
          <w:szCs w:val="24"/>
          <w:lang w:eastAsia="fr-CA"/>
        </w:rPr>
        <w:t xml:space="preserve">type </w:t>
      </w:r>
      <w:r w:rsidRPr="001A1A19">
        <w:rPr>
          <w:rFonts w:cs="Arial"/>
          <w:szCs w:val="24"/>
          <w:lang w:eastAsia="fr-CA"/>
        </w:rPr>
        <w:t>Ponzi.</w:t>
      </w:r>
    </w:p>
    <w:p w14:paraId="382E2340" w14:textId="77777777" w:rsidR="00BE4961" w:rsidRPr="0076467D" w:rsidRDefault="00730A01" w:rsidP="0098012F">
      <w:pPr>
        <w:pStyle w:val="Paragraphe"/>
        <w:numPr>
          <w:ilvl w:val="0"/>
          <w:numId w:val="1"/>
        </w:numPr>
        <w:tabs>
          <w:tab w:val="clear" w:pos="786"/>
          <w:tab w:val="num" w:pos="360"/>
        </w:tabs>
        <w:spacing w:before="100" w:beforeAutospacing="1" w:after="100" w:afterAutospacing="1" w:line="240" w:lineRule="auto"/>
        <w:ind w:left="0"/>
        <w:rPr>
          <w:rFonts w:cs="Arial"/>
          <w:szCs w:val="24"/>
          <w:lang w:eastAsia="fr-CA"/>
        </w:rPr>
      </w:pPr>
      <w:r w:rsidRPr="0076467D">
        <w:rPr>
          <w:rFonts w:cs="Arial"/>
          <w:szCs w:val="24"/>
          <w:lang w:eastAsia="fr-CA"/>
        </w:rPr>
        <w:t xml:space="preserve">Le Tribunal considère aussi comme étant de type Ponzi les transactions suivantes identifiées par l’expert </w:t>
      </w:r>
      <w:r w:rsidR="00557F37">
        <w:rPr>
          <w:rFonts w:cs="Arial"/>
          <w:szCs w:val="24"/>
          <w:lang w:eastAsia="fr-CA"/>
        </w:rPr>
        <w:t>Filion</w:t>
      </w:r>
      <w:r w:rsidRPr="0076467D">
        <w:rPr>
          <w:rFonts w:cs="Arial"/>
          <w:szCs w:val="24"/>
          <w:lang w:eastAsia="fr-CA"/>
        </w:rPr>
        <w:t xml:space="preserve"> : </w:t>
      </w:r>
    </w:p>
    <w:p w14:paraId="5D0B21CB" w14:textId="77777777" w:rsidR="00BE4961" w:rsidRPr="002F6648" w:rsidRDefault="00730A01" w:rsidP="00443B59">
      <w:pPr>
        <w:pStyle w:val="Citationenretrait"/>
        <w:numPr>
          <w:ilvl w:val="0"/>
          <w:numId w:val="45"/>
        </w:numPr>
        <w:spacing w:after="0"/>
        <w:ind w:left="1077" w:right="539" w:hanging="357"/>
        <w:rPr>
          <w:sz w:val="24"/>
          <w:szCs w:val="24"/>
        </w:rPr>
      </w:pPr>
      <w:r w:rsidRPr="002F6648">
        <w:rPr>
          <w:sz w:val="24"/>
          <w:szCs w:val="24"/>
        </w:rPr>
        <w:t>le remboursement de</w:t>
      </w:r>
      <w:r w:rsidR="007D72F5">
        <w:rPr>
          <w:sz w:val="24"/>
          <w:szCs w:val="24"/>
        </w:rPr>
        <w:t> </w:t>
      </w:r>
      <w:r w:rsidRPr="002F6648">
        <w:rPr>
          <w:sz w:val="24"/>
          <w:szCs w:val="24"/>
        </w:rPr>
        <w:t>2,45</w:t>
      </w:r>
      <w:r w:rsidR="0076467D" w:rsidRPr="002F6648">
        <w:rPr>
          <w:sz w:val="24"/>
          <w:szCs w:val="24"/>
        </w:rPr>
        <w:t> </w:t>
      </w:r>
      <w:r w:rsidRPr="002F6648">
        <w:rPr>
          <w:sz w:val="24"/>
          <w:szCs w:val="24"/>
        </w:rPr>
        <w:t>M$ effectué en juillet</w:t>
      </w:r>
      <w:r w:rsidR="007D72F5">
        <w:rPr>
          <w:sz w:val="24"/>
          <w:szCs w:val="24"/>
        </w:rPr>
        <w:t> </w:t>
      </w:r>
      <w:r w:rsidRPr="002F6648">
        <w:rPr>
          <w:sz w:val="24"/>
          <w:szCs w:val="24"/>
        </w:rPr>
        <w:t>2021 sur quatre prêts Morille provenant de mises de fonds d’Investisseurs de Q-12 qui avaient été transférées vers FIISH. Ces sommes ont par la suite été retransférées vers Q-12 afin de rembourser ces quatre prêts Morille. Ces transferts entre Q-12 et FIISH et Q-12 ont été faits la même journée du 16</w:t>
      </w:r>
      <w:r w:rsidR="007D72F5">
        <w:rPr>
          <w:sz w:val="24"/>
          <w:szCs w:val="24"/>
        </w:rPr>
        <w:t> </w:t>
      </w:r>
      <w:r w:rsidRPr="002F6648">
        <w:rPr>
          <w:sz w:val="24"/>
          <w:szCs w:val="24"/>
        </w:rPr>
        <w:t>juillet</w:t>
      </w:r>
      <w:r w:rsidR="007D72F5">
        <w:rPr>
          <w:sz w:val="24"/>
          <w:szCs w:val="24"/>
        </w:rPr>
        <w:t> </w:t>
      </w:r>
      <w:r w:rsidRPr="002F6648">
        <w:rPr>
          <w:sz w:val="24"/>
          <w:szCs w:val="24"/>
        </w:rPr>
        <w:t>2021. Dans FIISH, ces mises de fonds des Investisseurs provenant de Q-12 ont été comptabilisées comme avance à Stéphan Huot sur le prêt FIISH</w:t>
      </w:r>
      <w:r>
        <w:rPr>
          <w:rStyle w:val="Appelnotedebasdep"/>
          <w:sz w:val="24"/>
          <w:szCs w:val="24"/>
        </w:rPr>
        <w:footnoteReference w:id="155"/>
      </w:r>
      <w:r w:rsidR="007D72F5">
        <w:rPr>
          <w:sz w:val="24"/>
          <w:szCs w:val="24"/>
        </w:rPr>
        <w:t>;</w:t>
      </w:r>
      <w:r w:rsidRPr="002F6648">
        <w:rPr>
          <w:sz w:val="24"/>
          <w:szCs w:val="24"/>
        </w:rPr>
        <w:t xml:space="preserve"> </w:t>
      </w:r>
    </w:p>
    <w:p w14:paraId="0F1C56E5" w14:textId="77777777" w:rsidR="0076467D" w:rsidRPr="002F6648" w:rsidRDefault="00730A01" w:rsidP="00443B59">
      <w:pPr>
        <w:pStyle w:val="Citationenretrait"/>
        <w:numPr>
          <w:ilvl w:val="0"/>
          <w:numId w:val="45"/>
        </w:numPr>
        <w:spacing w:after="0"/>
        <w:ind w:left="1077" w:right="539" w:hanging="357"/>
        <w:rPr>
          <w:sz w:val="24"/>
          <w:szCs w:val="24"/>
          <w:lang w:eastAsia="fr-CA"/>
        </w:rPr>
      </w:pPr>
      <w:r w:rsidRPr="002F6648">
        <w:rPr>
          <w:sz w:val="24"/>
          <w:szCs w:val="24"/>
        </w:rPr>
        <w:t>une partie du remboursement du prêt Aventura IX (450</w:t>
      </w:r>
      <w:r w:rsidR="0009343F" w:rsidRPr="002F6648">
        <w:rPr>
          <w:sz w:val="24"/>
          <w:szCs w:val="24"/>
        </w:rPr>
        <w:t> </w:t>
      </w:r>
      <w:r w:rsidRPr="002F6648">
        <w:rPr>
          <w:sz w:val="24"/>
          <w:szCs w:val="24"/>
        </w:rPr>
        <w:t>000</w:t>
      </w:r>
      <w:r w:rsidR="0009343F" w:rsidRPr="002F6648">
        <w:rPr>
          <w:sz w:val="24"/>
          <w:szCs w:val="24"/>
        </w:rPr>
        <w:t> </w:t>
      </w:r>
      <w:r w:rsidRPr="002F6648">
        <w:rPr>
          <w:sz w:val="24"/>
          <w:szCs w:val="24"/>
        </w:rPr>
        <w:t>$) effectuée avec des</w:t>
      </w:r>
      <w:r w:rsidRPr="002F6648">
        <w:rPr>
          <w:sz w:val="24"/>
          <w:szCs w:val="24"/>
          <w:lang w:eastAsia="fr-CA"/>
        </w:rPr>
        <w:t xml:space="preserve"> sommes provenant des Investisseurs de FIISH</w:t>
      </w:r>
      <w:r>
        <w:rPr>
          <w:rStyle w:val="Appelnotedebasdep"/>
          <w:sz w:val="24"/>
          <w:szCs w:val="24"/>
          <w:lang w:eastAsia="fr-CA"/>
        </w:rPr>
        <w:footnoteReference w:id="156"/>
      </w:r>
      <w:r w:rsidR="007D72F5">
        <w:rPr>
          <w:sz w:val="24"/>
          <w:szCs w:val="24"/>
          <w:lang w:eastAsia="fr-CA"/>
        </w:rPr>
        <w:t>.</w:t>
      </w:r>
    </w:p>
    <w:p w14:paraId="4D3E431E" w14:textId="77777777" w:rsidR="00BE4961" w:rsidRPr="0076467D" w:rsidRDefault="00730A01" w:rsidP="0098012F">
      <w:pPr>
        <w:pStyle w:val="Paragraphe"/>
        <w:numPr>
          <w:ilvl w:val="0"/>
          <w:numId w:val="1"/>
        </w:numPr>
        <w:tabs>
          <w:tab w:val="clear" w:pos="786"/>
          <w:tab w:val="num" w:pos="360"/>
        </w:tabs>
        <w:spacing w:before="240" w:after="100" w:afterAutospacing="1" w:line="240" w:lineRule="auto"/>
        <w:ind w:left="0"/>
        <w:rPr>
          <w:lang w:eastAsia="fr-CA"/>
        </w:rPr>
      </w:pPr>
      <w:r w:rsidRPr="0076467D">
        <w:rPr>
          <w:rFonts w:cs="Arial"/>
          <w:szCs w:val="24"/>
          <w:lang w:eastAsia="fr-CA"/>
        </w:rPr>
        <w:t>En</w:t>
      </w:r>
      <w:r w:rsidRPr="0076467D">
        <w:rPr>
          <w:rFonts w:cs="Arial"/>
        </w:rPr>
        <w:t xml:space="preserve"> outre, l’expert explique que pendant la période de mars</w:t>
      </w:r>
      <w:r w:rsidR="007D72F5">
        <w:rPr>
          <w:rFonts w:cs="Arial"/>
        </w:rPr>
        <w:t> </w:t>
      </w:r>
      <w:r w:rsidRPr="0076467D">
        <w:rPr>
          <w:rFonts w:cs="Arial"/>
        </w:rPr>
        <w:t>2020 à mars</w:t>
      </w:r>
      <w:r w:rsidR="007D72F5">
        <w:rPr>
          <w:rFonts w:cs="Arial"/>
        </w:rPr>
        <w:t> </w:t>
      </w:r>
      <w:r w:rsidRPr="0076467D">
        <w:rPr>
          <w:rFonts w:cs="Arial"/>
        </w:rPr>
        <w:t>2022, sur les mises de fonds avancées par les Investisseurs de FIISH et 8096 totalisant 34</w:t>
      </w:r>
      <w:r w:rsidR="0076467D">
        <w:rPr>
          <w:rFonts w:cs="Arial"/>
        </w:rPr>
        <w:t> </w:t>
      </w:r>
      <w:r w:rsidRPr="0076467D">
        <w:rPr>
          <w:rFonts w:cs="Arial"/>
        </w:rPr>
        <w:t>150</w:t>
      </w:r>
      <w:r w:rsidR="0076467D">
        <w:rPr>
          <w:rFonts w:cs="Arial"/>
        </w:rPr>
        <w:t> </w:t>
      </w:r>
      <w:r w:rsidRPr="0076467D">
        <w:rPr>
          <w:rFonts w:cs="Arial"/>
        </w:rPr>
        <w:t>000</w:t>
      </w:r>
      <w:r w:rsidR="0076467D">
        <w:rPr>
          <w:rFonts w:cs="Arial"/>
        </w:rPr>
        <w:t> </w:t>
      </w:r>
      <w:r w:rsidRPr="0076467D">
        <w:rPr>
          <w:rFonts w:cs="Arial"/>
        </w:rPr>
        <w:t>$, il a identifié pour un total de</w:t>
      </w:r>
      <w:r w:rsidR="007D72F5">
        <w:rPr>
          <w:rFonts w:cs="Arial"/>
        </w:rPr>
        <w:t> </w:t>
      </w:r>
      <w:r w:rsidRPr="0076467D">
        <w:rPr>
          <w:rFonts w:cs="Arial"/>
        </w:rPr>
        <w:t>17,9</w:t>
      </w:r>
      <w:r w:rsidR="0076467D">
        <w:rPr>
          <w:rFonts w:cs="Arial"/>
        </w:rPr>
        <w:t> </w:t>
      </w:r>
      <w:r w:rsidRPr="0076467D">
        <w:rPr>
          <w:rFonts w:cs="Arial"/>
        </w:rPr>
        <w:t>M$ (52</w:t>
      </w:r>
      <w:r w:rsidR="0076467D">
        <w:rPr>
          <w:rFonts w:cs="Arial"/>
        </w:rPr>
        <w:t> </w:t>
      </w:r>
      <w:r w:rsidRPr="0076467D">
        <w:rPr>
          <w:rFonts w:cs="Arial"/>
        </w:rPr>
        <w:t>%) de transactions irrégulières, dont</w:t>
      </w:r>
      <w:r w:rsidR="007D72F5">
        <w:rPr>
          <w:rFonts w:cs="Arial"/>
        </w:rPr>
        <w:t> </w:t>
      </w:r>
      <w:r w:rsidRPr="0076467D">
        <w:rPr>
          <w:rFonts w:cs="Arial"/>
        </w:rPr>
        <w:t>:</w:t>
      </w:r>
    </w:p>
    <w:p w14:paraId="68A1AB04" w14:textId="77777777" w:rsidR="0076467D" w:rsidRPr="002F6648" w:rsidRDefault="00730A01" w:rsidP="00443B59">
      <w:pPr>
        <w:pStyle w:val="Citationenretrait"/>
        <w:numPr>
          <w:ilvl w:val="0"/>
          <w:numId w:val="53"/>
        </w:numPr>
        <w:spacing w:before="0" w:after="0"/>
        <w:ind w:left="1434" w:right="539" w:hanging="357"/>
        <w:rPr>
          <w:sz w:val="24"/>
          <w:szCs w:val="24"/>
        </w:rPr>
      </w:pPr>
      <w:r w:rsidRPr="002F6648">
        <w:rPr>
          <w:sz w:val="24"/>
          <w:szCs w:val="24"/>
        </w:rPr>
        <w:t>11,9</w:t>
      </w:r>
      <w:r w:rsidR="0009343F" w:rsidRPr="002F6648">
        <w:rPr>
          <w:sz w:val="24"/>
          <w:szCs w:val="24"/>
        </w:rPr>
        <w:t> </w:t>
      </w:r>
      <w:r w:rsidRPr="002F6648">
        <w:rPr>
          <w:sz w:val="24"/>
          <w:szCs w:val="24"/>
        </w:rPr>
        <w:t>M$ (35</w:t>
      </w:r>
      <w:r w:rsidR="00391387" w:rsidRPr="002F6648">
        <w:rPr>
          <w:sz w:val="24"/>
          <w:szCs w:val="24"/>
        </w:rPr>
        <w:t> </w:t>
      </w:r>
      <w:r w:rsidRPr="002F6648">
        <w:rPr>
          <w:sz w:val="24"/>
          <w:szCs w:val="24"/>
        </w:rPr>
        <w:t>% de 34,15 M$) qui ont été versées aux sociétés de Giroux;</w:t>
      </w:r>
    </w:p>
    <w:p w14:paraId="1D2A9F7B" w14:textId="77777777" w:rsidR="0076467D" w:rsidRPr="002F6648" w:rsidRDefault="00730A01" w:rsidP="00443B59">
      <w:pPr>
        <w:pStyle w:val="Citationenretrait"/>
        <w:numPr>
          <w:ilvl w:val="0"/>
          <w:numId w:val="53"/>
        </w:numPr>
        <w:spacing w:after="0"/>
        <w:ind w:left="1434" w:right="539" w:hanging="357"/>
        <w:rPr>
          <w:sz w:val="24"/>
          <w:szCs w:val="24"/>
        </w:rPr>
      </w:pPr>
      <w:r w:rsidRPr="002F6648">
        <w:rPr>
          <w:sz w:val="24"/>
          <w:szCs w:val="24"/>
        </w:rPr>
        <w:t>3,1 </w:t>
      </w:r>
      <w:r w:rsidR="00BE4961" w:rsidRPr="002F6648">
        <w:rPr>
          <w:sz w:val="24"/>
          <w:szCs w:val="24"/>
        </w:rPr>
        <w:t>M$ (9</w:t>
      </w:r>
      <w:r w:rsidR="00391387" w:rsidRPr="002F6648">
        <w:rPr>
          <w:sz w:val="24"/>
          <w:szCs w:val="24"/>
        </w:rPr>
        <w:t> </w:t>
      </w:r>
      <w:r w:rsidR="00BE4961" w:rsidRPr="002F6648">
        <w:rPr>
          <w:sz w:val="24"/>
          <w:szCs w:val="24"/>
        </w:rPr>
        <w:t>% de 34,15</w:t>
      </w:r>
      <w:r w:rsidRPr="002F6648">
        <w:rPr>
          <w:sz w:val="24"/>
          <w:szCs w:val="24"/>
        </w:rPr>
        <w:t> </w:t>
      </w:r>
      <w:r w:rsidR="00BE4961" w:rsidRPr="002F6648">
        <w:rPr>
          <w:sz w:val="24"/>
          <w:szCs w:val="24"/>
        </w:rPr>
        <w:t>M$) qui ont été versées pour des paiements d’intérêts à FIISH et Q-12 qui étaient dus par Huot; et</w:t>
      </w:r>
    </w:p>
    <w:p w14:paraId="07350229" w14:textId="77777777" w:rsidR="00BE4961" w:rsidRPr="002F6648" w:rsidRDefault="00730A01" w:rsidP="00443B59">
      <w:pPr>
        <w:pStyle w:val="Citationenretrait"/>
        <w:numPr>
          <w:ilvl w:val="0"/>
          <w:numId w:val="53"/>
        </w:numPr>
        <w:spacing w:after="0"/>
        <w:ind w:left="1434" w:right="539" w:hanging="357"/>
        <w:rPr>
          <w:sz w:val="24"/>
          <w:szCs w:val="24"/>
        </w:rPr>
      </w:pPr>
      <w:r w:rsidRPr="002F6648">
        <w:rPr>
          <w:sz w:val="24"/>
          <w:szCs w:val="24"/>
        </w:rPr>
        <w:t>2,9</w:t>
      </w:r>
      <w:r w:rsidR="0009343F" w:rsidRPr="002F6648">
        <w:rPr>
          <w:sz w:val="24"/>
          <w:szCs w:val="24"/>
        </w:rPr>
        <w:t> </w:t>
      </w:r>
      <w:r w:rsidRPr="002F6648">
        <w:rPr>
          <w:sz w:val="24"/>
          <w:szCs w:val="24"/>
        </w:rPr>
        <w:t>M$ (8</w:t>
      </w:r>
      <w:r w:rsidR="00391387" w:rsidRPr="002F6648">
        <w:rPr>
          <w:sz w:val="24"/>
          <w:szCs w:val="24"/>
        </w:rPr>
        <w:t> </w:t>
      </w:r>
      <w:r w:rsidRPr="002F6648">
        <w:rPr>
          <w:sz w:val="24"/>
          <w:szCs w:val="24"/>
        </w:rPr>
        <w:t>% de 34,15</w:t>
      </w:r>
      <w:r w:rsidR="0076467D" w:rsidRPr="002F6648">
        <w:rPr>
          <w:sz w:val="24"/>
          <w:szCs w:val="24"/>
        </w:rPr>
        <w:t> </w:t>
      </w:r>
      <w:r w:rsidRPr="002F6648">
        <w:rPr>
          <w:sz w:val="24"/>
          <w:szCs w:val="24"/>
        </w:rPr>
        <w:t>M$) qui ont été versées en remboursement de prêts Q-12 (prêts Morille et Aventura IX)</w:t>
      </w:r>
      <w:r>
        <w:rPr>
          <w:rStyle w:val="Appelnotedebasdep"/>
          <w:sz w:val="24"/>
          <w:szCs w:val="24"/>
        </w:rPr>
        <w:footnoteReference w:id="157"/>
      </w:r>
      <w:r w:rsidR="007D72F5">
        <w:rPr>
          <w:sz w:val="24"/>
          <w:szCs w:val="24"/>
        </w:rPr>
        <w:t>.</w:t>
      </w:r>
    </w:p>
    <w:p w14:paraId="17A09585" w14:textId="77777777" w:rsidR="00E94252" w:rsidRDefault="00730A01" w:rsidP="002F6648">
      <w:pPr>
        <w:pStyle w:val="Paragraphe"/>
        <w:numPr>
          <w:ilvl w:val="0"/>
          <w:numId w:val="1"/>
        </w:numPr>
        <w:tabs>
          <w:tab w:val="clear" w:pos="786"/>
          <w:tab w:val="num" w:pos="360"/>
        </w:tabs>
        <w:spacing w:before="240" w:after="100" w:afterAutospacing="1" w:line="240" w:lineRule="auto"/>
        <w:ind w:left="0"/>
        <w:rPr>
          <w:rFonts w:cs="Arial"/>
          <w:szCs w:val="24"/>
          <w:lang w:eastAsia="fr-CA"/>
        </w:rPr>
      </w:pPr>
      <w:r>
        <w:rPr>
          <w:rFonts w:cs="Arial"/>
          <w:szCs w:val="24"/>
          <w:lang w:eastAsia="fr-CA"/>
        </w:rPr>
        <w:t xml:space="preserve">Le Tribunal joint en </w:t>
      </w:r>
      <w:r w:rsidRPr="008F7615">
        <w:rPr>
          <w:rFonts w:cs="Arial"/>
          <w:i/>
          <w:iCs/>
          <w:szCs w:val="24"/>
          <w:lang w:eastAsia="fr-CA"/>
        </w:rPr>
        <w:t>Annexe</w:t>
      </w:r>
      <w:r w:rsidR="007D72F5">
        <w:rPr>
          <w:rFonts w:cs="Arial"/>
          <w:i/>
          <w:iCs/>
          <w:szCs w:val="24"/>
          <w:lang w:eastAsia="fr-CA"/>
        </w:rPr>
        <w:t> </w:t>
      </w:r>
      <w:r w:rsidR="008377EB">
        <w:rPr>
          <w:rFonts w:cs="Arial"/>
          <w:i/>
          <w:iCs/>
          <w:szCs w:val="24"/>
          <w:lang w:eastAsia="fr-CA"/>
        </w:rPr>
        <w:t>B</w:t>
      </w:r>
      <w:r>
        <w:rPr>
          <w:rFonts w:cs="Arial"/>
          <w:szCs w:val="24"/>
          <w:lang w:eastAsia="fr-CA"/>
        </w:rPr>
        <w:t xml:space="preserve">, pour valoir </w:t>
      </w:r>
      <w:r w:rsidRPr="00D23EB5">
        <w:rPr>
          <w:rFonts w:cs="Arial"/>
          <w:szCs w:val="24"/>
          <w:lang w:eastAsia="fr-CA"/>
        </w:rPr>
        <w:t xml:space="preserve">comme </w:t>
      </w:r>
      <w:r w:rsidR="008F7615" w:rsidRPr="00D23EB5">
        <w:rPr>
          <w:rFonts w:cs="Arial"/>
          <w:szCs w:val="24"/>
          <w:lang w:eastAsia="fr-CA"/>
        </w:rPr>
        <w:t>s</w:t>
      </w:r>
      <w:r w:rsidRPr="00D23EB5">
        <w:rPr>
          <w:rFonts w:cs="Arial"/>
          <w:szCs w:val="24"/>
          <w:lang w:eastAsia="fr-CA"/>
        </w:rPr>
        <w:t>i au long récit</w:t>
      </w:r>
      <w:r w:rsidR="008F7615" w:rsidRPr="00D23EB5">
        <w:rPr>
          <w:rFonts w:cs="Arial"/>
          <w:szCs w:val="24"/>
          <w:lang w:eastAsia="fr-CA"/>
        </w:rPr>
        <w:t>é</w:t>
      </w:r>
      <w:r>
        <w:rPr>
          <w:rFonts w:cs="Arial"/>
          <w:szCs w:val="24"/>
          <w:lang w:eastAsia="fr-CA"/>
        </w:rPr>
        <w:t xml:space="preserve">, le détail </w:t>
      </w:r>
      <w:r w:rsidR="008900D7">
        <w:rPr>
          <w:rFonts w:cs="Arial"/>
          <w:szCs w:val="24"/>
          <w:lang w:eastAsia="fr-CA"/>
        </w:rPr>
        <w:t xml:space="preserve">des financements effectués par FIISH et des contraventions liées à chacun de ces financements. </w:t>
      </w:r>
      <w:r w:rsidR="00B177BD">
        <w:t>Concernant ces contraventions, il y a lieu de rappeler, entre autres, l’hypothèque non publiée qui devait garantir le prêt de</w:t>
      </w:r>
      <w:r w:rsidR="007D72F5">
        <w:t> </w:t>
      </w:r>
      <w:r w:rsidR="00B177BD">
        <w:t>40 M$ du 30 </w:t>
      </w:r>
      <w:r w:rsidR="00B7035F">
        <w:t>octobre</w:t>
      </w:r>
      <w:r w:rsidR="007D72F5">
        <w:t> </w:t>
      </w:r>
      <w:r w:rsidR="00B7035F">
        <w:t>201</w:t>
      </w:r>
      <w:r w:rsidR="00B177BD" w:rsidRPr="00B7035F">
        <w:t>7.</w:t>
      </w:r>
    </w:p>
    <w:p w14:paraId="0694D2C1" w14:textId="77777777" w:rsidR="008F7615" w:rsidRPr="00EE1FA3" w:rsidRDefault="00730A01" w:rsidP="0042740E">
      <w:pPr>
        <w:pStyle w:val="Titre3"/>
        <w:numPr>
          <w:ilvl w:val="1"/>
          <w:numId w:val="25"/>
        </w:numPr>
        <w:ind w:left="284" w:hanging="284"/>
        <w:rPr>
          <w:rFonts w:cs="Arial"/>
          <w:b/>
          <w:bCs/>
          <w:szCs w:val="24"/>
          <w:u w:val="single"/>
          <w:lang w:eastAsia="fr-CA"/>
        </w:rPr>
      </w:pPr>
      <w:bookmarkStart w:id="65" w:name="_Toc211495241"/>
      <w:bookmarkStart w:id="66" w:name="_Toc211600652"/>
      <w:r w:rsidRPr="00EE1FA3">
        <w:rPr>
          <w:rFonts w:cs="Arial"/>
          <w:b/>
          <w:bCs/>
          <w:szCs w:val="24"/>
          <w:u w:val="single"/>
          <w:lang w:eastAsia="fr-CA"/>
        </w:rPr>
        <w:t>Les fautes en lien avec l’octroi des prêts par Q-12</w:t>
      </w:r>
      <w:bookmarkEnd w:id="65"/>
      <w:bookmarkEnd w:id="66"/>
    </w:p>
    <w:p w14:paraId="1665FBE0" w14:textId="77777777" w:rsidR="00BE4961" w:rsidRDefault="00730A01" w:rsidP="0098012F">
      <w:pPr>
        <w:pStyle w:val="Paragraphe"/>
        <w:numPr>
          <w:ilvl w:val="0"/>
          <w:numId w:val="1"/>
        </w:numPr>
        <w:tabs>
          <w:tab w:val="clear" w:pos="786"/>
          <w:tab w:val="num" w:pos="360"/>
        </w:tabs>
        <w:spacing w:after="100" w:afterAutospacing="1" w:line="240" w:lineRule="auto"/>
        <w:ind w:left="0"/>
        <w:rPr>
          <w:rFonts w:cs="Arial"/>
          <w:szCs w:val="24"/>
          <w:lang w:eastAsia="fr-CA"/>
        </w:rPr>
      </w:pPr>
      <w:r w:rsidRPr="001A1A19">
        <w:rPr>
          <w:rFonts w:cs="Arial"/>
          <w:szCs w:val="24"/>
          <w:lang w:eastAsia="fr-CA"/>
        </w:rPr>
        <w:t>Le rapport d’expert de KPMG met en lumière une série de transactions irrégulières dans l’octroi de prêts par Q-12 aux sociétés du Groupe Huot. Sept prêts en particulier ont fait l’objet d’une analyse détaillée</w:t>
      </w:r>
      <w:r w:rsidR="007D72F5">
        <w:rPr>
          <w:rFonts w:cs="Arial"/>
          <w:szCs w:val="24"/>
          <w:lang w:eastAsia="fr-CA"/>
        </w:rPr>
        <w:t> </w:t>
      </w:r>
      <w:r w:rsidRPr="001A1A19">
        <w:rPr>
          <w:rFonts w:cs="Arial"/>
          <w:szCs w:val="24"/>
          <w:lang w:eastAsia="fr-CA"/>
        </w:rPr>
        <w:t>: P04-Morille, P021-Arrow, P046-Transrapide, P071-Transrapide prêt d’urgence, P069-Transrapide (phase 5), P100-Stéphan Huot et P093-Stéphan Huot</w:t>
      </w:r>
      <w:r>
        <w:rPr>
          <w:rStyle w:val="Appelnotedebasdep"/>
          <w:rFonts w:cs="Arial"/>
          <w:szCs w:val="24"/>
          <w:lang w:eastAsia="fr-CA"/>
        </w:rPr>
        <w:footnoteReference w:id="158"/>
      </w:r>
      <w:r w:rsidR="007D72F5">
        <w:rPr>
          <w:rFonts w:cs="Arial"/>
          <w:szCs w:val="24"/>
          <w:lang w:eastAsia="fr-CA"/>
        </w:rPr>
        <w:t>.</w:t>
      </w:r>
    </w:p>
    <w:p w14:paraId="617C77F8" w14:textId="77777777" w:rsidR="008F7615" w:rsidRPr="008F7615" w:rsidRDefault="00730A01" w:rsidP="0098012F">
      <w:pPr>
        <w:pStyle w:val="Paragraphe"/>
        <w:numPr>
          <w:ilvl w:val="0"/>
          <w:numId w:val="1"/>
        </w:numPr>
        <w:tabs>
          <w:tab w:val="clear" w:pos="786"/>
          <w:tab w:val="num" w:pos="360"/>
        </w:tabs>
        <w:spacing w:after="100" w:afterAutospacing="1" w:line="240" w:lineRule="auto"/>
        <w:ind w:left="0"/>
        <w:rPr>
          <w:rFonts w:cs="Arial"/>
          <w:szCs w:val="24"/>
          <w:lang w:eastAsia="fr-CA"/>
        </w:rPr>
      </w:pPr>
      <w:r>
        <w:rPr>
          <w:rFonts w:cs="Arial"/>
          <w:szCs w:val="24"/>
          <w:lang w:eastAsia="fr-CA"/>
        </w:rPr>
        <w:t xml:space="preserve">Le Tribunal joint en </w:t>
      </w:r>
      <w:r w:rsidRPr="008F7615">
        <w:rPr>
          <w:rFonts w:cs="Arial"/>
          <w:i/>
          <w:iCs/>
          <w:szCs w:val="24"/>
          <w:lang w:eastAsia="fr-CA"/>
        </w:rPr>
        <w:t>Annexe</w:t>
      </w:r>
      <w:r w:rsidR="007D72F5">
        <w:rPr>
          <w:rFonts w:cs="Arial"/>
          <w:i/>
          <w:iCs/>
          <w:szCs w:val="24"/>
          <w:lang w:eastAsia="fr-CA"/>
        </w:rPr>
        <w:t> </w:t>
      </w:r>
      <w:r w:rsidR="008377EB">
        <w:rPr>
          <w:rFonts w:cs="Arial"/>
          <w:i/>
          <w:iCs/>
          <w:szCs w:val="24"/>
          <w:lang w:eastAsia="fr-CA"/>
        </w:rPr>
        <w:t>C</w:t>
      </w:r>
      <w:r>
        <w:rPr>
          <w:rFonts w:cs="Arial"/>
          <w:szCs w:val="24"/>
          <w:lang w:eastAsia="fr-CA"/>
        </w:rPr>
        <w:t xml:space="preserve">, pour valoir comme si au long </w:t>
      </w:r>
      <w:r w:rsidRPr="00D23EB5">
        <w:rPr>
          <w:rFonts w:cs="Arial"/>
          <w:szCs w:val="24"/>
          <w:lang w:eastAsia="fr-CA"/>
        </w:rPr>
        <w:t>récité</w:t>
      </w:r>
      <w:r>
        <w:rPr>
          <w:rFonts w:cs="Arial"/>
          <w:szCs w:val="24"/>
          <w:lang w:eastAsia="fr-CA"/>
        </w:rPr>
        <w:t xml:space="preserve">, le détail des projets du Groupe Huot financés par Q-12 et les </w:t>
      </w:r>
      <w:r w:rsidR="0094415E">
        <w:rPr>
          <w:rFonts w:cs="Arial"/>
          <w:szCs w:val="24"/>
          <w:lang w:eastAsia="fr-CA"/>
        </w:rPr>
        <w:t>manquements des Défendeurs</w:t>
      </w:r>
      <w:r>
        <w:rPr>
          <w:rFonts w:cs="Arial"/>
          <w:szCs w:val="24"/>
          <w:lang w:eastAsia="fr-CA"/>
        </w:rPr>
        <w:t xml:space="preserve"> en lien avec ces financements.</w:t>
      </w:r>
    </w:p>
    <w:p w14:paraId="7F135CC0" w14:textId="77777777" w:rsidR="00BE4961" w:rsidRPr="00EE1FA3" w:rsidRDefault="00730A01" w:rsidP="0042740E">
      <w:pPr>
        <w:pStyle w:val="Titre3"/>
        <w:numPr>
          <w:ilvl w:val="1"/>
          <w:numId w:val="25"/>
        </w:numPr>
        <w:ind w:left="284" w:hanging="284"/>
        <w:rPr>
          <w:rFonts w:cs="Arial"/>
          <w:b/>
          <w:bCs/>
          <w:szCs w:val="24"/>
          <w:u w:val="single"/>
          <w:lang w:eastAsia="fr-CA"/>
        </w:rPr>
      </w:pPr>
      <w:bookmarkStart w:id="67" w:name="_Toc211495242"/>
      <w:bookmarkStart w:id="68" w:name="_Toc211600653"/>
      <w:r w:rsidRPr="00EE1FA3">
        <w:rPr>
          <w:rFonts w:cs="Arial"/>
          <w:b/>
          <w:bCs/>
          <w:szCs w:val="24"/>
          <w:u w:val="single"/>
          <w:lang w:eastAsia="fr-CA"/>
        </w:rPr>
        <w:t>Sommaire des transactions irrégulières</w:t>
      </w:r>
      <w:bookmarkEnd w:id="67"/>
      <w:bookmarkEnd w:id="68"/>
    </w:p>
    <w:p w14:paraId="24DA3507" w14:textId="77777777" w:rsidR="0076467D" w:rsidRDefault="00730A01" w:rsidP="0098012F">
      <w:pPr>
        <w:pStyle w:val="Paragraphe"/>
        <w:numPr>
          <w:ilvl w:val="0"/>
          <w:numId w:val="1"/>
        </w:numPr>
        <w:tabs>
          <w:tab w:val="clear" w:pos="786"/>
          <w:tab w:val="num" w:pos="360"/>
        </w:tabs>
        <w:spacing w:after="100" w:afterAutospacing="1" w:line="240" w:lineRule="auto"/>
        <w:ind w:left="0"/>
        <w:rPr>
          <w:rFonts w:cs="Arial"/>
          <w:szCs w:val="24"/>
          <w:lang w:eastAsia="fr-CA"/>
        </w:rPr>
      </w:pPr>
      <w:r w:rsidRPr="001A1A19">
        <w:rPr>
          <w:rFonts w:cs="Arial"/>
          <w:szCs w:val="24"/>
          <w:lang w:eastAsia="fr-CA"/>
        </w:rPr>
        <w:t>Un montant total de</w:t>
      </w:r>
      <w:r w:rsidR="007D72F5">
        <w:rPr>
          <w:rFonts w:cs="Arial"/>
          <w:szCs w:val="24"/>
          <w:lang w:eastAsia="fr-CA"/>
        </w:rPr>
        <w:t> </w:t>
      </w:r>
      <w:r w:rsidRPr="0094415E">
        <w:rPr>
          <w:rFonts w:cs="Arial"/>
          <w:szCs w:val="24"/>
          <w:lang w:eastAsia="fr-CA"/>
        </w:rPr>
        <w:t>9,39 M$</w:t>
      </w:r>
      <w:r w:rsidRPr="001A1A19">
        <w:rPr>
          <w:rFonts w:cs="Arial"/>
          <w:szCs w:val="24"/>
          <w:lang w:eastAsia="fr-CA"/>
        </w:rPr>
        <w:t xml:space="preserve"> a été identifié comme provenant de transactions irrégulières. Sur ce montant, </w:t>
      </w:r>
      <w:r w:rsidRPr="0094415E">
        <w:rPr>
          <w:rFonts w:cs="Arial"/>
          <w:szCs w:val="24"/>
          <w:lang w:eastAsia="fr-CA"/>
        </w:rPr>
        <w:t>6,24 M$</w:t>
      </w:r>
      <w:r w:rsidRPr="001A1A19">
        <w:rPr>
          <w:rFonts w:cs="Arial"/>
          <w:szCs w:val="24"/>
          <w:lang w:eastAsia="fr-CA"/>
        </w:rPr>
        <w:t xml:space="preserve"> ont été versés aux sociétés de Giroux (8096, 6646, Giroux Arpentage) plutôt qu’aux emprunteurs du Groupe Huot, en contradiction avec la Stratégie de prêts de Q-12 et les conventions en vigueur</w:t>
      </w:r>
      <w:r>
        <w:rPr>
          <w:rStyle w:val="Appelnotedebasdep"/>
          <w:rFonts w:cs="Arial"/>
          <w:szCs w:val="24"/>
          <w:lang w:eastAsia="fr-CA"/>
        </w:rPr>
        <w:footnoteReference w:id="159"/>
      </w:r>
      <w:r w:rsidR="007D72F5">
        <w:rPr>
          <w:rFonts w:cs="Arial"/>
          <w:szCs w:val="24"/>
          <w:lang w:eastAsia="fr-CA"/>
        </w:rPr>
        <w:t>.</w:t>
      </w:r>
    </w:p>
    <w:p w14:paraId="62310A02" w14:textId="77777777" w:rsidR="00BE4961" w:rsidRPr="0076467D" w:rsidRDefault="00730A01" w:rsidP="0098012F">
      <w:pPr>
        <w:pStyle w:val="Paragraphe"/>
        <w:numPr>
          <w:ilvl w:val="0"/>
          <w:numId w:val="1"/>
        </w:numPr>
        <w:tabs>
          <w:tab w:val="clear" w:pos="786"/>
          <w:tab w:val="num" w:pos="360"/>
        </w:tabs>
        <w:spacing w:after="100" w:afterAutospacing="1" w:line="240" w:lineRule="auto"/>
        <w:ind w:left="0"/>
        <w:rPr>
          <w:rFonts w:cs="Arial"/>
          <w:szCs w:val="24"/>
          <w:lang w:eastAsia="fr-CA"/>
        </w:rPr>
      </w:pPr>
      <w:r w:rsidRPr="0076467D">
        <w:rPr>
          <w:rFonts w:cs="Arial"/>
          <w:szCs w:val="24"/>
          <w:lang w:eastAsia="fr-CA"/>
        </w:rPr>
        <w:t xml:space="preserve">De plus, </w:t>
      </w:r>
      <w:r w:rsidRPr="0094415E">
        <w:rPr>
          <w:rFonts w:cs="Arial"/>
          <w:szCs w:val="24"/>
          <w:lang w:eastAsia="fr-CA"/>
        </w:rPr>
        <w:t>3,15</w:t>
      </w:r>
      <w:r w:rsidR="0076467D" w:rsidRPr="0094415E">
        <w:rPr>
          <w:rFonts w:cs="Arial"/>
          <w:szCs w:val="24"/>
          <w:lang w:eastAsia="fr-CA"/>
        </w:rPr>
        <w:t> </w:t>
      </w:r>
      <w:r w:rsidRPr="0094415E">
        <w:rPr>
          <w:rFonts w:cs="Arial"/>
          <w:szCs w:val="24"/>
          <w:lang w:eastAsia="fr-CA"/>
        </w:rPr>
        <w:t>M$</w:t>
      </w:r>
      <w:r w:rsidRPr="0076467D">
        <w:rPr>
          <w:rFonts w:cs="Arial"/>
          <w:szCs w:val="24"/>
          <w:lang w:eastAsia="fr-CA"/>
        </w:rPr>
        <w:t xml:space="preserve"> ont été utilisés pour payer, à même les mises de fonds des investisseurs de Q-12, les intérêts dus par Stéphan Huot et le Groupe Huot sur les prêts FIISH et Q-12, afin de permettre le versement de distributions aux investisseurs. </w:t>
      </w:r>
      <w:r w:rsidR="00B7035F">
        <w:rPr>
          <w:rFonts w:cs="Arial"/>
          <w:szCs w:val="24"/>
          <w:lang w:eastAsia="fr-CA"/>
        </w:rPr>
        <w:t>Le Tribunal</w:t>
      </w:r>
      <w:r w:rsidRPr="0076467D">
        <w:rPr>
          <w:rFonts w:cs="Arial"/>
          <w:szCs w:val="24"/>
          <w:lang w:eastAsia="fr-CA"/>
        </w:rPr>
        <w:t xml:space="preserve"> conclut que ces transactions présentent les caractéristiques typiques d’un </w:t>
      </w:r>
      <w:r w:rsidRPr="0094415E">
        <w:rPr>
          <w:rFonts w:cs="Arial"/>
          <w:szCs w:val="24"/>
          <w:lang w:eastAsia="fr-CA"/>
        </w:rPr>
        <w:t>montage de type Ponzi</w:t>
      </w:r>
      <w:r>
        <w:rPr>
          <w:rStyle w:val="Appelnotedebasdep"/>
          <w:rFonts w:cs="Arial"/>
          <w:szCs w:val="24"/>
          <w:lang w:eastAsia="fr-CA"/>
        </w:rPr>
        <w:footnoteReference w:id="160"/>
      </w:r>
      <w:r w:rsidR="007D72F5">
        <w:rPr>
          <w:rFonts w:cs="Arial"/>
          <w:szCs w:val="24"/>
          <w:lang w:eastAsia="fr-CA"/>
        </w:rPr>
        <w:t>.</w:t>
      </w:r>
    </w:p>
    <w:p w14:paraId="0E59DEF9" w14:textId="77777777" w:rsidR="00BE4961" w:rsidRPr="00EE1FA3" w:rsidRDefault="00730A01" w:rsidP="00443B59">
      <w:pPr>
        <w:pStyle w:val="Paragraphedeliste"/>
        <w:numPr>
          <w:ilvl w:val="0"/>
          <w:numId w:val="94"/>
        </w:numPr>
        <w:spacing w:before="240" w:after="100" w:afterAutospacing="1"/>
        <w:ind w:left="851" w:hanging="425"/>
        <w:outlineLvl w:val="2"/>
        <w:rPr>
          <w:rFonts w:cs="Arial"/>
          <w:b/>
          <w:bCs/>
          <w:i/>
          <w:iCs/>
          <w:szCs w:val="24"/>
          <w:lang w:eastAsia="fr-CA"/>
        </w:rPr>
      </w:pPr>
      <w:bookmarkStart w:id="69" w:name="_Toc211495243"/>
      <w:bookmarkStart w:id="70" w:name="_Toc211600654"/>
      <w:r w:rsidRPr="00EE1FA3">
        <w:rPr>
          <w:rFonts w:cs="Arial"/>
          <w:b/>
          <w:bCs/>
          <w:i/>
          <w:iCs/>
          <w:szCs w:val="24"/>
          <w:lang w:eastAsia="fr-CA"/>
        </w:rPr>
        <w:t>Détail des prêts irréguliers</w:t>
      </w:r>
      <w:bookmarkEnd w:id="69"/>
      <w:bookmarkEnd w:id="70"/>
    </w:p>
    <w:p w14:paraId="28CBADAE" w14:textId="77777777" w:rsidR="00BE4961" w:rsidRPr="001A1A19" w:rsidRDefault="00730A01" w:rsidP="0042740E">
      <w:pPr>
        <w:numPr>
          <w:ilvl w:val="0"/>
          <w:numId w:val="26"/>
        </w:numPr>
        <w:spacing w:before="120"/>
        <w:ind w:left="714" w:hanging="357"/>
        <w:jc w:val="both"/>
        <w:rPr>
          <w:rFonts w:cs="Arial"/>
          <w:szCs w:val="24"/>
          <w:lang w:eastAsia="fr-CA"/>
        </w:rPr>
      </w:pPr>
      <w:r w:rsidRPr="0081332B">
        <w:rPr>
          <w:rFonts w:cs="Arial"/>
          <w:b/>
          <w:bCs/>
          <w:i/>
          <w:iCs/>
          <w:szCs w:val="24"/>
          <w:lang w:eastAsia="fr-CA"/>
        </w:rPr>
        <w:t>Prêt P04-Morille (mai</w:t>
      </w:r>
      <w:r w:rsidR="009C7A24">
        <w:rPr>
          <w:rFonts w:cs="Arial"/>
          <w:b/>
          <w:bCs/>
          <w:i/>
          <w:iCs/>
          <w:szCs w:val="24"/>
          <w:lang w:eastAsia="fr-CA"/>
        </w:rPr>
        <w:t> </w:t>
      </w:r>
      <w:r w:rsidRPr="0081332B">
        <w:rPr>
          <w:rFonts w:cs="Arial"/>
          <w:b/>
          <w:bCs/>
          <w:i/>
          <w:iCs/>
          <w:szCs w:val="24"/>
          <w:lang w:eastAsia="fr-CA"/>
        </w:rPr>
        <w:t>2018, 2,75</w:t>
      </w:r>
      <w:r w:rsidR="0009343F" w:rsidRPr="0081332B">
        <w:rPr>
          <w:rFonts w:cs="Arial"/>
          <w:b/>
          <w:bCs/>
          <w:i/>
          <w:iCs/>
          <w:szCs w:val="24"/>
          <w:lang w:eastAsia="fr-CA"/>
        </w:rPr>
        <w:t> </w:t>
      </w:r>
      <w:r w:rsidRPr="0081332B">
        <w:rPr>
          <w:rFonts w:cs="Arial"/>
          <w:b/>
          <w:bCs/>
          <w:i/>
          <w:iCs/>
          <w:szCs w:val="24"/>
          <w:lang w:eastAsia="fr-CA"/>
        </w:rPr>
        <w:t>M$</w:t>
      </w:r>
      <w:r w:rsidRPr="001A1A19">
        <w:rPr>
          <w:rFonts w:cs="Arial"/>
          <w:b/>
          <w:bCs/>
          <w:szCs w:val="24"/>
          <w:lang w:eastAsia="fr-CA"/>
        </w:rPr>
        <w:t>)</w:t>
      </w:r>
      <w:r w:rsidR="007D72F5">
        <w:rPr>
          <w:rFonts w:cs="Arial"/>
          <w:szCs w:val="24"/>
          <w:lang w:eastAsia="fr-CA"/>
        </w:rPr>
        <w:t> </w:t>
      </w:r>
      <w:r w:rsidRPr="001A1A19">
        <w:rPr>
          <w:rFonts w:cs="Arial"/>
          <w:szCs w:val="24"/>
          <w:lang w:eastAsia="fr-CA"/>
        </w:rPr>
        <w:t>: une somme de</w:t>
      </w:r>
      <w:r w:rsidR="007D72F5">
        <w:rPr>
          <w:rFonts w:cs="Arial"/>
          <w:szCs w:val="24"/>
          <w:lang w:eastAsia="fr-CA"/>
        </w:rPr>
        <w:t> </w:t>
      </w:r>
      <w:r w:rsidRPr="009B0380">
        <w:rPr>
          <w:rFonts w:cs="Arial"/>
          <w:szCs w:val="24"/>
          <w:lang w:eastAsia="fr-CA"/>
        </w:rPr>
        <w:t>1,9</w:t>
      </w:r>
      <w:r w:rsidR="0009343F" w:rsidRPr="009B0380">
        <w:rPr>
          <w:rFonts w:cs="Arial"/>
          <w:szCs w:val="24"/>
          <w:lang w:eastAsia="fr-CA"/>
        </w:rPr>
        <w:t> </w:t>
      </w:r>
      <w:r w:rsidRPr="009B0380">
        <w:rPr>
          <w:rFonts w:cs="Arial"/>
          <w:szCs w:val="24"/>
          <w:lang w:eastAsia="fr-CA"/>
        </w:rPr>
        <w:t>M$</w:t>
      </w:r>
      <w:r w:rsidRPr="001A1A19">
        <w:rPr>
          <w:rFonts w:cs="Arial"/>
          <w:szCs w:val="24"/>
          <w:lang w:eastAsia="fr-CA"/>
        </w:rPr>
        <w:t xml:space="preserve"> a été remise à 6646, et non à Développement de la Morille inc., contrevenant ainsi aux conventions</w:t>
      </w:r>
      <w:r>
        <w:rPr>
          <w:rStyle w:val="Appelnotedebasdep"/>
          <w:rFonts w:cs="Arial"/>
          <w:szCs w:val="24"/>
          <w:lang w:eastAsia="fr-CA"/>
        </w:rPr>
        <w:footnoteReference w:id="161"/>
      </w:r>
      <w:r w:rsidR="007D72F5">
        <w:rPr>
          <w:rFonts w:cs="Arial"/>
          <w:szCs w:val="24"/>
          <w:lang w:eastAsia="fr-CA"/>
        </w:rPr>
        <w:t>.</w:t>
      </w:r>
    </w:p>
    <w:p w14:paraId="28D2C108" w14:textId="77777777" w:rsidR="00BE4961" w:rsidRPr="001A1A19" w:rsidRDefault="00730A01" w:rsidP="0042740E">
      <w:pPr>
        <w:numPr>
          <w:ilvl w:val="0"/>
          <w:numId w:val="26"/>
        </w:numPr>
        <w:spacing w:before="120"/>
        <w:ind w:left="714" w:hanging="357"/>
        <w:jc w:val="both"/>
        <w:rPr>
          <w:rFonts w:cs="Arial"/>
          <w:szCs w:val="24"/>
          <w:lang w:eastAsia="fr-CA"/>
        </w:rPr>
      </w:pPr>
      <w:r w:rsidRPr="0081332B">
        <w:rPr>
          <w:rFonts w:cs="Arial"/>
          <w:b/>
          <w:bCs/>
          <w:i/>
          <w:iCs/>
          <w:szCs w:val="24"/>
          <w:lang w:eastAsia="fr-CA"/>
        </w:rPr>
        <w:t>Prêt P021-Arrow (octobre</w:t>
      </w:r>
      <w:r w:rsidR="009C7A24">
        <w:rPr>
          <w:rFonts w:cs="Arial"/>
          <w:b/>
          <w:bCs/>
          <w:i/>
          <w:iCs/>
          <w:szCs w:val="24"/>
          <w:lang w:eastAsia="fr-CA"/>
        </w:rPr>
        <w:t> </w:t>
      </w:r>
      <w:r w:rsidRPr="0081332B">
        <w:rPr>
          <w:rFonts w:cs="Arial"/>
          <w:b/>
          <w:bCs/>
          <w:i/>
          <w:iCs/>
          <w:szCs w:val="24"/>
          <w:lang w:eastAsia="fr-CA"/>
        </w:rPr>
        <w:t>2019, 1,3</w:t>
      </w:r>
      <w:r w:rsidR="0009343F" w:rsidRPr="0081332B">
        <w:rPr>
          <w:rFonts w:cs="Arial"/>
          <w:b/>
          <w:bCs/>
          <w:i/>
          <w:iCs/>
          <w:szCs w:val="24"/>
          <w:lang w:eastAsia="fr-CA"/>
        </w:rPr>
        <w:t> </w:t>
      </w:r>
      <w:r w:rsidRPr="0081332B">
        <w:rPr>
          <w:rFonts w:cs="Arial"/>
          <w:b/>
          <w:bCs/>
          <w:i/>
          <w:iCs/>
          <w:szCs w:val="24"/>
          <w:lang w:eastAsia="fr-CA"/>
        </w:rPr>
        <w:t>M$</w:t>
      </w:r>
      <w:r w:rsidRPr="001A1A19">
        <w:rPr>
          <w:rFonts w:cs="Arial"/>
          <w:b/>
          <w:bCs/>
          <w:szCs w:val="24"/>
          <w:lang w:eastAsia="fr-CA"/>
        </w:rPr>
        <w:t>)</w:t>
      </w:r>
      <w:r w:rsidR="00646861">
        <w:rPr>
          <w:rFonts w:cs="Arial"/>
          <w:szCs w:val="24"/>
          <w:lang w:eastAsia="fr-CA"/>
        </w:rPr>
        <w:t> </w:t>
      </w:r>
      <w:r w:rsidRPr="001A1A19">
        <w:rPr>
          <w:rFonts w:cs="Arial"/>
          <w:szCs w:val="24"/>
          <w:lang w:eastAsia="fr-CA"/>
        </w:rPr>
        <w:t>:</w:t>
      </w:r>
      <w:r w:rsidR="007D72F5">
        <w:rPr>
          <w:rFonts w:cs="Arial"/>
          <w:szCs w:val="24"/>
          <w:lang w:eastAsia="fr-CA"/>
        </w:rPr>
        <w:t xml:space="preserve"> </w:t>
      </w:r>
      <w:r w:rsidRPr="001A1A19">
        <w:rPr>
          <w:rFonts w:cs="Arial"/>
          <w:szCs w:val="24"/>
          <w:lang w:eastAsia="fr-CA"/>
        </w:rPr>
        <w:t xml:space="preserve">déboursé à 6646 plutôt qu’à Location Arrow inc. De plus, alors que le prêt </w:t>
      </w:r>
      <w:r w:rsidR="009B0380">
        <w:rPr>
          <w:rFonts w:cs="Arial"/>
          <w:szCs w:val="24"/>
          <w:lang w:eastAsia="fr-CA"/>
        </w:rPr>
        <w:t>de</w:t>
      </w:r>
      <w:r w:rsidR="007D72F5">
        <w:rPr>
          <w:rFonts w:cs="Arial"/>
          <w:szCs w:val="24"/>
          <w:lang w:eastAsia="fr-CA"/>
        </w:rPr>
        <w:t> </w:t>
      </w:r>
      <w:r w:rsidR="009B0380">
        <w:rPr>
          <w:rFonts w:cs="Arial"/>
          <w:szCs w:val="24"/>
          <w:lang w:eastAsia="fr-CA"/>
        </w:rPr>
        <w:t xml:space="preserve">1,3 M$ </w:t>
      </w:r>
      <w:r w:rsidRPr="001A1A19">
        <w:rPr>
          <w:rFonts w:cs="Arial"/>
          <w:szCs w:val="24"/>
          <w:lang w:eastAsia="fr-CA"/>
        </w:rPr>
        <w:t xml:space="preserve">devait financer l’achat de mobilier, seulement </w:t>
      </w:r>
      <w:r w:rsidRPr="009B0380">
        <w:rPr>
          <w:rFonts w:cs="Arial"/>
          <w:szCs w:val="24"/>
          <w:lang w:eastAsia="fr-CA"/>
        </w:rPr>
        <w:t>95</w:t>
      </w:r>
      <w:r w:rsidR="0009343F" w:rsidRPr="009B0380">
        <w:rPr>
          <w:rFonts w:cs="Arial"/>
          <w:szCs w:val="24"/>
          <w:lang w:eastAsia="fr-CA"/>
        </w:rPr>
        <w:t> </w:t>
      </w:r>
      <w:r w:rsidRPr="009B0380">
        <w:rPr>
          <w:rFonts w:cs="Arial"/>
          <w:szCs w:val="24"/>
          <w:lang w:eastAsia="fr-CA"/>
        </w:rPr>
        <w:t>670</w:t>
      </w:r>
      <w:r w:rsidR="0009343F" w:rsidRPr="009B0380">
        <w:rPr>
          <w:rFonts w:cs="Arial"/>
          <w:szCs w:val="24"/>
          <w:lang w:eastAsia="fr-CA"/>
        </w:rPr>
        <w:t> </w:t>
      </w:r>
      <w:r w:rsidRPr="009B0380">
        <w:rPr>
          <w:rFonts w:cs="Arial"/>
          <w:szCs w:val="24"/>
          <w:lang w:eastAsia="fr-CA"/>
        </w:rPr>
        <w:t>$</w:t>
      </w:r>
      <w:r w:rsidRPr="001A1A19">
        <w:rPr>
          <w:rFonts w:cs="Arial"/>
          <w:szCs w:val="24"/>
          <w:lang w:eastAsia="fr-CA"/>
        </w:rPr>
        <w:t xml:space="preserve"> de mobilier ont effectivement été acquis selon les registres comptables. Ce prêt n’était toujours pas remboursé en février</w:t>
      </w:r>
      <w:r w:rsidR="007D72F5">
        <w:rPr>
          <w:rFonts w:cs="Arial"/>
          <w:szCs w:val="24"/>
          <w:lang w:eastAsia="fr-CA"/>
        </w:rPr>
        <w:t> </w:t>
      </w:r>
      <w:r w:rsidRPr="001A1A19">
        <w:rPr>
          <w:rFonts w:cs="Arial"/>
          <w:szCs w:val="24"/>
          <w:lang w:eastAsia="fr-CA"/>
        </w:rPr>
        <w:t>2023</w:t>
      </w:r>
      <w:r>
        <w:rPr>
          <w:rStyle w:val="Appelnotedebasdep"/>
          <w:rFonts w:cs="Arial"/>
          <w:szCs w:val="24"/>
          <w:lang w:eastAsia="fr-CA"/>
        </w:rPr>
        <w:footnoteReference w:id="162"/>
      </w:r>
      <w:r w:rsidR="007D72F5">
        <w:rPr>
          <w:rFonts w:cs="Arial"/>
          <w:szCs w:val="24"/>
          <w:lang w:eastAsia="fr-CA"/>
        </w:rPr>
        <w:t>.</w:t>
      </w:r>
    </w:p>
    <w:p w14:paraId="38441B0F" w14:textId="77777777" w:rsidR="00BE4961" w:rsidRPr="001A1A19" w:rsidRDefault="00730A01" w:rsidP="0042740E">
      <w:pPr>
        <w:numPr>
          <w:ilvl w:val="0"/>
          <w:numId w:val="26"/>
        </w:numPr>
        <w:spacing w:before="120"/>
        <w:ind w:left="714" w:hanging="357"/>
        <w:jc w:val="both"/>
        <w:rPr>
          <w:rFonts w:cs="Arial"/>
          <w:szCs w:val="24"/>
          <w:lang w:eastAsia="fr-CA"/>
        </w:rPr>
      </w:pPr>
      <w:r w:rsidRPr="0081332B">
        <w:rPr>
          <w:rFonts w:cs="Arial"/>
          <w:b/>
          <w:bCs/>
          <w:i/>
          <w:iCs/>
          <w:szCs w:val="24"/>
          <w:lang w:eastAsia="fr-CA"/>
        </w:rPr>
        <w:t>Prêt P046-Transrapide (novembre</w:t>
      </w:r>
      <w:r w:rsidR="009C7A24">
        <w:rPr>
          <w:rFonts w:cs="Arial"/>
          <w:b/>
          <w:bCs/>
          <w:i/>
          <w:iCs/>
          <w:szCs w:val="24"/>
          <w:lang w:eastAsia="fr-CA"/>
        </w:rPr>
        <w:t> </w:t>
      </w:r>
      <w:r w:rsidRPr="0081332B">
        <w:rPr>
          <w:rFonts w:cs="Arial"/>
          <w:b/>
          <w:bCs/>
          <w:i/>
          <w:iCs/>
          <w:szCs w:val="24"/>
          <w:lang w:eastAsia="fr-CA"/>
        </w:rPr>
        <w:t>2020, 2,5</w:t>
      </w:r>
      <w:r w:rsidR="0009343F" w:rsidRPr="0081332B">
        <w:rPr>
          <w:rFonts w:cs="Arial"/>
          <w:b/>
          <w:bCs/>
          <w:i/>
          <w:iCs/>
          <w:szCs w:val="24"/>
          <w:lang w:eastAsia="fr-CA"/>
        </w:rPr>
        <w:t> </w:t>
      </w:r>
      <w:r w:rsidRPr="0081332B">
        <w:rPr>
          <w:rFonts w:cs="Arial"/>
          <w:b/>
          <w:bCs/>
          <w:i/>
          <w:iCs/>
          <w:szCs w:val="24"/>
          <w:lang w:eastAsia="fr-CA"/>
        </w:rPr>
        <w:t>M$)</w:t>
      </w:r>
      <w:r w:rsidR="00646861" w:rsidRPr="0081332B">
        <w:rPr>
          <w:rFonts w:cs="Arial"/>
          <w:i/>
          <w:iCs/>
          <w:szCs w:val="24"/>
          <w:lang w:eastAsia="fr-CA"/>
        </w:rPr>
        <w:t> </w:t>
      </w:r>
      <w:r w:rsidRPr="001A1A19">
        <w:rPr>
          <w:rFonts w:cs="Arial"/>
          <w:szCs w:val="24"/>
          <w:lang w:eastAsia="fr-CA"/>
        </w:rPr>
        <w:t>:</w:t>
      </w:r>
      <w:r w:rsidR="004C1176">
        <w:rPr>
          <w:rFonts w:cs="Arial"/>
          <w:szCs w:val="24"/>
          <w:lang w:eastAsia="fr-CA"/>
        </w:rPr>
        <w:t xml:space="preserve"> </w:t>
      </w:r>
      <w:r w:rsidRPr="001A1A19">
        <w:rPr>
          <w:rFonts w:cs="Arial"/>
          <w:szCs w:val="24"/>
          <w:lang w:eastAsia="fr-CA"/>
        </w:rPr>
        <w:t xml:space="preserve">un versement de </w:t>
      </w:r>
      <w:r w:rsidRPr="009B0380">
        <w:rPr>
          <w:rFonts w:cs="Arial"/>
          <w:szCs w:val="24"/>
          <w:lang w:eastAsia="fr-CA"/>
        </w:rPr>
        <w:t>500</w:t>
      </w:r>
      <w:r w:rsidR="0009343F" w:rsidRPr="009B0380">
        <w:rPr>
          <w:rFonts w:cs="Arial"/>
          <w:szCs w:val="24"/>
          <w:lang w:eastAsia="fr-CA"/>
        </w:rPr>
        <w:t> </w:t>
      </w:r>
      <w:r w:rsidRPr="009B0380">
        <w:rPr>
          <w:rFonts w:cs="Arial"/>
          <w:szCs w:val="24"/>
          <w:lang w:eastAsia="fr-CA"/>
        </w:rPr>
        <w:t>000</w:t>
      </w:r>
      <w:r w:rsidR="0009343F" w:rsidRPr="009B0380">
        <w:rPr>
          <w:rFonts w:cs="Arial"/>
          <w:szCs w:val="24"/>
          <w:lang w:eastAsia="fr-CA"/>
        </w:rPr>
        <w:t> </w:t>
      </w:r>
      <w:r w:rsidRPr="009B0380">
        <w:rPr>
          <w:rFonts w:cs="Arial"/>
          <w:szCs w:val="24"/>
          <w:lang w:eastAsia="fr-CA"/>
        </w:rPr>
        <w:t>$</w:t>
      </w:r>
      <w:r w:rsidRPr="001A1A19">
        <w:rPr>
          <w:rFonts w:cs="Arial"/>
          <w:szCs w:val="24"/>
          <w:lang w:eastAsia="fr-CA"/>
        </w:rPr>
        <w:t xml:space="preserve"> a été fait à 6646 au lieu de l’emprunteur Transrapide</w:t>
      </w:r>
      <w:r>
        <w:rPr>
          <w:rStyle w:val="Appelnotedebasdep"/>
          <w:rFonts w:cs="Arial"/>
          <w:szCs w:val="24"/>
          <w:lang w:eastAsia="fr-CA"/>
        </w:rPr>
        <w:footnoteReference w:id="163"/>
      </w:r>
      <w:r w:rsidR="004C1176">
        <w:rPr>
          <w:rFonts w:cs="Arial"/>
          <w:szCs w:val="24"/>
          <w:lang w:eastAsia="fr-CA"/>
        </w:rPr>
        <w:t>.</w:t>
      </w:r>
    </w:p>
    <w:p w14:paraId="27CEEF69" w14:textId="77777777" w:rsidR="00BE4961" w:rsidRPr="001A1A19" w:rsidRDefault="00730A01" w:rsidP="0042740E">
      <w:pPr>
        <w:numPr>
          <w:ilvl w:val="0"/>
          <w:numId w:val="26"/>
        </w:numPr>
        <w:spacing w:before="120"/>
        <w:ind w:left="714" w:hanging="357"/>
        <w:jc w:val="both"/>
        <w:rPr>
          <w:rFonts w:cs="Arial"/>
          <w:szCs w:val="24"/>
          <w:lang w:eastAsia="fr-CA"/>
        </w:rPr>
      </w:pPr>
      <w:r w:rsidRPr="0081332B">
        <w:rPr>
          <w:rFonts w:cs="Arial"/>
          <w:b/>
          <w:bCs/>
          <w:i/>
          <w:iCs/>
          <w:szCs w:val="24"/>
          <w:lang w:eastAsia="fr-CA"/>
        </w:rPr>
        <w:t>Prêt P071-Transrapide (février</w:t>
      </w:r>
      <w:r w:rsidR="009C7A24">
        <w:rPr>
          <w:rFonts w:cs="Arial"/>
          <w:b/>
          <w:bCs/>
          <w:i/>
          <w:iCs/>
          <w:szCs w:val="24"/>
          <w:lang w:eastAsia="fr-CA"/>
        </w:rPr>
        <w:t> </w:t>
      </w:r>
      <w:r w:rsidRPr="0081332B">
        <w:rPr>
          <w:rFonts w:cs="Arial"/>
          <w:b/>
          <w:bCs/>
          <w:i/>
          <w:iCs/>
          <w:szCs w:val="24"/>
          <w:lang w:eastAsia="fr-CA"/>
        </w:rPr>
        <w:t>2022, 2,45</w:t>
      </w:r>
      <w:r w:rsidR="0009343F" w:rsidRPr="0081332B">
        <w:rPr>
          <w:rFonts w:cs="Arial"/>
          <w:b/>
          <w:bCs/>
          <w:i/>
          <w:iCs/>
          <w:szCs w:val="24"/>
          <w:lang w:eastAsia="fr-CA"/>
        </w:rPr>
        <w:t> </w:t>
      </w:r>
      <w:r w:rsidRPr="0081332B">
        <w:rPr>
          <w:rFonts w:cs="Arial"/>
          <w:b/>
          <w:bCs/>
          <w:i/>
          <w:iCs/>
          <w:szCs w:val="24"/>
          <w:lang w:eastAsia="fr-CA"/>
        </w:rPr>
        <w:t>M$)</w:t>
      </w:r>
      <w:r w:rsidR="00646861" w:rsidRPr="0081332B">
        <w:rPr>
          <w:rFonts w:cs="Arial"/>
          <w:i/>
          <w:iCs/>
          <w:szCs w:val="24"/>
          <w:lang w:eastAsia="fr-CA"/>
        </w:rPr>
        <w:t> </w:t>
      </w:r>
      <w:r w:rsidRPr="001A1A19">
        <w:rPr>
          <w:rFonts w:cs="Arial"/>
          <w:szCs w:val="24"/>
          <w:lang w:eastAsia="fr-CA"/>
        </w:rPr>
        <w:t>:</w:t>
      </w:r>
      <w:r w:rsidR="004C1176">
        <w:rPr>
          <w:rFonts w:cs="Arial"/>
          <w:szCs w:val="24"/>
          <w:lang w:eastAsia="fr-CA"/>
        </w:rPr>
        <w:t xml:space="preserve"> </w:t>
      </w:r>
      <w:r w:rsidRPr="001A1A19">
        <w:rPr>
          <w:rFonts w:cs="Arial"/>
          <w:szCs w:val="24"/>
          <w:lang w:eastAsia="fr-CA"/>
        </w:rPr>
        <w:t xml:space="preserve">a servi à rembourser des frais dus par Huot au Groupe Giroux et à payer des intérêts en souffrance à FIISH et Q-12. KPMG note que ces sommes constituent des transactions Ponzi. Ce prêt portait un taux global annuel (frais et intérêts) de </w:t>
      </w:r>
      <w:r w:rsidRPr="009B0380">
        <w:rPr>
          <w:rFonts w:cs="Arial"/>
          <w:szCs w:val="24"/>
          <w:lang w:eastAsia="fr-CA"/>
        </w:rPr>
        <w:t>60</w:t>
      </w:r>
      <w:r w:rsidR="009B0380">
        <w:rPr>
          <w:rFonts w:cs="Arial"/>
          <w:szCs w:val="24"/>
          <w:lang w:eastAsia="fr-CA"/>
        </w:rPr>
        <w:t> </w:t>
      </w:r>
      <w:r w:rsidRPr="009B0380">
        <w:rPr>
          <w:rFonts w:cs="Arial"/>
          <w:szCs w:val="24"/>
          <w:lang w:eastAsia="fr-CA"/>
        </w:rPr>
        <w:t>%</w:t>
      </w:r>
      <w:r>
        <w:rPr>
          <w:rStyle w:val="Appelnotedebasdep"/>
          <w:rFonts w:cs="Arial"/>
          <w:szCs w:val="24"/>
          <w:lang w:eastAsia="fr-CA"/>
        </w:rPr>
        <w:footnoteReference w:id="164"/>
      </w:r>
      <w:r w:rsidR="009C7A24">
        <w:rPr>
          <w:rFonts w:cs="Arial"/>
          <w:szCs w:val="24"/>
          <w:lang w:eastAsia="fr-CA"/>
        </w:rPr>
        <w:t>.</w:t>
      </w:r>
    </w:p>
    <w:p w14:paraId="48C34445" w14:textId="77777777" w:rsidR="00BE4961" w:rsidRPr="001A1A19" w:rsidRDefault="00730A01" w:rsidP="0042740E">
      <w:pPr>
        <w:numPr>
          <w:ilvl w:val="0"/>
          <w:numId w:val="26"/>
        </w:numPr>
        <w:spacing w:before="120"/>
        <w:ind w:left="714" w:hanging="357"/>
        <w:jc w:val="both"/>
        <w:rPr>
          <w:rFonts w:cs="Arial"/>
          <w:szCs w:val="24"/>
          <w:lang w:eastAsia="fr-CA"/>
        </w:rPr>
      </w:pPr>
      <w:r w:rsidRPr="0081332B">
        <w:rPr>
          <w:rFonts w:cs="Arial"/>
          <w:b/>
          <w:bCs/>
          <w:i/>
          <w:iCs/>
          <w:szCs w:val="24"/>
          <w:lang w:eastAsia="fr-CA"/>
        </w:rPr>
        <w:t>Prêt P069-Transrapide (mars</w:t>
      </w:r>
      <w:r w:rsidR="009C7A24">
        <w:rPr>
          <w:rFonts w:cs="Arial"/>
          <w:b/>
          <w:bCs/>
          <w:i/>
          <w:iCs/>
          <w:szCs w:val="24"/>
          <w:lang w:eastAsia="fr-CA"/>
        </w:rPr>
        <w:t> </w:t>
      </w:r>
      <w:r w:rsidRPr="0081332B">
        <w:rPr>
          <w:rFonts w:cs="Arial"/>
          <w:b/>
          <w:bCs/>
          <w:i/>
          <w:iCs/>
          <w:szCs w:val="24"/>
          <w:lang w:eastAsia="fr-CA"/>
        </w:rPr>
        <w:t>2022, 6,8</w:t>
      </w:r>
      <w:r w:rsidR="0009343F" w:rsidRPr="0081332B">
        <w:rPr>
          <w:rFonts w:cs="Arial"/>
          <w:b/>
          <w:bCs/>
          <w:i/>
          <w:iCs/>
          <w:szCs w:val="24"/>
          <w:lang w:eastAsia="fr-CA"/>
        </w:rPr>
        <w:t> </w:t>
      </w:r>
      <w:r w:rsidRPr="0081332B">
        <w:rPr>
          <w:rFonts w:cs="Arial"/>
          <w:b/>
          <w:bCs/>
          <w:i/>
          <w:iCs/>
          <w:szCs w:val="24"/>
          <w:lang w:eastAsia="fr-CA"/>
        </w:rPr>
        <w:t>M$)</w:t>
      </w:r>
      <w:r w:rsidR="00646861">
        <w:rPr>
          <w:rFonts w:cs="Arial"/>
          <w:szCs w:val="24"/>
          <w:lang w:eastAsia="fr-CA"/>
        </w:rPr>
        <w:t> </w:t>
      </w:r>
      <w:r w:rsidRPr="001A1A19">
        <w:rPr>
          <w:rFonts w:cs="Arial"/>
          <w:szCs w:val="24"/>
          <w:lang w:eastAsia="fr-CA"/>
        </w:rPr>
        <w:t>:</w:t>
      </w:r>
      <w:r w:rsidR="009C7A24">
        <w:rPr>
          <w:rFonts w:cs="Arial"/>
          <w:szCs w:val="24"/>
          <w:lang w:eastAsia="fr-CA"/>
        </w:rPr>
        <w:t xml:space="preserve"> </w:t>
      </w:r>
      <w:r w:rsidRPr="001A1A19">
        <w:rPr>
          <w:rFonts w:cs="Arial"/>
          <w:szCs w:val="24"/>
          <w:lang w:eastAsia="fr-CA"/>
        </w:rPr>
        <w:t>une partie (1</w:t>
      </w:r>
      <w:r w:rsidR="0009343F">
        <w:rPr>
          <w:rFonts w:cs="Arial"/>
          <w:szCs w:val="24"/>
          <w:lang w:eastAsia="fr-CA"/>
        </w:rPr>
        <w:t> </w:t>
      </w:r>
      <w:r w:rsidRPr="001A1A19">
        <w:rPr>
          <w:rFonts w:cs="Arial"/>
          <w:szCs w:val="24"/>
          <w:lang w:eastAsia="fr-CA"/>
        </w:rPr>
        <w:t>M$) a servi à rembourser un billet à terme de Millénum envers 6646 et</w:t>
      </w:r>
      <w:r w:rsidR="009C7A24">
        <w:rPr>
          <w:rFonts w:cs="Arial"/>
          <w:szCs w:val="24"/>
          <w:lang w:eastAsia="fr-CA"/>
        </w:rPr>
        <w:t> </w:t>
      </w:r>
      <w:r w:rsidRPr="001A1A19">
        <w:rPr>
          <w:rFonts w:cs="Arial"/>
          <w:szCs w:val="24"/>
          <w:lang w:eastAsia="fr-CA"/>
        </w:rPr>
        <w:t>77</w:t>
      </w:r>
      <w:r w:rsidR="0009343F">
        <w:rPr>
          <w:rFonts w:cs="Arial"/>
          <w:szCs w:val="24"/>
          <w:lang w:eastAsia="fr-CA"/>
        </w:rPr>
        <w:t> </w:t>
      </w:r>
      <w:r w:rsidRPr="001A1A19">
        <w:rPr>
          <w:rFonts w:cs="Arial"/>
          <w:szCs w:val="24"/>
          <w:lang w:eastAsia="fr-CA"/>
        </w:rPr>
        <w:t>478</w:t>
      </w:r>
      <w:r w:rsidR="0009343F">
        <w:rPr>
          <w:rFonts w:cs="Arial"/>
          <w:szCs w:val="24"/>
          <w:lang w:eastAsia="fr-CA"/>
        </w:rPr>
        <w:t> </w:t>
      </w:r>
      <w:r w:rsidRPr="001A1A19">
        <w:rPr>
          <w:rFonts w:cs="Arial"/>
          <w:szCs w:val="24"/>
          <w:lang w:eastAsia="fr-CA"/>
        </w:rPr>
        <w:t>$ ont payé des frais de renouvellement liés à un prêt de</w:t>
      </w:r>
      <w:r w:rsidR="009C7A24">
        <w:rPr>
          <w:rFonts w:cs="Arial"/>
          <w:szCs w:val="24"/>
          <w:lang w:eastAsia="fr-CA"/>
        </w:rPr>
        <w:t> </w:t>
      </w:r>
      <w:r w:rsidRPr="001A1A19">
        <w:rPr>
          <w:rFonts w:cs="Arial"/>
          <w:szCs w:val="24"/>
          <w:lang w:eastAsia="fr-CA"/>
        </w:rPr>
        <w:t>2</w:t>
      </w:r>
      <w:r w:rsidR="0009343F">
        <w:rPr>
          <w:rFonts w:cs="Arial"/>
          <w:szCs w:val="24"/>
          <w:lang w:eastAsia="fr-CA"/>
        </w:rPr>
        <w:t> </w:t>
      </w:r>
      <w:r w:rsidRPr="001A1A19">
        <w:rPr>
          <w:rFonts w:cs="Arial"/>
          <w:szCs w:val="24"/>
          <w:lang w:eastAsia="fr-CA"/>
        </w:rPr>
        <w:t>M$ de 6646. Ce prêt n’était pas encore remboursé en février</w:t>
      </w:r>
      <w:r w:rsidR="009C7A24">
        <w:rPr>
          <w:rFonts w:cs="Arial"/>
          <w:szCs w:val="24"/>
          <w:lang w:eastAsia="fr-CA"/>
        </w:rPr>
        <w:t> </w:t>
      </w:r>
      <w:r w:rsidRPr="001A1A19">
        <w:rPr>
          <w:rFonts w:cs="Arial"/>
          <w:szCs w:val="24"/>
          <w:lang w:eastAsia="fr-CA"/>
        </w:rPr>
        <w:t>2023</w:t>
      </w:r>
      <w:r>
        <w:rPr>
          <w:rStyle w:val="Appelnotedebasdep"/>
          <w:rFonts w:cs="Arial"/>
          <w:szCs w:val="24"/>
          <w:lang w:eastAsia="fr-CA"/>
        </w:rPr>
        <w:footnoteReference w:id="165"/>
      </w:r>
      <w:r w:rsidR="009C7A24">
        <w:rPr>
          <w:rFonts w:cs="Arial"/>
          <w:szCs w:val="24"/>
          <w:lang w:eastAsia="fr-CA"/>
        </w:rPr>
        <w:t>.</w:t>
      </w:r>
    </w:p>
    <w:p w14:paraId="061EDC98" w14:textId="77777777" w:rsidR="00BE4961" w:rsidRPr="001A1A19" w:rsidRDefault="00730A01" w:rsidP="0042740E">
      <w:pPr>
        <w:numPr>
          <w:ilvl w:val="0"/>
          <w:numId w:val="26"/>
        </w:numPr>
        <w:spacing w:before="120"/>
        <w:ind w:left="714" w:hanging="357"/>
        <w:jc w:val="both"/>
        <w:rPr>
          <w:rFonts w:cs="Arial"/>
          <w:szCs w:val="24"/>
          <w:lang w:eastAsia="fr-CA"/>
        </w:rPr>
      </w:pPr>
      <w:r w:rsidRPr="0081332B">
        <w:rPr>
          <w:rFonts w:cs="Arial"/>
          <w:b/>
          <w:bCs/>
          <w:i/>
          <w:iCs/>
          <w:szCs w:val="24"/>
          <w:lang w:eastAsia="fr-CA"/>
        </w:rPr>
        <w:t>Prêt P100-Stéphan Huot (octobre</w:t>
      </w:r>
      <w:r w:rsidR="009C7A24">
        <w:rPr>
          <w:rFonts w:cs="Arial"/>
          <w:b/>
          <w:bCs/>
          <w:i/>
          <w:iCs/>
          <w:szCs w:val="24"/>
          <w:lang w:eastAsia="fr-CA"/>
        </w:rPr>
        <w:t> </w:t>
      </w:r>
      <w:r w:rsidRPr="0081332B">
        <w:rPr>
          <w:rFonts w:cs="Arial"/>
          <w:b/>
          <w:bCs/>
          <w:i/>
          <w:iCs/>
          <w:szCs w:val="24"/>
          <w:lang w:eastAsia="fr-CA"/>
        </w:rPr>
        <w:t>2022, 1,3</w:t>
      </w:r>
      <w:r w:rsidR="0009343F" w:rsidRPr="0081332B">
        <w:rPr>
          <w:rFonts w:cs="Arial"/>
          <w:b/>
          <w:bCs/>
          <w:i/>
          <w:iCs/>
          <w:szCs w:val="24"/>
          <w:lang w:eastAsia="fr-CA"/>
        </w:rPr>
        <w:t> </w:t>
      </w:r>
      <w:r w:rsidRPr="0081332B">
        <w:rPr>
          <w:rFonts w:cs="Arial"/>
          <w:b/>
          <w:bCs/>
          <w:i/>
          <w:iCs/>
          <w:szCs w:val="24"/>
          <w:lang w:eastAsia="fr-CA"/>
        </w:rPr>
        <w:t>M$)</w:t>
      </w:r>
      <w:r w:rsidR="00646861" w:rsidRPr="0081332B">
        <w:rPr>
          <w:rFonts w:cs="Arial"/>
          <w:i/>
          <w:iCs/>
          <w:szCs w:val="24"/>
          <w:lang w:eastAsia="fr-CA"/>
        </w:rPr>
        <w:t> </w:t>
      </w:r>
      <w:r w:rsidRPr="001A1A19">
        <w:rPr>
          <w:rFonts w:cs="Arial"/>
          <w:szCs w:val="24"/>
          <w:lang w:eastAsia="fr-CA"/>
        </w:rPr>
        <w:t>:</w:t>
      </w:r>
      <w:r w:rsidR="009C7A24">
        <w:rPr>
          <w:rFonts w:cs="Arial"/>
          <w:szCs w:val="24"/>
          <w:lang w:eastAsia="fr-CA"/>
        </w:rPr>
        <w:t xml:space="preserve"> </w:t>
      </w:r>
      <w:r w:rsidRPr="001A1A19">
        <w:rPr>
          <w:rFonts w:cs="Arial"/>
          <w:szCs w:val="24"/>
          <w:lang w:eastAsia="fr-CA"/>
        </w:rPr>
        <w:t>utilisé pour payer des intérêts dus à FIISH, donc classé comme Ponzi. Ce prêt, au taux global annuel de</w:t>
      </w:r>
      <w:r w:rsidR="009C7A24">
        <w:rPr>
          <w:rFonts w:cs="Arial"/>
          <w:szCs w:val="24"/>
          <w:lang w:eastAsia="fr-CA"/>
        </w:rPr>
        <w:t> </w:t>
      </w:r>
      <w:r w:rsidRPr="009B0380">
        <w:rPr>
          <w:rFonts w:cs="Arial"/>
          <w:szCs w:val="24"/>
          <w:lang w:eastAsia="fr-CA"/>
        </w:rPr>
        <w:t>133</w:t>
      </w:r>
      <w:r w:rsidR="0009343F" w:rsidRPr="009B0380">
        <w:rPr>
          <w:rFonts w:cs="Arial"/>
          <w:szCs w:val="24"/>
          <w:lang w:eastAsia="fr-CA"/>
        </w:rPr>
        <w:t> </w:t>
      </w:r>
      <w:r w:rsidRPr="009B0380">
        <w:rPr>
          <w:rFonts w:cs="Arial"/>
          <w:szCs w:val="24"/>
          <w:lang w:eastAsia="fr-CA"/>
        </w:rPr>
        <w:t>%,</w:t>
      </w:r>
      <w:r w:rsidRPr="001A1A19">
        <w:rPr>
          <w:rFonts w:cs="Arial"/>
          <w:szCs w:val="24"/>
          <w:lang w:eastAsia="fr-CA"/>
        </w:rPr>
        <w:t xml:space="preserve"> a finalement été remboursé par X2 (société de Giroux) et non par Huot</w:t>
      </w:r>
      <w:r>
        <w:rPr>
          <w:rStyle w:val="Appelnotedebasdep"/>
          <w:rFonts w:cs="Arial"/>
          <w:szCs w:val="24"/>
          <w:lang w:eastAsia="fr-CA"/>
        </w:rPr>
        <w:footnoteReference w:id="166"/>
      </w:r>
      <w:r w:rsidR="009C7A24">
        <w:rPr>
          <w:rFonts w:cs="Arial"/>
          <w:szCs w:val="24"/>
          <w:lang w:eastAsia="fr-CA"/>
        </w:rPr>
        <w:t>.</w:t>
      </w:r>
    </w:p>
    <w:p w14:paraId="6901584E" w14:textId="77777777" w:rsidR="0081332B" w:rsidRDefault="00730A01" w:rsidP="0042740E">
      <w:pPr>
        <w:numPr>
          <w:ilvl w:val="0"/>
          <w:numId w:val="26"/>
        </w:numPr>
        <w:spacing w:before="120"/>
        <w:ind w:left="714" w:hanging="357"/>
        <w:jc w:val="both"/>
        <w:rPr>
          <w:rFonts w:cs="Arial"/>
          <w:szCs w:val="24"/>
          <w:lang w:eastAsia="fr-CA"/>
        </w:rPr>
      </w:pPr>
      <w:r w:rsidRPr="00F8307B">
        <w:rPr>
          <w:rFonts w:cs="Arial"/>
          <w:b/>
          <w:bCs/>
          <w:i/>
          <w:iCs/>
          <w:szCs w:val="24"/>
          <w:lang w:eastAsia="fr-CA"/>
        </w:rPr>
        <w:t>Prêt P093-Stéphan Huot (décembre</w:t>
      </w:r>
      <w:r w:rsidR="009C7A24">
        <w:rPr>
          <w:rFonts w:cs="Arial"/>
          <w:b/>
          <w:bCs/>
          <w:i/>
          <w:iCs/>
          <w:szCs w:val="24"/>
          <w:lang w:eastAsia="fr-CA"/>
        </w:rPr>
        <w:t> </w:t>
      </w:r>
      <w:r w:rsidRPr="00F8307B">
        <w:rPr>
          <w:rFonts w:cs="Arial"/>
          <w:b/>
          <w:bCs/>
          <w:i/>
          <w:iCs/>
          <w:szCs w:val="24"/>
          <w:lang w:eastAsia="fr-CA"/>
        </w:rPr>
        <w:t>2022, 1,56</w:t>
      </w:r>
      <w:r w:rsidR="0009343F" w:rsidRPr="00F8307B">
        <w:rPr>
          <w:rFonts w:cs="Arial"/>
          <w:b/>
          <w:bCs/>
          <w:i/>
          <w:iCs/>
          <w:szCs w:val="24"/>
          <w:lang w:eastAsia="fr-CA"/>
        </w:rPr>
        <w:t> </w:t>
      </w:r>
      <w:r w:rsidRPr="00F8307B">
        <w:rPr>
          <w:rFonts w:cs="Arial"/>
          <w:b/>
          <w:bCs/>
          <w:i/>
          <w:iCs/>
          <w:szCs w:val="24"/>
          <w:lang w:eastAsia="fr-CA"/>
        </w:rPr>
        <w:t>M$)</w:t>
      </w:r>
      <w:r w:rsidR="00646861" w:rsidRPr="00F8307B">
        <w:rPr>
          <w:rFonts w:cs="Arial"/>
          <w:i/>
          <w:iCs/>
          <w:szCs w:val="24"/>
          <w:lang w:eastAsia="fr-CA"/>
        </w:rPr>
        <w:t> </w:t>
      </w:r>
      <w:r w:rsidRPr="001A1A19">
        <w:rPr>
          <w:rFonts w:cs="Arial"/>
          <w:szCs w:val="24"/>
          <w:lang w:eastAsia="fr-CA"/>
        </w:rPr>
        <w:t>:</w:t>
      </w:r>
      <w:r w:rsidR="00646861">
        <w:rPr>
          <w:rFonts w:cs="Arial"/>
          <w:szCs w:val="24"/>
          <w:lang w:eastAsia="fr-CA"/>
        </w:rPr>
        <w:t> </w:t>
      </w:r>
      <w:r w:rsidRPr="001A1A19">
        <w:rPr>
          <w:rFonts w:cs="Arial"/>
          <w:szCs w:val="24"/>
          <w:lang w:eastAsia="fr-CA"/>
        </w:rPr>
        <w:t>utilisé pour payer par avance les intérêts de janvier 2023 dus sur le prêt FIISH. Ce paiement a été effectué à partir des mises de fonds de Q-12, ce qui constitue une transaction Ponzi.</w:t>
      </w:r>
      <w:r>
        <w:rPr>
          <w:rStyle w:val="Appelnotedebasdep"/>
          <w:rFonts w:cs="Arial"/>
          <w:szCs w:val="24"/>
          <w:lang w:eastAsia="fr-CA"/>
        </w:rPr>
        <w:footnoteReference w:id="167"/>
      </w:r>
    </w:p>
    <w:p w14:paraId="73A5A52A" w14:textId="77777777" w:rsidR="00587356" w:rsidRPr="00EE1FA3" w:rsidRDefault="00730A01" w:rsidP="00443B59">
      <w:pPr>
        <w:pStyle w:val="Paragraphedeliste"/>
        <w:numPr>
          <w:ilvl w:val="0"/>
          <w:numId w:val="94"/>
        </w:numPr>
        <w:spacing w:before="240" w:after="100" w:afterAutospacing="1"/>
        <w:ind w:left="851" w:hanging="425"/>
        <w:outlineLvl w:val="2"/>
        <w:rPr>
          <w:rFonts w:cs="Arial"/>
          <w:b/>
          <w:bCs/>
        </w:rPr>
      </w:pPr>
      <w:bookmarkStart w:id="71" w:name="_Hlk211594837"/>
      <w:r w:rsidRPr="00EE1FA3">
        <w:rPr>
          <w:rFonts w:cs="Arial"/>
          <w:b/>
          <w:bCs/>
        </w:rPr>
        <w:t>Détail des remboursements irréguliers</w:t>
      </w:r>
    </w:p>
    <w:bookmarkEnd w:id="71"/>
    <w:p w14:paraId="34BE2DA0" w14:textId="77777777" w:rsidR="00EF06C8" w:rsidRPr="00EF06C8" w:rsidRDefault="00730A01" w:rsidP="0023341A">
      <w:pPr>
        <w:pStyle w:val="Paragraphe"/>
        <w:numPr>
          <w:ilvl w:val="0"/>
          <w:numId w:val="1"/>
        </w:numPr>
        <w:tabs>
          <w:tab w:val="clear" w:pos="786"/>
          <w:tab w:val="num" w:pos="360"/>
        </w:tabs>
        <w:spacing w:after="100" w:afterAutospacing="1" w:line="240" w:lineRule="auto"/>
        <w:ind w:left="0"/>
        <w:rPr>
          <w:rFonts w:cs="Arial"/>
          <w:szCs w:val="24"/>
          <w:lang w:eastAsia="fr-CA"/>
        </w:rPr>
      </w:pPr>
      <w:r w:rsidRPr="00EF06C8">
        <w:rPr>
          <w:rFonts w:cs="Arial"/>
        </w:rPr>
        <w:t>De plus, KPMG identifie une série de remboursements effectués sur six prêts octroyés par Q-12 : quatre liés au projet Développement de la Morille (P04, P05, P09, P027), un prêt relatif à Aventura IX (P040) et un autre lié à Aventura X (P041). Ces remboursements ont été effectués de manière concomitante et comptabilisés de façon inhabituelle dans les registres de Q-12</w:t>
      </w:r>
      <w:r>
        <w:rPr>
          <w:rFonts w:cs="Arial"/>
          <w:vertAlign w:val="superscript"/>
        </w:rPr>
        <w:footnoteReference w:id="168"/>
      </w:r>
      <w:r w:rsidR="009C7A24">
        <w:rPr>
          <w:rFonts w:cs="Arial"/>
        </w:rPr>
        <w:t>.</w:t>
      </w:r>
    </w:p>
    <w:p w14:paraId="7EE92638" w14:textId="77777777" w:rsidR="00EF06C8" w:rsidRPr="00EF06C8" w:rsidRDefault="00730A01" w:rsidP="0042740E">
      <w:pPr>
        <w:numPr>
          <w:ilvl w:val="0"/>
          <w:numId w:val="26"/>
        </w:numPr>
        <w:spacing w:before="120"/>
        <w:ind w:left="714" w:hanging="357"/>
        <w:jc w:val="both"/>
        <w:rPr>
          <w:rFonts w:cs="Arial"/>
          <w:szCs w:val="24"/>
          <w:lang w:eastAsia="fr-CA"/>
        </w:rPr>
      </w:pPr>
      <w:bookmarkStart w:id="72" w:name="_Hlk211594894"/>
      <w:r w:rsidRPr="00EF06C8">
        <w:rPr>
          <w:rFonts w:cs="Arial"/>
          <w:b/>
          <w:bCs/>
          <w:i/>
          <w:iCs/>
          <w:szCs w:val="24"/>
        </w:rPr>
        <w:t>Le remboursement des prêts Morille (P04,</w:t>
      </w:r>
      <w:r w:rsidR="009C7A24">
        <w:rPr>
          <w:rFonts w:cs="Arial"/>
          <w:b/>
          <w:bCs/>
          <w:i/>
          <w:iCs/>
          <w:szCs w:val="24"/>
        </w:rPr>
        <w:t xml:space="preserve"> </w:t>
      </w:r>
      <w:r w:rsidRPr="00EF06C8">
        <w:rPr>
          <w:rFonts w:cs="Arial"/>
          <w:b/>
          <w:bCs/>
          <w:i/>
          <w:iCs/>
          <w:szCs w:val="24"/>
        </w:rPr>
        <w:t>P05, P09, P027</w:t>
      </w:r>
      <w:r w:rsidRPr="00EF06C8">
        <w:rPr>
          <w:rFonts w:cs="Arial"/>
          <w:b/>
          <w:bCs/>
          <w:szCs w:val="24"/>
        </w:rPr>
        <w:t>)</w:t>
      </w:r>
      <w:r w:rsidR="0023341A">
        <w:rPr>
          <w:rFonts w:cs="Arial"/>
          <w:b/>
          <w:bCs/>
          <w:szCs w:val="24"/>
        </w:rPr>
        <w:t> </w:t>
      </w:r>
      <w:r w:rsidRPr="00EF06C8">
        <w:rPr>
          <w:rFonts w:cs="Arial"/>
          <w:b/>
          <w:bCs/>
          <w:szCs w:val="24"/>
        </w:rPr>
        <w:t>:</w:t>
      </w:r>
      <w:r w:rsidR="009C7A24">
        <w:rPr>
          <w:rFonts w:cs="Arial"/>
          <w:szCs w:val="24"/>
        </w:rPr>
        <w:t xml:space="preserve"> </w:t>
      </w:r>
      <w:r w:rsidR="0023341A">
        <w:rPr>
          <w:rFonts w:cs="Arial"/>
          <w:szCs w:val="24"/>
        </w:rPr>
        <w:t>L</w:t>
      </w:r>
      <w:r w:rsidRPr="00EF06C8">
        <w:rPr>
          <w:rFonts w:cs="Arial"/>
          <w:szCs w:val="24"/>
        </w:rPr>
        <w:t xml:space="preserve">e </w:t>
      </w:r>
      <w:r w:rsidRPr="00EF06C8">
        <w:rPr>
          <w:rFonts w:cs="Arial"/>
        </w:rPr>
        <w:t>remboursement de</w:t>
      </w:r>
      <w:r w:rsidR="009C7A24">
        <w:rPr>
          <w:rFonts w:cs="Arial"/>
        </w:rPr>
        <w:t> </w:t>
      </w:r>
      <w:r w:rsidRPr="00EF06C8">
        <w:rPr>
          <w:rFonts w:cs="Arial"/>
        </w:rPr>
        <w:t>2,45 M$ effectué en juillet</w:t>
      </w:r>
      <w:r w:rsidR="009C7A24">
        <w:rPr>
          <w:rFonts w:cs="Arial"/>
        </w:rPr>
        <w:t> </w:t>
      </w:r>
      <w:r w:rsidRPr="00EF06C8">
        <w:rPr>
          <w:rFonts w:cs="Arial"/>
        </w:rPr>
        <w:t>2021 correspondait à sept mois de retards de paiements (7 x 350 000 $ selon l’échéancier). Or, ce remboursement provenait en réalité des mises de fonds d’investisseurs de Q</w:t>
      </w:r>
      <w:r w:rsidRPr="00EF06C8">
        <w:rPr>
          <w:rFonts w:cs="Arial"/>
        </w:rPr>
        <w:noBreakHyphen/>
        <w:t>12 transférées à FIISH, puis retransférées le même jour vers Q</w:t>
      </w:r>
      <w:r w:rsidRPr="00EF06C8">
        <w:rPr>
          <w:rFonts w:cs="Arial"/>
        </w:rPr>
        <w:noBreakHyphen/>
        <w:t>12. Dans les registres de FIISH, ces montants ont été inscrits comme une avance à Stéphan Huot sur le prêt FIISH.</w:t>
      </w:r>
    </w:p>
    <w:p w14:paraId="516C1D0A" w14:textId="77777777" w:rsidR="00EF06C8" w:rsidRPr="00EF06C8" w:rsidRDefault="00730A01" w:rsidP="0023341A">
      <w:pPr>
        <w:spacing w:before="120"/>
        <w:ind w:left="714"/>
        <w:jc w:val="both"/>
        <w:rPr>
          <w:rFonts w:cs="Arial"/>
          <w:szCs w:val="24"/>
          <w:lang w:eastAsia="fr-CA"/>
        </w:rPr>
      </w:pPr>
      <w:r w:rsidRPr="00EF06C8">
        <w:rPr>
          <w:rFonts w:cs="Arial"/>
        </w:rPr>
        <w:t>Puisque les remboursements ne résultaient pas de revenus générés par le projet, mais bien d’un transfert circulaire de fonds provenant d’autres investisseurs de Q</w:t>
      </w:r>
      <w:r w:rsidR="0023341A">
        <w:rPr>
          <w:rFonts w:cs="Arial"/>
        </w:rPr>
        <w:noBreakHyphen/>
      </w:r>
      <w:r w:rsidRPr="00EF06C8">
        <w:rPr>
          <w:rFonts w:cs="Arial"/>
        </w:rPr>
        <w:t>12, ces opérations présentent toutes les caractéristiques d’un montage de type Ponzi et sont considérés comme tel par le Tribunal.</w:t>
      </w:r>
    </w:p>
    <w:bookmarkEnd w:id="72"/>
    <w:p w14:paraId="3BA2FBA6" w14:textId="77777777" w:rsidR="00EF06C8" w:rsidRPr="0023341A" w:rsidRDefault="00730A01" w:rsidP="0042740E">
      <w:pPr>
        <w:numPr>
          <w:ilvl w:val="0"/>
          <w:numId w:val="26"/>
        </w:numPr>
        <w:spacing w:before="120"/>
        <w:ind w:left="714" w:hanging="357"/>
        <w:jc w:val="both"/>
        <w:rPr>
          <w:rFonts w:cs="Arial"/>
          <w:szCs w:val="24"/>
          <w:lang w:eastAsia="fr-CA"/>
        </w:rPr>
      </w:pPr>
      <w:r w:rsidRPr="0023341A">
        <w:rPr>
          <w:rFonts w:cs="Arial"/>
          <w:b/>
          <w:bCs/>
          <w:i/>
          <w:iCs/>
          <w:kern w:val="28"/>
          <w:szCs w:val="24"/>
        </w:rPr>
        <w:t>Le remboursement du prêt Aventura IX (P040) :</w:t>
      </w:r>
      <w:r w:rsidR="009C7A24">
        <w:rPr>
          <w:rFonts w:cs="Arial"/>
          <w:kern w:val="28"/>
        </w:rPr>
        <w:t xml:space="preserve"> </w:t>
      </w:r>
      <w:r w:rsidRPr="0023341A">
        <w:rPr>
          <w:rFonts w:cs="Arial"/>
          <w:kern w:val="28"/>
        </w:rPr>
        <w:t>La CIBC</w:t>
      </w:r>
      <w:r>
        <w:rPr>
          <w:rFonts w:cs="Arial"/>
          <w:kern w:val="28"/>
          <w:vertAlign w:val="superscript"/>
        </w:rPr>
        <w:footnoteReference w:id="169"/>
      </w:r>
      <w:r w:rsidRPr="0023341A">
        <w:rPr>
          <w:rFonts w:cs="Arial"/>
          <w:kern w:val="28"/>
        </w:rPr>
        <w:t xml:space="preserve">, sollicitée pour </w:t>
      </w:r>
      <w:r w:rsidR="0023341A" w:rsidRPr="0023341A">
        <w:rPr>
          <w:rFonts w:cs="Arial"/>
          <w:kern w:val="28"/>
        </w:rPr>
        <w:t>oc</w:t>
      </w:r>
      <w:r w:rsidRPr="0023341A">
        <w:rPr>
          <w:rFonts w:cs="Arial"/>
          <w:kern w:val="28"/>
        </w:rPr>
        <w:t>troyer un financement au projet Aventura IX, aurait exigé que le solde du</w:t>
      </w:r>
      <w:r w:rsidR="0023341A">
        <w:rPr>
          <w:rFonts w:cs="Arial"/>
          <w:kern w:val="28"/>
        </w:rPr>
        <w:t xml:space="preserve"> </w:t>
      </w:r>
      <w:r w:rsidRPr="0023341A">
        <w:rPr>
          <w:rFonts w:cs="Arial"/>
          <w:kern w:val="28"/>
        </w:rPr>
        <w:t>prêt Q</w:t>
      </w:r>
      <w:r w:rsidR="002F6648">
        <w:rPr>
          <w:rFonts w:cs="Arial"/>
          <w:kern w:val="28"/>
        </w:rPr>
        <w:noBreakHyphen/>
      </w:r>
      <w:r w:rsidRPr="0023341A">
        <w:rPr>
          <w:rFonts w:cs="Arial"/>
          <w:kern w:val="28"/>
        </w:rPr>
        <w:t>12 soit réduit afin de respecter les budgets de financement. Le remboursement a donc été mis en place en juillet</w:t>
      </w:r>
      <w:r w:rsidR="009C7A24">
        <w:rPr>
          <w:rFonts w:cs="Arial"/>
          <w:kern w:val="28"/>
        </w:rPr>
        <w:t> </w:t>
      </w:r>
      <w:r w:rsidRPr="0023341A">
        <w:rPr>
          <w:rFonts w:cs="Arial"/>
          <w:kern w:val="28"/>
        </w:rPr>
        <w:t>2021</w:t>
      </w:r>
      <w:r>
        <w:rPr>
          <w:rFonts w:cs="Arial"/>
          <w:kern w:val="28"/>
          <w:vertAlign w:val="superscript"/>
        </w:rPr>
        <w:footnoteReference w:id="170"/>
      </w:r>
      <w:r w:rsidR="0023341A">
        <w:rPr>
          <w:rFonts w:cs="Arial"/>
          <w:kern w:val="28"/>
        </w:rPr>
        <w:t xml:space="preserve">. </w:t>
      </w:r>
      <w:r w:rsidRPr="0023341A">
        <w:rPr>
          <w:rFonts w:cs="Arial"/>
          <w:kern w:val="28"/>
        </w:rPr>
        <w:t>KPMG a retracé deux sources distinctes pour financer ce remboursement :</w:t>
      </w:r>
      <w:r w:rsidRPr="0023341A">
        <w:rPr>
          <w:rFonts w:cs="Arial"/>
          <w:szCs w:val="24"/>
          <w:lang w:eastAsia="fr-CA"/>
        </w:rPr>
        <w:t xml:space="preserve"> </w:t>
      </w:r>
    </w:p>
    <w:p w14:paraId="769CE22C" w14:textId="77777777" w:rsidR="00EF06C8" w:rsidRPr="002F6648" w:rsidRDefault="00730A01" w:rsidP="0023341A">
      <w:pPr>
        <w:spacing w:before="120"/>
        <w:ind w:left="714"/>
        <w:jc w:val="both"/>
        <w:rPr>
          <w:rFonts w:cs="Arial"/>
          <w:szCs w:val="24"/>
          <w:lang w:eastAsia="fr-CA"/>
        </w:rPr>
      </w:pPr>
      <w:r w:rsidRPr="002F6648">
        <w:rPr>
          <w:rFonts w:cs="Arial"/>
          <w:b/>
          <w:bCs/>
          <w:szCs w:val="24"/>
        </w:rPr>
        <w:t>1.</w:t>
      </w:r>
      <w:r w:rsidRPr="002F6648">
        <w:rPr>
          <w:rFonts w:cs="Arial"/>
          <w:szCs w:val="24"/>
        </w:rPr>
        <w:t xml:space="preserve"> 450 000 $ provenaient d’un processus identique à celui décrit pour les prêts Morille :</w:t>
      </w:r>
      <w:r w:rsidR="009C7A24">
        <w:rPr>
          <w:rFonts w:cs="Arial"/>
          <w:szCs w:val="24"/>
        </w:rPr>
        <w:t xml:space="preserve"> </w:t>
      </w:r>
      <w:r w:rsidRPr="002F6648">
        <w:rPr>
          <w:rFonts w:cs="Arial"/>
          <w:szCs w:val="24"/>
        </w:rPr>
        <w:t>transfert de fonds d’investisseurs de Q-12 vers FIISH, puis retour vers Q</w:t>
      </w:r>
      <w:r w:rsidRPr="002F6648">
        <w:rPr>
          <w:rFonts w:cs="Arial"/>
          <w:szCs w:val="24"/>
        </w:rPr>
        <w:noBreakHyphen/>
        <w:t>12. Cette portion est expressément qualifiée de Ponzi</w:t>
      </w:r>
      <w:r>
        <w:rPr>
          <w:rFonts w:cs="Arial"/>
          <w:szCs w:val="24"/>
          <w:vertAlign w:val="superscript"/>
        </w:rPr>
        <w:footnoteReference w:id="171"/>
      </w:r>
      <w:r w:rsidR="009C7A24">
        <w:rPr>
          <w:rFonts w:cs="Arial"/>
          <w:szCs w:val="24"/>
        </w:rPr>
        <w:t>.</w:t>
      </w:r>
    </w:p>
    <w:p w14:paraId="7B9DAE23" w14:textId="77777777" w:rsidR="00EF06C8" w:rsidRPr="002F6648" w:rsidRDefault="00730A01" w:rsidP="0023341A">
      <w:pPr>
        <w:spacing w:before="120"/>
        <w:ind w:left="714"/>
        <w:jc w:val="both"/>
        <w:rPr>
          <w:rFonts w:cs="Arial"/>
          <w:szCs w:val="24"/>
          <w:lang w:eastAsia="fr-CA"/>
        </w:rPr>
      </w:pPr>
      <w:r w:rsidRPr="002F6648">
        <w:rPr>
          <w:rFonts w:cs="Arial"/>
          <w:b/>
          <w:bCs/>
          <w:szCs w:val="24"/>
        </w:rPr>
        <w:t>2.</w:t>
      </w:r>
      <w:r w:rsidRPr="002F6648">
        <w:rPr>
          <w:rFonts w:cs="Arial"/>
          <w:szCs w:val="24"/>
        </w:rPr>
        <w:t xml:space="preserve"> 3,35 M$ provenaient d’un prêt d’urgence de 6646 à Millénum au taux combiné de 60 %. Millénum a ensuite payé Q-12 au nom d’Aventura IX. Cette transaction est jugée irrégulière</w:t>
      </w:r>
      <w:r w:rsidRPr="002F6648">
        <w:rPr>
          <w:rFonts w:cs="Arial"/>
          <w:b/>
          <w:bCs/>
          <w:szCs w:val="24"/>
        </w:rPr>
        <w:t>,</w:t>
      </w:r>
      <w:r w:rsidRPr="002F6648">
        <w:rPr>
          <w:rFonts w:cs="Arial"/>
          <w:szCs w:val="24"/>
        </w:rPr>
        <w:t xml:space="preserve"> car le remboursement n’a pas été effectué par l’emprunteur lui</w:t>
      </w:r>
      <w:r w:rsidRPr="002F6648">
        <w:rPr>
          <w:rFonts w:cs="Arial"/>
          <w:szCs w:val="24"/>
        </w:rPr>
        <w:noBreakHyphen/>
        <w:t>même</w:t>
      </w:r>
      <w:r>
        <w:rPr>
          <w:rFonts w:cs="Arial"/>
          <w:szCs w:val="24"/>
          <w:vertAlign w:val="superscript"/>
        </w:rPr>
        <w:footnoteReference w:id="172"/>
      </w:r>
      <w:r w:rsidR="009C7A24">
        <w:rPr>
          <w:rFonts w:cs="Arial"/>
          <w:szCs w:val="24"/>
        </w:rPr>
        <w:t>.</w:t>
      </w:r>
    </w:p>
    <w:p w14:paraId="6B2E742A" w14:textId="77777777" w:rsidR="00EF06C8" w:rsidRPr="002F6648" w:rsidRDefault="00730A01" w:rsidP="0023341A">
      <w:pPr>
        <w:spacing w:before="120"/>
        <w:ind w:left="714"/>
        <w:jc w:val="both"/>
        <w:rPr>
          <w:rFonts w:cs="Arial"/>
          <w:szCs w:val="24"/>
          <w:lang w:eastAsia="fr-CA"/>
        </w:rPr>
      </w:pPr>
      <w:r w:rsidRPr="002F6648">
        <w:rPr>
          <w:rFonts w:cs="Arial"/>
          <w:szCs w:val="24"/>
        </w:rPr>
        <w:t>KPMG note que les sommes avancées par 6646 à Millénum provenaient de mises de fonds d’investisseurs FIISH à la même période. Dans FIISH, ces montants ont été comptabilisés comme avances à Stéphan Huot, mais ils ont en réalité servi à payer des dettes dues à 8096.</w:t>
      </w:r>
    </w:p>
    <w:p w14:paraId="702B6E69" w14:textId="77777777" w:rsidR="00EF06C8" w:rsidRPr="00EF06C8" w:rsidRDefault="00730A01" w:rsidP="0042740E">
      <w:pPr>
        <w:numPr>
          <w:ilvl w:val="0"/>
          <w:numId w:val="26"/>
        </w:numPr>
        <w:spacing w:before="120"/>
        <w:ind w:left="714" w:hanging="357"/>
        <w:jc w:val="both"/>
        <w:rPr>
          <w:rFonts w:cs="Arial"/>
          <w:szCs w:val="24"/>
          <w:lang w:eastAsia="fr-CA"/>
        </w:rPr>
      </w:pPr>
      <w:bookmarkStart w:id="73" w:name="_Toc211495246"/>
      <w:bookmarkStart w:id="74" w:name="_Toc211600655"/>
      <w:r w:rsidRPr="00EF06C8">
        <w:rPr>
          <w:rFonts w:cs="Arial"/>
          <w:b/>
          <w:bCs/>
          <w:i/>
          <w:iCs/>
          <w:szCs w:val="24"/>
        </w:rPr>
        <w:t>Le remboursement du prêt Aventura X (P041)</w:t>
      </w:r>
      <w:bookmarkEnd w:id="73"/>
      <w:r w:rsidRPr="00EF06C8">
        <w:rPr>
          <w:rFonts w:cs="Arial"/>
          <w:b/>
          <w:bCs/>
          <w:i/>
          <w:iCs/>
          <w:szCs w:val="24"/>
        </w:rPr>
        <w:t> :</w:t>
      </w:r>
      <w:r w:rsidR="009C7A24">
        <w:rPr>
          <w:rFonts w:cs="Arial"/>
          <w:b/>
          <w:bCs/>
          <w:i/>
          <w:iCs/>
          <w:szCs w:val="24"/>
        </w:rPr>
        <w:t xml:space="preserve"> </w:t>
      </w:r>
      <w:r w:rsidRPr="00EF06C8">
        <w:rPr>
          <w:rFonts w:cs="Arial"/>
        </w:rPr>
        <w:t>Toujours en juillet</w:t>
      </w:r>
      <w:r w:rsidR="009C7A24">
        <w:rPr>
          <w:rFonts w:cs="Arial"/>
        </w:rPr>
        <w:t> </w:t>
      </w:r>
      <w:r w:rsidRPr="00EF06C8">
        <w:rPr>
          <w:rFonts w:cs="Arial"/>
        </w:rPr>
        <w:t>2021, un remboursement de</w:t>
      </w:r>
      <w:r w:rsidR="009C7A24">
        <w:rPr>
          <w:rFonts w:cs="Arial"/>
        </w:rPr>
        <w:t> </w:t>
      </w:r>
      <w:r w:rsidRPr="00EF06C8">
        <w:rPr>
          <w:rFonts w:cs="Arial"/>
        </w:rPr>
        <w:t>3 M$ a été enregistré pour Aventura X. Celui-ci a été effectué de manière concomitante avec les remboursements Morille et Aventura IX, selon une comptabilisation similaire. KPMG conclut que le remboursement n’a pas été effectué par l’emprunteur Aventura X, mais bien financé indirectement par la CIBC. Ce remboursement est donc aussi irrégulier</w:t>
      </w:r>
      <w:r>
        <w:rPr>
          <w:rFonts w:cs="Arial"/>
          <w:vertAlign w:val="superscript"/>
        </w:rPr>
        <w:footnoteReference w:id="173"/>
      </w:r>
      <w:bookmarkEnd w:id="74"/>
      <w:r w:rsidR="009C7A24">
        <w:rPr>
          <w:rFonts w:cs="Arial"/>
        </w:rPr>
        <w:t>.</w:t>
      </w:r>
    </w:p>
    <w:p w14:paraId="4D37956D" w14:textId="77777777" w:rsidR="00EF06C8" w:rsidRPr="00FA64C6" w:rsidRDefault="00730A01" w:rsidP="002F6648">
      <w:pPr>
        <w:numPr>
          <w:ilvl w:val="0"/>
          <w:numId w:val="1"/>
        </w:numPr>
        <w:tabs>
          <w:tab w:val="clear" w:pos="786"/>
          <w:tab w:val="num" w:pos="360"/>
        </w:tabs>
        <w:spacing w:before="240" w:after="120"/>
        <w:ind w:left="0"/>
        <w:jc w:val="both"/>
        <w:rPr>
          <w:kern w:val="28"/>
        </w:rPr>
      </w:pPr>
      <w:r w:rsidRPr="00EF06C8">
        <w:rPr>
          <w:rFonts w:cs="Arial"/>
        </w:rPr>
        <w:t>Le Tribunal considère que l’ensemble des opérations détaillées ci-dessus démontrent un usage circulaire des fonds d’investisseurs entre Q-12 et FIISH, permettant artificiellement de présenter des remboursements. Ces transactions, financées par de nouvelles mises de fonds ou par des prêts d’urgence à taux fort élevés, traduisent une absence d’activité économique réelle et constituent des transactions Ponzi</w:t>
      </w:r>
      <w:r>
        <w:rPr>
          <w:rFonts w:cs="Arial"/>
          <w:vertAlign w:val="superscript"/>
        </w:rPr>
        <w:footnoteReference w:id="174"/>
      </w:r>
      <w:r w:rsidR="009C7A24">
        <w:rPr>
          <w:rFonts w:cs="Arial"/>
        </w:rPr>
        <w:t>.</w:t>
      </w:r>
    </w:p>
    <w:p w14:paraId="686C43FF" w14:textId="77777777" w:rsidR="00FA64C6" w:rsidRPr="00EE1FA3" w:rsidRDefault="00730A01" w:rsidP="00760913">
      <w:pPr>
        <w:pStyle w:val="Titre2"/>
        <w:numPr>
          <w:ilvl w:val="0"/>
          <w:numId w:val="147"/>
        </w:numPr>
        <w:rPr>
          <w:rFonts w:eastAsia="MS Gothic"/>
          <w:b w:val="0"/>
          <w:bCs/>
          <w:i w:val="0"/>
          <w:iCs/>
          <w:szCs w:val="24"/>
          <w:u w:val="single"/>
          <w:lang w:eastAsia="en-US"/>
        </w:rPr>
      </w:pPr>
      <w:bookmarkStart w:id="75" w:name="_Toc211495216"/>
      <w:bookmarkStart w:id="76" w:name="_Toc211600635"/>
      <w:r w:rsidRPr="00EE1FA3">
        <w:rPr>
          <w:rFonts w:eastAsia="MS Gothic"/>
          <w:i w:val="0"/>
          <w:iCs/>
          <w:szCs w:val="24"/>
          <w:u w:val="single"/>
          <w:lang w:eastAsia="en-US"/>
        </w:rPr>
        <w:t>Violations à la stratégie de prêt prévue aux conventions de Q-12 et FIISH</w:t>
      </w:r>
      <w:bookmarkEnd w:id="75"/>
      <w:bookmarkEnd w:id="76"/>
    </w:p>
    <w:p w14:paraId="1C797FD4" w14:textId="77777777" w:rsidR="00FA64C6" w:rsidRPr="00012F36" w:rsidRDefault="00730A01" w:rsidP="00FA64C6">
      <w:pPr>
        <w:pStyle w:val="Paragraphe"/>
        <w:tabs>
          <w:tab w:val="clear" w:pos="786"/>
        </w:tabs>
        <w:spacing w:line="240" w:lineRule="auto"/>
        <w:ind w:left="0"/>
        <w:rPr>
          <w:rFonts w:eastAsia="MS Gothic"/>
          <w:lang w:eastAsia="en-US"/>
        </w:rPr>
      </w:pPr>
      <w:r w:rsidRPr="00012F36">
        <w:t>La preuve offerte met en lumière de nombreuses violations aux obligations contractuelles encadrant les stratégies de prêt des fonds Q-12 et FIISH. Le Tribunal retient une gestion déficiente, une absence de rigueur et un manquement flagrant aux standards convenus par les conventions de société en commandite. Voici un survol de ces manquements :</w:t>
      </w:r>
    </w:p>
    <w:p w14:paraId="7C29BAF5" w14:textId="77777777" w:rsidR="00FA64C6" w:rsidRPr="00F20AF9" w:rsidRDefault="00730A01" w:rsidP="00FA64C6">
      <w:pPr>
        <w:pStyle w:val="Style2"/>
        <w:ind w:firstLine="734"/>
        <w:rPr>
          <w:b/>
          <w:bCs w:val="0"/>
          <w:u w:val="none"/>
        </w:rPr>
      </w:pPr>
      <w:bookmarkStart w:id="77" w:name="_Toc205902152"/>
      <w:bookmarkStart w:id="78" w:name="_Toc211495217"/>
      <w:bookmarkStart w:id="79" w:name="_Toc211600636"/>
      <w:r w:rsidRPr="00F20AF9">
        <w:rPr>
          <w:b/>
          <w:bCs w:val="0"/>
          <w:u w:val="none"/>
        </w:rPr>
        <w:t>i) Violations à la stratégie de prêt de Q-12</w:t>
      </w:r>
      <w:bookmarkEnd w:id="77"/>
      <w:bookmarkEnd w:id="78"/>
      <w:bookmarkEnd w:id="79"/>
    </w:p>
    <w:p w14:paraId="67F64C20" w14:textId="77777777" w:rsidR="00FA64C6" w:rsidRPr="00FC0CAA" w:rsidRDefault="00730A01" w:rsidP="00FA64C6">
      <w:pPr>
        <w:pStyle w:val="Paragraphe"/>
        <w:tabs>
          <w:tab w:val="clear" w:pos="786"/>
        </w:tabs>
        <w:spacing w:line="240" w:lineRule="auto"/>
        <w:ind w:left="0"/>
      </w:pPr>
      <w:r w:rsidRPr="00FC0CAA">
        <w:t>La stratégie de prêt Q-12 impose un cadre rigoureux d’analyse, de documentation et de suivi des prêts. Or, plusieurs éléments démontrent que ces exigences n’ont pas été respectées dans le cadre des prêts consentis au Groupe Huot</w:t>
      </w:r>
      <w:r>
        <w:t> :</w:t>
      </w:r>
    </w:p>
    <w:p w14:paraId="6ED36308" w14:textId="77777777" w:rsidR="00FA64C6" w:rsidRPr="008956DC" w:rsidRDefault="00730A01" w:rsidP="00FA64C6">
      <w:pPr>
        <w:pStyle w:val="Style4"/>
        <w:numPr>
          <w:ilvl w:val="0"/>
          <w:numId w:val="16"/>
        </w:numPr>
        <w:ind w:left="1077" w:right="539" w:hanging="357"/>
        <w:rPr>
          <w:sz w:val="24"/>
          <w:szCs w:val="24"/>
        </w:rPr>
      </w:pPr>
      <w:r w:rsidRPr="008956DC">
        <w:rPr>
          <w:sz w:val="24"/>
          <w:szCs w:val="24"/>
        </w:rPr>
        <w:t>Aucune documentation complète des prêts Huot (absence de bilan, états financiers, plans d’affaires, suivi des déboursés)</w:t>
      </w:r>
      <w:r>
        <w:rPr>
          <w:rStyle w:val="Appelnotedebasdep"/>
          <w:rFonts w:cs="Arial"/>
          <w:sz w:val="24"/>
          <w:szCs w:val="24"/>
        </w:rPr>
        <w:footnoteReference w:id="175"/>
      </w:r>
      <w:r w:rsidRPr="008956DC">
        <w:rPr>
          <w:sz w:val="24"/>
          <w:szCs w:val="24"/>
        </w:rPr>
        <w:t xml:space="preserve">. </w:t>
      </w:r>
    </w:p>
    <w:p w14:paraId="3E8B09F7" w14:textId="77777777" w:rsidR="00FA64C6" w:rsidRPr="008956DC" w:rsidRDefault="00730A01" w:rsidP="00FA64C6">
      <w:pPr>
        <w:pStyle w:val="Style4"/>
        <w:numPr>
          <w:ilvl w:val="0"/>
          <w:numId w:val="16"/>
        </w:numPr>
        <w:ind w:left="1077" w:right="539" w:hanging="357"/>
        <w:rPr>
          <w:sz w:val="24"/>
          <w:szCs w:val="24"/>
        </w:rPr>
      </w:pPr>
      <w:r w:rsidRPr="008956DC">
        <w:rPr>
          <w:sz w:val="24"/>
          <w:szCs w:val="24"/>
        </w:rPr>
        <w:t>Traitement de faveur accordé au Groupe Huot : les prêts étaient octroyés sans analyse ni suivi, contrairement aux autres dossiers</w:t>
      </w:r>
      <w:r>
        <w:rPr>
          <w:rStyle w:val="Appelnotedebasdep"/>
          <w:rFonts w:cs="Arial"/>
          <w:sz w:val="24"/>
          <w:szCs w:val="24"/>
        </w:rPr>
        <w:footnoteReference w:id="176"/>
      </w:r>
      <w:r w:rsidRPr="008956DC">
        <w:rPr>
          <w:sz w:val="24"/>
          <w:szCs w:val="24"/>
        </w:rPr>
        <w:t>.</w:t>
      </w:r>
    </w:p>
    <w:p w14:paraId="770A1D79" w14:textId="77777777" w:rsidR="00FA64C6" w:rsidRPr="008956DC" w:rsidRDefault="00730A01" w:rsidP="00FA64C6">
      <w:pPr>
        <w:pStyle w:val="Style4"/>
        <w:numPr>
          <w:ilvl w:val="0"/>
          <w:numId w:val="16"/>
        </w:numPr>
        <w:ind w:left="1077" w:right="539" w:hanging="357"/>
        <w:rPr>
          <w:sz w:val="24"/>
          <w:szCs w:val="24"/>
        </w:rPr>
      </w:pPr>
      <w:r w:rsidRPr="008956DC">
        <w:rPr>
          <w:sz w:val="24"/>
          <w:szCs w:val="24"/>
        </w:rPr>
        <w:t>Absence d’enquêtes de crédit, de vérifications des garanties et d’états financiers, malgré les obligations des art. 3 à 3.5 de la stratégie Q-12</w:t>
      </w:r>
      <w:r>
        <w:rPr>
          <w:rStyle w:val="Appelnotedebasdep"/>
          <w:rFonts w:cs="Arial"/>
          <w:sz w:val="24"/>
          <w:szCs w:val="24"/>
        </w:rPr>
        <w:footnoteReference w:id="177"/>
      </w:r>
      <w:r w:rsidRPr="008956DC">
        <w:rPr>
          <w:sz w:val="24"/>
          <w:szCs w:val="24"/>
        </w:rPr>
        <w:t xml:space="preserve">. </w:t>
      </w:r>
    </w:p>
    <w:p w14:paraId="5A199581" w14:textId="77777777" w:rsidR="00FA64C6" w:rsidRPr="008956DC" w:rsidRDefault="00730A01" w:rsidP="00FA64C6">
      <w:pPr>
        <w:pStyle w:val="Style4"/>
        <w:numPr>
          <w:ilvl w:val="0"/>
          <w:numId w:val="16"/>
        </w:numPr>
        <w:ind w:left="1077" w:right="539" w:hanging="357"/>
        <w:rPr>
          <w:sz w:val="24"/>
          <w:szCs w:val="24"/>
        </w:rPr>
      </w:pPr>
      <w:r w:rsidRPr="008956DC">
        <w:rPr>
          <w:sz w:val="24"/>
          <w:szCs w:val="24"/>
        </w:rPr>
        <w:t>Déboursés effectués en entier sans validation progressive de l’avancement des travaux</w:t>
      </w:r>
      <w:r>
        <w:rPr>
          <w:rStyle w:val="Appelnotedebasdep"/>
          <w:rFonts w:cs="Arial"/>
          <w:sz w:val="24"/>
          <w:szCs w:val="24"/>
        </w:rPr>
        <w:footnoteReference w:id="178"/>
      </w:r>
      <w:r w:rsidRPr="008956DC">
        <w:rPr>
          <w:sz w:val="24"/>
          <w:szCs w:val="24"/>
        </w:rPr>
        <w:t>.</w:t>
      </w:r>
    </w:p>
    <w:p w14:paraId="22895B18" w14:textId="77777777" w:rsidR="00FA64C6" w:rsidRPr="008956DC" w:rsidRDefault="00730A01" w:rsidP="00FA64C6">
      <w:pPr>
        <w:pStyle w:val="Style4"/>
        <w:numPr>
          <w:ilvl w:val="0"/>
          <w:numId w:val="16"/>
        </w:numPr>
        <w:ind w:left="1077" w:right="539" w:hanging="357"/>
        <w:rPr>
          <w:sz w:val="24"/>
          <w:szCs w:val="24"/>
        </w:rPr>
      </w:pPr>
      <w:r w:rsidRPr="008956DC">
        <w:rPr>
          <w:sz w:val="24"/>
          <w:szCs w:val="24"/>
        </w:rPr>
        <w:t>Manquement à l’obligation de loyauté, de diligence et de suivi actif des projets</w:t>
      </w:r>
      <w:r>
        <w:rPr>
          <w:rStyle w:val="Appelnotedebasdep"/>
          <w:rFonts w:cs="Arial"/>
          <w:sz w:val="24"/>
          <w:szCs w:val="24"/>
        </w:rPr>
        <w:footnoteReference w:id="179"/>
      </w:r>
      <w:r w:rsidRPr="008956DC">
        <w:rPr>
          <w:sz w:val="24"/>
          <w:szCs w:val="24"/>
        </w:rPr>
        <w:t>.</w:t>
      </w:r>
    </w:p>
    <w:p w14:paraId="0A786A69" w14:textId="77777777" w:rsidR="00FA64C6" w:rsidRPr="00F20AF9" w:rsidRDefault="00730A01" w:rsidP="00FA64C6">
      <w:pPr>
        <w:pStyle w:val="Style2"/>
        <w:spacing w:before="240"/>
        <w:ind w:firstLine="709"/>
        <w:rPr>
          <w:b/>
          <w:bCs w:val="0"/>
          <w:u w:val="none"/>
        </w:rPr>
      </w:pPr>
      <w:bookmarkStart w:id="80" w:name="_Toc211495218"/>
      <w:bookmarkStart w:id="81" w:name="_Toc211600637"/>
      <w:bookmarkStart w:id="82" w:name="_Toc205902153"/>
      <w:r>
        <w:rPr>
          <w:b/>
          <w:bCs w:val="0"/>
          <w:u w:val="none"/>
        </w:rPr>
        <w:t>ii</w:t>
      </w:r>
      <w:r w:rsidRPr="00F20AF9">
        <w:rPr>
          <w:b/>
          <w:bCs w:val="0"/>
          <w:u w:val="none"/>
        </w:rPr>
        <w:t>) Violations à la stratégie de prêt de FIISH</w:t>
      </w:r>
      <w:bookmarkEnd w:id="80"/>
      <w:bookmarkEnd w:id="81"/>
      <w:bookmarkEnd w:id="82"/>
    </w:p>
    <w:p w14:paraId="4896E495" w14:textId="77777777" w:rsidR="00FA64C6" w:rsidRPr="00FC0CAA" w:rsidRDefault="00730A01" w:rsidP="00FA64C6">
      <w:pPr>
        <w:pStyle w:val="Paragraphe"/>
        <w:tabs>
          <w:tab w:val="clear" w:pos="786"/>
        </w:tabs>
        <w:spacing w:line="240" w:lineRule="auto"/>
        <w:ind w:left="0"/>
      </w:pPr>
      <w:r w:rsidRPr="00FC0CAA">
        <w:t xml:space="preserve">Le fonds FIISH devait respecter un ratio d’équité strict et ne devait pas consentir de déboursés excédant un plafond clairement défini. </w:t>
      </w:r>
      <w:r>
        <w:t>La preuve révèle les</w:t>
      </w:r>
      <w:r w:rsidRPr="00FC0CAA">
        <w:t xml:space="preserve"> violations suivantes</w:t>
      </w:r>
      <w:r>
        <w:t xml:space="preserve"> à cet effet :</w:t>
      </w:r>
      <w:r w:rsidRPr="00FC0CAA">
        <w:t xml:space="preserve"> </w:t>
      </w:r>
    </w:p>
    <w:p w14:paraId="5FCC08EF" w14:textId="77777777" w:rsidR="00FA64C6" w:rsidRPr="008956DC" w:rsidRDefault="00730A01" w:rsidP="00FA64C6">
      <w:pPr>
        <w:pStyle w:val="Style4"/>
        <w:numPr>
          <w:ilvl w:val="0"/>
          <w:numId w:val="16"/>
        </w:numPr>
        <w:ind w:left="1077" w:right="539" w:hanging="357"/>
        <w:rPr>
          <w:sz w:val="24"/>
          <w:szCs w:val="24"/>
        </w:rPr>
      </w:pPr>
      <w:r w:rsidRPr="008956DC">
        <w:rPr>
          <w:sz w:val="24"/>
          <w:szCs w:val="24"/>
        </w:rPr>
        <w:t>Ratio d’équité gravement dépassé</w:t>
      </w:r>
      <w:r>
        <w:rPr>
          <w:sz w:val="24"/>
          <w:szCs w:val="24"/>
        </w:rPr>
        <w:t> </w:t>
      </w:r>
      <w:r w:rsidRPr="008956DC">
        <w:rPr>
          <w:sz w:val="24"/>
          <w:szCs w:val="24"/>
        </w:rPr>
        <w:t>:</w:t>
      </w:r>
      <w:r>
        <w:rPr>
          <w:sz w:val="24"/>
          <w:szCs w:val="24"/>
        </w:rPr>
        <w:t> </w:t>
      </w:r>
      <w:r w:rsidRPr="008956DC">
        <w:rPr>
          <w:sz w:val="24"/>
          <w:szCs w:val="24"/>
        </w:rPr>
        <w:t>84,4 % au 1</w:t>
      </w:r>
      <w:r w:rsidRPr="0024653D">
        <w:rPr>
          <w:sz w:val="24"/>
          <w:szCs w:val="24"/>
          <w:vertAlign w:val="superscript"/>
        </w:rPr>
        <w:t>er</w:t>
      </w:r>
      <w:r w:rsidRPr="008956DC">
        <w:rPr>
          <w:sz w:val="24"/>
          <w:szCs w:val="24"/>
        </w:rPr>
        <w:t> avril</w:t>
      </w:r>
      <w:r>
        <w:rPr>
          <w:sz w:val="24"/>
          <w:szCs w:val="24"/>
        </w:rPr>
        <w:t> </w:t>
      </w:r>
      <w:r w:rsidRPr="008956DC">
        <w:rPr>
          <w:sz w:val="24"/>
          <w:szCs w:val="24"/>
        </w:rPr>
        <w:t>2022, alors que le maximum permis était de 65 %</w:t>
      </w:r>
      <w:r>
        <w:rPr>
          <w:sz w:val="24"/>
          <w:szCs w:val="24"/>
          <w:vertAlign w:val="superscript"/>
        </w:rPr>
        <w:footnoteReference w:id="180"/>
      </w:r>
      <w:r w:rsidRPr="008956DC">
        <w:rPr>
          <w:sz w:val="24"/>
          <w:szCs w:val="24"/>
        </w:rPr>
        <w:t>;</w:t>
      </w:r>
    </w:p>
    <w:p w14:paraId="317FACBD" w14:textId="77777777" w:rsidR="00FA64C6" w:rsidRPr="008956DC" w:rsidRDefault="00730A01" w:rsidP="00FA64C6">
      <w:pPr>
        <w:pStyle w:val="Style4"/>
        <w:numPr>
          <w:ilvl w:val="0"/>
          <w:numId w:val="16"/>
        </w:numPr>
        <w:ind w:left="1077" w:right="539" w:hanging="357"/>
        <w:rPr>
          <w:sz w:val="24"/>
          <w:szCs w:val="24"/>
        </w:rPr>
      </w:pPr>
      <w:r w:rsidRPr="008956DC">
        <w:rPr>
          <w:sz w:val="24"/>
          <w:szCs w:val="24"/>
        </w:rPr>
        <w:t>Près de 61 M$ prêtés en trop par rapport aux limites permises</w:t>
      </w:r>
      <w:r>
        <w:rPr>
          <w:sz w:val="24"/>
          <w:szCs w:val="24"/>
          <w:vertAlign w:val="superscript"/>
        </w:rPr>
        <w:footnoteReference w:id="181"/>
      </w:r>
      <w:r w:rsidRPr="008956DC">
        <w:rPr>
          <w:sz w:val="24"/>
          <w:szCs w:val="24"/>
        </w:rPr>
        <w:t>;</w:t>
      </w:r>
    </w:p>
    <w:p w14:paraId="0A12A86E" w14:textId="77777777" w:rsidR="00FA64C6" w:rsidRPr="008956DC" w:rsidRDefault="00730A01" w:rsidP="00FA64C6">
      <w:pPr>
        <w:pStyle w:val="Style4"/>
        <w:numPr>
          <w:ilvl w:val="0"/>
          <w:numId w:val="16"/>
        </w:numPr>
        <w:ind w:right="539"/>
        <w:rPr>
          <w:sz w:val="24"/>
          <w:szCs w:val="24"/>
        </w:rPr>
      </w:pPr>
      <w:r w:rsidRPr="008956DC">
        <w:rPr>
          <w:sz w:val="24"/>
          <w:szCs w:val="24"/>
        </w:rPr>
        <w:t>Aucune contre-expertise déposée pour réfuter les constats de l’expert De</w:t>
      </w:r>
      <w:r>
        <w:rPr>
          <w:sz w:val="24"/>
          <w:szCs w:val="24"/>
        </w:rPr>
        <w:t> </w:t>
      </w:r>
      <w:r w:rsidRPr="008956DC">
        <w:rPr>
          <w:sz w:val="24"/>
          <w:szCs w:val="24"/>
        </w:rPr>
        <w:t>Rico</w:t>
      </w:r>
      <w:r>
        <w:rPr>
          <w:sz w:val="24"/>
          <w:szCs w:val="24"/>
          <w:vertAlign w:val="superscript"/>
        </w:rPr>
        <w:footnoteReference w:id="182"/>
      </w:r>
      <w:r w:rsidRPr="008956DC">
        <w:rPr>
          <w:sz w:val="24"/>
          <w:szCs w:val="24"/>
        </w:rPr>
        <w:t xml:space="preserve">; </w:t>
      </w:r>
    </w:p>
    <w:p w14:paraId="08D4284E" w14:textId="77777777" w:rsidR="00FA64C6" w:rsidRPr="008956DC" w:rsidRDefault="00730A01" w:rsidP="00FA64C6">
      <w:pPr>
        <w:pStyle w:val="Style4"/>
        <w:numPr>
          <w:ilvl w:val="0"/>
          <w:numId w:val="16"/>
        </w:numPr>
        <w:ind w:right="539"/>
        <w:rPr>
          <w:sz w:val="24"/>
          <w:szCs w:val="24"/>
        </w:rPr>
      </w:pPr>
      <w:r w:rsidRPr="008956DC">
        <w:rPr>
          <w:sz w:val="24"/>
          <w:szCs w:val="24"/>
        </w:rPr>
        <w:t>Reconnaissance par LMD de dépassements des règles d’allocation</w:t>
      </w:r>
      <w:r>
        <w:rPr>
          <w:sz w:val="24"/>
          <w:szCs w:val="24"/>
          <w:vertAlign w:val="superscript"/>
        </w:rPr>
        <w:footnoteReference w:id="183"/>
      </w:r>
      <w:r w:rsidRPr="008956DC">
        <w:rPr>
          <w:sz w:val="24"/>
          <w:szCs w:val="24"/>
        </w:rPr>
        <w:t>;</w:t>
      </w:r>
    </w:p>
    <w:p w14:paraId="4E1AEF7C" w14:textId="77777777" w:rsidR="00FA64C6" w:rsidRPr="008956DC" w:rsidRDefault="00730A01" w:rsidP="00FA64C6">
      <w:pPr>
        <w:pStyle w:val="Style4"/>
        <w:numPr>
          <w:ilvl w:val="0"/>
          <w:numId w:val="16"/>
        </w:numPr>
        <w:ind w:right="539"/>
        <w:rPr>
          <w:sz w:val="24"/>
          <w:szCs w:val="24"/>
        </w:rPr>
      </w:pPr>
      <w:r w:rsidRPr="008956DC">
        <w:rPr>
          <w:sz w:val="24"/>
          <w:szCs w:val="24"/>
        </w:rPr>
        <w:t>Manque de surveillance, absence de contre-vérification des données et d’analyses indépendantes</w:t>
      </w:r>
      <w:r>
        <w:rPr>
          <w:rStyle w:val="Appelnotedebasdep"/>
          <w:rFonts w:cs="Arial"/>
          <w:sz w:val="24"/>
          <w:szCs w:val="24"/>
        </w:rPr>
        <w:footnoteReference w:id="184"/>
      </w:r>
      <w:r w:rsidRPr="008956DC">
        <w:rPr>
          <w:sz w:val="24"/>
          <w:szCs w:val="24"/>
        </w:rPr>
        <w:t xml:space="preserve">. </w:t>
      </w:r>
    </w:p>
    <w:p w14:paraId="7A6235E5" w14:textId="77777777" w:rsidR="00FA64C6" w:rsidRPr="00FC0CAA" w:rsidRDefault="00730A01" w:rsidP="00FA64C6">
      <w:pPr>
        <w:pStyle w:val="Paragraphe"/>
        <w:tabs>
          <w:tab w:val="clear" w:pos="786"/>
        </w:tabs>
        <w:spacing w:before="240" w:line="240" w:lineRule="auto"/>
        <w:ind w:left="0"/>
      </w:pPr>
      <w:r w:rsidRPr="00FC0CAA">
        <w:t>Ces violations répétées et systématiques démontrent une gestion imprudente, non conforme et au détriment des commanditaires.</w:t>
      </w:r>
    </w:p>
    <w:p w14:paraId="24BA87D5" w14:textId="77777777" w:rsidR="00FA64C6" w:rsidRDefault="00730A01" w:rsidP="00FA64C6">
      <w:pPr>
        <w:pStyle w:val="Paragraphe"/>
        <w:tabs>
          <w:tab w:val="clear" w:pos="786"/>
        </w:tabs>
        <w:spacing w:line="240" w:lineRule="auto"/>
        <w:ind w:left="0"/>
        <w:rPr>
          <w:lang w:eastAsia="fr-CA"/>
        </w:rPr>
      </w:pPr>
      <w:r w:rsidRPr="00FC0CAA">
        <w:rPr>
          <w:lang w:eastAsia="fr-CA"/>
        </w:rPr>
        <w:t xml:space="preserve">Dans un contexte où un gestionnaire détient des pouvoirs sur des fonds appartenant à autrui, une </w:t>
      </w:r>
      <w:r w:rsidRPr="00167380">
        <w:rPr>
          <w:lang w:eastAsia="fr-CA"/>
        </w:rPr>
        <w:t>obligation de loyauté, de diligence et de transparence</w:t>
      </w:r>
      <w:r w:rsidRPr="00FC0CAA">
        <w:rPr>
          <w:lang w:eastAsia="fr-CA"/>
        </w:rPr>
        <w:t xml:space="preserve"> s’impose. </w:t>
      </w:r>
    </w:p>
    <w:p w14:paraId="22F9B0C0" w14:textId="77777777" w:rsidR="00FA64C6" w:rsidRPr="00FC0CAA" w:rsidRDefault="00730A01" w:rsidP="00FA64C6">
      <w:pPr>
        <w:pStyle w:val="Paragraphe"/>
        <w:tabs>
          <w:tab w:val="clear" w:pos="786"/>
        </w:tabs>
        <w:spacing w:line="240" w:lineRule="auto"/>
        <w:ind w:left="0"/>
      </w:pPr>
      <w:r w:rsidRPr="00FC0CAA">
        <w:t>La jurisprudence applicable en la matière fonde une présomption sérieuse de faute grave contre les administrateurs ayant contourné les stratégies de prêt convenues, en agissant sciemment au détriment des commanditaires</w:t>
      </w:r>
      <w:r>
        <w:rPr>
          <w:rStyle w:val="Appelnotedebasdep"/>
        </w:rPr>
        <w:footnoteReference w:id="185"/>
      </w:r>
      <w:r>
        <w:t>.</w:t>
      </w:r>
      <w:r w:rsidRPr="00FC0CAA">
        <w:t xml:space="preserve"> </w:t>
      </w:r>
    </w:p>
    <w:p w14:paraId="5FFE7C55" w14:textId="77777777" w:rsidR="00FA64C6" w:rsidRPr="00BE4B6D" w:rsidRDefault="00730A01" w:rsidP="00760913">
      <w:pPr>
        <w:pStyle w:val="Titre2"/>
        <w:numPr>
          <w:ilvl w:val="0"/>
          <w:numId w:val="147"/>
        </w:numPr>
        <w:rPr>
          <w:b w:val="0"/>
          <w:bCs/>
          <w:szCs w:val="24"/>
          <w:u w:val="single"/>
          <w:lang w:eastAsia="fr-CA"/>
        </w:rPr>
      </w:pPr>
      <w:bookmarkStart w:id="83" w:name="_Toc211495219"/>
      <w:bookmarkStart w:id="84" w:name="_Toc211600638"/>
      <w:r w:rsidRPr="00BE4B6D">
        <w:rPr>
          <w:i w:val="0"/>
          <w:iCs/>
          <w:szCs w:val="24"/>
          <w:u w:val="single"/>
          <w:lang w:eastAsia="fr-CA"/>
        </w:rPr>
        <w:t>Injections de fonds téméraire</w:t>
      </w:r>
      <w:r>
        <w:rPr>
          <w:i w:val="0"/>
          <w:iCs/>
          <w:szCs w:val="24"/>
          <w:u w:val="single"/>
          <w:lang w:eastAsia="fr-CA"/>
        </w:rPr>
        <w:t>s</w:t>
      </w:r>
      <w:r w:rsidRPr="00BE4B6D">
        <w:rPr>
          <w:i w:val="0"/>
          <w:iCs/>
          <w:szCs w:val="24"/>
          <w:u w:val="single"/>
          <w:lang w:eastAsia="fr-CA"/>
        </w:rPr>
        <w:t xml:space="preserve"> après le 2 mars 202</w:t>
      </w:r>
      <w:r w:rsidRPr="00586245">
        <w:rPr>
          <w:i w:val="0"/>
          <w:iCs/>
          <w:szCs w:val="24"/>
          <w:u w:val="single"/>
          <w:lang w:eastAsia="fr-CA"/>
        </w:rPr>
        <w:t>2</w:t>
      </w:r>
      <w:bookmarkEnd w:id="83"/>
      <w:bookmarkEnd w:id="84"/>
    </w:p>
    <w:p w14:paraId="40F4A6C4" w14:textId="77777777" w:rsidR="00FA64C6" w:rsidRPr="005856C5" w:rsidRDefault="00730A01" w:rsidP="00FA64C6">
      <w:pPr>
        <w:pStyle w:val="Paragraphe"/>
        <w:tabs>
          <w:tab w:val="clear" w:pos="786"/>
        </w:tabs>
        <w:spacing w:line="240" w:lineRule="auto"/>
        <w:ind w:left="0"/>
      </w:pPr>
      <w:r w:rsidRPr="005856C5">
        <w:t xml:space="preserve">Malgré la déclaration de Huot qu’il s’en allait « dans le mur », qu’« il ne pouvait plus continuer et allait faire faillite » et les aveux de </w:t>
      </w:r>
      <w:r w:rsidRPr="00F20AF9">
        <w:rPr>
          <w:rStyle w:val="lev"/>
          <w:rFonts w:cs="Arial"/>
          <w:b w:val="0"/>
          <w:bCs w:val="0"/>
          <w:szCs w:val="24"/>
        </w:rPr>
        <w:t>Giroux</w:t>
      </w:r>
      <w:r w:rsidRPr="00F20AF9">
        <w:rPr>
          <w:b/>
          <w:bCs/>
        </w:rPr>
        <w:t xml:space="preserve"> </w:t>
      </w:r>
      <w:r w:rsidRPr="005856C5">
        <w:t>qui reconnaît avoir été «</w:t>
      </w:r>
      <w:r>
        <w:t> </w:t>
      </w:r>
      <w:r w:rsidRPr="005856C5">
        <w:t>obligé de faire des fling-flang</w:t>
      </w:r>
      <w:r>
        <w:t> </w:t>
      </w:r>
      <w:r w:rsidRPr="005856C5">
        <w:t>» pour «</w:t>
      </w:r>
      <w:r>
        <w:t> </w:t>
      </w:r>
      <w:r w:rsidRPr="005856C5">
        <w:t>trouver une façon que ça passe</w:t>
      </w:r>
      <w:r>
        <w:t> </w:t>
      </w:r>
      <w:r w:rsidRPr="005856C5">
        <w:t>»</w:t>
      </w:r>
      <w:r>
        <w:rPr>
          <w:rStyle w:val="Appelnotedebasdep"/>
        </w:rPr>
        <w:footnoteReference w:id="186"/>
      </w:r>
      <w:r>
        <w:t xml:space="preserve">, </w:t>
      </w:r>
      <w:r w:rsidRPr="005856C5">
        <w:t xml:space="preserve">ce dernier a poursuivi de manière soutenue l’octroi de financements additionnels au Groupe Huot. Ces injections supplémentaires ont atteint des proportions considérables, culminant à plus de </w:t>
      </w:r>
      <w:r w:rsidRPr="00F20AF9">
        <w:rPr>
          <w:rStyle w:val="lev"/>
          <w:rFonts w:cs="Arial"/>
          <w:b w:val="0"/>
          <w:bCs w:val="0"/>
          <w:szCs w:val="24"/>
        </w:rPr>
        <w:t>91,7 M$</w:t>
      </w:r>
      <w:r>
        <w:rPr>
          <w:rStyle w:val="Appelnotedebasdep"/>
        </w:rPr>
        <w:footnoteReference w:id="187"/>
      </w:r>
      <w:r>
        <w:rPr>
          <w:rStyle w:val="lev"/>
          <w:rFonts w:cs="Arial"/>
          <w:b w:val="0"/>
          <w:bCs w:val="0"/>
          <w:szCs w:val="24"/>
        </w:rPr>
        <w:t>.</w:t>
      </w:r>
      <w:r w:rsidRPr="00F20AF9">
        <w:t xml:space="preserve"> </w:t>
      </w:r>
    </w:p>
    <w:p w14:paraId="04AE7789" w14:textId="77777777" w:rsidR="00FA64C6" w:rsidRPr="00F20AF9" w:rsidRDefault="00730A01" w:rsidP="00FA64C6">
      <w:pPr>
        <w:pStyle w:val="Paragraphe"/>
        <w:tabs>
          <w:tab w:val="clear" w:pos="786"/>
        </w:tabs>
        <w:spacing w:line="240" w:lineRule="auto"/>
        <w:ind w:left="0"/>
      </w:pPr>
      <w:r w:rsidRPr="00F20AF9">
        <w:t xml:space="preserve">En effet, à peine huit jours après la réunion, le </w:t>
      </w:r>
      <w:r w:rsidRPr="00F20AF9">
        <w:rPr>
          <w:rStyle w:val="lev"/>
          <w:rFonts w:cs="Arial"/>
          <w:b w:val="0"/>
          <w:bCs w:val="0"/>
          <w:szCs w:val="24"/>
        </w:rPr>
        <w:t>10</w:t>
      </w:r>
      <w:r>
        <w:rPr>
          <w:rStyle w:val="lev"/>
          <w:rFonts w:cs="Arial"/>
          <w:b w:val="0"/>
          <w:bCs w:val="0"/>
          <w:szCs w:val="24"/>
        </w:rPr>
        <w:t> </w:t>
      </w:r>
      <w:r w:rsidRPr="00F20AF9">
        <w:rPr>
          <w:rStyle w:val="lev"/>
          <w:rFonts w:cs="Arial"/>
          <w:b w:val="0"/>
          <w:bCs w:val="0"/>
          <w:szCs w:val="24"/>
        </w:rPr>
        <w:t>mars</w:t>
      </w:r>
      <w:r>
        <w:rPr>
          <w:rStyle w:val="lev"/>
          <w:rFonts w:cs="Arial"/>
          <w:b w:val="0"/>
          <w:bCs w:val="0"/>
          <w:szCs w:val="24"/>
        </w:rPr>
        <w:t> </w:t>
      </w:r>
      <w:r w:rsidRPr="00F20AF9">
        <w:rPr>
          <w:rStyle w:val="lev"/>
          <w:rFonts w:cs="Arial"/>
          <w:b w:val="0"/>
          <w:bCs w:val="0"/>
          <w:szCs w:val="24"/>
        </w:rPr>
        <w:t>2022</w:t>
      </w:r>
      <w:r w:rsidRPr="00F20AF9">
        <w:rPr>
          <w:b/>
          <w:bCs/>
        </w:rPr>
        <w:t>,</w:t>
      </w:r>
      <w:r w:rsidRPr="00F20AF9">
        <w:t xml:space="preserve"> Giroux procède au financement du projet </w:t>
      </w:r>
      <w:r w:rsidRPr="00F20AF9">
        <w:rPr>
          <w:rStyle w:val="lev"/>
          <w:rFonts w:cs="Arial"/>
          <w:b w:val="0"/>
          <w:bCs w:val="0"/>
          <w:szCs w:val="24"/>
        </w:rPr>
        <w:t>Transrapide (P069)</w:t>
      </w:r>
      <w:r w:rsidRPr="00F20AF9">
        <w:t xml:space="preserve"> pour un montant de </w:t>
      </w:r>
      <w:r w:rsidRPr="00F20AF9">
        <w:rPr>
          <w:rStyle w:val="lev"/>
          <w:rFonts w:cs="Arial"/>
          <w:b w:val="0"/>
          <w:bCs w:val="0"/>
          <w:szCs w:val="24"/>
        </w:rPr>
        <w:t>5,75 M$</w:t>
      </w:r>
      <w:r>
        <w:rPr>
          <w:rStyle w:val="Appelnotedebasdep"/>
          <w:rFonts w:cs="Arial"/>
          <w:szCs w:val="24"/>
        </w:rPr>
        <w:footnoteReference w:id="188"/>
      </w:r>
      <w:r>
        <w:rPr>
          <w:rStyle w:val="lev"/>
          <w:rFonts w:cs="Arial"/>
          <w:b w:val="0"/>
          <w:bCs w:val="0"/>
          <w:szCs w:val="24"/>
        </w:rPr>
        <w:t>.</w:t>
      </w:r>
    </w:p>
    <w:p w14:paraId="342C7D70" w14:textId="77777777" w:rsidR="00FA64C6" w:rsidRPr="005856C5" w:rsidRDefault="00730A01" w:rsidP="00FA64C6">
      <w:pPr>
        <w:pStyle w:val="Paragraphe"/>
        <w:tabs>
          <w:tab w:val="clear" w:pos="786"/>
        </w:tabs>
        <w:spacing w:line="240" w:lineRule="auto"/>
        <w:ind w:left="0"/>
      </w:pPr>
      <w:r w:rsidRPr="00F20AF9">
        <w:t xml:space="preserve">Quelques jours plus tard, le </w:t>
      </w:r>
      <w:r w:rsidRPr="00F20AF9">
        <w:rPr>
          <w:rStyle w:val="lev"/>
          <w:rFonts w:cs="Arial"/>
          <w:b w:val="0"/>
          <w:bCs w:val="0"/>
          <w:szCs w:val="24"/>
        </w:rPr>
        <w:t>16</w:t>
      </w:r>
      <w:r>
        <w:rPr>
          <w:rStyle w:val="lev"/>
          <w:rFonts w:cs="Arial"/>
          <w:b w:val="0"/>
          <w:bCs w:val="0"/>
          <w:szCs w:val="24"/>
        </w:rPr>
        <w:t> </w:t>
      </w:r>
      <w:r w:rsidRPr="00F20AF9">
        <w:rPr>
          <w:rStyle w:val="lev"/>
          <w:rFonts w:cs="Arial"/>
          <w:b w:val="0"/>
          <w:bCs w:val="0"/>
          <w:szCs w:val="24"/>
        </w:rPr>
        <w:t>mars</w:t>
      </w:r>
      <w:r>
        <w:rPr>
          <w:rStyle w:val="lev"/>
          <w:rFonts w:cs="Arial"/>
          <w:b w:val="0"/>
          <w:bCs w:val="0"/>
          <w:szCs w:val="24"/>
        </w:rPr>
        <w:t> </w:t>
      </w:r>
      <w:r w:rsidRPr="00F20AF9">
        <w:rPr>
          <w:rStyle w:val="lev"/>
          <w:rFonts w:cs="Arial"/>
          <w:b w:val="0"/>
          <w:bCs w:val="0"/>
          <w:szCs w:val="24"/>
        </w:rPr>
        <w:t>2022</w:t>
      </w:r>
      <w:r w:rsidRPr="00F20AF9">
        <w:t xml:space="preserve">, un autre prêt de </w:t>
      </w:r>
      <w:r w:rsidRPr="00F20AF9">
        <w:rPr>
          <w:rStyle w:val="lev"/>
          <w:rFonts w:cs="Arial"/>
          <w:b w:val="0"/>
          <w:bCs w:val="0"/>
          <w:szCs w:val="24"/>
        </w:rPr>
        <w:t>11,5 M$</w:t>
      </w:r>
      <w:r w:rsidRPr="00F20AF9">
        <w:t xml:space="preserve"> est consenti au projet </w:t>
      </w:r>
      <w:r w:rsidRPr="00F20AF9">
        <w:rPr>
          <w:rStyle w:val="lev"/>
          <w:rFonts w:cs="Arial"/>
          <w:b w:val="0"/>
          <w:bCs w:val="0"/>
          <w:szCs w:val="24"/>
        </w:rPr>
        <w:t>Hangar St-Hubert</w:t>
      </w:r>
      <w:r w:rsidRPr="00F20AF9">
        <w:t>, sans déboursés progressifs ni mécanisme de contrôle</w:t>
      </w:r>
      <w:r>
        <w:rPr>
          <w:rStyle w:val="Appelnotedebasdep"/>
        </w:rPr>
        <w:footnoteReference w:id="189"/>
      </w:r>
      <w:r>
        <w:t>.</w:t>
      </w:r>
    </w:p>
    <w:p w14:paraId="29D51425" w14:textId="77777777" w:rsidR="00FA64C6" w:rsidRPr="005856C5" w:rsidRDefault="00730A01" w:rsidP="00FA64C6">
      <w:pPr>
        <w:pStyle w:val="Paragraphe"/>
        <w:tabs>
          <w:tab w:val="clear" w:pos="786"/>
        </w:tabs>
        <w:spacing w:line="240" w:lineRule="auto"/>
        <w:ind w:left="0"/>
      </w:pPr>
      <w:r w:rsidRPr="005856C5">
        <w:t xml:space="preserve">Entre </w:t>
      </w:r>
      <w:r w:rsidRPr="00F20AF9">
        <w:rPr>
          <w:rStyle w:val="lev"/>
          <w:rFonts w:cs="Arial"/>
          <w:b w:val="0"/>
          <w:bCs w:val="0"/>
          <w:szCs w:val="24"/>
        </w:rPr>
        <w:t>mars et juin</w:t>
      </w:r>
      <w:r>
        <w:rPr>
          <w:rStyle w:val="lev"/>
          <w:rFonts w:cs="Arial"/>
          <w:b w:val="0"/>
          <w:bCs w:val="0"/>
          <w:szCs w:val="24"/>
        </w:rPr>
        <w:t> </w:t>
      </w:r>
      <w:r w:rsidRPr="00F20AF9">
        <w:rPr>
          <w:rStyle w:val="lev"/>
          <w:rFonts w:cs="Arial"/>
          <w:b w:val="0"/>
          <w:bCs w:val="0"/>
          <w:szCs w:val="24"/>
        </w:rPr>
        <w:t>2022</w:t>
      </w:r>
      <w:r w:rsidRPr="005856C5">
        <w:t xml:space="preserve">, plusieurs autres déboursés sont effectués, pour un total de </w:t>
      </w:r>
      <w:r w:rsidRPr="00F20AF9">
        <w:rPr>
          <w:rStyle w:val="lev"/>
          <w:rFonts w:cs="Arial"/>
          <w:b w:val="0"/>
          <w:bCs w:val="0"/>
          <w:szCs w:val="24"/>
        </w:rPr>
        <w:t>34,1</w:t>
      </w:r>
      <w:r>
        <w:rPr>
          <w:rStyle w:val="lev"/>
          <w:rFonts w:cs="Arial"/>
          <w:szCs w:val="24"/>
        </w:rPr>
        <w:t> </w:t>
      </w:r>
      <w:r w:rsidRPr="00F20AF9">
        <w:rPr>
          <w:rStyle w:val="lev"/>
          <w:rFonts w:cs="Arial"/>
          <w:b w:val="0"/>
          <w:bCs w:val="0"/>
          <w:szCs w:val="24"/>
        </w:rPr>
        <w:t>M$</w:t>
      </w:r>
      <w:r>
        <w:rPr>
          <w:rStyle w:val="Appelnotedebasdep"/>
          <w:rFonts w:cs="Arial"/>
          <w:szCs w:val="24"/>
        </w:rPr>
        <w:footnoteReference w:id="190"/>
      </w:r>
      <w:r>
        <w:rPr>
          <w:rStyle w:val="lev"/>
          <w:rFonts w:cs="Arial"/>
          <w:b w:val="0"/>
          <w:bCs w:val="0"/>
          <w:szCs w:val="24"/>
        </w:rPr>
        <w:t>.</w:t>
      </w:r>
    </w:p>
    <w:p w14:paraId="6E729CD7" w14:textId="77777777" w:rsidR="00FA64C6" w:rsidRPr="005856C5" w:rsidRDefault="00730A01" w:rsidP="00FA64C6">
      <w:pPr>
        <w:pStyle w:val="Paragraphe"/>
        <w:tabs>
          <w:tab w:val="clear" w:pos="786"/>
        </w:tabs>
        <w:spacing w:line="240" w:lineRule="auto"/>
        <w:ind w:left="0"/>
      </w:pPr>
      <w:r w:rsidRPr="005856C5">
        <w:t xml:space="preserve">En </w:t>
      </w:r>
      <w:r w:rsidRPr="00F20AF9">
        <w:rPr>
          <w:rStyle w:val="lev"/>
          <w:rFonts w:cs="Arial"/>
          <w:b w:val="0"/>
          <w:bCs w:val="0"/>
          <w:szCs w:val="24"/>
        </w:rPr>
        <w:t>juillet</w:t>
      </w:r>
      <w:r>
        <w:rPr>
          <w:rStyle w:val="lev"/>
          <w:rFonts w:cs="Arial"/>
          <w:b w:val="0"/>
          <w:bCs w:val="0"/>
          <w:szCs w:val="24"/>
        </w:rPr>
        <w:t> </w:t>
      </w:r>
      <w:r w:rsidRPr="00F20AF9">
        <w:rPr>
          <w:rStyle w:val="lev"/>
          <w:rFonts w:cs="Arial"/>
          <w:b w:val="0"/>
          <w:bCs w:val="0"/>
          <w:szCs w:val="24"/>
        </w:rPr>
        <w:t>2022</w:t>
      </w:r>
      <w:r w:rsidRPr="005856C5">
        <w:t xml:space="preserve">, Giroux consent </w:t>
      </w:r>
      <w:r w:rsidRPr="00F20AF9">
        <w:t>un</w:t>
      </w:r>
      <w:r w:rsidRPr="00F20AF9">
        <w:rPr>
          <w:b/>
          <w:bCs/>
        </w:rPr>
        <w:t xml:space="preserve"> </w:t>
      </w:r>
      <w:r w:rsidRPr="00F20AF9">
        <w:rPr>
          <w:rStyle w:val="lev"/>
          <w:rFonts w:cs="Arial"/>
          <w:b w:val="0"/>
          <w:bCs w:val="0"/>
          <w:szCs w:val="24"/>
        </w:rPr>
        <w:t>prêt mezzanine de 19,2 M$</w:t>
      </w:r>
      <w:r w:rsidRPr="00F20AF9">
        <w:rPr>
          <w:b/>
          <w:bCs/>
        </w:rPr>
        <w:t>,</w:t>
      </w:r>
      <w:r w:rsidRPr="005856C5">
        <w:t xml:space="preserve"> sans garanties suffisantes, qui a principalement servi à </w:t>
      </w:r>
      <w:r w:rsidRPr="00F20AF9">
        <w:rPr>
          <w:rStyle w:val="lev"/>
          <w:rFonts w:cs="Arial"/>
          <w:b w:val="0"/>
          <w:bCs w:val="0"/>
          <w:szCs w:val="24"/>
        </w:rPr>
        <w:t>renflouer la trésorerie du Groupe Huot via</w:t>
      </w:r>
      <w:r>
        <w:rPr>
          <w:rStyle w:val="lev"/>
          <w:rFonts w:cs="Arial"/>
          <w:b w:val="0"/>
          <w:bCs w:val="0"/>
          <w:szCs w:val="24"/>
        </w:rPr>
        <w:t xml:space="preserve"> la Société de placement Huot inc. (« </w:t>
      </w:r>
      <w:r w:rsidRPr="00BD1B60">
        <w:rPr>
          <w:rStyle w:val="lev"/>
          <w:rFonts w:cs="Arial"/>
          <w:szCs w:val="24"/>
        </w:rPr>
        <w:t>SPH</w:t>
      </w:r>
      <w:r>
        <w:rPr>
          <w:rStyle w:val="lev"/>
          <w:rFonts w:cs="Arial"/>
          <w:b w:val="0"/>
          <w:bCs w:val="0"/>
          <w:szCs w:val="24"/>
        </w:rPr>
        <w:t> »)</w:t>
      </w:r>
      <w:r w:rsidRPr="00F20AF9">
        <w:rPr>
          <w:rStyle w:val="lev"/>
          <w:rFonts w:cs="Arial"/>
          <w:b w:val="0"/>
          <w:bCs w:val="0"/>
          <w:szCs w:val="24"/>
        </w:rPr>
        <w:t xml:space="preserve"> et à rembourser des dettes existantes</w:t>
      </w:r>
      <w:r w:rsidRPr="005856C5">
        <w:t>, accentuant les risques supportés par les commanditaires</w:t>
      </w:r>
      <w:r>
        <w:rPr>
          <w:rStyle w:val="Appelnotedebasdep"/>
        </w:rPr>
        <w:footnoteReference w:id="191"/>
      </w:r>
      <w:r>
        <w:t>.</w:t>
      </w:r>
    </w:p>
    <w:p w14:paraId="3DF7D64C" w14:textId="77777777" w:rsidR="00FA64C6" w:rsidRDefault="00730A01" w:rsidP="00FA64C6">
      <w:pPr>
        <w:pStyle w:val="Paragraphe"/>
        <w:tabs>
          <w:tab w:val="clear" w:pos="786"/>
        </w:tabs>
        <w:spacing w:line="240" w:lineRule="auto"/>
        <w:ind w:left="0"/>
      </w:pPr>
      <w:r w:rsidRPr="005856C5">
        <w:t xml:space="preserve">Dans les circonstances, </w:t>
      </w:r>
      <w:r>
        <w:t>c</w:t>
      </w:r>
      <w:r w:rsidRPr="005856C5">
        <w:t>es injections massives de fonds</w:t>
      </w:r>
      <w:r>
        <w:t>,</w:t>
      </w:r>
      <w:r w:rsidRPr="005856C5">
        <w:t xml:space="preserve"> qui ont été effectuées après le 2</w:t>
      </w:r>
      <w:r>
        <w:t> </w:t>
      </w:r>
      <w:r w:rsidRPr="005856C5">
        <w:t>mars</w:t>
      </w:r>
      <w:r>
        <w:t> </w:t>
      </w:r>
      <w:r w:rsidRPr="005856C5">
        <w:t>2022</w:t>
      </w:r>
      <w:r>
        <w:t>,</w:t>
      </w:r>
      <w:r w:rsidRPr="005856C5">
        <w:t xml:space="preserve"> démontrent un manque flagrant de prudence et de diligence. Le jugement rendu dans l’affaire </w:t>
      </w:r>
      <w:r w:rsidRPr="00BD1B60">
        <w:rPr>
          <w:rStyle w:val="lev"/>
          <w:rFonts w:cs="Arial"/>
          <w:b w:val="0"/>
          <w:bCs w:val="0"/>
          <w:i/>
          <w:iCs/>
          <w:szCs w:val="24"/>
        </w:rPr>
        <w:t>Bell</w:t>
      </w:r>
      <w:r w:rsidRPr="00BD1B60">
        <w:rPr>
          <w:rStyle w:val="lev"/>
          <w:rFonts w:cs="Arial"/>
          <w:b w:val="0"/>
          <w:bCs w:val="0"/>
          <w:szCs w:val="24"/>
        </w:rPr>
        <w:t xml:space="preserve"> c. </w:t>
      </w:r>
      <w:r w:rsidRPr="00BD1B60">
        <w:rPr>
          <w:rStyle w:val="lev"/>
          <w:rFonts w:cs="Arial"/>
          <w:b w:val="0"/>
          <w:bCs w:val="0"/>
          <w:i/>
          <w:iCs/>
          <w:szCs w:val="24"/>
        </w:rPr>
        <w:t>Molson</w:t>
      </w:r>
      <w:r>
        <w:rPr>
          <w:rStyle w:val="Appelnotedebasdep"/>
          <w:rFonts w:cs="Arial"/>
          <w:szCs w:val="24"/>
        </w:rPr>
        <w:footnoteReference w:id="192"/>
      </w:r>
      <w:r>
        <w:t xml:space="preserve"> </w:t>
      </w:r>
      <w:r w:rsidRPr="005856C5">
        <w:t>rappelle que le fiduciaire qui agit témérairement, même sous couvert d’une clause limitative, engage pleinement sa responsabilité.</w:t>
      </w:r>
    </w:p>
    <w:p w14:paraId="67E4F48E" w14:textId="77777777" w:rsidR="00FA64C6" w:rsidRPr="008C049F" w:rsidRDefault="00730A01" w:rsidP="00760913">
      <w:pPr>
        <w:pStyle w:val="Titre2"/>
        <w:numPr>
          <w:ilvl w:val="0"/>
          <w:numId w:val="147"/>
        </w:numPr>
        <w:rPr>
          <w:i w:val="0"/>
          <w:iCs/>
          <w:szCs w:val="24"/>
        </w:rPr>
      </w:pPr>
      <w:bookmarkStart w:id="85" w:name="_Toc211495220"/>
      <w:r w:rsidRPr="008C049F">
        <w:rPr>
          <w:i w:val="0"/>
          <w:iCs/>
          <w:szCs w:val="24"/>
          <w:u w:val="single"/>
          <w:lang w:eastAsia="fr-CA"/>
        </w:rPr>
        <w:t>Des transactions de type Ponzi</w:t>
      </w:r>
      <w:r>
        <w:rPr>
          <w:i w:val="0"/>
          <w:iCs/>
          <w:szCs w:val="24"/>
          <w:vertAlign w:val="superscript"/>
          <w:lang w:eastAsia="fr-CA"/>
        </w:rPr>
        <w:footnoteReference w:id="193"/>
      </w:r>
      <w:bookmarkEnd w:id="85"/>
    </w:p>
    <w:p w14:paraId="5586C859" w14:textId="77777777" w:rsidR="00FA64C6" w:rsidRDefault="00730A01" w:rsidP="00FA64C6">
      <w:pPr>
        <w:pStyle w:val="Paragraphe"/>
        <w:tabs>
          <w:tab w:val="clear" w:pos="786"/>
        </w:tabs>
        <w:spacing w:line="240" w:lineRule="auto"/>
        <w:ind w:left="0"/>
        <w:rPr>
          <w:rFonts w:cs="Arial"/>
        </w:rPr>
      </w:pPr>
      <w:r w:rsidRPr="00BE4961">
        <w:t>La</w:t>
      </w:r>
      <w:r w:rsidRPr="001A1A19">
        <w:rPr>
          <w:rFonts w:cs="Arial"/>
        </w:rPr>
        <w:t xml:space="preserve"> preuve offerte révèle que Giroux et ses sociétés ont mis en place un système financier s’apparentant à un </w:t>
      </w:r>
      <w:r w:rsidRPr="00BD1B60">
        <w:rPr>
          <w:rStyle w:val="lev"/>
          <w:rFonts w:cs="Arial"/>
          <w:b w:val="0"/>
          <w:bCs w:val="0"/>
        </w:rPr>
        <w:t>schéma Ponzi</w:t>
      </w:r>
      <w:r>
        <w:rPr>
          <w:rFonts w:cs="Arial"/>
        </w:rPr>
        <w:t>.</w:t>
      </w:r>
    </w:p>
    <w:p w14:paraId="2EC0D33A" w14:textId="77777777" w:rsidR="00FA64C6" w:rsidRDefault="00730A01" w:rsidP="00FA64C6">
      <w:pPr>
        <w:pStyle w:val="Paragraphe"/>
        <w:tabs>
          <w:tab w:val="clear" w:pos="786"/>
        </w:tabs>
        <w:spacing w:line="240" w:lineRule="auto"/>
        <w:ind w:left="0"/>
      </w:pPr>
      <w:r>
        <w:t xml:space="preserve">Tout d’abord, il y a lieu de rappeler qu’un </w:t>
      </w:r>
      <w:r w:rsidRPr="00537FBA">
        <w:rPr>
          <w:rStyle w:val="lev"/>
          <w:b w:val="0"/>
          <w:bCs w:val="0"/>
        </w:rPr>
        <w:t>Ponzi</w:t>
      </w:r>
      <w:r>
        <w:t xml:space="preserve"> se définit par une mécanique financière où les rendements servis aux investisseurs ne proviennent pas d’une activité économique réelle, mais </w:t>
      </w:r>
      <w:r w:rsidRPr="000F53BC">
        <w:rPr>
          <w:rStyle w:val="lev"/>
          <w:b w:val="0"/>
          <w:bCs w:val="0"/>
        </w:rPr>
        <w:t>de nouvelles mises de fonds</w:t>
      </w:r>
      <w:r>
        <w:t>. Autrement dit, l’argent des uns sert à payer les autres, ce qui entretient artificiellement une illusion de rentabilité et de sécurité.</w:t>
      </w:r>
    </w:p>
    <w:p w14:paraId="36742A31" w14:textId="77777777" w:rsidR="00FA64C6" w:rsidRDefault="00730A01" w:rsidP="00FA64C6">
      <w:pPr>
        <w:pStyle w:val="Paragraphe"/>
        <w:tabs>
          <w:tab w:val="clear" w:pos="786"/>
        </w:tabs>
        <w:spacing w:line="240" w:lineRule="auto"/>
        <w:ind w:left="0"/>
      </w:pPr>
      <w:r w:rsidRPr="0087599E">
        <w:rPr>
          <w:rFonts w:cs="Arial"/>
          <w:szCs w:val="24"/>
        </w:rPr>
        <w:t>Selon l’AMF</w:t>
      </w:r>
      <w:r>
        <w:rPr>
          <w:rStyle w:val="Appelnotedebasdep"/>
          <w:rFonts w:cs="Arial"/>
          <w:szCs w:val="24"/>
        </w:rPr>
        <w:footnoteReference w:id="194"/>
      </w:r>
      <w:r w:rsidRPr="0087599E">
        <w:rPr>
          <w:rFonts w:cs="Arial"/>
          <w:szCs w:val="24"/>
        </w:rPr>
        <w:t xml:space="preserve">, </w:t>
      </w:r>
      <w:r w:rsidRPr="0087599E">
        <w:rPr>
          <w:rFonts w:cs="Arial"/>
          <w:i/>
          <w:iCs/>
          <w:szCs w:val="24"/>
        </w:rPr>
        <w:t>La fraude à la Ponzi</w:t>
      </w:r>
      <w:r w:rsidRPr="0087599E">
        <w:rPr>
          <w:rFonts w:cs="Arial"/>
          <w:szCs w:val="24"/>
        </w:rPr>
        <w:t xml:space="preserve"> consiste </w:t>
      </w:r>
      <w:r w:rsidRPr="00B70743">
        <w:rPr>
          <w:rFonts w:cs="Arial"/>
          <w:i/>
          <w:iCs/>
          <w:szCs w:val="24"/>
        </w:rPr>
        <w:t>à prendre des sommes appartenant à un investisseur pour payer de faux rendements à d’autres investisseurs ou simplement pour rembourser les investisseurs qui veulent récupérer leur argent</w:t>
      </w:r>
      <w:r w:rsidRPr="0087599E">
        <w:rPr>
          <w:rFonts w:cs="Arial"/>
          <w:szCs w:val="24"/>
        </w:rPr>
        <w:t xml:space="preserve">. Les fraudeurs peuvent ainsi donner une fausse impression que l’argent investi rapporte de bons rendements et qu’il n’y a aucun problème pour récupérer l’argent investi. </w:t>
      </w:r>
    </w:p>
    <w:p w14:paraId="218376A4" w14:textId="77777777" w:rsidR="00FA64C6" w:rsidRPr="0087599E" w:rsidRDefault="00730A01" w:rsidP="00FA64C6">
      <w:pPr>
        <w:pStyle w:val="Paragraphe"/>
        <w:tabs>
          <w:tab w:val="clear" w:pos="786"/>
        </w:tabs>
        <w:spacing w:line="240" w:lineRule="auto"/>
        <w:ind w:left="0"/>
      </w:pPr>
      <w:r w:rsidRPr="0087599E">
        <w:rPr>
          <w:rFonts w:cs="Arial"/>
          <w:szCs w:val="24"/>
        </w:rPr>
        <w:t>Le</w:t>
      </w:r>
      <w:r w:rsidRPr="0087599E">
        <w:rPr>
          <w:rFonts w:cs="Arial"/>
        </w:rPr>
        <w:t xml:space="preserve">s tribunaux, qu’ils soient civils ou criminels, reconnaissent le </w:t>
      </w:r>
      <w:r w:rsidRPr="0087599E">
        <w:rPr>
          <w:rStyle w:val="lev"/>
          <w:rFonts w:cs="Arial"/>
          <w:b w:val="0"/>
          <w:bCs w:val="0"/>
          <w:szCs w:val="24"/>
        </w:rPr>
        <w:t>caractère intrinsèquement frauduleux</w:t>
      </w:r>
      <w:r w:rsidRPr="0087599E">
        <w:rPr>
          <w:rFonts w:cs="Arial"/>
        </w:rPr>
        <w:t xml:space="preserve"> d’un Ponzi dès que l’analyse des flux financiers établit</w:t>
      </w:r>
      <w:r>
        <w:rPr>
          <w:rFonts w:cs="Arial"/>
        </w:rPr>
        <w:t> </w:t>
      </w:r>
      <w:r w:rsidRPr="0087599E">
        <w:rPr>
          <w:rFonts w:cs="Arial"/>
        </w:rPr>
        <w:t>:</w:t>
      </w:r>
    </w:p>
    <w:p w14:paraId="4B6B2714" w14:textId="77777777" w:rsidR="00FA64C6" w:rsidRPr="008956DC" w:rsidRDefault="00730A01" w:rsidP="00FA64C6">
      <w:pPr>
        <w:pStyle w:val="NormalWeb"/>
        <w:numPr>
          <w:ilvl w:val="0"/>
          <w:numId w:val="15"/>
        </w:numPr>
        <w:tabs>
          <w:tab w:val="clear" w:pos="720"/>
          <w:tab w:val="num" w:pos="993"/>
        </w:tabs>
        <w:spacing w:before="120"/>
        <w:ind w:left="993" w:hanging="284"/>
        <w:rPr>
          <w:rFonts w:ascii="Arial" w:hAnsi="Arial" w:cs="Arial"/>
        </w:rPr>
      </w:pPr>
      <w:r w:rsidRPr="008956DC">
        <w:rPr>
          <w:rFonts w:ascii="Arial" w:hAnsi="Arial" w:cs="Arial"/>
        </w:rPr>
        <w:t>l’absence de revenus autonomes;</w:t>
      </w:r>
    </w:p>
    <w:p w14:paraId="68C6F844" w14:textId="77777777" w:rsidR="00FA64C6" w:rsidRPr="008956DC" w:rsidRDefault="00730A01" w:rsidP="00FA64C6">
      <w:pPr>
        <w:pStyle w:val="NormalWeb"/>
        <w:numPr>
          <w:ilvl w:val="0"/>
          <w:numId w:val="15"/>
        </w:numPr>
        <w:tabs>
          <w:tab w:val="clear" w:pos="720"/>
          <w:tab w:val="num" w:pos="993"/>
        </w:tabs>
        <w:spacing w:before="120"/>
        <w:ind w:left="993" w:hanging="284"/>
        <w:rPr>
          <w:rFonts w:ascii="Arial" w:hAnsi="Arial" w:cs="Arial"/>
        </w:rPr>
      </w:pPr>
      <w:r w:rsidRPr="008956DC">
        <w:rPr>
          <w:rFonts w:ascii="Arial" w:hAnsi="Arial" w:cs="Arial"/>
        </w:rPr>
        <w:t>le recours aux nouveaux apports pour satisfaire les anciens;</w:t>
      </w:r>
    </w:p>
    <w:p w14:paraId="342F25EA" w14:textId="77777777" w:rsidR="00FA64C6" w:rsidRPr="00E72C08" w:rsidRDefault="00730A01" w:rsidP="00FA64C6">
      <w:pPr>
        <w:pStyle w:val="NormalWeb"/>
        <w:numPr>
          <w:ilvl w:val="0"/>
          <w:numId w:val="15"/>
        </w:numPr>
        <w:tabs>
          <w:tab w:val="clear" w:pos="720"/>
          <w:tab w:val="num" w:pos="993"/>
        </w:tabs>
        <w:spacing w:before="120"/>
        <w:ind w:left="993" w:hanging="284"/>
        <w:rPr>
          <w:rFonts w:ascii="Arial" w:hAnsi="Arial" w:cs="Arial"/>
          <w:sz w:val="22"/>
          <w:szCs w:val="22"/>
        </w:rPr>
      </w:pPr>
      <w:r w:rsidRPr="008956DC">
        <w:rPr>
          <w:rFonts w:ascii="Arial" w:hAnsi="Arial" w:cs="Arial"/>
        </w:rPr>
        <w:t>l’entretien</w:t>
      </w:r>
      <w:r w:rsidRPr="00E72C08">
        <w:rPr>
          <w:rFonts w:ascii="Arial" w:hAnsi="Arial" w:cs="Arial"/>
          <w:sz w:val="22"/>
          <w:szCs w:val="22"/>
        </w:rPr>
        <w:t xml:space="preserve"> d’une </w:t>
      </w:r>
      <w:r w:rsidRPr="00E72C08">
        <w:rPr>
          <w:rStyle w:val="lev"/>
          <w:rFonts w:ascii="Arial" w:hAnsi="Arial" w:cs="Arial"/>
          <w:b w:val="0"/>
          <w:bCs w:val="0"/>
          <w:sz w:val="22"/>
          <w:szCs w:val="22"/>
        </w:rPr>
        <w:t>illusion de rendement</w:t>
      </w:r>
      <w:r w:rsidRPr="00E72C08">
        <w:rPr>
          <w:rFonts w:ascii="Arial" w:hAnsi="Arial" w:cs="Arial"/>
          <w:sz w:val="22"/>
          <w:szCs w:val="22"/>
        </w:rPr>
        <w:t xml:space="preserve"> ou de liquidité</w:t>
      </w:r>
      <w:r>
        <w:rPr>
          <w:rStyle w:val="Appelnotedebasdep"/>
          <w:rFonts w:ascii="Arial" w:hAnsi="Arial" w:cs="Arial"/>
        </w:rPr>
        <w:footnoteReference w:id="195"/>
      </w:r>
      <w:r>
        <w:rPr>
          <w:rFonts w:ascii="Arial" w:hAnsi="Arial" w:cs="Arial"/>
          <w:sz w:val="22"/>
          <w:szCs w:val="22"/>
        </w:rPr>
        <w:t>.</w:t>
      </w:r>
    </w:p>
    <w:p w14:paraId="0FCE5A5A" w14:textId="77777777" w:rsidR="00FA64C6" w:rsidRDefault="00730A01" w:rsidP="00FA64C6">
      <w:pPr>
        <w:pStyle w:val="Paragraphe"/>
        <w:tabs>
          <w:tab w:val="clear" w:pos="786"/>
        </w:tabs>
        <w:spacing w:before="240" w:line="240" w:lineRule="auto"/>
        <w:ind w:left="0"/>
        <w:rPr>
          <w:rFonts w:cs="Arial"/>
          <w:b/>
          <w:bCs/>
          <w:szCs w:val="24"/>
        </w:rPr>
      </w:pPr>
      <w:r>
        <w:rPr>
          <w:rFonts w:cs="Arial"/>
          <w:szCs w:val="24"/>
        </w:rPr>
        <w:t>Ces critères</w:t>
      </w:r>
      <w:r w:rsidRPr="00DA06B2">
        <w:rPr>
          <w:rFonts w:cs="Arial"/>
          <w:szCs w:val="24"/>
        </w:rPr>
        <w:t xml:space="preserve"> fournissent au Tribunal un </w:t>
      </w:r>
      <w:r w:rsidRPr="008B4E5B">
        <w:rPr>
          <w:rStyle w:val="lev"/>
          <w:rFonts w:cs="Arial"/>
          <w:b w:val="0"/>
          <w:bCs w:val="0"/>
          <w:szCs w:val="24"/>
        </w:rPr>
        <w:t>cadre juridique clair</w:t>
      </w:r>
      <w:r w:rsidRPr="00DA06B2">
        <w:rPr>
          <w:rFonts w:cs="Arial"/>
          <w:szCs w:val="24"/>
        </w:rPr>
        <w:t xml:space="preserve"> pour qualifier les manœuvres dénoncées : dès que la preuve révèle un recyclage de fonds plutôt qu’une exploitation authentique, la qualification de Ponzi s’impose, avec les conséquences qui en découlent en matière de responsabilité, de restitution et de sanction des manquements à la loyauté et à la transparence </w:t>
      </w:r>
    </w:p>
    <w:p w14:paraId="7A6CE816" w14:textId="77777777" w:rsidR="00FA64C6" w:rsidRDefault="00730A01" w:rsidP="00FA64C6">
      <w:pPr>
        <w:pStyle w:val="Paragraphe"/>
        <w:tabs>
          <w:tab w:val="clear" w:pos="786"/>
        </w:tabs>
        <w:spacing w:line="240" w:lineRule="auto"/>
        <w:ind w:left="0"/>
        <w:rPr>
          <w:rFonts w:cs="Arial"/>
          <w:b/>
          <w:bCs/>
          <w:szCs w:val="24"/>
        </w:rPr>
      </w:pPr>
      <w:r w:rsidRPr="0087599E">
        <w:rPr>
          <w:rFonts w:cs="Arial"/>
          <w:szCs w:val="24"/>
        </w:rPr>
        <w:t>La Cour d’appel confirme que le système mis en place par Vincent Lacroix et Norbourg constituait un schéma Ponzi, en retenant que les rendements versés aux investisseurs provenaient des apports de nouveaux souscripteurs plutôt que d’activités génératrices de profits</w:t>
      </w:r>
      <w:r>
        <w:rPr>
          <w:rStyle w:val="Appelnotedebasdep"/>
          <w:rFonts w:cs="Arial"/>
          <w:szCs w:val="24"/>
        </w:rPr>
        <w:footnoteReference w:id="196"/>
      </w:r>
      <w:r w:rsidRPr="0087599E">
        <w:rPr>
          <w:rFonts w:cs="Arial"/>
          <w:szCs w:val="24"/>
        </w:rPr>
        <w:t>.</w:t>
      </w:r>
    </w:p>
    <w:p w14:paraId="3F109971" w14:textId="77777777" w:rsidR="00FA64C6" w:rsidRDefault="00730A01" w:rsidP="00FA64C6">
      <w:pPr>
        <w:pStyle w:val="Paragraphe"/>
        <w:tabs>
          <w:tab w:val="clear" w:pos="786"/>
        </w:tabs>
        <w:spacing w:line="240" w:lineRule="auto"/>
        <w:ind w:left="0"/>
        <w:rPr>
          <w:rFonts w:cs="Arial"/>
          <w:b/>
          <w:bCs/>
          <w:szCs w:val="24"/>
        </w:rPr>
      </w:pPr>
      <w:r w:rsidRPr="0087599E">
        <w:rPr>
          <w:rFonts w:cs="Arial"/>
        </w:rPr>
        <w:t>Cet arrêt établit que la fraude inclut les systèmes ou manœuvres qui créent une illusion trompeuse sur la sécurité ou la rentabilité d’un investissement, même si certains investisseurs reçoivent des paiements partiels.</w:t>
      </w:r>
    </w:p>
    <w:p w14:paraId="7ADB4ADB" w14:textId="77777777" w:rsidR="00FA64C6" w:rsidRPr="00DD6DAF" w:rsidRDefault="00730A01" w:rsidP="00FA64C6">
      <w:pPr>
        <w:pStyle w:val="Paragraphe"/>
        <w:tabs>
          <w:tab w:val="clear" w:pos="786"/>
        </w:tabs>
        <w:spacing w:line="240" w:lineRule="auto"/>
        <w:ind w:left="0"/>
        <w:rPr>
          <w:rFonts w:cs="Arial"/>
          <w:b/>
          <w:bCs/>
          <w:szCs w:val="24"/>
        </w:rPr>
      </w:pPr>
      <w:r w:rsidRPr="0087599E">
        <w:rPr>
          <w:rFonts w:cs="Arial"/>
          <w:szCs w:val="24"/>
        </w:rPr>
        <w:t xml:space="preserve">Suivant la définition de l’AMF, l’application des critères du </w:t>
      </w:r>
      <w:r w:rsidRPr="0087599E">
        <w:rPr>
          <w:rStyle w:val="lev"/>
          <w:rFonts w:cs="Arial"/>
          <w:b w:val="0"/>
          <w:bCs w:val="0"/>
          <w:szCs w:val="24"/>
        </w:rPr>
        <w:t>Ponzi</w:t>
      </w:r>
      <w:r w:rsidRPr="0087599E">
        <w:rPr>
          <w:rFonts w:cs="Arial"/>
          <w:szCs w:val="24"/>
        </w:rPr>
        <w:t xml:space="preserve"> aux structures </w:t>
      </w:r>
      <w:r w:rsidRPr="0087599E">
        <w:rPr>
          <w:rStyle w:val="lev"/>
          <w:rFonts w:cs="Arial"/>
          <w:b w:val="0"/>
          <w:bCs w:val="0"/>
          <w:szCs w:val="24"/>
        </w:rPr>
        <w:t>Q</w:t>
      </w:r>
      <w:r w:rsidRPr="0087599E">
        <w:rPr>
          <w:rStyle w:val="lev"/>
          <w:rFonts w:cs="Arial"/>
          <w:b w:val="0"/>
          <w:bCs w:val="0"/>
          <w:szCs w:val="24"/>
        </w:rPr>
        <w:noBreakHyphen/>
        <w:t>12</w:t>
      </w:r>
      <w:r w:rsidRPr="0087599E">
        <w:rPr>
          <w:rFonts w:cs="Arial"/>
          <w:szCs w:val="24"/>
        </w:rPr>
        <w:t xml:space="preserve"> et </w:t>
      </w:r>
      <w:r w:rsidRPr="0087599E">
        <w:rPr>
          <w:rStyle w:val="lev"/>
          <w:rFonts w:cs="Arial"/>
          <w:b w:val="0"/>
          <w:bCs w:val="0"/>
          <w:szCs w:val="24"/>
        </w:rPr>
        <w:t>FIISH</w:t>
      </w:r>
      <w:r w:rsidRPr="0087599E">
        <w:rPr>
          <w:rFonts w:cs="Arial"/>
          <w:szCs w:val="24"/>
        </w:rPr>
        <w:t xml:space="preserve"> ressort directement des travaux de l’expert </w:t>
      </w:r>
      <w:r w:rsidRPr="0087599E">
        <w:rPr>
          <w:rStyle w:val="lev"/>
          <w:rFonts w:cs="Arial"/>
          <w:b w:val="0"/>
          <w:bCs w:val="0"/>
          <w:szCs w:val="24"/>
        </w:rPr>
        <w:t>François Filion (KPMG)</w:t>
      </w:r>
      <w:r>
        <w:rPr>
          <w:rStyle w:val="lev"/>
          <w:rFonts w:cs="Arial"/>
          <w:b w:val="0"/>
          <w:bCs w:val="0"/>
          <w:szCs w:val="24"/>
        </w:rPr>
        <w:t>.</w:t>
      </w:r>
    </w:p>
    <w:p w14:paraId="49D3A659" w14:textId="77777777" w:rsidR="00FA64C6" w:rsidRDefault="00730A01" w:rsidP="00FA64C6">
      <w:pPr>
        <w:pStyle w:val="Paragraphe"/>
        <w:tabs>
          <w:tab w:val="clear" w:pos="786"/>
        </w:tabs>
        <w:spacing w:line="240" w:lineRule="auto"/>
        <w:ind w:left="0"/>
        <w:rPr>
          <w:rFonts w:cs="Arial"/>
          <w:szCs w:val="24"/>
        </w:rPr>
      </w:pPr>
      <w:r w:rsidRPr="00F82CA7">
        <w:rPr>
          <w:rFonts w:cs="Arial"/>
          <w:szCs w:val="24"/>
        </w:rPr>
        <w:t xml:space="preserve">Filion explique que les transactions qualifiées de type Ponzi sont celles où </w:t>
      </w:r>
      <w:r w:rsidRPr="00537FBA">
        <w:rPr>
          <w:rStyle w:val="lev"/>
          <w:rFonts w:cs="Arial"/>
          <w:b w:val="0"/>
          <w:bCs w:val="0"/>
          <w:szCs w:val="24"/>
        </w:rPr>
        <w:t>FIISH et Q</w:t>
      </w:r>
      <w:r>
        <w:rPr>
          <w:rStyle w:val="lev"/>
          <w:rFonts w:cs="Arial"/>
          <w:b w:val="0"/>
          <w:bCs w:val="0"/>
          <w:szCs w:val="24"/>
        </w:rPr>
        <w:noBreakHyphen/>
      </w:r>
      <w:r w:rsidRPr="00537FBA">
        <w:rPr>
          <w:rStyle w:val="lev"/>
          <w:rFonts w:cs="Arial"/>
          <w:b w:val="0"/>
          <w:bCs w:val="0"/>
          <w:szCs w:val="24"/>
        </w:rPr>
        <w:t>12 recevaient les mises de fonds des commanditaires pour ensuite rembourser ces mêmes commanditaires</w:t>
      </w:r>
      <w:r w:rsidRPr="00F82CA7">
        <w:rPr>
          <w:rFonts w:cs="Arial"/>
          <w:szCs w:val="24"/>
        </w:rPr>
        <w:t xml:space="preserve"> – soit directement, soit par le biais d’autres sociétés en commandite. En d’autres mots, </w:t>
      </w:r>
      <w:r w:rsidRPr="00537FBA">
        <w:rPr>
          <w:rStyle w:val="lev"/>
          <w:rFonts w:cs="Arial"/>
          <w:b w:val="0"/>
          <w:bCs w:val="0"/>
          <w:szCs w:val="24"/>
        </w:rPr>
        <w:t>l’argent neuf des investisseurs servait à payer les distributions d’intérêts ou de capital promises aux investisseurs antérieurs</w:t>
      </w:r>
      <w:r w:rsidRPr="00F82CA7">
        <w:rPr>
          <w:rFonts w:cs="Arial"/>
          <w:szCs w:val="24"/>
        </w:rPr>
        <w:t>, au lieu de provenir des emprunteurs (ex. le Groupe Huot).</w:t>
      </w:r>
    </w:p>
    <w:p w14:paraId="57A188A9" w14:textId="77777777" w:rsidR="00FA64C6" w:rsidRPr="0087599E" w:rsidRDefault="00730A01" w:rsidP="00FA64C6">
      <w:pPr>
        <w:pStyle w:val="Paragraphe"/>
        <w:tabs>
          <w:tab w:val="clear" w:pos="786"/>
        </w:tabs>
        <w:spacing w:line="240" w:lineRule="auto"/>
        <w:ind w:left="0"/>
        <w:rPr>
          <w:rFonts w:cs="Arial"/>
          <w:szCs w:val="24"/>
        </w:rPr>
      </w:pPr>
      <w:r w:rsidRPr="0087599E">
        <w:rPr>
          <w:rFonts w:cs="Arial"/>
        </w:rPr>
        <w:t>Cette mécanique entretenait artificiellement l’apparence d’une activité normale :</w:t>
      </w:r>
      <w:r>
        <w:rPr>
          <w:rFonts w:cs="Arial"/>
        </w:rPr>
        <w:t xml:space="preserve"> </w:t>
      </w:r>
      <w:r w:rsidRPr="0087599E">
        <w:rPr>
          <w:rFonts w:cs="Arial"/>
        </w:rPr>
        <w:t xml:space="preserve">les commanditaires recevaient leurs distributions et croyaient que les projets fonctionnaient, alors qu’en réalité ils se </w:t>
      </w:r>
      <w:r w:rsidRPr="0087599E">
        <w:rPr>
          <w:rStyle w:val="lev"/>
          <w:rFonts w:cs="Arial"/>
          <w:b w:val="0"/>
          <w:bCs w:val="0"/>
          <w:szCs w:val="24"/>
        </w:rPr>
        <w:t>remboursaient eux-mêmes</w:t>
      </w:r>
      <w:r w:rsidRPr="0087599E">
        <w:rPr>
          <w:rFonts w:cs="Arial"/>
        </w:rPr>
        <w:t>. Filion illustre cela comme une « roue qui tourne », alimentée non pas par des profits mais par le recyclage des apports.</w:t>
      </w:r>
    </w:p>
    <w:p w14:paraId="6B049D8C" w14:textId="77777777" w:rsidR="00FA64C6" w:rsidRPr="00DD6DAF" w:rsidRDefault="00730A01" w:rsidP="00443B59">
      <w:pPr>
        <w:pStyle w:val="Titre3"/>
        <w:numPr>
          <w:ilvl w:val="0"/>
          <w:numId w:val="63"/>
        </w:numPr>
        <w:spacing w:before="120" w:after="120"/>
        <w:rPr>
          <w:rFonts w:cs="Arial"/>
          <w:b/>
          <w:bCs/>
          <w:i/>
          <w:iCs/>
          <w:szCs w:val="24"/>
        </w:rPr>
      </w:pPr>
      <w:bookmarkStart w:id="86" w:name="_Toc211495222"/>
      <w:bookmarkStart w:id="87" w:name="_Toc211600639"/>
      <w:r w:rsidRPr="00DD6DAF">
        <w:rPr>
          <w:rFonts w:cs="Arial"/>
          <w:b/>
          <w:bCs/>
          <w:i/>
          <w:iCs/>
          <w:szCs w:val="24"/>
        </w:rPr>
        <w:t>L’ampleur des flux identifiés</w:t>
      </w:r>
      <w:bookmarkEnd w:id="86"/>
      <w:bookmarkEnd w:id="87"/>
    </w:p>
    <w:p w14:paraId="2B1D021D" w14:textId="77777777" w:rsidR="00FA64C6" w:rsidRDefault="00730A01" w:rsidP="00FA64C6">
      <w:pPr>
        <w:pStyle w:val="Paragraphe"/>
        <w:tabs>
          <w:tab w:val="clear" w:pos="786"/>
        </w:tabs>
        <w:spacing w:line="240" w:lineRule="auto"/>
        <w:ind w:left="0"/>
        <w:rPr>
          <w:rFonts w:cs="Arial"/>
          <w:szCs w:val="24"/>
        </w:rPr>
      </w:pPr>
      <w:r w:rsidRPr="00DA06B2">
        <w:rPr>
          <w:rFonts w:cs="Arial"/>
        </w:rPr>
        <w:t>KPMG</w:t>
      </w:r>
      <w:r w:rsidRPr="00F82CA7">
        <w:rPr>
          <w:rFonts w:cs="Arial"/>
          <w:szCs w:val="24"/>
        </w:rPr>
        <w:t xml:space="preserve"> a retracé près de </w:t>
      </w:r>
      <w:r w:rsidRPr="00537FBA">
        <w:rPr>
          <w:rStyle w:val="lev"/>
          <w:rFonts w:cs="Arial"/>
          <w:b w:val="0"/>
          <w:bCs w:val="0"/>
          <w:szCs w:val="24"/>
        </w:rPr>
        <w:t>10 M$ de paiements ayant les caractéristiques de transactions Ponzi</w:t>
      </w:r>
      <w:r w:rsidRPr="00F82CA7">
        <w:rPr>
          <w:rFonts w:cs="Arial"/>
          <w:szCs w:val="24"/>
        </w:rPr>
        <w:t xml:space="preserve">, effectués à même les fonds de </w:t>
      </w:r>
      <w:r w:rsidRPr="00537FBA">
        <w:rPr>
          <w:rStyle w:val="lev"/>
          <w:rFonts w:cs="Arial"/>
          <w:b w:val="0"/>
          <w:bCs w:val="0"/>
          <w:szCs w:val="24"/>
        </w:rPr>
        <w:t>Q</w:t>
      </w:r>
      <w:r>
        <w:rPr>
          <w:rStyle w:val="lev"/>
          <w:rFonts w:cs="Arial"/>
          <w:b w:val="0"/>
          <w:bCs w:val="0"/>
          <w:szCs w:val="24"/>
        </w:rPr>
        <w:noBreakHyphen/>
      </w:r>
      <w:r w:rsidRPr="00537FBA">
        <w:rPr>
          <w:rStyle w:val="lev"/>
          <w:rFonts w:cs="Arial"/>
          <w:b w:val="0"/>
          <w:bCs w:val="0"/>
          <w:szCs w:val="24"/>
        </w:rPr>
        <w:t>12</w:t>
      </w:r>
      <w:r w:rsidRPr="00537FBA">
        <w:rPr>
          <w:rFonts w:cs="Arial"/>
          <w:b/>
          <w:bCs/>
          <w:szCs w:val="24"/>
        </w:rPr>
        <w:t xml:space="preserve"> </w:t>
      </w:r>
      <w:r w:rsidRPr="00537FBA">
        <w:rPr>
          <w:rFonts w:cs="Arial"/>
          <w:szCs w:val="24"/>
        </w:rPr>
        <w:t>et</w:t>
      </w:r>
      <w:r w:rsidRPr="00537FBA">
        <w:rPr>
          <w:rFonts w:cs="Arial"/>
          <w:b/>
          <w:bCs/>
          <w:szCs w:val="24"/>
        </w:rPr>
        <w:t xml:space="preserve"> </w:t>
      </w:r>
      <w:r w:rsidRPr="00537FBA">
        <w:rPr>
          <w:rStyle w:val="lev"/>
          <w:rFonts w:cs="Arial"/>
          <w:b w:val="0"/>
          <w:bCs w:val="0"/>
          <w:szCs w:val="24"/>
        </w:rPr>
        <w:t>FIISH</w:t>
      </w:r>
      <w:r w:rsidRPr="00F82CA7">
        <w:rPr>
          <w:rFonts w:cs="Arial"/>
          <w:szCs w:val="24"/>
        </w:rPr>
        <w:t xml:space="preserve"> par les défendeurs.</w:t>
      </w:r>
    </w:p>
    <w:p w14:paraId="12E6EEED" w14:textId="77777777" w:rsidR="00FA64C6" w:rsidRPr="009D4AD5" w:rsidRDefault="00730A01" w:rsidP="00FA64C6">
      <w:pPr>
        <w:pStyle w:val="Paragraphe"/>
        <w:tabs>
          <w:tab w:val="clear" w:pos="786"/>
        </w:tabs>
        <w:spacing w:line="240" w:lineRule="auto"/>
        <w:ind w:left="0"/>
        <w:rPr>
          <w:rFonts w:cs="Arial"/>
          <w:szCs w:val="24"/>
        </w:rPr>
      </w:pPr>
      <w:r w:rsidRPr="0087599E">
        <w:rPr>
          <w:rFonts w:cs="Arial"/>
          <w:bCs/>
          <w:iCs/>
          <w:szCs w:val="24"/>
        </w:rPr>
        <w:t>Ces transactions, détaillées dans le rapport</w:t>
      </w:r>
      <w:r>
        <w:rPr>
          <w:rFonts w:cs="Arial"/>
          <w:bCs/>
          <w:iCs/>
          <w:szCs w:val="24"/>
        </w:rPr>
        <w:t xml:space="preserve"> d’expertise</w:t>
      </w:r>
      <w:r>
        <w:rPr>
          <w:rStyle w:val="Appelnotedebasdep"/>
          <w:rFonts w:cs="Arial"/>
          <w:bCs/>
          <w:iCs/>
          <w:szCs w:val="24"/>
        </w:rPr>
        <w:footnoteReference w:id="197"/>
      </w:r>
      <w:r w:rsidRPr="0087599E">
        <w:rPr>
          <w:rFonts w:cs="Arial"/>
          <w:bCs/>
          <w:iCs/>
          <w:szCs w:val="24"/>
        </w:rPr>
        <w:t>, comprennent tant des paiements d’intérêts que des paiements en capital.</w:t>
      </w:r>
    </w:p>
    <w:p w14:paraId="4068AC26" w14:textId="77777777" w:rsidR="00FA64C6" w:rsidRPr="009D4AD5" w:rsidRDefault="00730A01" w:rsidP="00FA64C6">
      <w:pPr>
        <w:pStyle w:val="Paragraphe"/>
        <w:tabs>
          <w:tab w:val="clear" w:pos="786"/>
        </w:tabs>
        <w:spacing w:line="240" w:lineRule="auto"/>
        <w:ind w:left="0"/>
        <w:rPr>
          <w:rFonts w:cs="Arial"/>
          <w:szCs w:val="24"/>
        </w:rPr>
      </w:pPr>
      <w:r>
        <w:rPr>
          <w:rFonts w:cs="Arial"/>
          <w:bCs/>
          <w:iCs/>
          <w:szCs w:val="24"/>
        </w:rPr>
        <w:t>Ces opérations ne sont pas des anomalies isolées, mais bien la démonstration d’une méthode répétée et consciente. Les Défendeurs savaient que les flux n’étaient pas générés par les projets immobiliers financés, mais par un recyclage circulaire de capitaux, typique d’un Ponzi.</w:t>
      </w:r>
    </w:p>
    <w:p w14:paraId="0AA11489" w14:textId="77777777" w:rsidR="00FA64C6" w:rsidRDefault="00730A01" w:rsidP="00FA64C6">
      <w:pPr>
        <w:pStyle w:val="Paragraphe"/>
        <w:tabs>
          <w:tab w:val="clear" w:pos="786"/>
        </w:tabs>
        <w:spacing w:line="240" w:lineRule="auto"/>
        <w:ind w:left="0"/>
        <w:rPr>
          <w:rFonts w:cs="Arial"/>
          <w:szCs w:val="24"/>
        </w:rPr>
      </w:pPr>
      <w:r>
        <w:rPr>
          <w:rFonts w:cs="Arial"/>
          <w:bCs/>
          <w:iCs/>
          <w:szCs w:val="24"/>
        </w:rPr>
        <w:t>En procédant ainsi, Giroux et ses sociétés n’ont pas seulement manqué à leurs obligations de prudence et de diligence : ils ont sciemment créé une illusion de rentabilité pour tromper les commanditaires et maintenir artificiellement la confiance du Tribunal. Cette stratégie frauduleuse viole les devoirs fondamentaux de loyauté et de transparence et justifie que le Tribunal tire toutes les conséquences légales de ce comportement, tant en matière de responsabilité que de réparation intégrale des préjudices subis par les Demandeurs.</w:t>
      </w:r>
    </w:p>
    <w:p w14:paraId="609D805E" w14:textId="77777777" w:rsidR="00FA64C6" w:rsidRPr="0087599E" w:rsidRDefault="00730A01" w:rsidP="00FA64C6">
      <w:pPr>
        <w:pStyle w:val="Paragraphe"/>
        <w:tabs>
          <w:tab w:val="clear" w:pos="786"/>
        </w:tabs>
        <w:spacing w:line="240" w:lineRule="auto"/>
        <w:ind w:left="0"/>
        <w:rPr>
          <w:rFonts w:cs="Arial"/>
          <w:szCs w:val="24"/>
        </w:rPr>
      </w:pPr>
      <w:r w:rsidRPr="0087599E">
        <w:rPr>
          <w:rFonts w:cs="Arial"/>
        </w:rPr>
        <w:t xml:space="preserve">Le rapport </w:t>
      </w:r>
      <w:r w:rsidRPr="0087599E">
        <w:rPr>
          <w:rFonts w:eastAsia="MS Mincho" w:cs="Arial"/>
          <w:lang w:eastAsia="en-US"/>
        </w:rPr>
        <w:t>KPMG</w:t>
      </w:r>
      <w:r w:rsidRPr="0087599E">
        <w:rPr>
          <w:rFonts w:cs="Arial"/>
        </w:rPr>
        <w:t xml:space="preserve"> met en lumière un ensemble de transactions qui</w:t>
      </w:r>
      <w:r w:rsidRPr="0087599E">
        <w:rPr>
          <w:rFonts w:eastAsia="MS Mincho" w:cs="Arial"/>
          <w:lang w:eastAsia="en-US"/>
        </w:rPr>
        <w:t xml:space="preserve"> démontre que les Défendeurs ont mis en place un </w:t>
      </w:r>
      <w:r>
        <w:rPr>
          <w:rFonts w:eastAsia="MS Mincho" w:cs="Arial"/>
          <w:lang w:eastAsia="en-US"/>
        </w:rPr>
        <w:t xml:space="preserve">tel </w:t>
      </w:r>
      <w:r w:rsidRPr="0087599E">
        <w:rPr>
          <w:rFonts w:eastAsia="MS Mincho" w:cs="Arial"/>
          <w:lang w:eastAsia="en-US"/>
        </w:rPr>
        <w:t>système Ponzi institutionnalisé au sein de FIISH et Q</w:t>
      </w:r>
      <w:r w:rsidRPr="0087599E">
        <w:rPr>
          <w:rFonts w:eastAsia="MS Mincho" w:cs="Arial"/>
          <w:lang w:eastAsia="en-US"/>
        </w:rPr>
        <w:noBreakHyphen/>
        <w:t xml:space="preserve">12. Les transactions </w:t>
      </w:r>
      <w:r>
        <w:rPr>
          <w:rFonts w:eastAsia="MS Mincho" w:cs="Arial"/>
          <w:lang w:eastAsia="en-US"/>
        </w:rPr>
        <w:t xml:space="preserve">suivantes </w:t>
      </w:r>
      <w:r w:rsidRPr="0087599E">
        <w:rPr>
          <w:rFonts w:eastAsia="MS Mincho" w:cs="Arial"/>
          <w:lang w:eastAsia="en-US"/>
        </w:rPr>
        <w:t>identifiées</w:t>
      </w:r>
      <w:r>
        <w:rPr>
          <w:rFonts w:eastAsia="MS Mincho" w:cs="Arial"/>
          <w:lang w:eastAsia="en-US"/>
        </w:rPr>
        <w:t xml:space="preserve"> par Filion</w:t>
      </w:r>
      <w:r w:rsidRPr="0087599E">
        <w:rPr>
          <w:rFonts w:eastAsia="MS Mincho" w:cs="Arial"/>
          <w:lang w:eastAsia="en-US"/>
        </w:rPr>
        <w:t xml:space="preserve"> reposent toutes sur un même modus operandi : recycler l’argent des commanditaires pour payer ces mêmes commanditaires, sous l’apparence de distributions d’intérêts ou de remboursements de capital.</w:t>
      </w:r>
    </w:p>
    <w:p w14:paraId="1552839F" w14:textId="77777777" w:rsidR="00FA64C6" w:rsidRPr="00C75239" w:rsidRDefault="00730A01" w:rsidP="00443B59">
      <w:pPr>
        <w:pStyle w:val="Paragraphedeliste"/>
        <w:numPr>
          <w:ilvl w:val="0"/>
          <w:numId w:val="93"/>
        </w:numPr>
        <w:spacing w:before="100" w:beforeAutospacing="1" w:after="100" w:afterAutospacing="1"/>
        <w:outlineLvl w:val="2"/>
        <w:rPr>
          <w:rFonts w:cs="Arial"/>
          <w:b/>
          <w:bCs/>
          <w:i/>
          <w:iCs/>
          <w:szCs w:val="24"/>
          <w:lang w:eastAsia="fr-CA"/>
        </w:rPr>
      </w:pPr>
      <w:bookmarkStart w:id="88" w:name="_Toc211495223"/>
      <w:bookmarkStart w:id="89" w:name="_Toc211600640"/>
      <w:r w:rsidRPr="00C75239">
        <w:rPr>
          <w:rFonts w:cs="Arial"/>
          <w:b/>
          <w:bCs/>
          <w:i/>
          <w:iCs/>
          <w:szCs w:val="24"/>
          <w:lang w:eastAsia="fr-CA"/>
        </w:rPr>
        <w:t>FIISH 2020 – Intérêts Huot (avril 2020, PSH-12)</w:t>
      </w:r>
      <w:bookmarkEnd w:id="88"/>
      <w:bookmarkEnd w:id="89"/>
    </w:p>
    <w:p w14:paraId="19902CB4" w14:textId="77777777" w:rsidR="00FA64C6" w:rsidRPr="00F82CA7" w:rsidRDefault="00730A01" w:rsidP="00FA64C6">
      <w:pPr>
        <w:pStyle w:val="Paragraphe"/>
        <w:tabs>
          <w:tab w:val="clear" w:pos="786"/>
        </w:tabs>
        <w:spacing w:line="240" w:lineRule="auto"/>
        <w:ind w:left="0"/>
        <w:rPr>
          <w:rFonts w:cs="Arial"/>
          <w:szCs w:val="24"/>
          <w:lang w:eastAsia="fr-CA"/>
        </w:rPr>
      </w:pPr>
      <w:r w:rsidRPr="00DA06B2">
        <w:rPr>
          <w:rFonts w:cs="Arial"/>
        </w:rPr>
        <w:t>En</w:t>
      </w:r>
      <w:r w:rsidRPr="00F82CA7">
        <w:rPr>
          <w:rFonts w:cs="Arial"/>
          <w:szCs w:val="24"/>
          <w:lang w:eastAsia="fr-CA"/>
        </w:rPr>
        <w:t xml:space="preserve"> avril</w:t>
      </w:r>
      <w:r>
        <w:rPr>
          <w:rFonts w:cs="Arial"/>
          <w:szCs w:val="24"/>
          <w:lang w:eastAsia="fr-CA"/>
        </w:rPr>
        <w:t> </w:t>
      </w:r>
      <w:r w:rsidRPr="00F82CA7">
        <w:rPr>
          <w:rFonts w:cs="Arial"/>
          <w:szCs w:val="24"/>
          <w:lang w:eastAsia="fr-CA"/>
        </w:rPr>
        <w:t>2020, des intérêts de</w:t>
      </w:r>
      <w:r>
        <w:rPr>
          <w:rFonts w:cs="Arial"/>
          <w:szCs w:val="24"/>
          <w:lang w:eastAsia="fr-CA"/>
        </w:rPr>
        <w:t> </w:t>
      </w:r>
      <w:r w:rsidRPr="005161AC">
        <w:rPr>
          <w:rFonts w:cs="Arial"/>
          <w:szCs w:val="24"/>
          <w:lang w:eastAsia="fr-CA"/>
        </w:rPr>
        <w:t>725 516 $</w:t>
      </w:r>
      <w:r w:rsidRPr="00F82CA7">
        <w:rPr>
          <w:rFonts w:cs="Arial"/>
          <w:szCs w:val="24"/>
          <w:lang w:eastAsia="fr-CA"/>
        </w:rPr>
        <w:t xml:space="preserve"> dus par Huot ont été distribués aux commanditaires de FIISH. Or, ces paiements n’ont pas été financés par l’actif sous-jacent, mais </w:t>
      </w:r>
      <w:r w:rsidRPr="005161AC">
        <w:rPr>
          <w:rFonts w:cs="Arial"/>
          <w:szCs w:val="24"/>
          <w:lang w:eastAsia="fr-CA"/>
        </w:rPr>
        <w:t>à même de nouvelles mises de fonds</w:t>
      </w:r>
      <w:r w:rsidRPr="00F82CA7">
        <w:rPr>
          <w:rFonts w:cs="Arial"/>
          <w:szCs w:val="24"/>
          <w:lang w:eastAsia="fr-CA"/>
        </w:rPr>
        <w:t xml:space="preserve"> injectées par ces mêmes commanditaires</w:t>
      </w:r>
      <w:r>
        <w:rPr>
          <w:rStyle w:val="Appelnotedebasdep"/>
          <w:rFonts w:cs="Arial"/>
          <w:szCs w:val="24"/>
          <w:lang w:eastAsia="fr-CA"/>
        </w:rPr>
        <w:footnoteReference w:id="198"/>
      </w:r>
      <w:r>
        <w:rPr>
          <w:rFonts w:cs="Arial"/>
          <w:szCs w:val="24"/>
          <w:lang w:eastAsia="fr-CA"/>
        </w:rPr>
        <w:t>.</w:t>
      </w:r>
      <w:r w:rsidRPr="00F82CA7">
        <w:rPr>
          <w:rFonts w:cs="Arial"/>
          <w:szCs w:val="24"/>
          <w:lang w:eastAsia="fr-CA"/>
        </w:rPr>
        <w:t xml:space="preserve"> </w:t>
      </w:r>
    </w:p>
    <w:p w14:paraId="4B0FA2DF" w14:textId="77777777" w:rsidR="00FA64C6" w:rsidRPr="000347D0" w:rsidRDefault="00730A01" w:rsidP="00443B59">
      <w:pPr>
        <w:pStyle w:val="Paragraphedeliste"/>
        <w:numPr>
          <w:ilvl w:val="0"/>
          <w:numId w:val="93"/>
        </w:numPr>
        <w:spacing w:before="100" w:beforeAutospacing="1" w:after="100" w:afterAutospacing="1"/>
        <w:outlineLvl w:val="2"/>
        <w:rPr>
          <w:rFonts w:cs="Arial"/>
          <w:b/>
          <w:bCs/>
          <w:i/>
          <w:iCs/>
          <w:szCs w:val="24"/>
          <w:lang w:eastAsia="fr-CA"/>
        </w:rPr>
      </w:pPr>
      <w:bookmarkStart w:id="90" w:name="_Toc211495224"/>
      <w:bookmarkStart w:id="91" w:name="_Toc211600641"/>
      <w:r w:rsidRPr="000347D0">
        <w:rPr>
          <w:rFonts w:cs="Arial"/>
          <w:b/>
          <w:bCs/>
          <w:i/>
          <w:iCs/>
          <w:szCs w:val="24"/>
          <w:lang w:eastAsia="fr-CA"/>
        </w:rPr>
        <w:t>FIISH 2021 – Intérêts Huot (mai 2021, PSH-16)</w:t>
      </w:r>
      <w:bookmarkEnd w:id="90"/>
      <w:bookmarkEnd w:id="91"/>
    </w:p>
    <w:p w14:paraId="31E828AB" w14:textId="77777777" w:rsidR="00FA64C6" w:rsidRPr="000347D0" w:rsidRDefault="00730A01" w:rsidP="00FA64C6">
      <w:pPr>
        <w:pStyle w:val="Paragraphe"/>
        <w:tabs>
          <w:tab w:val="clear" w:pos="786"/>
        </w:tabs>
        <w:spacing w:line="240" w:lineRule="auto"/>
        <w:ind w:left="0"/>
        <w:rPr>
          <w:rFonts w:cs="Arial"/>
          <w:szCs w:val="24"/>
          <w:lang w:eastAsia="fr-CA"/>
        </w:rPr>
      </w:pPr>
      <w:r w:rsidRPr="000347D0">
        <w:rPr>
          <w:rFonts w:cs="Arial"/>
          <w:szCs w:val="24"/>
          <w:lang w:eastAsia="fr-CA"/>
        </w:rPr>
        <w:t>En mai</w:t>
      </w:r>
      <w:r>
        <w:rPr>
          <w:rFonts w:cs="Arial"/>
          <w:szCs w:val="24"/>
          <w:lang w:eastAsia="fr-CA"/>
        </w:rPr>
        <w:t> </w:t>
      </w:r>
      <w:r w:rsidRPr="000347D0">
        <w:rPr>
          <w:rFonts w:cs="Arial"/>
          <w:szCs w:val="24"/>
          <w:lang w:eastAsia="fr-CA"/>
        </w:rPr>
        <w:t>2021, la mécanique s’est répétée</w:t>
      </w:r>
      <w:r>
        <w:rPr>
          <w:rFonts w:cs="Arial"/>
          <w:szCs w:val="24"/>
          <w:lang w:eastAsia="fr-CA"/>
        </w:rPr>
        <w:t> </w:t>
      </w:r>
      <w:r w:rsidRPr="000347D0">
        <w:rPr>
          <w:rFonts w:cs="Arial"/>
          <w:szCs w:val="24"/>
          <w:lang w:eastAsia="fr-CA"/>
        </w:rPr>
        <w:t>: des intérêts de</w:t>
      </w:r>
      <w:r>
        <w:rPr>
          <w:rFonts w:cs="Arial"/>
          <w:szCs w:val="24"/>
          <w:lang w:eastAsia="fr-CA"/>
        </w:rPr>
        <w:t> </w:t>
      </w:r>
      <w:r w:rsidRPr="000347D0">
        <w:rPr>
          <w:rFonts w:cs="Arial"/>
          <w:szCs w:val="24"/>
          <w:lang w:eastAsia="fr-CA"/>
        </w:rPr>
        <w:t>635 186 $ ont été versés aux commanditaires, financés une fois de plus par leurs propres apports, et non par des flux économiques autonomes</w:t>
      </w:r>
      <w:r>
        <w:rPr>
          <w:rStyle w:val="Appelnotedebasdep"/>
          <w:rFonts w:cs="Arial"/>
          <w:szCs w:val="24"/>
          <w:lang w:eastAsia="fr-CA"/>
        </w:rPr>
        <w:footnoteReference w:id="199"/>
      </w:r>
      <w:r>
        <w:rPr>
          <w:rFonts w:cs="Arial"/>
          <w:szCs w:val="24"/>
          <w:lang w:eastAsia="fr-CA"/>
        </w:rPr>
        <w:t>.</w:t>
      </w:r>
    </w:p>
    <w:p w14:paraId="326CF1ED" w14:textId="77777777" w:rsidR="00FA64C6" w:rsidRPr="00E43B30" w:rsidRDefault="00730A01" w:rsidP="00443B59">
      <w:pPr>
        <w:pStyle w:val="Paragraphedeliste"/>
        <w:numPr>
          <w:ilvl w:val="0"/>
          <w:numId w:val="93"/>
        </w:numPr>
        <w:spacing w:before="100" w:beforeAutospacing="1" w:after="100" w:afterAutospacing="1"/>
        <w:outlineLvl w:val="2"/>
        <w:rPr>
          <w:rFonts w:cs="Arial"/>
          <w:b/>
          <w:bCs/>
          <w:i/>
          <w:iCs/>
          <w:szCs w:val="24"/>
          <w:lang w:eastAsia="fr-CA"/>
        </w:rPr>
      </w:pPr>
      <w:bookmarkStart w:id="92" w:name="_Toc211495225"/>
      <w:bookmarkStart w:id="93" w:name="_Toc211600642"/>
      <w:r w:rsidRPr="00E43B30">
        <w:rPr>
          <w:rFonts w:cs="Arial"/>
          <w:b/>
          <w:bCs/>
          <w:i/>
          <w:iCs/>
          <w:szCs w:val="24"/>
          <w:lang w:eastAsia="fr-CA"/>
        </w:rPr>
        <w:t>FIISH 2021 – Déboursé vers Q-12 (juillet 2021, PSH-16)</w:t>
      </w:r>
      <w:bookmarkEnd w:id="92"/>
      <w:bookmarkEnd w:id="93"/>
    </w:p>
    <w:p w14:paraId="1889E7B8" w14:textId="77777777" w:rsidR="00FA64C6" w:rsidRDefault="00730A01" w:rsidP="00FA64C6">
      <w:pPr>
        <w:pStyle w:val="Paragraphe"/>
        <w:tabs>
          <w:tab w:val="clear" w:pos="786"/>
        </w:tabs>
        <w:spacing w:line="240" w:lineRule="auto"/>
        <w:ind w:left="0"/>
        <w:rPr>
          <w:rFonts w:cs="Arial"/>
          <w:szCs w:val="24"/>
          <w:lang w:eastAsia="fr-CA"/>
        </w:rPr>
      </w:pPr>
      <w:r w:rsidRPr="00F82CA7">
        <w:rPr>
          <w:rFonts w:cs="Arial"/>
          <w:szCs w:val="24"/>
          <w:lang w:eastAsia="fr-CA"/>
        </w:rPr>
        <w:t>En juillet</w:t>
      </w:r>
      <w:r>
        <w:rPr>
          <w:rFonts w:cs="Arial"/>
          <w:szCs w:val="24"/>
          <w:lang w:eastAsia="fr-CA"/>
        </w:rPr>
        <w:t> </w:t>
      </w:r>
      <w:r w:rsidRPr="00F82CA7">
        <w:rPr>
          <w:rFonts w:cs="Arial"/>
          <w:szCs w:val="24"/>
          <w:lang w:eastAsia="fr-CA"/>
        </w:rPr>
        <w:t xml:space="preserve">2021, FIISH a effectué un </w:t>
      </w:r>
      <w:r w:rsidRPr="005161AC">
        <w:rPr>
          <w:rFonts w:cs="Arial"/>
          <w:szCs w:val="24"/>
          <w:lang w:eastAsia="fr-CA"/>
        </w:rPr>
        <w:t>déboursé de</w:t>
      </w:r>
      <w:r>
        <w:rPr>
          <w:rFonts w:cs="Arial"/>
          <w:szCs w:val="24"/>
          <w:lang w:eastAsia="fr-CA"/>
        </w:rPr>
        <w:t> </w:t>
      </w:r>
      <w:r w:rsidRPr="005161AC">
        <w:rPr>
          <w:rFonts w:cs="Arial"/>
          <w:szCs w:val="24"/>
          <w:lang w:eastAsia="fr-CA"/>
        </w:rPr>
        <w:t>2,9 M$</w:t>
      </w:r>
      <w:r w:rsidRPr="00F82CA7">
        <w:rPr>
          <w:rFonts w:cs="Arial"/>
          <w:szCs w:val="24"/>
          <w:lang w:eastAsia="fr-CA"/>
        </w:rPr>
        <w:t xml:space="preserve"> en faveur de Q</w:t>
      </w:r>
      <w:r>
        <w:rPr>
          <w:rFonts w:cs="Arial"/>
          <w:szCs w:val="24"/>
          <w:lang w:eastAsia="fr-CA"/>
        </w:rPr>
        <w:noBreakHyphen/>
      </w:r>
      <w:r w:rsidRPr="00F82CA7">
        <w:rPr>
          <w:rFonts w:cs="Arial"/>
          <w:szCs w:val="24"/>
          <w:lang w:eastAsia="fr-CA"/>
        </w:rPr>
        <w:t xml:space="preserve">12. Loin de financer de nouveaux projets, cette somme a été utilisée pour le </w:t>
      </w:r>
      <w:r w:rsidRPr="005161AC">
        <w:rPr>
          <w:rFonts w:cs="Arial"/>
          <w:szCs w:val="24"/>
          <w:lang w:eastAsia="fr-CA"/>
        </w:rPr>
        <w:t>remboursement d’anciens prêts Q</w:t>
      </w:r>
      <w:r>
        <w:rPr>
          <w:rFonts w:cs="Arial"/>
          <w:szCs w:val="24"/>
          <w:lang w:eastAsia="fr-CA"/>
        </w:rPr>
        <w:noBreakHyphen/>
      </w:r>
      <w:r w:rsidRPr="005161AC">
        <w:rPr>
          <w:rFonts w:cs="Arial"/>
          <w:szCs w:val="24"/>
          <w:lang w:eastAsia="fr-CA"/>
        </w:rPr>
        <w:t>12</w:t>
      </w:r>
      <w:r w:rsidRPr="00F82CA7">
        <w:rPr>
          <w:rFonts w:cs="Arial"/>
          <w:szCs w:val="24"/>
          <w:lang w:eastAsia="fr-CA"/>
        </w:rPr>
        <w:t xml:space="preserve">, notamment </w:t>
      </w:r>
      <w:r w:rsidRPr="005161AC">
        <w:rPr>
          <w:rFonts w:cs="Arial"/>
          <w:szCs w:val="24"/>
          <w:lang w:eastAsia="fr-CA"/>
        </w:rPr>
        <w:t>Morille</w:t>
      </w:r>
      <w:r w:rsidRPr="00F82CA7">
        <w:rPr>
          <w:rFonts w:cs="Arial"/>
          <w:szCs w:val="24"/>
          <w:lang w:eastAsia="fr-CA"/>
        </w:rPr>
        <w:t xml:space="preserve"> et </w:t>
      </w:r>
      <w:r w:rsidRPr="005161AC">
        <w:rPr>
          <w:rFonts w:cs="Arial"/>
          <w:szCs w:val="24"/>
          <w:lang w:eastAsia="fr-CA"/>
        </w:rPr>
        <w:t>Aventura IX</w:t>
      </w:r>
      <w:r w:rsidRPr="00F82CA7">
        <w:rPr>
          <w:rFonts w:cs="Arial"/>
          <w:szCs w:val="24"/>
          <w:lang w:eastAsia="fr-CA"/>
        </w:rPr>
        <w:t>. Les fonds provenaient directement des mises des commanditaires de FIISH</w:t>
      </w:r>
      <w:r>
        <w:rPr>
          <w:rStyle w:val="Appelnotedebasdep"/>
          <w:rFonts w:cs="Arial"/>
          <w:szCs w:val="24"/>
          <w:lang w:eastAsia="fr-CA"/>
        </w:rPr>
        <w:footnoteReference w:id="200"/>
      </w:r>
      <w:r>
        <w:rPr>
          <w:rFonts w:cs="Arial"/>
          <w:szCs w:val="24"/>
          <w:lang w:eastAsia="fr-CA"/>
        </w:rPr>
        <w:t>.</w:t>
      </w:r>
      <w:r w:rsidRPr="00F82CA7">
        <w:rPr>
          <w:rFonts w:cs="Arial"/>
          <w:szCs w:val="24"/>
          <w:lang w:eastAsia="fr-CA"/>
        </w:rPr>
        <w:t xml:space="preserve"> </w:t>
      </w:r>
      <w:bookmarkStart w:id="94" w:name="_Toc211495226"/>
    </w:p>
    <w:p w14:paraId="7D8B306B" w14:textId="77777777" w:rsidR="00FA64C6" w:rsidRPr="00600B87" w:rsidRDefault="00730A01" w:rsidP="00443B59">
      <w:pPr>
        <w:pStyle w:val="Paragraphe"/>
        <w:numPr>
          <w:ilvl w:val="0"/>
          <w:numId w:val="89"/>
        </w:numPr>
        <w:spacing w:line="240" w:lineRule="auto"/>
        <w:ind w:left="709" w:hanging="426"/>
        <w:rPr>
          <w:rFonts w:cs="Arial"/>
          <w:szCs w:val="24"/>
          <w:lang w:eastAsia="fr-CA"/>
        </w:rPr>
      </w:pPr>
      <w:r w:rsidRPr="00600B87">
        <w:rPr>
          <w:rFonts w:cs="Arial"/>
          <w:b/>
          <w:bCs/>
          <w:i/>
          <w:iCs/>
          <w:szCs w:val="24"/>
          <w:lang w:eastAsia="fr-CA"/>
        </w:rPr>
        <w:t>Remboursement du prêt P040 – Aventura IX (2021)</w:t>
      </w:r>
      <w:bookmarkEnd w:id="94"/>
    </w:p>
    <w:p w14:paraId="5FCD6A03" w14:textId="77777777" w:rsidR="00FA64C6" w:rsidRDefault="00730A01" w:rsidP="00FA64C6">
      <w:pPr>
        <w:pStyle w:val="Paragraphe"/>
        <w:tabs>
          <w:tab w:val="clear" w:pos="786"/>
        </w:tabs>
        <w:spacing w:line="240" w:lineRule="auto"/>
        <w:ind w:left="0"/>
        <w:rPr>
          <w:rFonts w:cs="Arial"/>
          <w:szCs w:val="24"/>
          <w:lang w:eastAsia="fr-CA"/>
        </w:rPr>
      </w:pPr>
      <w:r w:rsidRPr="00F82CA7">
        <w:rPr>
          <w:rFonts w:cs="Arial"/>
          <w:szCs w:val="24"/>
          <w:lang w:eastAsia="fr-CA"/>
        </w:rPr>
        <w:t>KPMG a identifié qu’en</w:t>
      </w:r>
      <w:r>
        <w:rPr>
          <w:rFonts w:cs="Arial"/>
          <w:szCs w:val="24"/>
          <w:lang w:eastAsia="fr-CA"/>
        </w:rPr>
        <w:t> </w:t>
      </w:r>
      <w:r w:rsidRPr="00F82CA7">
        <w:rPr>
          <w:rFonts w:cs="Arial"/>
          <w:szCs w:val="24"/>
          <w:lang w:eastAsia="fr-CA"/>
        </w:rPr>
        <w:t xml:space="preserve">2021, un total d’environ </w:t>
      </w:r>
      <w:r w:rsidRPr="005161AC">
        <w:rPr>
          <w:rFonts w:cs="Arial"/>
          <w:szCs w:val="24"/>
          <w:lang w:eastAsia="fr-CA"/>
        </w:rPr>
        <w:t>3,8 M$</w:t>
      </w:r>
      <w:r w:rsidRPr="00F82CA7">
        <w:rPr>
          <w:rFonts w:cs="Arial"/>
          <w:szCs w:val="24"/>
          <w:lang w:eastAsia="fr-CA"/>
        </w:rPr>
        <w:t xml:space="preserve"> a été transféré de FIISH vers Q</w:t>
      </w:r>
      <w:r>
        <w:rPr>
          <w:rFonts w:cs="Arial"/>
          <w:szCs w:val="24"/>
          <w:lang w:eastAsia="fr-CA"/>
        </w:rPr>
        <w:noBreakHyphen/>
      </w:r>
      <w:r w:rsidRPr="00F82CA7">
        <w:rPr>
          <w:rFonts w:cs="Arial"/>
          <w:szCs w:val="24"/>
          <w:lang w:eastAsia="fr-CA"/>
        </w:rPr>
        <w:t>12, en partie directement (</w:t>
      </w:r>
      <w:r w:rsidRPr="005161AC">
        <w:rPr>
          <w:rFonts w:cs="Arial"/>
          <w:szCs w:val="24"/>
          <w:lang w:eastAsia="fr-CA"/>
        </w:rPr>
        <w:t>450 000 $)</w:t>
      </w:r>
      <w:r w:rsidRPr="00F82CA7">
        <w:rPr>
          <w:rFonts w:cs="Arial"/>
          <w:szCs w:val="24"/>
          <w:lang w:eastAsia="fr-CA"/>
        </w:rPr>
        <w:t xml:space="preserve"> et en partie par l’intermédiaire de sociétés liées (</w:t>
      </w:r>
      <w:r w:rsidRPr="005161AC">
        <w:rPr>
          <w:rFonts w:cs="Arial"/>
          <w:szCs w:val="24"/>
          <w:lang w:eastAsia="fr-CA"/>
        </w:rPr>
        <w:t>8096 et 6646) pour 3,35 M$.</w:t>
      </w:r>
      <w:r w:rsidRPr="00F82CA7">
        <w:rPr>
          <w:rFonts w:cs="Arial"/>
          <w:szCs w:val="24"/>
          <w:lang w:eastAsia="fr-CA"/>
        </w:rPr>
        <w:t xml:space="preserve"> Ces fonds ont servi à rembourser le capital dû sur le prêt </w:t>
      </w:r>
      <w:r w:rsidRPr="005161AC">
        <w:rPr>
          <w:rFonts w:cs="Arial"/>
          <w:szCs w:val="24"/>
          <w:lang w:eastAsia="fr-CA"/>
        </w:rPr>
        <w:t>P040 – Aventura IX</w:t>
      </w:r>
      <w:r w:rsidRPr="00F82CA7">
        <w:rPr>
          <w:rFonts w:cs="Arial"/>
          <w:szCs w:val="24"/>
          <w:lang w:eastAsia="fr-CA"/>
        </w:rPr>
        <w:t>, sans qu’aucun flux autonome de l’emprunteur n’y soit affecté</w:t>
      </w:r>
      <w:r>
        <w:rPr>
          <w:rStyle w:val="Appelnotedebasdep"/>
          <w:rFonts w:cs="Arial"/>
          <w:szCs w:val="24"/>
          <w:lang w:eastAsia="fr-CA"/>
        </w:rPr>
        <w:footnoteReference w:id="201"/>
      </w:r>
      <w:bookmarkStart w:id="95" w:name="_Toc211495227"/>
      <w:r>
        <w:rPr>
          <w:rFonts w:cs="Arial"/>
          <w:szCs w:val="24"/>
          <w:lang w:eastAsia="fr-CA"/>
        </w:rPr>
        <w:t xml:space="preserve">. </w:t>
      </w:r>
    </w:p>
    <w:p w14:paraId="6668D9B7" w14:textId="77777777" w:rsidR="00FA64C6" w:rsidRPr="00600B87" w:rsidRDefault="00730A01" w:rsidP="00443B59">
      <w:pPr>
        <w:pStyle w:val="Paragraphe"/>
        <w:numPr>
          <w:ilvl w:val="0"/>
          <w:numId w:val="89"/>
        </w:numPr>
        <w:spacing w:line="240" w:lineRule="auto"/>
        <w:ind w:left="709" w:hanging="426"/>
        <w:rPr>
          <w:rFonts w:cs="Arial"/>
          <w:szCs w:val="24"/>
          <w:lang w:eastAsia="fr-CA"/>
        </w:rPr>
      </w:pPr>
      <w:r w:rsidRPr="00600B87">
        <w:rPr>
          <w:rFonts w:cs="Arial"/>
          <w:b/>
          <w:bCs/>
          <w:i/>
          <w:iCs/>
          <w:szCs w:val="24"/>
          <w:lang w:eastAsia="fr-CA"/>
        </w:rPr>
        <w:t>Remboursement du prêt Morille (2021)</w:t>
      </w:r>
      <w:bookmarkEnd w:id="95"/>
    </w:p>
    <w:p w14:paraId="5F753F82" w14:textId="77777777" w:rsidR="00FA64C6" w:rsidRDefault="00730A01" w:rsidP="00FA64C6">
      <w:pPr>
        <w:pStyle w:val="Paragraphe"/>
        <w:tabs>
          <w:tab w:val="clear" w:pos="786"/>
        </w:tabs>
        <w:spacing w:line="240" w:lineRule="auto"/>
        <w:ind w:left="0"/>
        <w:rPr>
          <w:rFonts w:cs="Arial"/>
          <w:szCs w:val="24"/>
          <w:lang w:eastAsia="fr-CA"/>
        </w:rPr>
      </w:pPr>
      <w:r w:rsidRPr="00F82CA7">
        <w:rPr>
          <w:rFonts w:cs="Arial"/>
          <w:szCs w:val="24"/>
          <w:lang w:eastAsia="fr-CA"/>
        </w:rPr>
        <w:t xml:space="preserve">Enfin, le rapport relève que le remboursement du prêt </w:t>
      </w:r>
      <w:r w:rsidRPr="005161AC">
        <w:rPr>
          <w:rFonts w:cs="Arial"/>
          <w:szCs w:val="24"/>
          <w:lang w:eastAsia="fr-CA"/>
        </w:rPr>
        <w:t>Morille</w:t>
      </w:r>
      <w:r w:rsidRPr="00F82CA7">
        <w:rPr>
          <w:rFonts w:cs="Arial"/>
          <w:szCs w:val="24"/>
          <w:lang w:eastAsia="fr-CA"/>
        </w:rPr>
        <w:t>, d’un montant de</w:t>
      </w:r>
      <w:r>
        <w:rPr>
          <w:rFonts w:cs="Arial"/>
          <w:szCs w:val="24"/>
          <w:lang w:eastAsia="fr-CA"/>
        </w:rPr>
        <w:t> </w:t>
      </w:r>
      <w:r w:rsidRPr="005161AC">
        <w:rPr>
          <w:rFonts w:cs="Arial"/>
          <w:szCs w:val="24"/>
          <w:lang w:eastAsia="fr-CA"/>
        </w:rPr>
        <w:t>2,45 M$</w:t>
      </w:r>
      <w:r w:rsidRPr="00F82CA7">
        <w:rPr>
          <w:rFonts w:cs="Arial"/>
          <w:szCs w:val="24"/>
          <w:lang w:eastAsia="fr-CA"/>
        </w:rPr>
        <w:t xml:space="preserve">, a été effectué grâce à des </w:t>
      </w:r>
      <w:r w:rsidRPr="005161AC">
        <w:rPr>
          <w:rFonts w:cs="Arial"/>
          <w:szCs w:val="24"/>
          <w:lang w:eastAsia="fr-CA"/>
        </w:rPr>
        <w:t>transferts circulaires entre FIISH et Q-12</w:t>
      </w:r>
      <w:r w:rsidRPr="00F82CA7">
        <w:rPr>
          <w:rFonts w:cs="Arial"/>
          <w:szCs w:val="24"/>
          <w:lang w:eastAsia="fr-CA"/>
        </w:rPr>
        <w:t>, de sorte que les commanditaires ont été payés avec leurs propres apports, plutôt qu’avec les revenus d’un projet immobilier</w:t>
      </w:r>
      <w:r>
        <w:rPr>
          <w:rStyle w:val="Appelnotedebasdep"/>
          <w:rFonts w:cs="Arial"/>
          <w:szCs w:val="24"/>
          <w:lang w:eastAsia="fr-CA"/>
        </w:rPr>
        <w:footnoteReference w:id="202"/>
      </w:r>
      <w:bookmarkStart w:id="96" w:name="_Toc211495228"/>
      <w:r>
        <w:rPr>
          <w:rFonts w:cs="Arial"/>
          <w:szCs w:val="24"/>
          <w:lang w:eastAsia="fr-CA"/>
        </w:rPr>
        <w:t>.</w:t>
      </w:r>
    </w:p>
    <w:p w14:paraId="30124BFF" w14:textId="77777777" w:rsidR="00FA64C6" w:rsidRPr="00270F35" w:rsidRDefault="00730A01" w:rsidP="00443B59">
      <w:pPr>
        <w:pStyle w:val="Paragraphe"/>
        <w:numPr>
          <w:ilvl w:val="0"/>
          <w:numId w:val="89"/>
        </w:numPr>
        <w:spacing w:line="240" w:lineRule="auto"/>
        <w:ind w:left="709" w:hanging="426"/>
        <w:rPr>
          <w:rFonts w:cs="Arial"/>
          <w:szCs w:val="24"/>
          <w:lang w:eastAsia="fr-CA"/>
        </w:rPr>
      </w:pPr>
      <w:r w:rsidRPr="00270F35">
        <w:rPr>
          <w:b/>
          <w:bCs/>
          <w:i/>
          <w:iCs/>
          <w:lang w:eastAsia="fr-CA"/>
        </w:rPr>
        <w:t>Prêt Transrapide – Intérêts (février 2022, PQ-15.1)</w:t>
      </w:r>
      <w:bookmarkEnd w:id="96"/>
    </w:p>
    <w:p w14:paraId="48FA5372" w14:textId="77777777" w:rsidR="00FA64C6" w:rsidRDefault="00730A01" w:rsidP="00FA64C6">
      <w:pPr>
        <w:pStyle w:val="Paragraphe"/>
        <w:tabs>
          <w:tab w:val="clear" w:pos="786"/>
        </w:tabs>
        <w:spacing w:line="240" w:lineRule="auto"/>
        <w:ind w:left="0"/>
        <w:rPr>
          <w:rFonts w:cs="Arial"/>
          <w:szCs w:val="24"/>
          <w:lang w:eastAsia="fr-CA"/>
        </w:rPr>
      </w:pPr>
      <w:r w:rsidRPr="00F82CA7">
        <w:rPr>
          <w:rFonts w:cs="Arial"/>
          <w:szCs w:val="24"/>
          <w:lang w:eastAsia="fr-CA"/>
        </w:rPr>
        <w:t>Le prêt d’urgence Transrapide (P071), conclu en février</w:t>
      </w:r>
      <w:r>
        <w:rPr>
          <w:rFonts w:cs="Arial"/>
          <w:szCs w:val="24"/>
          <w:lang w:eastAsia="fr-CA"/>
        </w:rPr>
        <w:t> </w:t>
      </w:r>
      <w:r w:rsidRPr="00F82CA7">
        <w:rPr>
          <w:rFonts w:cs="Arial"/>
          <w:szCs w:val="24"/>
          <w:lang w:eastAsia="fr-CA"/>
        </w:rPr>
        <w:t>2022, a généré des intérêts de</w:t>
      </w:r>
      <w:r>
        <w:rPr>
          <w:rFonts w:cs="Arial"/>
          <w:szCs w:val="24"/>
          <w:lang w:eastAsia="fr-CA"/>
        </w:rPr>
        <w:t> </w:t>
      </w:r>
      <w:r w:rsidRPr="005161AC">
        <w:rPr>
          <w:rFonts w:cs="Arial"/>
          <w:szCs w:val="24"/>
          <w:lang w:eastAsia="fr-CA"/>
        </w:rPr>
        <w:t>761 419 $</w:t>
      </w:r>
      <w:r w:rsidRPr="00F82CA7">
        <w:rPr>
          <w:rFonts w:cs="Arial"/>
          <w:szCs w:val="24"/>
          <w:lang w:eastAsia="fr-CA"/>
        </w:rPr>
        <w:t xml:space="preserve"> payés aux commanditaires de FIISH. Ces distributions ont été financées non pas par les revenus du projet, mais par </w:t>
      </w:r>
      <w:r w:rsidRPr="005161AC">
        <w:rPr>
          <w:rFonts w:cs="Arial"/>
          <w:szCs w:val="24"/>
          <w:lang w:eastAsia="fr-CA"/>
        </w:rPr>
        <w:t>de nouveaux apports injectés via Q</w:t>
      </w:r>
      <w:r>
        <w:rPr>
          <w:rFonts w:cs="Arial"/>
          <w:szCs w:val="24"/>
          <w:lang w:eastAsia="fr-CA"/>
        </w:rPr>
        <w:noBreakHyphen/>
      </w:r>
      <w:r w:rsidRPr="005161AC">
        <w:rPr>
          <w:rFonts w:cs="Arial"/>
          <w:szCs w:val="24"/>
          <w:lang w:eastAsia="fr-CA"/>
        </w:rPr>
        <w:t>12</w:t>
      </w:r>
      <w:r>
        <w:rPr>
          <w:rFonts w:cs="Arial"/>
          <w:szCs w:val="24"/>
          <w:lang w:eastAsia="fr-CA"/>
        </w:rPr>
        <w:t>. Les fonds avancés ont donc directement servi au paiement d’intérêts aux deux groupes d’investisseurs, sans contrepartie économique</w:t>
      </w:r>
      <w:r>
        <w:rPr>
          <w:rStyle w:val="Appelnotedebasdep"/>
          <w:rFonts w:cs="Arial"/>
          <w:szCs w:val="24"/>
          <w:lang w:eastAsia="fr-CA"/>
        </w:rPr>
        <w:footnoteReference w:id="203"/>
      </w:r>
      <w:r>
        <w:rPr>
          <w:rFonts w:cs="Arial"/>
          <w:szCs w:val="24"/>
          <w:lang w:eastAsia="fr-CA"/>
        </w:rPr>
        <w:t>.</w:t>
      </w:r>
    </w:p>
    <w:p w14:paraId="46602623" w14:textId="77777777" w:rsidR="00FA64C6" w:rsidRPr="00270F35" w:rsidRDefault="00730A01" w:rsidP="00443B59">
      <w:pPr>
        <w:pStyle w:val="Paragraphe"/>
        <w:numPr>
          <w:ilvl w:val="0"/>
          <w:numId w:val="89"/>
        </w:numPr>
        <w:spacing w:line="240" w:lineRule="auto"/>
        <w:ind w:left="709" w:hanging="426"/>
        <w:rPr>
          <w:rFonts w:cs="Arial"/>
          <w:b/>
          <w:bCs/>
          <w:i/>
          <w:iCs/>
          <w:szCs w:val="24"/>
          <w:lang w:eastAsia="fr-CA"/>
        </w:rPr>
      </w:pPr>
      <w:bookmarkStart w:id="97" w:name="_Toc211495229"/>
      <w:bookmarkStart w:id="98" w:name="_Toc211600643"/>
      <w:r w:rsidRPr="00270F35">
        <w:rPr>
          <w:rFonts w:cs="Arial"/>
          <w:b/>
          <w:bCs/>
          <w:i/>
          <w:iCs/>
          <w:szCs w:val="24"/>
          <w:lang w:eastAsia="fr-CA"/>
        </w:rPr>
        <w:t>Q-12 – Intérêts Huot (mars 2022, PSH-22)</w:t>
      </w:r>
      <w:bookmarkEnd w:id="97"/>
      <w:bookmarkEnd w:id="98"/>
    </w:p>
    <w:p w14:paraId="71A3F1DE" w14:textId="77777777" w:rsidR="00FA64C6" w:rsidRPr="00270F35" w:rsidRDefault="00730A01" w:rsidP="00FA64C6">
      <w:pPr>
        <w:pStyle w:val="Paragraphe"/>
        <w:tabs>
          <w:tab w:val="clear" w:pos="786"/>
        </w:tabs>
        <w:spacing w:line="240" w:lineRule="auto"/>
        <w:ind w:left="0"/>
        <w:rPr>
          <w:rFonts w:cs="Arial"/>
          <w:szCs w:val="24"/>
          <w:lang w:eastAsia="fr-CA"/>
        </w:rPr>
      </w:pPr>
      <w:r w:rsidRPr="00F82CA7">
        <w:rPr>
          <w:rFonts w:cs="Arial"/>
          <w:szCs w:val="24"/>
          <w:lang w:eastAsia="fr-CA"/>
        </w:rPr>
        <w:t>En mars</w:t>
      </w:r>
      <w:r>
        <w:rPr>
          <w:rFonts w:cs="Arial"/>
          <w:szCs w:val="24"/>
          <w:lang w:eastAsia="fr-CA"/>
        </w:rPr>
        <w:t> </w:t>
      </w:r>
      <w:r w:rsidRPr="00F82CA7">
        <w:rPr>
          <w:rFonts w:cs="Arial"/>
          <w:szCs w:val="24"/>
          <w:lang w:eastAsia="fr-CA"/>
        </w:rPr>
        <w:t>2022, Q-12 a servi des intérêts de</w:t>
      </w:r>
      <w:r>
        <w:rPr>
          <w:rFonts w:cs="Arial"/>
          <w:szCs w:val="24"/>
          <w:lang w:eastAsia="fr-CA"/>
        </w:rPr>
        <w:t> </w:t>
      </w:r>
      <w:r w:rsidRPr="005161AC">
        <w:rPr>
          <w:rFonts w:cs="Arial"/>
          <w:szCs w:val="24"/>
          <w:lang w:eastAsia="fr-CA"/>
        </w:rPr>
        <w:t>710 598 $</w:t>
      </w:r>
      <w:r w:rsidRPr="00F82CA7">
        <w:rPr>
          <w:rFonts w:cs="Arial"/>
          <w:szCs w:val="24"/>
          <w:lang w:eastAsia="fr-CA"/>
        </w:rPr>
        <w:t xml:space="preserve"> à ses commanditaires, mais les fonds provenaient </w:t>
      </w:r>
      <w:r w:rsidRPr="005161AC">
        <w:rPr>
          <w:rFonts w:cs="Arial"/>
          <w:szCs w:val="24"/>
          <w:lang w:eastAsia="fr-CA"/>
        </w:rPr>
        <w:t>de transferts acheminés par FIISH</w:t>
      </w:r>
      <w:r w:rsidRPr="00F82CA7">
        <w:rPr>
          <w:rFonts w:cs="Arial"/>
          <w:szCs w:val="24"/>
          <w:lang w:eastAsia="fr-CA"/>
        </w:rPr>
        <w:t>, démontrant que les deux structures fonctionnaient de façon intégrée dans le recyclage des capitaux</w:t>
      </w:r>
      <w:r>
        <w:rPr>
          <w:rFonts w:cs="Arial"/>
          <w:szCs w:val="24"/>
          <w:lang w:eastAsia="fr-CA"/>
        </w:rPr>
        <w:t>. Un véhicule d’investissement a ainsi été utilisé pour alimenter artificiellement les rendements d’un autre</w:t>
      </w:r>
      <w:r>
        <w:rPr>
          <w:rStyle w:val="Appelnotedebasdep"/>
          <w:rFonts w:cs="Arial"/>
          <w:szCs w:val="24"/>
          <w:lang w:eastAsia="fr-CA"/>
        </w:rPr>
        <w:footnoteReference w:id="204"/>
      </w:r>
      <w:r>
        <w:rPr>
          <w:rFonts w:cs="Arial"/>
          <w:szCs w:val="24"/>
          <w:lang w:eastAsia="fr-CA"/>
        </w:rPr>
        <w:t>.</w:t>
      </w:r>
      <w:r w:rsidRPr="00270F35">
        <w:rPr>
          <w:rFonts w:cs="Arial"/>
          <w:b/>
          <w:bCs/>
          <w:i/>
          <w:iCs/>
          <w:szCs w:val="24"/>
          <w:lang w:eastAsia="fr-CA"/>
        </w:rPr>
        <w:t xml:space="preserve"> </w:t>
      </w:r>
    </w:p>
    <w:p w14:paraId="3982B3BB" w14:textId="77777777" w:rsidR="00FA64C6" w:rsidRPr="00270F35" w:rsidRDefault="00730A01" w:rsidP="00443B59">
      <w:pPr>
        <w:pStyle w:val="Paragraphe"/>
        <w:numPr>
          <w:ilvl w:val="0"/>
          <w:numId w:val="89"/>
        </w:numPr>
        <w:spacing w:line="240" w:lineRule="auto"/>
        <w:ind w:left="709" w:hanging="426"/>
        <w:rPr>
          <w:rFonts w:cs="Arial"/>
          <w:szCs w:val="24"/>
          <w:lang w:eastAsia="fr-CA"/>
        </w:rPr>
      </w:pPr>
      <w:bookmarkStart w:id="99" w:name="_Toc211495230"/>
      <w:r w:rsidRPr="00270F35">
        <w:rPr>
          <w:rFonts w:cs="Arial"/>
          <w:b/>
          <w:bCs/>
          <w:i/>
          <w:iCs/>
          <w:szCs w:val="24"/>
          <w:lang w:eastAsia="fr-CA"/>
        </w:rPr>
        <w:t>FIISH 2022 – Intérêts Huot (mars-avril 2022, PSH-22)</w:t>
      </w:r>
      <w:bookmarkEnd w:id="99"/>
    </w:p>
    <w:p w14:paraId="6635DDEE" w14:textId="77777777" w:rsidR="00FA64C6" w:rsidRPr="00F82CA7" w:rsidRDefault="00730A01" w:rsidP="00FA64C6">
      <w:pPr>
        <w:pStyle w:val="Paragraphe"/>
        <w:tabs>
          <w:tab w:val="clear" w:pos="786"/>
        </w:tabs>
        <w:spacing w:line="240" w:lineRule="auto"/>
        <w:ind w:left="0"/>
        <w:rPr>
          <w:rFonts w:cs="Arial"/>
          <w:szCs w:val="24"/>
          <w:lang w:eastAsia="fr-CA"/>
        </w:rPr>
      </w:pPr>
      <w:r w:rsidRPr="00F82CA7">
        <w:rPr>
          <w:rFonts w:cs="Arial"/>
          <w:szCs w:val="24"/>
          <w:lang w:eastAsia="fr-CA"/>
        </w:rPr>
        <w:t>Au printemps</w:t>
      </w:r>
      <w:r>
        <w:rPr>
          <w:rFonts w:cs="Arial"/>
          <w:szCs w:val="24"/>
          <w:lang w:eastAsia="fr-CA"/>
        </w:rPr>
        <w:t> </w:t>
      </w:r>
      <w:r w:rsidRPr="00F82CA7">
        <w:rPr>
          <w:rFonts w:cs="Arial"/>
          <w:szCs w:val="24"/>
          <w:lang w:eastAsia="fr-CA"/>
        </w:rPr>
        <w:t xml:space="preserve">2022, des distributions d’intérêts totalisant </w:t>
      </w:r>
      <w:r w:rsidRPr="005161AC">
        <w:rPr>
          <w:rFonts w:cs="Arial"/>
          <w:szCs w:val="24"/>
          <w:lang w:eastAsia="fr-CA"/>
        </w:rPr>
        <w:t>1 719 450 $</w:t>
      </w:r>
      <w:r w:rsidRPr="00F82CA7">
        <w:rPr>
          <w:rFonts w:cs="Arial"/>
          <w:szCs w:val="24"/>
          <w:lang w:eastAsia="fr-CA"/>
        </w:rPr>
        <w:t xml:space="preserve"> ont été versées aux commanditaires de FIISH. Là encore, ces paiements ont été effectués </w:t>
      </w:r>
      <w:r w:rsidRPr="005161AC">
        <w:rPr>
          <w:rFonts w:cs="Arial"/>
          <w:szCs w:val="24"/>
          <w:lang w:eastAsia="fr-CA"/>
        </w:rPr>
        <w:t>grâce à de nouveaux apports,</w:t>
      </w:r>
      <w:r w:rsidRPr="00F82CA7">
        <w:rPr>
          <w:rFonts w:cs="Arial"/>
          <w:szCs w:val="24"/>
          <w:lang w:eastAsia="fr-CA"/>
        </w:rPr>
        <w:t xml:space="preserve"> confirmant le caractère Ponzi de l’opération</w:t>
      </w:r>
      <w:r>
        <w:rPr>
          <w:rStyle w:val="Appelnotedebasdep"/>
          <w:rFonts w:cs="Arial"/>
          <w:szCs w:val="24"/>
          <w:lang w:eastAsia="fr-CA"/>
        </w:rPr>
        <w:footnoteReference w:id="205"/>
      </w:r>
      <w:r>
        <w:rPr>
          <w:rFonts w:cs="Arial"/>
          <w:szCs w:val="24"/>
          <w:lang w:eastAsia="fr-CA"/>
        </w:rPr>
        <w:t>.</w:t>
      </w:r>
    </w:p>
    <w:p w14:paraId="3B8FDADD" w14:textId="77777777" w:rsidR="00FA64C6" w:rsidRPr="00270F35" w:rsidRDefault="00730A01" w:rsidP="00443B59">
      <w:pPr>
        <w:pStyle w:val="Paragraphe"/>
        <w:numPr>
          <w:ilvl w:val="0"/>
          <w:numId w:val="89"/>
        </w:numPr>
        <w:spacing w:line="240" w:lineRule="auto"/>
        <w:ind w:left="709" w:hanging="426"/>
        <w:rPr>
          <w:rFonts w:cs="Arial"/>
          <w:b/>
          <w:bCs/>
          <w:i/>
          <w:iCs/>
          <w:szCs w:val="24"/>
          <w:lang w:eastAsia="fr-CA"/>
        </w:rPr>
      </w:pPr>
      <w:bookmarkStart w:id="100" w:name="_Toc211495231"/>
      <w:bookmarkStart w:id="101" w:name="_Toc211600644"/>
      <w:r w:rsidRPr="00270F35">
        <w:rPr>
          <w:rFonts w:cs="Arial"/>
          <w:b/>
          <w:bCs/>
          <w:i/>
          <w:iCs/>
          <w:szCs w:val="24"/>
          <w:lang w:eastAsia="fr-CA"/>
        </w:rPr>
        <w:t>Prêt P100 de Q</w:t>
      </w:r>
      <w:r w:rsidRPr="00270F35">
        <w:rPr>
          <w:rFonts w:cs="Arial"/>
          <w:b/>
          <w:bCs/>
          <w:i/>
          <w:iCs/>
          <w:szCs w:val="24"/>
          <w:lang w:eastAsia="fr-CA"/>
        </w:rPr>
        <w:noBreakHyphen/>
        <w:t>12 – Huot (octobre 2022, PQ-16.2)</w:t>
      </w:r>
      <w:bookmarkEnd w:id="100"/>
      <w:bookmarkEnd w:id="101"/>
    </w:p>
    <w:p w14:paraId="18CC1D3D" w14:textId="77777777" w:rsidR="00FF736E" w:rsidRDefault="00730A01" w:rsidP="00FA64C6">
      <w:pPr>
        <w:pStyle w:val="Paragraphe"/>
        <w:tabs>
          <w:tab w:val="clear" w:pos="786"/>
        </w:tabs>
        <w:spacing w:line="240" w:lineRule="auto"/>
        <w:ind w:left="0"/>
        <w:rPr>
          <w:rFonts w:cs="Arial"/>
          <w:szCs w:val="24"/>
          <w:lang w:eastAsia="fr-CA"/>
        </w:rPr>
      </w:pPr>
      <w:r>
        <w:rPr>
          <w:rFonts w:cs="Arial"/>
          <w:szCs w:val="24"/>
          <w:lang w:eastAsia="fr-CA"/>
        </w:rPr>
        <w:t>Un montant de 854 071 $ a été payé aux commanditaires de FIISH, encore une fois à même des fonds nouvellement avancés, plutôt que par un rendement réel des projets financés.</w:t>
      </w:r>
    </w:p>
    <w:p w14:paraId="698A758A" w14:textId="77777777" w:rsidR="00FF736E" w:rsidRDefault="00730A01">
      <w:pPr>
        <w:rPr>
          <w:rFonts w:cs="Arial"/>
          <w:kern w:val="28"/>
          <w:szCs w:val="24"/>
          <w:lang w:eastAsia="fr-CA"/>
        </w:rPr>
      </w:pPr>
      <w:r>
        <w:rPr>
          <w:rFonts w:cs="Arial"/>
          <w:szCs w:val="24"/>
          <w:lang w:eastAsia="fr-CA"/>
        </w:rPr>
        <w:br w:type="page"/>
      </w:r>
    </w:p>
    <w:p w14:paraId="7FCC1ACD" w14:textId="77777777" w:rsidR="00FA64C6" w:rsidRPr="00C75239" w:rsidRDefault="00730A01" w:rsidP="00443B59">
      <w:pPr>
        <w:pStyle w:val="Paragraphe"/>
        <w:numPr>
          <w:ilvl w:val="0"/>
          <w:numId w:val="89"/>
        </w:numPr>
        <w:spacing w:line="240" w:lineRule="auto"/>
        <w:ind w:left="709" w:hanging="426"/>
        <w:rPr>
          <w:rFonts w:cs="Arial"/>
          <w:i/>
          <w:iCs/>
          <w:szCs w:val="24"/>
          <w:lang w:eastAsia="fr-CA"/>
        </w:rPr>
      </w:pPr>
      <w:bookmarkStart w:id="102" w:name="_Toc211495232"/>
      <w:bookmarkStart w:id="103" w:name="_Toc211600645"/>
      <w:r w:rsidRPr="00C75239">
        <w:rPr>
          <w:rFonts w:cs="Arial"/>
          <w:b/>
          <w:bCs/>
          <w:i/>
          <w:iCs/>
          <w:szCs w:val="24"/>
          <w:lang w:eastAsia="fr-CA"/>
        </w:rPr>
        <w:t>Prêt P093 – Huot (décembre 2022, PQ-94)</w:t>
      </w:r>
      <w:bookmarkEnd w:id="102"/>
      <w:bookmarkEnd w:id="103"/>
    </w:p>
    <w:p w14:paraId="542D2B59" w14:textId="77777777" w:rsidR="00FA64C6" w:rsidRPr="00270F35" w:rsidRDefault="00730A01" w:rsidP="00FA64C6">
      <w:pPr>
        <w:pStyle w:val="Paragraphe"/>
        <w:tabs>
          <w:tab w:val="clear" w:pos="786"/>
        </w:tabs>
        <w:spacing w:line="240" w:lineRule="auto"/>
        <w:ind w:left="0"/>
        <w:rPr>
          <w:rFonts w:cs="Arial"/>
          <w:i/>
          <w:iCs/>
          <w:szCs w:val="24"/>
          <w:lang w:eastAsia="fr-CA"/>
        </w:rPr>
      </w:pPr>
      <w:r>
        <w:rPr>
          <w:rFonts w:cs="Arial"/>
          <w:szCs w:val="24"/>
          <w:lang w:eastAsia="fr-CA"/>
        </w:rPr>
        <w:t>Les sommes décaissées, soit 1,56 M$, ont été utilisées pour payer les intérêts de FIISH, confirmant le caractère et artificiel du mécanisme.</w:t>
      </w:r>
    </w:p>
    <w:p w14:paraId="63E4DF5B" w14:textId="77777777" w:rsidR="00FA64C6" w:rsidRPr="007E7803" w:rsidRDefault="00730A01" w:rsidP="00FA64C6">
      <w:pPr>
        <w:pStyle w:val="Paragraphe"/>
        <w:tabs>
          <w:tab w:val="clear" w:pos="786"/>
        </w:tabs>
        <w:spacing w:line="240" w:lineRule="auto"/>
        <w:ind w:left="0"/>
        <w:rPr>
          <w:rFonts w:cs="Arial"/>
          <w:szCs w:val="24"/>
          <w:lang w:eastAsia="fr-CA"/>
        </w:rPr>
      </w:pPr>
      <w:r w:rsidRPr="007E7803">
        <w:rPr>
          <w:rFonts w:cs="Arial"/>
          <w:szCs w:val="24"/>
          <w:lang w:eastAsia="fr-CA"/>
        </w:rPr>
        <w:t>Les</w:t>
      </w:r>
      <w:r w:rsidRPr="007E7803">
        <w:rPr>
          <w:rFonts w:eastAsia="MS Mincho" w:cs="Arial"/>
          <w:iCs/>
          <w:szCs w:val="24"/>
          <w:lang w:eastAsia="en-US"/>
        </w:rPr>
        <w:t xml:space="preserve"> opérations ci-dessus ne sont pas des anomalies isolées, mais bien la démonstration d’une méthode répétée et consciente. Les défendeurs savaient que les flux n’étaient pas générés par les projets immobiliers financés, mais par un recyclage circulaire de capitaux, typique d’un Ponzi.</w:t>
      </w:r>
    </w:p>
    <w:p w14:paraId="5E5980B8" w14:textId="77777777" w:rsidR="00FA64C6" w:rsidRPr="007E7803" w:rsidRDefault="00730A01" w:rsidP="00FA64C6">
      <w:pPr>
        <w:pStyle w:val="Paragraphe"/>
        <w:tabs>
          <w:tab w:val="clear" w:pos="786"/>
        </w:tabs>
        <w:spacing w:line="240" w:lineRule="auto"/>
        <w:ind w:left="0"/>
        <w:rPr>
          <w:rFonts w:cs="Arial"/>
          <w:szCs w:val="24"/>
          <w:lang w:eastAsia="fr-CA"/>
        </w:rPr>
      </w:pPr>
      <w:r w:rsidRPr="007E7803">
        <w:rPr>
          <w:rFonts w:eastAsia="MS Mincho" w:cs="Arial"/>
          <w:iCs/>
          <w:szCs w:val="24"/>
          <w:lang w:eastAsia="en-US"/>
        </w:rPr>
        <w:t>En procédant ainsi, Giroux et ses sociétés n’ont pas seulement manqué à leurs obligations de prudence et de diligence</w:t>
      </w:r>
      <w:r>
        <w:rPr>
          <w:rFonts w:eastAsia="MS Mincho" w:cs="Arial"/>
          <w:iCs/>
          <w:szCs w:val="24"/>
          <w:lang w:eastAsia="en-US"/>
        </w:rPr>
        <w:t> </w:t>
      </w:r>
      <w:r w:rsidRPr="007E7803">
        <w:rPr>
          <w:rFonts w:eastAsia="MS Mincho" w:cs="Arial"/>
          <w:iCs/>
          <w:szCs w:val="24"/>
          <w:lang w:eastAsia="en-US"/>
        </w:rPr>
        <w:t>: ils ont créé une illusion de rentabilité qui trompait les commanditaires et maintenait artificiellement leur confiance. Cette stratégie viole les devoirs fondamentaux de loyauté et de transparence et justifie que le Tribunal tire toutes les conséquences légales de ce comportement, tant en matière de responsabilité que de réparation intégrale des préjudices subis par les demandeurs.</w:t>
      </w:r>
    </w:p>
    <w:p w14:paraId="2AAC0ACE" w14:textId="77777777" w:rsidR="00FA64C6" w:rsidRPr="001A1A19" w:rsidRDefault="00730A01" w:rsidP="00FA64C6">
      <w:pPr>
        <w:pStyle w:val="Paragraphe"/>
        <w:tabs>
          <w:tab w:val="clear" w:pos="786"/>
        </w:tabs>
        <w:spacing w:line="240" w:lineRule="auto"/>
        <w:ind w:left="0"/>
        <w:rPr>
          <w:rFonts w:cs="Arial"/>
        </w:rPr>
      </w:pPr>
      <w:r w:rsidRPr="001A1A19">
        <w:rPr>
          <w:rFonts w:cs="Arial"/>
        </w:rPr>
        <w:t>Les reproches formulés à l’égard des Défendeurs et retenus par le Tribunal sont les suivants</w:t>
      </w:r>
      <w:r>
        <w:rPr>
          <w:rFonts w:cs="Arial"/>
        </w:rPr>
        <w:t> </w:t>
      </w:r>
      <w:r w:rsidRPr="001A1A19">
        <w:rPr>
          <w:rFonts w:cs="Arial"/>
        </w:rPr>
        <w:t>:</w:t>
      </w:r>
    </w:p>
    <w:p w14:paraId="25275342" w14:textId="77777777" w:rsidR="00FA64C6" w:rsidRPr="008956DC" w:rsidRDefault="00730A01" w:rsidP="00FA64C6">
      <w:pPr>
        <w:pStyle w:val="NormalWeb"/>
        <w:numPr>
          <w:ilvl w:val="0"/>
          <w:numId w:val="25"/>
        </w:numPr>
        <w:spacing w:before="120"/>
        <w:ind w:left="714" w:right="539" w:hanging="357"/>
        <w:jc w:val="both"/>
        <w:rPr>
          <w:rFonts w:ascii="Arial" w:hAnsi="Arial" w:cs="Arial"/>
        </w:rPr>
      </w:pPr>
      <w:r w:rsidRPr="008956DC">
        <w:rPr>
          <w:rFonts w:ascii="Arial" w:hAnsi="Arial" w:cs="Arial"/>
        </w:rPr>
        <w:t>Utilisation de nouveaux apports de capitaux pour payer les intérêts promis aux commanditaires, sans revenus réels.</w:t>
      </w:r>
    </w:p>
    <w:p w14:paraId="70B1DD52" w14:textId="77777777" w:rsidR="00FA64C6" w:rsidRPr="008956DC" w:rsidRDefault="00730A01" w:rsidP="00FA64C6">
      <w:pPr>
        <w:pStyle w:val="NormalWeb"/>
        <w:numPr>
          <w:ilvl w:val="0"/>
          <w:numId w:val="25"/>
        </w:numPr>
        <w:spacing w:before="120"/>
        <w:ind w:left="714" w:right="539" w:hanging="357"/>
        <w:jc w:val="both"/>
        <w:rPr>
          <w:rFonts w:ascii="Arial" w:hAnsi="Arial" w:cs="Arial"/>
        </w:rPr>
      </w:pPr>
      <w:r w:rsidRPr="008956DC">
        <w:rPr>
          <w:rFonts w:ascii="Arial" w:hAnsi="Arial" w:cs="Arial"/>
        </w:rPr>
        <w:t>Transferts croisés entre FIISH et Q-12 pour financer artificiellement les rendements.</w:t>
      </w:r>
    </w:p>
    <w:p w14:paraId="72848487" w14:textId="77777777" w:rsidR="00FA64C6" w:rsidRPr="00FF1BD9" w:rsidRDefault="00730A01" w:rsidP="00FA64C6">
      <w:pPr>
        <w:pStyle w:val="NormalWeb"/>
        <w:numPr>
          <w:ilvl w:val="0"/>
          <w:numId w:val="25"/>
        </w:numPr>
        <w:spacing w:before="120"/>
        <w:ind w:left="714" w:right="539" w:hanging="357"/>
        <w:jc w:val="both"/>
        <w:rPr>
          <w:rFonts w:ascii="Arial" w:hAnsi="Arial" w:cs="Arial"/>
          <w:sz w:val="22"/>
          <w:szCs w:val="22"/>
        </w:rPr>
      </w:pPr>
      <w:r w:rsidRPr="008956DC">
        <w:rPr>
          <w:rFonts w:ascii="Arial" w:hAnsi="Arial" w:cs="Arial"/>
        </w:rPr>
        <w:t>Présentation trompeuse aux investisseurs, qui n’ont jamais été informés que leurs propres</w:t>
      </w:r>
      <w:r w:rsidRPr="00FF1BD9">
        <w:rPr>
          <w:rFonts w:ascii="Arial" w:hAnsi="Arial" w:cs="Arial"/>
          <w:sz w:val="22"/>
          <w:szCs w:val="22"/>
        </w:rPr>
        <w:t xml:space="preserve"> apports servaient à financer leurs «</w:t>
      </w:r>
      <w:r>
        <w:rPr>
          <w:rFonts w:ascii="Arial" w:hAnsi="Arial" w:cs="Arial"/>
          <w:sz w:val="22"/>
          <w:szCs w:val="22"/>
        </w:rPr>
        <w:t> </w:t>
      </w:r>
      <w:r w:rsidRPr="00FF1BD9">
        <w:rPr>
          <w:rFonts w:ascii="Arial" w:hAnsi="Arial" w:cs="Arial"/>
          <w:sz w:val="22"/>
          <w:szCs w:val="22"/>
        </w:rPr>
        <w:t>rendements garantis</w:t>
      </w:r>
      <w:r>
        <w:rPr>
          <w:rFonts w:ascii="Arial" w:hAnsi="Arial" w:cs="Arial"/>
          <w:sz w:val="22"/>
          <w:szCs w:val="22"/>
        </w:rPr>
        <w:t> </w:t>
      </w:r>
      <w:r w:rsidRPr="00FF1BD9">
        <w:rPr>
          <w:rFonts w:ascii="Arial" w:hAnsi="Arial" w:cs="Arial"/>
          <w:sz w:val="22"/>
          <w:szCs w:val="22"/>
        </w:rPr>
        <w:t>».</w:t>
      </w:r>
    </w:p>
    <w:p w14:paraId="60DD250E" w14:textId="77777777" w:rsidR="00FA64C6" w:rsidRPr="00207557" w:rsidRDefault="00730A01" w:rsidP="00FA64C6">
      <w:pPr>
        <w:pStyle w:val="Paragraphe"/>
        <w:tabs>
          <w:tab w:val="clear" w:pos="786"/>
        </w:tabs>
        <w:spacing w:before="240" w:line="240" w:lineRule="auto"/>
        <w:ind w:left="0"/>
        <w:rPr>
          <w:rFonts w:cs="Arial"/>
        </w:rPr>
      </w:pPr>
      <w:r w:rsidRPr="00207557">
        <w:rPr>
          <w:rFonts w:cs="Arial"/>
        </w:rPr>
        <w:t>Ces éléments confirment aussi que les commanditaires ont été induits en erreur quant à la véritable source de leurs rendements.</w:t>
      </w:r>
    </w:p>
    <w:p w14:paraId="1EE36739" w14:textId="77777777" w:rsidR="00FA64C6" w:rsidRPr="00BE4B6D" w:rsidRDefault="00730A01" w:rsidP="00760913">
      <w:pPr>
        <w:pStyle w:val="Titre2"/>
        <w:numPr>
          <w:ilvl w:val="0"/>
          <w:numId w:val="147"/>
        </w:numPr>
        <w:rPr>
          <w:b w:val="0"/>
          <w:bCs/>
          <w:i w:val="0"/>
          <w:iCs/>
          <w:szCs w:val="24"/>
          <w:u w:val="single"/>
        </w:rPr>
      </w:pPr>
      <w:bookmarkStart w:id="104" w:name="_Toc211495234"/>
      <w:bookmarkStart w:id="105" w:name="_Toc211600646"/>
      <w:r w:rsidRPr="00BE4B6D">
        <w:rPr>
          <w:i w:val="0"/>
          <w:iCs/>
          <w:szCs w:val="24"/>
          <w:u w:val="single"/>
        </w:rPr>
        <w:t>Détournement de capitaux des commanditaires vers ses sociétés</w:t>
      </w:r>
      <w:bookmarkEnd w:id="104"/>
      <w:bookmarkEnd w:id="105"/>
    </w:p>
    <w:p w14:paraId="14FBC715" w14:textId="77777777" w:rsidR="00FA64C6" w:rsidRDefault="00730A01" w:rsidP="00FA64C6">
      <w:pPr>
        <w:pStyle w:val="Paragraphe"/>
        <w:tabs>
          <w:tab w:val="clear" w:pos="786"/>
        </w:tabs>
        <w:spacing w:line="240" w:lineRule="auto"/>
        <w:ind w:left="0"/>
        <w:rPr>
          <w:rFonts w:cs="Arial"/>
        </w:rPr>
      </w:pPr>
      <w:r w:rsidRPr="00207557">
        <w:rPr>
          <w:rFonts w:cs="Arial"/>
        </w:rPr>
        <w:t>Giroux s’est servi de sa position de contrôle total des sociétés en commandite</w:t>
      </w:r>
      <w:r w:rsidRPr="001A1A19">
        <w:rPr>
          <w:rFonts w:cs="Arial"/>
        </w:rPr>
        <w:t xml:space="preserve"> et des sociétés défenderesses pour percevoir des frais excessifs et injustifiés.</w:t>
      </w:r>
    </w:p>
    <w:p w14:paraId="1A112E26" w14:textId="77777777" w:rsidR="00FA64C6" w:rsidRDefault="00730A01" w:rsidP="00FA64C6">
      <w:pPr>
        <w:pStyle w:val="Paragraphe"/>
        <w:tabs>
          <w:tab w:val="clear" w:pos="786"/>
        </w:tabs>
        <w:spacing w:line="240" w:lineRule="auto"/>
        <w:ind w:left="0"/>
        <w:rPr>
          <w:rFonts w:cs="Arial"/>
        </w:rPr>
      </w:pPr>
      <w:r w:rsidRPr="0093280B">
        <w:rPr>
          <w:rFonts w:cs="Arial"/>
        </w:rPr>
        <w:t>Même si ces frais étaient prévus par des conventions, tel que le plaident les Défendeurs dans une tentative de légitimiser leurs actes</w:t>
      </w:r>
      <w:r>
        <w:rPr>
          <w:rStyle w:val="Appelnotedebasdep"/>
          <w:rFonts w:cs="Arial"/>
        </w:rPr>
        <w:footnoteReference w:id="206"/>
      </w:r>
      <w:r w:rsidRPr="0093280B">
        <w:rPr>
          <w:rFonts w:cs="Arial"/>
        </w:rPr>
        <w:t>, leur perception était néanmoins constitutive d’abus dans le contexte factuel du présent dossier.</w:t>
      </w:r>
    </w:p>
    <w:p w14:paraId="20242027" w14:textId="77777777" w:rsidR="00FA64C6" w:rsidRPr="0093280B" w:rsidRDefault="00730A01" w:rsidP="00FA64C6">
      <w:pPr>
        <w:pStyle w:val="Paragraphe"/>
        <w:tabs>
          <w:tab w:val="clear" w:pos="786"/>
        </w:tabs>
        <w:spacing w:line="240" w:lineRule="auto"/>
        <w:ind w:left="0"/>
        <w:rPr>
          <w:rFonts w:cs="Arial"/>
        </w:rPr>
      </w:pPr>
      <w:r w:rsidRPr="0093280B">
        <w:rPr>
          <w:rFonts w:cs="Arial"/>
        </w:rPr>
        <w:t>En effet, il est bien établi que la fonction limitative de la bonne foi empêche un contractant d’exercer ses droits de façon excessive et déraisonnable et que les tribunaux ont le pouvoir de contrôler l’exercice des pouvoirs contractuels (et donc le comportement des contractants lors de l’exécution et de l’extinction du contrat). L’auteur Arnaud Tellier-Marcil précise à cet effet :</w:t>
      </w:r>
    </w:p>
    <w:p w14:paraId="24F2426D" w14:textId="77777777" w:rsidR="00FA64C6" w:rsidRPr="001A1A19" w:rsidRDefault="00730A01" w:rsidP="00307881">
      <w:pPr>
        <w:pStyle w:val="Citationenretrait"/>
        <w:spacing w:after="0"/>
        <w:ind w:right="539"/>
      </w:pPr>
      <w:r w:rsidRPr="00F35A67">
        <w:rPr>
          <w:b/>
          <w:bCs/>
        </w:rPr>
        <w:t>25.</w:t>
      </w:r>
      <w:r>
        <w:t xml:space="preserve"> </w:t>
      </w:r>
      <w:r w:rsidRPr="001A1A19">
        <w:t>Le contrat se forme par l’accord de volontés des contractants qui acquiescent à son contenu. A priori, le contrat étant la loi des parties, les droits et obligations qui y sont contenus devraient pouvoir être exercés par les cocontractants, tel que prévu. Pendant de nombreuses années, les juristes ne pouvaient concevoir qu’un droit expressément prévu au contrat puisse être susceptible d’abus. Or, cette pensée est révolue</w:t>
      </w:r>
      <w:r w:rsidRPr="001A1A19">
        <w:rPr>
          <w:u w:val="single"/>
        </w:rPr>
        <w:t>. L’article</w:t>
      </w:r>
      <w:r>
        <w:rPr>
          <w:u w:val="single"/>
        </w:rPr>
        <w:t> </w:t>
      </w:r>
      <w:r w:rsidRPr="001A1A19">
        <w:rPr>
          <w:u w:val="single"/>
        </w:rPr>
        <w:t xml:space="preserve">7 du </w:t>
      </w:r>
      <w:r w:rsidRPr="00E87DE3">
        <w:rPr>
          <w:i/>
          <w:iCs/>
          <w:u w:val="single"/>
        </w:rPr>
        <w:t>Code civil</w:t>
      </w:r>
      <w:r w:rsidRPr="001A1A19">
        <w:rPr>
          <w:u w:val="single"/>
        </w:rPr>
        <w:t xml:space="preserve"> codifie la théorie de l’abus de droit contractuel, reconnue quelques années plus tôt par la Cour suprême dans le célèbre arrêt </w:t>
      </w:r>
      <w:r w:rsidRPr="00E87DE3">
        <w:rPr>
          <w:i/>
          <w:iCs/>
          <w:u w:val="single"/>
        </w:rPr>
        <w:t>Houle</w:t>
      </w:r>
      <w:r w:rsidRPr="001A1A19">
        <w:rPr>
          <w:u w:val="single"/>
        </w:rPr>
        <w:t xml:space="preserve"> c. </w:t>
      </w:r>
      <w:r w:rsidRPr="00E87DE3">
        <w:rPr>
          <w:i/>
          <w:iCs/>
          <w:u w:val="single"/>
        </w:rPr>
        <w:t>Banque nationale du Canada</w:t>
      </w:r>
      <w:r w:rsidRPr="001A1A19">
        <w:rPr>
          <w:u w:val="single"/>
        </w:rPr>
        <w:t>. Il est désormais admis qu’une partie à un contrat ne peut user de ses droits de façon absolue, comme bon lui semble, sans aucun égard pour son cocontractant. La fonction limitative de la bonne foi empêche un contractant d’exercer ses droits de façon excessive et déraisonnable. Elle permet aux tribunaux de contrôler l’exercice des droits contractuels et, par le fait même, le comportement des contractants lors de l’exécution et de l’extinction du contrat</w:t>
      </w:r>
      <w:r w:rsidRPr="001A1A19">
        <w:t>. Comme le soulignent les professeurs Lluelles et Moore, le principe de la bonne foi appliqué dans un contexte d’abus de droit contractuel permet notamment de condamner le comportement d’un contractant qui invoque un manquement mineur pour mettre fin à une relation contractuelle. Toutefois, la Cour d’appel vient de rappeler que «</w:t>
      </w:r>
      <w:r>
        <w:t> </w:t>
      </w:r>
      <w:r w:rsidRPr="001A1A19">
        <w:t>le contrat demeure un “acte égoïste” et ce ne sont pas tous les comportements “discutables” qui doivent être qualifiés d’abus de droit</w:t>
      </w:r>
      <w:r>
        <w:t> </w:t>
      </w:r>
      <w:r w:rsidRPr="001A1A19">
        <w:t>»</w:t>
      </w:r>
      <w:r>
        <w:rPr>
          <w:rStyle w:val="Appelnotedebasdep"/>
        </w:rPr>
        <w:footnoteReference w:id="207"/>
      </w:r>
      <w:r>
        <w:t>.</w:t>
      </w:r>
    </w:p>
    <w:p w14:paraId="7CEB034B" w14:textId="77777777" w:rsidR="00FA64C6" w:rsidRPr="00E87DE3" w:rsidRDefault="00730A01" w:rsidP="00307881">
      <w:pPr>
        <w:pStyle w:val="Citationenretrait"/>
        <w:ind w:right="539"/>
        <w:jc w:val="right"/>
        <w:rPr>
          <w:sz w:val="20"/>
        </w:rPr>
      </w:pPr>
      <w:r w:rsidRPr="00E87DE3">
        <w:rPr>
          <w:sz w:val="20"/>
        </w:rPr>
        <w:t>[Nos soulignements]</w:t>
      </w:r>
    </w:p>
    <w:p w14:paraId="5EEA612F" w14:textId="77777777" w:rsidR="00FA64C6" w:rsidRPr="001A1A19" w:rsidRDefault="00730A01" w:rsidP="00FA64C6">
      <w:pPr>
        <w:pStyle w:val="Paragraphe"/>
        <w:tabs>
          <w:tab w:val="clear" w:pos="786"/>
        </w:tabs>
        <w:spacing w:before="240" w:line="240" w:lineRule="auto"/>
        <w:ind w:left="0"/>
        <w:rPr>
          <w:rFonts w:cs="Arial"/>
        </w:rPr>
      </w:pPr>
      <w:r w:rsidRPr="001A1A19">
        <w:rPr>
          <w:rFonts w:cs="Arial"/>
        </w:rPr>
        <w:t>Ainsi, une partie ne doit pas «</w:t>
      </w:r>
      <w:r>
        <w:rPr>
          <w:rFonts w:cs="Arial"/>
        </w:rPr>
        <w:t> </w:t>
      </w:r>
      <w:r w:rsidRPr="001A1A19">
        <w:rPr>
          <w:rFonts w:cs="Arial"/>
        </w:rPr>
        <w:t>tirer profit d’une situation pour échapper à ses engagements ou pour retirer un avantage indu, ne pas créer de fausses attentes et ne pas nuire au cocontractant par des actions inutiles, tracassières ou intempestives</w:t>
      </w:r>
      <w:r>
        <w:rPr>
          <w:rStyle w:val="Appelnotedebasdep"/>
          <w:rFonts w:cs="Arial"/>
        </w:rPr>
        <w:footnoteReference w:id="208"/>
      </w:r>
      <w:r>
        <w:rPr>
          <w:rFonts w:cs="Arial"/>
        </w:rPr>
        <w:t> </w:t>
      </w:r>
      <w:r w:rsidRPr="001A1A19">
        <w:rPr>
          <w:rFonts w:cs="Arial"/>
        </w:rPr>
        <w:t xml:space="preserve">». </w:t>
      </w:r>
    </w:p>
    <w:p w14:paraId="609F3B89" w14:textId="77777777" w:rsidR="00FA64C6" w:rsidRPr="001A1A19" w:rsidRDefault="00730A01" w:rsidP="00837E1F">
      <w:pPr>
        <w:numPr>
          <w:ilvl w:val="0"/>
          <w:numId w:val="1"/>
        </w:numPr>
        <w:tabs>
          <w:tab w:val="clear" w:pos="786"/>
        </w:tabs>
        <w:spacing w:before="100" w:beforeAutospacing="1"/>
        <w:ind w:left="0"/>
        <w:rPr>
          <w:rFonts w:cs="Arial"/>
          <w:szCs w:val="24"/>
          <w:lang w:eastAsia="fr-CA"/>
        </w:rPr>
      </w:pPr>
      <w:r w:rsidRPr="001A1A19">
        <w:rPr>
          <w:rFonts w:cs="Arial"/>
          <w:szCs w:val="24"/>
          <w:lang w:eastAsia="fr-CA"/>
        </w:rPr>
        <w:t xml:space="preserve">Dans </w:t>
      </w:r>
      <w:r w:rsidRPr="00F35A67">
        <w:rPr>
          <w:rFonts w:cs="Arial"/>
          <w:i/>
          <w:iCs/>
          <w:szCs w:val="24"/>
          <w:lang w:eastAsia="fr-CA"/>
        </w:rPr>
        <w:t>Churchill Falls</w:t>
      </w:r>
      <w:r w:rsidRPr="001A1A19">
        <w:rPr>
          <w:rFonts w:cs="Arial"/>
          <w:szCs w:val="24"/>
          <w:lang w:eastAsia="fr-CA"/>
        </w:rPr>
        <w:t xml:space="preserve"> c. </w:t>
      </w:r>
      <w:r w:rsidRPr="00F35A67">
        <w:rPr>
          <w:rFonts w:cs="Arial"/>
          <w:i/>
          <w:iCs/>
          <w:szCs w:val="24"/>
          <w:lang w:eastAsia="fr-CA"/>
        </w:rPr>
        <w:t>Hydro-Québec</w:t>
      </w:r>
      <w:r w:rsidRPr="001A1A19">
        <w:rPr>
          <w:rFonts w:cs="Arial"/>
          <w:szCs w:val="24"/>
          <w:lang w:eastAsia="fr-CA"/>
        </w:rPr>
        <w:t>, la Cour d’appel souligne d’ailleurs qu’ :</w:t>
      </w:r>
    </w:p>
    <w:p w14:paraId="57BBF373" w14:textId="77777777" w:rsidR="00FA64C6" w:rsidRPr="00E72C08" w:rsidRDefault="00730A01" w:rsidP="00FF736E">
      <w:pPr>
        <w:pStyle w:val="Citationenretrait"/>
        <w:spacing w:after="0"/>
        <w:ind w:right="539"/>
      </w:pPr>
      <w:r w:rsidRPr="00E72C08">
        <w:t>[149]</w:t>
      </w:r>
      <w:r>
        <w:t> </w:t>
      </w:r>
      <w:r w:rsidRPr="00E72C08">
        <w:t xml:space="preserve">Il est vrai, cependant, que les exigences de la bonne foi visent aussi à prévenir l’exercice </w:t>
      </w:r>
      <w:r w:rsidRPr="00E72C08">
        <w:rPr>
          <w:b/>
          <w:bCs/>
        </w:rPr>
        <w:t>«</w:t>
      </w:r>
      <w:r>
        <w:rPr>
          <w:b/>
          <w:bCs/>
        </w:rPr>
        <w:t> </w:t>
      </w:r>
      <w:r w:rsidRPr="00E72C08">
        <w:rPr>
          <w:b/>
          <w:bCs/>
        </w:rPr>
        <w:t>déraisonnable</w:t>
      </w:r>
      <w:r>
        <w:rPr>
          <w:b/>
          <w:bCs/>
        </w:rPr>
        <w:t> </w:t>
      </w:r>
      <w:r w:rsidRPr="00E72C08">
        <w:rPr>
          <w:b/>
          <w:bCs/>
        </w:rPr>
        <w:t>» d’un droit contractuel</w:t>
      </w:r>
      <w:r w:rsidRPr="00E72C08">
        <w:t xml:space="preserve">, dont l’une des applications est le fait de profiter d’une situation </w:t>
      </w:r>
      <w:r w:rsidRPr="00E72C08">
        <w:rPr>
          <w:b/>
          <w:bCs/>
        </w:rPr>
        <w:t>pour en tirer un avantage indu</w:t>
      </w:r>
      <w:r w:rsidRPr="00E72C08">
        <w:t>. On se rapproche ici d’une notion voisine et les auteurs Lluelles et Moore observent d’ailleurs que «</w:t>
      </w:r>
      <w:r>
        <w:t> </w:t>
      </w:r>
      <w:r w:rsidRPr="00E72C08">
        <w:t>[l]’abus des droits contractuels est une composante du respect dû à la bonne foi, sans toutefois en être la composante exclusive</w:t>
      </w:r>
      <w:r>
        <w:t> </w:t>
      </w:r>
      <w:r w:rsidRPr="00E72C08">
        <w:t>». Et simultanément, on se rapproche aussi de l’imprévision. En tirant pleinement parti des fluctuations à la hausse sur le marché de l’énergie électrique, l’intimée s’est-elle attribué un avantage indu, conséquence de l’exercice déraisonnable de ses droits</w:t>
      </w:r>
      <w:r>
        <w:rPr>
          <w:rStyle w:val="Appelnotedebasdep"/>
        </w:rPr>
        <w:footnoteReference w:id="209"/>
      </w:r>
      <w:r>
        <w:t>?</w:t>
      </w:r>
    </w:p>
    <w:p w14:paraId="60776635" w14:textId="77777777" w:rsidR="00FA64C6" w:rsidRPr="00E87DE3" w:rsidRDefault="00730A01" w:rsidP="00307881">
      <w:pPr>
        <w:pStyle w:val="Citationenretrait"/>
        <w:ind w:right="539"/>
        <w:jc w:val="right"/>
        <w:rPr>
          <w:sz w:val="20"/>
          <w:lang w:eastAsia="fr-CA"/>
        </w:rPr>
      </w:pPr>
      <w:r w:rsidRPr="00E87DE3">
        <w:rPr>
          <w:sz w:val="20"/>
          <w:lang w:eastAsia="fr-CA"/>
        </w:rPr>
        <w:t>[Nos caractères gras]</w:t>
      </w:r>
    </w:p>
    <w:p w14:paraId="5F98DA84" w14:textId="77777777" w:rsidR="00FA64C6" w:rsidRDefault="00730A01" w:rsidP="00FA64C6">
      <w:pPr>
        <w:pStyle w:val="Paragraphe"/>
        <w:numPr>
          <w:ilvl w:val="0"/>
          <w:numId w:val="1"/>
        </w:numPr>
        <w:tabs>
          <w:tab w:val="clear" w:pos="786"/>
          <w:tab w:val="num" w:pos="360"/>
        </w:tabs>
        <w:spacing w:before="240" w:line="240" w:lineRule="auto"/>
        <w:ind w:left="0"/>
        <w:rPr>
          <w:rFonts w:cs="Arial"/>
          <w:szCs w:val="24"/>
        </w:rPr>
      </w:pPr>
      <w:r w:rsidRPr="001A1A19">
        <w:rPr>
          <w:rFonts w:cs="Arial"/>
          <w:szCs w:val="24"/>
        </w:rPr>
        <w:t xml:space="preserve">La preuve révèle qu’au total, </w:t>
      </w:r>
      <w:r w:rsidRPr="00756A6D">
        <w:rPr>
          <w:rStyle w:val="lev"/>
          <w:rFonts w:cs="Arial"/>
          <w:b w:val="0"/>
          <w:bCs w:val="0"/>
          <w:szCs w:val="24"/>
        </w:rPr>
        <w:t>plus de</w:t>
      </w:r>
      <w:r>
        <w:rPr>
          <w:rStyle w:val="lev"/>
          <w:rFonts w:cs="Arial"/>
          <w:b w:val="0"/>
          <w:bCs w:val="0"/>
          <w:szCs w:val="24"/>
        </w:rPr>
        <w:t> </w:t>
      </w:r>
      <w:r w:rsidRPr="00756A6D">
        <w:rPr>
          <w:rStyle w:val="lev"/>
          <w:rFonts w:cs="Arial"/>
          <w:b w:val="0"/>
          <w:bCs w:val="0"/>
          <w:szCs w:val="24"/>
        </w:rPr>
        <w:t>12,8 M$</w:t>
      </w:r>
      <w:r w:rsidRPr="001A1A19">
        <w:rPr>
          <w:rFonts w:cs="Arial"/>
          <w:szCs w:val="24"/>
        </w:rPr>
        <w:t xml:space="preserve"> ont été prélevés par Giroux et ses sociétés (</w:t>
      </w:r>
      <w:r w:rsidRPr="001A1A19">
        <w:rPr>
          <w:rFonts w:cs="Arial"/>
          <w:szCs w:val="24"/>
          <w:lang w:eastAsia="fr-CA"/>
        </w:rPr>
        <w:t xml:space="preserve">6646, 8096 et </w:t>
      </w:r>
      <w:r w:rsidRPr="00BD1B60">
        <w:rPr>
          <w:rFonts w:cs="Arial"/>
          <w:szCs w:val="24"/>
          <w:lang w:eastAsia="fr-CA"/>
        </w:rPr>
        <w:t>X2</w:t>
      </w:r>
      <w:r w:rsidRPr="001A1A19">
        <w:rPr>
          <w:rFonts w:cs="Arial"/>
          <w:szCs w:val="24"/>
        </w:rPr>
        <w:t xml:space="preserve">) sous forme de frais et honoraires, alors qu’aucune contrepartie réelle n’a été démontrée. </w:t>
      </w:r>
    </w:p>
    <w:p w14:paraId="0603DCF0" w14:textId="77777777" w:rsidR="00FA64C6" w:rsidRDefault="00730A01" w:rsidP="00FA64C6">
      <w:pPr>
        <w:pStyle w:val="Paragraphe"/>
        <w:numPr>
          <w:ilvl w:val="0"/>
          <w:numId w:val="1"/>
        </w:numPr>
        <w:tabs>
          <w:tab w:val="clear" w:pos="786"/>
          <w:tab w:val="num" w:pos="360"/>
        </w:tabs>
        <w:spacing w:before="240" w:line="240" w:lineRule="auto"/>
        <w:ind w:left="0"/>
        <w:rPr>
          <w:rFonts w:cs="Arial"/>
          <w:szCs w:val="24"/>
        </w:rPr>
      </w:pPr>
      <w:r>
        <w:rPr>
          <w:rFonts w:cs="Arial"/>
          <w:szCs w:val="24"/>
        </w:rPr>
        <w:t>Le fait d’avoir exigé un taux plus élevé que le minimum de 1 % par rapport aux circonstances et de l’avoir prélevé avant de distribuer aux investisseurs et de payer les intérêts sur les prêts, et ce, en favorisant X2 et Giroux constitue une faute qui s’ajoute</w:t>
      </w:r>
      <w:r w:rsidRPr="001A1A19">
        <w:rPr>
          <w:rFonts w:cs="Arial"/>
          <w:szCs w:val="24"/>
        </w:rPr>
        <w:t xml:space="preserve"> aux autres reproches de type Ponzi formulés à l’encontre des Défendeurs.</w:t>
      </w:r>
    </w:p>
    <w:p w14:paraId="5D3F94A4" w14:textId="77777777" w:rsidR="00FA64C6" w:rsidRPr="00BE4B6D" w:rsidRDefault="00730A01" w:rsidP="00760913">
      <w:pPr>
        <w:pStyle w:val="Titre2"/>
        <w:numPr>
          <w:ilvl w:val="0"/>
          <w:numId w:val="147"/>
        </w:numPr>
        <w:rPr>
          <w:b w:val="0"/>
          <w:bCs/>
          <w:i w:val="0"/>
          <w:iCs/>
          <w:szCs w:val="24"/>
          <w:u w:val="single"/>
          <w:lang w:eastAsia="fr-CA"/>
        </w:rPr>
      </w:pPr>
      <w:bookmarkStart w:id="106" w:name="_Toc211495235"/>
      <w:bookmarkStart w:id="107" w:name="_Toc211600647"/>
      <w:r w:rsidRPr="00BE4B6D">
        <w:rPr>
          <w:i w:val="0"/>
          <w:iCs/>
          <w:szCs w:val="24"/>
          <w:u w:val="single"/>
          <w:lang w:eastAsia="fr-CA"/>
        </w:rPr>
        <w:t>Double facturation</w:t>
      </w:r>
      <w:bookmarkEnd w:id="106"/>
      <w:bookmarkEnd w:id="107"/>
    </w:p>
    <w:p w14:paraId="6B362CEB" w14:textId="77777777" w:rsidR="00FA64C6" w:rsidRPr="00790DBF" w:rsidRDefault="00730A01" w:rsidP="00FA64C6">
      <w:pPr>
        <w:pStyle w:val="Paragraphe"/>
        <w:numPr>
          <w:ilvl w:val="0"/>
          <w:numId w:val="1"/>
        </w:numPr>
        <w:tabs>
          <w:tab w:val="clear" w:pos="786"/>
          <w:tab w:val="num" w:pos="360"/>
        </w:tabs>
        <w:spacing w:line="240" w:lineRule="auto"/>
        <w:ind w:left="0"/>
        <w:rPr>
          <w:rFonts w:cs="Arial"/>
          <w:bCs/>
          <w:szCs w:val="24"/>
        </w:rPr>
      </w:pPr>
      <w:r w:rsidRPr="001A1A19">
        <w:rPr>
          <w:rFonts w:cs="Arial"/>
          <w:szCs w:val="24"/>
        </w:rPr>
        <w:t>Giroux et ses sociétés s’arrangeaient pour percevoir des honoraires</w:t>
      </w:r>
      <w:r w:rsidRPr="00BD1B60">
        <w:rPr>
          <w:rFonts w:cs="Arial"/>
          <w:b/>
          <w:bCs/>
          <w:szCs w:val="24"/>
        </w:rPr>
        <w:t xml:space="preserve"> </w:t>
      </w:r>
      <w:r w:rsidRPr="00BD1B60">
        <w:rPr>
          <w:rStyle w:val="lev"/>
          <w:rFonts w:cs="Arial"/>
          <w:b w:val="0"/>
          <w:bCs w:val="0"/>
          <w:szCs w:val="24"/>
        </w:rPr>
        <w:t>à chaque étape du cycle de refinancement</w:t>
      </w:r>
      <w:r w:rsidRPr="00BD1B60">
        <w:rPr>
          <w:rFonts w:cs="Arial"/>
          <w:b/>
          <w:bCs/>
          <w:szCs w:val="24"/>
        </w:rPr>
        <w:t xml:space="preserve">. </w:t>
      </w:r>
      <w:r w:rsidRPr="001A1A19">
        <w:rPr>
          <w:rFonts w:cs="Arial"/>
          <w:szCs w:val="24"/>
        </w:rPr>
        <w:t xml:space="preserve">En facturant une première fois via 6646 pour le prêt initial, puis une seconde fois lors du refinancement par Q-12 ou FIISH qui servait à rembourser ce même prêt, ils ont créé un système de </w:t>
      </w:r>
      <w:r w:rsidRPr="00BD1B60">
        <w:rPr>
          <w:rStyle w:val="lev"/>
          <w:rFonts w:cs="Arial"/>
          <w:b w:val="0"/>
          <w:bCs w:val="0"/>
          <w:szCs w:val="24"/>
        </w:rPr>
        <w:t xml:space="preserve">double facturation </w:t>
      </w:r>
      <w:r>
        <w:rPr>
          <w:rStyle w:val="lev"/>
          <w:rFonts w:cs="Arial"/>
          <w:b w:val="0"/>
          <w:bCs w:val="0"/>
          <w:szCs w:val="24"/>
        </w:rPr>
        <w:t>qui</w:t>
      </w:r>
      <w:r w:rsidRPr="001A1A19">
        <w:rPr>
          <w:rFonts w:cs="Arial"/>
          <w:szCs w:val="24"/>
        </w:rPr>
        <w:t xml:space="preserve"> aggrava</w:t>
      </w:r>
      <w:r>
        <w:rPr>
          <w:rFonts w:cs="Arial"/>
          <w:szCs w:val="24"/>
        </w:rPr>
        <w:t>i</w:t>
      </w:r>
      <w:r w:rsidRPr="001A1A19">
        <w:rPr>
          <w:rFonts w:cs="Arial"/>
          <w:szCs w:val="24"/>
        </w:rPr>
        <w:t>t directement les pertes des commanditaires</w:t>
      </w:r>
      <w:r>
        <w:rPr>
          <w:rStyle w:val="Appelnotedebasdep"/>
          <w:rFonts w:cs="Arial"/>
          <w:szCs w:val="24"/>
        </w:rPr>
        <w:footnoteReference w:id="210"/>
      </w:r>
      <w:r w:rsidRPr="001A1A19">
        <w:rPr>
          <w:rFonts w:cs="Arial"/>
          <w:szCs w:val="24"/>
        </w:rPr>
        <w:t>.</w:t>
      </w:r>
      <w:r w:rsidRPr="001A1A19">
        <w:rPr>
          <w:rFonts w:cs="Arial"/>
          <w:noProof/>
          <w:szCs w:val="24"/>
        </w:rPr>
        <w:t xml:space="preserve"> </w:t>
      </w:r>
    </w:p>
    <w:p w14:paraId="18662F4E" w14:textId="77777777" w:rsidR="00FA64C6" w:rsidRPr="00790DBF" w:rsidRDefault="00730A01" w:rsidP="00FA64C6">
      <w:pPr>
        <w:pStyle w:val="Paragraphe"/>
        <w:numPr>
          <w:ilvl w:val="0"/>
          <w:numId w:val="1"/>
        </w:numPr>
        <w:tabs>
          <w:tab w:val="clear" w:pos="786"/>
          <w:tab w:val="num" w:pos="360"/>
        </w:tabs>
        <w:spacing w:line="240" w:lineRule="auto"/>
        <w:ind w:left="0"/>
        <w:rPr>
          <w:rFonts w:cs="Arial"/>
          <w:bCs/>
          <w:szCs w:val="24"/>
        </w:rPr>
      </w:pPr>
      <w:r w:rsidRPr="00790DBF">
        <w:rPr>
          <w:rFonts w:cs="Arial"/>
        </w:rPr>
        <w:t>Avant d’aborder de façon distincte les frais perçus par les Défendeurs, un bref rappel des éléments de contexte s’impose. Ces frais s’inscrivent dans une mécanique plus large mise en place par Giroux, laquelle consistait à multiplier les opérations de refinancement en maintenant les commanditaires dans l’ignorance de la véritable situation financière du Groupe Huot.</w:t>
      </w:r>
    </w:p>
    <w:p w14:paraId="23318799" w14:textId="77777777" w:rsidR="00FA64C6" w:rsidRPr="00790DBF" w:rsidRDefault="00730A01" w:rsidP="00FA64C6">
      <w:pPr>
        <w:pStyle w:val="Paragraphe"/>
        <w:numPr>
          <w:ilvl w:val="0"/>
          <w:numId w:val="1"/>
        </w:numPr>
        <w:tabs>
          <w:tab w:val="clear" w:pos="786"/>
          <w:tab w:val="num" w:pos="360"/>
        </w:tabs>
        <w:spacing w:line="240" w:lineRule="auto"/>
        <w:ind w:left="0"/>
        <w:rPr>
          <w:rFonts w:cs="Arial"/>
          <w:bCs/>
          <w:szCs w:val="24"/>
        </w:rPr>
      </w:pPr>
      <w:r w:rsidRPr="00790DBF">
        <w:rPr>
          <w:rFonts w:cs="Arial"/>
        </w:rPr>
        <w:t>Dans tous les cas, les projets financés par Q-12 et FIISH étaient déficitaires. Leurs revenus d’exploitation ne permettaient pas de couvrir les charges courantes ni de respecter les obligations financières prévues.</w:t>
      </w:r>
    </w:p>
    <w:p w14:paraId="3E2BBE44" w14:textId="77777777" w:rsidR="00FA64C6" w:rsidRPr="00790DBF" w:rsidRDefault="00730A01" w:rsidP="00FA64C6">
      <w:pPr>
        <w:pStyle w:val="Paragraphe"/>
        <w:numPr>
          <w:ilvl w:val="0"/>
          <w:numId w:val="1"/>
        </w:numPr>
        <w:tabs>
          <w:tab w:val="clear" w:pos="786"/>
          <w:tab w:val="num" w:pos="360"/>
        </w:tabs>
        <w:spacing w:line="240" w:lineRule="auto"/>
        <w:ind w:left="0"/>
        <w:rPr>
          <w:rFonts w:cs="Arial"/>
          <w:bCs/>
          <w:szCs w:val="24"/>
        </w:rPr>
      </w:pPr>
      <w:r w:rsidRPr="00790DBF">
        <w:rPr>
          <w:rFonts w:cs="Arial"/>
        </w:rPr>
        <w:t xml:space="preserve">Malgré cette situation structurelle, Giroux </w:t>
      </w:r>
      <w:r>
        <w:rPr>
          <w:rFonts w:cs="Arial"/>
        </w:rPr>
        <w:t>continuait</w:t>
      </w:r>
      <w:r w:rsidRPr="00790DBF">
        <w:rPr>
          <w:rFonts w:cs="Arial"/>
        </w:rPr>
        <w:t xml:space="preserve"> à solliciter de nouveaux investissements auprès des commanditaires, en présentant ces projets comme viables et porteurs de rendement, alors que les données internes démontraient l’inverse.</w:t>
      </w:r>
    </w:p>
    <w:p w14:paraId="2F2F0DB2" w14:textId="77777777" w:rsidR="00FA64C6" w:rsidRPr="00790DBF" w:rsidRDefault="00730A01" w:rsidP="00FA64C6">
      <w:pPr>
        <w:pStyle w:val="Paragraphe"/>
        <w:numPr>
          <w:ilvl w:val="0"/>
          <w:numId w:val="1"/>
        </w:numPr>
        <w:tabs>
          <w:tab w:val="clear" w:pos="786"/>
          <w:tab w:val="num" w:pos="360"/>
        </w:tabs>
        <w:spacing w:line="240" w:lineRule="auto"/>
        <w:ind w:left="0"/>
        <w:rPr>
          <w:rFonts w:cs="Arial"/>
          <w:bCs/>
          <w:szCs w:val="24"/>
        </w:rPr>
      </w:pPr>
      <w:r w:rsidRPr="00790DBF">
        <w:rPr>
          <w:rFonts w:cs="Arial"/>
        </w:rPr>
        <w:t>Les refinancements mis en place servaient essentiellement à rembourser des dettes antérieures et à couvrir des frais de gestion, plutôt qu’à améliorer la situation réelle des projets.</w:t>
      </w:r>
    </w:p>
    <w:p w14:paraId="3B2D3B15" w14:textId="77777777" w:rsidR="00FA64C6" w:rsidRPr="00790DBF" w:rsidRDefault="00730A01" w:rsidP="00FA64C6">
      <w:pPr>
        <w:pStyle w:val="Paragraphe"/>
        <w:numPr>
          <w:ilvl w:val="0"/>
          <w:numId w:val="1"/>
        </w:numPr>
        <w:tabs>
          <w:tab w:val="clear" w:pos="786"/>
          <w:tab w:val="num" w:pos="360"/>
        </w:tabs>
        <w:spacing w:line="240" w:lineRule="auto"/>
        <w:ind w:left="0"/>
        <w:rPr>
          <w:rFonts w:cs="Arial"/>
          <w:bCs/>
          <w:szCs w:val="24"/>
        </w:rPr>
      </w:pPr>
      <w:r w:rsidRPr="00790DBF">
        <w:rPr>
          <w:rFonts w:cs="Arial"/>
        </w:rPr>
        <w:t>Chaque nouvelle opération entraînait la perception de nouveaux honoraires par les sociétés de Giroux, notamment 6646, 8096 et X2, ce qui avait pour effet d’alourdir encore davantage l’endettement global.</w:t>
      </w:r>
    </w:p>
    <w:p w14:paraId="5140712A" w14:textId="77777777" w:rsidR="00FA64C6" w:rsidRPr="00247502" w:rsidRDefault="00730A01" w:rsidP="00FA64C6">
      <w:pPr>
        <w:pStyle w:val="Paragraphe"/>
        <w:numPr>
          <w:ilvl w:val="0"/>
          <w:numId w:val="1"/>
        </w:numPr>
        <w:tabs>
          <w:tab w:val="clear" w:pos="786"/>
          <w:tab w:val="num" w:pos="360"/>
        </w:tabs>
        <w:spacing w:line="240" w:lineRule="auto"/>
        <w:ind w:left="0"/>
        <w:rPr>
          <w:rFonts w:cs="Arial"/>
          <w:bCs/>
          <w:szCs w:val="24"/>
        </w:rPr>
      </w:pPr>
      <w:r w:rsidRPr="00790DBF">
        <w:rPr>
          <w:rFonts w:cs="Arial"/>
        </w:rPr>
        <w:t>Ainsi, les fonds des commanditaires étaient utilisés non pas pour créer de la valeur ou stabiliser les projets, mais pour alimenter un cycle de refinancements improductifs et générateurs de frais.</w:t>
      </w:r>
    </w:p>
    <w:p w14:paraId="30423E9C" w14:textId="77777777" w:rsidR="00FA64C6" w:rsidRPr="005D7369" w:rsidRDefault="00730A01" w:rsidP="00FA64C6">
      <w:pPr>
        <w:pStyle w:val="Paragraphe"/>
        <w:numPr>
          <w:ilvl w:val="0"/>
          <w:numId w:val="1"/>
        </w:numPr>
        <w:tabs>
          <w:tab w:val="clear" w:pos="786"/>
          <w:tab w:val="num" w:pos="360"/>
        </w:tabs>
        <w:spacing w:line="240" w:lineRule="auto"/>
        <w:ind w:left="0"/>
        <w:rPr>
          <w:rFonts w:cs="Arial"/>
          <w:i/>
          <w:iCs/>
        </w:rPr>
      </w:pPr>
      <w:r w:rsidRPr="005D7369">
        <w:rPr>
          <w:rFonts w:cs="Arial"/>
        </w:rPr>
        <w:t>Au</w:t>
      </w:r>
      <w:r w:rsidRPr="005D7369">
        <w:rPr>
          <w:rFonts w:cs="Arial"/>
          <w:szCs w:val="24"/>
        </w:rPr>
        <w:t xml:space="preserve"> fil des années, des frais étaient perçus par les Défendeurs en lien avec les prêts octroyés par les sociétés en commandite, auxquels s’ajoutaient les intérêts déjà prélevés. Ces frais incluaient notamment des honoraires de montage, des honoraires annuels de gestion, des frais d’analyse de dossiers et d’autres honoraires divers, facturés lors de chaque financement ou refinancement, indépendamment de la viabilité réelle des projets financés</w:t>
      </w:r>
      <w:r>
        <w:rPr>
          <w:rStyle w:val="Appelnotedebasdep"/>
          <w:rFonts w:cs="Arial"/>
        </w:rPr>
        <w:footnoteReference w:id="211"/>
      </w:r>
      <w:r>
        <w:rPr>
          <w:rFonts w:cs="Arial"/>
          <w:szCs w:val="24"/>
        </w:rPr>
        <w:t>.</w:t>
      </w:r>
    </w:p>
    <w:p w14:paraId="7868C527" w14:textId="77777777" w:rsidR="00FA64C6" w:rsidRPr="00786AA1" w:rsidRDefault="00730A01" w:rsidP="00FA64C6">
      <w:pPr>
        <w:pStyle w:val="Paragraphe"/>
        <w:numPr>
          <w:ilvl w:val="0"/>
          <w:numId w:val="1"/>
        </w:numPr>
        <w:tabs>
          <w:tab w:val="clear" w:pos="786"/>
          <w:tab w:val="num" w:pos="360"/>
        </w:tabs>
        <w:spacing w:line="240" w:lineRule="auto"/>
        <w:ind w:left="0"/>
        <w:rPr>
          <w:rStyle w:val="Accentuation"/>
          <w:rFonts w:cs="Arial"/>
        </w:rPr>
      </w:pPr>
      <w:r w:rsidRPr="00786AA1">
        <w:rPr>
          <w:rStyle w:val="Accentuation"/>
          <w:rFonts w:cs="Arial"/>
          <w:i w:val="0"/>
          <w:iCs w:val="0"/>
        </w:rPr>
        <w:t>En ce qui concerne les prêts de Q-12, des frais étaient chargés à l’emprunteur, notamment pour analyser sa solvabilité et les garanties du prêt, ainsi que pour faire le suivi de l’évolution des travaux de construc</w:t>
      </w:r>
      <w:r>
        <w:rPr>
          <w:rStyle w:val="Accentuation"/>
          <w:rFonts w:cs="Arial"/>
          <w:i w:val="0"/>
          <w:iCs w:val="0"/>
        </w:rPr>
        <w:t>ti</w:t>
      </w:r>
      <w:r w:rsidRPr="00786AA1">
        <w:rPr>
          <w:rStyle w:val="Accentuation"/>
          <w:rFonts w:cs="Arial"/>
          <w:i w:val="0"/>
          <w:iCs w:val="0"/>
        </w:rPr>
        <w:t>on et pour support à la gestion de projets</w:t>
      </w:r>
      <w:r>
        <w:rPr>
          <w:rStyle w:val="Appelnotedebasdep"/>
          <w:rFonts w:cs="Arial"/>
        </w:rPr>
        <w:footnoteReference w:id="212"/>
      </w:r>
      <w:r w:rsidRPr="00786AA1">
        <w:rPr>
          <w:rStyle w:val="Accentuation"/>
          <w:rFonts w:cs="Arial"/>
          <w:i w:val="0"/>
          <w:iCs w:val="0"/>
        </w:rPr>
        <w:t>.</w:t>
      </w:r>
    </w:p>
    <w:p w14:paraId="66606B3E" w14:textId="77777777" w:rsidR="00FA64C6" w:rsidRPr="00437237" w:rsidRDefault="00730A01" w:rsidP="00FA64C6">
      <w:pPr>
        <w:pStyle w:val="Paragraphe"/>
        <w:numPr>
          <w:ilvl w:val="0"/>
          <w:numId w:val="1"/>
        </w:numPr>
        <w:tabs>
          <w:tab w:val="clear" w:pos="786"/>
          <w:tab w:val="num" w:pos="360"/>
        </w:tabs>
        <w:spacing w:line="240" w:lineRule="auto"/>
        <w:ind w:left="0"/>
        <w:rPr>
          <w:rStyle w:val="Accentuation"/>
          <w:rFonts w:cs="Arial"/>
        </w:rPr>
      </w:pPr>
      <w:r w:rsidRPr="00786AA1">
        <w:rPr>
          <w:rStyle w:val="Accentuation"/>
          <w:rFonts w:cs="Arial"/>
          <w:i w:val="0"/>
          <w:iCs w:val="0"/>
        </w:rPr>
        <w:t>Ainsi, tant les emprunteurs que les sociétés en commandite ont été mis à contribution pour financer les frais de gestion facturés par 6646, et ce, en plus des intérêts déjà exigés sur les prêts.</w:t>
      </w:r>
    </w:p>
    <w:p w14:paraId="1BFF0FF4" w14:textId="77777777" w:rsidR="00FA64C6" w:rsidRDefault="00730A01" w:rsidP="00FA64C6">
      <w:pPr>
        <w:pStyle w:val="Paragraphe"/>
        <w:numPr>
          <w:ilvl w:val="0"/>
          <w:numId w:val="1"/>
        </w:numPr>
        <w:tabs>
          <w:tab w:val="clear" w:pos="786"/>
          <w:tab w:val="num" w:pos="360"/>
        </w:tabs>
        <w:spacing w:line="240" w:lineRule="auto"/>
        <w:ind w:left="0"/>
        <w:rPr>
          <w:rFonts w:cs="Arial"/>
          <w:bCs/>
          <w:szCs w:val="24"/>
          <w:lang w:eastAsia="fr-CA"/>
        </w:rPr>
      </w:pPr>
      <w:r w:rsidRPr="00437237">
        <w:rPr>
          <w:rStyle w:val="Accentuation"/>
          <w:rFonts w:cs="Arial"/>
          <w:i w:val="0"/>
          <w:iCs w:val="0"/>
        </w:rPr>
        <w:t>Selon le rapport KPMG, ces frais venaient grever les liquidités disponibles pour les projets financés et alourdissaient indûment la charge financière des emprunteurs, sans réelle valeur ajoutée pour ceux-ci</w:t>
      </w:r>
      <w:r>
        <w:rPr>
          <w:rStyle w:val="Appelnotedebasdep"/>
          <w:rFonts w:cs="Arial"/>
        </w:rPr>
        <w:footnoteReference w:id="213"/>
      </w:r>
      <w:r>
        <w:rPr>
          <w:rFonts w:cs="Arial"/>
          <w:bCs/>
          <w:szCs w:val="24"/>
          <w:lang w:eastAsia="fr-CA"/>
        </w:rPr>
        <w:t>.</w:t>
      </w:r>
    </w:p>
    <w:p w14:paraId="2313C2BB" w14:textId="77777777" w:rsidR="00FA64C6" w:rsidRPr="00790DBF" w:rsidRDefault="00730A01" w:rsidP="00FA64C6">
      <w:pPr>
        <w:pStyle w:val="Paragraphe"/>
        <w:numPr>
          <w:ilvl w:val="0"/>
          <w:numId w:val="1"/>
        </w:numPr>
        <w:tabs>
          <w:tab w:val="clear" w:pos="786"/>
          <w:tab w:val="num" w:pos="360"/>
        </w:tabs>
        <w:spacing w:line="240" w:lineRule="auto"/>
        <w:ind w:left="0"/>
        <w:rPr>
          <w:rFonts w:cs="Arial"/>
          <w:bCs/>
          <w:szCs w:val="24"/>
        </w:rPr>
      </w:pPr>
      <w:r w:rsidRPr="00790DBF">
        <w:rPr>
          <w:rFonts w:cs="Arial"/>
        </w:rPr>
        <w:t>Cette mécanique a eu pour conséquence directe de fragiliser les investissements des Demandeurs, tout en assurant à Giroux et à ses sociétés un flux constant de revenus par honoraires.</w:t>
      </w:r>
    </w:p>
    <w:p w14:paraId="48225786" w14:textId="77777777" w:rsidR="00FA64C6" w:rsidRPr="00E86233" w:rsidRDefault="00730A01" w:rsidP="00FA64C6">
      <w:pPr>
        <w:pStyle w:val="Paragraphe"/>
        <w:numPr>
          <w:ilvl w:val="0"/>
          <w:numId w:val="1"/>
        </w:numPr>
        <w:tabs>
          <w:tab w:val="clear" w:pos="786"/>
          <w:tab w:val="num" w:pos="360"/>
        </w:tabs>
        <w:spacing w:line="240" w:lineRule="auto"/>
        <w:ind w:left="0"/>
        <w:rPr>
          <w:rFonts w:cs="Arial"/>
          <w:i/>
          <w:iCs/>
        </w:rPr>
      </w:pPr>
      <w:r w:rsidRPr="005D7369">
        <w:rPr>
          <w:rFonts w:cs="Arial"/>
        </w:rPr>
        <w:t xml:space="preserve">De tels agissements constituent un abus manifeste des droits contractuels et engagent la responsabilité </w:t>
      </w:r>
      <w:r>
        <w:rPr>
          <w:rFonts w:cs="Arial"/>
        </w:rPr>
        <w:t>de X2</w:t>
      </w:r>
      <w:r>
        <w:rPr>
          <w:rStyle w:val="Appelnotedebasdep"/>
          <w:rFonts w:cs="Arial"/>
        </w:rPr>
        <w:footnoteReference w:id="214"/>
      </w:r>
      <w:r>
        <w:rPr>
          <w:rFonts w:cs="Arial"/>
        </w:rPr>
        <w:t>.</w:t>
      </w:r>
    </w:p>
    <w:p w14:paraId="6884967B" w14:textId="77777777" w:rsidR="008F21B2" w:rsidRPr="008F21B2" w:rsidRDefault="00730A01" w:rsidP="00760913">
      <w:pPr>
        <w:pStyle w:val="Titre2"/>
        <w:numPr>
          <w:ilvl w:val="0"/>
          <w:numId w:val="147"/>
        </w:numPr>
        <w:rPr>
          <w:i w:val="0"/>
          <w:iCs/>
          <w:szCs w:val="24"/>
          <w:u w:val="single"/>
          <w:lang w:eastAsia="fr-CA"/>
        </w:rPr>
      </w:pPr>
      <w:bookmarkStart w:id="108" w:name="_Toc211495238"/>
      <w:bookmarkStart w:id="109" w:name="_Toc211600650"/>
      <w:r w:rsidRPr="00F76BC3">
        <w:rPr>
          <w:i w:val="0"/>
          <w:iCs/>
          <w:szCs w:val="24"/>
          <w:u w:val="single"/>
          <w:lang w:eastAsia="fr-CA"/>
        </w:rPr>
        <w:t>Le défaut de protéger le capital des commanditaires</w:t>
      </w:r>
      <w:bookmarkEnd w:id="108"/>
      <w:bookmarkEnd w:id="109"/>
    </w:p>
    <w:p w14:paraId="418DCE9D" w14:textId="77777777" w:rsidR="008F21B2" w:rsidRDefault="00730A01" w:rsidP="008F21B2">
      <w:pPr>
        <w:pStyle w:val="Paragraphe"/>
        <w:numPr>
          <w:ilvl w:val="0"/>
          <w:numId w:val="1"/>
        </w:numPr>
        <w:tabs>
          <w:tab w:val="clear" w:pos="786"/>
          <w:tab w:val="num" w:pos="360"/>
        </w:tabs>
        <w:spacing w:before="100" w:beforeAutospacing="1" w:after="100" w:afterAutospacing="1" w:line="240" w:lineRule="auto"/>
        <w:ind w:left="0"/>
      </w:pPr>
      <w:r>
        <w:t xml:space="preserve">Vu ce qui précède, il y a lieu de conclure au manquement de Giroux d’avoir protégé le capital qui lui a été confié par les commanditaires, en contrevenant aux obligations de loyauté et de prudence inhérentes à sa position d’administrateur du bien d’autrui. </w:t>
      </w:r>
    </w:p>
    <w:p w14:paraId="783C4662" w14:textId="77777777" w:rsidR="008F21B2" w:rsidRDefault="00730A01" w:rsidP="008F21B2">
      <w:pPr>
        <w:pStyle w:val="Paragraphe"/>
        <w:numPr>
          <w:ilvl w:val="0"/>
          <w:numId w:val="1"/>
        </w:numPr>
        <w:tabs>
          <w:tab w:val="clear" w:pos="786"/>
          <w:tab w:val="num" w:pos="360"/>
        </w:tabs>
        <w:spacing w:before="100" w:beforeAutospacing="1" w:after="100" w:afterAutospacing="1" w:line="240" w:lineRule="auto"/>
        <w:ind w:left="0"/>
      </w:pPr>
      <w:r w:rsidRPr="00435ECF">
        <w:t xml:space="preserve">Un cas flagrant à cet effet est celui de </w:t>
      </w:r>
      <w:r w:rsidRPr="003B4B38">
        <w:rPr>
          <w:bCs/>
        </w:rPr>
        <w:t>l’hypothèque non publiée.</w:t>
      </w:r>
    </w:p>
    <w:p w14:paraId="3B650647" w14:textId="77777777" w:rsidR="008F21B2" w:rsidRDefault="00730A01" w:rsidP="008F21B2">
      <w:pPr>
        <w:pStyle w:val="Paragraphe"/>
        <w:numPr>
          <w:ilvl w:val="0"/>
          <w:numId w:val="1"/>
        </w:numPr>
        <w:tabs>
          <w:tab w:val="clear" w:pos="786"/>
          <w:tab w:val="num" w:pos="360"/>
        </w:tabs>
        <w:spacing w:before="100" w:beforeAutospacing="1" w:after="100" w:afterAutospacing="1" w:line="240" w:lineRule="auto"/>
        <w:ind w:left="0"/>
      </w:pPr>
      <w:r>
        <w:t xml:space="preserve">Le </w:t>
      </w:r>
      <w:r w:rsidRPr="003B4B38">
        <w:rPr>
          <w:rStyle w:val="lev"/>
          <w:b w:val="0"/>
          <w:bCs w:val="0"/>
        </w:rPr>
        <w:t>30</w:t>
      </w:r>
      <w:r>
        <w:rPr>
          <w:rStyle w:val="lev"/>
          <w:b w:val="0"/>
          <w:bCs w:val="0"/>
        </w:rPr>
        <w:t> </w:t>
      </w:r>
      <w:r w:rsidRPr="003B4B38">
        <w:rPr>
          <w:rStyle w:val="lev"/>
          <w:b w:val="0"/>
          <w:bCs w:val="0"/>
        </w:rPr>
        <w:t>octobre</w:t>
      </w:r>
      <w:r>
        <w:rPr>
          <w:rStyle w:val="lev"/>
          <w:b w:val="0"/>
          <w:bCs w:val="0"/>
        </w:rPr>
        <w:t> </w:t>
      </w:r>
      <w:r w:rsidRPr="003B4B38">
        <w:rPr>
          <w:rStyle w:val="lev"/>
          <w:b w:val="0"/>
          <w:bCs w:val="0"/>
        </w:rPr>
        <w:t>2017</w:t>
      </w:r>
      <w:r w:rsidRPr="003B4B38">
        <w:rPr>
          <w:b/>
          <w:bCs/>
        </w:rPr>
        <w:t xml:space="preserve">, </w:t>
      </w:r>
      <w:r w:rsidRPr="000C5C3A">
        <w:t xml:space="preserve">la société en commandite </w:t>
      </w:r>
      <w:r w:rsidRPr="003B4B38">
        <w:rPr>
          <w:rStyle w:val="lev"/>
          <w:b w:val="0"/>
          <w:bCs w:val="0"/>
        </w:rPr>
        <w:t>FIISH</w:t>
      </w:r>
      <w:r w:rsidRPr="003B4B38">
        <w:rPr>
          <w:b/>
          <w:bCs/>
        </w:rPr>
        <w:t xml:space="preserve"> </w:t>
      </w:r>
      <w:r w:rsidRPr="000C5C3A">
        <w:t xml:space="preserve">a consenti un </w:t>
      </w:r>
      <w:r w:rsidRPr="003B4B38">
        <w:rPr>
          <w:rStyle w:val="lev"/>
          <w:b w:val="0"/>
          <w:bCs w:val="0"/>
        </w:rPr>
        <w:t>prêt de</w:t>
      </w:r>
      <w:r>
        <w:rPr>
          <w:rStyle w:val="lev"/>
          <w:b w:val="0"/>
          <w:bCs w:val="0"/>
        </w:rPr>
        <w:t> </w:t>
      </w:r>
      <w:r w:rsidRPr="003B4B38">
        <w:rPr>
          <w:rStyle w:val="lev"/>
          <w:b w:val="0"/>
          <w:bCs w:val="0"/>
        </w:rPr>
        <w:t>40</w:t>
      </w:r>
      <w:r>
        <w:rPr>
          <w:rStyle w:val="lev"/>
          <w:b w:val="0"/>
          <w:bCs w:val="0"/>
        </w:rPr>
        <w:t> </w:t>
      </w:r>
      <w:r w:rsidRPr="003B4B38">
        <w:rPr>
          <w:rStyle w:val="lev"/>
          <w:b w:val="0"/>
          <w:bCs w:val="0"/>
        </w:rPr>
        <w:t>000</w:t>
      </w:r>
      <w:r>
        <w:rPr>
          <w:rStyle w:val="lev"/>
          <w:b w:val="0"/>
          <w:bCs w:val="0"/>
        </w:rPr>
        <w:t> </w:t>
      </w:r>
      <w:r w:rsidRPr="003B4B38">
        <w:rPr>
          <w:rStyle w:val="lev"/>
          <w:b w:val="0"/>
          <w:bCs w:val="0"/>
        </w:rPr>
        <w:t>000</w:t>
      </w:r>
      <w:r>
        <w:rPr>
          <w:rStyle w:val="lev"/>
          <w:b w:val="0"/>
          <w:bCs w:val="0"/>
        </w:rPr>
        <w:t> </w:t>
      </w:r>
      <w:r w:rsidRPr="003B4B38">
        <w:rPr>
          <w:rStyle w:val="lev"/>
          <w:b w:val="0"/>
          <w:bCs w:val="0"/>
        </w:rPr>
        <w:t>$</w:t>
      </w:r>
      <w:r w:rsidRPr="003B4B38">
        <w:rPr>
          <w:b/>
          <w:bCs/>
        </w:rPr>
        <w:t xml:space="preserve"> </w:t>
      </w:r>
      <w:r w:rsidRPr="003B4B38">
        <w:t>au Groupe</w:t>
      </w:r>
      <w:r w:rsidRPr="000C5C3A">
        <w:t xml:space="preserve"> Huot. Ce prêt devait être garanti par une </w:t>
      </w:r>
      <w:r w:rsidRPr="003B4B38">
        <w:rPr>
          <w:rStyle w:val="lev"/>
          <w:b w:val="0"/>
          <w:bCs w:val="0"/>
        </w:rPr>
        <w:t>hypothèque immobilière de premier rang</w:t>
      </w:r>
      <w:r w:rsidRPr="003B4B38">
        <w:rPr>
          <w:b/>
          <w:bCs/>
        </w:rPr>
        <w:t xml:space="preserve">, </w:t>
      </w:r>
      <w:r w:rsidRPr="000C5C3A">
        <w:t xml:space="preserve">consentie le même jour. Or, cette </w:t>
      </w:r>
      <w:r w:rsidRPr="003B4B38">
        <w:t>hypothèque</w:t>
      </w:r>
      <w:r w:rsidRPr="003B4B38">
        <w:rPr>
          <w:b/>
          <w:bCs/>
        </w:rPr>
        <w:t xml:space="preserve"> </w:t>
      </w:r>
      <w:r w:rsidRPr="003B4B38">
        <w:rPr>
          <w:rStyle w:val="lev"/>
          <w:b w:val="0"/>
          <w:bCs w:val="0"/>
        </w:rPr>
        <w:t>n’a jamais été publiée au registre foncier</w:t>
      </w:r>
      <w:r w:rsidRPr="003B4B38">
        <w:rPr>
          <w:b/>
          <w:bCs/>
        </w:rPr>
        <w:t xml:space="preserve">, </w:t>
      </w:r>
      <w:r>
        <w:t>ce qui la rendait inopposable aux tiers et donc inutile comme sûreté</w:t>
      </w:r>
      <w:r>
        <w:rPr>
          <w:rStyle w:val="Appelnotedebasdep"/>
        </w:rPr>
        <w:footnoteReference w:id="215"/>
      </w:r>
      <w:r>
        <w:t xml:space="preserve">. </w:t>
      </w:r>
    </w:p>
    <w:p w14:paraId="2DAEA231" w14:textId="77777777" w:rsidR="008F21B2" w:rsidRDefault="00730A01" w:rsidP="008F21B2">
      <w:pPr>
        <w:pStyle w:val="Paragraphe"/>
        <w:numPr>
          <w:ilvl w:val="0"/>
          <w:numId w:val="1"/>
        </w:numPr>
        <w:tabs>
          <w:tab w:val="clear" w:pos="786"/>
          <w:tab w:val="num" w:pos="360"/>
        </w:tabs>
        <w:spacing w:before="100" w:beforeAutospacing="1" w:after="100" w:afterAutospacing="1" w:line="240" w:lineRule="auto"/>
        <w:ind w:left="0"/>
      </w:pPr>
      <w:r>
        <w:t>Les commanditaires entendus à ce propos ont affirmé qu’ils n’avaient pas compris ni été informés des conséquences de la non-publication de l’hypothèque FIISH. Ils ont cru, sur la foi des représentations de Giroux, qu’ils étaient protégés par une hypothèque de premier rang, ce qui s’est révélé faux</w:t>
      </w:r>
      <w:r>
        <w:rPr>
          <w:rStyle w:val="Appelnotedebasdep"/>
        </w:rPr>
        <w:footnoteReference w:id="216"/>
      </w:r>
      <w:r>
        <w:rPr>
          <w:rFonts w:ascii="Cambria" w:eastAsia="MS Mincho" w:hAnsi="Cambria"/>
          <w:sz w:val="22"/>
          <w:szCs w:val="22"/>
          <w:lang w:eastAsia="en-US"/>
        </w:rPr>
        <w:t>.</w:t>
      </w:r>
    </w:p>
    <w:p w14:paraId="1F9107D2" w14:textId="77777777" w:rsidR="008F21B2" w:rsidRDefault="00730A01" w:rsidP="008F21B2">
      <w:pPr>
        <w:pStyle w:val="Paragraphe"/>
        <w:numPr>
          <w:ilvl w:val="0"/>
          <w:numId w:val="1"/>
        </w:numPr>
        <w:tabs>
          <w:tab w:val="clear" w:pos="786"/>
          <w:tab w:val="num" w:pos="360"/>
        </w:tabs>
        <w:spacing w:before="100" w:beforeAutospacing="1" w:after="100" w:afterAutospacing="1" w:line="240" w:lineRule="auto"/>
        <w:ind w:left="0"/>
      </w:pPr>
      <w:r>
        <w:t>Cette supposée garantie n’a évidemment servi à rien après la débâcle du Groupe Huot.</w:t>
      </w:r>
    </w:p>
    <w:p w14:paraId="19E5CAD9" w14:textId="77777777" w:rsidR="00FA64C6" w:rsidRPr="00403E05" w:rsidRDefault="00730A01" w:rsidP="00403E05">
      <w:pPr>
        <w:pStyle w:val="Paragraphe"/>
        <w:numPr>
          <w:ilvl w:val="0"/>
          <w:numId w:val="1"/>
        </w:numPr>
        <w:tabs>
          <w:tab w:val="clear" w:pos="786"/>
          <w:tab w:val="num" w:pos="360"/>
        </w:tabs>
        <w:spacing w:after="0" w:line="240" w:lineRule="auto"/>
        <w:ind w:left="0"/>
      </w:pPr>
      <w:r>
        <w:t>La jurisprudence confirme d’ailleurs que l’obligation de prudence est d’ordre public et ne peut être écartée. Elle souligne aussi que le fiduciaire négligent demeure responsable, même en présence d’une clause exonératoire</w:t>
      </w:r>
      <w:r>
        <w:rPr>
          <w:rStyle w:val="Appelnotedebasdep"/>
        </w:rPr>
        <w:footnoteReference w:id="217"/>
      </w:r>
      <w:r>
        <w:t>.</w:t>
      </w:r>
    </w:p>
    <w:p w14:paraId="1FA3AC38" w14:textId="77777777" w:rsidR="009A650F" w:rsidRDefault="00730A01" w:rsidP="00307881">
      <w:pPr>
        <w:pStyle w:val="Paragraphe"/>
        <w:numPr>
          <w:ilvl w:val="0"/>
          <w:numId w:val="0"/>
        </w:numPr>
        <w:tabs>
          <w:tab w:val="left" w:pos="3686"/>
        </w:tabs>
        <w:spacing w:line="240" w:lineRule="auto"/>
        <w:ind w:left="425"/>
        <w:rPr>
          <w:rFonts w:cs="Arial"/>
        </w:rPr>
      </w:pPr>
      <w:r>
        <w:rPr>
          <w:rFonts w:cs="Arial"/>
          <w:b/>
          <w:bCs/>
        </w:rPr>
        <w:tab/>
      </w:r>
      <w:r w:rsidRPr="009B0380">
        <w:rPr>
          <w:rFonts w:cs="Arial"/>
        </w:rPr>
        <w:t>* * *</w:t>
      </w:r>
    </w:p>
    <w:p w14:paraId="65129B76" w14:textId="77777777" w:rsidR="0023341A" w:rsidRDefault="00730A01">
      <w:pPr>
        <w:rPr>
          <w:rFonts w:cs="Arial"/>
          <w:kern w:val="28"/>
        </w:rPr>
      </w:pPr>
      <w:r>
        <w:rPr>
          <w:rFonts w:cs="Arial"/>
        </w:rPr>
        <w:br w:type="page"/>
      </w:r>
    </w:p>
    <w:p w14:paraId="15E2E3C6" w14:textId="77777777" w:rsidR="00BA0714" w:rsidRPr="009B48F0" w:rsidRDefault="00730A01" w:rsidP="00233907">
      <w:pPr>
        <w:pStyle w:val="Titre2"/>
        <w:ind w:left="426"/>
        <w:rPr>
          <w:bCs/>
          <w:szCs w:val="24"/>
        </w:rPr>
      </w:pPr>
      <w:r>
        <w:t>4</w:t>
      </w:r>
      <w:r w:rsidR="00870BD4" w:rsidRPr="009B48F0">
        <w:t xml:space="preserve">.1 </w:t>
      </w:r>
      <w:r w:rsidR="00782542" w:rsidRPr="009B48F0">
        <w:t>Le</w:t>
      </w:r>
      <w:r w:rsidR="001F1DA4" w:rsidRPr="009B48F0">
        <w:t xml:space="preserve"> lien de causalité entre les dommages réclamés et </w:t>
      </w:r>
      <w:r w:rsidR="00CC3D3E" w:rsidRPr="009B48F0">
        <w:t>l</w:t>
      </w:r>
      <w:r w:rsidR="001F1DA4" w:rsidRPr="009B48F0">
        <w:t>es fautes</w:t>
      </w:r>
      <w:r w:rsidR="00CC3D3E" w:rsidRPr="009B48F0">
        <w:t xml:space="preserve"> des sociétés</w:t>
      </w:r>
      <w:r w:rsidR="00CC3D3E" w:rsidRPr="009B48F0">
        <w:rPr>
          <w:bCs/>
          <w:szCs w:val="24"/>
        </w:rPr>
        <w:t xml:space="preserve"> défenderesses</w:t>
      </w:r>
    </w:p>
    <w:p w14:paraId="3C48D79B" w14:textId="77777777" w:rsidR="00BA0714" w:rsidRPr="00282BE5" w:rsidRDefault="00730A01" w:rsidP="0098012F">
      <w:pPr>
        <w:pStyle w:val="Paragraphe"/>
        <w:tabs>
          <w:tab w:val="clear" w:pos="786"/>
        </w:tabs>
        <w:spacing w:line="240" w:lineRule="auto"/>
        <w:ind w:left="0"/>
        <w:rPr>
          <w:rFonts w:cs="Arial"/>
          <w:bCs/>
          <w:szCs w:val="24"/>
        </w:rPr>
      </w:pPr>
      <w:r>
        <w:rPr>
          <w:lang w:eastAsia="fr-CA"/>
        </w:rPr>
        <w:t>L</w:t>
      </w:r>
      <w:r w:rsidRPr="00282BE5">
        <w:rPr>
          <w:rFonts w:eastAsia="MS Mincho" w:cs="Arial"/>
          <w:szCs w:val="24"/>
          <w:lang w:eastAsia="en-US"/>
        </w:rPr>
        <w:t xml:space="preserve">es </w:t>
      </w:r>
      <w:r>
        <w:rPr>
          <w:rFonts w:eastAsia="MS Mincho" w:cs="Arial"/>
          <w:szCs w:val="24"/>
          <w:lang w:eastAsia="en-US"/>
        </w:rPr>
        <w:t>D</w:t>
      </w:r>
      <w:r w:rsidRPr="00282BE5">
        <w:rPr>
          <w:rFonts w:eastAsia="MS Mincho" w:cs="Arial"/>
          <w:szCs w:val="24"/>
          <w:lang w:eastAsia="en-US"/>
        </w:rPr>
        <w:t>éfendeurs prétendent que s’il y a des pertes, c’est parce que Huot a «</w:t>
      </w:r>
      <w:r w:rsidR="00E67969">
        <w:rPr>
          <w:rFonts w:eastAsia="MS Mincho" w:cs="Arial"/>
          <w:szCs w:val="24"/>
          <w:lang w:eastAsia="en-US"/>
        </w:rPr>
        <w:t> </w:t>
      </w:r>
      <w:r w:rsidRPr="00282BE5">
        <w:rPr>
          <w:rFonts w:eastAsia="MS Mincho" w:cs="Arial"/>
          <w:szCs w:val="24"/>
          <w:lang w:eastAsia="en-US"/>
        </w:rPr>
        <w:t>refusé</w:t>
      </w:r>
      <w:r w:rsidR="00E67969">
        <w:rPr>
          <w:rFonts w:eastAsia="MS Mincho" w:cs="Arial"/>
          <w:szCs w:val="24"/>
          <w:lang w:eastAsia="en-US"/>
        </w:rPr>
        <w:t> </w:t>
      </w:r>
      <w:r w:rsidRPr="00282BE5">
        <w:rPr>
          <w:rFonts w:eastAsia="MS Mincho" w:cs="Arial"/>
          <w:szCs w:val="24"/>
          <w:lang w:eastAsia="en-US"/>
        </w:rPr>
        <w:t xml:space="preserve">» de vendre son parc immobilier malgré les demandes répétées </w:t>
      </w:r>
      <w:r>
        <w:rPr>
          <w:rFonts w:eastAsia="MS Mincho" w:cs="Arial"/>
          <w:szCs w:val="24"/>
          <w:lang w:eastAsia="en-US"/>
        </w:rPr>
        <w:t xml:space="preserve">à cet effet </w:t>
      </w:r>
      <w:r w:rsidRPr="00282BE5">
        <w:rPr>
          <w:rFonts w:eastAsia="MS Mincho" w:cs="Arial"/>
          <w:szCs w:val="24"/>
          <w:lang w:eastAsia="en-US"/>
        </w:rPr>
        <w:t>ou encore qu’il a refusé «</w:t>
      </w:r>
      <w:r w:rsidR="009C7A24">
        <w:rPr>
          <w:rFonts w:eastAsia="MS Mincho" w:cs="Arial"/>
          <w:szCs w:val="24"/>
          <w:lang w:eastAsia="en-US"/>
        </w:rPr>
        <w:t> </w:t>
      </w:r>
      <w:r w:rsidRPr="00282BE5">
        <w:rPr>
          <w:rFonts w:eastAsia="MS Mincho" w:cs="Arial"/>
          <w:szCs w:val="24"/>
          <w:lang w:eastAsia="en-US"/>
        </w:rPr>
        <w:t>différentes offres d’achat</w:t>
      </w:r>
      <w:r w:rsidR="009C7A24">
        <w:rPr>
          <w:rFonts w:eastAsia="MS Mincho" w:cs="Arial"/>
          <w:szCs w:val="24"/>
          <w:lang w:eastAsia="en-US"/>
        </w:rPr>
        <w:t> </w:t>
      </w:r>
      <w:r w:rsidRPr="00282BE5">
        <w:rPr>
          <w:rFonts w:eastAsia="MS Mincho" w:cs="Arial"/>
          <w:szCs w:val="24"/>
          <w:lang w:eastAsia="en-US"/>
        </w:rPr>
        <w:t>»</w:t>
      </w:r>
      <w:r>
        <w:rPr>
          <w:rStyle w:val="Appelnotedebasdep"/>
          <w:rFonts w:eastAsia="MS Mincho" w:cs="Arial"/>
          <w:szCs w:val="24"/>
          <w:lang w:eastAsia="en-US"/>
        </w:rPr>
        <w:footnoteReference w:id="218"/>
      </w:r>
      <w:r w:rsidRPr="00282BE5">
        <w:rPr>
          <w:rFonts w:eastAsia="MS Mincho" w:cs="Arial"/>
          <w:szCs w:val="24"/>
          <w:lang w:eastAsia="en-US"/>
        </w:rPr>
        <w:t>. La preuve révèle cependant que ces démarches de vente ne se sont pas concrétisées pour diverses raisons alors qu’elles étaient à un stade précoce. À ce sujet :</w:t>
      </w:r>
    </w:p>
    <w:p w14:paraId="51842362" w14:textId="77777777" w:rsidR="00BA0714" w:rsidRPr="002F6648" w:rsidRDefault="00730A01" w:rsidP="0023341A">
      <w:pPr>
        <w:pStyle w:val="Citationenretrait"/>
        <w:spacing w:after="0"/>
        <w:ind w:right="539"/>
        <w:rPr>
          <w:rFonts w:eastAsia="MS Mincho"/>
          <w:sz w:val="24"/>
          <w:szCs w:val="24"/>
        </w:rPr>
      </w:pPr>
      <w:r w:rsidRPr="002F6648">
        <w:rPr>
          <w:rFonts w:eastAsia="MS Mincho"/>
          <w:sz w:val="24"/>
          <w:szCs w:val="24"/>
        </w:rPr>
        <w:t>a) Larochelle affirme qu’ils ont effectué plusieurs démarches pour rembourser FIISH, mais que celles-ci se sont avérées infructueuses pour «</w:t>
      </w:r>
      <w:r w:rsidR="009B0380" w:rsidRPr="002F6648">
        <w:rPr>
          <w:rFonts w:eastAsia="MS Mincho"/>
          <w:sz w:val="24"/>
          <w:szCs w:val="24"/>
        </w:rPr>
        <w:t> </w:t>
      </w:r>
      <w:r w:rsidRPr="002F6648">
        <w:rPr>
          <w:rFonts w:eastAsia="MS Mincho"/>
          <w:sz w:val="24"/>
          <w:szCs w:val="24"/>
        </w:rPr>
        <w:t>XY</w:t>
      </w:r>
      <w:r w:rsidR="009B0380" w:rsidRPr="002F6648">
        <w:rPr>
          <w:rFonts w:eastAsia="MS Mincho"/>
          <w:sz w:val="24"/>
          <w:szCs w:val="24"/>
        </w:rPr>
        <w:t> </w:t>
      </w:r>
      <w:r w:rsidRPr="002F6648">
        <w:rPr>
          <w:rFonts w:eastAsia="MS Mincho"/>
          <w:sz w:val="24"/>
          <w:szCs w:val="24"/>
        </w:rPr>
        <w:t>» raison</w:t>
      </w:r>
      <w:r>
        <w:rPr>
          <w:rStyle w:val="Appelnotedebasdep"/>
          <w:rFonts w:eastAsia="MS Mincho"/>
          <w:sz w:val="24"/>
          <w:szCs w:val="24"/>
        </w:rPr>
        <w:footnoteReference w:id="219"/>
      </w:r>
      <w:r w:rsidRPr="002F6648">
        <w:rPr>
          <w:rFonts w:eastAsia="MS Mincho"/>
          <w:sz w:val="24"/>
          <w:szCs w:val="24"/>
        </w:rPr>
        <w:t>;</w:t>
      </w:r>
    </w:p>
    <w:p w14:paraId="554E4AC8" w14:textId="77777777" w:rsidR="00BA0714" w:rsidRPr="002F6648" w:rsidRDefault="00730A01" w:rsidP="0023341A">
      <w:pPr>
        <w:pStyle w:val="Citationenretrait"/>
        <w:spacing w:after="0"/>
        <w:ind w:right="539"/>
        <w:rPr>
          <w:rFonts w:eastAsia="MS Mincho"/>
          <w:sz w:val="24"/>
          <w:szCs w:val="24"/>
        </w:rPr>
      </w:pPr>
      <w:r w:rsidRPr="002F6648">
        <w:rPr>
          <w:rFonts w:eastAsia="MS Mincho"/>
          <w:sz w:val="24"/>
          <w:szCs w:val="24"/>
        </w:rPr>
        <w:t>b) Huot affirme lui-même n’avoir jamais refusé de vendre et qu’il refuserait seulement de vendre si c’était à un prix dérisoire</w:t>
      </w:r>
      <w:r>
        <w:rPr>
          <w:rStyle w:val="Appelnotedebasdep"/>
          <w:rFonts w:eastAsia="MS Mincho"/>
          <w:sz w:val="24"/>
          <w:szCs w:val="24"/>
        </w:rPr>
        <w:footnoteReference w:id="220"/>
      </w:r>
      <w:r w:rsidRPr="002F6648">
        <w:rPr>
          <w:rFonts w:eastAsia="MS Mincho"/>
          <w:sz w:val="24"/>
          <w:szCs w:val="24"/>
        </w:rPr>
        <w:t>. Contrairement à ce que Giroux affirme</w:t>
      </w:r>
      <w:r>
        <w:rPr>
          <w:rStyle w:val="Appelnotedebasdep"/>
          <w:rFonts w:eastAsia="MS Mincho"/>
          <w:sz w:val="24"/>
          <w:szCs w:val="24"/>
        </w:rPr>
        <w:footnoteReference w:id="221"/>
      </w:r>
      <w:r w:rsidRPr="002F6648">
        <w:rPr>
          <w:rFonts w:eastAsia="MS Mincho"/>
          <w:sz w:val="24"/>
          <w:szCs w:val="24"/>
        </w:rPr>
        <w:t>, il n’était pas là pour les records, il était là pour vendre</w:t>
      </w:r>
      <w:r>
        <w:rPr>
          <w:rStyle w:val="Appelnotedebasdep"/>
          <w:rFonts w:eastAsia="MS Mincho"/>
          <w:sz w:val="24"/>
          <w:szCs w:val="24"/>
        </w:rPr>
        <w:footnoteReference w:id="222"/>
      </w:r>
      <w:r w:rsidRPr="002F6648">
        <w:rPr>
          <w:rFonts w:eastAsia="MS Mincho"/>
          <w:sz w:val="24"/>
          <w:szCs w:val="24"/>
        </w:rPr>
        <w:t>;</w:t>
      </w:r>
    </w:p>
    <w:p w14:paraId="3797AEE0" w14:textId="77777777" w:rsidR="00BA0714" w:rsidRPr="002F6648" w:rsidRDefault="00730A01" w:rsidP="0023341A">
      <w:pPr>
        <w:pStyle w:val="Citationenretrait"/>
        <w:spacing w:after="0"/>
        <w:ind w:right="539"/>
        <w:rPr>
          <w:rFonts w:eastAsia="MS Mincho"/>
          <w:sz w:val="24"/>
          <w:szCs w:val="24"/>
        </w:rPr>
      </w:pPr>
      <w:r w:rsidRPr="002F6648">
        <w:rPr>
          <w:rFonts w:eastAsia="MS Mincho"/>
          <w:sz w:val="24"/>
          <w:szCs w:val="24"/>
        </w:rPr>
        <w:t>c) Huot a accepté des offres d’achat</w:t>
      </w:r>
      <w:r>
        <w:rPr>
          <w:rStyle w:val="Appelnotedebasdep"/>
          <w:rFonts w:eastAsia="MS Mincho"/>
          <w:sz w:val="24"/>
          <w:szCs w:val="24"/>
        </w:rPr>
        <w:footnoteReference w:id="223"/>
      </w:r>
      <w:r w:rsidRPr="002F6648">
        <w:rPr>
          <w:rFonts w:eastAsia="MS Mincho"/>
          <w:sz w:val="24"/>
          <w:szCs w:val="24"/>
        </w:rPr>
        <w:t>, lesquelles demeuraient toutefois conditionnelles à une vérification diligente</w:t>
      </w:r>
      <w:r>
        <w:rPr>
          <w:rStyle w:val="Appelnotedebasdep"/>
          <w:rFonts w:eastAsia="MS Mincho"/>
          <w:sz w:val="24"/>
          <w:szCs w:val="24"/>
        </w:rPr>
        <w:footnoteReference w:id="224"/>
      </w:r>
      <w:r w:rsidRPr="002F6648">
        <w:rPr>
          <w:rFonts w:eastAsia="MS Mincho"/>
          <w:sz w:val="24"/>
          <w:szCs w:val="24"/>
        </w:rPr>
        <w:t>;</w:t>
      </w:r>
    </w:p>
    <w:p w14:paraId="511CA782" w14:textId="77777777" w:rsidR="00BA0714" w:rsidRPr="002F6648" w:rsidRDefault="00730A01" w:rsidP="0023341A">
      <w:pPr>
        <w:pStyle w:val="Citationenretrait"/>
        <w:spacing w:after="0"/>
        <w:ind w:right="539"/>
        <w:rPr>
          <w:rFonts w:eastAsia="MS Mincho"/>
          <w:sz w:val="24"/>
          <w:szCs w:val="24"/>
        </w:rPr>
      </w:pPr>
      <w:r w:rsidRPr="002F6648">
        <w:rPr>
          <w:rFonts w:eastAsia="MS Mincho"/>
          <w:sz w:val="24"/>
          <w:szCs w:val="24"/>
        </w:rPr>
        <w:t>d) Plus particulièrement concernant la vente d’Altitude, c’est l’acheteur potentiel Akelius qui s’est retiré des discussions</w:t>
      </w:r>
      <w:r>
        <w:rPr>
          <w:rStyle w:val="Appelnotedebasdep"/>
          <w:rFonts w:eastAsia="MS Mincho"/>
          <w:sz w:val="24"/>
          <w:szCs w:val="24"/>
        </w:rPr>
        <w:footnoteReference w:id="225"/>
      </w:r>
      <w:r w:rsidRPr="002F6648">
        <w:rPr>
          <w:rFonts w:eastAsia="MS Mincho"/>
          <w:sz w:val="24"/>
          <w:szCs w:val="24"/>
        </w:rPr>
        <w:t>.</w:t>
      </w:r>
    </w:p>
    <w:p w14:paraId="535301CA" w14:textId="77777777" w:rsidR="00BA0714" w:rsidRPr="00794B5D" w:rsidRDefault="00730A01" w:rsidP="0098012F">
      <w:pPr>
        <w:pStyle w:val="Paragraphe"/>
        <w:tabs>
          <w:tab w:val="clear" w:pos="786"/>
        </w:tabs>
        <w:spacing w:before="240" w:line="240" w:lineRule="auto"/>
        <w:ind w:left="0"/>
        <w:rPr>
          <w:rFonts w:cs="Arial"/>
          <w:bCs/>
          <w:szCs w:val="24"/>
        </w:rPr>
      </w:pPr>
      <w:r w:rsidRPr="00282BE5">
        <w:rPr>
          <w:rFonts w:eastAsia="MS Mincho" w:cs="Arial"/>
          <w:szCs w:val="24"/>
          <w:lang w:eastAsia="en-US"/>
        </w:rPr>
        <w:t xml:space="preserve">St-Gelais confirme aussi que de toute façon, bien </w:t>
      </w:r>
      <w:r w:rsidR="00782542">
        <w:rPr>
          <w:rFonts w:eastAsia="MS Mincho" w:cs="Arial"/>
          <w:szCs w:val="24"/>
          <w:lang w:eastAsia="en-US"/>
        </w:rPr>
        <w:t>que les Défendeurs avaient</w:t>
      </w:r>
      <w:r w:rsidRPr="00282BE5">
        <w:rPr>
          <w:rFonts w:eastAsia="MS Mincho" w:cs="Arial"/>
          <w:szCs w:val="24"/>
          <w:lang w:eastAsia="en-US"/>
        </w:rPr>
        <w:t xml:space="preserve"> le pouvoir de le faire, ils ont choisi de ne pas entreprendre de démarches pour forcer la vente des immeubles. Il a été démontré au procès que la vente </w:t>
      </w:r>
      <w:r w:rsidR="00391387">
        <w:rPr>
          <w:rFonts w:eastAsia="MS Mincho" w:cs="Arial"/>
          <w:szCs w:val="24"/>
          <w:lang w:eastAsia="en-US"/>
        </w:rPr>
        <w:t xml:space="preserve">potentielle </w:t>
      </w:r>
      <w:r w:rsidRPr="00282BE5">
        <w:rPr>
          <w:rFonts w:eastAsia="MS Mincho" w:cs="Arial"/>
          <w:szCs w:val="24"/>
          <w:lang w:eastAsia="en-US"/>
        </w:rPr>
        <w:t>du parc immobilier du Groupe Huot n’aurait</w:t>
      </w:r>
      <w:r w:rsidR="00EE5970">
        <w:rPr>
          <w:rFonts w:eastAsia="MS Mincho" w:cs="Arial"/>
          <w:szCs w:val="24"/>
          <w:lang w:eastAsia="en-US"/>
        </w:rPr>
        <w:t xml:space="preserve"> </w:t>
      </w:r>
      <w:r w:rsidRPr="00282BE5">
        <w:rPr>
          <w:rFonts w:eastAsia="MS Mincho" w:cs="Arial"/>
          <w:szCs w:val="24"/>
          <w:lang w:eastAsia="en-US"/>
        </w:rPr>
        <w:t>pas permis le remboursement complet de FIISH</w:t>
      </w:r>
      <w:r>
        <w:rPr>
          <w:rStyle w:val="Appelnotedebasdep"/>
          <w:rFonts w:eastAsia="MS Mincho" w:cs="Arial"/>
          <w:szCs w:val="24"/>
          <w:lang w:eastAsia="en-US"/>
        </w:rPr>
        <w:footnoteReference w:id="226"/>
      </w:r>
      <w:r w:rsidR="009C7A24">
        <w:rPr>
          <w:rFonts w:eastAsia="MS Mincho" w:cs="Arial"/>
          <w:szCs w:val="24"/>
          <w:lang w:eastAsia="en-US"/>
        </w:rPr>
        <w:t>.</w:t>
      </w:r>
    </w:p>
    <w:p w14:paraId="32787AE0" w14:textId="77777777" w:rsidR="00900B65" w:rsidRDefault="00730A01" w:rsidP="0098012F">
      <w:pPr>
        <w:pStyle w:val="Paragraphe"/>
        <w:tabs>
          <w:tab w:val="clear" w:pos="786"/>
        </w:tabs>
        <w:spacing w:line="240" w:lineRule="auto"/>
        <w:ind w:left="0"/>
        <w:rPr>
          <w:rFonts w:cs="Arial"/>
          <w:bCs/>
          <w:szCs w:val="24"/>
        </w:rPr>
      </w:pPr>
      <w:r w:rsidRPr="00794B5D">
        <w:rPr>
          <w:rFonts w:eastAsia="MS Mincho" w:cs="Arial"/>
          <w:szCs w:val="24"/>
          <w:lang w:eastAsia="en-US"/>
        </w:rPr>
        <w:t>En somme, les moyens de défense invoqués par les Défendeurs quant aux pratiques douteuses de Huot et les fluctuations du marché ne peuvent rompre le lien de causalité entre les nombreuses fautes commises par les Défendeurs et les dommages réclam</w:t>
      </w:r>
      <w:r w:rsidRPr="00900B65">
        <w:rPr>
          <w:rFonts w:eastAsia="MS Mincho" w:cs="Arial"/>
          <w:szCs w:val="24"/>
          <w:lang w:eastAsia="en-US"/>
        </w:rPr>
        <w:t>és par les Demandeurs.</w:t>
      </w:r>
    </w:p>
    <w:p w14:paraId="530EAAB5" w14:textId="77777777" w:rsidR="00BA0714" w:rsidRPr="00900B65" w:rsidRDefault="00730A01" w:rsidP="0098012F">
      <w:pPr>
        <w:pStyle w:val="Paragraphe"/>
        <w:tabs>
          <w:tab w:val="clear" w:pos="786"/>
        </w:tabs>
        <w:spacing w:line="240" w:lineRule="auto"/>
        <w:ind w:left="0"/>
        <w:rPr>
          <w:rFonts w:cs="Arial"/>
          <w:bCs/>
          <w:szCs w:val="24"/>
        </w:rPr>
      </w:pPr>
      <w:r w:rsidRPr="00900B65">
        <w:rPr>
          <w:rFonts w:eastAsia="MS Mincho" w:cs="Arial"/>
          <w:szCs w:val="24"/>
          <w:lang w:eastAsia="en-US"/>
        </w:rPr>
        <w:t>En plus de ne pas être fondé en droit, l’argument quant à l’absence de lien de causalité ne résiste pas, factuellement parlant, à l’analyse</w:t>
      </w:r>
      <w:r>
        <w:rPr>
          <w:rStyle w:val="Appelnotedebasdep"/>
          <w:rFonts w:eastAsia="MS Mincho" w:cs="Arial"/>
          <w:szCs w:val="24"/>
          <w:lang w:eastAsia="en-US"/>
        </w:rPr>
        <w:footnoteReference w:id="227"/>
      </w:r>
      <w:r w:rsidRPr="00900B65">
        <w:rPr>
          <w:rFonts w:eastAsia="MS Mincho" w:cs="Arial"/>
          <w:szCs w:val="24"/>
          <w:lang w:eastAsia="en-US"/>
        </w:rPr>
        <w:t>. Giroux était aux premières loges et était le premier informé des difficultés financières de Huot. Enivré par l’ampleur des frais</w:t>
      </w:r>
      <w:r w:rsidR="00900B65">
        <w:rPr>
          <w:rFonts w:eastAsia="MS Mincho" w:cs="Arial"/>
          <w:szCs w:val="24"/>
          <w:lang w:eastAsia="en-US"/>
        </w:rPr>
        <w:t xml:space="preserve"> qu’il collect</w:t>
      </w:r>
      <w:r w:rsidR="00782542">
        <w:rPr>
          <w:rFonts w:eastAsia="MS Mincho" w:cs="Arial"/>
          <w:szCs w:val="24"/>
          <w:lang w:eastAsia="en-US"/>
        </w:rPr>
        <w:t>ait</w:t>
      </w:r>
      <w:r w:rsidR="00900B65">
        <w:rPr>
          <w:rFonts w:eastAsia="MS Mincho" w:cs="Arial"/>
          <w:szCs w:val="24"/>
          <w:lang w:eastAsia="en-US"/>
        </w:rPr>
        <w:t xml:space="preserve">, il </w:t>
      </w:r>
      <w:r w:rsidRPr="00900B65">
        <w:rPr>
          <w:rFonts w:eastAsia="MS Mincho" w:cs="Arial"/>
          <w:szCs w:val="24"/>
          <w:lang w:eastAsia="en-US"/>
        </w:rPr>
        <w:t xml:space="preserve">a choisi de se fermer les yeux et d’ignorer les mises en garde à l’effet que le prêt FIISH </w:t>
      </w:r>
      <w:r w:rsidR="001F1DA4" w:rsidRPr="00900B65">
        <w:rPr>
          <w:rFonts w:eastAsia="MS Mincho" w:cs="Arial"/>
          <w:szCs w:val="24"/>
          <w:lang w:eastAsia="en-US"/>
        </w:rPr>
        <w:t>devait faire l’objet d’analyse méticuleuse, de garanties sérieuses et de suivis rigoureux</w:t>
      </w:r>
      <w:r w:rsidR="00900B65">
        <w:rPr>
          <w:rFonts w:eastAsia="MS Mincho" w:cs="Arial"/>
          <w:szCs w:val="24"/>
          <w:lang w:eastAsia="en-US"/>
        </w:rPr>
        <w:t>.</w:t>
      </w:r>
    </w:p>
    <w:p w14:paraId="74B7B898" w14:textId="77777777" w:rsidR="00BA0714" w:rsidRPr="00BB0465" w:rsidRDefault="00730A01" w:rsidP="0098012F">
      <w:pPr>
        <w:pStyle w:val="Paragraphe"/>
        <w:tabs>
          <w:tab w:val="clear" w:pos="786"/>
        </w:tabs>
        <w:spacing w:line="240" w:lineRule="auto"/>
        <w:ind w:left="0"/>
        <w:rPr>
          <w:bCs/>
        </w:rPr>
      </w:pPr>
      <w:r>
        <w:t>Quant au Fonds Q-12, l</w:t>
      </w:r>
      <w:r w:rsidRPr="00F332AF">
        <w:t>es Défendeurs allèguent que les dommages sont limités aux commanditaires ayant investi dans un prêt spécifique du Groupe Huot.</w:t>
      </w:r>
    </w:p>
    <w:p w14:paraId="47318D10" w14:textId="77777777" w:rsidR="00BA0714" w:rsidRPr="00BB0465" w:rsidRDefault="00730A01" w:rsidP="0098012F">
      <w:pPr>
        <w:pStyle w:val="Paragraphe"/>
        <w:tabs>
          <w:tab w:val="clear" w:pos="786"/>
        </w:tabs>
        <w:spacing w:line="240" w:lineRule="auto"/>
        <w:ind w:left="0"/>
        <w:rPr>
          <w:bCs/>
        </w:rPr>
      </w:pPr>
      <w:r w:rsidRPr="00BB0465">
        <w:t xml:space="preserve">Or, </w:t>
      </w:r>
      <w:r w:rsidR="00782542">
        <w:t>cette</w:t>
      </w:r>
      <w:r w:rsidRPr="00BB0465">
        <w:t xml:space="preserve"> prétention des Défendeurs est contraire aux clauses de la convention de société qui prévoient que :</w:t>
      </w:r>
    </w:p>
    <w:p w14:paraId="52FD83BD" w14:textId="77777777" w:rsidR="00BA0714" w:rsidRDefault="00730A01" w:rsidP="00FF1BD9">
      <w:pPr>
        <w:pStyle w:val="Citationenretrait"/>
        <w:tabs>
          <w:tab w:val="left" w:pos="8789"/>
        </w:tabs>
        <w:spacing w:after="0"/>
        <w:ind w:right="539"/>
      </w:pPr>
      <w:r w:rsidRPr="00F332AF">
        <w:t>2.7</w:t>
      </w:r>
      <w:r w:rsidR="00DE3C43">
        <w:t> </w:t>
      </w:r>
      <w:r w:rsidRPr="00F332AF">
        <w:t>Fonds commun de la Société en commandite</w:t>
      </w:r>
    </w:p>
    <w:p w14:paraId="62B3DD33" w14:textId="77777777" w:rsidR="00BA0714" w:rsidRDefault="00730A01" w:rsidP="00FF1BD9">
      <w:pPr>
        <w:pStyle w:val="Citationenretrait"/>
        <w:tabs>
          <w:tab w:val="left" w:pos="8789"/>
        </w:tabs>
        <w:spacing w:after="0"/>
        <w:ind w:right="539"/>
      </w:pPr>
      <w:r w:rsidRPr="00F332AF">
        <w:t xml:space="preserve">[...] </w:t>
      </w:r>
    </w:p>
    <w:p w14:paraId="2939CAD1" w14:textId="77777777" w:rsidR="00BA0714" w:rsidRDefault="00730A01" w:rsidP="0042740E">
      <w:pPr>
        <w:pStyle w:val="Citationenretrait"/>
        <w:numPr>
          <w:ilvl w:val="2"/>
          <w:numId w:val="34"/>
        </w:numPr>
        <w:tabs>
          <w:tab w:val="left" w:pos="8789"/>
        </w:tabs>
        <w:spacing w:after="0"/>
        <w:ind w:left="1276" w:right="539" w:hanging="567"/>
      </w:pPr>
      <w:r w:rsidRPr="00F332AF">
        <w:t>Les Parts de catégorie «</w:t>
      </w:r>
      <w:r>
        <w:t> </w:t>
      </w:r>
      <w:r w:rsidRPr="00F332AF">
        <w:t>A</w:t>
      </w:r>
      <w:r>
        <w:t> </w:t>
      </w:r>
      <w:r w:rsidRPr="00F332AF">
        <w:t>» (ordinaires) confèrent aux</w:t>
      </w:r>
      <w:r>
        <w:t xml:space="preserve"> </w:t>
      </w:r>
      <w:r w:rsidRPr="00F332AF">
        <w:t>Commanditaires le droit de participer au partage des profits, pertes et autres distributions correspondant, collectivement, à 99,9999</w:t>
      </w:r>
      <w:r>
        <w:t> </w:t>
      </w:r>
      <w:r w:rsidRPr="00F332AF">
        <w:t>% de tels profits, pertes et autres distributions, conformément aux modalités de la Convention. Tout souscripteur a droit, si sa souscription est acceptée par le Commandité, à une (1) Part ordinaire pour chaque tranche d’un dollar (1,00</w:t>
      </w:r>
      <w:r w:rsidR="009C7A24">
        <w:t> </w:t>
      </w:r>
      <w:r w:rsidRPr="00F332AF">
        <w:t xml:space="preserve">$) souscrite au capital de la Société. </w:t>
      </w:r>
    </w:p>
    <w:p w14:paraId="29266CDF" w14:textId="77777777" w:rsidR="00BA0714" w:rsidRDefault="00730A01" w:rsidP="00FF1BD9">
      <w:pPr>
        <w:pStyle w:val="Citationenretrait"/>
        <w:tabs>
          <w:tab w:val="left" w:pos="8789"/>
        </w:tabs>
        <w:spacing w:after="0"/>
        <w:ind w:right="539"/>
      </w:pPr>
      <w:r w:rsidRPr="00F332AF">
        <w:t xml:space="preserve">[...] </w:t>
      </w:r>
    </w:p>
    <w:p w14:paraId="422B82A6" w14:textId="77777777" w:rsidR="00BA0714" w:rsidRPr="00F332AF" w:rsidRDefault="00730A01" w:rsidP="00FF1BD9">
      <w:pPr>
        <w:pStyle w:val="Citationenretrait"/>
        <w:tabs>
          <w:tab w:val="left" w:pos="8789"/>
        </w:tabs>
        <w:spacing w:after="0"/>
        <w:ind w:right="539"/>
      </w:pPr>
      <w:r w:rsidRPr="00F332AF">
        <w:t>7.1</w:t>
      </w:r>
      <w:r w:rsidR="00DE3C43">
        <w:t> </w:t>
      </w:r>
      <w:r w:rsidRPr="00F332AF">
        <w:t>Répartition du Bénéfice net et de la Perte nette aux fins comptables</w:t>
      </w:r>
    </w:p>
    <w:p w14:paraId="1A3FF9C4" w14:textId="77777777" w:rsidR="00BA0714" w:rsidRPr="00F332AF" w:rsidRDefault="00730A01" w:rsidP="00FF1BD9">
      <w:pPr>
        <w:pStyle w:val="Citationenretrait"/>
        <w:tabs>
          <w:tab w:val="left" w:pos="8789"/>
        </w:tabs>
        <w:spacing w:after="0"/>
        <w:ind w:right="539"/>
      </w:pPr>
      <w:r w:rsidRPr="00F332AF">
        <w:t>Aux fins comptables, le Bénéfice net ou la Perte nette de la Société en commandite pour un exercice financier donné sera réparti quotidiennement en fonction du Bénéfice net ou de la Perte nette réalisé(e), de la manière suivante :</w:t>
      </w:r>
    </w:p>
    <w:p w14:paraId="235D976A" w14:textId="77777777" w:rsidR="00BA0714" w:rsidRPr="00F332AF" w:rsidRDefault="00730A01" w:rsidP="00FF1BD9">
      <w:pPr>
        <w:pStyle w:val="Citationenretrait"/>
        <w:tabs>
          <w:tab w:val="left" w:pos="8642"/>
          <w:tab w:val="left" w:pos="8789"/>
        </w:tabs>
        <w:spacing w:after="0"/>
        <w:ind w:left="993" w:right="539"/>
      </w:pPr>
      <w:r w:rsidRPr="00F332AF">
        <w:t>a) 0,0001</w:t>
      </w:r>
      <w:r>
        <w:t> </w:t>
      </w:r>
      <w:r w:rsidRPr="00F332AF">
        <w:t xml:space="preserve">% au Commandité; et </w:t>
      </w:r>
    </w:p>
    <w:p w14:paraId="588694B9" w14:textId="77777777" w:rsidR="00BA0714" w:rsidRPr="00F332AF" w:rsidRDefault="00730A01" w:rsidP="00FF1BD9">
      <w:pPr>
        <w:pStyle w:val="Citationenretrait"/>
        <w:tabs>
          <w:tab w:val="left" w:pos="8642"/>
          <w:tab w:val="left" w:pos="8789"/>
        </w:tabs>
        <w:spacing w:after="0"/>
        <w:ind w:left="993" w:right="539"/>
        <w:rPr>
          <w:bCs/>
        </w:rPr>
      </w:pPr>
      <w:r w:rsidRPr="00F332AF">
        <w:t>b) 99,9999</w:t>
      </w:r>
      <w:r>
        <w:t> </w:t>
      </w:r>
      <w:r w:rsidRPr="00F332AF">
        <w:t>% aux Commanditaires, conformément à leur Quote-part respective en date de cette répartition.</w:t>
      </w:r>
    </w:p>
    <w:p w14:paraId="3E046788" w14:textId="77777777" w:rsidR="00BA0714" w:rsidRDefault="00730A01" w:rsidP="0098012F">
      <w:pPr>
        <w:pStyle w:val="Paragraphe"/>
        <w:tabs>
          <w:tab w:val="clear" w:pos="786"/>
        </w:tabs>
        <w:spacing w:before="240" w:line="240" w:lineRule="auto"/>
        <w:ind w:left="0"/>
      </w:pPr>
      <w:r w:rsidRPr="00F332AF">
        <w:t>C'est également contraire à ce que Giroux a présenté aux commanditaires, soit que les revenus et les pertes (le cas échéant) étaient répartis proportionnellement entre tous les commanditaires selon le principe «</w:t>
      </w:r>
      <w:r>
        <w:t> </w:t>
      </w:r>
      <w:r w:rsidRPr="00F332AF">
        <w:t>un pour tous et tous pour un</w:t>
      </w:r>
      <w:r>
        <w:t> </w:t>
      </w:r>
      <w:r w:rsidRPr="00F332AF">
        <w:t>»</w:t>
      </w:r>
      <w:r>
        <w:rPr>
          <w:rStyle w:val="Appelnotedebasdep"/>
        </w:rPr>
        <w:footnoteReference w:id="228"/>
      </w:r>
      <w:r w:rsidR="00485898">
        <w:t>.</w:t>
      </w:r>
    </w:p>
    <w:p w14:paraId="4A049C94" w14:textId="77777777" w:rsidR="00BA0714" w:rsidRDefault="00730A01" w:rsidP="0098012F">
      <w:pPr>
        <w:pStyle w:val="Paragraphe"/>
        <w:tabs>
          <w:tab w:val="clear" w:pos="786"/>
        </w:tabs>
        <w:spacing w:line="240" w:lineRule="auto"/>
        <w:ind w:left="0"/>
      </w:pPr>
      <w:r w:rsidRPr="00F332AF">
        <w:t xml:space="preserve">La prétention avancée par les Défendeurs à l’effet que </w:t>
      </w:r>
      <w:r w:rsidRPr="00F332AF">
        <w:rPr>
          <w:i/>
          <w:iCs/>
        </w:rPr>
        <w:t>«</w:t>
      </w:r>
      <w:r>
        <w:rPr>
          <w:i/>
          <w:iCs/>
        </w:rPr>
        <w:t> </w:t>
      </w:r>
      <w:r w:rsidRPr="00F332AF">
        <w:rPr>
          <w:i/>
          <w:iCs/>
        </w:rPr>
        <w:t>les commanditaires ont le droit de choisir dans quel prêt, y compris ceux consentis au Groupe Huo</w:t>
      </w:r>
      <w:r>
        <w:rPr>
          <w:i/>
          <w:iCs/>
        </w:rPr>
        <w:t>t</w:t>
      </w:r>
      <w:r w:rsidRPr="00F332AF">
        <w:rPr>
          <w:i/>
          <w:iCs/>
        </w:rPr>
        <w:t>, ils veulent participer</w:t>
      </w:r>
      <w:r>
        <w:rPr>
          <w:i/>
          <w:iCs/>
        </w:rPr>
        <w:t> </w:t>
      </w:r>
      <w:r w:rsidRPr="00F332AF">
        <w:t>»</w:t>
      </w:r>
      <w:r>
        <w:rPr>
          <w:rStyle w:val="Appelnotedebasdep"/>
        </w:rPr>
        <w:footnoteReference w:id="229"/>
      </w:r>
      <w:r w:rsidRPr="00F332AF">
        <w:t xml:space="preserve"> </w:t>
      </w:r>
      <w:r w:rsidR="00782542">
        <w:t xml:space="preserve">n’a pas été démontrée </w:t>
      </w:r>
      <w:r w:rsidRPr="00F332AF">
        <w:t>et au surplus</w:t>
      </w:r>
      <w:r w:rsidR="00782542">
        <w:t xml:space="preserve">, elle s’avère </w:t>
      </w:r>
      <w:r w:rsidRPr="00F332AF">
        <w:t xml:space="preserve">contraire à </w:t>
      </w:r>
      <w:r w:rsidR="00782542">
        <w:t>la preuve offerte</w:t>
      </w:r>
      <w:r w:rsidRPr="00F332AF">
        <w:t>.</w:t>
      </w:r>
    </w:p>
    <w:p w14:paraId="2DF7C13E" w14:textId="77777777" w:rsidR="00BA0714" w:rsidRDefault="00730A01" w:rsidP="0098012F">
      <w:pPr>
        <w:pStyle w:val="Paragraphe"/>
        <w:tabs>
          <w:tab w:val="clear" w:pos="786"/>
        </w:tabs>
        <w:spacing w:line="240" w:lineRule="auto"/>
        <w:ind w:left="0"/>
      </w:pPr>
      <w:r w:rsidRPr="00F332AF">
        <w:t>En effet, même LMD confirme que malgré la gestion «</w:t>
      </w:r>
      <w:r>
        <w:t> </w:t>
      </w:r>
      <w:r w:rsidRPr="00F332AF">
        <w:t>par prêt</w:t>
      </w:r>
      <w:r>
        <w:t> </w:t>
      </w:r>
      <w:r w:rsidRPr="00F332AF">
        <w:t>» mise en place dans le fonds Q-12 en ce qui concerne les investissements et les remboursements en capital, le fonds a continué d’être sur une base mutualisée en ce qui concerne les intérêts</w:t>
      </w:r>
      <w:r>
        <w:rPr>
          <w:rStyle w:val="Appelnotedebasdep"/>
        </w:rPr>
        <w:footnoteReference w:id="230"/>
      </w:r>
      <w:r w:rsidRPr="00F332AF">
        <w:t xml:space="preserve"> et donc nécessairement les pertes.</w:t>
      </w:r>
    </w:p>
    <w:p w14:paraId="14BD3B72" w14:textId="77777777" w:rsidR="00BA0714" w:rsidRDefault="00730A01" w:rsidP="00307881">
      <w:pPr>
        <w:pStyle w:val="Paragraphe"/>
        <w:tabs>
          <w:tab w:val="clear" w:pos="786"/>
        </w:tabs>
        <w:spacing w:after="0" w:line="240" w:lineRule="auto"/>
        <w:ind w:left="0"/>
      </w:pPr>
      <w:r w:rsidRPr="00F332AF">
        <w:t xml:space="preserve">Les dommages peuvent donc être réclamés pour l’ensemble des Demandeurs sans égard à l’identité des commanditaires spécifiques dont les mises de fonds ont été investies dans les prêts en litige. </w:t>
      </w:r>
    </w:p>
    <w:p w14:paraId="3A9E48AD" w14:textId="77777777" w:rsidR="00BF2B4F" w:rsidRPr="009B0380" w:rsidRDefault="00730A01" w:rsidP="00307881">
      <w:pPr>
        <w:pStyle w:val="Paragraphe"/>
        <w:numPr>
          <w:ilvl w:val="0"/>
          <w:numId w:val="0"/>
        </w:numPr>
        <w:tabs>
          <w:tab w:val="left" w:pos="3686"/>
        </w:tabs>
        <w:spacing w:line="240" w:lineRule="auto"/>
      </w:pPr>
      <w:r>
        <w:tab/>
      </w:r>
      <w:r w:rsidR="00782542" w:rsidRPr="009B0380">
        <w:t>* *</w:t>
      </w:r>
      <w:r>
        <w:t xml:space="preserve"> *</w:t>
      </w:r>
    </w:p>
    <w:p w14:paraId="6556DA87" w14:textId="77777777" w:rsidR="00782542" w:rsidRDefault="00730A01" w:rsidP="0098012F">
      <w:pPr>
        <w:rPr>
          <w:b/>
          <w:bCs/>
          <w:kern w:val="28"/>
        </w:rPr>
      </w:pPr>
      <w:r>
        <w:br w:type="page"/>
      </w:r>
    </w:p>
    <w:p w14:paraId="500A6A66" w14:textId="77777777" w:rsidR="0042513D" w:rsidRPr="00233907" w:rsidRDefault="00730A01" w:rsidP="00443B59">
      <w:pPr>
        <w:pStyle w:val="Titre2"/>
        <w:numPr>
          <w:ilvl w:val="0"/>
          <w:numId w:val="95"/>
        </w:numPr>
        <w:ind w:left="567" w:hanging="567"/>
        <w:rPr>
          <w:smallCaps/>
          <w:szCs w:val="24"/>
          <w:lang w:eastAsia="fr-CA"/>
        </w:rPr>
      </w:pPr>
      <w:r w:rsidRPr="00233907">
        <w:rPr>
          <w:smallCaps/>
          <w:szCs w:val="24"/>
        </w:rPr>
        <w:t>U</w:t>
      </w:r>
      <w:r w:rsidRPr="00233907">
        <w:rPr>
          <w:smallCaps/>
          <w:szCs w:val="24"/>
          <w:lang w:eastAsia="fr-CA"/>
        </w:rPr>
        <w:t>n partage de responsabilité</w:t>
      </w:r>
      <w:r w:rsidR="009B48F0" w:rsidRPr="00233907">
        <w:rPr>
          <w:smallCaps/>
          <w:szCs w:val="24"/>
          <w:lang w:eastAsia="fr-CA"/>
        </w:rPr>
        <w:t>s</w:t>
      </w:r>
      <w:r w:rsidRPr="00233907">
        <w:rPr>
          <w:smallCaps/>
          <w:szCs w:val="24"/>
          <w:lang w:eastAsia="fr-CA"/>
        </w:rPr>
        <w:t xml:space="preserve"> entre les Défendeurs et les Demandeurs n’est pas justifié</w:t>
      </w:r>
    </w:p>
    <w:p w14:paraId="3AA0A079" w14:textId="77777777" w:rsidR="007A6C58" w:rsidRPr="00CA6079" w:rsidRDefault="00730A01" w:rsidP="0098012F">
      <w:pPr>
        <w:pStyle w:val="Paragraphe"/>
        <w:tabs>
          <w:tab w:val="clear" w:pos="786"/>
        </w:tabs>
        <w:spacing w:line="240" w:lineRule="auto"/>
        <w:ind w:left="0"/>
        <w:rPr>
          <w:lang w:eastAsia="fr-CA"/>
        </w:rPr>
      </w:pPr>
      <w:r w:rsidRPr="00CA6079">
        <w:rPr>
          <w:lang w:eastAsia="fr-CA"/>
        </w:rPr>
        <w:t>La question d’un éventuel partage de responsabilité</w:t>
      </w:r>
      <w:r w:rsidR="00CA6079">
        <w:rPr>
          <w:lang w:eastAsia="fr-CA"/>
        </w:rPr>
        <w:t>s</w:t>
      </w:r>
      <w:r w:rsidRPr="00CA6079">
        <w:rPr>
          <w:lang w:eastAsia="fr-CA"/>
        </w:rPr>
        <w:t xml:space="preserve"> entre les Demandeurs et les Défendeurs a été abordé</w:t>
      </w:r>
      <w:r w:rsidR="00CA6079">
        <w:rPr>
          <w:lang w:eastAsia="fr-CA"/>
        </w:rPr>
        <w:t>e</w:t>
      </w:r>
      <w:r w:rsidRPr="00CA6079">
        <w:rPr>
          <w:lang w:eastAsia="fr-CA"/>
        </w:rPr>
        <w:t xml:space="preserve"> par les parties.</w:t>
      </w:r>
    </w:p>
    <w:p w14:paraId="3F391E7E" w14:textId="77777777" w:rsidR="007A6C58" w:rsidRPr="00CA6079" w:rsidRDefault="00730A01" w:rsidP="0098012F">
      <w:pPr>
        <w:pStyle w:val="Paragraphe"/>
        <w:tabs>
          <w:tab w:val="clear" w:pos="786"/>
        </w:tabs>
        <w:spacing w:line="240" w:lineRule="auto"/>
        <w:ind w:left="0"/>
        <w:rPr>
          <w:lang w:eastAsia="fr-CA"/>
        </w:rPr>
      </w:pPr>
      <w:r w:rsidRPr="00CA6079">
        <w:rPr>
          <w:lang w:eastAsia="fr-CA"/>
        </w:rPr>
        <w:t xml:space="preserve">Les </w:t>
      </w:r>
      <w:r w:rsidR="00884272">
        <w:rPr>
          <w:lang w:eastAsia="fr-CA"/>
        </w:rPr>
        <w:t>D</w:t>
      </w:r>
      <w:r w:rsidRPr="00CA6079">
        <w:rPr>
          <w:lang w:eastAsia="fr-CA"/>
        </w:rPr>
        <w:t>éfendeurs prétendent que les commanditaires/demandeur</w:t>
      </w:r>
      <w:r w:rsidR="00CA6079">
        <w:rPr>
          <w:lang w:eastAsia="fr-CA"/>
        </w:rPr>
        <w:t>s</w:t>
      </w:r>
      <w:r w:rsidRPr="00CA6079">
        <w:rPr>
          <w:lang w:eastAsia="fr-CA"/>
        </w:rPr>
        <w:t>, à la recherche de profits substantiels, n'ont pas agi objectivement comme des investisseurs prudents et diligents dans les circonstances.</w:t>
      </w:r>
    </w:p>
    <w:p w14:paraId="0D53AE21" w14:textId="77777777" w:rsidR="007A6C58" w:rsidRPr="00CA6079" w:rsidRDefault="00730A01" w:rsidP="0098012F">
      <w:pPr>
        <w:pStyle w:val="Paragraphe"/>
        <w:tabs>
          <w:tab w:val="clear" w:pos="786"/>
        </w:tabs>
        <w:spacing w:line="240" w:lineRule="auto"/>
        <w:ind w:left="0"/>
        <w:rPr>
          <w:lang w:eastAsia="fr-CA"/>
        </w:rPr>
      </w:pPr>
      <w:r w:rsidRPr="00CA6079">
        <w:rPr>
          <w:lang w:eastAsia="fr-CA"/>
        </w:rPr>
        <w:t>Précisons tout d'abord que la recherche du meilleur rendement possible sur son capital est tout à fait légitime</w:t>
      </w:r>
      <w:r w:rsidR="00B119A9">
        <w:rPr>
          <w:lang w:eastAsia="fr-CA"/>
        </w:rPr>
        <w:t xml:space="preserve"> et rappelons que </w:t>
      </w:r>
      <w:r w:rsidR="00CA6079">
        <w:rPr>
          <w:lang w:eastAsia="fr-CA"/>
        </w:rPr>
        <w:t>« </w:t>
      </w:r>
      <w:r w:rsidRPr="00CA6079">
        <w:rPr>
          <w:rFonts w:cs="Arial"/>
          <w:szCs w:val="24"/>
          <w:u w:val="single"/>
          <w:lang w:eastAsia="fr-CA"/>
        </w:rPr>
        <w:t>Le risque, ça ne permet pas la fraude</w:t>
      </w:r>
      <w:r w:rsidRPr="00CA6079">
        <w:rPr>
          <w:rFonts w:cs="Arial"/>
          <w:szCs w:val="24"/>
          <w:lang w:eastAsia="fr-CA"/>
        </w:rPr>
        <w:t>!</w:t>
      </w:r>
      <w:r w:rsidR="00CA6079">
        <w:rPr>
          <w:rFonts w:cs="Arial"/>
          <w:szCs w:val="24"/>
          <w:lang w:eastAsia="fr-CA"/>
        </w:rPr>
        <w:t> »</w:t>
      </w:r>
      <w:r>
        <w:rPr>
          <w:rStyle w:val="Appelnotedebasdep"/>
          <w:rFonts w:cs="Arial"/>
          <w:szCs w:val="24"/>
          <w:lang w:eastAsia="fr-CA"/>
        </w:rPr>
        <w:footnoteReference w:id="231"/>
      </w:r>
      <w:r w:rsidR="00CA6079">
        <w:rPr>
          <w:rFonts w:cs="Arial"/>
          <w:szCs w:val="24"/>
          <w:lang w:eastAsia="fr-CA"/>
        </w:rPr>
        <w:t>.</w:t>
      </w:r>
      <w:r w:rsidRPr="00CA6079">
        <w:rPr>
          <w:rFonts w:ascii="Courier" w:hAnsi="Courier" w:cs="Courier"/>
          <w:szCs w:val="24"/>
          <w:lang w:eastAsia="fr-CA"/>
        </w:rPr>
        <w:t xml:space="preserve"> </w:t>
      </w:r>
    </w:p>
    <w:p w14:paraId="5E4BE01C" w14:textId="77777777" w:rsidR="008E4422" w:rsidRDefault="00730A01" w:rsidP="0098012F">
      <w:pPr>
        <w:pStyle w:val="Paragraphe"/>
        <w:tabs>
          <w:tab w:val="clear" w:pos="786"/>
        </w:tabs>
        <w:spacing w:line="240" w:lineRule="auto"/>
        <w:ind w:left="0"/>
        <w:rPr>
          <w:lang w:eastAsia="fr-CA"/>
        </w:rPr>
      </w:pPr>
      <w:r w:rsidRPr="00CA6079">
        <w:rPr>
          <w:lang w:eastAsia="fr-CA"/>
        </w:rPr>
        <w:t>Le Tribunal considère qu’aucun partage de responsabilité</w:t>
      </w:r>
      <w:r w:rsidR="00884272">
        <w:rPr>
          <w:lang w:eastAsia="fr-CA"/>
        </w:rPr>
        <w:t>s</w:t>
      </w:r>
      <w:r w:rsidRPr="00CA6079">
        <w:rPr>
          <w:lang w:eastAsia="fr-CA"/>
        </w:rPr>
        <w:t xml:space="preserve"> n’est justifié dans le contexte de la présente affaire. Les fautes décrites précédemment incombent entièrement aux Défendeurs, </w:t>
      </w:r>
      <w:r w:rsidR="00845511">
        <w:rPr>
          <w:lang w:eastAsia="fr-CA"/>
        </w:rPr>
        <w:t>soit</w:t>
      </w:r>
      <w:r w:rsidRPr="00CA6079">
        <w:rPr>
          <w:lang w:eastAsia="fr-CA"/>
        </w:rPr>
        <w:t xml:space="preserve"> à Giroux et aux sociétés qu’il contrôle.</w:t>
      </w:r>
    </w:p>
    <w:p w14:paraId="1FE16DE3" w14:textId="77777777" w:rsidR="007A6C58" w:rsidRPr="008E4422" w:rsidRDefault="00730A01" w:rsidP="0098012F">
      <w:pPr>
        <w:pStyle w:val="Paragraphe"/>
        <w:tabs>
          <w:tab w:val="clear" w:pos="786"/>
        </w:tabs>
        <w:spacing w:line="240" w:lineRule="auto"/>
        <w:ind w:left="0"/>
        <w:rPr>
          <w:lang w:eastAsia="fr-CA"/>
        </w:rPr>
      </w:pPr>
      <w:r w:rsidRPr="008E4422">
        <w:rPr>
          <w:rFonts w:cs="Arial"/>
          <w:szCs w:val="24"/>
          <w:lang w:eastAsia="fr-CA"/>
        </w:rPr>
        <w:t>L’argument des Défendeurs selon lequel une part de responsabilité reviendrait aux commanditaires, en raison de leur prétendue tolérance ou acceptation du mode de fonctionnement des fonds Q-12 et FIISH est rejeté</w:t>
      </w:r>
      <w:r w:rsidR="00884272">
        <w:rPr>
          <w:rFonts w:cs="Arial"/>
          <w:szCs w:val="24"/>
          <w:lang w:eastAsia="fr-CA"/>
        </w:rPr>
        <w:t xml:space="preserve"> </w:t>
      </w:r>
      <w:r w:rsidRPr="008E4422">
        <w:rPr>
          <w:rFonts w:cs="Arial"/>
          <w:szCs w:val="24"/>
          <w:lang w:eastAsia="fr-CA"/>
        </w:rPr>
        <w:t>pour les raisons suivantes :</w:t>
      </w:r>
    </w:p>
    <w:p w14:paraId="26415D88" w14:textId="77777777" w:rsidR="00B32E1D" w:rsidRPr="002F6648" w:rsidRDefault="00730A01" w:rsidP="0042740E">
      <w:pPr>
        <w:pStyle w:val="Citationenretrait"/>
        <w:numPr>
          <w:ilvl w:val="0"/>
          <w:numId w:val="17"/>
        </w:numPr>
        <w:ind w:right="539"/>
        <w:rPr>
          <w:sz w:val="24"/>
          <w:szCs w:val="24"/>
          <w:lang w:eastAsia="fr-CA"/>
        </w:rPr>
      </w:pPr>
      <w:r w:rsidRPr="002F6648">
        <w:rPr>
          <w:sz w:val="24"/>
          <w:szCs w:val="24"/>
          <w:lang w:eastAsia="fr-CA"/>
        </w:rPr>
        <w:t>Les commanditaires n’avaient ni contrôle, ni accès à l’information pertinente leur permettant d’anticiper ou de comprendre les fautes graves commises par les Défendeurs, notamment le non-respect des conventions et stratégies de prêts</w:t>
      </w:r>
      <w:r>
        <w:rPr>
          <w:rStyle w:val="Appelnotedebasdep"/>
          <w:rFonts w:cs="Arial"/>
          <w:sz w:val="24"/>
          <w:szCs w:val="24"/>
          <w:lang w:eastAsia="fr-CA"/>
        </w:rPr>
        <w:footnoteReference w:id="232"/>
      </w:r>
      <w:r w:rsidR="00FB295A" w:rsidRPr="002F6648">
        <w:rPr>
          <w:sz w:val="24"/>
          <w:szCs w:val="24"/>
          <w:lang w:eastAsia="fr-CA"/>
        </w:rPr>
        <w:t>.</w:t>
      </w:r>
    </w:p>
    <w:p w14:paraId="34ADE97F" w14:textId="77777777" w:rsidR="00B32E1D" w:rsidRPr="002F6648" w:rsidRDefault="00730A01" w:rsidP="0042740E">
      <w:pPr>
        <w:pStyle w:val="Citationenretrait"/>
        <w:numPr>
          <w:ilvl w:val="0"/>
          <w:numId w:val="17"/>
        </w:numPr>
        <w:ind w:right="539"/>
        <w:rPr>
          <w:sz w:val="24"/>
          <w:szCs w:val="24"/>
          <w:lang w:eastAsia="fr-CA"/>
        </w:rPr>
      </w:pPr>
      <w:r w:rsidRPr="002F6648">
        <w:rPr>
          <w:rFonts w:cs="Arial"/>
          <w:sz w:val="24"/>
          <w:szCs w:val="24"/>
          <w:lang w:eastAsia="fr-CA"/>
        </w:rPr>
        <w:t>Ils ont été induits en erreur par les représentations fausses et trompeuses faites par Giroux, y compris jusqu’en février</w:t>
      </w:r>
      <w:r w:rsidR="009C7A24">
        <w:rPr>
          <w:rFonts w:cs="Arial"/>
          <w:sz w:val="24"/>
          <w:szCs w:val="24"/>
          <w:lang w:eastAsia="fr-CA"/>
        </w:rPr>
        <w:t> </w:t>
      </w:r>
      <w:r w:rsidRPr="002F6648">
        <w:rPr>
          <w:rFonts w:cs="Arial"/>
          <w:sz w:val="24"/>
          <w:szCs w:val="24"/>
          <w:lang w:eastAsia="fr-CA"/>
        </w:rPr>
        <w:t>2023, peu avant la débâcle</w:t>
      </w:r>
      <w:r>
        <w:rPr>
          <w:rStyle w:val="Appelnotedebasdep"/>
          <w:rFonts w:cs="Arial"/>
          <w:sz w:val="24"/>
          <w:szCs w:val="24"/>
          <w:lang w:eastAsia="fr-CA"/>
        </w:rPr>
        <w:footnoteReference w:id="233"/>
      </w:r>
      <w:r w:rsidR="00845511" w:rsidRPr="002F6648">
        <w:rPr>
          <w:rFonts w:cs="Arial"/>
          <w:sz w:val="24"/>
          <w:szCs w:val="24"/>
          <w:lang w:eastAsia="fr-CA"/>
        </w:rPr>
        <w:t>.</w:t>
      </w:r>
    </w:p>
    <w:p w14:paraId="0EE384BB" w14:textId="77777777" w:rsidR="00B32E1D" w:rsidRPr="002F6648" w:rsidRDefault="00730A01" w:rsidP="0042740E">
      <w:pPr>
        <w:pStyle w:val="Citationenretrait"/>
        <w:numPr>
          <w:ilvl w:val="0"/>
          <w:numId w:val="17"/>
        </w:numPr>
        <w:ind w:right="539"/>
        <w:rPr>
          <w:sz w:val="24"/>
          <w:szCs w:val="24"/>
          <w:lang w:eastAsia="fr-CA"/>
        </w:rPr>
      </w:pPr>
      <w:r w:rsidRPr="002F6648">
        <w:rPr>
          <w:rFonts w:cs="Arial"/>
          <w:sz w:val="24"/>
          <w:szCs w:val="24"/>
          <w:lang w:eastAsia="fr-CA"/>
        </w:rPr>
        <w:t>Les Défendeurs ont délibérément dissimulé les informations cruciales, comme les défauts de paiement du Groupe Huot, en modifiant les tableaux financiers pour omettre les frais d’intérêts</w:t>
      </w:r>
      <w:r>
        <w:rPr>
          <w:rStyle w:val="Appelnotedebasdep"/>
          <w:rFonts w:cs="Arial"/>
          <w:sz w:val="24"/>
          <w:szCs w:val="24"/>
          <w:lang w:eastAsia="fr-CA"/>
        </w:rPr>
        <w:footnoteReference w:id="234"/>
      </w:r>
      <w:r w:rsidR="003F1885" w:rsidRPr="002F6648">
        <w:rPr>
          <w:rFonts w:cs="Arial"/>
          <w:sz w:val="24"/>
          <w:szCs w:val="24"/>
          <w:lang w:eastAsia="fr-CA"/>
        </w:rPr>
        <w:t>.</w:t>
      </w:r>
    </w:p>
    <w:p w14:paraId="4967BA5F" w14:textId="77777777" w:rsidR="007A6C58" w:rsidRPr="002F6648" w:rsidRDefault="00730A01" w:rsidP="0042740E">
      <w:pPr>
        <w:pStyle w:val="Citationenretrait"/>
        <w:numPr>
          <w:ilvl w:val="0"/>
          <w:numId w:val="17"/>
        </w:numPr>
        <w:ind w:right="539"/>
        <w:rPr>
          <w:sz w:val="24"/>
          <w:szCs w:val="24"/>
          <w:lang w:eastAsia="fr-CA"/>
        </w:rPr>
      </w:pPr>
      <w:r w:rsidRPr="002F6648">
        <w:rPr>
          <w:rFonts w:cs="Arial"/>
          <w:sz w:val="24"/>
          <w:szCs w:val="24"/>
          <w:lang w:eastAsia="fr-CA"/>
        </w:rPr>
        <w:t>Le témoignage de plusieurs commanditaires démontre clairement qu’ils n’ont jamais été informés de l’usage réel de leurs investissements ni de la précarité financière des emprunteurs</w:t>
      </w:r>
      <w:r>
        <w:rPr>
          <w:rStyle w:val="Appelnotedebasdep"/>
          <w:rFonts w:cs="Arial"/>
          <w:sz w:val="24"/>
          <w:szCs w:val="24"/>
          <w:lang w:eastAsia="fr-CA"/>
        </w:rPr>
        <w:footnoteReference w:id="235"/>
      </w:r>
      <w:r w:rsidR="0003635E" w:rsidRPr="002F6648">
        <w:rPr>
          <w:rFonts w:cs="Arial"/>
          <w:sz w:val="24"/>
          <w:szCs w:val="24"/>
          <w:lang w:eastAsia="fr-CA"/>
        </w:rPr>
        <w:t>.</w:t>
      </w:r>
    </w:p>
    <w:p w14:paraId="2B65B072" w14:textId="77777777" w:rsidR="007A6C58" w:rsidRPr="00CA6079" w:rsidRDefault="00730A01" w:rsidP="0098012F">
      <w:pPr>
        <w:pStyle w:val="Paragraphe"/>
        <w:tabs>
          <w:tab w:val="clear" w:pos="786"/>
        </w:tabs>
        <w:spacing w:line="240" w:lineRule="auto"/>
        <w:ind w:left="0"/>
        <w:rPr>
          <w:lang w:eastAsia="fr-CA"/>
        </w:rPr>
      </w:pPr>
      <w:r w:rsidRPr="00CA6079">
        <w:rPr>
          <w:lang w:eastAsia="fr-CA"/>
        </w:rPr>
        <w:t>En conséquence, aucun partage de responsabilité ne saurait être envisagé, les Demandeurs ayant été induits en erreur par des manœuvres frauduleuses, des omissions dolosives et une gestion fautive systématique des fonds.</w:t>
      </w:r>
    </w:p>
    <w:p w14:paraId="772EC866" w14:textId="77777777" w:rsidR="007A6C58" w:rsidRPr="00451EF9" w:rsidRDefault="00730A01" w:rsidP="0098012F">
      <w:pPr>
        <w:pStyle w:val="Paragraphe"/>
        <w:tabs>
          <w:tab w:val="clear" w:pos="786"/>
        </w:tabs>
        <w:spacing w:line="240" w:lineRule="auto"/>
        <w:ind w:left="0"/>
        <w:rPr>
          <w:lang w:eastAsia="fr-CA"/>
        </w:rPr>
      </w:pPr>
      <w:r w:rsidRPr="00CA6079">
        <w:rPr>
          <w:lang w:eastAsia="fr-CA"/>
        </w:rPr>
        <w:t>C</w:t>
      </w:r>
      <w:r w:rsidRPr="00451EF9">
        <w:rPr>
          <w:lang w:eastAsia="fr-CA"/>
        </w:rPr>
        <w:t>ela est soutenu par plusieurs éléments de preuve</w:t>
      </w:r>
      <w:r w:rsidR="009C7A24">
        <w:rPr>
          <w:lang w:eastAsia="fr-CA"/>
        </w:rPr>
        <w:t> </w:t>
      </w:r>
      <w:r w:rsidRPr="00451EF9">
        <w:rPr>
          <w:lang w:eastAsia="fr-CA"/>
        </w:rPr>
        <w:t>:</w:t>
      </w:r>
    </w:p>
    <w:p w14:paraId="58CAD9BA" w14:textId="77777777" w:rsidR="007A6C58" w:rsidRPr="002F6648" w:rsidRDefault="00730A01" w:rsidP="00443B59">
      <w:pPr>
        <w:pStyle w:val="Citationenretrait"/>
        <w:numPr>
          <w:ilvl w:val="0"/>
          <w:numId w:val="54"/>
        </w:numPr>
        <w:spacing w:after="0"/>
        <w:ind w:left="851" w:right="539" w:hanging="357"/>
        <w:rPr>
          <w:sz w:val="24"/>
          <w:szCs w:val="24"/>
          <w:lang w:eastAsia="fr-CA"/>
        </w:rPr>
      </w:pPr>
      <w:r w:rsidRPr="002F6648">
        <w:rPr>
          <w:sz w:val="24"/>
          <w:szCs w:val="24"/>
          <w:lang w:eastAsia="fr-CA"/>
        </w:rPr>
        <w:t>Les instructions données par Giroux à ses employés de «</w:t>
      </w:r>
      <w:r w:rsidR="00A82953" w:rsidRPr="002F6648">
        <w:rPr>
          <w:sz w:val="24"/>
          <w:szCs w:val="24"/>
          <w:lang w:eastAsia="fr-CA"/>
        </w:rPr>
        <w:t> </w:t>
      </w:r>
      <w:r w:rsidRPr="002F6648">
        <w:rPr>
          <w:sz w:val="24"/>
          <w:szCs w:val="24"/>
          <w:lang w:eastAsia="fr-CA"/>
        </w:rPr>
        <w:t>dire aux commanditaires que tout allait bien</w:t>
      </w:r>
      <w:r w:rsidR="00A82953" w:rsidRPr="002F6648">
        <w:rPr>
          <w:sz w:val="24"/>
          <w:szCs w:val="24"/>
          <w:lang w:eastAsia="fr-CA"/>
        </w:rPr>
        <w:t> </w:t>
      </w:r>
      <w:r w:rsidRPr="002F6648">
        <w:rPr>
          <w:sz w:val="24"/>
          <w:szCs w:val="24"/>
          <w:lang w:eastAsia="fr-CA"/>
        </w:rPr>
        <w:t>»</w:t>
      </w:r>
      <w:r w:rsidR="008E4422" w:rsidRPr="002F6648">
        <w:rPr>
          <w:sz w:val="24"/>
          <w:szCs w:val="24"/>
          <w:lang w:eastAsia="fr-CA"/>
        </w:rPr>
        <w:t xml:space="preserve">, </w:t>
      </w:r>
      <w:r w:rsidRPr="002F6648">
        <w:rPr>
          <w:sz w:val="24"/>
          <w:szCs w:val="24"/>
          <w:lang w:eastAsia="fr-CA"/>
        </w:rPr>
        <w:t>même lorsque les défauts étaient manifestes</w:t>
      </w:r>
      <w:r>
        <w:rPr>
          <w:rStyle w:val="Appelnotedebasdep"/>
          <w:rFonts w:cs="Arial"/>
          <w:sz w:val="24"/>
          <w:szCs w:val="24"/>
          <w:lang w:eastAsia="fr-CA"/>
        </w:rPr>
        <w:footnoteReference w:id="236"/>
      </w:r>
      <w:r w:rsidR="001402CD" w:rsidRPr="002F6648">
        <w:rPr>
          <w:sz w:val="24"/>
          <w:szCs w:val="24"/>
          <w:lang w:eastAsia="fr-CA"/>
        </w:rPr>
        <w:t>;</w:t>
      </w:r>
    </w:p>
    <w:p w14:paraId="790FAB54" w14:textId="77777777" w:rsidR="00B428E8" w:rsidRPr="002F6648" w:rsidRDefault="00730A01" w:rsidP="00443B59">
      <w:pPr>
        <w:pStyle w:val="Citationenretrait"/>
        <w:numPr>
          <w:ilvl w:val="0"/>
          <w:numId w:val="54"/>
        </w:numPr>
        <w:spacing w:after="0"/>
        <w:ind w:left="851" w:right="539" w:hanging="357"/>
        <w:rPr>
          <w:sz w:val="24"/>
          <w:szCs w:val="24"/>
          <w:lang w:eastAsia="fr-CA"/>
        </w:rPr>
      </w:pPr>
      <w:r w:rsidRPr="002F6648">
        <w:rPr>
          <w:sz w:val="24"/>
          <w:szCs w:val="24"/>
          <w:lang w:eastAsia="fr-CA"/>
        </w:rPr>
        <w:t>L’usage de structures complexes pour brouiller les pistes et soustraire les opérations au regard des Demandeurs</w:t>
      </w:r>
      <w:r>
        <w:rPr>
          <w:rStyle w:val="Appelnotedebasdep"/>
          <w:rFonts w:cs="Arial"/>
          <w:sz w:val="24"/>
          <w:szCs w:val="24"/>
          <w:lang w:eastAsia="fr-CA"/>
        </w:rPr>
        <w:footnoteReference w:id="237"/>
      </w:r>
      <w:r w:rsidR="0003635E" w:rsidRPr="002F6648">
        <w:rPr>
          <w:sz w:val="24"/>
          <w:szCs w:val="24"/>
          <w:lang w:eastAsia="fr-CA"/>
        </w:rPr>
        <w:t>;</w:t>
      </w:r>
    </w:p>
    <w:p w14:paraId="692CB1E5" w14:textId="77777777" w:rsidR="008E4422" w:rsidRPr="002F6648" w:rsidRDefault="00730A01" w:rsidP="00443B59">
      <w:pPr>
        <w:pStyle w:val="Citationenretrait"/>
        <w:numPr>
          <w:ilvl w:val="0"/>
          <w:numId w:val="54"/>
        </w:numPr>
        <w:spacing w:after="0"/>
        <w:ind w:left="851" w:right="539" w:hanging="357"/>
        <w:rPr>
          <w:sz w:val="24"/>
          <w:szCs w:val="24"/>
          <w:lang w:eastAsia="fr-CA"/>
        </w:rPr>
      </w:pPr>
      <w:r w:rsidRPr="002F6648">
        <w:rPr>
          <w:sz w:val="24"/>
          <w:szCs w:val="24"/>
          <w:lang w:eastAsia="fr-CA"/>
        </w:rPr>
        <w:t>L’exploitation de la confiance et du statut de Giroux pour convaincre les commanditaires de réinvestir ou de ne pas s’inquiéter</w:t>
      </w:r>
      <w:r>
        <w:rPr>
          <w:rStyle w:val="Appelnotedebasdep"/>
          <w:rFonts w:cs="Arial"/>
          <w:sz w:val="24"/>
          <w:szCs w:val="24"/>
          <w:lang w:eastAsia="fr-CA"/>
        </w:rPr>
        <w:footnoteReference w:id="238"/>
      </w:r>
      <w:r w:rsidR="00100C6C" w:rsidRPr="002F6648">
        <w:rPr>
          <w:sz w:val="24"/>
          <w:szCs w:val="24"/>
          <w:lang w:eastAsia="fr-CA"/>
        </w:rPr>
        <w:t>.</w:t>
      </w:r>
    </w:p>
    <w:p w14:paraId="72B18C1C" w14:textId="77777777" w:rsidR="007A6C58" w:rsidRDefault="00730A01" w:rsidP="0098012F">
      <w:pPr>
        <w:pStyle w:val="Paragraphe"/>
        <w:tabs>
          <w:tab w:val="clear" w:pos="786"/>
        </w:tabs>
        <w:spacing w:before="240" w:line="240" w:lineRule="auto"/>
        <w:ind w:left="0"/>
        <w:rPr>
          <w:rFonts w:cs="Arial"/>
          <w:szCs w:val="24"/>
          <w:lang w:eastAsia="fr-CA"/>
        </w:rPr>
      </w:pPr>
      <w:r w:rsidRPr="00451EF9">
        <w:t xml:space="preserve">L’ensemble des dommages subis </w:t>
      </w:r>
      <w:r w:rsidR="00892E73">
        <w:t xml:space="preserve">par les Demandeurs </w:t>
      </w:r>
      <w:r w:rsidRPr="00451EF9">
        <w:t>découlent de ces</w:t>
      </w:r>
      <w:r w:rsidRPr="00451EF9">
        <w:rPr>
          <w:rFonts w:cs="Arial"/>
          <w:szCs w:val="24"/>
          <w:lang w:eastAsia="fr-CA"/>
        </w:rPr>
        <w:t xml:space="preserve"> fautes et non d’une quelconque négligence des Demandeurs</w:t>
      </w:r>
      <w:r>
        <w:rPr>
          <w:rStyle w:val="Appelnotedebasdep"/>
          <w:rFonts w:cs="Arial"/>
          <w:szCs w:val="24"/>
          <w:lang w:eastAsia="fr-CA"/>
        </w:rPr>
        <w:footnoteReference w:id="239"/>
      </w:r>
      <w:r w:rsidRPr="00451EF9">
        <w:rPr>
          <w:rFonts w:cs="Arial"/>
          <w:szCs w:val="24"/>
          <w:lang w:eastAsia="fr-CA"/>
        </w:rPr>
        <w:t>.</w:t>
      </w:r>
    </w:p>
    <w:p w14:paraId="2058F9EC" w14:textId="77777777" w:rsidR="00A22E3C" w:rsidRPr="00506531" w:rsidRDefault="00730A01" w:rsidP="0042740E">
      <w:pPr>
        <w:pStyle w:val="Titre3"/>
        <w:numPr>
          <w:ilvl w:val="1"/>
          <w:numId w:val="26"/>
        </w:numPr>
        <w:ind w:left="284" w:hanging="284"/>
        <w:jc w:val="both"/>
        <w:rPr>
          <w:b/>
          <w:bCs/>
        </w:rPr>
      </w:pPr>
      <w:r w:rsidRPr="00506531">
        <w:rPr>
          <w:b/>
          <w:bCs/>
        </w:rPr>
        <w:t>Les prétentions des Défendeurs quant aux pertes qu’ils auraient eux-mêmes subies</w:t>
      </w:r>
    </w:p>
    <w:p w14:paraId="10788E02" w14:textId="77777777" w:rsidR="00B32C36" w:rsidRDefault="00730A01" w:rsidP="0098012F">
      <w:pPr>
        <w:pStyle w:val="Paragraphe"/>
        <w:tabs>
          <w:tab w:val="clear" w:pos="786"/>
        </w:tabs>
        <w:spacing w:line="240" w:lineRule="auto"/>
        <w:ind w:left="0"/>
      </w:pPr>
      <w:r>
        <w:t>Les Défendeurs et les experts de LMD affirment que les Demandeurs auraient réalisé plus de</w:t>
      </w:r>
      <w:r w:rsidR="009C7A24">
        <w:t> </w:t>
      </w:r>
      <w:r w:rsidRPr="00B32C36">
        <w:rPr>
          <w:rStyle w:val="lev"/>
          <w:b w:val="0"/>
          <w:bCs w:val="0"/>
        </w:rPr>
        <w:t>71</w:t>
      </w:r>
      <w:r>
        <w:rPr>
          <w:rStyle w:val="lev"/>
          <w:b w:val="0"/>
          <w:bCs w:val="0"/>
        </w:rPr>
        <w:t> </w:t>
      </w:r>
      <w:r w:rsidRPr="00B32C36">
        <w:rPr>
          <w:rStyle w:val="lev"/>
          <w:b w:val="0"/>
          <w:bCs w:val="0"/>
        </w:rPr>
        <w:t>M$ d’intérêts</w:t>
      </w:r>
      <w:r>
        <w:t xml:space="preserve"> entre</w:t>
      </w:r>
      <w:r w:rsidR="009C7A24">
        <w:t> </w:t>
      </w:r>
      <w:r>
        <w:t>2017 et</w:t>
      </w:r>
      <w:r w:rsidR="009C7A24">
        <w:t> </w:t>
      </w:r>
      <w:r>
        <w:t xml:space="preserve">2022 et que les Défendeurs ont eux-mêmes perdu environ </w:t>
      </w:r>
      <w:r w:rsidRPr="00B32C36">
        <w:rPr>
          <w:rStyle w:val="lev"/>
          <w:b w:val="0"/>
          <w:bCs w:val="0"/>
        </w:rPr>
        <w:t>46</w:t>
      </w:r>
      <w:r>
        <w:rPr>
          <w:rStyle w:val="lev"/>
          <w:b w:val="0"/>
          <w:bCs w:val="0"/>
        </w:rPr>
        <w:t> M</w:t>
      </w:r>
      <w:r w:rsidRPr="00B32C36">
        <w:rPr>
          <w:rStyle w:val="lev"/>
          <w:b w:val="0"/>
          <w:bCs w:val="0"/>
        </w:rPr>
        <w:t>$</w:t>
      </w:r>
      <w:r>
        <w:t xml:space="preserve"> dans le contexte de la débâcle du Groupe Huot</w:t>
      </w:r>
      <w:r>
        <w:rPr>
          <w:rStyle w:val="Appelnotedebasdep"/>
        </w:rPr>
        <w:footnoteReference w:id="240"/>
      </w:r>
      <w:r w:rsidR="000434C8">
        <w:t>,</w:t>
      </w:r>
      <w:r>
        <w:t xml:space="preserve"> et ce, dans l’objectif manifeste de diminuer l’impact des fautes commises par les Défendeurs et les pertes subies par les Demandeurs.</w:t>
      </w:r>
    </w:p>
    <w:p w14:paraId="7BEC89D6" w14:textId="77777777" w:rsidR="00B32C36" w:rsidRDefault="00730A01" w:rsidP="0098012F">
      <w:pPr>
        <w:pStyle w:val="Paragraphe"/>
        <w:tabs>
          <w:tab w:val="clear" w:pos="786"/>
        </w:tabs>
        <w:spacing w:line="240" w:lineRule="auto"/>
        <w:ind w:left="0"/>
      </w:pPr>
      <w:r>
        <w:t>Or, il importe de souligner que les Défendeurs sont les seuls à avoir réellement tiré profit de l’aventure qu’ils ont menée en</w:t>
      </w:r>
      <w:r w:rsidR="00B119A9">
        <w:t>tre</w:t>
      </w:r>
      <w:r w:rsidR="009C7A24">
        <w:t> </w:t>
      </w:r>
      <w:r>
        <w:t>2017 et</w:t>
      </w:r>
      <w:r w:rsidR="009C7A24">
        <w:t> </w:t>
      </w:r>
      <w:r>
        <w:t>2022 et dans laquelle ils ont embarqué les Demandeurs. En effet, les pertes subies et réclamées par les Demandeurs s’élèvent à plus de</w:t>
      </w:r>
      <w:r w:rsidR="009C7A24">
        <w:t> </w:t>
      </w:r>
      <w:r w:rsidRPr="00B32C36">
        <w:rPr>
          <w:rStyle w:val="lev"/>
          <w:b w:val="0"/>
          <w:bCs w:val="0"/>
        </w:rPr>
        <w:t>129</w:t>
      </w:r>
      <w:r>
        <w:rPr>
          <w:rStyle w:val="lev"/>
          <w:b w:val="0"/>
          <w:bCs w:val="0"/>
        </w:rPr>
        <w:t> </w:t>
      </w:r>
      <w:r w:rsidRPr="00B32C36">
        <w:rPr>
          <w:rStyle w:val="lev"/>
          <w:b w:val="0"/>
          <w:bCs w:val="0"/>
        </w:rPr>
        <w:t>M$ en capital uniquement</w:t>
      </w:r>
      <w:r w:rsidRPr="00B32C36">
        <w:rPr>
          <w:b/>
          <w:bCs/>
        </w:rPr>
        <w:t>.</w:t>
      </w:r>
    </w:p>
    <w:p w14:paraId="3C70CFE7" w14:textId="77777777" w:rsidR="00892E73" w:rsidRDefault="00730A01" w:rsidP="00892E73">
      <w:pPr>
        <w:pStyle w:val="Paragraphe"/>
        <w:tabs>
          <w:tab w:val="clear" w:pos="786"/>
        </w:tabs>
        <w:spacing w:line="240" w:lineRule="auto"/>
        <w:ind w:left="0"/>
      </w:pPr>
      <w:r>
        <w:t>Ainsi, suivant l’hypothèse des Défendeurs et à des fins d’argumentation uniquement (en faisant abstraction des intérêts per</w:t>
      </w:r>
      <w:r w:rsidR="00B119A9">
        <w:t>d</w:t>
      </w:r>
      <w:r>
        <w:t xml:space="preserve">us sur ces sommes, lesquels sont également réclamés), en soustrayant de cette somme les intérêts </w:t>
      </w:r>
      <w:r w:rsidR="00B119A9">
        <w:t>perçu</w:t>
      </w:r>
      <w:r>
        <w:t>s entre</w:t>
      </w:r>
      <w:r w:rsidR="009C7A24">
        <w:t> </w:t>
      </w:r>
      <w:r>
        <w:t>2017 et</w:t>
      </w:r>
      <w:r w:rsidR="009C7A24">
        <w:t> </w:t>
      </w:r>
      <w:r>
        <w:t xml:space="preserve">2022, il appert que les Demandeurs se sont néanmoins appauvris d’une somme de </w:t>
      </w:r>
      <w:r w:rsidRPr="00B32C36">
        <w:rPr>
          <w:rStyle w:val="lev"/>
          <w:b w:val="0"/>
          <w:bCs w:val="0"/>
        </w:rPr>
        <w:t>58</w:t>
      </w:r>
      <w:r w:rsidR="00B32C36" w:rsidRPr="00B32C36">
        <w:rPr>
          <w:rStyle w:val="lev"/>
          <w:b w:val="0"/>
          <w:bCs w:val="0"/>
        </w:rPr>
        <w:t> </w:t>
      </w:r>
      <w:r w:rsidRPr="00B32C36">
        <w:rPr>
          <w:rStyle w:val="lev"/>
          <w:b w:val="0"/>
          <w:bCs w:val="0"/>
        </w:rPr>
        <w:t>M$</w:t>
      </w:r>
      <w:r w:rsidRPr="00B32C36">
        <w:rPr>
          <w:b/>
          <w:bCs/>
        </w:rPr>
        <w:t>.</w:t>
      </w:r>
      <w:r>
        <w:t xml:space="preserve"> D’un autre côté, les Défendeurs, eux, ont plutôt vu leur équité grimper d’une somme approximative de</w:t>
      </w:r>
      <w:r w:rsidR="009C7A24">
        <w:t> </w:t>
      </w:r>
      <w:r w:rsidRPr="00B32C36">
        <w:rPr>
          <w:rStyle w:val="lev"/>
          <w:b w:val="0"/>
          <w:bCs w:val="0"/>
        </w:rPr>
        <w:t>23,6</w:t>
      </w:r>
      <w:r w:rsidR="00B32C36" w:rsidRPr="00B32C36">
        <w:rPr>
          <w:rStyle w:val="lev"/>
          <w:b w:val="0"/>
          <w:bCs w:val="0"/>
        </w:rPr>
        <w:t> </w:t>
      </w:r>
      <w:r w:rsidRPr="00B32C36">
        <w:rPr>
          <w:rStyle w:val="lev"/>
          <w:b w:val="0"/>
          <w:bCs w:val="0"/>
        </w:rPr>
        <w:t>M$</w:t>
      </w:r>
      <w:r>
        <w:t xml:space="preserve"> durant la même période, et ce, même en tenant compte de leurs supposées pertes de 46</w:t>
      </w:r>
      <w:r w:rsidR="00B32E1D">
        <w:t> </w:t>
      </w:r>
      <w:r>
        <w:t>M$.</w:t>
      </w:r>
    </w:p>
    <w:p w14:paraId="4EE49FD1" w14:textId="77777777" w:rsidR="00A22E3C" w:rsidRPr="00506531" w:rsidRDefault="00730A01" w:rsidP="0042740E">
      <w:pPr>
        <w:pStyle w:val="Titre3"/>
        <w:numPr>
          <w:ilvl w:val="1"/>
          <w:numId w:val="26"/>
        </w:numPr>
        <w:ind w:left="284" w:hanging="284"/>
        <w:jc w:val="both"/>
        <w:rPr>
          <w:rStyle w:val="lev"/>
        </w:rPr>
      </w:pPr>
      <w:r w:rsidRPr="00506531">
        <w:rPr>
          <w:rStyle w:val="lev"/>
        </w:rPr>
        <w:t>L’augmentation du patrimoine de Giroux</w:t>
      </w:r>
    </w:p>
    <w:p w14:paraId="33D3F908" w14:textId="77777777" w:rsidR="00A22E3C" w:rsidRDefault="00730A01" w:rsidP="0098012F">
      <w:pPr>
        <w:pStyle w:val="Paragraphe"/>
        <w:tabs>
          <w:tab w:val="clear" w:pos="786"/>
        </w:tabs>
        <w:spacing w:before="240" w:line="240" w:lineRule="auto"/>
        <w:ind w:left="0"/>
      </w:pPr>
      <w:r>
        <w:t>Voici, tel que présenté par l’expert de KPMG, un sommaire résumant l’augmentation de l’équité de Giroux pour la période de</w:t>
      </w:r>
      <w:r w:rsidR="000B4086">
        <w:t> </w:t>
      </w:r>
      <w:r>
        <w:t>2016 à</w:t>
      </w:r>
      <w:r w:rsidR="000B4086">
        <w:t> </w:t>
      </w:r>
      <w:r>
        <w:t>2023</w:t>
      </w:r>
      <w:r w:rsidR="000B4086">
        <w:t> </w:t>
      </w:r>
      <w:r>
        <w:t>:</w:t>
      </w:r>
    </w:p>
    <w:p w14:paraId="66057528" w14:textId="77777777" w:rsidR="00B32C36" w:rsidRPr="002F6648" w:rsidRDefault="00730A01" w:rsidP="00443B59">
      <w:pPr>
        <w:pStyle w:val="Paragraphe"/>
        <w:numPr>
          <w:ilvl w:val="0"/>
          <w:numId w:val="62"/>
        </w:numPr>
        <w:spacing w:after="0" w:line="240" w:lineRule="auto"/>
        <w:ind w:left="714" w:right="539" w:hanging="357"/>
        <w:rPr>
          <w:szCs w:val="24"/>
        </w:rPr>
      </w:pPr>
      <w:r w:rsidRPr="002F6648">
        <w:rPr>
          <w:szCs w:val="24"/>
        </w:rPr>
        <w:t>Entre la fin de</w:t>
      </w:r>
      <w:r w:rsidR="000B4086">
        <w:rPr>
          <w:szCs w:val="24"/>
        </w:rPr>
        <w:t> </w:t>
      </w:r>
      <w:r w:rsidRPr="002F6648">
        <w:rPr>
          <w:szCs w:val="24"/>
        </w:rPr>
        <w:t>2016, soit juste avant la création des fonds FIISH et Q</w:t>
      </w:r>
      <w:r w:rsidR="00B32E1D" w:rsidRPr="002F6648">
        <w:rPr>
          <w:szCs w:val="24"/>
        </w:rPr>
        <w:noBreakHyphen/>
      </w:r>
      <w:r w:rsidRPr="002F6648">
        <w:rPr>
          <w:szCs w:val="24"/>
        </w:rPr>
        <w:t>12, l’équité de Giroux était de</w:t>
      </w:r>
      <w:r w:rsidR="009C5D0A">
        <w:rPr>
          <w:szCs w:val="24"/>
        </w:rPr>
        <w:t> </w:t>
      </w:r>
      <w:r w:rsidRPr="002F6648">
        <w:rPr>
          <w:rStyle w:val="lev"/>
          <w:b w:val="0"/>
          <w:bCs w:val="0"/>
          <w:szCs w:val="24"/>
        </w:rPr>
        <w:t>21,4</w:t>
      </w:r>
      <w:r w:rsidR="009E7F9B" w:rsidRPr="002F6648">
        <w:rPr>
          <w:rStyle w:val="lev"/>
          <w:b w:val="0"/>
          <w:bCs w:val="0"/>
          <w:szCs w:val="24"/>
        </w:rPr>
        <w:t> </w:t>
      </w:r>
      <w:r w:rsidRPr="002F6648">
        <w:rPr>
          <w:rStyle w:val="lev"/>
          <w:b w:val="0"/>
          <w:bCs w:val="0"/>
          <w:szCs w:val="24"/>
        </w:rPr>
        <w:t>M$</w:t>
      </w:r>
      <w:r>
        <w:rPr>
          <w:rStyle w:val="Appelnotedebasdep"/>
          <w:szCs w:val="24"/>
        </w:rPr>
        <w:footnoteReference w:id="241"/>
      </w:r>
      <w:r w:rsidRPr="002F6648">
        <w:rPr>
          <w:szCs w:val="24"/>
        </w:rPr>
        <w:t>;</w:t>
      </w:r>
    </w:p>
    <w:p w14:paraId="7A6C63C8" w14:textId="77777777" w:rsidR="005863C7" w:rsidRPr="002F6648" w:rsidRDefault="00730A01" w:rsidP="00443B59">
      <w:pPr>
        <w:pStyle w:val="Paragraphe"/>
        <w:numPr>
          <w:ilvl w:val="0"/>
          <w:numId w:val="62"/>
        </w:numPr>
        <w:spacing w:after="0" w:line="240" w:lineRule="auto"/>
        <w:ind w:left="714" w:right="539" w:hanging="357"/>
        <w:rPr>
          <w:szCs w:val="24"/>
        </w:rPr>
      </w:pPr>
      <w:r w:rsidRPr="002F6648">
        <w:rPr>
          <w:szCs w:val="24"/>
        </w:rPr>
        <w:t>Selon le bilan de Giroux déposé à la cour en septembre</w:t>
      </w:r>
      <w:r w:rsidR="009C5D0A">
        <w:rPr>
          <w:szCs w:val="24"/>
        </w:rPr>
        <w:t> </w:t>
      </w:r>
      <w:r w:rsidRPr="002F6648">
        <w:rPr>
          <w:szCs w:val="24"/>
        </w:rPr>
        <w:t>2023, l’équité de Giroux était de</w:t>
      </w:r>
      <w:r w:rsidR="009C5D0A">
        <w:rPr>
          <w:szCs w:val="24"/>
        </w:rPr>
        <w:t> </w:t>
      </w:r>
      <w:r w:rsidRPr="002F6648">
        <w:rPr>
          <w:rStyle w:val="lev"/>
          <w:b w:val="0"/>
          <w:bCs w:val="0"/>
          <w:szCs w:val="24"/>
        </w:rPr>
        <w:t>77,7</w:t>
      </w:r>
      <w:r w:rsidR="009E7F9B" w:rsidRPr="002F6648">
        <w:rPr>
          <w:rStyle w:val="lev"/>
          <w:b w:val="0"/>
          <w:bCs w:val="0"/>
          <w:szCs w:val="24"/>
        </w:rPr>
        <w:t> </w:t>
      </w:r>
      <w:r w:rsidRPr="002F6648">
        <w:rPr>
          <w:rStyle w:val="lev"/>
          <w:b w:val="0"/>
          <w:bCs w:val="0"/>
          <w:szCs w:val="24"/>
        </w:rPr>
        <w:t>M$</w:t>
      </w:r>
      <w:r>
        <w:rPr>
          <w:rStyle w:val="Appelnotedebasdep"/>
          <w:szCs w:val="24"/>
        </w:rPr>
        <w:footnoteReference w:id="242"/>
      </w:r>
      <w:r w:rsidRPr="002F6648">
        <w:rPr>
          <w:szCs w:val="24"/>
        </w:rPr>
        <w:t>, et ce, avant les radiations des actifs reliés à Huot et ses sociétés;</w:t>
      </w:r>
    </w:p>
    <w:p w14:paraId="2B3CF135" w14:textId="77777777" w:rsidR="00A22E3C" w:rsidRPr="002F6648" w:rsidRDefault="00730A01" w:rsidP="00443B59">
      <w:pPr>
        <w:pStyle w:val="Paragraphe"/>
        <w:numPr>
          <w:ilvl w:val="0"/>
          <w:numId w:val="62"/>
        </w:numPr>
        <w:spacing w:after="0" w:line="240" w:lineRule="auto"/>
        <w:ind w:left="714" w:right="539" w:hanging="357"/>
        <w:rPr>
          <w:szCs w:val="24"/>
        </w:rPr>
      </w:pPr>
      <w:r w:rsidRPr="002F6648">
        <w:rPr>
          <w:szCs w:val="24"/>
        </w:rPr>
        <w:t>Ainsi, l’équité de Giroux, entre janvier</w:t>
      </w:r>
      <w:r w:rsidR="009C5D0A">
        <w:rPr>
          <w:szCs w:val="24"/>
        </w:rPr>
        <w:t> </w:t>
      </w:r>
      <w:r w:rsidRPr="002F6648">
        <w:rPr>
          <w:szCs w:val="24"/>
        </w:rPr>
        <w:t>2017 et septembre</w:t>
      </w:r>
      <w:r w:rsidR="009C5D0A">
        <w:rPr>
          <w:szCs w:val="24"/>
        </w:rPr>
        <w:t> </w:t>
      </w:r>
      <w:r w:rsidRPr="002F6648">
        <w:rPr>
          <w:szCs w:val="24"/>
        </w:rPr>
        <w:t>2023, a augmenté de plus de</w:t>
      </w:r>
      <w:r w:rsidR="009C5D0A">
        <w:rPr>
          <w:szCs w:val="24"/>
        </w:rPr>
        <w:t> </w:t>
      </w:r>
      <w:r w:rsidRPr="002F6648">
        <w:rPr>
          <w:rStyle w:val="lev"/>
          <w:b w:val="0"/>
          <w:bCs w:val="0"/>
          <w:szCs w:val="24"/>
        </w:rPr>
        <w:t>56</w:t>
      </w:r>
      <w:r w:rsidR="009E7F9B" w:rsidRPr="002F6648">
        <w:rPr>
          <w:rStyle w:val="lev"/>
          <w:b w:val="0"/>
          <w:bCs w:val="0"/>
          <w:szCs w:val="24"/>
        </w:rPr>
        <w:t> </w:t>
      </w:r>
      <w:r w:rsidRPr="002F6648">
        <w:rPr>
          <w:rStyle w:val="lev"/>
          <w:b w:val="0"/>
          <w:bCs w:val="0"/>
          <w:szCs w:val="24"/>
        </w:rPr>
        <w:t>M$</w:t>
      </w:r>
      <w:r w:rsidR="00B32E1D" w:rsidRPr="002F6648">
        <w:rPr>
          <w:szCs w:val="24"/>
        </w:rPr>
        <w:t xml:space="preserve">, </w:t>
      </w:r>
      <w:r w:rsidRPr="002F6648">
        <w:rPr>
          <w:szCs w:val="24"/>
        </w:rPr>
        <w:t>et ce, toujours avant les radiations des actifs reliés à Huot et ses sociétés.</w:t>
      </w:r>
    </w:p>
    <w:p w14:paraId="5BFE5A57" w14:textId="77777777" w:rsidR="00A22E3C" w:rsidRDefault="00730A01" w:rsidP="00B32E1D">
      <w:pPr>
        <w:pStyle w:val="Paragraphe"/>
        <w:tabs>
          <w:tab w:val="clear" w:pos="786"/>
        </w:tabs>
        <w:spacing w:before="240" w:after="240" w:line="240" w:lineRule="auto"/>
        <w:ind w:left="0"/>
      </w:pPr>
      <w:r>
        <w:t>Ainsi, même en considérant la radiation des sommes à recevoir de</w:t>
      </w:r>
      <w:r w:rsidR="009C5D0A">
        <w:t> </w:t>
      </w:r>
      <w:r w:rsidRPr="00B32E1D">
        <w:rPr>
          <w:rStyle w:val="lev"/>
          <w:b w:val="0"/>
          <w:bCs w:val="0"/>
        </w:rPr>
        <w:t>47,3</w:t>
      </w:r>
      <w:r w:rsidR="009E7F9B" w:rsidRPr="00B32E1D">
        <w:rPr>
          <w:rStyle w:val="lev"/>
          <w:b w:val="0"/>
          <w:bCs w:val="0"/>
        </w:rPr>
        <w:t> </w:t>
      </w:r>
      <w:r w:rsidRPr="00B32E1D">
        <w:rPr>
          <w:rStyle w:val="lev"/>
          <w:b w:val="0"/>
          <w:bCs w:val="0"/>
        </w:rPr>
        <w:t>M$</w:t>
      </w:r>
      <w:r>
        <w:rPr>
          <w:rStyle w:val="Appelnotedebasdep"/>
        </w:rPr>
        <w:footnoteReference w:id="243"/>
      </w:r>
      <w:r w:rsidR="009E7F9B">
        <w:t xml:space="preserve"> </w:t>
      </w:r>
      <w:r>
        <w:t>de Huot et Groupe Huot, Giroux s’est tout de même enrichi de plus de</w:t>
      </w:r>
      <w:r w:rsidR="009C5D0A">
        <w:t> </w:t>
      </w:r>
      <w:r w:rsidRPr="00B32E1D">
        <w:rPr>
          <w:rStyle w:val="lev"/>
          <w:b w:val="0"/>
          <w:bCs w:val="0"/>
        </w:rPr>
        <w:t>23</w:t>
      </w:r>
      <w:r w:rsidR="009E7F9B" w:rsidRPr="00B32E1D">
        <w:rPr>
          <w:rStyle w:val="lev"/>
          <w:b w:val="0"/>
          <w:bCs w:val="0"/>
        </w:rPr>
        <w:t> </w:t>
      </w:r>
      <w:r w:rsidRPr="00B32E1D">
        <w:rPr>
          <w:rStyle w:val="lev"/>
          <w:b w:val="0"/>
          <w:bCs w:val="0"/>
        </w:rPr>
        <w:t>M$</w:t>
      </w:r>
      <w:r>
        <w:t xml:space="preserve"> pendant la période de</w:t>
      </w:r>
      <w:r w:rsidR="009C5D0A">
        <w:t> </w:t>
      </w:r>
      <w:r>
        <w:t>2017 à</w:t>
      </w:r>
      <w:r w:rsidR="009C5D0A">
        <w:t> </w:t>
      </w:r>
      <w:r>
        <w:t>2022, tel qu’il appert du tableau suivant</w:t>
      </w:r>
      <w:r w:rsidR="002F198F">
        <w:t> </w:t>
      </w:r>
      <w:r>
        <w:t>:</w:t>
      </w:r>
    </w:p>
    <w:tbl>
      <w:tblPr>
        <w:tblStyle w:val="Grilledutableau"/>
        <w:tblW w:w="0" w:type="auto"/>
        <w:tblInd w:w="426" w:type="dxa"/>
        <w:tblLook w:val="04A0" w:firstRow="1" w:lastRow="0" w:firstColumn="1" w:lastColumn="0" w:noHBand="0" w:noVBand="1"/>
      </w:tblPr>
      <w:tblGrid>
        <w:gridCol w:w="2688"/>
        <w:gridCol w:w="2975"/>
        <w:gridCol w:w="2978"/>
      </w:tblGrid>
      <w:tr w:rsidR="00FE3D17" w14:paraId="26451F83" w14:textId="77777777" w:rsidTr="0005007F">
        <w:tc>
          <w:tcPr>
            <w:tcW w:w="2688" w:type="dxa"/>
          </w:tcPr>
          <w:p w14:paraId="47DC9E83" w14:textId="77777777" w:rsidR="006B2FDD" w:rsidRPr="006B2FDD" w:rsidRDefault="006B2FDD" w:rsidP="0098012F">
            <w:pPr>
              <w:pStyle w:val="Paragraphe"/>
              <w:numPr>
                <w:ilvl w:val="0"/>
                <w:numId w:val="0"/>
              </w:numPr>
              <w:spacing w:before="240" w:line="240" w:lineRule="auto"/>
              <w:rPr>
                <w:lang w:val="fr-CA"/>
              </w:rPr>
            </w:pPr>
          </w:p>
        </w:tc>
        <w:tc>
          <w:tcPr>
            <w:tcW w:w="2975" w:type="dxa"/>
          </w:tcPr>
          <w:p w14:paraId="75B9D86F" w14:textId="77777777" w:rsidR="006B2FDD" w:rsidRPr="006B2FDD" w:rsidRDefault="00730A01" w:rsidP="009C5D0A">
            <w:pPr>
              <w:pStyle w:val="Paragraphe"/>
              <w:numPr>
                <w:ilvl w:val="0"/>
                <w:numId w:val="0"/>
              </w:numPr>
              <w:spacing w:before="240" w:line="240" w:lineRule="auto"/>
              <w:jc w:val="center"/>
              <w:rPr>
                <w:sz w:val="20"/>
                <w:szCs w:val="20"/>
                <w:lang w:val="fr-CA"/>
              </w:rPr>
            </w:pPr>
            <w:r w:rsidRPr="006B2FDD">
              <w:rPr>
                <w:b/>
                <w:bCs/>
                <w:sz w:val="20"/>
                <w:szCs w:val="20"/>
                <w:lang w:val="fr-CA"/>
              </w:rPr>
              <w:t>Avant radiation des actifs reliés à Huot et ses sociétés</w:t>
            </w:r>
          </w:p>
        </w:tc>
        <w:tc>
          <w:tcPr>
            <w:tcW w:w="2978" w:type="dxa"/>
          </w:tcPr>
          <w:p w14:paraId="75B11A26" w14:textId="77777777" w:rsidR="006B2FDD" w:rsidRPr="006B2FDD" w:rsidRDefault="00730A01" w:rsidP="009C5D0A">
            <w:pPr>
              <w:pStyle w:val="Paragraphe"/>
              <w:numPr>
                <w:ilvl w:val="0"/>
                <w:numId w:val="0"/>
              </w:numPr>
              <w:spacing w:before="240" w:line="240" w:lineRule="auto"/>
              <w:jc w:val="center"/>
              <w:rPr>
                <w:sz w:val="20"/>
                <w:szCs w:val="20"/>
                <w:lang w:val="fr-CA"/>
              </w:rPr>
            </w:pPr>
            <w:r w:rsidRPr="006B2FDD">
              <w:rPr>
                <w:b/>
                <w:bCs/>
                <w:sz w:val="20"/>
                <w:szCs w:val="20"/>
                <w:lang w:val="fr-CA"/>
              </w:rPr>
              <w:t>Après radiation des actifs reliés à Huot et ses sociétés</w:t>
            </w:r>
          </w:p>
        </w:tc>
      </w:tr>
      <w:tr w:rsidR="00FE3D17" w14:paraId="571D5878" w14:textId="77777777" w:rsidTr="0005007F">
        <w:tc>
          <w:tcPr>
            <w:tcW w:w="2688" w:type="dxa"/>
          </w:tcPr>
          <w:p w14:paraId="44D6BA3C" w14:textId="77777777" w:rsidR="006B2FDD" w:rsidRPr="006B2FDD" w:rsidRDefault="00730A01" w:rsidP="009C5D0A">
            <w:pPr>
              <w:pStyle w:val="Paragraphe"/>
              <w:numPr>
                <w:ilvl w:val="0"/>
                <w:numId w:val="0"/>
              </w:numPr>
              <w:spacing w:before="240" w:line="240" w:lineRule="auto"/>
              <w:jc w:val="center"/>
              <w:rPr>
                <w:sz w:val="20"/>
                <w:szCs w:val="20"/>
                <w:lang w:val="fr-CA"/>
              </w:rPr>
            </w:pPr>
            <w:r w:rsidRPr="006B2FDD">
              <w:rPr>
                <w:rStyle w:val="lev"/>
                <w:sz w:val="20"/>
                <w:szCs w:val="20"/>
              </w:rPr>
              <w:t>Équité Giroux au 15</w:t>
            </w:r>
            <w:r>
              <w:rPr>
                <w:rStyle w:val="lev"/>
                <w:sz w:val="20"/>
                <w:szCs w:val="20"/>
              </w:rPr>
              <w:t> </w:t>
            </w:r>
            <w:r w:rsidRPr="006B2FDD">
              <w:rPr>
                <w:rStyle w:val="lev"/>
                <w:sz w:val="20"/>
                <w:szCs w:val="20"/>
              </w:rPr>
              <w:t>septembre</w:t>
            </w:r>
            <w:r w:rsidR="009C5D0A">
              <w:rPr>
                <w:rStyle w:val="lev"/>
                <w:sz w:val="20"/>
                <w:szCs w:val="20"/>
              </w:rPr>
              <w:t> </w:t>
            </w:r>
            <w:r w:rsidRPr="006B2FDD">
              <w:rPr>
                <w:rStyle w:val="lev"/>
                <w:sz w:val="20"/>
                <w:szCs w:val="20"/>
              </w:rPr>
              <w:t>2023</w:t>
            </w:r>
            <w:r>
              <w:rPr>
                <w:rStyle w:val="Appelnotedebasdep"/>
                <w:sz w:val="20"/>
                <w:szCs w:val="20"/>
              </w:rPr>
              <w:footnoteReference w:id="244"/>
            </w:r>
          </w:p>
        </w:tc>
        <w:tc>
          <w:tcPr>
            <w:tcW w:w="2975" w:type="dxa"/>
          </w:tcPr>
          <w:p w14:paraId="7CB35ADF" w14:textId="77777777" w:rsidR="006B2FDD" w:rsidRPr="006B2FDD" w:rsidRDefault="00730A01" w:rsidP="0098012F">
            <w:pPr>
              <w:pStyle w:val="Paragraphe"/>
              <w:numPr>
                <w:ilvl w:val="0"/>
                <w:numId w:val="0"/>
              </w:numPr>
              <w:spacing w:before="240" w:line="240" w:lineRule="auto"/>
              <w:jc w:val="center"/>
              <w:rPr>
                <w:b/>
                <w:bCs/>
                <w:sz w:val="20"/>
                <w:szCs w:val="20"/>
              </w:rPr>
            </w:pPr>
            <w:r w:rsidRPr="006B2FDD">
              <w:rPr>
                <w:b/>
                <w:bCs/>
                <w:sz w:val="20"/>
                <w:szCs w:val="20"/>
              </w:rPr>
              <w:t>77,7 M$</w:t>
            </w:r>
          </w:p>
        </w:tc>
        <w:tc>
          <w:tcPr>
            <w:tcW w:w="2978" w:type="dxa"/>
          </w:tcPr>
          <w:p w14:paraId="07B21D5E" w14:textId="77777777" w:rsidR="006B2FDD" w:rsidRPr="006B2FDD" w:rsidRDefault="00730A01" w:rsidP="0098012F">
            <w:pPr>
              <w:pStyle w:val="Paragraphe"/>
              <w:numPr>
                <w:ilvl w:val="0"/>
                <w:numId w:val="0"/>
              </w:numPr>
              <w:spacing w:before="240" w:line="240" w:lineRule="auto"/>
              <w:jc w:val="center"/>
              <w:rPr>
                <w:b/>
                <w:bCs/>
                <w:sz w:val="20"/>
                <w:szCs w:val="20"/>
              </w:rPr>
            </w:pPr>
            <w:r w:rsidRPr="006B2FDD">
              <w:rPr>
                <w:b/>
                <w:bCs/>
                <w:sz w:val="20"/>
                <w:szCs w:val="20"/>
              </w:rPr>
              <w:t>33 M$</w:t>
            </w:r>
          </w:p>
        </w:tc>
      </w:tr>
      <w:tr w:rsidR="00FE3D17" w14:paraId="3484C21B" w14:textId="77777777" w:rsidTr="0005007F">
        <w:tc>
          <w:tcPr>
            <w:tcW w:w="2688" w:type="dxa"/>
            <w:vAlign w:val="center"/>
          </w:tcPr>
          <w:p w14:paraId="1BD7CBB6" w14:textId="77777777" w:rsidR="006B2FDD" w:rsidRPr="006B2FDD" w:rsidRDefault="00730A01" w:rsidP="009C5D0A">
            <w:pPr>
              <w:pStyle w:val="Paragraphe"/>
              <w:numPr>
                <w:ilvl w:val="0"/>
                <w:numId w:val="0"/>
              </w:numPr>
              <w:spacing w:before="240" w:line="240" w:lineRule="auto"/>
              <w:jc w:val="center"/>
              <w:rPr>
                <w:rStyle w:val="lev"/>
                <w:sz w:val="20"/>
                <w:szCs w:val="20"/>
              </w:rPr>
            </w:pPr>
            <w:r w:rsidRPr="006B2FDD">
              <w:rPr>
                <w:rStyle w:val="lev"/>
                <w:sz w:val="20"/>
                <w:szCs w:val="20"/>
              </w:rPr>
              <w:t>Équité de Giroux au 31</w:t>
            </w:r>
            <w:r w:rsidR="009C5D0A">
              <w:rPr>
                <w:rStyle w:val="lev"/>
                <w:sz w:val="20"/>
                <w:szCs w:val="20"/>
              </w:rPr>
              <w:t> </w:t>
            </w:r>
            <w:r w:rsidRPr="006B2FDD">
              <w:rPr>
                <w:rStyle w:val="lev"/>
                <w:sz w:val="20"/>
                <w:szCs w:val="20"/>
              </w:rPr>
              <w:t>décembre</w:t>
            </w:r>
            <w:r w:rsidR="009C5D0A">
              <w:rPr>
                <w:rStyle w:val="lev"/>
                <w:sz w:val="20"/>
                <w:szCs w:val="20"/>
              </w:rPr>
              <w:t> </w:t>
            </w:r>
            <w:r w:rsidRPr="006B2FDD">
              <w:rPr>
                <w:rStyle w:val="lev"/>
                <w:sz w:val="20"/>
                <w:szCs w:val="20"/>
              </w:rPr>
              <w:t>2016</w:t>
            </w:r>
            <w:r>
              <w:rPr>
                <w:rStyle w:val="Appelnotedebasdep"/>
                <w:sz w:val="20"/>
                <w:szCs w:val="20"/>
              </w:rPr>
              <w:footnoteReference w:id="245"/>
            </w:r>
          </w:p>
        </w:tc>
        <w:tc>
          <w:tcPr>
            <w:tcW w:w="2975" w:type="dxa"/>
          </w:tcPr>
          <w:p w14:paraId="40AECFF9" w14:textId="77777777" w:rsidR="006B2FDD" w:rsidRPr="006B2FDD" w:rsidRDefault="00730A01" w:rsidP="0098012F">
            <w:pPr>
              <w:pStyle w:val="Paragraphe"/>
              <w:numPr>
                <w:ilvl w:val="0"/>
                <w:numId w:val="0"/>
              </w:numPr>
              <w:spacing w:before="240" w:line="240" w:lineRule="auto"/>
              <w:jc w:val="center"/>
              <w:rPr>
                <w:b/>
                <w:bCs/>
                <w:sz w:val="20"/>
                <w:szCs w:val="20"/>
                <w:lang w:val="fr-CA"/>
              </w:rPr>
            </w:pPr>
            <w:r w:rsidRPr="006B2FDD">
              <w:rPr>
                <w:b/>
                <w:bCs/>
                <w:sz w:val="20"/>
                <w:szCs w:val="20"/>
              </w:rPr>
              <w:t>21,4 M$</w:t>
            </w:r>
          </w:p>
        </w:tc>
        <w:tc>
          <w:tcPr>
            <w:tcW w:w="2978" w:type="dxa"/>
          </w:tcPr>
          <w:p w14:paraId="0D6D488B" w14:textId="77777777" w:rsidR="006B2FDD" w:rsidRPr="006B2FDD" w:rsidRDefault="00730A01" w:rsidP="0098012F">
            <w:pPr>
              <w:pStyle w:val="Paragraphe"/>
              <w:numPr>
                <w:ilvl w:val="0"/>
                <w:numId w:val="0"/>
              </w:numPr>
              <w:spacing w:before="240" w:line="240" w:lineRule="auto"/>
              <w:jc w:val="center"/>
              <w:rPr>
                <w:b/>
                <w:bCs/>
                <w:sz w:val="20"/>
                <w:szCs w:val="20"/>
                <w:lang w:val="fr-CA"/>
              </w:rPr>
            </w:pPr>
            <w:r w:rsidRPr="006B2FDD">
              <w:rPr>
                <w:b/>
                <w:bCs/>
                <w:sz w:val="20"/>
                <w:szCs w:val="20"/>
              </w:rPr>
              <w:t>9,4 M$</w:t>
            </w:r>
          </w:p>
        </w:tc>
      </w:tr>
      <w:tr w:rsidR="00FE3D17" w14:paraId="7B20BF6D" w14:textId="77777777" w:rsidTr="0005007F">
        <w:tc>
          <w:tcPr>
            <w:tcW w:w="2688" w:type="dxa"/>
            <w:vAlign w:val="center"/>
          </w:tcPr>
          <w:p w14:paraId="641755D5" w14:textId="77777777" w:rsidR="006B2FDD" w:rsidRPr="006B2FDD" w:rsidRDefault="00730A01" w:rsidP="009C5D0A">
            <w:pPr>
              <w:pStyle w:val="Paragraphe"/>
              <w:numPr>
                <w:ilvl w:val="0"/>
                <w:numId w:val="0"/>
              </w:numPr>
              <w:spacing w:before="240" w:line="240" w:lineRule="auto"/>
              <w:jc w:val="center"/>
              <w:rPr>
                <w:rStyle w:val="lev"/>
                <w:sz w:val="20"/>
                <w:szCs w:val="20"/>
              </w:rPr>
            </w:pPr>
            <w:r w:rsidRPr="006B2FDD">
              <w:rPr>
                <w:rStyle w:val="lev"/>
                <w:sz w:val="20"/>
                <w:szCs w:val="20"/>
              </w:rPr>
              <w:t>Augmentation approximative de l’équité entre janvier</w:t>
            </w:r>
            <w:r w:rsidR="009C5D0A">
              <w:rPr>
                <w:rStyle w:val="lev"/>
                <w:sz w:val="20"/>
                <w:szCs w:val="20"/>
              </w:rPr>
              <w:t> </w:t>
            </w:r>
            <w:r w:rsidRPr="006B2FDD">
              <w:rPr>
                <w:rStyle w:val="lev"/>
                <w:sz w:val="20"/>
                <w:szCs w:val="20"/>
              </w:rPr>
              <w:t>2017 et septembre</w:t>
            </w:r>
            <w:r w:rsidR="009C5D0A">
              <w:rPr>
                <w:rStyle w:val="lev"/>
                <w:sz w:val="20"/>
                <w:szCs w:val="20"/>
              </w:rPr>
              <w:t> </w:t>
            </w:r>
            <w:r w:rsidRPr="006B2FDD">
              <w:rPr>
                <w:rStyle w:val="lev"/>
                <w:sz w:val="20"/>
                <w:szCs w:val="20"/>
              </w:rPr>
              <w:t>2023</w:t>
            </w:r>
          </w:p>
        </w:tc>
        <w:tc>
          <w:tcPr>
            <w:tcW w:w="2975" w:type="dxa"/>
          </w:tcPr>
          <w:p w14:paraId="6E44A5EA" w14:textId="77777777" w:rsidR="006B2FDD" w:rsidRPr="006B2FDD" w:rsidRDefault="00730A01" w:rsidP="0098012F">
            <w:pPr>
              <w:pStyle w:val="Paragraphe"/>
              <w:numPr>
                <w:ilvl w:val="0"/>
                <w:numId w:val="0"/>
              </w:numPr>
              <w:spacing w:before="240" w:line="240" w:lineRule="auto"/>
              <w:jc w:val="center"/>
              <w:rPr>
                <w:b/>
                <w:bCs/>
                <w:sz w:val="20"/>
                <w:szCs w:val="20"/>
                <w:lang w:val="fr-CA"/>
              </w:rPr>
            </w:pPr>
            <w:r w:rsidRPr="006B2FDD">
              <w:rPr>
                <w:b/>
                <w:bCs/>
                <w:sz w:val="20"/>
                <w:szCs w:val="20"/>
              </w:rPr>
              <w:t>56,3 M$</w:t>
            </w:r>
          </w:p>
        </w:tc>
        <w:tc>
          <w:tcPr>
            <w:tcW w:w="2978" w:type="dxa"/>
          </w:tcPr>
          <w:p w14:paraId="5A9E0488" w14:textId="77777777" w:rsidR="006B2FDD" w:rsidRPr="006B2FDD" w:rsidRDefault="00730A01" w:rsidP="0098012F">
            <w:pPr>
              <w:pStyle w:val="Paragraphe"/>
              <w:numPr>
                <w:ilvl w:val="0"/>
                <w:numId w:val="0"/>
              </w:numPr>
              <w:spacing w:before="240" w:line="240" w:lineRule="auto"/>
              <w:jc w:val="center"/>
              <w:rPr>
                <w:b/>
                <w:bCs/>
                <w:sz w:val="20"/>
                <w:szCs w:val="20"/>
                <w:lang w:val="fr-CA"/>
              </w:rPr>
            </w:pPr>
            <w:r w:rsidRPr="006B2FDD">
              <w:rPr>
                <w:b/>
                <w:bCs/>
                <w:sz w:val="20"/>
                <w:szCs w:val="20"/>
              </w:rPr>
              <w:t>23,6 M$</w:t>
            </w:r>
          </w:p>
        </w:tc>
      </w:tr>
    </w:tbl>
    <w:p w14:paraId="325CB9A0" w14:textId="77777777" w:rsidR="002F198F" w:rsidRDefault="00730A01" w:rsidP="0098012F">
      <w:pPr>
        <w:pStyle w:val="Paragraphe"/>
        <w:tabs>
          <w:tab w:val="clear" w:pos="786"/>
        </w:tabs>
        <w:spacing w:before="240" w:line="240" w:lineRule="auto"/>
        <w:ind w:left="0"/>
        <w:rPr>
          <w:rFonts w:hAnsi="Symbol"/>
        </w:rPr>
      </w:pPr>
      <w:r>
        <w:t xml:space="preserve">Ainsi, contrairement à ce que Giroux prétend, l’expertise de KPMG démontre qu’il </w:t>
      </w:r>
      <w:r w:rsidRPr="00B119A9">
        <w:rPr>
          <w:rStyle w:val="lev"/>
          <w:b w:val="0"/>
          <w:bCs w:val="0"/>
        </w:rPr>
        <w:t>ne s’est pas appauvri</w:t>
      </w:r>
      <w:r w:rsidRPr="00B119A9">
        <w:rPr>
          <w:b/>
          <w:bCs/>
        </w:rPr>
        <w:t>.</w:t>
      </w:r>
      <w:r>
        <w:t xml:space="preserve"> Ses « pertes de 46 M$ » ne sont qu’un artifice rhétorique</w:t>
      </w:r>
      <w:r w:rsidR="007937F6">
        <w:t> </w:t>
      </w:r>
      <w:r>
        <w:t>:</w:t>
      </w:r>
      <w:r w:rsidR="009C5D0A">
        <w:t xml:space="preserve"> </w:t>
      </w:r>
      <w:r>
        <w:t xml:space="preserve">son équité a en réalité </w:t>
      </w:r>
      <w:r w:rsidRPr="00B119A9">
        <w:rPr>
          <w:rStyle w:val="lev"/>
          <w:b w:val="0"/>
          <w:bCs w:val="0"/>
        </w:rPr>
        <w:t>augmenté de</w:t>
      </w:r>
      <w:r w:rsidR="009C5D0A">
        <w:rPr>
          <w:rStyle w:val="lev"/>
          <w:b w:val="0"/>
          <w:bCs w:val="0"/>
        </w:rPr>
        <w:t> </w:t>
      </w:r>
      <w:r w:rsidRPr="00B119A9">
        <w:rPr>
          <w:rStyle w:val="lev"/>
          <w:b w:val="0"/>
          <w:bCs w:val="0"/>
        </w:rPr>
        <w:t>56 M$</w:t>
      </w:r>
      <w:r>
        <w:t xml:space="preserve"> pendant la période</w:t>
      </w:r>
      <w:r w:rsidR="009C5D0A">
        <w:t> </w:t>
      </w:r>
      <w:r>
        <w:t>2017 à</w:t>
      </w:r>
      <w:r w:rsidR="009C5D0A">
        <w:t> </w:t>
      </w:r>
      <w:r>
        <w:t>2022, même en tenant compte des radiations liées au Groupe Huot.</w:t>
      </w:r>
      <w:r w:rsidRPr="00023F68">
        <w:rPr>
          <w:rFonts w:hAnsi="Symbol"/>
        </w:rPr>
        <w:t xml:space="preserve"> </w:t>
      </w:r>
    </w:p>
    <w:p w14:paraId="2A4A00E0" w14:textId="77777777" w:rsidR="00A22E3C" w:rsidRPr="00892E73" w:rsidRDefault="00730A01" w:rsidP="0098012F">
      <w:pPr>
        <w:pStyle w:val="Paragraphe"/>
        <w:tabs>
          <w:tab w:val="clear" w:pos="786"/>
        </w:tabs>
        <w:spacing w:before="240" w:line="240" w:lineRule="auto"/>
        <w:ind w:left="0"/>
        <w:rPr>
          <w:rFonts w:hAnsi="Symbol"/>
        </w:rPr>
      </w:pPr>
      <w:r w:rsidRPr="002F198F">
        <w:rPr>
          <w:rFonts w:hAnsi="Symbol"/>
        </w:rPr>
        <w:t>En outre, ce q</w:t>
      </w:r>
      <w:r w:rsidR="002F198F">
        <w:rPr>
          <w:rFonts w:hAnsi="Symbol"/>
        </w:rPr>
        <w:t>ue</w:t>
      </w:r>
      <w:r w:rsidRPr="002F198F">
        <w:rPr>
          <w:rFonts w:hAnsi="Symbol"/>
        </w:rPr>
        <w:t xml:space="preserve"> </w:t>
      </w:r>
      <w:r>
        <w:t>Giroux présente comme des «</w:t>
      </w:r>
      <w:r w:rsidR="002F198F">
        <w:t> </w:t>
      </w:r>
      <w:r>
        <w:t>investissements</w:t>
      </w:r>
      <w:r w:rsidR="002F198F">
        <w:t> </w:t>
      </w:r>
      <w:r>
        <w:t xml:space="preserve">» proviennent en fait des </w:t>
      </w:r>
      <w:r w:rsidRPr="00B119A9">
        <w:rPr>
          <w:rStyle w:val="lev"/>
          <w:b w:val="0"/>
          <w:bCs w:val="0"/>
        </w:rPr>
        <w:t>honoraires et frais perçus via ses sociétés</w:t>
      </w:r>
      <w:r>
        <w:t>, notamment au détriment des commanditaires, il ne s’agit donc pas d’apports de son patrimoine personnel, contrairement à ce qu’il laisse entendre</w:t>
      </w:r>
      <w:r w:rsidR="00B119A9">
        <w:t>.</w:t>
      </w:r>
    </w:p>
    <w:p w14:paraId="74104B5E" w14:textId="77777777" w:rsidR="00892E73" w:rsidRPr="00B119A9" w:rsidRDefault="00730A01" w:rsidP="00307881">
      <w:pPr>
        <w:pStyle w:val="Paragraphe"/>
        <w:tabs>
          <w:tab w:val="clear" w:pos="786"/>
        </w:tabs>
        <w:spacing w:before="240" w:after="0" w:line="240" w:lineRule="auto"/>
        <w:ind w:left="0"/>
        <w:rPr>
          <w:rFonts w:hAnsi="Symbol"/>
        </w:rPr>
      </w:pPr>
      <w:r>
        <w:t>V</w:t>
      </w:r>
      <w:r w:rsidR="002F6648">
        <w:t>u</w:t>
      </w:r>
      <w:r>
        <w:t xml:space="preserve"> tout ce qui précède,</w:t>
      </w:r>
      <w:r w:rsidR="00DE3BCB">
        <w:t xml:space="preserve"> l</w:t>
      </w:r>
      <w:r w:rsidRPr="00451EF9">
        <w:t>e Tribunal conclut donc que les fautes graves, intentionnelles et répétées des Défendeurs</w:t>
      </w:r>
      <w:r>
        <w:t xml:space="preserve"> </w:t>
      </w:r>
      <w:r w:rsidRPr="00451EF9">
        <w:t>justifient une condamnation intégrale de ces derniers sans qu’il ne soit approprié d’opérer un quelconque partage de responsabilités.</w:t>
      </w:r>
    </w:p>
    <w:p w14:paraId="3028459E" w14:textId="77777777" w:rsidR="00B119A9" w:rsidRPr="00B32E1D" w:rsidRDefault="00730A01" w:rsidP="00307881">
      <w:pPr>
        <w:pStyle w:val="Paragraphe"/>
        <w:numPr>
          <w:ilvl w:val="0"/>
          <w:numId w:val="0"/>
        </w:numPr>
        <w:tabs>
          <w:tab w:val="left" w:pos="3686"/>
        </w:tabs>
        <w:spacing w:line="240" w:lineRule="auto"/>
        <w:ind w:left="425"/>
      </w:pPr>
      <w:r>
        <w:tab/>
      </w:r>
      <w:r w:rsidRPr="00B32E1D">
        <w:t>* * *</w:t>
      </w:r>
    </w:p>
    <w:p w14:paraId="14038A9B" w14:textId="77777777" w:rsidR="00B119A9" w:rsidRDefault="00730A01" w:rsidP="0098012F">
      <w:pPr>
        <w:rPr>
          <w:kern w:val="28"/>
        </w:rPr>
      </w:pPr>
      <w:r>
        <w:br w:type="page"/>
      </w:r>
    </w:p>
    <w:p w14:paraId="66E9055E" w14:textId="77777777" w:rsidR="007A6C58" w:rsidRPr="00233907" w:rsidRDefault="00730A01" w:rsidP="00443B59">
      <w:pPr>
        <w:pStyle w:val="Titre2"/>
        <w:numPr>
          <w:ilvl w:val="0"/>
          <w:numId w:val="95"/>
        </w:numPr>
        <w:ind w:left="567" w:hanging="567"/>
        <w:rPr>
          <w:b w:val="0"/>
          <w:smallCaps/>
          <w:kern w:val="28"/>
        </w:rPr>
      </w:pPr>
      <w:r w:rsidRPr="00233907">
        <w:rPr>
          <w:smallCaps/>
          <w:szCs w:val="24"/>
        </w:rPr>
        <w:t>La non-applicabilité des clauses de limitation de responsabilité contenues aux Conventions des sociétés en commandite Q-12 et FIISH</w:t>
      </w:r>
      <w:r w:rsidRPr="00233907">
        <w:rPr>
          <w:b w:val="0"/>
          <w:smallCaps/>
          <w:kern w:val="28"/>
        </w:rPr>
        <w:t xml:space="preserve"> </w:t>
      </w:r>
    </w:p>
    <w:p w14:paraId="147FD5AC" w14:textId="77777777" w:rsidR="007A6C58" w:rsidRPr="00CA6079" w:rsidRDefault="00730A01" w:rsidP="0098012F">
      <w:pPr>
        <w:pStyle w:val="Paragraphe"/>
        <w:tabs>
          <w:tab w:val="clear" w:pos="786"/>
        </w:tabs>
        <w:spacing w:line="240" w:lineRule="auto"/>
        <w:ind w:left="0"/>
        <w:rPr>
          <w:rFonts w:cs="Arial"/>
          <w:szCs w:val="24"/>
          <w:lang w:eastAsia="fr-CA"/>
        </w:rPr>
      </w:pPr>
      <w:r w:rsidRPr="00796B0D">
        <w:t>On retrouve les clauses de limitation auxquel</w:t>
      </w:r>
      <w:r w:rsidR="001402CD">
        <w:t>le</w:t>
      </w:r>
      <w:r w:rsidRPr="00796B0D">
        <w:t xml:space="preserve">s les </w:t>
      </w:r>
      <w:r w:rsidR="00B119A9">
        <w:t>Défendeur</w:t>
      </w:r>
      <w:r w:rsidRPr="00796B0D">
        <w:t>s réfèrent respectivement aux articles</w:t>
      </w:r>
      <w:r w:rsidR="009C5D0A">
        <w:t> </w:t>
      </w:r>
      <w:r w:rsidRPr="00796B0D">
        <w:t>8.8 et</w:t>
      </w:r>
      <w:r w:rsidR="009C5D0A">
        <w:t> </w:t>
      </w:r>
      <w:r w:rsidRPr="00796B0D">
        <w:t>9.9 des Conventions des sociétés en commandite FIISH</w:t>
      </w:r>
      <w:r>
        <w:rPr>
          <w:rStyle w:val="Appelnotedebasdep"/>
        </w:rPr>
        <w:footnoteReference w:id="246"/>
      </w:r>
      <w:r w:rsidRPr="00796B0D">
        <w:t xml:space="preserve"> et Q-12</w:t>
      </w:r>
      <w:r>
        <w:rPr>
          <w:rStyle w:val="Appelnotedebasdep"/>
        </w:rPr>
        <w:footnoteReference w:id="247"/>
      </w:r>
      <w:r w:rsidR="00796B0D">
        <w:t xml:space="preserve">. </w:t>
      </w:r>
      <w:r w:rsidRPr="00796B0D">
        <w:t>Ces clauses ne sont cependant pas applicables en l’espèce</w:t>
      </w:r>
      <w:r w:rsidRPr="00CA6079">
        <w:rPr>
          <w:rFonts w:cs="Arial"/>
          <w:szCs w:val="24"/>
          <w:lang w:eastAsia="fr-CA"/>
        </w:rPr>
        <w:t xml:space="preserve"> pour les raisons suivantes :</w:t>
      </w:r>
    </w:p>
    <w:p w14:paraId="0734D7E4" w14:textId="77777777" w:rsidR="007A6C58" w:rsidRPr="00CA6079" w:rsidRDefault="00730A01" w:rsidP="0098012F">
      <w:pPr>
        <w:pStyle w:val="Paragraphe"/>
        <w:tabs>
          <w:tab w:val="clear" w:pos="786"/>
        </w:tabs>
        <w:spacing w:line="240" w:lineRule="auto"/>
        <w:ind w:left="0"/>
        <w:rPr>
          <w:rFonts w:cs="Arial"/>
          <w:b/>
          <w:bCs/>
          <w:szCs w:val="24"/>
          <w:lang w:eastAsia="fr-CA"/>
        </w:rPr>
      </w:pPr>
      <w:r w:rsidRPr="00CA6079">
        <w:rPr>
          <w:rFonts w:cs="Arial"/>
          <w:szCs w:val="24"/>
          <w:lang w:eastAsia="fr-CA"/>
        </w:rPr>
        <w:t xml:space="preserve">Les clauses de limitation de responsabilité prévues dans les conventions ne peuvent pas protéger un commandité ou une société de gestion ayant commis une faute lourde </w:t>
      </w:r>
      <w:r w:rsidRPr="00EE5970">
        <w:rPr>
          <w:rFonts w:cs="Arial"/>
          <w:szCs w:val="24"/>
          <w:lang w:eastAsia="fr-CA"/>
        </w:rPr>
        <w:t>ou i</w:t>
      </w:r>
      <w:r w:rsidRPr="00CA6079">
        <w:rPr>
          <w:rFonts w:cs="Arial"/>
          <w:szCs w:val="24"/>
          <w:lang w:eastAsia="fr-CA"/>
        </w:rPr>
        <w:t xml:space="preserve">ntentionnelle. Le </w:t>
      </w:r>
      <w:r w:rsidRPr="009C5D0A">
        <w:rPr>
          <w:rFonts w:cs="Arial"/>
          <w:i/>
          <w:iCs/>
          <w:szCs w:val="24"/>
          <w:lang w:eastAsia="fr-CA"/>
        </w:rPr>
        <w:t>Code civil du Québec</w:t>
      </w:r>
      <w:r w:rsidRPr="00CA6079">
        <w:rPr>
          <w:rFonts w:cs="Arial"/>
          <w:szCs w:val="24"/>
          <w:lang w:eastAsia="fr-CA"/>
        </w:rPr>
        <w:t xml:space="preserve"> est clair</w:t>
      </w:r>
      <w:r w:rsidR="009C5D0A">
        <w:rPr>
          <w:rFonts w:cs="Arial"/>
          <w:szCs w:val="24"/>
          <w:lang w:eastAsia="fr-CA"/>
        </w:rPr>
        <w:t> </w:t>
      </w:r>
      <w:r w:rsidRPr="00CA6079">
        <w:rPr>
          <w:rFonts w:cs="Arial"/>
          <w:szCs w:val="24"/>
          <w:lang w:eastAsia="fr-CA"/>
        </w:rPr>
        <w:t>: une telle faute ne peut être couverte par une clause d’exonération</w:t>
      </w:r>
      <w:r w:rsidR="00796B0D">
        <w:rPr>
          <w:rFonts w:cs="Arial"/>
          <w:lang w:eastAsia="fr-CA"/>
        </w:rPr>
        <w:t xml:space="preserve">, </w:t>
      </w:r>
      <w:r w:rsidRPr="00CA6079">
        <w:rPr>
          <w:rFonts w:cs="Arial"/>
          <w:szCs w:val="24"/>
          <w:lang w:eastAsia="fr-CA"/>
        </w:rPr>
        <w:t>«</w:t>
      </w:r>
      <w:r w:rsidR="00EE5970">
        <w:rPr>
          <w:rFonts w:cs="Arial"/>
          <w:szCs w:val="24"/>
          <w:lang w:eastAsia="fr-CA"/>
        </w:rPr>
        <w:t> </w:t>
      </w:r>
      <w:r w:rsidRPr="001E47A1">
        <w:rPr>
          <w:rFonts w:cs="Arial"/>
          <w:i/>
          <w:iCs/>
          <w:szCs w:val="24"/>
          <w:lang w:eastAsia="fr-CA"/>
        </w:rPr>
        <w:t>La clause de limitation de responsabilité est inapplicable en cas de faute lourde</w:t>
      </w:r>
      <w:r w:rsidR="00EE5970">
        <w:rPr>
          <w:rFonts w:cs="Arial"/>
          <w:i/>
          <w:iCs/>
          <w:szCs w:val="24"/>
          <w:lang w:eastAsia="fr-CA"/>
        </w:rPr>
        <w:t> </w:t>
      </w:r>
      <w:r w:rsidRPr="00CA6079">
        <w:rPr>
          <w:rFonts w:cs="Arial"/>
          <w:szCs w:val="24"/>
          <w:lang w:eastAsia="fr-CA"/>
        </w:rPr>
        <w:t>»</w:t>
      </w:r>
      <w:r>
        <w:rPr>
          <w:rStyle w:val="Appelnotedebasdep"/>
          <w:rFonts w:cs="Arial"/>
          <w:szCs w:val="24"/>
          <w:lang w:eastAsia="fr-CA"/>
        </w:rPr>
        <w:footnoteReference w:id="248"/>
      </w:r>
      <w:r w:rsidR="009C5D0A">
        <w:rPr>
          <w:rFonts w:cs="Arial"/>
          <w:szCs w:val="24"/>
          <w:lang w:eastAsia="fr-CA"/>
        </w:rPr>
        <w:t>.</w:t>
      </w:r>
    </w:p>
    <w:p w14:paraId="114B0658" w14:textId="77777777" w:rsidR="007A6C58" w:rsidRPr="00CA6079" w:rsidRDefault="00730A01" w:rsidP="0098012F">
      <w:pPr>
        <w:pStyle w:val="Paragraphe"/>
        <w:tabs>
          <w:tab w:val="clear" w:pos="786"/>
        </w:tabs>
        <w:spacing w:line="240" w:lineRule="auto"/>
        <w:ind w:left="0"/>
        <w:rPr>
          <w:rFonts w:cs="Arial"/>
          <w:b/>
          <w:bCs/>
          <w:szCs w:val="24"/>
          <w:lang w:eastAsia="fr-CA"/>
        </w:rPr>
      </w:pPr>
      <w:r>
        <w:rPr>
          <w:rFonts w:cs="Arial"/>
          <w:szCs w:val="24"/>
          <w:lang w:eastAsia="fr-CA"/>
        </w:rPr>
        <w:t>Ainsi, m</w:t>
      </w:r>
      <w:r w:rsidRPr="00CA6079">
        <w:rPr>
          <w:rFonts w:cs="Arial"/>
          <w:szCs w:val="24"/>
          <w:lang w:eastAsia="fr-CA"/>
        </w:rPr>
        <w:t>ême si une clause pouvait théoriquement limiter la responsabilité dans un cadre contractuel, elle ne s’applique pas aux fautes extracontractuelles</w:t>
      </w:r>
      <w:r w:rsidR="00B119A9">
        <w:rPr>
          <w:rFonts w:cs="Arial"/>
          <w:szCs w:val="24"/>
          <w:lang w:eastAsia="fr-CA"/>
        </w:rPr>
        <w:t xml:space="preserve">. Ainsi, </w:t>
      </w:r>
      <w:r w:rsidR="00B119A9" w:rsidRPr="00443B12">
        <w:rPr>
          <w:rFonts w:cs="Arial"/>
          <w:szCs w:val="24"/>
          <w:lang w:eastAsia="fr-CA"/>
        </w:rPr>
        <w:t>l</w:t>
      </w:r>
      <w:r w:rsidRPr="00443B12">
        <w:rPr>
          <w:rFonts w:cs="Arial"/>
          <w:szCs w:val="24"/>
          <w:lang w:eastAsia="fr-CA"/>
        </w:rPr>
        <w:t xml:space="preserve">a clause de limitation est inapplicable à l’égard des fautes extracontractuelles </w:t>
      </w:r>
      <w:r w:rsidR="00443B12" w:rsidRPr="00443B12">
        <w:rPr>
          <w:rFonts w:cs="Arial"/>
          <w:szCs w:val="24"/>
          <w:lang w:eastAsia="fr-CA"/>
        </w:rPr>
        <w:t>commises par</w:t>
      </w:r>
      <w:r w:rsidRPr="00443B12">
        <w:rPr>
          <w:rFonts w:cs="Arial"/>
          <w:szCs w:val="24"/>
          <w:lang w:eastAsia="fr-CA"/>
        </w:rPr>
        <w:t xml:space="preserve"> Giroux et des fautes de</w:t>
      </w:r>
      <w:r w:rsidR="00443B12">
        <w:rPr>
          <w:rFonts w:cs="Arial"/>
          <w:szCs w:val="24"/>
          <w:lang w:eastAsia="fr-CA"/>
        </w:rPr>
        <w:t xml:space="preserve"> se</w:t>
      </w:r>
      <w:r w:rsidRPr="00443B12">
        <w:rPr>
          <w:rFonts w:cs="Arial"/>
          <w:szCs w:val="24"/>
          <w:lang w:eastAsia="fr-CA"/>
        </w:rPr>
        <w:t>s sociétés de gestion</w:t>
      </w:r>
      <w:r>
        <w:rPr>
          <w:rStyle w:val="Appelnotedebasdep"/>
          <w:rFonts w:cs="Arial"/>
          <w:szCs w:val="24"/>
          <w:lang w:eastAsia="fr-CA"/>
        </w:rPr>
        <w:footnoteReference w:id="249"/>
      </w:r>
      <w:r w:rsidR="009C5D0A">
        <w:rPr>
          <w:rFonts w:cs="Arial"/>
          <w:szCs w:val="24"/>
          <w:lang w:eastAsia="fr-CA"/>
        </w:rPr>
        <w:t>.</w:t>
      </w:r>
    </w:p>
    <w:p w14:paraId="063F2082" w14:textId="77777777" w:rsidR="007A6C58" w:rsidRPr="00CA6079" w:rsidRDefault="00730A01" w:rsidP="0098012F">
      <w:pPr>
        <w:pStyle w:val="Paragraphe"/>
        <w:tabs>
          <w:tab w:val="clear" w:pos="786"/>
        </w:tabs>
        <w:spacing w:before="240" w:line="240" w:lineRule="auto"/>
        <w:ind w:left="0"/>
        <w:rPr>
          <w:lang w:eastAsia="fr-CA"/>
        </w:rPr>
      </w:pPr>
      <w:r w:rsidRPr="00CA6079">
        <w:rPr>
          <w:lang w:eastAsia="fr-CA"/>
        </w:rPr>
        <w:t>Le Tribunal rappelle que Giroux a commis de nombreuses fautes en dehors même des</w:t>
      </w:r>
      <w:r w:rsidRPr="00796B0D">
        <w:rPr>
          <w:b/>
          <w:bCs/>
          <w:lang w:eastAsia="fr-CA"/>
        </w:rPr>
        <w:t xml:space="preserve"> </w:t>
      </w:r>
      <w:r w:rsidRPr="00CA6079">
        <w:rPr>
          <w:lang w:eastAsia="fr-CA"/>
        </w:rPr>
        <w:t>obligations contractuelles, comme ses fausses représentations répétées auprès des commanditaires entre</w:t>
      </w:r>
      <w:r w:rsidR="009C5D0A">
        <w:rPr>
          <w:lang w:eastAsia="fr-CA"/>
        </w:rPr>
        <w:t> </w:t>
      </w:r>
      <w:r w:rsidRPr="00CA6079">
        <w:rPr>
          <w:lang w:eastAsia="fr-CA"/>
        </w:rPr>
        <w:t>2017 et</w:t>
      </w:r>
      <w:r w:rsidR="009C5D0A">
        <w:rPr>
          <w:lang w:eastAsia="fr-CA"/>
        </w:rPr>
        <w:t> </w:t>
      </w:r>
      <w:r w:rsidRPr="00CA6079">
        <w:rPr>
          <w:lang w:eastAsia="fr-CA"/>
        </w:rPr>
        <w:t>2023</w:t>
      </w:r>
      <w:r w:rsidR="00796B0D">
        <w:rPr>
          <w:lang w:eastAsia="fr-CA"/>
        </w:rPr>
        <w:t>.</w:t>
      </w:r>
      <w:r w:rsidRPr="00CA6079">
        <w:rPr>
          <w:lang w:eastAsia="fr-CA"/>
        </w:rPr>
        <w:t xml:space="preserve"> </w:t>
      </w:r>
    </w:p>
    <w:p w14:paraId="3ECEDA18" w14:textId="77777777" w:rsidR="007A6C58" w:rsidRPr="00CA6079" w:rsidRDefault="00730A01" w:rsidP="0098012F">
      <w:pPr>
        <w:pStyle w:val="Paragraphe"/>
        <w:tabs>
          <w:tab w:val="clear" w:pos="786"/>
        </w:tabs>
        <w:spacing w:line="240" w:lineRule="auto"/>
        <w:ind w:left="0"/>
        <w:rPr>
          <w:lang w:eastAsia="fr-CA"/>
        </w:rPr>
      </w:pPr>
      <w:r w:rsidRPr="00CA6079">
        <w:rPr>
          <w:lang w:eastAsia="fr-CA"/>
        </w:rPr>
        <w:t>Même si les fautes commises relevaient strictement d’un contrat (ce qui n’est pas le cas), les</w:t>
      </w:r>
      <w:r w:rsidRPr="00CA6079">
        <w:rPr>
          <w:b/>
          <w:bCs/>
          <w:lang w:eastAsia="fr-CA"/>
        </w:rPr>
        <w:t xml:space="preserve"> </w:t>
      </w:r>
      <w:r w:rsidRPr="00CA6079">
        <w:rPr>
          <w:lang w:eastAsia="fr-CA"/>
        </w:rPr>
        <w:t>clauses de limitation sont nulles lorsqu’un administrateur du bien d’autrui refuse délibérément d’exécuter ses engagements essentiels</w:t>
      </w:r>
      <w:r w:rsidR="00C81F53">
        <w:rPr>
          <w:lang w:eastAsia="fr-CA"/>
        </w:rPr>
        <w:t>.</w:t>
      </w:r>
      <w:r w:rsidR="00796B0D">
        <w:rPr>
          <w:lang w:eastAsia="fr-CA"/>
        </w:rPr>
        <w:t xml:space="preserve"> </w:t>
      </w:r>
      <w:r w:rsidRPr="00115996">
        <w:rPr>
          <w:lang w:eastAsia="fr-CA"/>
        </w:rPr>
        <w:t>Une clause de limitation de responsabilité ne saurait s’appliquer en présence d’un refus du commandité/administrateur du bien d’autrui d’exécuter ses obligations et engagements essentiels qualifiés d’obligations d’ordre public</w:t>
      </w:r>
      <w:r>
        <w:rPr>
          <w:rStyle w:val="Appelnotedebasdep"/>
          <w:lang w:eastAsia="fr-CA"/>
        </w:rPr>
        <w:footnoteReference w:id="250"/>
      </w:r>
      <w:r w:rsidR="009C5D0A">
        <w:rPr>
          <w:lang w:eastAsia="fr-CA"/>
        </w:rPr>
        <w:t>.</w:t>
      </w:r>
    </w:p>
    <w:p w14:paraId="20918D68" w14:textId="77777777" w:rsidR="007A6C58" w:rsidRPr="00CA6079" w:rsidRDefault="00730A01" w:rsidP="0098012F">
      <w:pPr>
        <w:pStyle w:val="Paragraphe"/>
        <w:tabs>
          <w:tab w:val="clear" w:pos="786"/>
        </w:tabs>
        <w:spacing w:line="240" w:lineRule="auto"/>
        <w:ind w:left="0"/>
        <w:rPr>
          <w:lang w:eastAsia="fr-CA"/>
        </w:rPr>
      </w:pPr>
      <w:r w:rsidRPr="00CA6079">
        <w:rPr>
          <w:lang w:eastAsia="fr-CA"/>
        </w:rPr>
        <w:t xml:space="preserve">C’est précisément ce que le Tribunal reproche aux Défendeurs </w:t>
      </w:r>
      <w:r w:rsidR="00C81F53">
        <w:rPr>
          <w:lang w:eastAsia="fr-CA"/>
        </w:rPr>
        <w:t>d’</w:t>
      </w:r>
      <w:r w:rsidRPr="00CA6079">
        <w:rPr>
          <w:lang w:eastAsia="fr-CA"/>
        </w:rPr>
        <w:t>avoir sciemment violé les obligations fondamentales prévues aux conventions et stratégies de prê</w:t>
      </w:r>
      <w:r w:rsidRPr="007B2F1A">
        <w:rPr>
          <w:lang w:eastAsia="fr-CA"/>
        </w:rPr>
        <w:t>t</w:t>
      </w:r>
      <w:r w:rsidRPr="00CA6079">
        <w:rPr>
          <w:lang w:eastAsia="fr-CA"/>
        </w:rPr>
        <w:t>, notamment en prêtant sans aucune vérification, en dissimulant la situation financière réelle des emprunteurs, et en agissant dans leur intérêt personnel.</w:t>
      </w:r>
    </w:p>
    <w:p w14:paraId="0AEA9B96" w14:textId="77777777" w:rsidR="007A6C58" w:rsidRPr="00CA6079" w:rsidRDefault="00730A01" w:rsidP="0098012F">
      <w:pPr>
        <w:pStyle w:val="Paragraphe"/>
        <w:tabs>
          <w:tab w:val="clear" w:pos="786"/>
        </w:tabs>
        <w:spacing w:line="240" w:lineRule="auto"/>
        <w:ind w:left="0"/>
        <w:rPr>
          <w:lang w:eastAsia="fr-CA"/>
        </w:rPr>
      </w:pPr>
      <w:r w:rsidRPr="00CA6079">
        <w:rPr>
          <w:lang w:eastAsia="fr-CA"/>
        </w:rPr>
        <w:t xml:space="preserve">La clause de limitation de responsabilité suppose que les parties ont respecté les termes de la convention. Or ici, la preuve démontre que les conventions ont été violées de manière systématique. Ainsi, même sur le plan contractuel, la clause ne peut bénéficier à la partie fautive qui n’a pas </w:t>
      </w:r>
      <w:r w:rsidR="00115996">
        <w:rPr>
          <w:lang w:eastAsia="fr-CA"/>
        </w:rPr>
        <w:t xml:space="preserve">délibérément </w:t>
      </w:r>
      <w:r w:rsidRPr="00CA6079">
        <w:rPr>
          <w:lang w:eastAsia="fr-CA"/>
        </w:rPr>
        <w:t>respecté le contrat.</w:t>
      </w:r>
    </w:p>
    <w:p w14:paraId="655F83EF" w14:textId="77777777" w:rsidR="007A6C58" w:rsidRDefault="00730A01" w:rsidP="001E1A02">
      <w:pPr>
        <w:pStyle w:val="Paragraphe"/>
        <w:tabs>
          <w:tab w:val="clear" w:pos="786"/>
        </w:tabs>
        <w:spacing w:after="0" w:line="240" w:lineRule="auto"/>
        <w:ind w:left="0"/>
        <w:rPr>
          <w:lang w:eastAsia="fr-CA"/>
        </w:rPr>
      </w:pPr>
      <w:r w:rsidRPr="00CA6079">
        <w:rPr>
          <w:lang w:eastAsia="fr-CA"/>
        </w:rPr>
        <w:t>En conclusion, même si les conventions de Q-12 et FIISH contiennent des clauses visant à limiter la responsabilité du commandité, ces clauses ne sont pas applicables parce que les fautes commises sont graves, intentionnelles, et parfois même frauduleuses, ce qui les place hors de portée de toute limitation.</w:t>
      </w:r>
    </w:p>
    <w:p w14:paraId="1C555BBE" w14:textId="77777777" w:rsidR="00443B12" w:rsidRPr="00B32E1D" w:rsidRDefault="00730A01" w:rsidP="001E1A02">
      <w:pPr>
        <w:pStyle w:val="Paragraphe"/>
        <w:numPr>
          <w:ilvl w:val="0"/>
          <w:numId w:val="0"/>
        </w:numPr>
        <w:tabs>
          <w:tab w:val="left" w:pos="3686"/>
        </w:tabs>
        <w:spacing w:line="240" w:lineRule="auto"/>
        <w:ind w:left="1440"/>
        <w:rPr>
          <w:lang w:eastAsia="fr-CA"/>
        </w:rPr>
      </w:pPr>
      <w:r>
        <w:rPr>
          <w:lang w:eastAsia="fr-CA"/>
        </w:rPr>
        <w:tab/>
      </w:r>
      <w:r w:rsidRPr="00B32E1D">
        <w:rPr>
          <w:lang w:eastAsia="fr-CA"/>
        </w:rPr>
        <w:t>* * *</w:t>
      </w:r>
    </w:p>
    <w:p w14:paraId="11AD3B6D" w14:textId="77777777" w:rsidR="00443B12" w:rsidRDefault="00730A01" w:rsidP="0098012F">
      <w:pPr>
        <w:rPr>
          <w:kern w:val="28"/>
          <w:lang w:eastAsia="fr-CA"/>
        </w:rPr>
      </w:pPr>
      <w:r>
        <w:rPr>
          <w:lang w:eastAsia="fr-CA"/>
        </w:rPr>
        <w:br w:type="page"/>
      </w:r>
    </w:p>
    <w:p w14:paraId="3DCD8F4D" w14:textId="77777777" w:rsidR="007A6C58" w:rsidRPr="00233907" w:rsidRDefault="00730A01" w:rsidP="00443B59">
      <w:pPr>
        <w:pStyle w:val="Titre2"/>
        <w:numPr>
          <w:ilvl w:val="0"/>
          <w:numId w:val="95"/>
        </w:numPr>
        <w:ind w:left="567" w:hanging="567"/>
        <w:rPr>
          <w:smallCaps/>
          <w:szCs w:val="24"/>
          <w:u w:val="single"/>
        </w:rPr>
      </w:pPr>
      <w:r w:rsidRPr="00233907">
        <w:rPr>
          <w:smallCaps/>
          <w:szCs w:val="24"/>
        </w:rPr>
        <w:t>La levée du voile corporatif</w:t>
      </w:r>
    </w:p>
    <w:p w14:paraId="11FF5A7C" w14:textId="77777777" w:rsidR="007A6C58" w:rsidRPr="00CA6079" w:rsidRDefault="00730A01" w:rsidP="0098012F">
      <w:pPr>
        <w:pStyle w:val="Paragraphe"/>
        <w:tabs>
          <w:tab w:val="clear" w:pos="786"/>
        </w:tabs>
        <w:spacing w:line="240" w:lineRule="auto"/>
        <w:ind w:left="0"/>
        <w:rPr>
          <w:rFonts w:eastAsia="MS Mincho"/>
          <w:lang w:eastAsia="en-US"/>
        </w:rPr>
      </w:pPr>
      <w:r w:rsidRPr="00CA6079">
        <w:rPr>
          <w:rFonts w:eastAsia="MS Mincho"/>
          <w:lang w:eastAsia="en-US"/>
        </w:rPr>
        <w:t xml:space="preserve">La levée du voile corporatif </w:t>
      </w:r>
      <w:r w:rsidRPr="00CA6079">
        <w:rPr>
          <w:rFonts w:eastAsia="MS Mincho"/>
          <w:color w:val="000000"/>
          <w:lang w:eastAsia="en-US"/>
        </w:rPr>
        <w:t>s’impose en l’espèce, car l’ensemble du système mis en place par Giroux ne repose pas sur des rapports d’affaires indépendants, mais sur une gestion clanique, opaque et fautive, au détriment des commanditaires floués</w:t>
      </w:r>
      <w:r w:rsidRPr="00CA6079">
        <w:rPr>
          <w:rFonts w:eastAsia="MS Mincho"/>
          <w:lang w:eastAsia="en-US"/>
        </w:rPr>
        <w:t>.</w:t>
      </w:r>
    </w:p>
    <w:p w14:paraId="0C3F14E7" w14:textId="77777777" w:rsidR="006E593A" w:rsidRDefault="00730A01" w:rsidP="0098012F">
      <w:pPr>
        <w:pStyle w:val="Paragraphe"/>
        <w:tabs>
          <w:tab w:val="clear" w:pos="786"/>
        </w:tabs>
        <w:spacing w:line="240" w:lineRule="auto"/>
        <w:ind w:left="0"/>
      </w:pPr>
      <w:r w:rsidRPr="00CA6079">
        <w:rPr>
          <w:color w:val="000000"/>
        </w:rPr>
        <w:t>Toutes les entités étaient dirigées par Giroux, partageaient le même siège social, les mêmes dirigeants et comptes bancaires. Elles n’avaient pas d’autonomie réelle et ont été utilisées pour masquer sa responsabilité personnelle</w:t>
      </w:r>
      <w:r>
        <w:rPr>
          <w:rStyle w:val="Appelnotedebasdep"/>
          <w:color w:val="000000"/>
        </w:rPr>
        <w:footnoteReference w:id="251"/>
      </w:r>
      <w:r w:rsidR="009C5D0A">
        <w:rPr>
          <w:color w:val="000000"/>
        </w:rPr>
        <w:t>.</w:t>
      </w:r>
    </w:p>
    <w:p w14:paraId="6B118AD4" w14:textId="77777777" w:rsidR="00696DA0" w:rsidRDefault="00730A01" w:rsidP="0098012F">
      <w:pPr>
        <w:pStyle w:val="Paragraphe"/>
        <w:tabs>
          <w:tab w:val="clear" w:pos="786"/>
        </w:tabs>
        <w:spacing w:before="0" w:line="240" w:lineRule="auto"/>
        <w:ind w:left="0"/>
      </w:pPr>
      <w:r w:rsidRPr="00CA6079">
        <w:rPr>
          <w:lang w:eastAsia="fr-CA"/>
        </w:rPr>
        <w:t xml:space="preserve">Le </w:t>
      </w:r>
      <w:r w:rsidR="00631BAA">
        <w:rPr>
          <w:lang w:eastAsia="fr-CA"/>
        </w:rPr>
        <w:t>T</w:t>
      </w:r>
      <w:r w:rsidRPr="00CA6079">
        <w:rPr>
          <w:lang w:eastAsia="fr-CA"/>
        </w:rPr>
        <w:t>ribunal procèdera à la levée du voile corporatif entre les différentes sociétés contrôlées par Giroux et ce dernier lui-même. Cette décision est fondée à la fois sur le cadre juridique applicable et sur les faits spécifiques démontrés par la preuve.</w:t>
      </w:r>
    </w:p>
    <w:p w14:paraId="1B07C79A" w14:textId="77777777" w:rsidR="007A6C58" w:rsidRPr="005F709E" w:rsidRDefault="00730A01" w:rsidP="00443B59">
      <w:pPr>
        <w:pStyle w:val="Titre6"/>
        <w:numPr>
          <w:ilvl w:val="0"/>
          <w:numId w:val="97"/>
        </w:numPr>
        <w:ind w:left="284" w:hanging="284"/>
        <w:rPr>
          <w:b/>
          <w:bCs/>
          <w:i w:val="0"/>
          <w:iCs/>
          <w:sz w:val="24"/>
          <w:szCs w:val="24"/>
          <w:lang w:eastAsia="fr-CA"/>
        </w:rPr>
      </w:pPr>
      <w:r w:rsidRPr="005F709E">
        <w:rPr>
          <w:b/>
          <w:bCs/>
          <w:i w:val="0"/>
          <w:iCs/>
          <w:sz w:val="24"/>
          <w:szCs w:val="24"/>
          <w:lang w:eastAsia="fr-CA"/>
        </w:rPr>
        <w:t xml:space="preserve">Cadre juridique applicable </w:t>
      </w:r>
    </w:p>
    <w:p w14:paraId="148117AB" w14:textId="77777777" w:rsidR="007A6C58" w:rsidRPr="00CA6079" w:rsidRDefault="00730A01" w:rsidP="0098012F">
      <w:pPr>
        <w:pStyle w:val="Paragraphe"/>
        <w:tabs>
          <w:tab w:val="clear" w:pos="786"/>
        </w:tabs>
        <w:spacing w:line="240" w:lineRule="auto"/>
        <w:ind w:left="0"/>
        <w:rPr>
          <w:lang w:eastAsia="fr-CA"/>
        </w:rPr>
      </w:pPr>
      <w:r w:rsidRPr="00CA6079">
        <w:rPr>
          <w:lang w:eastAsia="fr-CA"/>
        </w:rPr>
        <w:t>Le principe de base du droit corporatif québécois est celui de la personnalité juridique distincte de la société. Toutefois, en vertu de l’article</w:t>
      </w:r>
      <w:r w:rsidR="009C5D0A">
        <w:rPr>
          <w:lang w:eastAsia="fr-CA"/>
        </w:rPr>
        <w:t> </w:t>
      </w:r>
      <w:r w:rsidRPr="00CA6079">
        <w:rPr>
          <w:lang w:eastAsia="fr-CA"/>
        </w:rPr>
        <w:t>317</w:t>
      </w:r>
      <w:r w:rsidR="009C5D0A">
        <w:rPr>
          <w:lang w:eastAsia="fr-CA"/>
        </w:rPr>
        <w:t> </w:t>
      </w:r>
      <w:r w:rsidRPr="00CA6079">
        <w:rPr>
          <w:lang w:eastAsia="fr-CA"/>
        </w:rPr>
        <w:t>C.c.Q., ce principe peut être écarté, notamment</w:t>
      </w:r>
      <w:r w:rsidR="009C5D0A">
        <w:rPr>
          <w:lang w:eastAsia="fr-CA"/>
        </w:rPr>
        <w:t> </w:t>
      </w:r>
      <w:r w:rsidRPr="00CA6079">
        <w:rPr>
          <w:lang w:eastAsia="fr-CA"/>
        </w:rPr>
        <w:t>:</w:t>
      </w:r>
    </w:p>
    <w:p w14:paraId="3775C1DB" w14:textId="77777777" w:rsidR="007A6C58" w:rsidRPr="00CA6079" w:rsidRDefault="00730A01" w:rsidP="0042740E">
      <w:pPr>
        <w:pStyle w:val="Paragraphe"/>
        <w:numPr>
          <w:ilvl w:val="0"/>
          <w:numId w:val="18"/>
        </w:numPr>
        <w:spacing w:before="0" w:line="240" w:lineRule="auto"/>
        <w:ind w:left="1134" w:right="539" w:hanging="283"/>
        <w:rPr>
          <w:lang w:eastAsia="fr-CA"/>
        </w:rPr>
      </w:pPr>
      <w:r w:rsidRPr="00CA6079">
        <w:rPr>
          <w:lang w:eastAsia="fr-CA"/>
        </w:rPr>
        <w:t>En cas d’abus de droit.</w:t>
      </w:r>
    </w:p>
    <w:p w14:paraId="3B9AB405" w14:textId="77777777" w:rsidR="007A6C58" w:rsidRPr="00CA6079" w:rsidRDefault="00730A01" w:rsidP="0042740E">
      <w:pPr>
        <w:pStyle w:val="Paragraphe"/>
        <w:numPr>
          <w:ilvl w:val="0"/>
          <w:numId w:val="18"/>
        </w:numPr>
        <w:spacing w:before="0" w:after="0" w:line="240" w:lineRule="auto"/>
        <w:ind w:left="1134" w:right="539" w:hanging="283"/>
        <w:rPr>
          <w:lang w:eastAsia="fr-CA"/>
        </w:rPr>
      </w:pPr>
      <w:r w:rsidRPr="00CA6079">
        <w:rPr>
          <w:lang w:eastAsia="fr-CA"/>
        </w:rPr>
        <w:t>Lorsqu’une société est utilisée comme simple instrument ou écran pour masquer des actes frauduleux ou abusifs.</w:t>
      </w:r>
    </w:p>
    <w:p w14:paraId="38F8E5E7" w14:textId="77777777" w:rsidR="007A6C58" w:rsidRPr="00BA0714" w:rsidRDefault="00730A01" w:rsidP="0098012F">
      <w:pPr>
        <w:pStyle w:val="Paragraphe"/>
        <w:tabs>
          <w:tab w:val="clear" w:pos="786"/>
        </w:tabs>
        <w:spacing w:before="240" w:line="240" w:lineRule="auto"/>
        <w:ind w:left="0"/>
        <w:rPr>
          <w:lang w:eastAsia="fr-CA"/>
        </w:rPr>
      </w:pPr>
      <w:r w:rsidRPr="00CA6079">
        <w:rPr>
          <w:lang w:eastAsia="fr-CA"/>
        </w:rPr>
        <w:t>La jurisprudence reconnaît que le voile corporatif peut être levé dans les cas où une société est instrumentalisée par son dirigeant ou administrateur pour échapper à ses responsabilités ou commettre une fraude</w:t>
      </w:r>
      <w:r>
        <w:rPr>
          <w:rStyle w:val="Appelnotedebasdep"/>
          <w:lang w:eastAsia="fr-CA"/>
        </w:rPr>
        <w:footnoteReference w:id="252"/>
      </w:r>
      <w:r w:rsidR="009C5D0A">
        <w:rPr>
          <w:lang w:eastAsia="fr-CA"/>
        </w:rPr>
        <w:t>.</w:t>
      </w:r>
    </w:p>
    <w:p w14:paraId="3F98B0B3" w14:textId="77777777" w:rsidR="007A6C58" w:rsidRPr="005F709E" w:rsidRDefault="00730A01" w:rsidP="00443B59">
      <w:pPr>
        <w:pStyle w:val="Titre6"/>
        <w:numPr>
          <w:ilvl w:val="0"/>
          <w:numId w:val="97"/>
        </w:numPr>
        <w:ind w:left="284" w:hanging="284"/>
        <w:jc w:val="both"/>
        <w:rPr>
          <w:b/>
          <w:bCs/>
          <w:i w:val="0"/>
          <w:iCs/>
          <w:sz w:val="24"/>
          <w:szCs w:val="24"/>
          <w:lang w:eastAsia="fr-CA"/>
        </w:rPr>
      </w:pPr>
      <w:r w:rsidRPr="005F709E">
        <w:rPr>
          <w:b/>
          <w:bCs/>
          <w:i w:val="0"/>
          <w:iCs/>
          <w:sz w:val="24"/>
          <w:szCs w:val="24"/>
          <w:lang w:eastAsia="fr-CA"/>
        </w:rPr>
        <w:t>Faits applicables justifiant la levée du voile corporatif</w:t>
      </w:r>
    </w:p>
    <w:p w14:paraId="5FBF9E70" w14:textId="77777777" w:rsidR="007A6C58" w:rsidRPr="00BA0714" w:rsidRDefault="00730A01" w:rsidP="0098012F">
      <w:pPr>
        <w:pStyle w:val="Paragraphe"/>
        <w:tabs>
          <w:tab w:val="clear" w:pos="786"/>
        </w:tabs>
        <w:spacing w:line="240" w:lineRule="auto"/>
        <w:ind w:left="0"/>
        <w:rPr>
          <w:lang w:eastAsia="fr-CA"/>
        </w:rPr>
      </w:pPr>
      <w:r w:rsidRPr="00BA0714">
        <w:rPr>
          <w:lang w:eastAsia="fr-CA"/>
        </w:rPr>
        <w:t xml:space="preserve">Aux fins de sa décision, le Tribunal retient particulièrement les faits suivants : </w:t>
      </w:r>
    </w:p>
    <w:p w14:paraId="552E1F9A" w14:textId="77777777" w:rsidR="007A6C58" w:rsidRDefault="00730A01" w:rsidP="0042740E">
      <w:pPr>
        <w:pStyle w:val="Paragraphe"/>
        <w:numPr>
          <w:ilvl w:val="0"/>
          <w:numId w:val="14"/>
        </w:numPr>
        <w:tabs>
          <w:tab w:val="clear" w:pos="786"/>
        </w:tabs>
        <w:spacing w:after="0" w:line="240" w:lineRule="auto"/>
        <w:ind w:left="1134" w:right="539" w:hanging="425"/>
        <w:rPr>
          <w:sz w:val="22"/>
          <w:szCs w:val="22"/>
          <w:lang w:eastAsia="fr-CA"/>
        </w:rPr>
      </w:pPr>
      <w:r w:rsidRPr="00BA0714">
        <w:rPr>
          <w:b/>
          <w:bCs/>
          <w:lang w:eastAsia="fr-CA"/>
        </w:rPr>
        <w:t xml:space="preserve">Contrôle </w:t>
      </w:r>
      <w:r w:rsidRPr="00A82953">
        <w:rPr>
          <w:b/>
          <w:bCs/>
          <w:sz w:val="22"/>
          <w:szCs w:val="22"/>
          <w:lang w:eastAsia="fr-CA"/>
        </w:rPr>
        <w:t>unifié par Giroux</w:t>
      </w:r>
      <w:r w:rsidR="00565D19" w:rsidRPr="00A82953">
        <w:rPr>
          <w:sz w:val="22"/>
          <w:szCs w:val="22"/>
          <w:lang w:eastAsia="fr-CA"/>
        </w:rPr>
        <w:t> </w:t>
      </w:r>
      <w:r w:rsidRPr="00A82953">
        <w:rPr>
          <w:sz w:val="22"/>
          <w:szCs w:val="22"/>
          <w:lang w:eastAsia="fr-CA"/>
        </w:rPr>
        <w:t>: Les sociétés</w:t>
      </w:r>
      <w:r w:rsidR="009C5D0A">
        <w:rPr>
          <w:sz w:val="22"/>
          <w:szCs w:val="22"/>
          <w:lang w:eastAsia="fr-CA"/>
        </w:rPr>
        <w:t> </w:t>
      </w:r>
      <w:r w:rsidRPr="00A82953">
        <w:rPr>
          <w:sz w:val="22"/>
          <w:szCs w:val="22"/>
          <w:lang w:eastAsia="fr-CA"/>
        </w:rPr>
        <w:t>9797, 1395, X2, 8096 et 6646 étaient toutes contrôlées en fait et en droit par Giroux, qui en était l’unique administrateur et l’«</w:t>
      </w:r>
      <w:r w:rsidR="00767348" w:rsidRPr="00A82953">
        <w:rPr>
          <w:sz w:val="22"/>
          <w:szCs w:val="22"/>
          <w:lang w:eastAsia="fr-CA"/>
        </w:rPr>
        <w:t> </w:t>
      </w:r>
      <w:r w:rsidRPr="00A82953">
        <w:rPr>
          <w:sz w:val="22"/>
          <w:szCs w:val="22"/>
          <w:lang w:eastAsia="fr-CA"/>
        </w:rPr>
        <w:t>âme dirigeante</w:t>
      </w:r>
      <w:r w:rsidR="00767348" w:rsidRPr="00A82953">
        <w:rPr>
          <w:sz w:val="22"/>
          <w:szCs w:val="22"/>
          <w:lang w:eastAsia="fr-CA"/>
        </w:rPr>
        <w:t> </w:t>
      </w:r>
      <w:r w:rsidRPr="00A82953">
        <w:rPr>
          <w:sz w:val="22"/>
          <w:szCs w:val="22"/>
          <w:lang w:eastAsia="fr-CA"/>
        </w:rPr>
        <w:t>»</w:t>
      </w:r>
      <w:r>
        <w:rPr>
          <w:rStyle w:val="Appelnotedebasdep"/>
          <w:sz w:val="22"/>
          <w:szCs w:val="22"/>
          <w:lang w:eastAsia="fr-CA"/>
        </w:rPr>
        <w:footnoteReference w:id="253"/>
      </w:r>
      <w:r w:rsidR="009C5D0A">
        <w:rPr>
          <w:sz w:val="22"/>
          <w:szCs w:val="22"/>
          <w:lang w:eastAsia="fr-CA"/>
        </w:rPr>
        <w:t>.</w:t>
      </w:r>
    </w:p>
    <w:p w14:paraId="657F4CE1" w14:textId="77777777" w:rsidR="00714C8F" w:rsidRPr="00254943" w:rsidRDefault="00730A01" w:rsidP="0042740E">
      <w:pPr>
        <w:pStyle w:val="Paragraphe"/>
        <w:numPr>
          <w:ilvl w:val="0"/>
          <w:numId w:val="14"/>
        </w:numPr>
        <w:tabs>
          <w:tab w:val="clear" w:pos="786"/>
          <w:tab w:val="num" w:pos="1134"/>
        </w:tabs>
        <w:spacing w:after="0" w:line="240" w:lineRule="auto"/>
        <w:ind w:left="1134" w:right="539" w:hanging="425"/>
        <w:rPr>
          <w:sz w:val="22"/>
          <w:szCs w:val="22"/>
          <w:lang w:eastAsia="fr-CA"/>
        </w:rPr>
      </w:pPr>
      <w:r w:rsidRPr="00A82953">
        <w:rPr>
          <w:b/>
          <w:bCs/>
          <w:sz w:val="22"/>
          <w:szCs w:val="22"/>
          <w:lang w:eastAsia="fr-CA"/>
        </w:rPr>
        <w:t>Utilisation des sociétés comme paravents</w:t>
      </w:r>
      <w:r w:rsidR="00565D19" w:rsidRPr="00A82953">
        <w:rPr>
          <w:sz w:val="22"/>
          <w:szCs w:val="22"/>
          <w:lang w:eastAsia="fr-CA"/>
        </w:rPr>
        <w:t> </w:t>
      </w:r>
      <w:r w:rsidRPr="00A82953">
        <w:rPr>
          <w:sz w:val="22"/>
          <w:szCs w:val="22"/>
          <w:lang w:eastAsia="fr-CA"/>
        </w:rPr>
        <w:t>: Ces entités ont été utilisées comme véhicules d’enrichissement personnel au détriment des</w:t>
      </w:r>
      <w:r w:rsidR="00254943">
        <w:rPr>
          <w:sz w:val="22"/>
          <w:szCs w:val="22"/>
          <w:lang w:eastAsia="fr-CA"/>
        </w:rPr>
        <w:t xml:space="preserve"> </w:t>
      </w:r>
      <w:r w:rsidRPr="00254943">
        <w:rPr>
          <w:sz w:val="22"/>
          <w:szCs w:val="22"/>
          <w:lang w:eastAsia="fr-CA"/>
        </w:rPr>
        <w:t>commanditaires, notamment en percevant des honoraires, frais de gestion et frais de services financiers sans justification ni travail accompli</w:t>
      </w:r>
      <w:r>
        <w:rPr>
          <w:rStyle w:val="Appelnotedebasdep"/>
          <w:sz w:val="22"/>
          <w:szCs w:val="22"/>
          <w:lang w:eastAsia="fr-CA"/>
        </w:rPr>
        <w:footnoteReference w:id="254"/>
      </w:r>
      <w:r w:rsidR="009C5D0A">
        <w:rPr>
          <w:sz w:val="22"/>
          <w:szCs w:val="22"/>
          <w:lang w:eastAsia="fr-CA"/>
        </w:rPr>
        <w:t>.</w:t>
      </w:r>
    </w:p>
    <w:p w14:paraId="5FB55031" w14:textId="77777777" w:rsidR="00714C8F" w:rsidRPr="00A82953" w:rsidRDefault="00730A01" w:rsidP="0042740E">
      <w:pPr>
        <w:pStyle w:val="Paragraphe"/>
        <w:numPr>
          <w:ilvl w:val="0"/>
          <w:numId w:val="14"/>
        </w:numPr>
        <w:tabs>
          <w:tab w:val="clear" w:pos="786"/>
          <w:tab w:val="num" w:pos="1134"/>
        </w:tabs>
        <w:spacing w:after="0" w:line="240" w:lineRule="auto"/>
        <w:ind w:left="1134" w:right="539" w:hanging="425"/>
        <w:rPr>
          <w:sz w:val="22"/>
          <w:szCs w:val="22"/>
          <w:lang w:eastAsia="fr-CA"/>
        </w:rPr>
      </w:pPr>
      <w:r w:rsidRPr="00A82953">
        <w:rPr>
          <w:b/>
          <w:bCs/>
          <w:sz w:val="22"/>
          <w:szCs w:val="22"/>
          <w:lang w:eastAsia="fr-CA"/>
        </w:rPr>
        <w:t>Transfert massif de fonds vers Giroux</w:t>
      </w:r>
      <w:r w:rsidR="00565D19" w:rsidRPr="00A82953">
        <w:rPr>
          <w:sz w:val="22"/>
          <w:szCs w:val="22"/>
          <w:lang w:eastAsia="fr-CA"/>
        </w:rPr>
        <w:t> </w:t>
      </w:r>
      <w:r w:rsidRPr="00A82953">
        <w:rPr>
          <w:sz w:val="22"/>
          <w:szCs w:val="22"/>
          <w:lang w:eastAsia="fr-CA"/>
        </w:rPr>
        <w:t>: Les sommes investies par les commanditaires ont été détournées au profit de Giroux et de ses sociétés personnelles, notamment vers 6646</w:t>
      </w:r>
      <w:r>
        <w:rPr>
          <w:rStyle w:val="Appelnotedebasdep"/>
          <w:sz w:val="22"/>
          <w:szCs w:val="22"/>
          <w:lang w:eastAsia="fr-CA"/>
        </w:rPr>
        <w:footnoteReference w:id="255"/>
      </w:r>
      <w:r w:rsidR="009C5D0A">
        <w:rPr>
          <w:sz w:val="22"/>
          <w:szCs w:val="22"/>
          <w:lang w:eastAsia="fr-CA"/>
        </w:rPr>
        <w:t>.</w:t>
      </w:r>
    </w:p>
    <w:p w14:paraId="49D25CB0" w14:textId="77777777" w:rsidR="00714C8F" w:rsidRPr="00A82953" w:rsidRDefault="00730A01" w:rsidP="0042740E">
      <w:pPr>
        <w:pStyle w:val="Paragraphe"/>
        <w:numPr>
          <w:ilvl w:val="0"/>
          <w:numId w:val="14"/>
        </w:numPr>
        <w:tabs>
          <w:tab w:val="clear" w:pos="786"/>
          <w:tab w:val="num" w:pos="1134"/>
        </w:tabs>
        <w:spacing w:after="0" w:line="240" w:lineRule="auto"/>
        <w:ind w:left="1134" w:right="539" w:hanging="425"/>
        <w:rPr>
          <w:sz w:val="22"/>
          <w:szCs w:val="22"/>
          <w:lang w:eastAsia="fr-CA"/>
        </w:rPr>
      </w:pPr>
      <w:r w:rsidRPr="00A82953">
        <w:rPr>
          <w:b/>
          <w:bCs/>
          <w:sz w:val="22"/>
          <w:szCs w:val="22"/>
          <w:lang w:eastAsia="fr-CA"/>
        </w:rPr>
        <w:t>Absence d’autonomie corporative réelle</w:t>
      </w:r>
      <w:r w:rsidR="00565D19" w:rsidRPr="00A82953">
        <w:rPr>
          <w:sz w:val="22"/>
          <w:szCs w:val="22"/>
          <w:lang w:eastAsia="fr-CA"/>
        </w:rPr>
        <w:t> </w:t>
      </w:r>
      <w:r w:rsidRPr="00A82953">
        <w:rPr>
          <w:sz w:val="22"/>
          <w:szCs w:val="22"/>
          <w:lang w:eastAsia="fr-CA"/>
        </w:rPr>
        <w:t>: Il n’existait aucune autonomie de gestion entre les entités; Giroux prenait toutes les décisions importantes pour l’ensemble de ces sociétés</w:t>
      </w:r>
      <w:r>
        <w:rPr>
          <w:rStyle w:val="Appelnotedebasdep"/>
          <w:sz w:val="22"/>
          <w:szCs w:val="22"/>
          <w:lang w:eastAsia="fr-CA"/>
        </w:rPr>
        <w:footnoteReference w:id="256"/>
      </w:r>
      <w:r w:rsidR="009C5D0A">
        <w:rPr>
          <w:sz w:val="22"/>
          <w:szCs w:val="22"/>
          <w:lang w:eastAsia="fr-CA"/>
        </w:rPr>
        <w:t>.</w:t>
      </w:r>
    </w:p>
    <w:p w14:paraId="263AB391" w14:textId="77777777" w:rsidR="007A6C58" w:rsidRPr="00A82953" w:rsidRDefault="00730A01" w:rsidP="0042740E">
      <w:pPr>
        <w:pStyle w:val="Paragraphe"/>
        <w:numPr>
          <w:ilvl w:val="0"/>
          <w:numId w:val="14"/>
        </w:numPr>
        <w:tabs>
          <w:tab w:val="clear" w:pos="786"/>
          <w:tab w:val="num" w:pos="1134"/>
        </w:tabs>
        <w:spacing w:line="240" w:lineRule="auto"/>
        <w:ind w:left="1134" w:right="539" w:hanging="425"/>
        <w:rPr>
          <w:sz w:val="22"/>
          <w:szCs w:val="22"/>
          <w:lang w:eastAsia="fr-CA"/>
        </w:rPr>
      </w:pPr>
      <w:r w:rsidRPr="00A82953">
        <w:rPr>
          <w:b/>
          <w:bCs/>
          <w:sz w:val="22"/>
          <w:szCs w:val="22"/>
          <w:lang w:eastAsia="fr-CA"/>
        </w:rPr>
        <w:t>Comportement frauduleux généralisé</w:t>
      </w:r>
      <w:r w:rsidR="00565D19" w:rsidRPr="00A82953">
        <w:rPr>
          <w:sz w:val="22"/>
          <w:szCs w:val="22"/>
          <w:lang w:eastAsia="fr-CA"/>
        </w:rPr>
        <w:t> </w:t>
      </w:r>
      <w:r w:rsidRPr="00A82953">
        <w:rPr>
          <w:sz w:val="22"/>
          <w:szCs w:val="22"/>
          <w:lang w:eastAsia="fr-CA"/>
        </w:rPr>
        <w:t xml:space="preserve">: La preuve </w:t>
      </w:r>
      <w:r w:rsidR="005905E4">
        <w:rPr>
          <w:sz w:val="22"/>
          <w:szCs w:val="22"/>
          <w:lang w:eastAsia="fr-CA"/>
        </w:rPr>
        <w:t>révèle</w:t>
      </w:r>
      <w:r w:rsidRPr="00A82953">
        <w:rPr>
          <w:sz w:val="22"/>
          <w:szCs w:val="22"/>
          <w:lang w:eastAsia="fr-CA"/>
        </w:rPr>
        <w:t xml:space="preserve"> de</w:t>
      </w:r>
      <w:r w:rsidR="005905E4">
        <w:rPr>
          <w:sz w:val="22"/>
          <w:szCs w:val="22"/>
          <w:lang w:eastAsia="fr-CA"/>
        </w:rPr>
        <w:t>s</w:t>
      </w:r>
      <w:r w:rsidRPr="00A82953">
        <w:rPr>
          <w:sz w:val="22"/>
          <w:szCs w:val="22"/>
          <w:lang w:eastAsia="fr-CA"/>
        </w:rPr>
        <w:t xml:space="preserve"> manipulations comptables, de fausses représentations, d’abus de droit et de conflits d’intérêts non divulgués, justifiant l’intervention exceptionnelle du tribunal</w:t>
      </w:r>
      <w:r>
        <w:rPr>
          <w:rStyle w:val="Appelnotedebasdep"/>
          <w:sz w:val="22"/>
          <w:szCs w:val="22"/>
          <w:lang w:eastAsia="fr-CA"/>
        </w:rPr>
        <w:footnoteReference w:id="257"/>
      </w:r>
      <w:r w:rsidR="009C5D0A">
        <w:rPr>
          <w:sz w:val="22"/>
          <w:szCs w:val="22"/>
          <w:lang w:eastAsia="fr-CA"/>
        </w:rPr>
        <w:t>.</w:t>
      </w:r>
    </w:p>
    <w:p w14:paraId="35077D2B" w14:textId="77777777" w:rsidR="007637E1" w:rsidRDefault="00730A01" w:rsidP="0098012F">
      <w:pPr>
        <w:pStyle w:val="Paragraphe"/>
        <w:tabs>
          <w:tab w:val="clear" w:pos="786"/>
        </w:tabs>
        <w:spacing w:line="240" w:lineRule="auto"/>
        <w:ind w:left="0"/>
        <w:rPr>
          <w:lang w:eastAsia="fr-CA"/>
        </w:rPr>
      </w:pPr>
      <w:r w:rsidRPr="00BA0714">
        <w:rPr>
          <w:lang w:eastAsia="fr-CA"/>
        </w:rPr>
        <w:t xml:space="preserve">L’ensemble de ces éléments commande la levée du voile corporatif entre Giroux et les sociétés qu’il contrôle, afin d’éviter qu’il ne se réfugie derrière ces entités pour échapper à sa responsabilité personnelle. </w:t>
      </w:r>
    </w:p>
    <w:p w14:paraId="7B59BD00" w14:textId="77777777" w:rsidR="00366C40" w:rsidRPr="00366C40" w:rsidRDefault="00730A01" w:rsidP="0098012F">
      <w:pPr>
        <w:pStyle w:val="Paragraphe"/>
        <w:tabs>
          <w:tab w:val="clear" w:pos="786"/>
        </w:tabs>
        <w:spacing w:line="240" w:lineRule="auto"/>
        <w:ind w:left="0"/>
        <w:rPr>
          <w:rFonts w:cs="Arial"/>
          <w:szCs w:val="24"/>
          <w:lang w:eastAsia="fr-CA"/>
        </w:rPr>
      </w:pPr>
      <w:r w:rsidRPr="00451EF9">
        <w:rPr>
          <w:rFonts w:cs="Arial"/>
        </w:rPr>
        <w:t>En l’espèce, Giroux considère lui-même les sociétés qui lui sont liées comme ses alter ego</w:t>
      </w:r>
      <w:r>
        <w:rPr>
          <w:rStyle w:val="Appelnotedebasdep"/>
          <w:rFonts w:cs="Arial"/>
        </w:rPr>
        <w:footnoteReference w:id="258"/>
      </w:r>
      <w:r w:rsidR="009C5D0A">
        <w:rPr>
          <w:rFonts w:cs="Arial"/>
        </w:rPr>
        <w:t>.</w:t>
      </w:r>
    </w:p>
    <w:p w14:paraId="3CB495CC" w14:textId="77777777" w:rsidR="00852048" w:rsidRPr="00366C40" w:rsidRDefault="00730A01" w:rsidP="0098012F">
      <w:pPr>
        <w:pStyle w:val="Paragraphe"/>
        <w:tabs>
          <w:tab w:val="clear" w:pos="786"/>
        </w:tabs>
        <w:spacing w:line="240" w:lineRule="auto"/>
        <w:ind w:left="0"/>
        <w:rPr>
          <w:rFonts w:cs="Arial"/>
          <w:szCs w:val="24"/>
          <w:lang w:eastAsia="fr-CA"/>
        </w:rPr>
      </w:pPr>
      <w:r w:rsidRPr="00366C40">
        <w:rPr>
          <w:rFonts w:cs="Arial"/>
        </w:rPr>
        <w:t>De plus, l’expert retenu par les Défendeurs a expliqué, suivant ses discussions avec Giroux, comment les sociétés liées à celui-ci étaient utilisées comme une seule et même entité</w:t>
      </w:r>
      <w:r w:rsidR="009C5D0A">
        <w:rPr>
          <w:rFonts w:cs="Arial"/>
        </w:rPr>
        <w:t> </w:t>
      </w:r>
      <w:r w:rsidRPr="00366C40">
        <w:rPr>
          <w:rFonts w:cs="Arial"/>
        </w:rPr>
        <w:t>:</w:t>
      </w:r>
    </w:p>
    <w:p w14:paraId="76E3830E" w14:textId="77777777" w:rsidR="00852048" w:rsidRDefault="00730A01" w:rsidP="00A82953">
      <w:pPr>
        <w:pStyle w:val="Citationenretrait"/>
        <w:ind w:right="539"/>
      </w:pPr>
      <w:r w:rsidRPr="00451EF9">
        <w:t>Nous comprenons que 6646 est l’unique actionnaire de 8096. M.</w:t>
      </w:r>
      <w:r w:rsidR="009C5D0A">
        <w:t> </w:t>
      </w:r>
      <w:r w:rsidRPr="00451EF9">
        <w:t>Giroux nous a expliqué que des fonds disponibles dans 8096 sont avancés à 6646 pour que cette dernière puisse effectuer des placements. À titre d’illustration, 6646 avait reçu des avances de 8096 totalisant 11</w:t>
      </w:r>
      <w:r w:rsidR="00366C40">
        <w:t> </w:t>
      </w:r>
      <w:r w:rsidRPr="00451EF9">
        <w:t>169</w:t>
      </w:r>
      <w:r w:rsidR="00366C40">
        <w:t> </w:t>
      </w:r>
      <w:r w:rsidRPr="00451EF9">
        <w:t>824</w:t>
      </w:r>
      <w:r w:rsidR="00366C40">
        <w:t> </w:t>
      </w:r>
      <w:r w:rsidRPr="00451EF9">
        <w:t>$ au 31</w:t>
      </w:r>
      <w:r w:rsidR="009C5D0A">
        <w:t> </w:t>
      </w:r>
      <w:r w:rsidRPr="00451EF9">
        <w:t>décembre</w:t>
      </w:r>
      <w:r w:rsidR="009C5D0A">
        <w:t> </w:t>
      </w:r>
      <w:r w:rsidRPr="00451EF9">
        <w:t>2021. D’ailleurs, il en est de même avec d’autres sociétés détenues par 6646 (dont</w:t>
      </w:r>
      <w:r w:rsidR="00366C40">
        <w:t xml:space="preserve"> </w:t>
      </w:r>
      <w:r w:rsidRPr="00451EF9">
        <w:t>979</w:t>
      </w:r>
      <w:r w:rsidR="00366C40">
        <w:t>7</w:t>
      </w:r>
      <w:r w:rsidRPr="00451EF9">
        <w:t>, X2 et Giroux Arpentage) qui avancent des fonds à 6646 pour fins de placement</w:t>
      </w:r>
      <w:r>
        <w:rPr>
          <w:rStyle w:val="Appelnotedebasdep"/>
          <w:rFonts w:cs="Arial"/>
        </w:rPr>
        <w:footnoteReference w:id="259"/>
      </w:r>
      <w:r w:rsidR="009C5D0A">
        <w:t>.</w:t>
      </w:r>
    </w:p>
    <w:p w14:paraId="1127A906" w14:textId="77777777" w:rsidR="00852048" w:rsidRDefault="00730A01" w:rsidP="0098012F">
      <w:pPr>
        <w:pStyle w:val="Paragraphe"/>
        <w:tabs>
          <w:tab w:val="clear" w:pos="786"/>
        </w:tabs>
        <w:spacing w:line="240" w:lineRule="auto"/>
        <w:ind w:left="0"/>
        <w:rPr>
          <w:rFonts w:cs="Arial"/>
          <w:szCs w:val="24"/>
        </w:rPr>
      </w:pPr>
      <w:r w:rsidRPr="00366C40">
        <w:rPr>
          <w:rFonts w:cs="Arial"/>
        </w:rPr>
        <w:t>Lehoux</w:t>
      </w:r>
      <w:r w:rsidRPr="00451EF9">
        <w:rPr>
          <w:rFonts w:cs="Arial"/>
          <w:szCs w:val="24"/>
        </w:rPr>
        <w:t xml:space="preserve"> a également témoigné</w:t>
      </w:r>
      <w:r w:rsidR="00443B12">
        <w:rPr>
          <w:rFonts w:cs="Arial"/>
          <w:szCs w:val="24"/>
        </w:rPr>
        <w:t xml:space="preserve"> </w:t>
      </w:r>
      <w:r w:rsidRPr="00451EF9">
        <w:rPr>
          <w:rFonts w:cs="Arial"/>
          <w:szCs w:val="24"/>
        </w:rPr>
        <w:t>que durant son emploi au sein de X2, elle constatait que l’argent de celle-ci était transféré vers 6646</w:t>
      </w:r>
      <w:r w:rsidR="009C5D0A">
        <w:rPr>
          <w:rFonts w:cs="Arial"/>
          <w:szCs w:val="24"/>
        </w:rPr>
        <w:t> </w:t>
      </w:r>
      <w:r w:rsidRPr="00451EF9">
        <w:rPr>
          <w:rFonts w:cs="Arial"/>
          <w:szCs w:val="24"/>
        </w:rPr>
        <w:t>:</w:t>
      </w:r>
    </w:p>
    <w:p w14:paraId="398C0540" w14:textId="77777777" w:rsidR="00852048" w:rsidRPr="007637E1" w:rsidRDefault="00730A01" w:rsidP="00A82953">
      <w:pPr>
        <w:pStyle w:val="Citationenretrait"/>
        <w:ind w:right="539"/>
        <w:rPr>
          <w:i/>
          <w:iCs/>
        </w:rPr>
      </w:pPr>
      <w:r w:rsidRPr="007637E1">
        <w:rPr>
          <w:i/>
          <w:iCs/>
        </w:rPr>
        <w:t>12.</w:t>
      </w:r>
      <w:r w:rsidR="00366C40" w:rsidRPr="007637E1">
        <w:rPr>
          <w:i/>
          <w:iCs/>
        </w:rPr>
        <w:t> </w:t>
      </w:r>
      <w:r w:rsidRPr="007637E1">
        <w:rPr>
          <w:i/>
          <w:iCs/>
        </w:rPr>
        <w:t>Pendant une courte période à l’automne</w:t>
      </w:r>
      <w:r w:rsidR="009C5D0A">
        <w:rPr>
          <w:i/>
          <w:iCs/>
        </w:rPr>
        <w:t> </w:t>
      </w:r>
      <w:r w:rsidRPr="007637E1">
        <w:rPr>
          <w:i/>
          <w:iCs/>
        </w:rPr>
        <w:t>2022, j’ai également été responsable de la comptabilité afin de supporter l’équipe récemment mise en place;</w:t>
      </w:r>
    </w:p>
    <w:p w14:paraId="4BB23952" w14:textId="77777777" w:rsidR="00852048" w:rsidRPr="00451EF9" w:rsidRDefault="00730A01" w:rsidP="00A82953">
      <w:pPr>
        <w:pStyle w:val="Citationenretrait"/>
        <w:ind w:right="539"/>
      </w:pPr>
      <w:r w:rsidRPr="007637E1">
        <w:rPr>
          <w:i/>
          <w:iCs/>
        </w:rPr>
        <w:t>13. J’ai alors pu constater que le solde du compte de banque de X2 demeurait toujours très bas puisque l’argent était systématiquement transféré vers 6646, laissant juste assez d’argent pour effectuer la paie des employés de X2</w:t>
      </w:r>
      <w:r>
        <w:rPr>
          <w:rStyle w:val="Appelnotedebasdep"/>
          <w:rFonts w:cs="Arial"/>
        </w:rPr>
        <w:footnoteReference w:id="260"/>
      </w:r>
      <w:r w:rsidR="009C5D0A">
        <w:rPr>
          <w:i/>
          <w:iCs/>
        </w:rPr>
        <w:t>.</w:t>
      </w:r>
      <w:r w:rsidRPr="00451EF9">
        <w:t xml:space="preserve"> </w:t>
      </w:r>
    </w:p>
    <w:p w14:paraId="0F4DED29" w14:textId="77777777" w:rsidR="00366C40" w:rsidRDefault="00730A01" w:rsidP="0098012F">
      <w:pPr>
        <w:pStyle w:val="Paragraphe"/>
        <w:tabs>
          <w:tab w:val="clear" w:pos="786"/>
        </w:tabs>
        <w:spacing w:line="240" w:lineRule="auto"/>
        <w:ind w:left="0"/>
        <w:rPr>
          <w:rFonts w:cs="Arial"/>
          <w:szCs w:val="24"/>
        </w:rPr>
      </w:pPr>
      <w:r w:rsidRPr="00366C40">
        <w:rPr>
          <w:rFonts w:cs="Arial"/>
        </w:rPr>
        <w:t>La</w:t>
      </w:r>
      <w:r w:rsidRPr="00451EF9">
        <w:rPr>
          <w:rFonts w:cs="Arial"/>
          <w:szCs w:val="24"/>
        </w:rPr>
        <w:t xml:space="preserve"> lecture de la DSS sur actifs de Giroux</w:t>
      </w:r>
      <w:r>
        <w:rPr>
          <w:rStyle w:val="Appelnotedebasdep"/>
          <w:rFonts w:cs="Arial"/>
          <w:szCs w:val="24"/>
        </w:rPr>
        <w:footnoteReference w:id="261"/>
      </w:r>
      <w:r w:rsidRPr="00451EF9">
        <w:rPr>
          <w:rFonts w:cs="Arial"/>
          <w:szCs w:val="24"/>
        </w:rPr>
        <w:t xml:space="preserve"> démontre d’ailleurs que la majorité des actifs des Défendeurs sont détenus par 6646, laquelle bénéficie ainsi des sommes perçues par ses filiales comme si elles sont les siennes.</w:t>
      </w:r>
    </w:p>
    <w:p w14:paraId="3B9006BA" w14:textId="77777777" w:rsidR="00366C40" w:rsidRPr="00366C40" w:rsidRDefault="00730A01" w:rsidP="0098012F">
      <w:pPr>
        <w:pStyle w:val="Paragraphe"/>
        <w:tabs>
          <w:tab w:val="clear" w:pos="786"/>
        </w:tabs>
        <w:spacing w:line="240" w:lineRule="auto"/>
        <w:ind w:left="0"/>
        <w:rPr>
          <w:rFonts w:cs="Arial"/>
          <w:szCs w:val="24"/>
        </w:rPr>
      </w:pPr>
      <w:r w:rsidRPr="00366C40">
        <w:rPr>
          <w:rFonts w:cs="Arial"/>
        </w:rPr>
        <w:t xml:space="preserve">Cet état de fait et le fonctionnement de la structure des Défendeurs </w:t>
      </w:r>
      <w:r w:rsidR="00B32E1D">
        <w:rPr>
          <w:rFonts w:cs="Arial"/>
        </w:rPr>
        <w:t xml:space="preserve">justifient la </w:t>
      </w:r>
      <w:r w:rsidRPr="00366C40">
        <w:rPr>
          <w:rFonts w:cs="Arial"/>
        </w:rPr>
        <w:t>le</w:t>
      </w:r>
      <w:r w:rsidR="00B32E1D">
        <w:rPr>
          <w:rFonts w:cs="Arial"/>
        </w:rPr>
        <w:t>vée du</w:t>
      </w:r>
      <w:r w:rsidRPr="00366C40">
        <w:rPr>
          <w:rFonts w:cs="Arial"/>
        </w:rPr>
        <w:t xml:space="preserve"> voile corporatif entre l’ensemble des Défendeurs de façon à condamner solidairement 6646 et Giroux, alors que l’argent des Défendeurs leur est systématiquement transféré et qu’ils en sont donc les réels bénéficiaires.</w:t>
      </w:r>
    </w:p>
    <w:p w14:paraId="1F5ED654" w14:textId="77777777" w:rsidR="00366C40" w:rsidRPr="00366C40" w:rsidRDefault="00730A01" w:rsidP="0098012F">
      <w:pPr>
        <w:pStyle w:val="Paragraphe"/>
        <w:tabs>
          <w:tab w:val="clear" w:pos="786"/>
        </w:tabs>
        <w:spacing w:line="240" w:lineRule="auto"/>
        <w:ind w:left="0"/>
        <w:rPr>
          <w:rFonts w:cs="Arial"/>
          <w:szCs w:val="24"/>
        </w:rPr>
      </w:pPr>
      <w:r w:rsidRPr="00366C40">
        <w:rPr>
          <w:rFonts w:cs="Arial"/>
        </w:rPr>
        <w:t>Les Demandeurs</w:t>
      </w:r>
      <w:r w:rsidR="00443B12">
        <w:rPr>
          <w:rFonts w:cs="Arial"/>
        </w:rPr>
        <w:t xml:space="preserve"> plaid</w:t>
      </w:r>
      <w:r w:rsidRPr="00366C40">
        <w:rPr>
          <w:rFonts w:cs="Arial"/>
        </w:rPr>
        <w:t>ent que la théorie de l’alter ego est applicable à l’ensemble des Défendeurs, tant entre les différentes sociétés qu’entre Giroux et celles-ci, pour les raisons énoncées ci-dessus ainsi que les suivantes.</w:t>
      </w:r>
    </w:p>
    <w:p w14:paraId="1451164E" w14:textId="77777777" w:rsidR="00DD45A5" w:rsidRDefault="00730A01" w:rsidP="0098012F">
      <w:pPr>
        <w:pStyle w:val="Paragraphe"/>
        <w:tabs>
          <w:tab w:val="clear" w:pos="786"/>
        </w:tabs>
        <w:spacing w:line="240" w:lineRule="auto"/>
        <w:ind w:left="0"/>
        <w:rPr>
          <w:rFonts w:cs="Arial"/>
          <w:szCs w:val="24"/>
        </w:rPr>
      </w:pPr>
      <w:r>
        <w:rPr>
          <w:rFonts w:cs="Arial"/>
          <w:szCs w:val="24"/>
          <w:lang w:eastAsia="fr-CA"/>
        </w:rPr>
        <w:t>La</w:t>
      </w:r>
      <w:r w:rsidR="00852048" w:rsidRPr="00366C40">
        <w:rPr>
          <w:rFonts w:cs="Arial"/>
          <w:szCs w:val="24"/>
          <w:lang w:eastAsia="fr-CA"/>
        </w:rPr>
        <w:t xml:space="preserve"> preuve démontre </w:t>
      </w:r>
      <w:r>
        <w:rPr>
          <w:rFonts w:cs="Arial"/>
          <w:szCs w:val="24"/>
          <w:lang w:eastAsia="fr-CA"/>
        </w:rPr>
        <w:t xml:space="preserve">en effet </w:t>
      </w:r>
      <w:r w:rsidR="00852048" w:rsidRPr="00366C40">
        <w:rPr>
          <w:rFonts w:cs="Arial"/>
          <w:szCs w:val="24"/>
          <w:lang w:eastAsia="fr-CA"/>
        </w:rPr>
        <w:t>que tant 9797</w:t>
      </w:r>
      <w:r>
        <w:rPr>
          <w:rStyle w:val="Appelnotedebasdep"/>
          <w:rFonts w:cs="Arial"/>
          <w:szCs w:val="24"/>
          <w:lang w:eastAsia="fr-CA"/>
        </w:rPr>
        <w:footnoteReference w:id="262"/>
      </w:r>
      <w:r w:rsidR="00852048" w:rsidRPr="00366C40">
        <w:rPr>
          <w:rFonts w:cs="Arial"/>
          <w:szCs w:val="24"/>
          <w:lang w:eastAsia="fr-CA"/>
        </w:rPr>
        <w:t>, 8096</w:t>
      </w:r>
      <w:r>
        <w:rPr>
          <w:rStyle w:val="Appelnotedebasdep"/>
          <w:rFonts w:cs="Arial"/>
          <w:szCs w:val="24"/>
          <w:lang w:eastAsia="fr-CA"/>
        </w:rPr>
        <w:footnoteReference w:id="263"/>
      </w:r>
      <w:r w:rsidR="00852048" w:rsidRPr="00366C40">
        <w:rPr>
          <w:rFonts w:cs="Arial"/>
          <w:szCs w:val="24"/>
          <w:lang w:eastAsia="fr-CA"/>
        </w:rPr>
        <w:t xml:space="preserve"> que X2</w:t>
      </w:r>
      <w:r>
        <w:rPr>
          <w:rStyle w:val="Appelnotedebasdep"/>
          <w:rFonts w:cs="Arial"/>
          <w:szCs w:val="24"/>
          <w:lang w:eastAsia="fr-CA"/>
        </w:rPr>
        <w:footnoteReference w:id="264"/>
      </w:r>
      <w:r w:rsidR="00852048" w:rsidRPr="00366C40">
        <w:rPr>
          <w:rFonts w:cs="Arial"/>
          <w:szCs w:val="24"/>
          <w:lang w:eastAsia="fr-CA"/>
        </w:rPr>
        <w:t xml:space="preserve"> ont la même structure corporative, soit 6646 à titre d’actionnaire unique et Giroux à titre d’administrateur unique, et qu’elles ont le même siège</w:t>
      </w:r>
      <w:r>
        <w:rPr>
          <w:rFonts w:cs="Arial"/>
          <w:szCs w:val="24"/>
          <w:lang w:eastAsia="fr-CA"/>
        </w:rPr>
        <w:t xml:space="preserve"> social</w:t>
      </w:r>
      <w:r w:rsidR="00852048" w:rsidRPr="00366C40">
        <w:rPr>
          <w:rFonts w:cs="Arial"/>
          <w:szCs w:val="24"/>
          <w:lang w:eastAsia="fr-CA"/>
        </w:rPr>
        <w:t>. Elles ont aussi des comptes bancaires à la même succursale de la même institution financière, tel qu’il appert de la DSS sur actifs de Giroux</w:t>
      </w:r>
      <w:r>
        <w:rPr>
          <w:rStyle w:val="Appelnotedebasdep"/>
          <w:rFonts w:cs="Arial"/>
          <w:szCs w:val="24"/>
          <w:lang w:eastAsia="fr-CA"/>
        </w:rPr>
        <w:footnoteReference w:id="265"/>
      </w:r>
      <w:r w:rsidR="00852048" w:rsidRPr="00366C40">
        <w:rPr>
          <w:rFonts w:cs="Arial"/>
          <w:szCs w:val="24"/>
          <w:lang w:eastAsia="fr-CA"/>
        </w:rPr>
        <w:t xml:space="preserve"> et de la preuve administrée au procès</w:t>
      </w:r>
      <w:r>
        <w:rPr>
          <w:rStyle w:val="Appelnotedebasdep"/>
          <w:rFonts w:cs="Arial"/>
          <w:szCs w:val="24"/>
          <w:lang w:eastAsia="fr-CA"/>
        </w:rPr>
        <w:footnoteReference w:id="266"/>
      </w:r>
      <w:r w:rsidR="00852048" w:rsidRPr="00366C40">
        <w:rPr>
          <w:rFonts w:cs="Arial"/>
          <w:szCs w:val="24"/>
          <w:lang w:eastAsia="fr-CA"/>
        </w:rPr>
        <w:t>.</w:t>
      </w:r>
    </w:p>
    <w:p w14:paraId="05D1743F" w14:textId="77777777" w:rsidR="00DD45A5" w:rsidRPr="009C5D0A" w:rsidRDefault="00730A01" w:rsidP="0005007F">
      <w:pPr>
        <w:pStyle w:val="Paragraphe"/>
        <w:tabs>
          <w:tab w:val="clear" w:pos="786"/>
        </w:tabs>
        <w:spacing w:line="240" w:lineRule="auto"/>
        <w:ind w:left="0"/>
        <w:rPr>
          <w:rFonts w:cs="Arial"/>
          <w:szCs w:val="24"/>
          <w:lang w:eastAsia="fr-CA"/>
        </w:rPr>
      </w:pPr>
      <w:r w:rsidRPr="009C5D0A">
        <w:rPr>
          <w:rFonts w:cs="Arial"/>
          <w:szCs w:val="24"/>
          <w:lang w:eastAsia="fr-CA"/>
        </w:rPr>
        <w:t>1395 a</w:t>
      </w:r>
      <w:r w:rsidR="00443B12" w:rsidRPr="009C5D0A">
        <w:rPr>
          <w:rFonts w:cs="Arial"/>
          <w:szCs w:val="24"/>
          <w:lang w:eastAsia="fr-CA"/>
        </w:rPr>
        <w:t xml:space="preserve"> aussi</w:t>
      </w:r>
      <w:r w:rsidRPr="009C5D0A">
        <w:rPr>
          <w:rFonts w:cs="Arial"/>
          <w:szCs w:val="24"/>
          <w:lang w:eastAsia="fr-CA"/>
        </w:rPr>
        <w:t xml:space="preserve"> le même siège </w:t>
      </w:r>
      <w:r w:rsidR="00443B12" w:rsidRPr="009C5D0A">
        <w:rPr>
          <w:rFonts w:cs="Arial"/>
          <w:szCs w:val="24"/>
          <w:lang w:eastAsia="fr-CA"/>
        </w:rPr>
        <w:t xml:space="preserve">social </w:t>
      </w:r>
      <w:r w:rsidRPr="009C5D0A">
        <w:rPr>
          <w:rFonts w:cs="Arial"/>
          <w:szCs w:val="24"/>
          <w:lang w:eastAsia="fr-CA"/>
        </w:rPr>
        <w:t>que 9797, 8096 et X2</w:t>
      </w:r>
      <w:r w:rsidR="00443B12" w:rsidRPr="009C5D0A">
        <w:rPr>
          <w:rFonts w:cs="Arial"/>
          <w:szCs w:val="24"/>
          <w:lang w:eastAsia="fr-CA"/>
        </w:rPr>
        <w:t>. Elle a aussi</w:t>
      </w:r>
      <w:r w:rsidRPr="009C5D0A">
        <w:rPr>
          <w:rFonts w:cs="Arial"/>
          <w:szCs w:val="24"/>
          <w:lang w:eastAsia="fr-CA"/>
        </w:rPr>
        <w:t xml:space="preserve"> Giroux comme administrateur unique. La seule différence dans sa structure corporative est que son actionnariat est réparti entre 6646 et 9184-0587 Québec inc.</w:t>
      </w:r>
      <w:r w:rsidR="00D15EEA" w:rsidRPr="009C5D0A">
        <w:rPr>
          <w:rFonts w:cs="Arial"/>
          <w:szCs w:val="24"/>
          <w:lang w:eastAsia="fr-CA"/>
        </w:rPr>
        <w:t xml:space="preserve"> (« 0587 »)</w:t>
      </w:r>
      <w:r>
        <w:footnoteReference w:id="267"/>
      </w:r>
      <w:r w:rsidRPr="009C5D0A">
        <w:rPr>
          <w:rFonts w:cs="Arial"/>
          <w:szCs w:val="24"/>
          <w:lang w:eastAsia="fr-CA"/>
        </w:rPr>
        <w:t>, la société contrôlée par St-Gelais. Quoiqu’il en soit, les Défendeurs ont eux-mêmes reconnu dan</w:t>
      </w:r>
      <w:r w:rsidR="005F709E" w:rsidRPr="009C5D0A">
        <w:rPr>
          <w:rFonts w:cs="Arial"/>
          <w:szCs w:val="24"/>
          <w:lang w:eastAsia="fr-CA"/>
        </w:rPr>
        <w:t>s l</w:t>
      </w:r>
      <w:r w:rsidRPr="009C5D0A">
        <w:rPr>
          <w:rFonts w:cs="Arial"/>
          <w:szCs w:val="24"/>
          <w:lang w:eastAsia="fr-CA"/>
        </w:rPr>
        <w:t>a version originale de leur Défens</w:t>
      </w:r>
      <w:r w:rsidR="00254943" w:rsidRPr="009C5D0A">
        <w:rPr>
          <w:rFonts w:cs="Arial"/>
          <w:szCs w:val="24"/>
          <w:lang w:eastAsia="fr-CA"/>
        </w:rPr>
        <w:t>e</w:t>
      </w:r>
      <w:r w:rsidRPr="009C5D0A">
        <w:rPr>
          <w:rFonts w:cs="Arial"/>
          <w:szCs w:val="24"/>
          <w:lang w:eastAsia="fr-CA"/>
        </w:rPr>
        <w:t xml:space="preserve"> que 1395, tout comme 9797, était une société contrôlée par Giroux</w:t>
      </w:r>
      <w:r>
        <w:footnoteReference w:id="268"/>
      </w:r>
      <w:r w:rsidRPr="009C5D0A">
        <w:rPr>
          <w:rFonts w:cs="Arial"/>
          <w:szCs w:val="24"/>
          <w:lang w:eastAsia="fr-CA"/>
        </w:rPr>
        <w:t>, ce qui est d’ailleurs conforme au témoignage de St-Gelais qui indique que sa participation</w:t>
      </w:r>
      <w:r w:rsidR="00D13EE6" w:rsidRPr="009C5D0A">
        <w:rPr>
          <w:rFonts w:cs="Arial"/>
          <w:szCs w:val="24"/>
          <w:lang w:eastAsia="fr-CA"/>
        </w:rPr>
        <w:t xml:space="preserve"> </w:t>
      </w:r>
      <w:r w:rsidRPr="009C5D0A">
        <w:rPr>
          <w:rFonts w:cs="Arial"/>
          <w:szCs w:val="24"/>
          <w:lang w:eastAsia="fr-CA"/>
        </w:rPr>
        <w:t>dans cette structure (par l’entremise de 0587) se justifie purement et simplement par des raisons fiscales</w:t>
      </w:r>
      <w:r>
        <w:footnoteReference w:id="269"/>
      </w:r>
      <w:r w:rsidRPr="009C5D0A">
        <w:rPr>
          <w:rFonts w:cs="Arial"/>
          <w:szCs w:val="24"/>
          <w:lang w:eastAsia="fr-CA"/>
        </w:rPr>
        <w:t>.</w:t>
      </w:r>
    </w:p>
    <w:p w14:paraId="4F655A6B" w14:textId="77777777" w:rsidR="00DD45A5" w:rsidRDefault="00730A01" w:rsidP="0098012F">
      <w:pPr>
        <w:pStyle w:val="Paragraphe"/>
        <w:tabs>
          <w:tab w:val="clear" w:pos="786"/>
        </w:tabs>
        <w:spacing w:line="240" w:lineRule="auto"/>
        <w:ind w:left="0"/>
        <w:rPr>
          <w:rFonts w:cs="Arial"/>
          <w:szCs w:val="24"/>
        </w:rPr>
      </w:pPr>
      <w:r w:rsidRPr="00DD45A5">
        <w:rPr>
          <w:rFonts w:cs="Arial"/>
          <w:szCs w:val="24"/>
          <w:lang w:eastAsia="fr-CA"/>
        </w:rPr>
        <w:t>En ce qui concerne 6646, sa structure corporative est composée de Giroux, à titre d’actionnaire et d’administrateur unique, ainsi que de personnes lui étant liées à titre d’autres actionnaires, soit sa conjointe</w:t>
      </w:r>
      <w:r w:rsidR="00443B12">
        <w:rPr>
          <w:rFonts w:cs="Arial"/>
          <w:szCs w:val="24"/>
          <w:lang w:eastAsia="fr-CA"/>
        </w:rPr>
        <w:t xml:space="preserve">, </w:t>
      </w:r>
      <w:r w:rsidR="009C5D0A">
        <w:rPr>
          <w:rFonts w:cs="Arial"/>
          <w:szCs w:val="24"/>
          <w:lang w:eastAsia="fr-CA"/>
        </w:rPr>
        <w:t>M</w:t>
      </w:r>
      <w:r w:rsidR="009C5D0A" w:rsidRPr="009C5D0A">
        <w:rPr>
          <w:rFonts w:cs="Arial"/>
          <w:szCs w:val="24"/>
          <w:vertAlign w:val="superscript"/>
          <w:lang w:eastAsia="fr-CA"/>
        </w:rPr>
        <w:t>me</w:t>
      </w:r>
      <w:r w:rsidR="009C5D0A">
        <w:rPr>
          <w:rFonts w:cs="Arial"/>
          <w:szCs w:val="24"/>
          <w:lang w:eastAsia="fr-CA"/>
        </w:rPr>
        <w:t> </w:t>
      </w:r>
      <w:r w:rsidR="00443B12">
        <w:rPr>
          <w:rFonts w:cs="Arial"/>
          <w:szCs w:val="24"/>
          <w:lang w:eastAsia="fr-CA"/>
        </w:rPr>
        <w:t xml:space="preserve">Jobin, </w:t>
      </w:r>
      <w:r w:rsidRPr="00DD45A5">
        <w:rPr>
          <w:rFonts w:cs="Arial"/>
          <w:szCs w:val="24"/>
          <w:lang w:eastAsia="fr-CA"/>
        </w:rPr>
        <w:t>et sa fiducie familiale</w:t>
      </w:r>
      <w:r>
        <w:rPr>
          <w:rStyle w:val="Appelnotedebasdep"/>
          <w:rFonts w:cs="Arial"/>
          <w:szCs w:val="24"/>
          <w:lang w:eastAsia="fr-CA"/>
        </w:rPr>
        <w:footnoteReference w:id="270"/>
      </w:r>
      <w:r w:rsidR="009C5D0A">
        <w:rPr>
          <w:rFonts w:cs="Arial"/>
          <w:szCs w:val="24"/>
          <w:lang w:eastAsia="fr-CA"/>
        </w:rPr>
        <w:t>.</w:t>
      </w:r>
    </w:p>
    <w:p w14:paraId="7E4AAA49" w14:textId="77777777" w:rsidR="00DD45A5" w:rsidRDefault="00730A01" w:rsidP="0098012F">
      <w:pPr>
        <w:pStyle w:val="Paragraphe"/>
        <w:tabs>
          <w:tab w:val="clear" w:pos="786"/>
        </w:tabs>
        <w:spacing w:line="240" w:lineRule="auto"/>
        <w:ind w:left="0"/>
        <w:rPr>
          <w:rFonts w:cs="Arial"/>
          <w:szCs w:val="24"/>
        </w:rPr>
      </w:pPr>
      <w:r w:rsidRPr="00DD45A5">
        <w:rPr>
          <w:rFonts w:cs="Arial"/>
          <w:szCs w:val="24"/>
          <w:lang w:eastAsia="fr-CA"/>
        </w:rPr>
        <w:t>Il est donc clair que Giroux détient le plein contrôle de cette entité, ce qui est plus amplement démontré par le fait que le 30</w:t>
      </w:r>
      <w:r w:rsidR="009C5D0A">
        <w:rPr>
          <w:rFonts w:cs="Arial"/>
          <w:szCs w:val="24"/>
          <w:lang w:eastAsia="fr-CA"/>
        </w:rPr>
        <w:t> </w:t>
      </w:r>
      <w:r w:rsidRPr="00DD45A5">
        <w:rPr>
          <w:rFonts w:cs="Arial"/>
          <w:szCs w:val="24"/>
          <w:lang w:eastAsia="fr-CA"/>
        </w:rPr>
        <w:t>juin</w:t>
      </w:r>
      <w:r w:rsidR="009C5D0A">
        <w:rPr>
          <w:rFonts w:cs="Arial"/>
          <w:szCs w:val="24"/>
          <w:lang w:eastAsia="fr-CA"/>
        </w:rPr>
        <w:t> </w:t>
      </w:r>
      <w:r w:rsidRPr="00DD45A5">
        <w:rPr>
          <w:rFonts w:cs="Arial"/>
          <w:szCs w:val="24"/>
          <w:lang w:eastAsia="fr-CA"/>
        </w:rPr>
        <w:t>2023, soit le même jour que la signification des procédures à Giroux</w:t>
      </w:r>
      <w:r>
        <w:rPr>
          <w:rStyle w:val="Appelnotedebasdep"/>
          <w:rFonts w:cs="Arial"/>
          <w:szCs w:val="24"/>
          <w:lang w:eastAsia="fr-CA"/>
        </w:rPr>
        <w:footnoteReference w:id="271"/>
      </w:r>
      <w:r w:rsidRPr="00DD45A5">
        <w:rPr>
          <w:rFonts w:cs="Arial"/>
          <w:szCs w:val="24"/>
          <w:lang w:eastAsia="fr-CA"/>
        </w:rPr>
        <w:t>, M</w:t>
      </w:r>
      <w:r w:rsidRPr="009C5D0A">
        <w:rPr>
          <w:rFonts w:cs="Arial"/>
          <w:szCs w:val="24"/>
          <w:vertAlign w:val="superscript"/>
          <w:lang w:eastAsia="fr-CA"/>
        </w:rPr>
        <w:t>me</w:t>
      </w:r>
      <w:r w:rsidR="009C5D0A">
        <w:rPr>
          <w:rFonts w:cs="Arial"/>
          <w:szCs w:val="24"/>
          <w:lang w:eastAsia="fr-CA"/>
        </w:rPr>
        <w:t> </w:t>
      </w:r>
      <w:r w:rsidRPr="00DD45A5">
        <w:rPr>
          <w:rFonts w:cs="Arial"/>
          <w:szCs w:val="24"/>
          <w:lang w:eastAsia="fr-CA"/>
        </w:rPr>
        <w:t>Jobin a démissionné de son rôle à titre d’administratrice</w:t>
      </w:r>
      <w:r>
        <w:rPr>
          <w:rStyle w:val="Appelnotedebasdep"/>
          <w:rFonts w:cs="Arial"/>
          <w:szCs w:val="24"/>
          <w:lang w:eastAsia="fr-CA"/>
        </w:rPr>
        <w:footnoteReference w:id="272"/>
      </w:r>
      <w:r w:rsidRPr="00DD45A5">
        <w:rPr>
          <w:rFonts w:cs="Arial"/>
          <w:szCs w:val="24"/>
          <w:lang w:eastAsia="fr-CA"/>
        </w:rPr>
        <w:t>, confirmant le caractère purement accessoire de son implication au sein de cette société ainsi que son absence de contrôle sur celle-ci.</w:t>
      </w:r>
    </w:p>
    <w:p w14:paraId="1173B68C" w14:textId="77777777" w:rsidR="00DD45A5" w:rsidRDefault="00730A01" w:rsidP="0098012F">
      <w:pPr>
        <w:pStyle w:val="Paragraphe"/>
        <w:tabs>
          <w:tab w:val="clear" w:pos="786"/>
        </w:tabs>
        <w:spacing w:line="240" w:lineRule="auto"/>
        <w:ind w:left="0"/>
        <w:rPr>
          <w:rFonts w:cs="Arial"/>
          <w:szCs w:val="24"/>
        </w:rPr>
      </w:pPr>
      <w:r w:rsidRPr="00DD45A5">
        <w:rPr>
          <w:rFonts w:cs="Arial"/>
          <w:szCs w:val="24"/>
          <w:lang w:eastAsia="fr-CA"/>
        </w:rPr>
        <w:t>La présence d’autres actionnaires au sein de 6646 et, de temps à autre, d’autres administrateurs, n’a aucunement eu pour effet de changer le fait que Giroux en détient le contrôle ultime et en est l’alter ego.</w:t>
      </w:r>
    </w:p>
    <w:p w14:paraId="1F2ECE6F" w14:textId="77777777" w:rsidR="00852048" w:rsidRPr="00DD45A5" w:rsidRDefault="00730A01" w:rsidP="0098012F">
      <w:pPr>
        <w:pStyle w:val="Paragraphe"/>
        <w:tabs>
          <w:tab w:val="clear" w:pos="786"/>
        </w:tabs>
        <w:spacing w:line="240" w:lineRule="auto"/>
        <w:ind w:left="0"/>
        <w:rPr>
          <w:rFonts w:cs="Arial"/>
          <w:szCs w:val="24"/>
        </w:rPr>
      </w:pPr>
      <w:r w:rsidRPr="00DD45A5">
        <w:rPr>
          <w:rFonts w:cs="Arial"/>
          <w:szCs w:val="24"/>
        </w:rPr>
        <w:t>Il importe aussi de préciser que le siège déclaré de 6646 est la résidence personnelle de Giroux</w:t>
      </w:r>
      <w:r>
        <w:rPr>
          <w:rStyle w:val="Appelnotedebasdep"/>
          <w:rFonts w:cs="Arial"/>
          <w:szCs w:val="24"/>
        </w:rPr>
        <w:footnoteReference w:id="273"/>
      </w:r>
      <w:r w:rsidRPr="00DD45A5">
        <w:rPr>
          <w:rFonts w:cs="Arial"/>
          <w:szCs w:val="24"/>
        </w:rPr>
        <w:t xml:space="preserve"> et que la DSS sur actifs de celui-ci démontre une confusion totale entre leurs biens et ceux des autres sociétés défenderesses</w:t>
      </w:r>
      <w:r w:rsidR="007637E1">
        <w:rPr>
          <w:rFonts w:cs="Arial"/>
          <w:szCs w:val="24"/>
        </w:rPr>
        <w:t>, par exemple</w:t>
      </w:r>
      <w:r w:rsidRPr="00DD45A5">
        <w:rPr>
          <w:rFonts w:cs="Arial"/>
          <w:szCs w:val="24"/>
        </w:rPr>
        <w:t> :</w:t>
      </w:r>
    </w:p>
    <w:p w14:paraId="61B24D4B" w14:textId="77777777" w:rsidR="008743D0" w:rsidRPr="005F709E" w:rsidRDefault="00730A01" w:rsidP="00443B59">
      <w:pPr>
        <w:pStyle w:val="Paragraphe"/>
        <w:numPr>
          <w:ilvl w:val="0"/>
          <w:numId w:val="46"/>
        </w:numPr>
        <w:spacing w:before="0" w:after="0" w:line="240" w:lineRule="auto"/>
        <w:ind w:left="1134" w:right="539" w:hanging="425"/>
        <w:rPr>
          <w:rFonts w:cs="Arial"/>
          <w:szCs w:val="24"/>
        </w:rPr>
      </w:pPr>
      <w:r w:rsidRPr="005F709E">
        <w:rPr>
          <w:rFonts w:cs="Arial"/>
          <w:szCs w:val="24"/>
        </w:rPr>
        <w:t>Tant la cave à vin, les équipements de bureau et les équipements informatiques situés à la résidence principale et au chalet de Giroux n’appartiennent qu’à 6646, Giroux ne déclarant quant à lui aucun actif de cette nature</w:t>
      </w:r>
      <w:r>
        <w:rPr>
          <w:rStyle w:val="Appelnotedebasdep"/>
          <w:rFonts w:cs="Arial"/>
          <w:szCs w:val="24"/>
        </w:rPr>
        <w:footnoteReference w:id="274"/>
      </w:r>
      <w:r w:rsidRPr="005F709E">
        <w:rPr>
          <w:rFonts w:cs="Arial"/>
          <w:szCs w:val="24"/>
        </w:rPr>
        <w:t>;</w:t>
      </w:r>
    </w:p>
    <w:p w14:paraId="104C0F57" w14:textId="77777777" w:rsidR="008743D0" w:rsidRPr="005F709E" w:rsidRDefault="00730A01" w:rsidP="00443B59">
      <w:pPr>
        <w:pStyle w:val="Paragraphe"/>
        <w:numPr>
          <w:ilvl w:val="0"/>
          <w:numId w:val="46"/>
        </w:numPr>
        <w:spacing w:after="0" w:line="240" w:lineRule="auto"/>
        <w:ind w:left="1134" w:right="539" w:hanging="425"/>
        <w:rPr>
          <w:rFonts w:cs="Arial"/>
          <w:szCs w:val="24"/>
        </w:rPr>
      </w:pPr>
      <w:r w:rsidRPr="005F709E">
        <w:rPr>
          <w:rFonts w:cs="Arial"/>
          <w:szCs w:val="24"/>
        </w:rPr>
        <w:t>Giroux a effectué un prêt de 3 343 321 $ à 6646</w:t>
      </w:r>
      <w:r>
        <w:rPr>
          <w:rStyle w:val="Appelnotedebasdep"/>
          <w:rFonts w:cs="Arial"/>
          <w:szCs w:val="24"/>
        </w:rPr>
        <w:footnoteReference w:id="275"/>
      </w:r>
      <w:r w:rsidRPr="005F709E">
        <w:rPr>
          <w:rFonts w:cs="Arial"/>
          <w:szCs w:val="24"/>
        </w:rPr>
        <w:t xml:space="preserve"> qui, pour sa part, lui a octroyé des avances qui totalisent près de 1,5 M$</w:t>
      </w:r>
      <w:r>
        <w:rPr>
          <w:rStyle w:val="Appelnotedebasdep"/>
          <w:rFonts w:cs="Arial"/>
          <w:szCs w:val="24"/>
        </w:rPr>
        <w:footnoteReference w:id="276"/>
      </w:r>
      <w:r w:rsidRPr="005F709E">
        <w:rPr>
          <w:rFonts w:cs="Arial"/>
          <w:szCs w:val="24"/>
          <w:lang w:eastAsia="fr-CA"/>
        </w:rPr>
        <w:t>;</w:t>
      </w:r>
    </w:p>
    <w:p w14:paraId="50F52EF5" w14:textId="77777777" w:rsidR="00F66E70" w:rsidRPr="005F709E" w:rsidRDefault="00730A01" w:rsidP="00443B59">
      <w:pPr>
        <w:pStyle w:val="Paragraphe"/>
        <w:numPr>
          <w:ilvl w:val="0"/>
          <w:numId w:val="46"/>
        </w:numPr>
        <w:spacing w:after="0" w:line="240" w:lineRule="auto"/>
        <w:ind w:left="1134" w:right="539" w:hanging="425"/>
        <w:rPr>
          <w:rFonts w:cs="Arial"/>
          <w:szCs w:val="24"/>
        </w:rPr>
      </w:pPr>
      <w:r w:rsidRPr="005F709E">
        <w:rPr>
          <w:rFonts w:cs="Arial"/>
          <w:szCs w:val="24"/>
          <w:lang w:eastAsia="fr-CA"/>
        </w:rPr>
        <w:t>9797 a effectué une avance à 8096 au montant de 76</w:t>
      </w:r>
      <w:r w:rsidR="008743D0" w:rsidRPr="005F709E">
        <w:rPr>
          <w:rFonts w:cs="Arial"/>
          <w:szCs w:val="24"/>
          <w:lang w:eastAsia="fr-CA"/>
        </w:rPr>
        <w:t> </w:t>
      </w:r>
      <w:r w:rsidRPr="005F709E">
        <w:rPr>
          <w:rFonts w:cs="Arial"/>
          <w:szCs w:val="24"/>
          <w:lang w:eastAsia="fr-CA"/>
        </w:rPr>
        <w:t>900</w:t>
      </w:r>
      <w:r w:rsidR="008743D0" w:rsidRPr="005F709E">
        <w:rPr>
          <w:rFonts w:cs="Arial"/>
          <w:szCs w:val="24"/>
          <w:lang w:eastAsia="fr-CA"/>
        </w:rPr>
        <w:t> </w:t>
      </w:r>
      <w:r w:rsidRPr="005F709E">
        <w:rPr>
          <w:rFonts w:cs="Arial"/>
          <w:szCs w:val="24"/>
          <w:lang w:eastAsia="fr-CA"/>
        </w:rPr>
        <w:t>$ et doit à X2 la</w:t>
      </w:r>
      <w:r w:rsidR="008743D0" w:rsidRPr="005F709E">
        <w:rPr>
          <w:rFonts w:cs="Arial"/>
          <w:szCs w:val="24"/>
          <w:lang w:eastAsia="fr-CA"/>
        </w:rPr>
        <w:t xml:space="preserve"> </w:t>
      </w:r>
      <w:r w:rsidRPr="005F709E">
        <w:rPr>
          <w:rFonts w:cs="Arial"/>
          <w:szCs w:val="24"/>
          <w:lang w:eastAsia="fr-CA"/>
        </w:rPr>
        <w:t>somme de 9</w:t>
      </w:r>
      <w:r w:rsidR="008743D0" w:rsidRPr="005F709E">
        <w:rPr>
          <w:rFonts w:cs="Arial"/>
          <w:szCs w:val="24"/>
          <w:lang w:eastAsia="fr-CA"/>
        </w:rPr>
        <w:t> </w:t>
      </w:r>
      <w:r w:rsidRPr="005F709E">
        <w:rPr>
          <w:rFonts w:cs="Arial"/>
          <w:szCs w:val="24"/>
          <w:lang w:eastAsia="fr-CA"/>
        </w:rPr>
        <w:t>616,05</w:t>
      </w:r>
      <w:r w:rsidR="008743D0" w:rsidRPr="005F709E">
        <w:rPr>
          <w:rFonts w:cs="Arial"/>
          <w:szCs w:val="24"/>
          <w:lang w:eastAsia="fr-CA"/>
        </w:rPr>
        <w:t> </w:t>
      </w:r>
      <w:r w:rsidRPr="005F709E">
        <w:rPr>
          <w:rFonts w:cs="Arial"/>
          <w:szCs w:val="24"/>
          <w:lang w:eastAsia="fr-CA"/>
        </w:rPr>
        <w:t>$</w:t>
      </w:r>
      <w:r>
        <w:rPr>
          <w:rStyle w:val="Appelnotedebasdep"/>
          <w:rFonts w:cs="Arial"/>
          <w:szCs w:val="24"/>
          <w:lang w:eastAsia="fr-CA"/>
        </w:rPr>
        <w:footnoteReference w:id="277"/>
      </w:r>
      <w:r w:rsidRPr="005F709E">
        <w:rPr>
          <w:rFonts w:cs="Arial"/>
          <w:szCs w:val="24"/>
          <w:lang w:eastAsia="fr-CA"/>
        </w:rPr>
        <w:t>;</w:t>
      </w:r>
    </w:p>
    <w:p w14:paraId="6917493D" w14:textId="77777777" w:rsidR="00510C58" w:rsidRDefault="00730A01" w:rsidP="0098012F">
      <w:pPr>
        <w:pStyle w:val="Paragraphe"/>
        <w:tabs>
          <w:tab w:val="clear" w:pos="786"/>
        </w:tabs>
        <w:spacing w:line="240" w:lineRule="auto"/>
        <w:ind w:left="0"/>
        <w:rPr>
          <w:rFonts w:cs="Arial"/>
          <w:szCs w:val="24"/>
          <w:lang w:eastAsia="fr-CA"/>
        </w:rPr>
      </w:pPr>
      <w:r w:rsidRPr="00451EF9">
        <w:rPr>
          <w:rFonts w:cs="Arial"/>
          <w:szCs w:val="24"/>
        </w:rPr>
        <w:t>Le</w:t>
      </w:r>
      <w:r w:rsidRPr="00451EF9">
        <w:rPr>
          <w:rFonts w:cs="Arial"/>
          <w:szCs w:val="24"/>
          <w:lang w:eastAsia="fr-CA"/>
        </w:rPr>
        <w:t xml:space="preserve"> par</w:t>
      </w:r>
      <w:r>
        <w:rPr>
          <w:rFonts w:cs="Arial"/>
          <w:szCs w:val="24"/>
          <w:lang w:eastAsia="fr-CA"/>
        </w:rPr>
        <w:t>agraphe</w:t>
      </w:r>
      <w:r w:rsidR="009C5D0A">
        <w:rPr>
          <w:rFonts w:cs="Arial"/>
          <w:szCs w:val="24"/>
          <w:lang w:eastAsia="fr-CA"/>
        </w:rPr>
        <w:t> </w:t>
      </w:r>
      <w:r w:rsidRPr="00451EF9">
        <w:rPr>
          <w:rFonts w:cs="Arial"/>
          <w:szCs w:val="24"/>
          <w:lang w:eastAsia="fr-CA"/>
        </w:rPr>
        <w:t xml:space="preserve">8 de la </w:t>
      </w:r>
      <w:r w:rsidRPr="00451EF9">
        <w:rPr>
          <w:rFonts w:cs="Arial"/>
          <w:i/>
          <w:iCs/>
          <w:szCs w:val="24"/>
          <w:lang w:eastAsia="fr-CA"/>
        </w:rPr>
        <w:t xml:space="preserve">Défense et demande reconventionnelle </w:t>
      </w:r>
      <w:r w:rsidRPr="00451EF9">
        <w:rPr>
          <w:rFonts w:cs="Arial"/>
          <w:szCs w:val="24"/>
          <w:lang w:eastAsia="fr-CA"/>
        </w:rPr>
        <w:t>du 22</w:t>
      </w:r>
      <w:r>
        <w:rPr>
          <w:rFonts w:cs="Arial"/>
          <w:szCs w:val="24"/>
          <w:lang w:eastAsia="fr-CA"/>
        </w:rPr>
        <w:t> </w:t>
      </w:r>
      <w:r w:rsidRPr="00451EF9">
        <w:rPr>
          <w:rFonts w:cs="Arial"/>
          <w:szCs w:val="24"/>
          <w:lang w:eastAsia="fr-CA"/>
        </w:rPr>
        <w:t>octobre</w:t>
      </w:r>
      <w:r>
        <w:rPr>
          <w:rFonts w:cs="Arial"/>
          <w:szCs w:val="24"/>
          <w:lang w:eastAsia="fr-CA"/>
        </w:rPr>
        <w:t> </w:t>
      </w:r>
      <w:r w:rsidRPr="00451EF9">
        <w:rPr>
          <w:rFonts w:cs="Arial"/>
          <w:szCs w:val="24"/>
          <w:lang w:eastAsia="fr-CA"/>
        </w:rPr>
        <w:t>2023 indique en effet</w:t>
      </w:r>
      <w:r w:rsidR="009C5D0A">
        <w:rPr>
          <w:rFonts w:cs="Arial"/>
          <w:szCs w:val="24"/>
          <w:lang w:eastAsia="fr-CA"/>
        </w:rPr>
        <w:t> </w:t>
      </w:r>
      <w:r w:rsidRPr="00451EF9">
        <w:rPr>
          <w:rFonts w:cs="Arial"/>
          <w:szCs w:val="24"/>
          <w:lang w:eastAsia="fr-CA"/>
        </w:rPr>
        <w:t xml:space="preserve">: </w:t>
      </w:r>
    </w:p>
    <w:p w14:paraId="3D619A01" w14:textId="77777777" w:rsidR="00510C58" w:rsidRDefault="00730A01" w:rsidP="00714C8F">
      <w:pPr>
        <w:pStyle w:val="Citationenretrait"/>
        <w:spacing w:before="0"/>
        <w:ind w:right="397"/>
        <w:rPr>
          <w:lang w:eastAsia="fr-CA"/>
        </w:rPr>
      </w:pPr>
      <w:r w:rsidRPr="00451EF9">
        <w:rPr>
          <w:lang w:eastAsia="fr-CA"/>
        </w:rPr>
        <w:t>(...) les</w:t>
      </w:r>
      <w:r>
        <w:rPr>
          <w:lang w:eastAsia="fr-CA"/>
        </w:rPr>
        <w:t xml:space="preserve"> </w:t>
      </w:r>
      <w:r w:rsidRPr="00451EF9">
        <w:rPr>
          <w:lang w:eastAsia="fr-CA"/>
        </w:rPr>
        <w:t>commandités et Défenderesses</w:t>
      </w:r>
      <w:r>
        <w:rPr>
          <w:lang w:eastAsia="fr-CA"/>
        </w:rPr>
        <w:t xml:space="preserve"> </w:t>
      </w:r>
      <w:r w:rsidRPr="00451EF9">
        <w:rPr>
          <w:lang w:eastAsia="fr-CA"/>
        </w:rPr>
        <w:t>1395 et 9797</w:t>
      </w:r>
      <w:r>
        <w:rPr>
          <w:lang w:eastAsia="fr-CA"/>
        </w:rPr>
        <w:t xml:space="preserve">, </w:t>
      </w:r>
      <w:r w:rsidRPr="00451EF9">
        <w:rPr>
          <w:lang w:eastAsia="fr-CA"/>
        </w:rPr>
        <w:t>sociétés contrôlées par</w:t>
      </w:r>
      <w:r>
        <w:rPr>
          <w:lang w:eastAsia="fr-CA"/>
        </w:rPr>
        <w:t xml:space="preserve"> </w:t>
      </w:r>
      <w:r w:rsidRPr="00451EF9">
        <w:rPr>
          <w:lang w:eastAsia="fr-CA"/>
        </w:rPr>
        <w:t>le Défendeur M.</w:t>
      </w:r>
      <w:r w:rsidR="009C5D0A">
        <w:rPr>
          <w:lang w:eastAsia="fr-CA"/>
        </w:rPr>
        <w:t> </w:t>
      </w:r>
      <w:r w:rsidRPr="00451EF9">
        <w:rPr>
          <w:lang w:eastAsia="fr-CA"/>
        </w:rPr>
        <w:t xml:space="preserve">Robert Giroux. </w:t>
      </w:r>
    </w:p>
    <w:p w14:paraId="645DE0F8" w14:textId="77777777" w:rsidR="00510C58" w:rsidRDefault="00730A01" w:rsidP="0098012F">
      <w:pPr>
        <w:pStyle w:val="Paragraphe"/>
        <w:tabs>
          <w:tab w:val="clear" w:pos="786"/>
        </w:tabs>
        <w:spacing w:line="240" w:lineRule="auto"/>
        <w:ind w:left="0"/>
        <w:rPr>
          <w:rFonts w:cs="Arial"/>
          <w:szCs w:val="24"/>
          <w:lang w:eastAsia="fr-CA"/>
        </w:rPr>
      </w:pPr>
      <w:r w:rsidRPr="00D15EEA">
        <w:rPr>
          <w:rFonts w:cs="Arial"/>
          <w:szCs w:val="24"/>
        </w:rPr>
        <w:t>Suivant</w:t>
      </w:r>
      <w:r w:rsidRPr="00D15EEA">
        <w:rPr>
          <w:rFonts w:cs="Arial"/>
          <w:szCs w:val="24"/>
          <w:lang w:eastAsia="fr-CA"/>
        </w:rPr>
        <w:t xml:space="preserve"> la modification de la Défense, cette allégation a été modifiée comme suit : </w:t>
      </w:r>
    </w:p>
    <w:p w14:paraId="008C6450" w14:textId="77777777" w:rsidR="00510C58" w:rsidRPr="00D15EEA" w:rsidRDefault="00730A01" w:rsidP="00714C8F">
      <w:pPr>
        <w:pStyle w:val="Citationenretrait"/>
        <w:spacing w:before="0"/>
        <w:ind w:right="397"/>
        <w:rPr>
          <w:rFonts w:cs="Arial"/>
          <w:sz w:val="24"/>
          <w:szCs w:val="24"/>
          <w:lang w:eastAsia="fr-CA"/>
        </w:rPr>
      </w:pPr>
      <w:r w:rsidRPr="00D15EEA">
        <w:rPr>
          <w:lang w:eastAsia="fr-CA"/>
        </w:rPr>
        <w:t>(...) 1395 et 9797 [...] sociétés contrôlées au fil des années par [...] M.</w:t>
      </w:r>
      <w:r w:rsidR="009C5D0A">
        <w:rPr>
          <w:lang w:eastAsia="fr-CA"/>
        </w:rPr>
        <w:t> </w:t>
      </w:r>
      <w:r w:rsidRPr="00D15EEA">
        <w:rPr>
          <w:lang w:eastAsia="fr-CA"/>
        </w:rPr>
        <w:t>Giroux et M.</w:t>
      </w:r>
      <w:r w:rsidR="00467FA7">
        <w:rPr>
          <w:lang w:eastAsia="fr-CA"/>
        </w:rPr>
        <w:t> </w:t>
      </w:r>
      <w:r w:rsidRPr="00D15EEA">
        <w:rPr>
          <w:lang w:eastAsia="fr-CA"/>
        </w:rPr>
        <w:t>St-G</w:t>
      </w:r>
      <w:r w:rsidRPr="00D15EEA">
        <w:rPr>
          <w:rFonts w:cs="Arial"/>
          <w:szCs w:val="24"/>
          <w:lang w:eastAsia="fr-CA"/>
        </w:rPr>
        <w:t xml:space="preserve">elais, </w:t>
      </w:r>
      <w:r w:rsidRPr="00D15EEA">
        <w:rPr>
          <w:rFonts w:cs="Arial"/>
          <w:sz w:val="24"/>
          <w:szCs w:val="24"/>
          <w:lang w:eastAsia="fr-CA"/>
        </w:rPr>
        <w:t>plus tard consultant via 0587.</w:t>
      </w:r>
    </w:p>
    <w:p w14:paraId="24F0F8DA" w14:textId="77777777" w:rsidR="00510C58" w:rsidRPr="00451EF9" w:rsidRDefault="00730A01" w:rsidP="0098012F">
      <w:pPr>
        <w:pStyle w:val="Paragraphe"/>
        <w:tabs>
          <w:tab w:val="clear" w:pos="786"/>
        </w:tabs>
        <w:spacing w:line="240" w:lineRule="auto"/>
        <w:ind w:left="0"/>
        <w:rPr>
          <w:rFonts w:cs="Arial"/>
          <w:szCs w:val="24"/>
          <w:lang w:eastAsia="fr-CA"/>
        </w:rPr>
      </w:pPr>
      <w:r>
        <w:rPr>
          <w:rFonts w:cs="Arial"/>
          <w:szCs w:val="24"/>
          <w:lang w:eastAsia="fr-CA"/>
        </w:rPr>
        <w:t>M</w:t>
      </w:r>
      <w:r w:rsidRPr="00451EF9">
        <w:rPr>
          <w:rFonts w:cs="Arial"/>
          <w:szCs w:val="24"/>
          <w:lang w:eastAsia="fr-CA"/>
        </w:rPr>
        <w:t>ême si la société 0587 (St-Gelais) est également actionnaire de 1395,</w:t>
      </w:r>
      <w:r w:rsidR="000B349A">
        <w:rPr>
          <w:rFonts w:cs="Arial"/>
          <w:szCs w:val="24"/>
          <w:lang w:eastAsia="fr-CA"/>
        </w:rPr>
        <w:t xml:space="preserve"> comme mentionné précédemment,</w:t>
      </w:r>
      <w:r w:rsidRPr="00451EF9">
        <w:rPr>
          <w:rFonts w:cs="Arial"/>
          <w:szCs w:val="24"/>
          <w:lang w:eastAsia="fr-CA"/>
        </w:rPr>
        <w:t xml:space="preserve"> la </w:t>
      </w:r>
      <w:r w:rsidRPr="00451EF9">
        <w:rPr>
          <w:rFonts w:eastAsia="ArialMT" w:cs="Arial"/>
          <w:szCs w:val="24"/>
          <w:lang w:eastAsia="fr-CA"/>
        </w:rPr>
        <w:t>preuve révèle que cette structure n’a été mise en place qu’à des fins fiscales</w:t>
      </w:r>
      <w:r>
        <w:rPr>
          <w:rStyle w:val="Appelnotedebasdep"/>
          <w:rFonts w:eastAsia="ArialMT" w:cs="Arial"/>
          <w:szCs w:val="24"/>
          <w:lang w:eastAsia="fr-CA"/>
        </w:rPr>
        <w:footnoteReference w:id="278"/>
      </w:r>
      <w:r w:rsidRPr="00451EF9">
        <w:rPr>
          <w:rFonts w:eastAsia="ArialMT" w:cs="Arial"/>
          <w:szCs w:val="24"/>
          <w:lang w:eastAsia="fr-CA"/>
        </w:rPr>
        <w:t xml:space="preserve"> </w:t>
      </w:r>
      <w:r w:rsidRPr="00451EF9">
        <w:rPr>
          <w:rFonts w:cs="Arial"/>
          <w:szCs w:val="24"/>
          <w:lang w:eastAsia="fr-CA"/>
        </w:rPr>
        <w:t>et que ni 0587 ni St-</w:t>
      </w:r>
      <w:r w:rsidRPr="00451EF9">
        <w:rPr>
          <w:rFonts w:eastAsia="ArialMT" w:cs="Arial"/>
          <w:szCs w:val="24"/>
          <w:lang w:eastAsia="fr-CA"/>
        </w:rPr>
        <w:t>Gelais n’exerçaient un contrôle quelconque sur les affaires de 1395 ou de FIISH.</w:t>
      </w:r>
    </w:p>
    <w:p w14:paraId="4B8787FB" w14:textId="77777777" w:rsidR="00852048" w:rsidRPr="00F66E70" w:rsidRDefault="00730A01" w:rsidP="00443B59">
      <w:pPr>
        <w:pStyle w:val="Paragraphe"/>
        <w:numPr>
          <w:ilvl w:val="0"/>
          <w:numId w:val="46"/>
        </w:numPr>
        <w:spacing w:line="240" w:lineRule="auto"/>
        <w:ind w:left="1134" w:hanging="425"/>
        <w:rPr>
          <w:rFonts w:cs="Arial"/>
          <w:szCs w:val="24"/>
        </w:rPr>
      </w:pPr>
      <w:r w:rsidRPr="007637E1">
        <w:rPr>
          <w:rFonts w:cs="Arial"/>
          <w:b/>
          <w:bCs/>
          <w:szCs w:val="24"/>
          <w:lang w:eastAsia="fr-CA"/>
        </w:rPr>
        <w:t>6646</w:t>
      </w:r>
      <w:r w:rsidRPr="00F66E70">
        <w:rPr>
          <w:rFonts w:cs="Arial"/>
          <w:szCs w:val="24"/>
          <w:lang w:eastAsia="fr-CA"/>
        </w:rPr>
        <w:t xml:space="preserve"> a :</w:t>
      </w:r>
    </w:p>
    <w:p w14:paraId="297883C9" w14:textId="77777777" w:rsidR="00852048" w:rsidRPr="005279FC" w:rsidRDefault="00730A01" w:rsidP="00443B59">
      <w:pPr>
        <w:pStyle w:val="Citationenretrait"/>
        <w:numPr>
          <w:ilvl w:val="0"/>
          <w:numId w:val="47"/>
        </w:numPr>
        <w:spacing w:before="0" w:after="0"/>
        <w:ind w:left="1434" w:right="397" w:hanging="357"/>
        <w:rPr>
          <w:lang w:eastAsia="fr-CA"/>
        </w:rPr>
      </w:pPr>
      <w:r>
        <w:rPr>
          <w:rFonts w:eastAsia="ArialMT"/>
        </w:rPr>
        <w:t>O</w:t>
      </w:r>
      <w:r w:rsidRPr="005279FC">
        <w:rPr>
          <w:lang w:eastAsia="fr-CA"/>
        </w:rPr>
        <w:t>ctroyé une avance à Giroux pour la somme</w:t>
      </w:r>
      <w:r w:rsidR="005279FC">
        <w:rPr>
          <w:lang w:eastAsia="fr-CA"/>
        </w:rPr>
        <w:t xml:space="preserve"> </w:t>
      </w:r>
      <w:r w:rsidRPr="005279FC">
        <w:rPr>
          <w:lang w:eastAsia="fr-CA"/>
        </w:rPr>
        <w:t>de 1</w:t>
      </w:r>
      <w:r w:rsidR="005279FC">
        <w:rPr>
          <w:lang w:eastAsia="fr-CA"/>
        </w:rPr>
        <w:t> </w:t>
      </w:r>
      <w:r w:rsidRPr="005279FC">
        <w:rPr>
          <w:lang w:eastAsia="fr-CA"/>
        </w:rPr>
        <w:t>489</w:t>
      </w:r>
      <w:r w:rsidR="005279FC">
        <w:rPr>
          <w:lang w:eastAsia="fr-CA"/>
        </w:rPr>
        <w:t> </w:t>
      </w:r>
      <w:r w:rsidRPr="005279FC">
        <w:rPr>
          <w:lang w:eastAsia="fr-CA"/>
        </w:rPr>
        <w:t>917,33</w:t>
      </w:r>
      <w:r w:rsidR="005279FC">
        <w:rPr>
          <w:lang w:eastAsia="fr-CA"/>
        </w:rPr>
        <w:t> </w:t>
      </w:r>
      <w:r w:rsidRPr="005279FC">
        <w:rPr>
          <w:lang w:eastAsia="fr-CA"/>
        </w:rPr>
        <w:t>$</w:t>
      </w:r>
      <w:r>
        <w:rPr>
          <w:rStyle w:val="Appelnotedebasdep"/>
          <w:rFonts w:cs="Arial"/>
          <w:szCs w:val="24"/>
          <w:lang w:eastAsia="fr-CA"/>
        </w:rPr>
        <w:footnoteReference w:id="279"/>
      </w:r>
      <w:r w:rsidRPr="005279FC">
        <w:rPr>
          <w:lang w:eastAsia="fr-CA"/>
        </w:rPr>
        <w:t>;</w:t>
      </w:r>
    </w:p>
    <w:p w14:paraId="0F647EDA" w14:textId="77777777" w:rsidR="00852048" w:rsidRPr="005279FC" w:rsidRDefault="00730A01" w:rsidP="00443B59">
      <w:pPr>
        <w:pStyle w:val="Citationenretrait"/>
        <w:numPr>
          <w:ilvl w:val="0"/>
          <w:numId w:val="47"/>
        </w:numPr>
        <w:spacing w:after="0"/>
        <w:ind w:left="1434" w:right="397" w:hanging="357"/>
        <w:rPr>
          <w:lang w:eastAsia="fr-CA"/>
        </w:rPr>
      </w:pPr>
      <w:r w:rsidRPr="005279FC">
        <w:rPr>
          <w:lang w:eastAsia="fr-CA"/>
        </w:rPr>
        <w:t>Octroyé un prêt de 4</w:t>
      </w:r>
      <w:r w:rsidR="005279FC">
        <w:rPr>
          <w:lang w:eastAsia="fr-CA"/>
        </w:rPr>
        <w:t> </w:t>
      </w:r>
      <w:r w:rsidRPr="005279FC">
        <w:rPr>
          <w:lang w:eastAsia="fr-CA"/>
        </w:rPr>
        <w:t>M$ à 8096, dont les intérêts semblent impayés</w:t>
      </w:r>
      <w:r>
        <w:rPr>
          <w:rStyle w:val="Appelnotedebasdep"/>
          <w:rFonts w:cs="Arial"/>
          <w:szCs w:val="24"/>
          <w:lang w:eastAsia="fr-CA"/>
        </w:rPr>
        <w:footnoteReference w:id="280"/>
      </w:r>
      <w:r w:rsidR="005279FC">
        <w:rPr>
          <w:lang w:eastAsia="fr-CA"/>
        </w:rPr>
        <w:t>;</w:t>
      </w:r>
    </w:p>
    <w:p w14:paraId="1D6339F4" w14:textId="77777777" w:rsidR="00852048" w:rsidRPr="005279FC" w:rsidRDefault="00730A01" w:rsidP="00443B59">
      <w:pPr>
        <w:pStyle w:val="Citationenretrait"/>
        <w:numPr>
          <w:ilvl w:val="0"/>
          <w:numId w:val="47"/>
        </w:numPr>
        <w:spacing w:after="0"/>
        <w:ind w:left="1434" w:right="397" w:hanging="357"/>
        <w:rPr>
          <w:lang w:eastAsia="fr-CA"/>
        </w:rPr>
      </w:pPr>
      <w:r w:rsidRPr="005279FC">
        <w:rPr>
          <w:lang w:eastAsia="fr-CA"/>
        </w:rPr>
        <w:t>Octroyé une avance de 400</w:t>
      </w:r>
      <w:r w:rsidR="005279FC" w:rsidRPr="005279FC">
        <w:rPr>
          <w:lang w:eastAsia="fr-CA"/>
        </w:rPr>
        <w:t> </w:t>
      </w:r>
      <w:r w:rsidRPr="005279FC">
        <w:rPr>
          <w:lang w:eastAsia="fr-CA"/>
        </w:rPr>
        <w:t>000</w:t>
      </w:r>
      <w:r w:rsidR="005279FC" w:rsidRPr="005279FC">
        <w:rPr>
          <w:lang w:eastAsia="fr-CA"/>
        </w:rPr>
        <w:t> </w:t>
      </w:r>
      <w:r w:rsidRPr="005279FC">
        <w:rPr>
          <w:lang w:eastAsia="fr-CA"/>
        </w:rPr>
        <w:t>$ à 8096</w:t>
      </w:r>
      <w:r>
        <w:rPr>
          <w:rStyle w:val="Appelnotedebasdep"/>
          <w:rFonts w:cs="Arial"/>
          <w:szCs w:val="24"/>
          <w:lang w:eastAsia="fr-CA"/>
        </w:rPr>
        <w:footnoteReference w:id="281"/>
      </w:r>
      <w:r w:rsidRPr="005279FC">
        <w:rPr>
          <w:lang w:eastAsia="fr-CA"/>
        </w:rPr>
        <w:t>, sans</w:t>
      </w:r>
      <w:r w:rsidR="005279FC" w:rsidRPr="005279FC">
        <w:rPr>
          <w:lang w:eastAsia="fr-CA"/>
        </w:rPr>
        <w:t xml:space="preserve"> </w:t>
      </w:r>
      <w:r w:rsidRPr="005279FC">
        <w:rPr>
          <w:lang w:eastAsia="fr-CA"/>
        </w:rPr>
        <w:t>aucune documentation pour la constater</w:t>
      </w:r>
      <w:r>
        <w:rPr>
          <w:rStyle w:val="Appelnotedebasdep"/>
          <w:rFonts w:cs="Arial"/>
          <w:szCs w:val="24"/>
          <w:lang w:eastAsia="fr-CA"/>
        </w:rPr>
        <w:footnoteReference w:id="282"/>
      </w:r>
      <w:r w:rsidRPr="005279FC">
        <w:rPr>
          <w:lang w:eastAsia="fr-CA"/>
        </w:rPr>
        <w:t>;</w:t>
      </w:r>
    </w:p>
    <w:p w14:paraId="02B3076F" w14:textId="77777777" w:rsidR="00852048" w:rsidRPr="005279FC" w:rsidRDefault="00730A01" w:rsidP="00443B59">
      <w:pPr>
        <w:pStyle w:val="Citationenretrait"/>
        <w:numPr>
          <w:ilvl w:val="0"/>
          <w:numId w:val="47"/>
        </w:numPr>
        <w:spacing w:after="0"/>
        <w:ind w:left="1434" w:right="397" w:hanging="357"/>
        <w:rPr>
          <w:lang w:eastAsia="fr-CA"/>
        </w:rPr>
      </w:pPr>
      <w:r w:rsidRPr="005279FC">
        <w:rPr>
          <w:lang w:eastAsia="fr-CA"/>
        </w:rPr>
        <w:t>Octroyé une avance de 2,3</w:t>
      </w:r>
      <w:r w:rsidR="00F66E70">
        <w:rPr>
          <w:lang w:eastAsia="fr-CA"/>
        </w:rPr>
        <w:t> </w:t>
      </w:r>
      <w:r w:rsidRPr="005279FC">
        <w:rPr>
          <w:lang w:eastAsia="fr-CA"/>
        </w:rPr>
        <w:t>M$ à X2</w:t>
      </w:r>
      <w:r>
        <w:rPr>
          <w:rStyle w:val="Appelnotedebasdep"/>
          <w:rFonts w:cs="Arial"/>
          <w:szCs w:val="24"/>
          <w:lang w:eastAsia="fr-CA"/>
        </w:rPr>
        <w:footnoteReference w:id="283"/>
      </w:r>
      <w:r w:rsidRPr="005279FC">
        <w:rPr>
          <w:lang w:eastAsia="fr-CA"/>
        </w:rPr>
        <w:t>;</w:t>
      </w:r>
    </w:p>
    <w:p w14:paraId="2930CCDF" w14:textId="77777777" w:rsidR="00852048" w:rsidRPr="00F66E70" w:rsidRDefault="00730A01" w:rsidP="00443B59">
      <w:pPr>
        <w:pStyle w:val="Citationenretrait"/>
        <w:numPr>
          <w:ilvl w:val="0"/>
          <w:numId w:val="47"/>
        </w:numPr>
        <w:spacing w:after="0"/>
        <w:ind w:left="1434" w:right="397" w:hanging="357"/>
        <w:rPr>
          <w:lang w:eastAsia="fr-CA"/>
        </w:rPr>
      </w:pPr>
      <w:r w:rsidRPr="005279FC">
        <w:rPr>
          <w:lang w:eastAsia="fr-CA"/>
        </w:rPr>
        <w:t>Effectué un placement de 21</w:t>
      </w:r>
      <w:r w:rsidR="00F66E70">
        <w:rPr>
          <w:lang w:eastAsia="fr-CA"/>
        </w:rPr>
        <w:t> </w:t>
      </w:r>
      <w:r w:rsidRPr="005279FC">
        <w:rPr>
          <w:lang w:eastAsia="fr-CA"/>
        </w:rPr>
        <w:t>842</w:t>
      </w:r>
      <w:r w:rsidR="00F66E70">
        <w:rPr>
          <w:lang w:eastAsia="fr-CA"/>
        </w:rPr>
        <w:t> </w:t>
      </w:r>
      <w:r w:rsidRPr="005279FC">
        <w:rPr>
          <w:lang w:eastAsia="fr-CA"/>
        </w:rPr>
        <w:t>959,43</w:t>
      </w:r>
      <w:r w:rsidR="00F66E70">
        <w:rPr>
          <w:lang w:eastAsia="fr-CA"/>
        </w:rPr>
        <w:t> </w:t>
      </w:r>
      <w:r w:rsidRPr="005279FC">
        <w:rPr>
          <w:lang w:eastAsia="fr-CA"/>
        </w:rPr>
        <w:t>$ dans 8096</w:t>
      </w:r>
      <w:r>
        <w:rPr>
          <w:rStyle w:val="Appelnotedebasdep"/>
          <w:rFonts w:cs="Arial"/>
          <w:szCs w:val="24"/>
          <w:lang w:eastAsia="fr-CA"/>
        </w:rPr>
        <w:footnoteReference w:id="284"/>
      </w:r>
      <w:r w:rsidR="00F66E70">
        <w:rPr>
          <w:lang w:eastAsia="fr-CA"/>
        </w:rPr>
        <w:t>;</w:t>
      </w:r>
    </w:p>
    <w:p w14:paraId="50304C8C" w14:textId="77777777" w:rsidR="00852048" w:rsidRPr="00F66E70" w:rsidRDefault="00730A01" w:rsidP="00443B59">
      <w:pPr>
        <w:pStyle w:val="Citationenretrait"/>
        <w:numPr>
          <w:ilvl w:val="0"/>
          <w:numId w:val="47"/>
        </w:numPr>
        <w:spacing w:after="0"/>
        <w:ind w:left="1434" w:right="397" w:hanging="357"/>
        <w:rPr>
          <w:lang w:eastAsia="fr-CA"/>
        </w:rPr>
      </w:pPr>
      <w:r w:rsidRPr="005279FC">
        <w:rPr>
          <w:lang w:eastAsia="fr-CA"/>
        </w:rPr>
        <w:t>Un billet à payer envers FFRG (Fiducie Familiale Robert Giroux) au</w:t>
      </w:r>
      <w:r w:rsidR="00F66E70">
        <w:rPr>
          <w:lang w:eastAsia="fr-CA"/>
        </w:rPr>
        <w:t xml:space="preserve"> </w:t>
      </w:r>
      <w:r w:rsidRPr="00F66E70">
        <w:rPr>
          <w:lang w:eastAsia="fr-CA"/>
        </w:rPr>
        <w:t>montant de 16</w:t>
      </w:r>
      <w:r w:rsidR="00F66E70">
        <w:rPr>
          <w:lang w:eastAsia="fr-CA"/>
        </w:rPr>
        <w:t> </w:t>
      </w:r>
      <w:r w:rsidRPr="00F66E70">
        <w:rPr>
          <w:lang w:eastAsia="fr-CA"/>
        </w:rPr>
        <w:t>990,11</w:t>
      </w:r>
      <w:r w:rsidR="00F66E70">
        <w:rPr>
          <w:lang w:eastAsia="fr-CA"/>
        </w:rPr>
        <w:t> </w:t>
      </w:r>
      <w:r w:rsidRPr="00F66E70">
        <w:rPr>
          <w:lang w:eastAsia="fr-CA"/>
        </w:rPr>
        <w:t>$</w:t>
      </w:r>
      <w:r>
        <w:rPr>
          <w:rStyle w:val="Appelnotedebasdep"/>
          <w:rFonts w:cs="Arial"/>
          <w:szCs w:val="24"/>
          <w:lang w:eastAsia="fr-CA"/>
        </w:rPr>
        <w:footnoteReference w:id="285"/>
      </w:r>
      <w:r w:rsidRPr="00F66E70">
        <w:rPr>
          <w:lang w:eastAsia="fr-CA"/>
        </w:rPr>
        <w:t>;</w:t>
      </w:r>
    </w:p>
    <w:p w14:paraId="67F576EA" w14:textId="77777777" w:rsidR="00852048" w:rsidRPr="00F66E70" w:rsidRDefault="00730A01" w:rsidP="00443B59">
      <w:pPr>
        <w:pStyle w:val="Citationenretrait"/>
        <w:numPr>
          <w:ilvl w:val="0"/>
          <w:numId w:val="47"/>
        </w:numPr>
        <w:spacing w:after="0"/>
        <w:ind w:left="1434" w:right="397" w:hanging="357"/>
        <w:rPr>
          <w:lang w:eastAsia="fr-CA"/>
        </w:rPr>
      </w:pPr>
      <w:r w:rsidRPr="005279FC">
        <w:rPr>
          <w:rFonts w:eastAsia="ArialMT"/>
        </w:rPr>
        <w:t>U</w:t>
      </w:r>
      <w:r w:rsidRPr="005279FC">
        <w:rPr>
          <w:lang w:eastAsia="fr-CA"/>
        </w:rPr>
        <w:t>n effet à payer à Giroux de 3</w:t>
      </w:r>
      <w:r w:rsidR="00F66E70">
        <w:rPr>
          <w:lang w:eastAsia="fr-CA"/>
        </w:rPr>
        <w:t> </w:t>
      </w:r>
      <w:r w:rsidRPr="005279FC">
        <w:rPr>
          <w:lang w:eastAsia="fr-CA"/>
        </w:rPr>
        <w:t>343</w:t>
      </w:r>
      <w:r w:rsidR="00F66E70">
        <w:rPr>
          <w:lang w:eastAsia="fr-CA"/>
        </w:rPr>
        <w:t> </w:t>
      </w:r>
      <w:r w:rsidRPr="005279FC">
        <w:rPr>
          <w:lang w:eastAsia="fr-CA"/>
        </w:rPr>
        <w:t>321</w:t>
      </w:r>
      <w:r w:rsidR="00F66E70">
        <w:rPr>
          <w:lang w:eastAsia="fr-CA"/>
        </w:rPr>
        <w:t> </w:t>
      </w:r>
      <w:r w:rsidRPr="005279FC">
        <w:rPr>
          <w:lang w:eastAsia="fr-CA"/>
        </w:rPr>
        <w:t>$</w:t>
      </w:r>
      <w:r>
        <w:rPr>
          <w:rStyle w:val="Appelnotedebasdep"/>
          <w:rFonts w:cs="Arial"/>
          <w:szCs w:val="24"/>
          <w:lang w:eastAsia="fr-CA"/>
        </w:rPr>
        <w:footnoteReference w:id="286"/>
      </w:r>
      <w:r w:rsidRPr="00F66E70">
        <w:rPr>
          <w:lang w:eastAsia="fr-CA"/>
        </w:rPr>
        <w:t>;</w:t>
      </w:r>
    </w:p>
    <w:p w14:paraId="4EDFE9F7" w14:textId="77777777" w:rsidR="00852048" w:rsidRPr="00F66E70" w:rsidRDefault="00730A01" w:rsidP="00443B59">
      <w:pPr>
        <w:pStyle w:val="Citationenretrait"/>
        <w:numPr>
          <w:ilvl w:val="0"/>
          <w:numId w:val="47"/>
        </w:numPr>
        <w:spacing w:after="0"/>
        <w:ind w:left="1434" w:right="397" w:hanging="357"/>
        <w:rPr>
          <w:lang w:eastAsia="fr-CA"/>
        </w:rPr>
      </w:pPr>
      <w:r w:rsidRPr="005279FC">
        <w:rPr>
          <w:lang w:eastAsia="fr-CA"/>
        </w:rPr>
        <w:t>Un dû à Fiducie Robert Giroux de 258</w:t>
      </w:r>
      <w:r w:rsidR="00F66E70">
        <w:rPr>
          <w:lang w:eastAsia="fr-CA"/>
        </w:rPr>
        <w:t> </w:t>
      </w:r>
      <w:r w:rsidRPr="005279FC">
        <w:rPr>
          <w:lang w:eastAsia="fr-CA"/>
        </w:rPr>
        <w:t>461,14</w:t>
      </w:r>
      <w:r w:rsidR="00F66E70">
        <w:rPr>
          <w:lang w:eastAsia="fr-CA"/>
        </w:rPr>
        <w:t> </w:t>
      </w:r>
      <w:r w:rsidRPr="005279FC">
        <w:rPr>
          <w:lang w:eastAsia="fr-CA"/>
        </w:rPr>
        <w:t>$</w:t>
      </w:r>
      <w:r>
        <w:rPr>
          <w:rStyle w:val="Appelnotedebasdep"/>
          <w:rFonts w:cs="Arial"/>
          <w:szCs w:val="24"/>
          <w:lang w:eastAsia="fr-CA"/>
        </w:rPr>
        <w:footnoteReference w:id="287"/>
      </w:r>
      <w:r w:rsidRPr="00F66E70">
        <w:rPr>
          <w:lang w:eastAsia="fr-CA"/>
        </w:rPr>
        <w:t>;</w:t>
      </w:r>
    </w:p>
    <w:p w14:paraId="7F1F8557" w14:textId="77777777" w:rsidR="00852048" w:rsidRPr="005279FC" w:rsidRDefault="00730A01" w:rsidP="00443B59">
      <w:pPr>
        <w:pStyle w:val="Citationenretrait"/>
        <w:numPr>
          <w:ilvl w:val="0"/>
          <w:numId w:val="47"/>
        </w:numPr>
        <w:spacing w:after="0"/>
        <w:ind w:left="1434" w:right="397" w:hanging="357"/>
        <w:rPr>
          <w:lang w:eastAsia="fr-CA"/>
        </w:rPr>
      </w:pPr>
      <w:r w:rsidRPr="005279FC">
        <w:rPr>
          <w:lang w:eastAsia="fr-CA"/>
        </w:rPr>
        <w:t>Un dû à 8096 de 15</w:t>
      </w:r>
      <w:r w:rsidR="00F66E70">
        <w:rPr>
          <w:lang w:eastAsia="fr-CA"/>
        </w:rPr>
        <w:t> </w:t>
      </w:r>
      <w:r w:rsidRPr="005279FC">
        <w:rPr>
          <w:lang w:eastAsia="fr-CA"/>
        </w:rPr>
        <w:t>890</w:t>
      </w:r>
      <w:r w:rsidR="00F66E70">
        <w:rPr>
          <w:lang w:eastAsia="fr-CA"/>
        </w:rPr>
        <w:t> </w:t>
      </w:r>
      <w:r w:rsidRPr="005279FC">
        <w:rPr>
          <w:lang w:eastAsia="fr-CA"/>
        </w:rPr>
        <w:t>250,73</w:t>
      </w:r>
      <w:r w:rsidR="00F66E70">
        <w:rPr>
          <w:lang w:eastAsia="fr-CA"/>
        </w:rPr>
        <w:t> </w:t>
      </w:r>
      <w:r w:rsidRPr="005279FC">
        <w:rPr>
          <w:lang w:eastAsia="fr-CA"/>
        </w:rPr>
        <w:t>$</w:t>
      </w:r>
      <w:r>
        <w:rPr>
          <w:rStyle w:val="Appelnotedebasdep"/>
          <w:rFonts w:cs="Arial"/>
          <w:szCs w:val="24"/>
          <w:lang w:eastAsia="fr-CA"/>
        </w:rPr>
        <w:footnoteReference w:id="288"/>
      </w:r>
      <w:r w:rsidRPr="005279FC">
        <w:rPr>
          <w:lang w:eastAsia="fr-CA"/>
        </w:rPr>
        <w:t>;</w:t>
      </w:r>
    </w:p>
    <w:p w14:paraId="774B47EC" w14:textId="77777777" w:rsidR="00852048" w:rsidRPr="005279FC" w:rsidRDefault="00730A01" w:rsidP="00443B59">
      <w:pPr>
        <w:pStyle w:val="Citationenretrait"/>
        <w:numPr>
          <w:ilvl w:val="0"/>
          <w:numId w:val="47"/>
        </w:numPr>
        <w:spacing w:after="0"/>
        <w:ind w:left="1434" w:right="397" w:hanging="357"/>
        <w:rPr>
          <w:lang w:eastAsia="fr-CA"/>
        </w:rPr>
      </w:pPr>
      <w:r w:rsidRPr="005279FC">
        <w:rPr>
          <w:lang w:eastAsia="fr-CA"/>
        </w:rPr>
        <w:t>Un dû à X2 de 8</w:t>
      </w:r>
      <w:r w:rsidR="00F66E70">
        <w:rPr>
          <w:lang w:eastAsia="fr-CA"/>
        </w:rPr>
        <w:t> </w:t>
      </w:r>
      <w:r w:rsidRPr="005279FC">
        <w:rPr>
          <w:lang w:eastAsia="fr-CA"/>
        </w:rPr>
        <w:t>675</w:t>
      </w:r>
      <w:r w:rsidR="00F66E70">
        <w:rPr>
          <w:lang w:eastAsia="fr-CA"/>
        </w:rPr>
        <w:t> </w:t>
      </w:r>
      <w:r w:rsidRPr="005279FC">
        <w:rPr>
          <w:lang w:eastAsia="fr-CA"/>
        </w:rPr>
        <w:t>175,07$</w:t>
      </w:r>
      <w:r>
        <w:rPr>
          <w:rStyle w:val="Appelnotedebasdep"/>
          <w:rFonts w:cs="Arial"/>
          <w:szCs w:val="24"/>
          <w:lang w:eastAsia="fr-CA"/>
        </w:rPr>
        <w:footnoteReference w:id="289"/>
      </w:r>
      <w:r w:rsidRPr="005279FC">
        <w:rPr>
          <w:lang w:eastAsia="fr-CA"/>
        </w:rPr>
        <w:t>;</w:t>
      </w:r>
    </w:p>
    <w:p w14:paraId="1E13298A" w14:textId="77777777" w:rsidR="00852048" w:rsidRPr="00F66E70" w:rsidRDefault="00730A01" w:rsidP="00443B59">
      <w:pPr>
        <w:pStyle w:val="Citationenretrait"/>
        <w:numPr>
          <w:ilvl w:val="0"/>
          <w:numId w:val="47"/>
        </w:numPr>
        <w:spacing w:after="0"/>
        <w:ind w:left="1434" w:right="397" w:hanging="357"/>
        <w:rPr>
          <w:lang w:eastAsia="fr-CA"/>
        </w:rPr>
      </w:pPr>
      <w:r w:rsidRPr="005279FC">
        <w:rPr>
          <w:lang w:eastAsia="fr-CA"/>
        </w:rPr>
        <w:t>Un dû à payer à Fiducie Familiale Robert Giroux du 56</w:t>
      </w:r>
      <w:r w:rsidR="00F66E70">
        <w:rPr>
          <w:lang w:eastAsia="fr-CA"/>
        </w:rPr>
        <w:t> </w:t>
      </w:r>
      <w:r w:rsidRPr="005279FC">
        <w:rPr>
          <w:lang w:eastAsia="fr-CA"/>
        </w:rPr>
        <w:t>550,04</w:t>
      </w:r>
      <w:r w:rsidR="00F66E70">
        <w:rPr>
          <w:lang w:eastAsia="fr-CA"/>
        </w:rPr>
        <w:t> </w:t>
      </w:r>
      <w:r w:rsidRPr="005279FC">
        <w:rPr>
          <w:lang w:eastAsia="fr-CA"/>
        </w:rPr>
        <w:t>$</w:t>
      </w:r>
      <w:r>
        <w:rPr>
          <w:rStyle w:val="Appelnotedebasdep"/>
          <w:rFonts w:cs="Arial"/>
          <w:szCs w:val="24"/>
          <w:lang w:eastAsia="fr-CA"/>
        </w:rPr>
        <w:footnoteReference w:id="290"/>
      </w:r>
      <w:r w:rsidRPr="00F66E70">
        <w:rPr>
          <w:lang w:eastAsia="fr-CA"/>
        </w:rPr>
        <w:t>; et</w:t>
      </w:r>
    </w:p>
    <w:p w14:paraId="602D4FE6" w14:textId="77777777" w:rsidR="00F66E70" w:rsidRDefault="00730A01" w:rsidP="00443B59">
      <w:pPr>
        <w:pStyle w:val="Citationenretrait"/>
        <w:numPr>
          <w:ilvl w:val="0"/>
          <w:numId w:val="47"/>
        </w:numPr>
        <w:spacing w:after="0"/>
        <w:ind w:left="1434" w:right="397" w:hanging="357"/>
        <w:rPr>
          <w:lang w:eastAsia="fr-CA"/>
        </w:rPr>
      </w:pPr>
      <w:r w:rsidRPr="005279FC">
        <w:t>Un sold</w:t>
      </w:r>
      <w:r w:rsidRPr="005279FC">
        <w:rPr>
          <w:rFonts w:eastAsia="ArialMT"/>
        </w:rPr>
        <w:t>e à payer pour le prix d’achat de Giroux Arpentage de</w:t>
      </w:r>
      <w:r w:rsidR="00D90D4F">
        <w:rPr>
          <w:rFonts w:eastAsia="ArialMT"/>
          <w:lang w:eastAsia="fr-CA"/>
        </w:rPr>
        <w:t> </w:t>
      </w:r>
      <w:r w:rsidRPr="005279FC">
        <w:rPr>
          <w:rFonts w:eastAsia="ArialMT"/>
        </w:rPr>
        <w:t>228</w:t>
      </w:r>
      <w:r>
        <w:rPr>
          <w:rFonts w:eastAsia="ArialMT"/>
        </w:rPr>
        <w:t> </w:t>
      </w:r>
      <w:r w:rsidRPr="005279FC">
        <w:rPr>
          <w:lang w:eastAsia="fr-CA"/>
        </w:rPr>
        <w:t>020,46</w:t>
      </w:r>
      <w:r>
        <w:rPr>
          <w:lang w:eastAsia="fr-CA"/>
        </w:rPr>
        <w:t> </w:t>
      </w:r>
      <w:r w:rsidRPr="005279FC">
        <w:rPr>
          <w:lang w:eastAsia="fr-CA"/>
        </w:rPr>
        <w:t>$</w:t>
      </w:r>
      <w:r>
        <w:rPr>
          <w:rStyle w:val="Appelnotedebasdep"/>
          <w:rFonts w:cs="Arial"/>
          <w:szCs w:val="24"/>
          <w:lang w:eastAsia="fr-CA"/>
        </w:rPr>
        <w:footnoteReference w:id="291"/>
      </w:r>
      <w:r w:rsidRPr="005279FC">
        <w:rPr>
          <w:lang w:eastAsia="fr-CA"/>
        </w:rPr>
        <w:t xml:space="preserve"> </w:t>
      </w:r>
    </w:p>
    <w:p w14:paraId="455F104F" w14:textId="77777777" w:rsidR="00714C8F" w:rsidRDefault="00730A01" w:rsidP="00443B59">
      <w:pPr>
        <w:pStyle w:val="Paragraphe"/>
        <w:numPr>
          <w:ilvl w:val="0"/>
          <w:numId w:val="46"/>
        </w:numPr>
        <w:spacing w:before="240" w:line="240" w:lineRule="auto"/>
        <w:ind w:left="1134" w:hanging="425"/>
        <w:rPr>
          <w:lang w:eastAsia="fr-CA"/>
        </w:rPr>
      </w:pPr>
      <w:r w:rsidRPr="00467FA7">
        <w:rPr>
          <w:rFonts w:cs="Arial"/>
          <w:b/>
          <w:bCs/>
          <w:szCs w:val="24"/>
          <w:lang w:eastAsia="fr-CA"/>
        </w:rPr>
        <w:t>1395</w:t>
      </w:r>
      <w:r w:rsidRPr="00F66E70">
        <w:rPr>
          <w:rFonts w:cs="Arial"/>
          <w:szCs w:val="24"/>
          <w:lang w:eastAsia="fr-CA"/>
        </w:rPr>
        <w:t xml:space="preserve"> a emprunté la somme de 893</w:t>
      </w:r>
      <w:r w:rsidR="00F66E70">
        <w:rPr>
          <w:rFonts w:cs="Arial"/>
          <w:szCs w:val="24"/>
          <w:lang w:eastAsia="fr-CA"/>
        </w:rPr>
        <w:t> </w:t>
      </w:r>
      <w:r w:rsidRPr="00F66E70">
        <w:rPr>
          <w:rFonts w:cs="Arial"/>
          <w:szCs w:val="24"/>
          <w:lang w:eastAsia="fr-CA"/>
        </w:rPr>
        <w:t>$ à FIISH, pour une raison inconnue</w:t>
      </w:r>
      <w:r>
        <w:rPr>
          <w:rStyle w:val="Appelnotedebasdep"/>
          <w:rFonts w:cs="Arial"/>
          <w:szCs w:val="24"/>
          <w:lang w:eastAsia="fr-CA"/>
        </w:rPr>
        <w:footnoteReference w:id="292"/>
      </w:r>
      <w:r w:rsidR="00F66E70">
        <w:rPr>
          <w:rFonts w:cs="Arial"/>
          <w:szCs w:val="24"/>
          <w:lang w:eastAsia="fr-CA"/>
        </w:rPr>
        <w:t>;</w:t>
      </w:r>
    </w:p>
    <w:p w14:paraId="6B0173CC" w14:textId="77777777" w:rsidR="00852048" w:rsidRPr="00F66E70" w:rsidRDefault="00730A01" w:rsidP="00443B59">
      <w:pPr>
        <w:pStyle w:val="Paragraphe"/>
        <w:numPr>
          <w:ilvl w:val="0"/>
          <w:numId w:val="46"/>
        </w:numPr>
        <w:spacing w:line="240" w:lineRule="auto"/>
        <w:ind w:left="1134" w:hanging="425"/>
        <w:rPr>
          <w:lang w:eastAsia="fr-CA"/>
        </w:rPr>
      </w:pPr>
      <w:r w:rsidRPr="00714C8F">
        <w:rPr>
          <w:rFonts w:cs="Arial"/>
          <w:b/>
          <w:bCs/>
          <w:szCs w:val="24"/>
          <w:lang w:eastAsia="fr-CA"/>
        </w:rPr>
        <w:t>8096</w:t>
      </w:r>
      <w:r w:rsidRPr="00714C8F">
        <w:rPr>
          <w:rFonts w:cs="Arial"/>
          <w:szCs w:val="24"/>
          <w:lang w:eastAsia="fr-CA"/>
        </w:rPr>
        <w:t xml:space="preserve"> a :</w:t>
      </w:r>
    </w:p>
    <w:p w14:paraId="31C455CB" w14:textId="77777777" w:rsidR="00852048" w:rsidRPr="00451EF9" w:rsidRDefault="00730A01" w:rsidP="00443B59">
      <w:pPr>
        <w:pStyle w:val="Citationenretrait"/>
        <w:numPr>
          <w:ilvl w:val="0"/>
          <w:numId w:val="48"/>
        </w:numPr>
        <w:spacing w:before="0" w:after="0"/>
        <w:ind w:left="1434" w:right="0" w:hanging="357"/>
        <w:rPr>
          <w:lang w:eastAsia="fr-CA"/>
        </w:rPr>
      </w:pPr>
      <w:r w:rsidRPr="00451EF9">
        <w:rPr>
          <w:lang w:eastAsia="fr-CA"/>
        </w:rPr>
        <w:t>Effectué une avance de 15</w:t>
      </w:r>
      <w:r w:rsidR="001339B7">
        <w:rPr>
          <w:lang w:eastAsia="fr-CA"/>
        </w:rPr>
        <w:t> </w:t>
      </w:r>
      <w:r w:rsidRPr="00451EF9">
        <w:rPr>
          <w:lang w:eastAsia="fr-CA"/>
        </w:rPr>
        <w:t>890</w:t>
      </w:r>
      <w:r w:rsidR="001339B7">
        <w:rPr>
          <w:lang w:eastAsia="fr-CA"/>
        </w:rPr>
        <w:t> </w:t>
      </w:r>
      <w:r w:rsidRPr="00451EF9">
        <w:rPr>
          <w:lang w:eastAsia="fr-CA"/>
        </w:rPr>
        <w:t>250,73</w:t>
      </w:r>
      <w:r w:rsidR="001339B7">
        <w:rPr>
          <w:lang w:eastAsia="fr-CA"/>
        </w:rPr>
        <w:t> </w:t>
      </w:r>
      <w:r w:rsidRPr="00451EF9">
        <w:rPr>
          <w:lang w:eastAsia="fr-CA"/>
        </w:rPr>
        <w:t>$ à</w:t>
      </w:r>
      <w:r w:rsidR="005279FC">
        <w:rPr>
          <w:lang w:eastAsia="fr-CA"/>
        </w:rPr>
        <w:t xml:space="preserve"> </w:t>
      </w:r>
      <w:r w:rsidRPr="00451EF9">
        <w:rPr>
          <w:lang w:eastAsia="fr-CA"/>
        </w:rPr>
        <w:t>6646</w:t>
      </w:r>
      <w:r>
        <w:rPr>
          <w:rStyle w:val="Appelnotedebasdep"/>
          <w:lang w:eastAsia="fr-CA"/>
        </w:rPr>
        <w:footnoteReference w:id="293"/>
      </w:r>
      <w:r w:rsidRPr="00451EF9">
        <w:rPr>
          <w:lang w:eastAsia="fr-CA"/>
        </w:rPr>
        <w:t>;</w:t>
      </w:r>
    </w:p>
    <w:p w14:paraId="541C09D0" w14:textId="77777777" w:rsidR="001339B7" w:rsidRPr="001339B7" w:rsidRDefault="00730A01" w:rsidP="00443B59">
      <w:pPr>
        <w:pStyle w:val="Citationenretrait"/>
        <w:numPr>
          <w:ilvl w:val="0"/>
          <w:numId w:val="48"/>
        </w:numPr>
        <w:spacing w:after="0"/>
        <w:ind w:left="1434" w:right="0" w:hanging="357"/>
        <w:rPr>
          <w:lang w:eastAsia="fr-CA"/>
        </w:rPr>
      </w:pPr>
      <w:r w:rsidRPr="001339B7">
        <w:rPr>
          <w:lang w:eastAsia="fr-CA"/>
        </w:rPr>
        <w:t>Un dû à payer de 76</w:t>
      </w:r>
      <w:r>
        <w:rPr>
          <w:lang w:eastAsia="fr-CA"/>
        </w:rPr>
        <w:t> </w:t>
      </w:r>
      <w:r w:rsidRPr="001339B7">
        <w:rPr>
          <w:lang w:eastAsia="fr-CA"/>
        </w:rPr>
        <w:t>900</w:t>
      </w:r>
      <w:r>
        <w:rPr>
          <w:lang w:eastAsia="fr-CA"/>
        </w:rPr>
        <w:t> </w:t>
      </w:r>
      <w:r w:rsidRPr="001339B7">
        <w:rPr>
          <w:lang w:eastAsia="fr-CA"/>
        </w:rPr>
        <w:t>$ envers 9797</w:t>
      </w:r>
      <w:r>
        <w:rPr>
          <w:rStyle w:val="Appelnotedebasdep"/>
          <w:lang w:eastAsia="fr-CA"/>
        </w:rPr>
        <w:footnoteReference w:id="294"/>
      </w:r>
      <w:r w:rsidRPr="001339B7">
        <w:rPr>
          <w:rFonts w:cs="Arial"/>
          <w:szCs w:val="24"/>
          <w:lang w:eastAsia="fr-CA"/>
        </w:rPr>
        <w:t>;</w:t>
      </w:r>
    </w:p>
    <w:p w14:paraId="52B14BD3" w14:textId="77777777" w:rsidR="001339B7" w:rsidRDefault="00730A01" w:rsidP="00443B59">
      <w:pPr>
        <w:pStyle w:val="Citationenretrait"/>
        <w:numPr>
          <w:ilvl w:val="0"/>
          <w:numId w:val="48"/>
        </w:numPr>
        <w:autoSpaceDE w:val="0"/>
        <w:autoSpaceDN w:val="0"/>
        <w:adjustRightInd w:val="0"/>
        <w:spacing w:after="0"/>
        <w:ind w:left="1434" w:right="0" w:hanging="357"/>
        <w:rPr>
          <w:rFonts w:cs="Arial"/>
          <w:szCs w:val="24"/>
          <w:lang w:eastAsia="fr-CA"/>
        </w:rPr>
      </w:pPr>
      <w:r w:rsidRPr="001339B7">
        <w:rPr>
          <w:rFonts w:eastAsia="ArialMT" w:cs="Arial"/>
          <w:szCs w:val="24"/>
        </w:rPr>
        <w:t>U</w:t>
      </w:r>
      <w:r w:rsidRPr="001339B7">
        <w:rPr>
          <w:rFonts w:cs="Arial"/>
          <w:szCs w:val="24"/>
          <w:lang w:eastAsia="fr-CA"/>
        </w:rPr>
        <w:t>n prêt à payer de 4 M$ envers 6646</w:t>
      </w:r>
      <w:r>
        <w:rPr>
          <w:rStyle w:val="Appelnotedebasdep"/>
          <w:rFonts w:cs="Arial"/>
          <w:szCs w:val="24"/>
          <w:lang w:eastAsia="fr-CA"/>
        </w:rPr>
        <w:footnoteReference w:id="295"/>
      </w:r>
      <w:r w:rsidRPr="001339B7">
        <w:rPr>
          <w:rFonts w:cs="Arial"/>
          <w:szCs w:val="24"/>
          <w:lang w:eastAsia="fr-CA"/>
        </w:rPr>
        <w:t>;</w:t>
      </w:r>
    </w:p>
    <w:p w14:paraId="76B6C0A1" w14:textId="77777777" w:rsidR="001339B7" w:rsidRDefault="00730A01" w:rsidP="00443B59">
      <w:pPr>
        <w:pStyle w:val="Citationenretrait"/>
        <w:numPr>
          <w:ilvl w:val="0"/>
          <w:numId w:val="48"/>
        </w:numPr>
        <w:autoSpaceDE w:val="0"/>
        <w:autoSpaceDN w:val="0"/>
        <w:adjustRightInd w:val="0"/>
        <w:spacing w:after="0"/>
        <w:ind w:left="1434" w:right="0" w:hanging="357"/>
        <w:rPr>
          <w:rFonts w:cs="Arial"/>
          <w:szCs w:val="24"/>
          <w:lang w:eastAsia="fr-CA"/>
        </w:rPr>
      </w:pPr>
      <w:r w:rsidRPr="001339B7">
        <w:rPr>
          <w:rFonts w:cs="Arial"/>
          <w:szCs w:val="24"/>
          <w:lang w:eastAsia="fr-CA"/>
        </w:rPr>
        <w:t>Un dû à payer de 284 000 $ envers X2</w:t>
      </w:r>
      <w:r>
        <w:rPr>
          <w:rStyle w:val="Appelnotedebasdep"/>
          <w:rFonts w:cs="Arial"/>
          <w:szCs w:val="24"/>
          <w:lang w:eastAsia="fr-CA"/>
        </w:rPr>
        <w:footnoteReference w:id="296"/>
      </w:r>
      <w:r w:rsidRPr="001339B7">
        <w:rPr>
          <w:rFonts w:cs="Arial"/>
          <w:szCs w:val="24"/>
          <w:lang w:eastAsia="fr-CA"/>
        </w:rPr>
        <w:t>;</w:t>
      </w:r>
    </w:p>
    <w:p w14:paraId="5C08DEAB" w14:textId="77777777" w:rsidR="00852048" w:rsidRPr="001339B7" w:rsidRDefault="00730A01" w:rsidP="00443B59">
      <w:pPr>
        <w:pStyle w:val="Citationenretrait"/>
        <w:numPr>
          <w:ilvl w:val="0"/>
          <w:numId w:val="48"/>
        </w:numPr>
        <w:autoSpaceDE w:val="0"/>
        <w:autoSpaceDN w:val="0"/>
        <w:adjustRightInd w:val="0"/>
        <w:spacing w:after="0"/>
        <w:ind w:left="1434" w:right="539" w:hanging="357"/>
        <w:rPr>
          <w:rFonts w:cs="Arial"/>
          <w:szCs w:val="24"/>
          <w:lang w:eastAsia="fr-CA"/>
        </w:rPr>
      </w:pPr>
      <w:r w:rsidRPr="001339B7">
        <w:rPr>
          <w:rFonts w:cs="Arial"/>
          <w:szCs w:val="24"/>
          <w:lang w:eastAsia="fr-CA"/>
        </w:rPr>
        <w:t>Un dû corrélatif à payer de 400</w:t>
      </w:r>
      <w:r w:rsidR="001339B7" w:rsidRPr="001339B7">
        <w:rPr>
          <w:rFonts w:cs="Arial"/>
          <w:szCs w:val="24"/>
          <w:lang w:eastAsia="fr-CA"/>
        </w:rPr>
        <w:t> </w:t>
      </w:r>
      <w:r w:rsidRPr="001339B7">
        <w:rPr>
          <w:rFonts w:cs="Arial"/>
          <w:szCs w:val="24"/>
          <w:lang w:eastAsia="fr-CA"/>
        </w:rPr>
        <w:t>000</w:t>
      </w:r>
      <w:r w:rsidR="001339B7" w:rsidRPr="001339B7">
        <w:rPr>
          <w:rFonts w:cs="Arial"/>
          <w:szCs w:val="24"/>
          <w:lang w:eastAsia="fr-CA"/>
        </w:rPr>
        <w:t> </w:t>
      </w:r>
      <w:r w:rsidRPr="001339B7">
        <w:rPr>
          <w:rFonts w:cs="Arial"/>
          <w:szCs w:val="24"/>
          <w:lang w:eastAsia="fr-CA"/>
        </w:rPr>
        <w:t>$ à 6646 en contrepartie de</w:t>
      </w:r>
      <w:r w:rsidR="001339B7" w:rsidRPr="001339B7">
        <w:rPr>
          <w:rFonts w:cs="Arial"/>
          <w:szCs w:val="24"/>
          <w:lang w:eastAsia="fr-CA"/>
        </w:rPr>
        <w:t xml:space="preserve"> </w:t>
      </w:r>
      <w:r w:rsidRPr="001339B7">
        <w:rPr>
          <w:rFonts w:eastAsia="ArialMT" w:cs="Arial"/>
          <w:szCs w:val="24"/>
          <w:lang w:eastAsia="fr-CA"/>
        </w:rPr>
        <w:t>l’avance de cette dernière (quoique celle</w:t>
      </w:r>
      <w:r w:rsidRPr="001339B7">
        <w:rPr>
          <w:rFonts w:cs="Arial"/>
          <w:szCs w:val="24"/>
          <w:lang w:eastAsia="fr-CA"/>
        </w:rPr>
        <w:t>-</w:t>
      </w:r>
      <w:r w:rsidRPr="001339B7">
        <w:rPr>
          <w:rFonts w:eastAsia="ArialMT" w:cs="Arial"/>
          <w:szCs w:val="24"/>
          <w:lang w:eastAsia="fr-CA"/>
        </w:rPr>
        <w:t>ci n’apparaisse pas dans la</w:t>
      </w:r>
      <w:r w:rsidR="001339B7">
        <w:rPr>
          <w:rFonts w:eastAsia="ArialMT" w:cs="Arial"/>
          <w:szCs w:val="24"/>
          <w:lang w:eastAsia="fr-CA"/>
        </w:rPr>
        <w:t xml:space="preserve"> </w:t>
      </w:r>
      <w:r w:rsidRPr="001339B7">
        <w:rPr>
          <w:rFonts w:cs="Arial"/>
          <w:szCs w:val="24"/>
          <w:lang w:eastAsia="fr-CA"/>
        </w:rPr>
        <w:t>DSS sur actifs des Défendeurs).</w:t>
      </w:r>
    </w:p>
    <w:p w14:paraId="5B531B77" w14:textId="77777777" w:rsidR="00852048" w:rsidRPr="00451EF9" w:rsidRDefault="00730A01" w:rsidP="00443B59">
      <w:pPr>
        <w:pStyle w:val="Paragraphe"/>
        <w:numPr>
          <w:ilvl w:val="0"/>
          <w:numId w:val="46"/>
        </w:numPr>
        <w:spacing w:before="240" w:line="240" w:lineRule="auto"/>
        <w:ind w:left="1134" w:hanging="425"/>
        <w:rPr>
          <w:rFonts w:cs="Arial"/>
          <w:szCs w:val="24"/>
          <w:lang w:eastAsia="fr-CA"/>
        </w:rPr>
      </w:pPr>
      <w:r w:rsidRPr="00467FA7">
        <w:rPr>
          <w:rFonts w:cs="Arial"/>
          <w:b/>
          <w:bCs/>
          <w:szCs w:val="24"/>
          <w:lang w:eastAsia="fr-CA"/>
        </w:rPr>
        <w:t>X2</w:t>
      </w:r>
      <w:r w:rsidRPr="00451EF9">
        <w:rPr>
          <w:rFonts w:cs="Arial"/>
          <w:szCs w:val="24"/>
          <w:lang w:eastAsia="fr-CA"/>
        </w:rPr>
        <w:t xml:space="preserve"> a :</w:t>
      </w:r>
    </w:p>
    <w:p w14:paraId="1E5179CD" w14:textId="77777777" w:rsidR="00852048" w:rsidRPr="00451EF9" w:rsidRDefault="00730A01" w:rsidP="00443B59">
      <w:pPr>
        <w:pStyle w:val="Citationenretrait"/>
        <w:numPr>
          <w:ilvl w:val="0"/>
          <w:numId w:val="49"/>
        </w:numPr>
        <w:spacing w:before="0" w:after="0"/>
        <w:ind w:left="1434" w:right="0" w:hanging="357"/>
        <w:rPr>
          <w:lang w:eastAsia="fr-CA"/>
        </w:rPr>
      </w:pPr>
      <w:r w:rsidRPr="00451EF9">
        <w:rPr>
          <w:lang w:eastAsia="fr-CA"/>
        </w:rPr>
        <w:t>Octroyé une avance de 9</w:t>
      </w:r>
      <w:r w:rsidR="00D90D4F">
        <w:rPr>
          <w:lang w:eastAsia="fr-CA"/>
        </w:rPr>
        <w:t> </w:t>
      </w:r>
      <w:r w:rsidRPr="00451EF9">
        <w:rPr>
          <w:lang w:eastAsia="fr-CA"/>
        </w:rPr>
        <w:t>616,05</w:t>
      </w:r>
      <w:r w:rsidR="00D90D4F">
        <w:rPr>
          <w:lang w:eastAsia="fr-CA"/>
        </w:rPr>
        <w:t> </w:t>
      </w:r>
      <w:r w:rsidRPr="00451EF9">
        <w:rPr>
          <w:lang w:eastAsia="fr-CA"/>
        </w:rPr>
        <w:t>$ à</w:t>
      </w:r>
      <w:r w:rsidR="001339B7">
        <w:rPr>
          <w:lang w:eastAsia="fr-CA"/>
        </w:rPr>
        <w:t xml:space="preserve"> </w:t>
      </w:r>
      <w:r w:rsidRPr="00451EF9">
        <w:rPr>
          <w:lang w:eastAsia="fr-CA"/>
        </w:rPr>
        <w:t>9797</w:t>
      </w:r>
      <w:r>
        <w:rPr>
          <w:rStyle w:val="Appelnotedebasdep"/>
          <w:lang w:eastAsia="fr-CA"/>
        </w:rPr>
        <w:footnoteReference w:id="297"/>
      </w:r>
      <w:r w:rsidR="0039336D">
        <w:rPr>
          <w:lang w:eastAsia="fr-CA"/>
        </w:rPr>
        <w:t>;</w:t>
      </w:r>
    </w:p>
    <w:p w14:paraId="36BA7195" w14:textId="77777777" w:rsidR="00852048" w:rsidRPr="00451EF9" w:rsidRDefault="00730A01" w:rsidP="00443B59">
      <w:pPr>
        <w:pStyle w:val="Citationenretrait"/>
        <w:numPr>
          <w:ilvl w:val="0"/>
          <w:numId w:val="49"/>
        </w:numPr>
        <w:spacing w:after="0"/>
        <w:ind w:left="1434" w:right="0" w:hanging="357"/>
        <w:rPr>
          <w:lang w:eastAsia="fr-CA"/>
        </w:rPr>
      </w:pPr>
      <w:r w:rsidRPr="00451EF9">
        <w:rPr>
          <w:lang w:eastAsia="fr-CA"/>
        </w:rPr>
        <w:t>Octroyé une avance de 284</w:t>
      </w:r>
      <w:r w:rsidR="00D90D4F">
        <w:rPr>
          <w:lang w:eastAsia="fr-CA"/>
        </w:rPr>
        <w:t> </w:t>
      </w:r>
      <w:r w:rsidRPr="00451EF9">
        <w:rPr>
          <w:lang w:eastAsia="fr-CA"/>
        </w:rPr>
        <w:t>000</w:t>
      </w:r>
      <w:r w:rsidR="00D90D4F">
        <w:rPr>
          <w:lang w:eastAsia="fr-CA"/>
        </w:rPr>
        <w:t> </w:t>
      </w:r>
      <w:r w:rsidRPr="00451EF9">
        <w:rPr>
          <w:lang w:eastAsia="fr-CA"/>
        </w:rPr>
        <w:t>$ à</w:t>
      </w:r>
      <w:r w:rsidR="001339B7">
        <w:rPr>
          <w:lang w:eastAsia="fr-CA"/>
        </w:rPr>
        <w:t xml:space="preserve"> </w:t>
      </w:r>
      <w:r w:rsidRPr="00451EF9">
        <w:rPr>
          <w:lang w:eastAsia="fr-CA"/>
        </w:rPr>
        <w:t>8096</w:t>
      </w:r>
      <w:r>
        <w:rPr>
          <w:rStyle w:val="Appelnotedebasdep"/>
          <w:lang w:eastAsia="fr-CA"/>
        </w:rPr>
        <w:footnoteReference w:id="298"/>
      </w:r>
      <w:r w:rsidR="0039336D">
        <w:rPr>
          <w:lang w:eastAsia="fr-CA"/>
        </w:rPr>
        <w:t>;</w:t>
      </w:r>
    </w:p>
    <w:p w14:paraId="29A43F3E" w14:textId="77777777" w:rsidR="00852048" w:rsidRPr="00451EF9" w:rsidRDefault="00730A01" w:rsidP="00443B59">
      <w:pPr>
        <w:pStyle w:val="Citationenretrait"/>
        <w:numPr>
          <w:ilvl w:val="0"/>
          <w:numId w:val="49"/>
        </w:numPr>
        <w:spacing w:after="0"/>
        <w:ind w:left="1434" w:right="0" w:hanging="357"/>
        <w:rPr>
          <w:lang w:eastAsia="fr-CA"/>
        </w:rPr>
      </w:pPr>
      <w:r w:rsidRPr="00451EF9">
        <w:rPr>
          <w:lang w:eastAsia="fr-CA"/>
        </w:rPr>
        <w:t>Octroyé une avance de 619,40</w:t>
      </w:r>
      <w:r w:rsidR="00D90D4F">
        <w:rPr>
          <w:lang w:eastAsia="fr-CA"/>
        </w:rPr>
        <w:t> </w:t>
      </w:r>
      <w:r w:rsidRPr="00451EF9">
        <w:rPr>
          <w:lang w:eastAsia="fr-CA"/>
        </w:rPr>
        <w:t>$ à Giroux</w:t>
      </w:r>
      <w:r>
        <w:rPr>
          <w:rStyle w:val="Appelnotedebasdep"/>
          <w:lang w:eastAsia="fr-CA"/>
        </w:rPr>
        <w:footnoteReference w:id="299"/>
      </w:r>
      <w:r w:rsidR="0039336D">
        <w:rPr>
          <w:lang w:eastAsia="fr-CA"/>
        </w:rPr>
        <w:t>;</w:t>
      </w:r>
      <w:r w:rsidRPr="00451EF9">
        <w:rPr>
          <w:lang w:eastAsia="fr-CA"/>
        </w:rPr>
        <w:t>;</w:t>
      </w:r>
    </w:p>
    <w:p w14:paraId="1D1AE665" w14:textId="77777777" w:rsidR="00852048" w:rsidRPr="00451EF9" w:rsidRDefault="00730A01" w:rsidP="00443B59">
      <w:pPr>
        <w:pStyle w:val="Citationenretrait"/>
        <w:numPr>
          <w:ilvl w:val="0"/>
          <w:numId w:val="49"/>
        </w:numPr>
        <w:spacing w:after="0"/>
        <w:ind w:left="1434" w:right="0" w:hanging="357"/>
        <w:rPr>
          <w:lang w:eastAsia="fr-CA"/>
        </w:rPr>
      </w:pPr>
      <w:r w:rsidRPr="00451EF9">
        <w:rPr>
          <w:lang w:eastAsia="fr-CA"/>
        </w:rPr>
        <w:t>Octroyé une avance de 8</w:t>
      </w:r>
      <w:r w:rsidR="001C264E">
        <w:rPr>
          <w:lang w:eastAsia="fr-CA"/>
        </w:rPr>
        <w:t> </w:t>
      </w:r>
      <w:r w:rsidRPr="00451EF9">
        <w:rPr>
          <w:lang w:eastAsia="fr-CA"/>
        </w:rPr>
        <w:t>675</w:t>
      </w:r>
      <w:r w:rsidR="001C264E">
        <w:rPr>
          <w:lang w:eastAsia="fr-CA"/>
        </w:rPr>
        <w:t> </w:t>
      </w:r>
      <w:r w:rsidRPr="00451EF9">
        <w:rPr>
          <w:lang w:eastAsia="fr-CA"/>
        </w:rPr>
        <w:t>175,07</w:t>
      </w:r>
      <w:r w:rsidR="001C264E">
        <w:rPr>
          <w:lang w:eastAsia="fr-CA"/>
        </w:rPr>
        <w:t> </w:t>
      </w:r>
      <w:r w:rsidRPr="00451EF9">
        <w:rPr>
          <w:lang w:eastAsia="fr-CA"/>
        </w:rPr>
        <w:t>$</w:t>
      </w:r>
      <w:r w:rsidR="001339B7">
        <w:rPr>
          <w:lang w:eastAsia="fr-CA"/>
        </w:rPr>
        <w:t xml:space="preserve"> </w:t>
      </w:r>
      <w:r w:rsidRPr="00451EF9">
        <w:rPr>
          <w:lang w:eastAsia="fr-CA"/>
        </w:rPr>
        <w:t>à 6646</w:t>
      </w:r>
      <w:r>
        <w:rPr>
          <w:rStyle w:val="Appelnotedebasdep"/>
          <w:lang w:eastAsia="fr-CA"/>
        </w:rPr>
        <w:footnoteReference w:id="300"/>
      </w:r>
      <w:r w:rsidR="0039336D">
        <w:rPr>
          <w:lang w:eastAsia="fr-CA"/>
        </w:rPr>
        <w:t>;</w:t>
      </w:r>
    </w:p>
    <w:p w14:paraId="2C05855D" w14:textId="77777777" w:rsidR="00852048" w:rsidRPr="00451EF9" w:rsidRDefault="00730A01" w:rsidP="00443B59">
      <w:pPr>
        <w:pStyle w:val="Citationenretrait"/>
        <w:numPr>
          <w:ilvl w:val="0"/>
          <w:numId w:val="49"/>
        </w:numPr>
        <w:spacing w:after="0"/>
        <w:ind w:left="1434" w:right="0" w:hanging="357"/>
        <w:rPr>
          <w:lang w:eastAsia="fr-CA"/>
        </w:rPr>
      </w:pPr>
      <w:r w:rsidRPr="00451EF9">
        <w:rPr>
          <w:lang w:eastAsia="fr-CA"/>
        </w:rPr>
        <w:t>Octroyé une avance de 500</w:t>
      </w:r>
      <w:r w:rsidR="001C264E">
        <w:rPr>
          <w:lang w:eastAsia="fr-CA"/>
        </w:rPr>
        <w:t> </w:t>
      </w:r>
      <w:r w:rsidRPr="00451EF9">
        <w:rPr>
          <w:lang w:eastAsia="fr-CA"/>
        </w:rPr>
        <w:t>000</w:t>
      </w:r>
      <w:r w:rsidR="001C264E">
        <w:rPr>
          <w:lang w:eastAsia="fr-CA"/>
        </w:rPr>
        <w:t> </w:t>
      </w:r>
      <w:r w:rsidRPr="00451EF9">
        <w:rPr>
          <w:lang w:eastAsia="fr-CA"/>
        </w:rPr>
        <w:t>$ à Giroux Arpentage</w:t>
      </w:r>
      <w:r>
        <w:rPr>
          <w:rStyle w:val="Appelnotedebasdep"/>
          <w:lang w:eastAsia="fr-CA"/>
        </w:rPr>
        <w:footnoteReference w:id="301"/>
      </w:r>
      <w:r w:rsidRPr="00451EF9">
        <w:rPr>
          <w:lang w:eastAsia="fr-CA"/>
        </w:rPr>
        <w:t>.</w:t>
      </w:r>
    </w:p>
    <w:p w14:paraId="6AD9FE00" w14:textId="77777777" w:rsidR="00852048" w:rsidRPr="001339B7" w:rsidRDefault="00730A01" w:rsidP="0098012F">
      <w:pPr>
        <w:pStyle w:val="Paragraphe"/>
        <w:tabs>
          <w:tab w:val="clear" w:pos="786"/>
        </w:tabs>
        <w:autoSpaceDE w:val="0"/>
        <w:autoSpaceDN w:val="0"/>
        <w:adjustRightInd w:val="0"/>
        <w:spacing w:before="240" w:line="240" w:lineRule="auto"/>
        <w:ind w:left="0"/>
        <w:rPr>
          <w:rFonts w:cs="Arial"/>
          <w:szCs w:val="24"/>
          <w:lang w:eastAsia="fr-CA"/>
        </w:rPr>
      </w:pPr>
      <w:r w:rsidRPr="001339B7">
        <w:rPr>
          <w:rFonts w:cs="Arial"/>
          <w:szCs w:val="24"/>
          <w:lang w:eastAsia="fr-CA"/>
        </w:rPr>
        <w:t>Plusieurs autres pièces au dossier démontrent plus amplement la confusion totale</w:t>
      </w:r>
      <w:r w:rsidR="001339B7" w:rsidRPr="001339B7">
        <w:rPr>
          <w:rFonts w:cs="Arial"/>
          <w:szCs w:val="24"/>
          <w:lang w:eastAsia="fr-CA"/>
        </w:rPr>
        <w:t xml:space="preserve"> </w:t>
      </w:r>
      <w:r w:rsidRPr="001339B7">
        <w:rPr>
          <w:rFonts w:eastAsia="ArialMT" w:cs="Arial"/>
          <w:szCs w:val="24"/>
          <w:lang w:eastAsia="fr-CA"/>
        </w:rPr>
        <w:t xml:space="preserve">qui règne entre la comptabilité, le portefeuille, les affaires et donc l’identité </w:t>
      </w:r>
      <w:r w:rsidRPr="001339B7">
        <w:rPr>
          <w:rFonts w:cs="Arial"/>
          <w:szCs w:val="24"/>
          <w:lang w:eastAsia="fr-CA"/>
        </w:rPr>
        <w:t>des</w:t>
      </w:r>
      <w:r w:rsidR="001339B7">
        <w:rPr>
          <w:rFonts w:cs="Arial"/>
          <w:szCs w:val="24"/>
          <w:lang w:eastAsia="fr-CA"/>
        </w:rPr>
        <w:t xml:space="preserve"> </w:t>
      </w:r>
      <w:r w:rsidRPr="001339B7">
        <w:rPr>
          <w:rFonts w:cs="Arial"/>
          <w:szCs w:val="24"/>
          <w:lang w:eastAsia="fr-CA"/>
        </w:rPr>
        <w:t>Défendeurs</w:t>
      </w:r>
      <w:r>
        <w:rPr>
          <w:rStyle w:val="Appelnotedebasdep"/>
          <w:rFonts w:cs="Arial"/>
          <w:szCs w:val="24"/>
          <w:lang w:eastAsia="fr-CA"/>
        </w:rPr>
        <w:footnoteReference w:id="302"/>
      </w:r>
      <w:r w:rsidR="00D90D4F">
        <w:rPr>
          <w:rFonts w:cs="Arial"/>
          <w:szCs w:val="24"/>
          <w:lang w:eastAsia="fr-CA"/>
        </w:rPr>
        <w:t> </w:t>
      </w:r>
      <w:r w:rsidRPr="001339B7">
        <w:rPr>
          <w:rFonts w:cs="Arial"/>
          <w:szCs w:val="24"/>
          <w:lang w:eastAsia="fr-CA"/>
        </w:rPr>
        <w:t>:</w:t>
      </w:r>
    </w:p>
    <w:p w14:paraId="47F22F33" w14:textId="77777777" w:rsidR="000B349A" w:rsidRPr="005F709E" w:rsidRDefault="00730A01" w:rsidP="00443B59">
      <w:pPr>
        <w:pStyle w:val="Citationenretrait"/>
        <w:numPr>
          <w:ilvl w:val="0"/>
          <w:numId w:val="50"/>
        </w:numPr>
        <w:spacing w:after="0"/>
        <w:ind w:left="993" w:right="539" w:hanging="284"/>
        <w:rPr>
          <w:sz w:val="24"/>
          <w:szCs w:val="24"/>
          <w:lang w:eastAsia="fr-CA"/>
        </w:rPr>
      </w:pPr>
      <w:r w:rsidRPr="005F709E">
        <w:rPr>
          <w:sz w:val="24"/>
          <w:szCs w:val="24"/>
          <w:lang w:eastAsia="fr-CA"/>
        </w:rPr>
        <w:t>Au même titre que la DSS sur actifs de Giroux, les états financiers de</w:t>
      </w:r>
      <w:r w:rsidR="00D90D4F">
        <w:rPr>
          <w:sz w:val="24"/>
          <w:szCs w:val="24"/>
          <w:lang w:eastAsia="fr-CA"/>
        </w:rPr>
        <w:t> </w:t>
      </w:r>
      <w:r w:rsidRPr="005F709E">
        <w:rPr>
          <w:sz w:val="24"/>
          <w:szCs w:val="24"/>
          <w:lang w:eastAsia="fr-CA"/>
        </w:rPr>
        <w:t>6646</w:t>
      </w:r>
      <w:r w:rsidR="00F7576A" w:rsidRPr="005F709E">
        <w:rPr>
          <w:sz w:val="24"/>
          <w:szCs w:val="24"/>
          <w:lang w:eastAsia="fr-CA"/>
        </w:rPr>
        <w:t xml:space="preserve"> </w:t>
      </w:r>
      <w:r w:rsidRPr="005F709E">
        <w:rPr>
          <w:rFonts w:eastAsia="ArialMT"/>
          <w:sz w:val="24"/>
          <w:szCs w:val="24"/>
        </w:rPr>
        <w:t>pour l’année</w:t>
      </w:r>
      <w:r w:rsidR="00D90D4F">
        <w:rPr>
          <w:rFonts w:eastAsia="ArialMT"/>
          <w:sz w:val="24"/>
          <w:szCs w:val="24"/>
        </w:rPr>
        <w:t> </w:t>
      </w:r>
      <w:r w:rsidRPr="005F709E">
        <w:rPr>
          <w:sz w:val="24"/>
          <w:szCs w:val="24"/>
          <w:lang w:eastAsia="fr-CA"/>
        </w:rPr>
        <w:t>2022 montrent des dus à des filiales de</w:t>
      </w:r>
      <w:r w:rsidR="00D90D4F">
        <w:rPr>
          <w:sz w:val="24"/>
          <w:szCs w:val="24"/>
          <w:lang w:eastAsia="fr-CA"/>
        </w:rPr>
        <w:t> </w:t>
      </w:r>
      <w:r w:rsidRPr="005F709E">
        <w:rPr>
          <w:sz w:val="24"/>
          <w:szCs w:val="24"/>
          <w:lang w:eastAsia="fr-CA"/>
        </w:rPr>
        <w:t>27</w:t>
      </w:r>
      <w:r w:rsidR="001C264E" w:rsidRPr="005F709E">
        <w:rPr>
          <w:sz w:val="24"/>
          <w:szCs w:val="24"/>
          <w:lang w:eastAsia="fr-CA"/>
        </w:rPr>
        <w:t> </w:t>
      </w:r>
      <w:r w:rsidRPr="005F709E">
        <w:rPr>
          <w:sz w:val="24"/>
          <w:szCs w:val="24"/>
          <w:lang w:eastAsia="fr-CA"/>
        </w:rPr>
        <w:t>274</w:t>
      </w:r>
      <w:r w:rsidR="001C264E" w:rsidRPr="005F709E">
        <w:rPr>
          <w:sz w:val="24"/>
          <w:szCs w:val="24"/>
          <w:lang w:eastAsia="fr-CA"/>
        </w:rPr>
        <w:t> </w:t>
      </w:r>
      <w:r w:rsidRPr="005F709E">
        <w:rPr>
          <w:sz w:val="24"/>
          <w:szCs w:val="24"/>
          <w:lang w:eastAsia="fr-CA"/>
        </w:rPr>
        <w:t>927</w:t>
      </w:r>
      <w:r w:rsidR="001C264E" w:rsidRPr="005F709E">
        <w:rPr>
          <w:sz w:val="24"/>
          <w:szCs w:val="24"/>
          <w:lang w:eastAsia="fr-CA"/>
        </w:rPr>
        <w:t> </w:t>
      </w:r>
      <w:r w:rsidRPr="005F709E">
        <w:rPr>
          <w:sz w:val="24"/>
          <w:szCs w:val="24"/>
          <w:lang w:eastAsia="fr-CA"/>
        </w:rPr>
        <w:t>$, un dû à</w:t>
      </w:r>
      <w:r w:rsidR="00F7576A" w:rsidRPr="005F709E">
        <w:rPr>
          <w:sz w:val="24"/>
          <w:szCs w:val="24"/>
          <w:lang w:eastAsia="fr-CA"/>
        </w:rPr>
        <w:t xml:space="preserve"> </w:t>
      </w:r>
      <w:r w:rsidRPr="005F709E">
        <w:rPr>
          <w:sz w:val="24"/>
          <w:szCs w:val="24"/>
          <w:lang w:eastAsia="fr-CA"/>
        </w:rPr>
        <w:t>un administrateur de 3</w:t>
      </w:r>
      <w:r w:rsidR="00F7576A" w:rsidRPr="005F709E">
        <w:rPr>
          <w:sz w:val="24"/>
          <w:szCs w:val="24"/>
          <w:lang w:eastAsia="fr-CA"/>
        </w:rPr>
        <w:t> </w:t>
      </w:r>
      <w:r w:rsidRPr="005F709E">
        <w:rPr>
          <w:sz w:val="24"/>
          <w:szCs w:val="24"/>
          <w:lang w:eastAsia="fr-CA"/>
        </w:rPr>
        <w:t>349</w:t>
      </w:r>
      <w:r w:rsidR="00F7576A" w:rsidRPr="005F709E">
        <w:rPr>
          <w:sz w:val="24"/>
          <w:szCs w:val="24"/>
          <w:lang w:eastAsia="fr-CA"/>
        </w:rPr>
        <w:t> </w:t>
      </w:r>
      <w:r w:rsidRPr="005F709E">
        <w:rPr>
          <w:sz w:val="24"/>
          <w:szCs w:val="24"/>
          <w:lang w:eastAsia="fr-CA"/>
        </w:rPr>
        <w:t>365</w:t>
      </w:r>
      <w:r w:rsidR="00F7576A" w:rsidRPr="005F709E">
        <w:rPr>
          <w:sz w:val="24"/>
          <w:szCs w:val="24"/>
          <w:lang w:eastAsia="fr-CA"/>
        </w:rPr>
        <w:t> </w:t>
      </w:r>
      <w:r w:rsidRPr="005F709E">
        <w:rPr>
          <w:sz w:val="24"/>
          <w:szCs w:val="24"/>
          <w:lang w:eastAsia="fr-CA"/>
        </w:rPr>
        <w:t>$ et des dus à des fiducies de 267</w:t>
      </w:r>
      <w:r w:rsidR="00F7576A" w:rsidRPr="005F709E">
        <w:rPr>
          <w:sz w:val="24"/>
          <w:szCs w:val="24"/>
          <w:lang w:eastAsia="fr-CA"/>
        </w:rPr>
        <w:t> </w:t>
      </w:r>
      <w:r w:rsidRPr="005F709E">
        <w:rPr>
          <w:sz w:val="24"/>
          <w:szCs w:val="24"/>
          <w:lang w:eastAsia="fr-CA"/>
        </w:rPr>
        <w:t>473</w:t>
      </w:r>
      <w:r w:rsidR="00F7576A" w:rsidRPr="005F709E">
        <w:rPr>
          <w:sz w:val="24"/>
          <w:szCs w:val="24"/>
          <w:lang w:eastAsia="fr-CA"/>
        </w:rPr>
        <w:t> </w:t>
      </w:r>
      <w:r w:rsidRPr="005F709E">
        <w:rPr>
          <w:sz w:val="24"/>
          <w:szCs w:val="24"/>
          <w:lang w:eastAsia="fr-CA"/>
        </w:rPr>
        <w:t>$</w:t>
      </w:r>
      <w:r>
        <w:rPr>
          <w:rStyle w:val="Appelnotedebasdep"/>
          <w:sz w:val="24"/>
          <w:szCs w:val="24"/>
          <w:lang w:eastAsia="fr-CA"/>
        </w:rPr>
        <w:footnoteReference w:id="303"/>
      </w:r>
      <w:r w:rsidRPr="005F709E">
        <w:rPr>
          <w:sz w:val="24"/>
          <w:szCs w:val="24"/>
          <w:lang w:eastAsia="fr-CA"/>
        </w:rPr>
        <w:t>;</w:t>
      </w:r>
    </w:p>
    <w:p w14:paraId="31099244" w14:textId="77777777" w:rsidR="000B349A" w:rsidRPr="005F709E" w:rsidRDefault="00730A01" w:rsidP="00443B59">
      <w:pPr>
        <w:pStyle w:val="Citationenretrait"/>
        <w:numPr>
          <w:ilvl w:val="0"/>
          <w:numId w:val="50"/>
        </w:numPr>
        <w:spacing w:after="0"/>
        <w:ind w:left="993" w:right="539" w:hanging="284"/>
        <w:rPr>
          <w:sz w:val="24"/>
          <w:szCs w:val="24"/>
          <w:lang w:eastAsia="fr-CA"/>
        </w:rPr>
      </w:pPr>
      <w:r w:rsidRPr="005F709E">
        <w:rPr>
          <w:sz w:val="24"/>
          <w:szCs w:val="24"/>
          <w:lang w:eastAsia="fr-CA"/>
        </w:rPr>
        <w:t>Les états financiers internes de 6646 au 30</w:t>
      </w:r>
      <w:r w:rsidR="00D90D4F">
        <w:rPr>
          <w:sz w:val="24"/>
          <w:szCs w:val="24"/>
          <w:lang w:eastAsia="fr-CA"/>
        </w:rPr>
        <w:t> </w:t>
      </w:r>
      <w:r w:rsidRPr="005F709E">
        <w:rPr>
          <w:sz w:val="24"/>
          <w:szCs w:val="24"/>
          <w:lang w:eastAsia="fr-CA"/>
        </w:rPr>
        <w:t>juin</w:t>
      </w:r>
      <w:r w:rsidR="00D90D4F">
        <w:rPr>
          <w:sz w:val="24"/>
          <w:szCs w:val="24"/>
          <w:lang w:eastAsia="fr-CA"/>
        </w:rPr>
        <w:t> </w:t>
      </w:r>
      <w:r w:rsidRPr="005F709E">
        <w:rPr>
          <w:sz w:val="24"/>
          <w:szCs w:val="24"/>
          <w:lang w:eastAsia="fr-CA"/>
        </w:rPr>
        <w:t>2023 montrent de plus que</w:t>
      </w:r>
      <w:r w:rsidR="00F7576A" w:rsidRPr="005F709E">
        <w:rPr>
          <w:sz w:val="24"/>
          <w:szCs w:val="24"/>
          <w:lang w:eastAsia="fr-CA"/>
        </w:rPr>
        <w:t xml:space="preserve"> </w:t>
      </w:r>
      <w:r w:rsidRPr="005F709E">
        <w:rPr>
          <w:sz w:val="24"/>
          <w:szCs w:val="24"/>
          <w:lang w:eastAsia="fr-CA"/>
        </w:rPr>
        <w:t xml:space="preserve">celle-ci </w:t>
      </w:r>
      <w:r w:rsidRPr="005F709E">
        <w:rPr>
          <w:sz w:val="24"/>
          <w:szCs w:val="24"/>
        </w:rPr>
        <w:t>p</w:t>
      </w:r>
      <w:r w:rsidRPr="005F709E">
        <w:rPr>
          <w:rFonts w:eastAsia="ArialMT"/>
          <w:sz w:val="24"/>
          <w:szCs w:val="24"/>
        </w:rPr>
        <w:t>aye pour l’assurance de Gi</w:t>
      </w:r>
      <w:r w:rsidRPr="005F709E">
        <w:rPr>
          <w:sz w:val="24"/>
          <w:szCs w:val="24"/>
        </w:rPr>
        <w:t>roux</w:t>
      </w:r>
      <w:r>
        <w:rPr>
          <w:rStyle w:val="Appelnotedebasdep"/>
          <w:sz w:val="24"/>
          <w:szCs w:val="24"/>
        </w:rPr>
        <w:footnoteReference w:id="304"/>
      </w:r>
      <w:r w:rsidRPr="005F709E">
        <w:rPr>
          <w:sz w:val="24"/>
          <w:szCs w:val="24"/>
          <w:lang w:eastAsia="fr-CA"/>
        </w:rPr>
        <w:t xml:space="preserve"> </w:t>
      </w:r>
      <w:r w:rsidRPr="005F709E">
        <w:rPr>
          <w:rFonts w:eastAsia="ArialMT"/>
          <w:sz w:val="24"/>
          <w:szCs w:val="24"/>
        </w:rPr>
        <w:t>et qu’elle a</w:t>
      </w:r>
      <w:r w:rsidRPr="005F709E">
        <w:rPr>
          <w:rFonts w:eastAsia="ArialMT"/>
          <w:sz w:val="24"/>
          <w:szCs w:val="24"/>
          <w:lang w:eastAsia="fr-CA"/>
        </w:rPr>
        <w:t xml:space="preserve"> </w:t>
      </w:r>
      <w:r w:rsidRPr="005F709E">
        <w:rPr>
          <w:sz w:val="24"/>
          <w:szCs w:val="24"/>
          <w:lang w:eastAsia="fr-CA"/>
        </w:rPr>
        <w:t>effectué une avance de</w:t>
      </w:r>
      <w:r w:rsidR="00D90D4F">
        <w:rPr>
          <w:sz w:val="24"/>
          <w:szCs w:val="24"/>
          <w:lang w:eastAsia="fr-CA"/>
        </w:rPr>
        <w:t> </w:t>
      </w:r>
      <w:r w:rsidRPr="005F709E">
        <w:rPr>
          <w:sz w:val="24"/>
          <w:szCs w:val="24"/>
          <w:lang w:eastAsia="fr-CA"/>
        </w:rPr>
        <w:t>73</w:t>
      </w:r>
      <w:r w:rsidR="00F7576A" w:rsidRPr="005F709E">
        <w:rPr>
          <w:sz w:val="24"/>
          <w:szCs w:val="24"/>
          <w:lang w:eastAsia="fr-CA"/>
        </w:rPr>
        <w:t> </w:t>
      </w:r>
      <w:r w:rsidRPr="005F709E">
        <w:rPr>
          <w:sz w:val="24"/>
          <w:szCs w:val="24"/>
          <w:lang w:eastAsia="fr-CA"/>
        </w:rPr>
        <w:t>147,45</w:t>
      </w:r>
      <w:r w:rsidR="00F7576A" w:rsidRPr="005F709E">
        <w:rPr>
          <w:sz w:val="24"/>
          <w:szCs w:val="24"/>
          <w:lang w:eastAsia="fr-CA"/>
        </w:rPr>
        <w:t> </w:t>
      </w:r>
      <w:r w:rsidRPr="005F709E">
        <w:rPr>
          <w:sz w:val="24"/>
          <w:szCs w:val="24"/>
          <w:lang w:eastAsia="fr-CA"/>
        </w:rPr>
        <w:t>$ à Giroux</w:t>
      </w:r>
      <w:r w:rsidR="00F7576A" w:rsidRPr="005F709E">
        <w:rPr>
          <w:sz w:val="24"/>
          <w:szCs w:val="24"/>
          <w:lang w:eastAsia="fr-CA"/>
        </w:rPr>
        <w:t xml:space="preserve"> </w:t>
      </w:r>
      <w:r w:rsidRPr="005F709E">
        <w:rPr>
          <w:rFonts w:eastAsia="ArialMT"/>
          <w:sz w:val="24"/>
          <w:szCs w:val="24"/>
        </w:rPr>
        <w:t>pour qu’il s’achète un bateau</w:t>
      </w:r>
      <w:r>
        <w:rPr>
          <w:rStyle w:val="Appelnotedebasdep"/>
          <w:rFonts w:eastAsia="ArialMT"/>
          <w:sz w:val="24"/>
          <w:szCs w:val="24"/>
        </w:rPr>
        <w:footnoteReference w:id="305"/>
      </w:r>
      <w:r w:rsidR="004B05B7" w:rsidRPr="005F709E">
        <w:rPr>
          <w:rFonts w:eastAsia="ArialMT"/>
          <w:sz w:val="24"/>
          <w:szCs w:val="24"/>
          <w:lang w:eastAsia="fr-CA"/>
        </w:rPr>
        <w:t>;</w:t>
      </w:r>
    </w:p>
    <w:p w14:paraId="573D1344" w14:textId="77777777" w:rsidR="000B349A" w:rsidRPr="005F709E" w:rsidRDefault="00730A01" w:rsidP="00443B59">
      <w:pPr>
        <w:pStyle w:val="Citationenretrait"/>
        <w:numPr>
          <w:ilvl w:val="0"/>
          <w:numId w:val="50"/>
        </w:numPr>
        <w:spacing w:after="0"/>
        <w:ind w:left="993" w:right="539" w:hanging="284"/>
        <w:rPr>
          <w:sz w:val="24"/>
          <w:szCs w:val="24"/>
          <w:lang w:eastAsia="fr-CA"/>
        </w:rPr>
      </w:pPr>
      <w:r w:rsidRPr="005F709E">
        <w:rPr>
          <w:sz w:val="24"/>
          <w:szCs w:val="24"/>
          <w:lang w:eastAsia="fr-CA"/>
        </w:rPr>
        <w:t>Le bilan de 6646 au 30</w:t>
      </w:r>
      <w:r w:rsidR="00D90D4F">
        <w:rPr>
          <w:sz w:val="24"/>
          <w:szCs w:val="24"/>
          <w:lang w:eastAsia="fr-CA"/>
        </w:rPr>
        <w:t> </w:t>
      </w:r>
      <w:r w:rsidRPr="005F709E">
        <w:rPr>
          <w:sz w:val="24"/>
          <w:szCs w:val="24"/>
          <w:lang w:eastAsia="fr-CA"/>
        </w:rPr>
        <w:t>juin</w:t>
      </w:r>
      <w:r w:rsidR="00D90D4F">
        <w:rPr>
          <w:sz w:val="24"/>
          <w:szCs w:val="24"/>
          <w:lang w:eastAsia="fr-CA"/>
        </w:rPr>
        <w:t> </w:t>
      </w:r>
      <w:r w:rsidRPr="005F709E">
        <w:rPr>
          <w:sz w:val="24"/>
          <w:szCs w:val="24"/>
          <w:lang w:eastAsia="fr-CA"/>
        </w:rPr>
        <w:t>2023 constate également les importantes dettes</w:t>
      </w:r>
      <w:r w:rsidR="00947EA6" w:rsidRPr="005F709E">
        <w:rPr>
          <w:sz w:val="24"/>
          <w:szCs w:val="24"/>
          <w:lang w:eastAsia="fr-CA"/>
        </w:rPr>
        <w:t xml:space="preserve"> </w:t>
      </w:r>
      <w:r w:rsidRPr="005F709E">
        <w:rPr>
          <w:sz w:val="24"/>
          <w:szCs w:val="24"/>
          <w:lang w:eastAsia="fr-CA"/>
        </w:rPr>
        <w:t xml:space="preserve">de celle-ci envers Giroux et ses fiducies, de </w:t>
      </w:r>
      <w:r w:rsidRPr="005F709E">
        <w:rPr>
          <w:sz w:val="24"/>
          <w:szCs w:val="24"/>
        </w:rPr>
        <w:t xml:space="preserve">même </w:t>
      </w:r>
      <w:r w:rsidRPr="005F709E">
        <w:rPr>
          <w:rFonts w:eastAsia="ArialMT"/>
          <w:sz w:val="24"/>
          <w:szCs w:val="24"/>
        </w:rPr>
        <w:t xml:space="preserve">qu’envers </w:t>
      </w:r>
      <w:r w:rsidRPr="005F709E">
        <w:rPr>
          <w:sz w:val="24"/>
          <w:szCs w:val="24"/>
        </w:rPr>
        <w:t xml:space="preserve">8096 </w:t>
      </w:r>
      <w:r w:rsidRPr="005F709E">
        <w:rPr>
          <w:sz w:val="24"/>
          <w:szCs w:val="24"/>
          <w:lang w:eastAsia="fr-CA"/>
        </w:rPr>
        <w:t>et X2</w:t>
      </w:r>
      <w:r>
        <w:rPr>
          <w:rStyle w:val="Appelnotedebasdep"/>
          <w:sz w:val="24"/>
          <w:szCs w:val="24"/>
          <w:lang w:eastAsia="fr-CA"/>
        </w:rPr>
        <w:footnoteReference w:id="306"/>
      </w:r>
      <w:r w:rsidRPr="005F709E">
        <w:rPr>
          <w:sz w:val="24"/>
          <w:szCs w:val="24"/>
          <w:lang w:eastAsia="fr-CA"/>
        </w:rPr>
        <w:t>;</w:t>
      </w:r>
    </w:p>
    <w:p w14:paraId="5D190C5D" w14:textId="77777777" w:rsidR="000B349A" w:rsidRPr="005F709E" w:rsidRDefault="00730A01" w:rsidP="00443B59">
      <w:pPr>
        <w:pStyle w:val="Citationenretrait"/>
        <w:numPr>
          <w:ilvl w:val="0"/>
          <w:numId w:val="50"/>
        </w:numPr>
        <w:spacing w:after="0"/>
        <w:ind w:left="993" w:right="539" w:hanging="284"/>
        <w:rPr>
          <w:sz w:val="24"/>
          <w:szCs w:val="24"/>
          <w:lang w:eastAsia="fr-CA"/>
        </w:rPr>
      </w:pPr>
      <w:r w:rsidRPr="005F709E">
        <w:rPr>
          <w:sz w:val="24"/>
          <w:szCs w:val="24"/>
          <w:lang w:eastAsia="fr-CA"/>
        </w:rPr>
        <w:t>Au même titre que la DSS sur actifs de Giroux, les états financiers de 8096</w:t>
      </w:r>
      <w:r w:rsidR="00F7576A" w:rsidRPr="005F709E">
        <w:rPr>
          <w:sz w:val="24"/>
          <w:szCs w:val="24"/>
          <w:lang w:eastAsia="fr-CA"/>
        </w:rPr>
        <w:t xml:space="preserve"> </w:t>
      </w:r>
      <w:r w:rsidRPr="005F709E">
        <w:rPr>
          <w:rFonts w:eastAsia="ArialMT"/>
          <w:sz w:val="24"/>
          <w:szCs w:val="24"/>
        </w:rPr>
        <w:t>pour l’année</w:t>
      </w:r>
      <w:r w:rsidR="00D90D4F">
        <w:rPr>
          <w:rFonts w:eastAsia="ArialMT"/>
          <w:sz w:val="24"/>
          <w:szCs w:val="24"/>
        </w:rPr>
        <w:t> </w:t>
      </w:r>
      <w:r w:rsidRPr="005F709E">
        <w:rPr>
          <w:sz w:val="24"/>
          <w:szCs w:val="24"/>
        </w:rPr>
        <w:t xml:space="preserve">2022 </w:t>
      </w:r>
      <w:r w:rsidRPr="005F709E">
        <w:rPr>
          <w:rFonts w:eastAsia="ArialMT"/>
          <w:sz w:val="24"/>
          <w:szCs w:val="24"/>
        </w:rPr>
        <w:t>font état d’avances à recevoir de la société mèr</w:t>
      </w:r>
      <w:r w:rsidRPr="005F709E">
        <w:rPr>
          <w:sz w:val="24"/>
          <w:szCs w:val="24"/>
        </w:rPr>
        <w:t>e</w:t>
      </w:r>
      <w:r w:rsidRPr="005F709E">
        <w:rPr>
          <w:sz w:val="24"/>
          <w:szCs w:val="24"/>
          <w:lang w:eastAsia="fr-CA"/>
        </w:rPr>
        <w:t xml:space="preserve"> (6646)</w:t>
      </w:r>
      <w:r w:rsidR="00F7576A" w:rsidRPr="005F709E">
        <w:rPr>
          <w:sz w:val="24"/>
          <w:szCs w:val="24"/>
          <w:lang w:eastAsia="fr-CA"/>
        </w:rPr>
        <w:t xml:space="preserve"> </w:t>
      </w:r>
      <w:r w:rsidRPr="005F709E">
        <w:rPr>
          <w:sz w:val="24"/>
          <w:szCs w:val="24"/>
          <w:lang w:eastAsia="fr-CA"/>
        </w:rPr>
        <w:t>de</w:t>
      </w:r>
      <w:r w:rsidR="00D90D4F">
        <w:rPr>
          <w:sz w:val="24"/>
          <w:szCs w:val="24"/>
          <w:lang w:eastAsia="fr-CA"/>
        </w:rPr>
        <w:t> </w:t>
      </w:r>
      <w:r w:rsidRPr="005F709E">
        <w:rPr>
          <w:sz w:val="24"/>
          <w:szCs w:val="24"/>
          <w:lang w:eastAsia="fr-CA"/>
        </w:rPr>
        <w:t>16</w:t>
      </w:r>
      <w:r w:rsidR="00F7576A" w:rsidRPr="005F709E">
        <w:rPr>
          <w:sz w:val="24"/>
          <w:szCs w:val="24"/>
          <w:lang w:eastAsia="fr-CA"/>
        </w:rPr>
        <w:t> </w:t>
      </w:r>
      <w:r w:rsidRPr="005F709E">
        <w:rPr>
          <w:sz w:val="24"/>
          <w:szCs w:val="24"/>
          <w:lang w:eastAsia="fr-CA"/>
        </w:rPr>
        <w:t>1</w:t>
      </w:r>
      <w:r w:rsidRPr="005F709E">
        <w:rPr>
          <w:sz w:val="24"/>
          <w:szCs w:val="24"/>
        </w:rPr>
        <w:t>67</w:t>
      </w:r>
      <w:r w:rsidR="00F7576A" w:rsidRPr="005F709E">
        <w:rPr>
          <w:sz w:val="24"/>
          <w:szCs w:val="24"/>
        </w:rPr>
        <w:t> </w:t>
      </w:r>
      <w:r w:rsidRPr="005F709E">
        <w:rPr>
          <w:sz w:val="24"/>
          <w:szCs w:val="24"/>
        </w:rPr>
        <w:t>824</w:t>
      </w:r>
      <w:r w:rsidR="00F7576A" w:rsidRPr="005F709E">
        <w:rPr>
          <w:sz w:val="24"/>
          <w:szCs w:val="24"/>
        </w:rPr>
        <w:t> </w:t>
      </w:r>
      <w:r w:rsidRPr="005F709E">
        <w:rPr>
          <w:sz w:val="24"/>
          <w:szCs w:val="24"/>
        </w:rPr>
        <w:t xml:space="preserve">$ </w:t>
      </w:r>
      <w:r w:rsidRPr="005F709E">
        <w:rPr>
          <w:rFonts w:eastAsia="ArialMT"/>
          <w:sz w:val="24"/>
          <w:szCs w:val="24"/>
        </w:rPr>
        <w:t>et d’un dû à des sociétés sous contrôle commun de</w:t>
      </w:r>
      <w:r w:rsidR="00D90D4F">
        <w:rPr>
          <w:rFonts w:eastAsia="ArialMT"/>
          <w:sz w:val="24"/>
          <w:szCs w:val="24"/>
        </w:rPr>
        <w:t> </w:t>
      </w:r>
      <w:r w:rsidRPr="005F709E">
        <w:rPr>
          <w:sz w:val="24"/>
          <w:szCs w:val="24"/>
          <w:lang w:eastAsia="fr-CA"/>
        </w:rPr>
        <w:t>257</w:t>
      </w:r>
      <w:r w:rsidR="00F7576A" w:rsidRPr="005F709E">
        <w:rPr>
          <w:sz w:val="24"/>
          <w:szCs w:val="24"/>
          <w:lang w:eastAsia="fr-CA"/>
        </w:rPr>
        <w:t> </w:t>
      </w:r>
      <w:r w:rsidRPr="005F709E">
        <w:rPr>
          <w:sz w:val="24"/>
          <w:szCs w:val="24"/>
          <w:lang w:eastAsia="fr-CA"/>
        </w:rPr>
        <w:t>000</w:t>
      </w:r>
      <w:r w:rsidR="00F7576A" w:rsidRPr="005F709E">
        <w:rPr>
          <w:sz w:val="24"/>
          <w:szCs w:val="24"/>
          <w:lang w:eastAsia="fr-CA"/>
        </w:rPr>
        <w:t> </w:t>
      </w:r>
      <w:r w:rsidRPr="005F709E">
        <w:rPr>
          <w:sz w:val="24"/>
          <w:szCs w:val="24"/>
          <w:lang w:eastAsia="fr-CA"/>
        </w:rPr>
        <w:t>$</w:t>
      </w:r>
      <w:r>
        <w:rPr>
          <w:rStyle w:val="Appelnotedebasdep"/>
          <w:sz w:val="24"/>
          <w:szCs w:val="24"/>
          <w:lang w:eastAsia="fr-CA"/>
        </w:rPr>
        <w:footnoteReference w:id="307"/>
      </w:r>
      <w:r w:rsidRPr="005F709E">
        <w:rPr>
          <w:sz w:val="24"/>
          <w:szCs w:val="24"/>
          <w:lang w:eastAsia="fr-CA"/>
        </w:rPr>
        <w:t>. Il importe aussi de mentionner</w:t>
      </w:r>
      <w:r w:rsidR="00F7576A" w:rsidRPr="005F709E">
        <w:rPr>
          <w:sz w:val="24"/>
          <w:szCs w:val="24"/>
          <w:lang w:eastAsia="fr-CA"/>
        </w:rPr>
        <w:t xml:space="preserve"> </w:t>
      </w:r>
      <w:r w:rsidRPr="005F709E">
        <w:rPr>
          <w:sz w:val="24"/>
          <w:szCs w:val="24"/>
          <w:lang w:eastAsia="fr-CA"/>
        </w:rPr>
        <w:t>que ces états financiers font aussi état du fait que cette société détient un</w:t>
      </w:r>
      <w:r w:rsidR="00F7576A" w:rsidRPr="005F709E">
        <w:rPr>
          <w:sz w:val="24"/>
          <w:szCs w:val="24"/>
          <w:lang w:eastAsia="fr-CA"/>
        </w:rPr>
        <w:t xml:space="preserve"> </w:t>
      </w:r>
      <w:r w:rsidRPr="005F709E">
        <w:rPr>
          <w:sz w:val="24"/>
          <w:szCs w:val="24"/>
          <w:lang w:eastAsia="fr-CA"/>
        </w:rPr>
        <w:t>emprunt bancaire garanti par un cautionnement de la société mère (6646)</w:t>
      </w:r>
      <w:r w:rsidR="00F7576A" w:rsidRPr="005F709E">
        <w:rPr>
          <w:sz w:val="24"/>
          <w:szCs w:val="24"/>
          <w:lang w:eastAsia="fr-CA"/>
        </w:rPr>
        <w:t xml:space="preserve"> </w:t>
      </w:r>
      <w:r w:rsidRPr="005F709E">
        <w:rPr>
          <w:rFonts w:eastAsia="ArialMT"/>
          <w:sz w:val="24"/>
          <w:szCs w:val="24"/>
          <w:lang w:eastAsia="fr-CA"/>
        </w:rPr>
        <w:t>et de l’administrateur (Giroux)</w:t>
      </w:r>
      <w:r>
        <w:rPr>
          <w:rStyle w:val="Appelnotedebasdep"/>
          <w:rFonts w:eastAsia="ArialMT"/>
          <w:sz w:val="24"/>
          <w:szCs w:val="24"/>
          <w:lang w:eastAsia="fr-CA"/>
        </w:rPr>
        <w:footnoteReference w:id="308"/>
      </w:r>
      <w:r w:rsidRPr="005F709E">
        <w:rPr>
          <w:sz w:val="24"/>
          <w:szCs w:val="24"/>
          <w:lang w:eastAsia="fr-CA"/>
        </w:rPr>
        <w:t>;</w:t>
      </w:r>
    </w:p>
    <w:p w14:paraId="24FC44DF" w14:textId="77777777" w:rsidR="000B349A" w:rsidRPr="005F709E" w:rsidRDefault="00730A01" w:rsidP="00443B59">
      <w:pPr>
        <w:pStyle w:val="Citationenretrait"/>
        <w:numPr>
          <w:ilvl w:val="0"/>
          <w:numId w:val="50"/>
        </w:numPr>
        <w:spacing w:after="0"/>
        <w:ind w:left="993" w:right="539" w:hanging="284"/>
        <w:rPr>
          <w:sz w:val="24"/>
          <w:szCs w:val="24"/>
          <w:lang w:eastAsia="fr-CA"/>
        </w:rPr>
      </w:pPr>
      <w:r w:rsidRPr="005F709E">
        <w:rPr>
          <w:rFonts w:eastAsia="ArialMT"/>
          <w:sz w:val="24"/>
          <w:szCs w:val="24"/>
          <w:lang w:eastAsia="fr-CA"/>
        </w:rPr>
        <w:t>Les états financiers de 9797 pour l’année</w:t>
      </w:r>
      <w:r w:rsidR="00D90D4F">
        <w:rPr>
          <w:rFonts w:eastAsia="ArialMT"/>
          <w:sz w:val="24"/>
          <w:szCs w:val="24"/>
          <w:lang w:eastAsia="fr-CA"/>
        </w:rPr>
        <w:t> </w:t>
      </w:r>
      <w:r w:rsidRPr="005F709E">
        <w:rPr>
          <w:sz w:val="24"/>
          <w:szCs w:val="24"/>
          <w:lang w:eastAsia="fr-CA"/>
        </w:rPr>
        <w:t>2022 font état du fait que</w:t>
      </w:r>
      <w:r w:rsidR="00947EA6" w:rsidRPr="005F709E">
        <w:rPr>
          <w:sz w:val="24"/>
          <w:szCs w:val="24"/>
          <w:lang w:eastAsia="fr-CA"/>
        </w:rPr>
        <w:t xml:space="preserve"> </w:t>
      </w:r>
      <w:r w:rsidRPr="005F709E">
        <w:rPr>
          <w:rFonts w:eastAsia="ArialMT"/>
          <w:sz w:val="24"/>
          <w:szCs w:val="24"/>
          <w:lang w:eastAsia="fr-CA"/>
        </w:rPr>
        <w:t>plusieurs avances à des sociétés sous contrôle commun ainsi qu’à la</w:t>
      </w:r>
      <w:r w:rsidR="00947EA6" w:rsidRPr="005F709E">
        <w:rPr>
          <w:rFonts w:eastAsia="ArialMT"/>
          <w:sz w:val="24"/>
          <w:szCs w:val="24"/>
          <w:lang w:eastAsia="fr-CA"/>
        </w:rPr>
        <w:t xml:space="preserve"> </w:t>
      </w:r>
      <w:r w:rsidRPr="005F709E">
        <w:rPr>
          <w:sz w:val="24"/>
          <w:szCs w:val="24"/>
          <w:lang w:eastAsia="fr-CA"/>
        </w:rPr>
        <w:t>société mère ont été faites dans les années antérieures</w:t>
      </w:r>
      <w:r>
        <w:rPr>
          <w:rStyle w:val="Appelnotedebasdep"/>
          <w:sz w:val="24"/>
          <w:szCs w:val="24"/>
          <w:lang w:eastAsia="fr-CA"/>
        </w:rPr>
        <w:footnoteReference w:id="309"/>
      </w:r>
      <w:r w:rsidRPr="005F709E">
        <w:rPr>
          <w:sz w:val="24"/>
          <w:szCs w:val="24"/>
          <w:lang w:eastAsia="fr-CA"/>
        </w:rPr>
        <w:t>;</w:t>
      </w:r>
    </w:p>
    <w:p w14:paraId="7CEAE6DD" w14:textId="77777777" w:rsidR="00852048" w:rsidRPr="005F709E" w:rsidRDefault="00730A01" w:rsidP="00443B59">
      <w:pPr>
        <w:pStyle w:val="Citationenretrait"/>
        <w:numPr>
          <w:ilvl w:val="0"/>
          <w:numId w:val="50"/>
        </w:numPr>
        <w:spacing w:after="0"/>
        <w:ind w:left="993" w:right="539" w:hanging="284"/>
        <w:rPr>
          <w:sz w:val="24"/>
          <w:szCs w:val="24"/>
          <w:lang w:eastAsia="fr-CA"/>
        </w:rPr>
      </w:pPr>
      <w:r w:rsidRPr="005F709E">
        <w:rPr>
          <w:rFonts w:eastAsia="ArialMT"/>
          <w:sz w:val="24"/>
          <w:szCs w:val="24"/>
          <w:lang w:eastAsia="fr-CA"/>
        </w:rPr>
        <w:t>Les états financiers de X2 pour l’année</w:t>
      </w:r>
      <w:r w:rsidR="00D90D4F">
        <w:rPr>
          <w:rFonts w:eastAsia="ArialMT"/>
          <w:sz w:val="24"/>
          <w:szCs w:val="24"/>
          <w:lang w:eastAsia="fr-CA"/>
        </w:rPr>
        <w:t> </w:t>
      </w:r>
      <w:r w:rsidRPr="005F709E">
        <w:rPr>
          <w:sz w:val="24"/>
          <w:szCs w:val="24"/>
          <w:lang w:eastAsia="fr-CA"/>
        </w:rPr>
        <w:t>2022 font état d</w:t>
      </w:r>
      <w:r w:rsidRPr="005F709E">
        <w:rPr>
          <w:rFonts w:eastAsia="ArialMT"/>
          <w:sz w:val="24"/>
          <w:szCs w:val="24"/>
          <w:lang w:eastAsia="fr-CA"/>
        </w:rPr>
        <w:t>’avances à la société</w:t>
      </w:r>
      <w:r w:rsidR="00F7576A" w:rsidRPr="005F709E">
        <w:rPr>
          <w:rFonts w:eastAsia="ArialMT"/>
          <w:sz w:val="24"/>
          <w:szCs w:val="24"/>
          <w:lang w:eastAsia="fr-CA"/>
        </w:rPr>
        <w:t xml:space="preserve"> </w:t>
      </w:r>
      <w:r w:rsidRPr="005F709E">
        <w:rPr>
          <w:sz w:val="24"/>
          <w:szCs w:val="24"/>
          <w:lang w:eastAsia="fr-CA"/>
        </w:rPr>
        <w:t>mère de</w:t>
      </w:r>
      <w:r w:rsidR="00D90D4F">
        <w:rPr>
          <w:sz w:val="24"/>
          <w:szCs w:val="24"/>
          <w:lang w:eastAsia="fr-CA"/>
        </w:rPr>
        <w:t> </w:t>
      </w:r>
      <w:r w:rsidRPr="005F709E">
        <w:rPr>
          <w:sz w:val="24"/>
          <w:szCs w:val="24"/>
          <w:lang w:eastAsia="fr-CA"/>
        </w:rPr>
        <w:t>10</w:t>
      </w:r>
      <w:r w:rsidR="001C264E" w:rsidRPr="005F709E">
        <w:rPr>
          <w:sz w:val="24"/>
          <w:szCs w:val="24"/>
          <w:lang w:eastAsia="fr-CA"/>
        </w:rPr>
        <w:t> </w:t>
      </w:r>
      <w:r w:rsidRPr="005F709E">
        <w:rPr>
          <w:sz w:val="24"/>
          <w:szCs w:val="24"/>
          <w:lang w:eastAsia="fr-CA"/>
        </w:rPr>
        <w:t>537</w:t>
      </w:r>
      <w:r w:rsidR="001C264E" w:rsidRPr="005F709E">
        <w:rPr>
          <w:sz w:val="24"/>
          <w:szCs w:val="24"/>
          <w:lang w:eastAsia="fr-CA"/>
        </w:rPr>
        <w:t> </w:t>
      </w:r>
      <w:r w:rsidRPr="005F709E">
        <w:rPr>
          <w:sz w:val="24"/>
          <w:szCs w:val="24"/>
          <w:lang w:eastAsia="fr-CA"/>
        </w:rPr>
        <w:t>175</w:t>
      </w:r>
      <w:r w:rsidR="001C264E" w:rsidRPr="005F709E">
        <w:rPr>
          <w:sz w:val="24"/>
          <w:szCs w:val="24"/>
          <w:lang w:eastAsia="fr-CA"/>
        </w:rPr>
        <w:t> </w:t>
      </w:r>
      <w:r w:rsidRPr="005F709E">
        <w:rPr>
          <w:sz w:val="24"/>
          <w:szCs w:val="24"/>
          <w:lang w:eastAsia="fr-CA"/>
        </w:rPr>
        <w:t>$</w:t>
      </w:r>
      <w:r>
        <w:rPr>
          <w:rStyle w:val="Appelnotedebasdep"/>
          <w:sz w:val="24"/>
          <w:szCs w:val="24"/>
          <w:lang w:eastAsia="fr-CA"/>
        </w:rPr>
        <w:footnoteReference w:id="310"/>
      </w:r>
      <w:r w:rsidRPr="005F709E">
        <w:rPr>
          <w:rFonts w:eastAsia="ArialMT"/>
          <w:sz w:val="24"/>
          <w:szCs w:val="24"/>
          <w:lang w:eastAsia="fr-CA"/>
        </w:rPr>
        <w:t>, d’une avance à l’administrateur de</w:t>
      </w:r>
      <w:r w:rsidR="00D90D4F">
        <w:rPr>
          <w:rFonts w:eastAsia="ArialMT"/>
          <w:sz w:val="24"/>
          <w:szCs w:val="24"/>
          <w:lang w:eastAsia="fr-CA"/>
        </w:rPr>
        <w:t> </w:t>
      </w:r>
      <w:r w:rsidRPr="005F709E">
        <w:rPr>
          <w:rFonts w:eastAsia="ArialMT"/>
          <w:sz w:val="24"/>
          <w:szCs w:val="24"/>
          <w:lang w:eastAsia="fr-CA"/>
        </w:rPr>
        <w:t>298</w:t>
      </w:r>
      <w:r w:rsidR="00F7576A" w:rsidRPr="005F709E">
        <w:rPr>
          <w:rFonts w:eastAsia="ArialMT"/>
          <w:sz w:val="24"/>
          <w:szCs w:val="24"/>
          <w:lang w:eastAsia="fr-CA"/>
        </w:rPr>
        <w:t> </w:t>
      </w:r>
      <w:r w:rsidRPr="005F709E">
        <w:rPr>
          <w:sz w:val="24"/>
          <w:szCs w:val="24"/>
          <w:lang w:eastAsia="fr-CA"/>
        </w:rPr>
        <w:t>$,</w:t>
      </w:r>
      <w:r w:rsidR="00F7576A" w:rsidRPr="005F709E">
        <w:rPr>
          <w:sz w:val="24"/>
          <w:szCs w:val="24"/>
          <w:lang w:eastAsia="fr-CA"/>
        </w:rPr>
        <w:t xml:space="preserve"> </w:t>
      </w:r>
      <w:r w:rsidRPr="005F709E">
        <w:rPr>
          <w:rFonts w:eastAsia="ArialMT"/>
          <w:sz w:val="24"/>
          <w:szCs w:val="24"/>
          <w:lang w:eastAsia="fr-CA"/>
        </w:rPr>
        <w:t>d’avances à des sociétés liées de</w:t>
      </w:r>
      <w:r w:rsidR="00D90D4F">
        <w:rPr>
          <w:rFonts w:eastAsia="ArialMT"/>
          <w:sz w:val="24"/>
          <w:szCs w:val="24"/>
          <w:lang w:eastAsia="fr-CA"/>
        </w:rPr>
        <w:t> </w:t>
      </w:r>
      <w:r w:rsidRPr="005F709E">
        <w:rPr>
          <w:rFonts w:eastAsia="ArialMT"/>
          <w:sz w:val="24"/>
          <w:szCs w:val="24"/>
          <w:lang w:eastAsia="fr-CA"/>
        </w:rPr>
        <w:t>310</w:t>
      </w:r>
      <w:r w:rsidR="00F7576A" w:rsidRPr="005F709E">
        <w:rPr>
          <w:rFonts w:eastAsia="ArialMT"/>
          <w:sz w:val="24"/>
          <w:szCs w:val="24"/>
          <w:lang w:eastAsia="fr-CA"/>
        </w:rPr>
        <w:t> </w:t>
      </w:r>
      <w:r w:rsidRPr="005F709E">
        <w:rPr>
          <w:sz w:val="24"/>
          <w:szCs w:val="24"/>
          <w:lang w:eastAsia="fr-CA"/>
        </w:rPr>
        <w:t>741</w:t>
      </w:r>
      <w:r w:rsidR="00F7576A" w:rsidRPr="005F709E">
        <w:rPr>
          <w:sz w:val="24"/>
          <w:szCs w:val="24"/>
          <w:lang w:eastAsia="fr-CA"/>
        </w:rPr>
        <w:t> </w:t>
      </w:r>
      <w:r w:rsidRPr="005F709E">
        <w:rPr>
          <w:sz w:val="24"/>
          <w:szCs w:val="24"/>
          <w:lang w:eastAsia="fr-CA"/>
        </w:rPr>
        <w:t xml:space="preserve">$ </w:t>
      </w:r>
      <w:r w:rsidRPr="005F709E">
        <w:rPr>
          <w:rFonts w:eastAsia="ArialMT"/>
          <w:sz w:val="24"/>
          <w:szCs w:val="24"/>
          <w:lang w:eastAsia="fr-CA"/>
        </w:rPr>
        <w:t>et d’un dû à une société sous</w:t>
      </w:r>
      <w:r w:rsidR="00F7576A" w:rsidRPr="005F709E">
        <w:rPr>
          <w:rFonts w:eastAsia="ArialMT"/>
          <w:sz w:val="24"/>
          <w:szCs w:val="24"/>
          <w:lang w:eastAsia="fr-CA"/>
        </w:rPr>
        <w:t xml:space="preserve"> </w:t>
      </w:r>
      <w:r w:rsidRPr="005F709E">
        <w:rPr>
          <w:sz w:val="24"/>
          <w:szCs w:val="24"/>
          <w:lang w:eastAsia="fr-CA"/>
        </w:rPr>
        <w:t>contrôle commun de</w:t>
      </w:r>
      <w:r w:rsidR="00D90D4F">
        <w:rPr>
          <w:sz w:val="24"/>
          <w:szCs w:val="24"/>
          <w:lang w:eastAsia="fr-CA"/>
        </w:rPr>
        <w:t> </w:t>
      </w:r>
      <w:r w:rsidRPr="005F709E">
        <w:rPr>
          <w:sz w:val="24"/>
          <w:szCs w:val="24"/>
          <w:lang w:eastAsia="fr-CA"/>
        </w:rPr>
        <w:t>160</w:t>
      </w:r>
      <w:r w:rsidR="00F7576A" w:rsidRPr="005F709E">
        <w:rPr>
          <w:sz w:val="24"/>
          <w:szCs w:val="24"/>
          <w:lang w:eastAsia="fr-CA"/>
        </w:rPr>
        <w:t> </w:t>
      </w:r>
      <w:r w:rsidRPr="005F709E">
        <w:rPr>
          <w:sz w:val="24"/>
          <w:szCs w:val="24"/>
          <w:lang w:eastAsia="fr-CA"/>
        </w:rPr>
        <w:t>000</w:t>
      </w:r>
      <w:r w:rsidR="00F7576A" w:rsidRPr="005F709E">
        <w:rPr>
          <w:sz w:val="24"/>
          <w:szCs w:val="24"/>
          <w:lang w:eastAsia="fr-CA"/>
        </w:rPr>
        <w:t> </w:t>
      </w:r>
      <w:r w:rsidRPr="005F709E">
        <w:rPr>
          <w:sz w:val="24"/>
          <w:szCs w:val="24"/>
          <w:lang w:eastAsia="fr-CA"/>
        </w:rPr>
        <w:t>$</w:t>
      </w:r>
      <w:r>
        <w:rPr>
          <w:rStyle w:val="Appelnotedebasdep"/>
          <w:sz w:val="24"/>
          <w:szCs w:val="24"/>
          <w:lang w:eastAsia="fr-CA"/>
        </w:rPr>
        <w:footnoteReference w:id="311"/>
      </w:r>
      <w:r w:rsidRPr="005F709E">
        <w:rPr>
          <w:sz w:val="24"/>
          <w:szCs w:val="24"/>
          <w:lang w:eastAsia="fr-CA"/>
        </w:rPr>
        <w:t>.</w:t>
      </w:r>
    </w:p>
    <w:p w14:paraId="5AA7B3E7" w14:textId="77777777" w:rsidR="00852048" w:rsidRPr="00947EA6" w:rsidRDefault="00730A01" w:rsidP="0098012F">
      <w:pPr>
        <w:pStyle w:val="Paragraphe"/>
        <w:tabs>
          <w:tab w:val="clear" w:pos="786"/>
        </w:tabs>
        <w:autoSpaceDE w:val="0"/>
        <w:autoSpaceDN w:val="0"/>
        <w:adjustRightInd w:val="0"/>
        <w:spacing w:before="240" w:line="240" w:lineRule="auto"/>
        <w:ind w:left="0"/>
        <w:rPr>
          <w:rFonts w:cs="Arial"/>
          <w:szCs w:val="24"/>
          <w:lang w:eastAsia="fr-CA"/>
        </w:rPr>
      </w:pPr>
      <w:r w:rsidRPr="00947EA6">
        <w:rPr>
          <w:rFonts w:cs="Arial"/>
          <w:szCs w:val="24"/>
          <w:lang w:eastAsia="fr-CA"/>
        </w:rPr>
        <w:t>Les documents qui suivent démontrent quant à eux que 6646 est utilisée par</w:t>
      </w:r>
      <w:r w:rsidR="00947EA6">
        <w:rPr>
          <w:rFonts w:cs="Arial"/>
          <w:szCs w:val="24"/>
          <w:lang w:eastAsia="fr-CA"/>
        </w:rPr>
        <w:t xml:space="preserve"> </w:t>
      </w:r>
      <w:r w:rsidRPr="00947EA6">
        <w:rPr>
          <w:rFonts w:cs="Arial"/>
          <w:szCs w:val="24"/>
          <w:lang w:eastAsia="fr-CA"/>
        </w:rPr>
        <w:t>Giroux comme son propre portefeuille</w:t>
      </w:r>
      <w:r w:rsidR="00D90D4F">
        <w:rPr>
          <w:rFonts w:cs="Arial"/>
          <w:szCs w:val="24"/>
          <w:lang w:eastAsia="fr-CA"/>
        </w:rPr>
        <w:t> </w:t>
      </w:r>
      <w:r w:rsidRPr="00947EA6">
        <w:rPr>
          <w:rFonts w:cs="Arial"/>
          <w:szCs w:val="24"/>
          <w:lang w:eastAsia="fr-CA"/>
        </w:rPr>
        <w:t>:</w:t>
      </w:r>
    </w:p>
    <w:p w14:paraId="6EAD9C6D" w14:textId="77777777" w:rsidR="00722451" w:rsidRPr="005F709E" w:rsidRDefault="00730A01" w:rsidP="00443B59">
      <w:pPr>
        <w:pStyle w:val="Citationenretrait"/>
        <w:numPr>
          <w:ilvl w:val="0"/>
          <w:numId w:val="51"/>
        </w:numPr>
        <w:spacing w:after="0"/>
        <w:ind w:left="993" w:right="539" w:hanging="284"/>
        <w:rPr>
          <w:sz w:val="24"/>
          <w:szCs w:val="24"/>
          <w:lang w:eastAsia="fr-CA"/>
        </w:rPr>
      </w:pPr>
      <w:r w:rsidRPr="005F709E">
        <w:rPr>
          <w:sz w:val="24"/>
          <w:szCs w:val="24"/>
          <w:lang w:eastAsia="fr-CA"/>
        </w:rPr>
        <w:t>La pièce PQ-189 constitue le document fourni par Giroux suivant la</w:t>
      </w:r>
      <w:r w:rsidR="00947EA6" w:rsidRPr="005F709E">
        <w:rPr>
          <w:sz w:val="24"/>
          <w:szCs w:val="24"/>
          <w:lang w:eastAsia="fr-CA"/>
        </w:rPr>
        <w:t xml:space="preserve"> </w:t>
      </w:r>
      <w:r w:rsidRPr="005F709E">
        <w:rPr>
          <w:rFonts w:eastAsia="ArialMT"/>
          <w:sz w:val="24"/>
          <w:szCs w:val="24"/>
        </w:rPr>
        <w:t>demande d’engagement suivante</w:t>
      </w:r>
      <w:r w:rsidR="00D90D4F">
        <w:rPr>
          <w:rFonts w:eastAsia="ArialMT"/>
          <w:sz w:val="24"/>
          <w:szCs w:val="24"/>
          <w:lang w:eastAsia="fr-CA"/>
        </w:rPr>
        <w:t> </w:t>
      </w:r>
      <w:r w:rsidRPr="005F709E">
        <w:rPr>
          <w:sz w:val="24"/>
          <w:szCs w:val="24"/>
          <w:lang w:eastAsia="fr-CA"/>
        </w:rPr>
        <w:t>:</w:t>
      </w:r>
      <w:r w:rsidR="00D90D4F">
        <w:rPr>
          <w:sz w:val="24"/>
          <w:szCs w:val="24"/>
          <w:lang w:eastAsia="fr-CA"/>
        </w:rPr>
        <w:t xml:space="preserve"> </w:t>
      </w:r>
      <w:r w:rsidRPr="005F709E">
        <w:rPr>
          <w:sz w:val="24"/>
          <w:szCs w:val="24"/>
          <w:lang w:eastAsia="fr-CA"/>
        </w:rPr>
        <w:t>« </w:t>
      </w:r>
      <w:r w:rsidRPr="005F709E">
        <w:rPr>
          <w:i/>
          <w:iCs/>
          <w:sz w:val="24"/>
          <w:szCs w:val="24"/>
          <w:lang w:eastAsia="fr-CA"/>
        </w:rPr>
        <w:t>ERG-8</w:t>
      </w:r>
      <w:r w:rsidRPr="005F709E">
        <w:rPr>
          <w:sz w:val="24"/>
          <w:szCs w:val="24"/>
          <w:lang w:eastAsia="fr-CA"/>
        </w:rPr>
        <w:t xml:space="preserve"> </w:t>
      </w:r>
      <w:r w:rsidRPr="005F709E">
        <w:rPr>
          <w:i/>
          <w:iCs/>
          <w:sz w:val="24"/>
          <w:szCs w:val="24"/>
          <w:lang w:eastAsia="fr-CA"/>
        </w:rPr>
        <w:t>Fournir les pièces justifications</w:t>
      </w:r>
      <w:r w:rsidR="00947EA6" w:rsidRPr="005F709E">
        <w:rPr>
          <w:i/>
          <w:iCs/>
          <w:sz w:val="24"/>
          <w:szCs w:val="24"/>
          <w:lang w:eastAsia="fr-CA"/>
        </w:rPr>
        <w:t xml:space="preserve"> </w:t>
      </w:r>
      <w:r w:rsidRPr="005F709E">
        <w:rPr>
          <w:i/>
          <w:iCs/>
          <w:sz w:val="24"/>
          <w:szCs w:val="24"/>
          <w:lang w:eastAsia="fr-CA"/>
        </w:rPr>
        <w:t>(sic) des prêts [consentis par M.</w:t>
      </w:r>
      <w:r w:rsidR="00D90D4F">
        <w:rPr>
          <w:i/>
          <w:iCs/>
          <w:sz w:val="24"/>
          <w:szCs w:val="24"/>
          <w:lang w:eastAsia="fr-CA"/>
        </w:rPr>
        <w:t> </w:t>
      </w:r>
      <w:r w:rsidRPr="005F709E">
        <w:rPr>
          <w:i/>
          <w:iCs/>
          <w:sz w:val="24"/>
          <w:szCs w:val="24"/>
          <w:lang w:eastAsia="fr-CA"/>
        </w:rPr>
        <w:t>Giroux] à 9180-6646 Québec inc. totalisant</w:t>
      </w:r>
      <w:r w:rsidR="00947EA6" w:rsidRPr="005F709E">
        <w:rPr>
          <w:i/>
          <w:iCs/>
          <w:sz w:val="24"/>
          <w:szCs w:val="24"/>
          <w:lang w:eastAsia="fr-CA"/>
        </w:rPr>
        <w:t xml:space="preserve"> </w:t>
      </w:r>
      <w:r w:rsidRPr="005F709E">
        <w:rPr>
          <w:i/>
          <w:iCs/>
          <w:sz w:val="24"/>
          <w:szCs w:val="24"/>
          <w:lang w:eastAsia="fr-CA"/>
        </w:rPr>
        <w:t>3</w:t>
      </w:r>
      <w:r w:rsidR="00947EA6" w:rsidRPr="005F709E">
        <w:rPr>
          <w:i/>
          <w:iCs/>
          <w:sz w:val="24"/>
          <w:szCs w:val="24"/>
          <w:lang w:eastAsia="fr-CA"/>
        </w:rPr>
        <w:t> </w:t>
      </w:r>
      <w:r w:rsidRPr="005F709E">
        <w:rPr>
          <w:i/>
          <w:iCs/>
          <w:sz w:val="24"/>
          <w:szCs w:val="24"/>
          <w:lang w:eastAsia="fr-CA"/>
        </w:rPr>
        <w:t>343</w:t>
      </w:r>
      <w:r w:rsidR="00947EA6" w:rsidRPr="005F709E">
        <w:rPr>
          <w:i/>
          <w:iCs/>
          <w:sz w:val="24"/>
          <w:szCs w:val="24"/>
          <w:lang w:eastAsia="fr-CA"/>
        </w:rPr>
        <w:t> </w:t>
      </w:r>
      <w:r w:rsidRPr="005F709E">
        <w:rPr>
          <w:i/>
          <w:iCs/>
          <w:sz w:val="24"/>
          <w:szCs w:val="24"/>
          <w:lang w:eastAsia="fr-CA"/>
        </w:rPr>
        <w:t>321</w:t>
      </w:r>
      <w:r w:rsidR="00947EA6" w:rsidRPr="005F709E">
        <w:rPr>
          <w:i/>
          <w:iCs/>
          <w:sz w:val="24"/>
          <w:szCs w:val="24"/>
          <w:lang w:eastAsia="fr-CA"/>
        </w:rPr>
        <w:t> </w:t>
      </w:r>
      <w:r w:rsidRPr="005F709E">
        <w:rPr>
          <w:i/>
          <w:iCs/>
          <w:sz w:val="24"/>
          <w:szCs w:val="24"/>
          <w:lang w:eastAsia="fr-CA"/>
        </w:rPr>
        <w:t>$ </w:t>
      </w:r>
      <w:r w:rsidRPr="005F709E">
        <w:rPr>
          <w:sz w:val="24"/>
          <w:szCs w:val="24"/>
          <w:lang w:eastAsia="fr-CA"/>
        </w:rPr>
        <w:t>»</w:t>
      </w:r>
      <w:r>
        <w:rPr>
          <w:rStyle w:val="Appelnotedebasdep"/>
          <w:sz w:val="24"/>
          <w:szCs w:val="24"/>
          <w:lang w:eastAsia="fr-CA"/>
        </w:rPr>
        <w:footnoteReference w:id="312"/>
      </w:r>
      <w:r w:rsidRPr="005F709E">
        <w:rPr>
          <w:sz w:val="24"/>
          <w:szCs w:val="24"/>
          <w:lang w:eastAsia="fr-CA"/>
        </w:rPr>
        <w:t>. Ce document, qui contient des détails quant</w:t>
      </w:r>
      <w:r w:rsidR="00947EA6" w:rsidRPr="005F709E">
        <w:rPr>
          <w:sz w:val="24"/>
          <w:szCs w:val="24"/>
          <w:lang w:eastAsia="fr-CA"/>
        </w:rPr>
        <w:t xml:space="preserve"> </w:t>
      </w:r>
      <w:r w:rsidRPr="005F709E">
        <w:rPr>
          <w:rFonts w:eastAsia="ArialMT"/>
          <w:sz w:val="24"/>
          <w:szCs w:val="24"/>
          <w:lang w:eastAsia="fr-CA"/>
        </w:rPr>
        <w:t xml:space="preserve">aux paiements d’une marge de crédit, de l’hypothèque de la </w:t>
      </w:r>
      <w:r w:rsidRPr="005F709E">
        <w:rPr>
          <w:sz w:val="24"/>
          <w:szCs w:val="24"/>
          <w:lang w:eastAsia="fr-CA"/>
        </w:rPr>
        <w:t>résidence</w:t>
      </w:r>
      <w:r w:rsidR="00947EA6" w:rsidRPr="005F709E">
        <w:rPr>
          <w:sz w:val="24"/>
          <w:szCs w:val="24"/>
          <w:lang w:eastAsia="fr-CA"/>
        </w:rPr>
        <w:t xml:space="preserve"> </w:t>
      </w:r>
      <w:r w:rsidRPr="005F709E">
        <w:rPr>
          <w:sz w:val="24"/>
          <w:szCs w:val="24"/>
          <w:lang w:eastAsia="fr-CA"/>
        </w:rPr>
        <w:t>principale de Giroux, de son condo et de son chalet, confirme que Giroux</w:t>
      </w:r>
      <w:r w:rsidR="00947EA6" w:rsidRPr="005F709E">
        <w:rPr>
          <w:sz w:val="24"/>
          <w:szCs w:val="24"/>
          <w:lang w:eastAsia="fr-CA"/>
        </w:rPr>
        <w:t xml:space="preserve"> </w:t>
      </w:r>
      <w:r w:rsidRPr="005F709E">
        <w:rPr>
          <w:sz w:val="24"/>
          <w:szCs w:val="24"/>
          <w:lang w:eastAsia="fr-CA"/>
        </w:rPr>
        <w:t>fait assumer par 6646 les paiements de ses propriétés immobilières</w:t>
      </w:r>
      <w:r w:rsidR="00947EA6" w:rsidRPr="005F709E">
        <w:rPr>
          <w:sz w:val="24"/>
          <w:szCs w:val="24"/>
          <w:lang w:eastAsia="fr-CA"/>
        </w:rPr>
        <w:t xml:space="preserve"> </w:t>
      </w:r>
      <w:r w:rsidRPr="005F709E">
        <w:rPr>
          <w:sz w:val="24"/>
          <w:szCs w:val="24"/>
          <w:lang w:eastAsia="fr-CA"/>
        </w:rPr>
        <w:t>personnelles</w:t>
      </w:r>
      <w:r>
        <w:rPr>
          <w:rStyle w:val="Appelnotedebasdep"/>
          <w:sz w:val="24"/>
          <w:szCs w:val="24"/>
          <w:lang w:eastAsia="fr-CA"/>
        </w:rPr>
        <w:footnoteReference w:id="313"/>
      </w:r>
      <w:r w:rsidRPr="005F709E">
        <w:rPr>
          <w:sz w:val="24"/>
          <w:szCs w:val="24"/>
          <w:lang w:eastAsia="fr-CA"/>
        </w:rPr>
        <w:t>, les paiements effectués par Giroux étant comptabilisés</w:t>
      </w:r>
      <w:r w:rsidR="00947EA6" w:rsidRPr="005F709E">
        <w:rPr>
          <w:sz w:val="24"/>
          <w:szCs w:val="24"/>
          <w:lang w:eastAsia="fr-CA"/>
        </w:rPr>
        <w:t xml:space="preserve"> </w:t>
      </w:r>
      <w:r w:rsidRPr="005F709E">
        <w:rPr>
          <w:sz w:val="24"/>
          <w:szCs w:val="24"/>
          <w:lang w:eastAsia="fr-CA"/>
        </w:rPr>
        <w:t>comme un prêt de celui-ci en faveur de 6646.</w:t>
      </w:r>
    </w:p>
    <w:p w14:paraId="1556F6F0" w14:textId="77777777" w:rsidR="00947EA6" w:rsidRPr="005F709E" w:rsidRDefault="00730A01" w:rsidP="00443B59">
      <w:pPr>
        <w:pStyle w:val="Citationenretrait"/>
        <w:numPr>
          <w:ilvl w:val="0"/>
          <w:numId w:val="51"/>
        </w:numPr>
        <w:spacing w:after="0"/>
        <w:ind w:left="993" w:right="539" w:hanging="284"/>
        <w:rPr>
          <w:sz w:val="24"/>
          <w:szCs w:val="24"/>
          <w:lang w:eastAsia="fr-CA"/>
        </w:rPr>
      </w:pPr>
      <w:r w:rsidRPr="005F709E">
        <w:rPr>
          <w:rFonts w:cs="Arial"/>
          <w:sz w:val="24"/>
          <w:szCs w:val="24"/>
          <w:lang w:eastAsia="fr-CA"/>
        </w:rPr>
        <w:t xml:space="preserve">La pièce PQ-191 constitue le document fourni par Giroux suivant la </w:t>
      </w:r>
      <w:r w:rsidRPr="005F709E">
        <w:rPr>
          <w:rFonts w:eastAsia="ArialMT" w:cs="Arial"/>
          <w:sz w:val="24"/>
          <w:szCs w:val="24"/>
          <w:lang w:eastAsia="fr-CA"/>
        </w:rPr>
        <w:t>demande d’engagement suivante</w:t>
      </w:r>
      <w:r w:rsidR="00D90D4F">
        <w:rPr>
          <w:rFonts w:eastAsia="ArialMT" w:cs="Arial"/>
          <w:sz w:val="24"/>
          <w:szCs w:val="24"/>
          <w:lang w:eastAsia="fr-CA"/>
        </w:rPr>
        <w:t> </w:t>
      </w:r>
      <w:r w:rsidRPr="005F709E">
        <w:rPr>
          <w:rFonts w:cs="Arial"/>
          <w:sz w:val="24"/>
          <w:szCs w:val="24"/>
          <w:lang w:eastAsia="fr-CA"/>
        </w:rPr>
        <w:t>:</w:t>
      </w:r>
      <w:r w:rsidR="00D90D4F">
        <w:rPr>
          <w:rFonts w:cs="Arial"/>
          <w:sz w:val="24"/>
          <w:szCs w:val="24"/>
          <w:lang w:eastAsia="fr-CA"/>
        </w:rPr>
        <w:t xml:space="preserve"> </w:t>
      </w:r>
      <w:r w:rsidRPr="005F709E">
        <w:rPr>
          <w:rFonts w:cs="Arial"/>
          <w:sz w:val="24"/>
          <w:szCs w:val="24"/>
          <w:lang w:eastAsia="fr-CA"/>
        </w:rPr>
        <w:t>«</w:t>
      </w:r>
      <w:r w:rsidR="00722451" w:rsidRPr="005F709E">
        <w:rPr>
          <w:rFonts w:cs="Arial"/>
          <w:sz w:val="24"/>
          <w:szCs w:val="24"/>
          <w:lang w:eastAsia="fr-CA"/>
        </w:rPr>
        <w:t> </w:t>
      </w:r>
      <w:r w:rsidRPr="005F709E">
        <w:rPr>
          <w:rFonts w:cs="Arial"/>
          <w:i/>
          <w:iCs/>
          <w:sz w:val="24"/>
          <w:szCs w:val="24"/>
          <w:lang w:eastAsia="fr-CA"/>
        </w:rPr>
        <w:t>ERG-24 Fournir les pièces justificatives de l’avance de</w:t>
      </w:r>
      <w:r w:rsidR="00D90D4F">
        <w:rPr>
          <w:rFonts w:cs="Arial"/>
          <w:i/>
          <w:iCs/>
          <w:sz w:val="24"/>
          <w:szCs w:val="24"/>
          <w:lang w:eastAsia="fr-CA"/>
        </w:rPr>
        <w:t> </w:t>
      </w:r>
      <w:r w:rsidRPr="005F709E">
        <w:rPr>
          <w:rFonts w:cs="Arial"/>
          <w:i/>
          <w:iCs/>
          <w:sz w:val="24"/>
          <w:szCs w:val="24"/>
          <w:lang w:eastAsia="fr-CA"/>
        </w:rPr>
        <w:t>1</w:t>
      </w:r>
      <w:r w:rsidR="00722451" w:rsidRPr="005F709E">
        <w:rPr>
          <w:rFonts w:cs="Arial"/>
          <w:i/>
          <w:iCs/>
          <w:sz w:val="24"/>
          <w:szCs w:val="24"/>
          <w:lang w:eastAsia="fr-CA"/>
        </w:rPr>
        <w:t> </w:t>
      </w:r>
      <w:r w:rsidRPr="005F709E">
        <w:rPr>
          <w:rFonts w:cs="Arial"/>
          <w:i/>
          <w:iCs/>
          <w:sz w:val="24"/>
          <w:szCs w:val="24"/>
          <w:lang w:eastAsia="fr-CA"/>
        </w:rPr>
        <w:t>189</w:t>
      </w:r>
      <w:r w:rsidR="00722451" w:rsidRPr="005F709E">
        <w:rPr>
          <w:rFonts w:cs="Arial"/>
          <w:i/>
          <w:iCs/>
          <w:sz w:val="24"/>
          <w:szCs w:val="24"/>
          <w:lang w:eastAsia="fr-CA"/>
        </w:rPr>
        <w:t> </w:t>
      </w:r>
      <w:r w:rsidRPr="005F709E">
        <w:rPr>
          <w:rFonts w:cs="Arial"/>
          <w:i/>
          <w:iCs/>
          <w:sz w:val="24"/>
          <w:szCs w:val="24"/>
          <w:lang w:eastAsia="fr-CA"/>
        </w:rPr>
        <w:t>117,33</w:t>
      </w:r>
      <w:r w:rsidR="00722451" w:rsidRPr="005F709E">
        <w:rPr>
          <w:rFonts w:cs="Arial"/>
          <w:i/>
          <w:iCs/>
          <w:sz w:val="24"/>
          <w:szCs w:val="24"/>
          <w:lang w:eastAsia="fr-CA"/>
        </w:rPr>
        <w:t> </w:t>
      </w:r>
      <w:r w:rsidRPr="005F709E">
        <w:rPr>
          <w:rFonts w:cs="Arial"/>
          <w:i/>
          <w:iCs/>
          <w:sz w:val="24"/>
          <w:szCs w:val="24"/>
          <w:lang w:eastAsia="fr-CA"/>
        </w:rPr>
        <w:t>$ [le vrai montant indiqué est de</w:t>
      </w:r>
      <w:r w:rsidR="00D90D4F">
        <w:rPr>
          <w:rFonts w:cs="Arial"/>
          <w:i/>
          <w:iCs/>
          <w:sz w:val="24"/>
          <w:szCs w:val="24"/>
          <w:lang w:eastAsia="fr-CA"/>
        </w:rPr>
        <w:t> </w:t>
      </w:r>
      <w:r w:rsidRPr="005F709E">
        <w:rPr>
          <w:rFonts w:cs="Arial"/>
          <w:i/>
          <w:iCs/>
          <w:sz w:val="24"/>
          <w:szCs w:val="24"/>
          <w:lang w:eastAsia="fr-CA"/>
        </w:rPr>
        <w:t>1 489 917,33 $] faite [par 9180-6646 Québec inc.] à un actionnaire, soit M.</w:t>
      </w:r>
      <w:r w:rsidR="00722451" w:rsidRPr="005F709E">
        <w:rPr>
          <w:rFonts w:cs="Arial"/>
          <w:i/>
          <w:iCs/>
          <w:sz w:val="24"/>
          <w:szCs w:val="24"/>
          <w:lang w:eastAsia="fr-CA"/>
        </w:rPr>
        <w:t> </w:t>
      </w:r>
      <w:r w:rsidRPr="005F709E">
        <w:rPr>
          <w:rFonts w:cs="Arial"/>
          <w:i/>
          <w:iCs/>
          <w:sz w:val="24"/>
          <w:szCs w:val="24"/>
          <w:lang w:eastAsia="fr-CA"/>
        </w:rPr>
        <w:t>Giroux</w:t>
      </w:r>
      <w:r w:rsidR="00722451" w:rsidRPr="005F709E">
        <w:rPr>
          <w:rFonts w:cs="Arial"/>
          <w:i/>
          <w:iCs/>
          <w:sz w:val="24"/>
          <w:szCs w:val="24"/>
          <w:lang w:eastAsia="fr-CA"/>
        </w:rPr>
        <w:t> </w:t>
      </w:r>
      <w:r w:rsidRPr="005F709E">
        <w:rPr>
          <w:rFonts w:cs="Arial"/>
          <w:sz w:val="24"/>
          <w:szCs w:val="24"/>
          <w:lang w:eastAsia="fr-CA"/>
        </w:rPr>
        <w:t>»</w:t>
      </w:r>
      <w:r>
        <w:rPr>
          <w:rStyle w:val="Appelnotedebasdep"/>
          <w:rFonts w:cs="Arial"/>
          <w:sz w:val="24"/>
          <w:szCs w:val="24"/>
          <w:lang w:eastAsia="fr-CA"/>
        </w:rPr>
        <w:footnoteReference w:id="314"/>
      </w:r>
      <w:r w:rsidRPr="005F709E">
        <w:rPr>
          <w:rFonts w:cs="Arial"/>
          <w:sz w:val="24"/>
          <w:szCs w:val="24"/>
          <w:lang w:eastAsia="fr-CA"/>
        </w:rPr>
        <w:t>. Ce document permet de constater que 6646 paye une foule de dépenses personnelles de Giroux, soit</w:t>
      </w:r>
      <w:r w:rsidR="005F709E">
        <w:rPr>
          <w:rFonts w:cs="Arial"/>
          <w:sz w:val="24"/>
          <w:szCs w:val="24"/>
          <w:lang w:eastAsia="fr-CA"/>
        </w:rPr>
        <w:t> :</w:t>
      </w:r>
    </w:p>
    <w:p w14:paraId="444C1A0C" w14:textId="77777777" w:rsidR="000B349A" w:rsidRDefault="00730A01" w:rsidP="00443B59">
      <w:pPr>
        <w:pStyle w:val="Citationenretrait"/>
        <w:numPr>
          <w:ilvl w:val="0"/>
          <w:numId w:val="52"/>
        </w:numPr>
        <w:spacing w:after="0"/>
        <w:ind w:left="1418" w:right="539" w:hanging="425"/>
      </w:pPr>
      <w:r w:rsidRPr="0039336D">
        <w:t>le déneigement</w:t>
      </w:r>
      <w:r w:rsidR="00947EA6" w:rsidRPr="0039336D">
        <w:t xml:space="preserve"> </w:t>
      </w:r>
      <w:r w:rsidRPr="0039336D">
        <w:rPr>
          <w:rFonts w:eastAsia="ArialMT"/>
        </w:rPr>
        <w:t xml:space="preserve">et l’entretien de la pelouse </w:t>
      </w:r>
      <w:r w:rsidRPr="0039336D">
        <w:t>et des jardins de sa résidence personnelle</w:t>
      </w:r>
      <w:r w:rsidR="0039336D" w:rsidRPr="0039336D">
        <w:t>;</w:t>
      </w:r>
    </w:p>
    <w:p w14:paraId="3690156D" w14:textId="77777777" w:rsidR="000B349A" w:rsidRDefault="00730A01" w:rsidP="00443B59">
      <w:pPr>
        <w:pStyle w:val="Citationenretrait"/>
        <w:numPr>
          <w:ilvl w:val="0"/>
          <w:numId w:val="52"/>
        </w:numPr>
        <w:spacing w:after="0"/>
        <w:ind w:left="1418" w:right="539" w:hanging="425"/>
      </w:pPr>
      <w:r w:rsidRPr="0039336D">
        <w:t>des dépenses re</w:t>
      </w:r>
      <w:r w:rsidRPr="000B349A">
        <w:rPr>
          <w:rFonts w:eastAsia="ArialMT"/>
        </w:rPr>
        <w:t xml:space="preserve">latives à l’informatique et l’accès internet </w:t>
      </w:r>
      <w:r w:rsidRPr="0039336D">
        <w:t>de sa résidence</w:t>
      </w:r>
      <w:r w:rsidR="00947EA6" w:rsidRPr="0039336D">
        <w:t xml:space="preserve"> </w:t>
      </w:r>
      <w:r w:rsidRPr="0039336D">
        <w:t>personnelle</w:t>
      </w:r>
      <w:r w:rsidR="00D90D4F">
        <w:rPr>
          <w:lang w:eastAsia="fr-CA"/>
        </w:rPr>
        <w:t>;</w:t>
      </w:r>
      <w:r w:rsidRPr="00451EF9">
        <w:rPr>
          <w:lang w:eastAsia="fr-CA"/>
        </w:rPr>
        <w:t xml:space="preserve"> </w:t>
      </w:r>
    </w:p>
    <w:p w14:paraId="5092D2FC" w14:textId="77777777" w:rsidR="000B349A" w:rsidRDefault="00730A01" w:rsidP="00443B59">
      <w:pPr>
        <w:pStyle w:val="Citationenretrait"/>
        <w:numPr>
          <w:ilvl w:val="0"/>
          <w:numId w:val="52"/>
        </w:numPr>
        <w:spacing w:after="0"/>
        <w:ind w:left="1418" w:right="539" w:hanging="425"/>
      </w:pPr>
      <w:r w:rsidRPr="000B349A">
        <w:rPr>
          <w:rFonts w:cs="Arial"/>
          <w:szCs w:val="24"/>
          <w:lang w:eastAsia="fr-CA"/>
        </w:rPr>
        <w:t>des dépenses relatives à une automobile Nissan ne se</w:t>
      </w:r>
      <w:r w:rsidR="00722451" w:rsidRPr="000B349A">
        <w:rPr>
          <w:rFonts w:cs="Arial"/>
          <w:szCs w:val="24"/>
          <w:lang w:eastAsia="fr-CA"/>
        </w:rPr>
        <w:t xml:space="preserve"> </w:t>
      </w:r>
      <w:r w:rsidRPr="000B349A">
        <w:rPr>
          <w:rFonts w:cs="Arial"/>
          <w:szCs w:val="24"/>
          <w:lang w:eastAsia="fr-CA"/>
        </w:rPr>
        <w:t>trouvant pas dans les actifs de 6646</w:t>
      </w:r>
      <w:r>
        <w:rPr>
          <w:rStyle w:val="Appelnotedebasdep"/>
          <w:rFonts w:cs="Arial"/>
          <w:szCs w:val="24"/>
          <w:lang w:eastAsia="fr-CA"/>
        </w:rPr>
        <w:footnoteReference w:id="315"/>
      </w:r>
      <w:r w:rsidR="00D801F5" w:rsidRPr="000B349A">
        <w:rPr>
          <w:rFonts w:cs="Arial"/>
          <w:szCs w:val="24"/>
          <w:lang w:eastAsia="fr-CA"/>
        </w:rPr>
        <w:t>;</w:t>
      </w:r>
    </w:p>
    <w:p w14:paraId="2BB4E5F7" w14:textId="77777777" w:rsidR="000B349A" w:rsidRDefault="00730A01" w:rsidP="00443B59">
      <w:pPr>
        <w:pStyle w:val="Citationenretrait"/>
        <w:numPr>
          <w:ilvl w:val="0"/>
          <w:numId w:val="52"/>
        </w:numPr>
        <w:spacing w:after="0"/>
        <w:ind w:left="1418" w:right="539" w:hanging="425"/>
      </w:pPr>
      <w:r w:rsidRPr="000B349A">
        <w:rPr>
          <w:rFonts w:cs="Arial"/>
          <w:szCs w:val="24"/>
          <w:lang w:eastAsia="fr-CA"/>
        </w:rPr>
        <w:t>un remboursement de marge de</w:t>
      </w:r>
      <w:r w:rsidR="00947EA6" w:rsidRPr="000B349A">
        <w:rPr>
          <w:rFonts w:cs="Arial"/>
          <w:szCs w:val="24"/>
          <w:lang w:eastAsia="fr-CA"/>
        </w:rPr>
        <w:t xml:space="preserve"> </w:t>
      </w:r>
      <w:r w:rsidRPr="000B349A">
        <w:rPr>
          <w:rFonts w:cs="Arial"/>
          <w:szCs w:val="24"/>
          <w:lang w:eastAsia="fr-CA"/>
        </w:rPr>
        <w:t>crédit personnelle au montant de</w:t>
      </w:r>
      <w:r w:rsidR="00D90D4F">
        <w:rPr>
          <w:rFonts w:cs="Arial"/>
          <w:szCs w:val="24"/>
          <w:lang w:eastAsia="fr-CA"/>
        </w:rPr>
        <w:t> </w:t>
      </w:r>
      <w:r w:rsidRPr="000B349A">
        <w:rPr>
          <w:rFonts w:cs="Arial"/>
          <w:szCs w:val="24"/>
          <w:lang w:eastAsia="fr-CA"/>
        </w:rPr>
        <w:t>370</w:t>
      </w:r>
      <w:r w:rsidR="00D801F5" w:rsidRPr="000B349A">
        <w:rPr>
          <w:rFonts w:cs="Arial"/>
          <w:szCs w:val="24"/>
          <w:lang w:eastAsia="fr-CA"/>
        </w:rPr>
        <w:t> </w:t>
      </w:r>
      <w:r w:rsidRPr="000B349A">
        <w:rPr>
          <w:rFonts w:cs="Arial"/>
          <w:szCs w:val="24"/>
          <w:lang w:eastAsia="fr-CA"/>
        </w:rPr>
        <w:t>000</w:t>
      </w:r>
      <w:r w:rsidR="00D801F5" w:rsidRPr="000B349A">
        <w:rPr>
          <w:rFonts w:cs="Arial"/>
          <w:szCs w:val="24"/>
          <w:lang w:eastAsia="fr-CA"/>
        </w:rPr>
        <w:t> </w:t>
      </w:r>
      <w:r w:rsidRPr="000B349A">
        <w:rPr>
          <w:rFonts w:cs="Arial"/>
          <w:szCs w:val="24"/>
          <w:lang w:eastAsia="fr-CA"/>
        </w:rPr>
        <w:t>$</w:t>
      </w:r>
      <w:r w:rsidR="00D801F5" w:rsidRPr="000B349A">
        <w:rPr>
          <w:rFonts w:cs="Arial"/>
          <w:szCs w:val="24"/>
          <w:lang w:eastAsia="fr-CA"/>
        </w:rPr>
        <w:t>;</w:t>
      </w:r>
      <w:r w:rsidRPr="000B349A">
        <w:rPr>
          <w:rFonts w:cs="Arial"/>
          <w:szCs w:val="24"/>
          <w:lang w:eastAsia="fr-CA"/>
        </w:rPr>
        <w:t xml:space="preserve"> </w:t>
      </w:r>
    </w:p>
    <w:p w14:paraId="55E6F518" w14:textId="77777777" w:rsidR="000B349A" w:rsidRDefault="00730A01" w:rsidP="00443B59">
      <w:pPr>
        <w:pStyle w:val="Citationenretrait"/>
        <w:numPr>
          <w:ilvl w:val="0"/>
          <w:numId w:val="52"/>
        </w:numPr>
        <w:spacing w:after="0"/>
        <w:ind w:left="1418" w:right="539" w:hanging="425"/>
      </w:pPr>
      <w:r w:rsidRPr="000B349A">
        <w:rPr>
          <w:rFonts w:cs="Arial"/>
          <w:szCs w:val="24"/>
          <w:lang w:eastAsia="fr-CA"/>
        </w:rPr>
        <w:t>une allocation mensuelle de</w:t>
      </w:r>
      <w:r w:rsidR="00D90D4F">
        <w:rPr>
          <w:rFonts w:cs="Arial"/>
          <w:szCs w:val="24"/>
          <w:lang w:eastAsia="fr-CA"/>
        </w:rPr>
        <w:t> </w:t>
      </w:r>
      <w:r w:rsidRPr="000B349A">
        <w:rPr>
          <w:rFonts w:cs="Arial"/>
          <w:szCs w:val="24"/>
          <w:lang w:eastAsia="fr-CA"/>
        </w:rPr>
        <w:t>2</w:t>
      </w:r>
      <w:r w:rsidR="00947EA6" w:rsidRPr="000B349A">
        <w:rPr>
          <w:rFonts w:cs="Arial"/>
          <w:szCs w:val="24"/>
          <w:lang w:eastAsia="fr-CA"/>
        </w:rPr>
        <w:t> </w:t>
      </w:r>
      <w:r w:rsidRPr="000B349A">
        <w:rPr>
          <w:rFonts w:cs="Arial"/>
          <w:szCs w:val="24"/>
          <w:lang w:eastAsia="fr-CA"/>
        </w:rPr>
        <w:t>000</w:t>
      </w:r>
      <w:r w:rsidR="00947EA6" w:rsidRPr="000B349A">
        <w:rPr>
          <w:rFonts w:cs="Arial"/>
          <w:szCs w:val="24"/>
          <w:lang w:eastAsia="fr-CA"/>
        </w:rPr>
        <w:t> </w:t>
      </w:r>
      <w:r w:rsidRPr="000B349A">
        <w:rPr>
          <w:rFonts w:cs="Arial"/>
          <w:szCs w:val="24"/>
          <w:lang w:eastAsia="fr-CA"/>
        </w:rPr>
        <w:t>$ pour le compte conjoint de Giroux</w:t>
      </w:r>
      <w:r w:rsidR="00D801F5" w:rsidRPr="000B349A">
        <w:rPr>
          <w:rFonts w:cs="Arial"/>
          <w:szCs w:val="24"/>
          <w:lang w:eastAsia="fr-CA"/>
        </w:rPr>
        <w:t>;</w:t>
      </w:r>
    </w:p>
    <w:p w14:paraId="185574AF" w14:textId="77777777" w:rsidR="000B349A" w:rsidRDefault="00730A01" w:rsidP="00443B59">
      <w:pPr>
        <w:pStyle w:val="Citationenretrait"/>
        <w:numPr>
          <w:ilvl w:val="0"/>
          <w:numId w:val="52"/>
        </w:numPr>
        <w:spacing w:after="0"/>
        <w:ind w:left="1418" w:right="539" w:hanging="425"/>
      </w:pPr>
      <w:r w:rsidRPr="000B349A">
        <w:rPr>
          <w:rFonts w:cs="Arial"/>
          <w:szCs w:val="24"/>
          <w:lang w:eastAsia="fr-CA"/>
        </w:rPr>
        <w:t>des paiements pour les cartes</w:t>
      </w:r>
      <w:r w:rsidR="001C264E" w:rsidRPr="000B349A">
        <w:rPr>
          <w:rFonts w:cs="Arial"/>
          <w:szCs w:val="24"/>
          <w:lang w:eastAsia="fr-CA"/>
        </w:rPr>
        <w:t xml:space="preserve"> </w:t>
      </w:r>
      <w:r w:rsidRPr="000B349A">
        <w:rPr>
          <w:rFonts w:cs="Arial"/>
          <w:szCs w:val="24"/>
          <w:lang w:eastAsia="fr-CA"/>
        </w:rPr>
        <w:t>de crédit personnelles de Giroux</w:t>
      </w:r>
      <w:r w:rsidR="00D801F5" w:rsidRPr="000B349A">
        <w:rPr>
          <w:rFonts w:cs="Arial"/>
          <w:szCs w:val="24"/>
          <w:lang w:eastAsia="fr-CA"/>
        </w:rPr>
        <w:t>;</w:t>
      </w:r>
    </w:p>
    <w:p w14:paraId="216A24AF" w14:textId="77777777" w:rsidR="000B349A" w:rsidRDefault="00730A01" w:rsidP="00443B59">
      <w:pPr>
        <w:pStyle w:val="Citationenretrait"/>
        <w:numPr>
          <w:ilvl w:val="0"/>
          <w:numId w:val="52"/>
        </w:numPr>
        <w:spacing w:after="0"/>
        <w:ind w:left="1418" w:right="539" w:hanging="425"/>
      </w:pPr>
      <w:r w:rsidRPr="000B349A">
        <w:rPr>
          <w:rFonts w:cs="Arial"/>
          <w:szCs w:val="24"/>
          <w:lang w:eastAsia="fr-CA"/>
        </w:rPr>
        <w:t>une avance personnelle au fils de</w:t>
      </w:r>
      <w:r w:rsidR="001C264E" w:rsidRPr="000B349A">
        <w:rPr>
          <w:rFonts w:cs="Arial"/>
          <w:szCs w:val="24"/>
          <w:lang w:eastAsia="fr-CA"/>
        </w:rPr>
        <w:t xml:space="preserve"> </w:t>
      </w:r>
      <w:r w:rsidRPr="000B349A">
        <w:rPr>
          <w:rFonts w:eastAsia="ArialMT" w:cs="Arial"/>
          <w:szCs w:val="24"/>
          <w:lang w:eastAsia="fr-CA"/>
        </w:rPr>
        <w:t>Giroux pour lui permettre de s’acheter un terrain</w:t>
      </w:r>
      <w:r w:rsidR="00D801F5" w:rsidRPr="000B349A">
        <w:rPr>
          <w:rFonts w:eastAsia="ArialMT" w:cs="Arial"/>
          <w:szCs w:val="24"/>
          <w:lang w:eastAsia="fr-CA"/>
        </w:rPr>
        <w:t>;</w:t>
      </w:r>
    </w:p>
    <w:p w14:paraId="000E0F84" w14:textId="77777777" w:rsidR="000B349A" w:rsidRDefault="00730A01" w:rsidP="00443B59">
      <w:pPr>
        <w:pStyle w:val="Citationenretrait"/>
        <w:numPr>
          <w:ilvl w:val="0"/>
          <w:numId w:val="52"/>
        </w:numPr>
        <w:spacing w:after="0"/>
        <w:ind w:left="1418" w:right="539" w:hanging="425"/>
      </w:pPr>
      <w:r w:rsidRPr="000B349A">
        <w:rPr>
          <w:rFonts w:cs="Arial"/>
          <w:szCs w:val="24"/>
          <w:lang w:eastAsia="fr-CA"/>
        </w:rPr>
        <w:t>le paiement des taxes</w:t>
      </w:r>
      <w:r w:rsidR="001C264E" w:rsidRPr="000B349A">
        <w:rPr>
          <w:rFonts w:cs="Arial"/>
          <w:szCs w:val="24"/>
          <w:lang w:eastAsia="fr-CA"/>
        </w:rPr>
        <w:t xml:space="preserve"> </w:t>
      </w:r>
      <w:r w:rsidRPr="000B349A">
        <w:rPr>
          <w:rFonts w:cs="Arial"/>
          <w:szCs w:val="24"/>
          <w:lang w:eastAsia="fr-CA"/>
        </w:rPr>
        <w:t>municipales relatives à la résidence principale et au chalet de Giroux</w:t>
      </w:r>
      <w:r w:rsidR="00D801F5" w:rsidRPr="000B349A">
        <w:rPr>
          <w:rFonts w:cs="Arial"/>
          <w:szCs w:val="24"/>
          <w:lang w:eastAsia="fr-CA"/>
        </w:rPr>
        <w:t>;</w:t>
      </w:r>
    </w:p>
    <w:p w14:paraId="3675E86F" w14:textId="77777777" w:rsidR="00D801F5" w:rsidRPr="00D801F5" w:rsidRDefault="00730A01" w:rsidP="00443B59">
      <w:pPr>
        <w:pStyle w:val="Citationenretrait"/>
        <w:numPr>
          <w:ilvl w:val="0"/>
          <w:numId w:val="52"/>
        </w:numPr>
        <w:spacing w:after="0"/>
        <w:ind w:left="1418" w:right="539" w:hanging="425"/>
      </w:pPr>
      <w:r w:rsidRPr="000B349A">
        <w:rPr>
          <w:rFonts w:cs="Arial"/>
          <w:szCs w:val="24"/>
          <w:lang w:eastAsia="fr-CA"/>
        </w:rPr>
        <w:t xml:space="preserve">des réparations </w:t>
      </w:r>
      <w:r w:rsidRPr="000B349A">
        <w:rPr>
          <w:rFonts w:eastAsia="ArialMT" w:cs="Arial"/>
          <w:szCs w:val="24"/>
          <w:lang w:eastAsia="fr-CA"/>
        </w:rPr>
        <w:t xml:space="preserve">et dépenses d’entretien </w:t>
      </w:r>
      <w:r w:rsidRPr="000B349A">
        <w:rPr>
          <w:rFonts w:cs="Arial"/>
          <w:szCs w:val="24"/>
          <w:lang w:eastAsia="fr-CA"/>
        </w:rPr>
        <w:t>à la résidence principale de Giroux</w:t>
      </w:r>
      <w:r w:rsidR="001C264E" w:rsidRPr="000B349A">
        <w:rPr>
          <w:rFonts w:cs="Arial"/>
          <w:szCs w:val="24"/>
          <w:lang w:eastAsia="fr-CA"/>
        </w:rPr>
        <w:t xml:space="preserve"> </w:t>
      </w:r>
      <w:r w:rsidRPr="000B349A">
        <w:rPr>
          <w:rFonts w:eastAsia="ArialMT" w:cs="Arial"/>
          <w:szCs w:val="24"/>
          <w:lang w:eastAsia="fr-CA"/>
        </w:rPr>
        <w:t>telles que l’irrigation, l’ouverture de la piscine</w:t>
      </w:r>
      <w:r w:rsidRPr="000B349A">
        <w:rPr>
          <w:rFonts w:cs="Arial"/>
          <w:szCs w:val="24"/>
          <w:lang w:eastAsia="fr-CA"/>
        </w:rPr>
        <w:t xml:space="preserve">, </w:t>
      </w:r>
      <w:r w:rsidRPr="000B349A">
        <w:rPr>
          <w:rFonts w:eastAsia="ArialMT" w:cs="Arial"/>
          <w:szCs w:val="24"/>
          <w:lang w:eastAsia="fr-CA"/>
        </w:rPr>
        <w:t xml:space="preserve">l’achat de </w:t>
      </w:r>
      <w:r w:rsidRPr="000B349A">
        <w:rPr>
          <w:rFonts w:cs="Arial"/>
          <w:szCs w:val="24"/>
          <w:lang w:eastAsia="fr-CA"/>
        </w:rPr>
        <w:t>propane et la</w:t>
      </w:r>
      <w:r w:rsidR="001C264E" w:rsidRPr="000B349A">
        <w:rPr>
          <w:rFonts w:cs="Arial"/>
          <w:szCs w:val="24"/>
          <w:lang w:eastAsia="fr-CA"/>
        </w:rPr>
        <w:t xml:space="preserve"> </w:t>
      </w:r>
      <w:r w:rsidRPr="000B349A">
        <w:rPr>
          <w:rFonts w:cs="Arial"/>
          <w:szCs w:val="24"/>
          <w:lang w:eastAsia="fr-CA"/>
        </w:rPr>
        <w:t>gestion parasitaire;</w:t>
      </w:r>
    </w:p>
    <w:p w14:paraId="6462CDFA" w14:textId="77777777" w:rsidR="00D801F5" w:rsidRDefault="00730A01" w:rsidP="00443B59">
      <w:pPr>
        <w:pStyle w:val="Citationenretrait"/>
        <w:numPr>
          <w:ilvl w:val="0"/>
          <w:numId w:val="52"/>
        </w:numPr>
        <w:autoSpaceDE w:val="0"/>
        <w:autoSpaceDN w:val="0"/>
        <w:adjustRightInd w:val="0"/>
        <w:spacing w:after="0"/>
        <w:ind w:left="1418" w:right="539" w:hanging="425"/>
        <w:rPr>
          <w:rFonts w:cs="Arial"/>
          <w:szCs w:val="24"/>
          <w:lang w:eastAsia="fr-CA"/>
        </w:rPr>
      </w:pPr>
      <w:r w:rsidRPr="00D801F5">
        <w:rPr>
          <w:rFonts w:cs="Arial"/>
          <w:szCs w:val="24"/>
          <w:lang w:eastAsia="fr-CA"/>
        </w:rPr>
        <w:t xml:space="preserve">le </w:t>
      </w:r>
      <w:r w:rsidRPr="00D801F5">
        <w:rPr>
          <w:rFonts w:eastAsia="ArialMT" w:cs="Arial"/>
          <w:szCs w:val="24"/>
          <w:lang w:eastAsia="fr-CA"/>
        </w:rPr>
        <w:t>paiement d’une partie des impôts personnels de</w:t>
      </w:r>
      <w:r w:rsidR="001C264E" w:rsidRPr="00D801F5">
        <w:rPr>
          <w:rFonts w:eastAsia="ArialMT" w:cs="Arial"/>
          <w:szCs w:val="24"/>
          <w:lang w:eastAsia="fr-CA"/>
        </w:rPr>
        <w:t xml:space="preserve"> </w:t>
      </w:r>
      <w:r w:rsidRPr="00D801F5">
        <w:rPr>
          <w:rFonts w:cs="Arial"/>
          <w:szCs w:val="24"/>
          <w:lang w:eastAsia="fr-CA"/>
        </w:rPr>
        <w:t>Giroux</w:t>
      </w:r>
      <w:r w:rsidR="00D90D4F">
        <w:rPr>
          <w:rFonts w:cs="Arial"/>
          <w:szCs w:val="24"/>
          <w:lang w:eastAsia="fr-CA"/>
        </w:rPr>
        <w:t>;</w:t>
      </w:r>
      <w:r w:rsidRPr="00D801F5">
        <w:rPr>
          <w:rFonts w:cs="Arial"/>
          <w:szCs w:val="24"/>
          <w:lang w:eastAsia="fr-CA"/>
        </w:rPr>
        <w:t xml:space="preserve"> ainsi que </w:t>
      </w:r>
    </w:p>
    <w:p w14:paraId="3D84EDA0" w14:textId="77777777" w:rsidR="00852048" w:rsidRDefault="00730A01" w:rsidP="00443B59">
      <w:pPr>
        <w:pStyle w:val="Citationenretrait"/>
        <w:numPr>
          <w:ilvl w:val="0"/>
          <w:numId w:val="52"/>
        </w:numPr>
        <w:autoSpaceDE w:val="0"/>
        <w:autoSpaceDN w:val="0"/>
        <w:adjustRightInd w:val="0"/>
        <w:spacing w:after="0"/>
        <w:ind w:left="1418" w:right="539" w:hanging="425"/>
        <w:rPr>
          <w:rFonts w:cs="Arial"/>
          <w:szCs w:val="24"/>
          <w:lang w:eastAsia="fr-CA"/>
        </w:rPr>
      </w:pPr>
      <w:r w:rsidRPr="00D801F5">
        <w:rPr>
          <w:rFonts w:cs="Arial"/>
          <w:szCs w:val="24"/>
          <w:lang w:eastAsia="fr-CA"/>
        </w:rPr>
        <w:t>le paiement de dépenses relatives au bateau de</w:t>
      </w:r>
      <w:r w:rsidR="001C264E" w:rsidRPr="00D801F5">
        <w:rPr>
          <w:rFonts w:cs="Arial"/>
          <w:szCs w:val="24"/>
          <w:lang w:eastAsia="fr-CA"/>
        </w:rPr>
        <w:t xml:space="preserve"> </w:t>
      </w:r>
      <w:r w:rsidRPr="00D801F5">
        <w:rPr>
          <w:rFonts w:cs="Arial"/>
          <w:szCs w:val="24"/>
          <w:lang w:eastAsia="fr-CA"/>
        </w:rPr>
        <w:t>Giroux</w:t>
      </w:r>
      <w:r>
        <w:rPr>
          <w:rStyle w:val="Appelnotedebasdep"/>
          <w:rFonts w:cs="Arial"/>
          <w:szCs w:val="24"/>
          <w:lang w:eastAsia="fr-CA"/>
        </w:rPr>
        <w:footnoteReference w:id="316"/>
      </w:r>
      <w:r w:rsidRPr="00D801F5">
        <w:rPr>
          <w:rFonts w:cs="Arial"/>
          <w:szCs w:val="24"/>
          <w:lang w:eastAsia="fr-CA"/>
        </w:rPr>
        <w:t>.</w:t>
      </w:r>
    </w:p>
    <w:p w14:paraId="2F9CEBFE" w14:textId="77777777" w:rsidR="00E8523A" w:rsidRDefault="00730A01" w:rsidP="0098012F">
      <w:pPr>
        <w:pStyle w:val="Paragraphe"/>
        <w:tabs>
          <w:tab w:val="clear" w:pos="786"/>
        </w:tabs>
        <w:autoSpaceDE w:val="0"/>
        <w:autoSpaceDN w:val="0"/>
        <w:adjustRightInd w:val="0"/>
        <w:spacing w:before="240" w:after="0" w:line="240" w:lineRule="auto"/>
        <w:ind w:left="0"/>
        <w:rPr>
          <w:rFonts w:cs="Arial"/>
          <w:szCs w:val="24"/>
          <w:lang w:eastAsia="fr-CA"/>
        </w:rPr>
      </w:pPr>
      <w:r w:rsidRPr="000436DD">
        <w:rPr>
          <w:rFonts w:cs="Arial"/>
          <w:szCs w:val="24"/>
          <w:lang w:eastAsia="fr-CA"/>
        </w:rPr>
        <w:t xml:space="preserve">Quant à </w:t>
      </w:r>
      <w:r w:rsidRPr="001A6B71">
        <w:rPr>
          <w:rFonts w:cs="Arial"/>
          <w:b/>
          <w:bCs/>
          <w:szCs w:val="24"/>
          <w:lang w:eastAsia="fr-CA"/>
        </w:rPr>
        <w:t>9797</w:t>
      </w:r>
      <w:r w:rsidRPr="000436DD">
        <w:rPr>
          <w:rFonts w:cs="Arial"/>
          <w:szCs w:val="24"/>
          <w:lang w:eastAsia="fr-CA"/>
        </w:rPr>
        <w:t>, la pièce PQ-190 constitue le document fourni par Giroux suivant la</w:t>
      </w:r>
      <w:r w:rsidR="00D801F5" w:rsidRPr="000436DD">
        <w:rPr>
          <w:rFonts w:cs="Arial"/>
          <w:szCs w:val="24"/>
          <w:lang w:eastAsia="fr-CA"/>
        </w:rPr>
        <w:t xml:space="preserve"> </w:t>
      </w:r>
      <w:r w:rsidRPr="000436DD">
        <w:rPr>
          <w:rFonts w:eastAsia="ArialMT" w:cs="Arial"/>
          <w:szCs w:val="24"/>
          <w:lang w:eastAsia="fr-CA"/>
        </w:rPr>
        <w:t>demande d’engagement suivante</w:t>
      </w:r>
      <w:r w:rsidR="00D90D4F">
        <w:rPr>
          <w:rFonts w:eastAsia="ArialMT" w:cs="Arial"/>
          <w:szCs w:val="24"/>
          <w:lang w:eastAsia="fr-CA"/>
        </w:rPr>
        <w:t> </w:t>
      </w:r>
      <w:r w:rsidRPr="000436DD">
        <w:rPr>
          <w:rFonts w:cs="Arial"/>
          <w:szCs w:val="24"/>
          <w:lang w:eastAsia="fr-CA"/>
        </w:rPr>
        <w:t>: «</w:t>
      </w:r>
      <w:r w:rsidR="00D801F5" w:rsidRPr="000436DD">
        <w:rPr>
          <w:rFonts w:cs="Arial"/>
          <w:szCs w:val="24"/>
          <w:lang w:eastAsia="fr-CA"/>
        </w:rPr>
        <w:t> </w:t>
      </w:r>
      <w:r w:rsidRPr="000436DD">
        <w:rPr>
          <w:rFonts w:cs="Arial"/>
          <w:i/>
          <w:iCs/>
          <w:szCs w:val="24"/>
          <w:lang w:eastAsia="fr-CA"/>
        </w:rPr>
        <w:t>ERG-20 Fournir toutes les pièces</w:t>
      </w:r>
      <w:r w:rsidR="00D801F5" w:rsidRPr="000436DD">
        <w:rPr>
          <w:rFonts w:cs="Arial"/>
          <w:i/>
          <w:iCs/>
          <w:szCs w:val="24"/>
          <w:lang w:eastAsia="fr-CA"/>
        </w:rPr>
        <w:t xml:space="preserve"> </w:t>
      </w:r>
      <w:r w:rsidRPr="000436DD">
        <w:rPr>
          <w:rFonts w:cs="Arial"/>
          <w:i/>
          <w:iCs/>
          <w:szCs w:val="24"/>
          <w:lang w:eastAsia="fr-CA"/>
        </w:rPr>
        <w:t>justificatives en lien avec l’avance faite [par 9355-9797 Québec inc.] à 9355-8096</w:t>
      </w:r>
      <w:r w:rsidR="00D801F5" w:rsidRPr="000436DD">
        <w:rPr>
          <w:rFonts w:cs="Arial"/>
          <w:i/>
          <w:iCs/>
          <w:szCs w:val="24"/>
          <w:lang w:eastAsia="fr-CA"/>
        </w:rPr>
        <w:t xml:space="preserve"> </w:t>
      </w:r>
      <w:r w:rsidRPr="000436DD">
        <w:rPr>
          <w:rFonts w:cs="Arial"/>
          <w:i/>
          <w:iCs/>
          <w:szCs w:val="24"/>
          <w:lang w:eastAsia="fr-CA"/>
        </w:rPr>
        <w:t>Québec inc. (preuve de paiement et/ou de virement, reconnaissance de dette,</w:t>
      </w:r>
      <w:r w:rsidR="00D801F5" w:rsidRPr="000436DD">
        <w:rPr>
          <w:rFonts w:cs="Arial"/>
          <w:i/>
          <w:iCs/>
          <w:szCs w:val="24"/>
          <w:lang w:eastAsia="fr-CA"/>
        </w:rPr>
        <w:t xml:space="preserve"> </w:t>
      </w:r>
      <w:r w:rsidRPr="000436DD">
        <w:rPr>
          <w:rFonts w:cs="Arial"/>
          <w:i/>
          <w:iCs/>
          <w:szCs w:val="24"/>
          <w:lang w:eastAsia="fr-CA"/>
        </w:rPr>
        <w:t>etc.)</w:t>
      </w:r>
      <w:r w:rsidR="00D801F5" w:rsidRPr="000436DD">
        <w:rPr>
          <w:rFonts w:cs="Arial"/>
          <w:i/>
          <w:iCs/>
          <w:szCs w:val="24"/>
          <w:lang w:eastAsia="fr-CA"/>
        </w:rPr>
        <w:t> </w:t>
      </w:r>
      <w:r w:rsidRPr="000436DD">
        <w:rPr>
          <w:rFonts w:cs="Arial"/>
          <w:szCs w:val="24"/>
          <w:lang w:eastAsia="fr-CA"/>
        </w:rPr>
        <w:t>»</w:t>
      </w:r>
      <w:r>
        <w:rPr>
          <w:rStyle w:val="Appelnotedebasdep"/>
          <w:rFonts w:cs="Arial"/>
          <w:szCs w:val="24"/>
          <w:lang w:eastAsia="fr-CA"/>
        </w:rPr>
        <w:footnoteReference w:id="317"/>
      </w:r>
      <w:r w:rsidRPr="000436DD">
        <w:rPr>
          <w:rFonts w:cs="Arial"/>
          <w:szCs w:val="24"/>
          <w:lang w:eastAsia="fr-CA"/>
        </w:rPr>
        <w:t xml:space="preserve">. </w:t>
      </w:r>
    </w:p>
    <w:p w14:paraId="32163316" w14:textId="77777777" w:rsidR="00852048" w:rsidRPr="000436DD" w:rsidRDefault="00730A01" w:rsidP="0098012F">
      <w:pPr>
        <w:pStyle w:val="Paragraphe"/>
        <w:tabs>
          <w:tab w:val="clear" w:pos="786"/>
        </w:tabs>
        <w:autoSpaceDE w:val="0"/>
        <w:autoSpaceDN w:val="0"/>
        <w:adjustRightInd w:val="0"/>
        <w:spacing w:before="240" w:after="0" w:line="240" w:lineRule="auto"/>
        <w:ind w:left="0"/>
        <w:rPr>
          <w:rFonts w:cs="Arial"/>
          <w:szCs w:val="24"/>
          <w:lang w:eastAsia="fr-CA"/>
        </w:rPr>
      </w:pPr>
      <w:r w:rsidRPr="000436DD">
        <w:rPr>
          <w:rFonts w:cs="Arial"/>
          <w:szCs w:val="24"/>
          <w:lang w:eastAsia="fr-CA"/>
        </w:rPr>
        <w:t>Ce document fait état de plusieurs virements effectués du compte</w:t>
      </w:r>
      <w:r w:rsidR="00D801F5" w:rsidRPr="000436DD">
        <w:rPr>
          <w:rFonts w:cs="Arial"/>
          <w:szCs w:val="24"/>
          <w:lang w:eastAsia="fr-CA"/>
        </w:rPr>
        <w:t xml:space="preserve"> </w:t>
      </w:r>
      <w:r w:rsidRPr="000436DD">
        <w:rPr>
          <w:rFonts w:cs="Arial"/>
          <w:szCs w:val="24"/>
          <w:lang w:eastAsia="fr-CA"/>
        </w:rPr>
        <w:t>de 9797 à 8096 pour «</w:t>
      </w:r>
      <w:r w:rsidR="00D801F5" w:rsidRPr="000436DD">
        <w:rPr>
          <w:rFonts w:cs="Arial"/>
          <w:szCs w:val="24"/>
          <w:lang w:eastAsia="fr-CA"/>
        </w:rPr>
        <w:t> </w:t>
      </w:r>
      <w:r w:rsidRPr="000436DD">
        <w:rPr>
          <w:rFonts w:eastAsia="ArialMT" w:cs="Arial"/>
          <w:szCs w:val="24"/>
          <w:lang w:eastAsia="fr-CA"/>
        </w:rPr>
        <w:t>couvrir le découvert bancaire due (sic) à l’emprunt</w:t>
      </w:r>
      <w:r w:rsidR="00D801F5" w:rsidRPr="000436DD">
        <w:rPr>
          <w:rFonts w:eastAsia="ArialMT" w:cs="Arial"/>
          <w:szCs w:val="24"/>
          <w:lang w:eastAsia="fr-CA"/>
        </w:rPr>
        <w:t> </w:t>
      </w:r>
      <w:r w:rsidRPr="000436DD">
        <w:rPr>
          <w:rFonts w:cs="Arial"/>
          <w:szCs w:val="24"/>
          <w:lang w:eastAsia="fr-CA"/>
        </w:rPr>
        <w:t>», pour</w:t>
      </w:r>
      <w:r w:rsidR="007C1B64">
        <w:rPr>
          <w:rFonts w:cs="Arial"/>
          <w:szCs w:val="24"/>
          <w:lang w:eastAsia="fr-CA"/>
        </w:rPr>
        <w:t xml:space="preserve"> </w:t>
      </w:r>
      <w:r w:rsidRPr="000436DD">
        <w:rPr>
          <w:rFonts w:cs="Arial"/>
          <w:szCs w:val="24"/>
          <w:lang w:eastAsia="fr-CA"/>
        </w:rPr>
        <w:t>«</w:t>
      </w:r>
      <w:r w:rsidR="007C1B64">
        <w:rPr>
          <w:rFonts w:cs="Arial"/>
          <w:szCs w:val="24"/>
          <w:lang w:eastAsia="fr-CA"/>
        </w:rPr>
        <w:t> </w:t>
      </w:r>
      <w:r w:rsidRPr="000436DD">
        <w:rPr>
          <w:rFonts w:eastAsia="ArialMT" w:cs="Arial"/>
          <w:szCs w:val="24"/>
          <w:lang w:eastAsia="fr-CA"/>
        </w:rPr>
        <w:t xml:space="preserve">paiement de l’hypothèque </w:t>
      </w:r>
      <w:r w:rsidRPr="000436DD">
        <w:rPr>
          <w:rFonts w:cs="Arial"/>
          <w:szCs w:val="24"/>
          <w:lang w:eastAsia="fr-CA"/>
        </w:rPr>
        <w:t>», pour «</w:t>
      </w:r>
      <w:r w:rsidR="00D801F5" w:rsidRPr="000436DD">
        <w:rPr>
          <w:rFonts w:cs="Arial"/>
          <w:szCs w:val="24"/>
          <w:lang w:eastAsia="fr-CA"/>
        </w:rPr>
        <w:t> </w:t>
      </w:r>
      <w:r w:rsidRPr="000436DD">
        <w:rPr>
          <w:rFonts w:cs="Arial"/>
          <w:szCs w:val="24"/>
          <w:lang w:eastAsia="fr-CA"/>
        </w:rPr>
        <w:t>St</w:t>
      </w:r>
      <w:r w:rsidR="00D801F5" w:rsidRPr="000436DD">
        <w:rPr>
          <w:rFonts w:cs="Arial"/>
          <w:szCs w:val="24"/>
          <w:lang w:eastAsia="fr-CA"/>
        </w:rPr>
        <w:noBreakHyphen/>
      </w:r>
      <w:r w:rsidRPr="000436DD">
        <w:rPr>
          <w:rFonts w:cs="Arial"/>
          <w:szCs w:val="24"/>
          <w:lang w:eastAsia="fr-CA"/>
        </w:rPr>
        <w:t>Gelais et Hypotheque (sic)</w:t>
      </w:r>
      <w:r w:rsidR="00D801F5" w:rsidRPr="000436DD">
        <w:rPr>
          <w:rFonts w:cs="Arial"/>
          <w:szCs w:val="24"/>
          <w:lang w:eastAsia="fr-CA"/>
        </w:rPr>
        <w:t> </w:t>
      </w:r>
      <w:r w:rsidRPr="000436DD">
        <w:rPr>
          <w:rFonts w:cs="Arial"/>
          <w:szCs w:val="24"/>
          <w:lang w:eastAsia="fr-CA"/>
        </w:rPr>
        <w:t>», pour</w:t>
      </w:r>
      <w:r w:rsidR="00D801F5" w:rsidRPr="000436DD">
        <w:rPr>
          <w:rFonts w:cs="Arial"/>
          <w:szCs w:val="24"/>
          <w:lang w:eastAsia="fr-CA"/>
        </w:rPr>
        <w:t xml:space="preserve"> </w:t>
      </w:r>
      <w:r w:rsidRPr="000436DD">
        <w:rPr>
          <w:rFonts w:cs="Arial"/>
          <w:szCs w:val="24"/>
          <w:lang w:eastAsia="fr-CA"/>
        </w:rPr>
        <w:t>«</w:t>
      </w:r>
      <w:r w:rsidR="007C1B64">
        <w:rPr>
          <w:rFonts w:cs="Arial"/>
          <w:szCs w:val="24"/>
          <w:lang w:eastAsia="fr-CA"/>
        </w:rPr>
        <w:t> </w:t>
      </w:r>
      <w:r w:rsidRPr="000436DD">
        <w:rPr>
          <w:rFonts w:eastAsia="ArialMT" w:cs="Arial"/>
          <w:szCs w:val="24"/>
          <w:lang w:eastAsia="fr-CA"/>
        </w:rPr>
        <w:t>Ajustement de l’avance pour l’hypothèque</w:t>
      </w:r>
      <w:r w:rsidR="007C1B64">
        <w:rPr>
          <w:rFonts w:eastAsia="ArialMT" w:cs="Arial"/>
          <w:szCs w:val="24"/>
          <w:lang w:eastAsia="fr-CA"/>
        </w:rPr>
        <w:t> </w:t>
      </w:r>
      <w:r w:rsidRPr="000436DD">
        <w:rPr>
          <w:rFonts w:cs="Arial"/>
          <w:szCs w:val="24"/>
          <w:lang w:eastAsia="fr-CA"/>
        </w:rPr>
        <w:t>», pour «</w:t>
      </w:r>
      <w:r w:rsidR="000436DD" w:rsidRPr="000436DD">
        <w:rPr>
          <w:rFonts w:cs="Arial"/>
          <w:szCs w:val="24"/>
          <w:lang w:eastAsia="fr-CA"/>
        </w:rPr>
        <w:t> </w:t>
      </w:r>
      <w:r w:rsidRPr="000436DD">
        <w:rPr>
          <w:rFonts w:cs="Arial"/>
          <w:szCs w:val="24"/>
          <w:lang w:eastAsia="fr-CA"/>
        </w:rPr>
        <w:t>emprunt</w:t>
      </w:r>
      <w:r w:rsidR="000436DD" w:rsidRPr="000436DD">
        <w:rPr>
          <w:rFonts w:cs="Arial"/>
          <w:szCs w:val="24"/>
          <w:lang w:eastAsia="fr-CA"/>
        </w:rPr>
        <w:t> </w:t>
      </w:r>
      <w:r w:rsidRPr="000436DD">
        <w:rPr>
          <w:rFonts w:cs="Arial"/>
          <w:szCs w:val="24"/>
          <w:lang w:eastAsia="fr-CA"/>
        </w:rPr>
        <w:t>», pour «</w:t>
      </w:r>
      <w:r w:rsidR="007C1B64">
        <w:rPr>
          <w:rFonts w:cs="Arial"/>
          <w:szCs w:val="24"/>
          <w:lang w:eastAsia="fr-CA"/>
        </w:rPr>
        <w:t> </w:t>
      </w:r>
      <w:r w:rsidRPr="000436DD">
        <w:rPr>
          <w:rFonts w:cs="Arial"/>
          <w:szCs w:val="24"/>
          <w:lang w:eastAsia="fr-CA"/>
        </w:rPr>
        <w:t>CAP-St-Gelais</w:t>
      </w:r>
      <w:r w:rsidR="000436DD" w:rsidRPr="000436DD">
        <w:rPr>
          <w:rFonts w:cs="Arial"/>
          <w:szCs w:val="24"/>
          <w:lang w:eastAsia="fr-CA"/>
        </w:rPr>
        <w:t> </w:t>
      </w:r>
      <w:r w:rsidRPr="000436DD">
        <w:rPr>
          <w:rFonts w:cs="Arial"/>
          <w:szCs w:val="24"/>
          <w:lang w:eastAsia="fr-CA"/>
        </w:rPr>
        <w:t>» et pour «</w:t>
      </w:r>
      <w:r w:rsidR="000436DD" w:rsidRPr="000436DD">
        <w:rPr>
          <w:rFonts w:cs="Arial"/>
          <w:szCs w:val="24"/>
          <w:lang w:eastAsia="fr-CA"/>
        </w:rPr>
        <w:t> </w:t>
      </w:r>
      <w:r w:rsidRPr="000436DD">
        <w:rPr>
          <w:rFonts w:cs="Arial"/>
          <w:szCs w:val="24"/>
          <w:lang w:eastAsia="fr-CA"/>
        </w:rPr>
        <w:t>emprunt 8096</w:t>
      </w:r>
      <w:r w:rsidR="000436DD" w:rsidRPr="000436DD">
        <w:rPr>
          <w:rFonts w:cs="Arial"/>
          <w:szCs w:val="24"/>
          <w:lang w:eastAsia="fr-CA"/>
        </w:rPr>
        <w:t> </w:t>
      </w:r>
      <w:r w:rsidRPr="000436DD">
        <w:rPr>
          <w:rFonts w:cs="Arial"/>
          <w:szCs w:val="24"/>
          <w:lang w:eastAsia="fr-CA"/>
        </w:rPr>
        <w:t xml:space="preserve">». </w:t>
      </w:r>
      <w:r w:rsidRPr="000436DD">
        <w:rPr>
          <w:rFonts w:eastAsia="ArialMT" w:cs="Arial"/>
          <w:szCs w:val="24"/>
          <w:lang w:eastAsia="fr-CA"/>
        </w:rPr>
        <w:t xml:space="preserve">Il est donc manifeste que l’argent de 9797 </w:t>
      </w:r>
      <w:r w:rsidRPr="000436DD">
        <w:rPr>
          <w:rFonts w:cs="Arial"/>
          <w:szCs w:val="24"/>
          <w:lang w:eastAsia="fr-CA"/>
        </w:rPr>
        <w:t>est</w:t>
      </w:r>
      <w:r w:rsidR="000436DD" w:rsidRPr="000436DD">
        <w:rPr>
          <w:rFonts w:cs="Arial"/>
          <w:szCs w:val="24"/>
          <w:lang w:eastAsia="fr-CA"/>
        </w:rPr>
        <w:t xml:space="preserve"> </w:t>
      </w:r>
      <w:r w:rsidRPr="000436DD">
        <w:rPr>
          <w:rFonts w:cs="Arial"/>
          <w:szCs w:val="24"/>
          <w:lang w:eastAsia="fr-CA"/>
        </w:rPr>
        <w:t>utilisé par Giroux au bénéfice de 8096 sans considération de leurs identités</w:t>
      </w:r>
      <w:r w:rsidR="000436DD">
        <w:rPr>
          <w:rFonts w:cs="Arial"/>
          <w:szCs w:val="24"/>
          <w:lang w:eastAsia="fr-CA"/>
        </w:rPr>
        <w:t xml:space="preserve"> </w:t>
      </w:r>
      <w:r w:rsidRPr="000436DD">
        <w:rPr>
          <w:rFonts w:cs="Arial"/>
          <w:szCs w:val="24"/>
          <w:lang w:eastAsia="fr-CA"/>
        </w:rPr>
        <w:t>distinctes.</w:t>
      </w:r>
    </w:p>
    <w:p w14:paraId="18B2953B" w14:textId="77777777" w:rsidR="00852048" w:rsidRPr="000436DD" w:rsidRDefault="00730A01" w:rsidP="0098012F">
      <w:pPr>
        <w:pStyle w:val="Paragraphe"/>
        <w:tabs>
          <w:tab w:val="clear" w:pos="786"/>
        </w:tabs>
        <w:autoSpaceDE w:val="0"/>
        <w:autoSpaceDN w:val="0"/>
        <w:adjustRightInd w:val="0"/>
        <w:spacing w:line="240" w:lineRule="auto"/>
        <w:ind w:left="0"/>
        <w:rPr>
          <w:rFonts w:cs="Arial"/>
          <w:szCs w:val="24"/>
          <w:lang w:eastAsia="fr-CA"/>
        </w:rPr>
      </w:pPr>
      <w:r w:rsidRPr="000436DD">
        <w:rPr>
          <w:rFonts w:cs="Arial"/>
          <w:szCs w:val="24"/>
          <w:lang w:eastAsia="fr-CA"/>
        </w:rPr>
        <w:t xml:space="preserve">Quant à </w:t>
      </w:r>
      <w:r w:rsidRPr="001A6B71">
        <w:rPr>
          <w:rFonts w:cs="Arial"/>
          <w:b/>
          <w:bCs/>
          <w:szCs w:val="24"/>
          <w:lang w:eastAsia="fr-CA"/>
        </w:rPr>
        <w:t>X2</w:t>
      </w:r>
      <w:r w:rsidRPr="000436DD">
        <w:rPr>
          <w:rFonts w:cs="Arial"/>
          <w:szCs w:val="24"/>
          <w:lang w:eastAsia="fr-CA"/>
        </w:rPr>
        <w:t>, la pièce PQ-192 constitue le document fourni par Giroux suivant la</w:t>
      </w:r>
      <w:r w:rsidR="007C1B64">
        <w:rPr>
          <w:rFonts w:cs="Arial"/>
          <w:szCs w:val="24"/>
          <w:lang w:eastAsia="fr-CA"/>
        </w:rPr>
        <w:t xml:space="preserve"> </w:t>
      </w:r>
      <w:r w:rsidRPr="000436DD">
        <w:rPr>
          <w:rFonts w:eastAsia="ArialMT" w:cs="Arial"/>
          <w:szCs w:val="24"/>
          <w:lang w:eastAsia="fr-CA"/>
        </w:rPr>
        <w:t>demande d’engagement suivante</w:t>
      </w:r>
      <w:r w:rsidR="000436DD" w:rsidRPr="000436DD">
        <w:rPr>
          <w:rFonts w:eastAsia="ArialMT" w:cs="Arial"/>
          <w:szCs w:val="24"/>
          <w:lang w:eastAsia="fr-CA"/>
        </w:rPr>
        <w:t> </w:t>
      </w:r>
      <w:r w:rsidRPr="000436DD">
        <w:rPr>
          <w:rFonts w:cs="Arial"/>
          <w:szCs w:val="24"/>
          <w:lang w:eastAsia="fr-CA"/>
        </w:rPr>
        <w:t>:</w:t>
      </w:r>
      <w:r w:rsidR="00D90D4F">
        <w:rPr>
          <w:rFonts w:cs="Arial"/>
          <w:szCs w:val="24"/>
          <w:lang w:eastAsia="fr-CA"/>
        </w:rPr>
        <w:t xml:space="preserve"> </w:t>
      </w:r>
      <w:r w:rsidRPr="000436DD">
        <w:rPr>
          <w:rFonts w:cs="Arial"/>
          <w:szCs w:val="24"/>
          <w:lang w:eastAsia="fr-CA"/>
        </w:rPr>
        <w:t>«</w:t>
      </w:r>
      <w:r w:rsidR="000436DD" w:rsidRPr="000436DD">
        <w:rPr>
          <w:rFonts w:cs="Arial"/>
          <w:szCs w:val="24"/>
          <w:lang w:eastAsia="fr-CA"/>
        </w:rPr>
        <w:t> </w:t>
      </w:r>
      <w:r w:rsidRPr="000436DD">
        <w:rPr>
          <w:rFonts w:cs="Arial"/>
          <w:i/>
          <w:iCs/>
          <w:szCs w:val="24"/>
          <w:lang w:eastAsia="fr-CA"/>
        </w:rPr>
        <w:t>ERG-31 Fournir les pièces justificatives</w:t>
      </w:r>
      <w:r w:rsidR="000436DD" w:rsidRPr="000436DD">
        <w:rPr>
          <w:rFonts w:cs="Arial"/>
          <w:i/>
          <w:iCs/>
          <w:szCs w:val="24"/>
          <w:lang w:eastAsia="fr-CA"/>
        </w:rPr>
        <w:t xml:space="preserve"> </w:t>
      </w:r>
      <w:r w:rsidRPr="000436DD">
        <w:rPr>
          <w:rFonts w:cs="Arial"/>
          <w:i/>
          <w:iCs/>
          <w:szCs w:val="24"/>
          <w:lang w:eastAsia="fr-CA"/>
        </w:rPr>
        <w:t>concernant l’avance de</w:t>
      </w:r>
      <w:r w:rsidR="00D90D4F">
        <w:rPr>
          <w:rFonts w:cs="Arial"/>
          <w:i/>
          <w:iCs/>
          <w:szCs w:val="24"/>
          <w:lang w:eastAsia="fr-CA"/>
        </w:rPr>
        <w:t> </w:t>
      </w:r>
      <w:r w:rsidRPr="000436DD">
        <w:rPr>
          <w:rFonts w:cs="Arial"/>
          <w:i/>
          <w:iCs/>
          <w:szCs w:val="24"/>
          <w:lang w:eastAsia="fr-CA"/>
        </w:rPr>
        <w:t>2</w:t>
      </w:r>
      <w:r w:rsidR="007C1B64">
        <w:rPr>
          <w:rFonts w:cs="Arial"/>
          <w:i/>
          <w:iCs/>
          <w:szCs w:val="24"/>
          <w:lang w:eastAsia="fr-CA"/>
        </w:rPr>
        <w:t> </w:t>
      </w:r>
      <w:r w:rsidRPr="000436DD">
        <w:rPr>
          <w:rFonts w:cs="Arial"/>
          <w:i/>
          <w:iCs/>
          <w:szCs w:val="24"/>
          <w:lang w:eastAsia="fr-CA"/>
        </w:rPr>
        <w:t>300</w:t>
      </w:r>
      <w:r w:rsidR="007C1B64">
        <w:rPr>
          <w:rFonts w:cs="Arial"/>
          <w:i/>
          <w:iCs/>
          <w:szCs w:val="24"/>
          <w:lang w:eastAsia="fr-CA"/>
        </w:rPr>
        <w:t> </w:t>
      </w:r>
      <w:r w:rsidRPr="000436DD">
        <w:rPr>
          <w:rFonts w:cs="Arial"/>
          <w:i/>
          <w:iCs/>
          <w:szCs w:val="24"/>
          <w:lang w:eastAsia="fr-CA"/>
        </w:rPr>
        <w:t>000</w:t>
      </w:r>
      <w:r w:rsidR="007C1B64">
        <w:rPr>
          <w:rFonts w:cs="Arial"/>
          <w:i/>
          <w:iCs/>
          <w:szCs w:val="24"/>
          <w:lang w:eastAsia="fr-CA"/>
        </w:rPr>
        <w:t> </w:t>
      </w:r>
      <w:r w:rsidRPr="000436DD">
        <w:rPr>
          <w:rFonts w:cs="Arial"/>
          <w:i/>
          <w:iCs/>
          <w:szCs w:val="24"/>
          <w:lang w:eastAsia="fr-CA"/>
        </w:rPr>
        <w:t>$ [de 9180-6646 Québec inc.] à X2 Capital</w:t>
      </w:r>
      <w:r w:rsidR="000436DD" w:rsidRPr="000436DD">
        <w:rPr>
          <w:rFonts w:cs="Arial"/>
          <w:i/>
          <w:iCs/>
          <w:szCs w:val="24"/>
          <w:lang w:eastAsia="fr-CA"/>
        </w:rPr>
        <w:t> </w:t>
      </w:r>
      <w:r w:rsidRPr="000436DD">
        <w:rPr>
          <w:rFonts w:cs="Arial"/>
          <w:szCs w:val="24"/>
          <w:lang w:eastAsia="fr-CA"/>
        </w:rPr>
        <w:t>»</w:t>
      </w:r>
      <w:r>
        <w:rPr>
          <w:rStyle w:val="Appelnotedebasdep"/>
          <w:rFonts w:cs="Arial"/>
          <w:szCs w:val="24"/>
          <w:lang w:eastAsia="fr-CA"/>
        </w:rPr>
        <w:footnoteReference w:id="318"/>
      </w:r>
      <w:r w:rsidR="007C1B64">
        <w:rPr>
          <w:rFonts w:cs="Arial"/>
          <w:szCs w:val="24"/>
          <w:lang w:eastAsia="fr-CA"/>
        </w:rPr>
        <w:t xml:space="preserve">. </w:t>
      </w:r>
      <w:r w:rsidRPr="000436DD">
        <w:rPr>
          <w:rFonts w:eastAsia="ArialMT" w:cs="Arial"/>
          <w:szCs w:val="24"/>
          <w:lang w:eastAsia="fr-CA"/>
        </w:rPr>
        <w:t>Ce document fait état d’un transfert de</w:t>
      </w:r>
      <w:r w:rsidR="00D90D4F">
        <w:rPr>
          <w:rFonts w:eastAsia="ArialMT" w:cs="Arial"/>
          <w:szCs w:val="24"/>
          <w:lang w:eastAsia="fr-CA"/>
        </w:rPr>
        <w:t> </w:t>
      </w:r>
      <w:r w:rsidRPr="000436DD">
        <w:rPr>
          <w:rFonts w:eastAsia="ArialMT" w:cs="Arial"/>
          <w:szCs w:val="24"/>
          <w:lang w:eastAsia="fr-CA"/>
        </w:rPr>
        <w:t>2</w:t>
      </w:r>
      <w:r w:rsidR="007C1B64">
        <w:rPr>
          <w:rFonts w:eastAsia="ArialMT" w:cs="Arial"/>
          <w:szCs w:val="24"/>
          <w:lang w:eastAsia="fr-CA"/>
        </w:rPr>
        <w:t> </w:t>
      </w:r>
      <w:r w:rsidRPr="000436DD">
        <w:rPr>
          <w:rFonts w:cs="Arial"/>
          <w:szCs w:val="24"/>
          <w:lang w:eastAsia="fr-CA"/>
        </w:rPr>
        <w:t>140</w:t>
      </w:r>
      <w:r w:rsidR="007C1B64">
        <w:rPr>
          <w:rFonts w:cs="Arial"/>
          <w:szCs w:val="24"/>
          <w:lang w:eastAsia="fr-CA"/>
        </w:rPr>
        <w:t> </w:t>
      </w:r>
      <w:r w:rsidRPr="000436DD">
        <w:rPr>
          <w:rFonts w:cs="Arial"/>
          <w:szCs w:val="24"/>
          <w:lang w:eastAsia="fr-CA"/>
        </w:rPr>
        <w:t>000</w:t>
      </w:r>
      <w:r w:rsidR="007C1B64">
        <w:rPr>
          <w:rFonts w:cs="Arial"/>
          <w:szCs w:val="24"/>
          <w:lang w:eastAsia="fr-CA"/>
        </w:rPr>
        <w:t> </w:t>
      </w:r>
      <w:r w:rsidRPr="000436DD">
        <w:rPr>
          <w:rFonts w:cs="Arial"/>
          <w:szCs w:val="24"/>
          <w:lang w:eastAsia="fr-CA"/>
        </w:rPr>
        <w:t>$ de 6646 à X2 pour</w:t>
      </w:r>
      <w:r w:rsidR="000436DD" w:rsidRPr="000436DD">
        <w:rPr>
          <w:rFonts w:cs="Arial"/>
          <w:szCs w:val="24"/>
          <w:lang w:eastAsia="fr-CA"/>
        </w:rPr>
        <w:t xml:space="preserve"> </w:t>
      </w:r>
      <w:r w:rsidRPr="000436DD">
        <w:rPr>
          <w:rFonts w:cs="Arial"/>
          <w:szCs w:val="24"/>
          <w:lang w:eastAsia="fr-CA"/>
        </w:rPr>
        <w:t>«</w:t>
      </w:r>
      <w:r w:rsidR="000436DD" w:rsidRPr="000436DD">
        <w:rPr>
          <w:rFonts w:cs="Arial"/>
          <w:szCs w:val="24"/>
          <w:lang w:eastAsia="fr-CA"/>
        </w:rPr>
        <w:t> </w:t>
      </w:r>
      <w:r w:rsidRPr="000436DD">
        <w:rPr>
          <w:rFonts w:eastAsia="ArialMT" w:cs="Arial"/>
          <w:szCs w:val="24"/>
          <w:lang w:eastAsia="fr-CA"/>
        </w:rPr>
        <w:t>temporaire pour revenu d’intérêt</w:t>
      </w:r>
      <w:r w:rsidR="007C1B64">
        <w:rPr>
          <w:rFonts w:eastAsia="ArialMT" w:cs="Arial"/>
          <w:szCs w:val="24"/>
          <w:lang w:eastAsia="fr-CA"/>
        </w:rPr>
        <w:t> </w:t>
      </w:r>
      <w:r w:rsidRPr="000436DD">
        <w:rPr>
          <w:rFonts w:cs="Arial"/>
          <w:szCs w:val="24"/>
          <w:lang w:eastAsia="fr-CA"/>
        </w:rPr>
        <w:t>»</w:t>
      </w:r>
      <w:r>
        <w:rPr>
          <w:rStyle w:val="Appelnotedebasdep"/>
          <w:rFonts w:cs="Arial"/>
          <w:szCs w:val="24"/>
          <w:lang w:eastAsia="fr-CA"/>
        </w:rPr>
        <w:footnoteReference w:id="319"/>
      </w:r>
      <w:r w:rsidRPr="000436DD">
        <w:rPr>
          <w:rFonts w:eastAsia="ArialMT" w:cs="Arial"/>
          <w:szCs w:val="24"/>
          <w:lang w:eastAsia="fr-CA"/>
        </w:rPr>
        <w:t>, ce qui démontre que l’argent de 6646 est</w:t>
      </w:r>
      <w:r w:rsidR="000436DD">
        <w:rPr>
          <w:rFonts w:eastAsia="ArialMT" w:cs="Arial"/>
          <w:szCs w:val="24"/>
          <w:lang w:eastAsia="fr-CA"/>
        </w:rPr>
        <w:t xml:space="preserve"> </w:t>
      </w:r>
      <w:r w:rsidRPr="000436DD">
        <w:rPr>
          <w:rFonts w:cs="Arial"/>
          <w:szCs w:val="24"/>
          <w:lang w:eastAsia="fr-CA"/>
        </w:rPr>
        <w:t>confondu avec celui de</w:t>
      </w:r>
      <w:r w:rsidR="00586245">
        <w:rPr>
          <w:rFonts w:cs="Arial"/>
          <w:szCs w:val="24"/>
          <w:lang w:eastAsia="fr-CA"/>
        </w:rPr>
        <w:t> </w:t>
      </w:r>
      <w:r w:rsidRPr="000436DD">
        <w:rPr>
          <w:rFonts w:cs="Arial"/>
          <w:szCs w:val="24"/>
          <w:lang w:eastAsia="fr-CA"/>
        </w:rPr>
        <w:t>X2.</w:t>
      </w:r>
    </w:p>
    <w:p w14:paraId="1613C1CB" w14:textId="77777777" w:rsidR="00852048" w:rsidRPr="000436DD" w:rsidRDefault="00730A01" w:rsidP="0098012F">
      <w:pPr>
        <w:pStyle w:val="Paragraphe"/>
        <w:tabs>
          <w:tab w:val="clear" w:pos="786"/>
        </w:tabs>
        <w:autoSpaceDE w:val="0"/>
        <w:autoSpaceDN w:val="0"/>
        <w:adjustRightInd w:val="0"/>
        <w:spacing w:line="240" w:lineRule="auto"/>
        <w:ind w:left="0"/>
        <w:rPr>
          <w:rFonts w:cs="Arial"/>
          <w:szCs w:val="24"/>
          <w:lang w:eastAsia="fr-CA"/>
        </w:rPr>
      </w:pPr>
      <w:r>
        <w:rPr>
          <w:rFonts w:cs="Arial"/>
          <w:szCs w:val="24"/>
          <w:lang w:eastAsia="fr-CA"/>
        </w:rPr>
        <w:t>Q</w:t>
      </w:r>
      <w:r w:rsidRPr="000436DD">
        <w:rPr>
          <w:rFonts w:cs="Arial"/>
          <w:szCs w:val="24"/>
          <w:lang w:eastAsia="fr-CA"/>
        </w:rPr>
        <w:t xml:space="preserve">uant à </w:t>
      </w:r>
      <w:r w:rsidRPr="001A6B71">
        <w:rPr>
          <w:rFonts w:cs="Arial"/>
          <w:b/>
          <w:bCs/>
          <w:szCs w:val="24"/>
          <w:lang w:eastAsia="fr-CA"/>
        </w:rPr>
        <w:t>8096</w:t>
      </w:r>
      <w:r w:rsidRPr="000436DD">
        <w:rPr>
          <w:rFonts w:cs="Arial"/>
          <w:szCs w:val="24"/>
          <w:lang w:eastAsia="fr-CA"/>
        </w:rPr>
        <w:t>, la pièce</w:t>
      </w:r>
      <w:r w:rsidR="00D90D4F">
        <w:rPr>
          <w:rFonts w:cs="Arial"/>
          <w:szCs w:val="24"/>
          <w:lang w:eastAsia="fr-CA"/>
        </w:rPr>
        <w:t> </w:t>
      </w:r>
      <w:r w:rsidRPr="000436DD">
        <w:rPr>
          <w:rFonts w:cs="Arial"/>
          <w:szCs w:val="24"/>
          <w:lang w:eastAsia="fr-CA"/>
        </w:rPr>
        <w:t>PQ-193 constitue le document fourni par Giroux suivant la</w:t>
      </w:r>
      <w:r w:rsidR="000436DD" w:rsidRPr="000436DD">
        <w:rPr>
          <w:rFonts w:cs="Arial"/>
          <w:szCs w:val="24"/>
          <w:lang w:eastAsia="fr-CA"/>
        </w:rPr>
        <w:t xml:space="preserve"> </w:t>
      </w:r>
      <w:r w:rsidRPr="000436DD">
        <w:rPr>
          <w:rFonts w:eastAsia="ArialMT" w:cs="Arial"/>
          <w:szCs w:val="24"/>
          <w:lang w:eastAsia="fr-CA"/>
        </w:rPr>
        <w:t>demande d’engagement suivante</w:t>
      </w:r>
      <w:r w:rsidR="00D90D4F">
        <w:rPr>
          <w:rFonts w:eastAsia="ArialMT" w:cs="Arial"/>
          <w:szCs w:val="24"/>
          <w:lang w:eastAsia="fr-CA"/>
        </w:rPr>
        <w:t> </w:t>
      </w:r>
      <w:r w:rsidRPr="000436DD">
        <w:rPr>
          <w:rFonts w:cs="Arial"/>
          <w:szCs w:val="24"/>
          <w:lang w:eastAsia="fr-CA"/>
        </w:rPr>
        <w:t>: «</w:t>
      </w:r>
      <w:r w:rsidR="00E8523A">
        <w:rPr>
          <w:rFonts w:cs="Arial"/>
          <w:szCs w:val="24"/>
          <w:lang w:eastAsia="fr-CA"/>
        </w:rPr>
        <w:t> </w:t>
      </w:r>
      <w:r w:rsidRPr="000436DD">
        <w:rPr>
          <w:rFonts w:cs="Arial"/>
          <w:i/>
          <w:iCs/>
          <w:szCs w:val="24"/>
          <w:lang w:eastAsia="fr-CA"/>
        </w:rPr>
        <w:t>ERG-41 Indiquer comment fut déterminée,</w:t>
      </w:r>
      <w:r w:rsidR="000436DD" w:rsidRPr="000436DD">
        <w:rPr>
          <w:rFonts w:cs="Arial"/>
          <w:i/>
          <w:iCs/>
          <w:szCs w:val="24"/>
          <w:lang w:eastAsia="fr-CA"/>
        </w:rPr>
        <w:t xml:space="preserve"> </w:t>
      </w:r>
      <w:r w:rsidRPr="000436DD">
        <w:rPr>
          <w:rFonts w:cs="Arial"/>
          <w:i/>
          <w:iCs/>
          <w:szCs w:val="24"/>
          <w:lang w:eastAsia="fr-CA"/>
        </w:rPr>
        <w:t>en date du bilan, la valeur du placement de</w:t>
      </w:r>
      <w:r w:rsidR="00D90D4F">
        <w:rPr>
          <w:rFonts w:cs="Arial"/>
          <w:i/>
          <w:iCs/>
          <w:szCs w:val="24"/>
          <w:lang w:eastAsia="fr-CA"/>
        </w:rPr>
        <w:t> </w:t>
      </w:r>
      <w:r w:rsidRPr="000436DD">
        <w:rPr>
          <w:rFonts w:cs="Arial"/>
          <w:i/>
          <w:iCs/>
          <w:szCs w:val="24"/>
          <w:lang w:eastAsia="fr-CA"/>
        </w:rPr>
        <w:t>21</w:t>
      </w:r>
      <w:r w:rsidR="00E8523A">
        <w:rPr>
          <w:rFonts w:cs="Arial"/>
          <w:i/>
          <w:iCs/>
          <w:szCs w:val="24"/>
          <w:lang w:eastAsia="fr-CA"/>
        </w:rPr>
        <w:t> </w:t>
      </w:r>
      <w:r w:rsidRPr="000436DD">
        <w:rPr>
          <w:rFonts w:cs="Arial"/>
          <w:i/>
          <w:iCs/>
          <w:szCs w:val="24"/>
          <w:lang w:eastAsia="fr-CA"/>
        </w:rPr>
        <w:t>842</w:t>
      </w:r>
      <w:r w:rsidR="00E8523A">
        <w:rPr>
          <w:rFonts w:cs="Arial"/>
          <w:i/>
          <w:iCs/>
          <w:szCs w:val="24"/>
          <w:lang w:eastAsia="fr-CA"/>
        </w:rPr>
        <w:t> </w:t>
      </w:r>
      <w:r w:rsidRPr="000436DD">
        <w:rPr>
          <w:rFonts w:cs="Arial"/>
          <w:i/>
          <w:iCs/>
          <w:szCs w:val="24"/>
          <w:lang w:eastAsia="fr-CA"/>
        </w:rPr>
        <w:t>959,43</w:t>
      </w:r>
      <w:r w:rsidR="00E8523A">
        <w:rPr>
          <w:rFonts w:cs="Arial"/>
          <w:i/>
          <w:iCs/>
          <w:szCs w:val="24"/>
          <w:lang w:eastAsia="fr-CA"/>
        </w:rPr>
        <w:t> </w:t>
      </w:r>
      <w:r w:rsidRPr="000436DD">
        <w:rPr>
          <w:rFonts w:cs="Arial"/>
          <w:i/>
          <w:iCs/>
          <w:szCs w:val="24"/>
          <w:lang w:eastAsia="fr-CA"/>
        </w:rPr>
        <w:t>$ [de 9180-6646</w:t>
      </w:r>
      <w:r w:rsidR="000436DD" w:rsidRPr="000436DD">
        <w:rPr>
          <w:rFonts w:cs="Arial"/>
          <w:i/>
          <w:iCs/>
          <w:szCs w:val="24"/>
          <w:lang w:eastAsia="fr-CA"/>
        </w:rPr>
        <w:t xml:space="preserve"> </w:t>
      </w:r>
      <w:r w:rsidRPr="000436DD">
        <w:rPr>
          <w:rFonts w:cs="Arial"/>
          <w:i/>
          <w:iCs/>
          <w:szCs w:val="24"/>
          <w:lang w:eastAsia="fr-CA"/>
        </w:rPr>
        <w:t>Québec</w:t>
      </w:r>
      <w:r w:rsidR="00D90D4F">
        <w:rPr>
          <w:rFonts w:cs="Arial"/>
          <w:i/>
          <w:iCs/>
          <w:szCs w:val="24"/>
          <w:lang w:eastAsia="fr-CA"/>
        </w:rPr>
        <w:t> </w:t>
      </w:r>
      <w:r w:rsidRPr="000436DD">
        <w:rPr>
          <w:rFonts w:cs="Arial"/>
          <w:i/>
          <w:iCs/>
          <w:szCs w:val="24"/>
          <w:lang w:eastAsia="fr-CA"/>
        </w:rPr>
        <w:t>inc.</w:t>
      </w:r>
      <w:r w:rsidR="00D90D4F">
        <w:rPr>
          <w:rFonts w:cs="Arial"/>
          <w:i/>
          <w:iCs/>
          <w:szCs w:val="24"/>
          <w:lang w:eastAsia="fr-CA"/>
        </w:rPr>
        <w:t> </w:t>
      </w:r>
      <w:r w:rsidRPr="000436DD">
        <w:rPr>
          <w:rFonts w:cs="Arial"/>
          <w:i/>
          <w:iCs/>
          <w:szCs w:val="24"/>
          <w:lang w:eastAsia="fr-CA"/>
        </w:rPr>
        <w:t>à] 9355-8096 Québec inc.</w:t>
      </w:r>
      <w:r w:rsidR="00D90D4F">
        <w:rPr>
          <w:rFonts w:cs="Arial"/>
          <w:i/>
          <w:iCs/>
          <w:szCs w:val="24"/>
          <w:lang w:eastAsia="fr-CA"/>
        </w:rPr>
        <w:t> </w:t>
      </w:r>
      <w:r w:rsidRPr="000436DD">
        <w:rPr>
          <w:rFonts w:cs="Arial"/>
          <w:szCs w:val="24"/>
          <w:lang w:eastAsia="fr-CA"/>
        </w:rPr>
        <w:t>»</w:t>
      </w:r>
      <w:r>
        <w:rPr>
          <w:rStyle w:val="Appelnotedebasdep"/>
          <w:rFonts w:cs="Arial"/>
          <w:szCs w:val="24"/>
          <w:lang w:eastAsia="fr-CA"/>
        </w:rPr>
        <w:footnoteReference w:id="320"/>
      </w:r>
      <w:r w:rsidRPr="000436DD">
        <w:rPr>
          <w:rFonts w:cs="Arial"/>
          <w:szCs w:val="24"/>
          <w:lang w:eastAsia="fr-CA"/>
        </w:rPr>
        <w:t>. Ce document présente des</w:t>
      </w:r>
      <w:r w:rsidR="000436DD" w:rsidRPr="000436DD">
        <w:rPr>
          <w:rFonts w:cs="Arial"/>
          <w:szCs w:val="24"/>
          <w:lang w:eastAsia="fr-CA"/>
        </w:rPr>
        <w:t xml:space="preserve"> </w:t>
      </w:r>
      <w:r w:rsidRPr="000436DD">
        <w:rPr>
          <w:rFonts w:cs="Arial"/>
          <w:szCs w:val="24"/>
          <w:lang w:eastAsia="fr-CA"/>
        </w:rPr>
        <w:t>transactions qui font suite à la restructuration du prêt FIISH au début du mois</w:t>
      </w:r>
      <w:r w:rsidR="000436DD" w:rsidRPr="000436DD">
        <w:rPr>
          <w:rFonts w:cs="Arial"/>
          <w:szCs w:val="24"/>
          <w:lang w:eastAsia="fr-CA"/>
        </w:rPr>
        <w:t xml:space="preserve"> </w:t>
      </w:r>
      <w:r w:rsidRPr="000436DD">
        <w:rPr>
          <w:rFonts w:eastAsia="ArialMT" w:cs="Arial"/>
          <w:szCs w:val="24"/>
          <w:lang w:eastAsia="fr-CA"/>
        </w:rPr>
        <w:t>d’avril</w:t>
      </w:r>
      <w:r w:rsidR="00D90D4F">
        <w:rPr>
          <w:rFonts w:eastAsia="ArialMT" w:cs="Arial"/>
          <w:szCs w:val="24"/>
          <w:lang w:eastAsia="fr-CA"/>
        </w:rPr>
        <w:t> </w:t>
      </w:r>
      <w:r w:rsidRPr="000436DD">
        <w:rPr>
          <w:rFonts w:cs="Arial"/>
          <w:szCs w:val="24"/>
          <w:lang w:eastAsia="fr-CA"/>
        </w:rPr>
        <w:t xml:space="preserve">2020 et qui démontrent </w:t>
      </w:r>
      <w:r w:rsidRPr="000436DD">
        <w:rPr>
          <w:rFonts w:eastAsia="ArialMT" w:cs="Arial"/>
          <w:szCs w:val="24"/>
          <w:lang w:eastAsia="fr-CA"/>
        </w:rPr>
        <w:t>que l’argent circule librement entre 6646 et 8096,</w:t>
      </w:r>
      <w:r w:rsidR="000436DD">
        <w:rPr>
          <w:rFonts w:eastAsia="ArialMT" w:cs="Arial"/>
          <w:szCs w:val="24"/>
          <w:lang w:eastAsia="fr-CA"/>
        </w:rPr>
        <w:t xml:space="preserve"> </w:t>
      </w:r>
      <w:r w:rsidRPr="000436DD">
        <w:rPr>
          <w:rFonts w:cs="Arial"/>
          <w:szCs w:val="24"/>
          <w:lang w:eastAsia="fr-CA"/>
        </w:rPr>
        <w:t xml:space="preserve">alors que cette première a converti ses parts dans FIISH en créance </w:t>
      </w:r>
      <w:r w:rsidRPr="000436DD">
        <w:rPr>
          <w:rFonts w:cs="Arial"/>
          <w:i/>
          <w:iCs/>
          <w:szCs w:val="24"/>
          <w:lang w:eastAsia="fr-CA"/>
        </w:rPr>
        <w:t>pari passu</w:t>
      </w:r>
      <w:r w:rsidR="000436DD">
        <w:rPr>
          <w:rFonts w:cs="Arial"/>
          <w:i/>
          <w:iCs/>
          <w:szCs w:val="24"/>
          <w:lang w:eastAsia="fr-CA"/>
        </w:rPr>
        <w:t xml:space="preserve"> </w:t>
      </w:r>
      <w:r w:rsidR="000436DD" w:rsidRPr="00451EF9">
        <w:rPr>
          <w:rFonts w:cs="Arial"/>
          <w:szCs w:val="24"/>
          <w:lang w:eastAsia="fr-CA"/>
        </w:rPr>
        <w:t>au bénéfice de 8096 et que cette dernière a octroyé un billet de</w:t>
      </w:r>
      <w:r w:rsidR="00D90D4F">
        <w:rPr>
          <w:rFonts w:cs="Arial"/>
          <w:szCs w:val="24"/>
          <w:lang w:eastAsia="fr-CA"/>
        </w:rPr>
        <w:t> </w:t>
      </w:r>
      <w:r w:rsidR="000436DD" w:rsidRPr="00451EF9">
        <w:rPr>
          <w:rFonts w:cs="Arial"/>
          <w:szCs w:val="24"/>
          <w:lang w:eastAsia="fr-CA"/>
        </w:rPr>
        <w:t>4</w:t>
      </w:r>
      <w:r w:rsidR="00E8523A">
        <w:rPr>
          <w:rFonts w:cs="Arial"/>
          <w:szCs w:val="24"/>
          <w:lang w:eastAsia="fr-CA"/>
        </w:rPr>
        <w:t> </w:t>
      </w:r>
      <w:r w:rsidR="000436DD" w:rsidRPr="00451EF9">
        <w:rPr>
          <w:rFonts w:cs="Arial"/>
          <w:szCs w:val="24"/>
          <w:lang w:eastAsia="fr-CA"/>
        </w:rPr>
        <w:t>M$ sans intérêts</w:t>
      </w:r>
      <w:r w:rsidR="000436DD">
        <w:rPr>
          <w:rFonts w:cs="Arial"/>
          <w:szCs w:val="24"/>
          <w:lang w:eastAsia="fr-CA"/>
        </w:rPr>
        <w:t xml:space="preserve"> </w:t>
      </w:r>
      <w:r w:rsidR="000436DD" w:rsidRPr="00451EF9">
        <w:rPr>
          <w:rFonts w:cs="Arial"/>
          <w:szCs w:val="24"/>
          <w:lang w:eastAsia="fr-CA"/>
        </w:rPr>
        <w:t>à 6646</w:t>
      </w:r>
      <w:r w:rsidR="00D90D4F">
        <w:rPr>
          <w:rFonts w:cs="Arial"/>
          <w:szCs w:val="24"/>
          <w:lang w:eastAsia="fr-CA"/>
        </w:rPr>
        <w:t>.</w:t>
      </w:r>
    </w:p>
    <w:p w14:paraId="0EFE358E" w14:textId="77777777" w:rsidR="001E1A02" w:rsidRDefault="00730A01" w:rsidP="0098012F">
      <w:pPr>
        <w:pStyle w:val="Paragraphe"/>
        <w:tabs>
          <w:tab w:val="clear" w:pos="786"/>
        </w:tabs>
        <w:autoSpaceDE w:val="0"/>
        <w:autoSpaceDN w:val="0"/>
        <w:adjustRightInd w:val="0"/>
        <w:spacing w:line="240" w:lineRule="auto"/>
        <w:ind w:left="0"/>
        <w:rPr>
          <w:rFonts w:eastAsia="ArialMT" w:cs="Arial"/>
          <w:szCs w:val="24"/>
          <w:lang w:eastAsia="fr-CA"/>
        </w:rPr>
      </w:pPr>
      <w:r w:rsidRPr="007C1B64">
        <w:rPr>
          <w:rFonts w:cs="Arial"/>
          <w:szCs w:val="24"/>
          <w:lang w:eastAsia="fr-CA"/>
        </w:rPr>
        <w:t>Quant</w:t>
      </w:r>
      <w:r w:rsidRPr="007C1B64">
        <w:rPr>
          <w:rFonts w:eastAsia="ArialMT" w:cs="Arial"/>
          <w:szCs w:val="24"/>
          <w:lang w:eastAsia="fr-CA"/>
        </w:rPr>
        <w:t xml:space="preserve"> à </w:t>
      </w:r>
      <w:r w:rsidR="005F709E">
        <w:rPr>
          <w:rFonts w:eastAsia="ArialMT" w:cs="Arial"/>
          <w:b/>
          <w:bCs/>
          <w:szCs w:val="24"/>
          <w:lang w:eastAsia="fr-CA"/>
        </w:rPr>
        <w:t>G</w:t>
      </w:r>
      <w:r w:rsidRPr="001A6B71">
        <w:rPr>
          <w:rFonts w:eastAsia="ArialMT" w:cs="Arial"/>
          <w:b/>
          <w:bCs/>
          <w:szCs w:val="24"/>
          <w:lang w:eastAsia="fr-CA"/>
        </w:rPr>
        <w:t>iroux Arpentage</w:t>
      </w:r>
      <w:r w:rsidRPr="007C1B64">
        <w:rPr>
          <w:rFonts w:eastAsia="ArialMT" w:cs="Arial"/>
          <w:szCs w:val="24"/>
          <w:lang w:eastAsia="fr-CA"/>
        </w:rPr>
        <w:t xml:space="preserve">, bien qu’elle se soit désistée </w:t>
      </w:r>
      <w:r w:rsidRPr="007C1B64">
        <w:rPr>
          <w:rFonts w:cs="Arial"/>
          <w:szCs w:val="24"/>
          <w:lang w:eastAsia="fr-CA"/>
        </w:rPr>
        <w:t>à la fin du procès de son</w:t>
      </w:r>
      <w:r w:rsidR="007C1B64" w:rsidRPr="007C1B64">
        <w:rPr>
          <w:rFonts w:cs="Arial"/>
          <w:szCs w:val="24"/>
          <w:lang w:eastAsia="fr-CA"/>
        </w:rPr>
        <w:t xml:space="preserve"> </w:t>
      </w:r>
      <w:r w:rsidRPr="007C1B64">
        <w:rPr>
          <w:rFonts w:cs="Arial"/>
          <w:szCs w:val="24"/>
          <w:lang w:eastAsia="fr-CA"/>
        </w:rPr>
        <w:t>intervention agressive, ses états financiers internes font aussi état de la somme</w:t>
      </w:r>
      <w:r w:rsidR="007C1B64" w:rsidRPr="007C1B64">
        <w:rPr>
          <w:rFonts w:cs="Arial"/>
          <w:szCs w:val="24"/>
          <w:lang w:eastAsia="fr-CA"/>
        </w:rPr>
        <w:t xml:space="preserve"> </w:t>
      </w:r>
      <w:r w:rsidRPr="007C1B64">
        <w:rPr>
          <w:rFonts w:cs="Arial"/>
          <w:szCs w:val="24"/>
          <w:lang w:eastAsia="fr-CA"/>
        </w:rPr>
        <w:t>due de</w:t>
      </w:r>
      <w:r w:rsidR="00D90D4F">
        <w:rPr>
          <w:rFonts w:cs="Arial"/>
          <w:szCs w:val="24"/>
          <w:lang w:eastAsia="fr-CA"/>
        </w:rPr>
        <w:t> </w:t>
      </w:r>
      <w:r w:rsidRPr="007C1B64">
        <w:rPr>
          <w:rFonts w:cs="Arial"/>
          <w:szCs w:val="24"/>
          <w:lang w:eastAsia="fr-CA"/>
        </w:rPr>
        <w:t>500</w:t>
      </w:r>
      <w:r w:rsidR="007C1B64" w:rsidRPr="007C1B64">
        <w:rPr>
          <w:rFonts w:cs="Arial"/>
          <w:szCs w:val="24"/>
          <w:lang w:eastAsia="fr-CA"/>
        </w:rPr>
        <w:t> </w:t>
      </w:r>
      <w:r w:rsidRPr="007C1B64">
        <w:rPr>
          <w:rFonts w:cs="Arial"/>
          <w:szCs w:val="24"/>
          <w:lang w:eastAsia="fr-CA"/>
        </w:rPr>
        <w:t>000</w:t>
      </w:r>
      <w:r w:rsidR="007C1B64" w:rsidRPr="007C1B64">
        <w:rPr>
          <w:rFonts w:cs="Arial"/>
          <w:szCs w:val="24"/>
          <w:lang w:eastAsia="fr-CA"/>
        </w:rPr>
        <w:t> </w:t>
      </w:r>
      <w:r w:rsidRPr="007C1B64">
        <w:rPr>
          <w:rFonts w:cs="Arial"/>
          <w:szCs w:val="24"/>
          <w:lang w:eastAsia="fr-CA"/>
        </w:rPr>
        <w:t>$ à 8096</w:t>
      </w:r>
      <w:r>
        <w:rPr>
          <w:rStyle w:val="Appelnotedebasdep"/>
          <w:rFonts w:cs="Arial"/>
          <w:szCs w:val="24"/>
          <w:lang w:eastAsia="fr-CA"/>
        </w:rPr>
        <w:footnoteReference w:id="321"/>
      </w:r>
      <w:r w:rsidRPr="007C1B64">
        <w:rPr>
          <w:rFonts w:cs="Arial"/>
          <w:szCs w:val="24"/>
          <w:lang w:eastAsia="fr-CA"/>
        </w:rPr>
        <w:t>, bien que cette dernière ne détienne</w:t>
      </w:r>
      <w:r w:rsidR="007C1B64" w:rsidRPr="007C1B64">
        <w:rPr>
          <w:rFonts w:cs="Arial"/>
          <w:szCs w:val="24"/>
          <w:lang w:eastAsia="fr-CA"/>
        </w:rPr>
        <w:t xml:space="preserve"> </w:t>
      </w:r>
      <w:r w:rsidRPr="007C1B64">
        <w:rPr>
          <w:rFonts w:cs="Arial"/>
          <w:szCs w:val="24"/>
          <w:lang w:eastAsia="fr-CA"/>
        </w:rPr>
        <w:t>aucun intérêt dans cette société</w:t>
      </w:r>
      <w:r>
        <w:rPr>
          <w:rStyle w:val="Appelnotedebasdep"/>
          <w:rFonts w:cs="Arial"/>
          <w:szCs w:val="24"/>
          <w:lang w:eastAsia="fr-CA"/>
        </w:rPr>
        <w:footnoteReference w:id="322"/>
      </w:r>
      <w:r w:rsidRPr="007C1B64">
        <w:rPr>
          <w:rFonts w:eastAsia="ArialMT" w:cs="Arial"/>
          <w:szCs w:val="24"/>
          <w:lang w:eastAsia="fr-CA"/>
        </w:rPr>
        <w:t>, démontrant ainsi que Giroux utilise l’argent et</w:t>
      </w:r>
      <w:r w:rsidR="007C1B64">
        <w:rPr>
          <w:rFonts w:eastAsia="ArialMT" w:cs="Arial"/>
          <w:szCs w:val="24"/>
          <w:lang w:eastAsia="fr-CA"/>
        </w:rPr>
        <w:t xml:space="preserve"> </w:t>
      </w:r>
      <w:r w:rsidRPr="007C1B64">
        <w:rPr>
          <w:rFonts w:eastAsia="ArialMT" w:cs="Arial"/>
          <w:szCs w:val="24"/>
          <w:lang w:eastAsia="fr-CA"/>
        </w:rPr>
        <w:t>les biens de toutes ses sociétés comme si elles n’en étaient qu’une seule.</w:t>
      </w:r>
    </w:p>
    <w:p w14:paraId="495953E3" w14:textId="77777777" w:rsidR="001E1A02" w:rsidRDefault="00730A01">
      <w:pPr>
        <w:rPr>
          <w:rFonts w:eastAsia="ArialMT" w:cs="Arial"/>
          <w:kern w:val="28"/>
          <w:szCs w:val="24"/>
          <w:lang w:eastAsia="fr-CA"/>
        </w:rPr>
      </w:pPr>
      <w:r>
        <w:rPr>
          <w:rFonts w:eastAsia="ArialMT" w:cs="Arial"/>
          <w:szCs w:val="24"/>
          <w:lang w:eastAsia="fr-CA"/>
        </w:rPr>
        <w:br w:type="page"/>
      </w:r>
    </w:p>
    <w:p w14:paraId="02F41A5D" w14:textId="77777777" w:rsidR="00852048" w:rsidRPr="007C1B64" w:rsidRDefault="00730A01" w:rsidP="0098012F">
      <w:pPr>
        <w:pStyle w:val="Paragraphe"/>
        <w:tabs>
          <w:tab w:val="clear" w:pos="786"/>
        </w:tabs>
        <w:autoSpaceDE w:val="0"/>
        <w:autoSpaceDN w:val="0"/>
        <w:adjustRightInd w:val="0"/>
        <w:spacing w:line="240" w:lineRule="auto"/>
        <w:ind w:left="0"/>
        <w:rPr>
          <w:rFonts w:cs="Arial"/>
          <w:szCs w:val="24"/>
        </w:rPr>
      </w:pPr>
      <w:r w:rsidRPr="007C1B64">
        <w:rPr>
          <w:rFonts w:eastAsia="ArialMT" w:cs="Arial"/>
          <w:szCs w:val="24"/>
          <w:lang w:eastAsia="fr-CA"/>
        </w:rPr>
        <w:t>Rappelons aussi l’existence des remboursements irréguliers sur les prêts P04</w:t>
      </w:r>
      <w:r w:rsidR="007C1B64" w:rsidRPr="007C1B64">
        <w:rPr>
          <w:rFonts w:cs="Arial"/>
          <w:szCs w:val="24"/>
          <w:lang w:eastAsia="fr-CA"/>
        </w:rPr>
        <w:noBreakHyphen/>
      </w:r>
      <w:r w:rsidRPr="007C1B64">
        <w:rPr>
          <w:rFonts w:cs="Arial"/>
          <w:szCs w:val="24"/>
          <w:lang w:eastAsia="fr-CA"/>
        </w:rPr>
        <w:t>05</w:t>
      </w:r>
      <w:r w:rsidR="007C1B64" w:rsidRPr="007C1B64">
        <w:rPr>
          <w:rFonts w:cs="Arial"/>
          <w:szCs w:val="24"/>
          <w:lang w:eastAsia="fr-CA"/>
        </w:rPr>
        <w:noBreakHyphen/>
      </w:r>
      <w:r w:rsidRPr="007C1B64">
        <w:rPr>
          <w:rFonts w:cs="Arial"/>
          <w:szCs w:val="24"/>
          <w:lang w:eastAsia="fr-CA"/>
        </w:rPr>
        <w:t>09</w:t>
      </w:r>
      <w:r w:rsidR="007C1B64" w:rsidRPr="007C1B64">
        <w:rPr>
          <w:rFonts w:cs="Arial"/>
          <w:szCs w:val="24"/>
          <w:lang w:eastAsia="fr-CA"/>
        </w:rPr>
        <w:noBreakHyphen/>
      </w:r>
      <w:r w:rsidRPr="007C1B64">
        <w:rPr>
          <w:rFonts w:cs="Arial"/>
          <w:szCs w:val="24"/>
          <w:lang w:eastAsia="fr-CA"/>
        </w:rPr>
        <w:t>27 (Morille) et P040 (Aventura IX) de Q</w:t>
      </w:r>
      <w:r w:rsidR="00E8523A">
        <w:rPr>
          <w:rFonts w:cs="Arial"/>
          <w:szCs w:val="24"/>
          <w:lang w:eastAsia="fr-CA"/>
        </w:rPr>
        <w:noBreakHyphen/>
      </w:r>
      <w:r w:rsidRPr="007C1B64">
        <w:rPr>
          <w:rFonts w:cs="Arial"/>
          <w:szCs w:val="24"/>
          <w:lang w:eastAsia="fr-CA"/>
        </w:rPr>
        <w:t>12, dans lesquels 9797, 1395, X2, 6646</w:t>
      </w:r>
      <w:r w:rsidR="007C1B64" w:rsidRPr="007C1B64">
        <w:rPr>
          <w:rFonts w:cs="Arial"/>
          <w:szCs w:val="24"/>
          <w:lang w:eastAsia="fr-CA"/>
        </w:rPr>
        <w:t xml:space="preserve"> </w:t>
      </w:r>
      <w:r w:rsidRPr="007C1B64">
        <w:rPr>
          <w:rFonts w:cs="Arial"/>
          <w:szCs w:val="24"/>
          <w:lang w:eastAsia="fr-CA"/>
        </w:rPr>
        <w:t>et 8096 ont joué un rôle essentiel</w:t>
      </w:r>
      <w:r>
        <w:rPr>
          <w:rStyle w:val="Appelnotedebasdep"/>
          <w:rFonts w:cs="Arial"/>
          <w:szCs w:val="24"/>
          <w:lang w:eastAsia="fr-CA"/>
        </w:rPr>
        <w:footnoteReference w:id="323"/>
      </w:r>
      <w:r w:rsidRPr="007C1B64">
        <w:rPr>
          <w:rFonts w:cs="Arial"/>
          <w:szCs w:val="24"/>
          <w:lang w:eastAsia="fr-CA"/>
        </w:rPr>
        <w:t xml:space="preserve">, et qui démontrent </w:t>
      </w:r>
      <w:r w:rsidRPr="007C1B64">
        <w:rPr>
          <w:rFonts w:eastAsia="ArialMT" w:cs="Arial"/>
          <w:szCs w:val="24"/>
          <w:lang w:eastAsia="fr-CA"/>
        </w:rPr>
        <w:t>d’autant plus que l’argent</w:t>
      </w:r>
      <w:r w:rsidR="007C1B64" w:rsidRPr="007C1B64">
        <w:rPr>
          <w:rFonts w:eastAsia="ArialMT" w:cs="Arial"/>
          <w:szCs w:val="24"/>
          <w:lang w:eastAsia="fr-CA"/>
        </w:rPr>
        <w:t xml:space="preserve"> </w:t>
      </w:r>
      <w:r w:rsidRPr="007C1B64">
        <w:rPr>
          <w:rFonts w:eastAsia="ArialMT" w:cs="Arial"/>
          <w:szCs w:val="24"/>
          <w:lang w:eastAsia="fr-CA"/>
        </w:rPr>
        <w:t>circule librement au sein des sociétés défenderesses et qu’elles sont toutes l’alter</w:t>
      </w:r>
      <w:r w:rsidR="007C1B64">
        <w:rPr>
          <w:rFonts w:eastAsia="ArialMT" w:cs="Arial"/>
          <w:szCs w:val="24"/>
          <w:lang w:eastAsia="fr-CA"/>
        </w:rPr>
        <w:t xml:space="preserve"> </w:t>
      </w:r>
      <w:r w:rsidRPr="007C1B64">
        <w:rPr>
          <w:rFonts w:eastAsia="ArialMT" w:cs="Arial"/>
          <w:szCs w:val="24"/>
          <w:lang w:eastAsia="fr-CA"/>
        </w:rPr>
        <w:t>ego l’une de l’autre</w:t>
      </w:r>
      <w:r w:rsidR="00D90D4F">
        <w:rPr>
          <w:rFonts w:cs="Arial"/>
          <w:szCs w:val="24"/>
          <w:lang w:eastAsia="fr-CA"/>
        </w:rPr>
        <w:t>.</w:t>
      </w:r>
    </w:p>
    <w:p w14:paraId="69A40EAA" w14:textId="77777777" w:rsidR="007A6C58" w:rsidRPr="00CA6079" w:rsidRDefault="00730A01" w:rsidP="0098012F">
      <w:pPr>
        <w:pStyle w:val="Paragraphe"/>
        <w:tabs>
          <w:tab w:val="clear" w:pos="786"/>
        </w:tabs>
        <w:spacing w:line="240" w:lineRule="auto"/>
        <w:ind w:left="0"/>
        <w:rPr>
          <w:lang w:eastAsia="fr-CA"/>
        </w:rPr>
      </w:pPr>
      <w:r>
        <w:rPr>
          <w:lang w:eastAsia="fr-CA"/>
        </w:rPr>
        <w:t>L</w:t>
      </w:r>
      <w:r w:rsidRPr="00CA6079">
        <w:rPr>
          <w:lang w:eastAsia="fr-CA"/>
        </w:rPr>
        <w:t>e recours à la levée du voile corporatif s’avère donc justifié et nécessaire en raison du caractère abusif, frauduleux et insincère de l’utilisation faite des entités corporatives concernées. Elle doit s’opérer en faveur des commanditaires et des sociétés en commandite FIISH et Q-12, et à l’encontre de l’ensemble des sociétés défenderesses contrôlées par Giroux, soit</w:t>
      </w:r>
      <w:r w:rsidR="00D90D4F">
        <w:rPr>
          <w:lang w:eastAsia="fr-CA"/>
        </w:rPr>
        <w:t> </w:t>
      </w:r>
      <w:r w:rsidRPr="00CA6079">
        <w:rPr>
          <w:lang w:eastAsia="fr-CA"/>
        </w:rPr>
        <w:t>:</w:t>
      </w:r>
    </w:p>
    <w:p w14:paraId="55D38865" w14:textId="77777777" w:rsidR="007A6C58" w:rsidRPr="005F709E" w:rsidRDefault="00730A01" w:rsidP="0042740E">
      <w:pPr>
        <w:pStyle w:val="Citationenretrait"/>
        <w:numPr>
          <w:ilvl w:val="0"/>
          <w:numId w:val="19"/>
        </w:numPr>
        <w:spacing w:after="0"/>
        <w:ind w:left="993" w:right="0" w:hanging="284"/>
        <w:rPr>
          <w:sz w:val="24"/>
          <w:szCs w:val="24"/>
          <w:lang w:eastAsia="fr-CA"/>
        </w:rPr>
      </w:pPr>
      <w:r w:rsidRPr="005F709E">
        <w:rPr>
          <w:sz w:val="24"/>
          <w:szCs w:val="24"/>
          <w:lang w:eastAsia="fr-CA"/>
        </w:rPr>
        <w:t>9355-9797 Québec inc. (« 9797 »)</w:t>
      </w:r>
      <w:r w:rsidR="004F1FCF">
        <w:rPr>
          <w:sz w:val="24"/>
          <w:szCs w:val="24"/>
          <w:lang w:eastAsia="fr-CA"/>
        </w:rPr>
        <w:t>;</w:t>
      </w:r>
    </w:p>
    <w:p w14:paraId="2F24661B" w14:textId="77777777" w:rsidR="007A6C58" w:rsidRPr="005F709E" w:rsidRDefault="00730A01" w:rsidP="0042740E">
      <w:pPr>
        <w:pStyle w:val="Citationenretrait"/>
        <w:numPr>
          <w:ilvl w:val="0"/>
          <w:numId w:val="19"/>
        </w:numPr>
        <w:spacing w:after="0"/>
        <w:ind w:left="993" w:right="0" w:hanging="284"/>
        <w:rPr>
          <w:sz w:val="24"/>
          <w:szCs w:val="24"/>
          <w:lang w:eastAsia="fr-CA"/>
        </w:rPr>
      </w:pPr>
      <w:r w:rsidRPr="005F709E">
        <w:rPr>
          <w:sz w:val="24"/>
          <w:szCs w:val="24"/>
          <w:lang w:eastAsia="fr-CA"/>
        </w:rPr>
        <w:t>9416-1395 Québec inc. (« 1395 »)</w:t>
      </w:r>
      <w:r w:rsidR="004F1FCF">
        <w:rPr>
          <w:sz w:val="24"/>
          <w:szCs w:val="24"/>
          <w:lang w:eastAsia="fr-CA"/>
        </w:rPr>
        <w:t>;</w:t>
      </w:r>
    </w:p>
    <w:p w14:paraId="226DE45D" w14:textId="77777777" w:rsidR="007A6C58" w:rsidRPr="005F709E" w:rsidRDefault="00730A01" w:rsidP="0042740E">
      <w:pPr>
        <w:pStyle w:val="Citationenretrait"/>
        <w:numPr>
          <w:ilvl w:val="0"/>
          <w:numId w:val="19"/>
        </w:numPr>
        <w:spacing w:after="0"/>
        <w:ind w:left="993" w:right="0" w:hanging="284"/>
        <w:rPr>
          <w:sz w:val="24"/>
          <w:szCs w:val="24"/>
          <w:lang w:eastAsia="fr-CA"/>
        </w:rPr>
      </w:pPr>
      <w:r w:rsidRPr="005F709E">
        <w:rPr>
          <w:sz w:val="24"/>
          <w:szCs w:val="24"/>
          <w:lang w:eastAsia="fr-CA"/>
        </w:rPr>
        <w:t>X2 Capital inc. (« X2 »)</w:t>
      </w:r>
      <w:r w:rsidR="004F1FCF">
        <w:rPr>
          <w:sz w:val="24"/>
          <w:szCs w:val="24"/>
          <w:lang w:eastAsia="fr-CA"/>
        </w:rPr>
        <w:t>;</w:t>
      </w:r>
    </w:p>
    <w:p w14:paraId="6CDE935B" w14:textId="77777777" w:rsidR="007A6C58" w:rsidRPr="005F709E" w:rsidRDefault="00730A01" w:rsidP="0042740E">
      <w:pPr>
        <w:pStyle w:val="Citationenretrait"/>
        <w:numPr>
          <w:ilvl w:val="0"/>
          <w:numId w:val="19"/>
        </w:numPr>
        <w:spacing w:after="0"/>
        <w:ind w:left="993" w:right="0" w:hanging="284"/>
        <w:rPr>
          <w:sz w:val="24"/>
          <w:szCs w:val="24"/>
          <w:lang w:eastAsia="fr-CA"/>
        </w:rPr>
      </w:pPr>
      <w:r w:rsidRPr="005F709E">
        <w:rPr>
          <w:sz w:val="24"/>
          <w:szCs w:val="24"/>
          <w:lang w:eastAsia="fr-CA"/>
        </w:rPr>
        <w:t>9355-8096 Québec inc. (« 8096 »)</w:t>
      </w:r>
      <w:r w:rsidR="004F1FCF">
        <w:rPr>
          <w:sz w:val="24"/>
          <w:szCs w:val="24"/>
          <w:lang w:eastAsia="fr-CA"/>
        </w:rPr>
        <w:t>;</w:t>
      </w:r>
    </w:p>
    <w:p w14:paraId="31C80684" w14:textId="77777777" w:rsidR="007A6C58" w:rsidRPr="005F709E" w:rsidRDefault="00730A01" w:rsidP="0042740E">
      <w:pPr>
        <w:pStyle w:val="Citationenretrait"/>
        <w:numPr>
          <w:ilvl w:val="0"/>
          <w:numId w:val="19"/>
        </w:numPr>
        <w:spacing w:after="0"/>
        <w:ind w:left="993" w:right="0" w:hanging="284"/>
        <w:rPr>
          <w:sz w:val="24"/>
          <w:szCs w:val="24"/>
          <w:lang w:eastAsia="fr-CA"/>
        </w:rPr>
      </w:pPr>
      <w:r w:rsidRPr="005F709E">
        <w:rPr>
          <w:sz w:val="24"/>
          <w:szCs w:val="24"/>
          <w:lang w:eastAsia="fr-CA"/>
        </w:rPr>
        <w:t>9180-6646 Québec inc. (« 6646 »)</w:t>
      </w:r>
      <w:r w:rsidR="004F1FCF">
        <w:rPr>
          <w:sz w:val="24"/>
          <w:szCs w:val="24"/>
          <w:lang w:eastAsia="fr-CA"/>
        </w:rPr>
        <w:t>;</w:t>
      </w:r>
    </w:p>
    <w:p w14:paraId="61AEC48D" w14:textId="77777777" w:rsidR="007A6C58" w:rsidRPr="005F709E" w:rsidRDefault="00730A01" w:rsidP="0042740E">
      <w:pPr>
        <w:pStyle w:val="Citationenretrait"/>
        <w:numPr>
          <w:ilvl w:val="0"/>
          <w:numId w:val="19"/>
        </w:numPr>
        <w:spacing w:after="0"/>
        <w:ind w:left="993" w:right="0" w:hanging="284"/>
        <w:rPr>
          <w:sz w:val="24"/>
          <w:szCs w:val="24"/>
          <w:lang w:eastAsia="fr-CA"/>
        </w:rPr>
      </w:pPr>
      <w:r w:rsidRPr="005F709E">
        <w:rPr>
          <w:sz w:val="24"/>
          <w:szCs w:val="24"/>
          <w:lang w:eastAsia="fr-CA"/>
        </w:rPr>
        <w:t>ainsi que Giroux personnellement.</w:t>
      </w:r>
    </w:p>
    <w:p w14:paraId="08B743D2" w14:textId="77777777" w:rsidR="007A6C58" w:rsidRPr="008F1B53" w:rsidRDefault="00730A01" w:rsidP="001E1A02">
      <w:pPr>
        <w:pStyle w:val="Paragraphe"/>
        <w:tabs>
          <w:tab w:val="clear" w:pos="786"/>
        </w:tabs>
        <w:spacing w:after="0" w:line="240" w:lineRule="auto"/>
        <w:ind w:left="0"/>
        <w:rPr>
          <w:rFonts w:cs="Arial"/>
          <w:szCs w:val="24"/>
          <w:lang w:eastAsia="fr-CA"/>
        </w:rPr>
      </w:pPr>
      <w:r w:rsidRPr="00CA6079">
        <w:rPr>
          <w:lang w:eastAsia="fr-CA"/>
        </w:rPr>
        <w:t>Le voile corporatif sera ainsi levé entre les entités précitées et Giroux, dans la mesure où elles ont toutes été utilisées comme des instruments de fraude ou d’abus de droit. Il s’agit d’une levée du voile vers le haut, c’est-à-dire pour atteindre la personne physique contrôlant les sociétés et les faire répondre des dommages</w:t>
      </w:r>
      <w:r w:rsidR="00700971">
        <w:rPr>
          <w:lang w:eastAsia="fr-CA"/>
        </w:rPr>
        <w:t>.</w:t>
      </w:r>
    </w:p>
    <w:p w14:paraId="79B186A8" w14:textId="77777777" w:rsidR="008F1B53" w:rsidRPr="00E8523A" w:rsidRDefault="00730A01" w:rsidP="001E1A02">
      <w:pPr>
        <w:pStyle w:val="Paragraphe"/>
        <w:numPr>
          <w:ilvl w:val="0"/>
          <w:numId w:val="0"/>
        </w:numPr>
        <w:tabs>
          <w:tab w:val="left" w:pos="3686"/>
        </w:tabs>
        <w:spacing w:line="240" w:lineRule="auto"/>
        <w:rPr>
          <w:lang w:eastAsia="fr-CA"/>
        </w:rPr>
      </w:pPr>
      <w:r>
        <w:rPr>
          <w:b/>
          <w:bCs/>
          <w:lang w:eastAsia="fr-CA"/>
        </w:rPr>
        <w:tab/>
      </w:r>
      <w:r w:rsidRPr="00E8523A">
        <w:rPr>
          <w:lang w:eastAsia="fr-CA"/>
        </w:rPr>
        <w:t>* * *</w:t>
      </w:r>
    </w:p>
    <w:p w14:paraId="2A87E427" w14:textId="77777777" w:rsidR="008F1B53" w:rsidRDefault="00730A01" w:rsidP="0098012F">
      <w:pPr>
        <w:rPr>
          <w:kern w:val="28"/>
          <w:lang w:eastAsia="fr-CA"/>
        </w:rPr>
      </w:pPr>
      <w:r>
        <w:rPr>
          <w:lang w:eastAsia="fr-CA"/>
        </w:rPr>
        <w:br w:type="page"/>
      </w:r>
    </w:p>
    <w:p w14:paraId="3A486F3B" w14:textId="77777777" w:rsidR="007A6C58" w:rsidRPr="00233907" w:rsidRDefault="00730A01" w:rsidP="00443B59">
      <w:pPr>
        <w:pStyle w:val="Titre2"/>
        <w:numPr>
          <w:ilvl w:val="0"/>
          <w:numId w:val="95"/>
        </w:numPr>
        <w:ind w:left="567" w:hanging="567"/>
        <w:jc w:val="both"/>
        <w:rPr>
          <w:smallCaps/>
          <w:szCs w:val="24"/>
        </w:rPr>
      </w:pPr>
      <w:r w:rsidRPr="00233907">
        <w:rPr>
          <w:smallCaps/>
          <w:szCs w:val="24"/>
        </w:rPr>
        <w:t>La qua</w:t>
      </w:r>
      <w:r w:rsidR="007379AA" w:rsidRPr="00233907">
        <w:rPr>
          <w:smallCaps/>
          <w:szCs w:val="24"/>
        </w:rPr>
        <w:t>n</w:t>
      </w:r>
      <w:r w:rsidRPr="00233907">
        <w:rPr>
          <w:smallCaps/>
          <w:szCs w:val="24"/>
        </w:rPr>
        <w:t>tification des dommages subis par les Demandeurs</w:t>
      </w:r>
    </w:p>
    <w:p w14:paraId="07DFF3B8" w14:textId="77777777" w:rsidR="007A6C58" w:rsidRPr="00CA6079" w:rsidRDefault="00730A01" w:rsidP="009769B6">
      <w:pPr>
        <w:pStyle w:val="Paragraphe"/>
        <w:tabs>
          <w:tab w:val="clear" w:pos="786"/>
        </w:tabs>
        <w:spacing w:after="0" w:line="240" w:lineRule="auto"/>
        <w:ind w:left="0"/>
        <w:rPr>
          <w:lang w:eastAsia="fr-CA"/>
        </w:rPr>
      </w:pPr>
      <w:r w:rsidRPr="00CA6079">
        <w:rPr>
          <w:lang w:eastAsia="fr-CA"/>
        </w:rPr>
        <w:t xml:space="preserve">Le quantum des dommages réclamés par les Demandeurs est </w:t>
      </w:r>
      <w:r w:rsidR="00540E1F">
        <w:rPr>
          <w:lang w:eastAsia="fr-CA"/>
        </w:rPr>
        <w:t>de</w:t>
      </w:r>
      <w:r w:rsidR="004F1FCF">
        <w:rPr>
          <w:lang w:eastAsia="fr-CA"/>
        </w:rPr>
        <w:t xml:space="preserve"> </w:t>
      </w:r>
      <w:r w:rsidR="00540E1F">
        <w:rPr>
          <w:lang w:eastAsia="fr-CA"/>
        </w:rPr>
        <w:t>128 57</w:t>
      </w:r>
      <w:r w:rsidR="00115996">
        <w:rPr>
          <w:lang w:eastAsia="fr-CA"/>
        </w:rPr>
        <w:t>6</w:t>
      </w:r>
      <w:r w:rsidR="00540E1F">
        <w:rPr>
          <w:lang w:eastAsia="fr-CA"/>
        </w:rPr>
        <w:t> 494 $</w:t>
      </w:r>
      <w:r w:rsidR="004F1FCF">
        <w:rPr>
          <w:lang w:eastAsia="fr-CA"/>
        </w:rPr>
        <w:t>,</w:t>
      </w:r>
      <w:r w:rsidRPr="00CA6079">
        <w:rPr>
          <w:lang w:eastAsia="fr-CA"/>
        </w:rPr>
        <w:t xml:space="preserve"> soit</w:t>
      </w:r>
      <w:r w:rsidR="004F1FCF">
        <w:rPr>
          <w:lang w:eastAsia="fr-CA"/>
        </w:rPr>
        <w:t> </w:t>
      </w:r>
      <w:r w:rsidRPr="00CA6079">
        <w:rPr>
          <w:lang w:eastAsia="fr-CA"/>
        </w:rPr>
        <w:t>:</w:t>
      </w:r>
    </w:p>
    <w:p w14:paraId="35957FAF" w14:textId="77777777" w:rsidR="007A6C58" w:rsidRPr="0085388E" w:rsidRDefault="00730A01" w:rsidP="000048AF">
      <w:pPr>
        <w:numPr>
          <w:ilvl w:val="0"/>
          <w:numId w:val="5"/>
        </w:numPr>
        <w:spacing w:before="120" w:after="100" w:afterAutospacing="1"/>
        <w:ind w:left="993" w:hanging="284"/>
        <w:jc w:val="both"/>
        <w:rPr>
          <w:rFonts w:cs="Arial"/>
          <w:szCs w:val="24"/>
          <w:lang w:eastAsia="fr-CA"/>
        </w:rPr>
      </w:pPr>
      <w:r w:rsidRPr="0085388E">
        <w:rPr>
          <w:rFonts w:cs="Arial"/>
          <w:szCs w:val="24"/>
          <w:lang w:eastAsia="fr-CA"/>
        </w:rPr>
        <w:t>73 024 119 $ dans le dossier FIISH</w:t>
      </w:r>
      <w:r w:rsidR="004F1FCF">
        <w:rPr>
          <w:rFonts w:cs="Arial"/>
          <w:szCs w:val="24"/>
          <w:lang w:eastAsia="fr-CA"/>
        </w:rPr>
        <w:t>;</w:t>
      </w:r>
    </w:p>
    <w:p w14:paraId="43502C00" w14:textId="77777777" w:rsidR="007A6C58" w:rsidRPr="0085388E" w:rsidRDefault="00730A01" w:rsidP="0098012F">
      <w:pPr>
        <w:numPr>
          <w:ilvl w:val="0"/>
          <w:numId w:val="5"/>
        </w:numPr>
        <w:spacing w:before="100" w:beforeAutospacing="1" w:after="100" w:afterAutospacing="1"/>
        <w:ind w:left="993" w:hanging="283"/>
        <w:jc w:val="both"/>
        <w:rPr>
          <w:rFonts w:cs="Arial"/>
          <w:szCs w:val="24"/>
          <w:lang w:eastAsia="fr-CA"/>
        </w:rPr>
      </w:pPr>
      <w:r w:rsidRPr="0085388E">
        <w:rPr>
          <w:rFonts w:cs="Arial"/>
          <w:szCs w:val="24"/>
          <w:lang w:eastAsia="fr-CA"/>
        </w:rPr>
        <w:t>55 552 375</w:t>
      </w:r>
      <w:r w:rsidR="00033BE7" w:rsidRPr="0085388E">
        <w:rPr>
          <w:rFonts w:cs="Arial"/>
          <w:szCs w:val="24"/>
          <w:lang w:eastAsia="fr-CA"/>
        </w:rPr>
        <w:t> </w:t>
      </w:r>
      <w:r w:rsidRPr="0085388E">
        <w:rPr>
          <w:rFonts w:cs="Arial"/>
          <w:szCs w:val="24"/>
          <w:lang w:eastAsia="fr-CA"/>
        </w:rPr>
        <w:t>$ dans le dossier Q-12</w:t>
      </w:r>
      <w:r w:rsidR="004F1FCF">
        <w:rPr>
          <w:rFonts w:cs="Arial"/>
          <w:szCs w:val="24"/>
          <w:lang w:eastAsia="fr-CA"/>
        </w:rPr>
        <w:t>.</w:t>
      </w:r>
    </w:p>
    <w:p w14:paraId="75B4C427" w14:textId="77777777" w:rsidR="007A6C58" w:rsidRPr="005F709E" w:rsidRDefault="00730A01" w:rsidP="005F709E">
      <w:pPr>
        <w:pStyle w:val="Paragraphedeliste"/>
        <w:numPr>
          <w:ilvl w:val="2"/>
          <w:numId w:val="5"/>
        </w:numPr>
        <w:spacing w:before="100" w:beforeAutospacing="1" w:after="100" w:afterAutospacing="1"/>
        <w:ind w:left="284" w:hanging="284"/>
        <w:outlineLvl w:val="1"/>
        <w:rPr>
          <w:rFonts w:cs="Arial"/>
          <w:b/>
          <w:bCs/>
          <w:szCs w:val="24"/>
          <w:lang w:eastAsia="fr-CA"/>
        </w:rPr>
      </w:pPr>
      <w:bookmarkStart w:id="110" w:name="_Toc211495247"/>
      <w:bookmarkStart w:id="111" w:name="_Toc211600656"/>
      <w:r w:rsidRPr="005F709E">
        <w:rPr>
          <w:rFonts w:cs="Arial"/>
          <w:b/>
          <w:bCs/>
          <w:szCs w:val="24"/>
          <w:lang w:eastAsia="fr-CA"/>
        </w:rPr>
        <w:t xml:space="preserve">Quantification des dommages - </w:t>
      </w:r>
      <w:r w:rsidR="00540E1F" w:rsidRPr="005F709E">
        <w:rPr>
          <w:rFonts w:cs="Arial"/>
          <w:b/>
          <w:bCs/>
          <w:szCs w:val="24"/>
          <w:lang w:eastAsia="fr-CA"/>
        </w:rPr>
        <w:t>FIISH</w:t>
      </w:r>
      <w:bookmarkEnd w:id="110"/>
      <w:bookmarkEnd w:id="111"/>
    </w:p>
    <w:p w14:paraId="32D6094D" w14:textId="77777777" w:rsidR="007A6C58" w:rsidRPr="00540E1F" w:rsidRDefault="00730A01" w:rsidP="0098012F">
      <w:pPr>
        <w:pStyle w:val="Paragraphe"/>
        <w:tabs>
          <w:tab w:val="clear" w:pos="786"/>
        </w:tabs>
        <w:spacing w:line="240" w:lineRule="auto"/>
        <w:ind w:left="0"/>
        <w:rPr>
          <w:lang w:eastAsia="fr-CA"/>
        </w:rPr>
      </w:pPr>
      <w:r w:rsidRPr="00CA6079">
        <w:rPr>
          <w:lang w:eastAsia="fr-CA"/>
        </w:rPr>
        <w:t>Les pertes nettes totales subies par les Demandeurs</w:t>
      </w:r>
      <w:r w:rsidR="00540E1F">
        <w:rPr>
          <w:lang w:eastAsia="fr-CA"/>
        </w:rPr>
        <w:t xml:space="preserve"> dans le dossier FIISH</w:t>
      </w:r>
      <w:r w:rsidRPr="00CA6079">
        <w:rPr>
          <w:lang w:eastAsia="fr-CA"/>
        </w:rPr>
        <w:t>, selon le rapport d’expertise de KPMG</w:t>
      </w:r>
      <w:r>
        <w:rPr>
          <w:rStyle w:val="Appelnotedebasdep"/>
          <w:lang w:eastAsia="fr-CA"/>
        </w:rPr>
        <w:footnoteReference w:id="324"/>
      </w:r>
      <w:r w:rsidRPr="00CA6079">
        <w:rPr>
          <w:lang w:eastAsia="fr-CA"/>
        </w:rPr>
        <w:t>, se ventilent comme suit</w:t>
      </w:r>
      <w:r w:rsidR="004F1FCF">
        <w:rPr>
          <w:lang w:eastAsia="fr-CA"/>
        </w:rPr>
        <w:t> </w:t>
      </w:r>
      <w:r w:rsidRPr="00CA6079">
        <w:rPr>
          <w:lang w:eastAsia="fr-CA"/>
        </w:rPr>
        <w:t>:</w:t>
      </w:r>
    </w:p>
    <w:p w14:paraId="582F8FA2" w14:textId="77777777" w:rsidR="007A6C58" w:rsidRPr="00CA6079" w:rsidRDefault="00730A01" w:rsidP="007E2540">
      <w:pPr>
        <w:numPr>
          <w:ilvl w:val="1"/>
          <w:numId w:val="7"/>
        </w:numPr>
        <w:spacing w:before="100" w:beforeAutospacing="1" w:after="100" w:afterAutospacing="1"/>
        <w:ind w:left="993"/>
        <w:jc w:val="both"/>
        <w:rPr>
          <w:rFonts w:cs="Arial"/>
          <w:szCs w:val="24"/>
          <w:lang w:eastAsia="fr-CA"/>
        </w:rPr>
      </w:pPr>
      <w:r w:rsidRPr="00540E1F">
        <w:rPr>
          <w:rFonts w:cs="Arial"/>
          <w:szCs w:val="24"/>
          <w:lang w:eastAsia="fr-CA"/>
        </w:rPr>
        <w:t>73</w:t>
      </w:r>
      <w:r w:rsidR="00924E75" w:rsidRPr="00540E1F">
        <w:rPr>
          <w:rFonts w:cs="Arial"/>
          <w:szCs w:val="24"/>
          <w:lang w:eastAsia="fr-CA"/>
        </w:rPr>
        <w:t> </w:t>
      </w:r>
      <w:r w:rsidRPr="00540E1F">
        <w:rPr>
          <w:rFonts w:cs="Arial"/>
          <w:szCs w:val="24"/>
          <w:lang w:eastAsia="fr-CA"/>
        </w:rPr>
        <w:t>024</w:t>
      </w:r>
      <w:r w:rsidR="00924E75" w:rsidRPr="00540E1F">
        <w:rPr>
          <w:rFonts w:cs="Arial"/>
          <w:szCs w:val="24"/>
          <w:lang w:eastAsia="fr-CA"/>
        </w:rPr>
        <w:t> </w:t>
      </w:r>
      <w:r w:rsidRPr="00540E1F">
        <w:rPr>
          <w:rFonts w:cs="Arial"/>
          <w:szCs w:val="24"/>
          <w:lang w:eastAsia="fr-CA"/>
        </w:rPr>
        <w:t>119</w:t>
      </w:r>
      <w:r w:rsidR="00924E75" w:rsidRPr="00540E1F">
        <w:rPr>
          <w:rFonts w:cs="Arial"/>
          <w:szCs w:val="24"/>
          <w:lang w:eastAsia="fr-CA"/>
        </w:rPr>
        <w:t> </w:t>
      </w:r>
      <w:r w:rsidRPr="00540E1F">
        <w:rPr>
          <w:rFonts w:cs="Arial"/>
          <w:szCs w:val="24"/>
          <w:lang w:eastAsia="fr-CA"/>
        </w:rPr>
        <w:t>$</w:t>
      </w:r>
      <w:r w:rsidRPr="00CA6079">
        <w:rPr>
          <w:rFonts w:cs="Arial"/>
          <w:szCs w:val="24"/>
          <w:lang w:eastAsia="fr-CA"/>
        </w:rPr>
        <w:t xml:space="preserve"> (montant global pour la société en commandite) </w:t>
      </w:r>
      <w:r w:rsidR="00540E1F">
        <w:rPr>
          <w:rFonts w:cs="Arial"/>
          <w:szCs w:val="24"/>
          <w:lang w:eastAsia="fr-CA"/>
        </w:rPr>
        <w:t>plus les intérêts pour la société en commandite</w:t>
      </w:r>
      <w:r w:rsidR="004F1FCF">
        <w:rPr>
          <w:rFonts w:cs="Arial"/>
          <w:szCs w:val="24"/>
          <w:lang w:eastAsia="fr-CA"/>
        </w:rPr>
        <w:t>,</w:t>
      </w:r>
      <w:r w:rsidR="00540E1F">
        <w:rPr>
          <w:rFonts w:cs="Arial"/>
          <w:szCs w:val="24"/>
          <w:lang w:eastAsia="fr-CA"/>
        </w:rPr>
        <w:t xml:space="preserve"> ou</w:t>
      </w:r>
      <w:r w:rsidR="004F1FCF">
        <w:rPr>
          <w:rFonts w:cs="Arial"/>
          <w:szCs w:val="24"/>
          <w:lang w:eastAsia="fr-CA"/>
        </w:rPr>
        <w:t>;</w:t>
      </w:r>
    </w:p>
    <w:p w14:paraId="33A630B0" w14:textId="77777777" w:rsidR="007A6C58" w:rsidRPr="00540E1F" w:rsidRDefault="00730A01" w:rsidP="007E2540">
      <w:pPr>
        <w:numPr>
          <w:ilvl w:val="1"/>
          <w:numId w:val="7"/>
        </w:numPr>
        <w:spacing w:before="100" w:beforeAutospacing="1" w:after="100" w:afterAutospacing="1"/>
        <w:ind w:left="993"/>
        <w:jc w:val="both"/>
        <w:rPr>
          <w:rFonts w:cs="Arial"/>
          <w:szCs w:val="24"/>
          <w:lang w:eastAsia="fr-CA"/>
        </w:rPr>
      </w:pPr>
      <w:r w:rsidRPr="00540E1F">
        <w:rPr>
          <w:rFonts w:cs="Arial"/>
          <w:szCs w:val="24"/>
          <w:lang w:eastAsia="fr-CA"/>
        </w:rPr>
        <w:t>58</w:t>
      </w:r>
      <w:r w:rsidR="00924E75" w:rsidRPr="00540E1F">
        <w:rPr>
          <w:rFonts w:cs="Arial"/>
          <w:szCs w:val="24"/>
          <w:lang w:eastAsia="fr-CA"/>
        </w:rPr>
        <w:t> </w:t>
      </w:r>
      <w:r w:rsidRPr="00540E1F">
        <w:rPr>
          <w:rFonts w:cs="Arial"/>
          <w:szCs w:val="24"/>
          <w:lang w:eastAsia="fr-CA"/>
        </w:rPr>
        <w:t>250</w:t>
      </w:r>
      <w:r w:rsidR="00924E75" w:rsidRPr="00540E1F">
        <w:rPr>
          <w:rFonts w:cs="Arial"/>
          <w:szCs w:val="24"/>
          <w:lang w:eastAsia="fr-CA"/>
        </w:rPr>
        <w:t> </w:t>
      </w:r>
      <w:r w:rsidRPr="00540E1F">
        <w:rPr>
          <w:rFonts w:cs="Arial"/>
          <w:szCs w:val="24"/>
          <w:lang w:eastAsia="fr-CA"/>
        </w:rPr>
        <w:t>611</w:t>
      </w:r>
      <w:r w:rsidR="00924E75" w:rsidRPr="00540E1F">
        <w:rPr>
          <w:rFonts w:cs="Arial"/>
          <w:szCs w:val="24"/>
          <w:lang w:eastAsia="fr-CA"/>
        </w:rPr>
        <w:t> </w:t>
      </w:r>
      <w:r w:rsidRPr="00540E1F">
        <w:rPr>
          <w:rFonts w:cs="Arial"/>
          <w:szCs w:val="24"/>
          <w:lang w:eastAsia="fr-CA"/>
        </w:rPr>
        <w:t>$</w:t>
      </w:r>
      <w:r w:rsidRPr="00CA6079">
        <w:rPr>
          <w:rFonts w:cs="Arial"/>
          <w:szCs w:val="24"/>
          <w:lang w:eastAsia="fr-CA"/>
        </w:rPr>
        <w:t xml:space="preserve"> (montant net pour les commanditaires),</w:t>
      </w:r>
      <w:r w:rsidR="0085388E">
        <w:rPr>
          <w:rFonts w:cs="Arial"/>
          <w:szCs w:val="24"/>
          <w:lang w:eastAsia="fr-CA"/>
        </w:rPr>
        <w:t xml:space="preserve"> plus les intérêts pour les commanditaires</w:t>
      </w:r>
      <w:r w:rsidR="004F1FCF">
        <w:rPr>
          <w:rFonts w:cs="Arial"/>
          <w:szCs w:val="24"/>
          <w:lang w:eastAsia="fr-CA"/>
        </w:rPr>
        <w:t>.</w:t>
      </w:r>
      <w:r w:rsidRPr="00CA6079">
        <w:rPr>
          <w:rFonts w:cs="Arial"/>
          <w:szCs w:val="24"/>
          <w:lang w:eastAsia="fr-CA"/>
        </w:rPr>
        <w:t xml:space="preserve"> </w:t>
      </w:r>
    </w:p>
    <w:p w14:paraId="09A6ACED" w14:textId="77777777" w:rsidR="00540E1F" w:rsidRPr="00540E1F" w:rsidRDefault="00730A01" w:rsidP="0098012F">
      <w:pPr>
        <w:rPr>
          <w:rFonts w:ascii="Times New Roman" w:hAnsi="Times New Roman"/>
          <w:szCs w:val="24"/>
          <w:lang w:eastAsia="fr-CA"/>
        </w:rPr>
      </w:pPr>
      <w:r w:rsidRPr="0085388E">
        <w:rPr>
          <w:rFonts w:ascii="Times New Roman" w:hAnsi="Times New Roman"/>
          <w:noProof/>
          <w:szCs w:val="24"/>
          <w:lang w:eastAsia="fr-CA"/>
        </w:rPr>
        <w:drawing>
          <wp:inline distT="0" distB="0" distL="0" distR="0" wp14:anchorId="124D3E42" wp14:editId="385A14E9">
            <wp:extent cx="5941390" cy="1941616"/>
            <wp:effectExtent l="0" t="0" r="2540" b="1905"/>
            <wp:docPr id="639617086" name="Image 1" descr="Une image contenant texte, capture d’écran, Polic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9535778" name="Image 1" descr="Une image contenant texte, capture d’écran, Police, ligne&#10;&#10;Le contenu généré par l’IA peut être incorrect."/>
                    <pic:cNvPicPr/>
                  </pic:nvPicPr>
                  <pic:blipFill>
                    <a:blip r:embed="rId9"/>
                    <a:stretch>
                      <a:fillRect/>
                    </a:stretch>
                  </pic:blipFill>
                  <pic:spPr>
                    <a:xfrm>
                      <a:off x="0" y="0"/>
                      <a:ext cx="6091661" cy="1990724"/>
                    </a:xfrm>
                    <a:prstGeom prst="rect">
                      <a:avLst/>
                    </a:prstGeom>
                  </pic:spPr>
                </pic:pic>
              </a:graphicData>
            </a:graphic>
          </wp:inline>
        </w:drawing>
      </w:r>
    </w:p>
    <w:p w14:paraId="5A44C388" w14:textId="77777777" w:rsidR="00882A93" w:rsidRPr="000048AF" w:rsidRDefault="00730A01" w:rsidP="00443B59">
      <w:pPr>
        <w:pStyle w:val="Titre3"/>
        <w:numPr>
          <w:ilvl w:val="0"/>
          <w:numId w:val="90"/>
        </w:numPr>
        <w:ind w:left="714" w:hanging="357"/>
        <w:rPr>
          <w:rFonts w:cs="Arial"/>
          <w:b/>
          <w:bCs/>
          <w:sz w:val="27"/>
          <w:lang w:eastAsia="fr-CA"/>
        </w:rPr>
      </w:pPr>
      <w:bookmarkStart w:id="112" w:name="_Toc211495249"/>
      <w:bookmarkStart w:id="113" w:name="_Toc211600657"/>
      <w:r w:rsidRPr="000048AF">
        <w:rPr>
          <w:rFonts w:cs="Arial"/>
          <w:b/>
          <w:bCs/>
        </w:rPr>
        <w:t>Le détail des pertes globales de FIISH</w:t>
      </w:r>
      <w:bookmarkEnd w:id="112"/>
      <w:bookmarkEnd w:id="113"/>
      <w:r w:rsidRPr="000048AF">
        <w:rPr>
          <w:rFonts w:cs="Arial"/>
          <w:b/>
          <w:bCs/>
        </w:rPr>
        <w:t xml:space="preserve"> </w:t>
      </w:r>
    </w:p>
    <w:p w14:paraId="1B0E2488" w14:textId="77777777" w:rsidR="00882A93" w:rsidRPr="000048AF" w:rsidRDefault="00730A01" w:rsidP="00882A93">
      <w:pPr>
        <w:pStyle w:val="Paragraphe"/>
        <w:tabs>
          <w:tab w:val="clear" w:pos="786"/>
        </w:tabs>
        <w:spacing w:line="240" w:lineRule="auto"/>
        <w:ind w:left="0"/>
        <w:rPr>
          <w:rFonts w:cs="Arial"/>
        </w:rPr>
      </w:pPr>
      <w:r w:rsidRPr="000048AF">
        <w:rPr>
          <w:rFonts w:cs="Arial"/>
        </w:rPr>
        <w:t>Selon KPMG, la perte globale de</w:t>
      </w:r>
      <w:r w:rsidR="004F1FCF">
        <w:rPr>
          <w:rFonts w:cs="Arial"/>
        </w:rPr>
        <w:t> </w:t>
      </w:r>
      <w:r w:rsidRPr="000048AF">
        <w:rPr>
          <w:rStyle w:val="lev"/>
          <w:rFonts w:cs="Arial"/>
          <w:b w:val="0"/>
          <w:bCs w:val="0"/>
        </w:rPr>
        <w:t>73 024 119 $</w:t>
      </w:r>
      <w:r w:rsidRPr="000048AF">
        <w:rPr>
          <w:rFonts w:cs="Arial"/>
        </w:rPr>
        <w:t xml:space="preserve"> attribuée à </w:t>
      </w:r>
      <w:r w:rsidRPr="000048AF">
        <w:rPr>
          <w:rStyle w:val="lev"/>
          <w:rFonts w:cs="Arial"/>
          <w:b w:val="0"/>
          <w:bCs w:val="0"/>
        </w:rPr>
        <w:t>FIISH</w:t>
      </w:r>
      <w:r w:rsidRPr="000048AF">
        <w:rPr>
          <w:rFonts w:cs="Arial"/>
        </w:rPr>
        <w:t xml:space="preserve"> correspond au montant net des sommes investies par les commanditaires, déduction faite des valeurs résiduelles estimées des actifs sous-jacents du </w:t>
      </w:r>
      <w:r w:rsidRPr="000048AF">
        <w:rPr>
          <w:rStyle w:val="lev"/>
          <w:rFonts w:cs="Arial"/>
          <w:b w:val="0"/>
          <w:bCs w:val="0"/>
        </w:rPr>
        <w:t>Groupe Huot</w:t>
      </w:r>
      <w:r w:rsidRPr="000048AF">
        <w:rPr>
          <w:rFonts w:cs="Arial"/>
        </w:rPr>
        <w:t xml:space="preserve">, principalement la </w:t>
      </w:r>
      <w:r w:rsidRPr="000048AF">
        <w:rPr>
          <w:rStyle w:val="lev"/>
          <w:rFonts w:cs="Arial"/>
          <w:b w:val="0"/>
          <w:bCs w:val="0"/>
        </w:rPr>
        <w:t>transaction Mach</w:t>
      </w:r>
      <w:r w:rsidRPr="000048AF">
        <w:rPr>
          <w:rFonts w:cs="Arial"/>
        </w:rPr>
        <w:t>.</w:t>
      </w:r>
    </w:p>
    <w:p w14:paraId="089C2D02" w14:textId="77777777" w:rsidR="00882A93" w:rsidRPr="000048AF" w:rsidRDefault="00730A01" w:rsidP="00882A93">
      <w:pPr>
        <w:pStyle w:val="Paragraphe"/>
        <w:tabs>
          <w:tab w:val="clear" w:pos="786"/>
        </w:tabs>
        <w:spacing w:line="240" w:lineRule="auto"/>
        <w:ind w:left="0"/>
        <w:rPr>
          <w:rFonts w:cs="Arial"/>
        </w:rPr>
      </w:pPr>
      <w:r w:rsidRPr="000048AF">
        <w:rPr>
          <w:rFonts w:cs="Arial"/>
        </w:rPr>
        <w:t xml:space="preserve">KPMG rappelle d’abord que la </w:t>
      </w:r>
      <w:r w:rsidRPr="000048AF">
        <w:rPr>
          <w:rStyle w:val="lev"/>
          <w:rFonts w:cs="Arial"/>
          <w:b w:val="0"/>
          <w:bCs w:val="0"/>
        </w:rPr>
        <w:t>créance totale de FIISH</w:t>
      </w:r>
      <w:r w:rsidRPr="000048AF">
        <w:rPr>
          <w:rFonts w:cs="Arial"/>
        </w:rPr>
        <w:t xml:space="preserve"> à l’égard du Groupe Huot s’élève à</w:t>
      </w:r>
      <w:r w:rsidR="004F1FCF">
        <w:rPr>
          <w:rFonts w:cs="Arial"/>
        </w:rPr>
        <w:t> </w:t>
      </w:r>
      <w:r w:rsidRPr="000048AF">
        <w:rPr>
          <w:rStyle w:val="lev"/>
          <w:rFonts w:cs="Arial"/>
          <w:b w:val="0"/>
          <w:bCs w:val="0"/>
        </w:rPr>
        <w:t>83 799 964 $</w:t>
      </w:r>
      <w:r w:rsidRPr="000048AF">
        <w:rPr>
          <w:rFonts w:cs="Arial"/>
          <w:b/>
          <w:bCs/>
        </w:rPr>
        <w:t>,</w:t>
      </w:r>
      <w:r w:rsidRPr="000048AF">
        <w:rPr>
          <w:rFonts w:cs="Arial"/>
        </w:rPr>
        <w:t xml:space="preserve"> représentant l’ensemble des montants avancés par la société en commandite dans le cadre de ses divers prêts, dont plusieurs ont servi à refinancer ou à rembourser d’anciens prêts plutôt qu’à soutenir des projets réels.</w:t>
      </w:r>
    </w:p>
    <w:p w14:paraId="6A7750A9" w14:textId="77777777" w:rsidR="00882A93" w:rsidRDefault="00730A01" w:rsidP="00882A93">
      <w:pPr>
        <w:pStyle w:val="Paragraphe"/>
        <w:tabs>
          <w:tab w:val="clear" w:pos="786"/>
        </w:tabs>
        <w:spacing w:line="240" w:lineRule="auto"/>
        <w:ind w:left="0"/>
        <w:rPr>
          <w:rFonts w:cs="Arial"/>
        </w:rPr>
      </w:pPr>
      <w:r w:rsidRPr="000048AF">
        <w:rPr>
          <w:rFonts w:cs="Arial"/>
        </w:rPr>
        <w:t xml:space="preserve">À partir de ce montant brut, le seul élément de récupération possible est celui de la </w:t>
      </w:r>
      <w:r w:rsidRPr="000048AF">
        <w:rPr>
          <w:rStyle w:val="lev"/>
          <w:rFonts w:cs="Arial"/>
          <w:b w:val="0"/>
          <w:bCs w:val="0"/>
        </w:rPr>
        <w:t>valeur actuelle nette du scénario Mach</w:t>
      </w:r>
      <w:r w:rsidRPr="000048AF">
        <w:rPr>
          <w:rFonts w:cs="Arial"/>
        </w:rPr>
        <w:t>, estimée à</w:t>
      </w:r>
      <w:r w:rsidR="004F1FCF">
        <w:rPr>
          <w:rFonts w:cs="Arial"/>
        </w:rPr>
        <w:t> </w:t>
      </w:r>
      <w:r w:rsidRPr="000048AF">
        <w:rPr>
          <w:rStyle w:val="lev"/>
          <w:rFonts w:cs="Arial"/>
          <w:b w:val="0"/>
          <w:bCs w:val="0"/>
        </w:rPr>
        <w:t>10 775 845 $</w:t>
      </w:r>
      <w:r w:rsidRPr="000048AF">
        <w:rPr>
          <w:rFonts w:cs="Arial"/>
        </w:rPr>
        <w:t xml:space="preserve"> sur un horizon de treize ans. Ce scénario repose sur les flux de trésorerie projetés et sur le produit de disposition éventuel des actifs repris par Mach, après modélisation des versements futurs et actualisation des montants.</w:t>
      </w:r>
    </w:p>
    <w:p w14:paraId="7E5E404D" w14:textId="77777777" w:rsidR="00882A93" w:rsidRPr="000048AF" w:rsidRDefault="00730A01" w:rsidP="00882A93">
      <w:pPr>
        <w:pStyle w:val="Paragraphe"/>
        <w:tabs>
          <w:tab w:val="clear" w:pos="786"/>
        </w:tabs>
        <w:spacing w:line="240" w:lineRule="auto"/>
        <w:ind w:left="0"/>
        <w:rPr>
          <w:rFonts w:cs="Arial"/>
        </w:rPr>
      </w:pPr>
      <w:r w:rsidRPr="000048AF">
        <w:rPr>
          <w:rFonts w:cs="Arial"/>
        </w:rPr>
        <w:t xml:space="preserve">En revanche, l’ensemble des </w:t>
      </w:r>
      <w:r w:rsidRPr="000048AF">
        <w:rPr>
          <w:rStyle w:val="lev"/>
          <w:rFonts w:cs="Arial"/>
          <w:b w:val="0"/>
          <w:bCs w:val="0"/>
        </w:rPr>
        <w:t>autres actifs du Groupe Huot</w:t>
      </w:r>
      <w:r w:rsidRPr="000048AF">
        <w:rPr>
          <w:rFonts w:cs="Arial"/>
        </w:rPr>
        <w:t xml:space="preserve"> (notamment les projets</w:t>
      </w:r>
      <w:r w:rsidRPr="000048AF">
        <w:rPr>
          <w:rFonts w:cs="Arial"/>
          <w:b/>
          <w:bCs/>
        </w:rPr>
        <w:t xml:space="preserve"> </w:t>
      </w:r>
      <w:r w:rsidRPr="000048AF">
        <w:rPr>
          <w:rStyle w:val="lev"/>
          <w:rFonts w:cs="Arial"/>
          <w:b w:val="0"/>
          <w:bCs w:val="0"/>
        </w:rPr>
        <w:t>Transrapide</w:t>
      </w:r>
      <w:r w:rsidRPr="000048AF">
        <w:rPr>
          <w:rFonts w:cs="Arial"/>
          <w:b/>
          <w:bCs/>
        </w:rPr>
        <w:t xml:space="preserve">, </w:t>
      </w:r>
      <w:r w:rsidRPr="000048AF">
        <w:rPr>
          <w:rStyle w:val="lev"/>
          <w:rFonts w:cs="Arial"/>
          <w:b w:val="0"/>
          <w:bCs w:val="0"/>
        </w:rPr>
        <w:t>Ariela</w:t>
      </w:r>
      <w:r w:rsidRPr="000048AF">
        <w:rPr>
          <w:rFonts w:cs="Arial"/>
          <w:b/>
          <w:bCs/>
        </w:rPr>
        <w:t xml:space="preserve">, </w:t>
      </w:r>
      <w:r w:rsidRPr="000048AF">
        <w:rPr>
          <w:rStyle w:val="lev"/>
          <w:rFonts w:cs="Arial"/>
          <w:b w:val="0"/>
          <w:bCs w:val="0"/>
        </w:rPr>
        <w:t>Diplomates</w:t>
      </w:r>
      <w:r w:rsidRPr="000048AF">
        <w:rPr>
          <w:rFonts w:cs="Arial"/>
          <w:b/>
          <w:bCs/>
        </w:rPr>
        <w:t xml:space="preserve">, </w:t>
      </w:r>
      <w:r w:rsidRPr="000048AF">
        <w:rPr>
          <w:rStyle w:val="lev"/>
          <w:rFonts w:cs="Arial"/>
          <w:b w:val="0"/>
          <w:bCs w:val="0"/>
        </w:rPr>
        <w:t>Père Lelièvre</w:t>
      </w:r>
      <w:r w:rsidRPr="000048AF">
        <w:rPr>
          <w:rFonts w:cs="Arial"/>
        </w:rPr>
        <w:t xml:space="preserve">, etc.) ne génèrent, selon KPMG et la preuve offerte, </w:t>
      </w:r>
      <w:r w:rsidRPr="000048AF">
        <w:rPr>
          <w:rStyle w:val="lev"/>
          <w:rFonts w:cs="Arial"/>
          <w:b w:val="0"/>
          <w:bCs w:val="0"/>
        </w:rPr>
        <w:t>aucune valeur résiduelle pour FIISH</w:t>
      </w:r>
      <w:r w:rsidRPr="000048AF">
        <w:rPr>
          <w:rFonts w:cs="Arial"/>
        </w:rPr>
        <w:t xml:space="preserve">. Ces actifs sont considérés comme irrécouvrables, et les pertes qui y sont associées, dont celles liées au </w:t>
      </w:r>
      <w:r w:rsidRPr="000048AF">
        <w:rPr>
          <w:rStyle w:val="lev"/>
          <w:rFonts w:cs="Arial"/>
          <w:b w:val="0"/>
          <w:bCs w:val="0"/>
        </w:rPr>
        <w:t>prêt P093</w:t>
      </w:r>
      <w:r>
        <w:rPr>
          <w:rStyle w:val="Appelnotedebasdep"/>
          <w:rFonts w:cs="Arial"/>
        </w:rPr>
        <w:footnoteReference w:id="325"/>
      </w:r>
      <w:r w:rsidRPr="000048AF">
        <w:rPr>
          <w:rStyle w:val="lev"/>
          <w:rFonts w:cs="Arial"/>
          <w:b w:val="0"/>
          <w:bCs w:val="0"/>
        </w:rPr>
        <w:t>,</w:t>
      </w:r>
      <w:r w:rsidRPr="000048AF">
        <w:rPr>
          <w:rFonts w:cs="Arial"/>
        </w:rPr>
        <w:t xml:space="preserve"> sont donc comprises dans le calcul global de la perte.</w:t>
      </w:r>
    </w:p>
    <w:p w14:paraId="00D5D32C" w14:textId="77777777" w:rsidR="00882A93" w:rsidRPr="000048AF" w:rsidRDefault="00730A01" w:rsidP="00882A93">
      <w:pPr>
        <w:pStyle w:val="Paragraphe"/>
        <w:tabs>
          <w:tab w:val="clear" w:pos="786"/>
        </w:tabs>
        <w:spacing w:line="240" w:lineRule="auto"/>
        <w:ind w:left="0"/>
        <w:rPr>
          <w:rFonts w:cs="Arial"/>
        </w:rPr>
      </w:pPr>
      <w:r w:rsidRPr="000048AF">
        <w:rPr>
          <w:rFonts w:cs="Arial"/>
        </w:rPr>
        <w:t>En définitive, le calcul s’établit comme suit</w:t>
      </w:r>
      <w:r w:rsidR="004F1FCF">
        <w:rPr>
          <w:rFonts w:cs="Arial"/>
        </w:rPr>
        <w:t> </w:t>
      </w:r>
      <w:r w:rsidRPr="000048AF">
        <w:rPr>
          <w:rFonts w:cs="Arial"/>
        </w:rPr>
        <w:t>:</w:t>
      </w:r>
    </w:p>
    <w:p w14:paraId="2612E294" w14:textId="77777777" w:rsidR="000048AF" w:rsidRDefault="00730A01" w:rsidP="00443B59">
      <w:pPr>
        <w:pStyle w:val="NormalWeb"/>
        <w:numPr>
          <w:ilvl w:val="0"/>
          <w:numId w:val="86"/>
        </w:numPr>
        <w:tabs>
          <w:tab w:val="clear" w:pos="720"/>
        </w:tabs>
        <w:spacing w:before="100" w:beforeAutospacing="1"/>
        <w:ind w:left="993" w:hanging="284"/>
        <w:rPr>
          <w:rFonts w:ascii="Arial" w:hAnsi="Arial" w:cs="Arial"/>
        </w:rPr>
      </w:pPr>
      <w:r w:rsidRPr="000048AF">
        <w:rPr>
          <w:rStyle w:val="lev"/>
          <w:rFonts w:ascii="Arial" w:hAnsi="Arial" w:cs="Arial"/>
          <w:b w:val="0"/>
          <w:bCs w:val="0"/>
        </w:rPr>
        <w:t>Créance FIISH totale :</w:t>
      </w:r>
      <w:r w:rsidRPr="000048AF">
        <w:rPr>
          <w:rFonts w:ascii="Arial" w:hAnsi="Arial" w:cs="Arial"/>
        </w:rPr>
        <w:t xml:space="preserve"> 83 799 964 $</w:t>
      </w:r>
      <w:r w:rsidR="004F1FCF">
        <w:rPr>
          <w:rFonts w:ascii="Arial" w:hAnsi="Arial" w:cs="Arial"/>
        </w:rPr>
        <w:t>;</w:t>
      </w:r>
    </w:p>
    <w:p w14:paraId="3D8B05F5" w14:textId="77777777" w:rsidR="00882A93" w:rsidRPr="000048AF" w:rsidRDefault="00730A01" w:rsidP="00443B59">
      <w:pPr>
        <w:pStyle w:val="NormalWeb"/>
        <w:numPr>
          <w:ilvl w:val="0"/>
          <w:numId w:val="86"/>
        </w:numPr>
        <w:tabs>
          <w:tab w:val="clear" w:pos="720"/>
        </w:tabs>
        <w:spacing w:before="100" w:beforeAutospacing="1"/>
        <w:ind w:left="993" w:hanging="284"/>
        <w:rPr>
          <w:rFonts w:ascii="Arial" w:hAnsi="Arial" w:cs="Arial"/>
        </w:rPr>
      </w:pPr>
      <w:r w:rsidRPr="000048AF">
        <w:rPr>
          <w:rStyle w:val="lev"/>
          <w:rFonts w:ascii="Arial" w:hAnsi="Arial" w:cs="Arial"/>
          <w:b w:val="0"/>
          <w:bCs w:val="0"/>
        </w:rPr>
        <w:t>Moins : valeur actuelle Mach</w:t>
      </w:r>
      <w:r w:rsidR="004F1FCF">
        <w:rPr>
          <w:rStyle w:val="lev"/>
          <w:rFonts w:ascii="Arial" w:hAnsi="Arial" w:cs="Arial"/>
          <w:b w:val="0"/>
          <w:bCs w:val="0"/>
        </w:rPr>
        <w:t> </w:t>
      </w:r>
      <w:r w:rsidRPr="000048AF">
        <w:rPr>
          <w:rStyle w:val="lev"/>
          <w:rFonts w:ascii="Arial" w:hAnsi="Arial" w:cs="Arial"/>
          <w:b w:val="0"/>
          <w:bCs w:val="0"/>
        </w:rPr>
        <w:t>:</w:t>
      </w:r>
      <w:r w:rsidRPr="000048AF">
        <w:rPr>
          <w:rFonts w:ascii="Arial" w:hAnsi="Arial" w:cs="Arial"/>
        </w:rPr>
        <w:t xml:space="preserve"> 10 775 845 $ = </w:t>
      </w:r>
      <w:r w:rsidRPr="000048AF">
        <w:rPr>
          <w:rStyle w:val="lev"/>
          <w:rFonts w:ascii="Arial" w:hAnsi="Arial" w:cs="Arial"/>
          <w:b w:val="0"/>
          <w:bCs w:val="0"/>
        </w:rPr>
        <w:t>Perte nette</w:t>
      </w:r>
      <w:r w:rsidR="004F1FCF">
        <w:rPr>
          <w:rStyle w:val="lev"/>
          <w:rFonts w:ascii="Arial" w:hAnsi="Arial" w:cs="Arial"/>
          <w:b w:val="0"/>
          <w:bCs w:val="0"/>
        </w:rPr>
        <w:t> </w:t>
      </w:r>
      <w:r w:rsidRPr="000048AF">
        <w:rPr>
          <w:rStyle w:val="lev"/>
          <w:rFonts w:ascii="Arial" w:hAnsi="Arial" w:cs="Arial"/>
          <w:b w:val="0"/>
          <w:bCs w:val="0"/>
        </w:rPr>
        <w:t>:</w:t>
      </w:r>
      <w:r w:rsidRPr="000048AF">
        <w:rPr>
          <w:rFonts w:ascii="Arial" w:hAnsi="Arial" w:cs="Arial"/>
          <w:b/>
          <w:bCs/>
        </w:rPr>
        <w:t xml:space="preserve"> </w:t>
      </w:r>
      <w:r w:rsidRPr="000048AF">
        <w:rPr>
          <w:rStyle w:val="lev"/>
          <w:rFonts w:ascii="Arial" w:hAnsi="Arial" w:cs="Arial"/>
          <w:b w:val="0"/>
          <w:bCs w:val="0"/>
        </w:rPr>
        <w:t>73 024 119 $</w:t>
      </w:r>
      <w:r w:rsidR="004F1FCF">
        <w:rPr>
          <w:rStyle w:val="lev"/>
          <w:rFonts w:ascii="Arial" w:hAnsi="Arial" w:cs="Arial"/>
          <w:b w:val="0"/>
          <w:bCs w:val="0"/>
        </w:rPr>
        <w:t>.</w:t>
      </w:r>
    </w:p>
    <w:p w14:paraId="19706435" w14:textId="77777777" w:rsidR="00882A93" w:rsidRPr="000048AF" w:rsidRDefault="00730A01" w:rsidP="000048AF">
      <w:pPr>
        <w:pStyle w:val="Paragraphe"/>
        <w:tabs>
          <w:tab w:val="clear" w:pos="786"/>
        </w:tabs>
        <w:spacing w:before="240" w:line="240" w:lineRule="auto"/>
        <w:ind w:left="0"/>
        <w:rPr>
          <w:rFonts w:cs="Arial"/>
        </w:rPr>
      </w:pPr>
      <w:r w:rsidRPr="000048AF">
        <w:rPr>
          <w:rFonts w:cs="Arial"/>
        </w:rPr>
        <w:t>Ce montant reflète la situation la plus réaliste et prudente, puisque les scénarios de récupération à plus court terme (7 ou 10</w:t>
      </w:r>
      <w:r w:rsidR="004F1FCF">
        <w:rPr>
          <w:rFonts w:cs="Arial"/>
        </w:rPr>
        <w:t> </w:t>
      </w:r>
      <w:r w:rsidRPr="000048AF">
        <w:rPr>
          <w:rFonts w:cs="Arial"/>
        </w:rPr>
        <w:t>ans) n’ont qu’un effet marginal sur la valeur estimée et ne modifient pas de manière significative l’ordre de grandeur de la perte</w:t>
      </w:r>
      <w:r>
        <w:rPr>
          <w:rStyle w:val="Appelnotedebasdep"/>
          <w:rFonts w:cs="Arial"/>
        </w:rPr>
        <w:footnoteReference w:id="326"/>
      </w:r>
      <w:r w:rsidR="004F1FCF">
        <w:rPr>
          <w:rFonts w:cs="Arial"/>
        </w:rPr>
        <w:t>.</w:t>
      </w:r>
    </w:p>
    <w:p w14:paraId="07C0F91C" w14:textId="77777777" w:rsidR="00882A93" w:rsidRPr="000048AF" w:rsidRDefault="00730A01" w:rsidP="00882A93">
      <w:pPr>
        <w:pStyle w:val="Paragraphe"/>
        <w:tabs>
          <w:tab w:val="clear" w:pos="786"/>
        </w:tabs>
        <w:spacing w:line="240" w:lineRule="auto"/>
        <w:ind w:left="0"/>
        <w:rPr>
          <w:rFonts w:cs="Arial"/>
        </w:rPr>
      </w:pPr>
      <w:r w:rsidRPr="000048AF">
        <w:rPr>
          <w:rFonts w:cs="Arial"/>
        </w:rPr>
        <w:t xml:space="preserve">Ainsi, la </w:t>
      </w:r>
      <w:r w:rsidRPr="000048AF">
        <w:rPr>
          <w:rStyle w:val="lev"/>
          <w:rFonts w:cs="Arial"/>
          <w:b w:val="0"/>
          <w:bCs w:val="0"/>
        </w:rPr>
        <w:t>perte de</w:t>
      </w:r>
      <w:r w:rsidR="004F1FCF">
        <w:rPr>
          <w:rStyle w:val="lev"/>
          <w:rFonts w:cs="Arial"/>
          <w:b w:val="0"/>
          <w:bCs w:val="0"/>
        </w:rPr>
        <w:t> </w:t>
      </w:r>
      <w:r w:rsidRPr="000048AF">
        <w:rPr>
          <w:rStyle w:val="lev"/>
          <w:rFonts w:cs="Arial"/>
          <w:b w:val="0"/>
          <w:bCs w:val="0"/>
        </w:rPr>
        <w:t>73 024 119 $</w:t>
      </w:r>
      <w:r w:rsidRPr="000048AF">
        <w:rPr>
          <w:rFonts w:cs="Arial"/>
        </w:rPr>
        <w:t xml:space="preserve"> représente la</w:t>
      </w:r>
      <w:r w:rsidRPr="000048AF">
        <w:rPr>
          <w:rFonts w:cs="Arial"/>
          <w:b/>
          <w:bCs/>
        </w:rPr>
        <w:t xml:space="preserve"> </w:t>
      </w:r>
      <w:r w:rsidRPr="000048AF">
        <w:rPr>
          <w:rStyle w:val="lev"/>
          <w:rFonts w:cs="Arial"/>
          <w:b w:val="0"/>
          <w:bCs w:val="0"/>
        </w:rPr>
        <w:t>valeur résiduelle nulle des actifs Huot</w:t>
      </w:r>
      <w:r w:rsidRPr="000048AF">
        <w:rPr>
          <w:rFonts w:cs="Arial"/>
          <w:b/>
          <w:bCs/>
        </w:rPr>
        <w:t>,</w:t>
      </w:r>
      <w:r w:rsidRPr="000048AF">
        <w:rPr>
          <w:rFonts w:cs="Arial"/>
        </w:rPr>
        <w:t xml:space="preserve"> déduction faite de la seule récupération prévue via Mach, et inclut </w:t>
      </w:r>
      <w:r w:rsidRPr="000048AF">
        <w:rPr>
          <w:rStyle w:val="lev"/>
          <w:rFonts w:cs="Arial"/>
          <w:b w:val="0"/>
          <w:bCs w:val="0"/>
        </w:rPr>
        <w:t>l’ensemble des prêts irréguliers</w:t>
      </w:r>
      <w:r w:rsidRPr="000048AF">
        <w:rPr>
          <w:rFonts w:cs="Arial"/>
        </w:rPr>
        <w:t xml:space="preserve">, notamment </w:t>
      </w:r>
      <w:r w:rsidRPr="000048AF">
        <w:rPr>
          <w:rStyle w:val="lev"/>
          <w:rFonts w:cs="Arial"/>
          <w:b w:val="0"/>
          <w:bCs w:val="0"/>
        </w:rPr>
        <w:t>P093</w:t>
      </w:r>
      <w:r w:rsidRPr="000048AF">
        <w:rPr>
          <w:rFonts w:cs="Arial"/>
          <w:b/>
          <w:bCs/>
        </w:rPr>
        <w:t xml:space="preserve">, </w:t>
      </w:r>
      <w:r w:rsidRPr="000048AF">
        <w:rPr>
          <w:rStyle w:val="lev"/>
          <w:rFonts w:cs="Arial"/>
          <w:b w:val="0"/>
          <w:bCs w:val="0"/>
        </w:rPr>
        <w:t>P046</w:t>
      </w:r>
      <w:r w:rsidRPr="000048AF">
        <w:rPr>
          <w:rFonts w:cs="Arial"/>
          <w:b/>
          <w:bCs/>
        </w:rPr>
        <w:t xml:space="preserve">, </w:t>
      </w:r>
      <w:r w:rsidRPr="000048AF">
        <w:rPr>
          <w:rStyle w:val="lev"/>
          <w:rFonts w:cs="Arial"/>
          <w:b w:val="0"/>
          <w:bCs w:val="0"/>
        </w:rPr>
        <w:t>P071</w:t>
      </w:r>
      <w:r w:rsidRPr="000048AF">
        <w:rPr>
          <w:rFonts w:cs="Arial"/>
          <w:b/>
          <w:bCs/>
        </w:rPr>
        <w:t xml:space="preserve">, </w:t>
      </w:r>
      <w:r w:rsidRPr="000048AF">
        <w:rPr>
          <w:rStyle w:val="lev"/>
          <w:rFonts w:cs="Arial"/>
          <w:b w:val="0"/>
          <w:bCs w:val="0"/>
        </w:rPr>
        <w:t>P100</w:t>
      </w:r>
      <w:r w:rsidRPr="000048AF">
        <w:rPr>
          <w:rFonts w:cs="Arial"/>
        </w:rPr>
        <w:t>, et les autres financements que le Tribunal considère être des transactions Ponzi.</w:t>
      </w:r>
    </w:p>
    <w:p w14:paraId="11214EF6" w14:textId="77777777" w:rsidR="007A6C58" w:rsidRDefault="00730A01" w:rsidP="00D44105">
      <w:pPr>
        <w:pStyle w:val="Paragraphe"/>
        <w:numPr>
          <w:ilvl w:val="0"/>
          <w:numId w:val="1"/>
        </w:numPr>
        <w:tabs>
          <w:tab w:val="clear" w:pos="786"/>
        </w:tabs>
        <w:spacing w:line="240" w:lineRule="auto"/>
        <w:ind w:left="0"/>
        <w:rPr>
          <w:lang w:eastAsia="fr-CA"/>
        </w:rPr>
      </w:pPr>
      <w:r>
        <w:rPr>
          <w:lang w:eastAsia="fr-CA"/>
        </w:rPr>
        <w:t>L</w:t>
      </w:r>
      <w:r w:rsidRPr="00991D3B">
        <w:rPr>
          <w:lang w:eastAsia="fr-CA"/>
        </w:rPr>
        <w:t xml:space="preserve">es dommages </w:t>
      </w:r>
      <w:r>
        <w:rPr>
          <w:lang w:eastAsia="fr-CA"/>
        </w:rPr>
        <w:t>de</w:t>
      </w:r>
      <w:r w:rsidR="004F1FCF">
        <w:rPr>
          <w:lang w:eastAsia="fr-CA"/>
        </w:rPr>
        <w:t> </w:t>
      </w:r>
      <w:r>
        <w:rPr>
          <w:lang w:eastAsia="fr-CA"/>
        </w:rPr>
        <w:t xml:space="preserve">73 024 119 $ </w:t>
      </w:r>
      <w:r w:rsidRPr="00991D3B">
        <w:rPr>
          <w:lang w:eastAsia="fr-CA"/>
        </w:rPr>
        <w:t xml:space="preserve">correspondent aux </w:t>
      </w:r>
      <w:r w:rsidRPr="0085388E">
        <w:rPr>
          <w:lang w:eastAsia="fr-CA"/>
        </w:rPr>
        <w:t>pertes nettes</w:t>
      </w:r>
      <w:r w:rsidRPr="00991D3B">
        <w:rPr>
          <w:lang w:eastAsia="fr-CA"/>
        </w:rPr>
        <w:t xml:space="preserve"> subies par les commanditaires </w:t>
      </w:r>
      <w:r>
        <w:rPr>
          <w:lang w:eastAsia="fr-CA"/>
        </w:rPr>
        <w:t>calculés à partir de la valeur non récupérable des montants consentis à Huot et son Groupe</w:t>
      </w:r>
      <w:r>
        <w:rPr>
          <w:rStyle w:val="Appelnotedebasdep"/>
          <w:lang w:eastAsia="fr-CA"/>
        </w:rPr>
        <w:footnoteReference w:id="327"/>
      </w:r>
      <w:r>
        <w:rPr>
          <w:lang w:eastAsia="fr-CA"/>
        </w:rPr>
        <w:t>.</w:t>
      </w:r>
    </w:p>
    <w:p w14:paraId="45DEF827" w14:textId="77777777" w:rsidR="000048AF" w:rsidRPr="005F709E" w:rsidRDefault="00730A01" w:rsidP="00443B59">
      <w:pPr>
        <w:pStyle w:val="Titre3"/>
        <w:numPr>
          <w:ilvl w:val="0"/>
          <w:numId w:val="90"/>
        </w:numPr>
        <w:rPr>
          <w:b/>
          <w:bCs/>
          <w:lang w:eastAsia="fr-CA"/>
        </w:rPr>
      </w:pPr>
      <w:bookmarkStart w:id="114" w:name="_Toc211495248"/>
      <w:bookmarkStart w:id="115" w:name="_Toc211600658"/>
      <w:bookmarkStart w:id="116" w:name="_Toc205902162"/>
      <w:r w:rsidRPr="005F709E">
        <w:rPr>
          <w:b/>
          <w:bCs/>
          <w:lang w:eastAsia="fr-CA"/>
        </w:rPr>
        <w:t>Répartition par commanditaire</w:t>
      </w:r>
      <w:bookmarkEnd w:id="114"/>
      <w:bookmarkEnd w:id="115"/>
      <w:r w:rsidRPr="005F709E">
        <w:rPr>
          <w:b/>
          <w:bCs/>
          <w:lang w:eastAsia="fr-CA"/>
        </w:rPr>
        <w:t xml:space="preserve"> </w:t>
      </w:r>
      <w:bookmarkEnd w:id="116"/>
    </w:p>
    <w:p w14:paraId="15E2C045" w14:textId="77777777" w:rsidR="000048AF" w:rsidRDefault="00730A01" w:rsidP="0005007F">
      <w:pPr>
        <w:pStyle w:val="Paragraphe"/>
        <w:numPr>
          <w:ilvl w:val="0"/>
          <w:numId w:val="1"/>
        </w:numPr>
        <w:tabs>
          <w:tab w:val="clear" w:pos="786"/>
        </w:tabs>
        <w:spacing w:after="0" w:line="240" w:lineRule="auto"/>
        <w:ind w:left="0"/>
        <w:rPr>
          <w:lang w:eastAsia="fr-CA"/>
        </w:rPr>
      </w:pPr>
      <w:r>
        <w:rPr>
          <w:lang w:eastAsia="fr-CA"/>
        </w:rPr>
        <w:t>L</w:t>
      </w:r>
      <w:r w:rsidRPr="00ED7684">
        <w:rPr>
          <w:lang w:eastAsia="fr-CA"/>
        </w:rPr>
        <w:t xml:space="preserve">e montant </w:t>
      </w:r>
      <w:r>
        <w:rPr>
          <w:lang w:eastAsia="fr-CA"/>
        </w:rPr>
        <w:t xml:space="preserve">réclamé </w:t>
      </w:r>
      <w:r w:rsidRPr="00ED7684">
        <w:rPr>
          <w:lang w:eastAsia="fr-CA"/>
        </w:rPr>
        <w:t>de</w:t>
      </w:r>
      <w:r w:rsidR="004F1FCF">
        <w:rPr>
          <w:lang w:eastAsia="fr-CA"/>
        </w:rPr>
        <w:t> </w:t>
      </w:r>
      <w:r w:rsidRPr="0082794C">
        <w:rPr>
          <w:lang w:eastAsia="fr-CA"/>
        </w:rPr>
        <w:t>58 250 611 $</w:t>
      </w:r>
      <w:r w:rsidRPr="00ED7684">
        <w:rPr>
          <w:lang w:eastAsia="fr-CA"/>
        </w:rPr>
        <w:t xml:space="preserve"> est basé sur une répartition proportionnelle parmi les commanditaires ayant investi un total de</w:t>
      </w:r>
      <w:r w:rsidR="004F1FCF">
        <w:rPr>
          <w:lang w:eastAsia="fr-CA"/>
        </w:rPr>
        <w:t> </w:t>
      </w:r>
      <w:r w:rsidRPr="0085388E">
        <w:rPr>
          <w:lang w:eastAsia="fr-CA"/>
        </w:rPr>
        <w:t>83 799 964 $</w:t>
      </w:r>
      <w:r>
        <w:rPr>
          <w:rStyle w:val="Appelnotedebasdep"/>
          <w:lang w:eastAsia="fr-CA"/>
        </w:rPr>
        <w:footnoteReference w:id="328"/>
      </w:r>
      <w:r w:rsidRPr="0085388E">
        <w:rPr>
          <w:lang w:eastAsia="fr-CA"/>
        </w:rPr>
        <w:t>.</w:t>
      </w:r>
    </w:p>
    <w:p w14:paraId="36F6D136" w14:textId="77777777" w:rsidR="000048AF" w:rsidRPr="000048AF" w:rsidRDefault="00730A01" w:rsidP="00443B59">
      <w:pPr>
        <w:pStyle w:val="Paragraphe"/>
        <w:numPr>
          <w:ilvl w:val="0"/>
          <w:numId w:val="88"/>
        </w:numPr>
        <w:spacing w:line="240" w:lineRule="auto"/>
        <w:ind w:left="1134"/>
        <w:rPr>
          <w:lang w:eastAsia="fr-CA"/>
        </w:rPr>
      </w:pPr>
      <w:r w:rsidRPr="00A82953">
        <w:rPr>
          <w:lang w:eastAsia="fr-CA"/>
        </w:rPr>
        <w:t>Le calcul du pourcentage et des pertes se fait au prorata des montants investis par chaque Demandeur par rapport</w:t>
      </w:r>
      <w:r w:rsidRPr="000048AF">
        <w:rPr>
          <w:szCs w:val="24"/>
          <w:lang w:eastAsia="fr-CA"/>
        </w:rPr>
        <w:t xml:space="preserve"> à l’ensemble des commanditaires</w:t>
      </w:r>
      <w:r w:rsidR="009769B6">
        <w:rPr>
          <w:szCs w:val="24"/>
          <w:lang w:eastAsia="fr-CA"/>
        </w:rPr>
        <w:t>.</w:t>
      </w:r>
      <w:r w:rsidRPr="000048AF">
        <w:rPr>
          <w:szCs w:val="24"/>
          <w:lang w:eastAsia="fr-CA"/>
        </w:rPr>
        <w:t xml:space="preserve"> </w:t>
      </w:r>
    </w:p>
    <w:p w14:paraId="35C4DCA9" w14:textId="77777777" w:rsidR="007A6C58" w:rsidRPr="00991D3B" w:rsidRDefault="00730A01" w:rsidP="0098012F">
      <w:pPr>
        <w:pStyle w:val="Paragraphe"/>
        <w:tabs>
          <w:tab w:val="clear" w:pos="786"/>
        </w:tabs>
        <w:spacing w:after="240" w:line="240" w:lineRule="auto"/>
        <w:ind w:left="0"/>
        <w:rPr>
          <w:lang w:eastAsia="fr-CA"/>
        </w:rPr>
      </w:pPr>
      <w:r w:rsidRPr="00991D3B">
        <w:rPr>
          <w:lang w:eastAsia="fr-CA"/>
        </w:rPr>
        <w:t xml:space="preserve">Voici le détail de la répartition des pertes financières estimées pour chacun des Demandeurs/commanditaires du fonds </w:t>
      </w:r>
      <w:r w:rsidRPr="0085388E">
        <w:rPr>
          <w:lang w:eastAsia="fr-CA"/>
        </w:rPr>
        <w:t>FIISH</w:t>
      </w:r>
      <w:r w:rsidRPr="00991D3B">
        <w:rPr>
          <w:b/>
          <w:bCs/>
          <w:lang w:eastAsia="fr-CA"/>
        </w:rPr>
        <w:t xml:space="preserve">. </w:t>
      </w:r>
      <w:r w:rsidRPr="00991D3B">
        <w:rPr>
          <w:lang w:eastAsia="fr-CA"/>
        </w:rPr>
        <w:t>Le calcul du pourcentage et des pertes est calculé au prorata des montants investis par chaque Demandeur par rapport à l’ensemble des commanditaires. Ce tableau illustre la portée du préjudice financier subi individuellement par les Demandeurs dans le recours FIISH</w:t>
      </w:r>
      <w:r>
        <w:rPr>
          <w:rStyle w:val="Appelnotedebasdep"/>
          <w:lang w:eastAsia="fr-CA"/>
        </w:rPr>
        <w:footnoteReference w:id="329"/>
      </w:r>
      <w:r w:rsidRPr="00991D3B">
        <w:rPr>
          <w:lang w:eastAsia="fr-CA"/>
        </w:rPr>
        <w:t>.</w:t>
      </w:r>
    </w:p>
    <w:tbl>
      <w:tblPr>
        <w:tblW w:w="8328" w:type="dxa"/>
        <w:tblCellSpacing w:w="15" w:type="dxa"/>
        <w:tblCellMar>
          <w:top w:w="15" w:type="dxa"/>
          <w:left w:w="15" w:type="dxa"/>
          <w:bottom w:w="15" w:type="dxa"/>
          <w:right w:w="15" w:type="dxa"/>
        </w:tblCellMar>
        <w:tblLook w:val="04A0" w:firstRow="1" w:lastRow="0" w:firstColumn="1" w:lastColumn="0" w:noHBand="0" w:noVBand="1"/>
      </w:tblPr>
      <w:tblGrid>
        <w:gridCol w:w="4076"/>
        <w:gridCol w:w="1701"/>
        <w:gridCol w:w="2551"/>
      </w:tblGrid>
      <w:tr w:rsidR="00FE3D17" w14:paraId="1D9ACE5D" w14:textId="77777777" w:rsidTr="005F7C86">
        <w:trPr>
          <w:tblHeader/>
          <w:tblCellSpacing w:w="15" w:type="dxa"/>
        </w:trPr>
        <w:tc>
          <w:tcPr>
            <w:tcW w:w="4031" w:type="dxa"/>
            <w:tcBorders>
              <w:top w:val="single" w:sz="4" w:space="0" w:color="auto"/>
              <w:left w:val="single" w:sz="4" w:space="0" w:color="auto"/>
            </w:tcBorders>
            <w:vAlign w:val="center"/>
            <w:hideMark/>
          </w:tcPr>
          <w:p w14:paraId="5C520347" w14:textId="77777777" w:rsidR="008925CA" w:rsidRPr="005F7C86" w:rsidRDefault="00730A01" w:rsidP="0098012F">
            <w:pPr>
              <w:rPr>
                <w:rFonts w:cs="Arial"/>
                <w:b/>
                <w:bCs/>
                <w:sz w:val="20"/>
                <w:lang w:eastAsia="fr-CA"/>
              </w:rPr>
            </w:pPr>
            <w:r>
              <w:rPr>
                <w:rFonts w:cs="Arial"/>
                <w:b/>
                <w:bCs/>
                <w:sz w:val="20"/>
                <w:lang w:eastAsia="fr-CA"/>
              </w:rPr>
              <w:t>Demandeurs/c</w:t>
            </w:r>
            <w:r w:rsidR="007A6C58" w:rsidRPr="005F7C86">
              <w:rPr>
                <w:rFonts w:cs="Arial"/>
                <w:b/>
                <w:bCs/>
                <w:sz w:val="20"/>
                <w:lang w:eastAsia="fr-CA"/>
              </w:rPr>
              <w:t>ommanditaire</w:t>
            </w:r>
            <w:r>
              <w:rPr>
                <w:rFonts w:cs="Arial"/>
                <w:b/>
                <w:bCs/>
                <w:sz w:val="20"/>
                <w:lang w:eastAsia="fr-CA"/>
              </w:rPr>
              <w:t>s</w:t>
            </w:r>
          </w:p>
        </w:tc>
        <w:tc>
          <w:tcPr>
            <w:tcW w:w="1671" w:type="dxa"/>
            <w:tcBorders>
              <w:top w:val="single" w:sz="4" w:space="0" w:color="auto"/>
              <w:left w:val="single" w:sz="4" w:space="0" w:color="auto"/>
              <w:bottom w:val="nil"/>
              <w:right w:val="single" w:sz="4" w:space="0" w:color="auto"/>
            </w:tcBorders>
            <w:vAlign w:val="center"/>
            <w:hideMark/>
          </w:tcPr>
          <w:p w14:paraId="5154AA5C" w14:textId="77777777" w:rsidR="007A6C58" w:rsidRPr="005F7C86" w:rsidRDefault="00730A01" w:rsidP="0098012F">
            <w:pPr>
              <w:rPr>
                <w:rFonts w:cs="Arial"/>
                <w:b/>
                <w:bCs/>
                <w:sz w:val="20"/>
                <w:lang w:eastAsia="fr-CA"/>
              </w:rPr>
            </w:pPr>
            <w:r w:rsidRPr="005F7C86">
              <w:rPr>
                <w:rFonts w:cs="Arial"/>
                <w:b/>
                <w:bCs/>
                <w:sz w:val="20"/>
                <w:lang w:eastAsia="fr-CA"/>
              </w:rPr>
              <w:t>Pourcentage</w:t>
            </w:r>
            <w:r w:rsidR="005F7C86">
              <w:rPr>
                <w:rFonts w:cs="Arial"/>
                <w:b/>
                <w:bCs/>
                <w:sz w:val="20"/>
                <w:lang w:eastAsia="fr-CA"/>
              </w:rPr>
              <w:t xml:space="preserve"> (%)</w:t>
            </w:r>
          </w:p>
        </w:tc>
        <w:tc>
          <w:tcPr>
            <w:tcW w:w="2506" w:type="dxa"/>
            <w:tcBorders>
              <w:top w:val="single" w:sz="4" w:space="0" w:color="auto"/>
              <w:right w:val="single" w:sz="4" w:space="0" w:color="auto"/>
            </w:tcBorders>
            <w:vAlign w:val="center"/>
            <w:hideMark/>
          </w:tcPr>
          <w:p w14:paraId="38187705" w14:textId="77777777" w:rsidR="007A6C58" w:rsidRPr="005F7C86" w:rsidRDefault="00730A01" w:rsidP="0098012F">
            <w:pPr>
              <w:rPr>
                <w:rFonts w:cs="Arial"/>
                <w:b/>
                <w:bCs/>
                <w:sz w:val="20"/>
                <w:lang w:eastAsia="fr-CA"/>
              </w:rPr>
            </w:pPr>
            <w:r w:rsidRPr="005F7C86">
              <w:rPr>
                <w:rFonts w:cs="Arial"/>
                <w:b/>
                <w:bCs/>
                <w:sz w:val="20"/>
                <w:lang w:eastAsia="fr-CA"/>
              </w:rPr>
              <w:t xml:space="preserve">Préjudice financier </w:t>
            </w:r>
            <w:r w:rsidR="005F7C86">
              <w:rPr>
                <w:rFonts w:cs="Arial"/>
                <w:b/>
                <w:bCs/>
                <w:sz w:val="20"/>
                <w:lang w:eastAsia="fr-CA"/>
              </w:rPr>
              <w:t>avant intérêts impayés ($)</w:t>
            </w:r>
          </w:p>
        </w:tc>
      </w:tr>
      <w:tr w:rsidR="00FE3D17" w14:paraId="1384D8DD" w14:textId="77777777" w:rsidTr="005F7C86">
        <w:trPr>
          <w:tblCellSpacing w:w="15" w:type="dxa"/>
        </w:trPr>
        <w:tc>
          <w:tcPr>
            <w:tcW w:w="4031" w:type="dxa"/>
            <w:tcBorders>
              <w:top w:val="single" w:sz="4" w:space="0" w:color="auto"/>
              <w:left w:val="single" w:sz="4" w:space="0" w:color="auto"/>
            </w:tcBorders>
            <w:vAlign w:val="center"/>
            <w:hideMark/>
          </w:tcPr>
          <w:p w14:paraId="56EB8D91" w14:textId="77777777" w:rsidR="007A6C58" w:rsidRPr="005F7C86" w:rsidRDefault="00730A01" w:rsidP="0098012F">
            <w:pPr>
              <w:rPr>
                <w:rFonts w:cs="Arial"/>
                <w:sz w:val="20"/>
                <w:lang w:eastAsia="fr-CA"/>
              </w:rPr>
            </w:pPr>
            <w:r w:rsidRPr="005F7C86">
              <w:rPr>
                <w:rFonts w:cs="Arial"/>
                <w:sz w:val="20"/>
                <w:lang w:eastAsia="fr-CA"/>
              </w:rPr>
              <w:t>3586103 Canada inc.</w:t>
            </w:r>
          </w:p>
        </w:tc>
        <w:tc>
          <w:tcPr>
            <w:tcW w:w="1671" w:type="dxa"/>
            <w:tcBorders>
              <w:top w:val="single" w:sz="4" w:space="0" w:color="auto"/>
              <w:left w:val="single" w:sz="4" w:space="0" w:color="auto"/>
              <w:right w:val="single" w:sz="4" w:space="0" w:color="auto"/>
            </w:tcBorders>
            <w:vAlign w:val="center"/>
            <w:hideMark/>
          </w:tcPr>
          <w:p w14:paraId="25A2CDF7" w14:textId="77777777" w:rsidR="007A6C58" w:rsidRPr="005F7C86" w:rsidRDefault="00730A01" w:rsidP="004F1FCF">
            <w:pPr>
              <w:jc w:val="right"/>
              <w:rPr>
                <w:rFonts w:cs="Arial"/>
                <w:sz w:val="20"/>
                <w:lang w:eastAsia="fr-CA"/>
              </w:rPr>
            </w:pPr>
            <w:r w:rsidRPr="005F7C86">
              <w:rPr>
                <w:rFonts w:cs="Arial"/>
                <w:sz w:val="20"/>
                <w:lang w:eastAsia="fr-CA"/>
              </w:rPr>
              <w:t>1,11 %</w:t>
            </w:r>
          </w:p>
        </w:tc>
        <w:tc>
          <w:tcPr>
            <w:tcW w:w="2506" w:type="dxa"/>
            <w:tcBorders>
              <w:top w:val="single" w:sz="4" w:space="0" w:color="auto"/>
              <w:right w:val="single" w:sz="4" w:space="0" w:color="auto"/>
            </w:tcBorders>
            <w:vAlign w:val="center"/>
            <w:hideMark/>
          </w:tcPr>
          <w:p w14:paraId="71C451D9" w14:textId="77777777" w:rsidR="007A6C58" w:rsidRPr="005F7C86" w:rsidRDefault="00730A01" w:rsidP="0098012F">
            <w:pPr>
              <w:jc w:val="right"/>
              <w:rPr>
                <w:rFonts w:cs="Arial"/>
                <w:sz w:val="20"/>
                <w:lang w:eastAsia="fr-CA"/>
              </w:rPr>
            </w:pPr>
            <w:r w:rsidRPr="005F7C86">
              <w:rPr>
                <w:rFonts w:cs="Arial"/>
                <w:sz w:val="20"/>
                <w:lang w:eastAsia="fr-CA"/>
              </w:rPr>
              <w:t>807 636 $</w:t>
            </w:r>
          </w:p>
        </w:tc>
      </w:tr>
      <w:tr w:rsidR="00FE3D17" w14:paraId="7B112B43" w14:textId="77777777" w:rsidTr="005F7C86">
        <w:trPr>
          <w:tblCellSpacing w:w="15" w:type="dxa"/>
        </w:trPr>
        <w:tc>
          <w:tcPr>
            <w:tcW w:w="4031" w:type="dxa"/>
            <w:tcBorders>
              <w:top w:val="single" w:sz="4" w:space="0" w:color="auto"/>
              <w:left w:val="single" w:sz="4" w:space="0" w:color="auto"/>
              <w:bottom w:val="single" w:sz="4" w:space="0" w:color="auto"/>
            </w:tcBorders>
            <w:vAlign w:val="center"/>
            <w:hideMark/>
          </w:tcPr>
          <w:p w14:paraId="6A804078" w14:textId="77777777" w:rsidR="007A6C58" w:rsidRPr="005F7C86" w:rsidRDefault="00730A01" w:rsidP="0098012F">
            <w:pPr>
              <w:rPr>
                <w:rFonts w:cs="Arial"/>
                <w:sz w:val="20"/>
                <w:lang w:eastAsia="fr-CA"/>
              </w:rPr>
            </w:pPr>
            <w:r w:rsidRPr="005F7C86">
              <w:rPr>
                <w:rFonts w:cs="Arial"/>
                <w:sz w:val="20"/>
                <w:lang w:eastAsia="fr-CA"/>
              </w:rPr>
              <w:t>Gestion Immobilière DSTC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55361F8C" w14:textId="77777777" w:rsidR="007A6C58" w:rsidRPr="005F7C86" w:rsidRDefault="00730A01" w:rsidP="004F1FCF">
            <w:pPr>
              <w:jc w:val="right"/>
              <w:rPr>
                <w:rFonts w:cs="Arial"/>
                <w:sz w:val="20"/>
                <w:lang w:eastAsia="fr-CA"/>
              </w:rPr>
            </w:pPr>
            <w:r w:rsidRPr="005F7C86">
              <w:rPr>
                <w:rFonts w:cs="Arial"/>
                <w:sz w:val="20"/>
                <w:lang w:eastAsia="fr-CA"/>
              </w:rPr>
              <w:t>1,88 %</w:t>
            </w:r>
          </w:p>
        </w:tc>
        <w:tc>
          <w:tcPr>
            <w:tcW w:w="2506" w:type="dxa"/>
            <w:tcBorders>
              <w:top w:val="single" w:sz="4" w:space="0" w:color="auto"/>
              <w:bottom w:val="single" w:sz="4" w:space="0" w:color="auto"/>
              <w:right w:val="single" w:sz="4" w:space="0" w:color="auto"/>
            </w:tcBorders>
            <w:vAlign w:val="center"/>
            <w:hideMark/>
          </w:tcPr>
          <w:p w14:paraId="1865238A" w14:textId="77777777" w:rsidR="007A6C58" w:rsidRPr="005F7C86" w:rsidRDefault="00730A01" w:rsidP="0098012F">
            <w:pPr>
              <w:jc w:val="right"/>
              <w:rPr>
                <w:rFonts w:cs="Arial"/>
                <w:sz w:val="20"/>
                <w:lang w:eastAsia="fr-CA"/>
              </w:rPr>
            </w:pPr>
            <w:r w:rsidRPr="005F7C86">
              <w:rPr>
                <w:rFonts w:cs="Arial"/>
                <w:sz w:val="20"/>
                <w:lang w:eastAsia="fr-CA"/>
              </w:rPr>
              <w:t>1 372 665 $</w:t>
            </w:r>
          </w:p>
        </w:tc>
      </w:tr>
      <w:tr w:rsidR="00FE3D17" w14:paraId="5C680ED4" w14:textId="77777777" w:rsidTr="005F7C86">
        <w:trPr>
          <w:tblCellSpacing w:w="15" w:type="dxa"/>
        </w:trPr>
        <w:tc>
          <w:tcPr>
            <w:tcW w:w="4031" w:type="dxa"/>
            <w:tcBorders>
              <w:top w:val="single" w:sz="4" w:space="0" w:color="auto"/>
              <w:left w:val="single" w:sz="4" w:space="0" w:color="auto"/>
            </w:tcBorders>
            <w:vAlign w:val="center"/>
            <w:hideMark/>
          </w:tcPr>
          <w:p w14:paraId="5CB5AA24" w14:textId="77777777" w:rsidR="007A6C58" w:rsidRPr="005F7C86" w:rsidRDefault="00730A01" w:rsidP="0098012F">
            <w:pPr>
              <w:rPr>
                <w:rFonts w:cs="Arial"/>
                <w:sz w:val="20"/>
                <w:lang w:eastAsia="fr-CA"/>
              </w:rPr>
            </w:pPr>
            <w:r w:rsidRPr="005F7C86">
              <w:rPr>
                <w:rFonts w:cs="Arial"/>
                <w:sz w:val="20"/>
                <w:lang w:eastAsia="fr-CA"/>
              </w:rPr>
              <w:t>9136-5908 Québec inc.</w:t>
            </w:r>
          </w:p>
        </w:tc>
        <w:tc>
          <w:tcPr>
            <w:tcW w:w="1671" w:type="dxa"/>
            <w:tcBorders>
              <w:top w:val="single" w:sz="4" w:space="0" w:color="auto"/>
              <w:left w:val="single" w:sz="4" w:space="0" w:color="auto"/>
              <w:right w:val="single" w:sz="4" w:space="0" w:color="auto"/>
            </w:tcBorders>
            <w:vAlign w:val="center"/>
            <w:hideMark/>
          </w:tcPr>
          <w:p w14:paraId="404D0A35" w14:textId="77777777" w:rsidR="007A6C58" w:rsidRPr="005F7C86" w:rsidRDefault="00730A01" w:rsidP="004F1FCF">
            <w:pPr>
              <w:jc w:val="right"/>
              <w:rPr>
                <w:rFonts w:cs="Arial"/>
                <w:sz w:val="20"/>
                <w:lang w:eastAsia="fr-CA"/>
              </w:rPr>
            </w:pPr>
            <w:r w:rsidRPr="005F7C86">
              <w:rPr>
                <w:rFonts w:cs="Arial"/>
                <w:sz w:val="20"/>
                <w:lang w:eastAsia="fr-CA"/>
              </w:rPr>
              <w:t>3,48 %</w:t>
            </w:r>
          </w:p>
        </w:tc>
        <w:tc>
          <w:tcPr>
            <w:tcW w:w="2506" w:type="dxa"/>
            <w:tcBorders>
              <w:top w:val="single" w:sz="4" w:space="0" w:color="auto"/>
              <w:right w:val="single" w:sz="4" w:space="0" w:color="auto"/>
            </w:tcBorders>
            <w:vAlign w:val="center"/>
            <w:hideMark/>
          </w:tcPr>
          <w:p w14:paraId="668D7901" w14:textId="77777777" w:rsidR="007A6C58" w:rsidRPr="005F7C86" w:rsidRDefault="00730A01" w:rsidP="0098012F">
            <w:pPr>
              <w:jc w:val="right"/>
              <w:rPr>
                <w:rFonts w:cs="Arial"/>
                <w:sz w:val="20"/>
                <w:lang w:eastAsia="fr-CA"/>
              </w:rPr>
            </w:pPr>
            <w:r w:rsidRPr="005F7C86">
              <w:rPr>
                <w:rFonts w:cs="Arial"/>
                <w:sz w:val="20"/>
                <w:lang w:eastAsia="fr-CA"/>
              </w:rPr>
              <w:t>2 543 071 $</w:t>
            </w:r>
          </w:p>
        </w:tc>
      </w:tr>
      <w:tr w:rsidR="00FE3D17" w14:paraId="603B227F" w14:textId="77777777" w:rsidTr="005F7C86">
        <w:trPr>
          <w:tblCellSpacing w:w="15" w:type="dxa"/>
        </w:trPr>
        <w:tc>
          <w:tcPr>
            <w:tcW w:w="4031" w:type="dxa"/>
            <w:tcBorders>
              <w:top w:val="single" w:sz="4" w:space="0" w:color="auto"/>
              <w:left w:val="single" w:sz="4" w:space="0" w:color="auto"/>
              <w:bottom w:val="single" w:sz="4" w:space="0" w:color="auto"/>
            </w:tcBorders>
            <w:vAlign w:val="center"/>
            <w:hideMark/>
          </w:tcPr>
          <w:p w14:paraId="1F0DB156" w14:textId="77777777" w:rsidR="007A6C58" w:rsidRPr="005F7C86" w:rsidRDefault="00730A01" w:rsidP="0098012F">
            <w:pPr>
              <w:rPr>
                <w:rFonts w:cs="Arial"/>
                <w:sz w:val="20"/>
                <w:lang w:eastAsia="fr-CA"/>
              </w:rPr>
            </w:pPr>
            <w:r w:rsidRPr="005F7C86">
              <w:rPr>
                <w:rFonts w:cs="Arial"/>
                <w:sz w:val="20"/>
                <w:lang w:eastAsia="fr-CA"/>
              </w:rPr>
              <w:t>Appalaches Investissements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6B58ED4E" w14:textId="77777777" w:rsidR="007A6C58" w:rsidRPr="005F7C86" w:rsidRDefault="00730A01" w:rsidP="004F1FCF">
            <w:pPr>
              <w:jc w:val="right"/>
              <w:rPr>
                <w:rFonts w:cs="Arial"/>
                <w:sz w:val="20"/>
                <w:lang w:eastAsia="fr-CA"/>
              </w:rPr>
            </w:pPr>
            <w:r w:rsidRPr="005F7C86">
              <w:rPr>
                <w:rFonts w:cs="Arial"/>
                <w:sz w:val="20"/>
                <w:lang w:eastAsia="fr-CA"/>
              </w:rPr>
              <w:t>15,06 %</w:t>
            </w:r>
          </w:p>
        </w:tc>
        <w:tc>
          <w:tcPr>
            <w:tcW w:w="2506" w:type="dxa"/>
            <w:tcBorders>
              <w:top w:val="single" w:sz="4" w:space="0" w:color="auto"/>
              <w:bottom w:val="single" w:sz="4" w:space="0" w:color="auto"/>
              <w:right w:val="single" w:sz="4" w:space="0" w:color="auto"/>
            </w:tcBorders>
            <w:vAlign w:val="center"/>
            <w:hideMark/>
          </w:tcPr>
          <w:p w14:paraId="4D94CAF6" w14:textId="77777777" w:rsidR="007A6C58" w:rsidRPr="005F7C86" w:rsidRDefault="00730A01" w:rsidP="0098012F">
            <w:pPr>
              <w:jc w:val="right"/>
              <w:rPr>
                <w:rFonts w:cs="Arial"/>
                <w:sz w:val="20"/>
                <w:lang w:eastAsia="fr-CA"/>
              </w:rPr>
            </w:pPr>
            <w:r w:rsidRPr="005F7C86">
              <w:rPr>
                <w:rFonts w:cs="Arial"/>
                <w:sz w:val="20"/>
                <w:lang w:eastAsia="fr-CA"/>
              </w:rPr>
              <w:t>10 997 401 $</w:t>
            </w:r>
          </w:p>
        </w:tc>
      </w:tr>
      <w:tr w:rsidR="00FE3D17" w14:paraId="66C087B9" w14:textId="77777777" w:rsidTr="005F7C86">
        <w:trPr>
          <w:tblCellSpacing w:w="15" w:type="dxa"/>
        </w:trPr>
        <w:tc>
          <w:tcPr>
            <w:tcW w:w="4031" w:type="dxa"/>
            <w:tcBorders>
              <w:left w:val="single" w:sz="4" w:space="0" w:color="auto"/>
              <w:bottom w:val="single" w:sz="4" w:space="0" w:color="auto"/>
            </w:tcBorders>
            <w:vAlign w:val="center"/>
            <w:hideMark/>
          </w:tcPr>
          <w:p w14:paraId="57A747E3" w14:textId="77777777" w:rsidR="007A6C58" w:rsidRPr="005F7C86" w:rsidRDefault="00730A01" w:rsidP="0098012F">
            <w:pPr>
              <w:rPr>
                <w:rFonts w:cs="Arial"/>
                <w:sz w:val="20"/>
                <w:lang w:eastAsia="fr-CA"/>
              </w:rPr>
            </w:pPr>
            <w:r w:rsidRPr="005F7C86">
              <w:rPr>
                <w:rFonts w:cs="Arial"/>
                <w:sz w:val="20"/>
                <w:lang w:eastAsia="fr-CA"/>
              </w:rPr>
              <w:t>Éric Tremblay</w:t>
            </w:r>
          </w:p>
        </w:tc>
        <w:tc>
          <w:tcPr>
            <w:tcW w:w="1671" w:type="dxa"/>
            <w:tcBorders>
              <w:left w:val="single" w:sz="4" w:space="0" w:color="auto"/>
              <w:bottom w:val="single" w:sz="4" w:space="0" w:color="auto"/>
              <w:right w:val="single" w:sz="4" w:space="0" w:color="auto"/>
            </w:tcBorders>
            <w:vAlign w:val="center"/>
            <w:hideMark/>
          </w:tcPr>
          <w:p w14:paraId="477DC2EE" w14:textId="77777777" w:rsidR="007A6C58" w:rsidRPr="005F7C86" w:rsidRDefault="00730A01" w:rsidP="004F1FCF">
            <w:pPr>
              <w:jc w:val="right"/>
              <w:rPr>
                <w:rFonts w:cs="Arial"/>
                <w:sz w:val="20"/>
                <w:lang w:eastAsia="fr-CA"/>
              </w:rPr>
            </w:pPr>
            <w:r w:rsidRPr="005F7C86">
              <w:rPr>
                <w:rFonts w:cs="Arial"/>
                <w:sz w:val="20"/>
                <w:lang w:eastAsia="fr-CA"/>
              </w:rPr>
              <w:t>2,38 %</w:t>
            </w:r>
          </w:p>
        </w:tc>
        <w:tc>
          <w:tcPr>
            <w:tcW w:w="2506" w:type="dxa"/>
            <w:tcBorders>
              <w:bottom w:val="single" w:sz="4" w:space="0" w:color="auto"/>
              <w:right w:val="single" w:sz="4" w:space="0" w:color="auto"/>
            </w:tcBorders>
            <w:vAlign w:val="center"/>
            <w:hideMark/>
          </w:tcPr>
          <w:p w14:paraId="3EABFAC7" w14:textId="77777777" w:rsidR="007A6C58" w:rsidRPr="005F7C86" w:rsidRDefault="00730A01" w:rsidP="0098012F">
            <w:pPr>
              <w:jc w:val="right"/>
              <w:rPr>
                <w:rFonts w:cs="Arial"/>
                <w:sz w:val="20"/>
                <w:lang w:eastAsia="fr-CA"/>
              </w:rPr>
            </w:pPr>
            <w:r w:rsidRPr="005F7C86">
              <w:rPr>
                <w:rFonts w:cs="Arial"/>
                <w:sz w:val="20"/>
                <w:lang w:eastAsia="fr-CA"/>
              </w:rPr>
              <w:t>1 738 824 $</w:t>
            </w:r>
          </w:p>
        </w:tc>
      </w:tr>
      <w:tr w:rsidR="00FE3D17" w14:paraId="4BE6BCAE" w14:textId="77777777" w:rsidTr="005F7C86">
        <w:trPr>
          <w:tblCellSpacing w:w="15" w:type="dxa"/>
        </w:trPr>
        <w:tc>
          <w:tcPr>
            <w:tcW w:w="4031" w:type="dxa"/>
            <w:tcBorders>
              <w:left w:val="single" w:sz="4" w:space="0" w:color="auto"/>
            </w:tcBorders>
            <w:vAlign w:val="center"/>
            <w:hideMark/>
          </w:tcPr>
          <w:p w14:paraId="03239F79" w14:textId="77777777" w:rsidR="007A6C58" w:rsidRPr="005F7C86" w:rsidRDefault="00730A01" w:rsidP="0098012F">
            <w:pPr>
              <w:rPr>
                <w:rFonts w:cs="Arial"/>
                <w:sz w:val="20"/>
                <w:lang w:eastAsia="fr-CA"/>
              </w:rPr>
            </w:pPr>
            <w:r w:rsidRPr="005F7C86">
              <w:rPr>
                <w:rFonts w:cs="Arial"/>
                <w:sz w:val="20"/>
                <w:lang w:eastAsia="fr-CA"/>
              </w:rPr>
              <w:t>Gestion Immobilière R. Godbout inc.</w:t>
            </w:r>
          </w:p>
        </w:tc>
        <w:tc>
          <w:tcPr>
            <w:tcW w:w="1671" w:type="dxa"/>
            <w:tcBorders>
              <w:left w:val="single" w:sz="4" w:space="0" w:color="auto"/>
              <w:right w:val="single" w:sz="4" w:space="0" w:color="auto"/>
            </w:tcBorders>
            <w:vAlign w:val="center"/>
            <w:hideMark/>
          </w:tcPr>
          <w:p w14:paraId="08A9A194" w14:textId="77777777" w:rsidR="007A6C58" w:rsidRPr="005F7C86" w:rsidRDefault="00730A01" w:rsidP="004F1FCF">
            <w:pPr>
              <w:jc w:val="right"/>
              <w:rPr>
                <w:rFonts w:cs="Arial"/>
                <w:sz w:val="20"/>
                <w:lang w:eastAsia="fr-CA"/>
              </w:rPr>
            </w:pPr>
            <w:r w:rsidRPr="005F7C86">
              <w:rPr>
                <w:rFonts w:cs="Arial"/>
                <w:sz w:val="20"/>
                <w:lang w:eastAsia="fr-CA"/>
              </w:rPr>
              <w:t>1,68 %</w:t>
            </w:r>
          </w:p>
        </w:tc>
        <w:tc>
          <w:tcPr>
            <w:tcW w:w="2506" w:type="dxa"/>
            <w:tcBorders>
              <w:right w:val="single" w:sz="4" w:space="0" w:color="auto"/>
            </w:tcBorders>
            <w:vAlign w:val="center"/>
            <w:hideMark/>
          </w:tcPr>
          <w:p w14:paraId="6EA85C38" w14:textId="77777777" w:rsidR="007A6C58" w:rsidRPr="005F7C86" w:rsidRDefault="00730A01" w:rsidP="0098012F">
            <w:pPr>
              <w:jc w:val="right"/>
              <w:rPr>
                <w:rFonts w:cs="Arial"/>
                <w:sz w:val="20"/>
                <w:lang w:eastAsia="fr-CA"/>
              </w:rPr>
            </w:pPr>
            <w:r w:rsidRPr="005F7C86">
              <w:rPr>
                <w:rFonts w:cs="Arial"/>
                <w:sz w:val="20"/>
                <w:lang w:eastAsia="fr-CA"/>
              </w:rPr>
              <w:t>1 224 059 $</w:t>
            </w:r>
          </w:p>
        </w:tc>
      </w:tr>
      <w:tr w:rsidR="00FE3D17" w14:paraId="453B9B6F" w14:textId="77777777" w:rsidTr="005F7C86">
        <w:trPr>
          <w:tblCellSpacing w:w="15" w:type="dxa"/>
        </w:trPr>
        <w:tc>
          <w:tcPr>
            <w:tcW w:w="4031" w:type="dxa"/>
            <w:tcBorders>
              <w:top w:val="single" w:sz="4" w:space="0" w:color="auto"/>
              <w:left w:val="single" w:sz="4" w:space="0" w:color="auto"/>
            </w:tcBorders>
            <w:vAlign w:val="center"/>
            <w:hideMark/>
          </w:tcPr>
          <w:p w14:paraId="6DE142F0" w14:textId="77777777" w:rsidR="007A6C58" w:rsidRPr="005F7C86" w:rsidRDefault="00730A01" w:rsidP="0098012F">
            <w:pPr>
              <w:rPr>
                <w:rFonts w:cs="Arial"/>
                <w:sz w:val="20"/>
                <w:lang w:eastAsia="fr-CA"/>
              </w:rPr>
            </w:pPr>
            <w:r w:rsidRPr="005F7C86">
              <w:rPr>
                <w:rFonts w:cs="Arial"/>
                <w:sz w:val="20"/>
                <w:lang w:eastAsia="fr-CA"/>
              </w:rPr>
              <w:t>9023-0772 Québec inc.</w:t>
            </w:r>
          </w:p>
        </w:tc>
        <w:tc>
          <w:tcPr>
            <w:tcW w:w="1671" w:type="dxa"/>
            <w:tcBorders>
              <w:top w:val="single" w:sz="4" w:space="0" w:color="auto"/>
              <w:left w:val="single" w:sz="4" w:space="0" w:color="auto"/>
              <w:right w:val="single" w:sz="4" w:space="0" w:color="auto"/>
            </w:tcBorders>
            <w:vAlign w:val="center"/>
            <w:hideMark/>
          </w:tcPr>
          <w:p w14:paraId="75D1E852" w14:textId="77777777" w:rsidR="007A6C58" w:rsidRPr="005F7C86" w:rsidRDefault="00730A01" w:rsidP="004F1FCF">
            <w:pPr>
              <w:jc w:val="right"/>
              <w:rPr>
                <w:rFonts w:cs="Arial"/>
                <w:sz w:val="20"/>
                <w:lang w:eastAsia="fr-CA"/>
              </w:rPr>
            </w:pPr>
            <w:r w:rsidRPr="005F7C86">
              <w:rPr>
                <w:rFonts w:cs="Arial"/>
                <w:sz w:val="20"/>
                <w:lang w:eastAsia="fr-CA"/>
              </w:rPr>
              <w:t>0,63 %</w:t>
            </w:r>
          </w:p>
        </w:tc>
        <w:tc>
          <w:tcPr>
            <w:tcW w:w="2506" w:type="dxa"/>
            <w:tcBorders>
              <w:top w:val="single" w:sz="4" w:space="0" w:color="auto"/>
              <w:right w:val="single" w:sz="4" w:space="0" w:color="auto"/>
            </w:tcBorders>
            <w:vAlign w:val="center"/>
            <w:hideMark/>
          </w:tcPr>
          <w:p w14:paraId="10CA8ACD" w14:textId="77777777" w:rsidR="007A6C58" w:rsidRPr="005F7C86" w:rsidRDefault="00730A01" w:rsidP="0098012F">
            <w:pPr>
              <w:jc w:val="right"/>
              <w:rPr>
                <w:rFonts w:cs="Arial"/>
                <w:sz w:val="20"/>
                <w:lang w:eastAsia="fr-CA"/>
              </w:rPr>
            </w:pPr>
            <w:r w:rsidRPr="005F7C86">
              <w:rPr>
                <w:rFonts w:cs="Arial"/>
                <w:sz w:val="20"/>
                <w:lang w:eastAsia="fr-CA"/>
              </w:rPr>
              <w:t>460 998 $</w:t>
            </w:r>
          </w:p>
        </w:tc>
      </w:tr>
      <w:tr w:rsidR="00FE3D17" w14:paraId="45076581" w14:textId="77777777" w:rsidTr="005F7C86">
        <w:trPr>
          <w:tblCellSpacing w:w="15" w:type="dxa"/>
        </w:trPr>
        <w:tc>
          <w:tcPr>
            <w:tcW w:w="4031" w:type="dxa"/>
            <w:tcBorders>
              <w:top w:val="single" w:sz="4" w:space="0" w:color="auto"/>
              <w:left w:val="single" w:sz="4" w:space="0" w:color="auto"/>
              <w:bottom w:val="single" w:sz="4" w:space="0" w:color="auto"/>
            </w:tcBorders>
            <w:vAlign w:val="center"/>
            <w:hideMark/>
          </w:tcPr>
          <w:p w14:paraId="1AC6DDAC" w14:textId="77777777" w:rsidR="007A6C58" w:rsidRPr="005F7C86" w:rsidRDefault="00730A01" w:rsidP="0098012F">
            <w:pPr>
              <w:rPr>
                <w:rFonts w:cs="Arial"/>
                <w:sz w:val="20"/>
                <w:lang w:eastAsia="fr-CA"/>
              </w:rPr>
            </w:pPr>
            <w:r w:rsidRPr="005F7C86">
              <w:rPr>
                <w:rFonts w:cs="Arial"/>
                <w:sz w:val="20"/>
                <w:lang w:eastAsia="fr-CA"/>
              </w:rPr>
              <w:t>Gestion Matabel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5A32DBFC" w14:textId="77777777" w:rsidR="007A6C58" w:rsidRPr="005F7C86" w:rsidRDefault="00730A01" w:rsidP="004F1FCF">
            <w:pPr>
              <w:jc w:val="right"/>
              <w:rPr>
                <w:rFonts w:cs="Arial"/>
                <w:sz w:val="20"/>
                <w:lang w:eastAsia="fr-CA"/>
              </w:rPr>
            </w:pPr>
            <w:r w:rsidRPr="005F7C86">
              <w:rPr>
                <w:rFonts w:cs="Arial"/>
                <w:sz w:val="20"/>
                <w:lang w:eastAsia="fr-CA"/>
              </w:rPr>
              <w:t>6,33 %</w:t>
            </w:r>
          </w:p>
        </w:tc>
        <w:tc>
          <w:tcPr>
            <w:tcW w:w="2506" w:type="dxa"/>
            <w:tcBorders>
              <w:top w:val="single" w:sz="4" w:space="0" w:color="auto"/>
              <w:bottom w:val="single" w:sz="4" w:space="0" w:color="auto"/>
              <w:right w:val="single" w:sz="4" w:space="0" w:color="auto"/>
            </w:tcBorders>
            <w:vAlign w:val="center"/>
            <w:hideMark/>
          </w:tcPr>
          <w:p w14:paraId="6C2E3DD8" w14:textId="77777777" w:rsidR="007A6C58" w:rsidRPr="005F7C86" w:rsidRDefault="00730A01" w:rsidP="0098012F">
            <w:pPr>
              <w:jc w:val="right"/>
              <w:rPr>
                <w:rFonts w:cs="Arial"/>
                <w:sz w:val="20"/>
                <w:lang w:eastAsia="fr-CA"/>
              </w:rPr>
            </w:pPr>
            <w:r w:rsidRPr="005F7C86">
              <w:rPr>
                <w:rFonts w:cs="Arial"/>
                <w:sz w:val="20"/>
                <w:lang w:eastAsia="fr-CA"/>
              </w:rPr>
              <w:t>4 622 321 $</w:t>
            </w:r>
          </w:p>
        </w:tc>
      </w:tr>
      <w:tr w:rsidR="00FE3D17" w14:paraId="235CF610" w14:textId="77777777" w:rsidTr="005F7C86">
        <w:trPr>
          <w:tblCellSpacing w:w="15" w:type="dxa"/>
        </w:trPr>
        <w:tc>
          <w:tcPr>
            <w:tcW w:w="4031" w:type="dxa"/>
            <w:tcBorders>
              <w:left w:val="single" w:sz="4" w:space="0" w:color="auto"/>
              <w:bottom w:val="single" w:sz="4" w:space="0" w:color="auto"/>
            </w:tcBorders>
            <w:vAlign w:val="center"/>
            <w:hideMark/>
          </w:tcPr>
          <w:p w14:paraId="47CDDE34" w14:textId="77777777" w:rsidR="007A6C58" w:rsidRPr="005F7C86" w:rsidRDefault="00730A01" w:rsidP="0098012F">
            <w:pPr>
              <w:rPr>
                <w:rFonts w:cs="Arial"/>
                <w:sz w:val="20"/>
                <w:lang w:eastAsia="fr-CA"/>
              </w:rPr>
            </w:pPr>
            <w:r w:rsidRPr="005F7C86">
              <w:rPr>
                <w:rFonts w:cs="Arial"/>
                <w:sz w:val="20"/>
                <w:lang w:eastAsia="fr-CA"/>
              </w:rPr>
              <w:t>Gestion Jocelyn Maurice Giguère inc.</w:t>
            </w:r>
          </w:p>
        </w:tc>
        <w:tc>
          <w:tcPr>
            <w:tcW w:w="1671" w:type="dxa"/>
            <w:tcBorders>
              <w:left w:val="single" w:sz="4" w:space="0" w:color="auto"/>
              <w:bottom w:val="single" w:sz="4" w:space="0" w:color="auto"/>
              <w:right w:val="single" w:sz="4" w:space="0" w:color="auto"/>
            </w:tcBorders>
            <w:vAlign w:val="center"/>
            <w:hideMark/>
          </w:tcPr>
          <w:p w14:paraId="3FD250A6" w14:textId="77777777" w:rsidR="007A6C58" w:rsidRPr="005F7C86" w:rsidRDefault="00730A01" w:rsidP="004F1FCF">
            <w:pPr>
              <w:jc w:val="right"/>
              <w:rPr>
                <w:rFonts w:cs="Arial"/>
                <w:sz w:val="20"/>
                <w:lang w:eastAsia="fr-CA"/>
              </w:rPr>
            </w:pPr>
            <w:r w:rsidRPr="005F7C86">
              <w:rPr>
                <w:rFonts w:cs="Arial"/>
                <w:sz w:val="20"/>
                <w:lang w:eastAsia="fr-CA"/>
              </w:rPr>
              <w:t>4,36 %</w:t>
            </w:r>
          </w:p>
        </w:tc>
        <w:tc>
          <w:tcPr>
            <w:tcW w:w="2506" w:type="dxa"/>
            <w:tcBorders>
              <w:bottom w:val="single" w:sz="4" w:space="0" w:color="auto"/>
              <w:right w:val="single" w:sz="4" w:space="0" w:color="auto"/>
            </w:tcBorders>
            <w:vAlign w:val="center"/>
            <w:hideMark/>
          </w:tcPr>
          <w:p w14:paraId="026CCF65" w14:textId="77777777" w:rsidR="007A6C58" w:rsidRPr="005F7C86" w:rsidRDefault="00730A01" w:rsidP="0098012F">
            <w:pPr>
              <w:jc w:val="right"/>
              <w:rPr>
                <w:rFonts w:cs="Arial"/>
                <w:sz w:val="20"/>
                <w:lang w:eastAsia="fr-CA"/>
              </w:rPr>
            </w:pPr>
            <w:r w:rsidRPr="005F7C86">
              <w:rPr>
                <w:rFonts w:cs="Arial"/>
                <w:sz w:val="20"/>
                <w:lang w:eastAsia="fr-CA"/>
              </w:rPr>
              <w:t>3 182 576 $</w:t>
            </w:r>
          </w:p>
        </w:tc>
      </w:tr>
      <w:tr w:rsidR="00FE3D17" w14:paraId="55138D24" w14:textId="77777777" w:rsidTr="005F7C86">
        <w:trPr>
          <w:tblCellSpacing w:w="15" w:type="dxa"/>
        </w:trPr>
        <w:tc>
          <w:tcPr>
            <w:tcW w:w="4031" w:type="dxa"/>
            <w:tcBorders>
              <w:left w:val="single" w:sz="4" w:space="0" w:color="auto"/>
            </w:tcBorders>
            <w:vAlign w:val="center"/>
            <w:hideMark/>
          </w:tcPr>
          <w:p w14:paraId="40588946" w14:textId="77777777" w:rsidR="007A6C58" w:rsidRPr="005F7C86" w:rsidRDefault="00730A01" w:rsidP="0098012F">
            <w:pPr>
              <w:rPr>
                <w:rFonts w:cs="Arial"/>
                <w:sz w:val="20"/>
                <w:lang w:eastAsia="fr-CA"/>
              </w:rPr>
            </w:pPr>
            <w:r w:rsidRPr="005F7C86">
              <w:rPr>
                <w:rFonts w:cs="Arial"/>
                <w:sz w:val="20"/>
                <w:lang w:eastAsia="fr-CA"/>
              </w:rPr>
              <w:t>Entreprises Bertrand Roberge Ltée</w:t>
            </w:r>
          </w:p>
        </w:tc>
        <w:tc>
          <w:tcPr>
            <w:tcW w:w="1671" w:type="dxa"/>
            <w:tcBorders>
              <w:left w:val="single" w:sz="4" w:space="0" w:color="auto"/>
              <w:right w:val="single" w:sz="4" w:space="0" w:color="auto"/>
            </w:tcBorders>
            <w:vAlign w:val="center"/>
            <w:hideMark/>
          </w:tcPr>
          <w:p w14:paraId="1F971B86" w14:textId="77777777" w:rsidR="007A6C58" w:rsidRPr="005F7C86" w:rsidRDefault="00730A01" w:rsidP="004F1FCF">
            <w:pPr>
              <w:jc w:val="right"/>
              <w:rPr>
                <w:rFonts w:cs="Arial"/>
                <w:sz w:val="20"/>
                <w:lang w:eastAsia="fr-CA"/>
              </w:rPr>
            </w:pPr>
            <w:r w:rsidRPr="005F7C86">
              <w:rPr>
                <w:rFonts w:cs="Arial"/>
                <w:sz w:val="20"/>
                <w:lang w:eastAsia="fr-CA"/>
              </w:rPr>
              <w:t>13,48 %</w:t>
            </w:r>
          </w:p>
        </w:tc>
        <w:tc>
          <w:tcPr>
            <w:tcW w:w="2506" w:type="dxa"/>
            <w:tcBorders>
              <w:right w:val="single" w:sz="4" w:space="0" w:color="auto"/>
            </w:tcBorders>
            <w:vAlign w:val="center"/>
            <w:hideMark/>
          </w:tcPr>
          <w:p w14:paraId="03079609" w14:textId="77777777" w:rsidR="007A6C58" w:rsidRPr="005F7C86" w:rsidRDefault="00730A01" w:rsidP="0098012F">
            <w:pPr>
              <w:jc w:val="right"/>
              <w:rPr>
                <w:rFonts w:cs="Arial"/>
                <w:sz w:val="20"/>
                <w:lang w:eastAsia="fr-CA"/>
              </w:rPr>
            </w:pPr>
            <w:r w:rsidRPr="005F7C86">
              <w:rPr>
                <w:rFonts w:cs="Arial"/>
                <w:sz w:val="20"/>
                <w:lang w:eastAsia="fr-CA"/>
              </w:rPr>
              <w:t>9 845 050 $</w:t>
            </w:r>
          </w:p>
        </w:tc>
      </w:tr>
      <w:tr w:rsidR="00FE3D17" w14:paraId="240755E0" w14:textId="77777777" w:rsidTr="005F7C86">
        <w:trPr>
          <w:tblCellSpacing w:w="15" w:type="dxa"/>
        </w:trPr>
        <w:tc>
          <w:tcPr>
            <w:tcW w:w="4031" w:type="dxa"/>
            <w:tcBorders>
              <w:top w:val="single" w:sz="4" w:space="0" w:color="auto"/>
              <w:left w:val="single" w:sz="4" w:space="0" w:color="auto"/>
              <w:bottom w:val="single" w:sz="4" w:space="0" w:color="auto"/>
            </w:tcBorders>
            <w:vAlign w:val="center"/>
            <w:hideMark/>
          </w:tcPr>
          <w:p w14:paraId="6A1A8EEC" w14:textId="77777777" w:rsidR="007A6C58" w:rsidRPr="005F7C86" w:rsidRDefault="00730A01" w:rsidP="0098012F">
            <w:pPr>
              <w:rPr>
                <w:rFonts w:cs="Arial"/>
                <w:sz w:val="20"/>
                <w:lang w:eastAsia="fr-CA"/>
              </w:rPr>
            </w:pPr>
            <w:r w:rsidRPr="005F7C86">
              <w:rPr>
                <w:rFonts w:cs="Arial"/>
                <w:sz w:val="20"/>
                <w:lang w:eastAsia="fr-CA"/>
              </w:rPr>
              <w:t>Gexpharm ULC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17E9D358" w14:textId="77777777" w:rsidR="007A6C58" w:rsidRPr="005F7C86" w:rsidRDefault="00730A01" w:rsidP="004F1FCF">
            <w:pPr>
              <w:jc w:val="right"/>
              <w:rPr>
                <w:rFonts w:cs="Arial"/>
                <w:sz w:val="20"/>
                <w:lang w:eastAsia="fr-CA"/>
              </w:rPr>
            </w:pPr>
            <w:r w:rsidRPr="005F7C86">
              <w:rPr>
                <w:rFonts w:cs="Arial"/>
                <w:sz w:val="20"/>
                <w:lang w:eastAsia="fr-CA"/>
              </w:rPr>
              <w:t>9,26 %</w:t>
            </w:r>
          </w:p>
        </w:tc>
        <w:tc>
          <w:tcPr>
            <w:tcW w:w="2506" w:type="dxa"/>
            <w:tcBorders>
              <w:top w:val="single" w:sz="4" w:space="0" w:color="auto"/>
              <w:bottom w:val="single" w:sz="4" w:space="0" w:color="auto"/>
              <w:right w:val="single" w:sz="4" w:space="0" w:color="auto"/>
            </w:tcBorders>
            <w:vAlign w:val="center"/>
            <w:hideMark/>
          </w:tcPr>
          <w:p w14:paraId="005DA81F" w14:textId="77777777" w:rsidR="007A6C58" w:rsidRPr="005F7C86" w:rsidRDefault="00730A01" w:rsidP="0098012F">
            <w:pPr>
              <w:jc w:val="right"/>
              <w:rPr>
                <w:rFonts w:cs="Arial"/>
                <w:sz w:val="20"/>
                <w:lang w:eastAsia="fr-CA"/>
              </w:rPr>
            </w:pPr>
            <w:r w:rsidRPr="005F7C86">
              <w:rPr>
                <w:rFonts w:cs="Arial"/>
                <w:sz w:val="20"/>
                <w:lang w:eastAsia="fr-CA"/>
              </w:rPr>
              <w:t>6 762 903 $</w:t>
            </w:r>
          </w:p>
        </w:tc>
      </w:tr>
      <w:tr w:rsidR="00FE3D17" w14:paraId="241BC294" w14:textId="77777777" w:rsidTr="005F7C86">
        <w:trPr>
          <w:tblCellSpacing w:w="15" w:type="dxa"/>
        </w:trPr>
        <w:tc>
          <w:tcPr>
            <w:tcW w:w="4031" w:type="dxa"/>
            <w:tcBorders>
              <w:left w:val="single" w:sz="4" w:space="0" w:color="auto"/>
              <w:bottom w:val="single" w:sz="4" w:space="0" w:color="auto"/>
            </w:tcBorders>
            <w:vAlign w:val="center"/>
            <w:hideMark/>
          </w:tcPr>
          <w:p w14:paraId="48763716" w14:textId="77777777" w:rsidR="007A6C58" w:rsidRPr="005F7C86" w:rsidRDefault="00730A01" w:rsidP="0098012F">
            <w:pPr>
              <w:rPr>
                <w:rFonts w:cs="Arial"/>
                <w:sz w:val="20"/>
                <w:lang w:eastAsia="fr-CA"/>
              </w:rPr>
            </w:pPr>
            <w:r w:rsidRPr="005F7C86">
              <w:rPr>
                <w:rFonts w:cs="Arial"/>
                <w:sz w:val="20"/>
                <w:lang w:eastAsia="fr-CA"/>
              </w:rPr>
              <w:t>Gestion Financière Alain Guay</w:t>
            </w:r>
          </w:p>
        </w:tc>
        <w:tc>
          <w:tcPr>
            <w:tcW w:w="1671" w:type="dxa"/>
            <w:tcBorders>
              <w:left w:val="single" w:sz="4" w:space="0" w:color="auto"/>
              <w:bottom w:val="single" w:sz="4" w:space="0" w:color="auto"/>
              <w:right w:val="single" w:sz="4" w:space="0" w:color="auto"/>
            </w:tcBorders>
            <w:vAlign w:val="center"/>
            <w:hideMark/>
          </w:tcPr>
          <w:p w14:paraId="7A2C1E81" w14:textId="77777777" w:rsidR="007A6C58" w:rsidRPr="005F7C86" w:rsidRDefault="00730A01" w:rsidP="004F1FCF">
            <w:pPr>
              <w:jc w:val="right"/>
              <w:rPr>
                <w:rFonts w:cs="Arial"/>
                <w:sz w:val="20"/>
                <w:lang w:eastAsia="fr-CA"/>
              </w:rPr>
            </w:pPr>
            <w:r w:rsidRPr="005F7C86">
              <w:rPr>
                <w:rFonts w:cs="Arial"/>
                <w:sz w:val="20"/>
                <w:lang w:eastAsia="fr-CA"/>
              </w:rPr>
              <w:t>2,20 %</w:t>
            </w:r>
          </w:p>
        </w:tc>
        <w:tc>
          <w:tcPr>
            <w:tcW w:w="2506" w:type="dxa"/>
            <w:tcBorders>
              <w:bottom w:val="single" w:sz="4" w:space="0" w:color="auto"/>
              <w:right w:val="single" w:sz="4" w:space="0" w:color="auto"/>
            </w:tcBorders>
            <w:vAlign w:val="center"/>
            <w:hideMark/>
          </w:tcPr>
          <w:p w14:paraId="099B4110" w14:textId="77777777" w:rsidR="007A6C58" w:rsidRPr="005F7C86" w:rsidRDefault="00730A01" w:rsidP="0098012F">
            <w:pPr>
              <w:jc w:val="right"/>
              <w:rPr>
                <w:rFonts w:cs="Arial"/>
                <w:sz w:val="20"/>
                <w:lang w:eastAsia="fr-CA"/>
              </w:rPr>
            </w:pPr>
            <w:r w:rsidRPr="005F7C86">
              <w:rPr>
                <w:rFonts w:cs="Arial"/>
                <w:sz w:val="20"/>
                <w:lang w:eastAsia="fr-CA"/>
              </w:rPr>
              <w:t>1 605 676 $</w:t>
            </w:r>
          </w:p>
        </w:tc>
      </w:tr>
      <w:tr w:rsidR="00FE3D17" w14:paraId="5E95DFA0" w14:textId="77777777" w:rsidTr="005F7C86">
        <w:trPr>
          <w:tblCellSpacing w:w="15" w:type="dxa"/>
        </w:trPr>
        <w:tc>
          <w:tcPr>
            <w:tcW w:w="4031" w:type="dxa"/>
            <w:tcBorders>
              <w:left w:val="single" w:sz="4" w:space="0" w:color="auto"/>
            </w:tcBorders>
            <w:vAlign w:val="center"/>
            <w:hideMark/>
          </w:tcPr>
          <w:p w14:paraId="58047158" w14:textId="77777777" w:rsidR="007A6C58" w:rsidRPr="005F7C86" w:rsidRDefault="00730A01" w:rsidP="0098012F">
            <w:pPr>
              <w:rPr>
                <w:rFonts w:cs="Arial"/>
                <w:sz w:val="20"/>
                <w:lang w:eastAsia="fr-CA"/>
              </w:rPr>
            </w:pPr>
            <w:r w:rsidRPr="005F7C86">
              <w:rPr>
                <w:rFonts w:cs="Arial"/>
                <w:sz w:val="20"/>
                <w:lang w:eastAsia="fr-CA"/>
              </w:rPr>
              <w:t>Fiducie Familiale Daniel Arguin</w:t>
            </w:r>
          </w:p>
        </w:tc>
        <w:tc>
          <w:tcPr>
            <w:tcW w:w="1671" w:type="dxa"/>
            <w:tcBorders>
              <w:left w:val="single" w:sz="4" w:space="0" w:color="auto"/>
              <w:right w:val="single" w:sz="4" w:space="0" w:color="auto"/>
            </w:tcBorders>
            <w:vAlign w:val="center"/>
            <w:hideMark/>
          </w:tcPr>
          <w:p w14:paraId="3D7D250B" w14:textId="77777777" w:rsidR="007A6C58" w:rsidRPr="005F7C86" w:rsidRDefault="00730A01" w:rsidP="004F1FCF">
            <w:pPr>
              <w:jc w:val="right"/>
              <w:rPr>
                <w:rFonts w:cs="Arial"/>
                <w:sz w:val="20"/>
                <w:lang w:eastAsia="fr-CA"/>
              </w:rPr>
            </w:pPr>
            <w:r w:rsidRPr="005F7C86">
              <w:rPr>
                <w:rFonts w:cs="Arial"/>
                <w:sz w:val="20"/>
                <w:lang w:eastAsia="fr-CA"/>
              </w:rPr>
              <w:t>1,67 %</w:t>
            </w:r>
          </w:p>
        </w:tc>
        <w:tc>
          <w:tcPr>
            <w:tcW w:w="2506" w:type="dxa"/>
            <w:tcBorders>
              <w:right w:val="single" w:sz="4" w:space="0" w:color="auto"/>
            </w:tcBorders>
            <w:vAlign w:val="center"/>
            <w:hideMark/>
          </w:tcPr>
          <w:p w14:paraId="0502FC4E" w14:textId="77777777" w:rsidR="007A6C58" w:rsidRPr="005F7C86" w:rsidRDefault="00730A01" w:rsidP="0098012F">
            <w:pPr>
              <w:jc w:val="right"/>
              <w:rPr>
                <w:rFonts w:cs="Arial"/>
                <w:sz w:val="20"/>
                <w:lang w:eastAsia="fr-CA"/>
              </w:rPr>
            </w:pPr>
            <w:r w:rsidRPr="005F7C86">
              <w:rPr>
                <w:rFonts w:cs="Arial"/>
                <w:sz w:val="20"/>
                <w:lang w:eastAsia="fr-CA"/>
              </w:rPr>
              <w:t>1 218 643 $</w:t>
            </w:r>
          </w:p>
        </w:tc>
      </w:tr>
      <w:tr w:rsidR="00FE3D17" w14:paraId="76840FCE" w14:textId="77777777" w:rsidTr="005F7C86">
        <w:trPr>
          <w:tblCellSpacing w:w="15" w:type="dxa"/>
        </w:trPr>
        <w:tc>
          <w:tcPr>
            <w:tcW w:w="4031" w:type="dxa"/>
            <w:tcBorders>
              <w:top w:val="single" w:sz="4" w:space="0" w:color="auto"/>
              <w:left w:val="single" w:sz="4" w:space="0" w:color="auto"/>
              <w:bottom w:val="single" w:sz="4" w:space="0" w:color="auto"/>
            </w:tcBorders>
            <w:vAlign w:val="center"/>
            <w:hideMark/>
          </w:tcPr>
          <w:p w14:paraId="36B0EC2B" w14:textId="77777777" w:rsidR="007A6C58" w:rsidRPr="005F7C86" w:rsidRDefault="00730A01" w:rsidP="0098012F">
            <w:pPr>
              <w:rPr>
                <w:rFonts w:cs="Arial"/>
                <w:sz w:val="20"/>
                <w:lang w:eastAsia="fr-CA"/>
              </w:rPr>
            </w:pPr>
            <w:r w:rsidRPr="005F7C86">
              <w:rPr>
                <w:rFonts w:cs="Arial"/>
                <w:sz w:val="20"/>
                <w:lang w:eastAsia="fr-CA"/>
              </w:rPr>
              <w:t>Gestion JEAPE 2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3C610ECE" w14:textId="77777777" w:rsidR="007A6C58" w:rsidRPr="005F7C86" w:rsidRDefault="00730A01" w:rsidP="004F1FCF">
            <w:pPr>
              <w:jc w:val="right"/>
              <w:rPr>
                <w:rFonts w:cs="Arial"/>
                <w:sz w:val="20"/>
                <w:lang w:eastAsia="fr-CA"/>
              </w:rPr>
            </w:pPr>
            <w:r w:rsidRPr="005F7C86">
              <w:rPr>
                <w:rFonts w:cs="Arial"/>
                <w:sz w:val="20"/>
                <w:lang w:eastAsia="fr-CA"/>
              </w:rPr>
              <w:t>2,29 %</w:t>
            </w:r>
          </w:p>
        </w:tc>
        <w:tc>
          <w:tcPr>
            <w:tcW w:w="2506" w:type="dxa"/>
            <w:tcBorders>
              <w:top w:val="single" w:sz="4" w:space="0" w:color="auto"/>
              <w:bottom w:val="single" w:sz="4" w:space="0" w:color="auto"/>
              <w:right w:val="single" w:sz="4" w:space="0" w:color="auto"/>
            </w:tcBorders>
            <w:vAlign w:val="center"/>
            <w:hideMark/>
          </w:tcPr>
          <w:p w14:paraId="7281BEDD" w14:textId="77777777" w:rsidR="007A6C58" w:rsidRPr="005F7C86" w:rsidRDefault="00730A01" w:rsidP="0098012F">
            <w:pPr>
              <w:jc w:val="right"/>
              <w:rPr>
                <w:rFonts w:cs="Arial"/>
                <w:sz w:val="20"/>
                <w:lang w:eastAsia="fr-CA"/>
              </w:rPr>
            </w:pPr>
            <w:r w:rsidRPr="005F7C86">
              <w:rPr>
                <w:rFonts w:cs="Arial"/>
                <w:sz w:val="20"/>
                <w:lang w:eastAsia="fr-CA"/>
              </w:rPr>
              <w:t>1 673 941 $</w:t>
            </w:r>
          </w:p>
        </w:tc>
      </w:tr>
      <w:tr w:rsidR="00FE3D17" w14:paraId="5F2EEBFF" w14:textId="77777777" w:rsidTr="005F7C86">
        <w:trPr>
          <w:tblCellSpacing w:w="15" w:type="dxa"/>
        </w:trPr>
        <w:tc>
          <w:tcPr>
            <w:tcW w:w="4031" w:type="dxa"/>
            <w:tcBorders>
              <w:left w:val="single" w:sz="4" w:space="0" w:color="auto"/>
            </w:tcBorders>
            <w:vAlign w:val="center"/>
            <w:hideMark/>
          </w:tcPr>
          <w:p w14:paraId="435F44DA" w14:textId="77777777" w:rsidR="007A6C58" w:rsidRPr="005F7C86" w:rsidRDefault="00730A01" w:rsidP="0098012F">
            <w:pPr>
              <w:rPr>
                <w:rFonts w:cs="Arial"/>
                <w:sz w:val="20"/>
                <w:lang w:eastAsia="fr-CA"/>
              </w:rPr>
            </w:pPr>
            <w:r w:rsidRPr="005F7C86">
              <w:rPr>
                <w:rFonts w:cs="Arial"/>
                <w:sz w:val="20"/>
                <w:lang w:eastAsia="fr-CA"/>
              </w:rPr>
              <w:t>Gestion Jayvan inc.</w:t>
            </w:r>
          </w:p>
        </w:tc>
        <w:tc>
          <w:tcPr>
            <w:tcW w:w="1671" w:type="dxa"/>
            <w:tcBorders>
              <w:left w:val="single" w:sz="4" w:space="0" w:color="auto"/>
              <w:right w:val="single" w:sz="4" w:space="0" w:color="auto"/>
            </w:tcBorders>
            <w:vAlign w:val="center"/>
            <w:hideMark/>
          </w:tcPr>
          <w:p w14:paraId="38E13224" w14:textId="77777777" w:rsidR="007A6C58" w:rsidRPr="005F7C86" w:rsidRDefault="00730A01" w:rsidP="004F1FCF">
            <w:pPr>
              <w:jc w:val="right"/>
              <w:rPr>
                <w:rFonts w:cs="Arial"/>
                <w:sz w:val="20"/>
                <w:lang w:eastAsia="fr-CA"/>
              </w:rPr>
            </w:pPr>
            <w:r w:rsidRPr="005F7C86">
              <w:rPr>
                <w:rFonts w:cs="Arial"/>
                <w:sz w:val="20"/>
                <w:lang w:eastAsia="fr-CA"/>
              </w:rPr>
              <w:t>1,55 %</w:t>
            </w:r>
          </w:p>
        </w:tc>
        <w:tc>
          <w:tcPr>
            <w:tcW w:w="2506" w:type="dxa"/>
            <w:tcBorders>
              <w:right w:val="single" w:sz="4" w:space="0" w:color="auto"/>
            </w:tcBorders>
            <w:vAlign w:val="center"/>
            <w:hideMark/>
          </w:tcPr>
          <w:p w14:paraId="324D6BD7" w14:textId="77777777" w:rsidR="007A6C58" w:rsidRPr="005F7C86" w:rsidRDefault="00730A01" w:rsidP="0098012F">
            <w:pPr>
              <w:jc w:val="right"/>
              <w:rPr>
                <w:rFonts w:cs="Arial"/>
                <w:sz w:val="20"/>
                <w:lang w:eastAsia="fr-CA"/>
              </w:rPr>
            </w:pPr>
            <w:r w:rsidRPr="005F7C86">
              <w:rPr>
                <w:rFonts w:cs="Arial"/>
                <w:sz w:val="20"/>
                <w:lang w:eastAsia="fr-CA"/>
              </w:rPr>
              <w:t>1 130 627 $</w:t>
            </w:r>
          </w:p>
        </w:tc>
      </w:tr>
      <w:tr w:rsidR="00FE3D17" w14:paraId="4A60DBEA" w14:textId="77777777" w:rsidTr="005F7C86">
        <w:trPr>
          <w:tblCellSpacing w:w="15" w:type="dxa"/>
        </w:trPr>
        <w:tc>
          <w:tcPr>
            <w:tcW w:w="4031" w:type="dxa"/>
            <w:tcBorders>
              <w:top w:val="single" w:sz="4" w:space="0" w:color="auto"/>
              <w:left w:val="single" w:sz="4" w:space="0" w:color="auto"/>
              <w:bottom w:val="single" w:sz="4" w:space="0" w:color="auto"/>
            </w:tcBorders>
            <w:vAlign w:val="center"/>
            <w:hideMark/>
          </w:tcPr>
          <w:p w14:paraId="26208E20" w14:textId="77777777" w:rsidR="007A6C58" w:rsidRPr="005F7C86" w:rsidRDefault="00730A01" w:rsidP="0098012F">
            <w:pPr>
              <w:rPr>
                <w:rFonts w:cs="Arial"/>
                <w:sz w:val="20"/>
                <w:lang w:eastAsia="fr-CA"/>
              </w:rPr>
            </w:pPr>
            <w:r w:rsidRPr="005F7C86">
              <w:rPr>
                <w:rFonts w:cs="Arial"/>
                <w:sz w:val="20"/>
                <w:lang w:eastAsia="fr-CA"/>
              </w:rPr>
              <w:t>Immeubles A&amp;R Perron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49F91819" w14:textId="77777777" w:rsidR="007A6C58" w:rsidRPr="005F7C86" w:rsidRDefault="00730A01" w:rsidP="004F1FCF">
            <w:pPr>
              <w:jc w:val="right"/>
              <w:rPr>
                <w:rFonts w:cs="Arial"/>
                <w:sz w:val="20"/>
                <w:lang w:eastAsia="fr-CA"/>
              </w:rPr>
            </w:pPr>
            <w:r w:rsidRPr="005F7C86">
              <w:rPr>
                <w:rFonts w:cs="Arial"/>
                <w:sz w:val="20"/>
                <w:lang w:eastAsia="fr-CA"/>
              </w:rPr>
              <w:t>7,24 %</w:t>
            </w:r>
          </w:p>
        </w:tc>
        <w:tc>
          <w:tcPr>
            <w:tcW w:w="2506" w:type="dxa"/>
            <w:tcBorders>
              <w:top w:val="single" w:sz="4" w:space="0" w:color="auto"/>
              <w:bottom w:val="single" w:sz="4" w:space="0" w:color="auto"/>
              <w:right w:val="single" w:sz="4" w:space="0" w:color="auto"/>
            </w:tcBorders>
            <w:vAlign w:val="center"/>
            <w:hideMark/>
          </w:tcPr>
          <w:p w14:paraId="741E52F1" w14:textId="77777777" w:rsidR="007A6C58" w:rsidRPr="005F7C86" w:rsidRDefault="00730A01" w:rsidP="0098012F">
            <w:pPr>
              <w:jc w:val="right"/>
              <w:rPr>
                <w:rFonts w:cs="Arial"/>
                <w:sz w:val="20"/>
                <w:lang w:eastAsia="fr-CA"/>
              </w:rPr>
            </w:pPr>
            <w:r w:rsidRPr="005F7C86">
              <w:rPr>
                <w:rFonts w:cs="Arial"/>
                <w:sz w:val="20"/>
                <w:lang w:eastAsia="fr-CA"/>
              </w:rPr>
              <w:t>5 288 683 $</w:t>
            </w:r>
          </w:p>
        </w:tc>
      </w:tr>
      <w:tr w:rsidR="00FE3D17" w14:paraId="335799A1" w14:textId="77777777" w:rsidTr="005F7C86">
        <w:trPr>
          <w:tblCellSpacing w:w="15" w:type="dxa"/>
        </w:trPr>
        <w:tc>
          <w:tcPr>
            <w:tcW w:w="4031" w:type="dxa"/>
            <w:tcBorders>
              <w:left w:val="single" w:sz="4" w:space="0" w:color="auto"/>
            </w:tcBorders>
            <w:vAlign w:val="center"/>
            <w:hideMark/>
          </w:tcPr>
          <w:p w14:paraId="00E17D4C" w14:textId="77777777" w:rsidR="007A6C58" w:rsidRPr="005F7C86" w:rsidRDefault="00730A01" w:rsidP="0098012F">
            <w:pPr>
              <w:rPr>
                <w:rFonts w:cs="Arial"/>
                <w:sz w:val="20"/>
                <w:lang w:eastAsia="fr-CA"/>
              </w:rPr>
            </w:pPr>
            <w:r w:rsidRPr="005F7C86">
              <w:rPr>
                <w:rFonts w:cs="Arial"/>
                <w:sz w:val="20"/>
                <w:lang w:eastAsia="fr-CA"/>
              </w:rPr>
              <w:t>Gestion Immobilière Robert Robitaille</w:t>
            </w:r>
            <w:r w:rsidR="008925CA" w:rsidRPr="005F7C86">
              <w:rPr>
                <w:rFonts w:cs="Arial"/>
                <w:sz w:val="20"/>
                <w:lang w:eastAsia="fr-CA"/>
              </w:rPr>
              <w:t xml:space="preserve"> inc</w:t>
            </w:r>
            <w:r w:rsidR="00E84014" w:rsidRPr="005F7C86">
              <w:rPr>
                <w:rFonts w:cs="Arial"/>
                <w:sz w:val="20"/>
                <w:lang w:eastAsia="fr-CA"/>
              </w:rPr>
              <w:t>.</w:t>
            </w:r>
            <w:r w:rsidRPr="005F7C86">
              <w:rPr>
                <w:rFonts w:cs="Arial"/>
                <w:sz w:val="20"/>
                <w:lang w:eastAsia="fr-CA"/>
              </w:rPr>
              <w:t xml:space="preserve"> </w:t>
            </w:r>
          </w:p>
        </w:tc>
        <w:tc>
          <w:tcPr>
            <w:tcW w:w="1671" w:type="dxa"/>
            <w:tcBorders>
              <w:left w:val="single" w:sz="4" w:space="0" w:color="auto"/>
              <w:right w:val="single" w:sz="4" w:space="0" w:color="auto"/>
            </w:tcBorders>
            <w:vAlign w:val="center"/>
            <w:hideMark/>
          </w:tcPr>
          <w:p w14:paraId="6590858E" w14:textId="77777777" w:rsidR="007A6C58" w:rsidRPr="005F7C86" w:rsidRDefault="00730A01" w:rsidP="004F1FCF">
            <w:pPr>
              <w:jc w:val="right"/>
              <w:rPr>
                <w:rFonts w:cs="Arial"/>
                <w:sz w:val="20"/>
                <w:lang w:eastAsia="fr-CA"/>
              </w:rPr>
            </w:pPr>
            <w:r w:rsidRPr="005F7C86">
              <w:rPr>
                <w:rFonts w:cs="Arial"/>
                <w:sz w:val="20"/>
                <w:lang w:eastAsia="fr-CA"/>
              </w:rPr>
              <w:t>1,76 %</w:t>
            </w:r>
          </w:p>
        </w:tc>
        <w:tc>
          <w:tcPr>
            <w:tcW w:w="2506" w:type="dxa"/>
            <w:tcBorders>
              <w:right w:val="single" w:sz="4" w:space="0" w:color="auto"/>
            </w:tcBorders>
            <w:vAlign w:val="center"/>
            <w:hideMark/>
          </w:tcPr>
          <w:p w14:paraId="74607439" w14:textId="77777777" w:rsidR="007A6C58" w:rsidRPr="005F7C86" w:rsidRDefault="00730A01" w:rsidP="0098012F">
            <w:pPr>
              <w:jc w:val="right"/>
              <w:rPr>
                <w:rFonts w:cs="Arial"/>
                <w:sz w:val="20"/>
                <w:lang w:eastAsia="fr-CA"/>
              </w:rPr>
            </w:pPr>
            <w:r w:rsidRPr="005F7C86">
              <w:rPr>
                <w:rFonts w:cs="Arial"/>
                <w:sz w:val="20"/>
                <w:lang w:eastAsia="fr-CA"/>
              </w:rPr>
              <w:t>1 283 806 $</w:t>
            </w:r>
          </w:p>
        </w:tc>
      </w:tr>
      <w:tr w:rsidR="00FE3D17" w14:paraId="24C73D55" w14:textId="77777777" w:rsidTr="005F7C86">
        <w:trPr>
          <w:tblCellSpacing w:w="15" w:type="dxa"/>
        </w:trPr>
        <w:tc>
          <w:tcPr>
            <w:tcW w:w="4031" w:type="dxa"/>
            <w:tcBorders>
              <w:top w:val="single" w:sz="4" w:space="0" w:color="auto"/>
              <w:left w:val="single" w:sz="4" w:space="0" w:color="auto"/>
            </w:tcBorders>
            <w:vAlign w:val="center"/>
            <w:hideMark/>
          </w:tcPr>
          <w:p w14:paraId="42AD971F" w14:textId="77777777" w:rsidR="007A6C58" w:rsidRPr="005F7C86" w:rsidRDefault="00730A01" w:rsidP="0098012F">
            <w:pPr>
              <w:rPr>
                <w:rFonts w:cs="Arial"/>
                <w:sz w:val="20"/>
                <w:lang w:eastAsia="fr-CA"/>
              </w:rPr>
            </w:pPr>
            <w:r w:rsidRPr="005F7C86">
              <w:rPr>
                <w:rFonts w:cs="Arial"/>
                <w:sz w:val="20"/>
                <w:lang w:eastAsia="fr-CA"/>
              </w:rPr>
              <w:t>9221-5029 Québec inc.</w:t>
            </w:r>
          </w:p>
        </w:tc>
        <w:tc>
          <w:tcPr>
            <w:tcW w:w="1671" w:type="dxa"/>
            <w:tcBorders>
              <w:top w:val="single" w:sz="4" w:space="0" w:color="auto"/>
              <w:left w:val="single" w:sz="4" w:space="0" w:color="auto"/>
              <w:right w:val="single" w:sz="4" w:space="0" w:color="auto"/>
            </w:tcBorders>
            <w:vAlign w:val="center"/>
            <w:hideMark/>
          </w:tcPr>
          <w:p w14:paraId="188B4DBE" w14:textId="77777777" w:rsidR="007A6C58" w:rsidRPr="005F7C86" w:rsidRDefault="00730A01" w:rsidP="004F1FCF">
            <w:pPr>
              <w:jc w:val="right"/>
              <w:rPr>
                <w:rFonts w:cs="Arial"/>
                <w:sz w:val="20"/>
                <w:lang w:eastAsia="fr-CA"/>
              </w:rPr>
            </w:pPr>
            <w:r w:rsidRPr="005F7C86">
              <w:rPr>
                <w:rFonts w:cs="Arial"/>
                <w:sz w:val="20"/>
                <w:lang w:eastAsia="fr-CA"/>
              </w:rPr>
              <w:t>0,52 %</w:t>
            </w:r>
          </w:p>
        </w:tc>
        <w:tc>
          <w:tcPr>
            <w:tcW w:w="2506" w:type="dxa"/>
            <w:tcBorders>
              <w:top w:val="single" w:sz="4" w:space="0" w:color="auto"/>
              <w:right w:val="single" w:sz="4" w:space="0" w:color="auto"/>
            </w:tcBorders>
            <w:vAlign w:val="center"/>
            <w:hideMark/>
          </w:tcPr>
          <w:p w14:paraId="33321E75" w14:textId="77777777" w:rsidR="007A6C58" w:rsidRPr="005F7C86" w:rsidRDefault="00730A01" w:rsidP="0098012F">
            <w:pPr>
              <w:jc w:val="right"/>
              <w:rPr>
                <w:rFonts w:cs="Arial"/>
                <w:sz w:val="20"/>
                <w:lang w:eastAsia="fr-CA"/>
              </w:rPr>
            </w:pPr>
            <w:r w:rsidRPr="005F7C86">
              <w:rPr>
                <w:rFonts w:cs="Arial"/>
                <w:sz w:val="20"/>
                <w:lang w:eastAsia="fr-CA"/>
              </w:rPr>
              <w:t>378 005 $</w:t>
            </w:r>
          </w:p>
        </w:tc>
      </w:tr>
      <w:tr w:rsidR="00FE3D17" w14:paraId="7DC61B4C" w14:textId="77777777" w:rsidTr="005F7C86">
        <w:trPr>
          <w:tblCellSpacing w:w="15" w:type="dxa"/>
        </w:trPr>
        <w:tc>
          <w:tcPr>
            <w:tcW w:w="4031" w:type="dxa"/>
            <w:tcBorders>
              <w:top w:val="single" w:sz="4" w:space="0" w:color="auto"/>
              <w:left w:val="single" w:sz="4" w:space="0" w:color="auto"/>
            </w:tcBorders>
            <w:vAlign w:val="center"/>
            <w:hideMark/>
          </w:tcPr>
          <w:p w14:paraId="0A889CA8" w14:textId="77777777" w:rsidR="007A6C58" w:rsidRPr="005F7C86" w:rsidRDefault="00730A01" w:rsidP="0098012F">
            <w:pPr>
              <w:rPr>
                <w:rFonts w:cs="Arial"/>
                <w:sz w:val="20"/>
                <w:lang w:eastAsia="fr-CA"/>
              </w:rPr>
            </w:pPr>
            <w:r w:rsidRPr="005F7C86">
              <w:rPr>
                <w:rFonts w:cs="Arial"/>
                <w:sz w:val="20"/>
                <w:lang w:eastAsia="fr-CA"/>
              </w:rPr>
              <w:t>9136-6245 Québec inc.</w:t>
            </w:r>
          </w:p>
        </w:tc>
        <w:tc>
          <w:tcPr>
            <w:tcW w:w="1671" w:type="dxa"/>
            <w:tcBorders>
              <w:top w:val="single" w:sz="4" w:space="0" w:color="auto"/>
              <w:left w:val="single" w:sz="4" w:space="0" w:color="auto"/>
              <w:right w:val="single" w:sz="4" w:space="0" w:color="auto"/>
            </w:tcBorders>
            <w:vAlign w:val="center"/>
            <w:hideMark/>
          </w:tcPr>
          <w:p w14:paraId="35EE840B" w14:textId="77777777" w:rsidR="007A6C58" w:rsidRPr="005F7C86" w:rsidRDefault="00730A01" w:rsidP="004F1FCF">
            <w:pPr>
              <w:jc w:val="right"/>
              <w:rPr>
                <w:rFonts w:cs="Arial"/>
                <w:sz w:val="20"/>
                <w:lang w:eastAsia="fr-CA"/>
              </w:rPr>
            </w:pPr>
            <w:r w:rsidRPr="005F7C86">
              <w:rPr>
                <w:rFonts w:cs="Arial"/>
                <w:sz w:val="20"/>
                <w:lang w:eastAsia="fr-CA"/>
              </w:rPr>
              <w:t>2,89 %</w:t>
            </w:r>
          </w:p>
        </w:tc>
        <w:tc>
          <w:tcPr>
            <w:tcW w:w="2506" w:type="dxa"/>
            <w:tcBorders>
              <w:top w:val="single" w:sz="4" w:space="0" w:color="auto"/>
              <w:right w:val="single" w:sz="4" w:space="0" w:color="auto"/>
            </w:tcBorders>
            <w:vAlign w:val="center"/>
            <w:hideMark/>
          </w:tcPr>
          <w:p w14:paraId="1A4C5784" w14:textId="77777777" w:rsidR="007A6C58" w:rsidRPr="005F7C86" w:rsidRDefault="00730A01" w:rsidP="0098012F">
            <w:pPr>
              <w:jc w:val="right"/>
              <w:rPr>
                <w:rFonts w:cs="Arial"/>
                <w:sz w:val="20"/>
                <w:lang w:eastAsia="fr-CA"/>
              </w:rPr>
            </w:pPr>
            <w:r w:rsidRPr="005F7C86">
              <w:rPr>
                <w:rFonts w:cs="Arial"/>
                <w:sz w:val="20"/>
                <w:lang w:eastAsia="fr-CA"/>
              </w:rPr>
              <w:t>2 113 726 $</w:t>
            </w:r>
          </w:p>
        </w:tc>
      </w:tr>
      <w:tr w:rsidR="00FE3D17" w14:paraId="73EFF960" w14:textId="77777777" w:rsidTr="005F7C86">
        <w:trPr>
          <w:trHeight w:val="567"/>
          <w:tblCellSpacing w:w="15" w:type="dxa"/>
        </w:trPr>
        <w:tc>
          <w:tcPr>
            <w:tcW w:w="4031" w:type="dxa"/>
            <w:tcBorders>
              <w:top w:val="single" w:sz="4" w:space="0" w:color="auto"/>
              <w:left w:val="single" w:sz="4" w:space="0" w:color="auto"/>
              <w:bottom w:val="single" w:sz="4" w:space="0" w:color="auto"/>
            </w:tcBorders>
            <w:vAlign w:val="center"/>
            <w:hideMark/>
          </w:tcPr>
          <w:p w14:paraId="3412233A" w14:textId="77777777" w:rsidR="007A6C58" w:rsidRPr="005F7C86" w:rsidRDefault="00730A01" w:rsidP="0098012F">
            <w:pPr>
              <w:rPr>
                <w:rFonts w:cs="Arial"/>
                <w:sz w:val="20"/>
                <w:lang w:eastAsia="fr-CA"/>
              </w:rPr>
            </w:pPr>
            <w:r w:rsidRPr="005F7C86">
              <w:rPr>
                <w:rFonts w:cs="Arial"/>
                <w:b/>
                <w:bCs/>
                <w:sz w:val="20"/>
                <w:lang w:eastAsia="fr-CA"/>
              </w:rPr>
              <w:t>Total (Demandeurs/commanditaires)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36DE4236" w14:textId="77777777" w:rsidR="007A6C58" w:rsidRPr="005F7C86" w:rsidRDefault="00730A01" w:rsidP="004F1FCF">
            <w:pPr>
              <w:jc w:val="right"/>
              <w:rPr>
                <w:rFonts w:cs="Arial"/>
                <w:sz w:val="20"/>
                <w:lang w:eastAsia="fr-CA"/>
              </w:rPr>
            </w:pPr>
            <w:r w:rsidRPr="005F7C86">
              <w:rPr>
                <w:rFonts w:cs="Arial"/>
                <w:b/>
                <w:bCs/>
                <w:sz w:val="20"/>
                <w:lang w:eastAsia="fr-CA"/>
              </w:rPr>
              <w:t>79,77 %</w:t>
            </w:r>
          </w:p>
        </w:tc>
        <w:tc>
          <w:tcPr>
            <w:tcW w:w="2506" w:type="dxa"/>
            <w:tcBorders>
              <w:top w:val="single" w:sz="4" w:space="0" w:color="auto"/>
              <w:bottom w:val="single" w:sz="4" w:space="0" w:color="auto"/>
              <w:right w:val="single" w:sz="4" w:space="0" w:color="auto"/>
            </w:tcBorders>
            <w:vAlign w:val="center"/>
            <w:hideMark/>
          </w:tcPr>
          <w:p w14:paraId="079ED8CE" w14:textId="77777777" w:rsidR="007A6C58" w:rsidRPr="005F7C86" w:rsidRDefault="00730A01" w:rsidP="0098012F">
            <w:pPr>
              <w:jc w:val="right"/>
              <w:rPr>
                <w:rFonts w:cs="Arial"/>
                <w:sz w:val="20"/>
                <w:lang w:eastAsia="fr-CA"/>
              </w:rPr>
            </w:pPr>
            <w:r w:rsidRPr="005F7C86">
              <w:rPr>
                <w:rFonts w:cs="Arial"/>
                <w:b/>
                <w:bCs/>
                <w:sz w:val="20"/>
                <w:lang w:eastAsia="fr-CA"/>
              </w:rPr>
              <w:t>58 250 611 $</w:t>
            </w:r>
          </w:p>
        </w:tc>
      </w:tr>
      <w:tr w:rsidR="00FE3D17" w14:paraId="7374C8C4" w14:textId="77777777" w:rsidTr="008D39BC">
        <w:trPr>
          <w:trHeight w:val="187"/>
          <w:tblCellSpacing w:w="15" w:type="dxa"/>
        </w:trPr>
        <w:tc>
          <w:tcPr>
            <w:tcW w:w="4031" w:type="dxa"/>
            <w:tcBorders>
              <w:top w:val="single" w:sz="4" w:space="0" w:color="auto"/>
              <w:left w:val="single" w:sz="4" w:space="0" w:color="auto"/>
              <w:bottom w:val="single" w:sz="4" w:space="0" w:color="auto"/>
            </w:tcBorders>
            <w:vAlign w:val="center"/>
          </w:tcPr>
          <w:p w14:paraId="583ECDF6" w14:textId="77777777" w:rsidR="008D39BC" w:rsidRPr="008D39BC" w:rsidRDefault="00730A01" w:rsidP="0098012F">
            <w:pPr>
              <w:rPr>
                <w:rFonts w:cs="Arial"/>
                <w:sz w:val="20"/>
                <w:lang w:eastAsia="fr-CA"/>
              </w:rPr>
            </w:pPr>
            <w:r w:rsidRPr="008D39BC">
              <w:rPr>
                <w:rFonts w:cs="Arial"/>
                <w:sz w:val="20"/>
                <w:lang w:eastAsia="fr-CA"/>
              </w:rPr>
              <w:t>Reliquat</w:t>
            </w:r>
          </w:p>
        </w:tc>
        <w:tc>
          <w:tcPr>
            <w:tcW w:w="1671" w:type="dxa"/>
            <w:tcBorders>
              <w:top w:val="single" w:sz="4" w:space="0" w:color="auto"/>
              <w:left w:val="single" w:sz="4" w:space="0" w:color="auto"/>
              <w:bottom w:val="single" w:sz="4" w:space="0" w:color="auto"/>
              <w:right w:val="single" w:sz="4" w:space="0" w:color="auto"/>
            </w:tcBorders>
            <w:vAlign w:val="center"/>
          </w:tcPr>
          <w:p w14:paraId="7C703A65" w14:textId="77777777" w:rsidR="008D39BC" w:rsidRPr="008D39BC" w:rsidRDefault="00730A01" w:rsidP="004F1FCF">
            <w:pPr>
              <w:jc w:val="right"/>
              <w:rPr>
                <w:rFonts w:cs="Arial"/>
                <w:sz w:val="20"/>
                <w:lang w:eastAsia="fr-CA"/>
              </w:rPr>
            </w:pPr>
            <w:r w:rsidRPr="008D39BC">
              <w:rPr>
                <w:rFonts w:cs="Arial"/>
                <w:sz w:val="20"/>
                <w:lang w:eastAsia="fr-CA"/>
              </w:rPr>
              <w:t>20,23 %</w:t>
            </w:r>
          </w:p>
        </w:tc>
        <w:tc>
          <w:tcPr>
            <w:tcW w:w="2506" w:type="dxa"/>
            <w:tcBorders>
              <w:top w:val="single" w:sz="4" w:space="0" w:color="auto"/>
              <w:bottom w:val="single" w:sz="4" w:space="0" w:color="auto"/>
              <w:right w:val="single" w:sz="4" w:space="0" w:color="auto"/>
            </w:tcBorders>
            <w:vAlign w:val="center"/>
          </w:tcPr>
          <w:p w14:paraId="787D2156" w14:textId="77777777" w:rsidR="008D39BC" w:rsidRPr="008D39BC" w:rsidRDefault="00730A01" w:rsidP="0098012F">
            <w:pPr>
              <w:jc w:val="right"/>
              <w:rPr>
                <w:rFonts w:cs="Arial"/>
                <w:sz w:val="20"/>
                <w:lang w:eastAsia="fr-CA"/>
              </w:rPr>
            </w:pPr>
            <w:r w:rsidRPr="008D39BC">
              <w:rPr>
                <w:rFonts w:cs="Arial"/>
                <w:sz w:val="20"/>
                <w:lang w:eastAsia="fr-CA"/>
              </w:rPr>
              <w:t>14 773 508 $</w:t>
            </w:r>
          </w:p>
        </w:tc>
      </w:tr>
      <w:tr w:rsidR="00FE3D17" w14:paraId="23564B43" w14:textId="77777777" w:rsidTr="008D39BC">
        <w:trPr>
          <w:trHeight w:val="567"/>
          <w:tblCellSpacing w:w="15" w:type="dxa"/>
        </w:trPr>
        <w:tc>
          <w:tcPr>
            <w:tcW w:w="4031" w:type="dxa"/>
            <w:tcBorders>
              <w:top w:val="single" w:sz="4" w:space="0" w:color="auto"/>
              <w:left w:val="single" w:sz="4" w:space="0" w:color="auto"/>
              <w:bottom w:val="single" w:sz="4" w:space="0" w:color="auto"/>
            </w:tcBorders>
            <w:vAlign w:val="center"/>
          </w:tcPr>
          <w:p w14:paraId="6246F007" w14:textId="77777777" w:rsidR="008D39BC" w:rsidRPr="008D39BC" w:rsidRDefault="00730A01" w:rsidP="0098012F">
            <w:pPr>
              <w:rPr>
                <w:rFonts w:cs="Arial"/>
                <w:b/>
                <w:bCs/>
                <w:sz w:val="20"/>
                <w:lang w:eastAsia="fr-CA"/>
              </w:rPr>
            </w:pPr>
            <w:r>
              <w:rPr>
                <w:rFonts w:cs="Arial"/>
                <w:b/>
                <w:bCs/>
                <w:sz w:val="20"/>
                <w:lang w:eastAsia="fr-CA"/>
              </w:rPr>
              <w:t>Total</w:t>
            </w:r>
          </w:p>
        </w:tc>
        <w:tc>
          <w:tcPr>
            <w:tcW w:w="1671" w:type="dxa"/>
            <w:tcBorders>
              <w:top w:val="single" w:sz="4" w:space="0" w:color="auto"/>
              <w:left w:val="single" w:sz="4" w:space="0" w:color="auto"/>
              <w:bottom w:val="single" w:sz="4" w:space="0" w:color="auto"/>
              <w:right w:val="single" w:sz="4" w:space="0" w:color="auto"/>
            </w:tcBorders>
            <w:vAlign w:val="center"/>
          </w:tcPr>
          <w:p w14:paraId="56731AE0" w14:textId="77777777" w:rsidR="008D39BC" w:rsidRDefault="00730A01" w:rsidP="004F1FCF">
            <w:pPr>
              <w:jc w:val="right"/>
              <w:rPr>
                <w:rFonts w:cs="Arial"/>
                <w:b/>
                <w:bCs/>
                <w:sz w:val="20"/>
                <w:lang w:eastAsia="fr-CA"/>
              </w:rPr>
            </w:pPr>
            <w:r>
              <w:rPr>
                <w:rFonts w:cs="Arial"/>
                <w:b/>
                <w:bCs/>
                <w:sz w:val="20"/>
                <w:lang w:eastAsia="fr-CA"/>
              </w:rPr>
              <w:t>100,00 %</w:t>
            </w:r>
          </w:p>
        </w:tc>
        <w:tc>
          <w:tcPr>
            <w:tcW w:w="2506" w:type="dxa"/>
            <w:tcBorders>
              <w:top w:val="single" w:sz="4" w:space="0" w:color="auto"/>
              <w:bottom w:val="single" w:sz="4" w:space="0" w:color="auto"/>
              <w:right w:val="single" w:sz="4" w:space="0" w:color="auto"/>
            </w:tcBorders>
            <w:vAlign w:val="center"/>
          </w:tcPr>
          <w:p w14:paraId="18DAF784" w14:textId="77777777" w:rsidR="008D39BC" w:rsidRPr="004F1FCF" w:rsidRDefault="00730A01" w:rsidP="004F1FCF">
            <w:pPr>
              <w:ind w:left="1080"/>
              <w:jc w:val="right"/>
              <w:rPr>
                <w:rFonts w:cs="Arial"/>
                <w:b/>
                <w:bCs/>
                <w:sz w:val="20"/>
                <w:lang w:eastAsia="fr-CA"/>
              </w:rPr>
            </w:pPr>
            <w:r w:rsidRPr="004F1FCF">
              <w:rPr>
                <w:rFonts w:cs="Arial"/>
                <w:b/>
                <w:bCs/>
                <w:sz w:val="20"/>
                <w:lang w:eastAsia="fr-CA"/>
              </w:rPr>
              <w:t> 73 024 119 $</w:t>
            </w:r>
          </w:p>
        </w:tc>
      </w:tr>
    </w:tbl>
    <w:p w14:paraId="409207AE" w14:textId="77777777" w:rsidR="0099595A" w:rsidRDefault="00730A01" w:rsidP="0098012F">
      <w:pPr>
        <w:pStyle w:val="Paragraphe"/>
        <w:tabs>
          <w:tab w:val="clear" w:pos="786"/>
        </w:tabs>
        <w:spacing w:before="240" w:line="240" w:lineRule="auto"/>
        <w:ind w:left="0"/>
        <w:rPr>
          <w:lang w:eastAsia="fr-CA"/>
        </w:rPr>
      </w:pPr>
      <w:r w:rsidRPr="00E84014">
        <w:rPr>
          <w:lang w:eastAsia="fr-CA"/>
        </w:rPr>
        <w:t xml:space="preserve">La base de calcul repose sur le montant total investi dans FIISH, soit </w:t>
      </w:r>
      <w:r w:rsidRPr="0085388E">
        <w:rPr>
          <w:lang w:eastAsia="fr-CA"/>
        </w:rPr>
        <w:t>83</w:t>
      </w:r>
      <w:r w:rsidR="00E84014" w:rsidRPr="0085388E">
        <w:rPr>
          <w:lang w:eastAsia="fr-CA"/>
        </w:rPr>
        <w:t> </w:t>
      </w:r>
      <w:r w:rsidRPr="0085388E">
        <w:rPr>
          <w:lang w:eastAsia="fr-CA"/>
        </w:rPr>
        <w:t>7</w:t>
      </w:r>
      <w:r w:rsidRPr="0099595A">
        <w:rPr>
          <w:lang w:eastAsia="fr-CA"/>
        </w:rPr>
        <w:t>99</w:t>
      </w:r>
      <w:r w:rsidR="00E84014" w:rsidRPr="0099595A">
        <w:rPr>
          <w:lang w:eastAsia="fr-CA"/>
        </w:rPr>
        <w:t> </w:t>
      </w:r>
      <w:r w:rsidRPr="0099595A">
        <w:rPr>
          <w:lang w:eastAsia="fr-CA"/>
        </w:rPr>
        <w:t>964</w:t>
      </w:r>
      <w:r w:rsidR="00E84014" w:rsidRPr="0099595A">
        <w:rPr>
          <w:lang w:eastAsia="fr-CA"/>
        </w:rPr>
        <w:t> </w:t>
      </w:r>
      <w:r w:rsidRPr="0099595A">
        <w:rPr>
          <w:lang w:eastAsia="fr-CA"/>
        </w:rPr>
        <w:t>$</w:t>
      </w:r>
      <w:r>
        <w:rPr>
          <w:rStyle w:val="Appelnotedebasdep"/>
          <w:lang w:eastAsia="fr-CA"/>
        </w:rPr>
        <w:footnoteReference w:id="330"/>
      </w:r>
      <w:r w:rsidRPr="0099595A">
        <w:rPr>
          <w:lang w:eastAsia="fr-CA"/>
        </w:rPr>
        <w:t>.</w:t>
      </w:r>
    </w:p>
    <w:p w14:paraId="3D3D7CD9" w14:textId="77777777" w:rsidR="0085388E" w:rsidRPr="0099595A" w:rsidRDefault="00730A01" w:rsidP="0098012F">
      <w:pPr>
        <w:pStyle w:val="Paragraphe"/>
        <w:tabs>
          <w:tab w:val="clear" w:pos="786"/>
        </w:tabs>
        <w:spacing w:line="240" w:lineRule="auto"/>
        <w:ind w:left="0"/>
        <w:rPr>
          <w:lang w:eastAsia="fr-CA"/>
        </w:rPr>
      </w:pPr>
      <w:r w:rsidRPr="0099595A">
        <w:rPr>
          <w:lang w:eastAsia="fr-CA"/>
        </w:rPr>
        <w:t>Le reliquat de 20,23 %, correspondant à 14 773 508 $, représente la portion des pertes assumées par d’autres commanditaires non-Demandeurs. Ce reliquat doit être octroyé au</w:t>
      </w:r>
      <w:r>
        <w:rPr>
          <w:lang w:eastAsia="fr-CA"/>
        </w:rPr>
        <w:t xml:space="preserve"> Fonds SH qui contin</w:t>
      </w:r>
      <w:r w:rsidR="0099595A">
        <w:rPr>
          <w:lang w:eastAsia="fr-CA"/>
        </w:rPr>
        <w:t>u</w:t>
      </w:r>
      <w:r>
        <w:rPr>
          <w:lang w:eastAsia="fr-CA"/>
        </w:rPr>
        <w:t>e</w:t>
      </w:r>
      <w:r w:rsidR="0099595A">
        <w:rPr>
          <w:lang w:eastAsia="fr-CA"/>
        </w:rPr>
        <w:t>ra de gérer ces sommes</w:t>
      </w:r>
      <w:r w:rsidR="007379AA">
        <w:rPr>
          <w:lang w:eastAsia="fr-CA"/>
        </w:rPr>
        <w:t xml:space="preserve"> pour ces commanditaires et/ou leur distribuer</w:t>
      </w:r>
      <w:r w:rsidR="0099595A">
        <w:rPr>
          <w:lang w:eastAsia="fr-CA"/>
        </w:rPr>
        <w:t>.</w:t>
      </w:r>
      <w:r w:rsidRPr="00E84014">
        <w:rPr>
          <w:lang w:eastAsia="fr-CA"/>
        </w:rPr>
        <w:t xml:space="preserve"> </w:t>
      </w:r>
    </w:p>
    <w:p w14:paraId="7AEB541D" w14:textId="77777777" w:rsidR="0085388E" w:rsidRDefault="00730A01" w:rsidP="0098012F">
      <w:pPr>
        <w:pStyle w:val="Paragraphe"/>
        <w:tabs>
          <w:tab w:val="clear" w:pos="786"/>
        </w:tabs>
        <w:spacing w:line="240" w:lineRule="auto"/>
        <w:ind w:left="0"/>
        <w:rPr>
          <w:lang w:eastAsia="fr-CA"/>
        </w:rPr>
      </w:pPr>
      <w:r>
        <w:rPr>
          <w:lang w:eastAsia="fr-CA"/>
        </w:rPr>
        <w:t xml:space="preserve">Dans l’affaire </w:t>
      </w:r>
      <w:r w:rsidRPr="00F9010F">
        <w:rPr>
          <w:i/>
          <w:iCs/>
          <w:lang w:eastAsia="fr-CA"/>
        </w:rPr>
        <w:t>Ponce</w:t>
      </w:r>
      <w:r>
        <w:rPr>
          <w:rStyle w:val="Appelnotedebasdep"/>
          <w:lang w:eastAsia="fr-CA"/>
        </w:rPr>
        <w:footnoteReference w:id="331"/>
      </w:r>
      <w:r>
        <w:rPr>
          <w:lang w:eastAsia="fr-CA"/>
        </w:rPr>
        <w:t>, la Cour suprême a également appliqué une répartition au prorata entre les intimés quant au partage des dommages :</w:t>
      </w:r>
    </w:p>
    <w:p w14:paraId="3106E116" w14:textId="77777777" w:rsidR="0099595A" w:rsidRDefault="00730A01" w:rsidP="001E1A02">
      <w:pPr>
        <w:pStyle w:val="Citationenretrait"/>
        <w:spacing w:after="0"/>
        <w:ind w:right="539"/>
        <w:rPr>
          <w:rFonts w:cs="Arial"/>
          <w:lang w:eastAsia="fr-CA"/>
        </w:rPr>
      </w:pPr>
      <w:r>
        <w:rPr>
          <w:rFonts w:cs="Arial"/>
          <w:lang w:eastAsia="fr-CA"/>
        </w:rPr>
        <w:t xml:space="preserve">[118] </w:t>
      </w:r>
      <w:r w:rsidRPr="0099595A">
        <w:rPr>
          <w:rFonts w:eastAsia="ArialMT" w:cs="Arial"/>
          <w:lang w:eastAsia="fr-CA"/>
        </w:rPr>
        <w:t xml:space="preserve">Le préjudice subi par les intimées au titre de gain manqué s’élève </w:t>
      </w:r>
      <w:r w:rsidRPr="0099595A">
        <w:rPr>
          <w:rFonts w:cs="Arial"/>
          <w:lang w:eastAsia="fr-CA"/>
        </w:rPr>
        <w:t>donc à</w:t>
      </w:r>
      <w:r w:rsidR="00C44CEA">
        <w:rPr>
          <w:rFonts w:cs="Arial"/>
          <w:lang w:eastAsia="fr-CA"/>
        </w:rPr>
        <w:t> </w:t>
      </w:r>
      <w:r w:rsidRPr="0099595A">
        <w:rPr>
          <w:rFonts w:cs="Arial"/>
          <w:lang w:eastAsia="fr-CA"/>
        </w:rPr>
        <w:t xml:space="preserve">11 884 743 $ et la condamnation du premier juge, confirmée en appel, est solidaire. </w:t>
      </w:r>
      <w:r w:rsidRPr="004C7363">
        <w:rPr>
          <w:rFonts w:cs="Arial"/>
          <w:u w:val="single"/>
          <w:lang w:eastAsia="fr-CA"/>
        </w:rPr>
        <w:t>Je prends note de la convention intervenue entre les intimées voulant que la somme accordée soit partagée au prorata de leurs actions dans le Groupe Excellence, soit 62</w:t>
      </w:r>
      <w:r w:rsidR="00C44CEA">
        <w:rPr>
          <w:rFonts w:cs="Arial"/>
          <w:u w:val="single"/>
          <w:lang w:eastAsia="fr-CA"/>
        </w:rPr>
        <w:t> </w:t>
      </w:r>
      <w:r w:rsidRPr="004C7363">
        <w:rPr>
          <w:rFonts w:cs="Arial"/>
          <w:u w:val="single"/>
          <w:lang w:eastAsia="fr-CA"/>
        </w:rPr>
        <w:t>p. 100</w:t>
      </w:r>
      <w:r w:rsidR="00C44CEA">
        <w:rPr>
          <w:rFonts w:cs="Arial"/>
          <w:u w:val="single"/>
          <w:lang w:eastAsia="fr-CA"/>
        </w:rPr>
        <w:t> </w:t>
      </w:r>
      <w:r w:rsidRPr="004C7363">
        <w:rPr>
          <w:rFonts w:cs="Arial"/>
          <w:u w:val="single"/>
          <w:lang w:eastAsia="fr-CA"/>
        </w:rPr>
        <w:t>pour les sociétés de M.</w:t>
      </w:r>
      <w:r w:rsidR="00C44CEA">
        <w:rPr>
          <w:rFonts w:cs="Arial"/>
          <w:u w:val="single"/>
          <w:lang w:eastAsia="fr-CA"/>
        </w:rPr>
        <w:t> </w:t>
      </w:r>
      <w:r w:rsidRPr="004C7363">
        <w:rPr>
          <w:rFonts w:cs="Arial"/>
          <w:u w:val="single"/>
          <w:lang w:eastAsia="fr-CA"/>
        </w:rPr>
        <w:t>Rhéaume et 38</w:t>
      </w:r>
      <w:r w:rsidR="00C44CEA">
        <w:rPr>
          <w:rFonts w:cs="Arial"/>
          <w:u w:val="single"/>
          <w:lang w:eastAsia="fr-CA"/>
        </w:rPr>
        <w:t> </w:t>
      </w:r>
      <w:r w:rsidRPr="004C7363">
        <w:rPr>
          <w:rFonts w:cs="Arial"/>
          <w:u w:val="single"/>
          <w:lang w:eastAsia="fr-CA"/>
        </w:rPr>
        <w:t>p. 100</w:t>
      </w:r>
      <w:r w:rsidR="00C44CEA">
        <w:rPr>
          <w:rFonts w:cs="Arial"/>
          <w:u w:val="single"/>
          <w:lang w:eastAsia="fr-CA"/>
        </w:rPr>
        <w:t> </w:t>
      </w:r>
      <w:r w:rsidRPr="004C7363">
        <w:rPr>
          <w:rFonts w:cs="Arial"/>
          <w:u w:val="single"/>
          <w:lang w:eastAsia="fr-CA"/>
        </w:rPr>
        <w:t>pour les sociétés de M. Beaulne. Les dommages-intérêts sont donc répartis ainsi</w:t>
      </w:r>
      <w:r w:rsidR="00C44CEA">
        <w:rPr>
          <w:rFonts w:cs="Arial"/>
          <w:u w:val="single"/>
          <w:lang w:eastAsia="fr-CA"/>
        </w:rPr>
        <w:t> </w:t>
      </w:r>
      <w:r w:rsidRPr="004C7363">
        <w:rPr>
          <w:rFonts w:cs="Arial"/>
          <w:u w:val="single"/>
          <w:lang w:eastAsia="fr-CA"/>
        </w:rPr>
        <w:t>: 7</w:t>
      </w:r>
      <w:r w:rsidR="004C7363">
        <w:rPr>
          <w:rFonts w:cs="Arial"/>
          <w:u w:val="single"/>
          <w:lang w:eastAsia="fr-CA"/>
        </w:rPr>
        <w:t> </w:t>
      </w:r>
      <w:r w:rsidRPr="004C7363">
        <w:rPr>
          <w:rFonts w:cs="Arial"/>
          <w:u w:val="single"/>
          <w:lang w:eastAsia="fr-CA"/>
        </w:rPr>
        <w:t>368</w:t>
      </w:r>
      <w:r w:rsidR="004C7363">
        <w:rPr>
          <w:rFonts w:cs="Arial"/>
          <w:u w:val="single"/>
          <w:lang w:eastAsia="fr-CA"/>
        </w:rPr>
        <w:t> </w:t>
      </w:r>
      <w:r w:rsidRPr="004C7363">
        <w:rPr>
          <w:rFonts w:cs="Arial"/>
          <w:u w:val="single"/>
          <w:lang w:eastAsia="fr-CA"/>
        </w:rPr>
        <w:t>540,60</w:t>
      </w:r>
      <w:r w:rsidR="004C7363">
        <w:rPr>
          <w:rFonts w:cs="Arial"/>
          <w:u w:val="single"/>
          <w:lang w:eastAsia="fr-CA"/>
        </w:rPr>
        <w:t> </w:t>
      </w:r>
      <w:r w:rsidRPr="004C7363">
        <w:rPr>
          <w:rFonts w:cs="Arial"/>
          <w:u w:val="single"/>
          <w:lang w:eastAsia="fr-CA"/>
        </w:rPr>
        <w:t>$ pour les sociétés de M.</w:t>
      </w:r>
      <w:r w:rsidR="00C44CEA">
        <w:rPr>
          <w:rFonts w:cs="Arial"/>
          <w:u w:val="single"/>
          <w:lang w:eastAsia="fr-CA"/>
        </w:rPr>
        <w:t> </w:t>
      </w:r>
      <w:r w:rsidRPr="004C7363">
        <w:rPr>
          <w:rFonts w:cs="Arial"/>
          <w:u w:val="single"/>
          <w:lang w:eastAsia="fr-CA"/>
        </w:rPr>
        <w:t>Rhéaume et 4</w:t>
      </w:r>
      <w:r w:rsidR="004C7363">
        <w:rPr>
          <w:rFonts w:cs="Arial"/>
          <w:u w:val="single"/>
          <w:lang w:eastAsia="fr-CA"/>
        </w:rPr>
        <w:t> </w:t>
      </w:r>
      <w:r w:rsidRPr="004C7363">
        <w:rPr>
          <w:rFonts w:cs="Arial"/>
          <w:u w:val="single"/>
          <w:lang w:eastAsia="fr-CA"/>
        </w:rPr>
        <w:t>516</w:t>
      </w:r>
      <w:r w:rsidR="004C7363">
        <w:rPr>
          <w:rFonts w:cs="Arial"/>
          <w:u w:val="single"/>
          <w:lang w:eastAsia="fr-CA"/>
        </w:rPr>
        <w:t> </w:t>
      </w:r>
      <w:r w:rsidRPr="004C7363">
        <w:rPr>
          <w:rFonts w:cs="Arial"/>
          <w:u w:val="single"/>
          <w:lang w:eastAsia="fr-CA"/>
        </w:rPr>
        <w:t>202,40</w:t>
      </w:r>
      <w:r w:rsidR="004C7363">
        <w:rPr>
          <w:rFonts w:cs="Arial"/>
          <w:u w:val="single"/>
          <w:lang w:eastAsia="fr-CA"/>
        </w:rPr>
        <w:t> </w:t>
      </w:r>
      <w:r w:rsidRPr="004C7363">
        <w:rPr>
          <w:rFonts w:cs="Arial"/>
          <w:u w:val="single"/>
          <w:lang w:eastAsia="fr-CA"/>
        </w:rPr>
        <w:t>$ pour les sociétés de M.</w:t>
      </w:r>
      <w:r w:rsidR="00C44CEA">
        <w:rPr>
          <w:rFonts w:cs="Arial"/>
          <w:u w:val="single"/>
          <w:lang w:eastAsia="fr-CA"/>
        </w:rPr>
        <w:t> </w:t>
      </w:r>
      <w:r w:rsidRPr="004C7363">
        <w:rPr>
          <w:rFonts w:cs="Arial"/>
          <w:u w:val="single"/>
          <w:lang w:eastAsia="fr-CA"/>
        </w:rPr>
        <w:t>Beaulne</w:t>
      </w:r>
      <w:r w:rsidRPr="0099595A">
        <w:rPr>
          <w:rFonts w:cs="Arial"/>
          <w:lang w:eastAsia="fr-CA"/>
        </w:rPr>
        <w:t>.</w:t>
      </w:r>
    </w:p>
    <w:p w14:paraId="6FF5C8E7" w14:textId="77777777" w:rsidR="009325FD" w:rsidRPr="00C44CEA" w:rsidRDefault="00730A01" w:rsidP="00A82953">
      <w:pPr>
        <w:pStyle w:val="Citationenretrait"/>
        <w:ind w:right="539"/>
        <w:jc w:val="right"/>
        <w:rPr>
          <w:rFonts w:cs="Arial"/>
          <w:sz w:val="20"/>
          <w:lang w:eastAsia="fr-CA"/>
        </w:rPr>
      </w:pPr>
      <w:r w:rsidRPr="00C44CEA">
        <w:rPr>
          <w:rFonts w:cs="Arial"/>
          <w:sz w:val="20"/>
          <w:lang w:eastAsia="fr-CA"/>
        </w:rPr>
        <w:t>[Reproduction intégrale]</w:t>
      </w:r>
    </w:p>
    <w:p w14:paraId="432943CC" w14:textId="77777777" w:rsidR="009325FD" w:rsidRDefault="00730A01" w:rsidP="0098012F">
      <w:pPr>
        <w:pStyle w:val="Paragraphe"/>
        <w:tabs>
          <w:tab w:val="clear" w:pos="786"/>
        </w:tabs>
        <w:spacing w:line="240" w:lineRule="auto"/>
        <w:ind w:left="0"/>
        <w:rPr>
          <w:rFonts w:cs="Arial"/>
          <w:lang w:eastAsia="fr-CA"/>
        </w:rPr>
      </w:pPr>
      <w:r>
        <w:rPr>
          <w:lang w:eastAsia="fr-CA"/>
        </w:rPr>
        <w:t xml:space="preserve">Les Demandeurs s’entendent entre eux pour la division de la condamnation selon le tableau ci-avant, qui permet </w:t>
      </w:r>
      <w:r w:rsidR="0099595A">
        <w:rPr>
          <w:lang w:eastAsia="fr-CA"/>
        </w:rPr>
        <w:t>de répartir le montant de la condamnation au prorata</w:t>
      </w:r>
      <w:r w:rsidR="0099595A" w:rsidRPr="0099595A">
        <w:rPr>
          <w:rFonts w:cs="Arial"/>
          <w:lang w:eastAsia="fr-CA"/>
        </w:rPr>
        <w:t xml:space="preserve"> entre</w:t>
      </w:r>
      <w:r>
        <w:rPr>
          <w:rFonts w:cs="Arial"/>
          <w:lang w:eastAsia="fr-CA"/>
        </w:rPr>
        <w:t xml:space="preserve"> eux.</w:t>
      </w:r>
      <w:r w:rsidR="0099595A" w:rsidRPr="0099595A">
        <w:rPr>
          <w:rFonts w:cs="Arial"/>
          <w:lang w:eastAsia="fr-CA"/>
        </w:rPr>
        <w:t xml:space="preserve"> </w:t>
      </w:r>
      <w:r w:rsidR="0099595A">
        <w:rPr>
          <w:lang w:eastAsia="fr-CA"/>
        </w:rPr>
        <w:t>Concernant la réclamation pour les intérêts, les</w:t>
      </w:r>
      <w:r w:rsidR="0099595A" w:rsidRPr="0099595A">
        <w:rPr>
          <w:rFonts w:cs="Arial"/>
          <w:lang w:eastAsia="fr-CA"/>
        </w:rPr>
        <w:t xml:space="preserve"> </w:t>
      </w:r>
      <w:r w:rsidR="0099595A" w:rsidRPr="0099595A">
        <w:rPr>
          <w:rFonts w:eastAsia="ArialMT"/>
          <w:lang w:eastAsia="fr-CA"/>
        </w:rPr>
        <w:t>Demandeurs s’appuient sur le taux d</w:t>
      </w:r>
      <w:r w:rsidR="00F9010F">
        <w:rPr>
          <w:rFonts w:eastAsia="ArialMT"/>
          <w:lang w:eastAsia="fr-CA"/>
        </w:rPr>
        <w:t>’</w:t>
      </w:r>
      <w:r w:rsidR="0099595A" w:rsidRPr="0099595A">
        <w:rPr>
          <w:rFonts w:eastAsia="ArialMT"/>
          <w:lang w:eastAsia="fr-CA"/>
        </w:rPr>
        <w:t>int</w:t>
      </w:r>
      <w:r w:rsidR="0099595A" w:rsidRPr="0099595A">
        <w:rPr>
          <w:rFonts w:eastAsia="ArialMT" w:hint="eastAsia"/>
          <w:lang w:eastAsia="fr-CA"/>
        </w:rPr>
        <w:t>é</w:t>
      </w:r>
      <w:r w:rsidR="0099595A" w:rsidRPr="0099595A">
        <w:rPr>
          <w:rFonts w:eastAsia="ArialMT"/>
          <w:lang w:eastAsia="fr-CA"/>
        </w:rPr>
        <w:t>r</w:t>
      </w:r>
      <w:r w:rsidR="0099595A" w:rsidRPr="0099595A">
        <w:rPr>
          <w:rFonts w:eastAsia="ArialMT" w:hint="eastAsia"/>
          <w:lang w:eastAsia="fr-CA"/>
        </w:rPr>
        <w:t>ê</w:t>
      </w:r>
      <w:r w:rsidR="0099595A" w:rsidRPr="0099595A">
        <w:rPr>
          <w:rFonts w:eastAsia="ArialMT"/>
          <w:lang w:eastAsia="fr-CA"/>
        </w:rPr>
        <w:t>t de 12</w:t>
      </w:r>
      <w:r>
        <w:rPr>
          <w:rFonts w:eastAsia="ArialMT"/>
          <w:lang w:eastAsia="fr-CA"/>
        </w:rPr>
        <w:t> </w:t>
      </w:r>
      <w:r w:rsidR="0099595A" w:rsidRPr="0099595A">
        <w:rPr>
          <w:rFonts w:eastAsia="ArialMT"/>
          <w:lang w:eastAsia="fr-CA"/>
        </w:rPr>
        <w:t>% pour FIISH ainsi qu</w:t>
      </w:r>
      <w:r w:rsidR="00F9010F">
        <w:rPr>
          <w:rFonts w:eastAsia="ArialMT"/>
          <w:lang w:eastAsia="fr-CA"/>
        </w:rPr>
        <w:t>’</w:t>
      </w:r>
      <w:r w:rsidR="0099595A" w:rsidRPr="0099595A">
        <w:rPr>
          <w:rFonts w:eastAsia="ArialMT"/>
          <w:lang w:eastAsia="fr-CA"/>
        </w:rPr>
        <w:t>au taux</w:t>
      </w:r>
      <w:r w:rsidR="0099595A">
        <w:rPr>
          <w:rFonts w:eastAsia="ArialMT"/>
          <w:lang w:eastAsia="fr-CA"/>
        </w:rPr>
        <w:t xml:space="preserve"> </w:t>
      </w:r>
      <w:r w:rsidR="0099595A" w:rsidRPr="0099595A">
        <w:rPr>
          <w:rFonts w:eastAsia="ArialMT"/>
          <w:lang w:eastAsia="fr-CA"/>
        </w:rPr>
        <w:t>d</w:t>
      </w:r>
      <w:r w:rsidR="0099595A">
        <w:rPr>
          <w:rFonts w:eastAsia="ArialMT"/>
          <w:lang w:eastAsia="fr-CA"/>
        </w:rPr>
        <w:t>’</w:t>
      </w:r>
      <w:r w:rsidR="0099595A" w:rsidRPr="0099595A">
        <w:rPr>
          <w:rFonts w:eastAsia="ArialMT"/>
          <w:lang w:eastAsia="fr-CA"/>
        </w:rPr>
        <w:t>int</w:t>
      </w:r>
      <w:r w:rsidR="0099595A" w:rsidRPr="0099595A">
        <w:rPr>
          <w:rFonts w:eastAsia="ArialMT" w:hint="eastAsia"/>
          <w:lang w:eastAsia="fr-CA"/>
        </w:rPr>
        <w:t>é</w:t>
      </w:r>
      <w:r w:rsidR="0099595A" w:rsidRPr="0099595A">
        <w:rPr>
          <w:rFonts w:eastAsia="ArialMT"/>
          <w:lang w:eastAsia="fr-CA"/>
        </w:rPr>
        <w:t>r</w:t>
      </w:r>
      <w:r w:rsidR="0099595A" w:rsidRPr="0099595A">
        <w:rPr>
          <w:rFonts w:eastAsia="ArialMT" w:hint="eastAsia"/>
          <w:lang w:eastAsia="fr-CA"/>
        </w:rPr>
        <w:t>ê</w:t>
      </w:r>
      <w:r w:rsidR="0099595A" w:rsidRPr="0099595A">
        <w:rPr>
          <w:rFonts w:eastAsia="ArialMT"/>
          <w:lang w:eastAsia="fr-CA"/>
        </w:rPr>
        <w:t>ts contractuel pr</w:t>
      </w:r>
      <w:r w:rsidR="0099595A" w:rsidRPr="0099595A">
        <w:rPr>
          <w:rFonts w:eastAsia="ArialMT" w:hint="eastAsia"/>
          <w:lang w:eastAsia="fr-CA"/>
        </w:rPr>
        <w:t>é</w:t>
      </w:r>
      <w:r w:rsidR="0099595A" w:rsidRPr="0099595A">
        <w:rPr>
          <w:rFonts w:eastAsia="ArialMT"/>
          <w:lang w:eastAsia="fr-CA"/>
        </w:rPr>
        <w:t>vu aux conventions de Q</w:t>
      </w:r>
      <w:r>
        <w:rPr>
          <w:rFonts w:cs="Arial"/>
          <w:lang w:eastAsia="fr-CA"/>
        </w:rPr>
        <w:noBreakHyphen/>
      </w:r>
      <w:r w:rsidR="0099595A" w:rsidRPr="0099595A">
        <w:rPr>
          <w:rFonts w:cs="Arial"/>
          <w:lang w:eastAsia="fr-CA"/>
        </w:rPr>
        <w:t>12, net des frais de 3</w:t>
      </w:r>
      <w:r>
        <w:rPr>
          <w:rFonts w:cs="Arial"/>
          <w:lang w:eastAsia="fr-CA"/>
        </w:rPr>
        <w:t> </w:t>
      </w:r>
      <w:r w:rsidR="0099595A" w:rsidRPr="0099595A">
        <w:rPr>
          <w:rFonts w:cs="Arial"/>
          <w:lang w:eastAsia="fr-CA"/>
        </w:rPr>
        <w:t>%.</w:t>
      </w:r>
    </w:p>
    <w:p w14:paraId="211AC8F2" w14:textId="77777777" w:rsidR="009325FD" w:rsidRDefault="00730A01" w:rsidP="0098012F">
      <w:pPr>
        <w:pStyle w:val="Paragraphe"/>
        <w:tabs>
          <w:tab w:val="clear" w:pos="786"/>
        </w:tabs>
        <w:spacing w:line="240" w:lineRule="auto"/>
        <w:ind w:left="0"/>
        <w:rPr>
          <w:lang w:eastAsia="fr-CA"/>
        </w:rPr>
      </w:pPr>
      <w:r>
        <w:rPr>
          <w:lang w:eastAsia="fr-CA"/>
        </w:rPr>
        <w:t>Cette approche est par ailleurs conforme aux montants reçus par les Demandeurs dans le cadre de la transaction entre Groupe Airmédic inc. et Dessercom inc. relativement à plusieurs actifs détenus par Airmédic, dont le Hangar Blanc-Sablon</w:t>
      </w:r>
      <w:r>
        <w:rPr>
          <w:rStyle w:val="Appelnotedebasdep"/>
          <w:lang w:eastAsia="fr-CA"/>
        </w:rPr>
        <w:footnoteReference w:id="332"/>
      </w:r>
      <w:r>
        <w:rPr>
          <w:lang w:eastAsia="fr-CA"/>
        </w:rPr>
        <w:t>, où les Demandeurs ont été remboursés pour la totalité du montant du prêt et des intérêts</w:t>
      </w:r>
      <w:r>
        <w:rPr>
          <w:rStyle w:val="Appelnotedebasdep"/>
          <w:lang w:eastAsia="fr-CA"/>
        </w:rPr>
        <w:footnoteReference w:id="333"/>
      </w:r>
      <w:r>
        <w:rPr>
          <w:lang w:eastAsia="fr-CA"/>
        </w:rPr>
        <w:t>.</w:t>
      </w:r>
    </w:p>
    <w:p w14:paraId="1B9BAB9B" w14:textId="77777777" w:rsidR="009325FD" w:rsidRDefault="00730A01" w:rsidP="0098012F">
      <w:pPr>
        <w:pStyle w:val="Paragraphe"/>
        <w:tabs>
          <w:tab w:val="clear" w:pos="786"/>
        </w:tabs>
        <w:spacing w:line="240" w:lineRule="auto"/>
        <w:ind w:left="0"/>
        <w:rPr>
          <w:lang w:eastAsia="fr-CA"/>
        </w:rPr>
      </w:pPr>
      <w:r>
        <w:rPr>
          <w:lang w:eastAsia="fr-CA"/>
        </w:rPr>
        <w:t>Soulignons que, dans le cadre des différentes réclamations produites par les Défendeurs dans les dossiers de faillite du Groupe Huot, ceux-ci réclament également des intérêts au capital qui leur est dû</w:t>
      </w:r>
      <w:r>
        <w:rPr>
          <w:rStyle w:val="Appelnotedebasdep"/>
          <w:lang w:eastAsia="fr-CA"/>
        </w:rPr>
        <w:footnoteReference w:id="334"/>
      </w:r>
      <w:r>
        <w:rPr>
          <w:lang w:eastAsia="fr-CA"/>
        </w:rPr>
        <w:t>.</w:t>
      </w:r>
    </w:p>
    <w:p w14:paraId="3E131BEC" w14:textId="77777777" w:rsidR="009325FD" w:rsidRDefault="00730A01" w:rsidP="0098012F">
      <w:pPr>
        <w:pStyle w:val="Paragraphe"/>
        <w:tabs>
          <w:tab w:val="clear" w:pos="786"/>
        </w:tabs>
        <w:spacing w:line="240" w:lineRule="auto"/>
        <w:ind w:left="0"/>
        <w:rPr>
          <w:lang w:eastAsia="fr-CA"/>
        </w:rPr>
      </w:pPr>
      <w:r>
        <w:rPr>
          <w:lang w:eastAsia="fr-CA"/>
        </w:rPr>
        <w:t>L’octroi d’un montant d’</w:t>
      </w:r>
      <w:r w:rsidR="0099595A">
        <w:rPr>
          <w:lang w:eastAsia="fr-CA"/>
        </w:rPr>
        <w:t>intérêt, conformément à ce qui a été calculé par KPMG,</w:t>
      </w:r>
      <w:r>
        <w:rPr>
          <w:lang w:eastAsia="fr-CA"/>
        </w:rPr>
        <w:t xml:space="preserve"> </w:t>
      </w:r>
      <w:r w:rsidR="0099595A">
        <w:rPr>
          <w:lang w:eastAsia="fr-CA"/>
        </w:rPr>
        <w:t>permet de replacer les Demandeurs dans la même situation dans laquelle ils</w:t>
      </w:r>
      <w:r>
        <w:rPr>
          <w:lang w:eastAsia="fr-CA"/>
        </w:rPr>
        <w:t xml:space="preserve"> </w:t>
      </w:r>
      <w:r w:rsidR="0099595A" w:rsidRPr="009325FD">
        <w:rPr>
          <w:rFonts w:cs="Arial"/>
          <w:lang w:eastAsia="fr-CA"/>
        </w:rPr>
        <w:t xml:space="preserve">auraient été </w:t>
      </w:r>
      <w:r w:rsidR="0099595A" w:rsidRPr="009325FD">
        <w:rPr>
          <w:rFonts w:eastAsia="ArialMT"/>
          <w:lang w:eastAsia="fr-CA"/>
        </w:rPr>
        <w:t>s</w:t>
      </w:r>
      <w:r w:rsidR="00E8523A">
        <w:rPr>
          <w:rFonts w:eastAsia="ArialMT"/>
          <w:lang w:eastAsia="fr-CA"/>
        </w:rPr>
        <w:t>’</w:t>
      </w:r>
      <w:r w:rsidR="0099595A" w:rsidRPr="009325FD">
        <w:rPr>
          <w:rFonts w:eastAsia="ArialMT"/>
          <w:lang w:eastAsia="fr-CA"/>
        </w:rPr>
        <w:t>ils avaient investi dans d</w:t>
      </w:r>
      <w:r w:rsidRPr="009325FD">
        <w:rPr>
          <w:rFonts w:eastAsia="ArialMT"/>
          <w:lang w:eastAsia="fr-CA"/>
        </w:rPr>
        <w:t>’</w:t>
      </w:r>
      <w:r w:rsidR="0099595A" w:rsidRPr="009325FD">
        <w:rPr>
          <w:rFonts w:eastAsia="ArialMT"/>
          <w:lang w:eastAsia="fr-CA"/>
        </w:rPr>
        <w:t>autres v</w:t>
      </w:r>
      <w:r w:rsidR="0099595A" w:rsidRPr="009325FD">
        <w:rPr>
          <w:rFonts w:eastAsia="ArialMT" w:hint="eastAsia"/>
          <w:lang w:eastAsia="fr-CA"/>
        </w:rPr>
        <w:t>é</w:t>
      </w:r>
      <w:r w:rsidR="0099595A" w:rsidRPr="009325FD">
        <w:rPr>
          <w:rFonts w:eastAsia="ArialMT"/>
          <w:lang w:eastAsia="fr-CA"/>
        </w:rPr>
        <w:t>hicule</w:t>
      </w:r>
      <w:r w:rsidR="00E8523A">
        <w:rPr>
          <w:rFonts w:eastAsia="ArialMT"/>
          <w:lang w:eastAsia="fr-CA"/>
        </w:rPr>
        <w:t xml:space="preserve">s </w:t>
      </w:r>
      <w:r w:rsidR="0099595A" w:rsidRPr="009325FD">
        <w:rPr>
          <w:rFonts w:eastAsia="ArialMT"/>
          <w:lang w:eastAsia="fr-CA"/>
        </w:rPr>
        <w:t>d</w:t>
      </w:r>
      <w:r w:rsidR="00E8523A">
        <w:rPr>
          <w:rFonts w:eastAsia="ArialMT"/>
          <w:lang w:eastAsia="fr-CA"/>
        </w:rPr>
        <w:t>’</w:t>
      </w:r>
      <w:r w:rsidR="0099595A" w:rsidRPr="009325FD">
        <w:rPr>
          <w:rFonts w:eastAsia="ArialMT"/>
          <w:lang w:eastAsia="fr-CA"/>
        </w:rPr>
        <w:t>investissement</w:t>
      </w:r>
      <w:r w:rsidRPr="009325FD">
        <w:rPr>
          <w:rFonts w:eastAsia="ArialMT"/>
          <w:lang w:eastAsia="fr-CA"/>
        </w:rPr>
        <w:t xml:space="preserve"> </w:t>
      </w:r>
      <w:r w:rsidR="0099595A">
        <w:rPr>
          <w:lang w:eastAsia="fr-CA"/>
        </w:rPr>
        <w:t>similaires à ce qui a été représenté par les Défendeurs et qui auraient quant à eux</w:t>
      </w:r>
      <w:r>
        <w:rPr>
          <w:lang w:eastAsia="fr-CA"/>
        </w:rPr>
        <w:t xml:space="preserve"> </w:t>
      </w:r>
      <w:r w:rsidR="0099595A">
        <w:rPr>
          <w:lang w:eastAsia="fr-CA"/>
        </w:rPr>
        <w:t>généré des rendements du même ordre, sinon plus élevés</w:t>
      </w:r>
      <w:r>
        <w:rPr>
          <w:rStyle w:val="Appelnotedebasdep"/>
          <w:lang w:eastAsia="fr-CA"/>
        </w:rPr>
        <w:footnoteReference w:id="335"/>
      </w:r>
      <w:r w:rsidR="0099595A">
        <w:rPr>
          <w:lang w:eastAsia="fr-CA"/>
        </w:rPr>
        <w:t>.</w:t>
      </w:r>
    </w:p>
    <w:p w14:paraId="7E22F290" w14:textId="77777777" w:rsidR="00145191" w:rsidRDefault="00730A01">
      <w:pPr>
        <w:rPr>
          <w:kern w:val="28"/>
          <w:lang w:eastAsia="fr-CA"/>
        </w:rPr>
      </w:pPr>
      <w:r>
        <w:rPr>
          <w:lang w:eastAsia="fr-CA"/>
        </w:rPr>
        <w:br w:type="page"/>
      </w:r>
    </w:p>
    <w:p w14:paraId="1DC0899B" w14:textId="77777777" w:rsidR="0099595A" w:rsidRDefault="00730A01" w:rsidP="0098012F">
      <w:pPr>
        <w:pStyle w:val="Paragraphe"/>
        <w:tabs>
          <w:tab w:val="clear" w:pos="786"/>
        </w:tabs>
        <w:spacing w:line="240" w:lineRule="auto"/>
        <w:ind w:left="0"/>
        <w:rPr>
          <w:lang w:eastAsia="fr-CA"/>
        </w:rPr>
      </w:pPr>
      <w:r>
        <w:rPr>
          <w:lang w:eastAsia="fr-CA"/>
        </w:rPr>
        <w:t>Le principe veut par ailleurs que les dommages-intérêts compensent non</w:t>
      </w:r>
      <w:r w:rsidR="009325FD">
        <w:rPr>
          <w:lang w:eastAsia="fr-CA"/>
        </w:rPr>
        <w:t xml:space="preserve"> </w:t>
      </w:r>
      <w:r>
        <w:rPr>
          <w:lang w:eastAsia="fr-CA"/>
        </w:rPr>
        <w:t>seulement la perte subie, mais également le gain dont le débiteur est privé</w:t>
      </w:r>
      <w:r>
        <w:rPr>
          <w:rStyle w:val="Appelnotedebasdep"/>
          <w:lang w:eastAsia="fr-CA"/>
        </w:rPr>
        <w:footnoteReference w:id="336"/>
      </w:r>
      <w:r w:rsidR="008F4710">
        <w:rPr>
          <w:lang w:eastAsia="fr-CA"/>
        </w:rPr>
        <w:t> </w:t>
      </w:r>
      <w:r>
        <w:rPr>
          <w:lang w:eastAsia="fr-CA"/>
        </w:rPr>
        <w:t>:</w:t>
      </w:r>
    </w:p>
    <w:p w14:paraId="7E6BCC8E" w14:textId="77777777" w:rsidR="0099595A" w:rsidRDefault="00730A01" w:rsidP="00A82953">
      <w:pPr>
        <w:pStyle w:val="Citationenretrait"/>
        <w:ind w:right="539"/>
        <w:rPr>
          <w:lang w:eastAsia="fr-CA"/>
        </w:rPr>
      </w:pPr>
      <w:r>
        <w:rPr>
          <w:lang w:eastAsia="fr-CA"/>
        </w:rPr>
        <w:t>[81] La preuve démontre que les demandeurs auraient pu et auraient dû,</w:t>
      </w:r>
      <w:r w:rsidR="009325FD">
        <w:rPr>
          <w:lang w:eastAsia="fr-CA"/>
        </w:rPr>
        <w:t xml:space="preserve"> </w:t>
      </w:r>
      <w:r>
        <w:rPr>
          <w:rFonts w:eastAsia="ArialMT"/>
          <w:lang w:eastAsia="fr-CA"/>
        </w:rPr>
        <w:t>lors de la vente de l</w:t>
      </w:r>
      <w:r w:rsidR="008F4710">
        <w:rPr>
          <w:rFonts w:eastAsia="ArialMT"/>
          <w:lang w:eastAsia="fr-CA"/>
        </w:rPr>
        <w:t>’</w:t>
      </w:r>
      <w:r>
        <w:rPr>
          <w:rFonts w:eastAsia="ArialMT"/>
          <w:lang w:eastAsia="fr-CA"/>
        </w:rPr>
        <w:t>immeuble en</w:t>
      </w:r>
      <w:r w:rsidR="00C44CEA">
        <w:rPr>
          <w:rFonts w:eastAsia="ArialMT"/>
          <w:lang w:eastAsia="fr-CA"/>
        </w:rPr>
        <w:t> </w:t>
      </w:r>
      <w:r>
        <w:rPr>
          <w:rFonts w:eastAsia="ArialMT"/>
          <w:lang w:eastAsia="fr-CA"/>
        </w:rPr>
        <w:t>2007, recouvrer la totalit</w:t>
      </w:r>
      <w:r>
        <w:rPr>
          <w:rFonts w:eastAsia="ArialMT" w:hint="eastAsia"/>
          <w:lang w:eastAsia="fr-CA"/>
        </w:rPr>
        <w:t>é</w:t>
      </w:r>
      <w:r>
        <w:rPr>
          <w:rFonts w:eastAsia="ArialMT"/>
          <w:lang w:eastAsia="fr-CA"/>
        </w:rPr>
        <w:t xml:space="preserve"> de leur</w:t>
      </w:r>
      <w:r w:rsidR="009325FD">
        <w:rPr>
          <w:rFonts w:eastAsia="ArialMT"/>
          <w:lang w:eastAsia="fr-CA"/>
        </w:rPr>
        <w:t xml:space="preserve"> </w:t>
      </w:r>
      <w:r>
        <w:rPr>
          <w:lang w:eastAsia="fr-CA"/>
        </w:rPr>
        <w:t xml:space="preserve">investissement, </w:t>
      </w:r>
      <w:r w:rsidRPr="009325FD">
        <w:rPr>
          <w:u w:val="single"/>
          <w:lang w:eastAsia="fr-CA"/>
        </w:rPr>
        <w:t>les dividendes auxquels leurs actions qui leur avaient été</w:t>
      </w:r>
      <w:r w:rsidR="009325FD" w:rsidRPr="009325FD">
        <w:rPr>
          <w:u w:val="single"/>
          <w:lang w:eastAsia="fr-CA"/>
        </w:rPr>
        <w:t xml:space="preserve"> </w:t>
      </w:r>
      <w:r w:rsidRPr="009325FD">
        <w:rPr>
          <w:u w:val="single"/>
          <w:lang w:eastAsia="fr-CA"/>
        </w:rPr>
        <w:t>promises leur donnaient droit</w:t>
      </w:r>
      <w:r>
        <w:rPr>
          <w:lang w:eastAsia="fr-CA"/>
        </w:rPr>
        <w:t>, ainsi que le</w:t>
      </w:r>
      <w:r w:rsidR="009325FD">
        <w:rPr>
          <w:lang w:eastAsia="fr-CA"/>
        </w:rPr>
        <w:t xml:space="preserve"> 1 % de l’équité sur le produit de </w:t>
      </w:r>
      <w:r>
        <w:rPr>
          <w:lang w:eastAsia="fr-CA"/>
        </w:rPr>
        <w:t>la vente.</w:t>
      </w:r>
    </w:p>
    <w:p w14:paraId="08936E35" w14:textId="77777777" w:rsidR="0099595A" w:rsidRDefault="00730A01" w:rsidP="00403E05">
      <w:pPr>
        <w:pStyle w:val="Citationenretrait"/>
        <w:spacing w:after="0"/>
        <w:ind w:right="539"/>
        <w:rPr>
          <w:lang w:eastAsia="fr-CA"/>
        </w:rPr>
      </w:pPr>
      <w:r>
        <w:rPr>
          <w:lang w:eastAsia="fr-CA"/>
        </w:rPr>
        <w:t>[82] En conséquence, il sera fait droit à leurs demandes sous chacun de</w:t>
      </w:r>
      <w:r w:rsidR="009325FD">
        <w:rPr>
          <w:lang w:eastAsia="fr-CA"/>
        </w:rPr>
        <w:t xml:space="preserve"> </w:t>
      </w:r>
      <w:r>
        <w:rPr>
          <w:lang w:eastAsia="fr-CA"/>
        </w:rPr>
        <w:t>ces postes.</w:t>
      </w:r>
    </w:p>
    <w:p w14:paraId="1AF79C3B" w14:textId="77777777" w:rsidR="0099595A" w:rsidRPr="00C44CEA" w:rsidRDefault="00730A01" w:rsidP="00A82953">
      <w:pPr>
        <w:pStyle w:val="Citationenretrait"/>
        <w:ind w:right="539"/>
        <w:jc w:val="right"/>
        <w:rPr>
          <w:sz w:val="20"/>
          <w:lang w:eastAsia="fr-CA"/>
        </w:rPr>
      </w:pPr>
      <w:r w:rsidRPr="00C44CEA">
        <w:rPr>
          <w:sz w:val="20"/>
          <w:lang w:eastAsia="fr-CA"/>
        </w:rPr>
        <w:t>[</w:t>
      </w:r>
      <w:r w:rsidR="009325FD" w:rsidRPr="00C44CEA">
        <w:rPr>
          <w:sz w:val="20"/>
          <w:lang w:eastAsia="fr-CA"/>
        </w:rPr>
        <w:t>Reproduction intégrale</w:t>
      </w:r>
      <w:r w:rsidRPr="00C44CEA">
        <w:rPr>
          <w:sz w:val="20"/>
          <w:lang w:eastAsia="fr-CA"/>
        </w:rPr>
        <w:t>]</w:t>
      </w:r>
    </w:p>
    <w:p w14:paraId="28314705" w14:textId="77777777" w:rsidR="007379AA" w:rsidRPr="005F709E" w:rsidRDefault="00730A01" w:rsidP="00145191">
      <w:pPr>
        <w:pStyle w:val="Paragraphedeliste"/>
        <w:numPr>
          <w:ilvl w:val="2"/>
          <w:numId w:val="5"/>
        </w:numPr>
        <w:spacing w:before="240" w:after="100" w:afterAutospacing="1"/>
        <w:ind w:left="284" w:hanging="284"/>
        <w:outlineLvl w:val="1"/>
        <w:rPr>
          <w:rFonts w:cs="Arial"/>
          <w:b/>
          <w:bCs/>
          <w:szCs w:val="24"/>
          <w:lang w:eastAsia="fr-CA"/>
        </w:rPr>
      </w:pPr>
      <w:bookmarkStart w:id="117" w:name="_Toc211495250"/>
      <w:bookmarkStart w:id="118" w:name="_Toc211600659"/>
      <w:r w:rsidRPr="005F709E">
        <w:rPr>
          <w:rFonts w:cs="Arial"/>
          <w:b/>
          <w:bCs/>
          <w:szCs w:val="24"/>
          <w:lang w:eastAsia="fr-CA"/>
        </w:rPr>
        <w:t>Quantification des dommages – Q-12</w:t>
      </w:r>
      <w:bookmarkEnd w:id="117"/>
      <w:bookmarkEnd w:id="118"/>
    </w:p>
    <w:p w14:paraId="057E5E84" w14:textId="77777777" w:rsidR="007379AA" w:rsidRDefault="00730A01" w:rsidP="0098012F">
      <w:pPr>
        <w:pStyle w:val="Paragraphe"/>
        <w:tabs>
          <w:tab w:val="clear" w:pos="786"/>
        </w:tabs>
        <w:spacing w:line="240" w:lineRule="auto"/>
        <w:ind w:left="0"/>
        <w:rPr>
          <w:rFonts w:cs="Arial"/>
        </w:rPr>
      </w:pPr>
      <w:r w:rsidRPr="005701BB">
        <w:rPr>
          <w:rFonts w:cs="Arial"/>
        </w:rPr>
        <w:t xml:space="preserve">Les Demandeurs fondent leur réclamation de </w:t>
      </w:r>
      <w:r w:rsidRPr="00E84D8C">
        <w:rPr>
          <w:rStyle w:val="lev"/>
          <w:rFonts w:cs="Arial"/>
          <w:b w:val="0"/>
          <w:bCs w:val="0"/>
        </w:rPr>
        <w:t>5</w:t>
      </w:r>
      <w:r w:rsidR="008F4710">
        <w:rPr>
          <w:rStyle w:val="lev"/>
          <w:rFonts w:cs="Arial"/>
          <w:b w:val="0"/>
          <w:bCs w:val="0"/>
        </w:rPr>
        <w:t>5 552 375</w:t>
      </w:r>
      <w:r w:rsidRPr="00E84D8C">
        <w:rPr>
          <w:rStyle w:val="lev"/>
          <w:rFonts w:cs="Arial"/>
          <w:b w:val="0"/>
          <w:bCs w:val="0"/>
        </w:rPr>
        <w:t> $</w:t>
      </w:r>
      <w:r w:rsidRPr="005701BB">
        <w:rPr>
          <w:rFonts w:cs="Arial"/>
        </w:rPr>
        <w:t xml:space="preserve"> sur l’analyse détaillée de la situation des quinze prêts actifs consentis par Q-12 au Groupe Huot.</w:t>
      </w:r>
    </w:p>
    <w:p w14:paraId="5BFC9D4E" w14:textId="77777777" w:rsidR="008F4710" w:rsidRDefault="00730A01" w:rsidP="008F4710">
      <w:pPr>
        <w:pStyle w:val="Paragraphe"/>
        <w:tabs>
          <w:tab w:val="clear" w:pos="786"/>
        </w:tabs>
        <w:spacing w:line="240" w:lineRule="auto"/>
        <w:ind w:left="0"/>
        <w:rPr>
          <w:rFonts w:cs="Arial"/>
        </w:rPr>
      </w:pPr>
      <w:r w:rsidRPr="007379AA">
        <w:rPr>
          <w:rFonts w:cs="Arial"/>
        </w:rPr>
        <w:t>Dans son rapport, KPMG explique que, lors de l’arrêt des opérations du Groupe Huot en février</w:t>
      </w:r>
      <w:r w:rsidR="00C44CEA">
        <w:rPr>
          <w:rFonts w:cs="Arial"/>
        </w:rPr>
        <w:t> </w:t>
      </w:r>
      <w:r w:rsidRPr="007379AA">
        <w:rPr>
          <w:rFonts w:cs="Arial"/>
        </w:rPr>
        <w:t>2023, ces prêts demeuraient impayés et que leur recouvrement devait être évalué à partir de la valeur résiduelle anticipée des actifs donnés en garantie. Après actualisation, les pertes nettes pour les Investisseurs/Demandeurs de Q</w:t>
      </w:r>
      <w:r w:rsidRPr="007379AA">
        <w:rPr>
          <w:rFonts w:cs="Arial"/>
        </w:rPr>
        <w:noBreakHyphen/>
        <w:t xml:space="preserve">12 ont été estimées à </w:t>
      </w:r>
      <w:r>
        <w:rPr>
          <w:rStyle w:val="lev"/>
          <w:rFonts w:cs="Arial"/>
          <w:b w:val="0"/>
          <w:bCs w:val="0"/>
        </w:rPr>
        <w:t>55 555 375 $</w:t>
      </w:r>
      <w:r w:rsidRPr="007379AA">
        <w:rPr>
          <w:rStyle w:val="lev"/>
          <w:rFonts w:cs="Arial"/>
          <w:b w:val="0"/>
          <w:bCs w:val="0"/>
        </w:rPr>
        <w:t> $</w:t>
      </w:r>
      <w:r w:rsidRPr="007379AA">
        <w:rPr>
          <w:rFonts w:cs="Arial"/>
          <w:b/>
          <w:bCs/>
        </w:rPr>
        <w:t>,</w:t>
      </w:r>
      <w:r w:rsidRPr="007379AA">
        <w:rPr>
          <w:rFonts w:cs="Arial"/>
        </w:rPr>
        <w:t xml:space="preserve"> somme qui correspond à la différence entre les soldes des prêts et la valeur marchande ajustée des actifs sous-jacents</w:t>
      </w:r>
      <w:r>
        <w:rPr>
          <w:rFonts w:cs="Arial"/>
        </w:rPr>
        <w:t xml:space="preserve">, diminution faite des sommes reçues </w:t>
      </w:r>
      <w:r w:rsidR="00C44CEA">
        <w:rPr>
          <w:rFonts w:cs="Arial"/>
        </w:rPr>
        <w:t xml:space="preserve">à la </w:t>
      </w:r>
      <w:r>
        <w:rPr>
          <w:rFonts w:cs="Arial"/>
        </w:rPr>
        <w:t xml:space="preserve">suite </w:t>
      </w:r>
      <w:r w:rsidR="00C44CEA">
        <w:rPr>
          <w:rFonts w:cs="Arial"/>
        </w:rPr>
        <w:t>de</w:t>
      </w:r>
      <w:r>
        <w:rPr>
          <w:rFonts w:cs="Arial"/>
        </w:rPr>
        <w:t xml:space="preserve"> la réalisation de certaines </w:t>
      </w:r>
      <w:r w:rsidRPr="008F4710">
        <w:rPr>
          <w:rFonts w:cs="Arial"/>
        </w:rPr>
        <w:t>garanties, en date du 1</w:t>
      </w:r>
      <w:r w:rsidRPr="008F4710">
        <w:rPr>
          <w:rFonts w:cs="Arial"/>
          <w:vertAlign w:val="superscript"/>
        </w:rPr>
        <w:t>er</w:t>
      </w:r>
      <w:r w:rsidR="00C44CEA">
        <w:rPr>
          <w:rFonts w:cs="Arial"/>
        </w:rPr>
        <w:t> </w:t>
      </w:r>
      <w:r w:rsidRPr="008F4710">
        <w:rPr>
          <w:rFonts w:cs="Arial"/>
        </w:rPr>
        <w:t>octobre</w:t>
      </w:r>
      <w:r w:rsidR="00C44CEA">
        <w:rPr>
          <w:rFonts w:cs="Arial"/>
        </w:rPr>
        <w:t> </w:t>
      </w:r>
      <w:r w:rsidRPr="008F4710">
        <w:rPr>
          <w:rFonts w:cs="Arial"/>
        </w:rPr>
        <w:t>2025</w:t>
      </w:r>
      <w:r>
        <w:rPr>
          <w:rStyle w:val="Appelnotedebasdep"/>
          <w:rFonts w:cs="Arial"/>
        </w:rPr>
        <w:footnoteReference w:id="337"/>
      </w:r>
      <w:r>
        <w:rPr>
          <w:rFonts w:cs="Arial"/>
        </w:rPr>
        <w:t>.</w:t>
      </w:r>
    </w:p>
    <w:p w14:paraId="052BB1C0" w14:textId="77777777" w:rsidR="007379AA" w:rsidRPr="008F4710" w:rsidRDefault="00730A01" w:rsidP="008F4710">
      <w:pPr>
        <w:pStyle w:val="Paragraphe"/>
        <w:tabs>
          <w:tab w:val="clear" w:pos="786"/>
        </w:tabs>
        <w:spacing w:line="240" w:lineRule="auto"/>
        <w:ind w:left="0"/>
        <w:rPr>
          <w:rFonts w:cs="Arial"/>
        </w:rPr>
      </w:pPr>
      <w:r>
        <w:rPr>
          <w:rFonts w:cs="Arial"/>
        </w:rPr>
        <w:t>Ce</w:t>
      </w:r>
      <w:r w:rsidRPr="008F4710">
        <w:rPr>
          <w:rFonts w:cs="Arial"/>
        </w:rPr>
        <w:t xml:space="preserve"> montant tient compte de la </w:t>
      </w:r>
      <w:r w:rsidRPr="008F4710">
        <w:rPr>
          <w:rStyle w:val="lev"/>
          <w:rFonts w:cs="Arial"/>
          <w:b w:val="0"/>
          <w:bCs w:val="0"/>
        </w:rPr>
        <w:t>diminution substantielle de valeur</w:t>
      </w:r>
      <w:r w:rsidRPr="008F4710">
        <w:rPr>
          <w:rFonts w:cs="Arial"/>
        </w:rPr>
        <w:t xml:space="preserve"> des projets financés (par exemple DMI3, Arrow, Louis XIV, Kepler, Transrapide, Aventura IX et X), dont plusieurs se sont révélés insolvables ou sans valeur nette</w:t>
      </w:r>
      <w:r>
        <w:rPr>
          <w:rFonts w:cs="Arial"/>
        </w:rPr>
        <w:t>.</w:t>
      </w:r>
    </w:p>
    <w:p w14:paraId="784EC240" w14:textId="77777777" w:rsidR="008377EB" w:rsidRDefault="00730A01" w:rsidP="00443B59">
      <w:pPr>
        <w:pStyle w:val="Titre3"/>
        <w:numPr>
          <w:ilvl w:val="0"/>
          <w:numId w:val="91"/>
        </w:numPr>
        <w:ind w:left="714" w:hanging="357"/>
        <w:rPr>
          <w:rFonts w:cs="Arial"/>
          <w:b/>
          <w:bCs/>
        </w:rPr>
      </w:pPr>
      <w:bookmarkStart w:id="119" w:name="_Toc211495251"/>
      <w:bookmarkStart w:id="120" w:name="_Toc211600660"/>
      <w:r w:rsidRPr="005701BB">
        <w:rPr>
          <w:rFonts w:cs="Arial"/>
          <w:b/>
          <w:bCs/>
        </w:rPr>
        <w:t>Pertes par projet</w:t>
      </w:r>
      <w:bookmarkEnd w:id="119"/>
      <w:bookmarkEnd w:id="120"/>
    </w:p>
    <w:p w14:paraId="007F179A" w14:textId="77777777" w:rsidR="008377EB" w:rsidRPr="005169BE" w:rsidRDefault="00730A01" w:rsidP="0098012F">
      <w:pPr>
        <w:pStyle w:val="Paragraphe"/>
        <w:tabs>
          <w:tab w:val="clear" w:pos="786"/>
        </w:tabs>
        <w:spacing w:line="240" w:lineRule="auto"/>
        <w:ind w:left="0"/>
      </w:pPr>
      <w:r>
        <w:t>Il y a lieu de reproduire ici les pertes par projet, tel que mentionné à l’</w:t>
      </w:r>
      <w:r>
        <w:rPr>
          <w:i/>
          <w:iCs/>
        </w:rPr>
        <w:t>Annexe</w:t>
      </w:r>
      <w:r w:rsidR="0082794C">
        <w:rPr>
          <w:i/>
          <w:iCs/>
        </w:rPr>
        <w:t> </w:t>
      </w:r>
      <w:r>
        <w:rPr>
          <w:i/>
          <w:iCs/>
        </w:rPr>
        <w:t>B</w:t>
      </w:r>
      <w:r w:rsidR="008F4710">
        <w:t>, jointe pour valoir comme si au long récité :</w:t>
      </w:r>
    </w:p>
    <w:p w14:paraId="26B91649" w14:textId="77777777" w:rsidR="008377EB" w:rsidRPr="00A82953"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0A4DF0">
        <w:rPr>
          <w:rStyle w:val="lev"/>
          <w:rFonts w:ascii="Arial" w:hAnsi="Arial" w:cs="Arial"/>
        </w:rPr>
        <w:t>Location Arrow (P021)</w:t>
      </w:r>
      <w:r w:rsidR="00C44CEA">
        <w:rPr>
          <w:rFonts w:ascii="Arial" w:hAnsi="Arial" w:cs="Arial"/>
        </w:rPr>
        <w:t> </w:t>
      </w:r>
      <w:r w:rsidRPr="000A4DF0">
        <w:rPr>
          <w:rFonts w:ascii="Arial" w:hAnsi="Arial" w:cs="Arial"/>
        </w:rPr>
        <w:t xml:space="preserve">: prêt </w:t>
      </w:r>
      <w:r w:rsidRPr="00A82953">
        <w:rPr>
          <w:rFonts w:ascii="Arial" w:hAnsi="Arial" w:cs="Arial"/>
          <w:sz w:val="22"/>
          <w:szCs w:val="22"/>
        </w:rPr>
        <w:t>de 1,3 M$, avec une perte nette de 950 000 $ et des intérêts impayés de 162 500 $</w:t>
      </w:r>
      <w:r w:rsidR="000048AF">
        <w:rPr>
          <w:rFonts w:ascii="Arial" w:hAnsi="Arial" w:cs="Arial"/>
          <w:sz w:val="22"/>
          <w:szCs w:val="22"/>
        </w:rPr>
        <w:t xml:space="preserve"> au 31</w:t>
      </w:r>
      <w:r w:rsidR="00C44CEA">
        <w:rPr>
          <w:rFonts w:ascii="Arial" w:hAnsi="Arial" w:cs="Arial"/>
          <w:sz w:val="22"/>
          <w:szCs w:val="22"/>
        </w:rPr>
        <w:t> </w:t>
      </w:r>
      <w:r w:rsidR="000048AF">
        <w:rPr>
          <w:rFonts w:ascii="Arial" w:hAnsi="Arial" w:cs="Arial"/>
          <w:sz w:val="22"/>
          <w:szCs w:val="22"/>
        </w:rPr>
        <w:t>octobre</w:t>
      </w:r>
      <w:r w:rsidR="00C44CEA">
        <w:rPr>
          <w:rFonts w:ascii="Arial" w:hAnsi="Arial" w:cs="Arial"/>
          <w:sz w:val="22"/>
          <w:szCs w:val="22"/>
        </w:rPr>
        <w:t> </w:t>
      </w:r>
      <w:r w:rsidR="000048AF">
        <w:rPr>
          <w:rFonts w:ascii="Arial" w:hAnsi="Arial" w:cs="Arial"/>
          <w:sz w:val="22"/>
          <w:szCs w:val="22"/>
        </w:rPr>
        <w:t>2023</w:t>
      </w:r>
      <w:r w:rsidR="008F4710" w:rsidRPr="00A82953">
        <w:rPr>
          <w:rFonts w:ascii="Arial" w:hAnsi="Arial" w:cs="Arial"/>
          <w:sz w:val="22"/>
          <w:szCs w:val="22"/>
        </w:rPr>
        <w:t>, pour un total de 1 112 500 $</w:t>
      </w:r>
      <w:r w:rsidRPr="00A82953">
        <w:rPr>
          <w:rFonts w:ascii="Arial" w:hAnsi="Arial" w:cs="Arial"/>
          <w:sz w:val="22"/>
          <w:szCs w:val="22"/>
        </w:rPr>
        <w:t>.</w:t>
      </w:r>
    </w:p>
    <w:p w14:paraId="2598AFDC" w14:textId="77777777" w:rsidR="008377EB" w:rsidRPr="00A82953"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A82953">
        <w:rPr>
          <w:rStyle w:val="lev"/>
          <w:rFonts w:ascii="Arial" w:hAnsi="Arial" w:cs="Arial"/>
          <w:sz w:val="22"/>
          <w:szCs w:val="22"/>
        </w:rPr>
        <w:t>Louis XIV (P034 et P097)</w:t>
      </w:r>
      <w:r w:rsidR="00291B1B">
        <w:rPr>
          <w:rFonts w:ascii="Arial" w:hAnsi="Arial" w:cs="Arial"/>
          <w:sz w:val="22"/>
          <w:szCs w:val="22"/>
        </w:rPr>
        <w:t> </w:t>
      </w:r>
      <w:r w:rsidRPr="00A82953">
        <w:rPr>
          <w:rFonts w:ascii="Arial" w:hAnsi="Arial" w:cs="Arial"/>
          <w:sz w:val="22"/>
          <w:szCs w:val="22"/>
        </w:rPr>
        <w:t xml:space="preserve">: prêts totalisant 11,85 M$, perte estimée de </w:t>
      </w:r>
      <w:r w:rsidR="00D85F2A" w:rsidRPr="00A82953">
        <w:rPr>
          <w:rFonts w:ascii="Arial" w:hAnsi="Arial" w:cs="Arial"/>
          <w:sz w:val="22"/>
          <w:szCs w:val="22"/>
        </w:rPr>
        <w:t>8 192 814 $</w:t>
      </w:r>
      <w:r w:rsidRPr="00A82953">
        <w:rPr>
          <w:rFonts w:ascii="Arial" w:hAnsi="Arial" w:cs="Arial"/>
          <w:sz w:val="22"/>
          <w:szCs w:val="22"/>
        </w:rPr>
        <w:t>, intérêts 1</w:t>
      </w:r>
      <w:r w:rsidR="00D85F2A" w:rsidRPr="00A82953">
        <w:rPr>
          <w:rFonts w:ascii="Arial" w:hAnsi="Arial" w:cs="Arial"/>
          <w:sz w:val="22"/>
          <w:szCs w:val="22"/>
        </w:rPr>
        <w:t> 511 250 </w:t>
      </w:r>
      <w:r w:rsidRPr="00A82953">
        <w:rPr>
          <w:rFonts w:ascii="Arial" w:hAnsi="Arial" w:cs="Arial"/>
          <w:sz w:val="22"/>
          <w:szCs w:val="22"/>
        </w:rPr>
        <w:t>$</w:t>
      </w:r>
      <w:r w:rsidR="000048AF">
        <w:rPr>
          <w:rFonts w:ascii="Arial" w:hAnsi="Arial" w:cs="Arial"/>
          <w:sz w:val="22"/>
          <w:szCs w:val="22"/>
        </w:rPr>
        <w:t xml:space="preserve"> au 31</w:t>
      </w:r>
      <w:r w:rsidR="00291B1B">
        <w:rPr>
          <w:rFonts w:ascii="Arial" w:hAnsi="Arial" w:cs="Arial"/>
          <w:sz w:val="22"/>
          <w:szCs w:val="22"/>
        </w:rPr>
        <w:t> </w:t>
      </w:r>
      <w:r w:rsidR="000048AF">
        <w:rPr>
          <w:rFonts w:ascii="Arial" w:hAnsi="Arial" w:cs="Arial"/>
          <w:sz w:val="22"/>
          <w:szCs w:val="22"/>
        </w:rPr>
        <w:t>octobre</w:t>
      </w:r>
      <w:r w:rsidR="00291B1B">
        <w:rPr>
          <w:rFonts w:ascii="Arial" w:hAnsi="Arial" w:cs="Arial"/>
          <w:sz w:val="22"/>
          <w:szCs w:val="22"/>
        </w:rPr>
        <w:t> </w:t>
      </w:r>
      <w:r w:rsidR="000048AF">
        <w:rPr>
          <w:rFonts w:ascii="Arial" w:hAnsi="Arial" w:cs="Arial"/>
          <w:sz w:val="22"/>
          <w:szCs w:val="22"/>
        </w:rPr>
        <w:t>2023</w:t>
      </w:r>
      <w:r w:rsidRPr="00A82953">
        <w:rPr>
          <w:rFonts w:ascii="Arial" w:hAnsi="Arial" w:cs="Arial"/>
          <w:sz w:val="22"/>
          <w:szCs w:val="22"/>
        </w:rPr>
        <w:t xml:space="preserve">, perte totale </w:t>
      </w:r>
      <w:r w:rsidR="00D85F2A" w:rsidRPr="00A82953">
        <w:rPr>
          <w:rFonts w:ascii="Arial" w:hAnsi="Arial" w:cs="Arial"/>
          <w:sz w:val="22"/>
          <w:szCs w:val="22"/>
        </w:rPr>
        <w:t>9 704 084 </w:t>
      </w:r>
      <w:r w:rsidRPr="00A82953">
        <w:rPr>
          <w:rFonts w:ascii="Arial" w:hAnsi="Arial" w:cs="Arial"/>
          <w:sz w:val="22"/>
          <w:szCs w:val="22"/>
        </w:rPr>
        <w:t>$.</w:t>
      </w:r>
    </w:p>
    <w:p w14:paraId="6D9F58E2" w14:textId="77777777" w:rsidR="008377EB" w:rsidRPr="00A82953"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A82953">
        <w:rPr>
          <w:rStyle w:val="lev"/>
          <w:rFonts w:ascii="Arial" w:hAnsi="Arial" w:cs="Arial"/>
          <w:sz w:val="22"/>
          <w:szCs w:val="22"/>
        </w:rPr>
        <w:t>Kepler (P064)</w:t>
      </w:r>
      <w:r w:rsidR="00291B1B">
        <w:rPr>
          <w:rFonts w:ascii="Arial" w:hAnsi="Arial" w:cs="Arial"/>
          <w:sz w:val="22"/>
          <w:szCs w:val="22"/>
        </w:rPr>
        <w:t> </w:t>
      </w:r>
      <w:r w:rsidRPr="00A82953">
        <w:rPr>
          <w:rFonts w:ascii="Arial" w:hAnsi="Arial" w:cs="Arial"/>
          <w:sz w:val="22"/>
          <w:szCs w:val="22"/>
        </w:rPr>
        <w:t>: 1</w:t>
      </w:r>
      <w:r w:rsidR="00D85F2A" w:rsidRPr="00A82953">
        <w:rPr>
          <w:rFonts w:ascii="Arial" w:hAnsi="Arial" w:cs="Arial"/>
          <w:sz w:val="22"/>
          <w:szCs w:val="22"/>
        </w:rPr>
        <w:t> 879 615</w:t>
      </w:r>
      <w:r w:rsidRPr="00A82953">
        <w:rPr>
          <w:rFonts w:ascii="Arial" w:hAnsi="Arial" w:cs="Arial"/>
          <w:sz w:val="22"/>
          <w:szCs w:val="22"/>
        </w:rPr>
        <w:t xml:space="preserve"> $, aucun remboursement, </w:t>
      </w:r>
      <w:r w:rsidR="00D85F2A" w:rsidRPr="00A82953">
        <w:rPr>
          <w:rFonts w:ascii="Arial" w:hAnsi="Arial" w:cs="Arial"/>
          <w:sz w:val="22"/>
          <w:szCs w:val="22"/>
        </w:rPr>
        <w:t>234 952 $ d’intérêts</w:t>
      </w:r>
      <w:r w:rsidR="000048AF">
        <w:rPr>
          <w:rFonts w:ascii="Arial" w:hAnsi="Arial" w:cs="Arial"/>
          <w:sz w:val="22"/>
          <w:szCs w:val="22"/>
        </w:rPr>
        <w:t xml:space="preserve"> au 31 octobre</w:t>
      </w:r>
      <w:r w:rsidR="00291B1B">
        <w:rPr>
          <w:rFonts w:ascii="Arial" w:hAnsi="Arial" w:cs="Arial"/>
          <w:sz w:val="22"/>
          <w:szCs w:val="22"/>
        </w:rPr>
        <w:t> </w:t>
      </w:r>
      <w:r w:rsidR="000048AF">
        <w:rPr>
          <w:rFonts w:ascii="Arial" w:hAnsi="Arial" w:cs="Arial"/>
          <w:sz w:val="22"/>
          <w:szCs w:val="22"/>
        </w:rPr>
        <w:t>2023,</w:t>
      </w:r>
      <w:r w:rsidR="00D85F2A" w:rsidRPr="00A82953">
        <w:rPr>
          <w:rFonts w:ascii="Arial" w:hAnsi="Arial" w:cs="Arial"/>
          <w:sz w:val="22"/>
          <w:szCs w:val="22"/>
        </w:rPr>
        <w:t xml:space="preserve"> pour une perte totale de 2 114 567 $</w:t>
      </w:r>
      <w:r w:rsidRPr="00A82953">
        <w:rPr>
          <w:rFonts w:ascii="Arial" w:hAnsi="Arial" w:cs="Arial"/>
          <w:sz w:val="22"/>
          <w:szCs w:val="22"/>
        </w:rPr>
        <w:t>.</w:t>
      </w:r>
    </w:p>
    <w:p w14:paraId="1521C303" w14:textId="77777777" w:rsidR="008377EB" w:rsidRPr="00A82953"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A82953">
        <w:rPr>
          <w:rStyle w:val="lev"/>
          <w:rFonts w:ascii="Arial" w:hAnsi="Arial" w:cs="Arial"/>
          <w:sz w:val="22"/>
          <w:szCs w:val="22"/>
        </w:rPr>
        <w:t>Hangar Blanc-Sablon (P067)</w:t>
      </w:r>
      <w:r w:rsidR="00291B1B">
        <w:rPr>
          <w:rFonts w:ascii="Arial" w:hAnsi="Arial" w:cs="Arial"/>
          <w:sz w:val="22"/>
          <w:szCs w:val="22"/>
        </w:rPr>
        <w:t> </w:t>
      </w:r>
      <w:r w:rsidRPr="00A82953">
        <w:rPr>
          <w:rFonts w:ascii="Arial" w:hAnsi="Arial" w:cs="Arial"/>
          <w:sz w:val="22"/>
          <w:szCs w:val="22"/>
        </w:rPr>
        <w:t>: 3,1 M$, seul actif vendu; produit de disposition récupéré, limitant la perte</w:t>
      </w:r>
      <w:r w:rsidR="000048AF">
        <w:rPr>
          <w:rFonts w:ascii="Arial" w:hAnsi="Arial" w:cs="Arial"/>
          <w:sz w:val="22"/>
          <w:szCs w:val="22"/>
        </w:rPr>
        <w:t xml:space="preserve"> qui est donc</w:t>
      </w:r>
      <w:r w:rsidR="006D6CC4">
        <w:rPr>
          <w:rFonts w:ascii="Arial" w:hAnsi="Arial" w:cs="Arial"/>
          <w:sz w:val="22"/>
          <w:szCs w:val="22"/>
        </w:rPr>
        <w:t xml:space="preserve"> à 0.</w:t>
      </w:r>
    </w:p>
    <w:p w14:paraId="4B431159" w14:textId="77777777" w:rsidR="008377EB" w:rsidRPr="00A82953"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A82953">
        <w:rPr>
          <w:rStyle w:val="lev"/>
          <w:rFonts w:ascii="Arial" w:hAnsi="Arial" w:cs="Arial"/>
          <w:sz w:val="22"/>
          <w:szCs w:val="22"/>
        </w:rPr>
        <w:t>Hangar Saint-Hubert (P074)</w:t>
      </w:r>
      <w:r w:rsidR="00291B1B">
        <w:rPr>
          <w:rFonts w:ascii="Arial" w:hAnsi="Arial" w:cs="Arial"/>
          <w:sz w:val="22"/>
          <w:szCs w:val="22"/>
        </w:rPr>
        <w:t> </w:t>
      </w:r>
      <w:r w:rsidRPr="00A82953">
        <w:rPr>
          <w:rFonts w:ascii="Arial" w:hAnsi="Arial" w:cs="Arial"/>
          <w:sz w:val="22"/>
          <w:szCs w:val="22"/>
        </w:rPr>
        <w:t>: 11,5 M$, sans valeur nette résiduelle après analyse; perte totale</w:t>
      </w:r>
      <w:r w:rsidR="004659C9" w:rsidRPr="00A82953">
        <w:rPr>
          <w:rFonts w:ascii="Arial" w:hAnsi="Arial" w:cs="Arial"/>
          <w:sz w:val="22"/>
          <w:szCs w:val="22"/>
        </w:rPr>
        <w:t xml:space="preserve">, 1 035 000 $ d’intérêts </w:t>
      </w:r>
      <w:r w:rsidR="006D6CC4">
        <w:rPr>
          <w:rFonts w:ascii="Arial" w:hAnsi="Arial" w:cs="Arial"/>
          <w:sz w:val="22"/>
          <w:szCs w:val="22"/>
        </w:rPr>
        <w:t>au 31</w:t>
      </w:r>
      <w:r w:rsidR="00291B1B">
        <w:rPr>
          <w:rFonts w:ascii="Arial" w:hAnsi="Arial" w:cs="Arial"/>
          <w:sz w:val="22"/>
          <w:szCs w:val="22"/>
        </w:rPr>
        <w:t> </w:t>
      </w:r>
      <w:r w:rsidR="006D6CC4">
        <w:rPr>
          <w:rFonts w:ascii="Arial" w:hAnsi="Arial" w:cs="Arial"/>
          <w:sz w:val="22"/>
          <w:szCs w:val="22"/>
        </w:rPr>
        <w:t>octobre</w:t>
      </w:r>
      <w:r w:rsidR="00291B1B">
        <w:rPr>
          <w:rFonts w:ascii="Arial" w:hAnsi="Arial" w:cs="Arial"/>
          <w:sz w:val="22"/>
          <w:szCs w:val="22"/>
        </w:rPr>
        <w:t> </w:t>
      </w:r>
      <w:r w:rsidR="006D6CC4">
        <w:rPr>
          <w:rFonts w:ascii="Arial" w:hAnsi="Arial" w:cs="Arial"/>
          <w:sz w:val="22"/>
          <w:szCs w:val="22"/>
        </w:rPr>
        <w:t xml:space="preserve">2023, </w:t>
      </w:r>
      <w:r w:rsidR="004659C9" w:rsidRPr="00A82953">
        <w:rPr>
          <w:rFonts w:ascii="Arial" w:hAnsi="Arial" w:cs="Arial"/>
          <w:sz w:val="22"/>
          <w:szCs w:val="22"/>
        </w:rPr>
        <w:t>pour un total de 12,535 M$</w:t>
      </w:r>
      <w:r w:rsidRPr="00A82953">
        <w:rPr>
          <w:rFonts w:ascii="Arial" w:hAnsi="Arial" w:cs="Arial"/>
          <w:sz w:val="22"/>
          <w:szCs w:val="22"/>
        </w:rPr>
        <w:t>.</w:t>
      </w:r>
    </w:p>
    <w:p w14:paraId="66FD5334" w14:textId="77777777" w:rsidR="008377EB" w:rsidRPr="00A82953"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A82953">
        <w:rPr>
          <w:rStyle w:val="lev"/>
          <w:rFonts w:ascii="Arial" w:hAnsi="Arial" w:cs="Arial"/>
          <w:sz w:val="22"/>
          <w:szCs w:val="22"/>
        </w:rPr>
        <w:t>Père-Lelièvre</w:t>
      </w:r>
      <w:r w:rsidR="006D6CC4">
        <w:rPr>
          <w:rStyle w:val="lev"/>
          <w:rFonts w:ascii="Arial" w:hAnsi="Arial" w:cs="Arial"/>
          <w:sz w:val="22"/>
          <w:szCs w:val="22"/>
        </w:rPr>
        <w:t>/Riviera</w:t>
      </w:r>
      <w:r w:rsidRPr="00A82953">
        <w:rPr>
          <w:rStyle w:val="lev"/>
          <w:rFonts w:ascii="Arial" w:hAnsi="Arial" w:cs="Arial"/>
          <w:sz w:val="22"/>
          <w:szCs w:val="22"/>
        </w:rPr>
        <w:t xml:space="preserve"> (P072)</w:t>
      </w:r>
      <w:r w:rsidR="00291B1B">
        <w:rPr>
          <w:rFonts w:ascii="Arial" w:hAnsi="Arial" w:cs="Arial"/>
          <w:sz w:val="22"/>
          <w:szCs w:val="22"/>
        </w:rPr>
        <w:t> </w:t>
      </w:r>
      <w:r w:rsidRPr="00A82953">
        <w:rPr>
          <w:rFonts w:ascii="Arial" w:hAnsi="Arial" w:cs="Arial"/>
          <w:sz w:val="22"/>
          <w:szCs w:val="22"/>
        </w:rPr>
        <w:t>: 787 500 $ d’intérêts</w:t>
      </w:r>
      <w:r w:rsidR="004659C9" w:rsidRPr="00A82953">
        <w:rPr>
          <w:rFonts w:ascii="Arial" w:hAnsi="Arial" w:cs="Arial"/>
          <w:sz w:val="22"/>
          <w:szCs w:val="22"/>
        </w:rPr>
        <w:t xml:space="preserve"> en perte</w:t>
      </w:r>
      <w:r w:rsidRPr="00A82953">
        <w:rPr>
          <w:rFonts w:ascii="Arial" w:hAnsi="Arial" w:cs="Arial"/>
          <w:sz w:val="22"/>
          <w:szCs w:val="22"/>
        </w:rPr>
        <w:t>.</w:t>
      </w:r>
    </w:p>
    <w:p w14:paraId="1F6DE3DC" w14:textId="77777777" w:rsidR="008377EB" w:rsidRPr="00A82953"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A82953">
        <w:rPr>
          <w:rStyle w:val="lev"/>
          <w:rFonts w:ascii="Arial" w:hAnsi="Arial" w:cs="Arial"/>
          <w:sz w:val="22"/>
          <w:szCs w:val="22"/>
        </w:rPr>
        <w:t>Transrapide (P069, P079, P082, P084 et P093)</w:t>
      </w:r>
      <w:r w:rsidR="00291B1B">
        <w:rPr>
          <w:rFonts w:ascii="Arial" w:hAnsi="Arial" w:cs="Arial"/>
          <w:sz w:val="22"/>
          <w:szCs w:val="22"/>
        </w:rPr>
        <w:t> </w:t>
      </w:r>
      <w:r w:rsidRPr="00A82953">
        <w:rPr>
          <w:rFonts w:ascii="Arial" w:hAnsi="Arial" w:cs="Arial"/>
          <w:sz w:val="22"/>
          <w:szCs w:val="22"/>
        </w:rPr>
        <w:t xml:space="preserve">: </w:t>
      </w:r>
      <w:r w:rsidR="00D50712">
        <w:rPr>
          <w:rFonts w:ascii="Arial" w:hAnsi="Arial" w:cs="Arial"/>
          <w:sz w:val="22"/>
          <w:szCs w:val="22"/>
        </w:rPr>
        <w:t>actuellement</w:t>
      </w:r>
      <w:r w:rsidRPr="00A82953">
        <w:rPr>
          <w:rFonts w:ascii="Arial" w:hAnsi="Arial" w:cs="Arial"/>
          <w:sz w:val="22"/>
          <w:szCs w:val="22"/>
        </w:rPr>
        <w:t xml:space="preserve"> de 35,66 M$</w:t>
      </w:r>
      <w:r w:rsidR="00D50712">
        <w:rPr>
          <w:rFonts w:ascii="Arial" w:hAnsi="Arial" w:cs="Arial"/>
          <w:sz w:val="22"/>
          <w:szCs w:val="22"/>
        </w:rPr>
        <w:t xml:space="preserve"> de prêts</w:t>
      </w:r>
      <w:r w:rsidRPr="00A82953">
        <w:rPr>
          <w:rFonts w:ascii="Arial" w:hAnsi="Arial" w:cs="Arial"/>
          <w:sz w:val="22"/>
          <w:szCs w:val="22"/>
        </w:rPr>
        <w:t xml:space="preserve">, dont plusieurs phases incomplètes, aucune valeur nette récupérable, perte </w:t>
      </w:r>
      <w:r w:rsidR="004659C9" w:rsidRPr="00A82953">
        <w:rPr>
          <w:rFonts w:ascii="Arial" w:hAnsi="Arial" w:cs="Arial"/>
          <w:sz w:val="22"/>
          <w:szCs w:val="22"/>
        </w:rPr>
        <w:t xml:space="preserve">de 19 830 946 $ plus 4 470 500 $ d’intérêts </w:t>
      </w:r>
      <w:r w:rsidR="00D50712">
        <w:rPr>
          <w:rFonts w:ascii="Arial" w:hAnsi="Arial" w:cs="Arial"/>
          <w:sz w:val="22"/>
          <w:szCs w:val="22"/>
        </w:rPr>
        <w:t xml:space="preserve">au 31 octobre 2023 </w:t>
      </w:r>
      <w:r w:rsidR="004659C9" w:rsidRPr="00A82953">
        <w:rPr>
          <w:rFonts w:ascii="Arial" w:hAnsi="Arial" w:cs="Arial"/>
          <w:sz w:val="22"/>
          <w:szCs w:val="22"/>
        </w:rPr>
        <w:t>pour un total de 24 301 446 $</w:t>
      </w:r>
      <w:r w:rsidRPr="00A82953">
        <w:rPr>
          <w:rFonts w:ascii="Arial" w:hAnsi="Arial" w:cs="Arial"/>
          <w:sz w:val="22"/>
          <w:szCs w:val="22"/>
        </w:rPr>
        <w:t>.</w:t>
      </w:r>
    </w:p>
    <w:p w14:paraId="55CB2CF6" w14:textId="77777777" w:rsidR="004659C9" w:rsidRPr="00A82953"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A82953">
        <w:rPr>
          <w:rStyle w:val="lev"/>
          <w:rFonts w:ascii="Arial" w:hAnsi="Arial" w:cs="Arial"/>
          <w:sz w:val="22"/>
          <w:szCs w:val="22"/>
        </w:rPr>
        <w:t>Ariela (P090)</w:t>
      </w:r>
      <w:r w:rsidR="00291B1B">
        <w:rPr>
          <w:rFonts w:ascii="Arial" w:hAnsi="Arial" w:cs="Arial"/>
          <w:sz w:val="22"/>
          <w:szCs w:val="22"/>
        </w:rPr>
        <w:t> </w:t>
      </w:r>
      <w:r w:rsidRPr="00A82953">
        <w:rPr>
          <w:rFonts w:ascii="Arial" w:hAnsi="Arial" w:cs="Arial"/>
          <w:sz w:val="22"/>
          <w:szCs w:val="22"/>
        </w:rPr>
        <w:t>: 19,2 M$, projets grevés de multiples hypothèques, aucune valeur récupérable, perte totale.</w:t>
      </w:r>
    </w:p>
    <w:p w14:paraId="6E88C27D" w14:textId="77777777" w:rsidR="007535EA" w:rsidRPr="00A82953"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A82953">
        <w:rPr>
          <w:rStyle w:val="lev"/>
          <w:rFonts w:ascii="Arial" w:hAnsi="Arial" w:cs="Arial"/>
          <w:sz w:val="22"/>
          <w:szCs w:val="22"/>
        </w:rPr>
        <w:t>DMI3 (P043 et P063)</w:t>
      </w:r>
      <w:r w:rsidR="00291B1B">
        <w:rPr>
          <w:rFonts w:ascii="Arial" w:hAnsi="Arial" w:cs="Arial"/>
          <w:sz w:val="22"/>
          <w:szCs w:val="22"/>
        </w:rPr>
        <w:t> </w:t>
      </w:r>
      <w:r w:rsidRPr="00A82953">
        <w:rPr>
          <w:rFonts w:ascii="Arial" w:hAnsi="Arial" w:cs="Arial"/>
          <w:sz w:val="22"/>
          <w:szCs w:val="22"/>
        </w:rPr>
        <w:t>: perte estimée des intérêts seulement</w:t>
      </w:r>
      <w:r w:rsidR="00D50712">
        <w:rPr>
          <w:rFonts w:ascii="Arial" w:hAnsi="Arial" w:cs="Arial"/>
          <w:sz w:val="22"/>
          <w:szCs w:val="22"/>
        </w:rPr>
        <w:t>,</w:t>
      </w:r>
      <w:r w:rsidRPr="00A82953">
        <w:rPr>
          <w:rFonts w:ascii="Arial" w:hAnsi="Arial" w:cs="Arial"/>
          <w:sz w:val="22"/>
          <w:szCs w:val="22"/>
        </w:rPr>
        <w:t xml:space="preserve"> calculé</w:t>
      </w:r>
      <w:r w:rsidR="00D50712">
        <w:rPr>
          <w:rFonts w:ascii="Arial" w:hAnsi="Arial" w:cs="Arial"/>
          <w:sz w:val="22"/>
          <w:szCs w:val="22"/>
        </w:rPr>
        <w:t>e</w:t>
      </w:r>
      <w:r w:rsidRPr="00A82953">
        <w:rPr>
          <w:rFonts w:ascii="Arial" w:hAnsi="Arial" w:cs="Arial"/>
          <w:sz w:val="22"/>
          <w:szCs w:val="22"/>
        </w:rPr>
        <w:t xml:space="preserve"> au 31</w:t>
      </w:r>
      <w:r w:rsidR="00D50712">
        <w:rPr>
          <w:rFonts w:ascii="Arial" w:hAnsi="Arial" w:cs="Arial"/>
          <w:sz w:val="22"/>
          <w:szCs w:val="22"/>
        </w:rPr>
        <w:t> </w:t>
      </w:r>
      <w:r w:rsidRPr="00A82953">
        <w:rPr>
          <w:rFonts w:ascii="Arial" w:hAnsi="Arial" w:cs="Arial"/>
          <w:sz w:val="22"/>
          <w:szCs w:val="22"/>
        </w:rPr>
        <w:t>octobre</w:t>
      </w:r>
      <w:r w:rsidR="00291B1B">
        <w:rPr>
          <w:rFonts w:ascii="Arial" w:hAnsi="Arial" w:cs="Arial"/>
          <w:sz w:val="22"/>
          <w:szCs w:val="22"/>
        </w:rPr>
        <w:t> </w:t>
      </w:r>
      <w:r w:rsidRPr="00A82953">
        <w:rPr>
          <w:rFonts w:ascii="Arial" w:hAnsi="Arial" w:cs="Arial"/>
          <w:sz w:val="22"/>
          <w:szCs w:val="22"/>
        </w:rPr>
        <w:t>2023 : 1 034 583 $.</w:t>
      </w:r>
    </w:p>
    <w:p w14:paraId="0F9A2F8C" w14:textId="77777777" w:rsidR="009249DA" w:rsidRDefault="00730A01" w:rsidP="0042740E">
      <w:pPr>
        <w:pStyle w:val="NormalWeb"/>
        <w:numPr>
          <w:ilvl w:val="0"/>
          <w:numId w:val="33"/>
        </w:numPr>
        <w:tabs>
          <w:tab w:val="clear" w:pos="720"/>
          <w:tab w:val="num" w:pos="1134"/>
        </w:tabs>
        <w:spacing w:before="100" w:beforeAutospacing="1" w:after="100" w:afterAutospacing="1"/>
        <w:ind w:left="1134" w:right="539" w:hanging="283"/>
        <w:jc w:val="both"/>
        <w:rPr>
          <w:rFonts w:ascii="Arial" w:hAnsi="Arial" w:cs="Arial"/>
          <w:sz w:val="22"/>
          <w:szCs w:val="22"/>
        </w:rPr>
      </w:pPr>
      <w:r w:rsidRPr="00A82953">
        <w:rPr>
          <w:rStyle w:val="lev"/>
          <w:rFonts w:ascii="Arial" w:hAnsi="Arial" w:cs="Arial"/>
          <w:sz w:val="22"/>
          <w:szCs w:val="22"/>
        </w:rPr>
        <w:t>Prêt direct à Huot (P093)</w:t>
      </w:r>
      <w:r w:rsidR="00291B1B">
        <w:rPr>
          <w:rFonts w:ascii="Arial" w:hAnsi="Arial" w:cs="Arial"/>
          <w:sz w:val="22"/>
          <w:szCs w:val="22"/>
        </w:rPr>
        <w:t> </w:t>
      </w:r>
      <w:r w:rsidRPr="00A82953">
        <w:rPr>
          <w:rFonts w:ascii="Arial" w:hAnsi="Arial" w:cs="Arial"/>
          <w:sz w:val="22"/>
          <w:szCs w:val="22"/>
        </w:rPr>
        <w:t xml:space="preserve">: </w:t>
      </w:r>
      <w:r w:rsidR="00A17B0C" w:rsidRPr="00A82953">
        <w:rPr>
          <w:rFonts w:ascii="Arial" w:hAnsi="Arial" w:cs="Arial"/>
          <w:sz w:val="22"/>
          <w:szCs w:val="22"/>
        </w:rPr>
        <w:t xml:space="preserve">1,56 M$, </w:t>
      </w:r>
      <w:r w:rsidR="00D50712">
        <w:rPr>
          <w:rFonts w:ascii="Arial" w:hAnsi="Arial" w:cs="Arial"/>
          <w:sz w:val="22"/>
          <w:szCs w:val="22"/>
        </w:rPr>
        <w:t xml:space="preserve">cette </w:t>
      </w:r>
      <w:r w:rsidR="00A17B0C" w:rsidRPr="00A82953">
        <w:rPr>
          <w:rFonts w:ascii="Arial" w:hAnsi="Arial" w:cs="Arial"/>
          <w:sz w:val="22"/>
          <w:szCs w:val="22"/>
        </w:rPr>
        <w:t xml:space="preserve">perte </w:t>
      </w:r>
      <w:r w:rsidR="00D50712">
        <w:rPr>
          <w:rFonts w:ascii="Arial" w:hAnsi="Arial" w:cs="Arial"/>
          <w:sz w:val="22"/>
          <w:szCs w:val="22"/>
        </w:rPr>
        <w:t xml:space="preserve">est cependant </w:t>
      </w:r>
      <w:r w:rsidR="00A17B0C" w:rsidRPr="00A82953">
        <w:rPr>
          <w:rFonts w:ascii="Arial" w:hAnsi="Arial" w:cs="Arial"/>
          <w:sz w:val="22"/>
          <w:szCs w:val="22"/>
        </w:rPr>
        <w:t>incluse dans la quantification des dommages FIISH</w:t>
      </w:r>
      <w:r>
        <w:rPr>
          <w:rStyle w:val="Appelnotedebasdep"/>
          <w:rFonts w:ascii="Arial" w:hAnsi="Arial" w:cs="Arial"/>
          <w:sz w:val="22"/>
          <w:szCs w:val="22"/>
        </w:rPr>
        <w:footnoteReference w:id="338"/>
      </w:r>
      <w:bookmarkStart w:id="121" w:name="_Toc211495252"/>
      <w:r w:rsidR="00291B1B">
        <w:rPr>
          <w:rFonts w:ascii="Arial" w:hAnsi="Arial" w:cs="Arial"/>
          <w:sz w:val="22"/>
          <w:szCs w:val="22"/>
        </w:rPr>
        <w:t>.</w:t>
      </w:r>
    </w:p>
    <w:p w14:paraId="291EC455" w14:textId="77777777" w:rsidR="008377EB" w:rsidRPr="009769B6" w:rsidRDefault="00730A01" w:rsidP="00443B59">
      <w:pPr>
        <w:pStyle w:val="Titre3"/>
        <w:numPr>
          <w:ilvl w:val="0"/>
          <w:numId w:val="91"/>
        </w:numPr>
        <w:rPr>
          <w:b/>
          <w:bCs/>
        </w:rPr>
      </w:pPr>
      <w:r w:rsidRPr="009769B6">
        <w:rPr>
          <w:b/>
          <w:bCs/>
        </w:rPr>
        <w:t>Résultats consolidés</w:t>
      </w:r>
      <w:bookmarkEnd w:id="121"/>
    </w:p>
    <w:p w14:paraId="1C5ECCBE" w14:textId="77777777" w:rsidR="004659C9" w:rsidRPr="00C5266B" w:rsidRDefault="00730A01" w:rsidP="004659C9">
      <w:pPr>
        <w:pStyle w:val="Paragraphe"/>
        <w:numPr>
          <w:ilvl w:val="0"/>
          <w:numId w:val="1"/>
        </w:numPr>
        <w:tabs>
          <w:tab w:val="clear" w:pos="786"/>
        </w:tabs>
        <w:spacing w:line="240" w:lineRule="auto"/>
        <w:ind w:left="0"/>
        <w:rPr>
          <w:rFonts w:cs="Arial"/>
        </w:rPr>
      </w:pPr>
      <w:r w:rsidRPr="00C5266B">
        <w:rPr>
          <w:rFonts w:cs="Arial"/>
        </w:rPr>
        <w:t xml:space="preserve">En additionnant ces pertes projet par projet, KPMG chiffre le préjudice net en capital à </w:t>
      </w:r>
      <w:r w:rsidRPr="002146F9">
        <w:rPr>
          <w:rStyle w:val="lev"/>
          <w:rFonts w:cs="Arial"/>
          <w:b w:val="0"/>
          <w:bCs w:val="0"/>
        </w:rPr>
        <w:t>55 553 375 $</w:t>
      </w:r>
      <w:r w:rsidRPr="002146F9">
        <w:rPr>
          <w:rFonts w:cs="Arial"/>
        </w:rPr>
        <w:t>,</w:t>
      </w:r>
      <w:r w:rsidRPr="00C5266B">
        <w:rPr>
          <w:rFonts w:cs="Arial"/>
        </w:rPr>
        <w:t xml:space="preserve"> ce qui correspond, arrondi et ajusté à la part exacte des commanditaires, au montant de </w:t>
      </w:r>
      <w:r>
        <w:rPr>
          <w:rStyle w:val="lev"/>
          <w:rFonts w:cs="Arial"/>
          <w:b w:val="0"/>
          <w:bCs w:val="0"/>
        </w:rPr>
        <w:t>49 425 838</w:t>
      </w:r>
      <w:r w:rsidRPr="00E84D8C">
        <w:rPr>
          <w:rStyle w:val="lev"/>
          <w:rFonts w:cs="Arial"/>
          <w:b w:val="0"/>
          <w:bCs w:val="0"/>
        </w:rPr>
        <w:t> $</w:t>
      </w:r>
      <w:r w:rsidRPr="00C5266B">
        <w:rPr>
          <w:rFonts w:cs="Arial"/>
        </w:rPr>
        <w:t xml:space="preserve"> réclamé par les Demandeurs dans Q</w:t>
      </w:r>
      <w:r>
        <w:rPr>
          <w:rFonts w:cs="Arial"/>
        </w:rPr>
        <w:noBreakHyphen/>
      </w:r>
      <w:r w:rsidRPr="00C5266B">
        <w:rPr>
          <w:rFonts w:cs="Arial"/>
        </w:rPr>
        <w:t>12</w:t>
      </w:r>
      <w:r>
        <w:rPr>
          <w:rStyle w:val="Appelnotedebasdep"/>
          <w:rFonts w:cs="Arial"/>
        </w:rPr>
        <w:footnoteReference w:id="339"/>
      </w:r>
      <w:r w:rsidRPr="002146F9">
        <w:rPr>
          <w:rStyle w:val="grow"/>
          <w:rFonts w:cs="Arial"/>
        </w:rPr>
        <w:t xml:space="preserve"> </w:t>
      </w:r>
      <w:r>
        <w:rPr>
          <w:rFonts w:cs="Arial"/>
        </w:rPr>
        <w:t>plus un reliquat de 6 127 537 </w:t>
      </w:r>
      <w:r w:rsidRPr="009034A3">
        <w:rPr>
          <w:rFonts w:cs="Arial"/>
        </w:rPr>
        <w:t>$</w:t>
      </w:r>
      <w:r w:rsidRPr="009034A3">
        <w:rPr>
          <w:rStyle w:val="grow"/>
          <w:rFonts w:cs="Arial"/>
        </w:rPr>
        <w:t xml:space="preserve"> </w:t>
      </w:r>
      <w:r>
        <w:rPr>
          <w:rStyle w:val="grow"/>
          <w:rFonts w:cs="Arial"/>
        </w:rPr>
        <w:t>pour Q-12 Capital s.e.c.</w:t>
      </w:r>
    </w:p>
    <w:p w14:paraId="7BE16305" w14:textId="77777777" w:rsidR="008377EB" w:rsidRDefault="00730A01" w:rsidP="0098012F">
      <w:pPr>
        <w:pStyle w:val="Paragraphe"/>
        <w:numPr>
          <w:ilvl w:val="0"/>
          <w:numId w:val="1"/>
        </w:numPr>
        <w:tabs>
          <w:tab w:val="clear" w:pos="786"/>
        </w:tabs>
        <w:spacing w:line="240" w:lineRule="auto"/>
        <w:ind w:left="0"/>
        <w:rPr>
          <w:rFonts w:cs="Arial"/>
        </w:rPr>
      </w:pPr>
      <w:r w:rsidRPr="00C5266B">
        <w:rPr>
          <w:rFonts w:cs="Arial"/>
        </w:rPr>
        <w:t xml:space="preserve">En somme, </w:t>
      </w:r>
      <w:r w:rsidR="004659C9">
        <w:rPr>
          <w:rFonts w:cs="Arial"/>
        </w:rPr>
        <w:t>la preuve révèle que le montant de 55 552 375 $</w:t>
      </w:r>
      <w:r w:rsidRPr="00C5266B">
        <w:rPr>
          <w:rFonts w:cs="Arial"/>
        </w:rPr>
        <w:t xml:space="preserve"> correspond à la </w:t>
      </w:r>
      <w:r w:rsidRPr="00E84D8C">
        <w:rPr>
          <w:rStyle w:val="lev"/>
          <w:rFonts w:cs="Arial"/>
          <w:b w:val="0"/>
          <w:bCs w:val="0"/>
        </w:rPr>
        <w:t>perte nette du capital prêté</w:t>
      </w:r>
      <w:r w:rsidRPr="00C5266B">
        <w:rPr>
          <w:rFonts w:cs="Arial"/>
        </w:rPr>
        <w:t xml:space="preserve"> par Q</w:t>
      </w:r>
      <w:r>
        <w:rPr>
          <w:rFonts w:cs="Arial"/>
        </w:rPr>
        <w:noBreakHyphen/>
      </w:r>
      <w:r w:rsidRPr="00C5266B">
        <w:rPr>
          <w:rFonts w:cs="Arial"/>
        </w:rPr>
        <w:t>12 au Groupe Huot, la quasi-totalité des actifs en garantie n’ayant plus de valeur récupérable.</w:t>
      </w:r>
      <w:r w:rsidR="004659C9">
        <w:rPr>
          <w:rFonts w:cs="Arial"/>
        </w:rPr>
        <w:t xml:space="preserve"> À cette somme s’ajoute 11 636 285 $ d’intérêts au 31</w:t>
      </w:r>
      <w:r w:rsidR="00291B1B">
        <w:rPr>
          <w:rFonts w:cs="Arial"/>
        </w:rPr>
        <w:t> </w:t>
      </w:r>
      <w:r w:rsidR="004659C9">
        <w:rPr>
          <w:rFonts w:cs="Arial"/>
        </w:rPr>
        <w:t>octobre</w:t>
      </w:r>
      <w:r w:rsidR="00291B1B">
        <w:rPr>
          <w:rFonts w:cs="Arial"/>
        </w:rPr>
        <w:t> </w:t>
      </w:r>
      <w:r w:rsidR="004659C9">
        <w:rPr>
          <w:rFonts w:cs="Arial"/>
        </w:rPr>
        <w:t>2023 pour un total de 67 189 661 $.</w:t>
      </w:r>
      <w:r>
        <w:rPr>
          <w:rStyle w:val="Appelnotedebasdep"/>
          <w:rFonts w:cs="Arial"/>
        </w:rPr>
        <w:footnoteReference w:id="340"/>
      </w:r>
    </w:p>
    <w:p w14:paraId="10A0BA65" w14:textId="77777777" w:rsidR="008314FF" w:rsidRDefault="00730A01" w:rsidP="0098012F">
      <w:pPr>
        <w:pStyle w:val="Paragraphe"/>
        <w:tabs>
          <w:tab w:val="clear" w:pos="786"/>
        </w:tabs>
        <w:spacing w:line="240" w:lineRule="auto"/>
        <w:ind w:left="0"/>
        <w:rPr>
          <w:rFonts w:cs="Arial"/>
        </w:rPr>
      </w:pPr>
      <w:r>
        <w:rPr>
          <w:rFonts w:cs="Arial"/>
        </w:rPr>
        <w:t>Le 1</w:t>
      </w:r>
      <w:r w:rsidRPr="008314FF">
        <w:rPr>
          <w:rFonts w:cs="Arial"/>
          <w:vertAlign w:val="superscript"/>
        </w:rPr>
        <w:t>er</w:t>
      </w:r>
      <w:r w:rsidR="00B847D7">
        <w:rPr>
          <w:rFonts w:cs="Arial"/>
        </w:rPr>
        <w:t> </w:t>
      </w:r>
      <w:r>
        <w:rPr>
          <w:rFonts w:cs="Arial"/>
        </w:rPr>
        <w:t>octobre</w:t>
      </w:r>
      <w:r w:rsidR="00B847D7">
        <w:rPr>
          <w:rFonts w:cs="Arial"/>
        </w:rPr>
        <w:t> </w:t>
      </w:r>
      <w:r>
        <w:rPr>
          <w:rFonts w:cs="Arial"/>
        </w:rPr>
        <w:t xml:space="preserve">2025, les Demandeurs ont produit une Déclaration introductive d’instance amendée révisant à la baisse le montant réclamé qui passe </w:t>
      </w:r>
      <w:r w:rsidR="004659C9">
        <w:rPr>
          <w:rFonts w:cs="Arial"/>
        </w:rPr>
        <w:t>du montant initial réclamé de 56 530 561 $</w:t>
      </w:r>
      <w:r w:rsidRPr="008377EB">
        <w:rPr>
          <w:rFonts w:cs="Arial"/>
        </w:rPr>
        <w:t xml:space="preserve"> à 55 555 375</w:t>
      </w:r>
      <w:r>
        <w:rPr>
          <w:rFonts w:cs="Arial"/>
        </w:rPr>
        <w:t> $</w:t>
      </w:r>
      <w:r w:rsidR="004659C9">
        <w:rPr>
          <w:rFonts w:cs="Arial"/>
        </w:rPr>
        <w:t>,</w:t>
      </w:r>
      <w:r>
        <w:rPr>
          <w:rFonts w:cs="Arial"/>
        </w:rPr>
        <w:t xml:space="preserve"> à la lumière de la mise à jour du rapport KPMG daté du 10 septembre 2025</w:t>
      </w:r>
      <w:r>
        <w:rPr>
          <w:rStyle w:val="Appelnotedebasdep"/>
          <w:rFonts w:cs="Arial"/>
        </w:rPr>
        <w:footnoteReference w:id="341"/>
      </w:r>
      <w:r>
        <w:rPr>
          <w:rFonts w:cs="Arial"/>
        </w:rPr>
        <w:t>.</w:t>
      </w:r>
    </w:p>
    <w:p w14:paraId="011B66AC" w14:textId="77777777" w:rsidR="008314FF" w:rsidRDefault="00730A01" w:rsidP="0098012F">
      <w:pPr>
        <w:pStyle w:val="Paragraphe"/>
        <w:tabs>
          <w:tab w:val="clear" w:pos="786"/>
        </w:tabs>
        <w:spacing w:line="240" w:lineRule="auto"/>
        <w:ind w:left="0"/>
        <w:rPr>
          <w:rFonts w:cs="Arial"/>
        </w:rPr>
      </w:pPr>
      <w:r>
        <w:rPr>
          <w:rFonts w:cs="Arial"/>
        </w:rPr>
        <w:t>Cette révision découle notamment de paiements reçus à la suite de vente d’actifs du Groupe Huot après la date du premier rapport de KPMG</w:t>
      </w:r>
      <w:r>
        <w:rPr>
          <w:rStyle w:val="Appelnotedebasdep"/>
          <w:rFonts w:cs="Arial"/>
        </w:rPr>
        <w:footnoteReference w:id="342"/>
      </w:r>
      <w:r>
        <w:rPr>
          <w:rFonts w:cs="Arial"/>
        </w:rPr>
        <w:t>.</w:t>
      </w:r>
    </w:p>
    <w:p w14:paraId="133E8DE2" w14:textId="77777777" w:rsidR="008E7205" w:rsidRDefault="00730A01" w:rsidP="0098012F">
      <w:pPr>
        <w:pStyle w:val="Paragraphe"/>
        <w:tabs>
          <w:tab w:val="clear" w:pos="786"/>
        </w:tabs>
        <w:spacing w:line="240" w:lineRule="auto"/>
        <w:ind w:left="0"/>
        <w:rPr>
          <w:rFonts w:cs="Arial"/>
        </w:rPr>
      </w:pPr>
      <w:r>
        <w:rPr>
          <w:rFonts w:cs="Arial"/>
        </w:rPr>
        <w:t xml:space="preserve">Il est à noter que cette DII modifiée fait suite aux demandes insistantes à cet effet formulées par les procureurs des </w:t>
      </w:r>
      <w:r w:rsidR="00EA2D63">
        <w:rPr>
          <w:rFonts w:cs="Arial"/>
        </w:rPr>
        <w:t>Défendeurs</w:t>
      </w:r>
      <w:r>
        <w:rPr>
          <w:rStyle w:val="Appelnotedebasdep"/>
          <w:rFonts w:cs="Arial"/>
        </w:rPr>
        <w:footnoteReference w:id="343"/>
      </w:r>
      <w:r>
        <w:rPr>
          <w:rFonts w:cs="Arial"/>
        </w:rPr>
        <w:t>. À la suite de la notification de ladite DII modifiée, ces derniers désiraient obtenir un délai pour contester, au besoin, les montant faisant l’objet de la modification en question</w:t>
      </w:r>
      <w:r>
        <w:rPr>
          <w:rStyle w:val="Appelnotedebasdep"/>
          <w:rFonts w:cs="Arial"/>
        </w:rPr>
        <w:footnoteReference w:id="344"/>
      </w:r>
      <w:r>
        <w:rPr>
          <w:rFonts w:cs="Arial"/>
        </w:rPr>
        <w:t>. Un délai leur a en conséquence été accordé jusqu’au 21</w:t>
      </w:r>
      <w:r w:rsidR="00291B1B">
        <w:rPr>
          <w:rFonts w:cs="Arial"/>
        </w:rPr>
        <w:t> </w:t>
      </w:r>
      <w:r>
        <w:rPr>
          <w:rFonts w:cs="Arial"/>
        </w:rPr>
        <w:t>octobre</w:t>
      </w:r>
      <w:r w:rsidR="00291B1B">
        <w:rPr>
          <w:rFonts w:cs="Arial"/>
        </w:rPr>
        <w:t> </w:t>
      </w:r>
      <w:r>
        <w:rPr>
          <w:rFonts w:cs="Arial"/>
        </w:rPr>
        <w:t>2025, mais les Défendeurs n’y ont jamais donné suite.</w:t>
      </w:r>
    </w:p>
    <w:p w14:paraId="61D5CFD2" w14:textId="77777777" w:rsidR="005905E4" w:rsidRPr="008E7205" w:rsidRDefault="00730A01" w:rsidP="008E7205">
      <w:pPr>
        <w:pStyle w:val="Paragraphe"/>
        <w:tabs>
          <w:tab w:val="clear" w:pos="786"/>
        </w:tabs>
        <w:spacing w:line="240" w:lineRule="auto"/>
        <w:ind w:left="0"/>
        <w:rPr>
          <w:rFonts w:cs="Arial"/>
        </w:rPr>
      </w:pPr>
      <w:r>
        <w:rPr>
          <w:rFonts w:cs="Arial"/>
        </w:rPr>
        <w:t>Dans sa mise à jour (en lien avec la quantification des dommages suivant la vente des lots Louis XIV) du 10</w:t>
      </w:r>
      <w:r w:rsidR="00291B1B">
        <w:rPr>
          <w:rFonts w:cs="Arial"/>
        </w:rPr>
        <w:t> </w:t>
      </w:r>
      <w:r>
        <w:rPr>
          <w:rFonts w:cs="Arial"/>
        </w:rPr>
        <w:t>septembre</w:t>
      </w:r>
      <w:r w:rsidR="00291B1B">
        <w:rPr>
          <w:rFonts w:cs="Arial"/>
        </w:rPr>
        <w:t> </w:t>
      </w:r>
      <w:r>
        <w:rPr>
          <w:rFonts w:cs="Arial"/>
        </w:rPr>
        <w:t>2025</w:t>
      </w:r>
      <w:r>
        <w:rPr>
          <w:rStyle w:val="Appelnotedebasdep"/>
          <w:rFonts w:cs="Arial"/>
        </w:rPr>
        <w:footnoteReference w:id="345"/>
      </w:r>
      <w:r>
        <w:rPr>
          <w:rFonts w:cs="Arial"/>
        </w:rPr>
        <w:t xml:space="preserve">, </w:t>
      </w:r>
      <w:r w:rsidR="007770A2" w:rsidRPr="008E7205">
        <w:rPr>
          <w:rFonts w:cs="Arial"/>
        </w:rPr>
        <w:t xml:space="preserve">KPMG rappelle que les pertes sont calculées selon la valeur de liquidation des actifs donnés en garantie, en tenant compte du contexte judiciaire et des ventes </w:t>
      </w:r>
      <w:r w:rsidR="00EA2D63">
        <w:rPr>
          <w:rFonts w:cs="Arial"/>
        </w:rPr>
        <w:t>concernées</w:t>
      </w:r>
      <w:r w:rsidR="007770A2" w:rsidRPr="008E7205">
        <w:rPr>
          <w:rFonts w:cs="Arial"/>
        </w:rPr>
        <w:t>. Le calcul se base donc sur les soldes de prêts impayés au 31 octobre 2023 et sur les valeurs actualisées des garanties</w:t>
      </w:r>
      <w:r>
        <w:rPr>
          <w:rStyle w:val="Appelnotedebasdep"/>
          <w:rFonts w:cs="Arial"/>
        </w:rPr>
        <w:footnoteReference w:id="346"/>
      </w:r>
      <w:r w:rsidR="00291B1B">
        <w:rPr>
          <w:rFonts w:cs="Arial"/>
        </w:rPr>
        <w:t>.</w:t>
      </w:r>
    </w:p>
    <w:p w14:paraId="6292A3E2" w14:textId="77777777" w:rsidR="00845258" w:rsidRPr="009249DA" w:rsidRDefault="00730A01" w:rsidP="00443B59">
      <w:pPr>
        <w:pStyle w:val="Titre3"/>
        <w:numPr>
          <w:ilvl w:val="0"/>
          <w:numId w:val="91"/>
        </w:numPr>
        <w:ind w:left="714" w:hanging="357"/>
        <w:rPr>
          <w:rFonts w:cs="Arial"/>
          <w:b/>
          <w:bCs/>
          <w:szCs w:val="24"/>
          <w:lang w:eastAsia="fr-CA"/>
        </w:rPr>
      </w:pPr>
      <w:bookmarkStart w:id="122" w:name="_Toc211495253"/>
      <w:bookmarkStart w:id="123" w:name="_Toc211600661"/>
      <w:r w:rsidRPr="009249DA">
        <w:rPr>
          <w:rFonts w:cs="Arial"/>
          <w:b/>
          <w:bCs/>
          <w:szCs w:val="24"/>
          <w:lang w:eastAsia="fr-CA"/>
        </w:rPr>
        <w:t>Répartition par commanditaire</w:t>
      </w:r>
      <w:bookmarkEnd w:id="122"/>
      <w:bookmarkEnd w:id="123"/>
    </w:p>
    <w:p w14:paraId="2EA60F89" w14:textId="77777777" w:rsidR="009769B6" w:rsidRDefault="00730A01" w:rsidP="0098012F">
      <w:pPr>
        <w:pStyle w:val="Paragraphe"/>
        <w:tabs>
          <w:tab w:val="clear" w:pos="786"/>
        </w:tabs>
        <w:spacing w:line="240" w:lineRule="auto"/>
        <w:ind w:left="0"/>
        <w:rPr>
          <w:rFonts w:cs="Arial"/>
        </w:rPr>
      </w:pPr>
      <w:r>
        <w:rPr>
          <w:rFonts w:cs="Arial"/>
        </w:rPr>
        <w:t>Le montant réclamé de 55 555 378 $ est basé sur la perte global de Q</w:t>
      </w:r>
      <w:r>
        <w:rPr>
          <w:rFonts w:cs="Arial"/>
        </w:rPr>
        <w:noBreakHyphen/>
        <w:t>12 et des commanditaires. Les commanditaires demandeurs représentent 89,7 % de l’ensemble des commanditaires et subissent donc une perte estimative avant intérêts de</w:t>
      </w:r>
      <w:r w:rsidR="00291B1B">
        <w:rPr>
          <w:rFonts w:cs="Arial"/>
        </w:rPr>
        <w:t> </w:t>
      </w:r>
      <w:r>
        <w:rPr>
          <w:rFonts w:cs="Arial"/>
        </w:rPr>
        <w:t>49 425 838 $ qui doit être divisée au prorata de leur quote-part respective dans Q</w:t>
      </w:r>
      <w:r>
        <w:rPr>
          <w:rFonts w:cs="Arial"/>
        </w:rPr>
        <w:noBreakHyphen/>
        <w:t xml:space="preserve">12 Capital S.E.C, le tout pour une condamnation individualisée ainsi que le reliquat, plus les </w:t>
      </w:r>
      <w:r w:rsidR="00F82C66">
        <w:rPr>
          <w:rFonts w:cs="Arial"/>
        </w:rPr>
        <w:t>intérêts applicables à la demanderesse Q</w:t>
      </w:r>
      <w:r w:rsidR="00F82C66">
        <w:rPr>
          <w:rFonts w:cs="Arial"/>
        </w:rPr>
        <w:noBreakHyphen/>
        <w:t>12 Capital s.e.c., ventilé selon le tableau suivant :</w:t>
      </w:r>
    </w:p>
    <w:p w14:paraId="33AECCF8" w14:textId="77777777" w:rsidR="009769B6" w:rsidRDefault="00730A01">
      <w:pPr>
        <w:rPr>
          <w:rFonts w:cs="Arial"/>
          <w:kern w:val="28"/>
        </w:rPr>
      </w:pPr>
      <w:r>
        <w:rPr>
          <w:rFonts w:cs="Arial"/>
        </w:rPr>
        <w:br w:type="page"/>
      </w:r>
    </w:p>
    <w:p w14:paraId="53FA0389" w14:textId="77777777" w:rsidR="00845258" w:rsidRDefault="00730A01" w:rsidP="009769B6">
      <w:pPr>
        <w:pStyle w:val="Paragraphe"/>
        <w:numPr>
          <w:ilvl w:val="0"/>
          <w:numId w:val="0"/>
        </w:numPr>
        <w:spacing w:line="240" w:lineRule="auto"/>
        <w:rPr>
          <w:rFonts w:cs="Arial"/>
        </w:rPr>
      </w:pPr>
      <w:r w:rsidRPr="008377EB">
        <w:rPr>
          <w:rFonts w:cs="Arial"/>
          <w:b/>
          <w:bCs/>
          <w:noProof/>
        </w:rPr>
        <w:drawing>
          <wp:inline distT="0" distB="0" distL="0" distR="0" wp14:anchorId="72E10B8E" wp14:editId="3E85296B">
            <wp:extent cx="5923280" cy="6911975"/>
            <wp:effectExtent l="0" t="0" r="1270" b="3175"/>
            <wp:docPr id="358517427"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7324221" name="Image 1" descr="Une image contenant texte, capture d’écran, nombre, Police&#10;&#10;Le contenu généré par l’IA peut être incorrect."/>
                    <pic:cNvPicPr/>
                  </pic:nvPicPr>
                  <pic:blipFill>
                    <a:blip r:embed="rId10"/>
                    <a:stretch>
                      <a:fillRect/>
                    </a:stretch>
                  </pic:blipFill>
                  <pic:spPr>
                    <a:xfrm>
                      <a:off x="0" y="0"/>
                      <a:ext cx="5923280" cy="6911975"/>
                    </a:xfrm>
                    <a:prstGeom prst="rect">
                      <a:avLst/>
                    </a:prstGeom>
                  </pic:spPr>
                </pic:pic>
              </a:graphicData>
            </a:graphic>
          </wp:inline>
        </w:drawing>
      </w:r>
    </w:p>
    <w:p w14:paraId="39667683" w14:textId="77777777" w:rsidR="005169BE" w:rsidRDefault="00730A01" w:rsidP="0098012F">
      <w:pPr>
        <w:rPr>
          <w:rFonts w:cs="Arial"/>
          <w:kern w:val="28"/>
        </w:rPr>
      </w:pPr>
      <w:r>
        <w:rPr>
          <w:rFonts w:cs="Arial"/>
        </w:rPr>
        <w:br w:type="page"/>
      </w:r>
    </w:p>
    <w:p w14:paraId="2ADD4DF7" w14:textId="77777777" w:rsidR="007A6C58" w:rsidRPr="008F527D" w:rsidRDefault="00730A01" w:rsidP="001348B0">
      <w:pPr>
        <w:pStyle w:val="Titre2"/>
        <w:numPr>
          <w:ilvl w:val="1"/>
          <w:numId w:val="148"/>
        </w:numPr>
        <w:ind w:left="993" w:hanging="567"/>
        <w:rPr>
          <w:rFonts w:cs="Arial"/>
          <w:iCs/>
          <w:smallCaps/>
          <w:szCs w:val="24"/>
          <w:lang w:eastAsia="fr-CA"/>
        </w:rPr>
      </w:pPr>
      <w:bookmarkStart w:id="124" w:name="_Toc205902168"/>
      <w:r w:rsidRPr="008F527D">
        <w:rPr>
          <w:rFonts w:cs="Arial"/>
          <w:iCs/>
          <w:smallCaps/>
          <w:szCs w:val="24"/>
          <w:lang w:eastAsia="fr-CA"/>
        </w:rPr>
        <w:t>La nature de la réclamation recherchée</w:t>
      </w:r>
      <w:bookmarkEnd w:id="124"/>
    </w:p>
    <w:p w14:paraId="0704D66C" w14:textId="77777777" w:rsidR="00EB5267" w:rsidRPr="00EB5267" w:rsidRDefault="00730A01" w:rsidP="004021C3">
      <w:pPr>
        <w:pStyle w:val="Paragraphe"/>
        <w:tabs>
          <w:tab w:val="clear" w:pos="786"/>
        </w:tabs>
        <w:spacing w:line="240" w:lineRule="auto"/>
        <w:ind w:left="0"/>
        <w:rPr>
          <w:rFonts w:cs="Arial"/>
          <w:szCs w:val="24"/>
          <w:lang w:eastAsia="fr-CA"/>
        </w:rPr>
      </w:pPr>
      <w:r w:rsidRPr="00EB5267">
        <w:rPr>
          <w:rFonts w:cs="Arial"/>
          <w:szCs w:val="24"/>
          <w:lang w:eastAsia="fr-CA"/>
        </w:rPr>
        <w:t>Les Demandeurs peuvent et sollicitent expressément une condamnation</w:t>
      </w:r>
      <w:r w:rsidR="004659C9">
        <w:rPr>
          <w:rFonts w:cs="Arial"/>
          <w:szCs w:val="24"/>
          <w:lang w:eastAsia="fr-CA"/>
        </w:rPr>
        <w:t> </w:t>
      </w:r>
      <w:r w:rsidRPr="00EB5267">
        <w:rPr>
          <w:rFonts w:cs="Arial"/>
          <w:szCs w:val="24"/>
          <w:lang w:eastAsia="fr-CA"/>
        </w:rPr>
        <w:t>:</w:t>
      </w:r>
    </w:p>
    <w:p w14:paraId="5FA2B0F8" w14:textId="77777777" w:rsidR="00EB5267" w:rsidRPr="00145191" w:rsidRDefault="00730A01" w:rsidP="00443B59">
      <w:pPr>
        <w:numPr>
          <w:ilvl w:val="1"/>
          <w:numId w:val="64"/>
        </w:numPr>
        <w:ind w:left="1434" w:right="539" w:hanging="357"/>
        <w:rPr>
          <w:rFonts w:cs="Arial"/>
          <w:szCs w:val="24"/>
          <w:lang w:eastAsia="fr-CA"/>
        </w:rPr>
      </w:pPr>
      <w:r w:rsidRPr="00145191">
        <w:rPr>
          <w:rFonts w:cs="Arial"/>
          <w:szCs w:val="24"/>
          <w:lang w:eastAsia="fr-CA"/>
        </w:rPr>
        <w:t xml:space="preserve">a) </w:t>
      </w:r>
      <w:r w:rsidR="002146F9" w:rsidRPr="00145191">
        <w:rPr>
          <w:rFonts w:cs="Arial"/>
          <w:szCs w:val="24"/>
          <w:lang w:eastAsia="fr-CA"/>
        </w:rPr>
        <w:t>s</w:t>
      </w:r>
      <w:r w:rsidRPr="00145191">
        <w:rPr>
          <w:rFonts w:cs="Arial"/>
          <w:szCs w:val="24"/>
          <w:lang w:eastAsia="fr-CA"/>
        </w:rPr>
        <w:t>olidaire,</w:t>
      </w:r>
    </w:p>
    <w:p w14:paraId="7F6BFBB9" w14:textId="77777777" w:rsidR="00EB5267" w:rsidRPr="00145191" w:rsidRDefault="00730A01" w:rsidP="00443B59">
      <w:pPr>
        <w:numPr>
          <w:ilvl w:val="1"/>
          <w:numId w:val="64"/>
        </w:numPr>
        <w:spacing w:before="100" w:beforeAutospacing="1"/>
        <w:ind w:left="1434" w:right="539" w:hanging="357"/>
        <w:rPr>
          <w:rFonts w:cs="Arial"/>
          <w:szCs w:val="24"/>
          <w:lang w:eastAsia="fr-CA"/>
        </w:rPr>
      </w:pPr>
      <w:r w:rsidRPr="00145191">
        <w:rPr>
          <w:rFonts w:cs="Arial"/>
          <w:szCs w:val="24"/>
          <w:lang w:eastAsia="fr-CA"/>
        </w:rPr>
        <w:t>b) collective,</w:t>
      </w:r>
    </w:p>
    <w:p w14:paraId="6CA4DC0B" w14:textId="77777777" w:rsidR="00EB5267" w:rsidRPr="00145191" w:rsidRDefault="00730A01" w:rsidP="00443B59">
      <w:pPr>
        <w:numPr>
          <w:ilvl w:val="1"/>
          <w:numId w:val="64"/>
        </w:numPr>
        <w:spacing w:before="100" w:beforeAutospacing="1"/>
        <w:ind w:left="1434" w:right="539" w:hanging="357"/>
        <w:rPr>
          <w:rFonts w:cs="Arial"/>
          <w:szCs w:val="24"/>
          <w:lang w:eastAsia="fr-CA"/>
        </w:rPr>
      </w:pPr>
      <w:r w:rsidRPr="00145191">
        <w:rPr>
          <w:rFonts w:cs="Arial"/>
          <w:szCs w:val="24"/>
          <w:lang w:eastAsia="fr-CA"/>
        </w:rPr>
        <w:t xml:space="preserve">c) directe </w:t>
      </w:r>
      <w:r w:rsidR="00A3683C" w:rsidRPr="00145191">
        <w:rPr>
          <w:rFonts w:cs="Arial"/>
          <w:szCs w:val="24"/>
          <w:lang w:eastAsia="fr-CA"/>
        </w:rPr>
        <w:t>(personnelle) et</w:t>
      </w:r>
    </w:p>
    <w:p w14:paraId="0B9A8B4F" w14:textId="77777777" w:rsidR="00A3683C" w:rsidRDefault="00730A01" w:rsidP="00443B59">
      <w:pPr>
        <w:numPr>
          <w:ilvl w:val="1"/>
          <w:numId w:val="64"/>
        </w:numPr>
        <w:spacing w:before="100" w:beforeAutospacing="1"/>
        <w:ind w:left="1434" w:right="539" w:hanging="357"/>
        <w:rPr>
          <w:rFonts w:cs="Arial"/>
          <w:szCs w:val="24"/>
          <w:lang w:eastAsia="fr-CA"/>
        </w:rPr>
      </w:pPr>
      <w:r w:rsidRPr="00145191">
        <w:rPr>
          <w:rFonts w:cs="Arial"/>
          <w:szCs w:val="24"/>
          <w:lang w:eastAsia="fr-CA"/>
        </w:rPr>
        <w:t xml:space="preserve">d) </w:t>
      </w:r>
      <w:r w:rsidR="00EB5267" w:rsidRPr="00145191">
        <w:rPr>
          <w:rFonts w:cs="Arial"/>
          <w:szCs w:val="24"/>
          <w:lang w:eastAsia="fr-CA"/>
        </w:rPr>
        <w:t>oblique,</w:t>
      </w:r>
      <w:r w:rsidR="00145191">
        <w:rPr>
          <w:rFonts w:cs="Arial"/>
          <w:szCs w:val="24"/>
          <w:lang w:eastAsia="fr-CA"/>
        </w:rPr>
        <w:t xml:space="preserve"> </w:t>
      </w:r>
    </w:p>
    <w:p w14:paraId="42DF0C2C" w14:textId="77777777" w:rsidR="009249DA" w:rsidRDefault="00730A01" w:rsidP="00145191">
      <w:pPr>
        <w:spacing w:before="100" w:beforeAutospacing="1"/>
        <w:ind w:left="1434" w:right="539"/>
        <w:rPr>
          <w:rFonts w:cs="Arial"/>
          <w:sz w:val="22"/>
          <w:szCs w:val="22"/>
          <w:lang w:eastAsia="fr-CA"/>
        </w:rPr>
      </w:pPr>
      <w:r w:rsidRPr="00A82953">
        <w:rPr>
          <w:rFonts w:cs="Arial"/>
          <w:sz w:val="22"/>
          <w:szCs w:val="22"/>
          <w:lang w:eastAsia="fr-CA"/>
        </w:rPr>
        <w:t>à l’encontre de tous les Défendeurs (Giroux et ses sociétés), en raison de leur rôle concerté dans les fautes ayant mené aux pertes.</w:t>
      </w:r>
    </w:p>
    <w:p w14:paraId="01E2CFDA" w14:textId="77777777" w:rsidR="004C7363" w:rsidRPr="009249DA" w:rsidRDefault="00730A01" w:rsidP="00443B59">
      <w:pPr>
        <w:pStyle w:val="Titre2"/>
        <w:numPr>
          <w:ilvl w:val="2"/>
          <w:numId w:val="64"/>
        </w:numPr>
        <w:spacing w:before="120"/>
        <w:ind w:left="284" w:hanging="284"/>
        <w:rPr>
          <w:sz w:val="22"/>
          <w:szCs w:val="22"/>
          <w:lang w:eastAsia="fr-CA"/>
        </w:rPr>
      </w:pPr>
      <w:r w:rsidRPr="009249DA">
        <w:rPr>
          <w:lang w:eastAsia="fr-CA"/>
        </w:rPr>
        <w:t>Solidaire</w:t>
      </w:r>
    </w:p>
    <w:p w14:paraId="754C85D4" w14:textId="77777777" w:rsidR="0007201C" w:rsidRDefault="00730A01" w:rsidP="0098012F">
      <w:pPr>
        <w:pStyle w:val="Paragraphe"/>
        <w:tabs>
          <w:tab w:val="clear" w:pos="786"/>
        </w:tabs>
        <w:spacing w:line="240" w:lineRule="auto"/>
        <w:ind w:left="0"/>
        <w:rPr>
          <w:lang w:eastAsia="fr-CA"/>
        </w:rPr>
      </w:pPr>
      <w:r>
        <w:rPr>
          <w:lang w:eastAsia="fr-CA"/>
        </w:rPr>
        <w:t>L</w:t>
      </w:r>
      <w:r w:rsidR="007A6C58" w:rsidRPr="008E3525">
        <w:rPr>
          <w:lang w:eastAsia="fr-CA"/>
        </w:rPr>
        <w:t xml:space="preserve">es Demandeurs sollicitent une </w:t>
      </w:r>
      <w:r w:rsidR="007A6C58" w:rsidRPr="004C7363">
        <w:rPr>
          <w:lang w:eastAsia="fr-CA"/>
        </w:rPr>
        <w:t>condamnation solidaire de l’ensemble des Défendeurs</w:t>
      </w:r>
      <w:r w:rsidR="007A6C58" w:rsidRPr="008E3525">
        <w:rPr>
          <w:lang w:eastAsia="fr-CA"/>
        </w:rPr>
        <w:t xml:space="preserve"> puisque chacun d’eux a participé directement ou indirectement à la commission des fautes à l’origine des dommages</w:t>
      </w:r>
      <w:r w:rsidR="004C7363">
        <w:rPr>
          <w:lang w:eastAsia="fr-CA"/>
        </w:rPr>
        <w:t>.</w:t>
      </w:r>
    </w:p>
    <w:p w14:paraId="13B71998" w14:textId="77777777" w:rsidR="0007201C" w:rsidRPr="0007201C" w:rsidRDefault="00730A01" w:rsidP="0098012F">
      <w:pPr>
        <w:pStyle w:val="Paragraphe"/>
        <w:tabs>
          <w:tab w:val="clear" w:pos="786"/>
        </w:tabs>
        <w:autoSpaceDE w:val="0"/>
        <w:autoSpaceDN w:val="0"/>
        <w:adjustRightInd w:val="0"/>
        <w:spacing w:line="240" w:lineRule="auto"/>
        <w:ind w:left="0"/>
        <w:rPr>
          <w:rFonts w:cs="Arial"/>
          <w:b/>
          <w:bCs/>
          <w:sz w:val="23"/>
          <w:szCs w:val="23"/>
          <w:lang w:eastAsia="fr-CA"/>
        </w:rPr>
      </w:pPr>
      <w:r>
        <w:rPr>
          <w:rFonts w:cs="Arial"/>
          <w:szCs w:val="24"/>
          <w:lang w:eastAsia="fr-CA"/>
        </w:rPr>
        <w:t>C</w:t>
      </w:r>
      <w:r w:rsidRPr="0007201C">
        <w:rPr>
          <w:rFonts w:cs="Arial"/>
          <w:szCs w:val="24"/>
          <w:lang w:eastAsia="fr-CA"/>
        </w:rPr>
        <w:t>onsidérant que la faute extracontractuelle de certains défendeurs se joint à la faute contractuelle d’autres défendeurs, une condamnatio</w:t>
      </w:r>
      <w:r w:rsidR="005905E4">
        <w:rPr>
          <w:rFonts w:cs="Arial"/>
          <w:szCs w:val="24"/>
          <w:lang w:eastAsia="fr-CA"/>
        </w:rPr>
        <w:t>n</w:t>
      </w:r>
      <w:r w:rsidRPr="0007201C">
        <w:rPr>
          <w:rFonts w:cs="Arial"/>
          <w:szCs w:val="24"/>
          <w:lang w:eastAsia="fr-CA"/>
        </w:rPr>
        <w:t xml:space="preserve"> </w:t>
      </w:r>
      <w:r w:rsidRPr="0007201C">
        <w:rPr>
          <w:rFonts w:cs="Arial"/>
          <w:i/>
          <w:iCs/>
          <w:szCs w:val="24"/>
          <w:lang w:eastAsia="fr-CA"/>
        </w:rPr>
        <w:t xml:space="preserve">in solidum </w:t>
      </w:r>
      <w:r w:rsidRPr="0007201C">
        <w:rPr>
          <w:rFonts w:cs="Arial"/>
          <w:szCs w:val="24"/>
          <w:lang w:eastAsia="fr-CA"/>
        </w:rPr>
        <w:t xml:space="preserve">doit </w:t>
      </w:r>
      <w:r>
        <w:rPr>
          <w:rFonts w:cs="Arial"/>
          <w:szCs w:val="24"/>
          <w:lang w:eastAsia="fr-CA"/>
        </w:rPr>
        <w:t xml:space="preserve">en effet </w:t>
      </w:r>
      <w:r w:rsidRPr="0007201C">
        <w:rPr>
          <w:rFonts w:cs="Arial"/>
          <w:szCs w:val="24"/>
          <w:lang w:eastAsia="fr-CA"/>
        </w:rPr>
        <w:t>être prononcée</w:t>
      </w:r>
      <w:r>
        <w:rPr>
          <w:rStyle w:val="Appelnotedebasdep"/>
          <w:rFonts w:cs="Arial"/>
          <w:sz w:val="23"/>
          <w:szCs w:val="23"/>
          <w:lang w:eastAsia="fr-CA"/>
        </w:rPr>
        <w:footnoteReference w:id="347"/>
      </w:r>
      <w:r w:rsidRPr="0007201C">
        <w:rPr>
          <w:rFonts w:cs="Arial"/>
          <w:szCs w:val="24"/>
          <w:lang w:eastAsia="fr-CA"/>
        </w:rPr>
        <w:t xml:space="preserve"> : </w:t>
      </w:r>
    </w:p>
    <w:p w14:paraId="725DA545" w14:textId="77777777" w:rsidR="0007201C" w:rsidRPr="00A82953" w:rsidRDefault="00730A01" w:rsidP="004021C3">
      <w:pPr>
        <w:pStyle w:val="Citationenretrait"/>
        <w:spacing w:before="0"/>
        <w:ind w:right="539"/>
        <w:rPr>
          <w:rFonts w:cs="Arial"/>
          <w:szCs w:val="22"/>
          <w:lang w:eastAsia="fr-CA"/>
        </w:rPr>
      </w:pPr>
      <w:r>
        <w:rPr>
          <w:lang w:eastAsia="fr-CA"/>
        </w:rPr>
        <w:t xml:space="preserve">[27] </w:t>
      </w:r>
      <w:r w:rsidRPr="002233F3">
        <w:rPr>
          <w:rFonts w:cs="Arial"/>
          <w:lang w:eastAsia="fr-CA"/>
        </w:rPr>
        <w:t xml:space="preserve">La situation dans laquelle se </w:t>
      </w:r>
      <w:r w:rsidRPr="00A82953">
        <w:rPr>
          <w:rFonts w:cs="Arial"/>
          <w:szCs w:val="22"/>
          <w:lang w:eastAsia="fr-CA"/>
        </w:rPr>
        <w:t xml:space="preserve">trouvent les parties ne se situe pas dans les termes exprès des cas de solidarité prévus au </w:t>
      </w:r>
      <w:r w:rsidRPr="00A82953">
        <w:rPr>
          <w:rFonts w:cs="Arial"/>
          <w:i/>
          <w:iCs/>
          <w:szCs w:val="22"/>
          <w:lang w:eastAsia="fr-CA"/>
        </w:rPr>
        <w:t>Code civil du Bas Canada</w:t>
      </w:r>
      <w:r w:rsidRPr="00A82953">
        <w:rPr>
          <w:rFonts w:cs="Arial"/>
          <w:szCs w:val="22"/>
          <w:lang w:eastAsia="fr-CA"/>
        </w:rPr>
        <w:t>. En droit civil français, où le code civil ne contenait pas une</w:t>
      </w:r>
      <w:r w:rsidR="002233F3" w:rsidRPr="00A82953">
        <w:rPr>
          <w:rFonts w:cs="Arial"/>
          <w:szCs w:val="22"/>
          <w:lang w:eastAsia="fr-CA"/>
        </w:rPr>
        <w:t xml:space="preserve"> </w:t>
      </w:r>
      <w:r w:rsidRPr="00A82953">
        <w:rPr>
          <w:rFonts w:eastAsia="ArialMT" w:cs="Arial"/>
          <w:szCs w:val="22"/>
          <w:lang w:eastAsia="fr-CA"/>
        </w:rPr>
        <w:t>disposition similaire à l</w:t>
      </w:r>
      <w:r w:rsidR="002233F3" w:rsidRPr="00A82953">
        <w:rPr>
          <w:rFonts w:eastAsia="ArialMT" w:cs="Arial"/>
          <w:szCs w:val="22"/>
          <w:lang w:eastAsia="fr-CA"/>
        </w:rPr>
        <w:t>’</w:t>
      </w:r>
      <w:r w:rsidRPr="00A82953">
        <w:rPr>
          <w:rFonts w:eastAsia="ArialMT" w:cs="Arial"/>
          <w:szCs w:val="22"/>
          <w:lang w:eastAsia="fr-CA"/>
        </w:rPr>
        <w:t>art.</w:t>
      </w:r>
      <w:r w:rsidR="00291B1B">
        <w:rPr>
          <w:rFonts w:eastAsia="ArialMT" w:cs="Arial"/>
          <w:szCs w:val="22"/>
          <w:lang w:eastAsia="fr-CA"/>
        </w:rPr>
        <w:t> </w:t>
      </w:r>
      <w:r w:rsidRPr="00A82953">
        <w:rPr>
          <w:rFonts w:cs="Arial"/>
          <w:szCs w:val="22"/>
          <w:lang w:eastAsia="fr-CA"/>
        </w:rPr>
        <w:t xml:space="preserve">1106 </w:t>
      </w:r>
      <w:r w:rsidRPr="00291B1B">
        <w:rPr>
          <w:rFonts w:cs="Arial"/>
          <w:szCs w:val="22"/>
          <w:lang w:eastAsia="fr-CA"/>
        </w:rPr>
        <w:t>C.c.B.C</w:t>
      </w:r>
      <w:r w:rsidRPr="00A82953">
        <w:rPr>
          <w:rFonts w:cs="Arial"/>
          <w:i/>
          <w:iCs/>
          <w:szCs w:val="22"/>
          <w:lang w:eastAsia="fr-CA"/>
        </w:rPr>
        <w:t xml:space="preserve">. </w:t>
      </w:r>
      <w:r w:rsidRPr="00A82953">
        <w:rPr>
          <w:rFonts w:cs="Arial"/>
          <w:szCs w:val="22"/>
          <w:lang w:eastAsia="fr-CA"/>
        </w:rPr>
        <w:t>sur la solidarité en matière</w:t>
      </w:r>
      <w:r w:rsidR="002233F3" w:rsidRPr="00A82953">
        <w:rPr>
          <w:rFonts w:cs="Arial"/>
          <w:szCs w:val="22"/>
          <w:lang w:eastAsia="fr-CA"/>
        </w:rPr>
        <w:t xml:space="preserve"> </w:t>
      </w:r>
      <w:r w:rsidRPr="00A82953">
        <w:rPr>
          <w:rFonts w:cs="Arial"/>
          <w:szCs w:val="22"/>
          <w:lang w:eastAsia="fr-CA"/>
        </w:rPr>
        <w:t>délictuelle, la doctrine et la jurisprudence ont développé</w:t>
      </w:r>
      <w:r w:rsidR="002233F3" w:rsidRPr="00A82953">
        <w:rPr>
          <w:rFonts w:cs="Arial"/>
          <w:szCs w:val="22"/>
          <w:lang w:eastAsia="fr-CA"/>
        </w:rPr>
        <w:t xml:space="preserve"> le concept d’une solidarité imparfaite ou d’obligation </w:t>
      </w:r>
      <w:r w:rsidR="002233F3" w:rsidRPr="00A82953">
        <w:rPr>
          <w:rFonts w:cs="Arial"/>
          <w:i/>
          <w:iCs/>
          <w:szCs w:val="22"/>
          <w:lang w:eastAsia="fr-CA"/>
        </w:rPr>
        <w:t>in solidum</w:t>
      </w:r>
      <w:r w:rsidR="002233F3" w:rsidRPr="00A82953">
        <w:rPr>
          <w:rFonts w:cs="Arial"/>
          <w:szCs w:val="22"/>
          <w:lang w:eastAsia="fr-CA"/>
        </w:rPr>
        <w:t>. Comme le souligne Chabas, cette théorie permettait de régler le régime juridique de dettes diverses, mais concurrentes, dont l’objet se trouvait le même, au moins en partie.</w:t>
      </w:r>
    </w:p>
    <w:p w14:paraId="0D9A4C18" w14:textId="77777777" w:rsidR="002233F3" w:rsidRPr="00A82953" w:rsidRDefault="00730A01" w:rsidP="001E1A02">
      <w:pPr>
        <w:pStyle w:val="Citationenretrait"/>
        <w:ind w:right="539"/>
        <w:rPr>
          <w:szCs w:val="22"/>
          <w:lang w:eastAsia="fr-CA"/>
        </w:rPr>
      </w:pPr>
      <w:r w:rsidRPr="00A82953">
        <w:rPr>
          <w:szCs w:val="22"/>
          <w:lang w:eastAsia="fr-CA"/>
        </w:rPr>
        <w:t>[…]</w:t>
      </w:r>
    </w:p>
    <w:p w14:paraId="7365EA4A" w14:textId="77777777" w:rsidR="004C7363" w:rsidRPr="00A82953" w:rsidRDefault="00730A01" w:rsidP="001E1A02">
      <w:pPr>
        <w:pStyle w:val="Citationenretrait"/>
        <w:spacing w:after="0"/>
        <w:ind w:right="539"/>
        <w:rPr>
          <w:szCs w:val="22"/>
          <w:lang w:eastAsia="fr-CA"/>
        </w:rPr>
      </w:pPr>
      <w:r w:rsidRPr="00A82953">
        <w:rPr>
          <w:szCs w:val="22"/>
          <w:lang w:eastAsia="fr-CA"/>
        </w:rPr>
        <w:t xml:space="preserve">[33] </w:t>
      </w:r>
      <w:r w:rsidR="0007201C" w:rsidRPr="00A82953">
        <w:rPr>
          <w:rFonts w:eastAsia="ArialMT"/>
          <w:szCs w:val="22"/>
          <w:lang w:eastAsia="fr-CA"/>
        </w:rPr>
        <w:t xml:space="preserve">Le concept d’obligation </w:t>
      </w:r>
      <w:r w:rsidR="0007201C" w:rsidRPr="00A82953">
        <w:rPr>
          <w:i/>
          <w:iCs/>
          <w:szCs w:val="22"/>
          <w:lang w:eastAsia="fr-CA"/>
        </w:rPr>
        <w:t xml:space="preserve">in solidum </w:t>
      </w:r>
      <w:r w:rsidR="0007201C" w:rsidRPr="00A82953">
        <w:rPr>
          <w:szCs w:val="22"/>
          <w:lang w:eastAsia="fr-CA"/>
        </w:rPr>
        <w:t>permet de régler les difficultés</w:t>
      </w:r>
      <w:r w:rsidRPr="00A82953">
        <w:rPr>
          <w:szCs w:val="22"/>
          <w:lang w:eastAsia="fr-CA"/>
        </w:rPr>
        <w:t xml:space="preserve"> </w:t>
      </w:r>
      <w:r w:rsidR="0007201C" w:rsidRPr="00A82953">
        <w:rPr>
          <w:rFonts w:eastAsia="ArialMT"/>
          <w:szCs w:val="22"/>
          <w:lang w:eastAsia="fr-CA"/>
        </w:rPr>
        <w:t>juridiques posées par les rapports entre les codébiteurs de l’intimée</w:t>
      </w:r>
      <w:r w:rsidRPr="00A82953">
        <w:rPr>
          <w:rFonts w:eastAsia="ArialMT"/>
          <w:szCs w:val="22"/>
          <w:lang w:eastAsia="fr-CA"/>
        </w:rPr>
        <w:t xml:space="preserve"> </w:t>
      </w:r>
      <w:r w:rsidR="0007201C" w:rsidRPr="00A82953">
        <w:rPr>
          <w:szCs w:val="22"/>
          <w:lang w:eastAsia="fr-CA"/>
        </w:rPr>
        <w:t>conformément aux principes généraux de la solidarité et aux objectifs du</w:t>
      </w:r>
      <w:r w:rsidRPr="00A82953">
        <w:rPr>
          <w:szCs w:val="22"/>
          <w:lang w:eastAsia="fr-CA"/>
        </w:rPr>
        <w:t xml:space="preserve"> </w:t>
      </w:r>
      <w:r w:rsidR="0007201C" w:rsidRPr="00A82953">
        <w:rPr>
          <w:szCs w:val="22"/>
          <w:lang w:eastAsia="fr-CA"/>
        </w:rPr>
        <w:t>droit des obligation</w:t>
      </w:r>
      <w:r w:rsidRPr="00A82953">
        <w:rPr>
          <w:szCs w:val="22"/>
          <w:lang w:eastAsia="fr-CA"/>
        </w:rPr>
        <w:t xml:space="preserve">s. Masson </w:t>
      </w:r>
      <w:r w:rsidR="0007201C" w:rsidRPr="00A82953">
        <w:rPr>
          <w:rFonts w:eastAsia="ArialMT"/>
          <w:szCs w:val="22"/>
          <w:lang w:eastAsia="fr-CA"/>
        </w:rPr>
        <w:t>est incontestablement responsable d’un</w:t>
      </w:r>
      <w:r w:rsidRPr="00A82953">
        <w:rPr>
          <w:rFonts w:eastAsia="ArialMT"/>
          <w:szCs w:val="22"/>
          <w:lang w:eastAsia="fr-CA"/>
        </w:rPr>
        <w:t xml:space="preserve"> </w:t>
      </w:r>
      <w:r w:rsidR="0007201C" w:rsidRPr="00A82953">
        <w:rPr>
          <w:rFonts w:eastAsia="ArialMT"/>
          <w:szCs w:val="22"/>
          <w:lang w:eastAsia="fr-CA"/>
        </w:rPr>
        <w:t>préjudice qui s’est réalisé en date du 21</w:t>
      </w:r>
      <w:r w:rsidRPr="00A82953">
        <w:rPr>
          <w:rFonts w:eastAsia="ArialMT"/>
          <w:szCs w:val="22"/>
          <w:lang w:eastAsia="fr-CA"/>
        </w:rPr>
        <w:t> d</w:t>
      </w:r>
      <w:r w:rsidR="0007201C" w:rsidRPr="00A82953">
        <w:rPr>
          <w:szCs w:val="22"/>
          <w:lang w:eastAsia="fr-CA"/>
        </w:rPr>
        <w:t>écembre</w:t>
      </w:r>
      <w:r w:rsidR="00291B1B">
        <w:rPr>
          <w:szCs w:val="22"/>
          <w:lang w:eastAsia="fr-CA"/>
        </w:rPr>
        <w:t> </w:t>
      </w:r>
      <w:r w:rsidR="0007201C" w:rsidRPr="00A82953">
        <w:rPr>
          <w:szCs w:val="22"/>
          <w:lang w:eastAsia="fr-CA"/>
        </w:rPr>
        <w:t>1990 et dont le montant,</w:t>
      </w:r>
      <w:r w:rsidRPr="00A82953">
        <w:rPr>
          <w:szCs w:val="22"/>
          <w:lang w:eastAsia="fr-CA"/>
        </w:rPr>
        <w:t xml:space="preserve"> </w:t>
      </w:r>
      <w:r w:rsidR="0007201C" w:rsidRPr="00A82953">
        <w:rPr>
          <w:rFonts w:ascii="ArialMT" w:eastAsia="ArialMT" w:cs="ArialMT" w:hint="eastAsia"/>
          <w:szCs w:val="22"/>
          <w:lang w:eastAsia="fr-CA"/>
        </w:rPr>
        <w:t>à</w:t>
      </w:r>
      <w:r w:rsidR="0007201C" w:rsidRPr="00A82953">
        <w:rPr>
          <w:rFonts w:ascii="ArialMT" w:eastAsia="ArialMT" w:cs="ArialMT"/>
          <w:szCs w:val="22"/>
          <w:lang w:eastAsia="fr-CA"/>
        </w:rPr>
        <w:t xml:space="preserve"> </w:t>
      </w:r>
      <w:r w:rsidR="0007201C" w:rsidRPr="00A82953">
        <w:rPr>
          <w:rFonts w:eastAsia="ArialMT"/>
          <w:szCs w:val="22"/>
          <w:lang w:eastAsia="fr-CA"/>
        </w:rPr>
        <w:t>cette date, s’élève à 182</w:t>
      </w:r>
      <w:r w:rsidR="00A82953">
        <w:rPr>
          <w:rFonts w:eastAsia="ArialMT"/>
          <w:szCs w:val="22"/>
          <w:lang w:eastAsia="fr-CA"/>
        </w:rPr>
        <w:t> </w:t>
      </w:r>
      <w:r w:rsidR="0007201C" w:rsidRPr="00A82953">
        <w:rPr>
          <w:rFonts w:eastAsia="ArialMT"/>
          <w:szCs w:val="22"/>
          <w:lang w:eastAsia="fr-CA"/>
        </w:rPr>
        <w:t>476,88</w:t>
      </w:r>
      <w:r w:rsidR="00A82953">
        <w:rPr>
          <w:rFonts w:ascii="Cambria" w:eastAsia="ArialMT" w:hAnsi="Cambria" w:cs="ArialMT"/>
          <w:szCs w:val="22"/>
          <w:lang w:eastAsia="fr-CA"/>
        </w:rPr>
        <w:t> </w:t>
      </w:r>
      <w:r w:rsidR="0007201C" w:rsidRPr="00A82953">
        <w:rPr>
          <w:szCs w:val="22"/>
          <w:lang w:eastAsia="fr-CA"/>
        </w:rPr>
        <w:t>$. La défenderesse 2639-1565</w:t>
      </w:r>
      <w:r w:rsidRPr="00A82953">
        <w:rPr>
          <w:szCs w:val="22"/>
          <w:lang w:eastAsia="fr-CA"/>
        </w:rPr>
        <w:t xml:space="preserve"> </w:t>
      </w:r>
      <w:r w:rsidR="0007201C" w:rsidRPr="00A82953">
        <w:rPr>
          <w:szCs w:val="22"/>
          <w:lang w:eastAsia="fr-CA"/>
        </w:rPr>
        <w:t>Québec inc. est également tenue pour un solde contractuel de 206</w:t>
      </w:r>
      <w:r w:rsidR="00A82953">
        <w:rPr>
          <w:szCs w:val="22"/>
          <w:lang w:eastAsia="fr-CA"/>
        </w:rPr>
        <w:t> </w:t>
      </w:r>
      <w:r w:rsidR="0007201C" w:rsidRPr="00A82953">
        <w:rPr>
          <w:szCs w:val="22"/>
          <w:lang w:eastAsia="fr-CA"/>
        </w:rPr>
        <w:t>000</w:t>
      </w:r>
      <w:r w:rsidR="00A82953">
        <w:rPr>
          <w:szCs w:val="22"/>
          <w:lang w:eastAsia="fr-CA"/>
        </w:rPr>
        <w:t> </w:t>
      </w:r>
      <w:r w:rsidR="0007201C" w:rsidRPr="00A82953">
        <w:rPr>
          <w:szCs w:val="22"/>
          <w:lang w:eastAsia="fr-CA"/>
        </w:rPr>
        <w:t>$</w:t>
      </w:r>
      <w:r w:rsidRPr="00A82953">
        <w:rPr>
          <w:szCs w:val="22"/>
          <w:lang w:eastAsia="fr-CA"/>
        </w:rPr>
        <w:t xml:space="preserve"> </w:t>
      </w:r>
      <w:r w:rsidR="0007201C" w:rsidRPr="00A82953">
        <w:rPr>
          <w:szCs w:val="22"/>
          <w:lang w:eastAsia="fr-CA"/>
        </w:rPr>
        <w:t>plus les intérêts au taux conventionnel. Ces deux dettes ont en partie un</w:t>
      </w:r>
      <w:r w:rsidRPr="00A82953">
        <w:rPr>
          <w:szCs w:val="22"/>
          <w:lang w:eastAsia="fr-CA"/>
        </w:rPr>
        <w:t xml:space="preserve"> </w:t>
      </w:r>
      <w:r w:rsidR="0007201C" w:rsidRPr="00A82953">
        <w:rPr>
          <w:szCs w:val="22"/>
          <w:lang w:eastAsia="fr-CA"/>
        </w:rPr>
        <w:t>même objet.</w:t>
      </w:r>
    </w:p>
    <w:p w14:paraId="27DA1437" w14:textId="77777777" w:rsidR="00EB5267" w:rsidRDefault="00730A01" w:rsidP="00A82953">
      <w:pPr>
        <w:pStyle w:val="Citationenretrait"/>
        <w:ind w:right="539"/>
        <w:jc w:val="right"/>
        <w:rPr>
          <w:sz w:val="20"/>
          <w:lang w:eastAsia="fr-CA"/>
        </w:rPr>
      </w:pPr>
      <w:r w:rsidRPr="00291B1B">
        <w:rPr>
          <w:sz w:val="20"/>
          <w:lang w:eastAsia="fr-CA"/>
        </w:rPr>
        <w:t>[Reproduction intégrale]</w:t>
      </w:r>
    </w:p>
    <w:p w14:paraId="74465B38" w14:textId="77777777" w:rsidR="0022767D" w:rsidRPr="0022767D" w:rsidRDefault="00730A01" w:rsidP="0022767D">
      <w:pPr>
        <w:pStyle w:val="Paragraphe"/>
        <w:tabs>
          <w:tab w:val="clear" w:pos="786"/>
        </w:tabs>
        <w:autoSpaceDE w:val="0"/>
        <w:autoSpaceDN w:val="0"/>
        <w:adjustRightInd w:val="0"/>
        <w:spacing w:line="240" w:lineRule="auto"/>
        <w:ind w:left="0"/>
        <w:rPr>
          <w:rFonts w:cs="Arial"/>
          <w:szCs w:val="24"/>
          <w:lang w:eastAsia="fr-CA"/>
        </w:rPr>
      </w:pPr>
      <w:r>
        <w:rPr>
          <w:rFonts w:cs="Arial"/>
          <w:szCs w:val="24"/>
          <w:lang w:eastAsia="fr-CA"/>
        </w:rPr>
        <w:t xml:space="preserve">Dans </w:t>
      </w:r>
      <w:r w:rsidRPr="0022767D">
        <w:rPr>
          <w:rFonts w:cs="Arial"/>
          <w:i/>
          <w:iCs/>
          <w:szCs w:val="24"/>
          <w:lang w:eastAsia="fr-CA"/>
        </w:rPr>
        <w:t>Bourque</w:t>
      </w:r>
      <w:r>
        <w:rPr>
          <w:rFonts w:cs="Arial"/>
          <w:szCs w:val="24"/>
          <w:lang w:eastAsia="fr-CA"/>
        </w:rPr>
        <w:t xml:space="preserve"> c. </w:t>
      </w:r>
      <w:r w:rsidRPr="0022767D">
        <w:rPr>
          <w:rFonts w:cs="Arial"/>
          <w:i/>
          <w:iCs/>
          <w:szCs w:val="24"/>
          <w:lang w:eastAsia="fr-CA"/>
        </w:rPr>
        <w:t>Poudrier</w:t>
      </w:r>
      <w:r>
        <w:rPr>
          <w:rFonts w:cs="Arial"/>
          <w:szCs w:val="24"/>
          <w:lang w:eastAsia="fr-CA"/>
        </w:rPr>
        <w:t>, la Cour d’appel précise que « </w:t>
      </w:r>
      <w:r w:rsidRPr="0022767D">
        <w:rPr>
          <w:rFonts w:cs="Arial"/>
          <w:i/>
          <w:iCs/>
          <w:szCs w:val="24"/>
          <w:lang w:eastAsia="fr-CA"/>
        </w:rPr>
        <w:t>la condamnation in solidum permet ainsi de régler le régime juridique de dettes diverses, mais concurrentes, dont l’objet se trouv[e] le même tout en évitant l’écueil d’une double indemnité</w:t>
      </w:r>
      <w:r>
        <w:rPr>
          <w:rFonts w:cs="Arial"/>
          <w:szCs w:val="24"/>
          <w:lang w:eastAsia="fr-CA"/>
        </w:rPr>
        <w:t>. »</w:t>
      </w:r>
      <w:r>
        <w:rPr>
          <w:rStyle w:val="Appelnotedebasdep"/>
          <w:rFonts w:cs="Arial"/>
          <w:szCs w:val="24"/>
          <w:lang w:eastAsia="fr-CA"/>
        </w:rPr>
        <w:footnoteReference w:id="348"/>
      </w:r>
    </w:p>
    <w:p w14:paraId="4A2659FF" w14:textId="77777777" w:rsidR="007A6C58" w:rsidRPr="00EB5267" w:rsidRDefault="00730A01" w:rsidP="00443B59">
      <w:pPr>
        <w:pStyle w:val="Titre2"/>
        <w:numPr>
          <w:ilvl w:val="2"/>
          <w:numId w:val="64"/>
        </w:numPr>
        <w:ind w:left="284" w:hanging="284"/>
        <w:rPr>
          <w:szCs w:val="24"/>
          <w:lang w:eastAsia="fr-CA"/>
        </w:rPr>
      </w:pPr>
      <w:r w:rsidRPr="00EB5267">
        <w:rPr>
          <w:rFonts w:cs="Arial"/>
          <w:bCs/>
          <w:szCs w:val="24"/>
          <w:lang w:eastAsia="fr-CA"/>
        </w:rPr>
        <w:t>Collective</w:t>
      </w:r>
    </w:p>
    <w:p w14:paraId="3C575FC8" w14:textId="77777777" w:rsidR="00EB5267" w:rsidRDefault="00730A01" w:rsidP="0098012F">
      <w:pPr>
        <w:pStyle w:val="Paragraphe"/>
        <w:tabs>
          <w:tab w:val="clear" w:pos="786"/>
        </w:tabs>
        <w:spacing w:line="240" w:lineRule="auto"/>
        <w:ind w:left="0"/>
      </w:pPr>
      <w:r w:rsidRPr="008E3525">
        <w:rPr>
          <w:lang w:eastAsia="fr-CA"/>
        </w:rPr>
        <w:t>Tous</w:t>
      </w:r>
      <w:r w:rsidRPr="008E3525">
        <w:t xml:space="preserve"> les Demandeurs (commanditaires et sociétés en commandite) se joignent pour présenter une réclamation </w:t>
      </w:r>
      <w:r w:rsidRPr="00EB5267">
        <w:t>unique et coordonnée</w:t>
      </w:r>
      <w:r w:rsidRPr="008E3525">
        <w:t xml:space="preserve">, étant tous victimes des </w:t>
      </w:r>
      <w:r w:rsidRPr="00EB5267">
        <w:t>mêmes fautes systémiques</w:t>
      </w:r>
      <w:r w:rsidRPr="008E3525">
        <w:t xml:space="preserve"> commises par les mêmes acteurs</w:t>
      </w:r>
      <w:r w:rsidR="00883DBA">
        <w:t>.</w:t>
      </w:r>
      <w:r w:rsidR="00756AD6">
        <w:t xml:space="preserve"> Ce qui leur est permis au sens des articles 143 al.2 C.p.c. et 1518 al.2 C.c.Q.</w:t>
      </w:r>
      <w:r>
        <w:rPr>
          <w:rStyle w:val="Appelnotedebasdep"/>
        </w:rPr>
        <w:footnoteReference w:id="349"/>
      </w:r>
    </w:p>
    <w:p w14:paraId="7F0254D1" w14:textId="77777777" w:rsidR="007A6C58" w:rsidRPr="00EB5267" w:rsidRDefault="00730A01" w:rsidP="00443B59">
      <w:pPr>
        <w:pStyle w:val="Titre2"/>
        <w:numPr>
          <w:ilvl w:val="2"/>
          <w:numId w:val="64"/>
        </w:numPr>
        <w:ind w:left="284" w:hanging="284"/>
      </w:pPr>
      <w:r>
        <w:rPr>
          <w:rFonts w:cs="Arial"/>
          <w:bCs/>
          <w:szCs w:val="24"/>
          <w:lang w:eastAsia="fr-CA"/>
        </w:rPr>
        <w:t>D</w:t>
      </w:r>
      <w:r w:rsidRPr="00EB5267">
        <w:rPr>
          <w:rFonts w:cs="Arial"/>
          <w:bCs/>
          <w:szCs w:val="24"/>
          <w:lang w:eastAsia="fr-CA"/>
        </w:rPr>
        <w:t>irecte</w:t>
      </w:r>
      <w:r w:rsidR="00A3683C">
        <w:rPr>
          <w:rFonts w:cs="Arial"/>
          <w:bCs/>
          <w:szCs w:val="24"/>
          <w:lang w:eastAsia="fr-CA"/>
        </w:rPr>
        <w:t xml:space="preserve"> (</w:t>
      </w:r>
      <w:r w:rsidRPr="00EB5267">
        <w:rPr>
          <w:rFonts w:cs="Arial"/>
          <w:bCs/>
          <w:szCs w:val="24"/>
          <w:lang w:eastAsia="fr-CA"/>
        </w:rPr>
        <w:t>personnelle</w:t>
      </w:r>
      <w:r w:rsidR="00A3683C">
        <w:rPr>
          <w:rFonts w:cs="Arial"/>
          <w:bCs/>
          <w:szCs w:val="24"/>
          <w:lang w:eastAsia="fr-CA"/>
        </w:rPr>
        <w:t>)</w:t>
      </w:r>
    </w:p>
    <w:p w14:paraId="177CDBFA" w14:textId="77777777" w:rsidR="00775321" w:rsidRDefault="00730A01" w:rsidP="0098012F">
      <w:pPr>
        <w:pStyle w:val="Paragraphe"/>
        <w:tabs>
          <w:tab w:val="clear" w:pos="786"/>
        </w:tabs>
        <w:spacing w:line="240" w:lineRule="auto"/>
        <w:ind w:left="0"/>
        <w:rPr>
          <w:rFonts w:cs="Arial"/>
          <w:szCs w:val="24"/>
          <w:lang w:eastAsia="fr-CA"/>
        </w:rPr>
      </w:pPr>
      <w:r w:rsidRPr="00775321">
        <w:rPr>
          <w:lang w:eastAsia="fr-CA"/>
        </w:rPr>
        <w:t>Les</w:t>
      </w:r>
      <w:r w:rsidRPr="008E3525">
        <w:rPr>
          <w:rFonts w:cs="Arial"/>
          <w:szCs w:val="24"/>
          <w:lang w:eastAsia="fr-CA"/>
        </w:rPr>
        <w:t xml:space="preserve"> commanditaires ont </w:t>
      </w:r>
      <w:r w:rsidRPr="00EB5267">
        <w:rPr>
          <w:rFonts w:cs="Arial"/>
          <w:szCs w:val="24"/>
          <w:lang w:eastAsia="fr-CA"/>
        </w:rPr>
        <w:t>un droit d’action personnel</w:t>
      </w:r>
      <w:r w:rsidRPr="008E3525">
        <w:rPr>
          <w:rFonts w:cs="Arial"/>
          <w:szCs w:val="24"/>
          <w:lang w:eastAsia="fr-CA"/>
        </w:rPr>
        <w:t xml:space="preserve"> contre Giroux et les autres Défendeurs sur la base de leurs </w:t>
      </w:r>
      <w:r w:rsidRPr="00EB5267">
        <w:rPr>
          <w:rFonts w:cs="Arial"/>
          <w:szCs w:val="24"/>
          <w:lang w:eastAsia="fr-CA"/>
        </w:rPr>
        <w:t>fausses représentations,</w:t>
      </w:r>
      <w:r w:rsidRPr="008E3525">
        <w:rPr>
          <w:rFonts w:cs="Arial"/>
          <w:szCs w:val="24"/>
          <w:lang w:eastAsia="fr-CA"/>
        </w:rPr>
        <w:t xml:space="preserve"> leurs </w:t>
      </w:r>
      <w:r w:rsidRPr="00EB5267">
        <w:rPr>
          <w:rFonts w:cs="Arial"/>
          <w:szCs w:val="24"/>
          <w:lang w:eastAsia="fr-CA"/>
        </w:rPr>
        <w:t>omissions dolosives</w:t>
      </w:r>
      <w:r w:rsidRPr="008E3525">
        <w:rPr>
          <w:rFonts w:cs="Arial"/>
          <w:szCs w:val="24"/>
          <w:lang w:eastAsia="fr-CA"/>
        </w:rPr>
        <w:t xml:space="preserve"> et </w:t>
      </w:r>
      <w:r w:rsidRPr="00EB5267">
        <w:rPr>
          <w:rFonts w:cs="Arial"/>
          <w:szCs w:val="24"/>
          <w:lang w:eastAsia="fr-CA"/>
        </w:rPr>
        <w:t>l’abus de droit</w:t>
      </w:r>
      <w:r w:rsidR="00883DBA">
        <w:rPr>
          <w:rFonts w:cs="Arial"/>
          <w:szCs w:val="24"/>
          <w:lang w:eastAsia="fr-CA"/>
        </w:rPr>
        <w:t>.</w:t>
      </w:r>
    </w:p>
    <w:p w14:paraId="2C0FB7A6" w14:textId="77777777" w:rsidR="00EB5267" w:rsidRDefault="00730A01" w:rsidP="0098012F">
      <w:pPr>
        <w:pStyle w:val="Paragraphe"/>
        <w:tabs>
          <w:tab w:val="clear" w:pos="786"/>
        </w:tabs>
        <w:spacing w:line="240" w:lineRule="auto"/>
        <w:ind w:left="0"/>
        <w:rPr>
          <w:rFonts w:cs="Arial"/>
          <w:szCs w:val="24"/>
          <w:lang w:eastAsia="fr-CA"/>
        </w:rPr>
      </w:pPr>
      <w:r w:rsidRPr="00775321">
        <w:rPr>
          <w:rFonts w:cs="Arial"/>
          <w:szCs w:val="24"/>
          <w:lang w:eastAsia="fr-CA"/>
        </w:rPr>
        <w:t>Ces recours sont fondés notamment sur l’article</w:t>
      </w:r>
      <w:r w:rsidR="00291B1B">
        <w:rPr>
          <w:rFonts w:cs="Arial"/>
          <w:szCs w:val="24"/>
          <w:lang w:eastAsia="fr-CA"/>
        </w:rPr>
        <w:t> </w:t>
      </w:r>
      <w:r w:rsidRPr="00EB5267">
        <w:rPr>
          <w:rFonts w:cs="Arial"/>
          <w:szCs w:val="24"/>
          <w:lang w:eastAsia="fr-CA"/>
        </w:rPr>
        <w:t>1457 C.c.Q.</w:t>
      </w:r>
      <w:r>
        <w:rPr>
          <w:rStyle w:val="Appelnotedebasdep"/>
          <w:rFonts w:cs="Arial"/>
          <w:szCs w:val="24"/>
          <w:lang w:eastAsia="fr-CA"/>
        </w:rPr>
        <w:footnoteReference w:id="350"/>
      </w:r>
      <w:r w:rsidRPr="00775321">
        <w:rPr>
          <w:rFonts w:cs="Arial"/>
          <w:szCs w:val="24"/>
          <w:lang w:eastAsia="fr-CA"/>
        </w:rPr>
        <w:t xml:space="preserve"> et appuyés par </w:t>
      </w:r>
      <w:r w:rsidR="00883DBA">
        <w:rPr>
          <w:rFonts w:cs="Arial"/>
          <w:szCs w:val="24"/>
          <w:lang w:eastAsia="fr-CA"/>
        </w:rPr>
        <w:t>la</w:t>
      </w:r>
      <w:r w:rsidRPr="00775321">
        <w:rPr>
          <w:rFonts w:cs="Arial"/>
          <w:szCs w:val="24"/>
          <w:lang w:eastAsia="fr-CA"/>
        </w:rPr>
        <w:t xml:space="preserve"> </w:t>
      </w:r>
      <w:r w:rsidRPr="00EB5267">
        <w:rPr>
          <w:rFonts w:cs="Arial"/>
          <w:szCs w:val="24"/>
          <w:lang w:eastAsia="fr-CA"/>
        </w:rPr>
        <w:t xml:space="preserve">jurisprudence </w:t>
      </w:r>
      <w:r w:rsidR="00883DBA">
        <w:rPr>
          <w:rFonts w:cs="Arial"/>
          <w:szCs w:val="24"/>
          <w:lang w:eastAsia="fr-CA"/>
        </w:rPr>
        <w:t>en la matière </w:t>
      </w:r>
      <w:r w:rsidRPr="00775321">
        <w:rPr>
          <w:rFonts w:cs="Arial"/>
          <w:szCs w:val="24"/>
          <w:lang w:eastAsia="fr-CA"/>
        </w:rPr>
        <w:t>:</w:t>
      </w:r>
      <w:r w:rsidR="00883DBA">
        <w:rPr>
          <w:rFonts w:cs="Arial"/>
          <w:szCs w:val="24"/>
          <w:lang w:eastAsia="fr-CA"/>
        </w:rPr>
        <w:t> </w:t>
      </w:r>
      <w:r w:rsidRPr="00775321">
        <w:rPr>
          <w:rFonts w:cs="Arial"/>
          <w:i/>
          <w:iCs/>
          <w:szCs w:val="24"/>
          <w:lang w:eastAsia="fr-CA"/>
        </w:rPr>
        <w:t xml:space="preserve">Bouffard </w:t>
      </w:r>
      <w:r w:rsidRPr="00775321">
        <w:rPr>
          <w:rFonts w:cs="Arial"/>
          <w:szCs w:val="24"/>
          <w:lang w:eastAsia="fr-CA"/>
        </w:rPr>
        <w:t>c.</w:t>
      </w:r>
      <w:r w:rsidRPr="00775321">
        <w:rPr>
          <w:rFonts w:cs="Arial"/>
          <w:i/>
          <w:iCs/>
          <w:szCs w:val="24"/>
          <w:lang w:eastAsia="fr-CA"/>
        </w:rPr>
        <w:t xml:space="preserve"> Paul</w:t>
      </w:r>
      <w:r w:rsidRPr="00775321">
        <w:rPr>
          <w:rFonts w:cs="Arial"/>
          <w:szCs w:val="24"/>
          <w:lang w:eastAsia="fr-CA"/>
        </w:rPr>
        <w:t xml:space="preserve">, </w:t>
      </w:r>
      <w:r w:rsidRPr="00775321">
        <w:rPr>
          <w:rFonts w:cs="Arial"/>
          <w:i/>
          <w:iCs/>
          <w:szCs w:val="24"/>
          <w:lang w:eastAsia="fr-CA"/>
        </w:rPr>
        <w:t xml:space="preserve">Fondaction </w:t>
      </w:r>
      <w:r w:rsidRPr="00775321">
        <w:rPr>
          <w:rFonts w:cs="Arial"/>
          <w:szCs w:val="24"/>
          <w:lang w:eastAsia="fr-CA"/>
        </w:rPr>
        <w:t>c.</w:t>
      </w:r>
      <w:r w:rsidRPr="00775321">
        <w:rPr>
          <w:rFonts w:cs="Arial"/>
          <w:i/>
          <w:iCs/>
          <w:szCs w:val="24"/>
          <w:lang w:eastAsia="fr-CA"/>
        </w:rPr>
        <w:t xml:space="preserve"> Poutres Lamellées</w:t>
      </w:r>
      <w:r>
        <w:rPr>
          <w:rStyle w:val="Appelnotedebasdep"/>
          <w:rFonts w:cs="Arial"/>
          <w:i/>
          <w:iCs/>
          <w:szCs w:val="24"/>
          <w:lang w:eastAsia="fr-CA"/>
        </w:rPr>
        <w:footnoteReference w:id="351"/>
      </w:r>
      <w:r w:rsidRPr="00775321">
        <w:rPr>
          <w:rFonts w:cs="Arial"/>
          <w:szCs w:val="24"/>
          <w:lang w:eastAsia="fr-CA"/>
        </w:rPr>
        <w:t xml:space="preserve">, </w:t>
      </w:r>
      <w:r w:rsidRPr="00775321">
        <w:rPr>
          <w:rFonts w:cs="Arial"/>
          <w:i/>
          <w:iCs/>
          <w:szCs w:val="24"/>
          <w:lang w:eastAsia="fr-CA"/>
        </w:rPr>
        <w:t xml:space="preserve">Varrocci </w:t>
      </w:r>
      <w:r w:rsidRPr="00775321">
        <w:rPr>
          <w:rFonts w:cs="Arial"/>
          <w:szCs w:val="24"/>
          <w:lang w:eastAsia="fr-CA"/>
        </w:rPr>
        <w:t>c</w:t>
      </w:r>
      <w:r w:rsidRPr="00775321">
        <w:rPr>
          <w:rFonts w:cs="Arial"/>
          <w:i/>
          <w:iCs/>
          <w:szCs w:val="24"/>
          <w:lang w:eastAsia="fr-CA"/>
        </w:rPr>
        <w:t>. Tsovikian</w:t>
      </w:r>
      <w:r>
        <w:rPr>
          <w:rStyle w:val="Appelnotedebasdep"/>
          <w:rFonts w:cs="Arial"/>
          <w:i/>
          <w:iCs/>
          <w:szCs w:val="24"/>
          <w:lang w:eastAsia="fr-CA"/>
        </w:rPr>
        <w:footnoteReference w:id="352"/>
      </w:r>
      <w:r w:rsidRPr="00775321">
        <w:rPr>
          <w:rFonts w:cs="Arial"/>
          <w:szCs w:val="24"/>
          <w:lang w:eastAsia="fr-CA"/>
        </w:rPr>
        <w:t>, etc.</w:t>
      </w:r>
    </w:p>
    <w:p w14:paraId="72052D20" w14:textId="77777777" w:rsidR="007A6C58" w:rsidRPr="00EB5267" w:rsidRDefault="00730A01" w:rsidP="00443B59">
      <w:pPr>
        <w:pStyle w:val="Titre2"/>
        <w:numPr>
          <w:ilvl w:val="2"/>
          <w:numId w:val="64"/>
        </w:numPr>
        <w:ind w:left="284" w:hanging="284"/>
        <w:rPr>
          <w:rFonts w:cs="Arial"/>
          <w:szCs w:val="24"/>
          <w:lang w:eastAsia="fr-CA"/>
        </w:rPr>
      </w:pPr>
      <w:r>
        <w:rPr>
          <w:rFonts w:cs="Arial"/>
          <w:bCs/>
          <w:szCs w:val="24"/>
          <w:lang w:eastAsia="fr-CA"/>
        </w:rPr>
        <w:t>O</w:t>
      </w:r>
      <w:r w:rsidRPr="00EB5267">
        <w:rPr>
          <w:rFonts w:cs="Arial"/>
          <w:bCs/>
          <w:szCs w:val="24"/>
          <w:lang w:eastAsia="fr-CA"/>
        </w:rPr>
        <w:t>blique</w:t>
      </w:r>
    </w:p>
    <w:p w14:paraId="4BA10BF3" w14:textId="77777777" w:rsidR="007A6C58" w:rsidRPr="008E3525" w:rsidRDefault="00730A01" w:rsidP="001E1A02">
      <w:pPr>
        <w:pStyle w:val="Paragraphe"/>
        <w:tabs>
          <w:tab w:val="clear" w:pos="786"/>
        </w:tabs>
        <w:spacing w:after="0" w:line="240" w:lineRule="auto"/>
        <w:ind w:left="0"/>
        <w:rPr>
          <w:rFonts w:cs="Arial"/>
          <w:szCs w:val="24"/>
          <w:lang w:eastAsia="fr-CA"/>
        </w:rPr>
      </w:pPr>
      <w:r w:rsidRPr="008E3525">
        <w:rPr>
          <w:rFonts w:cs="Arial"/>
          <w:szCs w:val="24"/>
          <w:lang w:eastAsia="fr-CA"/>
        </w:rPr>
        <w:t xml:space="preserve">Les sociétés en commandite Q-12 et FIISH peuvent aussi exercer des recours </w:t>
      </w:r>
      <w:r w:rsidRPr="00EB5267">
        <w:rPr>
          <w:rFonts w:cs="Arial"/>
          <w:szCs w:val="24"/>
          <w:lang w:eastAsia="fr-CA"/>
        </w:rPr>
        <w:t>obliques</w:t>
      </w:r>
      <w:r w:rsidRPr="008E3525">
        <w:rPr>
          <w:rFonts w:cs="Arial"/>
          <w:szCs w:val="24"/>
          <w:lang w:eastAsia="fr-CA"/>
        </w:rPr>
        <w:t xml:space="preserve"> au nom des commanditaires dans la mesure où les fautes des Défendeurs ont appauvri directement la société elle-même</w:t>
      </w:r>
      <w:r w:rsidR="00EB5267">
        <w:rPr>
          <w:rFonts w:cs="Arial"/>
          <w:szCs w:val="24"/>
          <w:lang w:eastAsia="fr-CA"/>
        </w:rPr>
        <w:t>.</w:t>
      </w:r>
      <w:r w:rsidRPr="008E3525">
        <w:rPr>
          <w:rFonts w:cs="Arial"/>
          <w:szCs w:val="24"/>
          <w:lang w:eastAsia="fr-CA"/>
        </w:rPr>
        <w:t xml:space="preserve"> </w:t>
      </w:r>
    </w:p>
    <w:p w14:paraId="7C5455B2" w14:textId="77777777" w:rsidR="001D13E0" w:rsidRPr="00883DBA" w:rsidRDefault="00730A01" w:rsidP="001E1A02">
      <w:pPr>
        <w:pStyle w:val="Citationenretrait"/>
        <w:tabs>
          <w:tab w:val="left" w:pos="3686"/>
        </w:tabs>
        <w:ind w:left="0" w:right="0"/>
        <w:rPr>
          <w:sz w:val="24"/>
          <w:szCs w:val="24"/>
          <w:lang w:eastAsia="fr-CA"/>
        </w:rPr>
      </w:pPr>
      <w:r>
        <w:rPr>
          <w:rFonts w:ascii="Times New Roman" w:hAnsi="Times New Roman"/>
          <w:b/>
          <w:bCs/>
          <w:i/>
          <w:iCs/>
          <w:szCs w:val="24"/>
          <w:lang w:eastAsia="fr-CA"/>
        </w:rPr>
        <w:tab/>
      </w:r>
      <w:r w:rsidRPr="00883DBA">
        <w:rPr>
          <w:sz w:val="24"/>
          <w:szCs w:val="24"/>
          <w:lang w:eastAsia="fr-CA"/>
        </w:rPr>
        <w:t>* * *</w:t>
      </w:r>
    </w:p>
    <w:p w14:paraId="4A68877F" w14:textId="77777777" w:rsidR="001D13E0" w:rsidRDefault="00730A01" w:rsidP="0098012F">
      <w:pPr>
        <w:rPr>
          <w:rFonts w:ascii="Times New Roman" w:hAnsi="Times New Roman"/>
          <w:b/>
          <w:bCs/>
          <w:szCs w:val="24"/>
          <w:highlight w:val="yellow"/>
          <w:lang w:eastAsia="fr-CA"/>
        </w:rPr>
      </w:pPr>
      <w:r>
        <w:rPr>
          <w:rFonts w:ascii="Times New Roman" w:hAnsi="Times New Roman"/>
          <w:b/>
          <w:bCs/>
          <w:szCs w:val="24"/>
          <w:highlight w:val="yellow"/>
          <w:lang w:eastAsia="fr-CA"/>
        </w:rPr>
        <w:br w:type="page"/>
      </w:r>
    </w:p>
    <w:p w14:paraId="2722FA77" w14:textId="77777777" w:rsidR="004E40D3" w:rsidRPr="00464963" w:rsidRDefault="00730A01" w:rsidP="00443B59">
      <w:pPr>
        <w:pStyle w:val="Titre2"/>
        <w:numPr>
          <w:ilvl w:val="0"/>
          <w:numId w:val="95"/>
        </w:numPr>
        <w:ind w:left="567" w:hanging="567"/>
        <w:rPr>
          <w:b w:val="0"/>
          <w:bCs/>
          <w:iCs/>
          <w:smallCaps/>
          <w:szCs w:val="24"/>
        </w:rPr>
      </w:pPr>
      <w:r w:rsidRPr="00464963">
        <w:rPr>
          <w:iCs/>
          <w:smallCaps/>
          <w:szCs w:val="24"/>
        </w:rPr>
        <w:t>La mitigation des dommages par les Demandeurs</w:t>
      </w:r>
    </w:p>
    <w:p w14:paraId="03EF6D38" w14:textId="77777777" w:rsidR="00107DF3" w:rsidRDefault="00730A01" w:rsidP="0098012F">
      <w:pPr>
        <w:pStyle w:val="Paragraphe"/>
        <w:tabs>
          <w:tab w:val="clear" w:pos="786"/>
        </w:tabs>
        <w:spacing w:line="240" w:lineRule="auto"/>
        <w:ind w:left="0"/>
        <w:rPr>
          <w:szCs w:val="24"/>
        </w:rPr>
      </w:pPr>
      <w:r w:rsidRPr="001A1A19">
        <w:rPr>
          <w:szCs w:val="24"/>
        </w:rPr>
        <w:t xml:space="preserve">Les Défendeurs plaident que les Demandeurs auraient omis de prendre les mesures nécessaires pour limiter leurs pertes. </w:t>
      </w:r>
      <w:r w:rsidR="00883DBA">
        <w:rPr>
          <w:szCs w:val="24"/>
        </w:rPr>
        <w:t xml:space="preserve">La preuve révèle </w:t>
      </w:r>
      <w:r w:rsidRPr="001A1A19">
        <w:rPr>
          <w:szCs w:val="24"/>
        </w:rPr>
        <w:t>au contraire que les Demandeurs ont rempli leur obligation de mitigation.</w:t>
      </w:r>
    </w:p>
    <w:p w14:paraId="133DA37C" w14:textId="77777777" w:rsidR="00107DF3" w:rsidRDefault="00730A01" w:rsidP="0098012F">
      <w:pPr>
        <w:pStyle w:val="Paragraphe"/>
        <w:tabs>
          <w:tab w:val="clear" w:pos="786"/>
        </w:tabs>
        <w:spacing w:line="240" w:lineRule="auto"/>
        <w:ind w:left="0"/>
        <w:rPr>
          <w:szCs w:val="24"/>
        </w:rPr>
      </w:pPr>
      <w:r w:rsidRPr="00107DF3">
        <w:rPr>
          <w:szCs w:val="24"/>
        </w:rPr>
        <w:t>La mitigation des dommages passe par l’évaluation des opportunités concrètes de limiter les pertes. Or, le Tribunal retient de la preuve que les Demandeurs ont activement participé aux démarches pour explorer des stratégies de sortie de crise malgré que leur rôle de commanditaires ne leur permettait pas de contrôler directement la gestion opérationnelle des fonds.</w:t>
      </w:r>
    </w:p>
    <w:p w14:paraId="3EB590FB" w14:textId="77777777" w:rsidR="00107DF3" w:rsidRDefault="00730A01" w:rsidP="0098012F">
      <w:pPr>
        <w:pStyle w:val="Paragraphe"/>
        <w:tabs>
          <w:tab w:val="clear" w:pos="786"/>
        </w:tabs>
        <w:spacing w:line="240" w:lineRule="auto"/>
        <w:ind w:left="0"/>
        <w:rPr>
          <w:szCs w:val="24"/>
        </w:rPr>
      </w:pPr>
      <w:r w:rsidRPr="00107DF3">
        <w:rPr>
          <w:szCs w:val="24"/>
        </w:rPr>
        <w:t>Malgré cette limite structurelle, ils ont participé aux assemblées, collaboré aux démarches de refinancement et de restructuration ainsi qu’appuyé les solutions proposées. Les pièces au dossier</w:t>
      </w:r>
      <w:r>
        <w:rPr>
          <w:rStyle w:val="Appelnotedebasdep"/>
          <w:szCs w:val="24"/>
        </w:rPr>
        <w:footnoteReference w:id="353"/>
      </w:r>
      <w:r w:rsidRPr="00107DF3">
        <w:rPr>
          <w:szCs w:val="24"/>
        </w:rPr>
        <w:t xml:space="preserve"> et les témoignages confirment que la diligence des Demandeurs contraste avec les décisions fautives et intéressées des </w:t>
      </w:r>
      <w:r w:rsidR="00153EAA">
        <w:rPr>
          <w:szCs w:val="24"/>
        </w:rPr>
        <w:t>D</w:t>
      </w:r>
      <w:r w:rsidRPr="00107DF3">
        <w:rPr>
          <w:szCs w:val="24"/>
        </w:rPr>
        <w:t>éfende</w:t>
      </w:r>
      <w:r w:rsidR="00153EAA">
        <w:rPr>
          <w:szCs w:val="24"/>
        </w:rPr>
        <w:t>u</w:t>
      </w:r>
      <w:r w:rsidR="00700971">
        <w:rPr>
          <w:szCs w:val="24"/>
        </w:rPr>
        <w:t>r</w:t>
      </w:r>
      <w:r w:rsidR="00153EAA">
        <w:rPr>
          <w:szCs w:val="24"/>
        </w:rPr>
        <w:t>s</w:t>
      </w:r>
      <w:r w:rsidRPr="00107DF3">
        <w:rPr>
          <w:szCs w:val="24"/>
        </w:rPr>
        <w:t>.</w:t>
      </w:r>
    </w:p>
    <w:p w14:paraId="5687CB38" w14:textId="77777777" w:rsidR="00107DF3" w:rsidRDefault="00730A01" w:rsidP="0098012F">
      <w:pPr>
        <w:pStyle w:val="Paragraphe"/>
        <w:tabs>
          <w:tab w:val="clear" w:pos="786"/>
        </w:tabs>
        <w:spacing w:line="240" w:lineRule="auto"/>
        <w:ind w:left="0"/>
        <w:rPr>
          <w:szCs w:val="24"/>
        </w:rPr>
      </w:pPr>
      <w:r w:rsidRPr="00107DF3">
        <w:rPr>
          <w:szCs w:val="24"/>
        </w:rPr>
        <w:t>Les pertes subies ne découlent donc pas d’une inaction de la part des Demandeurs, mais directement des manquements et décisions des Défendeurs.</w:t>
      </w:r>
    </w:p>
    <w:p w14:paraId="328BFB9C" w14:textId="77777777" w:rsidR="00107DF3" w:rsidRDefault="00730A01" w:rsidP="0098012F">
      <w:pPr>
        <w:pStyle w:val="Paragraphe"/>
        <w:tabs>
          <w:tab w:val="clear" w:pos="786"/>
        </w:tabs>
        <w:spacing w:line="240" w:lineRule="auto"/>
        <w:ind w:left="0"/>
        <w:rPr>
          <w:rStyle w:val="lev"/>
          <w:b w:val="0"/>
          <w:bCs w:val="0"/>
          <w:szCs w:val="24"/>
        </w:rPr>
      </w:pPr>
      <w:r w:rsidRPr="00107DF3">
        <w:rPr>
          <w:szCs w:val="24"/>
        </w:rPr>
        <w:t>La Cour d’appel a récemment rappelé qu’il ne faut pas interpréter l’obligation de minimiser ses dommages de manière à faire supporter par la victime une partie des conséquences de la faute commise par le responsable, puisque cela serait contraire au principe même de la responsabilité civile et au droit à la réparation qui en découle</w:t>
      </w:r>
      <w:r>
        <w:rPr>
          <w:rStyle w:val="Appelnotedebasdep"/>
          <w:szCs w:val="24"/>
        </w:rPr>
        <w:footnoteReference w:id="354"/>
      </w:r>
      <w:r w:rsidR="00291B1B">
        <w:rPr>
          <w:szCs w:val="24"/>
        </w:rPr>
        <w:t>.</w:t>
      </w:r>
    </w:p>
    <w:p w14:paraId="3F406876" w14:textId="77777777" w:rsidR="00107DF3" w:rsidRDefault="00730A01" w:rsidP="0098012F">
      <w:pPr>
        <w:pStyle w:val="Paragraphe"/>
        <w:tabs>
          <w:tab w:val="clear" w:pos="786"/>
        </w:tabs>
        <w:spacing w:line="240" w:lineRule="auto"/>
        <w:ind w:left="0"/>
        <w:rPr>
          <w:rStyle w:val="Accentuation"/>
          <w:i w:val="0"/>
          <w:iCs w:val="0"/>
          <w:szCs w:val="24"/>
        </w:rPr>
      </w:pPr>
      <w:r w:rsidRPr="00107DF3">
        <w:rPr>
          <w:rStyle w:val="Accentuation"/>
          <w:i w:val="0"/>
          <w:iCs w:val="0"/>
          <w:szCs w:val="24"/>
        </w:rPr>
        <w:t xml:space="preserve">Il est en effet important de ne pas perdre de vue que le débiteur de cette obligation de minimisation des dommages, laquelle est assimilable à une simple obligation de moyens, est, d’abord et avant tout, un créancier victime du comportement fautif de son cocontractant. </w:t>
      </w:r>
    </w:p>
    <w:p w14:paraId="24F45A13" w14:textId="77777777" w:rsidR="004E40D3" w:rsidRPr="00107DF3" w:rsidRDefault="00730A01" w:rsidP="0098012F">
      <w:pPr>
        <w:pStyle w:val="Paragraphe"/>
        <w:tabs>
          <w:tab w:val="clear" w:pos="786"/>
        </w:tabs>
        <w:spacing w:line="240" w:lineRule="auto"/>
        <w:ind w:left="0"/>
        <w:rPr>
          <w:szCs w:val="24"/>
        </w:rPr>
      </w:pPr>
      <w:r w:rsidRPr="00107DF3">
        <w:rPr>
          <w:rStyle w:val="lev"/>
          <w:b w:val="0"/>
          <w:bCs w:val="0"/>
          <w:szCs w:val="24"/>
        </w:rPr>
        <w:t xml:space="preserve">Dans </w:t>
      </w:r>
      <w:r w:rsidRPr="00107DF3">
        <w:rPr>
          <w:rStyle w:val="lev"/>
          <w:b w:val="0"/>
          <w:bCs w:val="0"/>
          <w:i/>
          <w:iCs/>
          <w:szCs w:val="24"/>
        </w:rPr>
        <w:t>Roch Lessard 2000 inc.</w:t>
      </w:r>
      <w:r w:rsidRPr="00107DF3">
        <w:rPr>
          <w:rStyle w:val="lev"/>
          <w:b w:val="0"/>
          <w:bCs w:val="0"/>
          <w:szCs w:val="24"/>
        </w:rPr>
        <w:t xml:space="preserve"> c. </w:t>
      </w:r>
      <w:r w:rsidRPr="00107DF3">
        <w:rPr>
          <w:rStyle w:val="lev"/>
          <w:b w:val="0"/>
          <w:bCs w:val="0"/>
          <w:i/>
          <w:iCs/>
          <w:szCs w:val="24"/>
        </w:rPr>
        <w:t>Saint-Augustin (Municipalité de)</w:t>
      </w:r>
      <w:r>
        <w:rPr>
          <w:rStyle w:val="Appelnotedebasdep"/>
          <w:szCs w:val="24"/>
        </w:rPr>
        <w:footnoteReference w:id="355"/>
      </w:r>
      <w:r w:rsidR="00153EAA">
        <w:rPr>
          <w:rStyle w:val="lev"/>
          <w:b w:val="0"/>
          <w:bCs w:val="0"/>
          <w:szCs w:val="24"/>
        </w:rPr>
        <w:t>,</w:t>
      </w:r>
      <w:r w:rsidRPr="00107DF3">
        <w:rPr>
          <w:rStyle w:val="lev"/>
          <w:b w:val="0"/>
          <w:bCs w:val="0"/>
          <w:szCs w:val="24"/>
        </w:rPr>
        <w:t xml:space="preserve"> </w:t>
      </w:r>
      <w:r w:rsidRPr="00153EAA">
        <w:rPr>
          <w:szCs w:val="24"/>
        </w:rPr>
        <w:t>la Cour d’appel</w:t>
      </w:r>
      <w:r w:rsidRPr="00107DF3">
        <w:rPr>
          <w:szCs w:val="24"/>
        </w:rPr>
        <w:t xml:space="preserve"> cite à cet effet les auteurs Lluelles et Moore qui écrivent :</w:t>
      </w:r>
    </w:p>
    <w:p w14:paraId="4D305142" w14:textId="77777777" w:rsidR="004E40D3" w:rsidRPr="001A1A19" w:rsidRDefault="00730A01" w:rsidP="00A82953">
      <w:pPr>
        <w:pStyle w:val="Citationenretrait"/>
        <w:ind w:right="539"/>
        <w:rPr>
          <w:b/>
          <w:bCs/>
          <w:i/>
          <w:iCs/>
        </w:rPr>
      </w:pPr>
      <w:r w:rsidRPr="001A1A19">
        <w:rPr>
          <w:rStyle w:val="Accentuation"/>
        </w:rPr>
        <w:t>2966. La portée du devoir de minimisation. Cette obligation de modération des dommages n'est cependant pas absolue : assimilable à une simple obligation de moyens, le devoir de modérer les dommages ne peut imposer à la victime un fardeau hors de ses possibilités. Il ne faut, en effet, pas perdre de vue que le «</w:t>
      </w:r>
      <w:r>
        <w:rPr>
          <w:rStyle w:val="Accentuation"/>
          <w:i w:val="0"/>
          <w:iCs w:val="0"/>
        </w:rPr>
        <w:t> </w:t>
      </w:r>
      <w:r w:rsidRPr="001A1A19">
        <w:rPr>
          <w:rStyle w:val="Accentuation"/>
        </w:rPr>
        <w:t>débiteur</w:t>
      </w:r>
      <w:r>
        <w:rPr>
          <w:rStyle w:val="Accentuation"/>
          <w:i w:val="0"/>
          <w:iCs w:val="0"/>
        </w:rPr>
        <w:t> </w:t>
      </w:r>
      <w:r w:rsidRPr="001A1A19">
        <w:rPr>
          <w:rStyle w:val="Accentuation"/>
        </w:rPr>
        <w:t>» de ce devoir de modérer le préjudice est, d'abord et avant tout, un créancier victime du comportement fautif de son cocontractant.</w:t>
      </w:r>
    </w:p>
    <w:p w14:paraId="51AA4052" w14:textId="77777777" w:rsidR="00107DF3" w:rsidRPr="00107DF3" w:rsidRDefault="00730A01" w:rsidP="00BA1699">
      <w:pPr>
        <w:pStyle w:val="Paragraphe"/>
        <w:tabs>
          <w:tab w:val="clear" w:pos="786"/>
        </w:tabs>
        <w:spacing w:line="240" w:lineRule="auto"/>
        <w:ind w:left="0"/>
        <w:rPr>
          <w:rStyle w:val="Accentuation"/>
        </w:rPr>
      </w:pPr>
      <w:r w:rsidRPr="00107DF3">
        <w:rPr>
          <w:rStyle w:val="Accentuation"/>
          <w:rFonts w:cs="Arial"/>
          <w:i w:val="0"/>
          <w:iCs w:val="0"/>
        </w:rPr>
        <w:t>Il en découle que « le créancier doit agir comme une personne raisonnable et diligente placée dans la même situation que lui</w:t>
      </w:r>
      <w:r>
        <w:rPr>
          <w:rStyle w:val="Appelnotedebasdep"/>
          <w:rFonts w:cs="Arial"/>
          <w:i/>
          <w:iCs/>
        </w:rPr>
        <w:footnoteReference w:id="356"/>
      </w:r>
      <w:r w:rsidR="00291B1B">
        <w:rPr>
          <w:rStyle w:val="Accentuation"/>
          <w:rFonts w:cs="Arial"/>
          <w:i w:val="0"/>
          <w:iCs w:val="0"/>
        </w:rPr>
        <w:t> </w:t>
      </w:r>
      <w:r w:rsidRPr="00107DF3">
        <w:rPr>
          <w:rStyle w:val="Accentuation"/>
          <w:rFonts w:cs="Arial"/>
          <w:i w:val="0"/>
          <w:iCs w:val="0"/>
        </w:rPr>
        <w:t>», mais il n’a pas à prendre des</w:t>
      </w:r>
      <w:r w:rsidR="00BA1699">
        <w:rPr>
          <w:rStyle w:val="Accentuation"/>
        </w:rPr>
        <w:t xml:space="preserve"> </w:t>
      </w:r>
      <w:r w:rsidRPr="00BA1699">
        <w:rPr>
          <w:rStyle w:val="Accentuation"/>
          <w:rFonts w:cs="Arial"/>
          <w:i w:val="0"/>
          <w:iCs w:val="0"/>
        </w:rPr>
        <w:t>mesures extraordinaires ou coûteuses pour tenter de réduire le préjudice qu’il subit. L’obligation de minimiser les dommages ne saurait donc être interprétée comme imposant à la victime de supporter une partie de la faute commise par son cocontractant ou par le responsable en matière extracontractuelle</w:t>
      </w:r>
      <w:r>
        <w:rPr>
          <w:rStyle w:val="Appelnotedebasdep"/>
          <w:rFonts w:cs="Arial"/>
        </w:rPr>
        <w:footnoteReference w:id="357"/>
      </w:r>
      <w:r w:rsidR="00291B1B">
        <w:rPr>
          <w:rStyle w:val="Accentuation"/>
          <w:rFonts w:cs="Arial"/>
          <w:i w:val="0"/>
          <w:iCs w:val="0"/>
        </w:rPr>
        <w:t>.</w:t>
      </w:r>
    </w:p>
    <w:p w14:paraId="0B72607C" w14:textId="77777777" w:rsidR="00107DF3" w:rsidRDefault="00730A01" w:rsidP="0098012F">
      <w:pPr>
        <w:pStyle w:val="Paragraphe"/>
        <w:tabs>
          <w:tab w:val="clear" w:pos="786"/>
        </w:tabs>
        <w:spacing w:line="240" w:lineRule="auto"/>
        <w:ind w:left="0"/>
        <w:rPr>
          <w:rStyle w:val="Accentuation"/>
        </w:rPr>
      </w:pPr>
      <w:r w:rsidRPr="00107DF3">
        <w:rPr>
          <w:rStyle w:val="Accentuation"/>
          <w:rFonts w:cs="Arial"/>
          <w:i w:val="0"/>
          <w:iCs w:val="0"/>
        </w:rPr>
        <w:t>La jurisprudence et la doctrine rappellent donc que l’obligation de minimiser les dommages n’a pas pour effet de réduire artificiellement le droit de la victime à une réparation pleine et entière. Elle ne saurait être invoquée pour exonérer partiellement l’auteur de la faute de sa responsabilité ou pour imposer à la victime un sacrifice indu. En d’autres mots, ce devoir de modération ne saurait se transformer en une excuse permettant au responsable de s’affranchir, en tout ou en partie, de l’indemnisation qui lui incombe.</w:t>
      </w:r>
    </w:p>
    <w:p w14:paraId="3DEC2E98" w14:textId="77777777" w:rsidR="00107DF3" w:rsidRDefault="00730A01" w:rsidP="0098012F">
      <w:pPr>
        <w:pStyle w:val="Paragraphe"/>
        <w:tabs>
          <w:tab w:val="clear" w:pos="786"/>
        </w:tabs>
        <w:spacing w:line="240" w:lineRule="auto"/>
        <w:ind w:left="0"/>
        <w:rPr>
          <w:rStyle w:val="Accentuation"/>
        </w:rPr>
      </w:pPr>
      <w:r w:rsidRPr="00107DF3">
        <w:rPr>
          <w:rStyle w:val="Accentuation"/>
          <w:rFonts w:cs="Arial"/>
          <w:i w:val="0"/>
          <w:iCs w:val="0"/>
        </w:rPr>
        <w:t>En l’espèce, suivant la débâcle du Groupe Huot en février</w:t>
      </w:r>
      <w:r w:rsidR="00291B1B">
        <w:rPr>
          <w:rStyle w:val="Accentuation"/>
          <w:rFonts w:cs="Arial"/>
          <w:i w:val="0"/>
          <w:iCs w:val="0"/>
        </w:rPr>
        <w:t> </w:t>
      </w:r>
      <w:r w:rsidRPr="00107DF3">
        <w:rPr>
          <w:rStyle w:val="Accentuation"/>
          <w:rFonts w:cs="Arial"/>
          <w:i w:val="0"/>
          <w:iCs w:val="0"/>
        </w:rPr>
        <w:t>2023, le Tribunal retient de la preuve que les Demandeurs se sont mobilisés en urgence et, accompagnés par différents professionnels (Hickson Noonan, Langlois et Fasken), ont consacré des efforts colossaux afin d’exercer les recours disponibles et minimiser leurs pertes.</w:t>
      </w:r>
    </w:p>
    <w:p w14:paraId="28C443E1" w14:textId="77777777" w:rsidR="00107DF3" w:rsidRDefault="00730A01" w:rsidP="0098012F">
      <w:pPr>
        <w:pStyle w:val="Paragraphe"/>
        <w:tabs>
          <w:tab w:val="clear" w:pos="786"/>
        </w:tabs>
        <w:spacing w:line="240" w:lineRule="auto"/>
        <w:ind w:left="0"/>
        <w:rPr>
          <w:rStyle w:val="Accentuation"/>
        </w:rPr>
      </w:pPr>
      <w:r w:rsidRPr="00107DF3">
        <w:rPr>
          <w:rStyle w:val="Accentuation"/>
          <w:rFonts w:cs="Arial"/>
          <w:i w:val="0"/>
          <w:iCs w:val="0"/>
        </w:rPr>
        <w:t>Notons qu’en raison du stade peu avancé des différents projets et du peu d’équité disponible, il apparaît impensable que les Demandeurs reprennent les différents bâtiments afin de poursuivre la construction tout en injectant massivement de l’argent et en cautionnant des prêts, comme le suggèrent les Défendeurs.</w:t>
      </w:r>
    </w:p>
    <w:p w14:paraId="0C6CCD3B" w14:textId="77777777" w:rsidR="00107DF3" w:rsidRDefault="00730A01" w:rsidP="0098012F">
      <w:pPr>
        <w:pStyle w:val="Paragraphe"/>
        <w:tabs>
          <w:tab w:val="clear" w:pos="786"/>
        </w:tabs>
        <w:spacing w:line="240" w:lineRule="auto"/>
        <w:ind w:left="0"/>
        <w:rPr>
          <w:rStyle w:val="Accentuation"/>
        </w:rPr>
      </w:pPr>
      <w:r w:rsidRPr="00107DF3">
        <w:rPr>
          <w:rStyle w:val="Accentuation"/>
          <w:rFonts w:cs="Arial"/>
          <w:i w:val="0"/>
          <w:iCs w:val="0"/>
        </w:rPr>
        <w:t>Par exemple, dans le cas du projet Ariela, exiger une telle intervention reviendrait à imposer aux victimes de supporter elles-mêmes le fardeau des fautes commises par les Défendeurs, ce qui est contraire aux principes de la responsabilité civile.</w:t>
      </w:r>
    </w:p>
    <w:p w14:paraId="450A16A4" w14:textId="77777777" w:rsidR="00107DF3" w:rsidRDefault="00730A01" w:rsidP="0098012F">
      <w:pPr>
        <w:pStyle w:val="Paragraphe"/>
        <w:tabs>
          <w:tab w:val="clear" w:pos="786"/>
        </w:tabs>
        <w:spacing w:line="240" w:lineRule="auto"/>
        <w:ind w:left="0"/>
        <w:rPr>
          <w:rStyle w:val="Accentuation"/>
        </w:rPr>
      </w:pPr>
      <w:r w:rsidRPr="00107DF3">
        <w:rPr>
          <w:rStyle w:val="Accentuation"/>
          <w:rFonts w:cs="Arial"/>
          <w:i w:val="0"/>
          <w:iCs w:val="0"/>
        </w:rPr>
        <w:t>Parmi les nombreuses démarches entreprises par les nouveaux commandités suivant la débâcle du Groupe Huot,</w:t>
      </w:r>
      <w:r w:rsidRPr="00107DF3">
        <w:rPr>
          <w:rFonts w:cs="Arial"/>
        </w:rPr>
        <w:t xml:space="preserve"> il y a lieu de mentionner </w:t>
      </w:r>
      <w:r w:rsidRPr="00107DF3">
        <w:rPr>
          <w:rStyle w:val="Accentuation"/>
          <w:rFonts w:cs="Arial"/>
          <w:i w:val="0"/>
          <w:iCs w:val="0"/>
        </w:rPr>
        <w:t>la transaction Mach</w:t>
      </w:r>
      <w:r>
        <w:rPr>
          <w:rStyle w:val="Appelnotedebasdep"/>
          <w:rFonts w:cs="Arial"/>
        </w:rPr>
        <w:footnoteReference w:id="358"/>
      </w:r>
      <w:r w:rsidRPr="00107DF3">
        <w:rPr>
          <w:rStyle w:val="Accentuation"/>
          <w:rFonts w:cs="Arial"/>
          <w:i w:val="0"/>
          <w:iCs w:val="0"/>
        </w:rPr>
        <w:t xml:space="preserve"> qui consistait en l’acquisition des parcs connus sous les noms de Cité</w:t>
      </w:r>
      <w:r w:rsidR="00291B1B">
        <w:rPr>
          <w:rStyle w:val="Accentuation"/>
          <w:rFonts w:cs="Arial"/>
          <w:i w:val="0"/>
          <w:iCs w:val="0"/>
        </w:rPr>
        <w:t> </w:t>
      </w:r>
      <w:r w:rsidRPr="00107DF3">
        <w:rPr>
          <w:rStyle w:val="Accentuation"/>
          <w:rFonts w:cs="Arial"/>
          <w:i w:val="0"/>
          <w:iCs w:val="0"/>
        </w:rPr>
        <w:t>M, 7</w:t>
      </w:r>
      <w:r w:rsidR="00291B1B">
        <w:rPr>
          <w:rStyle w:val="Accentuation"/>
          <w:rFonts w:cs="Arial"/>
          <w:i w:val="0"/>
          <w:iCs w:val="0"/>
        </w:rPr>
        <w:t> </w:t>
      </w:r>
      <w:r w:rsidRPr="00107DF3">
        <w:rPr>
          <w:rStyle w:val="Accentuation"/>
          <w:rFonts w:cs="Arial"/>
          <w:i w:val="0"/>
          <w:iCs w:val="0"/>
        </w:rPr>
        <w:t>Éléments, Diplomates, Façades et Consolata par le Groupe Mach. Il importe de souligner que cette transaction a permis de payer entièrement le dû aux créanciers hypothécaires de premier et deuxième rang (incluant les intérêts, pour un total approximatif de 550 M$) et a, en plus, conféré une valeur à l’hypothèque détenue par FIISH.</w:t>
      </w:r>
    </w:p>
    <w:p w14:paraId="2F1372FC" w14:textId="77777777" w:rsidR="00107DF3" w:rsidRDefault="00730A01" w:rsidP="0098012F">
      <w:pPr>
        <w:pStyle w:val="Paragraphe"/>
        <w:tabs>
          <w:tab w:val="clear" w:pos="786"/>
        </w:tabs>
        <w:spacing w:line="240" w:lineRule="auto"/>
        <w:ind w:left="0"/>
        <w:rPr>
          <w:rStyle w:val="Accentuation"/>
        </w:rPr>
      </w:pPr>
      <w:r w:rsidRPr="00107DF3">
        <w:rPr>
          <w:rStyle w:val="Accentuation"/>
          <w:rFonts w:cs="Arial"/>
          <w:i w:val="0"/>
          <w:iCs w:val="0"/>
        </w:rPr>
        <w:t>L'offre de Mach, dont les premières négociations ont été initiées par les Défendeurs, s’est présentée comme étant la meilleure option et a par ailleurs été approuvée par le juge Émond</w:t>
      </w:r>
      <w:r w:rsidR="00883DBA">
        <w:rPr>
          <w:rStyle w:val="Accentuation"/>
          <w:rFonts w:cs="Arial"/>
          <w:i w:val="0"/>
          <w:iCs w:val="0"/>
        </w:rPr>
        <w:t xml:space="preserve"> dans le cadre du dossier de faillite du Groupe Huot</w:t>
      </w:r>
      <w:r w:rsidRPr="00107DF3">
        <w:rPr>
          <w:rStyle w:val="Accentuation"/>
          <w:rFonts w:cs="Arial"/>
          <w:i w:val="0"/>
          <w:iCs w:val="0"/>
        </w:rPr>
        <w:t>.</w:t>
      </w:r>
    </w:p>
    <w:p w14:paraId="182F0C7C" w14:textId="77777777" w:rsidR="00107DF3" w:rsidRDefault="00730A01" w:rsidP="0098012F">
      <w:pPr>
        <w:pStyle w:val="Paragraphe"/>
        <w:tabs>
          <w:tab w:val="clear" w:pos="786"/>
        </w:tabs>
        <w:spacing w:line="240" w:lineRule="auto"/>
        <w:ind w:left="0"/>
        <w:rPr>
          <w:rStyle w:val="Accentuation"/>
        </w:rPr>
      </w:pPr>
      <w:r w:rsidRPr="00700971">
        <w:rPr>
          <w:rStyle w:val="Accentuation"/>
          <w:rFonts w:cs="Arial"/>
          <w:i w:val="0"/>
          <w:iCs w:val="0"/>
        </w:rPr>
        <w:t>Le témoignage du représentant de Mach, M.</w:t>
      </w:r>
      <w:r w:rsidR="00291B1B">
        <w:rPr>
          <w:rStyle w:val="Accentuation"/>
          <w:rFonts w:cs="Arial"/>
          <w:i w:val="0"/>
          <w:iCs w:val="0"/>
        </w:rPr>
        <w:t> </w:t>
      </w:r>
      <w:r w:rsidRPr="00700971">
        <w:rPr>
          <w:rStyle w:val="Accentuation"/>
          <w:rFonts w:cs="Arial"/>
          <w:i w:val="0"/>
          <w:iCs w:val="0"/>
        </w:rPr>
        <w:t>Laurent Dionne-Legendre</w:t>
      </w:r>
      <w:r w:rsidR="00700971" w:rsidRPr="00700971">
        <w:rPr>
          <w:rStyle w:val="Accentuation"/>
          <w:rFonts w:cs="Arial"/>
          <w:i w:val="0"/>
          <w:iCs w:val="0"/>
        </w:rPr>
        <w:t>,</w:t>
      </w:r>
      <w:r w:rsidRPr="00700971">
        <w:rPr>
          <w:rStyle w:val="Accentuation"/>
          <w:rFonts w:cs="Arial"/>
          <w:i w:val="0"/>
          <w:iCs w:val="0"/>
        </w:rPr>
        <w:t xml:space="preserve"> est très éloquent à cet égard. Celui-ci a témoigné à l’effet que les Demandeurs ont fait preuve d’une agilité impressionnante afin de convenir de la transaction Mach, qui était leur seule perspective de penser pouvoir recouvrer quelconque somme pour FIISH dont la position de créancier de troisième rang valait 0 $.</w:t>
      </w:r>
      <w:r w:rsidR="00700971" w:rsidRPr="00700971">
        <w:rPr>
          <w:rStyle w:val="Accentuation"/>
          <w:rFonts w:cs="Arial"/>
          <w:i w:val="0"/>
          <w:iCs w:val="0"/>
        </w:rPr>
        <w:t xml:space="preserve"> Il explique que</w:t>
      </w:r>
      <w:r w:rsidRPr="00700971">
        <w:rPr>
          <w:rFonts w:cs="Arial"/>
        </w:rPr>
        <w:t xml:space="preserve"> </w:t>
      </w:r>
      <w:r w:rsidRPr="00700971">
        <w:rPr>
          <w:rStyle w:val="Accentuation"/>
          <w:rFonts w:cs="Arial"/>
          <w:i w:val="0"/>
          <w:iCs w:val="0"/>
        </w:rPr>
        <w:t>dans l’éventualité où les actifs étaient mis en vente par un syndic, la position des créanciers de troisième rang (FIISH) tombait à zéro dollar et ils seraient complètement nettoyés</w:t>
      </w:r>
      <w:r>
        <w:rPr>
          <w:rStyle w:val="Appelnotedebasdep"/>
          <w:rFonts w:cs="Arial"/>
        </w:rPr>
        <w:footnoteReference w:id="359"/>
      </w:r>
      <w:r w:rsidR="00291B1B">
        <w:rPr>
          <w:rStyle w:val="Accentuation"/>
          <w:rFonts w:cs="Arial"/>
          <w:i w:val="0"/>
          <w:iCs w:val="0"/>
        </w:rPr>
        <w:t>.</w:t>
      </w:r>
    </w:p>
    <w:p w14:paraId="5FFEA9D7" w14:textId="77777777" w:rsidR="00107DF3" w:rsidRDefault="00730A01" w:rsidP="0098012F">
      <w:pPr>
        <w:pStyle w:val="Paragraphe"/>
        <w:tabs>
          <w:tab w:val="clear" w:pos="786"/>
        </w:tabs>
        <w:spacing w:line="240" w:lineRule="auto"/>
        <w:ind w:left="0"/>
        <w:rPr>
          <w:rStyle w:val="Accentuation"/>
        </w:rPr>
      </w:pPr>
      <w:r w:rsidRPr="00107DF3">
        <w:rPr>
          <w:rStyle w:val="Accentuation"/>
          <w:rFonts w:cs="Arial"/>
          <w:i w:val="0"/>
          <w:iCs w:val="0"/>
        </w:rPr>
        <w:t>Le témoignage de Dionne-Legendre a a</w:t>
      </w:r>
      <w:r w:rsidR="00700971">
        <w:rPr>
          <w:rStyle w:val="Accentuation"/>
          <w:rFonts w:cs="Arial"/>
          <w:i w:val="0"/>
          <w:iCs w:val="0"/>
        </w:rPr>
        <w:t>in</w:t>
      </w:r>
      <w:r w:rsidRPr="00107DF3">
        <w:rPr>
          <w:rStyle w:val="Accentuation"/>
          <w:rFonts w:cs="Arial"/>
          <w:i w:val="0"/>
          <w:iCs w:val="0"/>
        </w:rPr>
        <w:t>si permis de comprendre que sans l’entente conclue avec Mach, FIISH n’aurait rien récupéré, alors que grâce à cette transaction, une valeur concrète a pu être attribuée à son hypothèque. En d’autres termes, l’opération Mach a transformé une créance de troisième rang sans valeur en une créance qui, bien que réduite, procurait un recouvrement réel aux Demandeurs</w:t>
      </w:r>
      <w:r>
        <w:rPr>
          <w:rStyle w:val="Appelnotedebasdep"/>
          <w:rFonts w:cs="Arial"/>
        </w:rPr>
        <w:footnoteReference w:id="360"/>
      </w:r>
      <w:r w:rsidR="00107936">
        <w:rPr>
          <w:rStyle w:val="Accentuation"/>
          <w:rFonts w:cs="Arial"/>
          <w:i w:val="0"/>
          <w:iCs w:val="0"/>
        </w:rPr>
        <w:t>.</w:t>
      </w:r>
    </w:p>
    <w:p w14:paraId="47C6912B" w14:textId="77777777" w:rsidR="00107DF3" w:rsidRDefault="00730A01" w:rsidP="0098012F">
      <w:pPr>
        <w:pStyle w:val="Paragraphe"/>
        <w:tabs>
          <w:tab w:val="clear" w:pos="786"/>
        </w:tabs>
        <w:spacing w:line="240" w:lineRule="auto"/>
        <w:ind w:left="0"/>
        <w:rPr>
          <w:i/>
          <w:iCs/>
        </w:rPr>
      </w:pPr>
      <w:r w:rsidRPr="00107DF3">
        <w:rPr>
          <w:rStyle w:val="Accentuation"/>
          <w:rFonts w:cs="Arial"/>
          <w:i w:val="0"/>
          <w:iCs w:val="0"/>
        </w:rPr>
        <w:t>M.</w:t>
      </w:r>
      <w:r w:rsidR="00107936">
        <w:rPr>
          <w:rStyle w:val="Accentuation"/>
          <w:rFonts w:cs="Arial"/>
          <w:i w:val="0"/>
          <w:iCs w:val="0"/>
        </w:rPr>
        <w:t> </w:t>
      </w:r>
      <w:r w:rsidRPr="00107DF3">
        <w:rPr>
          <w:rStyle w:val="Accentuation"/>
          <w:rFonts w:cs="Arial"/>
          <w:i w:val="0"/>
          <w:iCs w:val="0"/>
        </w:rPr>
        <w:t>Simard confirme également que, sans la transaction Mach, Rescue, FIISH et</w:t>
      </w:r>
      <w:r w:rsidR="00883DBA">
        <w:rPr>
          <w:rStyle w:val="Accentuation"/>
          <w:rFonts w:cs="Arial"/>
          <w:i w:val="0"/>
          <w:iCs w:val="0"/>
        </w:rPr>
        <w:t xml:space="preserve"> 8096 </w:t>
      </w:r>
      <w:r w:rsidRPr="00883DBA">
        <w:rPr>
          <w:rStyle w:val="Accentuation"/>
          <w:rFonts w:cs="Arial"/>
          <w:i w:val="0"/>
          <w:iCs w:val="0"/>
        </w:rPr>
        <w:t>«</w:t>
      </w:r>
      <w:r w:rsidR="00107936">
        <w:rPr>
          <w:rStyle w:val="Accentuation"/>
          <w:rFonts w:cs="Arial"/>
          <w:i w:val="0"/>
          <w:iCs w:val="0"/>
        </w:rPr>
        <w:t> </w:t>
      </w:r>
      <w:r w:rsidRPr="00107DF3">
        <w:rPr>
          <w:rStyle w:val="Accentuation"/>
          <w:rFonts w:cs="Arial"/>
          <w:i w:val="0"/>
          <w:iCs w:val="0"/>
        </w:rPr>
        <w:t>étaient morts</w:t>
      </w:r>
      <w:r w:rsidR="00107936">
        <w:rPr>
          <w:rStyle w:val="Accentuation"/>
          <w:rFonts w:cs="Arial"/>
          <w:i w:val="0"/>
          <w:iCs w:val="0"/>
        </w:rPr>
        <w:t> </w:t>
      </w:r>
      <w:r w:rsidRPr="00107DF3">
        <w:rPr>
          <w:rStyle w:val="Accentuation"/>
          <w:rFonts w:cs="Arial"/>
          <w:i w:val="0"/>
          <w:iCs w:val="0"/>
        </w:rPr>
        <w:t>», ils n’auraient absolument rien reçu</w:t>
      </w:r>
      <w:r>
        <w:rPr>
          <w:rStyle w:val="Appelnotedebasdep"/>
          <w:rFonts w:cs="Arial"/>
        </w:rPr>
        <w:footnoteReference w:id="361"/>
      </w:r>
      <w:r w:rsidR="00107936">
        <w:rPr>
          <w:rStyle w:val="Accentuation"/>
          <w:rFonts w:cs="Arial"/>
          <w:i w:val="0"/>
          <w:iCs w:val="0"/>
        </w:rPr>
        <w:t>.</w:t>
      </w:r>
    </w:p>
    <w:p w14:paraId="27BC0653" w14:textId="77777777" w:rsidR="00107DF3" w:rsidRDefault="00730A01" w:rsidP="0098012F">
      <w:pPr>
        <w:pStyle w:val="Paragraphe"/>
        <w:tabs>
          <w:tab w:val="clear" w:pos="786"/>
        </w:tabs>
        <w:spacing w:line="240" w:lineRule="auto"/>
        <w:ind w:left="0"/>
        <w:rPr>
          <w:rStyle w:val="Accentuation"/>
        </w:rPr>
      </w:pPr>
      <w:r w:rsidRPr="00107DF3">
        <w:rPr>
          <w:rFonts w:cs="Arial"/>
        </w:rPr>
        <w:t xml:space="preserve">La conclusion de la transaction Mach a toutefois nécessité l’accord de </w:t>
      </w:r>
      <w:r w:rsidRPr="00107DF3">
        <w:rPr>
          <w:rFonts w:cs="Arial"/>
          <w:i/>
          <w:iCs/>
        </w:rPr>
        <w:t xml:space="preserve">Rescue </w:t>
      </w:r>
      <w:r w:rsidRPr="00107DF3">
        <w:rPr>
          <w:rStyle w:val="Accentuation"/>
          <w:rFonts w:cs="Arial"/>
          <w:i w:val="0"/>
          <w:iCs w:val="0"/>
        </w:rPr>
        <w:t>(envers laquelle plusieurs créanciers, dont Q-12 et FIISH, avaient accepté de céder leur priorité de rang en considération du fait qu’elles ne contribueraient pas au financement d’urgence) de même que la conclusion de transactions entre les acteurs impliqués afin de régler divers garanties et cautionnements.</w:t>
      </w:r>
    </w:p>
    <w:p w14:paraId="734B609C" w14:textId="77777777" w:rsidR="00107DF3" w:rsidRDefault="00730A01" w:rsidP="0098012F">
      <w:pPr>
        <w:pStyle w:val="Paragraphe"/>
        <w:tabs>
          <w:tab w:val="clear" w:pos="786"/>
        </w:tabs>
        <w:spacing w:line="240" w:lineRule="auto"/>
        <w:ind w:left="0"/>
        <w:rPr>
          <w:rStyle w:val="Accentuation"/>
        </w:rPr>
      </w:pPr>
      <w:r w:rsidRPr="00107DF3">
        <w:rPr>
          <w:rStyle w:val="Accentuation"/>
          <w:rFonts w:cs="Arial"/>
          <w:i w:val="0"/>
          <w:iCs w:val="0"/>
        </w:rPr>
        <w:t>La présentation du témoin Alain-Jacques Simard (agissant à titre de r</w:t>
      </w:r>
      <w:r w:rsidRPr="00107DF3">
        <w:rPr>
          <w:rFonts w:cs="Arial"/>
        </w:rPr>
        <w:t>eprésentant des sociétés en commandite et des commanditaires)</w:t>
      </w:r>
      <w:r>
        <w:rPr>
          <w:rStyle w:val="Appelnotedebasdep"/>
          <w:rFonts w:cs="Arial"/>
        </w:rPr>
        <w:footnoteReference w:id="362"/>
      </w:r>
      <w:r w:rsidRPr="00107DF3">
        <w:rPr>
          <w:rStyle w:val="Accentuation"/>
          <w:rFonts w:cs="Arial"/>
          <w:i w:val="0"/>
          <w:iCs w:val="0"/>
        </w:rPr>
        <w:t xml:space="preserve"> explique par ailleurs les tenants et aboutissants de la transaction Rescue, laquelle a au surplus permis de faire revivre une créance de</w:t>
      </w:r>
      <w:r w:rsidR="00107936">
        <w:rPr>
          <w:rStyle w:val="Accentuation"/>
          <w:rFonts w:cs="Arial"/>
          <w:i w:val="0"/>
          <w:iCs w:val="0"/>
        </w:rPr>
        <w:t> </w:t>
      </w:r>
      <w:r w:rsidRPr="00107DF3">
        <w:rPr>
          <w:rStyle w:val="Accentuation"/>
          <w:rFonts w:cs="Arial"/>
          <w:i w:val="0"/>
          <w:iCs w:val="0"/>
        </w:rPr>
        <w:t>12,3 M$ pour Q-12 qui valait autrement 0 $</w:t>
      </w:r>
      <w:r>
        <w:rPr>
          <w:rStyle w:val="Appelnotedebasdep"/>
          <w:rFonts w:cs="Arial"/>
        </w:rPr>
        <w:footnoteReference w:id="363"/>
      </w:r>
      <w:r w:rsidR="00107936">
        <w:rPr>
          <w:rStyle w:val="Accentuation"/>
          <w:rFonts w:cs="Arial"/>
          <w:i w:val="0"/>
          <w:iCs w:val="0"/>
        </w:rPr>
        <w:t>.</w:t>
      </w:r>
    </w:p>
    <w:p w14:paraId="2DC6454C" w14:textId="77777777" w:rsidR="00107DF3" w:rsidRDefault="00730A01" w:rsidP="0098012F">
      <w:pPr>
        <w:pStyle w:val="Paragraphe"/>
        <w:tabs>
          <w:tab w:val="clear" w:pos="786"/>
        </w:tabs>
        <w:spacing w:line="240" w:lineRule="auto"/>
        <w:ind w:left="0"/>
        <w:rPr>
          <w:rStyle w:val="Accentuation"/>
        </w:rPr>
      </w:pPr>
      <w:r w:rsidRPr="00107DF3">
        <w:rPr>
          <w:rStyle w:val="lev"/>
          <w:rFonts w:cs="Arial"/>
          <w:b w:val="0"/>
          <w:bCs w:val="0"/>
        </w:rPr>
        <w:t>Le Tribunal rejette les prétentions des</w:t>
      </w:r>
      <w:r w:rsidRPr="00107DF3">
        <w:rPr>
          <w:rStyle w:val="Accentuation"/>
          <w:rFonts w:cs="Arial"/>
          <w:i w:val="0"/>
          <w:iCs w:val="0"/>
        </w:rPr>
        <w:t xml:space="preserve"> Défendeurs qui tentent de présenter les ententes globales intervenues en parallèle afin de régler Rescue</w:t>
      </w:r>
      <w:r>
        <w:rPr>
          <w:rStyle w:val="Appelnotedebasdep"/>
          <w:rFonts w:cs="Arial"/>
        </w:rPr>
        <w:footnoteReference w:id="364"/>
      </w:r>
      <w:r w:rsidRPr="00107DF3">
        <w:rPr>
          <w:rStyle w:val="Accentuation"/>
          <w:rFonts w:cs="Arial"/>
          <w:i w:val="0"/>
          <w:iCs w:val="0"/>
        </w:rPr>
        <w:t>, et permettant de concrétiser la transaction Mach, comme des règlements à rabais</w:t>
      </w:r>
      <w:r>
        <w:rPr>
          <w:rStyle w:val="Appelnotedebasdep"/>
          <w:rFonts w:cs="Arial"/>
        </w:rPr>
        <w:footnoteReference w:id="365"/>
      </w:r>
      <w:r w:rsidR="00D57362">
        <w:rPr>
          <w:rStyle w:val="Accentuation"/>
          <w:rFonts w:cs="Arial"/>
          <w:i w:val="0"/>
          <w:iCs w:val="0"/>
        </w:rPr>
        <w:t>.</w:t>
      </w:r>
      <w:r w:rsidRPr="00107DF3">
        <w:rPr>
          <w:rStyle w:val="Accentuation"/>
          <w:rFonts w:cs="Arial"/>
          <w:i w:val="0"/>
          <w:iCs w:val="0"/>
        </w:rPr>
        <w:t xml:space="preserve"> La preuve offerte ne soutient pas ces prétentions.</w:t>
      </w:r>
    </w:p>
    <w:p w14:paraId="2A5D3B91" w14:textId="77777777" w:rsidR="00107DF3" w:rsidRDefault="00730A01" w:rsidP="0098012F">
      <w:pPr>
        <w:pStyle w:val="Paragraphe"/>
        <w:tabs>
          <w:tab w:val="clear" w:pos="786"/>
        </w:tabs>
        <w:spacing w:line="240" w:lineRule="auto"/>
        <w:ind w:left="0"/>
        <w:rPr>
          <w:rStyle w:val="Accentuation"/>
        </w:rPr>
      </w:pPr>
      <w:r w:rsidRPr="00107DF3">
        <w:rPr>
          <w:rStyle w:val="lev"/>
          <w:rFonts w:cs="Arial"/>
          <w:b w:val="0"/>
          <w:bCs w:val="0"/>
        </w:rPr>
        <w:t xml:space="preserve">D’ailleurs, certains témoignages, comme celui de Cadrin, </w:t>
      </w:r>
      <w:r w:rsidRPr="00107DF3">
        <w:rPr>
          <w:rStyle w:val="Accentuation"/>
          <w:rFonts w:cs="Arial"/>
          <w:i w:val="0"/>
          <w:iCs w:val="0"/>
        </w:rPr>
        <w:t>confirme au surplus que l’entente conclue représentait un bon « deal » d’affaires pour les nouveaux commandités de Q-12 et de FIISH, puisqu’elle leur permettait de sauver une partie substantielle de leurs investissements alors que, sans cette entente, tout aurait été perdu</w:t>
      </w:r>
      <w:r>
        <w:rPr>
          <w:rStyle w:val="Appelnotedebasdep"/>
          <w:rFonts w:cs="Arial"/>
        </w:rPr>
        <w:footnoteReference w:id="366"/>
      </w:r>
      <w:r w:rsidR="00107936">
        <w:rPr>
          <w:rStyle w:val="Accentuation"/>
          <w:rFonts w:cs="Arial"/>
          <w:i w:val="0"/>
          <w:iCs w:val="0"/>
        </w:rPr>
        <w:t>.</w:t>
      </w:r>
    </w:p>
    <w:p w14:paraId="55C3040A" w14:textId="77777777" w:rsidR="00107DF3" w:rsidRDefault="00730A01" w:rsidP="00BA1699">
      <w:pPr>
        <w:pStyle w:val="Paragraphe"/>
        <w:tabs>
          <w:tab w:val="clear" w:pos="786"/>
        </w:tabs>
        <w:spacing w:line="240" w:lineRule="auto"/>
        <w:ind w:left="0"/>
        <w:rPr>
          <w:rStyle w:val="Accentuation"/>
        </w:rPr>
      </w:pPr>
      <w:r w:rsidRPr="00107DF3">
        <w:rPr>
          <w:rFonts w:cs="Arial"/>
        </w:rPr>
        <w:t xml:space="preserve">Parmi </w:t>
      </w:r>
      <w:r w:rsidRPr="00107DF3">
        <w:rPr>
          <w:rStyle w:val="Accentuation"/>
          <w:rFonts w:cs="Arial"/>
          <w:i w:val="0"/>
          <w:iCs w:val="0"/>
        </w:rPr>
        <w:t>les moyens pris par les Demandeurs pour minimiser les dommages, il y a aussi lieu de citer la transaction Arrow, au terme de laquelle les Demandeurs ont été en mesure de dégager un montant de 350 000 $</w:t>
      </w:r>
      <w:r>
        <w:rPr>
          <w:rStyle w:val="Appelnotedebasdep"/>
          <w:rFonts w:cs="Arial"/>
        </w:rPr>
        <w:footnoteReference w:id="367"/>
      </w:r>
      <w:r w:rsidRPr="00107DF3">
        <w:rPr>
          <w:rStyle w:val="Accentuation"/>
          <w:rFonts w:cs="Arial"/>
          <w:i w:val="0"/>
          <w:iCs w:val="0"/>
        </w:rPr>
        <w:t xml:space="preserve"> alors que les meubles en garantie</w:t>
      </w:r>
      <w:r w:rsidRPr="00BA1699">
        <w:rPr>
          <w:rStyle w:val="Accentuation"/>
          <w:rFonts w:cs="Arial"/>
          <w:i w:val="0"/>
          <w:iCs w:val="0"/>
        </w:rPr>
        <w:t xml:space="preserve"> n’appartenaient même pas à l’emprunteur, mais plutôt à Millénum, et que la valeur de ceux-ci était estimée par </w:t>
      </w:r>
      <w:r w:rsidR="00112406" w:rsidRPr="00BA1699">
        <w:rPr>
          <w:rStyle w:val="Accentuation"/>
          <w:rFonts w:cs="Arial"/>
          <w:i w:val="0"/>
          <w:iCs w:val="0"/>
        </w:rPr>
        <w:t xml:space="preserve">Groupe </w:t>
      </w:r>
      <w:r w:rsidRPr="00BA1699">
        <w:rPr>
          <w:rStyle w:val="lev"/>
          <w:rFonts w:cs="Arial"/>
          <w:b w:val="0"/>
          <w:bCs w:val="0"/>
        </w:rPr>
        <w:t>SIS</w:t>
      </w:r>
      <w:r w:rsidRPr="00BA1699">
        <w:rPr>
          <w:rFonts w:cs="Arial"/>
        </w:rPr>
        <w:t xml:space="preserve">, un </w:t>
      </w:r>
      <w:r w:rsidRPr="00BA1699">
        <w:rPr>
          <w:rStyle w:val="lev"/>
          <w:rFonts w:cs="Arial"/>
          <w:b w:val="0"/>
          <w:bCs w:val="0"/>
        </w:rPr>
        <w:t>évaluateur indépendant</w:t>
      </w:r>
      <w:r w:rsidRPr="00BA1699">
        <w:rPr>
          <w:rFonts w:cs="Arial"/>
        </w:rPr>
        <w:t xml:space="preserve"> intervenu dans le cadre de la réalisation de garanties, </w:t>
      </w:r>
      <w:r w:rsidRPr="00BA1699">
        <w:rPr>
          <w:rStyle w:val="Accentuation"/>
          <w:rFonts w:cs="Arial"/>
          <w:i w:val="0"/>
          <w:iCs w:val="0"/>
        </w:rPr>
        <w:t>à un montant entre 20 000 $ et 50 000 $, avant les frais reliés à la réalisation de cette transaction</w:t>
      </w:r>
      <w:r>
        <w:rPr>
          <w:rStyle w:val="Appelnotedebasdep"/>
          <w:rFonts w:cs="Arial"/>
        </w:rPr>
        <w:footnoteReference w:id="368"/>
      </w:r>
      <w:r w:rsidRPr="00BA1699">
        <w:rPr>
          <w:rStyle w:val="Accentuation"/>
          <w:rFonts w:cs="Arial"/>
          <w:i w:val="0"/>
          <w:iCs w:val="0"/>
        </w:rPr>
        <w:t>.</w:t>
      </w:r>
    </w:p>
    <w:p w14:paraId="357ECFB8" w14:textId="77777777" w:rsidR="00107DF3" w:rsidRDefault="00730A01" w:rsidP="0098012F">
      <w:pPr>
        <w:pStyle w:val="Paragraphe"/>
        <w:tabs>
          <w:tab w:val="clear" w:pos="786"/>
        </w:tabs>
        <w:spacing w:line="240" w:lineRule="auto"/>
        <w:ind w:left="0"/>
        <w:rPr>
          <w:rStyle w:val="Accentuation"/>
        </w:rPr>
      </w:pPr>
      <w:r w:rsidRPr="00107DF3">
        <w:rPr>
          <w:rStyle w:val="Accentuation"/>
          <w:rFonts w:cs="Arial"/>
          <w:i w:val="0"/>
          <w:iCs w:val="0"/>
        </w:rPr>
        <w:t>Par ailleurs, les Défendeurs reprochent aussi aux Demandeurs d’avoir négligé d’exercer leurs recours contre Huot et ses sociétés</w:t>
      </w:r>
      <w:r>
        <w:rPr>
          <w:rStyle w:val="Appelnotedebasdep"/>
          <w:rFonts w:cs="Arial"/>
        </w:rPr>
        <w:footnoteReference w:id="369"/>
      </w:r>
      <w:r w:rsidRPr="00107DF3">
        <w:rPr>
          <w:rStyle w:val="Accentuation"/>
          <w:rFonts w:cs="Arial"/>
          <w:i w:val="0"/>
          <w:iCs w:val="0"/>
        </w:rPr>
        <w:t>. Cet argument ne peut être retenu notamment compte tenu de la faillite de ces derniers</w:t>
      </w:r>
      <w:r>
        <w:rPr>
          <w:rStyle w:val="Appelnotedebasdep"/>
          <w:rFonts w:cs="Arial"/>
        </w:rPr>
        <w:footnoteReference w:id="370"/>
      </w:r>
      <w:r w:rsidR="00107936">
        <w:rPr>
          <w:rStyle w:val="Accentuation"/>
          <w:rFonts w:cs="Arial"/>
          <w:i w:val="0"/>
          <w:iCs w:val="0"/>
        </w:rPr>
        <w:t>.</w:t>
      </w:r>
    </w:p>
    <w:p w14:paraId="5CF3A8BF" w14:textId="77777777" w:rsidR="004E40D3" w:rsidRPr="00153EAA" w:rsidRDefault="00730A01" w:rsidP="001D3ECB">
      <w:pPr>
        <w:pStyle w:val="Paragraphe"/>
        <w:tabs>
          <w:tab w:val="clear" w:pos="786"/>
        </w:tabs>
        <w:spacing w:after="0" w:line="240" w:lineRule="auto"/>
        <w:ind w:left="0"/>
        <w:rPr>
          <w:i/>
          <w:iCs/>
        </w:rPr>
      </w:pPr>
      <w:r w:rsidRPr="00107DF3">
        <w:rPr>
          <w:rStyle w:val="Accentuation"/>
          <w:rFonts w:cs="Arial"/>
          <w:i w:val="0"/>
          <w:iCs w:val="0"/>
        </w:rPr>
        <w:t xml:space="preserve">Dans les circonstances, la preuve offerte ne permet pas de conclure que les Demandeurs auraient </w:t>
      </w:r>
      <w:r w:rsidRPr="00107DF3">
        <w:rPr>
          <w:rFonts w:cs="Arial"/>
        </w:rPr>
        <w:t>omis de prendre les mesures nécessaires pour limiter leurs pertes comme le prétendent les Défendeurs.</w:t>
      </w:r>
      <w:r w:rsidRPr="00107DF3">
        <w:rPr>
          <w:rFonts w:cs="Arial"/>
          <w:i/>
          <w:iCs/>
        </w:rPr>
        <w:t xml:space="preserve"> </w:t>
      </w:r>
    </w:p>
    <w:p w14:paraId="0A9D9E9A" w14:textId="77777777" w:rsidR="00153EAA" w:rsidRPr="00112406" w:rsidRDefault="00730A01" w:rsidP="001D3ECB">
      <w:pPr>
        <w:pStyle w:val="Paragraphe"/>
        <w:numPr>
          <w:ilvl w:val="0"/>
          <w:numId w:val="0"/>
        </w:numPr>
        <w:tabs>
          <w:tab w:val="left" w:pos="3686"/>
        </w:tabs>
        <w:spacing w:line="240" w:lineRule="auto"/>
        <w:ind w:left="720"/>
        <w:rPr>
          <w:rFonts w:cs="Arial"/>
        </w:rPr>
      </w:pPr>
      <w:r>
        <w:rPr>
          <w:rFonts w:cs="Arial"/>
        </w:rPr>
        <w:tab/>
      </w:r>
      <w:r w:rsidRPr="00112406">
        <w:rPr>
          <w:rFonts w:cs="Arial"/>
        </w:rPr>
        <w:t>*</w:t>
      </w:r>
      <w:r w:rsidR="001D13E0" w:rsidRPr="00112406">
        <w:rPr>
          <w:rFonts w:cs="Arial"/>
        </w:rPr>
        <w:t xml:space="preserve"> *</w:t>
      </w:r>
      <w:r>
        <w:rPr>
          <w:rFonts w:cs="Arial"/>
        </w:rPr>
        <w:t xml:space="preserve"> *</w:t>
      </w:r>
    </w:p>
    <w:p w14:paraId="5BDA2D0C" w14:textId="77777777" w:rsidR="00153EAA" w:rsidRDefault="00730A01" w:rsidP="0098012F">
      <w:pPr>
        <w:rPr>
          <w:rFonts w:cs="Arial"/>
          <w:kern w:val="28"/>
        </w:rPr>
      </w:pPr>
      <w:r>
        <w:rPr>
          <w:rFonts w:cs="Arial"/>
        </w:rPr>
        <w:br w:type="page"/>
      </w:r>
    </w:p>
    <w:p w14:paraId="5BFEFA8D" w14:textId="77777777" w:rsidR="00153EAA" w:rsidRPr="00464963" w:rsidRDefault="00730A01" w:rsidP="00443B59">
      <w:pPr>
        <w:pStyle w:val="Titre2"/>
        <w:numPr>
          <w:ilvl w:val="0"/>
          <w:numId w:val="95"/>
        </w:numPr>
        <w:ind w:left="567" w:hanging="567"/>
        <w:rPr>
          <w:b w:val="0"/>
          <w:bCs/>
          <w:iCs/>
          <w:smallCaps/>
          <w:szCs w:val="24"/>
        </w:rPr>
      </w:pPr>
      <w:r w:rsidRPr="00464963">
        <w:rPr>
          <w:iCs/>
          <w:smallCaps/>
          <w:szCs w:val="24"/>
        </w:rPr>
        <w:t>L’admissibilité des intérêts réclamés au taux de 12 %</w:t>
      </w:r>
    </w:p>
    <w:p w14:paraId="5FDEE137" w14:textId="77777777" w:rsidR="00153EAA" w:rsidRDefault="00730A01" w:rsidP="0098012F">
      <w:pPr>
        <w:pStyle w:val="Paragraphe"/>
        <w:tabs>
          <w:tab w:val="clear" w:pos="786"/>
        </w:tabs>
        <w:spacing w:line="240" w:lineRule="auto"/>
        <w:ind w:left="0"/>
      </w:pPr>
      <w:r>
        <w:t>La documentation et les témoignages</w:t>
      </w:r>
      <w:r>
        <w:rPr>
          <w:rStyle w:val="Appelnotedebasdep"/>
        </w:rPr>
        <w:footnoteReference w:id="371"/>
      </w:r>
      <w:r>
        <w:t xml:space="preserve"> confirment sans équivoque que le taux de </w:t>
      </w:r>
      <w:r w:rsidRPr="00B47A45">
        <w:rPr>
          <w:rStyle w:val="lev"/>
          <w:b w:val="0"/>
          <w:bCs w:val="0"/>
        </w:rPr>
        <w:t>12 %</w:t>
      </w:r>
      <w:r>
        <w:t xml:space="preserve"> représente le rendement contractuellement prévu et effectivement appliqué aux commanditaires.</w:t>
      </w:r>
    </w:p>
    <w:p w14:paraId="0472EDB3" w14:textId="77777777" w:rsidR="00153EAA" w:rsidRDefault="00730A01" w:rsidP="0098012F">
      <w:pPr>
        <w:pStyle w:val="Paragraphe"/>
        <w:tabs>
          <w:tab w:val="clear" w:pos="786"/>
        </w:tabs>
        <w:spacing w:line="240" w:lineRule="auto"/>
        <w:ind w:left="0"/>
      </w:pPr>
      <w:r>
        <w:t>En effet, ce taux de 12 % l’an découle directement des conventions et pratiques mises en place par les Défendeurs dans le cadre des investissements FIISH et Q-12 comme en témoigne d’ailleurs M.</w:t>
      </w:r>
      <w:r w:rsidR="00107936">
        <w:t> </w:t>
      </w:r>
      <w:r>
        <w:t>Alain-Jacques Simard :</w:t>
      </w:r>
      <w:r w:rsidRPr="000335A5">
        <w:t xml:space="preserve"> </w:t>
      </w:r>
      <w:r>
        <w:t>«</w:t>
      </w:r>
      <w:r w:rsidR="00107936">
        <w:t> </w:t>
      </w:r>
      <w:r w:rsidRPr="00C761D0">
        <w:rPr>
          <w:i/>
          <w:iCs/>
        </w:rPr>
        <w:t>Le taux d’intérêt convenu depuis le début était bien de 12 % et que tout le monde était en accord, incluant M. Giroux</w:t>
      </w:r>
      <w:r>
        <w:rPr>
          <w:rStyle w:val="Appelnotedebasdep"/>
        </w:rPr>
        <w:footnoteReference w:id="372"/>
      </w:r>
      <w:r>
        <w:t> »</w:t>
      </w:r>
      <w:r w:rsidR="00107936">
        <w:t>.</w:t>
      </w:r>
    </w:p>
    <w:p w14:paraId="4815A306" w14:textId="77777777" w:rsidR="00153EAA" w:rsidRPr="004E40D3" w:rsidRDefault="00730A01" w:rsidP="001D3ECB">
      <w:pPr>
        <w:pStyle w:val="Paragraphe"/>
        <w:tabs>
          <w:tab w:val="clear" w:pos="786"/>
        </w:tabs>
        <w:spacing w:after="0" w:line="240" w:lineRule="auto"/>
        <w:ind w:left="0"/>
      </w:pPr>
      <w:r w:rsidRPr="004E40D3">
        <w:rPr>
          <w:szCs w:val="24"/>
        </w:rPr>
        <w:t xml:space="preserve">Le Tribunal considère ainsi que les Demandeurs sont fondés de réclamer </w:t>
      </w:r>
      <w:r>
        <w:rPr>
          <w:szCs w:val="24"/>
        </w:rPr>
        <w:t>ce</w:t>
      </w:r>
      <w:r w:rsidRPr="004E40D3">
        <w:rPr>
          <w:szCs w:val="24"/>
        </w:rPr>
        <w:t xml:space="preserve"> taux d’intérêts dans le cadre de leurs recours, tant pour compenser les pertes que pour refléter la nature des obligations que les Défendeurs avaient eux-mêmes mises en place.</w:t>
      </w:r>
    </w:p>
    <w:p w14:paraId="011C0376" w14:textId="77777777" w:rsidR="00153EAA" w:rsidRPr="00112406" w:rsidRDefault="00730A01" w:rsidP="001D3ECB">
      <w:pPr>
        <w:pStyle w:val="Paragraphe"/>
        <w:numPr>
          <w:ilvl w:val="0"/>
          <w:numId w:val="0"/>
        </w:numPr>
        <w:tabs>
          <w:tab w:val="left" w:pos="3686"/>
        </w:tabs>
        <w:ind w:left="720"/>
      </w:pPr>
      <w:r>
        <w:rPr>
          <w:b/>
          <w:bCs/>
        </w:rPr>
        <w:tab/>
      </w:r>
      <w:r w:rsidRPr="00112406">
        <w:t>* * *</w:t>
      </w:r>
    </w:p>
    <w:p w14:paraId="2ABD7706" w14:textId="77777777" w:rsidR="00153EAA" w:rsidRDefault="00730A01" w:rsidP="0098012F">
      <w:pPr>
        <w:pStyle w:val="Paragraphe"/>
      </w:pPr>
      <w:r>
        <w:br w:type="page"/>
      </w:r>
    </w:p>
    <w:p w14:paraId="418BDAA7" w14:textId="77777777" w:rsidR="00DD77E0" w:rsidRPr="00464963" w:rsidRDefault="00730A01" w:rsidP="00443B59">
      <w:pPr>
        <w:pStyle w:val="Titre2"/>
        <w:numPr>
          <w:ilvl w:val="0"/>
          <w:numId w:val="95"/>
        </w:numPr>
        <w:ind w:left="567" w:hanging="567"/>
        <w:rPr>
          <w:iCs/>
          <w:smallCaps/>
          <w:szCs w:val="28"/>
        </w:rPr>
      </w:pPr>
      <w:r w:rsidRPr="00464963">
        <w:rPr>
          <w:iCs/>
          <w:smallCaps/>
          <w:szCs w:val="28"/>
        </w:rPr>
        <w:t>Le rejet de la demande reconventionnelle</w:t>
      </w:r>
    </w:p>
    <w:p w14:paraId="2D5003DC" w14:textId="77777777" w:rsidR="00FF5A45" w:rsidRPr="006A237D" w:rsidRDefault="00730A01" w:rsidP="0098012F">
      <w:pPr>
        <w:pStyle w:val="Paragraphe"/>
        <w:tabs>
          <w:tab w:val="clear" w:pos="786"/>
        </w:tabs>
        <w:spacing w:line="240" w:lineRule="auto"/>
        <w:ind w:left="0"/>
        <w:rPr>
          <w:lang w:eastAsia="fr-CA"/>
        </w:rPr>
      </w:pPr>
      <w:r w:rsidRPr="006A237D">
        <w:rPr>
          <w:lang w:eastAsia="fr-CA"/>
        </w:rPr>
        <w:t>Se portant Demandeurs reconventionnels, les Défendeurs soutiennent qu’</w:t>
      </w:r>
      <w:r w:rsidR="00BE2122" w:rsidRPr="006A237D">
        <w:rPr>
          <w:lang w:eastAsia="fr-CA"/>
        </w:rPr>
        <w:t>il</w:t>
      </w:r>
      <w:r w:rsidRPr="006A237D">
        <w:rPr>
          <w:lang w:eastAsia="fr-CA"/>
        </w:rPr>
        <w:t>s auraient été diffamés ou lésés par certaines déclarations publiques ou procédures initiées par les Demandeurs. Cette prétention fût largement déconstruite par la preuve offerte. Voici ce qu’il en est :</w:t>
      </w:r>
    </w:p>
    <w:p w14:paraId="71B0E024" w14:textId="77777777" w:rsidR="00FF5A45" w:rsidRPr="006A237D" w:rsidRDefault="00730A01" w:rsidP="0098012F">
      <w:pPr>
        <w:pStyle w:val="Paragraphe"/>
        <w:tabs>
          <w:tab w:val="clear" w:pos="786"/>
        </w:tabs>
        <w:spacing w:line="240" w:lineRule="auto"/>
        <w:ind w:left="0"/>
        <w:rPr>
          <w:lang w:eastAsia="fr-CA"/>
        </w:rPr>
      </w:pPr>
      <w:r w:rsidRPr="006A237D">
        <w:rPr>
          <w:lang w:eastAsia="fr-CA"/>
        </w:rPr>
        <w:t>Tout d’abord, il y a lieu de mentionner que les Demandeurs nient catégoriquement avoir posé un quelconque geste fautif ou diffamatoire. Selon eux, toutes les démarches entreprises — tant judiciaires que communicationnelles — l’ont été pour protéger les droits des commanditaires floués et faire cesser les fautes graves dont ils ont été victimes.</w:t>
      </w:r>
    </w:p>
    <w:p w14:paraId="2993C163" w14:textId="77777777" w:rsidR="00FF5A45" w:rsidRPr="006A237D" w:rsidRDefault="00730A01" w:rsidP="0098012F">
      <w:pPr>
        <w:pStyle w:val="Paragraphe"/>
        <w:tabs>
          <w:tab w:val="clear" w:pos="786"/>
        </w:tabs>
        <w:spacing w:line="240" w:lineRule="auto"/>
        <w:ind w:left="0"/>
        <w:rPr>
          <w:lang w:eastAsia="fr-CA"/>
        </w:rPr>
      </w:pPr>
      <w:r w:rsidRPr="006A237D">
        <w:rPr>
          <w:lang w:eastAsia="fr-CA"/>
        </w:rPr>
        <w:t xml:space="preserve">La prétention des Défendeurs </w:t>
      </w:r>
      <w:r w:rsidR="00112406">
        <w:rPr>
          <w:lang w:eastAsia="fr-CA"/>
        </w:rPr>
        <w:t xml:space="preserve">est </w:t>
      </w:r>
      <w:r w:rsidRPr="006A237D">
        <w:rPr>
          <w:lang w:eastAsia="fr-CA"/>
        </w:rPr>
        <w:t>à l’effet qu’ils auraient subi un préjudice réputationnel ou financier du fait des déclarations des Demandeurs. Or la preuve offerte ne supporte pas cette affirmation.</w:t>
      </w:r>
    </w:p>
    <w:p w14:paraId="246EB3A1" w14:textId="77777777" w:rsidR="006A237D" w:rsidRPr="006A237D" w:rsidRDefault="00730A01" w:rsidP="0098012F">
      <w:pPr>
        <w:pStyle w:val="Paragraphe"/>
        <w:tabs>
          <w:tab w:val="clear" w:pos="786"/>
        </w:tabs>
        <w:spacing w:line="240" w:lineRule="auto"/>
        <w:ind w:left="0"/>
        <w:rPr>
          <w:lang w:eastAsia="fr-CA"/>
        </w:rPr>
      </w:pPr>
      <w:r w:rsidRPr="006A237D">
        <w:rPr>
          <w:lang w:eastAsia="fr-CA"/>
        </w:rPr>
        <w:t>Le Tribunal ne peut porter foi au rapport LMD, produit par les Défendeurs au soutien de leur demande reconventionnelle, notamment pour les raisons suivantes :</w:t>
      </w:r>
    </w:p>
    <w:p w14:paraId="45EDF7F6" w14:textId="77777777" w:rsidR="006A237D" w:rsidRPr="0054413F" w:rsidRDefault="00730A01" w:rsidP="0042740E">
      <w:pPr>
        <w:pStyle w:val="Paragraphe"/>
        <w:numPr>
          <w:ilvl w:val="0"/>
          <w:numId w:val="21"/>
        </w:numPr>
        <w:tabs>
          <w:tab w:val="left" w:pos="8789"/>
        </w:tabs>
        <w:spacing w:after="0" w:line="240" w:lineRule="auto"/>
        <w:ind w:left="714" w:right="539" w:hanging="357"/>
        <w:rPr>
          <w:sz w:val="22"/>
          <w:szCs w:val="22"/>
          <w:lang w:eastAsia="fr-CA"/>
        </w:rPr>
      </w:pPr>
      <w:r>
        <w:rPr>
          <w:lang w:eastAsia="fr-CA"/>
        </w:rPr>
        <w:t>Ce rapport</w:t>
      </w:r>
      <w:r w:rsidRPr="006A237D">
        <w:rPr>
          <w:lang w:eastAsia="fr-CA"/>
        </w:rPr>
        <w:t xml:space="preserve"> utilise des hypothèses </w:t>
      </w:r>
      <w:r w:rsidRPr="0054413F">
        <w:rPr>
          <w:sz w:val="22"/>
          <w:szCs w:val="22"/>
          <w:lang w:eastAsia="fr-CA"/>
        </w:rPr>
        <w:t>contradictoires selon qu’il s’agisse de justifier les pertes des Demandeurs ou celles des Défendeurs;</w:t>
      </w:r>
    </w:p>
    <w:p w14:paraId="554E755A" w14:textId="77777777" w:rsidR="006A237D" w:rsidRPr="0054413F" w:rsidRDefault="00730A01" w:rsidP="0042740E">
      <w:pPr>
        <w:pStyle w:val="Paragraphe"/>
        <w:numPr>
          <w:ilvl w:val="0"/>
          <w:numId w:val="21"/>
        </w:numPr>
        <w:tabs>
          <w:tab w:val="left" w:pos="8789"/>
        </w:tabs>
        <w:spacing w:after="0" w:line="240" w:lineRule="auto"/>
        <w:ind w:left="714" w:right="539" w:hanging="357"/>
        <w:rPr>
          <w:sz w:val="22"/>
          <w:szCs w:val="22"/>
          <w:lang w:eastAsia="fr-CA"/>
        </w:rPr>
      </w:pPr>
      <w:r w:rsidRPr="0054413F">
        <w:rPr>
          <w:sz w:val="22"/>
          <w:szCs w:val="22"/>
          <w:lang w:eastAsia="fr-CA"/>
        </w:rPr>
        <w:t>Il ignore sciemment les décisions prises dès octobre</w:t>
      </w:r>
      <w:r w:rsidR="00107936">
        <w:rPr>
          <w:sz w:val="22"/>
          <w:szCs w:val="22"/>
          <w:lang w:eastAsia="fr-CA"/>
        </w:rPr>
        <w:t> </w:t>
      </w:r>
      <w:r w:rsidRPr="0054413F">
        <w:rPr>
          <w:sz w:val="22"/>
          <w:szCs w:val="22"/>
          <w:lang w:eastAsia="fr-CA"/>
        </w:rPr>
        <w:t>2022 par les commanditaires visant à ne plus consentir de nouveaux prêts, ce qui invalide la prémisse voulant que les investissements auraient continué comme auparavant;</w:t>
      </w:r>
    </w:p>
    <w:p w14:paraId="3DF8E77F" w14:textId="77777777" w:rsidR="006A237D" w:rsidRPr="0054413F" w:rsidRDefault="00730A01" w:rsidP="0042740E">
      <w:pPr>
        <w:pStyle w:val="Paragraphe"/>
        <w:numPr>
          <w:ilvl w:val="0"/>
          <w:numId w:val="21"/>
        </w:numPr>
        <w:tabs>
          <w:tab w:val="left" w:pos="8789"/>
        </w:tabs>
        <w:spacing w:after="0" w:line="240" w:lineRule="auto"/>
        <w:ind w:left="714" w:right="539" w:hanging="357"/>
        <w:rPr>
          <w:sz w:val="22"/>
          <w:szCs w:val="22"/>
          <w:lang w:eastAsia="fr-CA"/>
        </w:rPr>
      </w:pPr>
      <w:r w:rsidRPr="0054413F">
        <w:rPr>
          <w:sz w:val="22"/>
          <w:szCs w:val="22"/>
          <w:lang w:eastAsia="fr-CA"/>
        </w:rPr>
        <w:t>Il occulte des éléments essentiels dans ses calculs, notamment une diminution objective des revenus antérieure aux propos reprochés, et omet toute contextualisation économique et commerciale des baisses alléguées Ces éléments, combinés à l’absence de lien de causalité rigoureux, rendent la demande reconventionnelle purement spéculative;</w:t>
      </w:r>
    </w:p>
    <w:p w14:paraId="10D5B8E6" w14:textId="77777777" w:rsidR="00D57362" w:rsidRPr="0054413F" w:rsidRDefault="00730A01" w:rsidP="0042740E">
      <w:pPr>
        <w:pStyle w:val="Paragraphe"/>
        <w:numPr>
          <w:ilvl w:val="0"/>
          <w:numId w:val="21"/>
        </w:numPr>
        <w:tabs>
          <w:tab w:val="left" w:pos="8789"/>
        </w:tabs>
        <w:spacing w:after="0" w:line="240" w:lineRule="auto"/>
        <w:ind w:left="714" w:right="539" w:hanging="357"/>
        <w:rPr>
          <w:sz w:val="22"/>
          <w:szCs w:val="22"/>
          <w:lang w:eastAsia="fr-CA"/>
        </w:rPr>
      </w:pPr>
      <w:r w:rsidRPr="0054413F">
        <w:rPr>
          <w:sz w:val="22"/>
          <w:szCs w:val="22"/>
          <w:lang w:eastAsia="fr-CA"/>
        </w:rPr>
        <w:t>Il ignore l’impact des désistements des commandités et la fermeture planifiée des fonds;</w:t>
      </w:r>
    </w:p>
    <w:p w14:paraId="72230726" w14:textId="77777777" w:rsidR="00D57362" w:rsidRPr="0054413F" w:rsidRDefault="00730A01" w:rsidP="0042740E">
      <w:pPr>
        <w:pStyle w:val="Paragraphe"/>
        <w:numPr>
          <w:ilvl w:val="0"/>
          <w:numId w:val="21"/>
        </w:numPr>
        <w:tabs>
          <w:tab w:val="left" w:pos="8789"/>
        </w:tabs>
        <w:spacing w:after="0" w:line="240" w:lineRule="auto"/>
        <w:ind w:left="714" w:right="539" w:hanging="357"/>
        <w:rPr>
          <w:sz w:val="22"/>
          <w:szCs w:val="22"/>
          <w:lang w:eastAsia="fr-CA"/>
        </w:rPr>
      </w:pPr>
      <w:r w:rsidRPr="0054413F">
        <w:rPr>
          <w:sz w:val="22"/>
          <w:szCs w:val="22"/>
          <w:lang w:eastAsia="fr-CA"/>
        </w:rPr>
        <w:t>Il ne démontre aucun lien de causalité rigoureux entre les gestes reprochés et les dommages allégués.</w:t>
      </w:r>
    </w:p>
    <w:p w14:paraId="44D63477" w14:textId="77777777" w:rsidR="006A237D" w:rsidRPr="006A237D" w:rsidRDefault="00730A01" w:rsidP="0098012F">
      <w:pPr>
        <w:pStyle w:val="Paragraphe"/>
        <w:tabs>
          <w:tab w:val="clear" w:pos="786"/>
        </w:tabs>
        <w:spacing w:before="240" w:line="240" w:lineRule="auto"/>
        <w:ind w:left="0"/>
        <w:rPr>
          <w:b/>
          <w:bCs/>
          <w:lang w:eastAsia="fr-CA"/>
        </w:rPr>
      </w:pPr>
      <w:r w:rsidRPr="006A237D">
        <w:rPr>
          <w:lang w:eastAsia="fr-CA"/>
        </w:rPr>
        <w:t>Les actes reprochés par les Défendeurs/Demandeurs reconventionnels soit la diffusion d’information, par certains médias, en lien avec les recours judiciaires ou certaines communications avec des investisseurs, s’inscrivent dans l’exercice légitime de leurs droits par les Demandeurs/Défendeurs reconventionnels.</w:t>
      </w:r>
    </w:p>
    <w:p w14:paraId="68A79637" w14:textId="77777777" w:rsidR="006A237D" w:rsidRPr="006A237D" w:rsidRDefault="00730A01" w:rsidP="0098012F">
      <w:pPr>
        <w:pStyle w:val="Paragraphe"/>
        <w:tabs>
          <w:tab w:val="clear" w:pos="786"/>
        </w:tabs>
        <w:spacing w:line="240" w:lineRule="auto"/>
        <w:ind w:left="0"/>
        <w:rPr>
          <w:lang w:eastAsia="fr-CA"/>
        </w:rPr>
      </w:pPr>
      <w:r w:rsidRPr="006A237D">
        <w:rPr>
          <w:lang w:eastAsia="fr-CA"/>
        </w:rPr>
        <w:t>Aucune preuve n’est offerte pouvant démontrer qu’une ou des déclarations de ces derniers auraient été faite hors contexte ou dans l’intention de nuire</w:t>
      </w:r>
      <w:r w:rsidR="00112406">
        <w:rPr>
          <w:lang w:eastAsia="fr-CA"/>
        </w:rPr>
        <w:t>.</w:t>
      </w:r>
    </w:p>
    <w:p w14:paraId="003AA5C9" w14:textId="77777777" w:rsidR="00D57362" w:rsidRDefault="00730A01" w:rsidP="0098012F">
      <w:pPr>
        <w:pStyle w:val="Paragraphe"/>
        <w:tabs>
          <w:tab w:val="clear" w:pos="786"/>
        </w:tabs>
        <w:spacing w:line="240" w:lineRule="auto"/>
        <w:ind w:left="0"/>
        <w:rPr>
          <w:lang w:eastAsia="fr-CA"/>
        </w:rPr>
      </w:pPr>
      <w:r w:rsidRPr="006A237D">
        <w:rPr>
          <w:lang w:eastAsia="fr-CA"/>
        </w:rPr>
        <w:t xml:space="preserve">Les réclamations des Défendeurs/Demandeurs reconventionnels, découlant des répercussions alléguées, telles leur baisse de revenus, ne peuvent être attribuées aux Demandeurs/défendeurs reconventionnels. Cette baisse de revenus apparaît </w:t>
      </w:r>
      <w:r w:rsidR="00107936" w:rsidRPr="006A237D">
        <w:rPr>
          <w:lang w:eastAsia="fr-CA"/>
        </w:rPr>
        <w:t>découlée</w:t>
      </w:r>
      <w:r w:rsidRPr="006A237D">
        <w:rPr>
          <w:lang w:eastAsia="fr-CA"/>
        </w:rPr>
        <w:t xml:space="preserve"> plutôt de la débâcle du Groupe Huot. </w:t>
      </w:r>
    </w:p>
    <w:p w14:paraId="64F6AF6A" w14:textId="77777777" w:rsidR="006A237D" w:rsidRPr="006A237D" w:rsidRDefault="00730A01" w:rsidP="0098012F">
      <w:pPr>
        <w:pStyle w:val="Paragraphe"/>
        <w:tabs>
          <w:tab w:val="clear" w:pos="786"/>
        </w:tabs>
        <w:spacing w:line="240" w:lineRule="auto"/>
        <w:ind w:left="0"/>
        <w:rPr>
          <w:lang w:eastAsia="fr-CA"/>
        </w:rPr>
      </w:pPr>
      <w:r>
        <w:rPr>
          <w:lang w:eastAsia="fr-CA"/>
        </w:rPr>
        <w:t>C</w:t>
      </w:r>
      <w:r w:rsidRPr="006A237D">
        <w:rPr>
          <w:lang w:eastAsia="fr-CA"/>
        </w:rPr>
        <w:t>ette baisse était déjà amorcée avant les propos reprochés. Une diminution d’activité commerciale ou une perte de contrats ne saurait donner lieu à une compensation lorsqu’elle résulte des propres fautes des parties qui s’en plaignent</w:t>
      </w:r>
      <w:r w:rsidR="00D57362">
        <w:rPr>
          <w:lang w:eastAsia="fr-CA"/>
        </w:rPr>
        <w:t xml:space="preserve"> (</w:t>
      </w:r>
      <w:r w:rsidRPr="006A237D">
        <w:t>article</w:t>
      </w:r>
      <w:r w:rsidR="00107936">
        <w:t> </w:t>
      </w:r>
      <w:r w:rsidRPr="006A237D">
        <w:t>1607 C.c.Q.)</w:t>
      </w:r>
      <w:r>
        <w:rPr>
          <w:rStyle w:val="Appelnotedebasdep"/>
        </w:rPr>
        <w:footnoteReference w:id="373"/>
      </w:r>
      <w:r w:rsidR="00107936">
        <w:t>.</w:t>
      </w:r>
    </w:p>
    <w:p w14:paraId="66B45378" w14:textId="77777777" w:rsidR="006A237D" w:rsidRPr="006A237D" w:rsidRDefault="00730A01" w:rsidP="0098012F">
      <w:pPr>
        <w:pStyle w:val="Paragraphe"/>
        <w:tabs>
          <w:tab w:val="clear" w:pos="786"/>
        </w:tabs>
        <w:spacing w:line="240" w:lineRule="auto"/>
        <w:ind w:left="0"/>
        <w:rPr>
          <w:lang w:eastAsia="fr-CA"/>
        </w:rPr>
      </w:pPr>
      <w:r w:rsidRPr="006A237D">
        <w:rPr>
          <w:lang w:eastAsia="fr-CA"/>
        </w:rPr>
        <w:t xml:space="preserve">Non seulement les fondements </w:t>
      </w:r>
      <w:r w:rsidR="005C2BC5">
        <w:rPr>
          <w:lang w:eastAsia="fr-CA"/>
        </w:rPr>
        <w:t xml:space="preserve">de la demande reconventionnelle </w:t>
      </w:r>
      <w:r w:rsidRPr="006A237D">
        <w:rPr>
          <w:lang w:eastAsia="fr-CA"/>
        </w:rPr>
        <w:t>sont flous, mais la preuve est insuffisante, voire inexistante, pour démontrer un lien de causalité direct entre les actes reprochés aux Demandeurs/défendeurs reconventionnels et les prétendus préjudices.</w:t>
      </w:r>
    </w:p>
    <w:p w14:paraId="2EF30247" w14:textId="77777777" w:rsidR="00FD4D4E" w:rsidRPr="005C2BC5" w:rsidRDefault="00730A01" w:rsidP="0098012F">
      <w:pPr>
        <w:pStyle w:val="Paragraphe"/>
        <w:tabs>
          <w:tab w:val="clear" w:pos="786"/>
        </w:tabs>
        <w:spacing w:line="240" w:lineRule="auto"/>
        <w:ind w:left="0"/>
        <w:rPr>
          <w:lang w:eastAsia="fr-CA"/>
        </w:rPr>
      </w:pPr>
      <w:r w:rsidRPr="005C2BC5">
        <w:rPr>
          <w:lang w:eastAsia="fr-CA"/>
        </w:rPr>
        <w:t xml:space="preserve">Aucune preuve n’a </w:t>
      </w:r>
      <w:r w:rsidR="005C2BC5">
        <w:rPr>
          <w:lang w:eastAsia="fr-CA"/>
        </w:rPr>
        <w:t xml:space="preserve">en effet </w:t>
      </w:r>
      <w:r w:rsidRPr="005C2BC5">
        <w:rPr>
          <w:lang w:eastAsia="fr-CA"/>
        </w:rPr>
        <w:t>été présentée démontrant que les Demandeurs auraient fait des déclarations hors contexte, ni que celles-ci auraient été prononcées avec malice ou témérité</w:t>
      </w:r>
      <w:r w:rsidR="00D77AAA" w:rsidRPr="005C2BC5">
        <w:rPr>
          <w:lang w:eastAsia="fr-CA"/>
        </w:rPr>
        <w:t xml:space="preserve">, ce qui constitue pourtant une exigence reconnue par la jurisprudence en matière de diffamation procédurale. Dans l’arrêt </w:t>
      </w:r>
      <w:r w:rsidR="00D77AAA" w:rsidRPr="005C2BC5">
        <w:rPr>
          <w:i/>
          <w:iCs/>
          <w:lang w:eastAsia="fr-CA"/>
        </w:rPr>
        <w:t xml:space="preserve">Ponce </w:t>
      </w:r>
      <w:r w:rsidR="00D77AAA" w:rsidRPr="005C2BC5">
        <w:rPr>
          <w:lang w:eastAsia="fr-CA"/>
        </w:rPr>
        <w:t>c.</w:t>
      </w:r>
      <w:r w:rsidR="00D77AAA" w:rsidRPr="005C2BC5">
        <w:rPr>
          <w:i/>
          <w:iCs/>
          <w:lang w:eastAsia="fr-CA"/>
        </w:rPr>
        <w:t xml:space="preserve"> Société d’investissements Rhéaume ltée</w:t>
      </w:r>
      <w:r>
        <w:rPr>
          <w:rStyle w:val="Appelnotedebasdep"/>
          <w:lang w:eastAsia="fr-CA"/>
        </w:rPr>
        <w:footnoteReference w:id="374"/>
      </w:r>
      <w:r w:rsidR="0012738A" w:rsidRPr="005C2BC5">
        <w:rPr>
          <w:lang w:eastAsia="fr-CA"/>
        </w:rPr>
        <w:t xml:space="preserve">, </w:t>
      </w:r>
      <w:r w:rsidRPr="005C2BC5">
        <w:rPr>
          <w:lang w:eastAsia="fr-CA"/>
        </w:rPr>
        <w:t xml:space="preserve">la </w:t>
      </w:r>
      <w:r w:rsidR="00D77AAA" w:rsidRPr="005C2BC5">
        <w:rPr>
          <w:lang w:eastAsia="fr-CA"/>
        </w:rPr>
        <w:t xml:space="preserve">Cour d’appel indique </w:t>
      </w:r>
      <w:r w:rsidRPr="005C2BC5">
        <w:rPr>
          <w:lang w:eastAsia="fr-CA"/>
        </w:rPr>
        <w:t>que les quatre critères cumulatifs — fausseté, impertinence, malice/témérité, absence de cause raisonnable — doivent être prouvés pour qu’une diffamation soit reconnue.</w:t>
      </w:r>
    </w:p>
    <w:p w14:paraId="3BAB35E9" w14:textId="77777777" w:rsidR="00FF5A45" w:rsidRPr="005C2BC5" w:rsidRDefault="00730A01" w:rsidP="0098012F">
      <w:pPr>
        <w:pStyle w:val="Paragraphe"/>
        <w:tabs>
          <w:tab w:val="clear" w:pos="786"/>
        </w:tabs>
        <w:spacing w:line="240" w:lineRule="auto"/>
        <w:ind w:left="0"/>
        <w:rPr>
          <w:lang w:eastAsia="fr-CA"/>
        </w:rPr>
      </w:pPr>
      <w:r w:rsidRPr="005C2BC5">
        <w:rPr>
          <w:lang w:eastAsia="fr-CA"/>
        </w:rPr>
        <w:t>En l’espèce, la preuve est prépondérante à l’effet que les Demandeurs ont toujours agi de bonne foi, dans le respect des procédures, et en réponse à des actes fautifs commis à leur détriment.</w:t>
      </w:r>
      <w:r w:rsidR="00D77AAA" w:rsidRPr="005C2BC5">
        <w:rPr>
          <w:lang w:eastAsia="fr-CA"/>
        </w:rPr>
        <w:t xml:space="preserve"> </w:t>
      </w:r>
      <w:r w:rsidRPr="005C2BC5">
        <w:rPr>
          <w:lang w:eastAsia="fr-CA"/>
        </w:rPr>
        <w:t>Ce</w:t>
      </w:r>
      <w:r w:rsidR="00D77AAA" w:rsidRPr="005C2BC5">
        <w:rPr>
          <w:lang w:eastAsia="fr-CA"/>
        </w:rPr>
        <w:t xml:space="preserve"> qui constitue une exigence reconnue en matière de diffamation procédurale</w:t>
      </w:r>
      <w:r w:rsidRPr="005C2BC5">
        <w:rPr>
          <w:lang w:eastAsia="fr-CA"/>
        </w:rPr>
        <w:t xml:space="preserve">. </w:t>
      </w:r>
      <w:r w:rsidR="00D77AAA" w:rsidRPr="005C2BC5">
        <w:rPr>
          <w:lang w:eastAsia="fr-CA"/>
        </w:rPr>
        <w:t xml:space="preserve">Dans l’affaire </w:t>
      </w:r>
      <w:r w:rsidR="00D77AAA" w:rsidRPr="005C2BC5">
        <w:rPr>
          <w:i/>
          <w:iCs/>
          <w:lang w:eastAsia="fr-CA"/>
        </w:rPr>
        <w:t xml:space="preserve">Planigestec inc. </w:t>
      </w:r>
      <w:r w:rsidR="00D77AAA" w:rsidRPr="005C2BC5">
        <w:rPr>
          <w:lang w:eastAsia="fr-CA"/>
        </w:rPr>
        <w:t>c.</w:t>
      </w:r>
      <w:r w:rsidR="00D77AAA" w:rsidRPr="005C2BC5">
        <w:rPr>
          <w:i/>
          <w:iCs/>
          <w:lang w:eastAsia="fr-CA"/>
        </w:rPr>
        <w:t xml:space="preserve"> Corporatek inc.</w:t>
      </w:r>
      <w:r>
        <w:rPr>
          <w:rStyle w:val="Appelnotedebasdep"/>
          <w:lang w:eastAsia="fr-CA"/>
        </w:rPr>
        <w:footnoteReference w:id="375"/>
      </w:r>
      <w:r w:rsidR="00D77AAA" w:rsidRPr="005C2BC5">
        <w:rPr>
          <w:lang w:eastAsia="fr-CA"/>
        </w:rPr>
        <w:t xml:space="preserve">, </w:t>
      </w:r>
      <w:r w:rsidRPr="005C2BC5">
        <w:rPr>
          <w:lang w:eastAsia="fr-CA"/>
        </w:rPr>
        <w:t xml:space="preserve">notre Cour </w:t>
      </w:r>
      <w:r w:rsidR="00D77AAA" w:rsidRPr="005C2BC5">
        <w:rPr>
          <w:lang w:eastAsia="fr-CA"/>
        </w:rPr>
        <w:t xml:space="preserve">a </w:t>
      </w:r>
      <w:r w:rsidRPr="005C2BC5">
        <w:rPr>
          <w:lang w:eastAsia="fr-CA"/>
        </w:rPr>
        <w:t xml:space="preserve">d’ailleurs déjà </w:t>
      </w:r>
      <w:r w:rsidR="00D77AAA" w:rsidRPr="005C2BC5">
        <w:rPr>
          <w:lang w:eastAsia="fr-CA"/>
        </w:rPr>
        <w:t>rejeté un recours similaire, considérant que les allégations litigieuses étaient véridiques, pertinentes, et fondées sur des documents émanant de la partie visée</w:t>
      </w:r>
      <w:r w:rsidRPr="005C2BC5">
        <w:rPr>
          <w:lang w:eastAsia="fr-CA"/>
        </w:rPr>
        <w:t>.</w:t>
      </w:r>
    </w:p>
    <w:p w14:paraId="323FF680" w14:textId="77777777" w:rsidR="00FF5A45" w:rsidRDefault="00730A01" w:rsidP="0098012F">
      <w:pPr>
        <w:pStyle w:val="Paragraphe"/>
        <w:tabs>
          <w:tab w:val="clear" w:pos="786"/>
        </w:tabs>
        <w:spacing w:line="240" w:lineRule="auto"/>
        <w:ind w:left="0"/>
        <w:rPr>
          <w:lang w:eastAsia="fr-CA"/>
        </w:rPr>
      </w:pPr>
      <w:r w:rsidRPr="005C2BC5">
        <w:rPr>
          <w:lang w:eastAsia="fr-CA"/>
        </w:rPr>
        <w:t xml:space="preserve">La rencontre au Costco entre Giroux et Bernardo </w:t>
      </w:r>
      <w:r w:rsidR="00112406">
        <w:rPr>
          <w:lang w:eastAsia="fr-CA"/>
        </w:rPr>
        <w:t xml:space="preserve">invoquée par Giroux, au cours de laquelle ce dernier l’aurait insulté, </w:t>
      </w:r>
      <w:r w:rsidRPr="005C2BC5">
        <w:rPr>
          <w:lang w:eastAsia="fr-CA"/>
        </w:rPr>
        <w:t>n’a aucun caractère diffamatoire. La preuve testimoniale de Bernardo a clairement établi qu’il s’agissait d’une conversation privée et fortuite, exempte de menaces ou d’intentions malveillantes</w:t>
      </w:r>
      <w:r>
        <w:rPr>
          <w:rStyle w:val="Appelnotedebasdep"/>
          <w:lang w:eastAsia="fr-CA"/>
        </w:rPr>
        <w:footnoteReference w:id="376"/>
      </w:r>
      <w:r w:rsidR="00107936">
        <w:rPr>
          <w:lang w:eastAsia="fr-CA"/>
        </w:rPr>
        <w:t>.</w:t>
      </w:r>
    </w:p>
    <w:p w14:paraId="5AE05195" w14:textId="77777777" w:rsidR="00FF5A45" w:rsidRPr="005C2BC5" w:rsidRDefault="00730A01" w:rsidP="00437269">
      <w:pPr>
        <w:pStyle w:val="Paragraphe"/>
        <w:tabs>
          <w:tab w:val="clear" w:pos="786"/>
        </w:tabs>
        <w:spacing w:line="240" w:lineRule="auto"/>
        <w:ind w:left="0"/>
        <w:rPr>
          <w:lang w:eastAsia="fr-CA"/>
        </w:rPr>
      </w:pPr>
      <w:r w:rsidRPr="005C2BC5">
        <w:rPr>
          <w:lang w:eastAsia="fr-CA"/>
        </w:rPr>
        <w:t xml:space="preserve">Quant à la vidéo publiée </w:t>
      </w:r>
      <w:r w:rsidR="00112406">
        <w:rPr>
          <w:lang w:eastAsia="fr-CA"/>
        </w:rPr>
        <w:t xml:space="preserve">sur Internet </w:t>
      </w:r>
      <w:r w:rsidRPr="005C2BC5">
        <w:rPr>
          <w:lang w:eastAsia="fr-CA"/>
        </w:rPr>
        <w:t>par l’influenceur Bertrand Doré (alias Max Gold), aucune preuve n’a démontré que les Demandeurs ont eu un quelconque lien avec cette publication</w:t>
      </w:r>
      <w:r>
        <w:rPr>
          <w:rStyle w:val="Appelnotedebasdep"/>
          <w:lang w:eastAsia="fr-CA"/>
        </w:rPr>
        <w:footnoteReference w:id="377"/>
      </w:r>
      <w:r w:rsidR="00190918" w:rsidRPr="005C2BC5">
        <w:rPr>
          <w:lang w:eastAsia="fr-CA"/>
        </w:rPr>
        <w:t>.</w:t>
      </w:r>
    </w:p>
    <w:p w14:paraId="6AA6AD19" w14:textId="77777777" w:rsidR="00921750" w:rsidRDefault="00730A01" w:rsidP="0098012F">
      <w:pPr>
        <w:pStyle w:val="Paragraphe"/>
        <w:tabs>
          <w:tab w:val="clear" w:pos="786"/>
        </w:tabs>
        <w:spacing w:line="240" w:lineRule="auto"/>
        <w:ind w:left="0"/>
        <w:rPr>
          <w:b/>
          <w:bCs/>
          <w:lang w:eastAsia="fr-CA"/>
        </w:rPr>
      </w:pPr>
      <w:r w:rsidRPr="005C2BC5">
        <w:rPr>
          <w:lang w:eastAsia="fr-CA"/>
        </w:rPr>
        <w:t>Enfin, le Rapport d’expertise en juricomptabilité réalisé par KPMG</w:t>
      </w:r>
      <w:r>
        <w:rPr>
          <w:rStyle w:val="Appelnotedebasdep"/>
          <w:lang w:eastAsia="fr-CA"/>
        </w:rPr>
        <w:footnoteReference w:id="378"/>
      </w:r>
      <w:r w:rsidRPr="005C2BC5">
        <w:rPr>
          <w:lang w:eastAsia="fr-CA"/>
        </w:rPr>
        <w:t xml:space="preserve"> repose sur des éléments probants émanant des Défendeurs eux-mêmes. Ces derniers ne peuvent prétendre être diffamés par des faits exacts découlant de leur propre conduite.</w:t>
      </w:r>
      <w:r w:rsidRPr="005C2BC5">
        <w:rPr>
          <w:b/>
          <w:bCs/>
          <w:lang w:eastAsia="fr-CA"/>
        </w:rPr>
        <w:t xml:space="preserve"> </w:t>
      </w:r>
    </w:p>
    <w:p w14:paraId="174B8E79" w14:textId="77777777" w:rsidR="0098076A" w:rsidRDefault="00730A01" w:rsidP="001D3ECB">
      <w:pPr>
        <w:pStyle w:val="Paragraphe"/>
        <w:tabs>
          <w:tab w:val="clear" w:pos="786"/>
        </w:tabs>
        <w:spacing w:after="0" w:line="240" w:lineRule="auto"/>
        <w:ind w:left="0"/>
        <w:rPr>
          <w:lang w:eastAsia="fr-CA"/>
        </w:rPr>
      </w:pPr>
      <w:r w:rsidRPr="006A237D">
        <w:rPr>
          <w:lang w:eastAsia="fr-CA"/>
        </w:rPr>
        <w:t>La demande reconventionnelle repose ainsi sur des hypothèses et des dommages qui ne répondent pas aux exigences légales de preuve en matière de responsabilité civile. Les dommages réclamés seront donc rejetés dans leur intégralité.</w:t>
      </w:r>
    </w:p>
    <w:p w14:paraId="48A56B22" w14:textId="77777777" w:rsidR="0098076A" w:rsidRPr="00112406" w:rsidRDefault="00730A01" w:rsidP="001D3ECB">
      <w:pPr>
        <w:pStyle w:val="Paragraphe"/>
        <w:numPr>
          <w:ilvl w:val="0"/>
          <w:numId w:val="0"/>
        </w:numPr>
        <w:tabs>
          <w:tab w:val="left" w:pos="3686"/>
        </w:tabs>
        <w:spacing w:line="240" w:lineRule="auto"/>
        <w:ind w:left="720"/>
        <w:rPr>
          <w:rFonts w:cs="Arial"/>
          <w:bCs/>
          <w:szCs w:val="24"/>
        </w:rPr>
      </w:pPr>
      <w:r>
        <w:rPr>
          <w:rFonts w:cs="Arial"/>
          <w:b/>
          <w:szCs w:val="24"/>
        </w:rPr>
        <w:tab/>
      </w:r>
      <w:r w:rsidRPr="00112406">
        <w:rPr>
          <w:rFonts w:cs="Arial"/>
          <w:bCs/>
          <w:szCs w:val="24"/>
        </w:rPr>
        <w:t>* * *</w:t>
      </w:r>
    </w:p>
    <w:p w14:paraId="0D0BD384" w14:textId="77777777" w:rsidR="0098076A" w:rsidRDefault="00730A01" w:rsidP="0098012F">
      <w:pPr>
        <w:rPr>
          <w:rFonts w:cs="Arial"/>
          <w:b/>
          <w:kern w:val="28"/>
          <w:szCs w:val="24"/>
          <w:u w:val="single"/>
        </w:rPr>
      </w:pPr>
      <w:r>
        <w:rPr>
          <w:rFonts w:cs="Arial"/>
          <w:b/>
          <w:szCs w:val="24"/>
          <w:u w:val="single"/>
        </w:rPr>
        <w:br w:type="page"/>
      </w:r>
    </w:p>
    <w:p w14:paraId="19BE3277" w14:textId="77777777" w:rsidR="0098076A" w:rsidRPr="004021C3" w:rsidRDefault="00730A01" w:rsidP="001D3ECB">
      <w:pPr>
        <w:pStyle w:val="Titre1"/>
        <w:spacing w:after="0"/>
        <w:rPr>
          <w:bCs/>
          <w:szCs w:val="28"/>
        </w:rPr>
      </w:pPr>
      <w:bookmarkStart w:id="125" w:name="_Toc211495255"/>
      <w:bookmarkStart w:id="126" w:name="_Toc211600662"/>
      <w:r w:rsidRPr="004021C3">
        <w:rPr>
          <w:bCs/>
          <w:szCs w:val="28"/>
        </w:rPr>
        <w:t>PARTIE 3</w:t>
      </w:r>
      <w:bookmarkEnd w:id="125"/>
      <w:bookmarkEnd w:id="126"/>
    </w:p>
    <w:p w14:paraId="30A2CBF5" w14:textId="77777777" w:rsidR="00CB453B" w:rsidRPr="004021C3" w:rsidRDefault="00730A01" w:rsidP="001D3ECB">
      <w:pPr>
        <w:pStyle w:val="Titre1"/>
        <w:spacing w:before="120"/>
        <w:rPr>
          <w:b w:val="0"/>
          <w:sz w:val="24"/>
          <w:szCs w:val="24"/>
          <w:lang w:eastAsia="fr-CA"/>
        </w:rPr>
      </w:pPr>
      <w:bookmarkStart w:id="127" w:name="_Toc211495256"/>
      <w:bookmarkStart w:id="128" w:name="_Toc211600663"/>
      <w:r w:rsidRPr="004021C3">
        <w:rPr>
          <w:rFonts w:cs="Arial"/>
          <w:sz w:val="24"/>
          <w:szCs w:val="24"/>
          <w:u w:val="single"/>
        </w:rPr>
        <w:t>LES</w:t>
      </w:r>
      <w:r w:rsidR="0098076A" w:rsidRPr="004021C3">
        <w:rPr>
          <w:rFonts w:cs="Arial"/>
          <w:sz w:val="24"/>
          <w:szCs w:val="24"/>
          <w:u w:val="single"/>
        </w:rPr>
        <w:t xml:space="preserve"> </w:t>
      </w:r>
      <w:r w:rsidRPr="004021C3">
        <w:rPr>
          <w:rFonts w:cs="Arial"/>
          <w:sz w:val="24"/>
          <w:szCs w:val="24"/>
          <w:u w:val="single"/>
        </w:rPr>
        <w:t>INCIDENTS PROCÉDURAUX</w:t>
      </w:r>
      <w:bookmarkEnd w:id="127"/>
      <w:bookmarkEnd w:id="128"/>
    </w:p>
    <w:p w14:paraId="70774FD7" w14:textId="77777777" w:rsidR="00CB453B" w:rsidRPr="0071447A" w:rsidRDefault="00730A01" w:rsidP="0071447A">
      <w:pPr>
        <w:pStyle w:val="Titre4"/>
        <w:ind w:left="426" w:hanging="426"/>
        <w:jc w:val="both"/>
        <w:rPr>
          <w:smallCaps/>
        </w:rPr>
      </w:pPr>
      <w:r>
        <w:t>A</w:t>
      </w:r>
      <w:r w:rsidR="002327CC">
        <w:t>)</w:t>
      </w:r>
      <w:r w:rsidR="003F67E0">
        <w:tab/>
      </w:r>
      <w:r w:rsidR="0098076A" w:rsidRPr="0071447A">
        <w:rPr>
          <w:smallCaps/>
        </w:rPr>
        <w:t>Les m</w:t>
      </w:r>
      <w:r w:rsidRPr="0071447A">
        <w:rPr>
          <w:smallCaps/>
        </w:rPr>
        <w:t xml:space="preserve">odifications </w:t>
      </w:r>
      <w:r w:rsidR="00B47A45" w:rsidRPr="0071447A">
        <w:rPr>
          <w:smallCaps/>
        </w:rPr>
        <w:t>du 7</w:t>
      </w:r>
      <w:r w:rsidR="00F677EE" w:rsidRPr="0071447A">
        <w:rPr>
          <w:smallCaps/>
        </w:rPr>
        <w:t> </w:t>
      </w:r>
      <w:r w:rsidR="00B47A45" w:rsidRPr="0071447A">
        <w:rPr>
          <w:smallCaps/>
        </w:rPr>
        <w:t>mai</w:t>
      </w:r>
      <w:r w:rsidR="00F677EE" w:rsidRPr="0071447A">
        <w:rPr>
          <w:smallCaps/>
        </w:rPr>
        <w:t> </w:t>
      </w:r>
      <w:r w:rsidR="00B47A45" w:rsidRPr="0071447A">
        <w:rPr>
          <w:smallCaps/>
        </w:rPr>
        <w:t xml:space="preserve">2025 </w:t>
      </w:r>
      <w:r w:rsidRPr="0071447A">
        <w:rPr>
          <w:smallCaps/>
        </w:rPr>
        <w:t xml:space="preserve">aux demandes introductives d’instance </w:t>
      </w:r>
    </w:p>
    <w:p w14:paraId="2C3EE324" w14:textId="77777777" w:rsidR="002327CC" w:rsidRPr="002327CC" w:rsidRDefault="00730A01" w:rsidP="0098012F">
      <w:pPr>
        <w:pStyle w:val="Paragraphe"/>
        <w:tabs>
          <w:tab w:val="clear" w:pos="786"/>
        </w:tabs>
        <w:spacing w:line="240" w:lineRule="auto"/>
        <w:ind w:left="0"/>
        <w:rPr>
          <w:u w:val="single"/>
        </w:rPr>
      </w:pPr>
      <w:r w:rsidRPr="00014ADA">
        <w:t>Les Défendeurs/Demandeurs reconventionnels contestent les modifications aux Demandes introductives d’instance déposées par les Demandeurs en date du 7</w:t>
      </w:r>
      <w:r w:rsidR="00107936">
        <w:t> </w:t>
      </w:r>
      <w:r w:rsidRPr="00014ADA">
        <w:t>mai</w:t>
      </w:r>
      <w:r w:rsidR="00107936">
        <w:t> </w:t>
      </w:r>
      <w:r w:rsidRPr="00014ADA">
        <w:t>2025. Leur contestation repose principalement sur l’argument que les ajouts apportés ne reflètent pas la réalité comptable ou juridique. Selon eux, les Demandeurs interprètent de façon erronée des transactions licites, et les éléments qu’ils avancent reposeraient sur des inférences non étayées par une preuve testimoniale directe.</w:t>
      </w:r>
    </w:p>
    <w:p w14:paraId="039CB59F" w14:textId="77777777" w:rsidR="00CB453B" w:rsidRPr="00014ADA" w:rsidRDefault="00730A01" w:rsidP="0098012F">
      <w:pPr>
        <w:pStyle w:val="Paragraphe"/>
        <w:tabs>
          <w:tab w:val="clear" w:pos="786"/>
        </w:tabs>
        <w:spacing w:line="240" w:lineRule="auto"/>
        <w:ind w:left="0"/>
        <w:rPr>
          <w:lang w:eastAsia="fr-CA"/>
        </w:rPr>
      </w:pPr>
      <w:r w:rsidRPr="00014ADA">
        <w:t>C</w:t>
      </w:r>
      <w:r w:rsidRPr="00014ADA">
        <w:rPr>
          <w:lang w:eastAsia="fr-CA"/>
        </w:rPr>
        <w:t>es modifications apportées aux Demandes introductives d’instance peuvent se résumer comme suit</w:t>
      </w:r>
      <w:r w:rsidR="00107936">
        <w:rPr>
          <w:lang w:eastAsia="fr-CA"/>
        </w:rPr>
        <w:t> </w:t>
      </w:r>
      <w:r w:rsidRPr="00014ADA">
        <w:rPr>
          <w:lang w:eastAsia="fr-CA"/>
        </w:rPr>
        <w:t>:</w:t>
      </w:r>
    </w:p>
    <w:p w14:paraId="2DF04A90" w14:textId="77777777" w:rsidR="00CB453B" w:rsidRPr="0054413F" w:rsidRDefault="00730A01" w:rsidP="0042740E">
      <w:pPr>
        <w:pStyle w:val="NormalWeb"/>
        <w:numPr>
          <w:ilvl w:val="0"/>
          <w:numId w:val="20"/>
        </w:numPr>
        <w:spacing w:after="120"/>
        <w:ind w:left="709" w:right="539" w:hanging="284"/>
        <w:rPr>
          <w:rFonts w:ascii="Arial" w:hAnsi="Arial" w:cs="Arial"/>
          <w:sz w:val="22"/>
          <w:szCs w:val="22"/>
          <w:lang w:eastAsia="fr-CA"/>
        </w:rPr>
      </w:pPr>
      <w:r w:rsidRPr="0054413F">
        <w:rPr>
          <w:rFonts w:ascii="Arial" w:hAnsi="Arial" w:cs="Arial"/>
          <w:b/>
          <w:bCs/>
          <w:sz w:val="22"/>
          <w:szCs w:val="22"/>
          <w:lang w:eastAsia="fr-CA"/>
        </w:rPr>
        <w:t>Ajout d’allégations sur la</w:t>
      </w:r>
      <w:r w:rsidRPr="0043038E">
        <w:rPr>
          <w:rFonts w:ascii="Arial" w:hAnsi="Arial" w:cs="Arial"/>
          <w:b/>
          <w:bCs/>
          <w:lang w:eastAsia="fr-CA"/>
        </w:rPr>
        <w:t xml:space="preserve"> </w:t>
      </w:r>
      <w:r w:rsidRPr="0054413F">
        <w:rPr>
          <w:rFonts w:ascii="Arial" w:hAnsi="Arial" w:cs="Arial"/>
          <w:b/>
          <w:bCs/>
          <w:sz w:val="22"/>
          <w:szCs w:val="22"/>
          <w:lang w:eastAsia="fr-CA"/>
        </w:rPr>
        <w:t>confusion des patrimoines</w:t>
      </w:r>
    </w:p>
    <w:p w14:paraId="766939D2" w14:textId="77777777" w:rsidR="00CB453B" w:rsidRPr="0054413F" w:rsidRDefault="00730A01" w:rsidP="0054413F">
      <w:pPr>
        <w:pStyle w:val="NormalWeb"/>
        <w:ind w:left="709" w:right="539"/>
        <w:rPr>
          <w:rFonts w:ascii="Arial" w:hAnsi="Arial" w:cs="Arial"/>
          <w:sz w:val="22"/>
          <w:szCs w:val="22"/>
          <w:lang w:eastAsia="fr-CA"/>
        </w:rPr>
      </w:pPr>
      <w:r w:rsidRPr="0054413F">
        <w:rPr>
          <w:rFonts w:ascii="Arial" w:hAnsi="Arial" w:cs="Arial"/>
          <w:sz w:val="22"/>
          <w:szCs w:val="22"/>
          <w:lang w:eastAsia="fr-CA"/>
        </w:rPr>
        <w:t xml:space="preserve">Les Demandeurs prétendent qu’il existe une </w:t>
      </w:r>
      <w:r w:rsidRPr="0054413F">
        <w:rPr>
          <w:rFonts w:ascii="Arial" w:hAnsi="Arial" w:cs="Arial"/>
          <w:i/>
          <w:iCs/>
          <w:sz w:val="22"/>
          <w:szCs w:val="22"/>
          <w:lang w:eastAsia="fr-CA"/>
        </w:rPr>
        <w:t>«</w:t>
      </w:r>
      <w:r w:rsidR="00107936">
        <w:rPr>
          <w:rFonts w:ascii="Arial" w:hAnsi="Arial" w:cs="Arial"/>
          <w:i/>
          <w:iCs/>
          <w:sz w:val="22"/>
          <w:szCs w:val="22"/>
          <w:lang w:eastAsia="fr-CA"/>
        </w:rPr>
        <w:t> </w:t>
      </w:r>
      <w:r w:rsidRPr="0054413F">
        <w:rPr>
          <w:rFonts w:ascii="Arial" w:hAnsi="Arial" w:cs="Arial"/>
          <w:i/>
          <w:iCs/>
          <w:sz w:val="22"/>
          <w:szCs w:val="22"/>
          <w:lang w:eastAsia="fr-CA"/>
        </w:rPr>
        <w:t>confusion totale</w:t>
      </w:r>
      <w:r w:rsidR="00107936">
        <w:rPr>
          <w:rFonts w:ascii="Arial" w:hAnsi="Arial" w:cs="Arial"/>
          <w:i/>
          <w:iCs/>
          <w:sz w:val="22"/>
          <w:szCs w:val="22"/>
          <w:lang w:eastAsia="fr-CA"/>
        </w:rPr>
        <w:t> </w:t>
      </w:r>
      <w:r w:rsidRPr="0054413F">
        <w:rPr>
          <w:rFonts w:ascii="Arial" w:hAnsi="Arial" w:cs="Arial"/>
          <w:i/>
          <w:iCs/>
          <w:sz w:val="22"/>
          <w:szCs w:val="22"/>
          <w:lang w:eastAsia="fr-CA"/>
        </w:rPr>
        <w:t>»</w:t>
      </w:r>
      <w:r w:rsidRPr="0054413F">
        <w:rPr>
          <w:rFonts w:ascii="Arial" w:hAnsi="Arial" w:cs="Arial"/>
          <w:sz w:val="22"/>
          <w:szCs w:val="22"/>
          <w:lang w:eastAsia="fr-CA"/>
        </w:rPr>
        <w:t xml:space="preserve"> entre les patrimoines des défendeurs.</w:t>
      </w:r>
    </w:p>
    <w:p w14:paraId="3DDC2061" w14:textId="77777777" w:rsidR="00CB453B" w:rsidRPr="0054413F" w:rsidRDefault="00730A01" w:rsidP="0054413F">
      <w:pPr>
        <w:pStyle w:val="Citationenretrait"/>
        <w:ind w:right="539"/>
        <w:rPr>
          <w:rFonts w:cs="Arial"/>
          <w:szCs w:val="22"/>
          <w:lang w:eastAsia="fr-CA"/>
        </w:rPr>
      </w:pPr>
      <w:r w:rsidRPr="0054413F">
        <w:rPr>
          <w:rFonts w:cs="Arial"/>
          <w:szCs w:val="22"/>
          <w:lang w:eastAsia="fr-CA"/>
        </w:rPr>
        <w:t>Ils ajoutent que leurs personnalités juridiques distinctes sont utilisées de manière abusive pour masquer des fraudes alléguées.</w:t>
      </w:r>
    </w:p>
    <w:p w14:paraId="40D30314" w14:textId="77777777" w:rsidR="00CB453B" w:rsidRPr="0054413F" w:rsidRDefault="00730A01" w:rsidP="0042740E">
      <w:pPr>
        <w:pStyle w:val="NormalWeb"/>
        <w:numPr>
          <w:ilvl w:val="0"/>
          <w:numId w:val="20"/>
        </w:numPr>
        <w:ind w:left="709" w:right="539" w:hanging="283"/>
        <w:rPr>
          <w:rFonts w:ascii="Arial" w:hAnsi="Arial" w:cs="Arial"/>
          <w:sz w:val="22"/>
          <w:szCs w:val="22"/>
          <w:lang w:eastAsia="fr-CA"/>
        </w:rPr>
      </w:pPr>
      <w:r w:rsidRPr="0054413F">
        <w:rPr>
          <w:rFonts w:ascii="Arial" w:hAnsi="Arial" w:cs="Arial"/>
          <w:b/>
          <w:bCs/>
          <w:sz w:val="22"/>
          <w:szCs w:val="22"/>
          <w:lang w:eastAsia="fr-CA"/>
        </w:rPr>
        <w:t>Mention d’utilisation abusive des structures corporatives</w:t>
      </w:r>
    </w:p>
    <w:p w14:paraId="7A29E7EF" w14:textId="77777777" w:rsidR="00CB453B" w:rsidRPr="0054413F" w:rsidRDefault="00730A01" w:rsidP="0054413F">
      <w:pPr>
        <w:pStyle w:val="Citationenretrait"/>
        <w:ind w:right="539"/>
        <w:rPr>
          <w:rFonts w:cs="Arial"/>
          <w:szCs w:val="22"/>
          <w:lang w:eastAsia="fr-CA"/>
        </w:rPr>
      </w:pPr>
      <w:r w:rsidRPr="0054413F">
        <w:rPr>
          <w:rFonts w:cs="Arial"/>
          <w:szCs w:val="22"/>
          <w:lang w:eastAsia="fr-CA"/>
        </w:rPr>
        <w:t>Ils allèguent que ces structures servent à éviter l’exécution d’un jugement déjà rendu ou anticipé.</w:t>
      </w:r>
    </w:p>
    <w:p w14:paraId="34B3BB94" w14:textId="77777777" w:rsidR="00CB453B" w:rsidRPr="0054413F" w:rsidRDefault="00730A01" w:rsidP="0054413F">
      <w:pPr>
        <w:pStyle w:val="Citationenretrait"/>
        <w:ind w:right="539"/>
        <w:rPr>
          <w:rFonts w:cs="Arial"/>
          <w:szCs w:val="22"/>
          <w:lang w:eastAsia="fr-CA"/>
        </w:rPr>
      </w:pPr>
      <w:r w:rsidRPr="0054413F">
        <w:rPr>
          <w:rFonts w:cs="Arial"/>
          <w:szCs w:val="22"/>
          <w:lang w:eastAsia="fr-CA"/>
        </w:rPr>
        <w:t xml:space="preserve">Ils affirment que cette conduite justifie la </w:t>
      </w:r>
      <w:r w:rsidRPr="0054413F">
        <w:rPr>
          <w:rFonts w:cs="Arial"/>
          <w:b/>
          <w:bCs/>
          <w:szCs w:val="22"/>
          <w:lang w:eastAsia="fr-CA"/>
        </w:rPr>
        <w:t>levée du voile corporatif</w:t>
      </w:r>
      <w:r w:rsidRPr="0054413F">
        <w:rPr>
          <w:rFonts w:cs="Arial"/>
          <w:szCs w:val="22"/>
          <w:lang w:eastAsia="fr-CA"/>
        </w:rPr>
        <w:t xml:space="preserve"> afin de tenir personnellement responsables certaines entités ou personnes physiques liées.</w:t>
      </w:r>
    </w:p>
    <w:p w14:paraId="6E2FEB10" w14:textId="77777777" w:rsidR="00CB453B" w:rsidRPr="0054413F" w:rsidRDefault="00730A01" w:rsidP="0042740E">
      <w:pPr>
        <w:pStyle w:val="NormalWeb"/>
        <w:numPr>
          <w:ilvl w:val="0"/>
          <w:numId w:val="20"/>
        </w:numPr>
        <w:ind w:left="709" w:right="539" w:hanging="283"/>
        <w:rPr>
          <w:rFonts w:ascii="Arial" w:hAnsi="Arial" w:cs="Arial"/>
          <w:sz w:val="22"/>
          <w:szCs w:val="22"/>
          <w:lang w:eastAsia="fr-CA"/>
        </w:rPr>
      </w:pPr>
      <w:r w:rsidRPr="0054413F">
        <w:rPr>
          <w:rFonts w:ascii="Arial" w:hAnsi="Arial" w:cs="Arial"/>
          <w:b/>
          <w:bCs/>
          <w:sz w:val="22"/>
          <w:szCs w:val="22"/>
          <w:lang w:eastAsia="fr-CA"/>
        </w:rPr>
        <w:t>Appui de ces ajouts sur la preuve déjà au dossier</w:t>
      </w:r>
    </w:p>
    <w:p w14:paraId="3F59BDE6" w14:textId="77777777" w:rsidR="00CB453B" w:rsidRPr="0054413F" w:rsidRDefault="00730A01" w:rsidP="0054413F">
      <w:pPr>
        <w:pStyle w:val="Citationenretrait"/>
        <w:ind w:left="709" w:right="539"/>
        <w:rPr>
          <w:rFonts w:cs="Arial"/>
          <w:szCs w:val="22"/>
          <w:lang w:eastAsia="fr-CA"/>
        </w:rPr>
      </w:pPr>
      <w:r w:rsidRPr="0054413F">
        <w:rPr>
          <w:rFonts w:cs="Arial"/>
          <w:szCs w:val="22"/>
          <w:lang w:eastAsia="fr-CA"/>
        </w:rPr>
        <w:t>Selon les Demandeurs ces modifications se fondent sur la preuve financière et factuelle déjà présentée.</w:t>
      </w:r>
    </w:p>
    <w:p w14:paraId="70D6E869" w14:textId="77777777" w:rsidR="00CB453B" w:rsidRPr="00014ADA" w:rsidRDefault="00730A01" w:rsidP="0098012F">
      <w:pPr>
        <w:pStyle w:val="Paragraphe"/>
        <w:tabs>
          <w:tab w:val="clear" w:pos="786"/>
        </w:tabs>
        <w:spacing w:line="240" w:lineRule="auto"/>
        <w:ind w:left="0"/>
        <w:rPr>
          <w:lang w:eastAsia="fr-CA"/>
        </w:rPr>
      </w:pPr>
      <w:r>
        <w:t xml:space="preserve">Les Demandeurs </w:t>
      </w:r>
      <w:r w:rsidRPr="006A1B5A">
        <w:t>reprennent des éléments de preuve pour démontrer que la structure corporative et les flux financiers ont été employés pour dissimuler des opérations et soustraire</w:t>
      </w:r>
      <w:r w:rsidRPr="00014ADA">
        <w:rPr>
          <w:lang w:eastAsia="fr-CA"/>
        </w:rPr>
        <w:t xml:space="preserve"> des actifs aux recours des demandeurs.</w:t>
      </w:r>
    </w:p>
    <w:p w14:paraId="7F9EE566" w14:textId="77777777" w:rsidR="00CB453B" w:rsidRPr="00014ADA" w:rsidRDefault="00730A01" w:rsidP="0098012F">
      <w:pPr>
        <w:numPr>
          <w:ilvl w:val="0"/>
          <w:numId w:val="1"/>
        </w:numPr>
        <w:tabs>
          <w:tab w:val="clear" w:pos="786"/>
        </w:tabs>
        <w:spacing w:before="100" w:beforeAutospacing="1" w:after="100" w:afterAutospacing="1"/>
        <w:ind w:left="0"/>
        <w:jc w:val="both"/>
        <w:rPr>
          <w:rFonts w:cs="Arial"/>
          <w:szCs w:val="24"/>
          <w:lang w:eastAsia="fr-CA"/>
        </w:rPr>
      </w:pPr>
      <w:r w:rsidRPr="00014ADA">
        <w:rPr>
          <w:rFonts w:cs="Arial"/>
          <w:szCs w:val="24"/>
          <w:lang w:eastAsia="fr-CA"/>
        </w:rPr>
        <w:t>En somme, ces ajouts ne visent pas à changer la nature des recours, mais visent plutôt à renforcer les prétentions relatives à la levée du voile corporatif et à la responsabilité directe des défendeurs en consolidant les faits déjà plaidés.</w:t>
      </w:r>
    </w:p>
    <w:p w14:paraId="0DD37192"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Le Tribunal permettra les modifications en question car celles-ci ne modifient pas la nature des recours et ne créent pas d’effet de surprise, puisqu’elles découlent de faits déjà débattus.</w:t>
      </w:r>
    </w:p>
    <w:p w14:paraId="03B896BB" w14:textId="77777777" w:rsidR="00B47A45" w:rsidRDefault="00730A01" w:rsidP="001D3ECB">
      <w:pPr>
        <w:pStyle w:val="Paragraphe"/>
        <w:tabs>
          <w:tab w:val="clear" w:pos="786"/>
        </w:tabs>
        <w:spacing w:after="0" w:line="240" w:lineRule="auto"/>
        <w:ind w:left="0"/>
        <w:rPr>
          <w:lang w:eastAsia="fr-CA"/>
        </w:rPr>
      </w:pPr>
      <w:r w:rsidRPr="00014ADA">
        <w:rPr>
          <w:lang w:eastAsia="fr-CA"/>
        </w:rPr>
        <w:t xml:space="preserve">La jurisprudence en la matière reconnaît </w:t>
      </w:r>
      <w:r w:rsidR="002327CC">
        <w:rPr>
          <w:lang w:eastAsia="fr-CA"/>
        </w:rPr>
        <w:t xml:space="preserve">en effet </w:t>
      </w:r>
      <w:r w:rsidRPr="00014ADA">
        <w:rPr>
          <w:lang w:eastAsia="fr-CA"/>
        </w:rPr>
        <w:t>qu’un amendement est recevable lorsqu’il permet de trancher le litige sur la base de l’ensemble des faits pertinents, sans retarder indûment l’instance.</w:t>
      </w:r>
      <w:r w:rsidRPr="00014ADA">
        <w:rPr>
          <w:b/>
          <w:bCs/>
          <w:lang w:eastAsia="fr-CA"/>
        </w:rPr>
        <w:t xml:space="preserve"> </w:t>
      </w:r>
      <w:r w:rsidRPr="00014ADA">
        <w:rPr>
          <w:lang w:eastAsia="fr-CA"/>
        </w:rPr>
        <w:t>La procédure doit servir la recherche de la vérité et un amendement qui complète le tableau factuel est recevable. L’objectif est d’éviter qu’un obstacle de procédure prive le Tribunal d’un débat complet et éclairé</w:t>
      </w:r>
      <w:r>
        <w:rPr>
          <w:rStyle w:val="Appelnotedebasdep"/>
          <w:lang w:eastAsia="fr-CA"/>
        </w:rPr>
        <w:footnoteReference w:id="379"/>
      </w:r>
      <w:r w:rsidRPr="00014ADA">
        <w:rPr>
          <w:lang w:eastAsia="fr-CA"/>
        </w:rPr>
        <w:t>.</w:t>
      </w:r>
    </w:p>
    <w:p w14:paraId="5B7B293F" w14:textId="77777777" w:rsidR="00112406" w:rsidRDefault="00730A01" w:rsidP="001D3ECB">
      <w:pPr>
        <w:pStyle w:val="Paragraphe"/>
        <w:numPr>
          <w:ilvl w:val="0"/>
          <w:numId w:val="0"/>
        </w:numPr>
        <w:tabs>
          <w:tab w:val="left" w:pos="3686"/>
        </w:tabs>
        <w:spacing w:line="240" w:lineRule="auto"/>
        <w:rPr>
          <w:lang w:eastAsia="fr-CA"/>
        </w:rPr>
      </w:pPr>
      <w:r>
        <w:rPr>
          <w:lang w:eastAsia="fr-CA"/>
        </w:rPr>
        <w:tab/>
        <w:t>* * *</w:t>
      </w:r>
    </w:p>
    <w:p w14:paraId="1EEA4143" w14:textId="77777777" w:rsidR="00112406" w:rsidRDefault="00730A01">
      <w:pPr>
        <w:rPr>
          <w:kern w:val="28"/>
          <w:lang w:eastAsia="fr-CA"/>
        </w:rPr>
      </w:pPr>
      <w:r>
        <w:rPr>
          <w:lang w:eastAsia="fr-CA"/>
        </w:rPr>
        <w:br w:type="page"/>
      </w:r>
    </w:p>
    <w:p w14:paraId="1BD665FC" w14:textId="77777777" w:rsidR="00CB453B" w:rsidRPr="0071447A" w:rsidRDefault="00730A01" w:rsidP="0071447A">
      <w:pPr>
        <w:pStyle w:val="Titre4"/>
        <w:ind w:left="426" w:hanging="426"/>
        <w:rPr>
          <w:smallCaps/>
          <w:szCs w:val="24"/>
        </w:rPr>
      </w:pPr>
      <w:r w:rsidRPr="00A82355">
        <w:rPr>
          <w:szCs w:val="24"/>
        </w:rPr>
        <w:t xml:space="preserve">B) </w:t>
      </w:r>
      <w:r w:rsidR="004021C3" w:rsidRPr="00A82355">
        <w:rPr>
          <w:szCs w:val="24"/>
        </w:rPr>
        <w:tab/>
      </w:r>
      <w:r w:rsidRPr="0071447A">
        <w:rPr>
          <w:smallCaps/>
          <w:szCs w:val="24"/>
        </w:rPr>
        <w:t>Les objections à trancher</w:t>
      </w:r>
    </w:p>
    <w:p w14:paraId="0B132255" w14:textId="77777777" w:rsidR="00CB453B" w:rsidRPr="00033007" w:rsidRDefault="00730A01" w:rsidP="0098012F">
      <w:pPr>
        <w:pStyle w:val="Paragraphe"/>
        <w:tabs>
          <w:tab w:val="clear" w:pos="786"/>
        </w:tabs>
        <w:spacing w:line="240" w:lineRule="auto"/>
        <w:ind w:left="0"/>
        <w:rPr>
          <w:lang w:eastAsia="fr-CA"/>
        </w:rPr>
      </w:pPr>
      <w:r w:rsidRPr="00033007">
        <w:rPr>
          <w:lang w:eastAsia="fr-CA"/>
        </w:rPr>
        <w:t>À l’occasion de l’instruction au fond, certaines objections ont été prises sous réserve par le Tribunal et il y a maintenant lieu de trancher. Il est à noter que depuis, plusieurs objections ont été retirées par les parties. Il demeure les objections suivantes à trancher :</w:t>
      </w:r>
    </w:p>
    <w:p w14:paraId="7818C9AD" w14:textId="77777777" w:rsidR="00033007" w:rsidRPr="00B47A45" w:rsidRDefault="00730A01" w:rsidP="003F67E0">
      <w:pPr>
        <w:pStyle w:val="Titre6"/>
        <w:numPr>
          <w:ilvl w:val="1"/>
          <w:numId w:val="6"/>
        </w:numPr>
        <w:spacing w:before="120"/>
        <w:ind w:left="426" w:hanging="426"/>
        <w:rPr>
          <w:b/>
          <w:bCs/>
          <w:sz w:val="24"/>
          <w:szCs w:val="24"/>
          <w:lang w:eastAsia="fr-CA"/>
        </w:rPr>
      </w:pPr>
      <w:r w:rsidRPr="00B47A45">
        <w:rPr>
          <w:b/>
          <w:bCs/>
          <w:sz w:val="24"/>
          <w:szCs w:val="24"/>
          <w:lang w:eastAsia="fr-CA"/>
        </w:rPr>
        <w:t>Les objections formulées par les Demandeurs</w:t>
      </w:r>
    </w:p>
    <w:p w14:paraId="69FDF7E4" w14:textId="77777777" w:rsidR="00033007" w:rsidRPr="00B47A45" w:rsidRDefault="00730A01" w:rsidP="00443B59">
      <w:pPr>
        <w:pStyle w:val="Paragraphe"/>
        <w:numPr>
          <w:ilvl w:val="0"/>
          <w:numId w:val="55"/>
        </w:numPr>
        <w:spacing w:line="240" w:lineRule="auto"/>
        <w:ind w:left="851" w:hanging="425"/>
        <w:rPr>
          <w:i/>
          <w:iCs/>
          <w:u w:val="single"/>
          <w:lang w:eastAsia="fr-CA"/>
        </w:rPr>
      </w:pPr>
      <w:r w:rsidRPr="00B47A45">
        <w:rPr>
          <w:i/>
          <w:iCs/>
          <w:u w:val="single"/>
          <w:lang w:eastAsia="fr-CA"/>
        </w:rPr>
        <w:t>Objection du 13</w:t>
      </w:r>
      <w:r w:rsidR="00107936">
        <w:rPr>
          <w:i/>
          <w:iCs/>
          <w:u w:val="single"/>
          <w:lang w:eastAsia="fr-CA"/>
        </w:rPr>
        <w:t> </w:t>
      </w:r>
      <w:r w:rsidRPr="00B47A45">
        <w:rPr>
          <w:i/>
          <w:iCs/>
          <w:u w:val="single"/>
          <w:lang w:eastAsia="fr-CA"/>
        </w:rPr>
        <w:t>juin</w:t>
      </w:r>
      <w:r w:rsidR="00107936">
        <w:rPr>
          <w:i/>
          <w:iCs/>
          <w:u w:val="single"/>
          <w:lang w:eastAsia="fr-CA"/>
        </w:rPr>
        <w:t> </w:t>
      </w:r>
      <w:r w:rsidRPr="00B47A45">
        <w:rPr>
          <w:i/>
          <w:iCs/>
          <w:u w:val="single"/>
          <w:lang w:eastAsia="fr-CA"/>
        </w:rPr>
        <w:t>2024 portant sur le compte d’honoraires de KPMG</w:t>
      </w:r>
    </w:p>
    <w:p w14:paraId="4F1BE462" w14:textId="77777777" w:rsidR="00CB453B" w:rsidRPr="00014ADA" w:rsidRDefault="00730A01" w:rsidP="0098012F">
      <w:pPr>
        <w:pStyle w:val="Paragraphe"/>
        <w:tabs>
          <w:tab w:val="clear" w:pos="786"/>
        </w:tabs>
        <w:spacing w:line="240" w:lineRule="auto"/>
        <w:ind w:left="0"/>
        <w:rPr>
          <w:lang w:eastAsia="fr-CA"/>
        </w:rPr>
      </w:pPr>
      <w:r w:rsidRPr="00FE09F5">
        <w:rPr>
          <w:lang w:eastAsia="fr-CA"/>
        </w:rPr>
        <w:t>L’objection survient</w:t>
      </w:r>
      <w:r w:rsidRPr="00014ADA">
        <w:rPr>
          <w:b/>
          <w:bCs/>
          <w:lang w:eastAsia="fr-CA"/>
        </w:rPr>
        <w:t xml:space="preserve"> </w:t>
      </w:r>
      <w:r w:rsidRPr="00014ADA">
        <w:rPr>
          <w:lang w:eastAsia="fr-CA"/>
        </w:rPr>
        <w:t xml:space="preserve">lorsque le procureur des </w:t>
      </w:r>
      <w:r w:rsidR="00CD4EE1">
        <w:rPr>
          <w:lang w:eastAsia="fr-CA"/>
        </w:rPr>
        <w:t>D</w:t>
      </w:r>
      <w:r w:rsidRPr="00014ADA">
        <w:rPr>
          <w:lang w:eastAsia="fr-CA"/>
        </w:rPr>
        <w:t>éfendeurs, M</w:t>
      </w:r>
      <w:r w:rsidRPr="00107936">
        <w:rPr>
          <w:vertAlign w:val="superscript"/>
          <w:lang w:eastAsia="fr-CA"/>
        </w:rPr>
        <w:t>e</w:t>
      </w:r>
      <w:r w:rsidR="00107936">
        <w:rPr>
          <w:lang w:eastAsia="fr-CA"/>
        </w:rPr>
        <w:t> </w:t>
      </w:r>
      <w:r w:rsidRPr="00014ADA">
        <w:rPr>
          <w:lang w:eastAsia="fr-CA"/>
        </w:rPr>
        <w:t>Rigaud</w:t>
      </w:r>
      <w:r w:rsidR="00CD4EE1">
        <w:rPr>
          <w:lang w:eastAsia="fr-CA"/>
        </w:rPr>
        <w:t>,</w:t>
      </w:r>
      <w:r w:rsidRPr="00014ADA">
        <w:rPr>
          <w:lang w:eastAsia="fr-CA"/>
        </w:rPr>
        <w:t xml:space="preserve"> demande à obtenir copie des comptes d’honoraires de KPMG et le montant total facturé</w:t>
      </w:r>
      <w:r>
        <w:rPr>
          <w:rStyle w:val="Appelnotedebasdep"/>
          <w:lang w:eastAsia="fr-CA"/>
        </w:rPr>
        <w:footnoteReference w:id="380"/>
      </w:r>
      <w:r w:rsidRPr="00014ADA">
        <w:rPr>
          <w:lang w:eastAsia="fr-CA"/>
        </w:rPr>
        <w:t>.</w:t>
      </w:r>
    </w:p>
    <w:p w14:paraId="7C15556B"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Le motif invoqué au soutien de l’objection</w:t>
      </w:r>
      <w:r w:rsidR="00FE09F5">
        <w:rPr>
          <w:lang w:eastAsia="fr-CA"/>
        </w:rPr>
        <w:t xml:space="preserve"> </w:t>
      </w:r>
      <w:r w:rsidRPr="00014ADA">
        <w:rPr>
          <w:lang w:eastAsia="fr-CA"/>
        </w:rPr>
        <w:t xml:space="preserve">par les procureurs des </w:t>
      </w:r>
      <w:r w:rsidR="00FE09F5">
        <w:rPr>
          <w:lang w:eastAsia="fr-CA"/>
        </w:rPr>
        <w:t>D</w:t>
      </w:r>
      <w:r w:rsidRPr="00014ADA">
        <w:rPr>
          <w:lang w:eastAsia="fr-CA"/>
        </w:rPr>
        <w:t>emandeurs, M</w:t>
      </w:r>
      <w:r w:rsidRPr="00107936">
        <w:rPr>
          <w:vertAlign w:val="superscript"/>
          <w:lang w:eastAsia="fr-CA"/>
        </w:rPr>
        <w:t>e</w:t>
      </w:r>
      <w:r w:rsidR="00107936">
        <w:rPr>
          <w:lang w:eastAsia="fr-CA"/>
        </w:rPr>
        <w:t> </w:t>
      </w:r>
      <w:r w:rsidRPr="00014ADA">
        <w:rPr>
          <w:lang w:eastAsia="fr-CA"/>
        </w:rPr>
        <w:t>Valin et M</w:t>
      </w:r>
      <w:r w:rsidRPr="00107936">
        <w:rPr>
          <w:vertAlign w:val="superscript"/>
          <w:lang w:eastAsia="fr-CA"/>
        </w:rPr>
        <w:t>e</w:t>
      </w:r>
      <w:r w:rsidR="00107936">
        <w:rPr>
          <w:lang w:eastAsia="fr-CA"/>
        </w:rPr>
        <w:t> </w:t>
      </w:r>
      <w:r w:rsidRPr="00014ADA">
        <w:rPr>
          <w:lang w:eastAsia="fr-CA"/>
        </w:rPr>
        <w:t>Bertrand</w:t>
      </w:r>
      <w:r w:rsidR="00FE09F5">
        <w:rPr>
          <w:lang w:eastAsia="fr-CA"/>
        </w:rPr>
        <w:t>,</w:t>
      </w:r>
      <w:r w:rsidRPr="00014ADA">
        <w:rPr>
          <w:lang w:eastAsia="fr-CA"/>
        </w:rPr>
        <w:t xml:space="preserve"> est celui du</w:t>
      </w:r>
      <w:r w:rsidRPr="00014ADA">
        <w:rPr>
          <w:b/>
          <w:bCs/>
          <w:lang w:eastAsia="fr-CA"/>
        </w:rPr>
        <w:t xml:space="preserve"> </w:t>
      </w:r>
      <w:r w:rsidRPr="00014ADA">
        <w:rPr>
          <w:lang w:eastAsia="fr-CA"/>
        </w:rPr>
        <w:t>privilège relatif au litige. Ils requièrent le maintien de l’objection car selon eux, il est prématuré à ce stade de fournir les comptes d’honoraires de l’expert concerné. Ils déclarent que lesdits comptes seront transmis lors de la constitution de l’état des frais suivant le jugement du Tribunal sur les dépens avec frais d’expertise.</w:t>
      </w:r>
    </w:p>
    <w:p w14:paraId="597AF78F"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M</w:t>
      </w:r>
      <w:r w:rsidRPr="00107936">
        <w:rPr>
          <w:vertAlign w:val="superscript"/>
          <w:lang w:eastAsia="fr-CA"/>
        </w:rPr>
        <w:t>e</w:t>
      </w:r>
      <w:r w:rsidR="00107936">
        <w:rPr>
          <w:lang w:eastAsia="fr-CA"/>
        </w:rPr>
        <w:t> </w:t>
      </w:r>
      <w:r w:rsidRPr="00014ADA">
        <w:rPr>
          <w:lang w:eastAsia="fr-CA"/>
        </w:rPr>
        <w:t>Rigaud insiste pour obtenir copie du compte en question en s’appuyant sur l’article</w:t>
      </w:r>
      <w:r w:rsidR="00107936">
        <w:rPr>
          <w:lang w:eastAsia="fr-CA"/>
        </w:rPr>
        <w:t> </w:t>
      </w:r>
      <w:r w:rsidRPr="00014ADA">
        <w:rPr>
          <w:lang w:eastAsia="fr-CA"/>
        </w:rPr>
        <w:t>17 du Règlement de la Cour supérieure en matière civile qui, selon lui</w:t>
      </w:r>
      <w:r w:rsidR="00FE09F5">
        <w:rPr>
          <w:lang w:eastAsia="fr-CA"/>
        </w:rPr>
        <w:t>,</w:t>
      </w:r>
      <w:r w:rsidRPr="00014ADA">
        <w:rPr>
          <w:lang w:eastAsia="fr-CA"/>
        </w:rPr>
        <w:t xml:space="preserve"> oblige tout expert à produire son compte d’honoraire</w:t>
      </w:r>
      <w:r w:rsidR="00FE09F5">
        <w:rPr>
          <w:lang w:eastAsia="fr-CA"/>
        </w:rPr>
        <w:t>s</w:t>
      </w:r>
      <w:r w:rsidRPr="00014ADA">
        <w:rPr>
          <w:lang w:eastAsia="fr-CA"/>
        </w:rPr>
        <w:t>.</w:t>
      </w:r>
    </w:p>
    <w:p w14:paraId="5D78155E" w14:textId="77777777" w:rsidR="00CB453B" w:rsidRPr="00014ADA" w:rsidRDefault="00730A01" w:rsidP="0098012F">
      <w:pPr>
        <w:pStyle w:val="Paragraphe"/>
        <w:tabs>
          <w:tab w:val="clear" w:pos="786"/>
        </w:tabs>
        <w:spacing w:line="240" w:lineRule="auto"/>
        <w:ind w:left="0"/>
        <w:rPr>
          <w:color w:val="212529"/>
          <w:shd w:val="clear" w:color="auto" w:fill="FFFFFF"/>
        </w:rPr>
      </w:pPr>
      <w:r w:rsidRPr="00014ADA">
        <w:t>Il est exact que cet article</w:t>
      </w:r>
      <w:r w:rsidR="00107936">
        <w:t> </w:t>
      </w:r>
      <w:r w:rsidRPr="00014ADA">
        <w:t xml:space="preserve">17 prévoit </w:t>
      </w:r>
      <w:r w:rsidRPr="00014ADA">
        <w:rPr>
          <w:color w:val="212529"/>
          <w:shd w:val="clear" w:color="auto" w:fill="FFFFFF"/>
        </w:rPr>
        <w:t xml:space="preserve">que la partie qui produit un rapport d’expertise doit aussi produire son compte d’honoraires à jour et son tarif actuel pour participation à l’instruction. </w:t>
      </w:r>
    </w:p>
    <w:p w14:paraId="62D8B0FB" w14:textId="77777777" w:rsidR="00CB453B" w:rsidRPr="00014ADA" w:rsidRDefault="00730A01" w:rsidP="0098012F">
      <w:pPr>
        <w:pStyle w:val="Paragraphe"/>
        <w:tabs>
          <w:tab w:val="clear" w:pos="786"/>
        </w:tabs>
        <w:spacing w:line="240" w:lineRule="auto"/>
        <w:ind w:left="0"/>
        <w:rPr>
          <w:color w:val="000016"/>
          <w:spacing w:val="2"/>
        </w:rPr>
      </w:pPr>
      <w:r w:rsidRPr="00014ADA">
        <w:rPr>
          <w:color w:val="212529"/>
          <w:shd w:val="clear" w:color="auto" w:fill="FFFFFF"/>
        </w:rPr>
        <w:t>L’omission de produire ledit compte d’honoraire</w:t>
      </w:r>
      <w:r w:rsidR="00FE09F5">
        <w:rPr>
          <w:color w:val="212529"/>
          <w:shd w:val="clear" w:color="auto" w:fill="FFFFFF"/>
        </w:rPr>
        <w:t>s</w:t>
      </w:r>
      <w:r w:rsidRPr="00014ADA">
        <w:rPr>
          <w:color w:val="212529"/>
          <w:shd w:val="clear" w:color="auto" w:fill="FFFFFF"/>
        </w:rPr>
        <w:t xml:space="preserve"> n’invalide cependant pas automatiquement le rapport d’expertise en question. Il ne s’agit pas ici d’une règle d’ordre public. Il s’agit d’une règle procédurale visant à </w:t>
      </w:r>
      <w:r w:rsidRPr="00014ADA">
        <w:rPr>
          <w:color w:val="000016"/>
          <w:spacing w:val="2"/>
        </w:rPr>
        <w:t xml:space="preserve">aider le </w:t>
      </w:r>
      <w:r w:rsidR="00FE09F5">
        <w:rPr>
          <w:color w:val="000016"/>
          <w:spacing w:val="2"/>
        </w:rPr>
        <w:t>T</w:t>
      </w:r>
      <w:r w:rsidRPr="00014ADA">
        <w:rPr>
          <w:color w:val="000016"/>
          <w:spacing w:val="2"/>
        </w:rPr>
        <w:t xml:space="preserve">ribunal à apprécier la force probante du témoignage de l’expert concerné. D’ailleurs, </w:t>
      </w:r>
      <w:r w:rsidRPr="00014ADA">
        <w:t>les comptes d’honoraires des experts peuvent posséder un caractère privilégié</w:t>
      </w:r>
      <w:r>
        <w:rPr>
          <w:rStyle w:val="Appelnotedebasdep"/>
        </w:rPr>
        <w:footnoteReference w:id="381"/>
      </w:r>
      <w:r w:rsidRPr="00014ADA">
        <w:t xml:space="preserve"> et il est en outre bien établi que la procédure n’est pas la maîtresse du droit.</w:t>
      </w:r>
    </w:p>
    <w:p w14:paraId="2E0A745C" w14:textId="77777777" w:rsidR="00CB453B" w:rsidRPr="00BA1699" w:rsidRDefault="00730A01" w:rsidP="00F677EE">
      <w:pPr>
        <w:numPr>
          <w:ilvl w:val="0"/>
          <w:numId w:val="1"/>
        </w:numPr>
        <w:shd w:val="clear" w:color="auto" w:fill="FFFFFF"/>
        <w:tabs>
          <w:tab w:val="clear" w:pos="786"/>
        </w:tabs>
        <w:spacing w:before="120"/>
        <w:ind w:left="0"/>
        <w:jc w:val="both"/>
        <w:rPr>
          <w:rFonts w:eastAsia="Aptos" w:cs="Arial"/>
          <w:color w:val="000016"/>
          <w:spacing w:val="2"/>
          <w:szCs w:val="24"/>
          <w:lang w:eastAsia="fr-CA"/>
        </w:rPr>
      </w:pPr>
      <w:r w:rsidRPr="00014ADA">
        <w:rPr>
          <w:rFonts w:eastAsia="Aptos" w:cs="Arial"/>
          <w:color w:val="000016"/>
          <w:spacing w:val="2"/>
          <w:szCs w:val="24"/>
          <w:lang w:eastAsia="fr-CA"/>
        </w:rPr>
        <w:t>Comme le mentionne M.</w:t>
      </w:r>
      <w:r w:rsidR="00107936">
        <w:rPr>
          <w:rFonts w:eastAsia="Aptos" w:cs="Arial"/>
          <w:color w:val="000016"/>
          <w:spacing w:val="2"/>
          <w:szCs w:val="24"/>
          <w:lang w:eastAsia="fr-CA"/>
        </w:rPr>
        <w:t> </w:t>
      </w:r>
      <w:r w:rsidRPr="00014ADA">
        <w:rPr>
          <w:rFonts w:eastAsia="Aptos" w:cs="Arial"/>
          <w:color w:val="000016"/>
          <w:spacing w:val="2"/>
          <w:szCs w:val="24"/>
          <w:lang w:eastAsia="fr-CA"/>
        </w:rPr>
        <w:t xml:space="preserve">le juge Claude Bouchard de notre Cour dans </w:t>
      </w:r>
      <w:r w:rsidRPr="00014ADA">
        <w:rPr>
          <w:rFonts w:eastAsia="Aptos" w:cs="Arial"/>
          <w:i/>
          <w:iCs/>
          <w:color w:val="000016"/>
          <w:spacing w:val="2"/>
          <w:szCs w:val="24"/>
          <w:lang w:eastAsia="fr-CA"/>
        </w:rPr>
        <w:t xml:space="preserve">Tremblay </w:t>
      </w:r>
      <w:r w:rsidRPr="00014ADA">
        <w:rPr>
          <w:rFonts w:eastAsia="Aptos" w:cs="Arial"/>
          <w:color w:val="000016"/>
          <w:spacing w:val="2"/>
          <w:szCs w:val="24"/>
          <w:lang w:eastAsia="fr-CA"/>
        </w:rPr>
        <w:t>c</w:t>
      </w:r>
      <w:r w:rsidRPr="00014ADA">
        <w:rPr>
          <w:rFonts w:eastAsia="Aptos" w:cs="Arial"/>
          <w:i/>
          <w:iCs/>
          <w:color w:val="000016"/>
          <w:spacing w:val="2"/>
          <w:szCs w:val="24"/>
          <w:lang w:eastAsia="fr-CA"/>
        </w:rPr>
        <w:t>. Lavoie</w:t>
      </w:r>
      <w:r>
        <w:rPr>
          <w:rStyle w:val="Appelnotedebasdep"/>
          <w:rFonts w:eastAsia="Aptos" w:cs="Arial"/>
          <w:i/>
          <w:iCs/>
          <w:color w:val="000016"/>
          <w:spacing w:val="2"/>
          <w:szCs w:val="24"/>
          <w:lang w:eastAsia="fr-CA"/>
        </w:rPr>
        <w:footnoteReference w:id="382"/>
      </w:r>
      <w:r w:rsidRPr="00014ADA">
        <w:rPr>
          <w:rFonts w:eastAsia="Aptos" w:cs="Arial"/>
          <w:i/>
          <w:iCs/>
          <w:color w:val="000016"/>
          <w:spacing w:val="2"/>
          <w:szCs w:val="24"/>
          <w:lang w:eastAsia="fr-CA"/>
        </w:rPr>
        <w:t> :</w:t>
      </w:r>
    </w:p>
    <w:p w14:paraId="621ECBD4" w14:textId="77777777" w:rsidR="00CB453B" w:rsidRPr="006D027C" w:rsidRDefault="00730A01" w:rsidP="00BA1699">
      <w:pPr>
        <w:pStyle w:val="Citationenretrait"/>
        <w:ind w:right="539"/>
        <w:rPr>
          <w:rFonts w:eastAsia="Aptos"/>
        </w:rPr>
      </w:pPr>
      <w:r w:rsidRPr="006D027C">
        <w:rPr>
          <w:rFonts w:eastAsia="Aptos"/>
        </w:rPr>
        <w:t>[21]</w:t>
      </w:r>
      <w:r w:rsidR="00107936">
        <w:rPr>
          <w:rFonts w:eastAsia="Aptos"/>
        </w:rPr>
        <w:tab/>
      </w:r>
      <w:r w:rsidRPr="006D027C">
        <w:rPr>
          <w:rFonts w:eastAsia="Aptos"/>
        </w:rPr>
        <w:t>Il pourrait arriver que le mode de rémunération de l'expert puisse avoir une incidence sur sa crédibilité, comme par exemple</w:t>
      </w:r>
      <w:r w:rsidR="00241D26">
        <w:rPr>
          <w:rFonts w:eastAsia="Aptos"/>
        </w:rPr>
        <w:t>,</w:t>
      </w:r>
      <w:r w:rsidRPr="006D027C">
        <w:rPr>
          <w:rFonts w:eastAsia="Aptos"/>
        </w:rPr>
        <w:t xml:space="preserve"> dans le cas de l'expert qui serait payé à pourcentage ou dont le paiement des honoraires dépendrait du jugement à</w:t>
      </w:r>
      <w:r w:rsidR="00BA1699">
        <w:rPr>
          <w:rFonts w:eastAsia="Aptos"/>
        </w:rPr>
        <w:t xml:space="preserve"> </w:t>
      </w:r>
      <w:r w:rsidRPr="006D027C">
        <w:rPr>
          <w:rFonts w:eastAsia="Aptos"/>
        </w:rPr>
        <w:t>être rendu. Les auteurs Donald Béchard</w:t>
      </w:r>
      <w:bookmarkStart w:id="129" w:name="_ftnref8"/>
      <w:r w:rsidRPr="006D027C">
        <w:rPr>
          <w:rFonts w:eastAsia="Aptos"/>
          <w:vertAlign w:val="superscript"/>
        </w:rPr>
        <w:t>[8]</w:t>
      </w:r>
      <w:bookmarkEnd w:id="129"/>
      <w:r w:rsidR="00241D26">
        <w:rPr>
          <w:rFonts w:eastAsia="Aptos"/>
        </w:rPr>
        <w:t xml:space="preserve"> </w:t>
      </w:r>
      <w:r w:rsidRPr="006D027C">
        <w:rPr>
          <w:rFonts w:eastAsia="Aptos"/>
        </w:rPr>
        <w:t>et Martin Dallaire et Pierre Lortie</w:t>
      </w:r>
      <w:bookmarkStart w:id="130" w:name="_ftnref9"/>
      <w:r w:rsidRPr="006D027C">
        <w:rPr>
          <w:rFonts w:eastAsia="Aptos"/>
          <w:vertAlign w:val="superscript"/>
        </w:rPr>
        <w:t>[9]</w:t>
      </w:r>
      <w:bookmarkEnd w:id="130"/>
      <w:r w:rsidRPr="006D027C">
        <w:rPr>
          <w:rFonts w:eastAsia="Aptos"/>
        </w:rPr>
        <w:t>, sont d'avis qu'en pareil cas, cela pourrait influencer sur la crédibilité de l'expert.</w:t>
      </w:r>
      <w:r w:rsidR="00241D26">
        <w:rPr>
          <w:rFonts w:eastAsia="Aptos"/>
        </w:rPr>
        <w:t> </w:t>
      </w:r>
      <w:r w:rsidRPr="006D027C">
        <w:rPr>
          <w:rFonts w:eastAsia="Aptos"/>
        </w:rPr>
        <w:t>(…)</w:t>
      </w:r>
    </w:p>
    <w:p w14:paraId="527E7F1F" w14:textId="77777777" w:rsidR="00CB453B" w:rsidRPr="006D027C" w:rsidRDefault="00730A01" w:rsidP="00F677EE">
      <w:pPr>
        <w:pStyle w:val="Citationenretrait"/>
        <w:spacing w:after="0"/>
        <w:ind w:right="539"/>
        <w:rPr>
          <w:rFonts w:eastAsia="Aptos"/>
        </w:rPr>
      </w:pPr>
      <w:r w:rsidRPr="006D027C">
        <w:rPr>
          <w:rFonts w:eastAsia="Aptos"/>
        </w:rPr>
        <w:t>[22]</w:t>
      </w:r>
      <w:r w:rsidR="00107936">
        <w:rPr>
          <w:rFonts w:eastAsia="Aptos"/>
        </w:rPr>
        <w:tab/>
      </w:r>
      <w:r w:rsidRPr="006D027C">
        <w:rPr>
          <w:rFonts w:eastAsia="Aptos"/>
        </w:rPr>
        <w:t>Le demandeur invoque aussi la situation du compte d'honoraires de l'expert telle qu'analysée par le Juge Steve Reimnitz de la Cour supérieure dans</w:t>
      </w:r>
      <w:r w:rsidR="00241D26">
        <w:rPr>
          <w:rFonts w:eastAsia="Aptos"/>
        </w:rPr>
        <w:t xml:space="preserve"> </w:t>
      </w:r>
      <w:r w:rsidRPr="006D027C">
        <w:rPr>
          <w:rFonts w:eastAsia="Aptos"/>
        </w:rPr>
        <w:t>Groupe Enico inc. c. Agence de revenus du Québec</w:t>
      </w:r>
      <w:bookmarkStart w:id="131" w:name="_ftnref10"/>
      <w:r w:rsidRPr="006D027C">
        <w:rPr>
          <w:rFonts w:eastAsia="Aptos"/>
          <w:vertAlign w:val="superscript"/>
        </w:rPr>
        <w:t>[10]</w:t>
      </w:r>
      <w:bookmarkEnd w:id="131"/>
      <w:r w:rsidRPr="006D027C">
        <w:rPr>
          <w:rFonts w:eastAsia="Aptos"/>
        </w:rPr>
        <w:t>, où il émet le commentaire suivant</w:t>
      </w:r>
      <w:r w:rsidR="00241D26">
        <w:rPr>
          <w:rFonts w:eastAsia="Aptos"/>
        </w:rPr>
        <w:t> </w:t>
      </w:r>
      <w:r w:rsidRPr="006D027C">
        <w:rPr>
          <w:rFonts w:eastAsia="Aptos"/>
        </w:rPr>
        <w:t>:</w:t>
      </w:r>
    </w:p>
    <w:p w14:paraId="59DFB2CF" w14:textId="77777777" w:rsidR="00CB453B" w:rsidRPr="006D027C" w:rsidRDefault="00730A01" w:rsidP="0054413F">
      <w:pPr>
        <w:pStyle w:val="Citationenretrait"/>
        <w:ind w:left="1134" w:right="539"/>
        <w:rPr>
          <w:rFonts w:eastAsia="Aptos"/>
        </w:rPr>
      </w:pPr>
      <w:r w:rsidRPr="006D027C">
        <w:rPr>
          <w:rFonts w:eastAsia="Aptos"/>
        </w:rPr>
        <w:t>«</w:t>
      </w:r>
      <w:r w:rsidR="00241D26">
        <w:rPr>
          <w:rFonts w:eastAsia="Aptos"/>
        </w:rPr>
        <w:t> </w:t>
      </w:r>
      <w:r w:rsidRPr="006D027C">
        <w:rPr>
          <w:rFonts w:eastAsia="Aptos"/>
        </w:rPr>
        <w:t>[828] Il est possible lorsqu'on facture 100</w:t>
      </w:r>
      <w:r w:rsidR="00241D26">
        <w:rPr>
          <w:rFonts w:eastAsia="Aptos"/>
        </w:rPr>
        <w:t> </w:t>
      </w:r>
      <w:r w:rsidRPr="006D027C">
        <w:rPr>
          <w:rFonts w:eastAsia="Aptos"/>
        </w:rPr>
        <w:t>000,00</w:t>
      </w:r>
      <w:r w:rsidR="00241D26">
        <w:rPr>
          <w:rFonts w:eastAsia="Aptos"/>
        </w:rPr>
        <w:t> </w:t>
      </w:r>
      <w:r w:rsidRPr="006D027C">
        <w:rPr>
          <w:rFonts w:eastAsia="Aptos"/>
        </w:rPr>
        <w:t>$ pour un rapport comme celui déposé à la Cour, qu'il soit un peu malaisé de ne pas soutenir la thèse de celui qui nous paie aussi bien.</w:t>
      </w:r>
      <w:r w:rsidR="00241D26">
        <w:rPr>
          <w:rFonts w:eastAsia="Aptos"/>
        </w:rPr>
        <w:t> </w:t>
      </w:r>
      <w:r w:rsidRPr="006D027C">
        <w:rPr>
          <w:rFonts w:eastAsia="Aptos"/>
        </w:rPr>
        <w:t>»</w:t>
      </w:r>
    </w:p>
    <w:p w14:paraId="75DB9446" w14:textId="77777777" w:rsidR="00CB453B" w:rsidRPr="006D027C" w:rsidRDefault="00730A01" w:rsidP="0054413F">
      <w:pPr>
        <w:pStyle w:val="Citationenretrait"/>
        <w:ind w:right="539"/>
        <w:rPr>
          <w:rFonts w:eastAsia="Aptos"/>
        </w:rPr>
      </w:pPr>
      <w:r w:rsidRPr="006D027C">
        <w:rPr>
          <w:rFonts w:eastAsia="Aptos"/>
        </w:rPr>
        <w:t>[23]</w:t>
      </w:r>
      <w:r w:rsidR="00107936">
        <w:rPr>
          <w:rFonts w:eastAsia="Aptos"/>
        </w:rPr>
        <w:tab/>
      </w:r>
      <w:r w:rsidRPr="006D027C">
        <w:rPr>
          <w:rFonts w:eastAsia="Aptos"/>
        </w:rPr>
        <w:t>Il convient de préciser à cet égard que ce commentaire est émis après que le juge ait constaté dans cette affaire</w:t>
      </w:r>
      <w:r w:rsidR="00241D26">
        <w:rPr>
          <w:rFonts w:eastAsia="Aptos"/>
        </w:rPr>
        <w:t xml:space="preserve"> </w:t>
      </w:r>
      <w:r w:rsidRPr="006D027C">
        <w:rPr>
          <w:rFonts w:eastAsia="Aptos"/>
        </w:rPr>
        <w:t>«</w:t>
      </w:r>
      <w:r w:rsidR="00241D26">
        <w:rPr>
          <w:rFonts w:eastAsia="Aptos"/>
        </w:rPr>
        <w:t> </w:t>
      </w:r>
      <w:r w:rsidRPr="006D027C">
        <w:rPr>
          <w:rFonts w:eastAsia="Aptos"/>
        </w:rPr>
        <w:t>que le mandat donné à l'expert était somme toute assez précis</w:t>
      </w:r>
      <w:r w:rsidR="00241D26">
        <w:rPr>
          <w:rFonts w:eastAsia="Aptos"/>
        </w:rPr>
        <w:t> </w:t>
      </w:r>
      <w:r w:rsidRPr="006D027C">
        <w:rPr>
          <w:rFonts w:eastAsia="Aptos"/>
        </w:rPr>
        <w:t>»,</w:t>
      </w:r>
      <w:r w:rsidR="00241D26">
        <w:rPr>
          <w:rFonts w:eastAsia="Aptos"/>
        </w:rPr>
        <w:t xml:space="preserve"> </w:t>
      </w:r>
      <w:r w:rsidRPr="006D027C">
        <w:rPr>
          <w:rFonts w:eastAsia="Aptos"/>
        </w:rPr>
        <w:t>que</w:t>
      </w:r>
      <w:r w:rsidR="00241D26">
        <w:rPr>
          <w:rFonts w:eastAsia="Aptos"/>
        </w:rPr>
        <w:t xml:space="preserve"> </w:t>
      </w:r>
      <w:r w:rsidRPr="006D027C">
        <w:rPr>
          <w:rFonts w:eastAsia="Aptos"/>
        </w:rPr>
        <w:t>«</w:t>
      </w:r>
      <w:r w:rsidR="00241D26">
        <w:rPr>
          <w:rFonts w:eastAsia="Aptos"/>
        </w:rPr>
        <w:t> </w:t>
      </w:r>
      <w:r w:rsidRPr="006D027C">
        <w:rPr>
          <w:rFonts w:eastAsia="Aptos"/>
        </w:rPr>
        <w:t>Le montant total de la facturation de 100</w:t>
      </w:r>
      <w:r w:rsidR="00241D26">
        <w:rPr>
          <w:rFonts w:eastAsia="Aptos"/>
        </w:rPr>
        <w:t> </w:t>
      </w:r>
      <w:r w:rsidRPr="006D027C">
        <w:rPr>
          <w:rFonts w:eastAsia="Aptos"/>
        </w:rPr>
        <w:t>000</w:t>
      </w:r>
      <w:r w:rsidR="00241D26">
        <w:rPr>
          <w:rFonts w:eastAsia="Aptos"/>
        </w:rPr>
        <w:t> </w:t>
      </w:r>
      <w:r w:rsidRPr="006D027C">
        <w:rPr>
          <w:rFonts w:eastAsia="Aptos"/>
        </w:rPr>
        <w:t>$ semble exagéré, compte tenu de la question posée</w:t>
      </w:r>
      <w:r w:rsidR="00241D26">
        <w:rPr>
          <w:rFonts w:eastAsia="Aptos"/>
        </w:rPr>
        <w:t> </w:t>
      </w:r>
      <w:r w:rsidRPr="006D027C">
        <w:rPr>
          <w:rFonts w:eastAsia="Aptos"/>
        </w:rPr>
        <w:t>»</w:t>
      </w:r>
      <w:r w:rsidR="00241D26">
        <w:rPr>
          <w:rFonts w:eastAsia="Aptos"/>
        </w:rPr>
        <w:t xml:space="preserve"> </w:t>
      </w:r>
      <w:r w:rsidRPr="006D027C">
        <w:rPr>
          <w:rFonts w:eastAsia="Aptos"/>
        </w:rPr>
        <w:t>et que bien</w:t>
      </w:r>
      <w:r w:rsidR="00241D26">
        <w:rPr>
          <w:rFonts w:eastAsia="Aptos"/>
        </w:rPr>
        <w:t xml:space="preserve"> </w:t>
      </w:r>
      <w:r w:rsidRPr="006D027C">
        <w:rPr>
          <w:rFonts w:eastAsia="Aptos"/>
        </w:rPr>
        <w:t>«</w:t>
      </w:r>
      <w:r w:rsidR="00241D26">
        <w:rPr>
          <w:rFonts w:eastAsia="Aptos"/>
        </w:rPr>
        <w:t> </w:t>
      </w:r>
      <w:r w:rsidRPr="006D027C">
        <w:rPr>
          <w:rFonts w:eastAsia="Aptos"/>
        </w:rPr>
        <w:t>qu'il a assisté à quelques jours de procès, mais cela n'explique cependant pas ses honoraires. Son rapport tient sur 30</w:t>
      </w:r>
      <w:r w:rsidR="00241D26">
        <w:rPr>
          <w:rFonts w:eastAsia="Aptos"/>
        </w:rPr>
        <w:t> </w:t>
      </w:r>
      <w:r w:rsidRPr="006D027C">
        <w:rPr>
          <w:rFonts w:eastAsia="Aptos"/>
        </w:rPr>
        <w:t>pages plus les annexes. Son témoignage en chef a duré un peu plus de deux heures</w:t>
      </w:r>
      <w:r w:rsidR="00C76039">
        <w:rPr>
          <w:rFonts w:eastAsia="Aptos"/>
        </w:rPr>
        <w:t>.</w:t>
      </w:r>
      <w:r w:rsidR="00241D26">
        <w:rPr>
          <w:rFonts w:eastAsia="Aptos"/>
        </w:rPr>
        <w:t> </w:t>
      </w:r>
      <w:r w:rsidRPr="006D027C">
        <w:rPr>
          <w:rFonts w:eastAsia="Aptos"/>
        </w:rPr>
        <w:t>»</w:t>
      </w:r>
    </w:p>
    <w:p w14:paraId="03D442E9" w14:textId="77777777" w:rsidR="00CB453B" w:rsidRPr="00014ADA" w:rsidRDefault="00730A01" w:rsidP="0098012F">
      <w:pPr>
        <w:pStyle w:val="Paragraphe"/>
        <w:tabs>
          <w:tab w:val="clear" w:pos="786"/>
        </w:tabs>
        <w:spacing w:line="240" w:lineRule="auto"/>
        <w:ind w:left="0"/>
        <w:rPr>
          <w:rFonts w:eastAsia="Aptos"/>
          <w:lang w:eastAsia="fr-CA"/>
        </w:rPr>
      </w:pPr>
      <w:r w:rsidRPr="00014ADA">
        <w:rPr>
          <w:rFonts w:eastAsia="Aptos"/>
          <w:lang w:eastAsia="fr-CA"/>
        </w:rPr>
        <w:t xml:space="preserve">À l’instar de ce qui a été décidé dans </w:t>
      </w:r>
      <w:r w:rsidRPr="00014ADA">
        <w:rPr>
          <w:rFonts w:eastAsia="Aptos"/>
          <w:i/>
          <w:iCs/>
          <w:lang w:eastAsia="fr-CA"/>
        </w:rPr>
        <w:t xml:space="preserve">Tremblay </w:t>
      </w:r>
      <w:r w:rsidRPr="00DC1C52">
        <w:rPr>
          <w:rFonts w:eastAsia="Aptos"/>
          <w:lang w:eastAsia="fr-CA"/>
        </w:rPr>
        <w:t>c.</w:t>
      </w:r>
      <w:r w:rsidRPr="00014ADA">
        <w:rPr>
          <w:rFonts w:eastAsia="Aptos"/>
          <w:i/>
          <w:iCs/>
          <w:lang w:eastAsia="fr-CA"/>
        </w:rPr>
        <w:t xml:space="preserve"> Lavoie</w:t>
      </w:r>
      <w:r>
        <w:rPr>
          <w:rStyle w:val="Appelnotedebasdep"/>
          <w:rFonts w:eastAsia="Aptos"/>
          <w:i/>
          <w:iCs/>
          <w:lang w:eastAsia="fr-CA"/>
        </w:rPr>
        <w:footnoteReference w:id="383"/>
      </w:r>
      <w:r w:rsidRPr="00014ADA">
        <w:rPr>
          <w:rFonts w:eastAsia="Aptos"/>
          <w:lang w:eastAsia="fr-CA"/>
        </w:rPr>
        <w:t xml:space="preserve"> dans la présente affaire, le </w:t>
      </w:r>
      <w:r w:rsidR="00DC1C52">
        <w:rPr>
          <w:rFonts w:eastAsia="Aptos"/>
          <w:lang w:eastAsia="fr-CA"/>
        </w:rPr>
        <w:t>T</w:t>
      </w:r>
      <w:r w:rsidRPr="00014ADA">
        <w:rPr>
          <w:rFonts w:eastAsia="Aptos"/>
          <w:lang w:eastAsia="fr-CA"/>
        </w:rPr>
        <w:t>ribunal n'est pas convaincu que la connaissance du montant des honoraires de l’expert mandaté par les demandeurs</w:t>
      </w:r>
      <w:r w:rsidR="00241D26">
        <w:rPr>
          <w:rFonts w:eastAsia="Aptos"/>
          <w:lang w:eastAsia="fr-CA"/>
        </w:rPr>
        <w:t>,</w:t>
      </w:r>
      <w:r w:rsidRPr="00014ADA">
        <w:rPr>
          <w:rFonts w:eastAsia="Aptos"/>
          <w:lang w:eastAsia="fr-CA"/>
        </w:rPr>
        <w:t xml:space="preserve"> soit un élément susceptible de l'aider à apprécier sa crédibilité.</w:t>
      </w:r>
      <w:r w:rsidR="00DC1C52">
        <w:rPr>
          <w:rFonts w:eastAsia="Aptos"/>
          <w:lang w:eastAsia="fr-CA"/>
        </w:rPr>
        <w:t xml:space="preserve"> </w:t>
      </w:r>
      <w:r w:rsidRPr="00014ADA">
        <w:rPr>
          <w:rFonts w:eastAsia="Aptos"/>
          <w:lang w:eastAsia="fr-CA"/>
        </w:rPr>
        <w:t>Cet expert a produit un rapport élaboré qui compte plus de 270</w:t>
      </w:r>
      <w:r w:rsidR="00241D26">
        <w:rPr>
          <w:rFonts w:eastAsia="Aptos"/>
          <w:lang w:eastAsia="fr-CA"/>
        </w:rPr>
        <w:t> </w:t>
      </w:r>
      <w:r w:rsidRPr="00014ADA">
        <w:rPr>
          <w:rFonts w:eastAsia="Aptos"/>
          <w:lang w:eastAsia="fr-CA"/>
        </w:rPr>
        <w:t>pages en sus de 172</w:t>
      </w:r>
      <w:r w:rsidR="00241D26">
        <w:rPr>
          <w:rFonts w:eastAsia="Aptos"/>
          <w:lang w:eastAsia="fr-CA"/>
        </w:rPr>
        <w:t> </w:t>
      </w:r>
      <w:r w:rsidRPr="00014ADA">
        <w:rPr>
          <w:rFonts w:eastAsia="Aptos"/>
          <w:lang w:eastAsia="fr-CA"/>
        </w:rPr>
        <w:t>annexes suivant une analyse d’innombrables documents.</w:t>
      </w:r>
    </w:p>
    <w:p w14:paraId="01179354" w14:textId="77777777" w:rsidR="00CB453B" w:rsidRPr="00014ADA" w:rsidRDefault="00730A01" w:rsidP="0098012F">
      <w:pPr>
        <w:pStyle w:val="Paragraphe"/>
        <w:tabs>
          <w:tab w:val="clear" w:pos="786"/>
        </w:tabs>
        <w:spacing w:line="240" w:lineRule="auto"/>
        <w:ind w:left="0"/>
        <w:rPr>
          <w:rFonts w:eastAsia="Aptos"/>
          <w:lang w:eastAsia="fr-CA"/>
        </w:rPr>
      </w:pPr>
      <w:r w:rsidRPr="00014ADA">
        <w:rPr>
          <w:rFonts w:eastAsia="Aptos"/>
          <w:lang w:eastAsia="fr-CA"/>
        </w:rPr>
        <w:t xml:space="preserve">Néanmoins, si les </w:t>
      </w:r>
      <w:r w:rsidR="00DC1C52">
        <w:rPr>
          <w:rFonts w:eastAsia="Aptos"/>
          <w:lang w:eastAsia="fr-CA"/>
        </w:rPr>
        <w:t>D</w:t>
      </w:r>
      <w:r w:rsidRPr="00014ADA">
        <w:rPr>
          <w:rFonts w:eastAsia="Aptos"/>
          <w:lang w:eastAsia="fr-CA"/>
        </w:rPr>
        <w:t>emandeurs entendent réclamer les frais d’expert de la partie adverse, il y a lieu qu’ils lui transmettent une copie du compte en question. La partie à qui on réclame le paiement d’une facture est en droit de connaître le détail de ce qu’on lui demande de payer puisqu’elle doit pouvoir contester cette facture le cas échéant.</w:t>
      </w:r>
    </w:p>
    <w:p w14:paraId="007BB737" w14:textId="77777777" w:rsidR="00CB453B" w:rsidRPr="00014ADA" w:rsidRDefault="00730A01" w:rsidP="0098012F">
      <w:pPr>
        <w:pStyle w:val="Paragraphe"/>
        <w:tabs>
          <w:tab w:val="clear" w:pos="786"/>
        </w:tabs>
        <w:spacing w:line="240" w:lineRule="auto"/>
        <w:ind w:left="0"/>
        <w:rPr>
          <w:rFonts w:eastAsia="Aptos"/>
          <w:lang w:eastAsia="fr-CA"/>
        </w:rPr>
      </w:pPr>
      <w:r w:rsidRPr="00014ADA">
        <w:rPr>
          <w:rFonts w:eastAsia="Aptos"/>
          <w:lang w:eastAsia="fr-CA"/>
        </w:rPr>
        <w:t xml:space="preserve">Soulignons que les demandeurs expriment </w:t>
      </w:r>
      <w:r w:rsidR="00B24756">
        <w:rPr>
          <w:rFonts w:eastAsia="Aptos"/>
          <w:lang w:eastAsia="fr-CA"/>
        </w:rPr>
        <w:t xml:space="preserve">notamment </w:t>
      </w:r>
      <w:r w:rsidRPr="00014ADA">
        <w:rPr>
          <w:rFonts w:eastAsia="Aptos"/>
          <w:lang w:eastAsia="fr-CA"/>
        </w:rPr>
        <w:t>qu’</w:t>
      </w:r>
      <w:r w:rsidRPr="00014ADA">
        <w:rPr>
          <w:lang w:eastAsia="fr-CA"/>
        </w:rPr>
        <w:t>en l’espèce, la question du paiement des frais d’expertise est plus qu’hypothétique puisque les Défendeurs ne peuvent honorer le plein paiement des créances</w:t>
      </w:r>
      <w:r>
        <w:rPr>
          <w:rStyle w:val="Appelnotedebasdep"/>
          <w:lang w:eastAsia="fr-CA"/>
        </w:rPr>
        <w:footnoteReference w:id="384"/>
      </w:r>
      <w:r w:rsidR="00241D26">
        <w:rPr>
          <w:lang w:eastAsia="fr-CA"/>
        </w:rPr>
        <w:t>.</w:t>
      </w:r>
    </w:p>
    <w:p w14:paraId="25306737" w14:textId="77777777" w:rsidR="00F01A99" w:rsidRDefault="00730A01" w:rsidP="0098012F">
      <w:pPr>
        <w:pStyle w:val="Paragraphe"/>
        <w:tabs>
          <w:tab w:val="clear" w:pos="786"/>
        </w:tabs>
        <w:spacing w:line="240" w:lineRule="auto"/>
        <w:ind w:left="0"/>
        <w:rPr>
          <w:shd w:val="clear" w:color="auto" w:fill="FFFFFF"/>
        </w:rPr>
      </w:pPr>
      <w:r w:rsidRPr="00014ADA">
        <w:t>Par conséquent, le Tribunal rejettera l’objection</w:t>
      </w:r>
      <w:r w:rsidR="00DC1C52">
        <w:t>,</w:t>
      </w:r>
      <w:r w:rsidRPr="00014ADA">
        <w:t xml:space="preserve"> mais il autorisera que les Demandeurs</w:t>
      </w:r>
      <w:r w:rsidRPr="00014ADA">
        <w:rPr>
          <w:shd w:val="clear" w:color="auto" w:fill="FFFFFF"/>
        </w:rPr>
        <w:t xml:space="preserve"> ne produisent pas l'intégralité des comptes d’honoraires de ses experts. Autrement dit, seuls les comptes ou partie de comptes d’experts détaillés pourront être réclamés. Ainsi, si un compte produit est caviardé, la partie du compte faisant l’objet du caviardage ne pourra pas être réclamé.</w:t>
      </w:r>
    </w:p>
    <w:p w14:paraId="4CF46ABA" w14:textId="77777777" w:rsidR="00F01A99" w:rsidRDefault="00730A01">
      <w:pPr>
        <w:rPr>
          <w:kern w:val="28"/>
          <w:shd w:val="clear" w:color="auto" w:fill="FFFFFF"/>
        </w:rPr>
      </w:pPr>
      <w:r>
        <w:rPr>
          <w:shd w:val="clear" w:color="auto" w:fill="FFFFFF"/>
        </w:rPr>
        <w:br w:type="page"/>
      </w:r>
    </w:p>
    <w:p w14:paraId="57AF4689" w14:textId="77777777" w:rsidR="00B24756" w:rsidRPr="00B47A45" w:rsidRDefault="00730A01" w:rsidP="00443B59">
      <w:pPr>
        <w:pStyle w:val="Paragraphe"/>
        <w:numPr>
          <w:ilvl w:val="0"/>
          <w:numId w:val="55"/>
        </w:numPr>
        <w:spacing w:line="240" w:lineRule="auto"/>
        <w:ind w:left="851" w:hanging="425"/>
        <w:rPr>
          <w:i/>
          <w:iCs/>
          <w:u w:val="single"/>
          <w:lang w:eastAsia="fr-CA"/>
        </w:rPr>
      </w:pPr>
      <w:r w:rsidRPr="00B47A45">
        <w:rPr>
          <w:i/>
          <w:iCs/>
          <w:u w:val="single"/>
          <w:lang w:eastAsia="fr-CA"/>
        </w:rPr>
        <w:t>Objection concernant le destinataire des factures de KPMG</w:t>
      </w:r>
    </w:p>
    <w:p w14:paraId="7A31D992" w14:textId="77777777" w:rsidR="00CD4EE1" w:rsidRDefault="00730A01" w:rsidP="00F677EE">
      <w:pPr>
        <w:pStyle w:val="Paragraphe"/>
        <w:tabs>
          <w:tab w:val="clear" w:pos="786"/>
        </w:tabs>
        <w:spacing w:before="0" w:line="240" w:lineRule="auto"/>
        <w:ind w:left="0"/>
        <w:rPr>
          <w:lang w:eastAsia="fr-CA"/>
        </w:rPr>
      </w:pPr>
      <w:r w:rsidRPr="00014ADA">
        <w:rPr>
          <w:lang w:eastAsia="fr-CA"/>
        </w:rPr>
        <w:t xml:space="preserve">Une autre objection est soulevée, dans cette même ligne de questions prise sous réserve, au cours de cette journée du </w:t>
      </w:r>
      <w:r w:rsidRPr="00B24756">
        <w:rPr>
          <w:lang w:eastAsia="fr-CA"/>
        </w:rPr>
        <w:t>13</w:t>
      </w:r>
      <w:r w:rsidR="00241D26">
        <w:rPr>
          <w:lang w:eastAsia="fr-CA"/>
        </w:rPr>
        <w:t> </w:t>
      </w:r>
      <w:r w:rsidRPr="00B24756">
        <w:rPr>
          <w:lang w:eastAsia="fr-CA"/>
        </w:rPr>
        <w:t>juin</w:t>
      </w:r>
      <w:r w:rsidR="00241D26">
        <w:rPr>
          <w:lang w:eastAsia="fr-CA"/>
        </w:rPr>
        <w:t> </w:t>
      </w:r>
      <w:r w:rsidRPr="00B24756">
        <w:rPr>
          <w:lang w:eastAsia="fr-CA"/>
        </w:rPr>
        <w:t>2024</w:t>
      </w:r>
      <w:r w:rsidRPr="00014ADA">
        <w:rPr>
          <w:b/>
          <w:bCs/>
          <w:lang w:eastAsia="fr-CA"/>
        </w:rPr>
        <w:t xml:space="preserve"> </w:t>
      </w:r>
      <w:r w:rsidRPr="00014ADA">
        <w:rPr>
          <w:lang w:eastAsia="fr-CA"/>
        </w:rPr>
        <w:t>lorsque</w:t>
      </w:r>
      <w:r w:rsidRPr="00014ADA">
        <w:rPr>
          <w:b/>
          <w:bCs/>
          <w:lang w:eastAsia="fr-CA"/>
        </w:rPr>
        <w:t xml:space="preserve"> </w:t>
      </w:r>
      <w:r w:rsidRPr="00014ADA">
        <w:rPr>
          <w:lang w:eastAsia="fr-CA"/>
        </w:rPr>
        <w:t>M</w:t>
      </w:r>
      <w:r w:rsidRPr="00241D26">
        <w:rPr>
          <w:vertAlign w:val="superscript"/>
          <w:lang w:eastAsia="fr-CA"/>
        </w:rPr>
        <w:t>e</w:t>
      </w:r>
      <w:r w:rsidR="00241D26">
        <w:rPr>
          <w:lang w:eastAsia="fr-CA"/>
        </w:rPr>
        <w:t> </w:t>
      </w:r>
      <w:r w:rsidRPr="00014ADA">
        <w:rPr>
          <w:lang w:eastAsia="fr-CA"/>
        </w:rPr>
        <w:t>Rigaud questionne l’expert Filion concernant le destinataire des factures de KPMG et le paiement de leurs services</w:t>
      </w:r>
      <w:r>
        <w:rPr>
          <w:rStyle w:val="Appelnotedebasdep"/>
          <w:lang w:eastAsia="fr-CA"/>
        </w:rPr>
        <w:footnoteReference w:id="385"/>
      </w:r>
      <w:r w:rsidR="00703D10">
        <w:rPr>
          <w:lang w:eastAsia="fr-CA"/>
        </w:rPr>
        <w:t> :</w:t>
      </w:r>
    </w:p>
    <w:p w14:paraId="6574B424" w14:textId="77777777" w:rsidR="00CB453B" w:rsidRPr="00B24756" w:rsidRDefault="00730A01" w:rsidP="00F677EE">
      <w:pPr>
        <w:pStyle w:val="Citationenretrait"/>
        <w:spacing w:before="0"/>
        <w:ind w:right="539"/>
        <w:rPr>
          <w:i/>
          <w:iCs/>
          <w:lang w:eastAsia="fr-CA"/>
        </w:rPr>
      </w:pPr>
      <w:r w:rsidRPr="00B24756">
        <w:rPr>
          <w:i/>
          <w:iCs/>
        </w:rPr>
        <w:t>Ça serait important, Monsieur le Juge, de</w:t>
      </w:r>
      <w:r w:rsidR="00DC1C52" w:rsidRPr="00B24756">
        <w:rPr>
          <w:i/>
          <w:iCs/>
        </w:rPr>
        <w:t xml:space="preserve"> </w:t>
      </w:r>
      <w:r w:rsidRPr="00B24756">
        <w:rPr>
          <w:i/>
          <w:iCs/>
        </w:rPr>
        <w:t>savoir qui a retenu et qui paye les services,</w:t>
      </w:r>
      <w:r w:rsidR="00DC1C52" w:rsidRPr="00B24756">
        <w:rPr>
          <w:i/>
          <w:iCs/>
        </w:rPr>
        <w:t xml:space="preserve"> </w:t>
      </w:r>
      <w:r w:rsidRPr="00B24756">
        <w:rPr>
          <w:i/>
          <w:iCs/>
        </w:rPr>
        <w:t>parce que, évidemment, ça va dicter qui a le</w:t>
      </w:r>
      <w:r w:rsidR="00DC1C52" w:rsidRPr="00B24756">
        <w:rPr>
          <w:i/>
          <w:iCs/>
        </w:rPr>
        <w:t xml:space="preserve"> </w:t>
      </w:r>
      <w:r w:rsidRPr="00B24756">
        <w:rPr>
          <w:i/>
          <w:iCs/>
        </w:rPr>
        <w:t>droit de faire des représentations.</w:t>
      </w:r>
      <w:r w:rsidR="00DC1C52" w:rsidRPr="00B24756">
        <w:rPr>
          <w:i/>
          <w:iCs/>
        </w:rPr>
        <w:t xml:space="preserve"> </w:t>
      </w:r>
      <w:r w:rsidRPr="00B24756">
        <w:rPr>
          <w:i/>
          <w:iCs/>
        </w:rPr>
        <w:t>À ma connaissance,</w:t>
      </w:r>
      <w:r w:rsidRPr="00B24756">
        <w:rPr>
          <w:i/>
          <w:iCs/>
          <w:lang w:eastAsia="fr-CA"/>
        </w:rPr>
        <w:t xml:space="preserve"> </w:t>
      </w:r>
      <w:r w:rsidR="00DC1C52" w:rsidRPr="00B24756">
        <w:rPr>
          <w:i/>
          <w:iCs/>
          <w:lang w:eastAsia="fr-CA"/>
        </w:rPr>
        <w:t>M</w:t>
      </w:r>
      <w:r w:rsidR="00DC1C52" w:rsidRPr="00241D26">
        <w:rPr>
          <w:i/>
          <w:iCs/>
          <w:vertAlign w:val="superscript"/>
          <w:lang w:eastAsia="fr-CA"/>
        </w:rPr>
        <w:t>e</w:t>
      </w:r>
      <w:r w:rsidR="00241D26">
        <w:rPr>
          <w:i/>
          <w:iCs/>
          <w:lang w:eastAsia="fr-CA"/>
        </w:rPr>
        <w:t> </w:t>
      </w:r>
      <w:r w:rsidRPr="00B24756">
        <w:rPr>
          <w:i/>
          <w:iCs/>
          <w:lang w:eastAsia="fr-CA"/>
        </w:rPr>
        <w:t>Valin ne</w:t>
      </w:r>
      <w:r w:rsidR="00DC1C52" w:rsidRPr="00B24756">
        <w:rPr>
          <w:i/>
          <w:iCs/>
          <w:lang w:eastAsia="fr-CA"/>
        </w:rPr>
        <w:t xml:space="preserve"> </w:t>
      </w:r>
      <w:r w:rsidRPr="00B24756">
        <w:rPr>
          <w:i/>
          <w:iCs/>
          <w:lang w:eastAsia="fr-CA"/>
        </w:rPr>
        <w:t>représente pas les sociétés en commandite.</w:t>
      </w:r>
    </w:p>
    <w:p w14:paraId="492FBDE4"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Le Tribunal maintiendra l’objection notamment parce que tous les avocats impliqués peuvent faire des représentations sur le contenu de l’expertise déposé, pas seulement l’avocat de la partie qui a retenu les services de l’expert concerné.</w:t>
      </w:r>
    </w:p>
    <w:p w14:paraId="4794B47C" w14:textId="77777777" w:rsidR="00B24756" w:rsidRPr="00B47A45" w:rsidRDefault="00730A01" w:rsidP="00443B59">
      <w:pPr>
        <w:pStyle w:val="Paragraphe"/>
        <w:numPr>
          <w:ilvl w:val="0"/>
          <w:numId w:val="55"/>
        </w:numPr>
        <w:spacing w:line="240" w:lineRule="auto"/>
        <w:ind w:left="851" w:hanging="425"/>
        <w:rPr>
          <w:i/>
          <w:iCs/>
          <w:u w:val="single"/>
          <w:lang w:eastAsia="fr-CA"/>
        </w:rPr>
      </w:pPr>
      <w:r w:rsidRPr="00B47A45">
        <w:rPr>
          <w:i/>
          <w:iCs/>
          <w:u w:val="single"/>
          <w:lang w:eastAsia="fr-CA"/>
        </w:rPr>
        <w:t>Objections portant sur des opinions émises par des témoins de faits</w:t>
      </w:r>
    </w:p>
    <w:p w14:paraId="2EDCDF07"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Deux autres objections ont aussi été prises sous réserve, les</w:t>
      </w:r>
      <w:r w:rsidR="00241D26">
        <w:rPr>
          <w:lang w:eastAsia="fr-CA"/>
        </w:rPr>
        <w:t> </w:t>
      </w:r>
      <w:r w:rsidRPr="00703D10">
        <w:rPr>
          <w:lang w:eastAsia="fr-CA"/>
        </w:rPr>
        <w:t>17 et 20</w:t>
      </w:r>
      <w:r w:rsidR="00241D26">
        <w:rPr>
          <w:lang w:eastAsia="fr-CA"/>
        </w:rPr>
        <w:t> </w:t>
      </w:r>
      <w:r w:rsidRPr="00703D10">
        <w:rPr>
          <w:lang w:eastAsia="fr-CA"/>
        </w:rPr>
        <w:t>février</w:t>
      </w:r>
      <w:r w:rsidR="00241D26">
        <w:rPr>
          <w:lang w:eastAsia="fr-CA"/>
        </w:rPr>
        <w:t> </w:t>
      </w:r>
      <w:r w:rsidRPr="00703D10">
        <w:rPr>
          <w:lang w:eastAsia="fr-CA"/>
        </w:rPr>
        <w:t>2025</w:t>
      </w:r>
      <w:r>
        <w:rPr>
          <w:rStyle w:val="Appelnotedebasdep"/>
          <w:lang w:eastAsia="fr-CA"/>
        </w:rPr>
        <w:footnoteReference w:id="386"/>
      </w:r>
      <w:r w:rsidR="00703D10" w:rsidRPr="00703D10">
        <w:rPr>
          <w:lang w:eastAsia="fr-CA"/>
        </w:rPr>
        <w:t>.</w:t>
      </w:r>
      <w:r w:rsidR="00703D10" w:rsidRPr="00B24756">
        <w:rPr>
          <w:b/>
          <w:bCs/>
          <w:lang w:eastAsia="fr-CA"/>
        </w:rPr>
        <w:t xml:space="preserve"> </w:t>
      </w:r>
      <w:r w:rsidRPr="00014ADA">
        <w:rPr>
          <w:lang w:eastAsia="fr-CA"/>
        </w:rPr>
        <w:t xml:space="preserve">Ces objections formulées par l’avocate des </w:t>
      </w:r>
      <w:r w:rsidR="00703D10">
        <w:rPr>
          <w:lang w:eastAsia="fr-CA"/>
        </w:rPr>
        <w:t>D</w:t>
      </w:r>
      <w:r w:rsidRPr="00014ADA">
        <w:rPr>
          <w:lang w:eastAsia="fr-CA"/>
        </w:rPr>
        <w:t>emandeurs, M</w:t>
      </w:r>
      <w:r w:rsidRPr="00241D26">
        <w:rPr>
          <w:vertAlign w:val="superscript"/>
          <w:lang w:eastAsia="fr-CA"/>
        </w:rPr>
        <w:t>e</w:t>
      </w:r>
      <w:r w:rsidR="00241D26">
        <w:rPr>
          <w:lang w:eastAsia="fr-CA"/>
        </w:rPr>
        <w:t> </w:t>
      </w:r>
      <w:r w:rsidRPr="00014ADA">
        <w:rPr>
          <w:lang w:eastAsia="fr-CA"/>
        </w:rPr>
        <w:t>Lafleur, portent respectivement sur les paragraphes</w:t>
      </w:r>
      <w:r w:rsidR="00241D26">
        <w:rPr>
          <w:lang w:eastAsia="fr-CA"/>
        </w:rPr>
        <w:t> </w:t>
      </w:r>
      <w:r w:rsidRPr="00014ADA">
        <w:rPr>
          <w:lang w:eastAsia="fr-CA"/>
        </w:rPr>
        <w:t>22-23 de la déclaration sous serment de M.</w:t>
      </w:r>
      <w:r w:rsidR="00241D26">
        <w:rPr>
          <w:lang w:eastAsia="fr-CA"/>
        </w:rPr>
        <w:t> </w:t>
      </w:r>
      <w:r w:rsidRPr="00014ADA">
        <w:rPr>
          <w:lang w:eastAsia="fr-CA"/>
        </w:rPr>
        <w:t>Roger Lasry et sur le paragraphe</w:t>
      </w:r>
      <w:r w:rsidR="00241D26">
        <w:rPr>
          <w:lang w:eastAsia="fr-CA"/>
        </w:rPr>
        <w:t> </w:t>
      </w:r>
      <w:r w:rsidRPr="00014ADA">
        <w:rPr>
          <w:lang w:eastAsia="fr-CA"/>
        </w:rPr>
        <w:t>50 de la déclaration sous serment de M.</w:t>
      </w:r>
      <w:r w:rsidR="00241D26">
        <w:rPr>
          <w:lang w:eastAsia="fr-CA"/>
        </w:rPr>
        <w:t> </w:t>
      </w:r>
      <w:r w:rsidRPr="00014ADA">
        <w:rPr>
          <w:lang w:eastAsia="fr-CA"/>
        </w:rPr>
        <w:t xml:space="preserve">Thomas Marcantonio, lesquelles déclarations ont été déposées par les </w:t>
      </w:r>
      <w:r w:rsidR="00703D10">
        <w:rPr>
          <w:lang w:eastAsia="fr-CA"/>
        </w:rPr>
        <w:t>D</w:t>
      </w:r>
      <w:r w:rsidRPr="00014ADA">
        <w:rPr>
          <w:lang w:eastAsia="fr-CA"/>
        </w:rPr>
        <w:t>éfendeurs.</w:t>
      </w:r>
    </w:p>
    <w:p w14:paraId="6A64CB2F"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Le motif de ces objections est que ces paragraphes contiennent des opinions des déclarants qui témoignent à titre de témoins de faits.</w:t>
      </w:r>
    </w:p>
    <w:p w14:paraId="37D3BA64"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Les deux objections seront maintenu</w:t>
      </w:r>
      <w:r w:rsidR="00703D10">
        <w:rPr>
          <w:lang w:eastAsia="fr-CA"/>
        </w:rPr>
        <w:t>e</w:t>
      </w:r>
      <w:r w:rsidRPr="00014ADA">
        <w:rPr>
          <w:lang w:eastAsia="fr-CA"/>
        </w:rPr>
        <w:t>s. M.</w:t>
      </w:r>
      <w:r w:rsidR="00241D26">
        <w:rPr>
          <w:lang w:eastAsia="fr-CA"/>
        </w:rPr>
        <w:t> </w:t>
      </w:r>
      <w:r w:rsidRPr="00014ADA">
        <w:rPr>
          <w:lang w:eastAsia="fr-CA"/>
        </w:rPr>
        <w:t>Lasry n’a pas démontré d’expérience significative en matière de prêts privés, d’évaluation immobilière ou de développement immobilier; il ne peut opiner sur ces sujets</w:t>
      </w:r>
      <w:r>
        <w:rPr>
          <w:rStyle w:val="Appelnotedebasdep"/>
          <w:lang w:eastAsia="fr-CA"/>
        </w:rPr>
        <w:footnoteReference w:id="387"/>
      </w:r>
      <w:r w:rsidR="00241D26">
        <w:rPr>
          <w:lang w:eastAsia="fr-CA"/>
        </w:rPr>
        <w:t>.</w:t>
      </w:r>
    </w:p>
    <w:p w14:paraId="50A272E2"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Il en est de même pour M.</w:t>
      </w:r>
      <w:r w:rsidR="00241D26">
        <w:rPr>
          <w:lang w:eastAsia="fr-CA"/>
        </w:rPr>
        <w:t> </w:t>
      </w:r>
      <w:r w:rsidRPr="00014ADA">
        <w:rPr>
          <w:lang w:eastAsia="fr-CA"/>
        </w:rPr>
        <w:t>Marcantonio qui est un témoin de faits émettant une opinion au par</w:t>
      </w:r>
      <w:r w:rsidR="00703D10">
        <w:rPr>
          <w:lang w:eastAsia="fr-CA"/>
        </w:rPr>
        <w:t>agraphe</w:t>
      </w:r>
      <w:r w:rsidR="00241D26">
        <w:rPr>
          <w:lang w:eastAsia="fr-CA"/>
        </w:rPr>
        <w:t> </w:t>
      </w:r>
      <w:r w:rsidRPr="00014ADA">
        <w:rPr>
          <w:lang w:eastAsia="fr-CA"/>
        </w:rPr>
        <w:t>50 de sa déclaration</w:t>
      </w:r>
      <w:r w:rsidR="00703D10">
        <w:rPr>
          <w:lang w:eastAsia="fr-CA"/>
        </w:rPr>
        <w:t>.</w:t>
      </w:r>
    </w:p>
    <w:p w14:paraId="031E18CE" w14:textId="77777777" w:rsidR="007C5C6F" w:rsidRPr="00B47A45" w:rsidRDefault="00730A01" w:rsidP="00443B59">
      <w:pPr>
        <w:pStyle w:val="Paragraphe"/>
        <w:numPr>
          <w:ilvl w:val="0"/>
          <w:numId w:val="55"/>
        </w:numPr>
        <w:spacing w:line="240" w:lineRule="auto"/>
        <w:ind w:left="851" w:hanging="425"/>
        <w:rPr>
          <w:i/>
          <w:iCs/>
          <w:u w:val="single"/>
          <w:lang w:eastAsia="fr-CA"/>
        </w:rPr>
      </w:pPr>
      <w:r w:rsidRPr="00B47A45">
        <w:rPr>
          <w:i/>
          <w:iCs/>
          <w:u w:val="single"/>
          <w:lang w:eastAsia="fr-CA"/>
        </w:rPr>
        <w:t>Réserve générale sur tout dépôt de documents du disque dur de Huot</w:t>
      </w:r>
    </w:p>
    <w:p w14:paraId="34AA3C00" w14:textId="77777777" w:rsidR="00CB453B" w:rsidRDefault="00730A01" w:rsidP="0098012F">
      <w:pPr>
        <w:pStyle w:val="Paragraphe"/>
        <w:tabs>
          <w:tab w:val="clear" w:pos="786"/>
        </w:tabs>
        <w:spacing w:line="240" w:lineRule="auto"/>
        <w:ind w:left="0"/>
      </w:pPr>
      <w:r w:rsidRPr="00014ADA">
        <w:t xml:space="preserve">Finalement, une réserve générale a été demandée par les procureurs des </w:t>
      </w:r>
      <w:r w:rsidR="00703D10">
        <w:t>D</w:t>
      </w:r>
      <w:r w:rsidRPr="00014ADA">
        <w:t>emandeurs sur tout dépôt de documents provenant du disque dur du serveur de Huot et/ou de ses entités. Cette objection a été prise sous réserve.</w:t>
      </w:r>
    </w:p>
    <w:p w14:paraId="01CCA971" w14:textId="77777777" w:rsidR="00CB453B" w:rsidRPr="00014ADA" w:rsidRDefault="00730A01" w:rsidP="00751664">
      <w:pPr>
        <w:pStyle w:val="Paragraphe"/>
        <w:tabs>
          <w:tab w:val="clear" w:pos="786"/>
        </w:tabs>
        <w:spacing w:line="240" w:lineRule="auto"/>
        <w:ind w:left="0"/>
      </w:pPr>
      <w:r w:rsidRPr="00014ADA">
        <w:t>Le Tribunal prend note du retrait de</w:t>
      </w:r>
      <w:r w:rsidR="00390CD7">
        <w:t xml:space="preserve">s </w:t>
      </w:r>
      <w:r w:rsidRPr="00014ADA">
        <w:t>objection</w:t>
      </w:r>
      <w:r w:rsidR="00390CD7">
        <w:t>s en lien avec cette réserve générale,</w:t>
      </w:r>
      <w:r w:rsidRPr="00014ADA">
        <w:t xml:space="preserve"> notamment en raison des difficultés pratiques et des risques d’erreurs eu égard à l’utilisation des diverses pièces provenant du disque dur par les </w:t>
      </w:r>
      <w:r w:rsidR="00703D10">
        <w:t>D</w:t>
      </w:r>
      <w:r w:rsidRPr="00014ADA">
        <w:t>éfendeurs. Par ailleurs, l’utilisation desdites pièces ont fait l’objet de représentations dans le cadre des argumentations des parties portant sur la demande de déclaration d’abus.</w:t>
      </w:r>
    </w:p>
    <w:p w14:paraId="238D0B93" w14:textId="77777777" w:rsidR="00CB453B" w:rsidRPr="00B14A67" w:rsidRDefault="00730A01" w:rsidP="003F67E0">
      <w:pPr>
        <w:pStyle w:val="Titre6"/>
        <w:numPr>
          <w:ilvl w:val="1"/>
          <w:numId w:val="6"/>
        </w:numPr>
        <w:spacing w:before="120"/>
        <w:ind w:left="426" w:hanging="426"/>
        <w:rPr>
          <w:b/>
          <w:bCs/>
          <w:sz w:val="24"/>
          <w:szCs w:val="24"/>
          <w:lang w:eastAsia="fr-CA"/>
        </w:rPr>
      </w:pPr>
      <w:r w:rsidRPr="00B14A67">
        <w:rPr>
          <w:b/>
          <w:bCs/>
          <w:sz w:val="24"/>
          <w:szCs w:val="24"/>
          <w:lang w:eastAsia="fr-CA"/>
        </w:rPr>
        <w:t xml:space="preserve">Les objections formulées par les </w:t>
      </w:r>
      <w:r w:rsidR="00703D10" w:rsidRPr="00B14A67">
        <w:rPr>
          <w:b/>
          <w:bCs/>
          <w:sz w:val="24"/>
          <w:szCs w:val="24"/>
          <w:lang w:eastAsia="fr-CA"/>
        </w:rPr>
        <w:t>D</w:t>
      </w:r>
      <w:r w:rsidRPr="00B14A67">
        <w:rPr>
          <w:b/>
          <w:bCs/>
          <w:sz w:val="24"/>
          <w:szCs w:val="24"/>
          <w:lang w:eastAsia="fr-CA"/>
        </w:rPr>
        <w:t>éfendeurs</w:t>
      </w:r>
    </w:p>
    <w:p w14:paraId="7501D0BB"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Cinq objections formulées par les défendeurs ont été prises sous réserve</w:t>
      </w:r>
      <w:r>
        <w:rPr>
          <w:rStyle w:val="Appelnotedebasdep"/>
          <w:lang w:eastAsia="fr-CA"/>
        </w:rPr>
        <w:footnoteReference w:id="388"/>
      </w:r>
      <w:r w:rsidRPr="00014ADA">
        <w:rPr>
          <w:lang w:eastAsia="fr-CA"/>
        </w:rPr>
        <w:t>.</w:t>
      </w:r>
    </w:p>
    <w:p w14:paraId="61B18DF8" w14:textId="77777777" w:rsidR="007C5C6F" w:rsidRPr="00B14A67" w:rsidRDefault="00730A01" w:rsidP="0042740E">
      <w:pPr>
        <w:pStyle w:val="Paragraphe"/>
        <w:numPr>
          <w:ilvl w:val="4"/>
          <w:numId w:val="27"/>
        </w:numPr>
        <w:spacing w:line="240" w:lineRule="auto"/>
        <w:ind w:left="851" w:hanging="425"/>
        <w:rPr>
          <w:i/>
          <w:iCs/>
          <w:u w:val="single"/>
          <w:lang w:eastAsia="fr-CA"/>
        </w:rPr>
      </w:pPr>
      <w:r w:rsidRPr="00B14A67">
        <w:rPr>
          <w:i/>
          <w:iCs/>
          <w:u w:val="single"/>
          <w:lang w:eastAsia="fr-CA"/>
        </w:rPr>
        <w:t>Objection portant sur du ouï-dire</w:t>
      </w:r>
    </w:p>
    <w:p w14:paraId="73A03CA1" w14:textId="77777777" w:rsidR="00CB453B" w:rsidRPr="007C5C6F" w:rsidRDefault="00730A01" w:rsidP="0098012F">
      <w:pPr>
        <w:pStyle w:val="Paragraphe"/>
        <w:tabs>
          <w:tab w:val="clear" w:pos="786"/>
        </w:tabs>
        <w:spacing w:line="240" w:lineRule="auto"/>
        <w:ind w:left="0"/>
        <w:rPr>
          <w:lang w:eastAsia="fr-CA"/>
        </w:rPr>
      </w:pPr>
      <w:r w:rsidRPr="00014ADA">
        <w:rPr>
          <w:lang w:eastAsia="fr-CA"/>
        </w:rPr>
        <w:t>L’objection</w:t>
      </w:r>
      <w:r w:rsidRPr="00014ADA">
        <w:rPr>
          <w:b/>
          <w:bCs/>
          <w:lang w:eastAsia="fr-CA"/>
        </w:rPr>
        <w:t xml:space="preserve"> </w:t>
      </w:r>
      <w:r w:rsidRPr="00014ADA">
        <w:rPr>
          <w:lang w:eastAsia="fr-CA"/>
        </w:rPr>
        <w:t>concerne les paragraphes</w:t>
      </w:r>
      <w:r w:rsidR="00241D26">
        <w:rPr>
          <w:lang w:eastAsia="fr-CA"/>
        </w:rPr>
        <w:t> </w:t>
      </w:r>
      <w:r w:rsidRPr="00014ADA">
        <w:rPr>
          <w:lang w:eastAsia="fr-CA"/>
        </w:rPr>
        <w:t>5 à</w:t>
      </w:r>
      <w:r w:rsidR="00241D26">
        <w:rPr>
          <w:lang w:eastAsia="fr-CA"/>
        </w:rPr>
        <w:t> </w:t>
      </w:r>
      <w:r w:rsidRPr="00014ADA">
        <w:rPr>
          <w:lang w:eastAsia="fr-CA"/>
        </w:rPr>
        <w:t>8 de la Déclaration sous serment de Mme Bianca</w:t>
      </w:r>
      <w:r w:rsidR="00112406">
        <w:rPr>
          <w:lang w:eastAsia="fr-CA"/>
        </w:rPr>
        <w:t xml:space="preserve"> Freeman</w:t>
      </w:r>
      <w:r w:rsidRPr="00014ADA">
        <w:rPr>
          <w:lang w:eastAsia="fr-CA"/>
        </w:rPr>
        <w:t>.</w:t>
      </w:r>
      <w:r w:rsidR="007C5C6F">
        <w:rPr>
          <w:lang w:eastAsia="fr-CA"/>
        </w:rPr>
        <w:t xml:space="preserve"> Cette </w:t>
      </w:r>
      <w:r w:rsidRPr="00014ADA">
        <w:rPr>
          <w:lang w:eastAsia="fr-CA"/>
        </w:rPr>
        <w:t>objection sera maintenu</w:t>
      </w:r>
      <w:r w:rsidR="00703D10">
        <w:rPr>
          <w:lang w:eastAsia="fr-CA"/>
        </w:rPr>
        <w:t>e</w:t>
      </w:r>
      <w:r w:rsidRPr="00014ADA">
        <w:rPr>
          <w:lang w:eastAsia="fr-CA"/>
        </w:rPr>
        <w:t>.</w:t>
      </w:r>
    </w:p>
    <w:p w14:paraId="6542EF03" w14:textId="77777777" w:rsidR="00CB453B" w:rsidRPr="00014ADA" w:rsidRDefault="00730A01" w:rsidP="0098012F">
      <w:pPr>
        <w:pStyle w:val="Paragraphe"/>
        <w:tabs>
          <w:tab w:val="clear" w:pos="786"/>
        </w:tabs>
        <w:spacing w:line="240" w:lineRule="auto"/>
        <w:ind w:left="0"/>
        <w:rPr>
          <w:lang w:eastAsia="fr-CA"/>
        </w:rPr>
      </w:pPr>
      <w:r>
        <w:rPr>
          <w:lang w:eastAsia="fr-CA"/>
        </w:rPr>
        <w:t>En effet, l</w:t>
      </w:r>
      <w:r w:rsidRPr="00014ADA">
        <w:rPr>
          <w:lang w:eastAsia="fr-CA"/>
        </w:rPr>
        <w:t>es paragraphes visent des représentations faites par Giroux à M.</w:t>
      </w:r>
      <w:r w:rsidR="00241D26">
        <w:rPr>
          <w:lang w:eastAsia="fr-CA"/>
        </w:rPr>
        <w:t> </w:t>
      </w:r>
      <w:r w:rsidRPr="00014ADA">
        <w:rPr>
          <w:lang w:eastAsia="fr-CA"/>
        </w:rPr>
        <w:t>Mario Landry (</w:t>
      </w:r>
      <w:r w:rsidR="00703D10">
        <w:rPr>
          <w:lang w:eastAsia="fr-CA"/>
        </w:rPr>
        <w:t>D</w:t>
      </w:r>
      <w:r w:rsidRPr="00014ADA">
        <w:rPr>
          <w:lang w:eastAsia="fr-CA"/>
        </w:rPr>
        <w:t>emandeur Q-12) lors d’un dîner en</w:t>
      </w:r>
      <w:r w:rsidR="00241D26">
        <w:rPr>
          <w:lang w:eastAsia="fr-CA"/>
        </w:rPr>
        <w:t> </w:t>
      </w:r>
      <w:r w:rsidRPr="00014ADA">
        <w:rPr>
          <w:lang w:eastAsia="fr-CA"/>
        </w:rPr>
        <w:t>2022, qui ont influencé la décision d’investir de M</w:t>
      </w:r>
      <w:r w:rsidRPr="00241D26">
        <w:rPr>
          <w:vertAlign w:val="superscript"/>
          <w:lang w:eastAsia="fr-CA"/>
        </w:rPr>
        <w:t>me</w:t>
      </w:r>
      <w:r w:rsidR="00241D26">
        <w:rPr>
          <w:lang w:eastAsia="fr-CA"/>
        </w:rPr>
        <w:t> </w:t>
      </w:r>
      <w:r w:rsidRPr="00014ADA">
        <w:rPr>
          <w:lang w:eastAsia="fr-CA"/>
        </w:rPr>
        <w:t>Freeman. Le contenu ne peut être établi par le témoignage de M</w:t>
      </w:r>
      <w:r w:rsidRPr="00241D26">
        <w:rPr>
          <w:vertAlign w:val="superscript"/>
          <w:lang w:eastAsia="fr-CA"/>
        </w:rPr>
        <w:t>me</w:t>
      </w:r>
      <w:r w:rsidR="00241D26">
        <w:rPr>
          <w:lang w:eastAsia="fr-CA"/>
        </w:rPr>
        <w:t> </w:t>
      </w:r>
      <w:r w:rsidRPr="00014ADA">
        <w:rPr>
          <w:lang w:eastAsia="fr-CA"/>
        </w:rPr>
        <w:t xml:space="preserve">Freeman puisqu’elle n’était </w:t>
      </w:r>
      <w:r w:rsidR="00112406">
        <w:rPr>
          <w:lang w:eastAsia="fr-CA"/>
        </w:rPr>
        <w:t xml:space="preserve">pas </w:t>
      </w:r>
      <w:r w:rsidRPr="00014ADA">
        <w:rPr>
          <w:lang w:eastAsia="fr-CA"/>
        </w:rPr>
        <w:t>présente à ce moment.</w:t>
      </w:r>
    </w:p>
    <w:p w14:paraId="53D8301D" w14:textId="77777777" w:rsidR="00CB453B" w:rsidRPr="00703D10" w:rsidRDefault="00730A01" w:rsidP="0098012F">
      <w:pPr>
        <w:pStyle w:val="Paragraphe"/>
        <w:tabs>
          <w:tab w:val="clear" w:pos="786"/>
        </w:tabs>
        <w:spacing w:line="240" w:lineRule="auto"/>
        <w:ind w:left="0"/>
        <w:rPr>
          <w:lang w:eastAsia="fr-CA"/>
        </w:rPr>
      </w:pPr>
      <w:r w:rsidRPr="00014ADA">
        <w:rPr>
          <w:lang w:eastAsia="fr-CA"/>
        </w:rPr>
        <w:t xml:space="preserve">Les </w:t>
      </w:r>
      <w:r w:rsidR="00703D10">
        <w:rPr>
          <w:lang w:eastAsia="fr-CA"/>
        </w:rPr>
        <w:t>D</w:t>
      </w:r>
      <w:r w:rsidRPr="00014ADA">
        <w:rPr>
          <w:lang w:eastAsia="fr-CA"/>
        </w:rPr>
        <w:t>emandeurs tiennent à souligner que la preuve a tout de même été faite par la déclaration sous serment de M.</w:t>
      </w:r>
      <w:r w:rsidR="00241D26">
        <w:rPr>
          <w:lang w:eastAsia="fr-CA"/>
        </w:rPr>
        <w:t> </w:t>
      </w:r>
      <w:r w:rsidRPr="00014ADA">
        <w:rPr>
          <w:lang w:eastAsia="fr-CA"/>
        </w:rPr>
        <w:t>Landry</w:t>
      </w:r>
      <w:r>
        <w:rPr>
          <w:rStyle w:val="Appelnotedebasdep"/>
          <w:lang w:eastAsia="fr-CA"/>
        </w:rPr>
        <w:footnoteReference w:id="389"/>
      </w:r>
      <w:r w:rsidRPr="00014ADA">
        <w:rPr>
          <w:lang w:eastAsia="fr-CA"/>
        </w:rPr>
        <w:t>.</w:t>
      </w:r>
      <w:r w:rsidR="000E1032">
        <w:rPr>
          <w:lang w:eastAsia="fr-CA"/>
        </w:rPr>
        <w:t xml:space="preserve"> </w:t>
      </w:r>
    </w:p>
    <w:p w14:paraId="27BAA333" w14:textId="77777777" w:rsidR="007C5C6F" w:rsidRPr="00B14A67" w:rsidRDefault="00730A01" w:rsidP="0042740E">
      <w:pPr>
        <w:pStyle w:val="Paragraphe"/>
        <w:numPr>
          <w:ilvl w:val="4"/>
          <w:numId w:val="27"/>
        </w:numPr>
        <w:spacing w:line="240" w:lineRule="auto"/>
        <w:ind w:left="851" w:hanging="425"/>
        <w:rPr>
          <w:i/>
          <w:iCs/>
          <w:u w:val="single"/>
          <w:lang w:eastAsia="fr-CA"/>
        </w:rPr>
      </w:pPr>
      <w:r w:rsidRPr="00B14A67">
        <w:rPr>
          <w:i/>
          <w:iCs/>
          <w:u w:val="single"/>
          <w:lang w:eastAsia="fr-CA"/>
        </w:rPr>
        <w:t>Objection portant sur le retour d’impôt de 10 M$ reçu par Giroux</w:t>
      </w:r>
    </w:p>
    <w:p w14:paraId="3E13AD20"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L’objection est formulé</w:t>
      </w:r>
      <w:r w:rsidR="00703D10">
        <w:rPr>
          <w:lang w:eastAsia="fr-CA"/>
        </w:rPr>
        <w:t>e</w:t>
      </w:r>
      <w:r w:rsidRPr="00014ADA">
        <w:rPr>
          <w:lang w:eastAsia="fr-CA"/>
        </w:rPr>
        <w:t xml:space="preserve"> </w:t>
      </w:r>
      <w:r w:rsidR="000E1032">
        <w:rPr>
          <w:lang w:eastAsia="fr-CA"/>
        </w:rPr>
        <w:t xml:space="preserve">à la </w:t>
      </w:r>
      <w:r w:rsidRPr="00014ADA">
        <w:rPr>
          <w:lang w:eastAsia="fr-CA"/>
        </w:rPr>
        <w:t xml:space="preserve">suite </w:t>
      </w:r>
      <w:r w:rsidR="000E1032">
        <w:rPr>
          <w:lang w:eastAsia="fr-CA"/>
        </w:rPr>
        <w:t>d’</w:t>
      </w:r>
      <w:r w:rsidRPr="00014ADA">
        <w:rPr>
          <w:lang w:eastAsia="fr-CA"/>
        </w:rPr>
        <w:t>une question de M</w:t>
      </w:r>
      <w:r w:rsidRPr="00241D26">
        <w:rPr>
          <w:vertAlign w:val="superscript"/>
          <w:lang w:eastAsia="fr-CA"/>
        </w:rPr>
        <w:t>e</w:t>
      </w:r>
      <w:r w:rsidR="00241D26">
        <w:rPr>
          <w:lang w:eastAsia="fr-CA"/>
        </w:rPr>
        <w:t> </w:t>
      </w:r>
      <w:r w:rsidRPr="00014ADA">
        <w:rPr>
          <w:lang w:eastAsia="fr-CA"/>
        </w:rPr>
        <w:t>Valin à Giroux sur la réclamation fiscale de décembre</w:t>
      </w:r>
      <w:r w:rsidR="00241D26">
        <w:rPr>
          <w:lang w:eastAsia="fr-CA"/>
        </w:rPr>
        <w:t> </w:t>
      </w:r>
      <w:r w:rsidRPr="00014ADA">
        <w:rPr>
          <w:lang w:eastAsia="fr-CA"/>
        </w:rPr>
        <w:t>2023, en lien avec des pertes de FIISH.</w:t>
      </w:r>
    </w:p>
    <w:p w14:paraId="13E5770D"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Le motif de l’objection, tel que mentionné par M</w:t>
      </w:r>
      <w:r w:rsidRPr="00241D26">
        <w:rPr>
          <w:vertAlign w:val="superscript"/>
          <w:lang w:eastAsia="fr-CA"/>
        </w:rPr>
        <w:t>e</w:t>
      </w:r>
      <w:r w:rsidR="00241D26">
        <w:rPr>
          <w:lang w:eastAsia="fr-CA"/>
        </w:rPr>
        <w:t> </w:t>
      </w:r>
      <w:r w:rsidRPr="00014ADA">
        <w:rPr>
          <w:lang w:eastAsia="fr-CA"/>
        </w:rPr>
        <w:t>Rigaud,</w:t>
      </w:r>
      <w:r w:rsidRPr="00014ADA">
        <w:rPr>
          <w:b/>
          <w:bCs/>
          <w:lang w:eastAsia="fr-CA"/>
        </w:rPr>
        <w:t xml:space="preserve"> </w:t>
      </w:r>
      <w:r w:rsidRPr="00014ADA">
        <w:rPr>
          <w:lang w:eastAsia="fr-CA"/>
        </w:rPr>
        <w:t xml:space="preserve">est qu’il n’y a </w:t>
      </w:r>
      <w:r w:rsidRPr="00703D10">
        <w:rPr>
          <w:lang w:eastAsia="fr-CA"/>
        </w:rPr>
        <w:t>p</w:t>
      </w:r>
      <w:r w:rsidRPr="00014ADA">
        <w:rPr>
          <w:lang w:eastAsia="fr-CA"/>
        </w:rPr>
        <w:t>as d’allégations à ce sujet dans les demandes introductives. Ce sujet relève, selon lui, de la fiscalité personnelle de Giroux.</w:t>
      </w:r>
    </w:p>
    <w:p w14:paraId="6514D9B4"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Les avocats des Demandeurs soulève</w:t>
      </w:r>
      <w:r w:rsidR="00703D10">
        <w:rPr>
          <w:lang w:eastAsia="fr-CA"/>
        </w:rPr>
        <w:t>nt</w:t>
      </w:r>
      <w:r w:rsidRPr="00014ADA">
        <w:rPr>
          <w:lang w:eastAsia="fr-CA"/>
        </w:rPr>
        <w:t xml:space="preserve"> qu’ils ont découvert, lors du contre-interrogatoire, que Giroux avait reçu un retour d’impôt de 10</w:t>
      </w:r>
      <w:r w:rsidR="00703D10">
        <w:rPr>
          <w:lang w:eastAsia="fr-CA"/>
        </w:rPr>
        <w:t> </w:t>
      </w:r>
      <w:r w:rsidR="00D43141">
        <w:rPr>
          <w:lang w:eastAsia="fr-CA"/>
        </w:rPr>
        <w:t>M$</w:t>
      </w:r>
      <w:r w:rsidRPr="00014ADA">
        <w:rPr>
          <w:lang w:eastAsia="fr-CA"/>
        </w:rPr>
        <w:t xml:space="preserve"> lié au prêt FIISH. Ils soumettent que la connaissance de cet élément s’avère pertinent pour apprécier sa crédibilité et la gestion de ses actifs dans le contexte de la demande </w:t>
      </w:r>
      <w:r w:rsidRPr="00241D26">
        <w:rPr>
          <w:i/>
          <w:iCs/>
          <w:lang w:eastAsia="fr-CA"/>
        </w:rPr>
        <w:t>Mareva</w:t>
      </w:r>
      <w:r w:rsidRPr="00014ADA">
        <w:rPr>
          <w:lang w:eastAsia="fr-CA"/>
        </w:rPr>
        <w:t xml:space="preserve"> au fond.</w:t>
      </w:r>
    </w:p>
    <w:p w14:paraId="6BF0C021" w14:textId="77777777" w:rsidR="00CB453B" w:rsidRDefault="00730A01" w:rsidP="0054413F">
      <w:pPr>
        <w:pStyle w:val="Paragraphe"/>
        <w:tabs>
          <w:tab w:val="clear" w:pos="786"/>
        </w:tabs>
        <w:spacing w:line="240" w:lineRule="auto"/>
        <w:ind w:left="0"/>
        <w:rPr>
          <w:lang w:eastAsia="fr-CA"/>
        </w:rPr>
      </w:pPr>
      <w:r w:rsidRPr="00014ADA">
        <w:rPr>
          <w:lang w:eastAsia="fr-CA"/>
        </w:rPr>
        <w:t xml:space="preserve">Le Tribunal considère qu’il s’agit effectivement d’un élément pertinent </w:t>
      </w:r>
      <w:r w:rsidR="00112406">
        <w:rPr>
          <w:lang w:eastAsia="fr-CA"/>
        </w:rPr>
        <w:t xml:space="preserve">touchant </w:t>
      </w:r>
      <w:r w:rsidR="007C5C6F">
        <w:rPr>
          <w:lang w:eastAsia="fr-CA"/>
        </w:rPr>
        <w:t>au cœur du litige. D</w:t>
      </w:r>
      <w:r w:rsidRPr="00014ADA">
        <w:rPr>
          <w:lang w:eastAsia="fr-CA"/>
        </w:rPr>
        <w:t>ans les circonstances</w:t>
      </w:r>
      <w:r w:rsidR="007C5C6F">
        <w:rPr>
          <w:lang w:eastAsia="fr-CA"/>
        </w:rPr>
        <w:t xml:space="preserve">, </w:t>
      </w:r>
      <w:r w:rsidRPr="00014ADA">
        <w:rPr>
          <w:lang w:eastAsia="fr-CA"/>
        </w:rPr>
        <w:t>l’objection sera rejetée.</w:t>
      </w:r>
    </w:p>
    <w:p w14:paraId="0E07A7DB" w14:textId="77777777" w:rsidR="00CB453B" w:rsidRPr="00014ADA" w:rsidRDefault="00730A01" w:rsidP="0042740E">
      <w:pPr>
        <w:pStyle w:val="Paragraphe"/>
        <w:numPr>
          <w:ilvl w:val="4"/>
          <w:numId w:val="27"/>
        </w:numPr>
        <w:spacing w:line="240" w:lineRule="auto"/>
        <w:ind w:left="851" w:hanging="425"/>
        <w:rPr>
          <w:b/>
          <w:bCs/>
          <w:lang w:eastAsia="fr-CA"/>
        </w:rPr>
      </w:pPr>
      <w:r w:rsidRPr="00B14A67">
        <w:rPr>
          <w:i/>
          <w:iCs/>
          <w:u w:val="single"/>
          <w:lang w:eastAsia="fr-CA"/>
        </w:rPr>
        <w:t>Objection du 21 janvier 2025 sur la production des pièces PQ-214 et</w:t>
      </w:r>
      <w:r>
        <w:rPr>
          <w:b/>
          <w:bCs/>
          <w:lang w:eastAsia="fr-CA"/>
        </w:rPr>
        <w:t xml:space="preserve"> </w:t>
      </w:r>
      <w:r w:rsidRPr="00B14A67">
        <w:rPr>
          <w:i/>
          <w:iCs/>
          <w:u w:val="single"/>
          <w:lang w:eastAsia="fr-CA"/>
        </w:rPr>
        <w:t>PQ</w:t>
      </w:r>
      <w:r w:rsidRPr="00B14A67">
        <w:rPr>
          <w:i/>
          <w:iCs/>
          <w:u w:val="single"/>
          <w:lang w:eastAsia="fr-CA"/>
        </w:rPr>
        <w:noBreakHyphen/>
        <w:t>281</w:t>
      </w:r>
      <w:r>
        <w:rPr>
          <w:vertAlign w:val="superscript"/>
        </w:rPr>
        <w:footnoteReference w:id="390"/>
      </w:r>
    </w:p>
    <w:p w14:paraId="56BF2565"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L’objection porte sur la production des pièces PQ-214 (états financiers externes de Kepler) et PQ-218 (projet Louis XIV)</w:t>
      </w:r>
      <w:r w:rsidR="00241D26">
        <w:rPr>
          <w:lang w:eastAsia="fr-CA"/>
        </w:rPr>
        <w:t>.</w:t>
      </w:r>
    </w:p>
    <w:p w14:paraId="7E0A6D4D"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M</w:t>
      </w:r>
      <w:r w:rsidRPr="00241D26">
        <w:rPr>
          <w:vertAlign w:val="superscript"/>
          <w:lang w:eastAsia="fr-CA"/>
        </w:rPr>
        <w:t>e</w:t>
      </w:r>
      <w:r w:rsidR="00241D26">
        <w:rPr>
          <w:lang w:eastAsia="fr-CA"/>
        </w:rPr>
        <w:t> </w:t>
      </w:r>
      <w:r w:rsidRPr="00014ADA">
        <w:rPr>
          <w:lang w:eastAsia="fr-CA"/>
        </w:rPr>
        <w:t>Rigaud mentionne qu’il ne reconnaît pas la véracité du contenu de ces pièces; il admet seulement que ces documents ont été remis à M.</w:t>
      </w:r>
      <w:r w:rsidR="00241D26">
        <w:rPr>
          <w:lang w:eastAsia="fr-CA"/>
        </w:rPr>
        <w:t> </w:t>
      </w:r>
      <w:r w:rsidRPr="00014ADA">
        <w:rPr>
          <w:lang w:eastAsia="fr-CA"/>
        </w:rPr>
        <w:t>Simard par un syndic de faillite.</w:t>
      </w:r>
    </w:p>
    <w:p w14:paraId="71102C77"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Les avocats des Demandeurs précisent qu’ils ne veulent pas prouver le contenu des chiffres, mais démontrer que les Défendeurs avaient amplement l’opportunité d’obtenir les états financiers nécessaires à leurs analyses, ce qu’ils n’ont pas fait.</w:t>
      </w:r>
    </w:p>
    <w:p w14:paraId="1486B710" w14:textId="77777777" w:rsidR="00CB453B" w:rsidRPr="00014ADA" w:rsidRDefault="00730A01" w:rsidP="0054413F">
      <w:pPr>
        <w:pStyle w:val="Paragraphe"/>
        <w:tabs>
          <w:tab w:val="clear" w:pos="786"/>
        </w:tabs>
        <w:spacing w:line="240" w:lineRule="auto"/>
        <w:ind w:left="0"/>
        <w:rPr>
          <w:lang w:eastAsia="fr-CA"/>
        </w:rPr>
      </w:pPr>
      <w:r w:rsidRPr="00014ADA">
        <w:rPr>
          <w:lang w:eastAsia="fr-CA"/>
        </w:rPr>
        <w:t>L’objection sera maintenue en partie. Les pièces PQ-214 et PQ-218 ne f</w:t>
      </w:r>
      <w:r w:rsidR="00112406">
        <w:rPr>
          <w:lang w:eastAsia="fr-CA"/>
        </w:rPr>
        <w:t>aisant alors</w:t>
      </w:r>
      <w:r w:rsidRPr="00014ADA">
        <w:rPr>
          <w:lang w:eastAsia="fr-CA"/>
        </w:rPr>
        <w:t xml:space="preserve"> pas foi de la véracité de leur contenu</w:t>
      </w:r>
      <w:r w:rsidR="000E1032">
        <w:rPr>
          <w:lang w:eastAsia="fr-CA"/>
        </w:rPr>
        <w:t>,</w:t>
      </w:r>
      <w:r w:rsidRPr="00014ADA">
        <w:rPr>
          <w:lang w:eastAsia="fr-CA"/>
        </w:rPr>
        <w:t xml:space="preserve"> mais uniquement de leur existence.</w:t>
      </w:r>
    </w:p>
    <w:p w14:paraId="0F298E99" w14:textId="77777777" w:rsidR="00CB453B" w:rsidRPr="007C5C6F" w:rsidRDefault="00730A01" w:rsidP="0042740E">
      <w:pPr>
        <w:pStyle w:val="Paragraphe"/>
        <w:numPr>
          <w:ilvl w:val="4"/>
          <w:numId w:val="27"/>
        </w:numPr>
        <w:spacing w:line="240" w:lineRule="auto"/>
        <w:ind w:left="851" w:hanging="425"/>
        <w:rPr>
          <w:lang w:eastAsia="fr-CA"/>
        </w:rPr>
      </w:pPr>
      <w:r w:rsidRPr="00B14A67">
        <w:rPr>
          <w:i/>
          <w:iCs/>
          <w:u w:val="single"/>
          <w:lang w:eastAsia="fr-CA"/>
        </w:rPr>
        <w:t>Objection du 27 février 2025 portant sur la production de la pièce PQ-283</w:t>
      </w:r>
      <w:r>
        <w:rPr>
          <w:rStyle w:val="Appelnotedebasdep"/>
          <w:lang w:eastAsia="fr-CA"/>
        </w:rPr>
        <w:footnoteReference w:id="391"/>
      </w:r>
    </w:p>
    <w:p w14:paraId="48503662"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L’objection porte sur la production de la pièce PQ-283 (statistiques de rendements boursiers et de certains fonds) et elle est formulée au motif de sa non-pertinence.</w:t>
      </w:r>
    </w:p>
    <w:p w14:paraId="48432D49" w14:textId="77777777" w:rsidR="00CB453B" w:rsidRPr="00014ADA" w:rsidRDefault="00730A01" w:rsidP="0054413F">
      <w:pPr>
        <w:pStyle w:val="Paragraphe"/>
        <w:tabs>
          <w:tab w:val="clear" w:pos="786"/>
        </w:tabs>
        <w:spacing w:line="240" w:lineRule="auto"/>
        <w:ind w:left="0"/>
        <w:rPr>
          <w:lang w:eastAsia="fr-CA"/>
        </w:rPr>
      </w:pPr>
      <w:r w:rsidRPr="00014ADA">
        <w:rPr>
          <w:lang w:eastAsia="fr-CA"/>
        </w:rPr>
        <w:t>L’objection sera rejetée puisque les Défendeurs ont pu produire leurs propres statistiques sur le sujet.</w:t>
      </w:r>
    </w:p>
    <w:p w14:paraId="542D21A2" w14:textId="77777777" w:rsidR="00CB453B" w:rsidRPr="007C5C6F" w:rsidRDefault="00730A01" w:rsidP="0042740E">
      <w:pPr>
        <w:pStyle w:val="Paragraphe"/>
        <w:numPr>
          <w:ilvl w:val="4"/>
          <w:numId w:val="27"/>
        </w:numPr>
        <w:spacing w:line="240" w:lineRule="auto"/>
        <w:ind w:left="851" w:hanging="425"/>
        <w:rPr>
          <w:b/>
          <w:bCs/>
          <w:lang w:eastAsia="fr-CA"/>
        </w:rPr>
      </w:pPr>
      <w:r w:rsidRPr="00B14A67">
        <w:rPr>
          <w:i/>
          <w:iCs/>
          <w:u w:val="single"/>
          <w:lang w:eastAsia="fr-CA"/>
        </w:rPr>
        <w:t>Objection du 27 février 2025 portant sur la production de la pièce PQ-285</w:t>
      </w:r>
      <w:r>
        <w:rPr>
          <w:rStyle w:val="Appelnotedebasdep"/>
          <w:lang w:eastAsia="fr-CA"/>
        </w:rPr>
        <w:footnoteReference w:id="392"/>
      </w:r>
      <w:r w:rsidRPr="000D1323">
        <w:rPr>
          <w:lang w:eastAsia="fr-CA"/>
        </w:rPr>
        <w:t xml:space="preserve"> </w:t>
      </w:r>
    </w:p>
    <w:p w14:paraId="62703511"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Cette fois, l’objection porte sur la production de la pièce PQ-285 (courriel de Sophie Larochelle à Éric Bernier &amp; al. du 31</w:t>
      </w:r>
      <w:r w:rsidR="00241D26">
        <w:rPr>
          <w:lang w:eastAsia="fr-CA"/>
        </w:rPr>
        <w:t> </w:t>
      </w:r>
      <w:r w:rsidRPr="00014ADA">
        <w:rPr>
          <w:lang w:eastAsia="fr-CA"/>
        </w:rPr>
        <w:t>août</w:t>
      </w:r>
      <w:r w:rsidR="00241D26">
        <w:rPr>
          <w:lang w:eastAsia="fr-CA"/>
        </w:rPr>
        <w:t> </w:t>
      </w:r>
      <w:r w:rsidRPr="00014ADA">
        <w:rPr>
          <w:lang w:eastAsia="fr-CA"/>
        </w:rPr>
        <w:t>2022 – sous scellés) et est formulée au motif que M.</w:t>
      </w:r>
      <w:r w:rsidR="00241D26">
        <w:rPr>
          <w:lang w:eastAsia="fr-CA"/>
        </w:rPr>
        <w:t> </w:t>
      </w:r>
      <w:r w:rsidRPr="00014ADA">
        <w:rPr>
          <w:lang w:eastAsia="fr-CA"/>
        </w:rPr>
        <w:t>Luc Marcil (un expert de la firme LMD retenue par les Défendeurs) n’est pas le bon témoin pour produire la pièce.</w:t>
      </w:r>
    </w:p>
    <w:p w14:paraId="05B0B8A0"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Selon les Demandeurs,</w:t>
      </w:r>
      <w:r w:rsidRPr="00014ADA">
        <w:rPr>
          <w:b/>
          <w:bCs/>
          <w:lang w:eastAsia="fr-CA"/>
        </w:rPr>
        <w:t xml:space="preserve"> </w:t>
      </w:r>
      <w:r w:rsidRPr="00014ADA">
        <w:rPr>
          <w:lang w:eastAsia="fr-CA"/>
        </w:rPr>
        <w:t>cette pièce contredit directement un tableau des experts LMD</w:t>
      </w:r>
      <w:r>
        <w:rPr>
          <w:rStyle w:val="Appelnotedebasdep"/>
          <w:lang w:eastAsia="fr-CA"/>
        </w:rPr>
        <w:footnoteReference w:id="393"/>
      </w:r>
      <w:r w:rsidRPr="00014ADA">
        <w:rPr>
          <w:lang w:eastAsia="fr-CA"/>
        </w:rPr>
        <w:t xml:space="preserve"> et démontre que ceux-ci n’ont pas effectué un travail indépendant, rigoureux et suffisant, induisant ainsi le Tribunal en erreur.</w:t>
      </w:r>
    </w:p>
    <w:p w14:paraId="67A797BB" w14:textId="77777777" w:rsidR="00FD4E3B" w:rsidRDefault="00730A01" w:rsidP="001D3ECB">
      <w:pPr>
        <w:pStyle w:val="Paragraphe"/>
        <w:tabs>
          <w:tab w:val="clear" w:pos="786"/>
        </w:tabs>
        <w:spacing w:after="0" w:line="240" w:lineRule="auto"/>
        <w:ind w:left="0"/>
        <w:rPr>
          <w:lang w:eastAsia="fr-CA"/>
        </w:rPr>
      </w:pPr>
      <w:r w:rsidRPr="00014ADA">
        <w:rPr>
          <w:lang w:eastAsia="fr-CA"/>
        </w:rPr>
        <w:t xml:space="preserve">Puisque cette pièce était en possession des </w:t>
      </w:r>
      <w:r w:rsidR="000E1032">
        <w:rPr>
          <w:lang w:eastAsia="fr-CA"/>
        </w:rPr>
        <w:t>D</w:t>
      </w:r>
      <w:r w:rsidRPr="00014ADA">
        <w:rPr>
          <w:lang w:eastAsia="fr-CA"/>
        </w:rPr>
        <w:t>éfendeurs et que l’expert aurait dû la consulter dans le cadre de son expertise, l’objection sera rejet</w:t>
      </w:r>
      <w:r w:rsidR="000E1032">
        <w:rPr>
          <w:lang w:eastAsia="fr-CA"/>
        </w:rPr>
        <w:t>ée</w:t>
      </w:r>
      <w:r w:rsidRPr="00014ADA">
        <w:rPr>
          <w:lang w:eastAsia="fr-CA"/>
        </w:rPr>
        <w:t>.</w:t>
      </w:r>
    </w:p>
    <w:p w14:paraId="2374D753" w14:textId="77777777" w:rsidR="00FD4E3B" w:rsidRDefault="00730A01" w:rsidP="001D3ECB">
      <w:pPr>
        <w:pStyle w:val="Paragraphe"/>
        <w:numPr>
          <w:ilvl w:val="0"/>
          <w:numId w:val="0"/>
        </w:numPr>
        <w:tabs>
          <w:tab w:val="left" w:pos="3686"/>
        </w:tabs>
        <w:spacing w:line="240" w:lineRule="auto"/>
        <w:ind w:left="425"/>
        <w:rPr>
          <w:lang w:eastAsia="fr-CA"/>
        </w:rPr>
      </w:pPr>
      <w:r>
        <w:rPr>
          <w:lang w:eastAsia="fr-CA"/>
        </w:rPr>
        <w:tab/>
        <w:t>* * *</w:t>
      </w:r>
    </w:p>
    <w:p w14:paraId="54753E54" w14:textId="77777777" w:rsidR="00FD4E3B" w:rsidRDefault="00730A01" w:rsidP="0098012F">
      <w:pPr>
        <w:rPr>
          <w:kern w:val="28"/>
          <w:lang w:eastAsia="fr-CA"/>
        </w:rPr>
      </w:pPr>
      <w:r>
        <w:rPr>
          <w:lang w:eastAsia="fr-CA"/>
        </w:rPr>
        <w:br w:type="page"/>
      </w:r>
    </w:p>
    <w:p w14:paraId="30E4F8AE" w14:textId="77777777" w:rsidR="00CB453B" w:rsidRPr="0071447A" w:rsidRDefault="00730A01" w:rsidP="0071447A">
      <w:pPr>
        <w:pStyle w:val="Titre4"/>
        <w:numPr>
          <w:ilvl w:val="2"/>
          <w:numId w:val="5"/>
        </w:numPr>
        <w:ind w:left="426" w:hanging="426"/>
        <w:rPr>
          <w:smallCaps/>
          <w:szCs w:val="24"/>
        </w:rPr>
      </w:pPr>
      <w:r w:rsidRPr="0071447A">
        <w:rPr>
          <w:smallCaps/>
          <w:szCs w:val="24"/>
        </w:rPr>
        <w:t>La demande en rejet du rapport d’</w:t>
      </w:r>
      <w:r w:rsidR="000D1323" w:rsidRPr="0071447A">
        <w:rPr>
          <w:smallCaps/>
          <w:szCs w:val="24"/>
        </w:rPr>
        <w:t>e</w:t>
      </w:r>
      <w:r w:rsidRPr="0071447A">
        <w:rPr>
          <w:smallCaps/>
          <w:szCs w:val="24"/>
        </w:rPr>
        <w:t>xpert KPMG</w:t>
      </w:r>
    </w:p>
    <w:p w14:paraId="5B24EEB8" w14:textId="77777777" w:rsidR="00CB453B" w:rsidRPr="00014ADA" w:rsidRDefault="00730A01" w:rsidP="0096210C">
      <w:pPr>
        <w:pStyle w:val="Paragraphe"/>
        <w:tabs>
          <w:tab w:val="clear" w:pos="786"/>
        </w:tabs>
        <w:spacing w:line="240" w:lineRule="auto"/>
        <w:ind w:left="0"/>
        <w:rPr>
          <w:lang w:eastAsia="fr-CA"/>
        </w:rPr>
      </w:pPr>
      <w:r w:rsidRPr="00014ADA">
        <w:rPr>
          <w:lang w:eastAsia="fr-CA"/>
        </w:rPr>
        <w:t>Le 24</w:t>
      </w:r>
      <w:r w:rsidR="00241D26">
        <w:rPr>
          <w:lang w:eastAsia="fr-CA"/>
        </w:rPr>
        <w:t> </w:t>
      </w:r>
      <w:r w:rsidRPr="00014ADA">
        <w:rPr>
          <w:lang w:eastAsia="fr-CA"/>
        </w:rPr>
        <w:t>novembre</w:t>
      </w:r>
      <w:r w:rsidR="00241D26">
        <w:rPr>
          <w:lang w:eastAsia="fr-CA"/>
        </w:rPr>
        <w:t> </w:t>
      </w:r>
      <w:r w:rsidRPr="00014ADA">
        <w:rPr>
          <w:lang w:eastAsia="fr-CA"/>
        </w:rPr>
        <w:t xml:space="preserve">2023, les Défendeurs déposent une </w:t>
      </w:r>
      <w:r w:rsidRPr="000E1032">
        <w:rPr>
          <w:i/>
          <w:iCs/>
          <w:lang w:eastAsia="fr-CA"/>
        </w:rPr>
        <w:t>Demande en rejet de rapport</w:t>
      </w:r>
      <w:r w:rsidR="000E1032">
        <w:rPr>
          <w:i/>
          <w:iCs/>
          <w:lang w:eastAsia="fr-CA"/>
        </w:rPr>
        <w:t xml:space="preserve"> </w:t>
      </w:r>
      <w:r w:rsidRPr="000E1032">
        <w:rPr>
          <w:i/>
          <w:iCs/>
          <w:lang w:eastAsia="fr-CA"/>
        </w:rPr>
        <w:t xml:space="preserve">d’expert </w:t>
      </w:r>
      <w:r w:rsidRPr="00014ADA">
        <w:rPr>
          <w:lang w:eastAsia="fr-CA"/>
        </w:rPr>
        <w:t>en vertu de l’article</w:t>
      </w:r>
      <w:r w:rsidR="00241D26">
        <w:rPr>
          <w:lang w:eastAsia="fr-CA"/>
        </w:rPr>
        <w:t> </w:t>
      </w:r>
      <w:r w:rsidRPr="00014ADA">
        <w:rPr>
          <w:lang w:eastAsia="fr-CA"/>
        </w:rPr>
        <w:t>241 du C.p.c</w:t>
      </w:r>
      <w:r w:rsidR="000E1032">
        <w:rPr>
          <w:lang w:eastAsia="fr-CA"/>
        </w:rPr>
        <w:t>.</w:t>
      </w:r>
    </w:p>
    <w:p w14:paraId="32E6FBEF"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Au soutien de cette Demande, les Défendeurs formulent les trois reproches suivants :</w:t>
      </w:r>
    </w:p>
    <w:p w14:paraId="625BD9A9" w14:textId="77777777" w:rsidR="000E1032" w:rsidRPr="0054413F" w:rsidRDefault="00730A01" w:rsidP="0042740E">
      <w:pPr>
        <w:numPr>
          <w:ilvl w:val="1"/>
          <w:numId w:val="22"/>
        </w:numPr>
        <w:autoSpaceDE w:val="0"/>
        <w:autoSpaceDN w:val="0"/>
        <w:adjustRightInd w:val="0"/>
        <w:spacing w:after="120"/>
        <w:ind w:left="993" w:right="539" w:hanging="284"/>
        <w:jc w:val="both"/>
        <w:rPr>
          <w:rFonts w:cs="Arial"/>
          <w:sz w:val="22"/>
          <w:szCs w:val="22"/>
          <w:lang w:eastAsia="fr-CA"/>
        </w:rPr>
      </w:pPr>
      <w:r w:rsidRPr="000E1032">
        <w:rPr>
          <w:rFonts w:cs="Arial"/>
          <w:szCs w:val="24"/>
          <w:lang w:eastAsia="fr-CA"/>
        </w:rPr>
        <w:t xml:space="preserve">le </w:t>
      </w:r>
      <w:r w:rsidRPr="0099104E">
        <w:rPr>
          <w:rFonts w:cs="Arial"/>
          <w:sz w:val="22"/>
          <w:szCs w:val="22"/>
          <w:lang w:eastAsia="fr-CA"/>
        </w:rPr>
        <w:t xml:space="preserve">Rapport de KPMG serait </w:t>
      </w:r>
      <w:r w:rsidRPr="0054413F">
        <w:rPr>
          <w:rFonts w:cs="Arial"/>
          <w:sz w:val="22"/>
          <w:szCs w:val="22"/>
          <w:lang w:eastAsia="fr-CA"/>
        </w:rPr>
        <w:t>irrégulier en ce que l’expert se serait aventuré dans le domaine de l’opinion juridique;</w:t>
      </w:r>
    </w:p>
    <w:p w14:paraId="78BA206D" w14:textId="77777777" w:rsidR="000E1032" w:rsidRPr="0054413F" w:rsidRDefault="00730A01" w:rsidP="0042740E">
      <w:pPr>
        <w:numPr>
          <w:ilvl w:val="1"/>
          <w:numId w:val="22"/>
        </w:numPr>
        <w:autoSpaceDE w:val="0"/>
        <w:autoSpaceDN w:val="0"/>
        <w:adjustRightInd w:val="0"/>
        <w:ind w:left="993" w:right="539" w:hanging="284"/>
        <w:jc w:val="both"/>
        <w:rPr>
          <w:rFonts w:cs="Arial"/>
          <w:sz w:val="22"/>
          <w:szCs w:val="22"/>
          <w:lang w:eastAsia="fr-CA"/>
        </w:rPr>
      </w:pPr>
      <w:r w:rsidRPr="0054413F">
        <w:rPr>
          <w:rFonts w:cs="Arial"/>
          <w:sz w:val="22"/>
          <w:szCs w:val="22"/>
          <w:lang w:eastAsia="fr-CA"/>
        </w:rPr>
        <w:t>le Rapport de KPMG serait partial en raison d’un conflit d’intérêts de KPMG; et</w:t>
      </w:r>
    </w:p>
    <w:p w14:paraId="177AF55A" w14:textId="77777777" w:rsidR="00CB453B" w:rsidRPr="000E1032" w:rsidRDefault="00730A01" w:rsidP="00961869">
      <w:pPr>
        <w:numPr>
          <w:ilvl w:val="1"/>
          <w:numId w:val="22"/>
        </w:numPr>
        <w:autoSpaceDE w:val="0"/>
        <w:autoSpaceDN w:val="0"/>
        <w:adjustRightInd w:val="0"/>
        <w:spacing w:before="120" w:after="100" w:afterAutospacing="1"/>
        <w:ind w:left="993" w:right="539" w:hanging="284"/>
        <w:jc w:val="both"/>
        <w:rPr>
          <w:rFonts w:cs="Arial"/>
          <w:szCs w:val="24"/>
          <w:lang w:eastAsia="fr-CA"/>
        </w:rPr>
      </w:pPr>
      <w:r w:rsidRPr="0054413F">
        <w:rPr>
          <w:rFonts w:cs="Arial"/>
          <w:sz w:val="22"/>
          <w:szCs w:val="22"/>
          <w:lang w:eastAsia="fr-CA"/>
        </w:rPr>
        <w:t>le Rapport de KPMG comporterait une erreur grave susceptible de conséquences</w:t>
      </w:r>
      <w:r w:rsidR="000E1032" w:rsidRPr="0054413F">
        <w:rPr>
          <w:rFonts w:cs="Arial"/>
          <w:sz w:val="22"/>
          <w:szCs w:val="22"/>
          <w:lang w:eastAsia="fr-CA"/>
        </w:rPr>
        <w:t xml:space="preserve"> </w:t>
      </w:r>
      <w:r w:rsidRPr="0054413F">
        <w:rPr>
          <w:rFonts w:cs="Arial"/>
          <w:sz w:val="22"/>
          <w:szCs w:val="22"/>
          <w:lang w:eastAsia="fr-CA"/>
        </w:rPr>
        <w:t>sérieuses en ce que l’expert s’écarte de sa mission.</w:t>
      </w:r>
    </w:p>
    <w:p w14:paraId="63234BFE" w14:textId="77777777" w:rsidR="00CB453B" w:rsidRPr="00961869" w:rsidRDefault="00730A01" w:rsidP="00961869">
      <w:pPr>
        <w:pStyle w:val="Paragraphe"/>
        <w:tabs>
          <w:tab w:val="clear" w:pos="786"/>
        </w:tabs>
        <w:spacing w:line="240" w:lineRule="auto"/>
        <w:ind w:left="0"/>
        <w:rPr>
          <w:lang w:eastAsia="fr-CA"/>
        </w:rPr>
      </w:pPr>
      <w:r w:rsidRPr="00961869">
        <w:rPr>
          <w:lang w:eastAsia="fr-CA"/>
        </w:rPr>
        <w:t>Lors de l’audience de gestion du 27</w:t>
      </w:r>
      <w:r w:rsidR="00241D26" w:rsidRPr="00961869">
        <w:rPr>
          <w:lang w:eastAsia="fr-CA"/>
        </w:rPr>
        <w:t> </w:t>
      </w:r>
      <w:r w:rsidRPr="00961869">
        <w:rPr>
          <w:lang w:eastAsia="fr-CA"/>
        </w:rPr>
        <w:t>novembre</w:t>
      </w:r>
      <w:r w:rsidR="00241D26" w:rsidRPr="00961869">
        <w:rPr>
          <w:lang w:eastAsia="fr-CA"/>
        </w:rPr>
        <w:t> </w:t>
      </w:r>
      <w:r w:rsidRPr="00961869">
        <w:rPr>
          <w:lang w:eastAsia="fr-CA"/>
        </w:rPr>
        <w:t>2023, le Tribunal reporte l’analyse de la pertinence et de la régularité du Rapport de KPMG</w:t>
      </w:r>
      <w:r w:rsidR="00143184" w:rsidRPr="00961869">
        <w:rPr>
          <w:lang w:eastAsia="fr-CA"/>
        </w:rPr>
        <w:t xml:space="preserve"> à l’audition sur le fond</w:t>
      </w:r>
      <w:r w:rsidR="000D1323" w:rsidRPr="00961869">
        <w:rPr>
          <w:lang w:eastAsia="fr-CA"/>
        </w:rPr>
        <w:t>.</w:t>
      </w:r>
      <w:r w:rsidRPr="00961869">
        <w:rPr>
          <w:lang w:eastAsia="fr-CA"/>
        </w:rPr>
        <w:t xml:space="preserve"> </w:t>
      </w:r>
    </w:p>
    <w:p w14:paraId="5C27485B" w14:textId="77777777" w:rsidR="00CB453B" w:rsidRPr="00014ADA" w:rsidRDefault="00730A01" w:rsidP="0099104E">
      <w:pPr>
        <w:pStyle w:val="Paragraphe"/>
        <w:tabs>
          <w:tab w:val="clear" w:pos="786"/>
        </w:tabs>
        <w:spacing w:line="240" w:lineRule="auto"/>
        <w:ind w:left="0"/>
        <w:rPr>
          <w:lang w:eastAsia="fr-CA"/>
        </w:rPr>
      </w:pPr>
      <w:r w:rsidRPr="00014ADA">
        <w:rPr>
          <w:lang w:eastAsia="fr-CA"/>
        </w:rPr>
        <w:t>Le 18</w:t>
      </w:r>
      <w:r w:rsidR="00241D26">
        <w:rPr>
          <w:lang w:eastAsia="fr-CA"/>
        </w:rPr>
        <w:t> </w:t>
      </w:r>
      <w:r w:rsidRPr="00014ADA">
        <w:rPr>
          <w:lang w:eastAsia="fr-CA"/>
        </w:rPr>
        <w:t>mars</w:t>
      </w:r>
      <w:r w:rsidR="00241D26">
        <w:rPr>
          <w:lang w:eastAsia="fr-CA"/>
        </w:rPr>
        <w:t> </w:t>
      </w:r>
      <w:r w:rsidRPr="00014ADA">
        <w:rPr>
          <w:lang w:eastAsia="fr-CA"/>
        </w:rPr>
        <w:t>2025, au cours du procès, les Défendeurs confirment maintenir leur</w:t>
      </w:r>
      <w:r w:rsidRPr="00014ADA">
        <w:rPr>
          <w:rFonts w:eastAsia="Wingdings-Regular"/>
          <w:lang w:eastAsia="fr-CA"/>
        </w:rPr>
        <w:t xml:space="preserve"> </w:t>
      </w:r>
      <w:r w:rsidRPr="000E1032">
        <w:rPr>
          <w:rFonts w:eastAsia="Wingdings-Regular"/>
          <w:i/>
          <w:iCs/>
          <w:lang w:eastAsia="fr-CA"/>
        </w:rPr>
        <w:t xml:space="preserve">Demande </w:t>
      </w:r>
      <w:r w:rsidRPr="000E1032">
        <w:rPr>
          <w:rFonts w:eastAsia="Wingdings-Regular"/>
          <w:i/>
          <w:iCs/>
        </w:rPr>
        <w:t>en rejet</w:t>
      </w:r>
      <w:r w:rsidRPr="00014ADA">
        <w:rPr>
          <w:rFonts w:eastAsia="Wingdings-Regular"/>
        </w:rPr>
        <w:t xml:space="preserve"> du </w:t>
      </w:r>
      <w:r w:rsidRPr="00014ADA">
        <w:t>Rapport</w:t>
      </w:r>
      <w:r w:rsidRPr="00014ADA">
        <w:rPr>
          <w:lang w:eastAsia="fr-CA"/>
        </w:rPr>
        <w:t xml:space="preserve"> de KPMG</w:t>
      </w:r>
      <w:r>
        <w:rPr>
          <w:rStyle w:val="Appelnotedebasdep"/>
          <w:lang w:eastAsia="fr-CA"/>
        </w:rPr>
        <w:footnoteReference w:id="394"/>
      </w:r>
      <w:r w:rsidRPr="00014ADA">
        <w:rPr>
          <w:lang w:eastAsia="fr-CA"/>
        </w:rPr>
        <w:t xml:space="preserve">. </w:t>
      </w:r>
    </w:p>
    <w:p w14:paraId="6A0FB947" w14:textId="77777777" w:rsidR="00CB453B" w:rsidRPr="00014ADA" w:rsidRDefault="00730A01" w:rsidP="0099104E">
      <w:pPr>
        <w:pStyle w:val="Paragraphe"/>
        <w:tabs>
          <w:tab w:val="clear" w:pos="786"/>
        </w:tabs>
        <w:spacing w:line="240" w:lineRule="auto"/>
        <w:ind w:left="0"/>
        <w:rPr>
          <w:lang w:eastAsia="fr-CA"/>
        </w:rPr>
      </w:pPr>
      <w:r w:rsidRPr="00014ADA">
        <w:rPr>
          <w:lang w:eastAsia="fr-CA"/>
        </w:rPr>
        <w:t xml:space="preserve">Les Demandeurs réfutent chacun </w:t>
      </w:r>
      <w:r w:rsidRPr="000D1323">
        <w:rPr>
          <w:lang w:eastAsia="fr-CA"/>
        </w:rPr>
        <w:t>des</w:t>
      </w:r>
      <w:r w:rsidRPr="00014ADA">
        <w:rPr>
          <w:lang w:eastAsia="fr-CA"/>
        </w:rPr>
        <w:t xml:space="preserve"> arguments des </w:t>
      </w:r>
      <w:r w:rsidR="000E1032">
        <w:rPr>
          <w:lang w:eastAsia="fr-CA"/>
        </w:rPr>
        <w:t>D</w:t>
      </w:r>
      <w:r w:rsidRPr="00014ADA">
        <w:rPr>
          <w:lang w:eastAsia="fr-CA"/>
        </w:rPr>
        <w:t>éfendeurs et ils soulèvent également un moyen préliminaire, soit que la Demande serait hors délai.</w:t>
      </w:r>
    </w:p>
    <w:p w14:paraId="7843BA0C" w14:textId="77777777" w:rsidR="00CB453B" w:rsidRPr="00A13539" w:rsidRDefault="00730A01" w:rsidP="0099104E">
      <w:pPr>
        <w:pStyle w:val="Paragraphe"/>
        <w:tabs>
          <w:tab w:val="clear" w:pos="786"/>
        </w:tabs>
        <w:autoSpaceDE w:val="0"/>
        <w:autoSpaceDN w:val="0"/>
        <w:adjustRightInd w:val="0"/>
        <w:spacing w:line="240" w:lineRule="auto"/>
        <w:ind w:left="0"/>
        <w:rPr>
          <w:rFonts w:cs="Arial"/>
          <w:szCs w:val="24"/>
          <w:lang w:eastAsia="fr-CA"/>
        </w:rPr>
      </w:pPr>
      <w:r w:rsidRPr="00014ADA">
        <w:rPr>
          <w:lang w:eastAsia="fr-CA"/>
        </w:rPr>
        <w:t>Voyons ce qu’il en est :</w:t>
      </w:r>
    </w:p>
    <w:p w14:paraId="594555B8" w14:textId="77777777" w:rsidR="00CB453B" w:rsidRPr="0096210C" w:rsidRDefault="00730A01" w:rsidP="0042740E">
      <w:pPr>
        <w:pStyle w:val="Titre6"/>
        <w:numPr>
          <w:ilvl w:val="5"/>
          <w:numId w:val="22"/>
        </w:numPr>
        <w:spacing w:before="120"/>
        <w:ind w:left="426" w:hanging="426"/>
        <w:rPr>
          <w:b/>
          <w:bCs/>
          <w:sz w:val="24"/>
          <w:szCs w:val="24"/>
        </w:rPr>
      </w:pPr>
      <w:r w:rsidRPr="0096210C">
        <w:rPr>
          <w:b/>
          <w:bCs/>
          <w:sz w:val="24"/>
          <w:szCs w:val="24"/>
        </w:rPr>
        <w:t>Le moyen préliminaire : La Demande serait hors délai</w:t>
      </w:r>
    </w:p>
    <w:p w14:paraId="53F65B52" w14:textId="77777777" w:rsidR="00CB453B" w:rsidRPr="00014ADA" w:rsidRDefault="00730A01" w:rsidP="0098012F">
      <w:pPr>
        <w:pStyle w:val="Paragraphe"/>
        <w:tabs>
          <w:tab w:val="clear" w:pos="786"/>
        </w:tabs>
        <w:spacing w:line="240" w:lineRule="auto"/>
        <w:ind w:left="0"/>
        <w:rPr>
          <w:rFonts w:cs="Arial"/>
          <w:szCs w:val="24"/>
          <w:lang w:eastAsia="fr-CA"/>
        </w:rPr>
      </w:pPr>
      <w:r w:rsidRPr="00115985">
        <w:t>Les Demandeurs s’appuient sur l’article</w:t>
      </w:r>
      <w:r w:rsidR="00241D26">
        <w:t> </w:t>
      </w:r>
      <w:r w:rsidRPr="00115985">
        <w:t>241 du C.p.c. qui prévoit q</w:t>
      </w:r>
      <w:r w:rsidR="00115985">
        <w:t>u</w:t>
      </w:r>
      <w:r w:rsidRPr="00115985">
        <w:t>’une demande en rejet d’un rapport d’expertise doit être produite dans les dix (10) jours de la connaissance</w:t>
      </w:r>
      <w:r w:rsidRPr="00014ADA">
        <w:rPr>
          <w:rFonts w:cs="Arial"/>
          <w:szCs w:val="24"/>
          <w:lang w:eastAsia="fr-CA"/>
        </w:rPr>
        <w:t xml:space="preserve"> du motif de rejet</w:t>
      </w:r>
      <w:r w:rsidR="00241D26">
        <w:rPr>
          <w:rFonts w:cs="Arial"/>
          <w:szCs w:val="24"/>
          <w:lang w:eastAsia="fr-CA"/>
        </w:rPr>
        <w:t> </w:t>
      </w:r>
      <w:r w:rsidRPr="00014ADA">
        <w:rPr>
          <w:rFonts w:cs="Arial"/>
          <w:szCs w:val="24"/>
          <w:lang w:eastAsia="fr-CA"/>
        </w:rPr>
        <w:t>:</w:t>
      </w:r>
    </w:p>
    <w:p w14:paraId="2D1A2CB6" w14:textId="77777777" w:rsidR="00CB453B" w:rsidRPr="00143184" w:rsidRDefault="00730A01" w:rsidP="0054413F">
      <w:pPr>
        <w:pStyle w:val="Citationenretrait"/>
        <w:tabs>
          <w:tab w:val="left" w:pos="8789"/>
        </w:tabs>
        <w:spacing w:before="0"/>
        <w:ind w:right="539"/>
      </w:pPr>
      <w:r w:rsidRPr="00143184">
        <w:t>241.</w:t>
      </w:r>
      <w:r w:rsidR="00F677EE">
        <w:t> </w:t>
      </w:r>
      <w:r w:rsidRPr="00143184">
        <w:t>Une partie peut, avant l’instruction, demander le rejet du rapport</w:t>
      </w:r>
      <w:r w:rsidR="00115985" w:rsidRPr="00143184">
        <w:t xml:space="preserve"> </w:t>
      </w:r>
      <w:r w:rsidRPr="00143184">
        <w:t>pour cause d’irrégularité, d’erreur grave ou de partialité, auquel cas</w:t>
      </w:r>
      <w:r w:rsidR="00115985" w:rsidRPr="00143184">
        <w:t xml:space="preserve"> </w:t>
      </w:r>
      <w:r w:rsidRPr="00143184">
        <w:t>cette demande est notifiée aux autres parties dans les 10</w:t>
      </w:r>
      <w:r w:rsidR="00241D26">
        <w:t> </w:t>
      </w:r>
      <w:r w:rsidRPr="00143184">
        <w:t>jours de la</w:t>
      </w:r>
      <w:r w:rsidR="00143184">
        <w:t xml:space="preserve"> </w:t>
      </w:r>
      <w:r w:rsidRPr="00143184">
        <w:t>connaissance du motif de rejet du rapport.</w:t>
      </w:r>
    </w:p>
    <w:p w14:paraId="60320660" w14:textId="77777777" w:rsidR="00CB453B" w:rsidRPr="00143184" w:rsidRDefault="00730A01" w:rsidP="0054413F">
      <w:pPr>
        <w:pStyle w:val="Citationenretrait"/>
        <w:tabs>
          <w:tab w:val="left" w:pos="8789"/>
        </w:tabs>
        <w:spacing w:before="0"/>
        <w:ind w:right="539"/>
      </w:pPr>
      <w:r w:rsidRPr="00143184">
        <w:t>Le tribunal, s’il considère la demande bien fondée, ordonne la</w:t>
      </w:r>
      <w:r w:rsidR="00115985" w:rsidRPr="00143184">
        <w:t xml:space="preserve"> </w:t>
      </w:r>
      <w:r w:rsidRPr="00143184">
        <w:t>correction du rapport ou encore son retrait, auquel cas il peut</w:t>
      </w:r>
      <w:r w:rsidR="00115985" w:rsidRPr="00143184">
        <w:t xml:space="preserve"> </w:t>
      </w:r>
      <w:r w:rsidRPr="00143184">
        <w:t>permettre une autre expertise. Il peut également, dans la mesure</w:t>
      </w:r>
      <w:r w:rsidR="00115985" w:rsidRPr="00143184">
        <w:t xml:space="preserve"> </w:t>
      </w:r>
      <w:r w:rsidRPr="00143184">
        <w:t>qu’il indique, réduire le montant des honoraires dus à l’expert ou</w:t>
      </w:r>
      <w:r w:rsidR="00115985" w:rsidRPr="00143184">
        <w:t xml:space="preserve"> </w:t>
      </w:r>
      <w:r w:rsidRPr="00143184">
        <w:t>ordonner le remboursement de ce qui lui a été payé.</w:t>
      </w:r>
    </w:p>
    <w:p w14:paraId="7A2B7CEB" w14:textId="77777777" w:rsidR="00CB453B" w:rsidRPr="00014ADA" w:rsidRDefault="00730A01" w:rsidP="002A63FE">
      <w:pPr>
        <w:pStyle w:val="Paragraphe"/>
        <w:tabs>
          <w:tab w:val="clear" w:pos="786"/>
        </w:tabs>
        <w:spacing w:line="240" w:lineRule="auto"/>
        <w:ind w:left="0"/>
        <w:rPr>
          <w:lang w:eastAsia="fr-CA"/>
        </w:rPr>
      </w:pPr>
      <w:r w:rsidRPr="00C76039">
        <w:rPr>
          <w:lang w:eastAsia="fr-CA"/>
        </w:rPr>
        <w:t>Dans la présente affaire, c’est le 12</w:t>
      </w:r>
      <w:r w:rsidR="0054413F" w:rsidRPr="00C76039">
        <w:rPr>
          <w:lang w:eastAsia="fr-CA"/>
        </w:rPr>
        <w:t> </w:t>
      </w:r>
      <w:r w:rsidRPr="00C76039">
        <w:rPr>
          <w:lang w:eastAsia="fr-CA"/>
        </w:rPr>
        <w:t>novembre</w:t>
      </w:r>
      <w:r w:rsidR="0054413F" w:rsidRPr="00C76039">
        <w:rPr>
          <w:lang w:eastAsia="fr-CA"/>
        </w:rPr>
        <w:t> </w:t>
      </w:r>
      <w:r w:rsidRPr="00C76039">
        <w:rPr>
          <w:lang w:eastAsia="fr-CA"/>
        </w:rPr>
        <w:t xml:space="preserve">2023 que les </w:t>
      </w:r>
      <w:r w:rsidR="00115985" w:rsidRPr="00C76039">
        <w:rPr>
          <w:lang w:eastAsia="fr-CA"/>
        </w:rPr>
        <w:t>D</w:t>
      </w:r>
      <w:r w:rsidRPr="00C76039">
        <w:rPr>
          <w:lang w:eastAsia="fr-CA"/>
        </w:rPr>
        <w:t xml:space="preserve">emandeurs </w:t>
      </w:r>
      <w:r w:rsidR="000D1323" w:rsidRPr="00C76039">
        <w:rPr>
          <w:lang w:eastAsia="fr-CA"/>
        </w:rPr>
        <w:t>communiquent</w:t>
      </w:r>
      <w:r w:rsidRPr="00C76039">
        <w:rPr>
          <w:lang w:eastAsia="fr-CA"/>
        </w:rPr>
        <w:t xml:space="preserve"> aux Défendeurs le Rapport de KPMG</w:t>
      </w:r>
      <w:r>
        <w:rPr>
          <w:rStyle w:val="Appelnotedebasdep"/>
          <w:lang w:eastAsia="fr-CA"/>
        </w:rPr>
        <w:footnoteReference w:id="395"/>
      </w:r>
      <w:r w:rsidR="000D1323" w:rsidRPr="00C76039">
        <w:rPr>
          <w:lang w:eastAsia="fr-CA"/>
        </w:rPr>
        <w:t xml:space="preserve"> </w:t>
      </w:r>
      <w:r w:rsidRPr="00C76039">
        <w:rPr>
          <w:lang w:eastAsia="fr-CA"/>
        </w:rPr>
        <w:t>et les Défendeurs produi</w:t>
      </w:r>
      <w:r w:rsidR="000D1323" w:rsidRPr="00C76039">
        <w:rPr>
          <w:lang w:eastAsia="fr-CA"/>
        </w:rPr>
        <w:t>sen</w:t>
      </w:r>
      <w:r w:rsidRPr="00C76039">
        <w:rPr>
          <w:lang w:eastAsia="fr-CA"/>
        </w:rPr>
        <w:t>t leur</w:t>
      </w:r>
      <w:r w:rsidR="00C76039">
        <w:rPr>
          <w:lang w:eastAsia="fr-CA"/>
        </w:rPr>
        <w:t xml:space="preserve"> </w:t>
      </w:r>
      <w:r w:rsidRPr="00014ADA">
        <w:rPr>
          <w:lang w:eastAsia="fr-CA"/>
        </w:rPr>
        <w:t xml:space="preserve">Demande en rejet </w:t>
      </w:r>
      <w:r w:rsidR="00115985">
        <w:rPr>
          <w:lang w:eastAsia="fr-CA"/>
        </w:rPr>
        <w:t xml:space="preserve">douze </w:t>
      </w:r>
      <w:r w:rsidRPr="00014ADA">
        <w:rPr>
          <w:lang w:eastAsia="fr-CA"/>
        </w:rPr>
        <w:t>jours plus tard, soit le 24</w:t>
      </w:r>
      <w:r w:rsidR="00241D26">
        <w:rPr>
          <w:lang w:eastAsia="fr-CA"/>
        </w:rPr>
        <w:t> </w:t>
      </w:r>
      <w:r w:rsidRPr="00014ADA">
        <w:rPr>
          <w:lang w:eastAsia="fr-CA"/>
        </w:rPr>
        <w:t>novembre</w:t>
      </w:r>
      <w:r w:rsidR="00241D26">
        <w:rPr>
          <w:lang w:eastAsia="fr-CA"/>
        </w:rPr>
        <w:t> </w:t>
      </w:r>
      <w:r w:rsidRPr="00014ADA">
        <w:rPr>
          <w:lang w:eastAsia="fr-CA"/>
        </w:rPr>
        <w:t>2023</w:t>
      </w:r>
      <w:r w:rsidR="00143184">
        <w:rPr>
          <w:lang w:eastAsia="fr-CA"/>
        </w:rPr>
        <w:t>; l</w:t>
      </w:r>
      <w:r w:rsidRPr="00014ADA">
        <w:rPr>
          <w:lang w:eastAsia="fr-CA"/>
        </w:rPr>
        <w:t>e délai de dix jours était donc expiré.</w:t>
      </w:r>
    </w:p>
    <w:p w14:paraId="716440B9" w14:textId="77777777" w:rsidR="00115985" w:rsidRDefault="00730A01" w:rsidP="0098012F">
      <w:pPr>
        <w:pStyle w:val="Paragraphe"/>
        <w:tabs>
          <w:tab w:val="clear" w:pos="786"/>
        </w:tabs>
        <w:spacing w:line="240" w:lineRule="auto"/>
        <w:ind w:left="0"/>
        <w:rPr>
          <w:lang w:eastAsia="fr-CA"/>
        </w:rPr>
      </w:pPr>
      <w:r w:rsidRPr="00014ADA">
        <w:rPr>
          <w:lang w:eastAsia="fr-CA"/>
        </w:rPr>
        <w:t>Il faut cependant savoir que le 27</w:t>
      </w:r>
      <w:r w:rsidR="00241D26">
        <w:rPr>
          <w:lang w:eastAsia="fr-CA"/>
        </w:rPr>
        <w:t> </w:t>
      </w:r>
      <w:r w:rsidRPr="00014ADA">
        <w:rPr>
          <w:lang w:eastAsia="fr-CA"/>
        </w:rPr>
        <w:t>septembre</w:t>
      </w:r>
      <w:r w:rsidR="00241D26">
        <w:rPr>
          <w:lang w:eastAsia="fr-CA"/>
        </w:rPr>
        <w:t> </w:t>
      </w:r>
      <w:r w:rsidRPr="00014ADA">
        <w:rPr>
          <w:lang w:eastAsia="fr-CA"/>
        </w:rPr>
        <w:t>2023, alors qu’il avait été avisé le 12</w:t>
      </w:r>
      <w:r w:rsidR="00241D26">
        <w:rPr>
          <w:lang w:eastAsia="fr-CA"/>
        </w:rPr>
        <w:t> </w:t>
      </w:r>
      <w:r w:rsidRPr="00014ADA">
        <w:rPr>
          <w:lang w:eastAsia="fr-CA"/>
        </w:rPr>
        <w:t>septembre</w:t>
      </w:r>
      <w:r w:rsidR="00241D26">
        <w:rPr>
          <w:lang w:eastAsia="fr-CA"/>
        </w:rPr>
        <w:t> </w:t>
      </w:r>
      <w:r w:rsidRPr="00014ADA">
        <w:rPr>
          <w:lang w:eastAsia="fr-CA"/>
        </w:rPr>
        <w:t>2023 du mandat confié à l’expert Filion de KPMG, Me Rigaud écrivait aux avocats des Demandeurs concernant ce mandat</w:t>
      </w:r>
      <w:r>
        <w:rPr>
          <w:rStyle w:val="Appelnotedebasdep"/>
          <w:lang w:eastAsia="fr-CA"/>
        </w:rPr>
        <w:footnoteReference w:id="396"/>
      </w:r>
      <w:r w:rsidRPr="00014ADA">
        <w:rPr>
          <w:lang w:eastAsia="fr-CA"/>
        </w:rPr>
        <w:t>. Celui-ci y allègue que</w:t>
      </w:r>
      <w:r>
        <w:rPr>
          <w:lang w:eastAsia="fr-CA"/>
        </w:rPr>
        <w:t xml:space="preserve"> </w:t>
      </w:r>
      <w:r w:rsidRPr="00014ADA">
        <w:rPr>
          <w:lang w:eastAsia="fr-CA"/>
        </w:rPr>
        <w:t>la firme KPMG agissait déjà à titre de syndic à la faillite de Millénium</w:t>
      </w:r>
      <w:r>
        <w:rPr>
          <w:lang w:eastAsia="fr-CA"/>
        </w:rPr>
        <w:t xml:space="preserve"> </w:t>
      </w:r>
      <w:r w:rsidRPr="00014ADA">
        <w:rPr>
          <w:lang w:eastAsia="fr-CA"/>
        </w:rPr>
        <w:t>Construction inc. (la compagnie de construction du Groupe Huot) dans le cadre du dossier 200-11-028624-230. Dès ce moment</w:t>
      </w:r>
      <w:r>
        <w:rPr>
          <w:lang w:eastAsia="fr-CA"/>
        </w:rPr>
        <w:t>,</w:t>
      </w:r>
      <w:r w:rsidRPr="00014ADA">
        <w:rPr>
          <w:lang w:eastAsia="fr-CA"/>
        </w:rPr>
        <w:t xml:space="preserve"> il brandit la possibilité d’émettre une requête en rejet du rapport d’expertise.</w:t>
      </w:r>
    </w:p>
    <w:p w14:paraId="2E13F511" w14:textId="77777777" w:rsidR="00CB453B" w:rsidRPr="00115985" w:rsidRDefault="00730A01" w:rsidP="0098012F">
      <w:pPr>
        <w:pStyle w:val="Paragraphe"/>
        <w:tabs>
          <w:tab w:val="clear" w:pos="786"/>
        </w:tabs>
        <w:spacing w:line="240" w:lineRule="auto"/>
        <w:ind w:left="0"/>
        <w:rPr>
          <w:lang w:eastAsia="fr-CA"/>
        </w:rPr>
      </w:pPr>
      <w:r w:rsidRPr="00014ADA">
        <w:rPr>
          <w:lang w:eastAsia="fr-CA"/>
        </w:rPr>
        <w:t>Certes, la jurisprudence reconnaît que le délai imparti par l’article</w:t>
      </w:r>
      <w:r w:rsidR="00801FFE">
        <w:rPr>
          <w:lang w:eastAsia="fr-CA"/>
        </w:rPr>
        <w:t> </w:t>
      </w:r>
      <w:r w:rsidRPr="00014ADA">
        <w:rPr>
          <w:lang w:eastAsia="fr-CA"/>
        </w:rPr>
        <w:t>241 du C.p.c. ne</w:t>
      </w:r>
      <w:r w:rsidR="00115985">
        <w:rPr>
          <w:lang w:eastAsia="fr-CA"/>
        </w:rPr>
        <w:t xml:space="preserve"> </w:t>
      </w:r>
      <w:r w:rsidRPr="00014ADA">
        <w:rPr>
          <w:lang w:eastAsia="fr-CA"/>
        </w:rPr>
        <w:t>constitue pas un délai de rigueur. Il peut, par conséquent, être prolongé lorsque le</w:t>
      </w:r>
      <w:r w:rsidR="00115985">
        <w:rPr>
          <w:lang w:eastAsia="fr-CA"/>
        </w:rPr>
        <w:t xml:space="preserve"> </w:t>
      </w:r>
      <w:r w:rsidRPr="00014ADA">
        <w:rPr>
          <w:lang w:eastAsia="fr-CA"/>
        </w:rPr>
        <w:t>Tribunal l’estime nécessaire, en vertu de l’article</w:t>
      </w:r>
      <w:r w:rsidR="00801FFE">
        <w:rPr>
          <w:lang w:eastAsia="fr-CA"/>
        </w:rPr>
        <w:t> </w:t>
      </w:r>
      <w:r w:rsidRPr="00014ADA">
        <w:rPr>
          <w:lang w:eastAsia="fr-CA"/>
        </w:rPr>
        <w:t>84 du C.p.c. Dans un tel cas, il</w:t>
      </w:r>
      <w:r w:rsidR="00115985">
        <w:rPr>
          <w:lang w:eastAsia="fr-CA"/>
        </w:rPr>
        <w:t xml:space="preserve"> </w:t>
      </w:r>
      <w:r w:rsidRPr="00014ADA">
        <w:rPr>
          <w:lang w:eastAsia="fr-CA"/>
        </w:rPr>
        <w:t>est toutefois essentiel que la partie souhaitant obtenir une prolongation de délai</w:t>
      </w:r>
      <w:r w:rsidR="00115985">
        <w:rPr>
          <w:lang w:eastAsia="fr-CA"/>
        </w:rPr>
        <w:t xml:space="preserve"> </w:t>
      </w:r>
      <w:r w:rsidRPr="00014ADA">
        <w:rPr>
          <w:lang w:eastAsia="fr-CA"/>
        </w:rPr>
        <w:t>en fasse la demande et que celle-ci s’appuie sur un motif suffisant</w:t>
      </w:r>
      <w:r>
        <w:rPr>
          <w:rStyle w:val="Appelnotedebasdep"/>
          <w:lang w:eastAsia="fr-CA"/>
        </w:rPr>
        <w:footnoteReference w:id="397"/>
      </w:r>
      <w:r w:rsidRPr="00014ADA">
        <w:rPr>
          <w:lang w:eastAsia="fr-CA"/>
        </w:rPr>
        <w:t>.</w:t>
      </w:r>
      <w:r w:rsidRPr="00115985">
        <w:rPr>
          <w:i/>
          <w:iCs/>
          <w:lang w:eastAsia="fr-CA"/>
        </w:rPr>
        <w:t xml:space="preserve"> </w:t>
      </w:r>
    </w:p>
    <w:p w14:paraId="4EAD4A64"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 xml:space="preserve">Dans </w:t>
      </w:r>
      <w:r w:rsidRPr="00014ADA">
        <w:rPr>
          <w:i/>
          <w:iCs/>
          <w:lang w:eastAsia="fr-CA"/>
        </w:rPr>
        <w:t xml:space="preserve">Groupe Anderson inc. </w:t>
      </w:r>
      <w:r w:rsidRPr="00014ADA">
        <w:rPr>
          <w:lang w:eastAsia="fr-CA"/>
        </w:rPr>
        <w:t xml:space="preserve">c. </w:t>
      </w:r>
      <w:r w:rsidRPr="00014ADA">
        <w:rPr>
          <w:i/>
          <w:iCs/>
          <w:lang w:eastAsia="fr-CA"/>
        </w:rPr>
        <w:t>CGAO</w:t>
      </w:r>
      <w:r>
        <w:rPr>
          <w:rStyle w:val="Appelnotedebasdep"/>
          <w:i/>
          <w:iCs/>
          <w:lang w:eastAsia="fr-CA"/>
        </w:rPr>
        <w:footnoteReference w:id="398"/>
      </w:r>
      <w:r w:rsidRPr="00014ADA">
        <w:rPr>
          <w:lang w:eastAsia="fr-CA"/>
        </w:rPr>
        <w:t>, M.</w:t>
      </w:r>
      <w:r w:rsidR="00801FFE">
        <w:rPr>
          <w:lang w:eastAsia="fr-CA"/>
        </w:rPr>
        <w:t> </w:t>
      </w:r>
      <w:r w:rsidRPr="00014ADA">
        <w:rPr>
          <w:lang w:eastAsia="fr-CA"/>
        </w:rPr>
        <w:t>le juge Clément Samson de notre Cour cite quelques jurisprudence</w:t>
      </w:r>
      <w:r w:rsidR="00115985">
        <w:rPr>
          <w:lang w:eastAsia="fr-CA"/>
        </w:rPr>
        <w:t>s</w:t>
      </w:r>
      <w:r w:rsidRPr="00014ADA">
        <w:rPr>
          <w:lang w:eastAsia="fr-CA"/>
        </w:rPr>
        <w:t xml:space="preserve"> à ce propos :</w:t>
      </w:r>
    </w:p>
    <w:p w14:paraId="690BC786" w14:textId="77777777" w:rsidR="00CB453B" w:rsidRPr="00717E83" w:rsidRDefault="00730A01" w:rsidP="0054413F">
      <w:pPr>
        <w:pStyle w:val="Citationenretrait"/>
        <w:spacing w:before="0"/>
        <w:ind w:right="539"/>
      </w:pPr>
      <w:r w:rsidRPr="00717E83">
        <w:t xml:space="preserve">[12] Ainsi, dans </w:t>
      </w:r>
      <w:r w:rsidRPr="0054413F">
        <w:rPr>
          <w:i/>
          <w:iCs/>
        </w:rPr>
        <w:t>Centre du camion Wendake</w:t>
      </w:r>
      <w:r w:rsidRPr="00717E83">
        <w:t xml:space="preserve"> c. </w:t>
      </w:r>
      <w:r w:rsidRPr="0054413F">
        <w:rPr>
          <w:i/>
          <w:iCs/>
        </w:rPr>
        <w:t>Lapierre</w:t>
      </w:r>
      <w:r w:rsidRPr="00717E83">
        <w:t>, Monsieur le juge</w:t>
      </w:r>
      <w:r w:rsidR="00115985" w:rsidRPr="00717E83">
        <w:t xml:space="preserve"> </w:t>
      </w:r>
      <w:r w:rsidRPr="00717E83">
        <w:t>Daniel Dumais, prenant appui sur d’autres décisions, écrit</w:t>
      </w:r>
      <w:r w:rsidR="00801FFE">
        <w:t> </w:t>
      </w:r>
      <w:r w:rsidRPr="00717E83">
        <w:t>:</w:t>
      </w:r>
    </w:p>
    <w:p w14:paraId="03F260C9" w14:textId="77777777" w:rsidR="00CB453B" w:rsidRPr="00717E83" w:rsidRDefault="00730A01" w:rsidP="0054413F">
      <w:pPr>
        <w:pStyle w:val="Citationenretrait"/>
        <w:spacing w:before="0"/>
        <w:ind w:left="1134" w:right="539"/>
      </w:pPr>
      <w:r w:rsidRPr="00717E83">
        <w:t>«</w:t>
      </w:r>
      <w:r w:rsidR="00115985" w:rsidRPr="00717E83">
        <w:t> </w:t>
      </w:r>
      <w:r w:rsidRPr="00717E83">
        <w:t>[38] Or, s'il est possible de le proroger, encore faut-il en faire la</w:t>
      </w:r>
      <w:r w:rsidR="00115985" w:rsidRPr="00717E83">
        <w:t xml:space="preserve"> </w:t>
      </w:r>
      <w:r w:rsidRPr="00717E83">
        <w:t>demande et l'appuyer d'un motif. Sinon, le délai prévu n'a aucune</w:t>
      </w:r>
      <w:r w:rsidR="00115985" w:rsidRPr="00717E83">
        <w:t xml:space="preserve"> </w:t>
      </w:r>
      <w:r w:rsidRPr="00717E83">
        <w:t>utilité. Les tribunaux se montrent généralement assez réceptifs à ce</w:t>
      </w:r>
      <w:r w:rsidR="00115985" w:rsidRPr="00717E83">
        <w:t xml:space="preserve"> </w:t>
      </w:r>
      <w:r w:rsidRPr="00717E83">
        <w:t>sujet, dans la mesure, cependant, où on allègue et démontre une</w:t>
      </w:r>
      <w:r w:rsidR="00115985" w:rsidRPr="00717E83">
        <w:t xml:space="preserve"> </w:t>
      </w:r>
      <w:r w:rsidRPr="00717E83">
        <w:t>Justification sérieuse.</w:t>
      </w:r>
    </w:p>
    <w:p w14:paraId="0477B13A" w14:textId="77777777" w:rsidR="00CB453B" w:rsidRPr="00717E83" w:rsidRDefault="00730A01" w:rsidP="0054413F">
      <w:pPr>
        <w:pStyle w:val="Citationenretrait"/>
        <w:spacing w:before="0"/>
        <w:ind w:right="539"/>
      </w:pPr>
      <w:r w:rsidRPr="00717E83">
        <w:t>[…]</w:t>
      </w:r>
    </w:p>
    <w:p w14:paraId="7ED6A601" w14:textId="77777777" w:rsidR="00CB453B" w:rsidRPr="00717E83" w:rsidRDefault="00730A01" w:rsidP="0054413F">
      <w:pPr>
        <w:pStyle w:val="Citationenretrait"/>
        <w:spacing w:before="0"/>
        <w:ind w:right="539"/>
      </w:pPr>
      <w:r w:rsidRPr="00717E83">
        <w:t xml:space="preserve">[13] Dans </w:t>
      </w:r>
      <w:r w:rsidRPr="0054413F">
        <w:rPr>
          <w:i/>
          <w:iCs/>
        </w:rPr>
        <w:t>Groupe Rovin inc</w:t>
      </w:r>
      <w:r w:rsidRPr="00717E83">
        <w:t xml:space="preserve">. c. </w:t>
      </w:r>
      <w:r w:rsidRPr="0054413F">
        <w:rPr>
          <w:i/>
          <w:iCs/>
        </w:rPr>
        <w:t>Gestion Moisandré inc</w:t>
      </w:r>
      <w:r w:rsidRPr="00717E83">
        <w:t>., Monsieur le juge</w:t>
      </w:r>
      <w:r w:rsidR="00115985" w:rsidRPr="00717E83">
        <w:t xml:space="preserve"> </w:t>
      </w:r>
      <w:r w:rsidRPr="00717E83">
        <w:t>Jacques Blanchard estime qu’un délai qui n’est pas de rigueur n’est pas</w:t>
      </w:r>
      <w:r w:rsidR="00115985" w:rsidRPr="00717E83">
        <w:t xml:space="preserve"> </w:t>
      </w:r>
      <w:r w:rsidRPr="00717E83">
        <w:t>pour autant une permission d’y passer outre sans motif suffisant.</w:t>
      </w:r>
    </w:p>
    <w:p w14:paraId="0BAB6D73"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En l’espèce, les Défendeurs n’ont manifestement pas demandé une telle prolongation du délai et leur Demande est muette à cet égard.</w:t>
      </w:r>
    </w:p>
    <w:p w14:paraId="4A929CA2"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 xml:space="preserve">Selon la jurisprudence susmentionnée, la démonstration d’un motif sérieux pouvant justifier la prolongation est impérative. </w:t>
      </w:r>
    </w:p>
    <w:p w14:paraId="758FD41B" w14:textId="77777777" w:rsidR="00CB453B" w:rsidRDefault="00730A01" w:rsidP="0098012F">
      <w:pPr>
        <w:pStyle w:val="Paragraphe"/>
        <w:tabs>
          <w:tab w:val="clear" w:pos="786"/>
        </w:tabs>
        <w:spacing w:line="240" w:lineRule="auto"/>
        <w:ind w:left="0"/>
        <w:rPr>
          <w:lang w:eastAsia="fr-CA"/>
        </w:rPr>
      </w:pPr>
      <w:r w:rsidRPr="00014ADA">
        <w:rPr>
          <w:lang w:eastAsia="fr-CA"/>
        </w:rPr>
        <w:t>Or, dans la présente instance, les Défendeurs n’ont manifestement pas demandé une</w:t>
      </w:r>
      <w:r w:rsidR="00115985">
        <w:rPr>
          <w:lang w:eastAsia="fr-CA"/>
        </w:rPr>
        <w:t xml:space="preserve"> </w:t>
      </w:r>
      <w:r w:rsidRPr="00014ADA">
        <w:rPr>
          <w:lang w:eastAsia="fr-CA"/>
        </w:rPr>
        <w:t>prolongation du délai et leur Demande est muette à l’égard d’une telle démonstration.</w:t>
      </w:r>
    </w:p>
    <w:p w14:paraId="29C9072C" w14:textId="77777777" w:rsidR="00CB453B" w:rsidRDefault="00730A01" w:rsidP="0098012F">
      <w:pPr>
        <w:pStyle w:val="Paragraphe"/>
        <w:tabs>
          <w:tab w:val="clear" w:pos="786"/>
        </w:tabs>
        <w:spacing w:line="240" w:lineRule="auto"/>
        <w:ind w:left="0"/>
        <w:rPr>
          <w:lang w:eastAsia="fr-CA"/>
        </w:rPr>
      </w:pPr>
      <w:r w:rsidRPr="00014ADA">
        <w:rPr>
          <w:lang w:eastAsia="fr-CA"/>
        </w:rPr>
        <w:t>Dès lors, le défaut des Défendeurs apparaît fatal à leur Demande. Il ne serait donc pas nécessaire d’analyser le fond de celle-ci.</w:t>
      </w:r>
    </w:p>
    <w:p w14:paraId="2024E419" w14:textId="77777777" w:rsidR="00CB453B" w:rsidRPr="00717E83" w:rsidRDefault="00730A01" w:rsidP="0098012F">
      <w:pPr>
        <w:pStyle w:val="Paragraphe"/>
        <w:tabs>
          <w:tab w:val="clear" w:pos="786"/>
        </w:tabs>
        <w:autoSpaceDE w:val="0"/>
        <w:autoSpaceDN w:val="0"/>
        <w:adjustRightInd w:val="0"/>
        <w:spacing w:after="0" w:line="240" w:lineRule="auto"/>
        <w:ind w:left="0"/>
        <w:rPr>
          <w:rFonts w:cs="Arial"/>
          <w:szCs w:val="24"/>
          <w:lang w:eastAsia="fr-CA"/>
        </w:rPr>
      </w:pPr>
      <w:r w:rsidRPr="00014ADA">
        <w:rPr>
          <w:lang w:eastAsia="fr-CA"/>
        </w:rPr>
        <w:t xml:space="preserve">Quoi qu’il en soit, voyons tout de même ce qu’il en est eu égard aux trois points soulevés par les Défendeurs au soutien de leur </w:t>
      </w:r>
      <w:r w:rsidRPr="00717E83">
        <w:rPr>
          <w:i/>
          <w:iCs/>
          <w:lang w:eastAsia="fr-CA"/>
        </w:rPr>
        <w:t>Demande en Rejet.</w:t>
      </w:r>
    </w:p>
    <w:p w14:paraId="424F6700" w14:textId="77777777" w:rsidR="00CB453B" w:rsidRPr="00B14A67" w:rsidRDefault="00730A01" w:rsidP="0042740E">
      <w:pPr>
        <w:pStyle w:val="Titre6"/>
        <w:numPr>
          <w:ilvl w:val="5"/>
          <w:numId w:val="22"/>
        </w:numPr>
        <w:spacing w:before="120"/>
        <w:ind w:left="426" w:hanging="426"/>
        <w:rPr>
          <w:rFonts w:cs="Arial"/>
          <w:sz w:val="24"/>
          <w:szCs w:val="24"/>
          <w:lang w:eastAsia="fr-CA"/>
        </w:rPr>
      </w:pPr>
      <w:r w:rsidRPr="00B14A67">
        <w:rPr>
          <w:b/>
          <w:bCs/>
          <w:sz w:val="24"/>
          <w:szCs w:val="24"/>
          <w:lang w:eastAsia="fr-CA"/>
        </w:rPr>
        <w:t>Irrégularité</w:t>
      </w:r>
      <w:r w:rsidRPr="00B14A67">
        <w:rPr>
          <w:rFonts w:cs="Arial"/>
          <w:b/>
          <w:bCs/>
          <w:sz w:val="24"/>
          <w:szCs w:val="24"/>
          <w:lang w:eastAsia="fr-CA"/>
        </w:rPr>
        <w:t xml:space="preserve"> allégué</w:t>
      </w:r>
      <w:r w:rsidR="00801FFE">
        <w:rPr>
          <w:rFonts w:cs="Arial"/>
          <w:b/>
          <w:bCs/>
          <w:sz w:val="24"/>
          <w:szCs w:val="24"/>
          <w:lang w:eastAsia="fr-CA"/>
        </w:rPr>
        <w:t>e</w:t>
      </w:r>
      <w:r w:rsidRPr="00B14A67">
        <w:rPr>
          <w:rFonts w:cs="Arial"/>
          <w:b/>
          <w:bCs/>
          <w:sz w:val="24"/>
          <w:szCs w:val="24"/>
          <w:lang w:eastAsia="fr-CA"/>
        </w:rPr>
        <w:t xml:space="preserve"> du rapport</w:t>
      </w:r>
    </w:p>
    <w:p w14:paraId="7B2F559F"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Les articles</w:t>
      </w:r>
      <w:r w:rsidR="00801FFE">
        <w:rPr>
          <w:lang w:eastAsia="fr-CA"/>
        </w:rPr>
        <w:t> </w:t>
      </w:r>
      <w:r w:rsidRPr="00A13539">
        <w:rPr>
          <w:lang w:eastAsia="fr-CA"/>
        </w:rPr>
        <w:t>22, 231 et 293 C.p.c.</w:t>
      </w:r>
      <w:r w:rsidRPr="00014ADA">
        <w:rPr>
          <w:lang w:eastAsia="fr-CA"/>
        </w:rPr>
        <w:t xml:space="preserve"> tracent les contours clairs</w:t>
      </w:r>
      <w:r w:rsidR="00115985">
        <w:rPr>
          <w:lang w:eastAsia="fr-CA"/>
        </w:rPr>
        <w:t> </w:t>
      </w:r>
      <w:r w:rsidRPr="00014ADA">
        <w:rPr>
          <w:lang w:eastAsia="fr-CA"/>
        </w:rPr>
        <w:t xml:space="preserve">: l’expert éclaire le </w:t>
      </w:r>
      <w:r w:rsidR="00BE6958">
        <w:rPr>
          <w:lang w:eastAsia="fr-CA"/>
        </w:rPr>
        <w:t>T</w:t>
      </w:r>
      <w:r w:rsidRPr="00014ADA">
        <w:rPr>
          <w:lang w:eastAsia="fr-CA"/>
        </w:rPr>
        <w:t xml:space="preserve">ribunal sur des aspects techniques ou scientifiques, et son rapport tient lieu de témoignage. </w:t>
      </w:r>
    </w:p>
    <w:p w14:paraId="61F4A0CE" w14:textId="77777777" w:rsidR="00CB453B" w:rsidRPr="006230E9" w:rsidRDefault="00730A01" w:rsidP="0098012F">
      <w:pPr>
        <w:pStyle w:val="Paragraphe"/>
        <w:tabs>
          <w:tab w:val="clear" w:pos="786"/>
        </w:tabs>
        <w:spacing w:line="240" w:lineRule="auto"/>
        <w:ind w:left="0"/>
        <w:rPr>
          <w:lang w:eastAsia="fr-CA"/>
        </w:rPr>
      </w:pPr>
      <w:r w:rsidRPr="00014ADA">
        <w:rPr>
          <w:lang w:eastAsia="fr-CA"/>
        </w:rPr>
        <w:t xml:space="preserve">Dans </w:t>
      </w:r>
      <w:r w:rsidRPr="00BE6958">
        <w:rPr>
          <w:i/>
          <w:iCs/>
          <w:lang w:eastAsia="fr-CA"/>
        </w:rPr>
        <w:t>Cardinal</w:t>
      </w:r>
      <w:r w:rsidRPr="00BE6958">
        <w:rPr>
          <w:lang w:eastAsia="fr-CA"/>
        </w:rPr>
        <w:t xml:space="preserve"> c. </w:t>
      </w:r>
      <w:r w:rsidRPr="00BE6958">
        <w:rPr>
          <w:i/>
          <w:iCs/>
          <w:lang w:eastAsia="fr-CA"/>
        </w:rPr>
        <w:t>Bonnaud</w:t>
      </w:r>
      <w:r>
        <w:rPr>
          <w:rStyle w:val="Appelnotedebasdep"/>
          <w:lang w:eastAsia="fr-CA"/>
        </w:rPr>
        <w:footnoteReference w:id="399"/>
      </w:r>
      <w:r w:rsidR="00BE6958" w:rsidRPr="00BE6958">
        <w:rPr>
          <w:lang w:eastAsia="fr-CA"/>
        </w:rPr>
        <w:t>,</w:t>
      </w:r>
      <w:r w:rsidR="00BE6958">
        <w:rPr>
          <w:i/>
          <w:iCs/>
          <w:lang w:eastAsia="fr-CA"/>
        </w:rPr>
        <w:t xml:space="preserve"> </w:t>
      </w:r>
      <w:r w:rsidRPr="00014ADA">
        <w:rPr>
          <w:lang w:eastAsia="fr-CA"/>
        </w:rPr>
        <w:t xml:space="preserve">la Cour d’appel rappelle les quatre critères d’admissibilité d’un rapport </w:t>
      </w:r>
      <w:r w:rsidRPr="000D1323">
        <w:rPr>
          <w:lang w:eastAsia="fr-CA"/>
        </w:rPr>
        <w:t xml:space="preserve">d’expertise </w:t>
      </w:r>
      <w:r w:rsidR="000D1323" w:rsidRPr="000D1323">
        <w:rPr>
          <w:lang w:eastAsia="fr-CA"/>
        </w:rPr>
        <w:t>qui</w:t>
      </w:r>
      <w:r w:rsidR="000D1323">
        <w:rPr>
          <w:lang w:eastAsia="fr-CA"/>
        </w:rPr>
        <w:t xml:space="preserve"> doivent dominer</w:t>
      </w:r>
      <w:r w:rsidRPr="00014ADA">
        <w:rPr>
          <w:lang w:eastAsia="fr-CA"/>
        </w:rPr>
        <w:t xml:space="preserve"> : la pertinence, la nécessité d’aider le juge des faits, l’absence de règle d’exclusion et la qualification de l’expert. Il faut aussi tenir compte de l’équilibre entre sa valeur probante et son effet préjudiciable</w:t>
      </w:r>
      <w:r>
        <w:rPr>
          <w:rStyle w:val="Appelnotedebasdep"/>
          <w:lang w:eastAsia="fr-CA"/>
        </w:rPr>
        <w:footnoteReference w:id="400"/>
      </w:r>
      <w:r w:rsidRPr="00014ADA">
        <w:rPr>
          <w:lang w:eastAsia="fr-CA"/>
        </w:rPr>
        <w:t xml:space="preserve">. </w:t>
      </w:r>
    </w:p>
    <w:p w14:paraId="00C9FC58"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Pour KPMG, tout y est</w:t>
      </w:r>
      <w:r w:rsidR="00BE6958">
        <w:rPr>
          <w:lang w:eastAsia="fr-CA"/>
        </w:rPr>
        <w:t> </w:t>
      </w:r>
      <w:r w:rsidRPr="00014ADA">
        <w:rPr>
          <w:lang w:eastAsia="fr-CA"/>
        </w:rPr>
        <w:t>: le rapport est pertinent, nécessaire, sans exclusion et signé par un expert certifié CPA, formé pour naviguer dans les méandres comptables et financiers.</w:t>
      </w:r>
    </w:p>
    <w:p w14:paraId="5FE278F5"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 xml:space="preserve">Les défendeurs accusent Filion d’usurper le rôle du </w:t>
      </w:r>
      <w:r w:rsidR="00BE6958">
        <w:rPr>
          <w:lang w:eastAsia="fr-CA"/>
        </w:rPr>
        <w:t>T</w:t>
      </w:r>
      <w:r w:rsidRPr="00014ADA">
        <w:rPr>
          <w:lang w:eastAsia="fr-CA"/>
        </w:rPr>
        <w:t xml:space="preserve">ribunal en qualifiant certaines transactions de </w:t>
      </w:r>
      <w:r w:rsidR="00BE6958">
        <w:rPr>
          <w:lang w:eastAsia="fr-CA"/>
        </w:rPr>
        <w:t>« </w:t>
      </w:r>
      <w:r w:rsidRPr="00014ADA">
        <w:rPr>
          <w:lang w:eastAsia="fr-CA"/>
        </w:rPr>
        <w:t>Ponzi</w:t>
      </w:r>
      <w:r w:rsidR="00BE6958">
        <w:rPr>
          <w:lang w:eastAsia="fr-CA"/>
        </w:rPr>
        <w:t> »</w:t>
      </w:r>
      <w:r w:rsidRPr="00014ADA">
        <w:rPr>
          <w:lang w:eastAsia="fr-CA"/>
        </w:rPr>
        <w:t>, en évoquant l’insolvabilité de Stéphan Huot ou en constatant des violations contractuelles.</w:t>
      </w:r>
    </w:p>
    <w:p w14:paraId="0E4749AB"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 xml:space="preserve">Mais la </w:t>
      </w:r>
      <w:r w:rsidRPr="00717E83">
        <w:rPr>
          <w:i/>
          <w:iCs/>
          <w:lang w:eastAsia="fr-CA"/>
        </w:rPr>
        <w:t>Loi sur les CPA</w:t>
      </w:r>
      <w:r>
        <w:rPr>
          <w:rStyle w:val="Appelnotedebasdep"/>
          <w:lang w:eastAsia="fr-CA"/>
        </w:rPr>
        <w:footnoteReference w:id="401"/>
      </w:r>
      <w:r w:rsidRPr="00014ADA">
        <w:rPr>
          <w:lang w:eastAsia="fr-CA"/>
        </w:rPr>
        <w:t xml:space="preserve"> et la jurisprudence</w:t>
      </w:r>
      <w:r>
        <w:rPr>
          <w:rStyle w:val="Appelnotedebasdep"/>
          <w:lang w:eastAsia="fr-CA"/>
        </w:rPr>
        <w:footnoteReference w:id="402"/>
      </w:r>
      <w:r w:rsidRPr="00014ADA">
        <w:rPr>
          <w:lang w:eastAsia="fr-CA"/>
        </w:rPr>
        <w:t xml:space="preserve"> confirment que déceler et qualifier ce type de montage financier relève précisément de la juricomptabilité. Les transactions de type Ponzi ne sont pas une création juridique</w:t>
      </w:r>
      <w:r w:rsidR="00BE6958">
        <w:rPr>
          <w:lang w:eastAsia="fr-CA"/>
        </w:rPr>
        <w:t> </w:t>
      </w:r>
      <w:r w:rsidRPr="00014ADA">
        <w:rPr>
          <w:lang w:eastAsia="fr-CA"/>
        </w:rPr>
        <w:t>: c’est un constat technique, comme l’a déjà retenu la Cour supérieure.</w:t>
      </w:r>
    </w:p>
    <w:p w14:paraId="5FE1CAF5" w14:textId="77777777" w:rsidR="00CB453B" w:rsidRPr="00014ADA" w:rsidRDefault="00730A01" w:rsidP="0098012F">
      <w:pPr>
        <w:pStyle w:val="Paragraphe"/>
        <w:tabs>
          <w:tab w:val="clear" w:pos="786"/>
        </w:tabs>
        <w:spacing w:line="240" w:lineRule="auto"/>
        <w:ind w:left="0"/>
        <w:rPr>
          <w:b/>
          <w:bCs/>
          <w:lang w:eastAsia="fr-CA"/>
        </w:rPr>
      </w:pPr>
      <w:r w:rsidRPr="00014ADA">
        <w:rPr>
          <w:lang w:eastAsia="fr-CA"/>
        </w:rPr>
        <w:t xml:space="preserve">Par ailleurs, les propres experts retenus par les défendeurs, d’abord muets sur le sujet, ont fini par parler eux aussi de </w:t>
      </w:r>
      <w:r w:rsidR="00BE6958">
        <w:rPr>
          <w:lang w:eastAsia="fr-CA"/>
        </w:rPr>
        <w:t>« </w:t>
      </w:r>
      <w:r w:rsidRPr="00014ADA">
        <w:rPr>
          <w:lang w:eastAsia="fr-CA"/>
        </w:rPr>
        <w:t>Ponzi</w:t>
      </w:r>
      <w:r w:rsidR="00BE6958">
        <w:rPr>
          <w:lang w:eastAsia="fr-CA"/>
        </w:rPr>
        <w:t> »</w:t>
      </w:r>
      <w:r w:rsidRPr="00014ADA">
        <w:rPr>
          <w:lang w:eastAsia="fr-CA"/>
        </w:rPr>
        <w:t xml:space="preserve"> dans leurs témoignages, mais en niant toute fraude.</w:t>
      </w:r>
    </w:p>
    <w:p w14:paraId="74340ECA" w14:textId="77777777" w:rsidR="00CB453B" w:rsidRPr="00B14A67" w:rsidRDefault="00730A01" w:rsidP="0042740E">
      <w:pPr>
        <w:pStyle w:val="Titre6"/>
        <w:numPr>
          <w:ilvl w:val="5"/>
          <w:numId w:val="22"/>
        </w:numPr>
        <w:spacing w:before="120"/>
        <w:ind w:left="426" w:hanging="426"/>
        <w:rPr>
          <w:sz w:val="24"/>
          <w:szCs w:val="24"/>
          <w:lang w:eastAsia="fr-CA"/>
        </w:rPr>
      </w:pPr>
      <w:r w:rsidRPr="00B14A67">
        <w:rPr>
          <w:b/>
          <w:bCs/>
          <w:sz w:val="24"/>
          <w:szCs w:val="24"/>
          <w:lang w:eastAsia="fr-CA"/>
        </w:rPr>
        <w:t>La partialité invoqué</w:t>
      </w:r>
      <w:r w:rsidR="002D2D64">
        <w:rPr>
          <w:b/>
          <w:bCs/>
          <w:sz w:val="24"/>
          <w:szCs w:val="24"/>
          <w:lang w:eastAsia="fr-CA"/>
        </w:rPr>
        <w:t>e</w:t>
      </w:r>
      <w:r w:rsidRPr="00B14A67">
        <w:rPr>
          <w:b/>
          <w:bCs/>
          <w:sz w:val="24"/>
          <w:szCs w:val="24"/>
          <w:lang w:eastAsia="fr-CA"/>
        </w:rPr>
        <w:t xml:space="preserve"> du rapport</w:t>
      </w:r>
    </w:p>
    <w:p w14:paraId="0C2849E8" w14:textId="77777777" w:rsidR="00CB453B" w:rsidRDefault="00730A01" w:rsidP="00F30208">
      <w:pPr>
        <w:pStyle w:val="Paragraphe"/>
        <w:tabs>
          <w:tab w:val="clear" w:pos="786"/>
        </w:tabs>
        <w:spacing w:line="240" w:lineRule="auto"/>
        <w:ind w:left="0"/>
        <w:rPr>
          <w:lang w:eastAsia="fr-CA"/>
        </w:rPr>
      </w:pPr>
      <w:r w:rsidRPr="00014ADA">
        <w:rPr>
          <w:lang w:eastAsia="fr-CA"/>
        </w:rPr>
        <w:t xml:space="preserve">Les défendeurs prétendent à un conflit d’intérêts du fait que KPMG soit aussi syndic dans la faillite de Millénium. Mais les règles sur les conflits d’intérêts d’avocats ne s’appliquent pas aux experts. Dans </w:t>
      </w:r>
      <w:r w:rsidRPr="00F30208">
        <w:rPr>
          <w:i/>
          <w:iCs/>
          <w:lang w:eastAsia="fr-CA"/>
        </w:rPr>
        <w:t>Watson</w:t>
      </w:r>
      <w:r w:rsidRPr="00BE6958">
        <w:rPr>
          <w:lang w:eastAsia="fr-CA"/>
        </w:rPr>
        <w:t xml:space="preserve"> c. </w:t>
      </w:r>
      <w:r w:rsidRPr="00F30208">
        <w:rPr>
          <w:i/>
          <w:iCs/>
          <w:lang w:eastAsia="fr-CA"/>
        </w:rPr>
        <w:t>Sutton et 149644 Canada inc.</w:t>
      </w:r>
      <w:r w:rsidRPr="00BE6958">
        <w:rPr>
          <w:lang w:eastAsia="fr-CA"/>
        </w:rPr>
        <w:t xml:space="preserve"> c. </w:t>
      </w:r>
      <w:r w:rsidRPr="00F30208">
        <w:rPr>
          <w:i/>
          <w:iCs/>
          <w:lang w:eastAsia="fr-CA"/>
        </w:rPr>
        <w:t>Saint-Eustache (Ville)</w:t>
      </w:r>
      <w:r>
        <w:rPr>
          <w:rStyle w:val="Appelnotedebasdep"/>
          <w:i/>
          <w:iCs/>
          <w:lang w:eastAsia="fr-CA"/>
        </w:rPr>
        <w:footnoteReference w:id="403"/>
      </w:r>
      <w:r w:rsidR="00BE6958">
        <w:rPr>
          <w:lang w:eastAsia="fr-CA"/>
        </w:rPr>
        <w:t>,</w:t>
      </w:r>
      <w:r w:rsidRPr="00014ADA">
        <w:rPr>
          <w:lang w:eastAsia="fr-CA"/>
        </w:rPr>
        <w:t xml:space="preserve"> la Cour d’appel confirme qu’un expert peut avoir travaillé pour les deux parties sans perdre son objectivité.</w:t>
      </w:r>
    </w:p>
    <w:p w14:paraId="00A7F9C4"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De plus</w:t>
      </w:r>
      <w:r w:rsidRPr="00014ADA">
        <w:rPr>
          <w:b/>
          <w:bCs/>
          <w:lang w:eastAsia="fr-CA"/>
        </w:rPr>
        <w:t xml:space="preserve">, </w:t>
      </w:r>
      <w:r w:rsidRPr="00014ADA">
        <w:rPr>
          <w:lang w:eastAsia="fr-CA"/>
        </w:rPr>
        <w:t>dans une telle situation, la jurisprudence en la matière est à l’effet qu</w:t>
      </w:r>
      <w:r w:rsidRPr="00014ADA">
        <w:t xml:space="preserve">’aucune preuve d’échange d’informations confidentielles ni aucune </w:t>
      </w:r>
      <w:r w:rsidR="00BE6958">
        <w:t>« </w:t>
      </w:r>
      <w:r w:rsidRPr="00014ADA">
        <w:t>muraille de Chine</w:t>
      </w:r>
      <w:r w:rsidR="00BE6958">
        <w:t> »</w:t>
      </w:r>
      <w:r w:rsidRPr="00014ADA">
        <w:t xml:space="preserve"> n’est nécessaire</w:t>
      </w:r>
      <w:r>
        <w:rPr>
          <w:rStyle w:val="Appelnotedebasdep"/>
        </w:rPr>
        <w:footnoteReference w:id="404"/>
      </w:r>
      <w:r w:rsidR="00BE6958">
        <w:t>.</w:t>
      </w:r>
    </w:p>
    <w:p w14:paraId="47257552"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En outre,</w:t>
      </w:r>
      <w:r w:rsidR="00BE6958">
        <w:rPr>
          <w:lang w:eastAsia="fr-CA"/>
        </w:rPr>
        <w:t xml:space="preserve"> </w:t>
      </w:r>
      <w:r w:rsidRPr="00014ADA">
        <w:rPr>
          <w:lang w:eastAsia="fr-CA"/>
        </w:rPr>
        <w:t xml:space="preserve">la Cour suprême, dans </w:t>
      </w:r>
      <w:r w:rsidRPr="00BE6958">
        <w:rPr>
          <w:i/>
          <w:iCs/>
          <w:lang w:eastAsia="fr-CA"/>
        </w:rPr>
        <w:t>Mouvement laïque québécois</w:t>
      </w:r>
      <w:r w:rsidRPr="00BE6958">
        <w:rPr>
          <w:lang w:eastAsia="fr-CA"/>
        </w:rPr>
        <w:t xml:space="preserve"> c. </w:t>
      </w:r>
      <w:r w:rsidRPr="00BE6958">
        <w:rPr>
          <w:i/>
          <w:iCs/>
          <w:lang w:eastAsia="fr-CA"/>
        </w:rPr>
        <w:t>Saguenay (Ville</w:t>
      </w:r>
      <w:r w:rsidRPr="005C503E">
        <w:rPr>
          <w:i/>
          <w:iCs/>
          <w:lang w:eastAsia="fr-CA"/>
        </w:rPr>
        <w:t>)</w:t>
      </w:r>
      <w:r>
        <w:rPr>
          <w:rStyle w:val="Appelnotedebasdep"/>
          <w:i/>
          <w:iCs/>
          <w:lang w:eastAsia="fr-CA"/>
        </w:rPr>
        <w:footnoteReference w:id="405"/>
      </w:r>
      <w:r w:rsidRPr="00BE6958">
        <w:rPr>
          <w:lang w:eastAsia="fr-CA"/>
        </w:rPr>
        <w:t>,</w:t>
      </w:r>
      <w:r w:rsidRPr="00014ADA">
        <w:rPr>
          <w:lang w:eastAsia="fr-CA"/>
        </w:rPr>
        <w:t xml:space="preserve"> exige plus qu’une apparence de partialité pour écarter le témoignage d’un expert</w:t>
      </w:r>
      <w:r w:rsidR="005C503E">
        <w:rPr>
          <w:lang w:eastAsia="fr-CA"/>
        </w:rPr>
        <w:t>.</w:t>
      </w:r>
    </w:p>
    <w:p w14:paraId="0312AF93" w14:textId="77777777" w:rsidR="00CB453B" w:rsidRPr="00B14A67" w:rsidRDefault="00730A01" w:rsidP="0042740E">
      <w:pPr>
        <w:pStyle w:val="Titre6"/>
        <w:numPr>
          <w:ilvl w:val="5"/>
          <w:numId w:val="22"/>
        </w:numPr>
        <w:spacing w:before="120"/>
        <w:ind w:left="426" w:hanging="426"/>
        <w:rPr>
          <w:b/>
          <w:bCs/>
          <w:sz w:val="24"/>
          <w:szCs w:val="24"/>
          <w:lang w:eastAsia="fr-CA"/>
        </w:rPr>
      </w:pPr>
      <w:r w:rsidRPr="00B14A67">
        <w:rPr>
          <w:b/>
          <w:bCs/>
          <w:sz w:val="24"/>
          <w:szCs w:val="24"/>
          <w:lang w:eastAsia="fr-CA"/>
        </w:rPr>
        <w:t>L’erreur grave susceptible de conséquences sérieuses</w:t>
      </w:r>
    </w:p>
    <w:p w14:paraId="7EE63EBD"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 xml:space="preserve">Selon les </w:t>
      </w:r>
      <w:r w:rsidR="005C503E">
        <w:rPr>
          <w:lang w:eastAsia="fr-CA"/>
        </w:rPr>
        <w:t>D</w:t>
      </w:r>
      <w:r w:rsidRPr="00014ADA">
        <w:rPr>
          <w:lang w:eastAsia="fr-CA"/>
        </w:rPr>
        <w:t>éfendeurs, un passage du rapport</w:t>
      </w:r>
      <w:r w:rsidR="005C503E">
        <w:rPr>
          <w:lang w:eastAsia="fr-CA"/>
        </w:rPr>
        <w:t xml:space="preserve">, </w:t>
      </w:r>
      <w:r w:rsidRPr="00014ADA">
        <w:rPr>
          <w:lang w:eastAsia="fr-CA"/>
        </w:rPr>
        <w:t xml:space="preserve">mentionnant que le travail visait à assister les </w:t>
      </w:r>
      <w:r w:rsidR="005C503E">
        <w:rPr>
          <w:lang w:eastAsia="fr-CA"/>
        </w:rPr>
        <w:t>D</w:t>
      </w:r>
      <w:r w:rsidRPr="00014ADA">
        <w:rPr>
          <w:lang w:eastAsia="fr-CA"/>
        </w:rPr>
        <w:t>emandeurs et leurs avocats, trahirait un manque d’objectivité. Pourtant, la même formule figure dans la lettre de missio</w:t>
      </w:r>
      <w:r w:rsidR="005C503E">
        <w:rPr>
          <w:lang w:eastAsia="fr-CA"/>
        </w:rPr>
        <w:t>n</w:t>
      </w:r>
      <w:r w:rsidRPr="00014ADA">
        <w:rPr>
          <w:lang w:eastAsia="fr-CA"/>
        </w:rPr>
        <w:t xml:space="preserve"> des experts adverses, Lepage Marcil David.</w:t>
      </w:r>
    </w:p>
    <w:p w14:paraId="6201DC89"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Quant aux hypothèses retenues, la jurisprudence</w:t>
      </w:r>
      <w:r>
        <w:rPr>
          <w:rStyle w:val="Appelnotedebasdep"/>
          <w:lang w:eastAsia="fr-CA"/>
        </w:rPr>
        <w:footnoteReference w:id="406"/>
      </w:r>
      <w:r w:rsidRPr="00014ADA">
        <w:rPr>
          <w:lang w:eastAsia="fr-CA"/>
        </w:rPr>
        <w:t xml:space="preserve"> est claire</w:t>
      </w:r>
      <w:r w:rsidR="005C503E">
        <w:rPr>
          <w:lang w:eastAsia="fr-CA"/>
        </w:rPr>
        <w:t> </w:t>
      </w:r>
      <w:r w:rsidRPr="00014ADA">
        <w:rPr>
          <w:lang w:eastAsia="fr-CA"/>
        </w:rPr>
        <w:t>: tenir pour avérés certains faits pour répondre au mandat n’invalide pas le rapport. Surtout quand les sources et limites sont clairement identifiées.</w:t>
      </w:r>
    </w:p>
    <w:p w14:paraId="7C7658B2" w14:textId="77777777" w:rsidR="00CB453B" w:rsidRPr="00014ADA" w:rsidRDefault="00730A01" w:rsidP="0098012F">
      <w:pPr>
        <w:pStyle w:val="Paragraphe"/>
        <w:tabs>
          <w:tab w:val="clear" w:pos="786"/>
        </w:tabs>
        <w:spacing w:line="240" w:lineRule="auto"/>
        <w:ind w:left="0"/>
        <w:rPr>
          <w:lang w:eastAsia="fr-CA"/>
        </w:rPr>
      </w:pPr>
      <w:r w:rsidRPr="00014ADA">
        <w:rPr>
          <w:lang w:eastAsia="fr-CA"/>
        </w:rPr>
        <w:t>Enfin, les Défendeurs n’identifient aucune « preuve négative » que KPMG n’aurait pas considérée.</w:t>
      </w:r>
    </w:p>
    <w:p w14:paraId="63359834" w14:textId="77777777" w:rsidR="00A13539" w:rsidRDefault="00730A01" w:rsidP="001D3ECB">
      <w:pPr>
        <w:pStyle w:val="Paragraphe"/>
        <w:tabs>
          <w:tab w:val="clear" w:pos="786"/>
        </w:tabs>
        <w:spacing w:after="0" w:line="240" w:lineRule="auto"/>
        <w:ind w:left="0"/>
        <w:rPr>
          <w:lang w:eastAsia="fr-CA"/>
        </w:rPr>
      </w:pPr>
      <w:r w:rsidRPr="00014ADA">
        <w:rPr>
          <w:lang w:eastAsia="fr-CA"/>
        </w:rPr>
        <w:t xml:space="preserve">Relativement au présent chapitre, le Tribunal conclut que la </w:t>
      </w:r>
      <w:r w:rsidRPr="00014ADA">
        <w:rPr>
          <w:i/>
          <w:iCs/>
          <w:lang w:eastAsia="fr-CA"/>
        </w:rPr>
        <w:t>Demande en rejet du Rapport</w:t>
      </w:r>
      <w:r w:rsidRPr="00014ADA">
        <w:rPr>
          <w:lang w:eastAsia="fr-CA"/>
        </w:rPr>
        <w:t xml:space="preserve"> </w:t>
      </w:r>
      <w:r w:rsidRPr="00014ADA">
        <w:rPr>
          <w:i/>
          <w:iCs/>
          <w:lang w:eastAsia="fr-CA"/>
        </w:rPr>
        <w:t>d’expert KPMG</w:t>
      </w:r>
      <w:r w:rsidRPr="00014ADA">
        <w:rPr>
          <w:lang w:eastAsia="fr-CA"/>
        </w:rPr>
        <w:t xml:space="preserve"> est hors délai et que même si le délai avait été respecté, la demande n’aurait pas été accueillie car les reproches à son égard ne sont pas fondés. Le rapport respecte les règles, s’appuie sur des compétences reconnues et reste indispensable à la compréhension des opérations financières en cause dont les ramifications s’avèrent complexes.</w:t>
      </w:r>
    </w:p>
    <w:p w14:paraId="1A1CE054" w14:textId="77777777" w:rsidR="003F67E0" w:rsidRDefault="00730A01" w:rsidP="001D3ECB">
      <w:pPr>
        <w:pStyle w:val="Paragraphe"/>
        <w:numPr>
          <w:ilvl w:val="0"/>
          <w:numId w:val="0"/>
        </w:numPr>
        <w:tabs>
          <w:tab w:val="left" w:pos="3686"/>
        </w:tabs>
        <w:spacing w:line="240" w:lineRule="auto"/>
        <w:ind w:left="720"/>
        <w:rPr>
          <w:lang w:eastAsia="fr-CA"/>
        </w:rPr>
      </w:pPr>
      <w:r>
        <w:rPr>
          <w:lang w:eastAsia="fr-CA"/>
        </w:rPr>
        <w:tab/>
        <w:t>* * *</w:t>
      </w:r>
    </w:p>
    <w:p w14:paraId="60D6BD65" w14:textId="77777777" w:rsidR="003F67E0" w:rsidRDefault="00730A01">
      <w:pPr>
        <w:rPr>
          <w:kern w:val="28"/>
          <w:lang w:eastAsia="fr-CA"/>
        </w:rPr>
      </w:pPr>
      <w:r>
        <w:rPr>
          <w:lang w:eastAsia="fr-CA"/>
        </w:rPr>
        <w:br w:type="page"/>
      </w:r>
    </w:p>
    <w:p w14:paraId="292CC574" w14:textId="77777777" w:rsidR="002C317F" w:rsidRPr="0071447A" w:rsidRDefault="00730A01" w:rsidP="0071447A">
      <w:pPr>
        <w:pStyle w:val="Titre4"/>
        <w:numPr>
          <w:ilvl w:val="2"/>
          <w:numId w:val="5"/>
        </w:numPr>
        <w:ind w:left="426" w:hanging="426"/>
        <w:rPr>
          <w:smallCaps/>
          <w:lang w:eastAsia="fr-CA"/>
        </w:rPr>
      </w:pPr>
      <w:r w:rsidRPr="0071447A">
        <w:rPr>
          <w:smallCaps/>
        </w:rPr>
        <w:t>La</w:t>
      </w:r>
      <w:r w:rsidRPr="0071447A">
        <w:rPr>
          <w:smallCaps/>
          <w:lang w:eastAsia="fr-CA"/>
        </w:rPr>
        <w:t xml:space="preserve"> complétion de certaines notes sténographiques </w:t>
      </w:r>
    </w:p>
    <w:p w14:paraId="359FACFC" w14:textId="77777777" w:rsidR="000760BC" w:rsidRDefault="00730A01" w:rsidP="0098012F">
      <w:pPr>
        <w:pStyle w:val="Paragraphe"/>
        <w:tabs>
          <w:tab w:val="clear" w:pos="786"/>
        </w:tabs>
        <w:spacing w:line="240" w:lineRule="auto"/>
        <w:ind w:left="0"/>
        <w:rPr>
          <w:rFonts w:cs="Arial"/>
          <w:szCs w:val="24"/>
          <w:lang w:eastAsia="fr-CA"/>
        </w:rPr>
      </w:pPr>
      <w:r w:rsidRPr="00DC6F24">
        <w:rPr>
          <w:lang w:eastAsia="fr-CA"/>
        </w:rPr>
        <w:t>Les</w:t>
      </w:r>
      <w:r w:rsidRPr="002C317F">
        <w:rPr>
          <w:rFonts w:cs="Arial"/>
          <w:szCs w:val="24"/>
          <w:lang w:eastAsia="fr-CA"/>
        </w:rPr>
        <w:t xml:space="preserve"> parties ne s’entendent pas sur la complétion des notes sténographiques produites par les Défendeurs/Demandeurs reconventionnels pour les témoins du</w:t>
      </w:r>
      <w:r w:rsidR="00801FFE">
        <w:rPr>
          <w:rFonts w:cs="Arial"/>
          <w:szCs w:val="24"/>
          <w:lang w:eastAsia="fr-CA"/>
        </w:rPr>
        <w:t> </w:t>
      </w:r>
      <w:r w:rsidRPr="002C317F">
        <w:rPr>
          <w:rFonts w:cs="Arial"/>
          <w:szCs w:val="24"/>
          <w:lang w:eastAsia="fr-CA"/>
        </w:rPr>
        <w:t>29 et 30</w:t>
      </w:r>
      <w:r w:rsidR="00801FFE">
        <w:rPr>
          <w:rFonts w:cs="Arial"/>
          <w:szCs w:val="24"/>
          <w:lang w:eastAsia="fr-CA"/>
        </w:rPr>
        <w:t> </w:t>
      </w:r>
      <w:r w:rsidRPr="002C317F">
        <w:rPr>
          <w:rFonts w:cs="Arial"/>
          <w:szCs w:val="24"/>
          <w:lang w:eastAsia="fr-CA"/>
        </w:rPr>
        <w:t>mai</w:t>
      </w:r>
      <w:r w:rsidR="00801FFE">
        <w:rPr>
          <w:rFonts w:cs="Arial"/>
          <w:szCs w:val="24"/>
          <w:lang w:eastAsia="fr-CA"/>
        </w:rPr>
        <w:t> </w:t>
      </w:r>
      <w:r w:rsidRPr="002C317F">
        <w:rPr>
          <w:rFonts w:cs="Arial"/>
          <w:szCs w:val="24"/>
          <w:lang w:eastAsia="fr-CA"/>
        </w:rPr>
        <w:t>2024 et elles demandent au Tribunal de trancher.</w:t>
      </w:r>
    </w:p>
    <w:p w14:paraId="49BC2214" w14:textId="77777777" w:rsidR="000760BC"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Tout d’abord, les plans d’argumentation qu’elles ont produits à cet effet montrent qu’il existe certains points de convergence entre elles au sujet de ladite complétion de ces notes sténographiques.</w:t>
      </w:r>
    </w:p>
    <w:p w14:paraId="51742DA2" w14:textId="77777777" w:rsidR="002C317F" w:rsidRPr="000760BC"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Les Défendeurs/Demandeurs reconventionnels indiquent ne pas s’opposer à la production de plusieurs extraits additionnels identifiés par les Demandeurs/Défendeurs reconventionnels. Parmi ceux-ci</w:t>
      </w:r>
      <w:r w:rsidR="00801FFE">
        <w:rPr>
          <w:rFonts w:cs="Arial"/>
          <w:szCs w:val="24"/>
          <w:lang w:eastAsia="fr-CA"/>
        </w:rPr>
        <w:t>,</w:t>
      </w:r>
      <w:r w:rsidRPr="000760BC">
        <w:rPr>
          <w:rFonts w:cs="Arial"/>
          <w:szCs w:val="24"/>
          <w:lang w:eastAsia="fr-CA"/>
        </w:rPr>
        <w:t xml:space="preserve"> on retrouve :</w:t>
      </w:r>
    </w:p>
    <w:p w14:paraId="71078DEB" w14:textId="77777777" w:rsidR="002C317F" w:rsidRPr="0099104E" w:rsidRDefault="00730A01" w:rsidP="0042740E">
      <w:pPr>
        <w:numPr>
          <w:ilvl w:val="0"/>
          <w:numId w:val="36"/>
        </w:numPr>
        <w:tabs>
          <w:tab w:val="clear" w:pos="720"/>
          <w:tab w:val="num" w:pos="1134"/>
        </w:tabs>
        <w:spacing w:before="120"/>
        <w:ind w:left="1134" w:right="255" w:hanging="283"/>
        <w:jc w:val="both"/>
        <w:rPr>
          <w:rFonts w:cs="Arial"/>
          <w:sz w:val="22"/>
          <w:szCs w:val="22"/>
          <w:lang w:eastAsia="fr-CA"/>
        </w:rPr>
      </w:pPr>
      <w:r w:rsidRPr="0099104E">
        <w:rPr>
          <w:rFonts w:cs="Arial"/>
          <w:sz w:val="22"/>
          <w:szCs w:val="22"/>
          <w:lang w:eastAsia="fr-CA"/>
        </w:rPr>
        <w:t>Denis St-Cyr</w:t>
      </w:r>
      <w:r w:rsidR="000D1323" w:rsidRPr="0099104E">
        <w:rPr>
          <w:rFonts w:cs="Arial"/>
          <w:sz w:val="22"/>
          <w:szCs w:val="22"/>
          <w:lang w:eastAsia="fr-CA"/>
        </w:rPr>
        <w:t> </w:t>
      </w:r>
      <w:r w:rsidRPr="0099104E">
        <w:rPr>
          <w:rFonts w:cs="Arial"/>
          <w:sz w:val="22"/>
          <w:szCs w:val="22"/>
          <w:lang w:eastAsia="fr-CA"/>
        </w:rPr>
        <w:t>:</w:t>
      </w:r>
      <w:r w:rsidR="00801FFE">
        <w:rPr>
          <w:rFonts w:cs="Arial"/>
          <w:sz w:val="22"/>
          <w:szCs w:val="22"/>
          <w:lang w:eastAsia="fr-CA"/>
        </w:rPr>
        <w:t xml:space="preserve"> </w:t>
      </w:r>
      <w:r w:rsidRPr="0099104E">
        <w:rPr>
          <w:rFonts w:cs="Arial"/>
          <w:sz w:val="22"/>
          <w:szCs w:val="22"/>
          <w:lang w:eastAsia="fr-CA"/>
        </w:rPr>
        <w:t>extraits relatifs à l’implication de Guillaume St-Gelais et au rôle de Nadine Lehoux (p. 87;21 à 91;9; p. 90;24 à 91;25).</w:t>
      </w:r>
    </w:p>
    <w:p w14:paraId="49DC6A0E" w14:textId="77777777" w:rsidR="002C317F" w:rsidRPr="0099104E" w:rsidRDefault="00730A01" w:rsidP="0042740E">
      <w:pPr>
        <w:numPr>
          <w:ilvl w:val="0"/>
          <w:numId w:val="36"/>
        </w:numPr>
        <w:tabs>
          <w:tab w:val="clear" w:pos="720"/>
          <w:tab w:val="num" w:pos="1134"/>
        </w:tabs>
        <w:spacing w:before="120"/>
        <w:ind w:left="1134" w:right="255" w:hanging="283"/>
        <w:jc w:val="both"/>
        <w:rPr>
          <w:rFonts w:cs="Arial"/>
          <w:sz w:val="22"/>
          <w:szCs w:val="22"/>
          <w:lang w:eastAsia="fr-CA"/>
        </w:rPr>
      </w:pPr>
      <w:r w:rsidRPr="0099104E">
        <w:rPr>
          <w:rFonts w:cs="Arial"/>
          <w:sz w:val="22"/>
          <w:szCs w:val="22"/>
          <w:lang w:eastAsia="fr-CA"/>
        </w:rPr>
        <w:t>Conrad Boivin</w:t>
      </w:r>
      <w:r w:rsidR="000D1323" w:rsidRPr="0099104E">
        <w:rPr>
          <w:rFonts w:cs="Arial"/>
          <w:sz w:val="22"/>
          <w:szCs w:val="22"/>
          <w:lang w:eastAsia="fr-CA"/>
        </w:rPr>
        <w:t> </w:t>
      </w:r>
      <w:r w:rsidRPr="0099104E">
        <w:rPr>
          <w:rFonts w:cs="Arial"/>
          <w:sz w:val="22"/>
          <w:szCs w:val="22"/>
          <w:lang w:eastAsia="fr-CA"/>
        </w:rPr>
        <w:t>:</w:t>
      </w:r>
      <w:r w:rsidR="00801FFE">
        <w:rPr>
          <w:rFonts w:cs="Arial"/>
          <w:sz w:val="22"/>
          <w:szCs w:val="22"/>
          <w:lang w:eastAsia="fr-CA"/>
        </w:rPr>
        <w:t xml:space="preserve"> </w:t>
      </w:r>
      <w:r w:rsidRPr="0099104E">
        <w:rPr>
          <w:rFonts w:cs="Arial"/>
          <w:sz w:val="22"/>
          <w:szCs w:val="22"/>
          <w:lang w:eastAsia="fr-CA"/>
        </w:rPr>
        <w:t>extraits portant sur la présence de Stéphan Huot dans les prêts, la diversification et la pièce</w:t>
      </w:r>
      <w:r w:rsidR="00801FFE">
        <w:rPr>
          <w:rFonts w:cs="Arial"/>
          <w:sz w:val="22"/>
          <w:szCs w:val="22"/>
          <w:lang w:eastAsia="fr-CA"/>
        </w:rPr>
        <w:t> </w:t>
      </w:r>
      <w:r w:rsidRPr="0099104E">
        <w:rPr>
          <w:rFonts w:cs="Arial"/>
          <w:sz w:val="22"/>
          <w:szCs w:val="22"/>
          <w:lang w:eastAsia="fr-CA"/>
        </w:rPr>
        <w:t>ICB-13 (p. 25;8 à 27;15; p. 28;20 à 30;25; p. 39;1 à 39;20; p. 41;22 à 42;13; p. 72;15 à 82;11).</w:t>
      </w:r>
    </w:p>
    <w:p w14:paraId="27DD7454" w14:textId="77777777" w:rsidR="002C317F" w:rsidRPr="0099104E" w:rsidRDefault="00730A01" w:rsidP="0042740E">
      <w:pPr>
        <w:numPr>
          <w:ilvl w:val="0"/>
          <w:numId w:val="36"/>
        </w:numPr>
        <w:tabs>
          <w:tab w:val="clear" w:pos="720"/>
          <w:tab w:val="num" w:pos="1134"/>
        </w:tabs>
        <w:spacing w:before="120"/>
        <w:ind w:left="1134" w:right="255" w:hanging="283"/>
        <w:jc w:val="both"/>
        <w:rPr>
          <w:rFonts w:cs="Arial"/>
          <w:sz w:val="22"/>
          <w:szCs w:val="22"/>
          <w:lang w:eastAsia="fr-CA"/>
        </w:rPr>
      </w:pPr>
      <w:r w:rsidRPr="0099104E">
        <w:rPr>
          <w:rFonts w:cs="Arial"/>
          <w:sz w:val="22"/>
          <w:szCs w:val="22"/>
          <w:lang w:eastAsia="fr-CA"/>
        </w:rPr>
        <w:t>Serge Ferland</w:t>
      </w:r>
      <w:r w:rsidR="000D1323" w:rsidRPr="0099104E">
        <w:rPr>
          <w:rFonts w:cs="Arial"/>
          <w:sz w:val="22"/>
          <w:szCs w:val="22"/>
          <w:lang w:eastAsia="fr-CA"/>
        </w:rPr>
        <w:t> </w:t>
      </w:r>
      <w:r w:rsidRPr="0099104E">
        <w:rPr>
          <w:rFonts w:cs="Arial"/>
          <w:sz w:val="22"/>
          <w:szCs w:val="22"/>
          <w:lang w:eastAsia="fr-CA"/>
        </w:rPr>
        <w:t>:</w:t>
      </w:r>
      <w:r w:rsidR="00801FFE">
        <w:rPr>
          <w:rFonts w:cs="Arial"/>
          <w:sz w:val="22"/>
          <w:szCs w:val="22"/>
          <w:lang w:eastAsia="fr-CA"/>
        </w:rPr>
        <w:t xml:space="preserve"> </w:t>
      </w:r>
      <w:r w:rsidRPr="0099104E">
        <w:rPr>
          <w:rFonts w:cs="Arial"/>
          <w:sz w:val="22"/>
          <w:szCs w:val="22"/>
          <w:lang w:eastAsia="fr-CA"/>
        </w:rPr>
        <w:t>extraits concernant les prêts accordés au Groupe Huot (p. 37;18 à 40;4; p. 71;16 à 72;8; p. 76;21 à 79;10).</w:t>
      </w:r>
    </w:p>
    <w:p w14:paraId="75C47ACD" w14:textId="77777777" w:rsidR="002C317F" w:rsidRPr="0099104E" w:rsidRDefault="00730A01" w:rsidP="0042740E">
      <w:pPr>
        <w:numPr>
          <w:ilvl w:val="0"/>
          <w:numId w:val="36"/>
        </w:numPr>
        <w:tabs>
          <w:tab w:val="clear" w:pos="720"/>
          <w:tab w:val="num" w:pos="1134"/>
        </w:tabs>
        <w:spacing w:before="120"/>
        <w:ind w:left="1134" w:right="255" w:hanging="283"/>
        <w:jc w:val="both"/>
        <w:rPr>
          <w:rFonts w:cs="Arial"/>
          <w:sz w:val="22"/>
          <w:szCs w:val="22"/>
          <w:lang w:eastAsia="fr-CA"/>
        </w:rPr>
      </w:pPr>
      <w:r w:rsidRPr="0099104E">
        <w:rPr>
          <w:rFonts w:cs="Arial"/>
          <w:sz w:val="22"/>
          <w:szCs w:val="22"/>
          <w:lang w:eastAsia="fr-CA"/>
        </w:rPr>
        <w:t>Patrick Brière</w:t>
      </w:r>
      <w:r w:rsidR="000D1323" w:rsidRPr="0099104E">
        <w:rPr>
          <w:rFonts w:cs="Arial"/>
          <w:sz w:val="22"/>
          <w:szCs w:val="22"/>
          <w:lang w:eastAsia="fr-CA"/>
        </w:rPr>
        <w:t> </w:t>
      </w:r>
      <w:r w:rsidRPr="0099104E">
        <w:rPr>
          <w:rFonts w:cs="Arial"/>
          <w:sz w:val="22"/>
          <w:szCs w:val="22"/>
          <w:lang w:eastAsia="fr-CA"/>
        </w:rPr>
        <w:t>:</w:t>
      </w:r>
      <w:r w:rsidR="00801FFE">
        <w:rPr>
          <w:rFonts w:cs="Arial"/>
          <w:sz w:val="22"/>
          <w:szCs w:val="22"/>
          <w:lang w:eastAsia="fr-CA"/>
        </w:rPr>
        <w:t xml:space="preserve"> </w:t>
      </w:r>
      <w:r w:rsidRPr="0099104E">
        <w:rPr>
          <w:rFonts w:cs="Arial"/>
          <w:sz w:val="22"/>
          <w:szCs w:val="22"/>
          <w:lang w:eastAsia="fr-CA"/>
        </w:rPr>
        <w:t>extraits relatifs aux assemblées annuelles (p. 82;24 à 85;21).</w:t>
      </w:r>
    </w:p>
    <w:p w14:paraId="0DA804D5" w14:textId="77777777" w:rsidR="002C317F" w:rsidRPr="0099104E" w:rsidRDefault="00730A01" w:rsidP="0042740E">
      <w:pPr>
        <w:numPr>
          <w:ilvl w:val="0"/>
          <w:numId w:val="36"/>
        </w:numPr>
        <w:tabs>
          <w:tab w:val="clear" w:pos="720"/>
          <w:tab w:val="num" w:pos="1134"/>
        </w:tabs>
        <w:spacing w:before="120"/>
        <w:ind w:left="1134" w:right="255" w:hanging="283"/>
        <w:jc w:val="both"/>
        <w:rPr>
          <w:rFonts w:cs="Arial"/>
          <w:sz w:val="22"/>
          <w:szCs w:val="22"/>
          <w:lang w:eastAsia="fr-CA"/>
        </w:rPr>
      </w:pPr>
      <w:r w:rsidRPr="0099104E">
        <w:rPr>
          <w:rFonts w:cs="Arial"/>
          <w:sz w:val="22"/>
          <w:szCs w:val="22"/>
          <w:lang w:eastAsia="fr-CA"/>
        </w:rPr>
        <w:t>Bianca Freeman</w:t>
      </w:r>
      <w:r w:rsidR="000D1323" w:rsidRPr="0099104E">
        <w:rPr>
          <w:rFonts w:cs="Arial"/>
          <w:sz w:val="22"/>
          <w:szCs w:val="22"/>
          <w:lang w:eastAsia="fr-CA"/>
        </w:rPr>
        <w:t> </w:t>
      </w:r>
      <w:r w:rsidRPr="0099104E">
        <w:rPr>
          <w:rFonts w:cs="Arial"/>
          <w:sz w:val="22"/>
          <w:szCs w:val="22"/>
          <w:lang w:eastAsia="fr-CA"/>
        </w:rPr>
        <w:t>:</w:t>
      </w:r>
      <w:r w:rsidR="00801FFE">
        <w:rPr>
          <w:rFonts w:cs="Arial"/>
          <w:sz w:val="22"/>
          <w:szCs w:val="22"/>
          <w:lang w:eastAsia="fr-CA"/>
        </w:rPr>
        <w:t xml:space="preserve"> </w:t>
      </w:r>
      <w:r w:rsidRPr="0099104E">
        <w:rPr>
          <w:rFonts w:cs="Arial"/>
          <w:sz w:val="22"/>
          <w:szCs w:val="22"/>
          <w:lang w:eastAsia="fr-CA"/>
        </w:rPr>
        <w:t>extraits concernant le projet Père Lelièvre (p. 29;15 à 31;1; p.</w:t>
      </w:r>
      <w:r w:rsidR="000760BC" w:rsidRPr="0099104E">
        <w:rPr>
          <w:rFonts w:cs="Arial"/>
          <w:sz w:val="22"/>
          <w:szCs w:val="22"/>
          <w:lang w:eastAsia="fr-CA"/>
        </w:rPr>
        <w:t> </w:t>
      </w:r>
      <w:r w:rsidRPr="0099104E">
        <w:rPr>
          <w:rFonts w:cs="Arial"/>
          <w:sz w:val="22"/>
          <w:szCs w:val="22"/>
          <w:lang w:eastAsia="fr-CA"/>
        </w:rPr>
        <w:t>32;3 à 35;18).</w:t>
      </w:r>
    </w:p>
    <w:p w14:paraId="01CE2AB0" w14:textId="77777777" w:rsidR="002C317F" w:rsidRPr="0099104E" w:rsidRDefault="00730A01" w:rsidP="0042740E">
      <w:pPr>
        <w:numPr>
          <w:ilvl w:val="0"/>
          <w:numId w:val="36"/>
        </w:numPr>
        <w:tabs>
          <w:tab w:val="clear" w:pos="720"/>
          <w:tab w:val="num" w:pos="1134"/>
        </w:tabs>
        <w:spacing w:before="120"/>
        <w:ind w:left="1134" w:right="255" w:hanging="283"/>
        <w:jc w:val="both"/>
        <w:rPr>
          <w:rFonts w:cs="Arial"/>
          <w:sz w:val="22"/>
          <w:szCs w:val="22"/>
          <w:lang w:eastAsia="fr-CA"/>
        </w:rPr>
      </w:pPr>
      <w:r w:rsidRPr="0099104E">
        <w:rPr>
          <w:rFonts w:cs="Arial"/>
          <w:sz w:val="22"/>
          <w:szCs w:val="22"/>
          <w:lang w:eastAsia="fr-CA"/>
        </w:rPr>
        <w:t>Mario Landry</w:t>
      </w:r>
      <w:r w:rsidR="00801FFE">
        <w:rPr>
          <w:rFonts w:cs="Arial"/>
          <w:sz w:val="22"/>
          <w:szCs w:val="22"/>
          <w:lang w:eastAsia="fr-CA"/>
        </w:rPr>
        <w:t> </w:t>
      </w:r>
      <w:r w:rsidRPr="0099104E">
        <w:rPr>
          <w:rFonts w:cs="Arial"/>
          <w:sz w:val="22"/>
          <w:szCs w:val="22"/>
          <w:lang w:eastAsia="fr-CA"/>
        </w:rPr>
        <w:t>: extraits relatifs à certaines interactions avec Giroux, à</w:t>
      </w:r>
      <w:r w:rsidR="000760BC" w:rsidRPr="0099104E">
        <w:rPr>
          <w:rFonts w:cs="Arial"/>
          <w:sz w:val="22"/>
          <w:szCs w:val="22"/>
          <w:lang w:eastAsia="fr-CA"/>
        </w:rPr>
        <w:t xml:space="preserve"> </w:t>
      </w:r>
      <w:r w:rsidRPr="0099104E">
        <w:rPr>
          <w:rFonts w:cs="Arial"/>
          <w:sz w:val="22"/>
          <w:szCs w:val="22"/>
          <w:lang w:eastAsia="fr-CA"/>
        </w:rPr>
        <w:t>l’opportunité d’investir 3</w:t>
      </w:r>
      <w:r w:rsidR="00801FFE">
        <w:rPr>
          <w:rFonts w:cs="Arial"/>
          <w:sz w:val="22"/>
          <w:szCs w:val="22"/>
          <w:lang w:eastAsia="fr-CA"/>
        </w:rPr>
        <w:t> </w:t>
      </w:r>
      <w:r w:rsidRPr="0099104E">
        <w:rPr>
          <w:rFonts w:cs="Arial"/>
          <w:sz w:val="22"/>
          <w:szCs w:val="22"/>
          <w:lang w:eastAsia="fr-CA"/>
        </w:rPr>
        <w:t>235</w:t>
      </w:r>
      <w:r w:rsidR="00801FFE">
        <w:rPr>
          <w:rFonts w:cs="Arial"/>
          <w:sz w:val="22"/>
          <w:szCs w:val="22"/>
          <w:lang w:eastAsia="fr-CA"/>
        </w:rPr>
        <w:t> </w:t>
      </w:r>
      <w:r w:rsidRPr="0099104E">
        <w:rPr>
          <w:rFonts w:cs="Arial"/>
          <w:sz w:val="22"/>
          <w:szCs w:val="22"/>
          <w:lang w:eastAsia="fr-CA"/>
        </w:rPr>
        <w:t>000</w:t>
      </w:r>
      <w:r w:rsidR="00801FFE">
        <w:rPr>
          <w:rFonts w:cs="Arial"/>
          <w:sz w:val="22"/>
          <w:szCs w:val="22"/>
          <w:lang w:eastAsia="fr-CA"/>
        </w:rPr>
        <w:t> </w:t>
      </w:r>
      <w:r w:rsidRPr="0099104E">
        <w:rPr>
          <w:rFonts w:cs="Arial"/>
          <w:sz w:val="22"/>
          <w:szCs w:val="22"/>
          <w:lang w:eastAsia="fr-CA"/>
        </w:rPr>
        <w:t>$, à l’absence de souvenir d’un investissement de 3</w:t>
      </w:r>
      <w:r w:rsidR="00801FFE">
        <w:rPr>
          <w:rFonts w:cs="Arial"/>
          <w:sz w:val="22"/>
          <w:szCs w:val="22"/>
          <w:lang w:eastAsia="fr-CA"/>
        </w:rPr>
        <w:t> </w:t>
      </w:r>
      <w:r w:rsidRPr="0099104E">
        <w:rPr>
          <w:rFonts w:cs="Arial"/>
          <w:sz w:val="22"/>
          <w:szCs w:val="22"/>
          <w:lang w:eastAsia="fr-CA"/>
        </w:rPr>
        <w:t>325</w:t>
      </w:r>
      <w:r w:rsidR="00801FFE">
        <w:rPr>
          <w:rFonts w:cs="Arial"/>
          <w:sz w:val="22"/>
          <w:szCs w:val="22"/>
          <w:lang w:eastAsia="fr-CA"/>
        </w:rPr>
        <w:t> </w:t>
      </w:r>
      <w:r w:rsidRPr="0099104E">
        <w:rPr>
          <w:rFonts w:cs="Arial"/>
          <w:sz w:val="22"/>
          <w:szCs w:val="22"/>
          <w:lang w:eastAsia="fr-CA"/>
        </w:rPr>
        <w:t>000</w:t>
      </w:r>
      <w:r w:rsidR="00801FFE">
        <w:rPr>
          <w:rFonts w:cs="Arial"/>
          <w:sz w:val="22"/>
          <w:szCs w:val="22"/>
          <w:lang w:eastAsia="fr-CA"/>
        </w:rPr>
        <w:t> </w:t>
      </w:r>
      <w:r w:rsidRPr="0099104E">
        <w:rPr>
          <w:rFonts w:cs="Arial"/>
          <w:sz w:val="22"/>
          <w:szCs w:val="22"/>
          <w:lang w:eastAsia="fr-CA"/>
        </w:rPr>
        <w:t>$, ainsi qu’à la réunion avec X2 Capital (p. 40;23 à 42;12; p. 52;12 à 53;9; p. 53;10 à 53;24; p. 57;1 à 58;2; p. 58;3 à 58;20; p. 60;10 à 61;6; p. 64;3 à 64;5).</w:t>
      </w:r>
    </w:p>
    <w:p w14:paraId="5D48441A" w14:textId="77777777" w:rsidR="002C317F" w:rsidRPr="0099104E" w:rsidRDefault="00730A01" w:rsidP="0042740E">
      <w:pPr>
        <w:numPr>
          <w:ilvl w:val="0"/>
          <w:numId w:val="36"/>
        </w:numPr>
        <w:tabs>
          <w:tab w:val="clear" w:pos="720"/>
          <w:tab w:val="num" w:pos="1134"/>
        </w:tabs>
        <w:spacing w:before="120"/>
        <w:ind w:left="1134" w:right="255" w:hanging="283"/>
        <w:jc w:val="both"/>
        <w:rPr>
          <w:rFonts w:cs="Arial"/>
          <w:sz w:val="22"/>
          <w:szCs w:val="22"/>
          <w:lang w:eastAsia="fr-CA"/>
        </w:rPr>
      </w:pPr>
      <w:r w:rsidRPr="0099104E">
        <w:rPr>
          <w:rFonts w:cs="Arial"/>
          <w:sz w:val="22"/>
          <w:szCs w:val="22"/>
          <w:lang w:eastAsia="fr-CA"/>
        </w:rPr>
        <w:t>Éric Tremblay : extrait relatif au dîner avec Giroux et aux tableaux de bord (p.</w:t>
      </w:r>
      <w:r w:rsidR="000760BC" w:rsidRPr="0099104E">
        <w:rPr>
          <w:rFonts w:cs="Arial"/>
          <w:sz w:val="22"/>
          <w:szCs w:val="22"/>
          <w:lang w:eastAsia="fr-CA"/>
        </w:rPr>
        <w:t> </w:t>
      </w:r>
      <w:r w:rsidRPr="0099104E">
        <w:rPr>
          <w:rFonts w:cs="Arial"/>
          <w:sz w:val="22"/>
          <w:szCs w:val="22"/>
          <w:lang w:eastAsia="fr-CA"/>
        </w:rPr>
        <w:t>16;16 à 17;21), mais les Défendeurs souhaitent l’élargir jusqu’à la page</w:t>
      </w:r>
      <w:r w:rsidR="00801FFE">
        <w:rPr>
          <w:rFonts w:cs="Arial"/>
          <w:sz w:val="22"/>
          <w:szCs w:val="22"/>
          <w:lang w:eastAsia="fr-CA"/>
        </w:rPr>
        <w:t> </w:t>
      </w:r>
      <w:r w:rsidRPr="0099104E">
        <w:rPr>
          <w:rFonts w:cs="Arial"/>
          <w:sz w:val="22"/>
          <w:szCs w:val="22"/>
          <w:lang w:eastAsia="fr-CA"/>
        </w:rPr>
        <w:t>28;19.</w:t>
      </w:r>
    </w:p>
    <w:p w14:paraId="3869930F" w14:textId="77777777" w:rsidR="000760BC" w:rsidRDefault="00730A01" w:rsidP="0098012F">
      <w:pPr>
        <w:pStyle w:val="Paragraphe"/>
        <w:tabs>
          <w:tab w:val="clear" w:pos="786"/>
        </w:tabs>
        <w:spacing w:before="240" w:line="240" w:lineRule="auto"/>
        <w:ind w:left="0"/>
        <w:rPr>
          <w:rFonts w:cs="Arial"/>
          <w:szCs w:val="24"/>
          <w:lang w:eastAsia="fr-CA"/>
        </w:rPr>
      </w:pPr>
      <w:r w:rsidRPr="000760BC">
        <w:rPr>
          <w:rFonts w:cs="Arial"/>
          <w:szCs w:val="24"/>
          <w:lang w:eastAsia="fr-CA"/>
        </w:rPr>
        <w:t>En somme, les deux parties s’accordent sur l’utilité et la recevabilité d’une série d’extraits</w:t>
      </w:r>
      <w:r w:rsidRPr="000760BC">
        <w:rPr>
          <w:rFonts w:cs="Arial"/>
          <w:b/>
          <w:bCs/>
          <w:szCs w:val="24"/>
          <w:lang w:eastAsia="fr-CA"/>
        </w:rPr>
        <w:t xml:space="preserve"> </w:t>
      </w:r>
      <w:r w:rsidRPr="000760BC">
        <w:rPr>
          <w:rFonts w:cs="Arial"/>
          <w:szCs w:val="24"/>
          <w:lang w:eastAsia="fr-CA"/>
        </w:rPr>
        <w:t>additionnels précis, considérés indissociables pour assurer une présentation complète et fidèle des témoignages.</w:t>
      </w:r>
    </w:p>
    <w:p w14:paraId="453B695C" w14:textId="77777777" w:rsidR="002C317F"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Le désaccord subsiste uniquement sur d’autres passages jugés non indissociables par les Défendeurs, mais l’existence de ce consensus partiel confirme que les deux camps admettent que certains compléments sont nécessaires à la recherche de la vérité.</w:t>
      </w:r>
    </w:p>
    <w:p w14:paraId="1345D022" w14:textId="77777777" w:rsidR="0054413F" w:rsidRDefault="00730A01">
      <w:pPr>
        <w:rPr>
          <w:rFonts w:cs="Arial"/>
          <w:kern w:val="28"/>
          <w:szCs w:val="24"/>
          <w:lang w:eastAsia="fr-CA"/>
        </w:rPr>
      </w:pPr>
      <w:r>
        <w:rPr>
          <w:rFonts w:cs="Arial"/>
          <w:szCs w:val="24"/>
          <w:lang w:eastAsia="fr-CA"/>
        </w:rPr>
        <w:br w:type="page"/>
      </w:r>
    </w:p>
    <w:p w14:paraId="784E566E" w14:textId="77777777" w:rsidR="002C317F" w:rsidRPr="001D07EF" w:rsidRDefault="00730A01" w:rsidP="0042740E">
      <w:pPr>
        <w:pStyle w:val="Titre7"/>
        <w:numPr>
          <w:ilvl w:val="1"/>
          <w:numId w:val="36"/>
        </w:numPr>
        <w:spacing w:before="120"/>
        <w:ind w:left="567" w:hanging="567"/>
        <w:rPr>
          <w:b/>
          <w:sz w:val="24"/>
          <w:szCs w:val="24"/>
          <w:lang w:eastAsia="fr-CA"/>
        </w:rPr>
      </w:pPr>
      <w:r>
        <w:rPr>
          <w:b/>
          <w:sz w:val="24"/>
          <w:szCs w:val="24"/>
          <w:lang w:eastAsia="fr-CA"/>
        </w:rPr>
        <w:t>P</w:t>
      </w:r>
      <w:r w:rsidRPr="001D07EF">
        <w:rPr>
          <w:b/>
          <w:sz w:val="24"/>
          <w:szCs w:val="24"/>
          <w:lang w:eastAsia="fr-CA"/>
        </w:rPr>
        <w:t>osition des parties</w:t>
      </w:r>
    </w:p>
    <w:p w14:paraId="7056AEFF" w14:textId="77777777" w:rsidR="000760BC"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Les Demandeurs/Défendeurs reconventionnels soutiennent que tout extrait portant sur le même sujet qu’un passage déjà produit doit être considéré comme indissociable, afin d’éviter de tronquer ou dénaturer le témoignage.</w:t>
      </w:r>
    </w:p>
    <w:p w14:paraId="48846259" w14:textId="77777777" w:rsidR="000760BC"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Quant aux Défendeurs/Demandeurs reconventionnels, ils s’opposent à cette approche trop large et invoquent la jurisprudence</w:t>
      </w:r>
      <w:r>
        <w:rPr>
          <w:rStyle w:val="Appelnotedebasdep"/>
          <w:rFonts w:cs="Arial"/>
          <w:szCs w:val="24"/>
          <w:lang w:eastAsia="fr-CA"/>
        </w:rPr>
        <w:footnoteReference w:id="407"/>
      </w:r>
      <w:r w:rsidRPr="000760BC">
        <w:rPr>
          <w:rFonts w:cs="Arial"/>
          <w:szCs w:val="24"/>
          <w:lang w:eastAsia="fr-CA"/>
        </w:rPr>
        <w:t xml:space="preserve"> pour restreindre la notion d’indissociabilité aux cas où l’omission d’un extrait dénaturerait ou déformerait le témoignage.</w:t>
      </w:r>
    </w:p>
    <w:p w14:paraId="19BDD7F6" w14:textId="77777777" w:rsidR="002D2D64"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C’est ainsi qu’ils refusent la production de certains extraits additionnels réclamés, en affirmant qu’ils sont : soit redondants avec ce qui est déjà au dossier, soit non nécessaires pour la compréhension ou soit traitant de sujets dissociables. Les extraits refusés sont les suivant</w:t>
      </w:r>
      <w:r w:rsidR="00A13539">
        <w:rPr>
          <w:rFonts w:cs="Arial"/>
          <w:szCs w:val="24"/>
          <w:lang w:eastAsia="fr-CA"/>
        </w:rPr>
        <w:t>s</w:t>
      </w:r>
      <w:r w:rsidRPr="000760BC">
        <w:rPr>
          <w:rFonts w:cs="Arial"/>
          <w:szCs w:val="24"/>
          <w:lang w:eastAsia="fr-CA"/>
        </w:rPr>
        <w:t> :</w:t>
      </w:r>
    </w:p>
    <w:p w14:paraId="2312B3DD" w14:textId="77777777" w:rsidR="002C317F" w:rsidRPr="0099104E" w:rsidRDefault="00730A01" w:rsidP="0054413F">
      <w:pPr>
        <w:pStyle w:val="Paragraphe"/>
        <w:numPr>
          <w:ilvl w:val="0"/>
          <w:numId w:val="0"/>
        </w:numPr>
        <w:spacing w:after="0" w:line="240" w:lineRule="auto"/>
        <w:ind w:right="255" w:firstLine="357"/>
        <w:rPr>
          <w:rFonts w:cs="Arial"/>
          <w:sz w:val="22"/>
          <w:szCs w:val="22"/>
          <w:lang w:eastAsia="fr-CA"/>
        </w:rPr>
      </w:pPr>
      <w:r w:rsidRPr="0099104E">
        <w:rPr>
          <w:rFonts w:cs="Arial"/>
          <w:sz w:val="22"/>
          <w:szCs w:val="22"/>
          <w:lang w:eastAsia="fr-CA"/>
        </w:rPr>
        <w:t>i)</w:t>
      </w:r>
      <w:r w:rsidR="00F677EE">
        <w:rPr>
          <w:rFonts w:cs="Arial"/>
          <w:sz w:val="22"/>
          <w:szCs w:val="22"/>
          <w:lang w:eastAsia="fr-CA"/>
        </w:rPr>
        <w:t> </w:t>
      </w:r>
      <w:r w:rsidRPr="0099104E">
        <w:rPr>
          <w:rFonts w:cs="Arial"/>
          <w:sz w:val="22"/>
          <w:szCs w:val="22"/>
          <w:lang w:eastAsia="fr-CA"/>
        </w:rPr>
        <w:t>Conrad Boivin</w:t>
      </w:r>
    </w:p>
    <w:p w14:paraId="1F8AE14E" w14:textId="77777777" w:rsidR="002D2D64" w:rsidRPr="0099104E" w:rsidRDefault="00730A01" w:rsidP="0042740E">
      <w:pPr>
        <w:numPr>
          <w:ilvl w:val="0"/>
          <w:numId w:val="37"/>
        </w:numPr>
        <w:spacing w:before="120"/>
        <w:ind w:left="714" w:right="255" w:hanging="357"/>
        <w:jc w:val="both"/>
        <w:rPr>
          <w:rFonts w:cs="Arial"/>
          <w:sz w:val="22"/>
          <w:szCs w:val="22"/>
          <w:lang w:eastAsia="fr-CA"/>
        </w:rPr>
      </w:pPr>
      <w:r w:rsidRPr="0099104E">
        <w:rPr>
          <w:rFonts w:cs="Arial"/>
          <w:sz w:val="22"/>
          <w:szCs w:val="22"/>
          <w:lang w:eastAsia="fr-CA"/>
        </w:rPr>
        <w:t>Contestation des extraits</w:t>
      </w:r>
      <w:r w:rsidR="00FC6E40">
        <w:rPr>
          <w:rFonts w:cs="Arial"/>
          <w:sz w:val="22"/>
          <w:szCs w:val="22"/>
          <w:lang w:eastAsia="fr-CA"/>
        </w:rPr>
        <w:t> :</w:t>
      </w:r>
      <w:r w:rsidRPr="0099104E">
        <w:rPr>
          <w:rFonts w:cs="Arial"/>
          <w:sz w:val="22"/>
          <w:szCs w:val="22"/>
          <w:lang w:eastAsia="fr-CA"/>
        </w:rPr>
        <w:t xml:space="preserve"> p.</w:t>
      </w:r>
      <w:r w:rsidR="00FC6E40">
        <w:rPr>
          <w:rFonts w:cs="Arial"/>
          <w:sz w:val="22"/>
          <w:szCs w:val="22"/>
          <w:lang w:eastAsia="fr-CA"/>
        </w:rPr>
        <w:t> </w:t>
      </w:r>
      <w:r w:rsidRPr="0099104E">
        <w:rPr>
          <w:rFonts w:cs="Arial"/>
          <w:sz w:val="22"/>
          <w:szCs w:val="22"/>
          <w:lang w:eastAsia="fr-CA"/>
        </w:rPr>
        <w:t>61;18 à 63;9 et p.</w:t>
      </w:r>
      <w:r w:rsidR="00FC6E40">
        <w:rPr>
          <w:rFonts w:cs="Arial"/>
          <w:sz w:val="22"/>
          <w:szCs w:val="22"/>
          <w:lang w:eastAsia="fr-CA"/>
        </w:rPr>
        <w:t> </w:t>
      </w:r>
      <w:r w:rsidRPr="0099104E">
        <w:rPr>
          <w:rFonts w:cs="Arial"/>
          <w:sz w:val="22"/>
          <w:szCs w:val="22"/>
          <w:lang w:eastAsia="fr-CA"/>
        </w:rPr>
        <w:t>89;1 à 93;6 (jugés répétitifs et non indispensables à la compréhension).</w:t>
      </w:r>
    </w:p>
    <w:p w14:paraId="2DF233C5" w14:textId="77777777" w:rsidR="002C317F" w:rsidRPr="0099104E" w:rsidRDefault="00730A01" w:rsidP="0099104E">
      <w:pPr>
        <w:spacing w:before="120"/>
        <w:ind w:left="360" w:right="255"/>
        <w:jc w:val="both"/>
        <w:rPr>
          <w:rFonts w:cs="Arial"/>
          <w:sz w:val="22"/>
          <w:szCs w:val="22"/>
          <w:lang w:eastAsia="fr-CA"/>
        </w:rPr>
      </w:pPr>
      <w:r w:rsidRPr="0099104E">
        <w:rPr>
          <w:rFonts w:cs="Arial"/>
          <w:sz w:val="22"/>
          <w:szCs w:val="22"/>
          <w:lang w:eastAsia="fr-CA"/>
        </w:rPr>
        <w:t>ii)</w:t>
      </w:r>
      <w:r w:rsidR="00F677EE">
        <w:rPr>
          <w:rFonts w:cs="Arial"/>
          <w:sz w:val="22"/>
          <w:szCs w:val="22"/>
          <w:lang w:eastAsia="fr-CA"/>
        </w:rPr>
        <w:t> </w:t>
      </w:r>
      <w:r w:rsidRPr="0099104E">
        <w:rPr>
          <w:rFonts w:cs="Arial"/>
          <w:sz w:val="22"/>
          <w:szCs w:val="22"/>
          <w:lang w:eastAsia="fr-CA"/>
        </w:rPr>
        <w:t>Serge Ferland</w:t>
      </w:r>
    </w:p>
    <w:p w14:paraId="3FB8DC84" w14:textId="77777777" w:rsidR="002D2D64" w:rsidRPr="0099104E" w:rsidRDefault="00730A01" w:rsidP="0042740E">
      <w:pPr>
        <w:numPr>
          <w:ilvl w:val="0"/>
          <w:numId w:val="38"/>
        </w:numPr>
        <w:spacing w:before="120"/>
        <w:ind w:right="255"/>
        <w:jc w:val="both"/>
        <w:rPr>
          <w:rFonts w:cs="Arial"/>
          <w:sz w:val="22"/>
          <w:szCs w:val="22"/>
          <w:lang w:eastAsia="fr-CA"/>
        </w:rPr>
      </w:pPr>
      <w:r w:rsidRPr="0099104E">
        <w:rPr>
          <w:rFonts w:cs="Arial"/>
          <w:sz w:val="22"/>
          <w:szCs w:val="22"/>
          <w:lang w:eastAsia="fr-CA"/>
        </w:rPr>
        <w:t>Refus des extraits</w:t>
      </w:r>
      <w:r w:rsidR="00FC6E40">
        <w:rPr>
          <w:rFonts w:cs="Arial"/>
          <w:sz w:val="22"/>
          <w:szCs w:val="22"/>
          <w:lang w:eastAsia="fr-CA"/>
        </w:rPr>
        <w:t> :</w:t>
      </w:r>
      <w:r w:rsidRPr="0099104E">
        <w:rPr>
          <w:rFonts w:cs="Arial"/>
          <w:sz w:val="22"/>
          <w:szCs w:val="22"/>
          <w:lang w:eastAsia="fr-CA"/>
        </w:rPr>
        <w:t xml:space="preserve"> p.</w:t>
      </w:r>
      <w:r w:rsidR="00FC6E40">
        <w:rPr>
          <w:rFonts w:cs="Arial"/>
          <w:sz w:val="22"/>
          <w:szCs w:val="22"/>
          <w:lang w:eastAsia="fr-CA"/>
        </w:rPr>
        <w:t> </w:t>
      </w:r>
      <w:r w:rsidRPr="0099104E">
        <w:rPr>
          <w:rFonts w:cs="Arial"/>
          <w:sz w:val="22"/>
          <w:szCs w:val="22"/>
          <w:lang w:eastAsia="fr-CA"/>
        </w:rPr>
        <w:t>58;22 à 60;8 et p.</w:t>
      </w:r>
      <w:r w:rsidR="00FC6E40">
        <w:rPr>
          <w:rFonts w:cs="Arial"/>
          <w:sz w:val="22"/>
          <w:szCs w:val="22"/>
          <w:lang w:eastAsia="fr-CA"/>
        </w:rPr>
        <w:t> </w:t>
      </w:r>
      <w:r w:rsidRPr="0099104E">
        <w:rPr>
          <w:rFonts w:cs="Arial"/>
          <w:sz w:val="22"/>
          <w:szCs w:val="22"/>
          <w:lang w:eastAsia="fr-CA"/>
        </w:rPr>
        <w:t>64;2 à 68;12, relatifs aux interactions avec Giroux et Lehoux, considérés comme non indissociables et portant sur un épisode distinct (partie de hockey).</w:t>
      </w:r>
    </w:p>
    <w:p w14:paraId="31F08686" w14:textId="77777777" w:rsidR="002C317F" w:rsidRPr="0099104E" w:rsidRDefault="00730A01" w:rsidP="0099104E">
      <w:pPr>
        <w:spacing w:before="120"/>
        <w:ind w:left="360" w:right="255"/>
        <w:jc w:val="both"/>
        <w:rPr>
          <w:rFonts w:cs="Arial"/>
          <w:sz w:val="22"/>
          <w:szCs w:val="22"/>
          <w:lang w:eastAsia="fr-CA"/>
        </w:rPr>
      </w:pPr>
      <w:r w:rsidRPr="0099104E">
        <w:rPr>
          <w:rFonts w:cs="Arial"/>
          <w:sz w:val="22"/>
          <w:szCs w:val="22"/>
          <w:lang w:eastAsia="fr-CA"/>
        </w:rPr>
        <w:t>iii)</w:t>
      </w:r>
      <w:r w:rsidR="00F677EE">
        <w:rPr>
          <w:rFonts w:cs="Arial"/>
          <w:sz w:val="22"/>
          <w:szCs w:val="22"/>
          <w:lang w:eastAsia="fr-CA"/>
        </w:rPr>
        <w:t> </w:t>
      </w:r>
      <w:r w:rsidRPr="0099104E">
        <w:rPr>
          <w:rFonts w:cs="Arial"/>
          <w:sz w:val="22"/>
          <w:szCs w:val="22"/>
          <w:lang w:eastAsia="fr-CA"/>
        </w:rPr>
        <w:t>Patrick Brière</w:t>
      </w:r>
    </w:p>
    <w:p w14:paraId="7365A2F6" w14:textId="77777777" w:rsidR="002D2D64" w:rsidRPr="0099104E" w:rsidRDefault="00730A01" w:rsidP="0042740E">
      <w:pPr>
        <w:numPr>
          <w:ilvl w:val="0"/>
          <w:numId w:val="39"/>
        </w:numPr>
        <w:spacing w:before="120"/>
        <w:ind w:right="255"/>
        <w:jc w:val="both"/>
        <w:rPr>
          <w:rFonts w:cs="Arial"/>
          <w:sz w:val="22"/>
          <w:szCs w:val="22"/>
          <w:lang w:eastAsia="fr-CA"/>
        </w:rPr>
      </w:pPr>
      <w:r w:rsidRPr="0099104E">
        <w:rPr>
          <w:rFonts w:cs="Arial"/>
          <w:sz w:val="22"/>
          <w:szCs w:val="22"/>
          <w:lang w:eastAsia="fr-CA"/>
        </w:rPr>
        <w:t>Refus de plusieurs extraits : p.</w:t>
      </w:r>
      <w:r w:rsidR="00FC6E40">
        <w:rPr>
          <w:rFonts w:cs="Arial"/>
          <w:sz w:val="22"/>
          <w:szCs w:val="22"/>
          <w:lang w:eastAsia="fr-CA"/>
        </w:rPr>
        <w:t> </w:t>
      </w:r>
      <w:r w:rsidRPr="0099104E">
        <w:rPr>
          <w:rFonts w:cs="Arial"/>
          <w:sz w:val="22"/>
          <w:szCs w:val="22"/>
          <w:lang w:eastAsia="fr-CA"/>
        </w:rPr>
        <w:t>11;6 à 13;4;</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16;11 à 17;15;</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18;8 à 20;9;</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22;2 à 22;23;</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26;10 à 27;4;</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52;17 à 54;8;</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63;14 à 65;15;</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70;24 à 72;5;</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96;6 à 100;8;</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116;11 à 121;23;</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130;9 à 131;16, car ils seraient soit redondants, soit non essentiels pour la compréhension.</w:t>
      </w:r>
    </w:p>
    <w:p w14:paraId="1D29A0DE" w14:textId="77777777" w:rsidR="002C317F" w:rsidRPr="0099104E" w:rsidRDefault="00730A01" w:rsidP="0099104E">
      <w:pPr>
        <w:spacing w:before="120"/>
        <w:ind w:left="360" w:right="255"/>
        <w:jc w:val="both"/>
        <w:rPr>
          <w:rFonts w:cs="Arial"/>
          <w:sz w:val="22"/>
          <w:szCs w:val="22"/>
          <w:lang w:eastAsia="fr-CA"/>
        </w:rPr>
      </w:pPr>
      <w:r w:rsidRPr="0099104E">
        <w:rPr>
          <w:rFonts w:cs="Arial"/>
          <w:sz w:val="22"/>
          <w:szCs w:val="22"/>
          <w:lang w:eastAsia="fr-CA"/>
        </w:rPr>
        <w:t>iv)</w:t>
      </w:r>
      <w:r w:rsidR="00F677EE">
        <w:rPr>
          <w:rFonts w:cs="Arial"/>
          <w:sz w:val="22"/>
          <w:szCs w:val="22"/>
          <w:lang w:eastAsia="fr-CA"/>
        </w:rPr>
        <w:t> </w:t>
      </w:r>
      <w:r w:rsidRPr="0099104E">
        <w:rPr>
          <w:rFonts w:cs="Arial"/>
          <w:sz w:val="22"/>
          <w:szCs w:val="22"/>
          <w:lang w:eastAsia="fr-CA"/>
        </w:rPr>
        <w:t>Mario Landry</w:t>
      </w:r>
    </w:p>
    <w:p w14:paraId="610D34E5" w14:textId="77777777" w:rsidR="002D2D64" w:rsidRPr="0099104E" w:rsidRDefault="00730A01" w:rsidP="0042740E">
      <w:pPr>
        <w:numPr>
          <w:ilvl w:val="0"/>
          <w:numId w:val="40"/>
        </w:numPr>
        <w:spacing w:before="120"/>
        <w:ind w:right="255"/>
        <w:jc w:val="both"/>
        <w:rPr>
          <w:rFonts w:cs="Arial"/>
          <w:sz w:val="22"/>
          <w:szCs w:val="22"/>
          <w:lang w:eastAsia="fr-CA"/>
        </w:rPr>
      </w:pPr>
      <w:r w:rsidRPr="0099104E">
        <w:rPr>
          <w:rFonts w:cs="Arial"/>
          <w:sz w:val="22"/>
          <w:szCs w:val="22"/>
          <w:lang w:eastAsia="fr-CA"/>
        </w:rPr>
        <w:t>Refus des extraits</w:t>
      </w:r>
      <w:r w:rsidR="00FC6E40">
        <w:rPr>
          <w:rFonts w:cs="Arial"/>
          <w:sz w:val="22"/>
          <w:szCs w:val="22"/>
          <w:lang w:eastAsia="fr-CA"/>
        </w:rPr>
        <w:t> :</w:t>
      </w:r>
      <w:r w:rsidRPr="0099104E">
        <w:rPr>
          <w:rFonts w:cs="Arial"/>
          <w:sz w:val="22"/>
          <w:szCs w:val="22"/>
          <w:lang w:eastAsia="fr-CA"/>
        </w:rPr>
        <w:t xml:space="preserve"> p.</w:t>
      </w:r>
      <w:r w:rsidR="00FC6E40">
        <w:rPr>
          <w:rFonts w:cs="Arial"/>
          <w:sz w:val="22"/>
          <w:szCs w:val="22"/>
          <w:lang w:eastAsia="fr-CA"/>
        </w:rPr>
        <w:t> </w:t>
      </w:r>
      <w:r w:rsidRPr="0099104E">
        <w:rPr>
          <w:rFonts w:cs="Arial"/>
          <w:sz w:val="22"/>
          <w:szCs w:val="22"/>
          <w:lang w:eastAsia="fr-CA"/>
        </w:rPr>
        <w:t>22;4 à 24;1;</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36;2 à 36;14;</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36;25 à 37;9;</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37;21 à 38;19;</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53;25 à 54;4;</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68;1 à 74;10;</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87;7 à 88;17;</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93;10 à 93;25, car jugés non indissociables ou répétitifs (confiance envers Giroux, demande introductive, application de Vincent Lacroix, etc.).</w:t>
      </w:r>
    </w:p>
    <w:p w14:paraId="52B323A3" w14:textId="77777777" w:rsidR="002C317F" w:rsidRPr="0099104E" w:rsidRDefault="00730A01" w:rsidP="0099104E">
      <w:pPr>
        <w:spacing w:before="120"/>
        <w:ind w:left="360" w:right="255"/>
        <w:jc w:val="both"/>
        <w:rPr>
          <w:rFonts w:cs="Arial"/>
          <w:sz w:val="22"/>
          <w:szCs w:val="22"/>
          <w:lang w:eastAsia="fr-CA"/>
        </w:rPr>
      </w:pPr>
      <w:r w:rsidRPr="0099104E">
        <w:rPr>
          <w:rFonts w:cs="Arial"/>
          <w:sz w:val="22"/>
          <w:szCs w:val="22"/>
          <w:lang w:eastAsia="fr-CA"/>
        </w:rPr>
        <w:t>v)</w:t>
      </w:r>
      <w:r w:rsidR="00F677EE">
        <w:rPr>
          <w:rFonts w:cs="Arial"/>
          <w:sz w:val="22"/>
          <w:szCs w:val="22"/>
          <w:lang w:eastAsia="fr-CA"/>
        </w:rPr>
        <w:t> </w:t>
      </w:r>
      <w:r w:rsidRPr="0099104E">
        <w:rPr>
          <w:rFonts w:cs="Arial"/>
          <w:sz w:val="22"/>
          <w:szCs w:val="22"/>
          <w:lang w:eastAsia="fr-CA"/>
        </w:rPr>
        <w:t>Éric Tremblay</w:t>
      </w:r>
    </w:p>
    <w:p w14:paraId="3D6AF404" w14:textId="77777777" w:rsidR="002C317F" w:rsidRPr="0099104E" w:rsidRDefault="00730A01" w:rsidP="0042740E">
      <w:pPr>
        <w:numPr>
          <w:ilvl w:val="0"/>
          <w:numId w:val="41"/>
        </w:numPr>
        <w:spacing w:before="120"/>
        <w:ind w:right="255"/>
        <w:jc w:val="both"/>
        <w:rPr>
          <w:rFonts w:cs="Arial"/>
          <w:sz w:val="22"/>
          <w:szCs w:val="22"/>
          <w:lang w:eastAsia="fr-CA"/>
        </w:rPr>
      </w:pPr>
      <w:r w:rsidRPr="0099104E">
        <w:rPr>
          <w:rFonts w:cs="Arial"/>
          <w:sz w:val="22"/>
          <w:szCs w:val="22"/>
          <w:lang w:eastAsia="fr-CA"/>
        </w:rPr>
        <w:t>Refus des extraits</w:t>
      </w:r>
      <w:r w:rsidR="00FC6E40">
        <w:rPr>
          <w:rFonts w:cs="Arial"/>
          <w:sz w:val="22"/>
          <w:szCs w:val="22"/>
          <w:lang w:eastAsia="fr-CA"/>
        </w:rPr>
        <w:t> :</w:t>
      </w:r>
      <w:r w:rsidRPr="0099104E">
        <w:rPr>
          <w:rFonts w:cs="Arial"/>
          <w:sz w:val="22"/>
          <w:szCs w:val="22"/>
          <w:lang w:eastAsia="fr-CA"/>
        </w:rPr>
        <w:t xml:space="preserve"> p.</w:t>
      </w:r>
      <w:r w:rsidR="00FC6E40">
        <w:rPr>
          <w:rFonts w:cs="Arial"/>
          <w:sz w:val="22"/>
          <w:szCs w:val="22"/>
          <w:lang w:eastAsia="fr-CA"/>
        </w:rPr>
        <w:t> </w:t>
      </w:r>
      <w:r w:rsidRPr="0099104E">
        <w:rPr>
          <w:rFonts w:cs="Arial"/>
          <w:sz w:val="22"/>
          <w:szCs w:val="22"/>
          <w:lang w:eastAsia="fr-CA"/>
        </w:rPr>
        <w:t>16;16 à 17;21;</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31;14 à 32;20;</w:t>
      </w:r>
      <w:r w:rsidR="00FC6E40">
        <w:rPr>
          <w:rFonts w:cs="Arial"/>
          <w:sz w:val="22"/>
          <w:szCs w:val="22"/>
          <w:lang w:eastAsia="fr-CA"/>
        </w:rPr>
        <w:t>  </w:t>
      </w:r>
      <w:r w:rsidRPr="0099104E">
        <w:rPr>
          <w:rFonts w:cs="Arial"/>
          <w:sz w:val="22"/>
          <w:szCs w:val="22"/>
          <w:lang w:eastAsia="fr-CA"/>
        </w:rPr>
        <w:t>p.</w:t>
      </w:r>
      <w:r w:rsidR="00FC6E40">
        <w:rPr>
          <w:rFonts w:cs="Arial"/>
          <w:sz w:val="22"/>
          <w:szCs w:val="22"/>
          <w:lang w:eastAsia="fr-CA"/>
        </w:rPr>
        <w:t> </w:t>
      </w:r>
      <w:r w:rsidRPr="0099104E">
        <w:rPr>
          <w:rFonts w:cs="Arial"/>
          <w:sz w:val="22"/>
          <w:szCs w:val="22"/>
          <w:lang w:eastAsia="fr-CA"/>
        </w:rPr>
        <w:t>37;21 à 38;14, sauf pour une extension que les Défendeurs proposent eux-mêmes (p.</w:t>
      </w:r>
      <w:r w:rsidR="00FC6E40">
        <w:rPr>
          <w:rFonts w:cs="Arial"/>
          <w:sz w:val="22"/>
          <w:szCs w:val="22"/>
          <w:lang w:eastAsia="fr-CA"/>
        </w:rPr>
        <w:t> </w:t>
      </w:r>
      <w:r w:rsidRPr="0099104E">
        <w:rPr>
          <w:rFonts w:cs="Arial"/>
          <w:sz w:val="22"/>
          <w:szCs w:val="22"/>
          <w:lang w:eastAsia="fr-CA"/>
        </w:rPr>
        <w:t>3 à 28;19). Selon eux, les extraits contestés sont soit redondants, soit portent sur des sujets distincts (rôle de Nadine Lehoux).</w:t>
      </w:r>
    </w:p>
    <w:p w14:paraId="4B200216" w14:textId="77777777" w:rsidR="0054413F" w:rsidRDefault="00730A01">
      <w:pPr>
        <w:rPr>
          <w:rFonts w:cs="Arial"/>
          <w:szCs w:val="24"/>
          <w:lang w:eastAsia="fr-CA"/>
        </w:rPr>
      </w:pPr>
      <w:r>
        <w:rPr>
          <w:rFonts w:cs="Arial"/>
          <w:szCs w:val="24"/>
          <w:lang w:eastAsia="fr-CA"/>
        </w:rPr>
        <w:br w:type="page"/>
      </w:r>
    </w:p>
    <w:p w14:paraId="25FCEE85" w14:textId="77777777" w:rsidR="002C317F" w:rsidRPr="001D07EF" w:rsidRDefault="00730A01" w:rsidP="0042740E">
      <w:pPr>
        <w:pStyle w:val="Titre7"/>
        <w:numPr>
          <w:ilvl w:val="1"/>
          <w:numId w:val="36"/>
        </w:numPr>
        <w:spacing w:before="120"/>
        <w:ind w:left="567" w:hanging="567"/>
        <w:rPr>
          <w:b/>
          <w:sz w:val="24"/>
          <w:szCs w:val="24"/>
          <w:lang w:eastAsia="fr-CA"/>
        </w:rPr>
      </w:pPr>
      <w:r w:rsidRPr="001D07EF">
        <w:rPr>
          <w:b/>
          <w:sz w:val="24"/>
          <w:szCs w:val="24"/>
          <w:lang w:eastAsia="fr-CA"/>
        </w:rPr>
        <w:t>Analyse</w:t>
      </w:r>
    </w:p>
    <w:p w14:paraId="735726B3" w14:textId="77777777" w:rsidR="006910BB"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C’est l’article</w:t>
      </w:r>
      <w:r w:rsidR="00801FFE">
        <w:rPr>
          <w:rFonts w:cs="Arial"/>
          <w:szCs w:val="24"/>
          <w:lang w:eastAsia="fr-CA"/>
        </w:rPr>
        <w:t> </w:t>
      </w:r>
      <w:r w:rsidRPr="000760BC">
        <w:rPr>
          <w:rFonts w:cs="Arial"/>
          <w:szCs w:val="24"/>
          <w:lang w:eastAsia="fr-CA"/>
        </w:rPr>
        <w:t>227</w:t>
      </w:r>
      <w:r w:rsidRPr="000760BC">
        <w:rPr>
          <w:rFonts w:cs="Arial"/>
          <w:b/>
          <w:bCs/>
          <w:szCs w:val="24"/>
          <w:lang w:eastAsia="fr-CA"/>
        </w:rPr>
        <w:t xml:space="preserve"> </w:t>
      </w:r>
      <w:r w:rsidRPr="000760BC">
        <w:rPr>
          <w:rFonts w:cs="Arial"/>
          <w:szCs w:val="24"/>
          <w:lang w:eastAsia="fr-CA"/>
        </w:rPr>
        <w:t>C.p.c. qui encadre la production d’extraits supplémentaires. Cet article prévoit que cette production doit respecter le critère d’indissociabilité afin d’éviter toute dénaturation du témoignage.</w:t>
      </w:r>
    </w:p>
    <w:p w14:paraId="71749EAE" w14:textId="77777777" w:rsidR="006910BB" w:rsidRPr="006910BB" w:rsidRDefault="00730A01" w:rsidP="0098012F">
      <w:pPr>
        <w:pStyle w:val="Paragraphe"/>
        <w:tabs>
          <w:tab w:val="clear" w:pos="786"/>
        </w:tabs>
        <w:spacing w:line="240" w:lineRule="auto"/>
        <w:ind w:left="0"/>
        <w:rPr>
          <w:rFonts w:cs="Arial"/>
          <w:szCs w:val="24"/>
          <w:lang w:eastAsia="fr-CA"/>
        </w:rPr>
      </w:pPr>
      <w:r w:rsidRPr="006910BB">
        <w:rPr>
          <w:rFonts w:cs="Arial"/>
          <w:color w:val="000016"/>
          <w:spacing w:val="2"/>
          <w:szCs w:val="24"/>
          <w:lang w:eastAsia="fr-CA"/>
        </w:rPr>
        <w:t>Si la transcription, ou l’une des parties de la transcription, de l’interrogatoire préalable d’un déclarant peut être produite en preuve par la partie qui a procédé à l’interrogatoire, l’article 227</w:t>
      </w:r>
      <w:r w:rsidR="00801FFE">
        <w:rPr>
          <w:rFonts w:cs="Arial"/>
          <w:color w:val="000016"/>
          <w:spacing w:val="2"/>
          <w:szCs w:val="24"/>
          <w:lang w:eastAsia="fr-CA"/>
        </w:rPr>
        <w:t xml:space="preserve"> </w:t>
      </w:r>
      <w:r w:rsidRPr="006910BB">
        <w:rPr>
          <w:rFonts w:cs="Arial"/>
          <w:color w:val="000016"/>
          <w:spacing w:val="2"/>
          <w:szCs w:val="24"/>
          <w:lang w:eastAsia="fr-CA"/>
        </w:rPr>
        <w:t>C.p.c. prévoit en effet, à son alinéa</w:t>
      </w:r>
      <w:r w:rsidR="00801FFE">
        <w:rPr>
          <w:rFonts w:cs="Arial"/>
          <w:color w:val="000016"/>
          <w:spacing w:val="2"/>
          <w:szCs w:val="24"/>
          <w:lang w:eastAsia="fr-CA"/>
        </w:rPr>
        <w:t> </w:t>
      </w:r>
      <w:r w:rsidRPr="006910BB">
        <w:rPr>
          <w:rFonts w:cs="Arial"/>
          <w:color w:val="000016"/>
          <w:spacing w:val="2"/>
          <w:szCs w:val="24"/>
          <w:lang w:eastAsia="fr-CA"/>
        </w:rPr>
        <w:t>2, qu’une autre partie peut demander au Tribunal d’ordonner la production de tout autre extrait si, et seulement si, ce dernier «</w:t>
      </w:r>
      <w:r w:rsidR="00801FFE">
        <w:rPr>
          <w:rFonts w:cs="Arial"/>
          <w:color w:val="000016"/>
          <w:spacing w:val="2"/>
          <w:szCs w:val="24"/>
          <w:lang w:eastAsia="fr-CA"/>
        </w:rPr>
        <w:t> </w:t>
      </w:r>
      <w:r w:rsidRPr="006910BB">
        <w:rPr>
          <w:rFonts w:cs="Arial"/>
          <w:color w:val="000016"/>
          <w:spacing w:val="2"/>
          <w:szCs w:val="24"/>
          <w:lang w:eastAsia="fr-CA"/>
        </w:rPr>
        <w:t>…</w:t>
      </w:r>
      <w:r w:rsidR="00801FFE">
        <w:rPr>
          <w:rFonts w:cs="Arial"/>
          <w:color w:val="000016"/>
          <w:spacing w:val="2"/>
          <w:szCs w:val="24"/>
          <w:lang w:eastAsia="fr-CA"/>
        </w:rPr>
        <w:t xml:space="preserve"> </w:t>
      </w:r>
      <w:r w:rsidRPr="006910BB">
        <w:rPr>
          <w:rFonts w:cs="Arial"/>
          <w:i/>
          <w:iCs/>
          <w:color w:val="000016"/>
          <w:spacing w:val="2"/>
          <w:szCs w:val="24"/>
          <w:lang w:eastAsia="fr-CA"/>
        </w:rPr>
        <w:t>ne peut être dissocié d’un extrait déjà produit</w:t>
      </w:r>
      <w:r w:rsidRPr="006910BB">
        <w:rPr>
          <w:rFonts w:cs="Arial"/>
          <w:color w:val="000016"/>
          <w:spacing w:val="2"/>
          <w:szCs w:val="24"/>
          <w:lang w:eastAsia="fr-CA"/>
        </w:rPr>
        <w:t xml:space="preserve"> ».  </w:t>
      </w:r>
    </w:p>
    <w:p w14:paraId="21F86A94" w14:textId="77777777" w:rsidR="006910BB" w:rsidRPr="006910BB" w:rsidRDefault="00730A01" w:rsidP="0098012F">
      <w:pPr>
        <w:pStyle w:val="Paragraphe"/>
        <w:tabs>
          <w:tab w:val="clear" w:pos="786"/>
        </w:tabs>
        <w:spacing w:line="240" w:lineRule="auto"/>
        <w:ind w:left="0"/>
        <w:rPr>
          <w:rFonts w:cs="Arial"/>
          <w:szCs w:val="24"/>
          <w:lang w:eastAsia="fr-CA"/>
        </w:rPr>
      </w:pPr>
      <w:r w:rsidRPr="006910BB">
        <w:rPr>
          <w:rFonts w:cs="Arial"/>
          <w:color w:val="000016"/>
          <w:spacing w:val="2"/>
          <w:szCs w:val="24"/>
          <w:lang w:eastAsia="fr-CA"/>
        </w:rPr>
        <w:t>Alors qu’il était juge à la Cour supérieure, M.</w:t>
      </w:r>
      <w:r w:rsidR="00801FFE">
        <w:rPr>
          <w:rFonts w:cs="Arial"/>
          <w:color w:val="000016"/>
          <w:spacing w:val="2"/>
          <w:szCs w:val="24"/>
          <w:lang w:eastAsia="fr-CA"/>
        </w:rPr>
        <w:t> l</w:t>
      </w:r>
      <w:r w:rsidRPr="006910BB">
        <w:rPr>
          <w:rFonts w:cs="Arial"/>
          <w:color w:val="000016"/>
          <w:spacing w:val="2"/>
          <w:szCs w:val="24"/>
          <w:lang w:eastAsia="fr-CA"/>
        </w:rPr>
        <w:t>e juge Michel Beaupré précise qu’il n’y a pas lieu de limiter cette règle aux seuls interrogatoires préalables</w:t>
      </w:r>
      <w:r>
        <w:rPr>
          <w:rStyle w:val="Appelnotedebasdep"/>
          <w:rFonts w:cs="Arial"/>
          <w:color w:val="000016"/>
          <w:spacing w:val="2"/>
          <w:szCs w:val="24"/>
          <w:lang w:eastAsia="fr-CA"/>
        </w:rPr>
        <w:footnoteReference w:id="408"/>
      </w:r>
      <w:r w:rsidRPr="006910BB">
        <w:rPr>
          <w:rFonts w:cs="Arial"/>
          <w:color w:val="000016"/>
          <w:spacing w:val="2"/>
          <w:szCs w:val="24"/>
          <w:lang w:eastAsia="fr-CA"/>
        </w:rPr>
        <w:t>. La doctrine confirme que l’article</w:t>
      </w:r>
      <w:r w:rsidR="00801FFE">
        <w:rPr>
          <w:rFonts w:cs="Arial"/>
          <w:color w:val="000016"/>
          <w:spacing w:val="2"/>
          <w:szCs w:val="24"/>
          <w:lang w:eastAsia="fr-CA"/>
        </w:rPr>
        <w:t> </w:t>
      </w:r>
      <w:r w:rsidRPr="006910BB">
        <w:rPr>
          <w:rFonts w:cs="Arial"/>
          <w:color w:val="000016"/>
          <w:spacing w:val="2"/>
          <w:szCs w:val="24"/>
          <w:lang w:eastAsia="fr-CA"/>
        </w:rPr>
        <w:t>227 est aussi applicable à l’interrogatoire sur déclaration sous serment tenu en vertu de l’article</w:t>
      </w:r>
      <w:r w:rsidR="00801FFE">
        <w:rPr>
          <w:rFonts w:cs="Arial"/>
          <w:color w:val="000016"/>
          <w:spacing w:val="2"/>
          <w:szCs w:val="24"/>
          <w:lang w:eastAsia="fr-CA"/>
        </w:rPr>
        <w:t> </w:t>
      </w:r>
      <w:r w:rsidRPr="006910BB">
        <w:rPr>
          <w:rFonts w:cs="Arial"/>
          <w:color w:val="000016"/>
          <w:spacing w:val="2"/>
          <w:szCs w:val="24"/>
          <w:lang w:eastAsia="fr-CA"/>
        </w:rPr>
        <w:t>222</w:t>
      </w:r>
      <w:r>
        <w:rPr>
          <w:rStyle w:val="Appelnotedebasdep"/>
          <w:rFonts w:cs="Arial"/>
          <w:color w:val="000016"/>
          <w:spacing w:val="2"/>
          <w:szCs w:val="24"/>
          <w:lang w:eastAsia="fr-CA"/>
        </w:rPr>
        <w:footnoteReference w:id="409"/>
      </w:r>
      <w:r>
        <w:rPr>
          <w:rFonts w:cs="Arial"/>
          <w:color w:val="000016"/>
          <w:spacing w:val="2"/>
          <w:szCs w:val="24"/>
          <w:shd w:val="clear" w:color="auto" w:fill="FFFFFF"/>
        </w:rPr>
        <w:t>.</w:t>
      </w:r>
    </w:p>
    <w:p w14:paraId="521D82DC" w14:textId="77777777" w:rsidR="006910BB" w:rsidRPr="006910BB" w:rsidRDefault="00730A01" w:rsidP="0098012F">
      <w:pPr>
        <w:pStyle w:val="Paragraphe"/>
        <w:tabs>
          <w:tab w:val="clear" w:pos="786"/>
        </w:tabs>
        <w:spacing w:line="240" w:lineRule="auto"/>
        <w:ind w:left="0"/>
        <w:rPr>
          <w:rFonts w:cs="Arial"/>
          <w:szCs w:val="24"/>
          <w:lang w:eastAsia="fr-CA"/>
        </w:rPr>
      </w:pPr>
      <w:r w:rsidRPr="006910BB">
        <w:rPr>
          <w:rFonts w:cs="Arial"/>
          <w:color w:val="000016"/>
          <w:spacing w:val="2"/>
          <w:szCs w:val="24"/>
          <w:lang w:eastAsia="fr-CA"/>
        </w:rPr>
        <w:t>En l’espèce, les Demandeurs/Défendeurs reconventionnels ont convaincu le Tribunal que la grande majorité des extraits d’interrogatoires supplémentaires qu’il</w:t>
      </w:r>
      <w:r>
        <w:rPr>
          <w:rFonts w:cs="Arial"/>
          <w:color w:val="000016"/>
          <w:spacing w:val="2"/>
          <w:szCs w:val="24"/>
          <w:lang w:eastAsia="fr-CA"/>
        </w:rPr>
        <w:t>s</w:t>
      </w:r>
      <w:r w:rsidRPr="006910BB">
        <w:rPr>
          <w:rFonts w:cs="Arial"/>
          <w:color w:val="000016"/>
          <w:spacing w:val="2"/>
          <w:szCs w:val="24"/>
          <w:lang w:eastAsia="fr-CA"/>
        </w:rPr>
        <w:t xml:space="preserve"> souhaitent produire sont indissociables de ceux déjà produits par les Défendeurs/Demandeurs reconventionnels. </w:t>
      </w:r>
    </w:p>
    <w:p w14:paraId="51321C9E" w14:textId="77777777" w:rsidR="006910BB" w:rsidRDefault="00730A01" w:rsidP="0098012F">
      <w:pPr>
        <w:pStyle w:val="Paragraphe"/>
        <w:tabs>
          <w:tab w:val="clear" w:pos="786"/>
        </w:tabs>
        <w:spacing w:line="240" w:lineRule="auto"/>
        <w:ind w:left="0"/>
        <w:rPr>
          <w:rFonts w:cs="Arial"/>
          <w:szCs w:val="24"/>
          <w:lang w:eastAsia="fr-CA"/>
        </w:rPr>
      </w:pPr>
      <w:r w:rsidRPr="006910BB">
        <w:rPr>
          <w:rFonts w:cs="Arial"/>
          <w:color w:val="000016"/>
          <w:spacing w:val="2"/>
          <w:szCs w:val="24"/>
          <w:lang w:eastAsia="fr-CA"/>
        </w:rPr>
        <w:t xml:space="preserve">Tel que le Tribunal l’a mentionné à plusieurs reprises au cours du procès, sa préoccupation principale est celle de la recherche de la vérité. C’est dans cet optique qu’il adopte </w:t>
      </w:r>
      <w:r w:rsidRPr="006910BB">
        <w:rPr>
          <w:rFonts w:cs="Arial"/>
          <w:szCs w:val="24"/>
          <w:lang w:eastAsia="fr-CA"/>
        </w:rPr>
        <w:t xml:space="preserve">une approche large, intégrant </w:t>
      </w:r>
      <w:r w:rsidR="00230FBE" w:rsidRPr="006910BB">
        <w:rPr>
          <w:rFonts w:cs="Arial"/>
          <w:szCs w:val="24"/>
          <w:lang w:eastAsia="fr-CA"/>
        </w:rPr>
        <w:t>tou</w:t>
      </w:r>
      <w:r w:rsidR="00230FBE">
        <w:rPr>
          <w:rFonts w:cs="Arial"/>
          <w:szCs w:val="24"/>
          <w:lang w:eastAsia="fr-CA"/>
        </w:rPr>
        <w:t>t</w:t>
      </w:r>
      <w:r w:rsidRPr="006910BB">
        <w:rPr>
          <w:rFonts w:cs="Arial"/>
          <w:szCs w:val="24"/>
          <w:lang w:eastAsia="fr-CA"/>
        </w:rPr>
        <w:t xml:space="preserve"> extrait</w:t>
      </w:r>
      <w:r>
        <w:rPr>
          <w:rFonts w:cs="Arial"/>
          <w:szCs w:val="24"/>
          <w:lang w:eastAsia="fr-CA"/>
        </w:rPr>
        <w:t>s</w:t>
      </w:r>
      <w:r w:rsidRPr="006910BB">
        <w:rPr>
          <w:rFonts w:cs="Arial"/>
          <w:szCs w:val="24"/>
          <w:lang w:eastAsia="fr-CA"/>
        </w:rPr>
        <w:t xml:space="preserve"> qui porte</w:t>
      </w:r>
      <w:r>
        <w:rPr>
          <w:rFonts w:cs="Arial"/>
          <w:szCs w:val="24"/>
          <w:lang w:eastAsia="fr-CA"/>
        </w:rPr>
        <w:t>nt</w:t>
      </w:r>
      <w:r w:rsidRPr="006910BB">
        <w:rPr>
          <w:rFonts w:cs="Arial"/>
          <w:szCs w:val="24"/>
          <w:lang w:eastAsia="fr-CA"/>
        </w:rPr>
        <w:t xml:space="preserve"> sur le même thème que ceux déjà produits. </w:t>
      </w:r>
    </w:p>
    <w:p w14:paraId="0A80CC6B" w14:textId="77777777" w:rsidR="00230FBE" w:rsidRDefault="00730A01" w:rsidP="0098012F">
      <w:pPr>
        <w:pStyle w:val="Paragraphe"/>
        <w:tabs>
          <w:tab w:val="clear" w:pos="786"/>
        </w:tabs>
        <w:spacing w:line="240" w:lineRule="auto"/>
        <w:ind w:left="0"/>
        <w:rPr>
          <w:rFonts w:cs="Arial"/>
          <w:szCs w:val="24"/>
          <w:lang w:eastAsia="fr-CA"/>
        </w:rPr>
      </w:pPr>
      <w:r w:rsidRPr="006910BB">
        <w:rPr>
          <w:rFonts w:cs="Arial"/>
          <w:szCs w:val="24"/>
          <w:lang w:eastAsia="fr-CA"/>
        </w:rPr>
        <w:t>Les extraits redondants ne devraient en principe pas être produits cependant, puisqu’ils ne portent pas préjudice (étant purement répétitifs) ils ne méritent pas que l’on s’y attarde.</w:t>
      </w:r>
    </w:p>
    <w:p w14:paraId="0A2ED162" w14:textId="77777777" w:rsidR="00230FBE" w:rsidRDefault="00730A01" w:rsidP="0098012F">
      <w:pPr>
        <w:pStyle w:val="Paragraphe"/>
        <w:tabs>
          <w:tab w:val="clear" w:pos="786"/>
        </w:tabs>
        <w:spacing w:line="240" w:lineRule="auto"/>
        <w:ind w:left="0"/>
        <w:rPr>
          <w:rFonts w:cs="Arial"/>
          <w:szCs w:val="24"/>
          <w:lang w:eastAsia="fr-CA"/>
        </w:rPr>
      </w:pPr>
      <w:r w:rsidRPr="00230FBE">
        <w:rPr>
          <w:rFonts w:cs="Arial"/>
          <w:szCs w:val="24"/>
          <w:lang w:eastAsia="fr-CA"/>
        </w:rPr>
        <w:t>Toutefois, certains extraits se doivent d’être refusés. Il s’agit de ceux qui introduisent des éléments</w:t>
      </w:r>
      <w:r w:rsidRPr="00230FBE">
        <w:rPr>
          <w:rFonts w:cs="Arial"/>
          <w:b/>
          <w:bCs/>
          <w:szCs w:val="24"/>
          <w:lang w:eastAsia="fr-CA"/>
        </w:rPr>
        <w:t xml:space="preserve"> </w:t>
      </w:r>
      <w:r w:rsidRPr="00230FBE">
        <w:rPr>
          <w:rFonts w:cs="Arial"/>
          <w:szCs w:val="24"/>
          <w:lang w:eastAsia="fr-CA"/>
        </w:rPr>
        <w:t>nouveaux non liés directement.</w:t>
      </w:r>
    </w:p>
    <w:p w14:paraId="41234C08" w14:textId="77777777" w:rsidR="002C317F" w:rsidRPr="00230FBE" w:rsidRDefault="00730A01" w:rsidP="0098012F">
      <w:pPr>
        <w:pStyle w:val="Paragraphe"/>
        <w:tabs>
          <w:tab w:val="clear" w:pos="786"/>
        </w:tabs>
        <w:spacing w:line="240" w:lineRule="auto"/>
        <w:ind w:left="0"/>
        <w:rPr>
          <w:rFonts w:cs="Arial"/>
          <w:szCs w:val="24"/>
          <w:lang w:eastAsia="fr-CA"/>
        </w:rPr>
      </w:pPr>
      <w:r w:rsidRPr="00230FBE">
        <w:rPr>
          <w:rFonts w:cs="Arial"/>
          <w:szCs w:val="24"/>
          <w:lang w:eastAsia="fr-CA"/>
        </w:rPr>
        <w:t>Le Tribunal identifie les extraits suivants comme non indissociables, donc non nécessaires à la compréhension du témoignage sans risque de dénaturation.</w:t>
      </w:r>
    </w:p>
    <w:p w14:paraId="0228A7ED" w14:textId="77777777" w:rsidR="002C317F" w:rsidRPr="00202504" w:rsidRDefault="00730A01" w:rsidP="00443B59">
      <w:pPr>
        <w:numPr>
          <w:ilvl w:val="1"/>
          <w:numId w:val="56"/>
        </w:numPr>
        <w:spacing w:before="120"/>
        <w:ind w:left="1434" w:hanging="357"/>
        <w:rPr>
          <w:rFonts w:cs="Arial"/>
          <w:szCs w:val="24"/>
          <w:lang w:eastAsia="fr-CA"/>
        </w:rPr>
      </w:pPr>
      <w:r w:rsidRPr="00202504">
        <w:rPr>
          <w:rFonts w:cs="Arial"/>
          <w:szCs w:val="24"/>
          <w:lang w:eastAsia="fr-CA"/>
        </w:rPr>
        <w:t>Patrick Brière</w:t>
      </w:r>
      <w:r w:rsidR="00F849DC" w:rsidRPr="00202504">
        <w:rPr>
          <w:rFonts w:cs="Arial"/>
          <w:szCs w:val="24"/>
          <w:lang w:eastAsia="fr-CA"/>
        </w:rPr>
        <w:t> </w:t>
      </w:r>
      <w:r w:rsidRPr="00202504">
        <w:rPr>
          <w:rFonts w:cs="Arial"/>
          <w:szCs w:val="24"/>
          <w:lang w:eastAsia="fr-CA"/>
        </w:rPr>
        <w:t>: p.</w:t>
      </w:r>
      <w:r w:rsidR="00F849DC" w:rsidRPr="00202504">
        <w:rPr>
          <w:rFonts w:cs="Arial"/>
          <w:szCs w:val="24"/>
          <w:lang w:eastAsia="fr-CA"/>
        </w:rPr>
        <w:t> </w:t>
      </w:r>
      <w:r w:rsidRPr="00202504">
        <w:rPr>
          <w:rFonts w:cs="Arial"/>
          <w:szCs w:val="24"/>
          <w:lang w:eastAsia="fr-CA"/>
        </w:rPr>
        <w:t>96;6 à 100;8;</w:t>
      </w:r>
      <w:r w:rsidR="00C76039" w:rsidRPr="00202504">
        <w:rPr>
          <w:rFonts w:cs="Arial"/>
          <w:szCs w:val="24"/>
          <w:lang w:eastAsia="fr-CA"/>
        </w:rPr>
        <w:t>  </w:t>
      </w:r>
      <w:r w:rsidRPr="00202504">
        <w:rPr>
          <w:rFonts w:cs="Arial"/>
          <w:szCs w:val="24"/>
          <w:lang w:eastAsia="fr-CA"/>
        </w:rPr>
        <w:t xml:space="preserve"> p.</w:t>
      </w:r>
      <w:r w:rsidR="00F849DC" w:rsidRPr="00202504">
        <w:rPr>
          <w:rFonts w:cs="Arial"/>
          <w:szCs w:val="24"/>
          <w:lang w:eastAsia="fr-CA"/>
        </w:rPr>
        <w:t> </w:t>
      </w:r>
      <w:r w:rsidRPr="00202504">
        <w:rPr>
          <w:rFonts w:cs="Arial"/>
          <w:szCs w:val="24"/>
          <w:lang w:eastAsia="fr-CA"/>
        </w:rPr>
        <w:t>116;11 à 121;23;</w:t>
      </w:r>
      <w:r w:rsidR="00C76039" w:rsidRPr="00202504">
        <w:rPr>
          <w:rFonts w:cs="Arial"/>
          <w:szCs w:val="24"/>
          <w:lang w:eastAsia="fr-CA"/>
        </w:rPr>
        <w:t>  </w:t>
      </w:r>
      <w:r w:rsidRPr="00202504">
        <w:rPr>
          <w:rFonts w:cs="Arial"/>
          <w:szCs w:val="24"/>
          <w:lang w:eastAsia="fr-CA"/>
        </w:rPr>
        <w:t>p.</w:t>
      </w:r>
      <w:r w:rsidR="00F849DC" w:rsidRPr="00202504">
        <w:rPr>
          <w:rFonts w:cs="Arial"/>
          <w:szCs w:val="24"/>
          <w:lang w:eastAsia="fr-CA"/>
        </w:rPr>
        <w:t> </w:t>
      </w:r>
      <w:r w:rsidRPr="00202504">
        <w:rPr>
          <w:rFonts w:cs="Arial"/>
          <w:szCs w:val="24"/>
          <w:lang w:eastAsia="fr-CA"/>
        </w:rPr>
        <w:t>130;9 à 131;16</w:t>
      </w:r>
    </w:p>
    <w:p w14:paraId="6CBEDA7B" w14:textId="77777777" w:rsidR="002C317F" w:rsidRPr="00202504" w:rsidRDefault="00730A01" w:rsidP="00443B59">
      <w:pPr>
        <w:numPr>
          <w:ilvl w:val="1"/>
          <w:numId w:val="56"/>
        </w:numPr>
        <w:spacing w:before="120"/>
        <w:ind w:left="1434" w:hanging="357"/>
        <w:rPr>
          <w:rFonts w:cs="Arial"/>
          <w:szCs w:val="24"/>
          <w:lang w:eastAsia="fr-CA"/>
        </w:rPr>
      </w:pPr>
      <w:r w:rsidRPr="00202504">
        <w:rPr>
          <w:rFonts w:cs="Arial"/>
          <w:szCs w:val="24"/>
          <w:lang w:eastAsia="fr-CA"/>
        </w:rPr>
        <w:t>Mario Landry</w:t>
      </w:r>
      <w:r w:rsidR="00F849DC" w:rsidRPr="00202504">
        <w:rPr>
          <w:rFonts w:cs="Arial"/>
          <w:szCs w:val="24"/>
          <w:lang w:eastAsia="fr-CA"/>
        </w:rPr>
        <w:t> </w:t>
      </w:r>
      <w:r w:rsidRPr="00202504">
        <w:rPr>
          <w:rFonts w:cs="Arial"/>
          <w:szCs w:val="24"/>
          <w:lang w:eastAsia="fr-CA"/>
        </w:rPr>
        <w:t>: p.</w:t>
      </w:r>
      <w:r w:rsidR="00F849DC" w:rsidRPr="00202504">
        <w:rPr>
          <w:rFonts w:cs="Arial"/>
          <w:szCs w:val="24"/>
          <w:lang w:eastAsia="fr-CA"/>
        </w:rPr>
        <w:t> </w:t>
      </w:r>
      <w:r w:rsidRPr="00202504">
        <w:rPr>
          <w:rFonts w:cs="Arial"/>
          <w:szCs w:val="24"/>
          <w:lang w:eastAsia="fr-CA"/>
        </w:rPr>
        <w:t>87;7 à 88;17;</w:t>
      </w:r>
      <w:r w:rsidR="00C76039" w:rsidRPr="00202504">
        <w:rPr>
          <w:rFonts w:cs="Arial"/>
          <w:szCs w:val="24"/>
          <w:lang w:eastAsia="fr-CA"/>
        </w:rPr>
        <w:t>  </w:t>
      </w:r>
      <w:r w:rsidRPr="00202504">
        <w:rPr>
          <w:rFonts w:cs="Arial"/>
          <w:szCs w:val="24"/>
          <w:lang w:eastAsia="fr-CA"/>
        </w:rPr>
        <w:t>p.</w:t>
      </w:r>
      <w:r w:rsidR="00F849DC" w:rsidRPr="00202504">
        <w:rPr>
          <w:rFonts w:cs="Arial"/>
          <w:szCs w:val="24"/>
          <w:lang w:eastAsia="fr-CA"/>
        </w:rPr>
        <w:t> </w:t>
      </w:r>
      <w:r w:rsidRPr="00202504">
        <w:rPr>
          <w:rFonts w:cs="Arial"/>
          <w:szCs w:val="24"/>
          <w:lang w:eastAsia="fr-CA"/>
        </w:rPr>
        <w:t>93;10 à 93;25</w:t>
      </w:r>
    </w:p>
    <w:p w14:paraId="70D0810B" w14:textId="77777777" w:rsidR="002C317F" w:rsidRPr="00202504" w:rsidRDefault="00730A01" w:rsidP="00443B59">
      <w:pPr>
        <w:numPr>
          <w:ilvl w:val="1"/>
          <w:numId w:val="56"/>
        </w:numPr>
        <w:spacing w:before="120"/>
        <w:ind w:left="1434" w:hanging="357"/>
        <w:rPr>
          <w:rFonts w:cs="Arial"/>
          <w:szCs w:val="24"/>
          <w:lang w:eastAsia="fr-CA"/>
        </w:rPr>
      </w:pPr>
      <w:r w:rsidRPr="00202504">
        <w:rPr>
          <w:rFonts w:cs="Arial"/>
          <w:szCs w:val="24"/>
          <w:lang w:eastAsia="fr-CA"/>
        </w:rPr>
        <w:t>Éric Tremblay</w:t>
      </w:r>
      <w:r w:rsidR="00F849DC" w:rsidRPr="00202504">
        <w:rPr>
          <w:rFonts w:cs="Arial"/>
          <w:szCs w:val="24"/>
          <w:lang w:eastAsia="fr-CA"/>
        </w:rPr>
        <w:t> </w:t>
      </w:r>
      <w:r w:rsidRPr="00202504">
        <w:rPr>
          <w:rFonts w:cs="Arial"/>
          <w:szCs w:val="24"/>
          <w:lang w:eastAsia="fr-CA"/>
        </w:rPr>
        <w:t>: p.</w:t>
      </w:r>
      <w:r w:rsidR="00F849DC" w:rsidRPr="00202504">
        <w:rPr>
          <w:rFonts w:cs="Arial"/>
          <w:szCs w:val="24"/>
          <w:lang w:eastAsia="fr-CA"/>
        </w:rPr>
        <w:t> </w:t>
      </w:r>
      <w:r w:rsidRPr="00202504">
        <w:rPr>
          <w:rFonts w:cs="Arial"/>
          <w:szCs w:val="24"/>
          <w:lang w:eastAsia="fr-CA"/>
        </w:rPr>
        <w:t>37;21 à 38;14</w:t>
      </w:r>
    </w:p>
    <w:p w14:paraId="09F3642F" w14:textId="77777777" w:rsidR="002C317F" w:rsidRPr="001D07EF" w:rsidRDefault="00730A01" w:rsidP="0042740E">
      <w:pPr>
        <w:pStyle w:val="Titre7"/>
        <w:numPr>
          <w:ilvl w:val="1"/>
          <w:numId w:val="36"/>
        </w:numPr>
        <w:spacing w:before="120"/>
        <w:ind w:left="567" w:hanging="567"/>
        <w:rPr>
          <w:b/>
          <w:sz w:val="24"/>
          <w:szCs w:val="24"/>
          <w:lang w:eastAsia="fr-CA"/>
        </w:rPr>
      </w:pPr>
      <w:r w:rsidRPr="001D07EF">
        <w:rPr>
          <w:b/>
          <w:sz w:val="24"/>
          <w:szCs w:val="24"/>
          <w:lang w:eastAsia="fr-CA"/>
        </w:rPr>
        <w:t>Conclusion</w:t>
      </w:r>
    </w:p>
    <w:p w14:paraId="595702D0" w14:textId="77777777" w:rsidR="002C317F" w:rsidRDefault="00730A01" w:rsidP="001D3ECB">
      <w:pPr>
        <w:pStyle w:val="Paragraphe"/>
        <w:tabs>
          <w:tab w:val="clear" w:pos="786"/>
        </w:tabs>
        <w:spacing w:after="0" w:line="240" w:lineRule="auto"/>
        <w:ind w:left="0"/>
        <w:rPr>
          <w:rFonts w:cs="Arial"/>
          <w:szCs w:val="24"/>
          <w:lang w:eastAsia="fr-CA"/>
        </w:rPr>
      </w:pPr>
      <w:r w:rsidRPr="000760BC">
        <w:rPr>
          <w:rFonts w:cs="Arial"/>
          <w:szCs w:val="24"/>
          <w:lang w:eastAsia="fr-CA"/>
        </w:rPr>
        <w:t>Vu</w:t>
      </w:r>
      <w:r w:rsidRPr="000760BC">
        <w:rPr>
          <w:rFonts w:cs="Arial"/>
          <w:szCs w:val="24"/>
        </w:rPr>
        <w:t xml:space="preserve"> ce qui précède, tous les extraits faisant l’objet de </w:t>
      </w:r>
      <w:r w:rsidRPr="000760BC">
        <w:rPr>
          <w:rFonts w:cs="Arial"/>
          <w:i/>
          <w:iCs/>
          <w:szCs w:val="24"/>
        </w:rPr>
        <w:t>l’Avis de production de</w:t>
      </w:r>
      <w:r w:rsidRPr="000760BC">
        <w:rPr>
          <w:rFonts w:cs="Arial"/>
          <w:szCs w:val="24"/>
        </w:rPr>
        <w:t xml:space="preserve"> </w:t>
      </w:r>
      <w:r w:rsidRPr="000760BC">
        <w:rPr>
          <w:rFonts w:cs="Arial"/>
          <w:i/>
          <w:iCs/>
          <w:szCs w:val="24"/>
        </w:rPr>
        <w:t>compléments de dépositions</w:t>
      </w:r>
      <w:r w:rsidRPr="000760BC">
        <w:rPr>
          <w:rFonts w:cs="Arial"/>
          <w:szCs w:val="24"/>
        </w:rPr>
        <w:t>, daté du 15</w:t>
      </w:r>
      <w:r w:rsidR="00801FFE">
        <w:rPr>
          <w:rFonts w:cs="Arial"/>
          <w:szCs w:val="24"/>
        </w:rPr>
        <w:t> </w:t>
      </w:r>
      <w:r w:rsidRPr="000760BC">
        <w:rPr>
          <w:rFonts w:cs="Arial"/>
          <w:szCs w:val="24"/>
        </w:rPr>
        <w:t>mai</w:t>
      </w:r>
      <w:r w:rsidR="00801FFE">
        <w:rPr>
          <w:rFonts w:cs="Arial"/>
          <w:szCs w:val="24"/>
        </w:rPr>
        <w:t> </w:t>
      </w:r>
      <w:r w:rsidRPr="000760BC">
        <w:rPr>
          <w:rFonts w:cs="Arial"/>
          <w:szCs w:val="24"/>
        </w:rPr>
        <w:t>2024, notifié aux avocats des Défendeurs/Demandeurs reconventionnels par la partie demanderesse, sont acceptés en preuve, à l’exception de ceux mentionnés au paragraphe ci-dessus</w:t>
      </w:r>
      <w:r w:rsidRPr="000760BC">
        <w:rPr>
          <w:rFonts w:cs="Arial"/>
          <w:szCs w:val="24"/>
          <w:lang w:eastAsia="fr-CA"/>
        </w:rPr>
        <w:t>.</w:t>
      </w:r>
    </w:p>
    <w:p w14:paraId="7A13D80D" w14:textId="77777777" w:rsidR="00A13539" w:rsidRDefault="00730A01" w:rsidP="001D3ECB">
      <w:pPr>
        <w:pStyle w:val="Paragraphe"/>
        <w:numPr>
          <w:ilvl w:val="0"/>
          <w:numId w:val="0"/>
        </w:numPr>
        <w:tabs>
          <w:tab w:val="left" w:pos="3686"/>
        </w:tabs>
        <w:spacing w:line="240" w:lineRule="auto"/>
        <w:ind w:left="720"/>
        <w:rPr>
          <w:rFonts w:cs="Arial"/>
          <w:szCs w:val="24"/>
          <w:lang w:eastAsia="fr-CA"/>
        </w:rPr>
      </w:pPr>
      <w:r>
        <w:rPr>
          <w:rFonts w:cs="Arial"/>
          <w:szCs w:val="24"/>
          <w:lang w:eastAsia="fr-CA"/>
        </w:rPr>
        <w:tab/>
        <w:t>* * *</w:t>
      </w:r>
    </w:p>
    <w:p w14:paraId="6654598A" w14:textId="77777777" w:rsidR="00A13539" w:rsidRDefault="00730A01" w:rsidP="0098012F">
      <w:pPr>
        <w:rPr>
          <w:rFonts w:cs="Arial"/>
          <w:kern w:val="28"/>
          <w:szCs w:val="24"/>
          <w:lang w:eastAsia="fr-CA"/>
        </w:rPr>
      </w:pPr>
      <w:r>
        <w:rPr>
          <w:rFonts w:cs="Arial"/>
          <w:szCs w:val="24"/>
          <w:lang w:eastAsia="fr-CA"/>
        </w:rPr>
        <w:br w:type="page"/>
      </w:r>
    </w:p>
    <w:p w14:paraId="4CFBF5D9" w14:textId="77777777" w:rsidR="00E95F2F" w:rsidRPr="004A5EBA" w:rsidRDefault="00730A01" w:rsidP="004A5EBA">
      <w:pPr>
        <w:pStyle w:val="Titre4"/>
        <w:numPr>
          <w:ilvl w:val="2"/>
          <w:numId w:val="5"/>
        </w:numPr>
        <w:ind w:left="426" w:hanging="426"/>
        <w:rPr>
          <w:rFonts w:cs="Arial"/>
          <w:bCs/>
          <w:smallCaps/>
          <w:szCs w:val="24"/>
          <w:lang w:eastAsia="fr-CA"/>
        </w:rPr>
      </w:pPr>
      <w:bookmarkStart w:id="132" w:name="_Hlk206424868"/>
      <w:r w:rsidRPr="004A5EBA">
        <w:rPr>
          <w:rFonts w:cs="Arial"/>
          <w:bCs/>
          <w:smallCaps/>
          <w:szCs w:val="24"/>
          <w:lang w:eastAsia="fr-CA"/>
        </w:rPr>
        <w:t>L</w:t>
      </w:r>
      <w:r w:rsidR="000D1323" w:rsidRPr="004A5EBA">
        <w:rPr>
          <w:rFonts w:cs="Arial"/>
          <w:bCs/>
          <w:smallCaps/>
          <w:szCs w:val="24"/>
          <w:lang w:eastAsia="fr-CA"/>
        </w:rPr>
        <w:t xml:space="preserve">a </w:t>
      </w:r>
      <w:r w:rsidR="00A13539" w:rsidRPr="004A5EBA">
        <w:rPr>
          <w:rFonts w:cs="Arial"/>
          <w:bCs/>
          <w:smallCaps/>
          <w:szCs w:val="24"/>
          <w:lang w:eastAsia="fr-CA"/>
        </w:rPr>
        <w:t>non-</w:t>
      </w:r>
      <w:r w:rsidR="000D1323" w:rsidRPr="004A5EBA">
        <w:rPr>
          <w:rFonts w:cs="Arial"/>
          <w:bCs/>
          <w:smallCaps/>
          <w:szCs w:val="24"/>
          <w:lang w:eastAsia="fr-CA"/>
        </w:rPr>
        <w:t>fiabilité du</w:t>
      </w:r>
      <w:r w:rsidRPr="004A5EBA">
        <w:rPr>
          <w:rFonts w:cs="Arial"/>
          <w:bCs/>
          <w:smallCaps/>
          <w:szCs w:val="24"/>
          <w:lang w:eastAsia="fr-CA"/>
        </w:rPr>
        <w:t xml:space="preserve"> rapport LMD</w:t>
      </w:r>
      <w:r w:rsidR="00B3373F" w:rsidRPr="004A5EBA">
        <w:rPr>
          <w:rFonts w:cs="Arial"/>
          <w:bCs/>
          <w:smallCaps/>
          <w:szCs w:val="24"/>
          <w:lang w:eastAsia="fr-CA"/>
        </w:rPr>
        <w:t xml:space="preserve"> </w:t>
      </w:r>
    </w:p>
    <w:p w14:paraId="79136331" w14:textId="77777777" w:rsidR="00B3373F"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Les Défendeurs ont déposé le rapport d’expertise LMD et ils ont fait entendre les auteurs dudit rapport, M.</w:t>
      </w:r>
      <w:r w:rsidR="00801FFE">
        <w:rPr>
          <w:rFonts w:cs="Arial"/>
          <w:szCs w:val="24"/>
          <w:lang w:eastAsia="fr-CA"/>
        </w:rPr>
        <w:t> </w:t>
      </w:r>
      <w:r w:rsidRPr="000760BC">
        <w:rPr>
          <w:rFonts w:cs="Arial"/>
          <w:szCs w:val="24"/>
          <w:lang w:eastAsia="fr-CA"/>
        </w:rPr>
        <w:t>Luc Marcil et M.</w:t>
      </w:r>
      <w:r w:rsidR="00801FFE">
        <w:rPr>
          <w:rFonts w:cs="Arial"/>
          <w:szCs w:val="24"/>
          <w:lang w:eastAsia="fr-CA"/>
        </w:rPr>
        <w:t> </w:t>
      </w:r>
      <w:r w:rsidRPr="000760BC">
        <w:rPr>
          <w:rFonts w:cs="Arial"/>
          <w:szCs w:val="24"/>
          <w:lang w:eastAsia="fr-CA"/>
        </w:rPr>
        <w:t>Alain David.</w:t>
      </w:r>
    </w:p>
    <w:p w14:paraId="77D13513" w14:textId="77777777" w:rsidR="000D1323" w:rsidRPr="000760BC" w:rsidRDefault="00730A01" w:rsidP="0098012F">
      <w:pPr>
        <w:pStyle w:val="Paragraphe"/>
        <w:tabs>
          <w:tab w:val="clear" w:pos="786"/>
        </w:tabs>
        <w:spacing w:line="240" w:lineRule="auto"/>
        <w:ind w:left="0"/>
        <w:rPr>
          <w:rFonts w:cs="Arial"/>
          <w:szCs w:val="24"/>
          <w:lang w:eastAsia="fr-CA"/>
        </w:rPr>
      </w:pPr>
      <w:r>
        <w:rPr>
          <w:rFonts w:cs="Arial"/>
          <w:szCs w:val="24"/>
          <w:lang w:eastAsia="fr-CA"/>
        </w:rPr>
        <w:t>La fiabilité du rapport en question ainsi que la crédibilité de ses auteurs sont grandement remises en question par les Demandeurs et il y a lieu d’en traiter.</w:t>
      </w:r>
    </w:p>
    <w:p w14:paraId="2FEE17DC" w14:textId="77777777" w:rsidR="00B3373F" w:rsidRPr="001D07EF" w:rsidRDefault="00730A01" w:rsidP="00443B59">
      <w:pPr>
        <w:pStyle w:val="Titre7"/>
        <w:numPr>
          <w:ilvl w:val="5"/>
          <w:numId w:val="92"/>
        </w:numPr>
        <w:ind w:left="567" w:hanging="567"/>
        <w:rPr>
          <w:b/>
          <w:bCs/>
          <w:sz w:val="24"/>
          <w:szCs w:val="24"/>
          <w:lang w:eastAsia="fr-CA"/>
        </w:rPr>
      </w:pPr>
      <w:r w:rsidRPr="001D07EF">
        <w:rPr>
          <w:b/>
          <w:bCs/>
          <w:sz w:val="24"/>
          <w:szCs w:val="24"/>
          <w:lang w:eastAsia="fr-CA"/>
        </w:rPr>
        <w:t>Le manque d’indépendance et d’objectivité</w:t>
      </w:r>
    </w:p>
    <w:p w14:paraId="5C16136F" w14:textId="77777777" w:rsidR="00230FBE"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Tout d’abord, mentionn</w:t>
      </w:r>
      <w:r w:rsidR="000D1323">
        <w:rPr>
          <w:rFonts w:cs="Arial"/>
          <w:szCs w:val="24"/>
          <w:lang w:eastAsia="fr-CA"/>
        </w:rPr>
        <w:t>ons</w:t>
      </w:r>
      <w:r w:rsidRPr="000760BC">
        <w:rPr>
          <w:rFonts w:cs="Arial"/>
          <w:szCs w:val="24"/>
          <w:lang w:eastAsia="fr-CA"/>
        </w:rPr>
        <w:t xml:space="preserve"> que le Tribunal a nettement perçu le témoignage des deux auteurs de ce rapport comme un plaidoyer en faveur des </w:t>
      </w:r>
      <w:r>
        <w:rPr>
          <w:rFonts w:cs="Arial"/>
          <w:szCs w:val="24"/>
          <w:lang w:eastAsia="fr-CA"/>
        </w:rPr>
        <w:t>D</w:t>
      </w:r>
      <w:r w:rsidRPr="000760BC">
        <w:rPr>
          <w:rFonts w:cs="Arial"/>
          <w:szCs w:val="24"/>
          <w:lang w:eastAsia="fr-CA"/>
        </w:rPr>
        <w:t>éfendeurs. D’ailleurs, dès le début du procès, à trois reprises M.</w:t>
      </w:r>
      <w:r w:rsidR="00123354">
        <w:rPr>
          <w:rFonts w:cs="Arial"/>
          <w:szCs w:val="24"/>
          <w:lang w:eastAsia="fr-CA"/>
        </w:rPr>
        <w:t> </w:t>
      </w:r>
      <w:r w:rsidRPr="000760BC">
        <w:rPr>
          <w:rFonts w:cs="Arial"/>
          <w:szCs w:val="24"/>
          <w:lang w:eastAsia="fr-CA"/>
        </w:rPr>
        <w:t>Marcil a expliqué que son rôle consistait à « assister les avocats des défendeurs »</w:t>
      </w:r>
      <w:r>
        <w:rPr>
          <w:rStyle w:val="Appelnotedebasdep"/>
          <w:rFonts w:cs="Arial"/>
          <w:szCs w:val="24"/>
          <w:lang w:eastAsia="fr-CA"/>
        </w:rPr>
        <w:footnoteReference w:id="410"/>
      </w:r>
      <w:r>
        <w:rPr>
          <w:rFonts w:cs="Arial"/>
          <w:szCs w:val="24"/>
          <w:lang w:eastAsia="fr-CA"/>
        </w:rPr>
        <w:t>.</w:t>
      </w:r>
    </w:p>
    <w:p w14:paraId="55F47239" w14:textId="77777777" w:rsidR="00B3373F" w:rsidRPr="00230FBE" w:rsidRDefault="00730A01" w:rsidP="0098012F">
      <w:pPr>
        <w:pStyle w:val="Paragraphe"/>
        <w:tabs>
          <w:tab w:val="clear" w:pos="786"/>
        </w:tabs>
        <w:spacing w:line="240" w:lineRule="auto"/>
        <w:ind w:left="0"/>
        <w:rPr>
          <w:rFonts w:cs="Arial"/>
          <w:szCs w:val="24"/>
          <w:lang w:eastAsia="fr-CA"/>
        </w:rPr>
      </w:pPr>
      <w:r w:rsidRPr="00230FBE">
        <w:rPr>
          <w:rFonts w:cs="Arial"/>
          <w:szCs w:val="24"/>
          <w:lang w:eastAsia="fr-CA"/>
        </w:rPr>
        <w:t>En outre, certaines sections du rapport de LMD (mars</w:t>
      </w:r>
      <w:r w:rsidR="00123354">
        <w:rPr>
          <w:rFonts w:cs="Arial"/>
          <w:szCs w:val="24"/>
          <w:lang w:eastAsia="fr-CA"/>
        </w:rPr>
        <w:t> </w:t>
      </w:r>
      <w:r w:rsidRPr="00230FBE">
        <w:rPr>
          <w:rFonts w:cs="Arial"/>
          <w:szCs w:val="24"/>
          <w:lang w:eastAsia="fr-CA"/>
        </w:rPr>
        <w:t>2024) semblent avoir été préparées dans le seul but de soutenir la demande en rejet des Défendeurs contre l’expertise KPMG, plutôt que d’éclairer le Tribunal de façon indépendante</w:t>
      </w:r>
      <w:r>
        <w:rPr>
          <w:rStyle w:val="Appelnotedebasdep"/>
          <w:rFonts w:cs="Arial"/>
          <w:szCs w:val="24"/>
          <w:lang w:eastAsia="fr-CA"/>
        </w:rPr>
        <w:footnoteReference w:id="411"/>
      </w:r>
      <w:r w:rsidR="00123354">
        <w:rPr>
          <w:rFonts w:cs="Arial"/>
          <w:szCs w:val="24"/>
          <w:lang w:eastAsia="fr-CA"/>
        </w:rPr>
        <w:t>.</w:t>
      </w:r>
    </w:p>
    <w:p w14:paraId="1DCED9F0" w14:textId="77777777" w:rsidR="004807A7" w:rsidRPr="000760BC" w:rsidRDefault="00730A01" w:rsidP="0042740E">
      <w:pPr>
        <w:numPr>
          <w:ilvl w:val="0"/>
          <w:numId w:val="29"/>
        </w:numPr>
        <w:spacing w:before="100" w:beforeAutospacing="1" w:after="100" w:afterAutospacing="1"/>
        <w:jc w:val="both"/>
        <w:rPr>
          <w:rFonts w:cs="Arial"/>
          <w:szCs w:val="24"/>
          <w:lang w:eastAsia="fr-CA"/>
        </w:rPr>
      </w:pPr>
      <w:r w:rsidRPr="000760BC">
        <w:rPr>
          <w:rFonts w:cs="Arial"/>
          <w:szCs w:val="24"/>
          <w:lang w:eastAsia="fr-CA"/>
        </w:rPr>
        <w:t>Une partie entière du rapport est consacrée à formuler des reproches infondés à KPMG</w:t>
      </w:r>
      <w:r>
        <w:rPr>
          <w:rStyle w:val="Appelnotedebasdep"/>
          <w:rFonts w:cs="Arial"/>
          <w:szCs w:val="24"/>
          <w:lang w:eastAsia="fr-CA"/>
        </w:rPr>
        <w:footnoteReference w:id="412"/>
      </w:r>
      <w:r w:rsidRPr="000760BC">
        <w:rPr>
          <w:rFonts w:cs="Arial"/>
          <w:szCs w:val="24"/>
          <w:lang w:eastAsia="fr-CA"/>
        </w:rPr>
        <w:t>.</w:t>
      </w:r>
      <w:r w:rsidR="003768FA" w:rsidRPr="000760BC">
        <w:rPr>
          <w:rFonts w:cs="Arial"/>
          <w:szCs w:val="24"/>
          <w:lang w:eastAsia="fr-CA"/>
        </w:rPr>
        <w:t xml:space="preserve"> </w:t>
      </w:r>
    </w:p>
    <w:p w14:paraId="238B8EE0" w14:textId="77777777" w:rsidR="004807A7" w:rsidRPr="000760BC" w:rsidRDefault="00730A01" w:rsidP="0042740E">
      <w:pPr>
        <w:numPr>
          <w:ilvl w:val="0"/>
          <w:numId w:val="29"/>
        </w:numPr>
        <w:spacing w:before="100" w:beforeAutospacing="1" w:after="100" w:afterAutospacing="1"/>
        <w:jc w:val="both"/>
        <w:rPr>
          <w:rFonts w:cs="Arial"/>
          <w:szCs w:val="24"/>
          <w:lang w:eastAsia="fr-CA"/>
        </w:rPr>
      </w:pPr>
      <w:r w:rsidRPr="00E045C7">
        <w:rPr>
          <w:rFonts w:cs="Arial"/>
          <w:szCs w:val="24"/>
          <w:lang w:eastAsia="fr-CA"/>
        </w:rPr>
        <w:t>LMD affirme dans sa quantification de dommages avoir posé un regard critique sur la période de dommages de 3</w:t>
      </w:r>
      <w:r w:rsidR="00123354">
        <w:rPr>
          <w:rFonts w:cs="Arial"/>
          <w:szCs w:val="24"/>
          <w:lang w:eastAsia="fr-CA"/>
        </w:rPr>
        <w:t> </w:t>
      </w:r>
      <w:r w:rsidRPr="00E045C7">
        <w:rPr>
          <w:rFonts w:cs="Arial"/>
          <w:szCs w:val="24"/>
          <w:lang w:eastAsia="fr-CA"/>
        </w:rPr>
        <w:t>ans qui est «</w:t>
      </w:r>
      <w:r w:rsidR="00123354">
        <w:rPr>
          <w:rFonts w:cs="Arial"/>
          <w:szCs w:val="24"/>
          <w:lang w:eastAsia="fr-CA"/>
        </w:rPr>
        <w:t> </w:t>
      </w:r>
      <w:r w:rsidRPr="00E045C7">
        <w:rPr>
          <w:rFonts w:cs="Arial"/>
          <w:szCs w:val="24"/>
          <w:lang w:eastAsia="fr-CA"/>
        </w:rPr>
        <w:t>conservatrice et raisonnable</w:t>
      </w:r>
      <w:r w:rsidR="00123354">
        <w:rPr>
          <w:rFonts w:cs="Arial"/>
          <w:szCs w:val="24"/>
          <w:lang w:eastAsia="fr-CA"/>
        </w:rPr>
        <w:t> </w:t>
      </w:r>
      <w:r w:rsidRPr="00E045C7">
        <w:rPr>
          <w:rFonts w:cs="Arial"/>
          <w:szCs w:val="24"/>
          <w:lang w:eastAsia="fr-CA"/>
        </w:rPr>
        <w:t>»</w:t>
      </w:r>
      <w:r>
        <w:rPr>
          <w:rStyle w:val="Appelnotedebasdep"/>
          <w:rFonts w:cs="Arial"/>
          <w:szCs w:val="24"/>
          <w:lang w:eastAsia="fr-CA"/>
        </w:rPr>
        <w:footnoteReference w:id="413"/>
      </w:r>
      <w:r w:rsidRPr="00E045C7">
        <w:rPr>
          <w:rFonts w:cs="Arial"/>
          <w:szCs w:val="24"/>
          <w:lang w:eastAsia="fr-CA"/>
        </w:rPr>
        <w:t xml:space="preserve"> pour finalement reconnaître lors de son témoignage qu’il s’agissait d’instructions de la part des avocats des Défendeurs</w:t>
      </w:r>
      <w:r>
        <w:rPr>
          <w:rStyle w:val="Appelnotedebasdep"/>
          <w:rFonts w:cs="Arial"/>
          <w:szCs w:val="24"/>
          <w:lang w:eastAsia="fr-CA"/>
        </w:rPr>
        <w:footnoteReference w:id="414"/>
      </w:r>
      <w:r w:rsidRPr="000760BC">
        <w:rPr>
          <w:rFonts w:cs="Arial"/>
          <w:i/>
          <w:iCs/>
          <w:szCs w:val="24"/>
          <w:lang w:eastAsia="fr-CA"/>
        </w:rPr>
        <w:t>.</w:t>
      </w:r>
      <w:r w:rsidRPr="000760BC">
        <w:rPr>
          <w:rFonts w:cs="Arial"/>
          <w:szCs w:val="24"/>
          <w:lang w:eastAsia="fr-CA"/>
        </w:rPr>
        <w:t xml:space="preserve"> </w:t>
      </w:r>
    </w:p>
    <w:p w14:paraId="3BF4F42D" w14:textId="77777777" w:rsidR="004807A7" w:rsidRPr="000760BC" w:rsidRDefault="00730A01" w:rsidP="0042740E">
      <w:pPr>
        <w:numPr>
          <w:ilvl w:val="0"/>
          <w:numId w:val="35"/>
        </w:numPr>
        <w:spacing w:before="100" w:beforeAutospacing="1" w:after="100" w:afterAutospacing="1"/>
        <w:jc w:val="both"/>
        <w:rPr>
          <w:rFonts w:cs="Arial"/>
          <w:szCs w:val="24"/>
          <w:lang w:eastAsia="fr-CA"/>
        </w:rPr>
      </w:pPr>
      <w:r w:rsidRPr="000760BC">
        <w:rPr>
          <w:rFonts w:cs="Arial"/>
          <w:szCs w:val="24"/>
          <w:lang w:eastAsia="fr-CA"/>
        </w:rPr>
        <w:t>LMD a fait des choix méthodologiques qui sont inexplicables en termes de normes de quantification et qui sont strictement de nature à favoriser la position des Défendeurs</w:t>
      </w:r>
      <w:r>
        <w:rPr>
          <w:rStyle w:val="Appelnotedebasdep"/>
          <w:rFonts w:cs="Arial"/>
          <w:szCs w:val="24"/>
          <w:lang w:eastAsia="fr-CA"/>
        </w:rPr>
        <w:footnoteReference w:id="415"/>
      </w:r>
      <w:r w:rsidRPr="000760BC">
        <w:rPr>
          <w:rFonts w:cs="Arial"/>
          <w:szCs w:val="24"/>
          <w:lang w:eastAsia="fr-CA"/>
        </w:rPr>
        <w:t>.</w:t>
      </w:r>
    </w:p>
    <w:p w14:paraId="3F484328" w14:textId="77777777" w:rsidR="00A13539" w:rsidRDefault="00730A01" w:rsidP="0042740E">
      <w:pPr>
        <w:numPr>
          <w:ilvl w:val="0"/>
          <w:numId w:val="29"/>
        </w:numPr>
        <w:spacing w:before="100" w:beforeAutospacing="1" w:after="100" w:afterAutospacing="1"/>
        <w:jc w:val="both"/>
        <w:rPr>
          <w:rFonts w:cs="Arial"/>
          <w:szCs w:val="24"/>
        </w:rPr>
      </w:pPr>
      <w:r w:rsidRPr="000760BC">
        <w:rPr>
          <w:rFonts w:cs="Arial"/>
          <w:szCs w:val="24"/>
          <w:lang w:eastAsia="fr-CA"/>
        </w:rPr>
        <w:t>M.</w:t>
      </w:r>
      <w:r w:rsidR="00123354">
        <w:rPr>
          <w:rFonts w:cs="Arial"/>
          <w:szCs w:val="24"/>
          <w:lang w:eastAsia="fr-CA"/>
        </w:rPr>
        <w:t> </w:t>
      </w:r>
      <w:r w:rsidRPr="000760BC">
        <w:rPr>
          <w:rFonts w:cs="Arial"/>
          <w:szCs w:val="24"/>
          <w:lang w:eastAsia="fr-CA"/>
        </w:rPr>
        <w:t>David avait déjà agi dans une autre instance pour appuyer une demande en rejet d’expert, tout en ayant nié ce fait avant d’être confronté à la décision judiciaire correspondante</w:t>
      </w:r>
      <w:r>
        <w:rPr>
          <w:rStyle w:val="Appelnotedebasdep"/>
          <w:rFonts w:cs="Arial"/>
          <w:szCs w:val="24"/>
          <w:lang w:eastAsia="fr-CA"/>
        </w:rPr>
        <w:footnoteReference w:id="416"/>
      </w:r>
      <w:r w:rsidR="00E045C7">
        <w:rPr>
          <w:rFonts w:cs="Arial"/>
          <w:szCs w:val="24"/>
          <w:lang w:eastAsia="fr-CA"/>
        </w:rPr>
        <w:t>.</w:t>
      </w:r>
      <w:r w:rsidRPr="000760BC">
        <w:rPr>
          <w:rFonts w:cs="Arial"/>
          <w:szCs w:val="24"/>
        </w:rPr>
        <w:t xml:space="preserve"> </w:t>
      </w:r>
    </w:p>
    <w:p w14:paraId="52452315" w14:textId="77777777" w:rsidR="00A13539" w:rsidRDefault="00730A01" w:rsidP="0098012F">
      <w:pPr>
        <w:rPr>
          <w:rFonts w:cs="Arial"/>
          <w:szCs w:val="24"/>
        </w:rPr>
      </w:pPr>
      <w:r>
        <w:rPr>
          <w:rFonts w:cs="Arial"/>
          <w:szCs w:val="24"/>
        </w:rPr>
        <w:br w:type="page"/>
      </w:r>
    </w:p>
    <w:p w14:paraId="415FB665" w14:textId="77777777" w:rsidR="00B3373F" w:rsidRPr="001D07EF" w:rsidRDefault="00730A01" w:rsidP="00443B59">
      <w:pPr>
        <w:pStyle w:val="Titre7"/>
        <w:numPr>
          <w:ilvl w:val="5"/>
          <w:numId w:val="92"/>
        </w:numPr>
        <w:ind w:left="567" w:hanging="567"/>
        <w:rPr>
          <w:rFonts w:cs="Arial"/>
          <w:b/>
          <w:bCs/>
          <w:sz w:val="24"/>
          <w:szCs w:val="24"/>
          <w:lang w:eastAsia="fr-CA"/>
        </w:rPr>
      </w:pPr>
      <w:r w:rsidRPr="001D07EF">
        <w:rPr>
          <w:rFonts w:cs="Arial"/>
          <w:b/>
          <w:bCs/>
          <w:sz w:val="24"/>
          <w:szCs w:val="24"/>
          <w:lang w:eastAsia="fr-CA"/>
        </w:rPr>
        <w:t>Refus de traiter la preuve pertinente et minimisation des faits</w:t>
      </w:r>
    </w:p>
    <w:p w14:paraId="0FE50B66" w14:textId="77777777" w:rsidR="00B3373F" w:rsidRPr="0065168C" w:rsidRDefault="00730A01" w:rsidP="0098012F">
      <w:pPr>
        <w:pStyle w:val="Paragraphe"/>
        <w:tabs>
          <w:tab w:val="clear" w:pos="786"/>
        </w:tabs>
        <w:spacing w:line="240" w:lineRule="auto"/>
        <w:ind w:left="0"/>
        <w:rPr>
          <w:rFonts w:cs="Arial"/>
          <w:szCs w:val="24"/>
          <w:lang w:eastAsia="fr-CA"/>
        </w:rPr>
      </w:pPr>
      <w:r w:rsidRPr="0065168C">
        <w:rPr>
          <w:rFonts w:cs="Arial"/>
          <w:szCs w:val="24"/>
          <w:lang w:eastAsia="fr-CA"/>
        </w:rPr>
        <w:t>Il appert que LMD a volontairement écarté des éléments probants au bénéfice de leur client, contrevenant ainsi aux obligations d’indépendance de l’expert (art.</w:t>
      </w:r>
      <w:r w:rsidR="00123354">
        <w:rPr>
          <w:rFonts w:cs="Arial"/>
          <w:szCs w:val="24"/>
          <w:lang w:eastAsia="fr-CA"/>
        </w:rPr>
        <w:t> </w:t>
      </w:r>
      <w:r w:rsidRPr="0065168C">
        <w:rPr>
          <w:rFonts w:cs="Arial"/>
          <w:szCs w:val="24"/>
          <w:lang w:eastAsia="fr-CA"/>
        </w:rPr>
        <w:t>235 C.p.c.). Rappelons le principe fondamental prévu au C.p.c. :</w:t>
      </w:r>
    </w:p>
    <w:p w14:paraId="60F2FF33" w14:textId="77777777" w:rsidR="00B3373F" w:rsidRPr="000760BC" w:rsidRDefault="00730A01" w:rsidP="0054413F">
      <w:pPr>
        <w:pStyle w:val="Citationenretrait"/>
        <w:ind w:right="539"/>
        <w:contextualSpacing/>
        <w:rPr>
          <w:lang w:eastAsia="fr-CA"/>
        </w:rPr>
      </w:pPr>
      <w:r w:rsidRPr="00E045C7">
        <w:rPr>
          <w:b/>
          <w:bCs/>
          <w:lang w:eastAsia="fr-CA"/>
        </w:rPr>
        <w:t>Art. 22.</w:t>
      </w:r>
      <w:r w:rsidRPr="00E045C7">
        <w:rPr>
          <w:lang w:eastAsia="fr-CA"/>
        </w:rPr>
        <w:t> </w:t>
      </w:r>
      <w:r w:rsidRPr="000760BC">
        <w:rPr>
          <w:lang w:eastAsia="fr-CA"/>
        </w:rPr>
        <w:t>L’expert dont les services ont été retenus par l’une des parties ou qui leur est commun ou qui est commis par le tribunal a pour mission, qu’il agisse dans une affaire contentieuse ou non contentieuse, d’éclairer le tribunal dans sa prise de décision. Cette mission prime les intérêts des parties.</w:t>
      </w:r>
    </w:p>
    <w:p w14:paraId="65353BBD" w14:textId="77777777" w:rsidR="00B3373F" w:rsidRPr="000760BC" w:rsidRDefault="00730A01" w:rsidP="0054413F">
      <w:pPr>
        <w:pStyle w:val="Citationenretrait"/>
        <w:ind w:right="539"/>
        <w:rPr>
          <w:lang w:eastAsia="fr-CA"/>
        </w:rPr>
      </w:pPr>
      <w:r w:rsidRPr="000760BC">
        <w:rPr>
          <w:lang w:eastAsia="fr-CA"/>
        </w:rPr>
        <w:t>L’expert doit accomplir sa mission avec objectivité, impartialité et rigueur</w:t>
      </w:r>
      <w:r w:rsidR="00123354">
        <w:rPr>
          <w:lang w:eastAsia="fr-CA"/>
        </w:rPr>
        <w:t>.</w:t>
      </w:r>
    </w:p>
    <w:p w14:paraId="4641B74C" w14:textId="77777777" w:rsidR="00E045C7" w:rsidRDefault="00730A01" w:rsidP="0098012F">
      <w:pPr>
        <w:pStyle w:val="Paragraphe"/>
        <w:tabs>
          <w:tab w:val="clear" w:pos="786"/>
        </w:tabs>
        <w:spacing w:line="240" w:lineRule="auto"/>
        <w:ind w:left="0"/>
        <w:rPr>
          <w:rFonts w:cs="Arial"/>
          <w:szCs w:val="24"/>
          <w:lang w:eastAsia="fr-CA"/>
        </w:rPr>
      </w:pPr>
      <w:r w:rsidRPr="000760BC">
        <w:rPr>
          <w:rFonts w:cs="Arial"/>
          <w:szCs w:val="24"/>
          <w:lang w:eastAsia="fr-CA"/>
        </w:rPr>
        <w:t>Non seulement LMD n’a pas cherché à investiguer ces faits, mais en plus, il a écarté la preuve pertinente</w:t>
      </w:r>
      <w:r>
        <w:rPr>
          <w:rStyle w:val="Appelnotedebasdep"/>
          <w:rFonts w:cs="Arial"/>
          <w:szCs w:val="24"/>
          <w:lang w:eastAsia="fr-CA"/>
        </w:rPr>
        <w:footnoteReference w:id="417"/>
      </w:r>
      <w:r>
        <w:rPr>
          <w:rFonts w:cs="Arial"/>
          <w:szCs w:val="24"/>
          <w:lang w:eastAsia="fr-CA"/>
        </w:rPr>
        <w:t xml:space="preserve"> </w:t>
      </w:r>
      <w:r w:rsidRPr="000760BC">
        <w:rPr>
          <w:rFonts w:cs="Arial"/>
          <w:szCs w:val="24"/>
          <w:lang w:eastAsia="fr-CA"/>
        </w:rPr>
        <w:t>au seul bénéfice de son client contrevenant aux obligations de l’expert</w:t>
      </w:r>
      <w:r>
        <w:rPr>
          <w:rStyle w:val="Appelnotedebasdep"/>
          <w:rFonts w:cs="Arial"/>
          <w:szCs w:val="24"/>
          <w:lang w:eastAsia="fr-CA"/>
        </w:rPr>
        <w:footnoteReference w:id="418"/>
      </w:r>
      <w:r w:rsidRPr="000760BC">
        <w:rPr>
          <w:rFonts w:cs="Arial"/>
          <w:szCs w:val="24"/>
          <w:lang w:eastAsia="fr-CA"/>
        </w:rPr>
        <w:t>.</w:t>
      </w:r>
    </w:p>
    <w:p w14:paraId="6221BF31" w14:textId="77777777" w:rsidR="00AB3FAB" w:rsidRDefault="00730A01" w:rsidP="0098012F">
      <w:pPr>
        <w:pStyle w:val="Paragraphe"/>
        <w:tabs>
          <w:tab w:val="clear" w:pos="786"/>
        </w:tabs>
        <w:spacing w:before="100" w:beforeAutospacing="1" w:after="100" w:afterAutospacing="1" w:line="240" w:lineRule="auto"/>
        <w:ind w:left="0"/>
        <w:rPr>
          <w:rFonts w:cs="Arial"/>
          <w:szCs w:val="24"/>
          <w:lang w:eastAsia="fr-CA"/>
        </w:rPr>
      </w:pPr>
      <w:r w:rsidRPr="00AB3FAB">
        <w:rPr>
          <w:rFonts w:cs="Arial"/>
          <w:szCs w:val="24"/>
          <w:lang w:eastAsia="fr-CA"/>
        </w:rPr>
        <w:t>D’ailleurs, au niveau de la quantification des dommages, LMD a choisi de ne pas procéder à la quantification des dommages globaux réclamés par les Demandeurs en prétextant ne pas avoir suffisamment d’information. Or, toutes les évaluations requises étaient au dossier pour permettre de faire une telle évaluation. D’ailleurs, la mise à jour faite par KPMG au niveau de la quantification des dommages démontre que l’évaluation faite initialement était</w:t>
      </w:r>
      <w:r w:rsidRPr="00AB3FAB">
        <w:rPr>
          <w:rFonts w:cs="Arial"/>
          <w:i/>
          <w:iCs/>
          <w:szCs w:val="24"/>
          <w:lang w:eastAsia="fr-CA"/>
        </w:rPr>
        <w:t xml:space="preserve"> particulièrement </w:t>
      </w:r>
      <w:r w:rsidRPr="00AB3FAB">
        <w:rPr>
          <w:rFonts w:cs="Arial"/>
          <w:szCs w:val="24"/>
          <w:lang w:eastAsia="fr-CA"/>
        </w:rPr>
        <w:t>précise alors qu’en bout de piste, KPMG est arrivée à un montant de 300</w:t>
      </w:r>
      <w:r w:rsidR="00AA1032" w:rsidRPr="00AB3FAB">
        <w:rPr>
          <w:rFonts w:cs="Arial"/>
          <w:szCs w:val="24"/>
          <w:lang w:eastAsia="fr-CA"/>
        </w:rPr>
        <w:t> </w:t>
      </w:r>
      <w:r w:rsidRPr="00AB3FAB">
        <w:rPr>
          <w:rFonts w:cs="Arial"/>
          <w:szCs w:val="24"/>
          <w:lang w:eastAsia="fr-CA"/>
        </w:rPr>
        <w:t>000</w:t>
      </w:r>
      <w:r w:rsidR="00AA1032" w:rsidRPr="00AB3FAB">
        <w:rPr>
          <w:rFonts w:cs="Arial"/>
          <w:szCs w:val="24"/>
          <w:lang w:eastAsia="fr-CA"/>
        </w:rPr>
        <w:t> </w:t>
      </w:r>
      <w:r w:rsidRPr="00AB3FAB">
        <w:rPr>
          <w:rFonts w:cs="Arial"/>
          <w:szCs w:val="24"/>
          <w:lang w:eastAsia="fr-CA"/>
        </w:rPr>
        <w:t>$ de différence, soit un écart de 0,5</w:t>
      </w:r>
      <w:r w:rsidR="00AA1032" w:rsidRPr="00AB3FAB">
        <w:rPr>
          <w:rFonts w:cs="Arial"/>
          <w:szCs w:val="24"/>
          <w:lang w:eastAsia="fr-CA"/>
        </w:rPr>
        <w:t> </w:t>
      </w:r>
      <w:r w:rsidRPr="00AB3FAB">
        <w:rPr>
          <w:rFonts w:cs="Arial"/>
          <w:szCs w:val="24"/>
          <w:lang w:eastAsia="fr-CA"/>
        </w:rPr>
        <w:t>%</w:t>
      </w:r>
      <w:r>
        <w:rPr>
          <w:rStyle w:val="Appelnotedebasdep"/>
          <w:rFonts w:cs="Arial"/>
          <w:szCs w:val="24"/>
          <w:lang w:eastAsia="fr-CA"/>
        </w:rPr>
        <w:footnoteReference w:id="419"/>
      </w:r>
      <w:r w:rsidRPr="00AB3FAB">
        <w:rPr>
          <w:rFonts w:cs="Arial"/>
          <w:szCs w:val="24"/>
          <w:lang w:eastAsia="fr-CA"/>
        </w:rPr>
        <w:t>.</w:t>
      </w:r>
    </w:p>
    <w:p w14:paraId="43B099CF" w14:textId="77777777" w:rsidR="00B3373F" w:rsidRPr="00AB3FAB" w:rsidRDefault="00730A01" w:rsidP="0098012F">
      <w:pPr>
        <w:pStyle w:val="Paragraphe"/>
        <w:tabs>
          <w:tab w:val="clear" w:pos="786"/>
        </w:tabs>
        <w:spacing w:before="100" w:beforeAutospacing="1" w:after="100" w:afterAutospacing="1" w:line="240" w:lineRule="auto"/>
        <w:ind w:left="0"/>
        <w:rPr>
          <w:rFonts w:cs="Arial"/>
          <w:szCs w:val="24"/>
          <w:lang w:eastAsia="fr-CA"/>
        </w:rPr>
      </w:pPr>
      <w:r w:rsidRPr="00AB3FAB">
        <w:rPr>
          <w:rFonts w:cs="Arial"/>
          <w:szCs w:val="24"/>
          <w:lang w:eastAsia="fr-CA"/>
        </w:rPr>
        <w:t xml:space="preserve">De plus, lors de leur contre-interrogatoire, Marcil et David ont admis que si certaines hypothèses (non prises en compte dans leur rapport) étaient tenues pour avérées, leurs conclusions sur la régularité des transactions ne pourraient tenir. Par exemple, LMD reconnaît qu’il y aurait </w:t>
      </w:r>
      <w:r w:rsidRPr="00AB3FAB">
        <w:rPr>
          <w:rFonts w:cs="Arial"/>
          <w:b/>
          <w:bCs/>
          <w:szCs w:val="24"/>
          <w:lang w:eastAsia="fr-CA"/>
        </w:rPr>
        <w:t>fraude ou détournement de fonds</w:t>
      </w:r>
      <w:r w:rsidRPr="00AB3FAB">
        <w:rPr>
          <w:rFonts w:cs="Arial"/>
          <w:szCs w:val="24"/>
          <w:lang w:eastAsia="fr-CA"/>
        </w:rPr>
        <w:t xml:space="preserve"> si</w:t>
      </w:r>
      <w:r w:rsidR="00123354">
        <w:rPr>
          <w:rFonts w:cs="Arial"/>
          <w:szCs w:val="24"/>
          <w:lang w:eastAsia="fr-CA"/>
        </w:rPr>
        <w:t> </w:t>
      </w:r>
      <w:r w:rsidRPr="00AB3FAB">
        <w:rPr>
          <w:rFonts w:cs="Arial"/>
          <w:szCs w:val="24"/>
          <w:lang w:eastAsia="fr-CA"/>
        </w:rPr>
        <w:t>:</w:t>
      </w:r>
    </w:p>
    <w:p w14:paraId="69098053" w14:textId="77777777" w:rsidR="00DB1947" w:rsidRPr="0054413F" w:rsidRDefault="00730A01" w:rsidP="0042740E">
      <w:pPr>
        <w:numPr>
          <w:ilvl w:val="0"/>
          <w:numId w:val="31"/>
        </w:numPr>
        <w:spacing w:after="120"/>
        <w:ind w:left="714" w:right="539" w:hanging="357"/>
        <w:jc w:val="both"/>
        <w:rPr>
          <w:rFonts w:cs="Arial"/>
          <w:sz w:val="22"/>
          <w:szCs w:val="22"/>
          <w:lang w:eastAsia="fr-CA"/>
        </w:rPr>
      </w:pPr>
      <w:r w:rsidRPr="0054413F">
        <w:rPr>
          <w:rFonts w:cs="Arial"/>
          <w:sz w:val="22"/>
          <w:szCs w:val="22"/>
          <w:lang w:eastAsia="fr-CA"/>
        </w:rPr>
        <w:t>les commanditaires n’avaient pas été informés que leur argent servait à payer leurs propres rendements ou les dettes de Huot</w:t>
      </w:r>
      <w:r>
        <w:rPr>
          <w:rStyle w:val="Appelnotedebasdep"/>
          <w:rFonts w:cs="Arial"/>
          <w:sz w:val="22"/>
          <w:szCs w:val="22"/>
          <w:lang w:eastAsia="fr-CA"/>
        </w:rPr>
        <w:footnoteReference w:id="420"/>
      </w:r>
      <w:r w:rsidR="00AB3FAB" w:rsidRPr="0054413F">
        <w:rPr>
          <w:rFonts w:cs="Arial"/>
          <w:sz w:val="22"/>
          <w:szCs w:val="22"/>
          <w:lang w:eastAsia="fr-CA"/>
        </w:rPr>
        <w:t>;</w:t>
      </w:r>
    </w:p>
    <w:p w14:paraId="2C8CE019" w14:textId="77777777" w:rsidR="00DB1947" w:rsidRPr="0054413F" w:rsidRDefault="00730A01" w:rsidP="0042740E">
      <w:pPr>
        <w:numPr>
          <w:ilvl w:val="0"/>
          <w:numId w:val="31"/>
        </w:numPr>
        <w:spacing w:after="120"/>
        <w:ind w:left="714" w:right="539" w:hanging="357"/>
        <w:jc w:val="both"/>
        <w:rPr>
          <w:rFonts w:cs="Arial"/>
          <w:sz w:val="22"/>
          <w:szCs w:val="22"/>
          <w:lang w:eastAsia="fr-CA"/>
        </w:rPr>
      </w:pPr>
      <w:r w:rsidRPr="0054413F">
        <w:rPr>
          <w:rFonts w:cs="Arial"/>
          <w:sz w:val="22"/>
          <w:szCs w:val="22"/>
          <w:lang w:eastAsia="fr-CA"/>
        </w:rPr>
        <w:t>ils ignoraient les déficits mensuels de Huot (800</w:t>
      </w:r>
      <w:r w:rsidR="00AB3FAB" w:rsidRPr="0054413F">
        <w:rPr>
          <w:rFonts w:cs="Arial"/>
          <w:sz w:val="22"/>
          <w:szCs w:val="22"/>
          <w:lang w:eastAsia="fr-CA"/>
        </w:rPr>
        <w:t> </w:t>
      </w:r>
      <w:r w:rsidRPr="0054413F">
        <w:rPr>
          <w:rFonts w:cs="Arial"/>
          <w:sz w:val="22"/>
          <w:szCs w:val="22"/>
          <w:lang w:eastAsia="fr-CA"/>
        </w:rPr>
        <w:t>000</w:t>
      </w:r>
      <w:r w:rsidR="00AB3FAB" w:rsidRPr="0054413F">
        <w:rPr>
          <w:rFonts w:cs="Arial"/>
          <w:sz w:val="22"/>
          <w:szCs w:val="22"/>
          <w:lang w:eastAsia="fr-CA"/>
        </w:rPr>
        <w:t> </w:t>
      </w:r>
      <w:r w:rsidRPr="0054413F">
        <w:rPr>
          <w:rFonts w:cs="Arial"/>
          <w:sz w:val="22"/>
          <w:szCs w:val="22"/>
          <w:lang w:eastAsia="fr-CA"/>
        </w:rPr>
        <w:t>$ à 1</w:t>
      </w:r>
      <w:r w:rsidR="00AB3FAB" w:rsidRPr="0054413F">
        <w:rPr>
          <w:rFonts w:cs="Arial"/>
          <w:sz w:val="22"/>
          <w:szCs w:val="22"/>
          <w:lang w:eastAsia="fr-CA"/>
        </w:rPr>
        <w:t> </w:t>
      </w:r>
      <w:r w:rsidRPr="0054413F">
        <w:rPr>
          <w:rFonts w:cs="Arial"/>
          <w:sz w:val="22"/>
          <w:szCs w:val="22"/>
          <w:lang w:eastAsia="fr-CA"/>
        </w:rPr>
        <w:t>M$ par mois)</w:t>
      </w:r>
      <w:r>
        <w:rPr>
          <w:rStyle w:val="Appelnotedebasdep"/>
          <w:rFonts w:cs="Arial"/>
          <w:sz w:val="22"/>
          <w:szCs w:val="22"/>
          <w:lang w:eastAsia="fr-CA"/>
        </w:rPr>
        <w:footnoteReference w:id="421"/>
      </w:r>
      <w:r w:rsidR="00AB3FAB" w:rsidRPr="0054413F">
        <w:rPr>
          <w:rFonts w:cs="Arial"/>
          <w:sz w:val="22"/>
          <w:szCs w:val="22"/>
          <w:lang w:eastAsia="fr-CA"/>
        </w:rPr>
        <w:t>;</w:t>
      </w:r>
    </w:p>
    <w:p w14:paraId="337DE0CC" w14:textId="77777777" w:rsidR="0065168C" w:rsidRDefault="00730A01" w:rsidP="0042740E">
      <w:pPr>
        <w:numPr>
          <w:ilvl w:val="0"/>
          <w:numId w:val="31"/>
        </w:numPr>
        <w:spacing w:after="120"/>
        <w:ind w:left="714" w:right="539" w:hanging="357"/>
        <w:jc w:val="both"/>
        <w:rPr>
          <w:rFonts w:cs="Arial"/>
          <w:szCs w:val="24"/>
          <w:lang w:eastAsia="fr-CA"/>
        </w:rPr>
      </w:pPr>
      <w:r w:rsidRPr="0054413F">
        <w:rPr>
          <w:rFonts w:cs="Arial"/>
          <w:sz w:val="22"/>
          <w:szCs w:val="22"/>
          <w:lang w:eastAsia="fr-CA"/>
        </w:rPr>
        <w:t>les défauts de paiement des intérêts avaient été cachés</w:t>
      </w:r>
      <w:r>
        <w:rPr>
          <w:rStyle w:val="Appelnotedebasdep"/>
          <w:rFonts w:cs="Arial"/>
          <w:sz w:val="22"/>
          <w:szCs w:val="22"/>
          <w:lang w:eastAsia="fr-CA"/>
        </w:rPr>
        <w:footnoteReference w:id="422"/>
      </w:r>
      <w:r w:rsidRPr="00DB1947">
        <w:rPr>
          <w:rFonts w:cs="Arial"/>
          <w:szCs w:val="24"/>
          <w:lang w:eastAsia="fr-CA"/>
        </w:rPr>
        <w:t>.</w:t>
      </w:r>
    </w:p>
    <w:p w14:paraId="7F25B10C" w14:textId="77777777" w:rsidR="0065168C" w:rsidRDefault="00730A01" w:rsidP="0098012F">
      <w:pPr>
        <w:rPr>
          <w:rFonts w:cs="Arial"/>
          <w:szCs w:val="24"/>
          <w:lang w:eastAsia="fr-CA"/>
        </w:rPr>
      </w:pPr>
      <w:r>
        <w:rPr>
          <w:rFonts w:cs="Arial"/>
          <w:szCs w:val="24"/>
          <w:lang w:eastAsia="fr-CA"/>
        </w:rPr>
        <w:br w:type="page"/>
      </w:r>
    </w:p>
    <w:p w14:paraId="64060960" w14:textId="77777777" w:rsidR="00B3373F" w:rsidRPr="00CB46A7" w:rsidRDefault="00730A01" w:rsidP="00443B59">
      <w:pPr>
        <w:pStyle w:val="Titre7"/>
        <w:numPr>
          <w:ilvl w:val="5"/>
          <w:numId w:val="92"/>
        </w:numPr>
        <w:ind w:left="567" w:hanging="567"/>
        <w:rPr>
          <w:rFonts w:cs="Arial"/>
          <w:b/>
          <w:bCs/>
          <w:sz w:val="24"/>
          <w:szCs w:val="24"/>
          <w:lang w:eastAsia="fr-CA"/>
        </w:rPr>
      </w:pPr>
      <w:r w:rsidRPr="00CB46A7">
        <w:rPr>
          <w:rFonts w:cs="Arial"/>
          <w:b/>
          <w:bCs/>
          <w:sz w:val="24"/>
          <w:szCs w:val="24"/>
          <w:lang w:eastAsia="fr-CA"/>
        </w:rPr>
        <w:t>L’attitude au procès</w:t>
      </w:r>
      <w:r w:rsidR="00123354">
        <w:rPr>
          <w:rFonts w:cs="Arial"/>
          <w:b/>
          <w:bCs/>
          <w:sz w:val="24"/>
          <w:szCs w:val="24"/>
          <w:lang w:eastAsia="fr-CA"/>
        </w:rPr>
        <w:t> </w:t>
      </w:r>
      <w:r w:rsidRPr="00CB46A7">
        <w:rPr>
          <w:rFonts w:cs="Arial"/>
          <w:b/>
          <w:bCs/>
          <w:sz w:val="24"/>
          <w:szCs w:val="24"/>
          <w:lang w:eastAsia="fr-CA"/>
        </w:rPr>
        <w:t>: réticences et contradictions</w:t>
      </w:r>
    </w:p>
    <w:p w14:paraId="56A296FE" w14:textId="77777777" w:rsidR="00B3373F" w:rsidRPr="00AB3FAB" w:rsidRDefault="00730A01" w:rsidP="0098012F">
      <w:pPr>
        <w:pStyle w:val="Paragraphe"/>
        <w:tabs>
          <w:tab w:val="clear" w:pos="786"/>
        </w:tabs>
        <w:spacing w:before="100" w:beforeAutospacing="1" w:after="100" w:afterAutospacing="1" w:line="240" w:lineRule="auto"/>
        <w:ind w:left="0"/>
        <w:rPr>
          <w:rFonts w:cs="Arial"/>
          <w:szCs w:val="24"/>
          <w:lang w:eastAsia="fr-CA"/>
        </w:rPr>
      </w:pPr>
      <w:r w:rsidRPr="000760BC">
        <w:rPr>
          <w:rFonts w:cs="Arial"/>
          <w:szCs w:val="24"/>
          <w:lang w:eastAsia="fr-CA"/>
        </w:rPr>
        <w:t xml:space="preserve">Les Demandeurs reprochent aux experts LMD d’avoir adopté une attitude </w:t>
      </w:r>
      <w:r w:rsidRPr="00AB3FAB">
        <w:rPr>
          <w:rFonts w:cs="Arial"/>
          <w:szCs w:val="24"/>
          <w:lang w:eastAsia="fr-CA"/>
        </w:rPr>
        <w:t>d’évitement ou de minimisation</w:t>
      </w:r>
      <w:r w:rsidR="00123354">
        <w:rPr>
          <w:rFonts w:cs="Arial"/>
          <w:szCs w:val="24"/>
          <w:lang w:eastAsia="fr-CA"/>
        </w:rPr>
        <w:t> </w:t>
      </w:r>
      <w:r w:rsidRPr="00AB3FAB">
        <w:rPr>
          <w:rFonts w:cs="Arial"/>
          <w:szCs w:val="24"/>
          <w:lang w:eastAsia="fr-CA"/>
        </w:rPr>
        <w:t>:</w:t>
      </w:r>
    </w:p>
    <w:p w14:paraId="3687766D" w14:textId="77777777" w:rsidR="00B3373F" w:rsidRPr="0054413F" w:rsidRDefault="00730A01" w:rsidP="0042740E">
      <w:pPr>
        <w:numPr>
          <w:ilvl w:val="0"/>
          <w:numId w:val="30"/>
        </w:numPr>
        <w:spacing w:before="100" w:beforeAutospacing="1" w:after="100" w:afterAutospacing="1"/>
        <w:ind w:right="539"/>
        <w:jc w:val="both"/>
        <w:rPr>
          <w:rFonts w:cs="Arial"/>
          <w:sz w:val="22"/>
          <w:szCs w:val="22"/>
          <w:lang w:eastAsia="fr-CA"/>
        </w:rPr>
      </w:pPr>
      <w:r w:rsidRPr="0054413F">
        <w:rPr>
          <w:rFonts w:cs="Arial"/>
          <w:b/>
          <w:bCs/>
          <w:sz w:val="22"/>
          <w:szCs w:val="22"/>
          <w:lang w:eastAsia="fr-CA"/>
        </w:rPr>
        <w:t>Réticences à répondre</w:t>
      </w:r>
      <w:r w:rsidR="00123354">
        <w:rPr>
          <w:rFonts w:cs="Arial"/>
          <w:sz w:val="22"/>
          <w:szCs w:val="22"/>
          <w:lang w:eastAsia="fr-CA"/>
        </w:rPr>
        <w:t> </w:t>
      </w:r>
      <w:r w:rsidRPr="0054413F">
        <w:rPr>
          <w:rFonts w:cs="Arial"/>
          <w:sz w:val="22"/>
          <w:szCs w:val="22"/>
          <w:lang w:eastAsia="fr-CA"/>
        </w:rPr>
        <w:t xml:space="preserve">: Marcil et David se sont montrés évasifs ou ont refusé de répondre à des questions centrales (fraude, </w:t>
      </w:r>
      <w:r w:rsidR="0054413F" w:rsidRPr="0054413F">
        <w:rPr>
          <w:rFonts w:cs="Arial"/>
          <w:sz w:val="22"/>
          <w:szCs w:val="22"/>
          <w:lang w:eastAsia="fr-CA"/>
        </w:rPr>
        <w:t>prêts à des taux usuraires</w:t>
      </w:r>
      <w:r w:rsidRPr="0054413F">
        <w:rPr>
          <w:rFonts w:cs="Arial"/>
          <w:sz w:val="22"/>
          <w:szCs w:val="22"/>
          <w:lang w:eastAsia="fr-CA"/>
        </w:rPr>
        <w:t>, Ponzi), obligeant parfois le Tribunal à intervenir</w:t>
      </w:r>
      <w:r>
        <w:rPr>
          <w:rStyle w:val="Appelnotedebasdep"/>
          <w:rFonts w:cs="Arial"/>
          <w:sz w:val="22"/>
          <w:szCs w:val="22"/>
          <w:lang w:eastAsia="fr-CA"/>
        </w:rPr>
        <w:footnoteReference w:id="423"/>
      </w:r>
      <w:r w:rsidR="00123354">
        <w:rPr>
          <w:rFonts w:cs="Arial"/>
          <w:sz w:val="22"/>
          <w:szCs w:val="22"/>
          <w:lang w:eastAsia="fr-CA"/>
        </w:rPr>
        <w:t>.</w:t>
      </w:r>
    </w:p>
    <w:p w14:paraId="05D6F982" w14:textId="77777777" w:rsidR="00B3373F" w:rsidRPr="0054413F" w:rsidRDefault="00730A01" w:rsidP="0042740E">
      <w:pPr>
        <w:numPr>
          <w:ilvl w:val="0"/>
          <w:numId w:val="30"/>
        </w:numPr>
        <w:spacing w:before="100" w:beforeAutospacing="1" w:after="100" w:afterAutospacing="1"/>
        <w:ind w:right="539"/>
        <w:jc w:val="both"/>
        <w:rPr>
          <w:rFonts w:cs="Arial"/>
          <w:sz w:val="22"/>
          <w:szCs w:val="22"/>
          <w:lang w:eastAsia="fr-CA"/>
        </w:rPr>
      </w:pPr>
      <w:r w:rsidRPr="0054413F">
        <w:rPr>
          <w:rFonts w:cs="Arial"/>
          <w:b/>
          <w:bCs/>
          <w:sz w:val="22"/>
          <w:szCs w:val="22"/>
          <w:lang w:eastAsia="fr-CA"/>
        </w:rPr>
        <w:t>Volte-face</w:t>
      </w:r>
      <w:r w:rsidR="00123354">
        <w:rPr>
          <w:rFonts w:cs="Arial"/>
          <w:sz w:val="22"/>
          <w:szCs w:val="22"/>
          <w:lang w:eastAsia="fr-CA"/>
        </w:rPr>
        <w:t> </w:t>
      </w:r>
      <w:r w:rsidRPr="0054413F">
        <w:rPr>
          <w:rFonts w:cs="Arial"/>
          <w:sz w:val="22"/>
          <w:szCs w:val="22"/>
          <w:lang w:eastAsia="fr-CA"/>
        </w:rPr>
        <w:t>: Marcil a d’abord soutenu que la fraude devait se limiter à un détournement de fonds sans activité économique, avant de reconnaître que la tromperie et les montages de type Ponzi constituent également des fraudes</w:t>
      </w:r>
      <w:r>
        <w:rPr>
          <w:rStyle w:val="Appelnotedebasdep"/>
          <w:rFonts w:cs="Arial"/>
          <w:sz w:val="22"/>
          <w:szCs w:val="22"/>
          <w:lang w:eastAsia="fr-CA"/>
        </w:rPr>
        <w:footnoteReference w:id="424"/>
      </w:r>
      <w:r w:rsidR="00123354">
        <w:rPr>
          <w:rFonts w:cs="Arial"/>
          <w:sz w:val="22"/>
          <w:szCs w:val="22"/>
          <w:lang w:eastAsia="fr-CA"/>
        </w:rPr>
        <w:t>.</w:t>
      </w:r>
    </w:p>
    <w:p w14:paraId="232EB5C3" w14:textId="77777777" w:rsidR="00B3373F" w:rsidRPr="0054413F" w:rsidRDefault="00730A01" w:rsidP="0042740E">
      <w:pPr>
        <w:numPr>
          <w:ilvl w:val="0"/>
          <w:numId w:val="30"/>
        </w:numPr>
        <w:spacing w:before="100" w:beforeAutospacing="1" w:after="100" w:afterAutospacing="1"/>
        <w:ind w:right="539"/>
        <w:jc w:val="both"/>
        <w:rPr>
          <w:rFonts w:cs="Arial"/>
          <w:sz w:val="22"/>
          <w:szCs w:val="22"/>
          <w:lang w:eastAsia="fr-CA"/>
        </w:rPr>
      </w:pPr>
      <w:r w:rsidRPr="0054413F">
        <w:rPr>
          <w:rFonts w:cs="Arial"/>
          <w:b/>
          <w:bCs/>
          <w:sz w:val="22"/>
          <w:szCs w:val="22"/>
          <w:lang w:eastAsia="fr-CA"/>
        </w:rPr>
        <w:t>Épouser la thèse des Défendeurs</w:t>
      </w:r>
      <w:r w:rsidR="00123354">
        <w:rPr>
          <w:rFonts w:cs="Arial"/>
          <w:sz w:val="22"/>
          <w:szCs w:val="22"/>
          <w:lang w:eastAsia="fr-CA"/>
        </w:rPr>
        <w:t> </w:t>
      </w:r>
      <w:r w:rsidRPr="0054413F">
        <w:rPr>
          <w:rFonts w:cs="Arial"/>
          <w:sz w:val="22"/>
          <w:szCs w:val="22"/>
          <w:lang w:eastAsia="fr-CA"/>
        </w:rPr>
        <w:t>: LMD a justifié, par exemple, les prêts usuraires consentis par Giroux en les présentant comme «</w:t>
      </w:r>
      <w:r w:rsidR="00DB1947" w:rsidRPr="0054413F">
        <w:rPr>
          <w:rFonts w:cs="Arial"/>
          <w:sz w:val="22"/>
          <w:szCs w:val="22"/>
          <w:lang w:eastAsia="fr-CA"/>
        </w:rPr>
        <w:t> </w:t>
      </w:r>
      <w:r w:rsidRPr="0054413F">
        <w:rPr>
          <w:rFonts w:cs="Arial"/>
          <w:sz w:val="22"/>
          <w:szCs w:val="22"/>
          <w:lang w:eastAsia="fr-CA"/>
        </w:rPr>
        <w:t>les modalités du marché</w:t>
      </w:r>
      <w:r w:rsidR="00DB1947" w:rsidRPr="0054413F">
        <w:rPr>
          <w:rFonts w:cs="Arial"/>
          <w:sz w:val="22"/>
          <w:szCs w:val="22"/>
          <w:lang w:eastAsia="fr-CA"/>
        </w:rPr>
        <w:t> </w:t>
      </w:r>
      <w:r w:rsidRPr="0054413F">
        <w:rPr>
          <w:rFonts w:cs="Arial"/>
          <w:sz w:val="22"/>
          <w:szCs w:val="22"/>
          <w:lang w:eastAsia="fr-CA"/>
        </w:rPr>
        <w:t>»</w:t>
      </w:r>
      <w:r w:rsidR="00DB1947" w:rsidRPr="0054413F">
        <w:rPr>
          <w:rStyle w:val="Appelnotedebasdep"/>
          <w:rFonts w:cs="Arial"/>
          <w:sz w:val="22"/>
          <w:szCs w:val="22"/>
          <w:lang w:eastAsia="fr-CA"/>
        </w:rPr>
        <w:t xml:space="preserve"> </w:t>
      </w:r>
      <w:r>
        <w:rPr>
          <w:rStyle w:val="Appelnotedebasdep"/>
          <w:rFonts w:cs="Arial"/>
          <w:sz w:val="22"/>
          <w:szCs w:val="22"/>
          <w:lang w:eastAsia="fr-CA"/>
        </w:rPr>
        <w:footnoteReference w:id="425"/>
      </w:r>
      <w:r w:rsidR="00123354">
        <w:rPr>
          <w:rFonts w:cs="Arial"/>
          <w:sz w:val="22"/>
          <w:szCs w:val="22"/>
          <w:lang w:eastAsia="fr-CA"/>
        </w:rPr>
        <w:t>.</w:t>
      </w:r>
    </w:p>
    <w:p w14:paraId="51FFC2E5" w14:textId="77777777" w:rsidR="00B3373F" w:rsidRPr="00CB46A7" w:rsidRDefault="00730A01" w:rsidP="00443B59">
      <w:pPr>
        <w:pStyle w:val="Titre7"/>
        <w:numPr>
          <w:ilvl w:val="5"/>
          <w:numId w:val="92"/>
        </w:numPr>
        <w:ind w:left="567" w:hanging="567"/>
        <w:rPr>
          <w:rFonts w:cs="Arial"/>
          <w:b/>
          <w:bCs/>
          <w:sz w:val="24"/>
          <w:szCs w:val="24"/>
          <w:lang w:eastAsia="fr-CA"/>
        </w:rPr>
      </w:pPr>
      <w:r w:rsidRPr="00CB46A7">
        <w:rPr>
          <w:rFonts w:cs="Arial"/>
          <w:b/>
          <w:bCs/>
          <w:sz w:val="24"/>
          <w:szCs w:val="24"/>
          <w:lang w:eastAsia="fr-CA"/>
        </w:rPr>
        <w:t>La présentation de tableaux et graphiques trompeurs</w:t>
      </w:r>
    </w:p>
    <w:p w14:paraId="5BE4A8DA" w14:textId="77777777" w:rsidR="00B3373F" w:rsidRPr="00DB1947" w:rsidRDefault="00730A01" w:rsidP="0098012F">
      <w:pPr>
        <w:pStyle w:val="Paragraphe"/>
        <w:tabs>
          <w:tab w:val="clear" w:pos="786"/>
        </w:tabs>
        <w:spacing w:before="100" w:beforeAutospacing="1" w:after="100" w:afterAutospacing="1" w:line="240" w:lineRule="auto"/>
        <w:ind w:left="0"/>
        <w:rPr>
          <w:rFonts w:cs="Arial"/>
          <w:szCs w:val="24"/>
          <w:lang w:eastAsia="fr-CA"/>
        </w:rPr>
      </w:pPr>
      <w:r w:rsidRPr="000760BC">
        <w:rPr>
          <w:rFonts w:cs="Arial"/>
          <w:szCs w:val="24"/>
          <w:lang w:eastAsia="fr-CA"/>
        </w:rPr>
        <w:t xml:space="preserve">Les Demandeurs dénoncent que LMD a présenté devant le Tribunal des graphiques </w:t>
      </w:r>
      <w:r w:rsidRPr="00DB1947">
        <w:rPr>
          <w:rFonts w:cs="Arial"/>
          <w:szCs w:val="24"/>
          <w:lang w:eastAsia="fr-CA"/>
        </w:rPr>
        <w:t>contenant des erreurs importantes</w:t>
      </w:r>
      <w:r w:rsidR="00123354">
        <w:rPr>
          <w:rFonts w:cs="Arial"/>
          <w:szCs w:val="24"/>
          <w:lang w:eastAsia="fr-CA"/>
        </w:rPr>
        <w:t> </w:t>
      </w:r>
      <w:r w:rsidRPr="00DB1947">
        <w:rPr>
          <w:rFonts w:cs="Arial"/>
          <w:szCs w:val="24"/>
          <w:lang w:eastAsia="fr-CA"/>
        </w:rPr>
        <w:t>:</w:t>
      </w:r>
    </w:p>
    <w:p w14:paraId="6E2E8EFB" w14:textId="77777777" w:rsidR="00B3373F" w:rsidRPr="0054413F" w:rsidRDefault="00730A01" w:rsidP="0042740E">
      <w:pPr>
        <w:numPr>
          <w:ilvl w:val="0"/>
          <w:numId w:val="31"/>
        </w:numPr>
        <w:spacing w:before="100" w:beforeAutospacing="1" w:after="120"/>
        <w:ind w:left="714" w:right="539" w:hanging="357"/>
        <w:jc w:val="both"/>
        <w:rPr>
          <w:rFonts w:cs="Arial"/>
          <w:sz w:val="22"/>
          <w:szCs w:val="22"/>
          <w:lang w:eastAsia="fr-CA"/>
        </w:rPr>
      </w:pPr>
      <w:r w:rsidRPr="0054413F">
        <w:rPr>
          <w:rFonts w:cs="Arial"/>
          <w:sz w:val="22"/>
          <w:szCs w:val="22"/>
          <w:lang w:eastAsia="fr-CA"/>
        </w:rPr>
        <w:t>Exemple</w:t>
      </w:r>
      <w:r w:rsidR="00123354">
        <w:rPr>
          <w:rFonts w:cs="Arial"/>
          <w:sz w:val="22"/>
          <w:szCs w:val="22"/>
          <w:lang w:eastAsia="fr-CA"/>
        </w:rPr>
        <w:t> </w:t>
      </w:r>
      <w:r w:rsidRPr="0054413F">
        <w:rPr>
          <w:rFonts w:cs="Arial"/>
          <w:sz w:val="22"/>
          <w:szCs w:val="22"/>
          <w:lang w:eastAsia="fr-CA"/>
        </w:rPr>
        <w:t>: un schéma de l’évolution du prêt FIISH situait l’équité du Groupe Huot à</w:t>
      </w:r>
      <w:r w:rsidR="00123354">
        <w:rPr>
          <w:rFonts w:cs="Arial"/>
          <w:sz w:val="22"/>
          <w:szCs w:val="22"/>
          <w:lang w:eastAsia="fr-CA"/>
        </w:rPr>
        <w:t> </w:t>
      </w:r>
      <w:r w:rsidRPr="0054413F">
        <w:rPr>
          <w:rFonts w:cs="Arial"/>
          <w:sz w:val="22"/>
          <w:szCs w:val="22"/>
          <w:lang w:eastAsia="fr-CA"/>
        </w:rPr>
        <w:t>350</w:t>
      </w:r>
      <w:r w:rsidR="00DB1947" w:rsidRPr="0054413F">
        <w:rPr>
          <w:rFonts w:cs="Arial"/>
          <w:sz w:val="22"/>
          <w:szCs w:val="22"/>
          <w:lang w:eastAsia="fr-CA"/>
        </w:rPr>
        <w:t> </w:t>
      </w:r>
      <w:r w:rsidRPr="0054413F">
        <w:rPr>
          <w:rFonts w:cs="Arial"/>
          <w:sz w:val="22"/>
          <w:szCs w:val="22"/>
          <w:lang w:eastAsia="fr-CA"/>
        </w:rPr>
        <w:t>M$ au 31</w:t>
      </w:r>
      <w:r w:rsidR="00123354">
        <w:rPr>
          <w:rFonts w:cs="Arial"/>
          <w:sz w:val="22"/>
          <w:szCs w:val="22"/>
          <w:lang w:eastAsia="fr-CA"/>
        </w:rPr>
        <w:t> </w:t>
      </w:r>
      <w:r w:rsidRPr="0054413F">
        <w:rPr>
          <w:rFonts w:cs="Arial"/>
          <w:sz w:val="22"/>
          <w:szCs w:val="22"/>
          <w:lang w:eastAsia="fr-CA"/>
        </w:rPr>
        <w:t>décembre</w:t>
      </w:r>
      <w:r w:rsidR="00123354">
        <w:rPr>
          <w:rFonts w:cs="Arial"/>
          <w:sz w:val="22"/>
          <w:szCs w:val="22"/>
          <w:lang w:eastAsia="fr-CA"/>
        </w:rPr>
        <w:t> </w:t>
      </w:r>
      <w:r w:rsidRPr="0054413F">
        <w:rPr>
          <w:rFonts w:cs="Arial"/>
          <w:sz w:val="22"/>
          <w:szCs w:val="22"/>
          <w:lang w:eastAsia="fr-CA"/>
        </w:rPr>
        <w:t>2022, alors qu’elle n’était que de 250</w:t>
      </w:r>
      <w:r w:rsidR="00DB1947" w:rsidRPr="0054413F">
        <w:rPr>
          <w:rFonts w:cs="Arial"/>
          <w:sz w:val="22"/>
          <w:szCs w:val="22"/>
          <w:lang w:eastAsia="fr-CA"/>
        </w:rPr>
        <w:t> </w:t>
      </w:r>
      <w:r w:rsidRPr="0054413F">
        <w:rPr>
          <w:rFonts w:cs="Arial"/>
          <w:sz w:val="22"/>
          <w:szCs w:val="22"/>
          <w:lang w:eastAsia="fr-CA"/>
        </w:rPr>
        <w:t>M$</w:t>
      </w:r>
      <w:r>
        <w:rPr>
          <w:rStyle w:val="Appelnotedebasdep"/>
          <w:rFonts w:cs="Arial"/>
          <w:sz w:val="22"/>
          <w:szCs w:val="22"/>
          <w:lang w:eastAsia="fr-CA"/>
        </w:rPr>
        <w:footnoteReference w:id="426"/>
      </w:r>
      <w:r w:rsidR="00123354">
        <w:rPr>
          <w:rFonts w:cs="Arial"/>
          <w:sz w:val="22"/>
          <w:szCs w:val="22"/>
          <w:lang w:eastAsia="fr-CA"/>
        </w:rPr>
        <w:t>.</w:t>
      </w:r>
    </w:p>
    <w:p w14:paraId="0B302095" w14:textId="77777777" w:rsidR="00B3373F" w:rsidRPr="0054413F" w:rsidRDefault="00730A01" w:rsidP="0042740E">
      <w:pPr>
        <w:numPr>
          <w:ilvl w:val="0"/>
          <w:numId w:val="31"/>
        </w:numPr>
        <w:spacing w:after="100" w:afterAutospacing="1"/>
        <w:ind w:left="714" w:right="539" w:hanging="357"/>
        <w:jc w:val="both"/>
        <w:rPr>
          <w:rFonts w:cs="Arial"/>
          <w:sz w:val="22"/>
          <w:szCs w:val="22"/>
          <w:lang w:eastAsia="fr-CA"/>
        </w:rPr>
      </w:pPr>
      <w:r w:rsidRPr="0054413F">
        <w:rPr>
          <w:rFonts w:cs="Arial"/>
          <w:sz w:val="22"/>
          <w:szCs w:val="22"/>
          <w:lang w:eastAsia="fr-CA"/>
        </w:rPr>
        <w:t>Dans un autre cas, des prêts erronés ou ajoutés manuellement (14</w:t>
      </w:r>
      <w:r w:rsidR="00DB1947" w:rsidRPr="0054413F">
        <w:rPr>
          <w:rFonts w:cs="Arial"/>
          <w:sz w:val="22"/>
          <w:szCs w:val="22"/>
          <w:lang w:eastAsia="fr-CA"/>
        </w:rPr>
        <w:t> </w:t>
      </w:r>
      <w:r w:rsidRPr="0054413F">
        <w:rPr>
          <w:rFonts w:cs="Arial"/>
          <w:sz w:val="22"/>
          <w:szCs w:val="22"/>
          <w:lang w:eastAsia="fr-CA"/>
        </w:rPr>
        <w:t>M$) ont été inclus dans un tableau censé provenir du logiciel Kyriba</w:t>
      </w:r>
      <w:r w:rsidR="008925D2" w:rsidRPr="0054413F">
        <w:rPr>
          <w:rFonts w:cs="Arial"/>
          <w:sz w:val="22"/>
          <w:szCs w:val="22"/>
          <w:lang w:eastAsia="fr-CA"/>
        </w:rPr>
        <w:t>, provenant du disque dur du Groupe Huot</w:t>
      </w:r>
      <w:r>
        <w:rPr>
          <w:rStyle w:val="Appelnotedebasdep"/>
          <w:rFonts w:cs="Arial"/>
          <w:sz w:val="22"/>
          <w:szCs w:val="22"/>
          <w:lang w:eastAsia="fr-CA"/>
        </w:rPr>
        <w:footnoteReference w:id="427"/>
      </w:r>
      <w:r w:rsidR="00123354">
        <w:rPr>
          <w:rFonts w:cs="Arial"/>
          <w:sz w:val="22"/>
          <w:szCs w:val="22"/>
          <w:lang w:eastAsia="fr-CA"/>
        </w:rPr>
        <w:t>.</w:t>
      </w:r>
    </w:p>
    <w:p w14:paraId="505EAF19" w14:textId="77777777" w:rsidR="00B3373F" w:rsidRPr="00CB46A7" w:rsidRDefault="00730A01" w:rsidP="00443B59">
      <w:pPr>
        <w:pStyle w:val="Titre7"/>
        <w:numPr>
          <w:ilvl w:val="5"/>
          <w:numId w:val="92"/>
        </w:numPr>
        <w:ind w:left="567" w:hanging="567"/>
        <w:rPr>
          <w:rFonts w:cs="Arial"/>
          <w:b/>
          <w:bCs/>
          <w:sz w:val="24"/>
          <w:szCs w:val="24"/>
          <w:lang w:eastAsia="fr-CA"/>
        </w:rPr>
      </w:pPr>
      <w:r w:rsidRPr="00CB46A7">
        <w:rPr>
          <w:rFonts w:cs="Arial"/>
          <w:b/>
          <w:bCs/>
          <w:sz w:val="24"/>
          <w:szCs w:val="24"/>
          <w:lang w:eastAsia="fr-CA"/>
        </w:rPr>
        <w:t>La réputation judiciaire antérieure</w:t>
      </w:r>
    </w:p>
    <w:p w14:paraId="5B702A0C" w14:textId="77777777" w:rsidR="00B3373F" w:rsidRPr="000760BC" w:rsidRDefault="00730A01" w:rsidP="00F677EE">
      <w:pPr>
        <w:pStyle w:val="Paragraphe"/>
        <w:tabs>
          <w:tab w:val="clear" w:pos="786"/>
        </w:tabs>
        <w:spacing w:before="100" w:beforeAutospacing="1" w:line="240" w:lineRule="auto"/>
        <w:ind w:left="0"/>
        <w:rPr>
          <w:rFonts w:cs="Arial"/>
          <w:szCs w:val="24"/>
          <w:lang w:eastAsia="fr-CA"/>
        </w:rPr>
      </w:pPr>
      <w:r w:rsidRPr="000760BC">
        <w:rPr>
          <w:rFonts w:cs="Arial"/>
          <w:szCs w:val="24"/>
          <w:lang w:eastAsia="fr-CA"/>
        </w:rPr>
        <w:t>Enfin, les Demandeurs rappellent que la partialité et le manque de crédibilité des experts LMD ont déjà été soulignés par les tribunaux</w:t>
      </w:r>
      <w:r w:rsidR="00123354">
        <w:rPr>
          <w:rFonts w:cs="Arial"/>
          <w:szCs w:val="24"/>
          <w:lang w:eastAsia="fr-CA"/>
        </w:rPr>
        <w:t> </w:t>
      </w:r>
      <w:r w:rsidRPr="000760BC">
        <w:rPr>
          <w:rFonts w:cs="Arial"/>
          <w:szCs w:val="24"/>
          <w:lang w:eastAsia="fr-CA"/>
        </w:rPr>
        <w:t>:</w:t>
      </w:r>
    </w:p>
    <w:p w14:paraId="7909F1A3" w14:textId="77777777" w:rsidR="00B3373F" w:rsidRPr="000760BC" w:rsidRDefault="00730A01" w:rsidP="00F677EE">
      <w:pPr>
        <w:pStyle w:val="Citationenretrait"/>
        <w:spacing w:before="0" w:after="0"/>
        <w:ind w:right="539"/>
        <w:rPr>
          <w:lang w:eastAsia="fr-CA"/>
        </w:rPr>
      </w:pPr>
      <w:r w:rsidRPr="000760BC">
        <w:rPr>
          <w:lang w:eastAsia="fr-CA"/>
        </w:rPr>
        <w:t xml:space="preserve">Dans </w:t>
      </w:r>
      <w:r w:rsidRPr="0065168C">
        <w:rPr>
          <w:i/>
          <w:iCs/>
          <w:lang w:eastAsia="fr-CA"/>
        </w:rPr>
        <w:t>Restaurant Loupy’s inc.</w:t>
      </w:r>
      <w:r w:rsidRPr="0065168C">
        <w:rPr>
          <w:lang w:eastAsia="fr-CA"/>
        </w:rPr>
        <w:t xml:space="preserve"> c. </w:t>
      </w:r>
      <w:r w:rsidRPr="0065168C">
        <w:rPr>
          <w:i/>
          <w:iCs/>
          <w:lang w:eastAsia="fr-CA"/>
        </w:rPr>
        <w:t>Broccolini</w:t>
      </w:r>
      <w:r>
        <w:rPr>
          <w:rStyle w:val="Appelnotedebasdep"/>
          <w:lang w:eastAsia="fr-CA"/>
        </w:rPr>
        <w:footnoteReference w:id="428"/>
      </w:r>
      <w:r w:rsidRPr="000760BC">
        <w:rPr>
          <w:lang w:eastAsia="fr-CA"/>
        </w:rPr>
        <w:t>, le Tribunal a jugé l’approche de David «</w:t>
      </w:r>
      <w:r w:rsidR="0054413F">
        <w:rPr>
          <w:lang w:eastAsia="fr-CA"/>
        </w:rPr>
        <w:t> </w:t>
      </w:r>
      <w:r w:rsidRPr="000760BC">
        <w:rPr>
          <w:lang w:eastAsia="fr-CA"/>
        </w:rPr>
        <w:t>peu crédible</w:t>
      </w:r>
      <w:r w:rsidR="0054413F">
        <w:rPr>
          <w:lang w:eastAsia="fr-CA"/>
        </w:rPr>
        <w:t> </w:t>
      </w:r>
      <w:r w:rsidRPr="000760BC">
        <w:rPr>
          <w:lang w:eastAsia="fr-CA"/>
        </w:rPr>
        <w:t>» et «</w:t>
      </w:r>
      <w:r w:rsidR="0054413F">
        <w:rPr>
          <w:lang w:eastAsia="fr-CA"/>
        </w:rPr>
        <w:t> </w:t>
      </w:r>
      <w:r w:rsidRPr="000760BC">
        <w:rPr>
          <w:lang w:eastAsia="fr-CA"/>
        </w:rPr>
        <w:t>allant à l’encontre des principes fondamentaux</w:t>
      </w:r>
      <w:r w:rsidR="0054413F">
        <w:rPr>
          <w:lang w:eastAsia="fr-CA"/>
        </w:rPr>
        <w:t> </w:t>
      </w:r>
      <w:r w:rsidRPr="000760BC">
        <w:rPr>
          <w:lang w:eastAsia="fr-CA"/>
        </w:rPr>
        <w:t>».</w:t>
      </w:r>
    </w:p>
    <w:p w14:paraId="0D87EDE8" w14:textId="77777777" w:rsidR="00B3373F" w:rsidRPr="000760BC" w:rsidRDefault="00730A01" w:rsidP="00F677EE">
      <w:pPr>
        <w:pStyle w:val="Citationenretrait"/>
        <w:spacing w:after="0"/>
        <w:ind w:right="539"/>
        <w:rPr>
          <w:color w:val="000016"/>
          <w:spacing w:val="2"/>
          <w:highlight w:val="yellow"/>
          <w:shd w:val="clear" w:color="auto" w:fill="FFFFFF"/>
        </w:rPr>
      </w:pPr>
      <w:r w:rsidRPr="000760BC">
        <w:rPr>
          <w:lang w:eastAsia="fr-CA"/>
        </w:rPr>
        <w:t xml:space="preserve">Dans </w:t>
      </w:r>
      <w:r w:rsidRPr="0065168C">
        <w:rPr>
          <w:i/>
          <w:iCs/>
          <w:lang w:eastAsia="fr-CA"/>
        </w:rPr>
        <w:t>Messier</w:t>
      </w:r>
      <w:r w:rsidRPr="0065168C">
        <w:rPr>
          <w:lang w:eastAsia="fr-CA"/>
        </w:rPr>
        <w:t xml:space="preserve"> c. </w:t>
      </w:r>
      <w:r w:rsidRPr="0065168C">
        <w:rPr>
          <w:i/>
          <w:iCs/>
          <w:lang w:eastAsia="fr-CA"/>
        </w:rPr>
        <w:t>Rocheleau</w:t>
      </w:r>
      <w:r>
        <w:rPr>
          <w:rStyle w:val="Appelnotedebasdep"/>
          <w:lang w:eastAsia="fr-CA"/>
        </w:rPr>
        <w:footnoteReference w:id="429"/>
      </w:r>
      <w:r w:rsidRPr="000760BC">
        <w:rPr>
          <w:lang w:eastAsia="fr-CA"/>
        </w:rPr>
        <w:t xml:space="preserve">, le travail de Marcil avait également été sévèrement critiqué. </w:t>
      </w:r>
      <w:r w:rsidRPr="000760BC">
        <w:rPr>
          <w:color w:val="000016"/>
          <w:spacing w:val="2"/>
          <w:shd w:val="clear" w:color="auto" w:fill="FFFFFF"/>
        </w:rPr>
        <w:t>Le juge s’exprime alors ainsi</w:t>
      </w:r>
      <w:r w:rsidR="00123354">
        <w:rPr>
          <w:color w:val="000016"/>
          <w:spacing w:val="2"/>
          <w:shd w:val="clear" w:color="auto" w:fill="FFFFFF"/>
        </w:rPr>
        <w:t> </w:t>
      </w:r>
      <w:r w:rsidRPr="000760BC">
        <w:rPr>
          <w:color w:val="000016"/>
          <w:spacing w:val="2"/>
          <w:shd w:val="clear" w:color="auto" w:fill="FFFFFF"/>
        </w:rPr>
        <w:t>:</w:t>
      </w:r>
    </w:p>
    <w:p w14:paraId="32BEA224" w14:textId="77777777" w:rsidR="00B3373F" w:rsidRPr="000760BC" w:rsidRDefault="00730A01" w:rsidP="00F677EE">
      <w:pPr>
        <w:pStyle w:val="Citationenretrait"/>
        <w:spacing w:after="0"/>
        <w:ind w:left="992" w:right="539"/>
        <w:rPr>
          <w:color w:val="000016"/>
          <w:spacing w:val="2"/>
          <w:shd w:val="clear" w:color="auto" w:fill="FFFFFF"/>
        </w:rPr>
      </w:pPr>
      <w:r w:rsidRPr="000760BC">
        <w:rPr>
          <w:color w:val="000016"/>
          <w:spacing w:val="2"/>
          <w:shd w:val="clear" w:color="auto" w:fill="FFFFFF"/>
        </w:rPr>
        <w:t>[123</w:t>
      </w:r>
      <w:r w:rsidRPr="00645098">
        <w:rPr>
          <w:color w:val="000016"/>
          <w:spacing w:val="2"/>
          <w:shd w:val="clear" w:color="auto" w:fill="FFFFFF"/>
        </w:rPr>
        <w:t>] </w:t>
      </w:r>
      <w:r w:rsidRPr="000760BC">
        <w:rPr>
          <w:i/>
          <w:iCs/>
          <w:color w:val="000016"/>
          <w:spacing w:val="2"/>
          <w:shd w:val="clear" w:color="auto" w:fill="FFFFFF"/>
        </w:rPr>
        <w:t>Comment un expert peut-il raisonnablement prétendre que Messier, âgée de 31</w:t>
      </w:r>
      <w:r w:rsidR="00123354">
        <w:rPr>
          <w:i/>
          <w:iCs/>
          <w:color w:val="000016"/>
          <w:spacing w:val="2"/>
          <w:shd w:val="clear" w:color="auto" w:fill="FFFFFF"/>
        </w:rPr>
        <w:t> </w:t>
      </w:r>
      <w:r w:rsidRPr="000760BC">
        <w:rPr>
          <w:i/>
          <w:iCs/>
          <w:color w:val="000016"/>
          <w:spacing w:val="2"/>
          <w:shd w:val="clear" w:color="auto" w:fill="FFFFFF"/>
        </w:rPr>
        <w:t>ans, n’étant au cabinet que depuis six mois, aurait gardé à perpétuité tous les clients de Rocheleau?</w:t>
      </w:r>
      <w:r w:rsidR="00123354">
        <w:rPr>
          <w:i/>
          <w:iCs/>
          <w:color w:val="000016"/>
          <w:spacing w:val="2"/>
          <w:shd w:val="clear" w:color="auto" w:fill="FFFFFF"/>
        </w:rPr>
        <w:t xml:space="preserve"> </w:t>
      </w:r>
      <w:r w:rsidRPr="000760BC">
        <w:rPr>
          <w:i/>
          <w:iCs/>
          <w:color w:val="000016"/>
          <w:spacing w:val="2"/>
          <w:shd w:val="clear" w:color="auto" w:fill="FFFFFF"/>
        </w:rPr>
        <w:t>C’est de l’avis du Tribunal, une prémisse purement fantaisiste et invraisemblable</w:t>
      </w:r>
      <w:r w:rsidRPr="000760BC">
        <w:rPr>
          <w:color w:val="000016"/>
          <w:spacing w:val="2"/>
          <w:shd w:val="clear" w:color="auto" w:fill="FFFFFF"/>
        </w:rPr>
        <w:t>.</w:t>
      </w:r>
    </w:p>
    <w:p w14:paraId="565F1625" w14:textId="77777777" w:rsidR="00B3373F" w:rsidRPr="00CB46A7" w:rsidRDefault="00730A01" w:rsidP="00443B59">
      <w:pPr>
        <w:pStyle w:val="Titre7"/>
        <w:numPr>
          <w:ilvl w:val="5"/>
          <w:numId w:val="92"/>
        </w:numPr>
        <w:ind w:left="567" w:hanging="567"/>
        <w:rPr>
          <w:rFonts w:cs="Arial"/>
          <w:b/>
          <w:bCs/>
          <w:sz w:val="24"/>
          <w:szCs w:val="24"/>
          <w:lang w:eastAsia="fr-CA"/>
        </w:rPr>
      </w:pPr>
      <w:r w:rsidRPr="00CB46A7">
        <w:rPr>
          <w:rFonts w:cs="Arial"/>
          <w:b/>
          <w:bCs/>
          <w:sz w:val="24"/>
          <w:szCs w:val="24"/>
          <w:lang w:eastAsia="fr-CA"/>
        </w:rPr>
        <w:t>En résumé</w:t>
      </w:r>
    </w:p>
    <w:p w14:paraId="18E165D5" w14:textId="77777777" w:rsidR="00B3373F" w:rsidRPr="000760BC" w:rsidRDefault="00730A01" w:rsidP="0098012F">
      <w:pPr>
        <w:pStyle w:val="Paragraphe"/>
        <w:tabs>
          <w:tab w:val="clear" w:pos="786"/>
        </w:tabs>
        <w:spacing w:before="100" w:beforeAutospacing="1" w:after="100" w:afterAutospacing="1" w:line="240" w:lineRule="auto"/>
        <w:ind w:left="0"/>
        <w:rPr>
          <w:rFonts w:cs="Arial"/>
          <w:szCs w:val="24"/>
          <w:lang w:eastAsia="fr-CA"/>
        </w:rPr>
      </w:pPr>
      <w:r w:rsidRPr="000760BC">
        <w:rPr>
          <w:rFonts w:cs="Arial"/>
          <w:szCs w:val="24"/>
          <w:lang w:eastAsia="fr-CA"/>
        </w:rPr>
        <w:t xml:space="preserve">Le Tribunal </w:t>
      </w:r>
      <w:r w:rsidR="00D27B9D" w:rsidRPr="000760BC">
        <w:rPr>
          <w:rFonts w:cs="Arial"/>
          <w:szCs w:val="24"/>
          <w:lang w:eastAsia="fr-CA"/>
        </w:rPr>
        <w:t xml:space="preserve">ne peut faire autrement que </w:t>
      </w:r>
      <w:r w:rsidRPr="000760BC">
        <w:rPr>
          <w:rFonts w:cs="Arial"/>
          <w:szCs w:val="24"/>
          <w:lang w:eastAsia="fr-CA"/>
        </w:rPr>
        <w:t xml:space="preserve">de reprocher à </w:t>
      </w:r>
      <w:r w:rsidRPr="0065168C">
        <w:rPr>
          <w:rFonts w:cs="Arial"/>
          <w:szCs w:val="24"/>
          <w:lang w:eastAsia="fr-CA"/>
        </w:rPr>
        <w:t>Luc Marcil et Alain David</w:t>
      </w:r>
      <w:r w:rsidRPr="000760BC">
        <w:rPr>
          <w:rFonts w:cs="Arial"/>
          <w:szCs w:val="24"/>
          <w:lang w:eastAsia="fr-CA"/>
        </w:rPr>
        <w:t xml:space="preserve"> de LMD</w:t>
      </w:r>
      <w:r>
        <w:rPr>
          <w:rStyle w:val="Appelnotedebasdep"/>
          <w:rFonts w:cs="Arial"/>
          <w:szCs w:val="24"/>
          <w:lang w:eastAsia="fr-CA"/>
        </w:rPr>
        <w:footnoteReference w:id="430"/>
      </w:r>
      <w:r w:rsidR="00123354">
        <w:rPr>
          <w:rFonts w:cs="Arial"/>
          <w:szCs w:val="24"/>
          <w:lang w:eastAsia="fr-CA"/>
        </w:rPr>
        <w:t> :</w:t>
      </w:r>
    </w:p>
    <w:p w14:paraId="1A0C4E6F" w14:textId="77777777" w:rsidR="00B3373F" w:rsidRPr="000760BC" w:rsidRDefault="00730A01" w:rsidP="0042740E">
      <w:pPr>
        <w:numPr>
          <w:ilvl w:val="0"/>
          <w:numId w:val="32"/>
        </w:numPr>
        <w:spacing w:before="100" w:beforeAutospacing="1" w:after="100" w:afterAutospacing="1"/>
        <w:jc w:val="both"/>
        <w:rPr>
          <w:rFonts w:cs="Arial"/>
          <w:szCs w:val="24"/>
          <w:lang w:eastAsia="fr-CA"/>
        </w:rPr>
      </w:pPr>
      <w:r w:rsidRPr="000760BC">
        <w:rPr>
          <w:rFonts w:cs="Arial"/>
          <w:szCs w:val="24"/>
          <w:lang w:eastAsia="fr-CA"/>
        </w:rPr>
        <w:t>leur manque d’indépendance</w:t>
      </w:r>
      <w:r w:rsidR="00DB1947">
        <w:rPr>
          <w:rFonts w:cs="Arial"/>
          <w:szCs w:val="24"/>
          <w:lang w:eastAsia="fr-CA"/>
        </w:rPr>
        <w:t>;</w:t>
      </w:r>
    </w:p>
    <w:p w14:paraId="6529B8B0" w14:textId="77777777" w:rsidR="00B3373F" w:rsidRPr="000760BC" w:rsidRDefault="00730A01" w:rsidP="0042740E">
      <w:pPr>
        <w:numPr>
          <w:ilvl w:val="0"/>
          <w:numId w:val="32"/>
        </w:numPr>
        <w:spacing w:before="100" w:beforeAutospacing="1" w:after="100" w:afterAutospacing="1"/>
        <w:jc w:val="both"/>
        <w:rPr>
          <w:rFonts w:cs="Arial"/>
          <w:szCs w:val="24"/>
          <w:lang w:eastAsia="fr-CA"/>
        </w:rPr>
      </w:pPr>
      <w:r w:rsidRPr="000760BC">
        <w:rPr>
          <w:rFonts w:cs="Arial"/>
          <w:szCs w:val="24"/>
          <w:lang w:eastAsia="fr-CA"/>
        </w:rPr>
        <w:t>l’exclusion volontaire de faits cruciaux</w:t>
      </w:r>
      <w:r w:rsidR="00DB1947">
        <w:rPr>
          <w:rFonts w:cs="Arial"/>
          <w:szCs w:val="24"/>
          <w:lang w:eastAsia="fr-CA"/>
        </w:rPr>
        <w:t>;</w:t>
      </w:r>
    </w:p>
    <w:p w14:paraId="0C9F12E7" w14:textId="77777777" w:rsidR="00B3373F" w:rsidRPr="000760BC" w:rsidRDefault="00730A01" w:rsidP="0042740E">
      <w:pPr>
        <w:numPr>
          <w:ilvl w:val="0"/>
          <w:numId w:val="32"/>
        </w:numPr>
        <w:spacing w:before="100" w:beforeAutospacing="1" w:after="100" w:afterAutospacing="1"/>
        <w:jc w:val="both"/>
        <w:rPr>
          <w:rFonts w:cs="Arial"/>
          <w:szCs w:val="24"/>
          <w:lang w:eastAsia="fr-CA"/>
        </w:rPr>
      </w:pPr>
      <w:r w:rsidRPr="000760BC">
        <w:rPr>
          <w:rFonts w:cs="Arial"/>
          <w:szCs w:val="24"/>
          <w:lang w:eastAsia="fr-CA"/>
        </w:rPr>
        <w:t>la présentation d’analyses trompeuses ou biaisées</w:t>
      </w:r>
      <w:r w:rsidR="00DB1947">
        <w:rPr>
          <w:rFonts w:cs="Arial"/>
          <w:szCs w:val="24"/>
          <w:lang w:eastAsia="fr-CA"/>
        </w:rPr>
        <w:t>;</w:t>
      </w:r>
    </w:p>
    <w:p w14:paraId="4DA4EF06" w14:textId="77777777" w:rsidR="00B3373F" w:rsidRPr="000760BC" w:rsidRDefault="00730A01" w:rsidP="001D3ECB">
      <w:pPr>
        <w:numPr>
          <w:ilvl w:val="0"/>
          <w:numId w:val="32"/>
        </w:numPr>
        <w:spacing w:before="100" w:beforeAutospacing="1" w:after="100" w:afterAutospacing="1"/>
        <w:ind w:left="714" w:hanging="357"/>
        <w:jc w:val="both"/>
        <w:rPr>
          <w:rFonts w:cs="Arial"/>
          <w:szCs w:val="24"/>
          <w:lang w:eastAsia="fr-CA"/>
        </w:rPr>
      </w:pPr>
      <w:r w:rsidRPr="000760BC">
        <w:rPr>
          <w:rFonts w:cs="Arial"/>
          <w:szCs w:val="24"/>
          <w:lang w:eastAsia="fr-CA"/>
        </w:rPr>
        <w:t>leurs contradictions et réticences lors des interrogatoires</w:t>
      </w:r>
      <w:r w:rsidR="00DB1947">
        <w:rPr>
          <w:rFonts w:cs="Arial"/>
          <w:szCs w:val="24"/>
          <w:lang w:eastAsia="fr-CA"/>
        </w:rPr>
        <w:t>;</w:t>
      </w:r>
    </w:p>
    <w:p w14:paraId="4B72A17B" w14:textId="77777777" w:rsidR="00B3373F" w:rsidRDefault="00730A01" w:rsidP="001D3ECB">
      <w:pPr>
        <w:numPr>
          <w:ilvl w:val="0"/>
          <w:numId w:val="32"/>
        </w:numPr>
        <w:spacing w:before="100" w:beforeAutospacing="1"/>
        <w:ind w:left="714" w:hanging="357"/>
        <w:jc w:val="both"/>
        <w:rPr>
          <w:rFonts w:cs="Arial"/>
          <w:szCs w:val="24"/>
          <w:lang w:eastAsia="fr-CA"/>
        </w:rPr>
      </w:pPr>
      <w:r w:rsidRPr="000760BC">
        <w:rPr>
          <w:rFonts w:cs="Arial"/>
          <w:szCs w:val="24"/>
          <w:lang w:eastAsia="fr-CA"/>
        </w:rPr>
        <w:t>et un historique judiciaire défavorable quant à leur impartialité.</w:t>
      </w:r>
    </w:p>
    <w:p w14:paraId="07A9BF88" w14:textId="77777777" w:rsidR="0065168C" w:rsidRPr="0054413F" w:rsidRDefault="00730A01" w:rsidP="0098012F">
      <w:pPr>
        <w:pStyle w:val="Paragraphedeliste"/>
        <w:tabs>
          <w:tab w:val="left" w:pos="3686"/>
        </w:tabs>
        <w:spacing w:before="100" w:beforeAutospacing="1" w:after="100" w:afterAutospacing="1"/>
        <w:rPr>
          <w:rFonts w:cs="Arial"/>
          <w:szCs w:val="24"/>
          <w:lang w:eastAsia="fr-CA"/>
        </w:rPr>
      </w:pPr>
      <w:r>
        <w:rPr>
          <w:rFonts w:cs="Arial"/>
          <w:b/>
          <w:bCs/>
          <w:szCs w:val="24"/>
          <w:lang w:eastAsia="fr-CA"/>
        </w:rPr>
        <w:tab/>
      </w:r>
      <w:r w:rsidRPr="0054413F">
        <w:rPr>
          <w:rFonts w:cs="Arial"/>
          <w:szCs w:val="24"/>
          <w:lang w:eastAsia="fr-CA"/>
        </w:rPr>
        <w:t>* * *</w:t>
      </w:r>
    </w:p>
    <w:p w14:paraId="162581B3" w14:textId="77777777" w:rsidR="0065168C" w:rsidRDefault="00730A01" w:rsidP="0098012F">
      <w:pPr>
        <w:rPr>
          <w:rFonts w:cs="Arial"/>
          <w:szCs w:val="24"/>
          <w:lang w:eastAsia="fr-CA"/>
        </w:rPr>
      </w:pPr>
      <w:r>
        <w:rPr>
          <w:rFonts w:cs="Arial"/>
          <w:szCs w:val="24"/>
          <w:lang w:eastAsia="fr-CA"/>
        </w:rPr>
        <w:br w:type="page"/>
      </w:r>
    </w:p>
    <w:p w14:paraId="37ED79D5" w14:textId="77777777" w:rsidR="00083CE2" w:rsidRPr="00083CE2" w:rsidRDefault="00730A01" w:rsidP="001D3ECB">
      <w:pPr>
        <w:keepNext/>
        <w:keepLines/>
        <w:spacing w:before="240" w:line="276" w:lineRule="auto"/>
        <w:outlineLvl w:val="0"/>
        <w:rPr>
          <w:b/>
          <w:bCs/>
          <w:sz w:val="32"/>
          <w:szCs w:val="32"/>
        </w:rPr>
      </w:pPr>
      <w:bookmarkStart w:id="133" w:name="_Toc211600664"/>
      <w:bookmarkStart w:id="134" w:name="_Toc211495257"/>
      <w:r w:rsidRPr="00110D23">
        <w:rPr>
          <w:b/>
          <w:bCs/>
          <w:sz w:val="28"/>
          <w:szCs w:val="28"/>
        </w:rPr>
        <w:t>PARTIE</w:t>
      </w:r>
      <w:r w:rsidRPr="00083CE2">
        <w:rPr>
          <w:b/>
          <w:bCs/>
          <w:sz w:val="32"/>
          <w:szCs w:val="32"/>
        </w:rPr>
        <w:t xml:space="preserve"> 4</w:t>
      </w:r>
      <w:bookmarkEnd w:id="133"/>
    </w:p>
    <w:p w14:paraId="2C67B6FF" w14:textId="77777777" w:rsidR="00C5266B" w:rsidRPr="004A5EBA" w:rsidRDefault="00730A01" w:rsidP="001D3ECB">
      <w:pPr>
        <w:pStyle w:val="Paragraphedeliste"/>
        <w:keepNext/>
        <w:keepLines/>
        <w:numPr>
          <w:ilvl w:val="1"/>
          <w:numId w:val="31"/>
        </w:numPr>
        <w:spacing w:before="120" w:line="276" w:lineRule="auto"/>
        <w:ind w:left="425" w:hanging="425"/>
        <w:outlineLvl w:val="0"/>
        <w:rPr>
          <w:b/>
          <w:bCs/>
          <w:smallCaps/>
          <w:szCs w:val="24"/>
        </w:rPr>
      </w:pPr>
      <w:bookmarkStart w:id="135" w:name="_Toc211600665"/>
      <w:r>
        <w:rPr>
          <w:b/>
          <w:bCs/>
          <w:smallCaps/>
          <w:szCs w:val="24"/>
        </w:rPr>
        <w:t xml:space="preserve">Les mesures de protection pendant l’appel </w:t>
      </w:r>
      <w:bookmarkEnd w:id="134"/>
      <w:bookmarkEnd w:id="135"/>
    </w:p>
    <w:p w14:paraId="21E42D94" w14:textId="77777777" w:rsidR="00C5266B" w:rsidRPr="00C5266B" w:rsidRDefault="00730A01" w:rsidP="0098012F">
      <w:pPr>
        <w:pStyle w:val="Paragraphe"/>
        <w:numPr>
          <w:ilvl w:val="0"/>
          <w:numId w:val="1"/>
        </w:numPr>
        <w:tabs>
          <w:tab w:val="clear" w:pos="786"/>
        </w:tabs>
        <w:spacing w:line="240" w:lineRule="auto"/>
        <w:ind w:left="0"/>
        <w:rPr>
          <w:b/>
          <w:bCs/>
        </w:rPr>
      </w:pPr>
      <w:r w:rsidRPr="00C5266B">
        <w:rPr>
          <w:rFonts w:cs="Arial"/>
        </w:rPr>
        <w:t>Compte</w:t>
      </w:r>
      <w:r>
        <w:t xml:space="preserve"> tenu de l’impact du présent jugement pour les Défendeurs, ainsi que de l’importance des montants en jeu, il apparaît quasi certain que </w:t>
      </w:r>
      <w:r w:rsidR="00F739E2">
        <w:t>celui-ci</w:t>
      </w:r>
      <w:r>
        <w:t xml:space="preserve"> sera porté en appel.</w:t>
      </w:r>
    </w:p>
    <w:p w14:paraId="49B5518B" w14:textId="77777777" w:rsidR="00077C6B" w:rsidRPr="007D3A98" w:rsidRDefault="00730A01" w:rsidP="0098012F">
      <w:pPr>
        <w:pStyle w:val="Paragraphe"/>
        <w:numPr>
          <w:ilvl w:val="0"/>
          <w:numId w:val="1"/>
        </w:numPr>
        <w:tabs>
          <w:tab w:val="clear" w:pos="786"/>
        </w:tabs>
        <w:spacing w:line="240" w:lineRule="auto"/>
        <w:ind w:left="0"/>
        <w:rPr>
          <w:b/>
          <w:bCs/>
        </w:rPr>
      </w:pPr>
      <w:r>
        <w:t>Dans cette éventualité, les Demandeurs soutiennent qu’en raison de la gravité du stratagème frauduleux mis en place par Giroux et ses sociétés, il est indispensable de prévoir des mesures exceptionnelles de protection durant l’appel afin d’assurer la préservation des actifs et l’efficacité du jugement. Deux mécanismes sont invoqués</w:t>
      </w:r>
      <w:r w:rsidR="00C5266B">
        <w:t> </w:t>
      </w:r>
      <w:r>
        <w:t>:</w:t>
      </w:r>
      <w:r w:rsidRPr="007D3A98">
        <w:t xml:space="preserve"> l’</w:t>
      </w:r>
      <w:r w:rsidRPr="007D3A98">
        <w:rPr>
          <w:rStyle w:val="lev"/>
          <w:b w:val="0"/>
          <w:bCs w:val="0"/>
        </w:rPr>
        <w:t xml:space="preserve">ordonnance </w:t>
      </w:r>
      <w:r w:rsidRPr="00123354">
        <w:rPr>
          <w:rStyle w:val="lev"/>
          <w:b w:val="0"/>
          <w:bCs w:val="0"/>
          <w:i/>
          <w:iCs/>
        </w:rPr>
        <w:t>Mareva</w:t>
      </w:r>
      <w:r w:rsidRPr="007D3A98">
        <w:rPr>
          <w:rStyle w:val="lev"/>
          <w:b w:val="0"/>
          <w:bCs w:val="0"/>
        </w:rPr>
        <w:t xml:space="preserve"> permanente</w:t>
      </w:r>
      <w:r w:rsidR="00301AE4">
        <w:rPr>
          <w:rStyle w:val="lev"/>
          <w:b w:val="0"/>
          <w:bCs w:val="0"/>
        </w:rPr>
        <w:t xml:space="preserve"> et </w:t>
      </w:r>
      <w:r w:rsidR="00301AE4" w:rsidRPr="007D3A98">
        <w:rPr>
          <w:rStyle w:val="lev"/>
          <w:b w:val="0"/>
          <w:bCs w:val="0"/>
        </w:rPr>
        <w:t>l’exécution provisoire nonobstant appel</w:t>
      </w:r>
      <w:r w:rsidR="00301AE4" w:rsidRPr="00301AE4">
        <w:t>.</w:t>
      </w:r>
    </w:p>
    <w:p w14:paraId="4C0625F9" w14:textId="77777777" w:rsidR="00077C6B" w:rsidRPr="00C5266B" w:rsidRDefault="00730A01" w:rsidP="00083CE2">
      <w:pPr>
        <w:pStyle w:val="Titre3"/>
        <w:rPr>
          <w:b/>
          <w:bCs/>
        </w:rPr>
      </w:pPr>
      <w:bookmarkStart w:id="136" w:name="_Toc210992319"/>
      <w:bookmarkStart w:id="137" w:name="_Toc211495258"/>
      <w:bookmarkStart w:id="138" w:name="_Toc211600666"/>
      <w:r>
        <w:rPr>
          <w:b/>
          <w:bCs/>
        </w:rPr>
        <w:t xml:space="preserve">1. </w:t>
      </w:r>
      <w:r w:rsidR="00CB46A7">
        <w:rPr>
          <w:b/>
          <w:bCs/>
        </w:rPr>
        <w:t>L’o</w:t>
      </w:r>
      <w:r w:rsidRPr="00C5266B">
        <w:rPr>
          <w:b/>
          <w:bCs/>
        </w:rPr>
        <w:t xml:space="preserve">rdonnance </w:t>
      </w:r>
      <w:r w:rsidRPr="00123354">
        <w:rPr>
          <w:b/>
          <w:bCs/>
          <w:i/>
          <w:iCs/>
        </w:rPr>
        <w:t>Mareva</w:t>
      </w:r>
      <w:r w:rsidRPr="00C5266B">
        <w:rPr>
          <w:b/>
          <w:bCs/>
        </w:rPr>
        <w:t xml:space="preserve"> permanente</w:t>
      </w:r>
      <w:bookmarkEnd w:id="136"/>
      <w:bookmarkEnd w:id="137"/>
      <w:bookmarkEnd w:id="138"/>
    </w:p>
    <w:p w14:paraId="22EBB18D" w14:textId="77777777" w:rsidR="00CB46A7" w:rsidRDefault="00730A01" w:rsidP="0098012F">
      <w:pPr>
        <w:pStyle w:val="Paragraphe"/>
        <w:numPr>
          <w:ilvl w:val="0"/>
          <w:numId w:val="1"/>
        </w:numPr>
        <w:tabs>
          <w:tab w:val="clear" w:pos="786"/>
        </w:tabs>
        <w:spacing w:line="240" w:lineRule="auto"/>
        <w:ind w:left="0"/>
      </w:pPr>
      <w:r>
        <w:t xml:space="preserve">Les Demandeurs sollicitent une </w:t>
      </w:r>
      <w:r w:rsidRPr="00DD225E">
        <w:rPr>
          <w:rStyle w:val="lev"/>
          <w:b w:val="0"/>
          <w:bCs w:val="0"/>
        </w:rPr>
        <w:t xml:space="preserve">ordonnance </w:t>
      </w:r>
      <w:r w:rsidRPr="00123354">
        <w:rPr>
          <w:rStyle w:val="lev"/>
          <w:b w:val="0"/>
          <w:bCs w:val="0"/>
          <w:i/>
          <w:iCs/>
        </w:rPr>
        <w:t>Mareva</w:t>
      </w:r>
      <w:r w:rsidRPr="00DD225E">
        <w:rPr>
          <w:rStyle w:val="lev"/>
          <w:b w:val="0"/>
          <w:bCs w:val="0"/>
        </w:rPr>
        <w:t xml:space="preserve"> permanente</w:t>
      </w:r>
      <w:r>
        <w:t xml:space="preserve"> jusqu’à la pleine exécution du jugement afin d’empêcher tout transfert ou dissipation d’actifs. </w:t>
      </w:r>
    </w:p>
    <w:p w14:paraId="47073DDF" w14:textId="77777777" w:rsidR="00C5266B" w:rsidRDefault="00730A01" w:rsidP="0098012F">
      <w:pPr>
        <w:pStyle w:val="Paragraphe"/>
        <w:numPr>
          <w:ilvl w:val="0"/>
          <w:numId w:val="1"/>
        </w:numPr>
        <w:tabs>
          <w:tab w:val="clear" w:pos="786"/>
        </w:tabs>
        <w:spacing w:line="240" w:lineRule="auto"/>
        <w:ind w:left="0"/>
      </w:pPr>
      <w:r>
        <w:t xml:space="preserve">L’injonction </w:t>
      </w:r>
      <w:r w:rsidRPr="00123354">
        <w:rPr>
          <w:i/>
          <w:iCs/>
        </w:rPr>
        <w:t>Mareva</w:t>
      </w:r>
      <w:r>
        <w:t xml:space="preserve"> vise précisément les cas où un débiteur cherche à se soustraire à un jugement en rendant son patrimoine insaisissable.</w:t>
      </w:r>
    </w:p>
    <w:p w14:paraId="7BDD7112" w14:textId="77777777" w:rsidR="00C5266B" w:rsidRDefault="00730A01" w:rsidP="0098012F">
      <w:pPr>
        <w:pStyle w:val="Paragraphe"/>
        <w:numPr>
          <w:ilvl w:val="0"/>
          <w:numId w:val="1"/>
        </w:numPr>
        <w:tabs>
          <w:tab w:val="clear" w:pos="786"/>
        </w:tabs>
        <w:spacing w:line="240" w:lineRule="auto"/>
        <w:ind w:left="0"/>
      </w:pPr>
      <w:r>
        <w:t>La preuve démontre que</w:t>
      </w:r>
      <w:r w:rsidR="000E78A4">
        <w:t xml:space="preserve"> </w:t>
      </w:r>
      <w:r>
        <w:t>Giroux et ses sociétés ont procédé à de multiples transferts d’avoirs et entretenu une confusion volontaire des patrimoines, de manière à masquer les actifs disponibles. Un tel comportement révèle effectivement un risque manifeste de dissipation,</w:t>
      </w:r>
      <w:r>
        <w:rPr>
          <w:rStyle w:val="lev"/>
        </w:rPr>
        <w:t xml:space="preserve"> </w:t>
      </w:r>
      <w:r w:rsidRPr="00123354">
        <w:rPr>
          <w:rStyle w:val="lev"/>
          <w:b w:val="0"/>
          <w:bCs w:val="0"/>
        </w:rPr>
        <w:t>l</w:t>
      </w:r>
      <w:r>
        <w:t>’origine même des créances des Demandeurs résultant de fraudes, de manœuvres trompeuses et déloyales ainsi que de fausses représentations de la part des Défendeurs.</w:t>
      </w:r>
      <w:r w:rsidRPr="00C47409">
        <w:t xml:space="preserve"> </w:t>
      </w:r>
    </w:p>
    <w:p w14:paraId="7947B04E" w14:textId="77777777" w:rsidR="00077C6B" w:rsidRDefault="00730A01" w:rsidP="0098012F">
      <w:pPr>
        <w:pStyle w:val="Paragraphe"/>
        <w:numPr>
          <w:ilvl w:val="0"/>
          <w:numId w:val="1"/>
        </w:numPr>
        <w:tabs>
          <w:tab w:val="clear" w:pos="786"/>
        </w:tabs>
        <w:spacing w:line="240" w:lineRule="auto"/>
        <w:ind w:left="0"/>
      </w:pPr>
      <w:r>
        <w:t>À ce stade, il y a lieu de rappeler les éléments factuels suiv</w:t>
      </w:r>
      <w:r w:rsidRPr="0000074D">
        <w:t>ant</w:t>
      </w:r>
      <w:r>
        <w:t xml:space="preserve"> démontrant un risque réel de dilapidation ou de disparition des actifs des Défendeurs et qui justifient le Tribunal d’accorder l’ordonnance Mareva demandée</w:t>
      </w:r>
      <w:r w:rsidR="00123354">
        <w:t> :</w:t>
      </w:r>
    </w:p>
    <w:p w14:paraId="4E438869" w14:textId="77777777" w:rsidR="00077C6B" w:rsidRDefault="00730A01" w:rsidP="0054413F">
      <w:pPr>
        <w:pStyle w:val="Citationenretrait"/>
        <w:ind w:right="539"/>
      </w:pPr>
      <w:r>
        <w:t>a)</w:t>
      </w:r>
      <w:r w:rsidR="00F677EE">
        <w:t> </w:t>
      </w:r>
      <w:r>
        <w:t>Les Défendeurs ont réalisé des transactions de type Ponzi</w:t>
      </w:r>
      <w:r>
        <w:rPr>
          <w:rStyle w:val="Appelnotedebasdep"/>
        </w:rPr>
        <w:footnoteReference w:id="431"/>
      </w:r>
      <w:r w:rsidR="00EF0BC6">
        <w:t>;</w:t>
      </w:r>
    </w:p>
    <w:p w14:paraId="0FD50987" w14:textId="77777777" w:rsidR="00077C6B" w:rsidRDefault="00730A01" w:rsidP="0054413F">
      <w:pPr>
        <w:pStyle w:val="Citationenretrait"/>
        <w:ind w:right="539"/>
      </w:pPr>
      <w:r>
        <w:t>b)</w:t>
      </w:r>
      <w:r w:rsidR="00F677EE">
        <w:t> </w:t>
      </w:r>
      <w:r>
        <w:t>Les Défendeurs ont procédé à des détournements de fonds</w:t>
      </w:r>
      <w:r>
        <w:rPr>
          <w:rStyle w:val="Appelnotedebasdep"/>
        </w:rPr>
        <w:footnoteReference w:id="432"/>
      </w:r>
      <w:r w:rsidR="00EF0BC6">
        <w:t>;</w:t>
      </w:r>
    </w:p>
    <w:p w14:paraId="7ADB2A4D" w14:textId="77777777" w:rsidR="00077C6B" w:rsidRDefault="00730A01" w:rsidP="0054413F">
      <w:pPr>
        <w:pStyle w:val="Citationenretrait"/>
        <w:ind w:right="539"/>
      </w:pPr>
      <w:r>
        <w:t>c)</w:t>
      </w:r>
      <w:r w:rsidR="00F677EE">
        <w:t> </w:t>
      </w:r>
      <w:r>
        <w:t>Les Défendeurs ont volontairement caché la situation d’insolvabilité et les difficultés financières du Groupe Huot, et ce, pendant plusieurs années, récoltant du même coup plusieurs millions de dollars en frais divers</w:t>
      </w:r>
      <w:r>
        <w:rPr>
          <w:rStyle w:val="Appelnotedebasdep"/>
        </w:rPr>
        <w:footnoteReference w:id="433"/>
      </w:r>
      <w:r>
        <w:t>;</w:t>
      </w:r>
    </w:p>
    <w:p w14:paraId="44F2B6E5" w14:textId="77777777" w:rsidR="00077C6B" w:rsidRDefault="00730A01" w:rsidP="00F677EE">
      <w:pPr>
        <w:pStyle w:val="Citationenretrait"/>
        <w:spacing w:after="0"/>
        <w:ind w:right="539"/>
      </w:pPr>
      <w:r>
        <w:t>d)</w:t>
      </w:r>
      <w:r w:rsidR="00F677EE">
        <w:t> </w:t>
      </w:r>
      <w:r>
        <w:t>Le défendeur Giroux a une conduite malhonnête caractérisée et persistante</w:t>
      </w:r>
      <w:r w:rsidR="00123354">
        <w:t> </w:t>
      </w:r>
      <w:r>
        <w:t>: il a d’abord nié avoir mis en place un système illégal pour s’enrichir par le passé, il a par la suite nié avoir fait des prêts à Huot à des taux usuraires, et il nie toujours avoir fait du Ponzi (</w:t>
      </w:r>
      <w:r w:rsidRPr="00CB46A7">
        <w:t>voir l’</w:t>
      </w:r>
      <w:r w:rsidRPr="00CB46A7">
        <w:rPr>
          <w:i/>
          <w:iCs/>
        </w:rPr>
        <w:t xml:space="preserve">Annexe </w:t>
      </w:r>
      <w:r w:rsidR="00CB46A7" w:rsidRPr="00CB46A7">
        <w:rPr>
          <w:i/>
          <w:iCs/>
        </w:rPr>
        <w:t>A</w:t>
      </w:r>
      <w:r w:rsidRPr="00CB46A7">
        <w:rPr>
          <w:i/>
          <w:iCs/>
        </w:rPr>
        <w:t xml:space="preserve"> </w:t>
      </w:r>
      <w:r w:rsidRPr="00CB46A7">
        <w:t xml:space="preserve">– </w:t>
      </w:r>
      <w:r w:rsidR="00CB46A7" w:rsidRPr="00CB46A7">
        <w:t xml:space="preserve">Manque </w:t>
      </w:r>
      <w:r w:rsidRPr="00CB46A7">
        <w:t>de crédibilité de Giroux)</w:t>
      </w:r>
      <w:r>
        <w:rPr>
          <w:rStyle w:val="Appelnotedebasdep"/>
        </w:rPr>
        <w:footnoteReference w:id="434"/>
      </w:r>
      <w:r w:rsidR="00EF0BC6">
        <w:t>;</w:t>
      </w:r>
    </w:p>
    <w:p w14:paraId="2E5F50D3" w14:textId="77777777" w:rsidR="00077C6B" w:rsidRDefault="00730A01" w:rsidP="0054413F">
      <w:pPr>
        <w:pStyle w:val="Citationenretrait"/>
        <w:ind w:right="539"/>
      </w:pPr>
      <w:r>
        <w:t>e)</w:t>
      </w:r>
      <w:r w:rsidR="00F677EE">
        <w:t> </w:t>
      </w:r>
      <w:r>
        <w:t>Les Défendeurs ont tenté, et tentent toujours, d’éluder et de contourner les ordonnances des tribunaux</w:t>
      </w:r>
      <w:r w:rsidR="00CB46A7">
        <w:t>;</w:t>
      </w:r>
    </w:p>
    <w:p w14:paraId="19AC7C22" w14:textId="77777777" w:rsidR="00CC3D3E" w:rsidRPr="00CC3D3E" w:rsidRDefault="00730A01" w:rsidP="0054413F">
      <w:pPr>
        <w:pStyle w:val="Citationenretrait"/>
        <w:ind w:right="539"/>
      </w:pPr>
      <w:r w:rsidRPr="00CC3D3E">
        <w:t>f)</w:t>
      </w:r>
      <w:r w:rsidR="00F677EE">
        <w:t> </w:t>
      </w:r>
      <w:r w:rsidRPr="00CC3D3E">
        <w:t>Le défendeur Giroux est sous enquête par l’AMF et la Sûreté du Québec pour les fraudes à l’origine du présent recours</w:t>
      </w:r>
      <w:r>
        <w:rPr>
          <w:rStyle w:val="Appelnotedebasdep"/>
        </w:rPr>
        <w:footnoteReference w:id="435"/>
      </w:r>
      <w:r w:rsidR="00EF0BC6">
        <w:t>;</w:t>
      </w:r>
    </w:p>
    <w:p w14:paraId="0922D0CA" w14:textId="77777777" w:rsidR="00CC3D3E" w:rsidRPr="00CC3D3E" w:rsidRDefault="00730A01" w:rsidP="0054413F">
      <w:pPr>
        <w:pStyle w:val="Citationenretrait"/>
        <w:ind w:right="539"/>
      </w:pPr>
      <w:r w:rsidRPr="00CC3D3E">
        <w:rPr>
          <w:rStyle w:val="lev"/>
          <w:b w:val="0"/>
          <w:bCs w:val="0"/>
        </w:rPr>
        <w:t>g)</w:t>
      </w:r>
      <w:r w:rsidR="00F677EE">
        <w:rPr>
          <w:b/>
          <w:bCs/>
        </w:rPr>
        <w:t> </w:t>
      </w:r>
      <w:r w:rsidRPr="00CC3D3E">
        <w:t>Les Défendeurs ont caché au Tribunal des actifs qu’ils détiennent toujours à ce jour, notamment un condo en Floride et une entreprise détenant une créance (et donc un actif)</w:t>
      </w:r>
      <w:r>
        <w:rPr>
          <w:rStyle w:val="Appelnotedebasdep"/>
        </w:rPr>
        <w:footnoteReference w:id="436"/>
      </w:r>
      <w:r w:rsidR="00EF0BC6">
        <w:t>;</w:t>
      </w:r>
    </w:p>
    <w:p w14:paraId="17B07DD9" w14:textId="77777777" w:rsidR="00CC3D3E" w:rsidRPr="00CC3D3E" w:rsidRDefault="00730A01" w:rsidP="0054413F">
      <w:pPr>
        <w:pStyle w:val="Citationenretrait"/>
        <w:ind w:right="539"/>
      </w:pPr>
      <w:r w:rsidRPr="00CC3D3E">
        <w:rPr>
          <w:rStyle w:val="lev"/>
          <w:b w:val="0"/>
          <w:bCs w:val="0"/>
        </w:rPr>
        <w:t>h)</w:t>
      </w:r>
      <w:r w:rsidR="00F677EE">
        <w:t> </w:t>
      </w:r>
      <w:r w:rsidRPr="00CC3D3E">
        <w:t>Les Défendeurs ont caché aux Demandeurs et au Tribunal qu’ils avaient reçu un montant de dix millions (10 000 000 $)</w:t>
      </w:r>
      <w:r>
        <w:rPr>
          <w:rStyle w:val="Appelnotedebasdep"/>
        </w:rPr>
        <w:footnoteReference w:id="437"/>
      </w:r>
      <w:r w:rsidR="00EF0BC6">
        <w:t>;</w:t>
      </w:r>
    </w:p>
    <w:p w14:paraId="68D8A49A" w14:textId="77777777" w:rsidR="00CC3D3E" w:rsidRDefault="00730A01" w:rsidP="0054413F">
      <w:pPr>
        <w:pStyle w:val="Citationenretrait"/>
        <w:ind w:right="539"/>
      </w:pPr>
      <w:r w:rsidRPr="00CC3D3E">
        <w:rPr>
          <w:rStyle w:val="lev"/>
          <w:b w:val="0"/>
          <w:bCs w:val="0"/>
        </w:rPr>
        <w:t>i)</w:t>
      </w:r>
      <w:r w:rsidR="00F677EE">
        <w:t> </w:t>
      </w:r>
      <w:r w:rsidRPr="00CC3D3E">
        <w:t>Le défendeur Giroux a témoigné devant le tribunal qu’il souhaitait financer toute démarche pour retrouver l’argent qu’aurait caché Huot</w:t>
      </w:r>
      <w:r>
        <w:rPr>
          <w:rStyle w:val="Appelnotedebasdep"/>
        </w:rPr>
        <w:footnoteReference w:id="438"/>
      </w:r>
      <w:r w:rsidRPr="00CC3D3E">
        <w:t>, et ce, alors que le syndic à la faillite de Groupe Huot inc., M.</w:t>
      </w:r>
      <w:r w:rsidR="00123354">
        <w:t> </w:t>
      </w:r>
      <w:r w:rsidRPr="00CC3D3E">
        <w:t>Mario Denis, a confirmé qu’il n’avait pas décelé de transactions illégales, révisables, préférentielles ou frauduleuses sur plus de 80</w:t>
      </w:r>
      <w:r w:rsidR="00123354">
        <w:t> </w:t>
      </w:r>
      <w:r w:rsidRPr="00CC3D3E">
        <w:t>918 transactions</w:t>
      </w:r>
      <w:r>
        <w:rPr>
          <w:rStyle w:val="Appelnotedebasdep"/>
        </w:rPr>
        <w:footnoteReference w:id="439"/>
      </w:r>
      <w:r w:rsidR="00EF0BC6">
        <w:t>.</w:t>
      </w:r>
    </w:p>
    <w:p w14:paraId="5A2F9FAE" w14:textId="77777777" w:rsidR="00710595" w:rsidRDefault="00730A01" w:rsidP="0098012F">
      <w:pPr>
        <w:pStyle w:val="Paragraphe"/>
        <w:numPr>
          <w:ilvl w:val="0"/>
          <w:numId w:val="1"/>
        </w:numPr>
        <w:tabs>
          <w:tab w:val="clear" w:pos="786"/>
        </w:tabs>
        <w:spacing w:before="240" w:line="240" w:lineRule="auto"/>
        <w:ind w:left="0"/>
      </w:pPr>
      <w:r>
        <w:t xml:space="preserve">Aux termes du </w:t>
      </w:r>
      <w:r w:rsidR="00EB10D9">
        <w:t>j</w:t>
      </w:r>
      <w:r>
        <w:t xml:space="preserve">ugement Pilote, les Défendeurs devaient produire une déclaration sous serment détaillée portant sur la valeur de leurs actifs et se soumettre à un interrogatoire sur celle-ci. Or, les Défendeurs ont cherché à contourner cette ordonnance et ont fait fi des mises en garde de la </w:t>
      </w:r>
      <w:r w:rsidR="00FD5289">
        <w:t>j</w:t>
      </w:r>
      <w:r>
        <w:t xml:space="preserve">uge Gagnon, selon laquelle l’interrogatoire susmentionné devait avoir lieu, peu importe la décision à intervenir sur le renouvellement de l’ordonnance </w:t>
      </w:r>
      <w:r w:rsidRPr="00FD5289">
        <w:rPr>
          <w:i/>
          <w:iCs/>
        </w:rPr>
        <w:t>Mareva</w:t>
      </w:r>
      <w:r>
        <w:t>, en formulant une objection générale à la tenue de l’interrogatoire du 19</w:t>
      </w:r>
      <w:r w:rsidR="00FD5289">
        <w:t> </w:t>
      </w:r>
      <w:r>
        <w:t>juillet</w:t>
      </w:r>
      <w:r w:rsidR="00FD5289">
        <w:t> </w:t>
      </w:r>
      <w:r>
        <w:t>2023 et en s’objectant à l’ensemble des 56</w:t>
      </w:r>
      <w:r w:rsidR="00FD5289">
        <w:t> </w:t>
      </w:r>
      <w:r>
        <w:t>engagements souscrits à l’occasion de celui-ci. Ainsi, alors que le Jugement Pilote requérait spécifiquement que la déclaration sous serment détaillée des Défendeurs fasse état de la valeur des actifs, ces derniers n’ont divulgué aucun passif, aucun compte à payer, aucune dette ni mauvaise créance ou dévaluation.</w:t>
      </w:r>
    </w:p>
    <w:p w14:paraId="700DBA16" w14:textId="77777777" w:rsidR="00CC3D3E" w:rsidRPr="003F617B" w:rsidRDefault="00730A01" w:rsidP="0098012F">
      <w:pPr>
        <w:pStyle w:val="Paragraphe"/>
        <w:numPr>
          <w:ilvl w:val="0"/>
          <w:numId w:val="1"/>
        </w:numPr>
        <w:tabs>
          <w:tab w:val="clear" w:pos="786"/>
        </w:tabs>
        <w:spacing w:line="240" w:lineRule="auto"/>
        <w:ind w:left="0"/>
        <w:rPr>
          <w:szCs w:val="24"/>
        </w:rPr>
      </w:pPr>
      <w:r w:rsidRPr="00900362">
        <w:rPr>
          <w:szCs w:val="24"/>
        </w:rPr>
        <w:t>Les propos des avocats des Défendeurs à l’occasion de cet interrogatoire démontrent que les Défendeurs ont fait abstraction totale de l’esprit de l’ordonnance injonctive pour tenter de la déjouer, en n’incluant pas la valeur de leurs passifs puisque ce mot n’était pas inclus dans les conclusions du jugement rendu, alors qu’on leur demandait de produire la valeur de leurs actifs</w:t>
      </w:r>
      <w:r w:rsidR="00FD5289">
        <w:rPr>
          <w:szCs w:val="24"/>
        </w:rPr>
        <w:t> </w:t>
      </w:r>
      <w:r w:rsidRPr="00900362">
        <w:rPr>
          <w:szCs w:val="24"/>
        </w:rPr>
        <w:t>:</w:t>
      </w:r>
    </w:p>
    <w:p w14:paraId="59A8E310" w14:textId="77777777" w:rsidR="00852048" w:rsidRPr="00900362" w:rsidRDefault="00730A01" w:rsidP="00E65648">
      <w:pPr>
        <w:pStyle w:val="Citationenretrait"/>
        <w:ind w:right="539"/>
        <w:rPr>
          <w:b/>
          <w:bCs/>
        </w:rPr>
      </w:pPr>
      <w:r w:rsidRPr="003F617B">
        <w:t>M</w:t>
      </w:r>
      <w:r w:rsidRPr="00FD5289">
        <w:rPr>
          <w:vertAlign w:val="superscript"/>
        </w:rPr>
        <w:t>e</w:t>
      </w:r>
      <w:r w:rsidR="00FD5289">
        <w:t> </w:t>
      </w:r>
      <w:r w:rsidRPr="003F617B">
        <w:t>Marc-Antoine Coté</w:t>
      </w:r>
      <w:r w:rsidRPr="00900362">
        <w:rPr>
          <w:b/>
          <w:bCs/>
        </w:rPr>
        <w:t> </w:t>
      </w:r>
      <w:r w:rsidRPr="003F617B">
        <w:t>:</w:t>
      </w:r>
    </w:p>
    <w:p w14:paraId="3F1BCD6E" w14:textId="77777777" w:rsidR="00852048" w:rsidRDefault="00730A01" w:rsidP="00E65648">
      <w:pPr>
        <w:pStyle w:val="Citationenretrait"/>
        <w:spacing w:before="0"/>
        <w:ind w:right="539"/>
      </w:pPr>
      <w:r>
        <w:t>(…)</w:t>
      </w:r>
    </w:p>
    <w:p w14:paraId="28A4CF07" w14:textId="77777777" w:rsidR="00852048" w:rsidRPr="005365A1" w:rsidRDefault="00730A01" w:rsidP="00E65648">
      <w:pPr>
        <w:pStyle w:val="Citationenretrait"/>
        <w:spacing w:before="0"/>
        <w:ind w:right="539"/>
        <w:rPr>
          <w:i/>
          <w:iCs/>
        </w:rPr>
      </w:pPr>
      <w:r w:rsidRPr="005365A1">
        <w:rPr>
          <w:i/>
          <w:iCs/>
        </w:rPr>
        <w:t>L’ordonnance du vingt-neuf (29) ordonne au défendeur</w:t>
      </w:r>
      <w:r w:rsidR="00FD5289">
        <w:rPr>
          <w:i/>
          <w:iCs/>
        </w:rPr>
        <w:t> </w:t>
      </w:r>
      <w:r w:rsidRPr="005365A1">
        <w:rPr>
          <w:i/>
          <w:iCs/>
        </w:rPr>
        <w:t>:</w:t>
      </w:r>
    </w:p>
    <w:p w14:paraId="55A6FFC1" w14:textId="77777777" w:rsidR="00852048" w:rsidRPr="005365A1" w:rsidRDefault="00730A01" w:rsidP="00E65648">
      <w:pPr>
        <w:pStyle w:val="Citationenretrait"/>
        <w:spacing w:before="0"/>
        <w:ind w:right="539"/>
        <w:rPr>
          <w:i/>
          <w:iCs/>
        </w:rPr>
      </w:pPr>
      <w:r w:rsidRPr="005365A1">
        <w:rPr>
          <w:i/>
          <w:iCs/>
        </w:rPr>
        <w:t>«</w:t>
      </w:r>
      <w:r w:rsidR="00FD5289">
        <w:rPr>
          <w:i/>
          <w:iCs/>
        </w:rPr>
        <w:t> </w:t>
      </w:r>
      <w:r w:rsidRPr="005365A1">
        <w:rPr>
          <w:i/>
          <w:iCs/>
        </w:rPr>
        <w:t>De préparer les déclarations sous serment, détaillées et décrivant la nature, la valeur, le lieu où sont situés les actifs à travers le monde.</w:t>
      </w:r>
      <w:r w:rsidR="00FD5289">
        <w:rPr>
          <w:i/>
          <w:iCs/>
        </w:rPr>
        <w:t> </w:t>
      </w:r>
      <w:r w:rsidRPr="005365A1">
        <w:rPr>
          <w:i/>
          <w:iCs/>
        </w:rPr>
        <w:t>»</w:t>
      </w:r>
    </w:p>
    <w:p w14:paraId="02AE8282" w14:textId="77777777" w:rsidR="00852048" w:rsidRPr="005365A1" w:rsidRDefault="00730A01" w:rsidP="00E65648">
      <w:pPr>
        <w:pStyle w:val="Citationenretrait"/>
        <w:spacing w:before="0"/>
        <w:ind w:right="539"/>
        <w:rPr>
          <w:i/>
          <w:iCs/>
        </w:rPr>
      </w:pPr>
      <w:r w:rsidRPr="005365A1">
        <w:rPr>
          <w:i/>
          <w:iCs/>
        </w:rPr>
        <w:t xml:space="preserve">Ça ne demande pas d’établir le passif qui est sur chacun de ces actifs-là. Je m’objecte. Ce n’est pas une des conclusions qui est recherchée. </w:t>
      </w:r>
      <w:r w:rsidRPr="00E65648">
        <w:rPr>
          <w:i/>
          <w:iCs/>
          <w:u w:val="single"/>
        </w:rPr>
        <w:t>Si on voulait avoir le passif, on devait avoir une conclusion qui ordonnait d’établir les actifs, et également le passif de chacun de ces...</w:t>
      </w:r>
      <w:r w:rsidRPr="005365A1">
        <w:rPr>
          <w:i/>
          <w:iCs/>
        </w:rPr>
        <w:t xml:space="preserve"> qui grevait chacun de ces actifs-là.</w:t>
      </w:r>
    </w:p>
    <w:p w14:paraId="7BD15E36" w14:textId="77777777" w:rsidR="00852048" w:rsidRDefault="00730A01" w:rsidP="001D3ECB">
      <w:pPr>
        <w:pStyle w:val="Citationenretrait"/>
        <w:spacing w:before="0" w:after="0"/>
        <w:ind w:right="539"/>
        <w:rPr>
          <w:i/>
          <w:iCs/>
        </w:rPr>
      </w:pPr>
      <w:r w:rsidRPr="00E65648">
        <w:rPr>
          <w:i/>
          <w:iCs/>
          <w:u w:val="single"/>
        </w:rPr>
        <w:t>Ce n’est pas ce qui a été demandé; ce n’est pas ce qui a été ordonné; ce n’est pas ce qui a été fait</w:t>
      </w:r>
      <w:r>
        <w:rPr>
          <w:rStyle w:val="Appelnotedebasdep"/>
        </w:rPr>
        <w:footnoteReference w:id="440"/>
      </w:r>
      <w:r w:rsidR="00FD5289">
        <w:rPr>
          <w:i/>
          <w:iCs/>
        </w:rPr>
        <w:t>.</w:t>
      </w:r>
    </w:p>
    <w:p w14:paraId="2A18252C" w14:textId="77777777" w:rsidR="00E65648" w:rsidRPr="00FD5289" w:rsidRDefault="00730A01" w:rsidP="00E65648">
      <w:pPr>
        <w:pStyle w:val="Citationenretrait"/>
        <w:spacing w:before="0"/>
        <w:ind w:right="539"/>
        <w:jc w:val="right"/>
        <w:rPr>
          <w:sz w:val="20"/>
        </w:rPr>
      </w:pPr>
      <w:r w:rsidRPr="00FD5289">
        <w:rPr>
          <w:sz w:val="20"/>
        </w:rPr>
        <w:t>[Nos soulignés]</w:t>
      </w:r>
    </w:p>
    <w:p w14:paraId="7B56D495" w14:textId="77777777" w:rsidR="00900362" w:rsidRDefault="00730A01" w:rsidP="0098012F">
      <w:pPr>
        <w:pStyle w:val="Paragraphe"/>
        <w:numPr>
          <w:ilvl w:val="0"/>
          <w:numId w:val="1"/>
        </w:numPr>
        <w:tabs>
          <w:tab w:val="clear" w:pos="786"/>
        </w:tabs>
        <w:spacing w:line="240" w:lineRule="auto"/>
        <w:ind w:left="0"/>
      </w:pPr>
      <w:r w:rsidRPr="00900362">
        <w:rPr>
          <w:szCs w:val="24"/>
        </w:rPr>
        <w:t>Les</w:t>
      </w:r>
      <w:r>
        <w:t xml:space="preserve"> Défendeurs ont donc sciemment produit une déclaration sous serment qu’ils savaient non conforme au Jugement Pilote. </w:t>
      </w:r>
    </w:p>
    <w:p w14:paraId="4D2662E5" w14:textId="77777777" w:rsidR="00852048" w:rsidRDefault="00730A01" w:rsidP="0098012F">
      <w:pPr>
        <w:pStyle w:val="Paragraphe"/>
        <w:numPr>
          <w:ilvl w:val="0"/>
          <w:numId w:val="1"/>
        </w:numPr>
        <w:tabs>
          <w:tab w:val="clear" w:pos="786"/>
        </w:tabs>
        <w:spacing w:line="240" w:lineRule="auto"/>
        <w:ind w:left="0"/>
      </w:pPr>
      <w:r>
        <w:t xml:space="preserve">Ajoutons que le </w:t>
      </w:r>
      <w:r w:rsidR="00FD5289">
        <w:t>j</w:t>
      </w:r>
      <w:r>
        <w:t xml:space="preserve">uge </w:t>
      </w:r>
      <w:r w:rsidR="00E65648">
        <w:t xml:space="preserve">Jacques G. </w:t>
      </w:r>
      <w:r>
        <w:t>Bouchard a rejeté l’ensemble des objections soulevées par les Défendeurs lors de l’interrogatoire du 19</w:t>
      </w:r>
      <w:r w:rsidR="00E65648">
        <w:t> </w:t>
      </w:r>
      <w:r>
        <w:t>juillet</w:t>
      </w:r>
      <w:r w:rsidR="00E65648">
        <w:t> </w:t>
      </w:r>
      <w:r>
        <w:t>2023 et ordonné la communication des engagements demandés par les Demandeurs. Dans son jugement du 5</w:t>
      </w:r>
      <w:r w:rsidR="00FD5289">
        <w:t> </w:t>
      </w:r>
      <w:r>
        <w:t>septembre</w:t>
      </w:r>
      <w:r w:rsidR="00FD5289">
        <w:t> </w:t>
      </w:r>
      <w:r>
        <w:t xml:space="preserve">2023, le </w:t>
      </w:r>
      <w:r w:rsidR="00FD5289">
        <w:t>j</w:t>
      </w:r>
      <w:r>
        <w:t>uge Bouchard souligne l’évidence même du fait qu’il importe de divulguer les passifs reliés à un bien afin de pouvoir en connaître la valeur réelle</w:t>
      </w:r>
      <w:r w:rsidR="00900362">
        <w:t>.</w:t>
      </w:r>
    </w:p>
    <w:p w14:paraId="54ACD451" w14:textId="77777777" w:rsidR="00852048" w:rsidRPr="001B652C" w:rsidRDefault="00730A01" w:rsidP="00E65648">
      <w:pPr>
        <w:pStyle w:val="Citationenretrait"/>
        <w:ind w:right="539"/>
      </w:pPr>
      <w:r w:rsidRPr="003057F3">
        <w:rPr>
          <w:rStyle w:val="lev"/>
          <w:b w:val="0"/>
          <w:bCs w:val="0"/>
        </w:rPr>
        <w:t>[12]</w:t>
      </w:r>
      <w:r w:rsidR="00F677EE">
        <w:rPr>
          <w:rStyle w:val="lev"/>
        </w:rPr>
        <w:t> </w:t>
      </w:r>
      <w:r w:rsidRPr="001B652C">
        <w:t>Rappelons que lors de l’audition de la demande en injonction provisoire, la juge Gagnon a reconnu l’apparence du droit invoqué par les demandeurs et surtout, celle-ci a souligné à plusieurs reprises que son appréciation ne s’appliquait qu’au stade provisoire, dans un contexte d’une preuve nécessairement incomplète.</w:t>
      </w:r>
    </w:p>
    <w:p w14:paraId="0559FB33" w14:textId="77777777" w:rsidR="00852048" w:rsidRPr="001B652C" w:rsidRDefault="00730A01" w:rsidP="00E65648">
      <w:pPr>
        <w:pStyle w:val="Citationenretrait"/>
        <w:ind w:right="539"/>
        <w:rPr>
          <w:u w:val="single"/>
        </w:rPr>
      </w:pPr>
      <w:r w:rsidRPr="003057F3">
        <w:rPr>
          <w:rStyle w:val="lev"/>
          <w:b w:val="0"/>
          <w:bCs w:val="0"/>
        </w:rPr>
        <w:t>[13]</w:t>
      </w:r>
      <w:r w:rsidR="00F677EE">
        <w:t> </w:t>
      </w:r>
      <w:r w:rsidRPr="001B652C">
        <w:t xml:space="preserve">Notamment, relativement au critère du préjudice irréparable tout comme l’appréciation de la crédibilité de Robert Giroux, les renseignements requis seront certainement utiles. </w:t>
      </w:r>
      <w:r w:rsidRPr="001B652C">
        <w:rPr>
          <w:u w:val="single"/>
        </w:rPr>
        <w:t xml:space="preserve">D’ailleurs, connaître la valeur réelle des actifs en cause, il importe nécessairement de connaître également les passifs qui peuvent y être reliés. </w:t>
      </w:r>
    </w:p>
    <w:p w14:paraId="680689D9" w14:textId="77777777" w:rsidR="00852048" w:rsidRPr="001B652C" w:rsidRDefault="00730A01" w:rsidP="00E65648">
      <w:pPr>
        <w:pStyle w:val="Citationenretrait"/>
        <w:ind w:right="539"/>
      </w:pPr>
      <w:r w:rsidRPr="003057F3">
        <w:rPr>
          <w:rStyle w:val="lev"/>
          <w:b w:val="0"/>
          <w:bCs w:val="0"/>
        </w:rPr>
        <w:t>[14]</w:t>
      </w:r>
      <w:r w:rsidR="00F677EE">
        <w:t> </w:t>
      </w:r>
      <w:r w:rsidRPr="001B652C">
        <w:t>La déclaration assermentée déposée par les défendeurs le 13</w:t>
      </w:r>
      <w:r w:rsidR="00FD5289">
        <w:t> </w:t>
      </w:r>
      <w:r w:rsidRPr="001B652C">
        <w:t>juillet</w:t>
      </w:r>
      <w:r w:rsidR="00FD5289">
        <w:t> </w:t>
      </w:r>
      <w:r w:rsidRPr="001B652C">
        <w:t>2023 est incomplète puisqu’elle ne mentionne aucun passif. Le Tribunal considère que cette omission contrevient à l’ordonnance rendue et empêche d’évaluer la valeur réelle des actifs</w:t>
      </w:r>
      <w:r>
        <w:rPr>
          <w:rStyle w:val="Appelnotedebasdep"/>
        </w:rPr>
        <w:footnoteReference w:id="441"/>
      </w:r>
      <w:r w:rsidR="00FD5289">
        <w:t>.</w:t>
      </w:r>
    </w:p>
    <w:p w14:paraId="5DE33E1F" w14:textId="77777777" w:rsidR="00E9357D" w:rsidRDefault="00730A01" w:rsidP="003C4AAA">
      <w:pPr>
        <w:pStyle w:val="Paragraphe"/>
        <w:numPr>
          <w:ilvl w:val="0"/>
          <w:numId w:val="1"/>
        </w:numPr>
        <w:tabs>
          <w:tab w:val="clear" w:pos="786"/>
        </w:tabs>
        <w:spacing w:line="240" w:lineRule="auto"/>
        <w:ind w:left="0"/>
      </w:pPr>
      <w:r>
        <w:t>De plus, la balance des inconvénients milite clairement en faveur de l’ordonnance :</w:t>
      </w:r>
      <w:r w:rsidR="00FD5289">
        <w:t xml:space="preserve"> </w:t>
      </w:r>
      <w:r>
        <w:t>le gel n’empêcherait pas Giroux de conserver des fonds suffisants pour ses frais de subsistance et de défense, mais il garantirait que le jugement demeure exécutoire. À cet effet, Giroux avait déjà pris l’engagement, lors de l’audience du 10</w:t>
      </w:r>
      <w:r w:rsidR="003057F3">
        <w:t> </w:t>
      </w:r>
      <w:r>
        <w:t>juillet</w:t>
      </w:r>
      <w:r w:rsidR="003057F3">
        <w:t> </w:t>
      </w:r>
      <w:r>
        <w:t>2023, de ne pas disposer de certains actifs.</w:t>
      </w:r>
    </w:p>
    <w:p w14:paraId="71D30180" w14:textId="77777777" w:rsidR="00E9357D" w:rsidRDefault="00730A01" w:rsidP="0098012F">
      <w:pPr>
        <w:pStyle w:val="Paragraphe"/>
        <w:numPr>
          <w:ilvl w:val="0"/>
          <w:numId w:val="1"/>
        </w:numPr>
        <w:tabs>
          <w:tab w:val="clear" w:pos="786"/>
        </w:tabs>
        <w:spacing w:line="240" w:lineRule="auto"/>
        <w:ind w:left="0"/>
      </w:pPr>
      <w:r>
        <w:t>Les conclusions des Demandeurs visent donc le gel des actifs financiers, des actions, immeubles et autres biens identifiés, y compris résidences, copropriétés, véhicules et bateau.</w:t>
      </w:r>
    </w:p>
    <w:p w14:paraId="46ED8E53" w14:textId="77777777" w:rsidR="00597B25" w:rsidRDefault="00730A01" w:rsidP="0098012F">
      <w:pPr>
        <w:pStyle w:val="Paragraphe"/>
        <w:numPr>
          <w:ilvl w:val="0"/>
          <w:numId w:val="1"/>
        </w:numPr>
        <w:tabs>
          <w:tab w:val="clear" w:pos="786"/>
        </w:tabs>
        <w:spacing w:line="240" w:lineRule="auto"/>
        <w:ind w:left="0"/>
      </w:pPr>
      <w:r>
        <w:t xml:space="preserve">L’ordonnance </w:t>
      </w:r>
      <w:r w:rsidRPr="00FD5289">
        <w:rPr>
          <w:i/>
          <w:iCs/>
        </w:rPr>
        <w:t>Mareva</w:t>
      </w:r>
      <w:r>
        <w:t xml:space="preserve"> permettra de préserver les droits des Demandeurs durant l’appel. Cette mesure s’avère nécessaires pour éviter que le jugement ne demeure lettre morte face aux manœuvres de dissipation déjà constatées et</w:t>
      </w:r>
      <w:r w:rsidRPr="0000074D">
        <w:t xml:space="preserve"> </w:t>
      </w:r>
      <w:r>
        <w:t xml:space="preserve">justifie le Tribunal d’accorder l’ordonnance </w:t>
      </w:r>
      <w:r w:rsidRPr="00FD5289">
        <w:rPr>
          <w:i/>
          <w:iCs/>
        </w:rPr>
        <w:t>Mareva</w:t>
      </w:r>
      <w:r>
        <w:t xml:space="preserve"> demandée</w:t>
      </w:r>
      <w:r w:rsidR="00E9357D">
        <w:t>.</w:t>
      </w:r>
    </w:p>
    <w:p w14:paraId="2279E5B0" w14:textId="77777777" w:rsidR="00597B25" w:rsidRDefault="00730A01" w:rsidP="0098012F">
      <w:pPr>
        <w:pStyle w:val="Paragraphe"/>
        <w:numPr>
          <w:ilvl w:val="0"/>
          <w:numId w:val="1"/>
        </w:numPr>
        <w:tabs>
          <w:tab w:val="clear" w:pos="786"/>
        </w:tabs>
        <w:spacing w:line="240" w:lineRule="auto"/>
        <w:ind w:left="0"/>
      </w:pPr>
      <w:r w:rsidRPr="00A66947">
        <w:t xml:space="preserve">D’ailleurs, la fraude des Défendeurs est d’une telle importance qu’elle </w:t>
      </w:r>
      <w:r>
        <w:t xml:space="preserve">pourrait </w:t>
      </w:r>
      <w:r w:rsidRPr="00A66947">
        <w:t>justifie</w:t>
      </w:r>
      <w:r>
        <w:t>r</w:t>
      </w:r>
      <w:r w:rsidRPr="00A66947">
        <w:t xml:space="preserve"> à elle seule l’émission d’une ordonnance de type </w:t>
      </w:r>
      <w:r w:rsidRPr="00FD5289">
        <w:rPr>
          <w:i/>
          <w:iCs/>
        </w:rPr>
        <w:t>Mareva</w:t>
      </w:r>
      <w:r w:rsidRPr="00A66947">
        <w:t xml:space="preserve"> afin d’aider les Demandeurs dans l’exécution d’un jugement favorable</w:t>
      </w:r>
      <w:r>
        <w:t xml:space="preserve">, </w:t>
      </w:r>
      <w:r w:rsidRPr="00597B25">
        <w:rPr>
          <w:i/>
          <w:iCs/>
        </w:rPr>
        <w:t>Coast to Coast Against Cancer</w:t>
      </w:r>
      <w:r w:rsidRPr="00597B25">
        <w:t xml:space="preserve"> v.</w:t>
      </w:r>
      <w:r w:rsidRPr="00597B25">
        <w:rPr>
          <w:i/>
          <w:iCs/>
        </w:rPr>
        <w:t xml:space="preserve"> Sokolowski</w:t>
      </w:r>
      <w:r>
        <w:rPr>
          <w:rStyle w:val="Appelnotedebasdep"/>
        </w:rPr>
        <w:footnoteReference w:id="442"/>
      </w:r>
      <w:r>
        <w:t xml:space="preserve"> confirme </w:t>
      </w:r>
      <w:r w:rsidRPr="00597B25">
        <w:t xml:space="preserve">que l’ordonnance </w:t>
      </w:r>
      <w:r w:rsidRPr="00FD5289">
        <w:rPr>
          <w:i/>
          <w:iCs/>
        </w:rPr>
        <w:t>Mareva</w:t>
      </w:r>
      <w:r w:rsidRPr="00597B25">
        <w:t xml:space="preserve"> n’est pas figée</w:t>
      </w:r>
      <w:r w:rsidR="00FD5289">
        <w:t> </w:t>
      </w:r>
      <w:r w:rsidRPr="00597B25">
        <w:t>: son rejet antérieur n’interdit pas qu’une nouvelle soit prononcée si la preuve évolue ou si le risque de dissipation se renforce.</w:t>
      </w:r>
    </w:p>
    <w:p w14:paraId="396D5B1E" w14:textId="77777777" w:rsidR="004409B1" w:rsidRDefault="00730A01" w:rsidP="0098012F">
      <w:pPr>
        <w:pStyle w:val="Paragraphe"/>
        <w:numPr>
          <w:ilvl w:val="0"/>
          <w:numId w:val="1"/>
        </w:numPr>
        <w:tabs>
          <w:tab w:val="clear" w:pos="786"/>
        </w:tabs>
        <w:spacing w:line="240" w:lineRule="auto"/>
        <w:ind w:left="0"/>
      </w:pPr>
      <w:r>
        <w:t xml:space="preserve">À l’instar de la décision rendue dans </w:t>
      </w:r>
      <w:bookmarkStart w:id="139" w:name="_Hlk208401964"/>
      <w:r>
        <w:t xml:space="preserve">l’affaire </w:t>
      </w:r>
      <w:r w:rsidRPr="003057F3">
        <w:rPr>
          <w:rStyle w:val="lev"/>
          <w:b w:val="0"/>
          <w:bCs w:val="0"/>
          <w:i/>
          <w:iCs/>
        </w:rPr>
        <w:t>Sokolowski</w:t>
      </w:r>
      <w:r>
        <w:rPr>
          <w:rStyle w:val="Appelnotedebasdep"/>
        </w:rPr>
        <w:footnoteReference w:id="443"/>
      </w:r>
      <w:r w:rsidRPr="00597B25">
        <w:rPr>
          <w:rStyle w:val="lev"/>
          <w:b w:val="0"/>
          <w:bCs w:val="0"/>
        </w:rPr>
        <w:t xml:space="preserve">, </w:t>
      </w:r>
      <w:bookmarkEnd w:id="139"/>
      <w:r w:rsidRPr="003057F3">
        <w:rPr>
          <w:rStyle w:val="lev"/>
          <w:b w:val="0"/>
          <w:bCs w:val="0"/>
          <w:szCs w:val="24"/>
        </w:rPr>
        <w:t>le Tribunal considère</w:t>
      </w:r>
      <w:r>
        <w:t xml:space="preserve"> que la force de la preuve de fraude et les nouveaux éléments présentés démontrent un </w:t>
      </w:r>
      <w:r w:rsidRPr="003057F3">
        <w:rPr>
          <w:rStyle w:val="lev"/>
          <w:b w:val="0"/>
          <w:bCs w:val="0"/>
        </w:rPr>
        <w:t>risque réel et sérieux de dissipation</w:t>
      </w:r>
      <w:r>
        <w:t xml:space="preserve"> des actifs. Ainsi, même si une ordonnance </w:t>
      </w:r>
      <w:r w:rsidRPr="00FD5289">
        <w:rPr>
          <w:i/>
          <w:iCs/>
        </w:rPr>
        <w:t>Mareva</w:t>
      </w:r>
      <w:r>
        <w:t xml:space="preserve"> a été cassée auparavant, rien n’empêche d’en émettre une nouvelle, considérant que les circonstances le justifient et que l’objectif demeure la préservation des droits des créanciers.</w:t>
      </w:r>
    </w:p>
    <w:p w14:paraId="334D60FF" w14:textId="77777777" w:rsidR="00CC3D3E" w:rsidRPr="00C5266B" w:rsidRDefault="00730A01" w:rsidP="00083CE2">
      <w:pPr>
        <w:pStyle w:val="Titre3"/>
        <w:rPr>
          <w:b/>
          <w:bCs/>
        </w:rPr>
      </w:pPr>
      <w:bookmarkStart w:id="140" w:name="_Toc210992320"/>
      <w:bookmarkStart w:id="141" w:name="_Toc211495259"/>
      <w:bookmarkStart w:id="142" w:name="_Toc211600667"/>
      <w:r>
        <w:rPr>
          <w:b/>
          <w:bCs/>
        </w:rPr>
        <w:t xml:space="preserve">2. </w:t>
      </w:r>
      <w:r w:rsidR="00CB46A7">
        <w:rPr>
          <w:b/>
          <w:bCs/>
        </w:rPr>
        <w:t>L’e</w:t>
      </w:r>
      <w:r w:rsidRPr="00C5266B">
        <w:rPr>
          <w:b/>
          <w:bCs/>
        </w:rPr>
        <w:t>xécution provisoire nonobstant appel</w:t>
      </w:r>
      <w:bookmarkEnd w:id="140"/>
      <w:bookmarkEnd w:id="141"/>
      <w:bookmarkEnd w:id="142"/>
    </w:p>
    <w:p w14:paraId="3A8EDAF9" w14:textId="77777777" w:rsidR="00CC3D3E" w:rsidRDefault="00730A01" w:rsidP="0098012F">
      <w:pPr>
        <w:pStyle w:val="Paragraphe"/>
        <w:numPr>
          <w:ilvl w:val="0"/>
          <w:numId w:val="1"/>
        </w:numPr>
        <w:tabs>
          <w:tab w:val="clear" w:pos="786"/>
        </w:tabs>
        <w:spacing w:line="240" w:lineRule="auto"/>
        <w:ind w:left="0"/>
      </w:pPr>
      <w:r>
        <w:t>En principe, l’article</w:t>
      </w:r>
      <w:r w:rsidR="00FD5289">
        <w:t> </w:t>
      </w:r>
      <w:r>
        <w:t>355 C.p.c. établit que l’appel suspend l’exécution d’un jugement. Toutefois, l’article</w:t>
      </w:r>
      <w:r w:rsidR="00FD5289">
        <w:t> </w:t>
      </w:r>
      <w:r>
        <w:t>661 C.p.c. prévoit la possibilité d’ordonner l’exécution provisoire, totale ou partielle, lorsque le retard d’exécution risque d’entraîner un préjudice sérieux ou irréparable. La jurisprudence confirme cette approche</w:t>
      </w:r>
      <w:r>
        <w:rPr>
          <w:rStyle w:val="Appelnotedebasdep"/>
        </w:rPr>
        <w:footnoteReference w:id="444"/>
      </w:r>
      <w:r w:rsidR="00FD5289">
        <w:t>.</w:t>
      </w:r>
    </w:p>
    <w:p w14:paraId="15734F1D" w14:textId="77777777" w:rsidR="00CC3D3E" w:rsidRDefault="00730A01" w:rsidP="0098012F">
      <w:pPr>
        <w:pStyle w:val="Paragraphe"/>
        <w:numPr>
          <w:ilvl w:val="0"/>
          <w:numId w:val="1"/>
        </w:numPr>
        <w:tabs>
          <w:tab w:val="clear" w:pos="786"/>
        </w:tabs>
        <w:spacing w:line="240" w:lineRule="auto"/>
        <w:ind w:left="0"/>
      </w:pPr>
      <w:r>
        <w:t xml:space="preserve">Les Demandeurs réclament ainsi l’exécution provisoire du jugement, au moins de manière partielle, en laissant aux Défendeurs une somme de 500 000 $ pour subvenir à leurs besoins essentiels et payer leurs avocats. </w:t>
      </w:r>
    </w:p>
    <w:p w14:paraId="03AEB80C" w14:textId="77777777" w:rsidR="00CB46A7" w:rsidRDefault="00730A01" w:rsidP="0098012F">
      <w:pPr>
        <w:pStyle w:val="Paragraphe"/>
        <w:numPr>
          <w:ilvl w:val="0"/>
          <w:numId w:val="1"/>
        </w:numPr>
        <w:tabs>
          <w:tab w:val="clear" w:pos="786"/>
        </w:tabs>
        <w:spacing w:line="240" w:lineRule="auto"/>
        <w:ind w:left="0"/>
      </w:pPr>
      <w:r>
        <w:t xml:space="preserve">Les auteurs Ferland et Emery rappellent, dans leur </w:t>
      </w:r>
      <w:r w:rsidR="009D48AD">
        <w:t>p</w:t>
      </w:r>
      <w:r>
        <w:t>récis de procédure civile</w:t>
      </w:r>
      <w:r>
        <w:rPr>
          <w:rStyle w:val="Appelnotedebasdep"/>
        </w:rPr>
        <w:footnoteReference w:id="445"/>
      </w:r>
      <w:r w:rsidR="009D48AD">
        <w:t xml:space="preserve"> la large discrétion laissée au juge en matière d’exécution provisoire et la Cour d’appel explique, dans l’affaire </w:t>
      </w:r>
      <w:r w:rsidR="009D48AD">
        <w:rPr>
          <w:i/>
          <w:iCs/>
        </w:rPr>
        <w:t>CTI Capital</w:t>
      </w:r>
      <w:r>
        <w:rPr>
          <w:rStyle w:val="Appelnotedebasdep"/>
          <w:i/>
          <w:iCs/>
        </w:rPr>
        <w:footnoteReference w:id="446"/>
      </w:r>
      <w:r w:rsidR="009D48AD">
        <w:rPr>
          <w:i/>
          <w:iCs/>
        </w:rPr>
        <w:t xml:space="preserve"> </w:t>
      </w:r>
      <w:r w:rsidR="009D48AD" w:rsidRPr="009D48AD">
        <w:t>que malgré que les</w:t>
      </w:r>
      <w:r w:rsidR="009D48AD">
        <w:t xml:space="preserve"> tribunaux soient en général plutôt réticents à ordonner l’exécution provisoire des condamnations pécuniaires, chaque dossier doit être analysé cas par cas.</w:t>
      </w:r>
    </w:p>
    <w:p w14:paraId="60D753CA" w14:textId="77777777" w:rsidR="009D48AD" w:rsidRDefault="00730A01" w:rsidP="0098012F">
      <w:pPr>
        <w:pStyle w:val="Paragraphe"/>
        <w:numPr>
          <w:ilvl w:val="0"/>
          <w:numId w:val="1"/>
        </w:numPr>
        <w:tabs>
          <w:tab w:val="clear" w:pos="786"/>
        </w:tabs>
        <w:spacing w:line="240" w:lineRule="auto"/>
        <w:ind w:left="0"/>
      </w:pPr>
      <w:r>
        <w:t>En l’espèce, il y a lieu de prendre en considération les éléments suivants :</w:t>
      </w:r>
    </w:p>
    <w:p w14:paraId="3FB64566" w14:textId="77777777" w:rsidR="009D48AD" w:rsidRPr="003F617B" w:rsidRDefault="00730A01" w:rsidP="0042740E">
      <w:pPr>
        <w:pStyle w:val="Titre4"/>
        <w:numPr>
          <w:ilvl w:val="1"/>
          <w:numId w:val="13"/>
        </w:numPr>
        <w:ind w:left="993" w:hanging="283"/>
      </w:pPr>
      <w:r w:rsidRPr="003F617B">
        <w:t>Le risque manifeste de dissipation d’actifs :</w:t>
      </w:r>
    </w:p>
    <w:p w14:paraId="4E912BCD" w14:textId="77777777" w:rsidR="009D48AD" w:rsidRDefault="00730A01" w:rsidP="0098012F">
      <w:pPr>
        <w:pStyle w:val="Citationenretrait"/>
        <w:ind w:right="0"/>
      </w:pPr>
      <w:r>
        <w:t xml:space="preserve">Le Défendeur Giroux a démontré sa capacité à transférer, dissimuler ou faire circuler des fonds entre ses multiples sociétés contrôlées (notamment 6646, 8096, 1395, 9797 et X2), créant une </w:t>
      </w:r>
      <w:r>
        <w:rPr>
          <w:i/>
          <w:iCs/>
        </w:rPr>
        <w:t>confusion totale entre les patrimoines</w:t>
      </w:r>
      <w:r>
        <w:t>. Cette situation rend incertaine la récupération effective des sommes dues si le jugement devait être différé.</w:t>
      </w:r>
    </w:p>
    <w:p w14:paraId="324A37D5" w14:textId="77777777" w:rsidR="009D48AD" w:rsidRPr="003F617B" w:rsidRDefault="00730A01" w:rsidP="0042740E">
      <w:pPr>
        <w:pStyle w:val="Titre4"/>
        <w:numPr>
          <w:ilvl w:val="1"/>
          <w:numId w:val="13"/>
        </w:numPr>
        <w:ind w:left="993" w:hanging="283"/>
        <w:rPr>
          <w:b w:val="0"/>
          <w:bCs/>
        </w:rPr>
      </w:pPr>
      <w:r w:rsidRPr="003F617B">
        <w:rPr>
          <w:bCs/>
        </w:rPr>
        <w:t>La volonté de soustraire les biens à l’exécution :</w:t>
      </w:r>
    </w:p>
    <w:p w14:paraId="644CB07B" w14:textId="77777777" w:rsidR="009D48AD" w:rsidRDefault="00730A01" w:rsidP="0098012F">
      <w:pPr>
        <w:pStyle w:val="Citationenretrait"/>
        <w:ind w:right="0"/>
      </w:pPr>
      <w:r>
        <w:t>Tel qu’il ressort de l’</w:t>
      </w:r>
      <w:r>
        <w:rPr>
          <w:i/>
          <w:iCs/>
        </w:rPr>
        <w:t>Annexe</w:t>
      </w:r>
      <w:r w:rsidR="00FD5289">
        <w:rPr>
          <w:i/>
          <w:iCs/>
        </w:rPr>
        <w:t> </w:t>
      </w:r>
      <w:r>
        <w:rPr>
          <w:i/>
          <w:iCs/>
        </w:rPr>
        <w:t>E</w:t>
      </w:r>
      <w:r w:rsidR="00E65648">
        <w:t xml:space="preserve">, jointe au présent jugement pour valoir comme si au long récité, </w:t>
      </w:r>
      <w:r>
        <w:t>– La désinvolture des Défendeurs face aux diverses ordonnances du Tribunal</w:t>
      </w:r>
      <w:r w:rsidR="00E65648">
        <w:t xml:space="preserve"> – </w:t>
      </w:r>
      <w:r>
        <w:rPr>
          <w:i/>
          <w:iCs/>
        </w:rPr>
        <w:t xml:space="preserve">Giroux et ses sociétés ont tenté, à plusieurs reprises, de se rendre </w:t>
      </w:r>
      <w:r w:rsidRPr="009D48AD">
        <w:t>«</w:t>
      </w:r>
      <w:r>
        <w:rPr>
          <w:i/>
          <w:iCs/>
        </w:rPr>
        <w:t> judgment proof </w:t>
      </w:r>
      <w:r w:rsidRPr="009D48AD">
        <w:t>»</w:t>
      </w:r>
      <w:r>
        <w:t>, en violation de leur devoir de loyauté envers les commanditaires. Ce comportement justifie, à notre avis, qu’une exécution immédiate soit ordonnée afin d’éviter la disparition du patrimoine exécutable.</w:t>
      </w:r>
    </w:p>
    <w:p w14:paraId="6D1B512C" w14:textId="77777777" w:rsidR="009D48AD" w:rsidRPr="003F617B" w:rsidRDefault="00730A01" w:rsidP="0042740E">
      <w:pPr>
        <w:pStyle w:val="Titre4"/>
        <w:numPr>
          <w:ilvl w:val="1"/>
          <w:numId w:val="13"/>
        </w:numPr>
        <w:ind w:left="993" w:hanging="283"/>
        <w:rPr>
          <w:b w:val="0"/>
          <w:bCs/>
        </w:rPr>
      </w:pPr>
      <w:r w:rsidRPr="003F617B">
        <w:rPr>
          <w:bCs/>
        </w:rPr>
        <w:t>La nature frauduleuse et la gravité des fautes :</w:t>
      </w:r>
    </w:p>
    <w:p w14:paraId="4C05F3CE" w14:textId="77777777" w:rsidR="009D48AD" w:rsidRDefault="00730A01" w:rsidP="0098012F">
      <w:pPr>
        <w:pStyle w:val="Citationenretrait"/>
        <w:ind w:right="0"/>
      </w:pPr>
      <w:r>
        <w:t xml:space="preserve">Rappelons que la preuve a démontré une stratégie </w:t>
      </w:r>
      <w:r w:rsidR="00E65648">
        <w:t>de</w:t>
      </w:r>
      <w:r>
        <w:t xml:space="preserve"> système « Ponzi », des fausses représentations répétées et un abus du contrôle des sociétés en commandite. Dans un tel contexte, le Tribunal considère que la gravité des fautes commises et le risque de manœuvres dilatoires militent pour une exécution provisoire de plein droit, à l</w:t>
      </w:r>
      <w:r w:rsidR="00FD5289">
        <w:t>’</w:t>
      </w:r>
      <w:r>
        <w:t>image des mesures habituellement ordonnées dans les cas de fraude financière.</w:t>
      </w:r>
    </w:p>
    <w:p w14:paraId="1B66F231" w14:textId="77777777" w:rsidR="009D48AD" w:rsidRPr="003F617B" w:rsidRDefault="00730A01" w:rsidP="0042740E">
      <w:pPr>
        <w:pStyle w:val="Titre4"/>
        <w:numPr>
          <w:ilvl w:val="1"/>
          <w:numId w:val="13"/>
        </w:numPr>
        <w:ind w:left="993" w:hanging="283"/>
        <w:rPr>
          <w:b w:val="0"/>
          <w:bCs/>
        </w:rPr>
      </w:pPr>
      <w:r w:rsidRPr="003F617B">
        <w:rPr>
          <w:bCs/>
        </w:rPr>
        <w:t>La protection des investisseurs et l’impératif de justice :</w:t>
      </w:r>
    </w:p>
    <w:p w14:paraId="5765F8CC" w14:textId="77777777" w:rsidR="009D48AD" w:rsidRDefault="00730A01" w:rsidP="0098012F">
      <w:pPr>
        <w:pStyle w:val="Citationenretrait"/>
        <w:ind w:right="0"/>
      </w:pPr>
      <w:r>
        <w:t>Enfin, le Tribunal doit assurer une protection immédiate du capital des commanditaires, dont les fonds ont été détournés. L’exécution provisoire vise justement à préserver les droits des victimes et à empêcher Giroux de tirer avantage du délai d’appel pour poursuivre la dissipation des fonds.</w:t>
      </w:r>
    </w:p>
    <w:p w14:paraId="7E069062" w14:textId="77777777" w:rsidR="009D48AD" w:rsidRDefault="00730A01" w:rsidP="009C3F8B">
      <w:pPr>
        <w:pStyle w:val="Paragraphe"/>
        <w:numPr>
          <w:ilvl w:val="0"/>
          <w:numId w:val="1"/>
        </w:numPr>
        <w:tabs>
          <w:tab w:val="clear" w:pos="786"/>
        </w:tabs>
        <w:spacing w:after="0" w:line="240" w:lineRule="auto"/>
        <w:ind w:left="0"/>
      </w:pPr>
      <w:r>
        <w:t>Dans les circonstances du présent dossier,</w:t>
      </w:r>
      <w:r w:rsidR="00645098">
        <w:t xml:space="preserve"> </w:t>
      </w:r>
      <w:r>
        <w:t>vu ce qui précède, la crainte fondée de fraude, la confusion des</w:t>
      </w:r>
      <w:r w:rsidR="00645098">
        <w:t xml:space="preserve"> </w:t>
      </w:r>
      <w:r>
        <w:t>patrimoines,</w:t>
      </w:r>
      <w:r w:rsidR="00645098">
        <w:t xml:space="preserve"> </w:t>
      </w:r>
      <w:r>
        <w:t xml:space="preserve">la gravité des fautes et le </w:t>
      </w:r>
      <w:r w:rsidR="00345A1B">
        <w:t>r</w:t>
      </w:r>
      <w:r>
        <w:t>isque</w:t>
      </w:r>
      <w:r w:rsidR="00645098">
        <w:t xml:space="preserve"> </w:t>
      </w:r>
      <w:r>
        <w:t>de non-recouvrement, le Tribunal considère qu’il y a lieu d’accueillir la demande d’exécution immédiate partielle de l’ordonnance Mareva</w:t>
      </w:r>
      <w:r w:rsidR="003F617B">
        <w:t>, sous réserve d’une somme de 500 000 $ que les Défendeurs pourront conserver à titre de frais de subsistance jusqu’à ce que le jugement ait acquis l’autorité de la chose jugée.</w:t>
      </w:r>
    </w:p>
    <w:p w14:paraId="5CDDFD7B" w14:textId="77777777" w:rsidR="00345A1B" w:rsidRDefault="00730A01" w:rsidP="009C3F8B">
      <w:pPr>
        <w:pStyle w:val="Paragraphe"/>
        <w:numPr>
          <w:ilvl w:val="0"/>
          <w:numId w:val="0"/>
        </w:numPr>
        <w:tabs>
          <w:tab w:val="left" w:pos="3686"/>
        </w:tabs>
        <w:spacing w:line="240" w:lineRule="auto"/>
        <w:ind w:left="720"/>
      </w:pPr>
      <w:r>
        <w:tab/>
      </w:r>
      <w:r w:rsidR="00DD225E">
        <w:t>*</w:t>
      </w:r>
      <w:r>
        <w:t xml:space="preserve"> </w:t>
      </w:r>
      <w:r w:rsidR="00DD225E">
        <w:t>*</w:t>
      </w:r>
      <w:r>
        <w:t xml:space="preserve"> *</w:t>
      </w:r>
    </w:p>
    <w:p w14:paraId="4B523784" w14:textId="77777777" w:rsidR="00345A1B" w:rsidRDefault="00730A01">
      <w:pPr>
        <w:rPr>
          <w:kern w:val="28"/>
        </w:rPr>
      </w:pPr>
      <w:r>
        <w:br w:type="page"/>
      </w:r>
    </w:p>
    <w:p w14:paraId="2C28A902" w14:textId="77777777" w:rsidR="00BA063C" w:rsidRPr="00F12E1B" w:rsidRDefault="00730A01" w:rsidP="0042740E">
      <w:pPr>
        <w:pStyle w:val="Paragraphedeliste"/>
        <w:keepNext/>
        <w:keepLines/>
        <w:numPr>
          <w:ilvl w:val="1"/>
          <w:numId w:val="31"/>
        </w:numPr>
        <w:spacing w:before="240" w:line="276" w:lineRule="auto"/>
        <w:ind w:left="426" w:hanging="426"/>
        <w:outlineLvl w:val="0"/>
        <w:rPr>
          <w:b/>
          <w:bCs/>
          <w:smallCaps/>
          <w:szCs w:val="24"/>
        </w:rPr>
      </w:pPr>
      <w:bookmarkStart w:id="143" w:name="_Toc210992321"/>
      <w:bookmarkStart w:id="144" w:name="_Toc211495260"/>
      <w:bookmarkStart w:id="145" w:name="_Toc211600668"/>
      <w:r w:rsidRPr="00F12E1B">
        <w:rPr>
          <w:b/>
          <w:bCs/>
          <w:smallCaps/>
          <w:szCs w:val="24"/>
        </w:rPr>
        <w:t xml:space="preserve">L’abus de procédure </w:t>
      </w:r>
      <w:bookmarkEnd w:id="143"/>
      <w:bookmarkEnd w:id="144"/>
      <w:bookmarkEnd w:id="145"/>
    </w:p>
    <w:p w14:paraId="2EE87457" w14:textId="77777777" w:rsidR="00BA063C" w:rsidRPr="00597B25" w:rsidRDefault="00730A01" w:rsidP="0098012F">
      <w:pPr>
        <w:pStyle w:val="Paragraphe"/>
        <w:numPr>
          <w:ilvl w:val="0"/>
          <w:numId w:val="1"/>
        </w:numPr>
        <w:tabs>
          <w:tab w:val="clear" w:pos="786"/>
        </w:tabs>
        <w:spacing w:line="240" w:lineRule="auto"/>
        <w:ind w:left="0"/>
        <w:rPr>
          <w:rFonts w:cs="Arial"/>
          <w:b/>
          <w:bCs/>
          <w:sz w:val="22"/>
          <w:szCs w:val="22"/>
        </w:rPr>
      </w:pPr>
      <w:r w:rsidRPr="00597B25">
        <w:rPr>
          <w:rFonts w:cs="Arial"/>
        </w:rPr>
        <w:t>Les Demandeurs demandent au Tribunal de sanctionner non seulement les fautes</w:t>
      </w:r>
      <w:r w:rsidRPr="00597B25">
        <w:rPr>
          <w:rFonts w:cs="Arial"/>
          <w:szCs w:val="24"/>
          <w:lang w:eastAsia="fr-CA"/>
        </w:rPr>
        <w:t xml:space="preserve"> substantielles commises par Giroux et ses sociétés, mais également leur </w:t>
      </w:r>
      <w:r w:rsidRPr="00E65648">
        <w:rPr>
          <w:rFonts w:cs="Arial"/>
          <w:szCs w:val="24"/>
          <w:lang w:eastAsia="fr-CA"/>
        </w:rPr>
        <w:t>comportement procédural abusif.</w:t>
      </w:r>
    </w:p>
    <w:p w14:paraId="26C3F371" w14:textId="77777777" w:rsidR="00BA063C" w:rsidRPr="00597B25" w:rsidRDefault="00730A01" w:rsidP="0098012F">
      <w:pPr>
        <w:pStyle w:val="Paragraphe"/>
        <w:numPr>
          <w:ilvl w:val="0"/>
          <w:numId w:val="1"/>
        </w:numPr>
        <w:tabs>
          <w:tab w:val="clear" w:pos="786"/>
        </w:tabs>
        <w:spacing w:line="240" w:lineRule="auto"/>
        <w:ind w:left="0"/>
        <w:rPr>
          <w:rFonts w:cs="Arial"/>
          <w:b/>
          <w:bCs/>
          <w:sz w:val="22"/>
          <w:szCs w:val="22"/>
        </w:rPr>
      </w:pPr>
      <w:r w:rsidRPr="00597B25">
        <w:rPr>
          <w:rFonts w:cs="Arial"/>
          <w:szCs w:val="24"/>
          <w:lang w:eastAsia="fr-CA"/>
        </w:rPr>
        <w:t xml:space="preserve">Ils rappellent que, tout au long de l’instance, les Défendeurs ont multiplié les </w:t>
      </w:r>
      <w:r w:rsidRPr="00E65648">
        <w:rPr>
          <w:rFonts w:cs="Arial"/>
          <w:szCs w:val="24"/>
          <w:lang w:eastAsia="fr-CA"/>
        </w:rPr>
        <w:t>manquements procéduraux</w:t>
      </w:r>
      <w:r w:rsidRPr="00597B25">
        <w:rPr>
          <w:rFonts w:cs="Arial"/>
          <w:b/>
          <w:bCs/>
          <w:szCs w:val="24"/>
          <w:lang w:eastAsia="fr-CA"/>
        </w:rPr>
        <w:t xml:space="preserve"> </w:t>
      </w:r>
      <w:r w:rsidRPr="00E65648">
        <w:rPr>
          <w:rFonts w:cs="Arial"/>
          <w:szCs w:val="24"/>
          <w:lang w:eastAsia="fr-CA"/>
        </w:rPr>
        <w:t>importants</w:t>
      </w:r>
      <w:r w:rsidR="00E65648">
        <w:rPr>
          <w:rFonts w:cs="Arial"/>
          <w:szCs w:val="24"/>
          <w:lang w:eastAsia="fr-CA"/>
        </w:rPr>
        <w:t> </w:t>
      </w:r>
      <w:r w:rsidRPr="00597B25">
        <w:rPr>
          <w:rFonts w:cs="Arial"/>
          <w:szCs w:val="24"/>
          <w:lang w:eastAsia="fr-CA"/>
        </w:rPr>
        <w:t>:</w:t>
      </w:r>
      <w:r w:rsidR="00FD5289">
        <w:rPr>
          <w:rFonts w:cs="Arial"/>
          <w:szCs w:val="24"/>
          <w:lang w:eastAsia="fr-CA"/>
        </w:rPr>
        <w:t xml:space="preserve"> </w:t>
      </w:r>
      <w:r w:rsidRPr="00597B25">
        <w:rPr>
          <w:rFonts w:cs="Arial"/>
          <w:szCs w:val="24"/>
          <w:lang w:eastAsia="fr-CA"/>
        </w:rPr>
        <w:t xml:space="preserve">incidents répétés, manœuvres dilatoires et contradictions constantes, ce qui constitue, selon eux, un </w:t>
      </w:r>
      <w:r w:rsidRPr="00E65648">
        <w:rPr>
          <w:rFonts w:cs="Arial"/>
          <w:szCs w:val="24"/>
          <w:lang w:eastAsia="fr-CA"/>
        </w:rPr>
        <w:t>abus de procédure</w:t>
      </w:r>
      <w:r w:rsidRPr="00597B25">
        <w:rPr>
          <w:rFonts w:cs="Arial"/>
          <w:szCs w:val="24"/>
          <w:lang w:eastAsia="fr-CA"/>
        </w:rPr>
        <w:t>. Ces abus ont été dénoncés au fur et à mesure et justifient aujourd’hui une déclaration judiciaire.</w:t>
      </w:r>
    </w:p>
    <w:p w14:paraId="465EF49E" w14:textId="77777777" w:rsidR="00BA063C" w:rsidRPr="00345A1B" w:rsidRDefault="00730A01" w:rsidP="00345A1B">
      <w:pPr>
        <w:pStyle w:val="Titre3"/>
        <w:rPr>
          <w:b/>
          <w:bCs/>
          <w:lang w:eastAsia="fr-CA"/>
        </w:rPr>
      </w:pPr>
      <w:r w:rsidRPr="00345A1B">
        <w:rPr>
          <w:b/>
          <w:bCs/>
          <w:lang w:eastAsia="fr-CA"/>
        </w:rPr>
        <w:t>1. Les demandes des Demandeurs</w:t>
      </w:r>
      <w:r w:rsidR="00E65648" w:rsidRPr="00345A1B">
        <w:rPr>
          <w:b/>
          <w:bCs/>
          <w:lang w:eastAsia="fr-CA"/>
        </w:rPr>
        <w:t xml:space="preserve"> en lien avec l’abus de procédure</w:t>
      </w:r>
    </w:p>
    <w:p w14:paraId="43DB1E93" w14:textId="77777777" w:rsidR="00BA063C" w:rsidRPr="00597B25" w:rsidRDefault="00730A01" w:rsidP="0098012F">
      <w:pPr>
        <w:pStyle w:val="Paragraphe"/>
        <w:numPr>
          <w:ilvl w:val="0"/>
          <w:numId w:val="1"/>
        </w:numPr>
        <w:tabs>
          <w:tab w:val="clear" w:pos="786"/>
        </w:tabs>
        <w:spacing w:line="240" w:lineRule="auto"/>
        <w:ind w:left="0"/>
        <w:rPr>
          <w:rFonts w:cs="Arial"/>
          <w:szCs w:val="24"/>
          <w:lang w:eastAsia="fr-CA"/>
        </w:rPr>
      </w:pPr>
      <w:r w:rsidRPr="00597B25">
        <w:rPr>
          <w:rFonts w:cs="Arial"/>
          <w:szCs w:val="24"/>
          <w:lang w:eastAsia="fr-CA"/>
        </w:rPr>
        <w:t>Les Demandeurs demandent au</w:t>
      </w:r>
      <w:r w:rsidR="00100DBC">
        <w:rPr>
          <w:rFonts w:cs="Arial"/>
          <w:szCs w:val="24"/>
          <w:lang w:eastAsia="fr-CA"/>
        </w:rPr>
        <w:t xml:space="preserve"> </w:t>
      </w:r>
      <w:r w:rsidRPr="00597B25">
        <w:rPr>
          <w:rFonts w:cs="Arial"/>
          <w:szCs w:val="24"/>
          <w:lang w:eastAsia="fr-CA"/>
        </w:rPr>
        <w:t>Tribunal</w:t>
      </w:r>
      <w:r w:rsidR="00FD5289">
        <w:rPr>
          <w:rFonts w:cs="Arial"/>
          <w:szCs w:val="24"/>
          <w:lang w:eastAsia="fr-CA"/>
        </w:rPr>
        <w:t> </w:t>
      </w:r>
      <w:r w:rsidRPr="00597B25">
        <w:rPr>
          <w:rFonts w:cs="Arial"/>
          <w:szCs w:val="24"/>
          <w:lang w:eastAsia="fr-CA"/>
        </w:rPr>
        <w:t>:</w:t>
      </w:r>
    </w:p>
    <w:p w14:paraId="4830CAB0" w14:textId="77777777" w:rsidR="00BA063C" w:rsidRPr="00597B25" w:rsidRDefault="00730A01" w:rsidP="00443B59">
      <w:pPr>
        <w:numPr>
          <w:ilvl w:val="0"/>
          <w:numId w:val="43"/>
        </w:numPr>
        <w:spacing w:before="100" w:beforeAutospacing="1" w:after="100" w:afterAutospacing="1"/>
        <w:ind w:left="714" w:hanging="357"/>
        <w:rPr>
          <w:rFonts w:cs="Arial"/>
          <w:szCs w:val="24"/>
          <w:lang w:eastAsia="fr-CA"/>
        </w:rPr>
      </w:pPr>
      <w:r w:rsidRPr="00597B25">
        <w:rPr>
          <w:rFonts w:cs="Arial"/>
          <w:szCs w:val="24"/>
          <w:lang w:eastAsia="fr-CA"/>
        </w:rPr>
        <w:t xml:space="preserve">de </w:t>
      </w:r>
      <w:r w:rsidRPr="003057F3">
        <w:rPr>
          <w:rFonts w:cs="Arial"/>
          <w:szCs w:val="24"/>
          <w:lang w:eastAsia="fr-CA"/>
        </w:rPr>
        <w:t>déclarer</w:t>
      </w:r>
      <w:r w:rsidRPr="00597B25">
        <w:rPr>
          <w:rFonts w:cs="Arial"/>
          <w:szCs w:val="24"/>
          <w:lang w:eastAsia="fr-CA"/>
        </w:rPr>
        <w:t xml:space="preserve"> que les Défendeurs ont commis des manquements importants à la procédure et un abus de procédure;</w:t>
      </w:r>
    </w:p>
    <w:p w14:paraId="12DCA140" w14:textId="77777777" w:rsidR="00BA063C" w:rsidRPr="00E65648" w:rsidRDefault="00730A01" w:rsidP="00443B59">
      <w:pPr>
        <w:numPr>
          <w:ilvl w:val="0"/>
          <w:numId w:val="43"/>
        </w:numPr>
        <w:spacing w:before="100" w:beforeAutospacing="1" w:after="100" w:afterAutospacing="1"/>
        <w:ind w:left="714" w:hanging="357"/>
        <w:rPr>
          <w:rFonts w:cs="Arial"/>
          <w:szCs w:val="24"/>
          <w:lang w:eastAsia="fr-CA"/>
        </w:rPr>
      </w:pPr>
      <w:r w:rsidRPr="00597B25">
        <w:rPr>
          <w:rFonts w:cs="Arial"/>
          <w:szCs w:val="24"/>
          <w:lang w:eastAsia="fr-CA"/>
        </w:rPr>
        <w:t xml:space="preserve">de </w:t>
      </w:r>
      <w:r w:rsidRPr="003057F3">
        <w:rPr>
          <w:rFonts w:cs="Arial"/>
          <w:szCs w:val="24"/>
          <w:lang w:eastAsia="fr-CA"/>
        </w:rPr>
        <w:t>réserver leur droit</w:t>
      </w:r>
      <w:r w:rsidRPr="00597B25">
        <w:rPr>
          <w:rFonts w:cs="Arial"/>
          <w:szCs w:val="24"/>
          <w:lang w:eastAsia="fr-CA"/>
        </w:rPr>
        <w:t xml:space="preserve"> de réclamer une compensation pour les honoraires additionnels engagés afin de contrer ces manœuvres</w:t>
      </w:r>
      <w:r w:rsidR="00E65648">
        <w:rPr>
          <w:rFonts w:cs="Arial"/>
          <w:szCs w:val="24"/>
          <w:lang w:eastAsia="fr-CA"/>
        </w:rPr>
        <w:t>.</w:t>
      </w:r>
    </w:p>
    <w:p w14:paraId="3522C986" w14:textId="77777777" w:rsidR="00BA063C" w:rsidRPr="00345A1B" w:rsidRDefault="00730A01" w:rsidP="00345A1B">
      <w:pPr>
        <w:pStyle w:val="Titre3"/>
        <w:rPr>
          <w:rFonts w:cs="Arial"/>
          <w:b/>
          <w:bCs/>
          <w:szCs w:val="24"/>
          <w:lang w:eastAsia="fr-CA"/>
        </w:rPr>
      </w:pPr>
      <w:r w:rsidRPr="00345A1B">
        <w:rPr>
          <w:rFonts w:cs="Arial"/>
          <w:b/>
          <w:bCs/>
          <w:szCs w:val="24"/>
          <w:lang w:eastAsia="fr-CA"/>
        </w:rPr>
        <w:t>2. Le cadre juridique applicable</w:t>
      </w:r>
    </w:p>
    <w:p w14:paraId="1299F924" w14:textId="77777777" w:rsidR="00BA063C" w:rsidRPr="00597B25" w:rsidRDefault="00730A01" w:rsidP="0098012F">
      <w:pPr>
        <w:pStyle w:val="Paragraphe"/>
        <w:numPr>
          <w:ilvl w:val="0"/>
          <w:numId w:val="1"/>
        </w:numPr>
        <w:tabs>
          <w:tab w:val="clear" w:pos="786"/>
        </w:tabs>
        <w:spacing w:line="240" w:lineRule="auto"/>
        <w:ind w:left="0"/>
        <w:rPr>
          <w:rFonts w:cs="Arial"/>
          <w:szCs w:val="24"/>
          <w:lang w:eastAsia="fr-CA"/>
        </w:rPr>
      </w:pPr>
      <w:r w:rsidRPr="00597B25">
        <w:rPr>
          <w:rFonts w:cs="Arial"/>
          <w:szCs w:val="24"/>
          <w:lang w:eastAsia="fr-CA"/>
        </w:rPr>
        <w:t xml:space="preserve">Le droit québécois encadre strictement </w:t>
      </w:r>
      <w:r w:rsidRPr="00357603">
        <w:rPr>
          <w:rFonts w:cs="Arial"/>
          <w:szCs w:val="24"/>
          <w:lang w:eastAsia="fr-CA"/>
        </w:rPr>
        <w:t>l’abus de procédure.</w:t>
      </w:r>
    </w:p>
    <w:p w14:paraId="37F79D4A" w14:textId="77777777" w:rsidR="00BA063C" w:rsidRPr="00E65648" w:rsidRDefault="00730A01" w:rsidP="00443B59">
      <w:pPr>
        <w:numPr>
          <w:ilvl w:val="0"/>
          <w:numId w:val="44"/>
        </w:numPr>
        <w:spacing w:before="100" w:beforeAutospacing="1" w:after="100" w:afterAutospacing="1"/>
        <w:ind w:right="539"/>
        <w:jc w:val="both"/>
        <w:rPr>
          <w:rFonts w:cs="Arial"/>
          <w:sz w:val="22"/>
          <w:szCs w:val="22"/>
          <w:lang w:eastAsia="fr-CA"/>
        </w:rPr>
      </w:pPr>
      <w:r w:rsidRPr="00E65648">
        <w:rPr>
          <w:rFonts w:cs="Arial"/>
          <w:sz w:val="22"/>
          <w:szCs w:val="22"/>
          <w:lang w:eastAsia="fr-CA"/>
        </w:rPr>
        <w:t xml:space="preserve">Dans l’arrêt </w:t>
      </w:r>
      <w:r w:rsidRPr="00E65648">
        <w:rPr>
          <w:rFonts w:cs="Arial"/>
          <w:i/>
          <w:iCs/>
          <w:sz w:val="22"/>
          <w:szCs w:val="22"/>
          <w:lang w:eastAsia="fr-CA"/>
        </w:rPr>
        <w:t>Houle</w:t>
      </w:r>
      <w:r w:rsidRPr="00E65648">
        <w:rPr>
          <w:rFonts w:cs="Arial"/>
          <w:sz w:val="22"/>
          <w:szCs w:val="22"/>
          <w:lang w:eastAsia="fr-CA"/>
        </w:rPr>
        <w:t xml:space="preserve"> c. </w:t>
      </w:r>
      <w:r w:rsidRPr="00E65648">
        <w:rPr>
          <w:rFonts w:cs="Arial"/>
          <w:i/>
          <w:iCs/>
          <w:sz w:val="22"/>
          <w:szCs w:val="22"/>
          <w:lang w:eastAsia="fr-CA"/>
        </w:rPr>
        <w:t>Guay</w:t>
      </w:r>
      <w:r>
        <w:rPr>
          <w:rStyle w:val="Appelnotedebasdep"/>
          <w:rFonts w:cs="Arial"/>
          <w:sz w:val="22"/>
          <w:szCs w:val="22"/>
          <w:lang w:eastAsia="fr-CA"/>
        </w:rPr>
        <w:footnoteReference w:id="447"/>
      </w:r>
      <w:r w:rsidRPr="00E65648">
        <w:rPr>
          <w:rFonts w:cs="Arial"/>
          <w:sz w:val="22"/>
          <w:szCs w:val="22"/>
          <w:lang w:eastAsia="fr-CA"/>
        </w:rPr>
        <w:t>, la Cour suprême a reconnu que la responsabilité peut être engagée lorsqu’une partie use de son droit de manière déraisonnable et contraire à la bonne foi.</w:t>
      </w:r>
    </w:p>
    <w:p w14:paraId="3159F71A" w14:textId="77777777" w:rsidR="00BA063C" w:rsidRPr="00E65648" w:rsidRDefault="00730A01" w:rsidP="00443B59">
      <w:pPr>
        <w:numPr>
          <w:ilvl w:val="0"/>
          <w:numId w:val="44"/>
        </w:numPr>
        <w:spacing w:before="100" w:beforeAutospacing="1" w:after="100" w:afterAutospacing="1"/>
        <w:ind w:right="539"/>
        <w:jc w:val="both"/>
        <w:rPr>
          <w:rFonts w:cs="Arial"/>
          <w:sz w:val="22"/>
          <w:szCs w:val="22"/>
          <w:lang w:eastAsia="fr-CA"/>
        </w:rPr>
      </w:pPr>
      <w:r w:rsidRPr="00E65648">
        <w:rPr>
          <w:rFonts w:cs="Arial"/>
          <w:sz w:val="22"/>
          <w:szCs w:val="22"/>
          <w:lang w:eastAsia="fr-CA"/>
        </w:rPr>
        <w:t xml:space="preserve">Dans </w:t>
      </w:r>
      <w:r w:rsidRPr="00E65648">
        <w:rPr>
          <w:rFonts w:cs="Arial"/>
          <w:i/>
          <w:iCs/>
          <w:sz w:val="22"/>
          <w:szCs w:val="22"/>
          <w:lang w:eastAsia="fr-CA"/>
        </w:rPr>
        <w:t>Viel</w:t>
      </w:r>
      <w:r w:rsidRPr="00E65648">
        <w:rPr>
          <w:rFonts w:cs="Arial"/>
          <w:sz w:val="22"/>
          <w:szCs w:val="22"/>
          <w:lang w:eastAsia="fr-CA"/>
        </w:rPr>
        <w:t xml:space="preserve"> c. </w:t>
      </w:r>
      <w:r w:rsidRPr="00E65648">
        <w:rPr>
          <w:rFonts w:cs="Arial"/>
          <w:i/>
          <w:iCs/>
          <w:sz w:val="22"/>
          <w:szCs w:val="22"/>
          <w:lang w:eastAsia="fr-CA"/>
        </w:rPr>
        <w:t>Entreprises immobilières du terroir ltée</w:t>
      </w:r>
      <w:r>
        <w:rPr>
          <w:rStyle w:val="Appelnotedebasdep"/>
          <w:rFonts w:cs="Arial"/>
          <w:sz w:val="22"/>
          <w:szCs w:val="22"/>
          <w:lang w:eastAsia="fr-CA"/>
        </w:rPr>
        <w:footnoteReference w:id="448"/>
      </w:r>
      <w:r w:rsidRPr="00E65648">
        <w:rPr>
          <w:rFonts w:cs="Arial"/>
          <w:sz w:val="22"/>
          <w:szCs w:val="22"/>
          <w:lang w:eastAsia="fr-CA"/>
        </w:rPr>
        <w:t>,</w:t>
      </w:r>
      <w:r w:rsidR="00597B25" w:rsidRPr="00E65648">
        <w:rPr>
          <w:rFonts w:cs="Arial"/>
          <w:sz w:val="22"/>
          <w:szCs w:val="22"/>
          <w:lang w:eastAsia="fr-CA"/>
        </w:rPr>
        <w:t xml:space="preserve"> </w:t>
      </w:r>
      <w:r w:rsidRPr="00E65648">
        <w:rPr>
          <w:rFonts w:cs="Arial"/>
          <w:sz w:val="22"/>
          <w:szCs w:val="22"/>
          <w:lang w:eastAsia="fr-CA"/>
        </w:rPr>
        <w:t>la Cour d’appel a précisé que l’abus peut résulter de la multiplication d’incidents dilatoires, de l’exercice d’un droit à des fins étrangères au litige ou encore d’un comportement procédural manifestement excessif.</w:t>
      </w:r>
    </w:p>
    <w:p w14:paraId="63696467" w14:textId="77777777" w:rsidR="00BA063C" w:rsidRPr="00E65648" w:rsidRDefault="00730A01" w:rsidP="00443B59">
      <w:pPr>
        <w:numPr>
          <w:ilvl w:val="0"/>
          <w:numId w:val="44"/>
        </w:numPr>
        <w:spacing w:before="100" w:beforeAutospacing="1" w:after="100" w:afterAutospacing="1"/>
        <w:ind w:right="539"/>
        <w:jc w:val="both"/>
        <w:rPr>
          <w:rFonts w:cs="Arial"/>
          <w:sz w:val="22"/>
          <w:szCs w:val="22"/>
          <w:lang w:eastAsia="fr-CA"/>
        </w:rPr>
      </w:pPr>
      <w:r w:rsidRPr="00E65648">
        <w:rPr>
          <w:rFonts w:cs="Arial"/>
          <w:sz w:val="22"/>
          <w:szCs w:val="22"/>
          <w:lang w:eastAsia="fr-CA"/>
        </w:rPr>
        <w:t xml:space="preserve">Dans </w:t>
      </w:r>
      <w:r w:rsidRPr="00E65648">
        <w:rPr>
          <w:rFonts w:cs="Arial"/>
          <w:i/>
          <w:iCs/>
          <w:sz w:val="22"/>
          <w:szCs w:val="22"/>
          <w:lang w:eastAsia="fr-CA"/>
        </w:rPr>
        <w:t>Royal Lepage Commercial inc</w:t>
      </w:r>
      <w:r w:rsidRPr="00E65648">
        <w:rPr>
          <w:rFonts w:cs="Arial"/>
          <w:sz w:val="22"/>
          <w:szCs w:val="22"/>
          <w:lang w:eastAsia="fr-CA"/>
        </w:rPr>
        <w:t xml:space="preserve">. c. </w:t>
      </w:r>
      <w:r w:rsidRPr="00E65648">
        <w:rPr>
          <w:rFonts w:cs="Arial"/>
          <w:i/>
          <w:iCs/>
          <w:sz w:val="22"/>
          <w:szCs w:val="22"/>
          <w:lang w:eastAsia="fr-CA"/>
        </w:rPr>
        <w:t>109650 Canada ltée</w:t>
      </w:r>
      <w:r>
        <w:rPr>
          <w:rStyle w:val="Appelnotedebasdep"/>
          <w:rFonts w:cs="Arial"/>
          <w:sz w:val="22"/>
          <w:szCs w:val="22"/>
          <w:lang w:eastAsia="fr-CA"/>
        </w:rPr>
        <w:footnoteReference w:id="449"/>
      </w:r>
      <w:r w:rsidRPr="00E65648">
        <w:rPr>
          <w:rFonts w:cs="Arial"/>
          <w:sz w:val="22"/>
          <w:szCs w:val="22"/>
          <w:lang w:eastAsia="fr-CA"/>
        </w:rPr>
        <w:t>, la Cour a confirmé que l’abus peut entraîner une condamnation à des dommages-intérêts et non seulement aux dépens.</w:t>
      </w:r>
    </w:p>
    <w:p w14:paraId="5D3DB9F4" w14:textId="77777777" w:rsidR="00BA063C" w:rsidRPr="00E65648" w:rsidRDefault="00730A01" w:rsidP="00443B59">
      <w:pPr>
        <w:numPr>
          <w:ilvl w:val="0"/>
          <w:numId w:val="44"/>
        </w:numPr>
        <w:spacing w:before="100" w:beforeAutospacing="1" w:after="100" w:afterAutospacing="1"/>
        <w:ind w:right="539"/>
        <w:jc w:val="both"/>
        <w:rPr>
          <w:rFonts w:cs="Arial"/>
          <w:sz w:val="22"/>
          <w:szCs w:val="22"/>
          <w:lang w:eastAsia="fr-CA"/>
        </w:rPr>
      </w:pPr>
      <w:r w:rsidRPr="00E65648">
        <w:rPr>
          <w:rFonts w:cs="Arial"/>
          <w:sz w:val="22"/>
          <w:szCs w:val="22"/>
          <w:lang w:eastAsia="fr-CA"/>
        </w:rPr>
        <w:t>Enfin, la jurisprudence récente rappelle que l’abus s’apprécie à l’aune des principes de proportionnalité (art.</w:t>
      </w:r>
      <w:r w:rsidR="00FD5289">
        <w:rPr>
          <w:rFonts w:cs="Arial"/>
          <w:sz w:val="22"/>
          <w:szCs w:val="22"/>
          <w:lang w:eastAsia="fr-CA"/>
        </w:rPr>
        <w:t> </w:t>
      </w:r>
      <w:r w:rsidRPr="00E65648">
        <w:rPr>
          <w:rFonts w:cs="Arial"/>
          <w:sz w:val="22"/>
          <w:szCs w:val="22"/>
          <w:lang w:eastAsia="fr-CA"/>
        </w:rPr>
        <w:t>18 C.p.c.) et de bonne foi (art.</w:t>
      </w:r>
      <w:r w:rsidR="00FD5289">
        <w:rPr>
          <w:rFonts w:cs="Arial"/>
          <w:sz w:val="22"/>
          <w:szCs w:val="22"/>
          <w:lang w:eastAsia="fr-CA"/>
        </w:rPr>
        <w:t> </w:t>
      </w:r>
      <w:r w:rsidRPr="00E65648">
        <w:rPr>
          <w:rFonts w:cs="Arial"/>
          <w:sz w:val="22"/>
          <w:szCs w:val="22"/>
          <w:lang w:eastAsia="fr-CA"/>
        </w:rPr>
        <w:t>20 C.p.c.), l’objectif étant d’éviter que l’instance devienne un instrument d’oppression procédurale.</w:t>
      </w:r>
    </w:p>
    <w:p w14:paraId="2413AD1E" w14:textId="77777777" w:rsidR="00E65648" w:rsidRDefault="00730A01">
      <w:pPr>
        <w:rPr>
          <w:rFonts w:cs="Arial"/>
          <w:b/>
          <w:bCs/>
          <w:szCs w:val="24"/>
          <w:lang w:eastAsia="fr-CA"/>
        </w:rPr>
      </w:pPr>
      <w:r>
        <w:rPr>
          <w:rFonts w:cs="Arial"/>
          <w:b/>
          <w:bCs/>
          <w:szCs w:val="24"/>
          <w:lang w:eastAsia="fr-CA"/>
        </w:rPr>
        <w:br w:type="page"/>
      </w:r>
    </w:p>
    <w:p w14:paraId="21E52BD2" w14:textId="77777777" w:rsidR="00BA063C" w:rsidRPr="00345A1B" w:rsidRDefault="00730A01" w:rsidP="00345A1B">
      <w:pPr>
        <w:pStyle w:val="Titre3"/>
        <w:rPr>
          <w:b/>
          <w:bCs/>
          <w:lang w:eastAsia="fr-CA"/>
        </w:rPr>
      </w:pPr>
      <w:r w:rsidRPr="00345A1B">
        <w:rPr>
          <w:b/>
          <w:bCs/>
          <w:lang w:eastAsia="fr-CA"/>
        </w:rPr>
        <w:t>3. Application au présent dossier</w:t>
      </w:r>
    </w:p>
    <w:p w14:paraId="6FCEDB8C" w14:textId="77777777" w:rsidR="00597B25" w:rsidRDefault="00730A01" w:rsidP="0098012F">
      <w:pPr>
        <w:pStyle w:val="Paragraphe"/>
        <w:numPr>
          <w:ilvl w:val="0"/>
          <w:numId w:val="1"/>
        </w:numPr>
        <w:tabs>
          <w:tab w:val="clear" w:pos="786"/>
        </w:tabs>
        <w:spacing w:line="240" w:lineRule="auto"/>
        <w:ind w:left="0"/>
        <w:rPr>
          <w:rFonts w:cs="Arial"/>
          <w:szCs w:val="24"/>
          <w:lang w:eastAsia="fr-CA"/>
        </w:rPr>
      </w:pPr>
      <w:r w:rsidRPr="00597B25">
        <w:rPr>
          <w:rFonts w:cs="Arial"/>
          <w:szCs w:val="24"/>
          <w:lang w:eastAsia="fr-CA"/>
        </w:rPr>
        <w:t>En l’espèce, il y a lieu de faire le constat que la stratégie procédurale des Défendeurs corresponde aux critères dégagés par la jurisprudence tel que mentionné ci-dessus.</w:t>
      </w:r>
    </w:p>
    <w:p w14:paraId="6DC975E7" w14:textId="77777777" w:rsidR="004456B2" w:rsidRDefault="00730A01" w:rsidP="0098012F">
      <w:pPr>
        <w:pStyle w:val="Paragraphe"/>
        <w:numPr>
          <w:ilvl w:val="0"/>
          <w:numId w:val="1"/>
        </w:numPr>
        <w:tabs>
          <w:tab w:val="clear" w:pos="786"/>
        </w:tabs>
        <w:spacing w:line="240" w:lineRule="auto"/>
        <w:ind w:left="0"/>
        <w:rPr>
          <w:rFonts w:cs="Arial"/>
          <w:szCs w:val="24"/>
          <w:lang w:eastAsia="fr-CA"/>
        </w:rPr>
      </w:pPr>
      <w:r w:rsidRPr="00597B25">
        <w:rPr>
          <w:rFonts w:cs="Arial"/>
          <w:szCs w:val="24"/>
          <w:lang w:eastAsia="fr-CA"/>
        </w:rPr>
        <w:t>Le Tribunal ne peut cependant pas s’empêcher de faire le parallèle avec l’image rhétorique suivante</w:t>
      </w:r>
      <w:r w:rsidR="00597B25">
        <w:rPr>
          <w:rFonts w:cs="Arial"/>
          <w:szCs w:val="24"/>
          <w:lang w:eastAsia="fr-CA"/>
        </w:rPr>
        <w:t> :</w:t>
      </w:r>
    </w:p>
    <w:p w14:paraId="64BD1C6C" w14:textId="77777777" w:rsidR="00BA063C" w:rsidRPr="00FD5289" w:rsidRDefault="00730A01" w:rsidP="00E65648">
      <w:pPr>
        <w:pStyle w:val="Citationenretrait"/>
        <w:ind w:left="851" w:right="539"/>
        <w:rPr>
          <w:kern w:val="0"/>
          <w:szCs w:val="22"/>
        </w:rPr>
      </w:pPr>
      <w:r w:rsidRPr="00FD5289">
        <w:rPr>
          <w:kern w:val="0"/>
          <w:szCs w:val="22"/>
        </w:rPr>
        <w:t>Imaginons une personne tombée à l’eau, surprise par la profondeur et le courant</w:t>
      </w:r>
      <w:r w:rsidR="004456B2" w:rsidRPr="00FD5289">
        <w:rPr>
          <w:kern w:val="0"/>
          <w:szCs w:val="22"/>
        </w:rPr>
        <w:t> </w:t>
      </w:r>
      <w:r w:rsidRPr="00FD5289">
        <w:rPr>
          <w:kern w:val="0"/>
          <w:szCs w:val="22"/>
        </w:rPr>
        <w:t>:</w:t>
      </w:r>
      <w:r w:rsidR="00FD5289">
        <w:rPr>
          <w:kern w:val="0"/>
          <w:szCs w:val="22"/>
        </w:rPr>
        <w:t xml:space="preserve"> </w:t>
      </w:r>
      <w:r w:rsidRPr="00FD5289">
        <w:rPr>
          <w:kern w:val="0"/>
          <w:szCs w:val="22"/>
        </w:rPr>
        <w:t>au départ, elle tente des gestes simples — garder la tête au-dessus, calmer sa respiration, chercher un point d’appui. Si l’eau l’emporte, la panique monte. La personne commence alors à se débattre, à agiter les bras frénétiquement, à saisir tout ce qui passe à sa portée — un bout de bois, une branche — sans distinguer si cet appui tiendra ou la tirera encore plus bas. Chaque mouvement, dicté par la peur, est d’abord un effort sincère pour survivre; mais pris dans la panique, ces mêmes mouvements deviennent désordonnés, contradictoires, et finalement révélateurs d’une situation irrémédiable.</w:t>
      </w:r>
    </w:p>
    <w:p w14:paraId="45F83EAA" w14:textId="77777777" w:rsidR="00BA063C" w:rsidRPr="00FD5289" w:rsidRDefault="00730A01" w:rsidP="00E65648">
      <w:pPr>
        <w:pStyle w:val="Citationenretrait"/>
        <w:ind w:left="851" w:right="539"/>
        <w:rPr>
          <w:kern w:val="0"/>
          <w:szCs w:val="22"/>
        </w:rPr>
      </w:pPr>
      <w:r w:rsidRPr="00FD5289">
        <w:rPr>
          <w:kern w:val="0"/>
          <w:szCs w:val="22"/>
        </w:rPr>
        <w:t xml:space="preserve">De la même façon, présenté dans le cadre du présent litige, le comportement du </w:t>
      </w:r>
      <w:r w:rsidR="004456B2" w:rsidRPr="00FD5289">
        <w:rPr>
          <w:kern w:val="0"/>
          <w:szCs w:val="22"/>
        </w:rPr>
        <w:t>D</w:t>
      </w:r>
      <w:r w:rsidRPr="00FD5289">
        <w:rPr>
          <w:kern w:val="0"/>
          <w:szCs w:val="22"/>
        </w:rPr>
        <w:t xml:space="preserve">éfendeur et de ses procureurs, qui ont multiplié les procédures, les demandes de délais, déposé des centaines de documents pour trouver quelques choses à se raccrocher, ressemble au débattement du noyé. Au début, certaines initiatives processuelles sont apparues fondées — demandes légitimes concernant la levée des injonctions et ordonnance </w:t>
      </w:r>
      <w:r w:rsidRPr="00FD5289">
        <w:rPr>
          <w:i/>
          <w:iCs/>
          <w:kern w:val="0"/>
          <w:szCs w:val="22"/>
        </w:rPr>
        <w:t>Mareva</w:t>
      </w:r>
      <w:r w:rsidRPr="00FD5289">
        <w:rPr>
          <w:kern w:val="0"/>
          <w:szCs w:val="22"/>
        </w:rPr>
        <w:t xml:space="preserve"> — mais l’ensemble a finalement pris l’allure d’un désarroi au fur et à mesure de l’avancement du dossier, au point où on a tenté désespérément d’obtenir de nouveaux délais dans l’espoir de trouver n’importe quoi à laquelle s’agripper dans la multitude de documents provenant du disque dur de Huot.</w:t>
      </w:r>
    </w:p>
    <w:p w14:paraId="5F88DB05" w14:textId="77777777" w:rsidR="00100DBC" w:rsidRDefault="00730A01" w:rsidP="0098012F">
      <w:pPr>
        <w:pStyle w:val="Paragraphe"/>
        <w:numPr>
          <w:ilvl w:val="0"/>
          <w:numId w:val="1"/>
        </w:numPr>
        <w:tabs>
          <w:tab w:val="clear" w:pos="786"/>
        </w:tabs>
        <w:spacing w:line="240" w:lineRule="auto"/>
        <w:ind w:left="0"/>
        <w:rPr>
          <w:rFonts w:cs="Arial"/>
        </w:rPr>
      </w:pPr>
      <w:r w:rsidRPr="00100DBC">
        <w:rPr>
          <w:rFonts w:cs="Arial"/>
          <w:szCs w:val="24"/>
          <w:lang w:eastAsia="fr-CA"/>
        </w:rPr>
        <w:t>C’est</w:t>
      </w:r>
      <w:r w:rsidRPr="00100DBC">
        <w:rPr>
          <w:rFonts w:cs="Arial"/>
        </w:rPr>
        <w:t xml:space="preserve"> ainsi que près de sept mois après la fin de la première phase du procès et alors que la preuve en demande était pratiquement complétée, y compris la preuve d’expertise en demande, en désespoir de cause, les Défendeurs se sont mis à communiquer des milliers de pièces additionnelles représentant 44</w:t>
      </w:r>
      <w:r w:rsidR="00DE0031">
        <w:rPr>
          <w:rFonts w:cs="Arial"/>
        </w:rPr>
        <w:t> </w:t>
      </w:r>
      <w:r w:rsidRPr="00100DBC">
        <w:rPr>
          <w:rFonts w:cs="Arial"/>
        </w:rPr>
        <w:t>076</w:t>
      </w:r>
      <w:r w:rsidR="00DE0031">
        <w:rPr>
          <w:rFonts w:cs="Arial"/>
        </w:rPr>
        <w:t> </w:t>
      </w:r>
      <w:r w:rsidRPr="00100DBC">
        <w:rPr>
          <w:rFonts w:cs="Arial"/>
        </w:rPr>
        <w:t>pages</w:t>
      </w:r>
      <w:r>
        <w:rPr>
          <w:rStyle w:val="Appelnotedebasdep"/>
          <w:rFonts w:cs="Arial"/>
        </w:rPr>
        <w:footnoteReference w:id="450"/>
      </w:r>
      <w:r w:rsidRPr="00100DBC">
        <w:rPr>
          <w:rFonts w:cs="Arial"/>
        </w:rPr>
        <w:t xml:space="preserve">. </w:t>
      </w:r>
      <w:r w:rsidR="00E65648">
        <w:rPr>
          <w:rFonts w:cs="Arial"/>
        </w:rPr>
        <w:t xml:space="preserve">Le Tribunal joint en </w:t>
      </w:r>
      <w:r w:rsidR="00E65648">
        <w:rPr>
          <w:rFonts w:cs="Arial"/>
          <w:i/>
          <w:iCs/>
        </w:rPr>
        <w:t>Annexe</w:t>
      </w:r>
      <w:r w:rsidR="00DE0031">
        <w:rPr>
          <w:rFonts w:cs="Arial"/>
          <w:i/>
          <w:iCs/>
        </w:rPr>
        <w:t> </w:t>
      </w:r>
      <w:r w:rsidR="00E65648">
        <w:rPr>
          <w:rFonts w:cs="Arial"/>
          <w:i/>
          <w:iCs/>
        </w:rPr>
        <w:t>D</w:t>
      </w:r>
      <w:r w:rsidR="00E65648">
        <w:rPr>
          <w:rFonts w:cs="Arial"/>
        </w:rPr>
        <w:t xml:space="preserve"> le détail du dépôt de milliers de pièces additionnelles pour valoir comme si au long récité.</w:t>
      </w:r>
    </w:p>
    <w:p w14:paraId="204731CD" w14:textId="77777777" w:rsidR="005865B9" w:rsidRPr="00A82355" w:rsidRDefault="00730A01" w:rsidP="00D947D5">
      <w:pPr>
        <w:pStyle w:val="Paragraphe"/>
        <w:numPr>
          <w:ilvl w:val="0"/>
          <w:numId w:val="0"/>
        </w:numPr>
        <w:spacing w:line="240" w:lineRule="auto"/>
        <w:rPr>
          <w:rFonts w:cs="Arial"/>
        </w:rPr>
      </w:pPr>
      <w:r w:rsidRPr="00A82355">
        <w:rPr>
          <w:rFonts w:cs="Arial"/>
        </w:rPr>
        <w:t xml:space="preserve">Enfin, </w:t>
      </w:r>
      <w:r w:rsidRPr="00A82355">
        <w:rPr>
          <w:rFonts w:cs="Arial"/>
          <w:szCs w:val="24"/>
          <w:lang w:eastAsia="fr-CA"/>
        </w:rPr>
        <w:t>contre toute attente, le 7</w:t>
      </w:r>
      <w:r w:rsidR="00357603" w:rsidRPr="00A82355">
        <w:rPr>
          <w:rFonts w:cs="Arial"/>
          <w:szCs w:val="24"/>
          <w:lang w:eastAsia="fr-CA"/>
        </w:rPr>
        <w:t> </w:t>
      </w:r>
      <w:r w:rsidRPr="00A82355">
        <w:rPr>
          <w:rFonts w:cs="Arial"/>
          <w:szCs w:val="24"/>
          <w:lang w:eastAsia="fr-CA"/>
        </w:rPr>
        <w:t>février</w:t>
      </w:r>
      <w:r w:rsidR="00357603" w:rsidRPr="00A82355">
        <w:rPr>
          <w:rFonts w:cs="Arial"/>
          <w:szCs w:val="24"/>
          <w:lang w:eastAsia="fr-CA"/>
        </w:rPr>
        <w:t> </w:t>
      </w:r>
      <w:r w:rsidRPr="00A82355">
        <w:rPr>
          <w:rFonts w:cs="Arial"/>
          <w:szCs w:val="24"/>
          <w:lang w:eastAsia="fr-CA"/>
        </w:rPr>
        <w:t>2025, après plus de quatre semaines de procès, Giroux Arpentage se désiste de son intervention agressive, rendant du même coup complètement inutile le travail effectué par M.</w:t>
      </w:r>
      <w:r w:rsidR="00DE0031">
        <w:rPr>
          <w:rFonts w:cs="Arial"/>
          <w:szCs w:val="24"/>
          <w:lang w:eastAsia="fr-CA"/>
        </w:rPr>
        <w:t> </w:t>
      </w:r>
      <w:r w:rsidRPr="00A82355">
        <w:rPr>
          <w:rFonts w:cs="Arial"/>
          <w:szCs w:val="24"/>
          <w:lang w:eastAsia="fr-CA"/>
        </w:rPr>
        <w:t xml:space="preserve">François Filion, expert, et par les procureurs des Demandeurs à cet égard. </w:t>
      </w:r>
    </w:p>
    <w:p w14:paraId="664E36EC" w14:textId="77777777" w:rsidR="005865B9" w:rsidRDefault="00730A01" w:rsidP="0098012F">
      <w:pPr>
        <w:pStyle w:val="Paragraphe"/>
        <w:numPr>
          <w:ilvl w:val="0"/>
          <w:numId w:val="1"/>
        </w:numPr>
        <w:tabs>
          <w:tab w:val="clear" w:pos="786"/>
        </w:tabs>
        <w:spacing w:line="240" w:lineRule="auto"/>
        <w:ind w:left="0"/>
        <w:rPr>
          <w:rFonts w:cs="Arial"/>
        </w:rPr>
      </w:pPr>
      <w:r w:rsidRPr="005865B9">
        <w:rPr>
          <w:rFonts w:cs="Arial"/>
        </w:rPr>
        <w:t>Ces tentatives désespérées sont empreintes d’abus de procédure. Comme mentionné précédemment, elles correspondent exactement aux critères dégagés par la jurisprudence puisqu’elles ont notamment entraîné une complexification artificielle du débat et des délais injustifiés. Elles ont aussi occasionné un préjudice concret aux Demandeurs, tant sur le plan financier (honoraires additionnels) que sur celui du déroulement ordonné de l’instance.</w:t>
      </w:r>
    </w:p>
    <w:p w14:paraId="619DF770" w14:textId="77777777" w:rsidR="00485898" w:rsidRDefault="00730A01" w:rsidP="0098012F">
      <w:pPr>
        <w:pStyle w:val="Paragraphe"/>
        <w:numPr>
          <w:ilvl w:val="0"/>
          <w:numId w:val="1"/>
        </w:numPr>
        <w:tabs>
          <w:tab w:val="clear" w:pos="786"/>
        </w:tabs>
        <w:spacing w:line="240" w:lineRule="auto"/>
        <w:ind w:left="0"/>
        <w:rPr>
          <w:rFonts w:cs="Arial"/>
        </w:rPr>
      </w:pPr>
      <w:r w:rsidRPr="005865B9">
        <w:rPr>
          <w:rFonts w:cs="Arial"/>
          <w:szCs w:val="24"/>
          <w:lang w:eastAsia="fr-CA"/>
        </w:rPr>
        <w:t>Dans les circonstances, le Tribunal constatera formellement l’abus et réservera aux Demandeurs, leur droit de réclamer une compensation intégrale pour les honoraires additionnels et le paiement de dommages-intérêts, proportionnels au préjudice subi, afin de rétablir l’équilibre procédural et de dissuader la répétition de telles pratiques.</w:t>
      </w:r>
      <w:bookmarkEnd w:id="132"/>
    </w:p>
    <w:p w14:paraId="042A7F9F" w14:textId="77777777" w:rsidR="00485898" w:rsidRDefault="00730A01" w:rsidP="0098012F">
      <w:pPr>
        <w:pStyle w:val="Paragraphe"/>
        <w:numPr>
          <w:ilvl w:val="0"/>
          <w:numId w:val="1"/>
        </w:numPr>
        <w:tabs>
          <w:tab w:val="clear" w:pos="786"/>
        </w:tabs>
        <w:spacing w:line="240" w:lineRule="auto"/>
        <w:ind w:left="0"/>
        <w:rPr>
          <w:rFonts w:cs="Arial"/>
        </w:rPr>
      </w:pPr>
      <w:r>
        <w:rPr>
          <w:lang w:eastAsia="fr-CA"/>
        </w:rPr>
        <w:t>Le non-respect des ordonnances constitue un abus de</w:t>
      </w:r>
      <w:r>
        <w:rPr>
          <w:rFonts w:cs="Arial"/>
        </w:rPr>
        <w:t xml:space="preserve"> </w:t>
      </w:r>
      <w:r>
        <w:rPr>
          <w:lang w:eastAsia="fr-CA"/>
        </w:rPr>
        <w:t>procédure puisqu’il discrédite l’a</w:t>
      </w:r>
      <w:r w:rsidR="00532971">
        <w:rPr>
          <w:lang w:eastAsia="fr-CA"/>
        </w:rPr>
        <w:t>dm</w:t>
      </w:r>
      <w:r>
        <w:rPr>
          <w:lang w:eastAsia="fr-CA"/>
        </w:rPr>
        <w:t>inistration de la justice</w:t>
      </w:r>
      <w:r>
        <w:rPr>
          <w:rStyle w:val="Appelnotedebasdep"/>
          <w:szCs w:val="24"/>
          <w:lang w:eastAsia="fr-CA"/>
        </w:rPr>
        <w:footnoteReference w:id="451"/>
      </w:r>
      <w:r w:rsidRPr="00485898">
        <w:rPr>
          <w:szCs w:val="24"/>
          <w:lang w:eastAsia="fr-CA"/>
        </w:rPr>
        <w:t>.</w:t>
      </w:r>
    </w:p>
    <w:p w14:paraId="6D6EBADE" w14:textId="77777777" w:rsidR="00485898" w:rsidRPr="00485898" w:rsidRDefault="00730A01" w:rsidP="0098012F">
      <w:pPr>
        <w:pStyle w:val="Paragraphe"/>
        <w:numPr>
          <w:ilvl w:val="0"/>
          <w:numId w:val="1"/>
        </w:numPr>
        <w:tabs>
          <w:tab w:val="clear" w:pos="786"/>
        </w:tabs>
        <w:spacing w:line="240" w:lineRule="auto"/>
        <w:ind w:left="0"/>
        <w:rPr>
          <w:rFonts w:cs="Arial"/>
        </w:rPr>
      </w:pPr>
      <w:r>
        <w:rPr>
          <w:lang w:eastAsia="fr-CA"/>
        </w:rPr>
        <w:t>Le Tribunal fait sien les propos de Madame la juge Janick Perreault, lorsqu’elle mentionne, à propos de défier à répétition des ordonnances des tribunaux :</w:t>
      </w:r>
    </w:p>
    <w:p w14:paraId="4C03DB1F" w14:textId="77777777" w:rsidR="00485898" w:rsidRPr="00912B9B" w:rsidRDefault="00730A01" w:rsidP="00912B9B">
      <w:pPr>
        <w:pStyle w:val="Citationenretrait"/>
        <w:ind w:right="539"/>
        <w:rPr>
          <w:szCs w:val="22"/>
          <w:lang w:eastAsia="fr-CA"/>
        </w:rPr>
      </w:pPr>
      <w:r w:rsidRPr="00912B9B">
        <w:rPr>
          <w:kern w:val="28"/>
          <w:szCs w:val="22"/>
          <w:lang w:eastAsia="fr-CA"/>
        </w:rPr>
        <w:t>Un manquement important se situe entre un manquement anodin et un manquement grave. Les erreurs et négligences mineures qui peuvent survenir dans un recours judiciaire sont écartées. En revanche, tarder à répétition de tenir ses engagements et défier les ordonnances des tribunaux constituent des manquements importants, tout comme la persistance à ne pas respecter les</w:t>
      </w:r>
      <w:r w:rsidRPr="00912B9B">
        <w:rPr>
          <w:szCs w:val="22"/>
          <w:lang w:eastAsia="fr-CA"/>
        </w:rPr>
        <w:t xml:space="preserve"> délais</w:t>
      </w:r>
      <w:r>
        <w:rPr>
          <w:rStyle w:val="Appelnotedebasdep"/>
          <w:szCs w:val="22"/>
          <w:lang w:eastAsia="fr-CA"/>
        </w:rPr>
        <w:footnoteReference w:id="452"/>
      </w:r>
      <w:r w:rsidR="00DE0031">
        <w:rPr>
          <w:szCs w:val="22"/>
          <w:lang w:eastAsia="fr-CA"/>
        </w:rPr>
        <w:t>.</w:t>
      </w:r>
    </w:p>
    <w:p w14:paraId="4AFA137F" w14:textId="77777777" w:rsidR="00033007" w:rsidRDefault="00730A01" w:rsidP="0098012F">
      <w:pPr>
        <w:pStyle w:val="Paragraphe"/>
        <w:numPr>
          <w:ilvl w:val="0"/>
          <w:numId w:val="1"/>
        </w:numPr>
        <w:tabs>
          <w:tab w:val="clear" w:pos="786"/>
        </w:tabs>
        <w:spacing w:line="240" w:lineRule="auto"/>
        <w:ind w:left="0"/>
        <w:rPr>
          <w:lang w:eastAsia="fr-CA"/>
        </w:rPr>
      </w:pPr>
      <w:r w:rsidRPr="00033007">
        <w:rPr>
          <w:lang w:eastAsia="fr-CA"/>
        </w:rPr>
        <w:t>Les réclamations de plus de</w:t>
      </w:r>
      <w:r w:rsidR="00DE0031">
        <w:rPr>
          <w:lang w:eastAsia="fr-CA"/>
        </w:rPr>
        <w:t> </w:t>
      </w:r>
      <w:r w:rsidRPr="00033007">
        <w:rPr>
          <w:lang w:eastAsia="fr-CA"/>
        </w:rPr>
        <w:t xml:space="preserve">22 M$ présentées par les Défendeurs, incluant 12,5 M$ en dommages punitifs, sont en conséquence déconnectées des principes de droit établis. Comme l’illustre la jurisprudence, des montants aussi excessifs peuvent être eux-mêmes révélateurs d’un comportement abusif, notamment lorsqu’ils dépassent de manière flagrante les indemnisations normalement octroyées dans des cas similaires. </w:t>
      </w:r>
    </w:p>
    <w:p w14:paraId="76CAC3CD" w14:textId="77777777" w:rsidR="00033007" w:rsidRDefault="00730A01" w:rsidP="0098012F">
      <w:pPr>
        <w:pStyle w:val="Paragraphe"/>
        <w:numPr>
          <w:ilvl w:val="0"/>
          <w:numId w:val="1"/>
        </w:numPr>
        <w:tabs>
          <w:tab w:val="clear" w:pos="786"/>
        </w:tabs>
        <w:spacing w:line="240" w:lineRule="auto"/>
        <w:ind w:left="0"/>
        <w:rPr>
          <w:lang w:eastAsia="fr-CA"/>
        </w:rPr>
      </w:pPr>
      <w:r w:rsidRPr="00033007">
        <w:rPr>
          <w:lang w:eastAsia="fr-CA"/>
        </w:rPr>
        <w:t xml:space="preserve">La jurisprudence établit qu’un recours peut être déclaré abusif lorsque les sommes réclamées sont manifestement disproportionnées. Dans </w:t>
      </w:r>
      <w:r w:rsidRPr="00033007">
        <w:rPr>
          <w:i/>
          <w:iCs/>
          <w:lang w:eastAsia="fr-CA"/>
        </w:rPr>
        <w:t xml:space="preserve">A </w:t>
      </w:r>
      <w:r w:rsidRPr="00033007">
        <w:rPr>
          <w:lang w:eastAsia="fr-CA"/>
        </w:rPr>
        <w:t>c.</w:t>
      </w:r>
      <w:r w:rsidRPr="00033007">
        <w:rPr>
          <w:i/>
          <w:iCs/>
          <w:lang w:eastAsia="fr-CA"/>
        </w:rPr>
        <w:t xml:space="preserve"> CHU Sainte-Justine</w:t>
      </w:r>
      <w:r>
        <w:rPr>
          <w:rStyle w:val="Appelnotedebasdep"/>
          <w:lang w:eastAsia="fr-CA"/>
        </w:rPr>
        <w:footnoteReference w:id="453"/>
      </w:r>
      <w:r w:rsidRPr="00033007">
        <w:rPr>
          <w:lang w:eastAsia="fr-CA"/>
        </w:rPr>
        <w:t>, le Tribunal rejette une réclamation de</w:t>
      </w:r>
      <w:r w:rsidR="00DE0031">
        <w:rPr>
          <w:lang w:eastAsia="fr-CA"/>
        </w:rPr>
        <w:t> </w:t>
      </w:r>
      <w:r w:rsidRPr="00033007">
        <w:rPr>
          <w:lang w:eastAsia="fr-CA"/>
        </w:rPr>
        <w:t>25 M$ jugée exagérée, soulignant que des montants exorbitants contre des individus peuvent suffire à bâillonner la liberté d’expression.</w:t>
      </w:r>
    </w:p>
    <w:p w14:paraId="5BC6996A" w14:textId="77777777" w:rsidR="00033007" w:rsidRPr="00033007" w:rsidRDefault="00730A01" w:rsidP="0098012F">
      <w:pPr>
        <w:pStyle w:val="Paragraphe"/>
        <w:numPr>
          <w:ilvl w:val="0"/>
          <w:numId w:val="1"/>
        </w:numPr>
        <w:tabs>
          <w:tab w:val="clear" w:pos="786"/>
        </w:tabs>
        <w:spacing w:line="240" w:lineRule="auto"/>
        <w:ind w:left="0"/>
        <w:rPr>
          <w:lang w:eastAsia="fr-CA"/>
        </w:rPr>
      </w:pPr>
      <w:r w:rsidRPr="00033007">
        <w:rPr>
          <w:lang w:eastAsia="fr-CA"/>
        </w:rPr>
        <w:t xml:space="preserve">Il en va de même dans </w:t>
      </w:r>
      <w:r w:rsidRPr="00033007">
        <w:rPr>
          <w:i/>
          <w:iCs/>
          <w:lang w:eastAsia="fr-CA"/>
        </w:rPr>
        <w:t xml:space="preserve">Maïo </w:t>
      </w:r>
      <w:r w:rsidRPr="00033007">
        <w:rPr>
          <w:lang w:eastAsia="fr-CA"/>
        </w:rPr>
        <w:t>c.</w:t>
      </w:r>
      <w:r w:rsidRPr="00033007">
        <w:rPr>
          <w:i/>
          <w:iCs/>
          <w:lang w:eastAsia="fr-CA"/>
        </w:rPr>
        <w:t xml:space="preserve"> Paris</w:t>
      </w:r>
      <w:r>
        <w:rPr>
          <w:rStyle w:val="Appelnotedebasdep"/>
          <w:lang w:eastAsia="fr-CA"/>
        </w:rPr>
        <w:footnoteReference w:id="454"/>
      </w:r>
      <w:r w:rsidRPr="00033007">
        <w:rPr>
          <w:lang w:eastAsia="fr-CA"/>
        </w:rPr>
        <w:t>, où le Tribunal rappelle qu’en cas de présomption d’abus, il revient au demandeur de prouver que son recours n’est ni excessif ni déraisonnable.</w:t>
      </w:r>
    </w:p>
    <w:p w14:paraId="6CF860C8" w14:textId="77777777" w:rsidR="00083CE2" w:rsidRDefault="00730A01" w:rsidP="009C3F8B">
      <w:pPr>
        <w:keepNext/>
        <w:keepLines/>
        <w:spacing w:before="240" w:after="120" w:line="276" w:lineRule="auto"/>
        <w:outlineLvl w:val="0"/>
        <w:rPr>
          <w:rFonts w:cs="Arial"/>
          <w:b/>
          <w:bCs/>
          <w:sz w:val="28"/>
          <w:szCs w:val="28"/>
        </w:rPr>
      </w:pPr>
      <w:r>
        <w:rPr>
          <w:rFonts w:cs="Arial"/>
          <w:b/>
          <w:bCs/>
        </w:rPr>
        <w:br w:type="page"/>
      </w:r>
      <w:r w:rsidRPr="00083CE2">
        <w:rPr>
          <w:rFonts w:cs="Arial"/>
          <w:b/>
          <w:bCs/>
          <w:sz w:val="28"/>
          <w:szCs w:val="28"/>
        </w:rPr>
        <w:t>LES CONCLUSIONS</w:t>
      </w:r>
    </w:p>
    <w:p w14:paraId="0FA5BA5E" w14:textId="77777777" w:rsidR="00485898" w:rsidRDefault="00730A01" w:rsidP="009C3F8B">
      <w:pPr>
        <w:spacing w:after="100" w:afterAutospacing="1"/>
        <w:contextualSpacing/>
        <w:rPr>
          <w:rFonts w:cs="Arial"/>
          <w:b/>
          <w:bCs/>
        </w:rPr>
      </w:pPr>
      <w:r>
        <w:rPr>
          <w:rFonts w:cs="Arial"/>
          <w:b/>
          <w:bCs/>
        </w:rPr>
        <w:t>POUR CES MOTIFS, LE TRIBUNAL :</w:t>
      </w:r>
    </w:p>
    <w:p w14:paraId="63EB563A" w14:textId="77777777" w:rsidR="004342EE" w:rsidRDefault="00730A01" w:rsidP="004342EE">
      <w:pPr>
        <w:pStyle w:val="Titre1"/>
        <w:rPr>
          <w:smallCaps/>
        </w:rPr>
      </w:pPr>
      <w:r>
        <w:rPr>
          <w:smallCaps/>
        </w:rPr>
        <w:t>Sur la demande en irrecevabilité</w:t>
      </w:r>
      <w:r w:rsidR="00A66EB4">
        <w:rPr>
          <w:smallCaps/>
        </w:rPr>
        <w:t> :</w:t>
      </w:r>
    </w:p>
    <w:p w14:paraId="5657E41B" w14:textId="77777777" w:rsidR="004342EE" w:rsidRPr="004342EE" w:rsidRDefault="00730A01" w:rsidP="004342EE">
      <w:pPr>
        <w:pStyle w:val="Paragraphe"/>
        <w:numPr>
          <w:ilvl w:val="0"/>
          <w:numId w:val="1"/>
        </w:numPr>
        <w:tabs>
          <w:tab w:val="clear" w:pos="786"/>
        </w:tabs>
        <w:spacing w:line="240" w:lineRule="auto"/>
        <w:ind w:left="0"/>
        <w:rPr>
          <w:bCs/>
        </w:rPr>
      </w:pPr>
      <w:r>
        <w:rPr>
          <w:b/>
        </w:rPr>
        <w:t xml:space="preserve">REJETTE </w:t>
      </w:r>
      <w:r w:rsidRPr="004342EE">
        <w:rPr>
          <w:bCs/>
        </w:rPr>
        <w:t>la demande</w:t>
      </w:r>
      <w:r>
        <w:rPr>
          <w:bCs/>
        </w:rPr>
        <w:t xml:space="preserve"> en irrecevabilité présentée par les Défendeurs à l’encontre du recours des Demandeurs commanditaires de FIISH et Q-12.</w:t>
      </w:r>
      <w:r>
        <w:rPr>
          <w:b/>
        </w:rPr>
        <w:t xml:space="preserve"> </w:t>
      </w:r>
    </w:p>
    <w:p w14:paraId="04D6D560" w14:textId="77777777" w:rsidR="00766445" w:rsidRPr="00104B1A" w:rsidRDefault="00730A01" w:rsidP="009C00D0">
      <w:pPr>
        <w:pStyle w:val="Titre1"/>
        <w:rPr>
          <w:smallCaps/>
        </w:rPr>
      </w:pPr>
      <w:r w:rsidRPr="00104B1A">
        <w:rPr>
          <w:smallCaps/>
        </w:rPr>
        <w:t>Sur les incidents procéduraux</w:t>
      </w:r>
      <w:r w:rsidR="00A66EB4">
        <w:rPr>
          <w:smallCaps/>
        </w:rPr>
        <w:t> :</w:t>
      </w:r>
    </w:p>
    <w:p w14:paraId="40C47720" w14:textId="77777777" w:rsidR="00766445" w:rsidRPr="00A82355" w:rsidRDefault="00730A01" w:rsidP="00A82355">
      <w:pPr>
        <w:pStyle w:val="Style2"/>
        <w:rPr>
          <w:b/>
          <w:bCs w:val="0"/>
        </w:rPr>
      </w:pPr>
      <w:r w:rsidRPr="00A82355">
        <w:rPr>
          <w:b/>
          <w:bCs w:val="0"/>
        </w:rPr>
        <w:t>Sur les modifications du 7</w:t>
      </w:r>
      <w:r w:rsidR="00DE0031">
        <w:rPr>
          <w:b/>
          <w:bCs w:val="0"/>
        </w:rPr>
        <w:t> </w:t>
      </w:r>
      <w:r w:rsidRPr="00A82355">
        <w:rPr>
          <w:b/>
          <w:bCs w:val="0"/>
        </w:rPr>
        <w:t>mai</w:t>
      </w:r>
      <w:r w:rsidR="00DE0031">
        <w:rPr>
          <w:b/>
          <w:bCs w:val="0"/>
        </w:rPr>
        <w:t> </w:t>
      </w:r>
      <w:r w:rsidRPr="00A82355">
        <w:rPr>
          <w:b/>
          <w:bCs w:val="0"/>
        </w:rPr>
        <w:t>2025 aux demandes introductives d’instance :</w:t>
      </w:r>
    </w:p>
    <w:p w14:paraId="4C1AE9C1" w14:textId="77777777" w:rsidR="00A82355" w:rsidRDefault="00730A01" w:rsidP="00886E5D">
      <w:pPr>
        <w:pStyle w:val="Paragraphe"/>
        <w:numPr>
          <w:ilvl w:val="0"/>
          <w:numId w:val="1"/>
        </w:numPr>
        <w:tabs>
          <w:tab w:val="clear" w:pos="786"/>
        </w:tabs>
        <w:spacing w:line="240" w:lineRule="auto"/>
        <w:ind w:left="0"/>
        <w:rPr>
          <w:bCs/>
        </w:rPr>
      </w:pPr>
      <w:r>
        <w:rPr>
          <w:b/>
        </w:rPr>
        <w:t xml:space="preserve">PERMET </w:t>
      </w:r>
      <w:r w:rsidRPr="004342EE">
        <w:rPr>
          <w:bCs/>
        </w:rPr>
        <w:t>l</w:t>
      </w:r>
      <w:r w:rsidRPr="000011A7">
        <w:rPr>
          <w:bCs/>
        </w:rPr>
        <w:t>es modifications apportées le 7</w:t>
      </w:r>
      <w:r w:rsidR="00DE0031">
        <w:rPr>
          <w:bCs/>
        </w:rPr>
        <w:t> </w:t>
      </w:r>
      <w:r w:rsidRPr="000011A7">
        <w:rPr>
          <w:bCs/>
        </w:rPr>
        <w:t>mai</w:t>
      </w:r>
      <w:r w:rsidR="00DE0031">
        <w:rPr>
          <w:bCs/>
        </w:rPr>
        <w:t> </w:t>
      </w:r>
      <w:r w:rsidRPr="000011A7">
        <w:rPr>
          <w:bCs/>
        </w:rPr>
        <w:t xml:space="preserve">2025 aux </w:t>
      </w:r>
      <w:r>
        <w:rPr>
          <w:bCs/>
        </w:rPr>
        <w:t>d</w:t>
      </w:r>
      <w:r w:rsidRPr="000011A7">
        <w:rPr>
          <w:bCs/>
        </w:rPr>
        <w:t>emandes introductives d’instance</w:t>
      </w:r>
      <w:r w:rsidR="00F507F1">
        <w:rPr>
          <w:bCs/>
        </w:rPr>
        <w:t>.</w:t>
      </w:r>
    </w:p>
    <w:p w14:paraId="3F8676DE" w14:textId="77777777" w:rsidR="00766445" w:rsidRPr="00A82355" w:rsidRDefault="00730A01" w:rsidP="00A82355">
      <w:pPr>
        <w:pStyle w:val="Style2"/>
        <w:rPr>
          <w:szCs w:val="20"/>
        </w:rPr>
      </w:pPr>
      <w:r w:rsidRPr="00A82355">
        <w:rPr>
          <w:b/>
        </w:rPr>
        <w:t>Sur les objections formulées par les Demandeurs :</w:t>
      </w:r>
      <w:r w:rsidRPr="00A82355">
        <w:rPr>
          <w:b/>
          <w:iCs/>
          <w:lang w:eastAsia="fr-CA"/>
        </w:rPr>
        <w:t xml:space="preserve"> </w:t>
      </w:r>
    </w:p>
    <w:p w14:paraId="248AEFC0" w14:textId="77777777" w:rsidR="00886E5D" w:rsidRDefault="00730A01" w:rsidP="00886E5D">
      <w:pPr>
        <w:pStyle w:val="Paragraphe"/>
        <w:numPr>
          <w:ilvl w:val="0"/>
          <w:numId w:val="1"/>
        </w:numPr>
        <w:tabs>
          <w:tab w:val="clear" w:pos="786"/>
        </w:tabs>
        <w:spacing w:line="240" w:lineRule="auto"/>
        <w:ind w:left="0"/>
        <w:rPr>
          <w:bCs/>
        </w:rPr>
      </w:pPr>
      <w:r>
        <w:rPr>
          <w:b/>
        </w:rPr>
        <w:t xml:space="preserve">REJETTE </w:t>
      </w:r>
      <w:r w:rsidRPr="000011A7">
        <w:rPr>
          <w:bCs/>
        </w:rPr>
        <w:t>l</w:t>
      </w:r>
      <w:r w:rsidRPr="000011A7">
        <w:rPr>
          <w:b/>
        </w:rPr>
        <w:t>’</w:t>
      </w:r>
      <w:r>
        <w:rPr>
          <w:kern w:val="0"/>
          <w:lang w:eastAsia="fr-CA"/>
        </w:rPr>
        <w:t>o</w:t>
      </w:r>
      <w:r w:rsidRPr="000011A7">
        <w:rPr>
          <w:kern w:val="0"/>
          <w:lang w:eastAsia="fr-CA"/>
        </w:rPr>
        <w:t>bjection du 13</w:t>
      </w:r>
      <w:r w:rsidR="00DE0031">
        <w:rPr>
          <w:kern w:val="0"/>
          <w:lang w:eastAsia="fr-CA"/>
        </w:rPr>
        <w:t> </w:t>
      </w:r>
      <w:r w:rsidRPr="000011A7">
        <w:rPr>
          <w:kern w:val="0"/>
          <w:lang w:eastAsia="fr-CA"/>
        </w:rPr>
        <w:t>juin</w:t>
      </w:r>
      <w:r w:rsidR="00DE0031">
        <w:rPr>
          <w:kern w:val="0"/>
          <w:lang w:eastAsia="fr-CA"/>
        </w:rPr>
        <w:t> </w:t>
      </w:r>
      <w:r w:rsidRPr="000011A7">
        <w:rPr>
          <w:kern w:val="0"/>
          <w:lang w:eastAsia="fr-CA"/>
        </w:rPr>
        <w:t>2024 portant sur le compte d’honoraires de KPMG</w:t>
      </w:r>
      <w:r w:rsidR="00DE0031">
        <w:rPr>
          <w:kern w:val="0"/>
          <w:lang w:eastAsia="fr-CA"/>
        </w:rPr>
        <w:t>,</w:t>
      </w:r>
      <w:r w:rsidRPr="000011A7">
        <w:rPr>
          <w:kern w:val="0"/>
        </w:rPr>
        <w:t xml:space="preserve"> mais</w:t>
      </w:r>
      <w:r>
        <w:rPr>
          <w:kern w:val="0"/>
        </w:rPr>
        <w:t xml:space="preserve"> </w:t>
      </w:r>
      <w:r w:rsidRPr="000011A7">
        <w:rPr>
          <w:b/>
          <w:bCs/>
          <w:kern w:val="0"/>
        </w:rPr>
        <w:t>AUTORISE</w:t>
      </w:r>
      <w:r>
        <w:rPr>
          <w:kern w:val="0"/>
        </w:rPr>
        <w:t xml:space="preserve"> cependant</w:t>
      </w:r>
      <w:r w:rsidRPr="000011A7">
        <w:rPr>
          <w:kern w:val="0"/>
        </w:rPr>
        <w:t xml:space="preserve"> que les Demandeurs</w:t>
      </w:r>
      <w:r w:rsidRPr="000011A7">
        <w:rPr>
          <w:kern w:val="0"/>
          <w:shd w:val="clear" w:color="auto" w:fill="FFFFFF"/>
        </w:rPr>
        <w:t xml:space="preserve"> ne produisent pas l'intégralité des comptes d’honoraires de ses experts</w:t>
      </w:r>
      <w:r>
        <w:rPr>
          <w:kern w:val="0"/>
          <w:shd w:val="clear" w:color="auto" w:fill="FFFFFF"/>
        </w:rPr>
        <w:t>;</w:t>
      </w:r>
    </w:p>
    <w:p w14:paraId="011C6F12" w14:textId="77777777" w:rsidR="00886E5D" w:rsidRDefault="00730A01" w:rsidP="00886E5D">
      <w:pPr>
        <w:pStyle w:val="Paragraphe"/>
        <w:numPr>
          <w:ilvl w:val="0"/>
          <w:numId w:val="1"/>
        </w:numPr>
        <w:tabs>
          <w:tab w:val="clear" w:pos="786"/>
        </w:tabs>
        <w:spacing w:line="240" w:lineRule="auto"/>
        <w:ind w:left="0"/>
        <w:rPr>
          <w:bCs/>
        </w:rPr>
      </w:pPr>
      <w:r w:rsidRPr="00886E5D">
        <w:rPr>
          <w:b/>
          <w:bCs/>
          <w:kern w:val="0"/>
          <w:lang w:eastAsia="fr-CA"/>
        </w:rPr>
        <w:t>MAINTIENT</w:t>
      </w:r>
      <w:r w:rsidRPr="00886E5D">
        <w:rPr>
          <w:kern w:val="0"/>
          <w:lang w:eastAsia="fr-CA"/>
        </w:rPr>
        <w:t xml:space="preserve"> l’objection concernant le destinataire des factures de KPMG;</w:t>
      </w:r>
    </w:p>
    <w:p w14:paraId="3ADDC29B" w14:textId="77777777" w:rsidR="00886E5D" w:rsidRDefault="00730A01" w:rsidP="00886E5D">
      <w:pPr>
        <w:pStyle w:val="Paragraphe"/>
        <w:numPr>
          <w:ilvl w:val="0"/>
          <w:numId w:val="1"/>
        </w:numPr>
        <w:tabs>
          <w:tab w:val="clear" w:pos="786"/>
        </w:tabs>
        <w:spacing w:line="240" w:lineRule="auto"/>
        <w:ind w:left="0"/>
        <w:rPr>
          <w:bCs/>
        </w:rPr>
      </w:pPr>
      <w:r w:rsidRPr="00886E5D">
        <w:rPr>
          <w:b/>
          <w:bCs/>
          <w:kern w:val="0"/>
          <w:lang w:eastAsia="fr-CA"/>
        </w:rPr>
        <w:t>MAINTIENT</w:t>
      </w:r>
      <w:r w:rsidRPr="00886E5D">
        <w:rPr>
          <w:kern w:val="0"/>
          <w:lang w:eastAsia="fr-CA"/>
        </w:rPr>
        <w:t xml:space="preserve"> les objections portant sur des opinions émises par les témoins de faits Lasry et Marcantonio;</w:t>
      </w:r>
    </w:p>
    <w:p w14:paraId="687F8F92" w14:textId="77777777" w:rsidR="00766445" w:rsidRPr="00886E5D" w:rsidRDefault="00730A01" w:rsidP="00886E5D">
      <w:pPr>
        <w:pStyle w:val="Paragraphe"/>
        <w:numPr>
          <w:ilvl w:val="0"/>
          <w:numId w:val="1"/>
        </w:numPr>
        <w:tabs>
          <w:tab w:val="clear" w:pos="786"/>
        </w:tabs>
        <w:spacing w:line="240" w:lineRule="auto"/>
        <w:ind w:left="0"/>
        <w:rPr>
          <w:bCs/>
        </w:rPr>
      </w:pPr>
      <w:r w:rsidRPr="00886E5D">
        <w:rPr>
          <w:b/>
        </w:rPr>
        <w:t>PREND NOTE</w:t>
      </w:r>
      <w:r w:rsidRPr="00886E5D">
        <w:rPr>
          <w:bCs/>
        </w:rPr>
        <w:t xml:space="preserve"> du retrait des objections en lien avec la </w:t>
      </w:r>
      <w:r w:rsidRPr="00886E5D">
        <w:rPr>
          <w:kern w:val="0"/>
          <w:lang w:eastAsia="fr-CA"/>
        </w:rPr>
        <w:t>réserve générale formulée par les Demandeurs sur tout dépôt de documents provenant du disque dur de Huot</w:t>
      </w:r>
      <w:r w:rsidR="00F507F1">
        <w:rPr>
          <w:kern w:val="0"/>
          <w:lang w:eastAsia="fr-CA"/>
        </w:rPr>
        <w:t>.</w:t>
      </w:r>
    </w:p>
    <w:p w14:paraId="00B3C27D" w14:textId="77777777" w:rsidR="00766445" w:rsidRDefault="00730A01" w:rsidP="00A82355">
      <w:pPr>
        <w:pStyle w:val="Style2"/>
        <w:rPr>
          <w:b/>
        </w:rPr>
      </w:pPr>
      <w:r w:rsidRPr="000011A7">
        <w:rPr>
          <w:b/>
        </w:rPr>
        <w:t xml:space="preserve">Sur les objections </w:t>
      </w:r>
      <w:r>
        <w:rPr>
          <w:b/>
        </w:rPr>
        <w:t>formulées par les Défendeurs :</w:t>
      </w:r>
    </w:p>
    <w:p w14:paraId="0B38DED9" w14:textId="77777777" w:rsidR="00886E5D" w:rsidRDefault="00730A01" w:rsidP="00886E5D">
      <w:pPr>
        <w:pStyle w:val="Paragraphe"/>
        <w:numPr>
          <w:ilvl w:val="0"/>
          <w:numId w:val="1"/>
        </w:numPr>
        <w:tabs>
          <w:tab w:val="clear" w:pos="786"/>
        </w:tabs>
        <w:spacing w:line="240" w:lineRule="auto"/>
        <w:ind w:left="0"/>
        <w:rPr>
          <w:bCs/>
        </w:rPr>
      </w:pPr>
      <w:r>
        <w:rPr>
          <w:b/>
        </w:rPr>
        <w:t>MAINTIENT</w:t>
      </w:r>
      <w:r w:rsidRPr="000A0589">
        <w:rPr>
          <w:bCs/>
        </w:rPr>
        <w:t xml:space="preserve"> l’objection</w:t>
      </w:r>
      <w:r>
        <w:rPr>
          <w:bCs/>
        </w:rPr>
        <w:t xml:space="preserve"> portant sur le ouï-dire concernant les paragraphes</w:t>
      </w:r>
      <w:r w:rsidR="00DE0031">
        <w:rPr>
          <w:bCs/>
        </w:rPr>
        <w:t> </w:t>
      </w:r>
      <w:r>
        <w:rPr>
          <w:bCs/>
        </w:rPr>
        <w:t>5 à</w:t>
      </w:r>
      <w:r w:rsidR="00DE0031">
        <w:rPr>
          <w:bCs/>
        </w:rPr>
        <w:t> </w:t>
      </w:r>
      <w:r>
        <w:rPr>
          <w:bCs/>
        </w:rPr>
        <w:t>8 de la Déclaration sous serment de M</w:t>
      </w:r>
      <w:r w:rsidRPr="00DE0031">
        <w:rPr>
          <w:bCs/>
          <w:vertAlign w:val="superscript"/>
        </w:rPr>
        <w:t>me</w:t>
      </w:r>
      <w:r w:rsidR="00DE0031">
        <w:rPr>
          <w:bCs/>
        </w:rPr>
        <w:t> </w:t>
      </w:r>
      <w:r>
        <w:rPr>
          <w:bCs/>
        </w:rPr>
        <w:t>Bianca Freeman;</w:t>
      </w:r>
    </w:p>
    <w:p w14:paraId="1FC9EF78" w14:textId="77777777" w:rsidR="00886E5D" w:rsidRDefault="00730A01" w:rsidP="00886E5D">
      <w:pPr>
        <w:pStyle w:val="Paragraphe"/>
        <w:numPr>
          <w:ilvl w:val="0"/>
          <w:numId w:val="1"/>
        </w:numPr>
        <w:tabs>
          <w:tab w:val="clear" w:pos="786"/>
        </w:tabs>
        <w:spacing w:line="240" w:lineRule="auto"/>
        <w:ind w:left="0"/>
        <w:rPr>
          <w:bCs/>
        </w:rPr>
      </w:pPr>
      <w:r w:rsidRPr="00886E5D">
        <w:rPr>
          <w:b/>
        </w:rPr>
        <w:t xml:space="preserve">REJETTE </w:t>
      </w:r>
      <w:r w:rsidRPr="00886E5D">
        <w:rPr>
          <w:bCs/>
        </w:rPr>
        <w:t>l</w:t>
      </w:r>
      <w:r w:rsidRPr="00886E5D">
        <w:rPr>
          <w:b/>
        </w:rPr>
        <w:t>’</w:t>
      </w:r>
      <w:r w:rsidRPr="00886E5D">
        <w:rPr>
          <w:kern w:val="0"/>
          <w:lang w:eastAsia="fr-CA"/>
        </w:rPr>
        <w:t>objection portant sur le retour d’impôt de 10 M$ reçu par Giroux;</w:t>
      </w:r>
    </w:p>
    <w:p w14:paraId="20F49C42" w14:textId="77777777" w:rsidR="00886E5D" w:rsidRDefault="00730A01" w:rsidP="00886E5D">
      <w:pPr>
        <w:pStyle w:val="Paragraphe"/>
        <w:numPr>
          <w:ilvl w:val="0"/>
          <w:numId w:val="1"/>
        </w:numPr>
        <w:tabs>
          <w:tab w:val="clear" w:pos="786"/>
        </w:tabs>
        <w:spacing w:line="240" w:lineRule="auto"/>
        <w:ind w:left="0"/>
        <w:rPr>
          <w:bCs/>
        </w:rPr>
      </w:pPr>
      <w:r w:rsidRPr="00886E5D">
        <w:rPr>
          <w:b/>
        </w:rPr>
        <w:t>MAINTIENT</w:t>
      </w:r>
      <w:r w:rsidRPr="00886E5D">
        <w:rPr>
          <w:bCs/>
        </w:rPr>
        <w:t xml:space="preserve"> en partie</w:t>
      </w:r>
      <w:r w:rsidRPr="00886E5D">
        <w:rPr>
          <w:b/>
        </w:rPr>
        <w:t xml:space="preserve"> </w:t>
      </w:r>
      <w:r w:rsidRPr="00886E5D">
        <w:rPr>
          <w:kern w:val="0"/>
          <w:lang w:eastAsia="fr-CA"/>
        </w:rPr>
        <w:t>l’objection du 21</w:t>
      </w:r>
      <w:r w:rsidR="00DE0031">
        <w:rPr>
          <w:kern w:val="0"/>
          <w:lang w:eastAsia="fr-CA"/>
        </w:rPr>
        <w:t> </w:t>
      </w:r>
      <w:r w:rsidRPr="00886E5D">
        <w:rPr>
          <w:kern w:val="0"/>
          <w:lang w:eastAsia="fr-CA"/>
        </w:rPr>
        <w:t>janvier</w:t>
      </w:r>
      <w:r w:rsidR="00DE0031">
        <w:rPr>
          <w:kern w:val="0"/>
          <w:lang w:eastAsia="fr-CA"/>
        </w:rPr>
        <w:t> </w:t>
      </w:r>
      <w:r w:rsidRPr="00886E5D">
        <w:rPr>
          <w:kern w:val="0"/>
          <w:lang w:eastAsia="fr-CA"/>
        </w:rPr>
        <w:t>2025 sur la production des pièces PQ-214 et</w:t>
      </w:r>
      <w:r w:rsidRPr="00886E5D">
        <w:rPr>
          <w:b/>
          <w:bCs/>
          <w:kern w:val="0"/>
          <w:lang w:eastAsia="fr-CA"/>
        </w:rPr>
        <w:t xml:space="preserve"> </w:t>
      </w:r>
      <w:r w:rsidRPr="00886E5D">
        <w:rPr>
          <w:kern w:val="0"/>
          <w:lang w:eastAsia="fr-CA"/>
        </w:rPr>
        <w:t>PQ</w:t>
      </w:r>
      <w:r w:rsidRPr="00886E5D">
        <w:rPr>
          <w:kern w:val="0"/>
          <w:lang w:eastAsia="fr-CA"/>
        </w:rPr>
        <w:noBreakHyphen/>
        <w:t xml:space="preserve">281 en ajoutant que </w:t>
      </w:r>
      <w:r>
        <w:rPr>
          <w:lang w:eastAsia="fr-CA"/>
        </w:rPr>
        <w:t>l</w:t>
      </w:r>
      <w:r w:rsidRPr="009C6534">
        <w:rPr>
          <w:lang w:eastAsia="fr-CA"/>
        </w:rPr>
        <w:t>es</w:t>
      </w:r>
      <w:r>
        <w:rPr>
          <w:lang w:eastAsia="fr-CA"/>
        </w:rPr>
        <w:t>dites</w:t>
      </w:r>
      <w:r w:rsidRPr="009C6534">
        <w:rPr>
          <w:lang w:eastAsia="fr-CA"/>
        </w:rPr>
        <w:t xml:space="preserve"> ne font pas foi de la véracité de leur contenu, mais uniquement de leur existence</w:t>
      </w:r>
      <w:r>
        <w:rPr>
          <w:lang w:eastAsia="fr-CA"/>
        </w:rPr>
        <w:t>;</w:t>
      </w:r>
    </w:p>
    <w:p w14:paraId="631B6102" w14:textId="77777777" w:rsidR="00886E5D" w:rsidRDefault="00730A01" w:rsidP="00886E5D">
      <w:pPr>
        <w:pStyle w:val="Paragraphe"/>
        <w:numPr>
          <w:ilvl w:val="0"/>
          <w:numId w:val="1"/>
        </w:numPr>
        <w:tabs>
          <w:tab w:val="clear" w:pos="786"/>
        </w:tabs>
        <w:spacing w:line="240" w:lineRule="auto"/>
        <w:ind w:left="0"/>
        <w:rPr>
          <w:bCs/>
        </w:rPr>
      </w:pPr>
      <w:r w:rsidRPr="00886E5D">
        <w:rPr>
          <w:b/>
        </w:rPr>
        <w:t xml:space="preserve">REJETTE </w:t>
      </w:r>
      <w:r w:rsidRPr="00886E5D">
        <w:rPr>
          <w:bCs/>
        </w:rPr>
        <w:t>l’</w:t>
      </w:r>
      <w:r w:rsidRPr="00886E5D">
        <w:rPr>
          <w:kern w:val="0"/>
          <w:lang w:eastAsia="fr-CA"/>
        </w:rPr>
        <w:t>objection du 27</w:t>
      </w:r>
      <w:r w:rsidR="00DE0031">
        <w:rPr>
          <w:kern w:val="0"/>
          <w:lang w:eastAsia="fr-CA"/>
        </w:rPr>
        <w:t> </w:t>
      </w:r>
      <w:r w:rsidRPr="00886E5D">
        <w:rPr>
          <w:kern w:val="0"/>
          <w:lang w:eastAsia="fr-CA"/>
        </w:rPr>
        <w:t>février</w:t>
      </w:r>
      <w:r w:rsidR="00DE0031">
        <w:rPr>
          <w:kern w:val="0"/>
          <w:lang w:eastAsia="fr-CA"/>
        </w:rPr>
        <w:t> </w:t>
      </w:r>
      <w:r w:rsidRPr="00886E5D">
        <w:rPr>
          <w:kern w:val="0"/>
          <w:lang w:eastAsia="fr-CA"/>
        </w:rPr>
        <w:t>2025 portant sur la production de la pièce PQ</w:t>
      </w:r>
      <w:r w:rsidR="00D55BEA">
        <w:rPr>
          <w:kern w:val="0"/>
          <w:lang w:eastAsia="fr-CA"/>
        </w:rPr>
        <w:noBreakHyphen/>
      </w:r>
      <w:r w:rsidRPr="00886E5D">
        <w:rPr>
          <w:kern w:val="0"/>
          <w:lang w:eastAsia="fr-CA"/>
        </w:rPr>
        <w:t>283;</w:t>
      </w:r>
    </w:p>
    <w:p w14:paraId="2C6587CC" w14:textId="77777777" w:rsidR="00766445" w:rsidRPr="00886E5D" w:rsidRDefault="00730A01" w:rsidP="00886E5D">
      <w:pPr>
        <w:pStyle w:val="Paragraphe"/>
        <w:numPr>
          <w:ilvl w:val="0"/>
          <w:numId w:val="1"/>
        </w:numPr>
        <w:tabs>
          <w:tab w:val="clear" w:pos="786"/>
        </w:tabs>
        <w:spacing w:line="240" w:lineRule="auto"/>
        <w:ind w:left="0"/>
        <w:rPr>
          <w:bCs/>
        </w:rPr>
      </w:pPr>
      <w:r w:rsidRPr="00886E5D">
        <w:rPr>
          <w:b/>
        </w:rPr>
        <w:t xml:space="preserve">REJETTE </w:t>
      </w:r>
      <w:r w:rsidRPr="00886E5D">
        <w:rPr>
          <w:kern w:val="0"/>
          <w:lang w:eastAsia="fr-CA"/>
        </w:rPr>
        <w:t>l’objection du 27</w:t>
      </w:r>
      <w:r w:rsidR="00DE0031">
        <w:rPr>
          <w:kern w:val="0"/>
          <w:lang w:eastAsia="fr-CA"/>
        </w:rPr>
        <w:t> </w:t>
      </w:r>
      <w:r w:rsidRPr="00886E5D">
        <w:rPr>
          <w:kern w:val="0"/>
          <w:lang w:eastAsia="fr-CA"/>
        </w:rPr>
        <w:t>février</w:t>
      </w:r>
      <w:r w:rsidR="00DE0031">
        <w:rPr>
          <w:kern w:val="0"/>
          <w:lang w:eastAsia="fr-CA"/>
        </w:rPr>
        <w:t> </w:t>
      </w:r>
      <w:r w:rsidRPr="00886E5D">
        <w:rPr>
          <w:kern w:val="0"/>
          <w:lang w:eastAsia="fr-CA"/>
        </w:rPr>
        <w:t>2025 portant sur la production de la pièce PQ</w:t>
      </w:r>
      <w:r w:rsidR="00D55BEA">
        <w:rPr>
          <w:kern w:val="0"/>
          <w:lang w:eastAsia="fr-CA"/>
        </w:rPr>
        <w:noBreakHyphen/>
      </w:r>
      <w:r w:rsidRPr="00886E5D">
        <w:rPr>
          <w:kern w:val="0"/>
          <w:lang w:eastAsia="fr-CA"/>
        </w:rPr>
        <w:t>285</w:t>
      </w:r>
      <w:r w:rsidR="00F507F1">
        <w:rPr>
          <w:kern w:val="0"/>
          <w:lang w:eastAsia="fr-CA"/>
        </w:rPr>
        <w:t>.</w:t>
      </w:r>
    </w:p>
    <w:p w14:paraId="4E1754DB" w14:textId="77777777" w:rsidR="00447612" w:rsidRPr="00447612" w:rsidRDefault="00730A01" w:rsidP="00A82355">
      <w:pPr>
        <w:pStyle w:val="Style2"/>
        <w:rPr>
          <w:b/>
        </w:rPr>
      </w:pPr>
      <w:r w:rsidRPr="00447612">
        <w:rPr>
          <w:b/>
          <w:lang w:eastAsia="fr-CA"/>
        </w:rPr>
        <w:t xml:space="preserve">Sur la demande en rejet </w:t>
      </w:r>
      <w:r w:rsidR="00083CE2" w:rsidRPr="00447612">
        <w:rPr>
          <w:b/>
          <w:lang w:eastAsia="fr-CA"/>
        </w:rPr>
        <w:t>du rapport d’expert KPMG</w:t>
      </w:r>
      <w:r>
        <w:rPr>
          <w:b/>
          <w:lang w:eastAsia="fr-CA"/>
        </w:rPr>
        <w:t> </w:t>
      </w:r>
      <w:r w:rsidRPr="00B521C9">
        <w:rPr>
          <w:b/>
          <w:bCs w:val="0"/>
          <w:lang w:eastAsia="fr-CA"/>
        </w:rPr>
        <w:t>:</w:t>
      </w:r>
      <w:r w:rsidRPr="00447612">
        <w:rPr>
          <w:b/>
        </w:rPr>
        <w:t xml:space="preserve"> </w:t>
      </w:r>
    </w:p>
    <w:p w14:paraId="701F34CA" w14:textId="77777777" w:rsidR="00766445" w:rsidRPr="00447612" w:rsidRDefault="00730A01" w:rsidP="00886E5D">
      <w:pPr>
        <w:pStyle w:val="Paragraphe"/>
        <w:numPr>
          <w:ilvl w:val="0"/>
          <w:numId w:val="1"/>
        </w:numPr>
        <w:tabs>
          <w:tab w:val="clear" w:pos="786"/>
        </w:tabs>
        <w:spacing w:line="240" w:lineRule="auto"/>
        <w:ind w:left="0"/>
        <w:rPr>
          <w:b/>
        </w:rPr>
      </w:pPr>
      <w:r w:rsidRPr="009C6534">
        <w:rPr>
          <w:b/>
          <w:bCs/>
        </w:rPr>
        <w:t>REJETTE</w:t>
      </w:r>
      <w:r>
        <w:t xml:space="preserve"> </w:t>
      </w:r>
      <w:r w:rsidRPr="009C6534">
        <w:rPr>
          <w:kern w:val="0"/>
        </w:rPr>
        <w:t>la</w:t>
      </w:r>
      <w:r w:rsidRPr="009C6534">
        <w:rPr>
          <w:rFonts w:cs="Arial"/>
          <w:kern w:val="0"/>
          <w:szCs w:val="24"/>
          <w:lang w:eastAsia="fr-CA"/>
        </w:rPr>
        <w:t xml:space="preserve"> demande en rejet du rapport d’expert KPMG</w:t>
      </w:r>
      <w:r w:rsidR="00F507F1">
        <w:rPr>
          <w:rFonts w:cs="Arial"/>
          <w:kern w:val="0"/>
          <w:szCs w:val="24"/>
          <w:lang w:eastAsia="fr-CA"/>
        </w:rPr>
        <w:t>.</w:t>
      </w:r>
    </w:p>
    <w:p w14:paraId="78392469" w14:textId="77777777" w:rsidR="00447612" w:rsidRDefault="00730A01" w:rsidP="00A82355">
      <w:pPr>
        <w:pStyle w:val="Style2"/>
        <w:rPr>
          <w:b/>
        </w:rPr>
      </w:pPr>
      <w:r w:rsidRPr="00447612">
        <w:rPr>
          <w:b/>
          <w:lang w:eastAsia="fr-CA"/>
        </w:rPr>
        <w:t>Sur la complétion de certaines notes sténographiques :</w:t>
      </w:r>
    </w:p>
    <w:p w14:paraId="4336DA3D" w14:textId="77777777" w:rsidR="00766445" w:rsidRPr="00447612" w:rsidRDefault="00730A01" w:rsidP="00886E5D">
      <w:pPr>
        <w:pStyle w:val="Paragraphe"/>
        <w:numPr>
          <w:ilvl w:val="0"/>
          <w:numId w:val="1"/>
        </w:numPr>
        <w:tabs>
          <w:tab w:val="clear" w:pos="786"/>
        </w:tabs>
        <w:spacing w:line="240" w:lineRule="auto"/>
        <w:ind w:left="0"/>
        <w:rPr>
          <w:b/>
        </w:rPr>
      </w:pPr>
      <w:r w:rsidRPr="00447612">
        <w:rPr>
          <w:rFonts w:cs="Arial"/>
          <w:b/>
          <w:bCs/>
          <w:szCs w:val="24"/>
        </w:rPr>
        <w:t>ACCEPTE EN PREUVE</w:t>
      </w:r>
      <w:r w:rsidRPr="00447612">
        <w:rPr>
          <w:rFonts w:cs="Arial"/>
          <w:szCs w:val="24"/>
        </w:rPr>
        <w:t xml:space="preserve"> tous les extraits faisant l’objet de </w:t>
      </w:r>
      <w:r w:rsidRPr="00447612">
        <w:rPr>
          <w:rFonts w:cs="Arial"/>
          <w:i/>
          <w:iCs/>
          <w:szCs w:val="24"/>
        </w:rPr>
        <w:t>l’Avis de production de</w:t>
      </w:r>
      <w:r w:rsidRPr="00447612">
        <w:rPr>
          <w:rFonts w:cs="Arial"/>
          <w:szCs w:val="24"/>
        </w:rPr>
        <w:t xml:space="preserve"> </w:t>
      </w:r>
      <w:r w:rsidRPr="00447612">
        <w:rPr>
          <w:rFonts w:cs="Arial"/>
          <w:i/>
          <w:iCs/>
          <w:szCs w:val="24"/>
        </w:rPr>
        <w:t>compléments de dépositions</w:t>
      </w:r>
      <w:r w:rsidRPr="00447612">
        <w:rPr>
          <w:rFonts w:cs="Arial"/>
          <w:szCs w:val="24"/>
        </w:rPr>
        <w:t>, daté du 15</w:t>
      </w:r>
      <w:r w:rsidR="00DE0031">
        <w:rPr>
          <w:rFonts w:cs="Arial"/>
          <w:szCs w:val="24"/>
        </w:rPr>
        <w:t> </w:t>
      </w:r>
      <w:r w:rsidRPr="00447612">
        <w:rPr>
          <w:rFonts w:cs="Arial"/>
          <w:szCs w:val="24"/>
        </w:rPr>
        <w:t>mai</w:t>
      </w:r>
      <w:r w:rsidR="00DE0031">
        <w:rPr>
          <w:rFonts w:cs="Arial"/>
          <w:szCs w:val="24"/>
        </w:rPr>
        <w:t> </w:t>
      </w:r>
      <w:r w:rsidRPr="00447612">
        <w:rPr>
          <w:rFonts w:cs="Arial"/>
          <w:szCs w:val="24"/>
        </w:rPr>
        <w:t>2024, notifié aux avocats des Défendeurs/Demandeurs reconventionnels par la partie demanderesse sauf les suivants</w:t>
      </w:r>
      <w:r w:rsidR="007B409A" w:rsidRPr="00447612">
        <w:rPr>
          <w:rFonts w:cs="Arial"/>
          <w:szCs w:val="24"/>
        </w:rPr>
        <w:t> </w:t>
      </w:r>
      <w:r w:rsidRPr="00447612">
        <w:rPr>
          <w:rFonts w:cs="Arial"/>
          <w:szCs w:val="24"/>
        </w:rPr>
        <w:t>:</w:t>
      </w:r>
    </w:p>
    <w:p w14:paraId="2A5F2702" w14:textId="77777777" w:rsidR="00766445" w:rsidRPr="00202504" w:rsidRDefault="00730A01" w:rsidP="00443B59">
      <w:pPr>
        <w:numPr>
          <w:ilvl w:val="1"/>
          <w:numId w:val="56"/>
        </w:numPr>
        <w:spacing w:before="120"/>
        <w:ind w:left="1418" w:hanging="357"/>
        <w:rPr>
          <w:rFonts w:cs="Arial"/>
          <w:szCs w:val="24"/>
          <w:lang w:eastAsia="fr-CA"/>
        </w:rPr>
      </w:pPr>
      <w:r w:rsidRPr="00202504">
        <w:rPr>
          <w:rFonts w:cs="Arial"/>
          <w:b/>
          <w:bCs/>
          <w:szCs w:val="24"/>
          <w:lang w:eastAsia="fr-CA"/>
        </w:rPr>
        <w:t>Patrick Brière</w:t>
      </w:r>
      <w:r w:rsidR="00DE0031" w:rsidRPr="00202504">
        <w:rPr>
          <w:rFonts w:cs="Arial"/>
          <w:szCs w:val="24"/>
          <w:lang w:eastAsia="fr-CA"/>
        </w:rPr>
        <w:t> </w:t>
      </w:r>
      <w:r w:rsidRPr="00202504">
        <w:rPr>
          <w:rFonts w:cs="Arial"/>
          <w:szCs w:val="24"/>
          <w:lang w:eastAsia="fr-CA"/>
        </w:rPr>
        <w:t>: p.</w:t>
      </w:r>
      <w:r w:rsidR="00A81B43" w:rsidRPr="00202504">
        <w:rPr>
          <w:rFonts w:cs="Arial"/>
          <w:szCs w:val="24"/>
          <w:lang w:eastAsia="fr-CA"/>
        </w:rPr>
        <w:t> </w:t>
      </w:r>
      <w:r w:rsidRPr="00202504">
        <w:rPr>
          <w:rFonts w:cs="Arial"/>
          <w:szCs w:val="24"/>
          <w:lang w:eastAsia="fr-CA"/>
        </w:rPr>
        <w:t>96;6 à 100;8;</w:t>
      </w:r>
      <w:r w:rsidR="00A81B43" w:rsidRPr="00202504">
        <w:rPr>
          <w:rFonts w:cs="Arial"/>
          <w:szCs w:val="24"/>
          <w:lang w:eastAsia="fr-CA"/>
        </w:rPr>
        <w:t>  </w:t>
      </w:r>
      <w:r w:rsidRPr="00202504">
        <w:rPr>
          <w:rFonts w:cs="Arial"/>
          <w:szCs w:val="24"/>
          <w:lang w:eastAsia="fr-CA"/>
        </w:rPr>
        <w:t>p.</w:t>
      </w:r>
      <w:r w:rsidR="00A81B43" w:rsidRPr="00202504">
        <w:rPr>
          <w:rFonts w:cs="Arial"/>
          <w:szCs w:val="24"/>
          <w:lang w:eastAsia="fr-CA"/>
        </w:rPr>
        <w:t> </w:t>
      </w:r>
      <w:r w:rsidRPr="00202504">
        <w:rPr>
          <w:rFonts w:cs="Arial"/>
          <w:szCs w:val="24"/>
          <w:lang w:eastAsia="fr-CA"/>
        </w:rPr>
        <w:t>116;11 à 121;23;</w:t>
      </w:r>
      <w:r w:rsidR="00A81B43" w:rsidRPr="00202504">
        <w:rPr>
          <w:rFonts w:cs="Arial"/>
          <w:szCs w:val="24"/>
          <w:lang w:eastAsia="fr-CA"/>
        </w:rPr>
        <w:t>  </w:t>
      </w:r>
      <w:r w:rsidRPr="00202504">
        <w:rPr>
          <w:rFonts w:cs="Arial"/>
          <w:szCs w:val="24"/>
          <w:lang w:eastAsia="fr-CA"/>
        </w:rPr>
        <w:t>p.</w:t>
      </w:r>
      <w:r w:rsidR="00A81B43" w:rsidRPr="00202504">
        <w:rPr>
          <w:rFonts w:cs="Arial"/>
          <w:szCs w:val="24"/>
          <w:lang w:eastAsia="fr-CA"/>
        </w:rPr>
        <w:t> </w:t>
      </w:r>
      <w:r w:rsidRPr="00202504">
        <w:rPr>
          <w:rFonts w:cs="Arial"/>
          <w:szCs w:val="24"/>
          <w:lang w:eastAsia="fr-CA"/>
        </w:rPr>
        <w:t>130;9 à 131;16</w:t>
      </w:r>
      <w:r w:rsidR="00DE0031" w:rsidRPr="00202504">
        <w:rPr>
          <w:rFonts w:cs="Arial"/>
          <w:szCs w:val="24"/>
          <w:lang w:eastAsia="fr-CA"/>
        </w:rPr>
        <w:t>.</w:t>
      </w:r>
    </w:p>
    <w:p w14:paraId="1F685131" w14:textId="77777777" w:rsidR="00766445" w:rsidRPr="00202504" w:rsidRDefault="00730A01" w:rsidP="00443B59">
      <w:pPr>
        <w:numPr>
          <w:ilvl w:val="1"/>
          <w:numId w:val="56"/>
        </w:numPr>
        <w:spacing w:before="120"/>
        <w:ind w:left="1418" w:hanging="357"/>
        <w:rPr>
          <w:rFonts w:cs="Arial"/>
          <w:szCs w:val="24"/>
          <w:lang w:eastAsia="fr-CA"/>
        </w:rPr>
      </w:pPr>
      <w:r w:rsidRPr="00202504">
        <w:rPr>
          <w:rFonts w:cs="Arial"/>
          <w:b/>
          <w:bCs/>
          <w:szCs w:val="24"/>
          <w:lang w:eastAsia="fr-CA"/>
        </w:rPr>
        <w:t>Mario Landry</w:t>
      </w:r>
      <w:r w:rsidR="00DE0031" w:rsidRPr="00202504">
        <w:rPr>
          <w:rFonts w:cs="Arial"/>
          <w:szCs w:val="24"/>
          <w:lang w:eastAsia="fr-CA"/>
        </w:rPr>
        <w:t> </w:t>
      </w:r>
      <w:r w:rsidRPr="00202504">
        <w:rPr>
          <w:rFonts w:cs="Arial"/>
          <w:szCs w:val="24"/>
          <w:lang w:eastAsia="fr-CA"/>
        </w:rPr>
        <w:t>: p.</w:t>
      </w:r>
      <w:r w:rsidR="00A81B43" w:rsidRPr="00202504">
        <w:rPr>
          <w:rFonts w:cs="Arial"/>
          <w:szCs w:val="24"/>
          <w:lang w:eastAsia="fr-CA"/>
        </w:rPr>
        <w:t> </w:t>
      </w:r>
      <w:r w:rsidRPr="00202504">
        <w:rPr>
          <w:rFonts w:cs="Arial"/>
          <w:szCs w:val="24"/>
          <w:lang w:eastAsia="fr-CA"/>
        </w:rPr>
        <w:t>87;7 à 88;17;</w:t>
      </w:r>
      <w:r w:rsidR="00A81B43" w:rsidRPr="00202504">
        <w:rPr>
          <w:rFonts w:cs="Arial"/>
          <w:szCs w:val="24"/>
          <w:lang w:eastAsia="fr-CA"/>
        </w:rPr>
        <w:t>  </w:t>
      </w:r>
      <w:r w:rsidRPr="00202504">
        <w:rPr>
          <w:rFonts w:cs="Arial"/>
          <w:szCs w:val="24"/>
          <w:lang w:eastAsia="fr-CA"/>
        </w:rPr>
        <w:t>p.</w:t>
      </w:r>
      <w:r w:rsidR="00A81B43" w:rsidRPr="00202504">
        <w:rPr>
          <w:rFonts w:cs="Arial"/>
          <w:szCs w:val="24"/>
          <w:lang w:eastAsia="fr-CA"/>
        </w:rPr>
        <w:t> </w:t>
      </w:r>
      <w:r w:rsidRPr="00202504">
        <w:rPr>
          <w:rFonts w:cs="Arial"/>
          <w:szCs w:val="24"/>
          <w:lang w:eastAsia="fr-CA"/>
        </w:rPr>
        <w:t>93;10 à 93;25</w:t>
      </w:r>
      <w:r w:rsidR="00DE0031" w:rsidRPr="00202504">
        <w:rPr>
          <w:rFonts w:cs="Arial"/>
          <w:szCs w:val="24"/>
          <w:lang w:eastAsia="fr-CA"/>
        </w:rPr>
        <w:t>.</w:t>
      </w:r>
    </w:p>
    <w:p w14:paraId="7FFF99FE" w14:textId="77777777" w:rsidR="00766445" w:rsidRPr="00202504" w:rsidRDefault="00730A01" w:rsidP="00443B59">
      <w:pPr>
        <w:numPr>
          <w:ilvl w:val="1"/>
          <w:numId w:val="56"/>
        </w:numPr>
        <w:spacing w:before="120"/>
        <w:ind w:left="1418" w:hanging="357"/>
        <w:rPr>
          <w:rFonts w:cs="Arial"/>
          <w:szCs w:val="24"/>
          <w:lang w:eastAsia="fr-CA"/>
        </w:rPr>
      </w:pPr>
      <w:r w:rsidRPr="00202504">
        <w:rPr>
          <w:rFonts w:cs="Arial"/>
          <w:b/>
          <w:bCs/>
          <w:szCs w:val="24"/>
          <w:lang w:eastAsia="fr-CA"/>
        </w:rPr>
        <w:t>Éric Tremblay</w:t>
      </w:r>
      <w:r w:rsidR="00DE0031" w:rsidRPr="00202504">
        <w:rPr>
          <w:rFonts w:cs="Arial"/>
          <w:szCs w:val="24"/>
          <w:lang w:eastAsia="fr-CA"/>
        </w:rPr>
        <w:t> </w:t>
      </w:r>
      <w:r w:rsidRPr="00202504">
        <w:rPr>
          <w:rFonts w:cs="Arial"/>
          <w:szCs w:val="24"/>
          <w:lang w:eastAsia="fr-CA"/>
        </w:rPr>
        <w:t>: p.</w:t>
      </w:r>
      <w:r w:rsidR="00A81B43" w:rsidRPr="00202504">
        <w:rPr>
          <w:rFonts w:cs="Arial"/>
          <w:szCs w:val="24"/>
          <w:lang w:eastAsia="fr-CA"/>
        </w:rPr>
        <w:t> </w:t>
      </w:r>
      <w:r w:rsidRPr="00202504">
        <w:rPr>
          <w:rFonts w:cs="Arial"/>
          <w:szCs w:val="24"/>
          <w:lang w:eastAsia="fr-CA"/>
        </w:rPr>
        <w:t>37;21 à 38;14</w:t>
      </w:r>
    </w:p>
    <w:p w14:paraId="0BC39346" w14:textId="77777777" w:rsidR="00766445" w:rsidRPr="004342EE" w:rsidRDefault="00730A01" w:rsidP="004342EE">
      <w:pPr>
        <w:pStyle w:val="Titre1"/>
        <w:rPr>
          <w:smallCaps/>
        </w:rPr>
      </w:pPr>
      <w:r w:rsidRPr="004342EE">
        <w:rPr>
          <w:smallCaps/>
        </w:rPr>
        <w:t>Sur le fond</w:t>
      </w:r>
      <w:r w:rsidR="00A66EB4">
        <w:rPr>
          <w:smallCaps/>
        </w:rPr>
        <w:t> :</w:t>
      </w:r>
    </w:p>
    <w:p w14:paraId="68F58A6B" w14:textId="77777777" w:rsidR="00886E5D" w:rsidRDefault="00730A01" w:rsidP="00886E5D">
      <w:pPr>
        <w:pStyle w:val="Paragraphe"/>
        <w:numPr>
          <w:ilvl w:val="0"/>
          <w:numId w:val="1"/>
        </w:numPr>
        <w:tabs>
          <w:tab w:val="clear" w:pos="786"/>
        </w:tabs>
        <w:spacing w:line="240" w:lineRule="auto"/>
        <w:ind w:left="0"/>
      </w:pPr>
      <w:r>
        <w:rPr>
          <w:b/>
          <w:bCs/>
        </w:rPr>
        <w:t xml:space="preserve">ACCUEILLE </w:t>
      </w:r>
      <w:r w:rsidR="00912B9B" w:rsidRPr="00912B9B">
        <w:t>les demandes</w:t>
      </w:r>
      <w:r w:rsidR="00912B9B">
        <w:rPr>
          <w:b/>
          <w:bCs/>
        </w:rPr>
        <w:t xml:space="preserve"> </w:t>
      </w:r>
      <w:r w:rsidRPr="00912B9B">
        <w:t xml:space="preserve">en injonction de type </w:t>
      </w:r>
      <w:r w:rsidRPr="00DE0031">
        <w:rPr>
          <w:i/>
          <w:iCs/>
        </w:rPr>
        <w:t>Mareva</w:t>
      </w:r>
      <w:r w:rsidRPr="00912B9B">
        <w:t xml:space="preserve"> </w:t>
      </w:r>
      <w:r w:rsidR="00912B9B">
        <w:t xml:space="preserve">présentées dans les </w:t>
      </w:r>
      <w:r>
        <w:t>deux dossiers</w:t>
      </w:r>
      <w:r w:rsidR="00912B9B">
        <w:t> :</w:t>
      </w:r>
      <w:r w:rsidR="00DE0031">
        <w:t xml:space="preserve"> </w:t>
      </w:r>
      <w:r>
        <w:t>FIISH (200-17-034967-232) et (Q-12 (200-17-034968-230);</w:t>
      </w:r>
    </w:p>
    <w:p w14:paraId="2ECC083C" w14:textId="77777777" w:rsidR="00D55BEA" w:rsidRDefault="00730A01" w:rsidP="00886E5D">
      <w:pPr>
        <w:pStyle w:val="Paragraphe"/>
        <w:numPr>
          <w:ilvl w:val="0"/>
          <w:numId w:val="1"/>
        </w:numPr>
        <w:tabs>
          <w:tab w:val="clear" w:pos="786"/>
        </w:tabs>
        <w:spacing w:line="240" w:lineRule="auto"/>
        <w:ind w:left="0"/>
      </w:pPr>
      <w:r>
        <w:rPr>
          <w:b/>
          <w:bCs/>
        </w:rPr>
        <w:t xml:space="preserve">ORDONNE </w:t>
      </w:r>
      <w:r>
        <w:t>aux Défendeurs Robert Giroux, 9355-9797 Québec inc., 9180-6646 Québec inc, 9355-8096 Québec inc., 9416-1395 Québec inc. et X2 Capital inc. de ne pas, directement ou indirectement, sans le consentement préalable des Demandeurs ou du Tribunal, vendre, retirer, dissiper, transférer, aliéner, donner, hypothéquer ou autrement céder les actifs qu’ils détiennent personnellement et/ou conjointement avec une ou d’autres personnes, peu importe l’endroit où ces actifs sont situés, et ce, jusqu’à la pleine exécution du jugement, ce qui inclut notamment les ordonnances suivantes jusqu’au paragraphe</w:t>
      </w:r>
      <w:r w:rsidR="00DE0031">
        <w:t> </w:t>
      </w:r>
      <w:r>
        <w:t>[5</w:t>
      </w:r>
      <w:r w:rsidR="0024280F">
        <w:t>50</w:t>
      </w:r>
      <w:r w:rsidR="009165EA">
        <w:t>0-</w:t>
      </w:r>
      <w:r>
        <w:t>]</w:t>
      </w:r>
      <w:r w:rsidR="003A5A12">
        <w:t xml:space="preserve"> inclusivement</w:t>
      </w:r>
      <w:r>
        <w:t>;</w:t>
      </w:r>
    </w:p>
    <w:p w14:paraId="6464A5B5" w14:textId="77777777" w:rsidR="007841C6" w:rsidRDefault="00730A01" w:rsidP="00886E5D">
      <w:pPr>
        <w:pStyle w:val="Paragraphe"/>
        <w:numPr>
          <w:ilvl w:val="0"/>
          <w:numId w:val="1"/>
        </w:numPr>
        <w:tabs>
          <w:tab w:val="clear" w:pos="786"/>
        </w:tabs>
        <w:spacing w:line="240" w:lineRule="auto"/>
        <w:ind w:left="0"/>
      </w:pPr>
      <w:r w:rsidRPr="00886E5D">
        <w:rPr>
          <w:b/>
          <w:bCs/>
        </w:rPr>
        <w:t>ORDONNE</w:t>
      </w:r>
      <w:r>
        <w:t xml:space="preserve"> à Robert Giroux de ne pas, directement ou indirectement, sans le consentement préalable des Demandeurs ou du Tribunal, vendre, retirer, dissiper, transférer, aliéner, donner, hypothéquer ou autrement </w:t>
      </w:r>
      <w:r w:rsidR="00DE0031">
        <w:t>céder,</w:t>
      </w:r>
      <w:r w:rsidR="0070524B">
        <w:t xml:space="preserve"> et ce, jusqu’à la pleine exécution du jugement :</w:t>
      </w:r>
    </w:p>
    <w:p w14:paraId="04360EA3" w14:textId="77777777" w:rsidR="007841C6" w:rsidRDefault="00730A01" w:rsidP="00443B59">
      <w:pPr>
        <w:pStyle w:val="Paragraphe"/>
        <w:numPr>
          <w:ilvl w:val="0"/>
          <w:numId w:val="57"/>
        </w:numPr>
        <w:spacing w:after="0" w:line="240" w:lineRule="auto"/>
        <w:ind w:left="1418" w:hanging="633"/>
      </w:pPr>
      <w:r>
        <w:t>ses actions dans le capital</w:t>
      </w:r>
      <w:r>
        <w:noBreakHyphen/>
        <w:t>actions de 9180</w:t>
      </w:r>
      <w:r>
        <w:noBreakHyphen/>
        <w:t>6646 Québec inc.;</w:t>
      </w:r>
    </w:p>
    <w:p w14:paraId="28DC3CB0" w14:textId="77777777" w:rsidR="007841C6" w:rsidRDefault="00730A01" w:rsidP="00443B59">
      <w:pPr>
        <w:pStyle w:val="Paragraphe"/>
        <w:numPr>
          <w:ilvl w:val="0"/>
          <w:numId w:val="57"/>
        </w:numPr>
        <w:spacing w:after="0" w:line="240" w:lineRule="auto"/>
        <w:ind w:left="1418" w:hanging="633"/>
      </w:pPr>
      <w:r>
        <w:t>ses actions dans le capital</w:t>
      </w:r>
      <w:r>
        <w:noBreakHyphen/>
        <w:t>actions de Giroux Arpentage inc.;</w:t>
      </w:r>
    </w:p>
    <w:p w14:paraId="2410EBA1" w14:textId="77777777" w:rsidR="007841C6" w:rsidRDefault="00730A01" w:rsidP="00443B59">
      <w:pPr>
        <w:pStyle w:val="Paragraphe"/>
        <w:numPr>
          <w:ilvl w:val="0"/>
          <w:numId w:val="57"/>
        </w:numPr>
        <w:spacing w:after="0" w:line="240" w:lineRule="auto"/>
        <w:ind w:left="1418" w:hanging="633"/>
      </w:pPr>
      <w:r>
        <w:t>son prêt à 9180</w:t>
      </w:r>
      <w:r>
        <w:noBreakHyphen/>
        <w:t>6646 Québec inc.;</w:t>
      </w:r>
    </w:p>
    <w:p w14:paraId="382C421A" w14:textId="77777777" w:rsidR="00EB10D9" w:rsidRDefault="00730A01" w:rsidP="00443B59">
      <w:pPr>
        <w:pStyle w:val="Paragraphe"/>
        <w:numPr>
          <w:ilvl w:val="0"/>
          <w:numId w:val="57"/>
        </w:numPr>
        <w:spacing w:after="0" w:line="240" w:lineRule="auto"/>
        <w:ind w:left="1418" w:hanging="633"/>
      </w:pPr>
      <w:r>
        <w:t>ses actions de WSP Global inc.;</w:t>
      </w:r>
    </w:p>
    <w:p w14:paraId="14F0A548" w14:textId="77777777" w:rsidR="00EB10D9" w:rsidRDefault="00730A01" w:rsidP="00443B59">
      <w:pPr>
        <w:pStyle w:val="Paragraphe"/>
        <w:numPr>
          <w:ilvl w:val="0"/>
          <w:numId w:val="57"/>
        </w:numPr>
        <w:spacing w:after="0" w:line="240" w:lineRule="auto"/>
        <w:ind w:left="1418" w:hanging="633"/>
      </w:pPr>
      <w:r>
        <w:t>sa résidence principale sur la rue Louise</w:t>
      </w:r>
      <w:r>
        <w:noBreakHyphen/>
        <w:t>Fiset;</w:t>
      </w:r>
    </w:p>
    <w:p w14:paraId="6F0179B8" w14:textId="77777777" w:rsidR="00357603" w:rsidRDefault="00730A01" w:rsidP="00443B59">
      <w:pPr>
        <w:pStyle w:val="Paragraphe"/>
        <w:numPr>
          <w:ilvl w:val="0"/>
          <w:numId w:val="57"/>
        </w:numPr>
        <w:spacing w:after="0" w:line="240" w:lineRule="auto"/>
        <w:ind w:left="1418" w:hanging="633"/>
      </w:pPr>
      <w:r>
        <w:t>sa copropriété divise en Floride au 1850</w:t>
      </w:r>
      <w:r w:rsidR="00DE0031">
        <w:t>,</w:t>
      </w:r>
      <w:r>
        <w:t> South Ocean Drive</w:t>
      </w:r>
      <w:r w:rsidR="00DE0031">
        <w:t>;</w:t>
      </w:r>
    </w:p>
    <w:p w14:paraId="26A77B63" w14:textId="77777777" w:rsidR="00357603" w:rsidRDefault="00730A01" w:rsidP="00443B59">
      <w:pPr>
        <w:pStyle w:val="Paragraphe"/>
        <w:numPr>
          <w:ilvl w:val="0"/>
          <w:numId w:val="57"/>
        </w:numPr>
        <w:spacing w:after="0" w:line="240" w:lineRule="auto"/>
        <w:ind w:left="1418" w:hanging="633"/>
      </w:pPr>
      <w:r>
        <w:t>ses copropriétés divises à Saint</w:t>
      </w:r>
      <w:r>
        <w:noBreakHyphen/>
        <w:t>Augustin</w:t>
      </w:r>
      <w:r>
        <w:noBreakHyphen/>
        <w:t>de</w:t>
      </w:r>
      <w:r>
        <w:noBreakHyphen/>
        <w:t>Desmaures sur la rue Michel</w:t>
      </w:r>
      <w:r>
        <w:noBreakHyphen/>
        <w:t>Thibault;</w:t>
      </w:r>
    </w:p>
    <w:p w14:paraId="02353C0B" w14:textId="77777777" w:rsidR="00357603" w:rsidRDefault="00730A01" w:rsidP="00443B59">
      <w:pPr>
        <w:pStyle w:val="Paragraphe"/>
        <w:numPr>
          <w:ilvl w:val="0"/>
          <w:numId w:val="57"/>
        </w:numPr>
        <w:spacing w:after="0" w:line="240" w:lineRule="auto"/>
        <w:ind w:left="1418" w:hanging="633"/>
      </w:pPr>
      <w:r>
        <w:t>sa propriété locative sur la rue des Cannas;</w:t>
      </w:r>
    </w:p>
    <w:p w14:paraId="4F4D1284" w14:textId="77777777" w:rsidR="00357603" w:rsidRDefault="00730A01" w:rsidP="00443B59">
      <w:pPr>
        <w:pStyle w:val="Paragraphe"/>
        <w:numPr>
          <w:ilvl w:val="0"/>
          <w:numId w:val="57"/>
        </w:numPr>
        <w:spacing w:after="0" w:line="240" w:lineRule="auto"/>
        <w:ind w:left="1418" w:hanging="633"/>
      </w:pPr>
      <w:r>
        <w:t>son chalet à Saint</w:t>
      </w:r>
      <w:r>
        <w:noBreakHyphen/>
        <w:t>Ferréol</w:t>
      </w:r>
      <w:r>
        <w:noBreakHyphen/>
        <w:t>les</w:t>
      </w:r>
      <w:r>
        <w:noBreakHyphen/>
        <w:t>Neiges;</w:t>
      </w:r>
    </w:p>
    <w:p w14:paraId="5ACC2559" w14:textId="77777777" w:rsidR="00357603" w:rsidRDefault="00730A01" w:rsidP="00443B59">
      <w:pPr>
        <w:pStyle w:val="Paragraphe"/>
        <w:numPr>
          <w:ilvl w:val="0"/>
          <w:numId w:val="57"/>
        </w:numPr>
        <w:spacing w:after="0" w:line="240" w:lineRule="auto"/>
        <w:ind w:left="1418" w:hanging="633"/>
      </w:pPr>
      <w:r>
        <w:t>son bateau en Floride;</w:t>
      </w:r>
    </w:p>
    <w:p w14:paraId="64C1BE8B" w14:textId="77777777" w:rsidR="00357603" w:rsidRDefault="00730A01" w:rsidP="00443B59">
      <w:pPr>
        <w:pStyle w:val="Paragraphe"/>
        <w:numPr>
          <w:ilvl w:val="0"/>
          <w:numId w:val="57"/>
        </w:numPr>
        <w:spacing w:after="0" w:line="240" w:lineRule="auto"/>
        <w:ind w:left="1418" w:hanging="633"/>
      </w:pPr>
      <w:r>
        <w:t>s</w:t>
      </w:r>
      <w:r w:rsidR="007841C6">
        <w:t>a copropriété divise en Floride au 3180</w:t>
      </w:r>
      <w:r w:rsidR="00DE0031">
        <w:t>,</w:t>
      </w:r>
      <w:r w:rsidR="007841C6">
        <w:t> South Ocean Drive;</w:t>
      </w:r>
    </w:p>
    <w:p w14:paraId="77B7B3F5" w14:textId="77777777" w:rsidR="00357603" w:rsidRDefault="00730A01" w:rsidP="00443B59">
      <w:pPr>
        <w:pStyle w:val="Paragraphe"/>
        <w:numPr>
          <w:ilvl w:val="0"/>
          <w:numId w:val="57"/>
        </w:numPr>
        <w:spacing w:after="0" w:line="240" w:lineRule="auto"/>
        <w:ind w:left="1418" w:hanging="633"/>
      </w:pPr>
      <w:r>
        <w:t>sa Porsche</w:t>
      </w:r>
      <w:r w:rsidR="00DE0031">
        <w:t xml:space="preserve"> </w:t>
      </w:r>
      <w:r>
        <w:t>Taycan</w:t>
      </w:r>
      <w:r w:rsidR="00DE0031">
        <w:t xml:space="preserve"> </w:t>
      </w:r>
      <w:r>
        <w:t>2022;</w:t>
      </w:r>
    </w:p>
    <w:p w14:paraId="5D7FB98F" w14:textId="77777777" w:rsidR="00912B9B" w:rsidRDefault="00730A01" w:rsidP="00443B59">
      <w:pPr>
        <w:pStyle w:val="Paragraphe"/>
        <w:numPr>
          <w:ilvl w:val="0"/>
          <w:numId w:val="57"/>
        </w:numPr>
        <w:spacing w:line="240" w:lineRule="auto"/>
        <w:ind w:left="1417" w:hanging="635"/>
      </w:pPr>
      <w:r>
        <w:t>ses actions dans les Développements de Beauport inc.</w:t>
      </w:r>
    </w:p>
    <w:p w14:paraId="07FE9106" w14:textId="77777777" w:rsidR="00357603" w:rsidRDefault="00730A01" w:rsidP="00886E5D">
      <w:pPr>
        <w:pStyle w:val="Paragraphe"/>
        <w:numPr>
          <w:ilvl w:val="0"/>
          <w:numId w:val="1"/>
        </w:numPr>
        <w:tabs>
          <w:tab w:val="clear" w:pos="786"/>
        </w:tabs>
        <w:spacing w:line="240" w:lineRule="auto"/>
        <w:ind w:left="0"/>
      </w:pPr>
      <w:r w:rsidRPr="002F6FD4">
        <w:rPr>
          <w:b/>
          <w:bCs/>
        </w:rPr>
        <w:t>ORDONNE</w:t>
      </w:r>
      <w:r w:rsidRPr="00EB10D9">
        <w:rPr>
          <w:b/>
          <w:bCs/>
        </w:rPr>
        <w:t xml:space="preserve"> </w:t>
      </w:r>
      <w:r w:rsidRPr="00357603">
        <w:t>à 9355</w:t>
      </w:r>
      <w:r w:rsidRPr="00357603">
        <w:noBreakHyphen/>
        <w:t>9797 Québec inc. de ne pas, directement ou</w:t>
      </w:r>
      <w:r>
        <w:t xml:space="preserve"> indirectement, sans le consentement préalable des Demandeurs ou du Tribunal, vendre, retirer, dissiper, transférer, aliéner, donner, hypothéquer ou autrement céder</w:t>
      </w:r>
      <w:r w:rsidR="0070524B">
        <w:t>, et ce, jusqu’à la pleine exécution du jugement, et ce, jusqu’à la pleine exécution du jugement :</w:t>
      </w:r>
    </w:p>
    <w:p w14:paraId="4C0E4023" w14:textId="77777777" w:rsidR="00357603" w:rsidRDefault="00730A01" w:rsidP="00443B59">
      <w:pPr>
        <w:pStyle w:val="Paragraphe"/>
        <w:numPr>
          <w:ilvl w:val="0"/>
          <w:numId w:val="58"/>
        </w:numPr>
        <w:spacing w:after="0" w:line="240" w:lineRule="auto"/>
        <w:ind w:left="1418" w:hanging="567"/>
      </w:pPr>
      <w:r>
        <w:t>ses comptes à recevoir;</w:t>
      </w:r>
    </w:p>
    <w:p w14:paraId="59BF57F4" w14:textId="77777777" w:rsidR="00912B9B" w:rsidRDefault="00730A01" w:rsidP="00443B59">
      <w:pPr>
        <w:pStyle w:val="Paragraphe"/>
        <w:numPr>
          <w:ilvl w:val="0"/>
          <w:numId w:val="58"/>
        </w:numPr>
        <w:spacing w:line="240" w:lineRule="auto"/>
        <w:ind w:left="1418" w:hanging="567"/>
      </w:pPr>
      <w:r>
        <w:t>son avance à 9355</w:t>
      </w:r>
      <w:r>
        <w:noBreakHyphen/>
        <w:t>8096 Québec inc.;</w:t>
      </w:r>
    </w:p>
    <w:p w14:paraId="1C9E124B" w14:textId="77777777" w:rsidR="00D10031" w:rsidRDefault="00730A01" w:rsidP="00886E5D">
      <w:pPr>
        <w:pStyle w:val="Paragraphe"/>
        <w:numPr>
          <w:ilvl w:val="0"/>
          <w:numId w:val="1"/>
        </w:numPr>
        <w:tabs>
          <w:tab w:val="clear" w:pos="786"/>
        </w:tabs>
        <w:spacing w:line="240" w:lineRule="auto"/>
        <w:ind w:left="0"/>
      </w:pPr>
      <w:r w:rsidRPr="002F6FD4">
        <w:rPr>
          <w:b/>
          <w:bCs/>
        </w:rPr>
        <w:t>ORDONNE</w:t>
      </w:r>
      <w:r>
        <w:t xml:space="preserve"> à 9355</w:t>
      </w:r>
      <w:r>
        <w:noBreakHyphen/>
        <w:t>8096 Québec inc. de ne pas, directement ou indirectement, sans le consentement préalable des Demandeurs ou du Tribunal, vendre, retirer, dissiper, transférer, aliéner, donner, hypothéquer ou autrement céder</w:t>
      </w:r>
      <w:r w:rsidR="0070524B">
        <w:t>, et ce, jusqu’à la pleine exécution du jugement </w:t>
      </w:r>
      <w:r>
        <w:t>:</w:t>
      </w:r>
    </w:p>
    <w:p w14:paraId="77309B3D" w14:textId="77777777" w:rsidR="00D10031" w:rsidRDefault="00730A01" w:rsidP="00443B59">
      <w:pPr>
        <w:pStyle w:val="Paragraphe"/>
        <w:numPr>
          <w:ilvl w:val="0"/>
          <w:numId w:val="59"/>
        </w:numPr>
        <w:spacing w:before="0" w:after="0" w:line="240" w:lineRule="auto"/>
        <w:ind w:left="1418" w:hanging="709"/>
      </w:pPr>
      <w:r>
        <w:t>son prêt hypothécaire à des sociétés du Groupe Huot et les intérêts y afférents;</w:t>
      </w:r>
    </w:p>
    <w:p w14:paraId="1EC064C1" w14:textId="77777777" w:rsidR="00D10031" w:rsidRDefault="00730A01" w:rsidP="00443B59">
      <w:pPr>
        <w:pStyle w:val="Paragraphe"/>
        <w:numPr>
          <w:ilvl w:val="0"/>
          <w:numId w:val="59"/>
        </w:numPr>
        <w:spacing w:after="0" w:line="240" w:lineRule="auto"/>
        <w:ind w:left="1418" w:hanging="709"/>
      </w:pPr>
      <w:r>
        <w:t xml:space="preserve">ses frais de dossier impayés; </w:t>
      </w:r>
    </w:p>
    <w:p w14:paraId="55E601AD" w14:textId="77777777" w:rsidR="00D10031" w:rsidRDefault="00730A01" w:rsidP="00443B59">
      <w:pPr>
        <w:pStyle w:val="Paragraphe"/>
        <w:numPr>
          <w:ilvl w:val="0"/>
          <w:numId w:val="59"/>
        </w:numPr>
        <w:spacing w:after="0" w:line="240" w:lineRule="auto"/>
        <w:ind w:left="1418" w:hanging="709"/>
      </w:pPr>
      <w:r>
        <w:t>ses comptes à recevoir;</w:t>
      </w:r>
    </w:p>
    <w:p w14:paraId="73DB2136" w14:textId="77777777" w:rsidR="0070524B" w:rsidRDefault="00730A01" w:rsidP="00443B59">
      <w:pPr>
        <w:pStyle w:val="Paragraphe"/>
        <w:numPr>
          <w:ilvl w:val="0"/>
          <w:numId w:val="59"/>
        </w:numPr>
        <w:spacing w:line="240" w:lineRule="auto"/>
        <w:ind w:left="1418" w:hanging="709"/>
      </w:pPr>
      <w:r>
        <w:t>son avance à 9180</w:t>
      </w:r>
      <w:r>
        <w:noBreakHyphen/>
        <w:t>6646 Québec inc.</w:t>
      </w:r>
    </w:p>
    <w:p w14:paraId="38960CE1" w14:textId="77777777" w:rsidR="00D10031" w:rsidRDefault="00730A01" w:rsidP="00886E5D">
      <w:pPr>
        <w:pStyle w:val="Paragraphe"/>
        <w:numPr>
          <w:ilvl w:val="0"/>
          <w:numId w:val="1"/>
        </w:numPr>
        <w:tabs>
          <w:tab w:val="clear" w:pos="786"/>
        </w:tabs>
        <w:spacing w:line="240" w:lineRule="auto"/>
        <w:ind w:left="0"/>
      </w:pPr>
      <w:r w:rsidRPr="002F6FD4">
        <w:rPr>
          <w:b/>
          <w:bCs/>
        </w:rPr>
        <w:t>ORDONNE</w:t>
      </w:r>
      <w:r>
        <w:t xml:space="preserve"> à 9416</w:t>
      </w:r>
      <w:r>
        <w:noBreakHyphen/>
        <w:t>1395 Québec inc. de ne pas, directement ou indirectement, sans le consentement préalable des Demandeurs ou du Tribunal, vendre, retirer, dissiper, transférer, aliéner, donner, hypothéquer ou autrement céder</w:t>
      </w:r>
      <w:r w:rsidR="0070524B">
        <w:t>, et ce, jusqu’à la pleine exécution du jugement :</w:t>
      </w:r>
    </w:p>
    <w:p w14:paraId="6F78DBBE" w14:textId="77777777" w:rsidR="00F6116E" w:rsidRDefault="00730A01" w:rsidP="00443B59">
      <w:pPr>
        <w:pStyle w:val="Paragraphe"/>
        <w:numPr>
          <w:ilvl w:val="0"/>
          <w:numId w:val="60"/>
        </w:numPr>
        <w:spacing w:after="0" w:line="240" w:lineRule="auto"/>
        <w:ind w:left="1418" w:hanging="709"/>
      </w:pPr>
      <w:r>
        <w:t>sa souscription à recevoir;</w:t>
      </w:r>
    </w:p>
    <w:p w14:paraId="0A92F738" w14:textId="77777777" w:rsidR="007841C6" w:rsidRDefault="00730A01" w:rsidP="00443B59">
      <w:pPr>
        <w:pStyle w:val="Paragraphe"/>
        <w:numPr>
          <w:ilvl w:val="0"/>
          <w:numId w:val="60"/>
        </w:numPr>
        <w:spacing w:line="240" w:lineRule="auto"/>
        <w:ind w:left="1418" w:hanging="709"/>
      </w:pPr>
      <w:r>
        <w:t>sa participation dans une société en commandite</w:t>
      </w:r>
      <w:r w:rsidR="00DE0031">
        <w:t>.</w:t>
      </w:r>
    </w:p>
    <w:p w14:paraId="4322E819" w14:textId="77777777" w:rsidR="00D10031" w:rsidRDefault="00730A01" w:rsidP="00886E5D">
      <w:pPr>
        <w:pStyle w:val="Paragraphe"/>
        <w:numPr>
          <w:ilvl w:val="0"/>
          <w:numId w:val="1"/>
        </w:numPr>
        <w:tabs>
          <w:tab w:val="clear" w:pos="786"/>
        </w:tabs>
        <w:spacing w:line="240" w:lineRule="auto"/>
        <w:ind w:left="0"/>
      </w:pPr>
      <w:r w:rsidRPr="002F6FD4">
        <w:rPr>
          <w:b/>
          <w:bCs/>
        </w:rPr>
        <w:t>ORDONNE</w:t>
      </w:r>
      <w:r w:rsidRPr="00886E5D">
        <w:rPr>
          <w:b/>
          <w:bCs/>
        </w:rPr>
        <w:t xml:space="preserve"> </w:t>
      </w:r>
      <w:r w:rsidRPr="00886E5D">
        <w:t>à 9180</w:t>
      </w:r>
      <w:r w:rsidRPr="00886E5D">
        <w:noBreakHyphen/>
        <w:t xml:space="preserve">6646 Québec inc. de ne pas, directement ou indirectement, </w:t>
      </w:r>
      <w:r>
        <w:t>sans le consentement préalable des Demandeurs ou du Tribunal, vendre, retirer, dissiper, transférer, aliéner, donner, hypothéquer ou autrement céder</w:t>
      </w:r>
      <w:r w:rsidR="0070524B">
        <w:t>, et ce, jusqu’à la pleine exécution du jugement :</w:t>
      </w:r>
    </w:p>
    <w:p w14:paraId="2D2EEF3C" w14:textId="77777777" w:rsidR="00D10031" w:rsidRDefault="00730A01" w:rsidP="00443B59">
      <w:pPr>
        <w:pStyle w:val="Paragraphe"/>
        <w:numPr>
          <w:ilvl w:val="0"/>
          <w:numId w:val="98"/>
        </w:numPr>
        <w:spacing w:after="0" w:line="240" w:lineRule="auto"/>
        <w:ind w:left="1418" w:hanging="709"/>
      </w:pPr>
      <w:r>
        <w:t>ses comptes à recevoir;</w:t>
      </w:r>
    </w:p>
    <w:p w14:paraId="7C9C96B4" w14:textId="77777777" w:rsidR="00D10031" w:rsidRDefault="00730A01" w:rsidP="00443B59">
      <w:pPr>
        <w:pStyle w:val="Paragraphe"/>
        <w:numPr>
          <w:ilvl w:val="0"/>
          <w:numId w:val="98"/>
        </w:numPr>
        <w:spacing w:after="0" w:line="240" w:lineRule="auto"/>
        <w:ind w:left="1418" w:hanging="709"/>
      </w:pPr>
      <w:r>
        <w:t>sa cave à vin;</w:t>
      </w:r>
    </w:p>
    <w:p w14:paraId="1E4E634A" w14:textId="77777777" w:rsidR="00D10031" w:rsidRDefault="00730A01" w:rsidP="00443B59">
      <w:pPr>
        <w:pStyle w:val="Paragraphe"/>
        <w:numPr>
          <w:ilvl w:val="0"/>
          <w:numId w:val="98"/>
        </w:numPr>
        <w:spacing w:after="0" w:line="240" w:lineRule="auto"/>
        <w:ind w:left="1418" w:hanging="709"/>
      </w:pPr>
      <w:r>
        <w:t>ses avances</w:t>
      </w:r>
      <w:r>
        <w:noBreakHyphen/>
        <w:t>actionnaires à Robert Giroux;</w:t>
      </w:r>
    </w:p>
    <w:p w14:paraId="4043D6F0" w14:textId="77777777" w:rsidR="00D10031" w:rsidRDefault="00730A01" w:rsidP="00443B59">
      <w:pPr>
        <w:pStyle w:val="Paragraphe"/>
        <w:numPr>
          <w:ilvl w:val="0"/>
          <w:numId w:val="98"/>
        </w:numPr>
        <w:spacing w:after="0" w:line="240" w:lineRule="auto"/>
        <w:ind w:left="1418" w:hanging="709"/>
      </w:pPr>
      <w:r>
        <w:t>son prêt à 9355</w:t>
      </w:r>
      <w:r>
        <w:noBreakHyphen/>
        <w:t>8096 Québec inc. et les intérêts sur celui</w:t>
      </w:r>
      <w:r>
        <w:noBreakHyphen/>
        <w:t>ci;</w:t>
      </w:r>
    </w:p>
    <w:p w14:paraId="059992DA" w14:textId="77777777" w:rsidR="007A3FA9" w:rsidRDefault="00730A01" w:rsidP="00443B59">
      <w:pPr>
        <w:pStyle w:val="Paragraphe"/>
        <w:numPr>
          <w:ilvl w:val="0"/>
          <w:numId w:val="98"/>
        </w:numPr>
        <w:spacing w:after="0" w:line="240" w:lineRule="auto"/>
        <w:ind w:left="1418" w:hanging="709"/>
      </w:pPr>
      <w:r>
        <w:t>sa mise de fonds dans Q</w:t>
      </w:r>
      <w:r>
        <w:noBreakHyphen/>
        <w:t>12</w:t>
      </w:r>
      <w:r w:rsidR="00DA6995">
        <w:t xml:space="preserve"> </w:t>
      </w:r>
      <w:r>
        <w:t>Capital, s.e.c.;</w:t>
      </w:r>
    </w:p>
    <w:p w14:paraId="6FA36A9E" w14:textId="77777777" w:rsidR="007A3FA9" w:rsidRDefault="00730A01" w:rsidP="00443B59">
      <w:pPr>
        <w:pStyle w:val="Paragraphe"/>
        <w:numPr>
          <w:ilvl w:val="0"/>
          <w:numId w:val="98"/>
        </w:numPr>
        <w:spacing w:after="0" w:line="240" w:lineRule="auto"/>
        <w:ind w:left="1418" w:hanging="709"/>
      </w:pPr>
      <w:r>
        <w:t>sa mise de fonds dans Q</w:t>
      </w:r>
      <w:r>
        <w:noBreakHyphen/>
        <w:t>8</w:t>
      </w:r>
      <w:r w:rsidR="00DA6995">
        <w:t xml:space="preserve"> </w:t>
      </w:r>
      <w:r>
        <w:t>Capital, s.e.c. et ses «</w:t>
      </w:r>
      <w:r w:rsidR="00DE0031">
        <w:t> </w:t>
      </w:r>
      <w:r>
        <w:t>3 parts A</w:t>
      </w:r>
      <w:r w:rsidR="00DE0031">
        <w:t> </w:t>
      </w:r>
      <w:r>
        <w:t>» de celle</w:t>
      </w:r>
      <w:r>
        <w:noBreakHyphen/>
        <w:t>ci;</w:t>
      </w:r>
    </w:p>
    <w:p w14:paraId="6B3E1CCB" w14:textId="77777777" w:rsidR="007A3FA9" w:rsidRDefault="00730A01" w:rsidP="00443B59">
      <w:pPr>
        <w:pStyle w:val="Paragraphe"/>
        <w:numPr>
          <w:ilvl w:val="0"/>
          <w:numId w:val="98"/>
        </w:numPr>
        <w:spacing w:after="0" w:line="240" w:lineRule="auto"/>
        <w:ind w:left="1418" w:hanging="709"/>
      </w:pPr>
      <w:r>
        <w:t>sa mise de fonds d’«</w:t>
      </w:r>
      <w:r w:rsidR="00DE0031">
        <w:t> </w:t>
      </w:r>
      <w:r>
        <w:t>1 part C</w:t>
      </w:r>
      <w:r w:rsidR="00DE0031">
        <w:t> </w:t>
      </w:r>
      <w:r>
        <w:t>» dans Q</w:t>
      </w:r>
      <w:r>
        <w:noBreakHyphen/>
        <w:t>20</w:t>
      </w:r>
      <w:r w:rsidR="00DA6995">
        <w:t xml:space="preserve"> </w:t>
      </w:r>
      <w:r>
        <w:t>Capital, s.e.c.;</w:t>
      </w:r>
    </w:p>
    <w:p w14:paraId="48E37914" w14:textId="77777777" w:rsidR="007A3FA9" w:rsidRDefault="00730A01" w:rsidP="00443B59">
      <w:pPr>
        <w:pStyle w:val="Paragraphe"/>
        <w:numPr>
          <w:ilvl w:val="0"/>
          <w:numId w:val="98"/>
        </w:numPr>
        <w:spacing w:after="0" w:line="240" w:lineRule="auto"/>
        <w:ind w:left="1418" w:hanging="709"/>
      </w:pPr>
      <w:r>
        <w:t>son avance à 9217</w:t>
      </w:r>
      <w:r>
        <w:noBreakHyphen/>
        <w:t>8177</w:t>
      </w:r>
      <w:r w:rsidR="00DA6995">
        <w:t xml:space="preserve"> </w:t>
      </w:r>
      <w:r>
        <w:t>Québec inc.</w:t>
      </w:r>
      <w:r w:rsidR="005C7834">
        <w:t>;</w:t>
      </w:r>
    </w:p>
    <w:p w14:paraId="59A8CC4E" w14:textId="77777777" w:rsidR="007A3FA9" w:rsidRDefault="00730A01" w:rsidP="00443B59">
      <w:pPr>
        <w:pStyle w:val="Paragraphe"/>
        <w:numPr>
          <w:ilvl w:val="0"/>
          <w:numId w:val="98"/>
        </w:numPr>
        <w:spacing w:after="0" w:line="240" w:lineRule="auto"/>
        <w:ind w:left="1418" w:hanging="709"/>
      </w:pPr>
      <w:r>
        <w:t>son avance à 9355</w:t>
      </w:r>
      <w:r>
        <w:noBreakHyphen/>
        <w:t>8096</w:t>
      </w:r>
      <w:r w:rsidR="00DA6995">
        <w:t xml:space="preserve"> </w:t>
      </w:r>
      <w:r>
        <w:t>Québec inc.;</w:t>
      </w:r>
    </w:p>
    <w:p w14:paraId="3BB2B696" w14:textId="77777777" w:rsidR="007A3FA9" w:rsidRDefault="00730A01" w:rsidP="00443B59">
      <w:pPr>
        <w:pStyle w:val="Paragraphe"/>
        <w:numPr>
          <w:ilvl w:val="0"/>
          <w:numId w:val="98"/>
        </w:numPr>
        <w:spacing w:after="0" w:line="240" w:lineRule="auto"/>
        <w:ind w:left="1418" w:hanging="709"/>
      </w:pPr>
      <w:r>
        <w:t>son avance à X2</w:t>
      </w:r>
      <w:r w:rsidR="00DA6995">
        <w:t xml:space="preserve"> </w:t>
      </w:r>
      <w:r>
        <w:t>Capital inc.;</w:t>
      </w:r>
    </w:p>
    <w:p w14:paraId="521361B2" w14:textId="77777777" w:rsidR="007A3FA9" w:rsidRDefault="00730A01" w:rsidP="00443B59">
      <w:pPr>
        <w:pStyle w:val="Paragraphe"/>
        <w:numPr>
          <w:ilvl w:val="0"/>
          <w:numId w:val="98"/>
        </w:numPr>
        <w:spacing w:after="0" w:line="240" w:lineRule="auto"/>
        <w:ind w:left="1418" w:hanging="709"/>
      </w:pPr>
      <w:r>
        <w:t>son avance à 9466</w:t>
      </w:r>
      <w:r>
        <w:noBreakHyphen/>
        <w:t>6302</w:t>
      </w:r>
      <w:r w:rsidR="00DA6995">
        <w:t xml:space="preserve"> </w:t>
      </w:r>
      <w:r>
        <w:t>Québec inc.;</w:t>
      </w:r>
    </w:p>
    <w:p w14:paraId="4C97D543" w14:textId="77777777" w:rsidR="007A3FA9" w:rsidRDefault="00730A01" w:rsidP="00443B59">
      <w:pPr>
        <w:pStyle w:val="Paragraphe"/>
        <w:numPr>
          <w:ilvl w:val="0"/>
          <w:numId w:val="98"/>
        </w:numPr>
        <w:spacing w:after="0" w:line="240" w:lineRule="auto"/>
        <w:ind w:left="1418" w:hanging="709"/>
      </w:pPr>
      <w:r>
        <w:t>sa mise de fonds dans Q</w:t>
      </w:r>
      <w:r>
        <w:noBreakHyphen/>
        <w:t>325</w:t>
      </w:r>
      <w:r w:rsidR="00DA6995">
        <w:t xml:space="preserve"> </w:t>
      </w:r>
      <w:r>
        <w:t>RL</w:t>
      </w:r>
      <w:r w:rsidR="00DA6995">
        <w:t xml:space="preserve"> </w:t>
      </w:r>
      <w:r>
        <w:t>Capital, s.e.c.;</w:t>
      </w:r>
    </w:p>
    <w:p w14:paraId="77DD3EE2" w14:textId="77777777" w:rsidR="007A3FA9" w:rsidRDefault="00730A01" w:rsidP="00443B59">
      <w:pPr>
        <w:pStyle w:val="Paragraphe"/>
        <w:numPr>
          <w:ilvl w:val="0"/>
          <w:numId w:val="98"/>
        </w:numPr>
        <w:spacing w:after="0" w:line="240" w:lineRule="auto"/>
        <w:ind w:left="1418" w:hanging="709"/>
      </w:pPr>
      <w:r>
        <w:t>sa mise de fonds dans Q</w:t>
      </w:r>
      <w:r>
        <w:noBreakHyphen/>
        <w:t>10</w:t>
      </w:r>
      <w:r w:rsidR="00DA6995">
        <w:t xml:space="preserve"> </w:t>
      </w:r>
      <w:r>
        <w:t>Capital, s.e.c.;</w:t>
      </w:r>
    </w:p>
    <w:p w14:paraId="7DC2523E" w14:textId="77777777" w:rsidR="007A3FA9" w:rsidRDefault="00730A01" w:rsidP="00443B59">
      <w:pPr>
        <w:pStyle w:val="Paragraphe"/>
        <w:numPr>
          <w:ilvl w:val="0"/>
          <w:numId w:val="98"/>
        </w:numPr>
        <w:spacing w:after="0" w:line="240" w:lineRule="auto"/>
        <w:ind w:left="1418" w:hanging="709"/>
      </w:pPr>
      <w:r>
        <w:t>son placement dans 9355</w:t>
      </w:r>
      <w:r>
        <w:noBreakHyphen/>
        <w:t>8096</w:t>
      </w:r>
      <w:r w:rsidR="00DA6995">
        <w:t xml:space="preserve"> </w:t>
      </w:r>
      <w:r>
        <w:t>Québec inc.;</w:t>
      </w:r>
    </w:p>
    <w:p w14:paraId="22DA1554" w14:textId="77777777" w:rsidR="007A3FA9" w:rsidRDefault="00730A01" w:rsidP="00443B59">
      <w:pPr>
        <w:pStyle w:val="Paragraphe"/>
        <w:numPr>
          <w:ilvl w:val="0"/>
          <w:numId w:val="98"/>
        </w:numPr>
        <w:spacing w:after="0" w:line="240" w:lineRule="auto"/>
        <w:ind w:left="1418" w:hanging="709"/>
      </w:pPr>
      <w:r>
        <w:t>son placement «</w:t>
      </w:r>
      <w:r w:rsidR="00DE0031">
        <w:t> </w:t>
      </w:r>
      <w:r>
        <w:t> A </w:t>
      </w:r>
      <w:r w:rsidR="00DE0031">
        <w:t> </w:t>
      </w:r>
      <w:r>
        <w:t>» dans 9456</w:t>
      </w:r>
      <w:r>
        <w:noBreakHyphen/>
        <w:t>1768</w:t>
      </w:r>
      <w:r w:rsidR="00DA6995">
        <w:t xml:space="preserve"> </w:t>
      </w:r>
      <w:r>
        <w:t>Québec inc.;</w:t>
      </w:r>
    </w:p>
    <w:p w14:paraId="2370F449" w14:textId="77777777" w:rsidR="007A3FA9" w:rsidRDefault="00730A01" w:rsidP="00443B59">
      <w:pPr>
        <w:pStyle w:val="Paragraphe"/>
        <w:numPr>
          <w:ilvl w:val="0"/>
          <w:numId w:val="98"/>
        </w:numPr>
        <w:spacing w:after="0" w:line="240" w:lineRule="auto"/>
        <w:ind w:left="1418" w:hanging="709"/>
      </w:pPr>
      <w:r>
        <w:t>son placement dans 9433</w:t>
      </w:r>
      <w:r>
        <w:noBreakHyphen/>
        <w:t>1527</w:t>
      </w:r>
      <w:r w:rsidR="00DA6995">
        <w:t xml:space="preserve"> </w:t>
      </w:r>
      <w:r>
        <w:t>Québec inc.;</w:t>
      </w:r>
    </w:p>
    <w:p w14:paraId="3F5853E9" w14:textId="77777777" w:rsidR="007A3FA9" w:rsidRDefault="00730A01" w:rsidP="00443B59">
      <w:pPr>
        <w:pStyle w:val="Paragraphe"/>
        <w:numPr>
          <w:ilvl w:val="0"/>
          <w:numId w:val="98"/>
        </w:numPr>
        <w:spacing w:after="0" w:line="240" w:lineRule="auto"/>
        <w:ind w:left="1418" w:hanging="709"/>
      </w:pPr>
      <w:r>
        <w:t>son placement « </w:t>
      </w:r>
      <w:r w:rsidR="00DE0031">
        <w:t> </w:t>
      </w:r>
      <w:r>
        <w:t>A </w:t>
      </w:r>
      <w:r w:rsidR="00DE0031">
        <w:t> </w:t>
      </w:r>
      <w:r>
        <w:t>» dans 9452</w:t>
      </w:r>
      <w:r>
        <w:noBreakHyphen/>
        <w:t>5987</w:t>
      </w:r>
      <w:r w:rsidR="00DA6995">
        <w:t xml:space="preserve"> </w:t>
      </w:r>
      <w:r>
        <w:t>Québec inc.;</w:t>
      </w:r>
    </w:p>
    <w:p w14:paraId="3A97DEBF" w14:textId="77777777" w:rsidR="007A3FA9" w:rsidRDefault="00730A01" w:rsidP="00443B59">
      <w:pPr>
        <w:pStyle w:val="Paragraphe"/>
        <w:numPr>
          <w:ilvl w:val="0"/>
          <w:numId w:val="98"/>
        </w:numPr>
        <w:spacing w:after="0" w:line="240" w:lineRule="auto"/>
        <w:ind w:left="1418" w:hanging="709"/>
      </w:pPr>
      <w:r>
        <w:t>son placement «</w:t>
      </w:r>
      <w:r w:rsidR="00DE0031">
        <w:t> </w:t>
      </w:r>
      <w:r>
        <w:t> A </w:t>
      </w:r>
      <w:r w:rsidR="00DE0031">
        <w:t> </w:t>
      </w:r>
      <w:r>
        <w:t>» dans 9466</w:t>
      </w:r>
      <w:r>
        <w:noBreakHyphen/>
        <w:t>6302</w:t>
      </w:r>
      <w:r w:rsidR="00DA6995">
        <w:t xml:space="preserve"> </w:t>
      </w:r>
      <w:r>
        <w:t>Québec inc.;</w:t>
      </w:r>
    </w:p>
    <w:p w14:paraId="6F491BB4" w14:textId="77777777" w:rsidR="007A3FA9" w:rsidRDefault="00730A01" w:rsidP="00443B59">
      <w:pPr>
        <w:pStyle w:val="Paragraphe"/>
        <w:numPr>
          <w:ilvl w:val="0"/>
          <w:numId w:val="98"/>
        </w:numPr>
        <w:spacing w:after="0" w:line="240" w:lineRule="auto"/>
        <w:ind w:left="1418" w:hanging="709"/>
      </w:pPr>
      <w:r>
        <w:t>son investissement en équité dans 9485</w:t>
      </w:r>
      <w:r>
        <w:noBreakHyphen/>
        <w:t>2324</w:t>
      </w:r>
      <w:r w:rsidR="00DA6995">
        <w:t xml:space="preserve"> </w:t>
      </w:r>
      <w:r>
        <w:t>Québec inc.;</w:t>
      </w:r>
    </w:p>
    <w:p w14:paraId="62B8ABD2" w14:textId="77777777" w:rsidR="007A3FA9" w:rsidRDefault="00730A01" w:rsidP="00443B59">
      <w:pPr>
        <w:pStyle w:val="Paragraphe"/>
        <w:numPr>
          <w:ilvl w:val="0"/>
          <w:numId w:val="98"/>
        </w:numPr>
        <w:spacing w:after="0" w:line="240" w:lineRule="auto"/>
        <w:ind w:left="1418" w:hanging="709"/>
      </w:pPr>
      <w:r>
        <w:t>s</w:t>
      </w:r>
      <w:r w:rsidR="007841C6">
        <w:t>on prêt consenti à SH</w:t>
      </w:r>
      <w:r w:rsidR="00DA6995">
        <w:t xml:space="preserve"> </w:t>
      </w:r>
      <w:r w:rsidR="007841C6">
        <w:t>Immeubles</w:t>
      </w:r>
      <w:r w:rsidR="00DA6995">
        <w:t xml:space="preserve"> </w:t>
      </w:r>
      <w:r w:rsidR="007841C6">
        <w:t>Aventura</w:t>
      </w:r>
      <w:r w:rsidR="00DA6995">
        <w:t xml:space="preserve"> </w:t>
      </w:r>
      <w:r w:rsidR="007841C6">
        <w:t>inc.;</w:t>
      </w:r>
    </w:p>
    <w:p w14:paraId="61A472A0" w14:textId="77777777" w:rsidR="007A3FA9" w:rsidRDefault="00730A01" w:rsidP="00443B59">
      <w:pPr>
        <w:pStyle w:val="Paragraphe"/>
        <w:numPr>
          <w:ilvl w:val="0"/>
          <w:numId w:val="98"/>
        </w:numPr>
        <w:spacing w:after="0" w:line="240" w:lineRule="auto"/>
        <w:ind w:left="1418" w:hanging="709"/>
      </w:pPr>
      <w:r>
        <w:t>ses 100 actions de catégorie B et 100 actions de catégorie G de Giroux</w:t>
      </w:r>
      <w:r w:rsidR="00DA6995">
        <w:t xml:space="preserve"> </w:t>
      </w:r>
      <w:r>
        <w:t>Arpentage</w:t>
      </w:r>
      <w:r w:rsidR="00DA6995">
        <w:t xml:space="preserve"> </w:t>
      </w:r>
      <w:r>
        <w:t>inc.;</w:t>
      </w:r>
    </w:p>
    <w:p w14:paraId="7CCE4E12" w14:textId="77777777" w:rsidR="007A3FA9" w:rsidRDefault="00730A01" w:rsidP="00443B59">
      <w:pPr>
        <w:pStyle w:val="Paragraphe"/>
        <w:numPr>
          <w:ilvl w:val="0"/>
          <w:numId w:val="98"/>
        </w:numPr>
        <w:spacing w:after="0" w:line="240" w:lineRule="auto"/>
        <w:ind w:left="1418" w:hanging="709"/>
      </w:pPr>
      <w:r>
        <w:t>ses actions de 9141</w:t>
      </w:r>
      <w:r>
        <w:noBreakHyphen/>
        <w:t>0324</w:t>
      </w:r>
      <w:r w:rsidR="00DA6995">
        <w:t xml:space="preserve"> </w:t>
      </w:r>
      <w:r>
        <w:t>Québec inc.;</w:t>
      </w:r>
    </w:p>
    <w:p w14:paraId="1196029A" w14:textId="77777777" w:rsidR="007A3FA9" w:rsidRDefault="00730A01" w:rsidP="00443B59">
      <w:pPr>
        <w:pStyle w:val="Paragraphe"/>
        <w:numPr>
          <w:ilvl w:val="0"/>
          <w:numId w:val="98"/>
        </w:numPr>
        <w:spacing w:after="0" w:line="240" w:lineRule="auto"/>
        <w:ind w:left="1418" w:hanging="709"/>
      </w:pPr>
      <w:r>
        <w:t>ses actions de 9217</w:t>
      </w:r>
      <w:r>
        <w:noBreakHyphen/>
        <w:t>8177</w:t>
      </w:r>
      <w:r w:rsidR="00DA6995">
        <w:t xml:space="preserve"> </w:t>
      </w:r>
      <w:r>
        <w:t>Québec inc.;</w:t>
      </w:r>
    </w:p>
    <w:p w14:paraId="42EE7D60" w14:textId="77777777" w:rsidR="007A3FA9" w:rsidRDefault="00730A01" w:rsidP="00443B59">
      <w:pPr>
        <w:pStyle w:val="Paragraphe"/>
        <w:numPr>
          <w:ilvl w:val="0"/>
          <w:numId w:val="98"/>
        </w:numPr>
        <w:spacing w:after="0" w:line="240" w:lineRule="auto"/>
        <w:ind w:left="1418" w:hanging="709"/>
      </w:pPr>
      <w:r>
        <w:t>ses actions de Les</w:t>
      </w:r>
      <w:r w:rsidR="00766445">
        <w:t xml:space="preserve"> </w:t>
      </w:r>
      <w:r>
        <w:t>Domaines de la</w:t>
      </w:r>
      <w:r w:rsidR="00766445">
        <w:t xml:space="preserve"> </w:t>
      </w:r>
      <w:r>
        <w:t>Rive</w:t>
      </w:r>
      <w:r>
        <w:noBreakHyphen/>
        <w:t>Sud (Société</w:t>
      </w:r>
      <w:r w:rsidR="00766445">
        <w:t xml:space="preserve"> </w:t>
      </w:r>
      <w:r>
        <w:t>de</w:t>
      </w:r>
      <w:r w:rsidR="00766445">
        <w:t xml:space="preserve"> </w:t>
      </w:r>
      <w:r>
        <w:t>Placements</w:t>
      </w:r>
      <w:r w:rsidR="00766445">
        <w:t xml:space="preserve"> </w:t>
      </w:r>
      <w:r>
        <w:t>Huot</w:t>
      </w:r>
      <w:r w:rsidR="00DA6995">
        <w:t> </w:t>
      </w:r>
      <w:r>
        <w:t>inc.);</w:t>
      </w:r>
    </w:p>
    <w:p w14:paraId="524CA4E4" w14:textId="77777777" w:rsidR="007A3FA9" w:rsidRDefault="00730A01" w:rsidP="00443B59">
      <w:pPr>
        <w:pStyle w:val="Paragraphe"/>
        <w:numPr>
          <w:ilvl w:val="0"/>
          <w:numId w:val="98"/>
        </w:numPr>
        <w:spacing w:after="0" w:line="240" w:lineRule="auto"/>
        <w:ind w:left="1418" w:hanging="709"/>
      </w:pPr>
      <w:r>
        <w:t>ses actions privilégiées «</w:t>
      </w:r>
      <w:r w:rsidR="00DA6995">
        <w:t> </w:t>
      </w:r>
      <w:r>
        <w:t> H </w:t>
      </w:r>
      <w:r w:rsidR="00DA6995">
        <w:t> </w:t>
      </w:r>
      <w:r>
        <w:t>», « </w:t>
      </w:r>
      <w:r w:rsidR="00DA6995">
        <w:t> </w:t>
      </w:r>
      <w:r>
        <w:t>AA</w:t>
      </w:r>
      <w:r w:rsidR="00DA6995">
        <w:t> </w:t>
      </w:r>
      <w:r>
        <w:t> », «</w:t>
      </w:r>
      <w:r w:rsidR="00DA6995">
        <w:t> </w:t>
      </w:r>
      <w:r>
        <w:t> I </w:t>
      </w:r>
      <w:r w:rsidR="00DA6995">
        <w:t> </w:t>
      </w:r>
      <w:r>
        <w:t>» et «</w:t>
      </w:r>
      <w:r w:rsidR="00DA6995">
        <w:t> </w:t>
      </w:r>
      <w:r>
        <w:t> J</w:t>
      </w:r>
      <w:r w:rsidR="00DA6995">
        <w:t> </w:t>
      </w:r>
      <w:r>
        <w:t> » de 9355</w:t>
      </w:r>
      <w:r>
        <w:noBreakHyphen/>
        <w:t>9797</w:t>
      </w:r>
      <w:r w:rsidR="00DA6995">
        <w:t> </w:t>
      </w:r>
      <w:r>
        <w:t>Québec inc.;</w:t>
      </w:r>
    </w:p>
    <w:p w14:paraId="615E9093" w14:textId="77777777" w:rsidR="007A3FA9" w:rsidRDefault="00730A01" w:rsidP="00443B59">
      <w:pPr>
        <w:pStyle w:val="Paragraphe"/>
        <w:numPr>
          <w:ilvl w:val="0"/>
          <w:numId w:val="98"/>
        </w:numPr>
        <w:spacing w:after="0" w:line="240" w:lineRule="auto"/>
        <w:ind w:left="1418" w:hanging="709"/>
      </w:pPr>
      <w:r>
        <w:t>ses actions privilégiées et ordinaires de 9355</w:t>
      </w:r>
      <w:r>
        <w:noBreakHyphen/>
        <w:t>8096</w:t>
      </w:r>
      <w:r w:rsidR="00DA6995">
        <w:t xml:space="preserve"> </w:t>
      </w:r>
      <w:r>
        <w:t>Québec inc.;</w:t>
      </w:r>
    </w:p>
    <w:p w14:paraId="03DD37C4" w14:textId="77777777" w:rsidR="007A3FA9" w:rsidRDefault="00730A01" w:rsidP="00443B59">
      <w:pPr>
        <w:pStyle w:val="Paragraphe"/>
        <w:numPr>
          <w:ilvl w:val="0"/>
          <w:numId w:val="98"/>
        </w:numPr>
        <w:spacing w:after="0" w:line="240" w:lineRule="auto"/>
        <w:ind w:left="1418" w:hanging="709"/>
      </w:pPr>
      <w:r>
        <w:t>ses actions de X2</w:t>
      </w:r>
      <w:r w:rsidR="00DA6995">
        <w:t xml:space="preserve"> </w:t>
      </w:r>
      <w:r>
        <w:t>Capital inc.;</w:t>
      </w:r>
    </w:p>
    <w:p w14:paraId="58B0FDF1" w14:textId="77777777" w:rsidR="007A3FA9" w:rsidRDefault="00730A01" w:rsidP="00443B59">
      <w:pPr>
        <w:pStyle w:val="Paragraphe"/>
        <w:numPr>
          <w:ilvl w:val="0"/>
          <w:numId w:val="98"/>
        </w:numPr>
        <w:spacing w:after="0" w:line="240" w:lineRule="auto"/>
        <w:ind w:left="1418" w:hanging="709"/>
      </w:pPr>
      <w:r>
        <w:t>ses actions de 9418</w:t>
      </w:r>
      <w:r>
        <w:noBreakHyphen/>
        <w:t>0163</w:t>
      </w:r>
      <w:r w:rsidR="00DA6995">
        <w:t xml:space="preserve"> </w:t>
      </w:r>
      <w:r>
        <w:t>Québec inc.;</w:t>
      </w:r>
    </w:p>
    <w:p w14:paraId="190AF90B" w14:textId="77777777" w:rsidR="007A3FA9" w:rsidRDefault="00730A01" w:rsidP="00443B59">
      <w:pPr>
        <w:pStyle w:val="Paragraphe"/>
        <w:numPr>
          <w:ilvl w:val="0"/>
          <w:numId w:val="98"/>
        </w:numPr>
        <w:spacing w:after="0" w:line="240" w:lineRule="auto"/>
        <w:ind w:left="1418" w:hanging="709"/>
      </w:pPr>
      <w:r>
        <w:t>ses 100 actions « </w:t>
      </w:r>
      <w:r w:rsidR="00DA6995">
        <w:t> </w:t>
      </w:r>
      <w:r>
        <w:t>AA </w:t>
      </w:r>
      <w:r w:rsidR="00DA6995">
        <w:t> </w:t>
      </w:r>
      <w:r>
        <w:t>» et 49</w:t>
      </w:r>
      <w:r w:rsidR="00DA6995">
        <w:t> </w:t>
      </w:r>
      <w:r>
        <w:t>actions «</w:t>
      </w:r>
      <w:r w:rsidR="00DA6995">
        <w:t> </w:t>
      </w:r>
      <w:r>
        <w:t> H</w:t>
      </w:r>
      <w:r w:rsidR="00DA6995">
        <w:t> </w:t>
      </w:r>
      <w:r>
        <w:t> » de Giroux</w:t>
      </w:r>
      <w:r w:rsidR="00DA6995">
        <w:t xml:space="preserve"> </w:t>
      </w:r>
      <w:r>
        <w:t>Constructions;</w:t>
      </w:r>
    </w:p>
    <w:p w14:paraId="5500E373" w14:textId="77777777" w:rsidR="007A3FA9" w:rsidRDefault="00730A01" w:rsidP="00443B59">
      <w:pPr>
        <w:pStyle w:val="Paragraphe"/>
        <w:numPr>
          <w:ilvl w:val="0"/>
          <w:numId w:val="98"/>
        </w:numPr>
        <w:spacing w:after="0" w:line="240" w:lineRule="auto"/>
        <w:ind w:left="1418" w:hanging="709"/>
      </w:pPr>
      <w:r>
        <w:t>sa mise de fonds de G12</w:t>
      </w:r>
      <w:r w:rsidR="00DA6995">
        <w:t xml:space="preserve"> </w:t>
      </w:r>
      <w:r>
        <w:t>Investissements;</w:t>
      </w:r>
    </w:p>
    <w:p w14:paraId="1E22A56C" w14:textId="77777777" w:rsidR="007A3FA9" w:rsidRDefault="00730A01" w:rsidP="00443B59">
      <w:pPr>
        <w:pStyle w:val="Paragraphe"/>
        <w:numPr>
          <w:ilvl w:val="0"/>
          <w:numId w:val="98"/>
        </w:numPr>
        <w:spacing w:after="0" w:line="240" w:lineRule="auto"/>
        <w:ind w:left="1418" w:hanging="709"/>
      </w:pPr>
      <w:r>
        <w:t>son effet à recevoir de Millénum</w:t>
      </w:r>
      <w:r w:rsidR="00DA6995">
        <w:t xml:space="preserve"> </w:t>
      </w:r>
      <w:r>
        <w:t>Construction;</w:t>
      </w:r>
    </w:p>
    <w:p w14:paraId="3230D044" w14:textId="77777777" w:rsidR="00F6116E" w:rsidRDefault="00730A01" w:rsidP="00443B59">
      <w:pPr>
        <w:pStyle w:val="Paragraphe"/>
        <w:numPr>
          <w:ilvl w:val="0"/>
          <w:numId w:val="98"/>
        </w:numPr>
        <w:spacing w:after="0" w:line="240" w:lineRule="auto"/>
        <w:ind w:left="1418" w:hanging="709"/>
      </w:pPr>
      <w:r>
        <w:t>ses contrats d’assurance</w:t>
      </w:r>
      <w:r w:rsidR="0070524B">
        <w:t>;</w:t>
      </w:r>
    </w:p>
    <w:p w14:paraId="15B284BE" w14:textId="77777777" w:rsidR="007841C6" w:rsidRDefault="00730A01" w:rsidP="00886E5D">
      <w:pPr>
        <w:pStyle w:val="Paragraphe"/>
        <w:numPr>
          <w:ilvl w:val="0"/>
          <w:numId w:val="1"/>
        </w:numPr>
        <w:tabs>
          <w:tab w:val="clear" w:pos="786"/>
        </w:tabs>
        <w:spacing w:line="240" w:lineRule="auto"/>
        <w:ind w:left="0"/>
      </w:pPr>
      <w:r w:rsidRPr="002F6FD4">
        <w:rPr>
          <w:b/>
          <w:bCs/>
        </w:rPr>
        <w:t>ORDONNE</w:t>
      </w:r>
      <w:r>
        <w:t xml:space="preserve"> à X2</w:t>
      </w:r>
      <w:r w:rsidR="00DA6995">
        <w:t xml:space="preserve"> </w:t>
      </w:r>
      <w:r>
        <w:t>Capital inc. de ne pas, directement ou indirectement, sans le consentement préalable des Demandeurs ou du Tribunal, vendre, retirer, dissiper, transférer, aliéner, donner, hypothéquer ou autrement céder</w:t>
      </w:r>
      <w:r w:rsidR="0070524B">
        <w:t>, et ce, jusqu’à la pleine exécution du jugement :</w:t>
      </w:r>
      <w:r>
        <w:t xml:space="preserve"> </w:t>
      </w:r>
    </w:p>
    <w:p w14:paraId="7C9B1DCC" w14:textId="77777777" w:rsidR="006423AE" w:rsidRDefault="00730A01" w:rsidP="00443B59">
      <w:pPr>
        <w:pStyle w:val="Paragraphe"/>
        <w:numPr>
          <w:ilvl w:val="0"/>
          <w:numId w:val="61"/>
        </w:numPr>
        <w:spacing w:after="0" w:line="240" w:lineRule="auto"/>
        <w:ind w:left="1418" w:hanging="709"/>
      </w:pPr>
      <w:r>
        <w:t>ses comptes à recevoir;</w:t>
      </w:r>
    </w:p>
    <w:p w14:paraId="65D324D3" w14:textId="77777777" w:rsidR="005C7834" w:rsidRDefault="00730A01" w:rsidP="00443B59">
      <w:pPr>
        <w:pStyle w:val="Paragraphe"/>
        <w:numPr>
          <w:ilvl w:val="0"/>
          <w:numId w:val="61"/>
        </w:numPr>
        <w:spacing w:after="0" w:line="240" w:lineRule="auto"/>
        <w:ind w:left="1418" w:hanging="709"/>
      </w:pPr>
      <w:r>
        <w:t>son avance à 9355</w:t>
      </w:r>
      <w:r>
        <w:noBreakHyphen/>
        <w:t>9797</w:t>
      </w:r>
      <w:r w:rsidR="00DA6995">
        <w:t xml:space="preserve"> </w:t>
      </w:r>
      <w:r>
        <w:t>Québec inc.;</w:t>
      </w:r>
    </w:p>
    <w:p w14:paraId="7038AD75" w14:textId="77777777" w:rsidR="005C7834" w:rsidRDefault="00730A01" w:rsidP="00443B59">
      <w:pPr>
        <w:pStyle w:val="Paragraphe"/>
        <w:numPr>
          <w:ilvl w:val="0"/>
          <w:numId w:val="61"/>
        </w:numPr>
        <w:spacing w:after="0" w:line="240" w:lineRule="auto"/>
        <w:ind w:left="1418" w:hanging="709"/>
      </w:pPr>
      <w:r>
        <w:t>son avance à 9355</w:t>
      </w:r>
      <w:r>
        <w:noBreakHyphen/>
        <w:t>8096</w:t>
      </w:r>
      <w:r w:rsidR="00DA6995">
        <w:t xml:space="preserve"> </w:t>
      </w:r>
      <w:r>
        <w:t>Québec inc.;</w:t>
      </w:r>
    </w:p>
    <w:p w14:paraId="4963568B" w14:textId="77777777" w:rsidR="005C7834" w:rsidRPr="009D4AD5" w:rsidRDefault="00730A01" w:rsidP="00443B59">
      <w:pPr>
        <w:pStyle w:val="Paragraphe"/>
        <w:numPr>
          <w:ilvl w:val="0"/>
          <w:numId w:val="61"/>
        </w:numPr>
        <w:spacing w:after="0" w:line="240" w:lineRule="auto"/>
        <w:ind w:left="1418" w:hanging="709"/>
      </w:pPr>
      <w:r w:rsidRPr="009D4AD5">
        <w:t>son avance à Robert</w:t>
      </w:r>
      <w:r w:rsidR="00DA6995">
        <w:t xml:space="preserve"> </w:t>
      </w:r>
      <w:r w:rsidRPr="009D4AD5">
        <w:t>Giroux;</w:t>
      </w:r>
    </w:p>
    <w:p w14:paraId="02FBE1D9" w14:textId="77777777" w:rsidR="005C7834" w:rsidRDefault="00730A01" w:rsidP="00443B59">
      <w:pPr>
        <w:pStyle w:val="Paragraphe"/>
        <w:numPr>
          <w:ilvl w:val="0"/>
          <w:numId w:val="61"/>
        </w:numPr>
        <w:spacing w:after="0" w:line="240" w:lineRule="auto"/>
        <w:ind w:left="1418" w:hanging="709"/>
      </w:pPr>
      <w:r>
        <w:t>son avance à 9180</w:t>
      </w:r>
      <w:r>
        <w:noBreakHyphen/>
        <w:t>6646</w:t>
      </w:r>
      <w:r w:rsidR="00DA6995">
        <w:t xml:space="preserve"> </w:t>
      </w:r>
      <w:r>
        <w:t>Québec inc.;</w:t>
      </w:r>
    </w:p>
    <w:p w14:paraId="14140306" w14:textId="77777777" w:rsidR="005C7834" w:rsidRDefault="00730A01" w:rsidP="00443B59">
      <w:pPr>
        <w:pStyle w:val="Paragraphe"/>
        <w:numPr>
          <w:ilvl w:val="0"/>
          <w:numId w:val="61"/>
        </w:numPr>
        <w:spacing w:after="0" w:line="240" w:lineRule="auto"/>
        <w:ind w:left="1418" w:hanging="709"/>
      </w:pPr>
      <w:r>
        <w:t>son avance à Q</w:t>
      </w:r>
      <w:r>
        <w:noBreakHyphen/>
        <w:t>10</w:t>
      </w:r>
      <w:r w:rsidR="00DA6995">
        <w:t xml:space="preserve"> </w:t>
      </w:r>
      <w:r>
        <w:t>Capital, s.e.c.;</w:t>
      </w:r>
    </w:p>
    <w:p w14:paraId="5EC4B1B5" w14:textId="77777777" w:rsidR="005C7834" w:rsidRDefault="00730A01" w:rsidP="00443B59">
      <w:pPr>
        <w:pStyle w:val="Paragraphe"/>
        <w:numPr>
          <w:ilvl w:val="0"/>
          <w:numId w:val="61"/>
        </w:numPr>
        <w:spacing w:after="0" w:line="240" w:lineRule="auto"/>
        <w:ind w:left="1418" w:hanging="709"/>
      </w:pPr>
      <w:r>
        <w:t>son avance à Q</w:t>
      </w:r>
      <w:r>
        <w:noBreakHyphen/>
        <w:t>20</w:t>
      </w:r>
      <w:r w:rsidR="00DA6995">
        <w:t xml:space="preserve"> </w:t>
      </w:r>
      <w:r>
        <w:t>Capital, s.e.c.;</w:t>
      </w:r>
    </w:p>
    <w:p w14:paraId="3AE243E5" w14:textId="77777777" w:rsidR="005C7834" w:rsidRDefault="00730A01" w:rsidP="00443B59">
      <w:pPr>
        <w:pStyle w:val="Paragraphe"/>
        <w:numPr>
          <w:ilvl w:val="0"/>
          <w:numId w:val="61"/>
        </w:numPr>
        <w:spacing w:after="0" w:line="240" w:lineRule="auto"/>
        <w:ind w:left="1418" w:hanging="709"/>
      </w:pPr>
      <w:r>
        <w:t>son avance à Q</w:t>
      </w:r>
      <w:r>
        <w:noBreakHyphen/>
        <w:t>325</w:t>
      </w:r>
      <w:r w:rsidR="00DA6995">
        <w:t xml:space="preserve"> </w:t>
      </w:r>
      <w:r>
        <w:t>RL</w:t>
      </w:r>
      <w:r w:rsidR="00DA6995">
        <w:t xml:space="preserve"> </w:t>
      </w:r>
      <w:r>
        <w:t>Capital, s.e.c.;</w:t>
      </w:r>
    </w:p>
    <w:p w14:paraId="15538B8D" w14:textId="77777777" w:rsidR="007841C6" w:rsidRDefault="00730A01" w:rsidP="00443B59">
      <w:pPr>
        <w:pStyle w:val="Paragraphe"/>
        <w:numPr>
          <w:ilvl w:val="0"/>
          <w:numId w:val="61"/>
        </w:numPr>
        <w:spacing w:line="240" w:lineRule="auto"/>
        <w:ind w:left="1418" w:hanging="709"/>
      </w:pPr>
      <w:r>
        <w:t>son avance à Giroux Arpentage</w:t>
      </w:r>
      <w:r w:rsidR="00DA6995">
        <w:t xml:space="preserve"> </w:t>
      </w:r>
      <w:r>
        <w:t>inc.</w:t>
      </w:r>
    </w:p>
    <w:p w14:paraId="411D4E27" w14:textId="77777777" w:rsidR="007A3FA9" w:rsidRDefault="00730A01" w:rsidP="00886E5D">
      <w:pPr>
        <w:pStyle w:val="Paragraphe"/>
        <w:numPr>
          <w:ilvl w:val="0"/>
          <w:numId w:val="1"/>
        </w:numPr>
        <w:tabs>
          <w:tab w:val="clear" w:pos="786"/>
        </w:tabs>
        <w:spacing w:line="240" w:lineRule="auto"/>
        <w:ind w:left="0"/>
      </w:pPr>
      <w:r w:rsidRPr="002F6FD4">
        <w:rPr>
          <w:b/>
          <w:bCs/>
        </w:rPr>
        <w:t>ORDONNE</w:t>
      </w:r>
      <w:r>
        <w:t xml:space="preserve"> à Robert</w:t>
      </w:r>
      <w:r w:rsidR="00706B6F">
        <w:t xml:space="preserve"> </w:t>
      </w:r>
      <w:r>
        <w:t>Giroux, à 9355</w:t>
      </w:r>
      <w:r>
        <w:noBreakHyphen/>
        <w:t>9797</w:t>
      </w:r>
      <w:r w:rsidR="00DA6995">
        <w:t xml:space="preserve"> </w:t>
      </w:r>
      <w:r>
        <w:t>Québec</w:t>
      </w:r>
      <w:r w:rsidR="00DA6995">
        <w:t xml:space="preserve"> </w:t>
      </w:r>
      <w:r>
        <w:t> inc.,</w:t>
      </w:r>
      <w:r w:rsidR="00706B6F">
        <w:t xml:space="preserve"> </w:t>
      </w:r>
      <w:r>
        <w:t>à 9355</w:t>
      </w:r>
      <w:r>
        <w:noBreakHyphen/>
        <w:t>8096</w:t>
      </w:r>
      <w:r w:rsidR="00DA6995">
        <w:t xml:space="preserve"> </w:t>
      </w:r>
      <w:r>
        <w:t>Québec inc., à 9416</w:t>
      </w:r>
      <w:r>
        <w:noBreakHyphen/>
        <w:t>1395</w:t>
      </w:r>
      <w:r w:rsidR="00DA6995">
        <w:t xml:space="preserve"> </w:t>
      </w:r>
      <w:r>
        <w:t>Québec inc., à 9180</w:t>
      </w:r>
      <w:r>
        <w:noBreakHyphen/>
        <w:t>6646</w:t>
      </w:r>
      <w:r w:rsidR="00DA6995">
        <w:t xml:space="preserve"> </w:t>
      </w:r>
      <w:r>
        <w:t>Québec inc. et à X2</w:t>
      </w:r>
      <w:r w:rsidR="00DA6995">
        <w:t xml:space="preserve"> </w:t>
      </w:r>
      <w:r>
        <w:t>Capital inc. de ne pas, directement ou indirectement, faciliter, assister, aider, inciter ou participer à quelque geste, de quelque manière que ce soit, eu égard à ce qui est décrit aux paragraphes précédents, et ce, jusqu’à la pleine exécution du jugement</w:t>
      </w:r>
      <w:r w:rsidR="00BF449D">
        <w:t>;</w:t>
      </w:r>
    </w:p>
    <w:p w14:paraId="1C4C1546" w14:textId="77777777" w:rsidR="00886E5D" w:rsidRDefault="00730A01" w:rsidP="00886E5D">
      <w:pPr>
        <w:pStyle w:val="Paragraphe"/>
        <w:numPr>
          <w:ilvl w:val="0"/>
          <w:numId w:val="1"/>
        </w:numPr>
        <w:tabs>
          <w:tab w:val="clear" w:pos="786"/>
        </w:tabs>
        <w:spacing w:line="240" w:lineRule="auto"/>
        <w:ind w:left="0"/>
      </w:pPr>
      <w:r w:rsidRPr="007A3FA9">
        <w:rPr>
          <w:rFonts w:cs="Arial"/>
          <w:b/>
          <w:bCs/>
          <w:szCs w:val="24"/>
        </w:rPr>
        <w:t xml:space="preserve">DÉCLARE </w:t>
      </w:r>
      <w:r w:rsidRPr="007A3FA9">
        <w:rPr>
          <w:rFonts w:cs="Arial"/>
          <w:szCs w:val="24"/>
        </w:rPr>
        <w:t xml:space="preserve">que, tant la société en commandite Fonds d’investissement immobilier SH, s.e.c. agissant et représentée par son commandité 9489-3401 Québec inc. que les demandeurs commanditaires ont l’intérêt juridique suffisant afin de réclamer aux Défendeurs Robert Giroux, 9416-1395 Québec inc., 9180-6646 Québec inc., 9355-8096 Québec inc. et X2 Capital inc. les dommages réclamés en l’instance; </w:t>
      </w:r>
    </w:p>
    <w:p w14:paraId="2DD8CF82" w14:textId="77777777" w:rsidR="001B4BFA" w:rsidRPr="007A3FA9" w:rsidRDefault="00730A01" w:rsidP="00886E5D">
      <w:pPr>
        <w:pStyle w:val="Paragraphe"/>
        <w:numPr>
          <w:ilvl w:val="0"/>
          <w:numId w:val="1"/>
        </w:numPr>
        <w:tabs>
          <w:tab w:val="clear" w:pos="786"/>
        </w:tabs>
        <w:spacing w:line="240" w:lineRule="auto"/>
        <w:ind w:left="0"/>
      </w:pPr>
      <w:r w:rsidRPr="00886E5D">
        <w:rPr>
          <w:b/>
          <w:bCs/>
        </w:rPr>
        <w:t xml:space="preserve">CONDAMNE </w:t>
      </w:r>
      <w:r w:rsidRPr="00886E5D">
        <w:rPr>
          <w:i/>
          <w:iCs/>
        </w:rPr>
        <w:t xml:space="preserve">in solidum </w:t>
      </w:r>
      <w:r w:rsidRPr="001B4BFA">
        <w:t xml:space="preserve">les Défendeurs Robert Giroux, 9416-1395 Québec inc., 9180-6646 Québec inc., 9355-8096 Québec inc. et X2 Capital inc. à </w:t>
      </w:r>
      <w:r w:rsidRPr="00886E5D">
        <w:rPr>
          <w:szCs w:val="24"/>
        </w:rPr>
        <w:t>payer aux Demandeurs la somme de 73 024 119 $, plus l</w:t>
      </w:r>
      <w:r w:rsidR="00254282" w:rsidRPr="00886E5D">
        <w:rPr>
          <w:szCs w:val="24"/>
        </w:rPr>
        <w:t xml:space="preserve">es intérêts </w:t>
      </w:r>
      <w:r w:rsidRPr="00886E5D">
        <w:rPr>
          <w:szCs w:val="24"/>
        </w:rPr>
        <w:t xml:space="preserve">au taux de 12 % </w:t>
      </w:r>
      <w:r w:rsidR="00886C45">
        <w:rPr>
          <w:szCs w:val="24"/>
        </w:rPr>
        <w:t xml:space="preserve">l’an </w:t>
      </w:r>
      <w:r w:rsidRPr="00886E5D">
        <w:rPr>
          <w:szCs w:val="24"/>
        </w:rPr>
        <w:t xml:space="preserve">à compter du </w:t>
      </w:r>
      <w:r w:rsidR="00886C45">
        <w:rPr>
          <w:szCs w:val="24"/>
        </w:rPr>
        <w:t>29 juin 2023, date d’</w:t>
      </w:r>
      <w:r w:rsidRPr="00886E5D">
        <w:rPr>
          <w:szCs w:val="24"/>
        </w:rPr>
        <w:t>assignation, et ce, jusqu’à la pleine exécution du jugemen</w:t>
      </w:r>
      <w:r>
        <w:t>t,</w:t>
      </w:r>
      <w:r w:rsidRPr="00886E5D">
        <w:rPr>
          <w:szCs w:val="24"/>
        </w:rPr>
        <w:t xml:space="preserve"> le tout suivant la quantification détaillée au rapport d’expertise de KPMG et au tableau ventilé ci-dessous, à savoir</w:t>
      </w:r>
      <w:r w:rsidR="00DA6995">
        <w:rPr>
          <w:szCs w:val="24"/>
        </w:rPr>
        <w:t> </w:t>
      </w:r>
      <w:r w:rsidRPr="00886E5D">
        <w:rPr>
          <w:szCs w:val="24"/>
        </w:rPr>
        <w:t xml:space="preserve">: </w:t>
      </w:r>
    </w:p>
    <w:p w14:paraId="719D8717" w14:textId="77777777" w:rsidR="001B4BFA" w:rsidRPr="00A66EB4" w:rsidRDefault="00730A01" w:rsidP="0042740E">
      <w:pPr>
        <w:pStyle w:val="Default"/>
        <w:numPr>
          <w:ilvl w:val="0"/>
          <w:numId w:val="21"/>
        </w:numPr>
        <w:ind w:left="1134"/>
        <w:jc w:val="both"/>
        <w:rPr>
          <w:kern w:val="28"/>
        </w:rPr>
      </w:pPr>
      <w:r w:rsidRPr="001B4BFA">
        <w:t>Une somme de 73</w:t>
      </w:r>
      <w:r>
        <w:t> </w:t>
      </w:r>
      <w:r w:rsidRPr="001B4BFA">
        <w:t>024</w:t>
      </w:r>
      <w:r>
        <w:t> </w:t>
      </w:r>
      <w:r w:rsidRPr="001B4BFA">
        <w:t>119</w:t>
      </w:r>
      <w:r>
        <w:t> </w:t>
      </w:r>
      <w:r w:rsidRPr="001B4BFA">
        <w:t>$ (79,77</w:t>
      </w:r>
      <w:r>
        <w:t> </w:t>
      </w:r>
      <w:r w:rsidRPr="001B4BFA">
        <w:t>%), plus les intérêts applicables, aux Demandeurs/commanditaires, divisée au prorata de leur quote-part respective dans Fonds d’investissement immobilier</w:t>
      </w:r>
      <w:r w:rsidR="00886C45">
        <w:t> </w:t>
      </w:r>
      <w:r w:rsidRPr="001B4BFA">
        <w:t>SH, s.e.c., le tout pour une condamnation individualisée, ainsi que le reliquat, plus les intérêts applicables, à la demanderesse Fonds d’investissement immobilier</w:t>
      </w:r>
      <w:r w:rsidR="00886C45">
        <w:t> </w:t>
      </w:r>
      <w:r w:rsidRPr="001B4BFA">
        <w:t xml:space="preserve">SH, s.e.c. </w:t>
      </w:r>
    </w:p>
    <w:p w14:paraId="43546787" w14:textId="77777777" w:rsidR="00A66EB4" w:rsidRPr="008D1B40" w:rsidRDefault="00A66EB4" w:rsidP="00A66EB4">
      <w:pPr>
        <w:pStyle w:val="Default"/>
        <w:ind w:left="1134"/>
        <w:jc w:val="both"/>
        <w:rPr>
          <w:kern w:val="28"/>
        </w:rPr>
      </w:pPr>
    </w:p>
    <w:tbl>
      <w:tblPr>
        <w:tblW w:w="8328" w:type="dxa"/>
        <w:tblCellSpacing w:w="15" w:type="dxa"/>
        <w:tblCellMar>
          <w:top w:w="15" w:type="dxa"/>
          <w:left w:w="15" w:type="dxa"/>
          <w:bottom w:w="15" w:type="dxa"/>
          <w:right w:w="15" w:type="dxa"/>
        </w:tblCellMar>
        <w:tblLook w:val="04A0" w:firstRow="1" w:lastRow="0" w:firstColumn="1" w:lastColumn="0" w:noHBand="0" w:noVBand="1"/>
      </w:tblPr>
      <w:tblGrid>
        <w:gridCol w:w="4076"/>
        <w:gridCol w:w="1701"/>
        <w:gridCol w:w="2551"/>
      </w:tblGrid>
      <w:tr w:rsidR="00FE3D17" w14:paraId="5EC85329" w14:textId="77777777" w:rsidTr="00BD1A64">
        <w:trPr>
          <w:tblHeader/>
          <w:tblCellSpacing w:w="15" w:type="dxa"/>
        </w:trPr>
        <w:tc>
          <w:tcPr>
            <w:tcW w:w="4031" w:type="dxa"/>
            <w:tcBorders>
              <w:top w:val="single" w:sz="4" w:space="0" w:color="auto"/>
              <w:left w:val="single" w:sz="4" w:space="0" w:color="auto"/>
            </w:tcBorders>
            <w:vAlign w:val="center"/>
            <w:hideMark/>
          </w:tcPr>
          <w:p w14:paraId="18148EB8" w14:textId="77777777" w:rsidR="001B4BFA" w:rsidRPr="005F7C86" w:rsidRDefault="00730A01" w:rsidP="00DA6995">
            <w:pPr>
              <w:jc w:val="center"/>
              <w:rPr>
                <w:rFonts w:cs="Arial"/>
                <w:b/>
                <w:bCs/>
                <w:sz w:val="20"/>
                <w:lang w:eastAsia="fr-CA"/>
              </w:rPr>
            </w:pPr>
            <w:r>
              <w:rPr>
                <w:rFonts w:cs="Arial"/>
                <w:b/>
                <w:bCs/>
                <w:sz w:val="20"/>
                <w:lang w:eastAsia="fr-CA"/>
              </w:rPr>
              <w:t>Demandeurs/c</w:t>
            </w:r>
            <w:r w:rsidRPr="005F7C86">
              <w:rPr>
                <w:rFonts w:cs="Arial"/>
                <w:b/>
                <w:bCs/>
                <w:sz w:val="20"/>
                <w:lang w:eastAsia="fr-CA"/>
              </w:rPr>
              <w:t>ommanditaire</w:t>
            </w:r>
            <w:r>
              <w:rPr>
                <w:rFonts w:cs="Arial"/>
                <w:b/>
                <w:bCs/>
                <w:sz w:val="20"/>
                <w:lang w:eastAsia="fr-CA"/>
              </w:rPr>
              <w:t>s</w:t>
            </w:r>
          </w:p>
        </w:tc>
        <w:tc>
          <w:tcPr>
            <w:tcW w:w="1671" w:type="dxa"/>
            <w:tcBorders>
              <w:top w:val="single" w:sz="4" w:space="0" w:color="auto"/>
              <w:left w:val="single" w:sz="4" w:space="0" w:color="auto"/>
              <w:bottom w:val="nil"/>
              <w:right w:val="single" w:sz="4" w:space="0" w:color="auto"/>
            </w:tcBorders>
            <w:vAlign w:val="center"/>
            <w:hideMark/>
          </w:tcPr>
          <w:p w14:paraId="67B3F92A" w14:textId="77777777" w:rsidR="001B4BFA" w:rsidRPr="005F7C86" w:rsidRDefault="00730A01" w:rsidP="00DA6995">
            <w:pPr>
              <w:jc w:val="center"/>
              <w:rPr>
                <w:rFonts w:cs="Arial"/>
                <w:b/>
                <w:bCs/>
                <w:sz w:val="20"/>
                <w:lang w:eastAsia="fr-CA"/>
              </w:rPr>
            </w:pPr>
            <w:r w:rsidRPr="005F7C86">
              <w:rPr>
                <w:rFonts w:cs="Arial"/>
                <w:b/>
                <w:bCs/>
                <w:sz w:val="20"/>
                <w:lang w:eastAsia="fr-CA"/>
              </w:rPr>
              <w:t>Pourcentage</w:t>
            </w:r>
            <w:r>
              <w:rPr>
                <w:rFonts w:cs="Arial"/>
                <w:b/>
                <w:bCs/>
                <w:sz w:val="20"/>
                <w:lang w:eastAsia="fr-CA"/>
              </w:rPr>
              <w:t xml:space="preserve"> (%)</w:t>
            </w:r>
          </w:p>
        </w:tc>
        <w:tc>
          <w:tcPr>
            <w:tcW w:w="2506" w:type="dxa"/>
            <w:tcBorders>
              <w:top w:val="single" w:sz="4" w:space="0" w:color="auto"/>
              <w:right w:val="single" w:sz="4" w:space="0" w:color="auto"/>
            </w:tcBorders>
            <w:vAlign w:val="center"/>
            <w:hideMark/>
          </w:tcPr>
          <w:p w14:paraId="7E6AB5AB" w14:textId="77777777" w:rsidR="001B4BFA" w:rsidRPr="005F7C86" w:rsidRDefault="00730A01" w:rsidP="00DA6995">
            <w:pPr>
              <w:jc w:val="center"/>
              <w:rPr>
                <w:rFonts w:cs="Arial"/>
                <w:b/>
                <w:bCs/>
                <w:sz w:val="20"/>
                <w:lang w:eastAsia="fr-CA"/>
              </w:rPr>
            </w:pPr>
            <w:r w:rsidRPr="005F7C86">
              <w:rPr>
                <w:rFonts w:cs="Arial"/>
                <w:b/>
                <w:bCs/>
                <w:sz w:val="20"/>
                <w:lang w:eastAsia="fr-CA"/>
              </w:rPr>
              <w:t xml:space="preserve">Préjudice financier </w:t>
            </w:r>
            <w:r>
              <w:rPr>
                <w:rFonts w:cs="Arial"/>
                <w:b/>
                <w:bCs/>
                <w:sz w:val="20"/>
                <w:lang w:eastAsia="fr-CA"/>
              </w:rPr>
              <w:t>avant intérêts impayés ($)</w:t>
            </w:r>
          </w:p>
        </w:tc>
      </w:tr>
      <w:tr w:rsidR="00FE3D17" w14:paraId="5ECDC820" w14:textId="77777777" w:rsidTr="00BD1A64">
        <w:trPr>
          <w:tblCellSpacing w:w="15" w:type="dxa"/>
        </w:trPr>
        <w:tc>
          <w:tcPr>
            <w:tcW w:w="4031" w:type="dxa"/>
            <w:tcBorders>
              <w:top w:val="single" w:sz="4" w:space="0" w:color="auto"/>
              <w:left w:val="single" w:sz="4" w:space="0" w:color="auto"/>
            </w:tcBorders>
            <w:vAlign w:val="center"/>
            <w:hideMark/>
          </w:tcPr>
          <w:p w14:paraId="462B376B" w14:textId="77777777" w:rsidR="001B4BFA" w:rsidRPr="005F7C86" w:rsidRDefault="00730A01" w:rsidP="00BD1A64">
            <w:pPr>
              <w:rPr>
                <w:rFonts w:cs="Arial"/>
                <w:sz w:val="20"/>
                <w:lang w:eastAsia="fr-CA"/>
              </w:rPr>
            </w:pPr>
            <w:r w:rsidRPr="005F7C86">
              <w:rPr>
                <w:rFonts w:cs="Arial"/>
                <w:sz w:val="20"/>
                <w:lang w:eastAsia="fr-CA"/>
              </w:rPr>
              <w:t>3586103 Canada inc.</w:t>
            </w:r>
          </w:p>
        </w:tc>
        <w:tc>
          <w:tcPr>
            <w:tcW w:w="1671" w:type="dxa"/>
            <w:tcBorders>
              <w:top w:val="single" w:sz="4" w:space="0" w:color="auto"/>
              <w:left w:val="single" w:sz="4" w:space="0" w:color="auto"/>
              <w:right w:val="single" w:sz="4" w:space="0" w:color="auto"/>
            </w:tcBorders>
            <w:vAlign w:val="center"/>
            <w:hideMark/>
          </w:tcPr>
          <w:p w14:paraId="02F9D074" w14:textId="77777777" w:rsidR="001B4BFA" w:rsidRPr="005F7C86" w:rsidRDefault="00730A01" w:rsidP="00DA6995">
            <w:pPr>
              <w:jc w:val="right"/>
              <w:rPr>
                <w:rFonts w:cs="Arial"/>
                <w:sz w:val="20"/>
                <w:lang w:eastAsia="fr-CA"/>
              </w:rPr>
            </w:pPr>
            <w:r w:rsidRPr="005F7C86">
              <w:rPr>
                <w:rFonts w:cs="Arial"/>
                <w:sz w:val="20"/>
                <w:lang w:eastAsia="fr-CA"/>
              </w:rPr>
              <w:t>1,11 %</w:t>
            </w:r>
          </w:p>
        </w:tc>
        <w:tc>
          <w:tcPr>
            <w:tcW w:w="2506" w:type="dxa"/>
            <w:tcBorders>
              <w:top w:val="single" w:sz="4" w:space="0" w:color="auto"/>
              <w:right w:val="single" w:sz="4" w:space="0" w:color="auto"/>
            </w:tcBorders>
            <w:vAlign w:val="center"/>
            <w:hideMark/>
          </w:tcPr>
          <w:p w14:paraId="44BE97AE" w14:textId="77777777" w:rsidR="001B4BFA" w:rsidRPr="005F7C86" w:rsidRDefault="00730A01" w:rsidP="00BD1A64">
            <w:pPr>
              <w:jc w:val="right"/>
              <w:rPr>
                <w:rFonts w:cs="Arial"/>
                <w:sz w:val="20"/>
                <w:lang w:eastAsia="fr-CA"/>
              </w:rPr>
            </w:pPr>
            <w:r w:rsidRPr="005F7C86">
              <w:rPr>
                <w:rFonts w:cs="Arial"/>
                <w:sz w:val="20"/>
                <w:lang w:eastAsia="fr-CA"/>
              </w:rPr>
              <w:t>807 636 $</w:t>
            </w:r>
          </w:p>
        </w:tc>
      </w:tr>
      <w:tr w:rsidR="00FE3D17" w14:paraId="0D16E1EF" w14:textId="77777777" w:rsidTr="00BD1A64">
        <w:trPr>
          <w:tblCellSpacing w:w="15" w:type="dxa"/>
        </w:trPr>
        <w:tc>
          <w:tcPr>
            <w:tcW w:w="4031" w:type="dxa"/>
            <w:tcBorders>
              <w:top w:val="single" w:sz="4" w:space="0" w:color="auto"/>
              <w:left w:val="single" w:sz="4" w:space="0" w:color="auto"/>
              <w:bottom w:val="single" w:sz="4" w:space="0" w:color="auto"/>
            </w:tcBorders>
            <w:vAlign w:val="center"/>
            <w:hideMark/>
          </w:tcPr>
          <w:p w14:paraId="17836345" w14:textId="77777777" w:rsidR="001B4BFA" w:rsidRPr="005F7C86" w:rsidRDefault="00730A01" w:rsidP="00BD1A64">
            <w:pPr>
              <w:rPr>
                <w:rFonts w:cs="Arial"/>
                <w:sz w:val="20"/>
                <w:lang w:eastAsia="fr-CA"/>
              </w:rPr>
            </w:pPr>
            <w:r w:rsidRPr="005F7C86">
              <w:rPr>
                <w:rFonts w:cs="Arial"/>
                <w:sz w:val="20"/>
                <w:lang w:eastAsia="fr-CA"/>
              </w:rPr>
              <w:t>Gestion Immobilière DSTC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6841A45" w14:textId="77777777" w:rsidR="001B4BFA" w:rsidRPr="005F7C86" w:rsidRDefault="00730A01" w:rsidP="00DA6995">
            <w:pPr>
              <w:jc w:val="right"/>
              <w:rPr>
                <w:rFonts w:cs="Arial"/>
                <w:sz w:val="20"/>
                <w:lang w:eastAsia="fr-CA"/>
              </w:rPr>
            </w:pPr>
            <w:r w:rsidRPr="005F7C86">
              <w:rPr>
                <w:rFonts w:cs="Arial"/>
                <w:sz w:val="20"/>
                <w:lang w:eastAsia="fr-CA"/>
              </w:rPr>
              <w:t>1,88 %</w:t>
            </w:r>
          </w:p>
        </w:tc>
        <w:tc>
          <w:tcPr>
            <w:tcW w:w="2506" w:type="dxa"/>
            <w:tcBorders>
              <w:top w:val="single" w:sz="4" w:space="0" w:color="auto"/>
              <w:bottom w:val="single" w:sz="4" w:space="0" w:color="auto"/>
              <w:right w:val="single" w:sz="4" w:space="0" w:color="auto"/>
            </w:tcBorders>
            <w:vAlign w:val="center"/>
            <w:hideMark/>
          </w:tcPr>
          <w:p w14:paraId="34F0987E" w14:textId="77777777" w:rsidR="001B4BFA" w:rsidRPr="005F7C86" w:rsidRDefault="00730A01" w:rsidP="00BD1A64">
            <w:pPr>
              <w:jc w:val="right"/>
              <w:rPr>
                <w:rFonts w:cs="Arial"/>
                <w:sz w:val="20"/>
                <w:lang w:eastAsia="fr-CA"/>
              </w:rPr>
            </w:pPr>
            <w:r w:rsidRPr="005F7C86">
              <w:rPr>
                <w:rFonts w:cs="Arial"/>
                <w:sz w:val="20"/>
                <w:lang w:eastAsia="fr-CA"/>
              </w:rPr>
              <w:t>1 372 665 $</w:t>
            </w:r>
          </w:p>
        </w:tc>
      </w:tr>
      <w:tr w:rsidR="00FE3D17" w14:paraId="69EED1CA" w14:textId="77777777" w:rsidTr="00BD1A64">
        <w:trPr>
          <w:tblCellSpacing w:w="15" w:type="dxa"/>
        </w:trPr>
        <w:tc>
          <w:tcPr>
            <w:tcW w:w="4031" w:type="dxa"/>
            <w:tcBorders>
              <w:top w:val="single" w:sz="4" w:space="0" w:color="auto"/>
              <w:left w:val="single" w:sz="4" w:space="0" w:color="auto"/>
            </w:tcBorders>
            <w:vAlign w:val="center"/>
            <w:hideMark/>
          </w:tcPr>
          <w:p w14:paraId="41E63E3A" w14:textId="77777777" w:rsidR="001B4BFA" w:rsidRPr="005F7C86" w:rsidRDefault="00730A01" w:rsidP="00BD1A64">
            <w:pPr>
              <w:rPr>
                <w:rFonts w:cs="Arial"/>
                <w:sz w:val="20"/>
                <w:lang w:eastAsia="fr-CA"/>
              </w:rPr>
            </w:pPr>
            <w:r w:rsidRPr="005F7C86">
              <w:rPr>
                <w:rFonts w:cs="Arial"/>
                <w:sz w:val="20"/>
                <w:lang w:eastAsia="fr-CA"/>
              </w:rPr>
              <w:t>9136-5908 Québec inc.</w:t>
            </w:r>
          </w:p>
        </w:tc>
        <w:tc>
          <w:tcPr>
            <w:tcW w:w="1671" w:type="dxa"/>
            <w:tcBorders>
              <w:top w:val="single" w:sz="4" w:space="0" w:color="auto"/>
              <w:left w:val="single" w:sz="4" w:space="0" w:color="auto"/>
              <w:right w:val="single" w:sz="4" w:space="0" w:color="auto"/>
            </w:tcBorders>
            <w:vAlign w:val="center"/>
            <w:hideMark/>
          </w:tcPr>
          <w:p w14:paraId="38EE1DF3" w14:textId="77777777" w:rsidR="001B4BFA" w:rsidRPr="005F7C86" w:rsidRDefault="00730A01" w:rsidP="00DA6995">
            <w:pPr>
              <w:jc w:val="right"/>
              <w:rPr>
                <w:rFonts w:cs="Arial"/>
                <w:sz w:val="20"/>
                <w:lang w:eastAsia="fr-CA"/>
              </w:rPr>
            </w:pPr>
            <w:r w:rsidRPr="005F7C86">
              <w:rPr>
                <w:rFonts w:cs="Arial"/>
                <w:sz w:val="20"/>
                <w:lang w:eastAsia="fr-CA"/>
              </w:rPr>
              <w:t>3,48 %</w:t>
            </w:r>
          </w:p>
        </w:tc>
        <w:tc>
          <w:tcPr>
            <w:tcW w:w="2506" w:type="dxa"/>
            <w:tcBorders>
              <w:top w:val="single" w:sz="4" w:space="0" w:color="auto"/>
              <w:right w:val="single" w:sz="4" w:space="0" w:color="auto"/>
            </w:tcBorders>
            <w:vAlign w:val="center"/>
            <w:hideMark/>
          </w:tcPr>
          <w:p w14:paraId="21FFB5D1" w14:textId="77777777" w:rsidR="001B4BFA" w:rsidRPr="005F7C86" w:rsidRDefault="00730A01" w:rsidP="00BD1A64">
            <w:pPr>
              <w:jc w:val="right"/>
              <w:rPr>
                <w:rFonts w:cs="Arial"/>
                <w:sz w:val="20"/>
                <w:lang w:eastAsia="fr-CA"/>
              </w:rPr>
            </w:pPr>
            <w:r w:rsidRPr="005F7C86">
              <w:rPr>
                <w:rFonts w:cs="Arial"/>
                <w:sz w:val="20"/>
                <w:lang w:eastAsia="fr-CA"/>
              </w:rPr>
              <w:t>2 543 071 $</w:t>
            </w:r>
          </w:p>
        </w:tc>
      </w:tr>
      <w:tr w:rsidR="00FE3D17" w14:paraId="45F799E0" w14:textId="77777777" w:rsidTr="00BD1A64">
        <w:trPr>
          <w:tblCellSpacing w:w="15" w:type="dxa"/>
        </w:trPr>
        <w:tc>
          <w:tcPr>
            <w:tcW w:w="4031" w:type="dxa"/>
            <w:tcBorders>
              <w:top w:val="single" w:sz="4" w:space="0" w:color="auto"/>
              <w:left w:val="single" w:sz="4" w:space="0" w:color="auto"/>
              <w:bottom w:val="single" w:sz="4" w:space="0" w:color="auto"/>
            </w:tcBorders>
            <w:vAlign w:val="center"/>
            <w:hideMark/>
          </w:tcPr>
          <w:p w14:paraId="09F31B70" w14:textId="77777777" w:rsidR="001B4BFA" w:rsidRPr="005F7C86" w:rsidRDefault="00730A01" w:rsidP="00BD1A64">
            <w:pPr>
              <w:rPr>
                <w:rFonts w:cs="Arial"/>
                <w:sz w:val="20"/>
                <w:lang w:eastAsia="fr-CA"/>
              </w:rPr>
            </w:pPr>
            <w:r w:rsidRPr="005F7C86">
              <w:rPr>
                <w:rFonts w:cs="Arial"/>
                <w:sz w:val="20"/>
                <w:lang w:eastAsia="fr-CA"/>
              </w:rPr>
              <w:t>Appalaches Investissements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4E703E20" w14:textId="77777777" w:rsidR="001B4BFA" w:rsidRPr="005F7C86" w:rsidRDefault="00730A01" w:rsidP="00DA6995">
            <w:pPr>
              <w:jc w:val="right"/>
              <w:rPr>
                <w:rFonts w:cs="Arial"/>
                <w:sz w:val="20"/>
                <w:lang w:eastAsia="fr-CA"/>
              </w:rPr>
            </w:pPr>
            <w:r w:rsidRPr="005F7C86">
              <w:rPr>
                <w:rFonts w:cs="Arial"/>
                <w:sz w:val="20"/>
                <w:lang w:eastAsia="fr-CA"/>
              </w:rPr>
              <w:t>15,06 %</w:t>
            </w:r>
          </w:p>
        </w:tc>
        <w:tc>
          <w:tcPr>
            <w:tcW w:w="2506" w:type="dxa"/>
            <w:tcBorders>
              <w:top w:val="single" w:sz="4" w:space="0" w:color="auto"/>
              <w:bottom w:val="single" w:sz="4" w:space="0" w:color="auto"/>
              <w:right w:val="single" w:sz="4" w:space="0" w:color="auto"/>
            </w:tcBorders>
            <w:vAlign w:val="center"/>
            <w:hideMark/>
          </w:tcPr>
          <w:p w14:paraId="430C326F" w14:textId="77777777" w:rsidR="001B4BFA" w:rsidRPr="005F7C86" w:rsidRDefault="00730A01" w:rsidP="00BD1A64">
            <w:pPr>
              <w:jc w:val="right"/>
              <w:rPr>
                <w:rFonts w:cs="Arial"/>
                <w:sz w:val="20"/>
                <w:lang w:eastAsia="fr-CA"/>
              </w:rPr>
            </w:pPr>
            <w:r w:rsidRPr="005F7C86">
              <w:rPr>
                <w:rFonts w:cs="Arial"/>
                <w:sz w:val="20"/>
                <w:lang w:eastAsia="fr-CA"/>
              </w:rPr>
              <w:t>10 997 401 $</w:t>
            </w:r>
          </w:p>
        </w:tc>
      </w:tr>
      <w:tr w:rsidR="00FE3D17" w14:paraId="6E93E478" w14:textId="77777777" w:rsidTr="00BD1A64">
        <w:trPr>
          <w:tblCellSpacing w:w="15" w:type="dxa"/>
        </w:trPr>
        <w:tc>
          <w:tcPr>
            <w:tcW w:w="4031" w:type="dxa"/>
            <w:tcBorders>
              <w:left w:val="single" w:sz="4" w:space="0" w:color="auto"/>
              <w:bottom w:val="single" w:sz="4" w:space="0" w:color="auto"/>
            </w:tcBorders>
            <w:vAlign w:val="center"/>
            <w:hideMark/>
          </w:tcPr>
          <w:p w14:paraId="46D70024" w14:textId="77777777" w:rsidR="001B4BFA" w:rsidRPr="005F7C86" w:rsidRDefault="00730A01" w:rsidP="00BD1A64">
            <w:pPr>
              <w:rPr>
                <w:rFonts w:cs="Arial"/>
                <w:sz w:val="20"/>
                <w:lang w:eastAsia="fr-CA"/>
              </w:rPr>
            </w:pPr>
            <w:r w:rsidRPr="005F7C86">
              <w:rPr>
                <w:rFonts w:cs="Arial"/>
                <w:sz w:val="20"/>
                <w:lang w:eastAsia="fr-CA"/>
              </w:rPr>
              <w:t>Éric Tremblay</w:t>
            </w:r>
          </w:p>
        </w:tc>
        <w:tc>
          <w:tcPr>
            <w:tcW w:w="1671" w:type="dxa"/>
            <w:tcBorders>
              <w:left w:val="single" w:sz="4" w:space="0" w:color="auto"/>
              <w:bottom w:val="single" w:sz="4" w:space="0" w:color="auto"/>
              <w:right w:val="single" w:sz="4" w:space="0" w:color="auto"/>
            </w:tcBorders>
            <w:vAlign w:val="center"/>
            <w:hideMark/>
          </w:tcPr>
          <w:p w14:paraId="412D2FC8" w14:textId="77777777" w:rsidR="001B4BFA" w:rsidRPr="005F7C86" w:rsidRDefault="00730A01" w:rsidP="00DA6995">
            <w:pPr>
              <w:jc w:val="right"/>
              <w:rPr>
                <w:rFonts w:cs="Arial"/>
                <w:sz w:val="20"/>
                <w:lang w:eastAsia="fr-CA"/>
              </w:rPr>
            </w:pPr>
            <w:r w:rsidRPr="005F7C86">
              <w:rPr>
                <w:rFonts w:cs="Arial"/>
                <w:sz w:val="20"/>
                <w:lang w:eastAsia="fr-CA"/>
              </w:rPr>
              <w:t>2,38 %</w:t>
            </w:r>
          </w:p>
        </w:tc>
        <w:tc>
          <w:tcPr>
            <w:tcW w:w="2506" w:type="dxa"/>
            <w:tcBorders>
              <w:bottom w:val="single" w:sz="4" w:space="0" w:color="auto"/>
              <w:right w:val="single" w:sz="4" w:space="0" w:color="auto"/>
            </w:tcBorders>
            <w:vAlign w:val="center"/>
            <w:hideMark/>
          </w:tcPr>
          <w:p w14:paraId="7D8EE92A" w14:textId="77777777" w:rsidR="001B4BFA" w:rsidRPr="005F7C86" w:rsidRDefault="00730A01" w:rsidP="00BD1A64">
            <w:pPr>
              <w:jc w:val="right"/>
              <w:rPr>
                <w:rFonts w:cs="Arial"/>
                <w:sz w:val="20"/>
                <w:lang w:eastAsia="fr-CA"/>
              </w:rPr>
            </w:pPr>
            <w:r w:rsidRPr="005F7C86">
              <w:rPr>
                <w:rFonts w:cs="Arial"/>
                <w:sz w:val="20"/>
                <w:lang w:eastAsia="fr-CA"/>
              </w:rPr>
              <w:t>1 738 824 $</w:t>
            </w:r>
          </w:p>
        </w:tc>
      </w:tr>
      <w:tr w:rsidR="00FE3D17" w14:paraId="13A73817" w14:textId="77777777" w:rsidTr="00BD1A64">
        <w:trPr>
          <w:tblCellSpacing w:w="15" w:type="dxa"/>
        </w:trPr>
        <w:tc>
          <w:tcPr>
            <w:tcW w:w="4031" w:type="dxa"/>
            <w:tcBorders>
              <w:left w:val="single" w:sz="4" w:space="0" w:color="auto"/>
            </w:tcBorders>
            <w:vAlign w:val="center"/>
            <w:hideMark/>
          </w:tcPr>
          <w:p w14:paraId="3AB0C54F" w14:textId="77777777" w:rsidR="001B4BFA" w:rsidRPr="005F7C86" w:rsidRDefault="00730A01" w:rsidP="00BD1A64">
            <w:pPr>
              <w:rPr>
                <w:rFonts w:cs="Arial"/>
                <w:sz w:val="20"/>
                <w:lang w:eastAsia="fr-CA"/>
              </w:rPr>
            </w:pPr>
            <w:r w:rsidRPr="005F7C86">
              <w:rPr>
                <w:rFonts w:cs="Arial"/>
                <w:sz w:val="20"/>
                <w:lang w:eastAsia="fr-CA"/>
              </w:rPr>
              <w:t>Gestion Immobilière R. Godbout inc.</w:t>
            </w:r>
          </w:p>
        </w:tc>
        <w:tc>
          <w:tcPr>
            <w:tcW w:w="1671" w:type="dxa"/>
            <w:tcBorders>
              <w:left w:val="single" w:sz="4" w:space="0" w:color="auto"/>
              <w:right w:val="single" w:sz="4" w:space="0" w:color="auto"/>
            </w:tcBorders>
            <w:vAlign w:val="center"/>
            <w:hideMark/>
          </w:tcPr>
          <w:p w14:paraId="2A8E28F7" w14:textId="77777777" w:rsidR="001B4BFA" w:rsidRPr="005F7C86" w:rsidRDefault="00730A01" w:rsidP="00DA6995">
            <w:pPr>
              <w:jc w:val="right"/>
              <w:rPr>
                <w:rFonts w:cs="Arial"/>
                <w:sz w:val="20"/>
                <w:lang w:eastAsia="fr-CA"/>
              </w:rPr>
            </w:pPr>
            <w:r w:rsidRPr="005F7C86">
              <w:rPr>
                <w:rFonts w:cs="Arial"/>
                <w:sz w:val="20"/>
                <w:lang w:eastAsia="fr-CA"/>
              </w:rPr>
              <w:t>1,68 %</w:t>
            </w:r>
          </w:p>
        </w:tc>
        <w:tc>
          <w:tcPr>
            <w:tcW w:w="2506" w:type="dxa"/>
            <w:tcBorders>
              <w:right w:val="single" w:sz="4" w:space="0" w:color="auto"/>
            </w:tcBorders>
            <w:vAlign w:val="center"/>
            <w:hideMark/>
          </w:tcPr>
          <w:p w14:paraId="2AC6473A" w14:textId="77777777" w:rsidR="001B4BFA" w:rsidRPr="005F7C86" w:rsidRDefault="00730A01" w:rsidP="00BD1A64">
            <w:pPr>
              <w:jc w:val="right"/>
              <w:rPr>
                <w:rFonts w:cs="Arial"/>
                <w:sz w:val="20"/>
                <w:lang w:eastAsia="fr-CA"/>
              </w:rPr>
            </w:pPr>
            <w:r w:rsidRPr="005F7C86">
              <w:rPr>
                <w:rFonts w:cs="Arial"/>
                <w:sz w:val="20"/>
                <w:lang w:eastAsia="fr-CA"/>
              </w:rPr>
              <w:t>1 224 059 $</w:t>
            </w:r>
          </w:p>
        </w:tc>
      </w:tr>
      <w:tr w:rsidR="00FE3D17" w14:paraId="3B135C10" w14:textId="77777777" w:rsidTr="00BD1A64">
        <w:trPr>
          <w:tblCellSpacing w:w="15" w:type="dxa"/>
        </w:trPr>
        <w:tc>
          <w:tcPr>
            <w:tcW w:w="4031" w:type="dxa"/>
            <w:tcBorders>
              <w:top w:val="single" w:sz="4" w:space="0" w:color="auto"/>
              <w:left w:val="single" w:sz="4" w:space="0" w:color="auto"/>
            </w:tcBorders>
            <w:vAlign w:val="center"/>
            <w:hideMark/>
          </w:tcPr>
          <w:p w14:paraId="111F90CB" w14:textId="77777777" w:rsidR="001B4BFA" w:rsidRPr="005F7C86" w:rsidRDefault="00730A01" w:rsidP="00BD1A64">
            <w:pPr>
              <w:rPr>
                <w:rFonts w:cs="Arial"/>
                <w:sz w:val="20"/>
                <w:lang w:eastAsia="fr-CA"/>
              </w:rPr>
            </w:pPr>
            <w:r w:rsidRPr="005F7C86">
              <w:rPr>
                <w:rFonts w:cs="Arial"/>
                <w:sz w:val="20"/>
                <w:lang w:eastAsia="fr-CA"/>
              </w:rPr>
              <w:t>9023-0772 Québec inc.</w:t>
            </w:r>
          </w:p>
        </w:tc>
        <w:tc>
          <w:tcPr>
            <w:tcW w:w="1671" w:type="dxa"/>
            <w:tcBorders>
              <w:top w:val="single" w:sz="4" w:space="0" w:color="auto"/>
              <w:left w:val="single" w:sz="4" w:space="0" w:color="auto"/>
              <w:right w:val="single" w:sz="4" w:space="0" w:color="auto"/>
            </w:tcBorders>
            <w:vAlign w:val="center"/>
            <w:hideMark/>
          </w:tcPr>
          <w:p w14:paraId="03026556" w14:textId="77777777" w:rsidR="001B4BFA" w:rsidRPr="005F7C86" w:rsidRDefault="00730A01" w:rsidP="00DA6995">
            <w:pPr>
              <w:jc w:val="right"/>
              <w:rPr>
                <w:rFonts w:cs="Arial"/>
                <w:sz w:val="20"/>
                <w:lang w:eastAsia="fr-CA"/>
              </w:rPr>
            </w:pPr>
            <w:r w:rsidRPr="005F7C86">
              <w:rPr>
                <w:rFonts w:cs="Arial"/>
                <w:sz w:val="20"/>
                <w:lang w:eastAsia="fr-CA"/>
              </w:rPr>
              <w:t>0,63 %</w:t>
            </w:r>
          </w:p>
        </w:tc>
        <w:tc>
          <w:tcPr>
            <w:tcW w:w="2506" w:type="dxa"/>
            <w:tcBorders>
              <w:top w:val="single" w:sz="4" w:space="0" w:color="auto"/>
              <w:right w:val="single" w:sz="4" w:space="0" w:color="auto"/>
            </w:tcBorders>
            <w:vAlign w:val="center"/>
            <w:hideMark/>
          </w:tcPr>
          <w:p w14:paraId="0DF64074" w14:textId="77777777" w:rsidR="001B4BFA" w:rsidRPr="005F7C86" w:rsidRDefault="00730A01" w:rsidP="00BD1A64">
            <w:pPr>
              <w:jc w:val="right"/>
              <w:rPr>
                <w:rFonts w:cs="Arial"/>
                <w:sz w:val="20"/>
                <w:lang w:eastAsia="fr-CA"/>
              </w:rPr>
            </w:pPr>
            <w:r w:rsidRPr="005F7C86">
              <w:rPr>
                <w:rFonts w:cs="Arial"/>
                <w:sz w:val="20"/>
                <w:lang w:eastAsia="fr-CA"/>
              </w:rPr>
              <w:t>460 998 $</w:t>
            </w:r>
          </w:p>
        </w:tc>
      </w:tr>
      <w:tr w:rsidR="00FE3D17" w14:paraId="23E20E6B" w14:textId="77777777" w:rsidTr="00BD1A64">
        <w:trPr>
          <w:tblCellSpacing w:w="15" w:type="dxa"/>
        </w:trPr>
        <w:tc>
          <w:tcPr>
            <w:tcW w:w="4031" w:type="dxa"/>
            <w:tcBorders>
              <w:top w:val="single" w:sz="4" w:space="0" w:color="auto"/>
              <w:left w:val="single" w:sz="4" w:space="0" w:color="auto"/>
              <w:bottom w:val="single" w:sz="4" w:space="0" w:color="auto"/>
            </w:tcBorders>
            <w:vAlign w:val="center"/>
            <w:hideMark/>
          </w:tcPr>
          <w:p w14:paraId="70BFABF3" w14:textId="77777777" w:rsidR="001B4BFA" w:rsidRPr="005F7C86" w:rsidRDefault="00730A01" w:rsidP="00BD1A64">
            <w:pPr>
              <w:rPr>
                <w:rFonts w:cs="Arial"/>
                <w:sz w:val="20"/>
                <w:lang w:eastAsia="fr-CA"/>
              </w:rPr>
            </w:pPr>
            <w:r w:rsidRPr="005F7C86">
              <w:rPr>
                <w:rFonts w:cs="Arial"/>
                <w:sz w:val="20"/>
                <w:lang w:eastAsia="fr-CA"/>
              </w:rPr>
              <w:t>Gestion Matabel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43476D4" w14:textId="77777777" w:rsidR="001B4BFA" w:rsidRPr="005F7C86" w:rsidRDefault="00730A01" w:rsidP="00DA6995">
            <w:pPr>
              <w:jc w:val="right"/>
              <w:rPr>
                <w:rFonts w:cs="Arial"/>
                <w:sz w:val="20"/>
                <w:lang w:eastAsia="fr-CA"/>
              </w:rPr>
            </w:pPr>
            <w:r w:rsidRPr="005F7C86">
              <w:rPr>
                <w:rFonts w:cs="Arial"/>
                <w:sz w:val="20"/>
                <w:lang w:eastAsia="fr-CA"/>
              </w:rPr>
              <w:t>6,33 %</w:t>
            </w:r>
          </w:p>
        </w:tc>
        <w:tc>
          <w:tcPr>
            <w:tcW w:w="2506" w:type="dxa"/>
            <w:tcBorders>
              <w:top w:val="single" w:sz="4" w:space="0" w:color="auto"/>
              <w:bottom w:val="single" w:sz="4" w:space="0" w:color="auto"/>
              <w:right w:val="single" w:sz="4" w:space="0" w:color="auto"/>
            </w:tcBorders>
            <w:vAlign w:val="center"/>
            <w:hideMark/>
          </w:tcPr>
          <w:p w14:paraId="6BBF45B5" w14:textId="77777777" w:rsidR="001B4BFA" w:rsidRPr="005F7C86" w:rsidRDefault="00730A01" w:rsidP="00BD1A64">
            <w:pPr>
              <w:jc w:val="right"/>
              <w:rPr>
                <w:rFonts w:cs="Arial"/>
                <w:sz w:val="20"/>
                <w:lang w:eastAsia="fr-CA"/>
              </w:rPr>
            </w:pPr>
            <w:r w:rsidRPr="005F7C86">
              <w:rPr>
                <w:rFonts w:cs="Arial"/>
                <w:sz w:val="20"/>
                <w:lang w:eastAsia="fr-CA"/>
              </w:rPr>
              <w:t>4 622 321 $</w:t>
            </w:r>
          </w:p>
        </w:tc>
      </w:tr>
      <w:tr w:rsidR="00FE3D17" w14:paraId="15C5A505" w14:textId="77777777" w:rsidTr="00BD1A64">
        <w:trPr>
          <w:tblCellSpacing w:w="15" w:type="dxa"/>
        </w:trPr>
        <w:tc>
          <w:tcPr>
            <w:tcW w:w="4031" w:type="dxa"/>
            <w:tcBorders>
              <w:left w:val="single" w:sz="4" w:space="0" w:color="auto"/>
              <w:bottom w:val="single" w:sz="4" w:space="0" w:color="auto"/>
            </w:tcBorders>
            <w:vAlign w:val="center"/>
            <w:hideMark/>
          </w:tcPr>
          <w:p w14:paraId="324FD472" w14:textId="77777777" w:rsidR="001B4BFA" w:rsidRPr="005F7C86" w:rsidRDefault="00730A01" w:rsidP="00BD1A64">
            <w:pPr>
              <w:rPr>
                <w:rFonts w:cs="Arial"/>
                <w:sz w:val="20"/>
                <w:lang w:eastAsia="fr-CA"/>
              </w:rPr>
            </w:pPr>
            <w:r w:rsidRPr="005F7C86">
              <w:rPr>
                <w:rFonts w:cs="Arial"/>
                <w:sz w:val="20"/>
                <w:lang w:eastAsia="fr-CA"/>
              </w:rPr>
              <w:t>Gestion Jocelyn Maurice Giguère inc.</w:t>
            </w:r>
          </w:p>
        </w:tc>
        <w:tc>
          <w:tcPr>
            <w:tcW w:w="1671" w:type="dxa"/>
            <w:tcBorders>
              <w:left w:val="single" w:sz="4" w:space="0" w:color="auto"/>
              <w:bottom w:val="single" w:sz="4" w:space="0" w:color="auto"/>
              <w:right w:val="single" w:sz="4" w:space="0" w:color="auto"/>
            </w:tcBorders>
            <w:vAlign w:val="center"/>
            <w:hideMark/>
          </w:tcPr>
          <w:p w14:paraId="3B95EE62" w14:textId="77777777" w:rsidR="001B4BFA" w:rsidRPr="005F7C86" w:rsidRDefault="00730A01" w:rsidP="00DA6995">
            <w:pPr>
              <w:jc w:val="right"/>
              <w:rPr>
                <w:rFonts w:cs="Arial"/>
                <w:sz w:val="20"/>
                <w:lang w:eastAsia="fr-CA"/>
              </w:rPr>
            </w:pPr>
            <w:r w:rsidRPr="005F7C86">
              <w:rPr>
                <w:rFonts w:cs="Arial"/>
                <w:sz w:val="20"/>
                <w:lang w:eastAsia="fr-CA"/>
              </w:rPr>
              <w:t>4,36 %</w:t>
            </w:r>
          </w:p>
        </w:tc>
        <w:tc>
          <w:tcPr>
            <w:tcW w:w="2506" w:type="dxa"/>
            <w:tcBorders>
              <w:bottom w:val="single" w:sz="4" w:space="0" w:color="auto"/>
              <w:right w:val="single" w:sz="4" w:space="0" w:color="auto"/>
            </w:tcBorders>
            <w:vAlign w:val="center"/>
            <w:hideMark/>
          </w:tcPr>
          <w:p w14:paraId="01E6FEB2" w14:textId="77777777" w:rsidR="001B4BFA" w:rsidRPr="005F7C86" w:rsidRDefault="00730A01" w:rsidP="00BD1A64">
            <w:pPr>
              <w:jc w:val="right"/>
              <w:rPr>
                <w:rFonts w:cs="Arial"/>
                <w:sz w:val="20"/>
                <w:lang w:eastAsia="fr-CA"/>
              </w:rPr>
            </w:pPr>
            <w:r w:rsidRPr="005F7C86">
              <w:rPr>
                <w:rFonts w:cs="Arial"/>
                <w:sz w:val="20"/>
                <w:lang w:eastAsia="fr-CA"/>
              </w:rPr>
              <w:t>3 182 576 $</w:t>
            </w:r>
          </w:p>
        </w:tc>
      </w:tr>
      <w:tr w:rsidR="00FE3D17" w14:paraId="7E0DCBFC" w14:textId="77777777" w:rsidTr="00BD1A64">
        <w:trPr>
          <w:tblCellSpacing w:w="15" w:type="dxa"/>
        </w:trPr>
        <w:tc>
          <w:tcPr>
            <w:tcW w:w="4031" w:type="dxa"/>
            <w:tcBorders>
              <w:left w:val="single" w:sz="4" w:space="0" w:color="auto"/>
            </w:tcBorders>
            <w:vAlign w:val="center"/>
            <w:hideMark/>
          </w:tcPr>
          <w:p w14:paraId="5A5866B1" w14:textId="77777777" w:rsidR="001B4BFA" w:rsidRPr="005F7C86" w:rsidRDefault="00730A01" w:rsidP="00BD1A64">
            <w:pPr>
              <w:rPr>
                <w:rFonts w:cs="Arial"/>
                <w:sz w:val="20"/>
                <w:lang w:eastAsia="fr-CA"/>
              </w:rPr>
            </w:pPr>
            <w:r w:rsidRPr="005F7C86">
              <w:rPr>
                <w:rFonts w:cs="Arial"/>
                <w:sz w:val="20"/>
                <w:lang w:eastAsia="fr-CA"/>
              </w:rPr>
              <w:t>Entreprises Bertrand Roberge Ltée</w:t>
            </w:r>
          </w:p>
        </w:tc>
        <w:tc>
          <w:tcPr>
            <w:tcW w:w="1671" w:type="dxa"/>
            <w:tcBorders>
              <w:left w:val="single" w:sz="4" w:space="0" w:color="auto"/>
              <w:right w:val="single" w:sz="4" w:space="0" w:color="auto"/>
            </w:tcBorders>
            <w:vAlign w:val="center"/>
            <w:hideMark/>
          </w:tcPr>
          <w:p w14:paraId="0C6875C9" w14:textId="77777777" w:rsidR="001B4BFA" w:rsidRPr="005F7C86" w:rsidRDefault="00730A01" w:rsidP="00DA6995">
            <w:pPr>
              <w:jc w:val="right"/>
              <w:rPr>
                <w:rFonts w:cs="Arial"/>
                <w:sz w:val="20"/>
                <w:lang w:eastAsia="fr-CA"/>
              </w:rPr>
            </w:pPr>
            <w:r w:rsidRPr="005F7C86">
              <w:rPr>
                <w:rFonts w:cs="Arial"/>
                <w:sz w:val="20"/>
                <w:lang w:eastAsia="fr-CA"/>
              </w:rPr>
              <w:t>13,48 %</w:t>
            </w:r>
          </w:p>
        </w:tc>
        <w:tc>
          <w:tcPr>
            <w:tcW w:w="2506" w:type="dxa"/>
            <w:tcBorders>
              <w:right w:val="single" w:sz="4" w:space="0" w:color="auto"/>
            </w:tcBorders>
            <w:vAlign w:val="center"/>
            <w:hideMark/>
          </w:tcPr>
          <w:p w14:paraId="1E7B5F90" w14:textId="77777777" w:rsidR="001B4BFA" w:rsidRPr="005F7C86" w:rsidRDefault="00730A01" w:rsidP="00BD1A64">
            <w:pPr>
              <w:jc w:val="right"/>
              <w:rPr>
                <w:rFonts w:cs="Arial"/>
                <w:sz w:val="20"/>
                <w:lang w:eastAsia="fr-CA"/>
              </w:rPr>
            </w:pPr>
            <w:r w:rsidRPr="005F7C86">
              <w:rPr>
                <w:rFonts w:cs="Arial"/>
                <w:sz w:val="20"/>
                <w:lang w:eastAsia="fr-CA"/>
              </w:rPr>
              <w:t>9 845 050 $</w:t>
            </w:r>
          </w:p>
        </w:tc>
      </w:tr>
      <w:tr w:rsidR="00FE3D17" w14:paraId="0B0B4D2C" w14:textId="77777777" w:rsidTr="00BD1A64">
        <w:trPr>
          <w:tblCellSpacing w:w="15" w:type="dxa"/>
        </w:trPr>
        <w:tc>
          <w:tcPr>
            <w:tcW w:w="4031" w:type="dxa"/>
            <w:tcBorders>
              <w:top w:val="single" w:sz="4" w:space="0" w:color="auto"/>
              <w:left w:val="single" w:sz="4" w:space="0" w:color="auto"/>
              <w:bottom w:val="single" w:sz="4" w:space="0" w:color="auto"/>
            </w:tcBorders>
            <w:vAlign w:val="center"/>
            <w:hideMark/>
          </w:tcPr>
          <w:p w14:paraId="725776FC" w14:textId="77777777" w:rsidR="001B4BFA" w:rsidRPr="005F7C86" w:rsidRDefault="00730A01" w:rsidP="00BD1A64">
            <w:pPr>
              <w:rPr>
                <w:rFonts w:cs="Arial"/>
                <w:sz w:val="20"/>
                <w:lang w:eastAsia="fr-CA"/>
              </w:rPr>
            </w:pPr>
            <w:r w:rsidRPr="005F7C86">
              <w:rPr>
                <w:rFonts w:cs="Arial"/>
                <w:sz w:val="20"/>
                <w:lang w:eastAsia="fr-CA"/>
              </w:rPr>
              <w:t>Gexpharm ULC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07C85E1" w14:textId="77777777" w:rsidR="001B4BFA" w:rsidRPr="005F7C86" w:rsidRDefault="00730A01" w:rsidP="00DA6995">
            <w:pPr>
              <w:jc w:val="right"/>
              <w:rPr>
                <w:rFonts w:cs="Arial"/>
                <w:sz w:val="20"/>
                <w:lang w:eastAsia="fr-CA"/>
              </w:rPr>
            </w:pPr>
            <w:r w:rsidRPr="005F7C86">
              <w:rPr>
                <w:rFonts w:cs="Arial"/>
                <w:sz w:val="20"/>
                <w:lang w:eastAsia="fr-CA"/>
              </w:rPr>
              <w:t>9,26 %</w:t>
            </w:r>
          </w:p>
        </w:tc>
        <w:tc>
          <w:tcPr>
            <w:tcW w:w="2506" w:type="dxa"/>
            <w:tcBorders>
              <w:top w:val="single" w:sz="4" w:space="0" w:color="auto"/>
              <w:bottom w:val="single" w:sz="4" w:space="0" w:color="auto"/>
              <w:right w:val="single" w:sz="4" w:space="0" w:color="auto"/>
            </w:tcBorders>
            <w:vAlign w:val="center"/>
            <w:hideMark/>
          </w:tcPr>
          <w:p w14:paraId="6428C49B" w14:textId="77777777" w:rsidR="001B4BFA" w:rsidRPr="005F7C86" w:rsidRDefault="00730A01" w:rsidP="00BD1A64">
            <w:pPr>
              <w:jc w:val="right"/>
              <w:rPr>
                <w:rFonts w:cs="Arial"/>
                <w:sz w:val="20"/>
                <w:lang w:eastAsia="fr-CA"/>
              </w:rPr>
            </w:pPr>
            <w:r w:rsidRPr="005F7C86">
              <w:rPr>
                <w:rFonts w:cs="Arial"/>
                <w:sz w:val="20"/>
                <w:lang w:eastAsia="fr-CA"/>
              </w:rPr>
              <w:t>6 762 903 $</w:t>
            </w:r>
          </w:p>
        </w:tc>
      </w:tr>
      <w:tr w:rsidR="00FE3D17" w14:paraId="1269DD72" w14:textId="77777777" w:rsidTr="00BD1A64">
        <w:trPr>
          <w:tblCellSpacing w:w="15" w:type="dxa"/>
        </w:trPr>
        <w:tc>
          <w:tcPr>
            <w:tcW w:w="4031" w:type="dxa"/>
            <w:tcBorders>
              <w:left w:val="single" w:sz="4" w:space="0" w:color="auto"/>
              <w:bottom w:val="single" w:sz="4" w:space="0" w:color="auto"/>
            </w:tcBorders>
            <w:vAlign w:val="center"/>
            <w:hideMark/>
          </w:tcPr>
          <w:p w14:paraId="4B9C42D0" w14:textId="77777777" w:rsidR="001B4BFA" w:rsidRPr="005F7C86" w:rsidRDefault="00730A01" w:rsidP="00BD1A64">
            <w:pPr>
              <w:rPr>
                <w:rFonts w:cs="Arial"/>
                <w:sz w:val="20"/>
                <w:lang w:eastAsia="fr-CA"/>
              </w:rPr>
            </w:pPr>
            <w:r w:rsidRPr="005F7C86">
              <w:rPr>
                <w:rFonts w:cs="Arial"/>
                <w:sz w:val="20"/>
                <w:lang w:eastAsia="fr-CA"/>
              </w:rPr>
              <w:t>Gestion Financière Alain Guay</w:t>
            </w:r>
          </w:p>
        </w:tc>
        <w:tc>
          <w:tcPr>
            <w:tcW w:w="1671" w:type="dxa"/>
            <w:tcBorders>
              <w:left w:val="single" w:sz="4" w:space="0" w:color="auto"/>
              <w:bottom w:val="single" w:sz="4" w:space="0" w:color="auto"/>
              <w:right w:val="single" w:sz="4" w:space="0" w:color="auto"/>
            </w:tcBorders>
            <w:vAlign w:val="center"/>
            <w:hideMark/>
          </w:tcPr>
          <w:p w14:paraId="44BBF762" w14:textId="77777777" w:rsidR="001B4BFA" w:rsidRPr="005F7C86" w:rsidRDefault="00730A01" w:rsidP="00DA6995">
            <w:pPr>
              <w:jc w:val="right"/>
              <w:rPr>
                <w:rFonts w:cs="Arial"/>
                <w:sz w:val="20"/>
                <w:lang w:eastAsia="fr-CA"/>
              </w:rPr>
            </w:pPr>
            <w:r w:rsidRPr="005F7C86">
              <w:rPr>
                <w:rFonts w:cs="Arial"/>
                <w:sz w:val="20"/>
                <w:lang w:eastAsia="fr-CA"/>
              </w:rPr>
              <w:t>2,20 %</w:t>
            </w:r>
          </w:p>
        </w:tc>
        <w:tc>
          <w:tcPr>
            <w:tcW w:w="2506" w:type="dxa"/>
            <w:tcBorders>
              <w:bottom w:val="single" w:sz="4" w:space="0" w:color="auto"/>
              <w:right w:val="single" w:sz="4" w:space="0" w:color="auto"/>
            </w:tcBorders>
            <w:vAlign w:val="center"/>
            <w:hideMark/>
          </w:tcPr>
          <w:p w14:paraId="7A0E51ED" w14:textId="77777777" w:rsidR="001B4BFA" w:rsidRPr="005F7C86" w:rsidRDefault="00730A01" w:rsidP="00BD1A64">
            <w:pPr>
              <w:jc w:val="right"/>
              <w:rPr>
                <w:rFonts w:cs="Arial"/>
                <w:sz w:val="20"/>
                <w:lang w:eastAsia="fr-CA"/>
              </w:rPr>
            </w:pPr>
            <w:r w:rsidRPr="005F7C86">
              <w:rPr>
                <w:rFonts w:cs="Arial"/>
                <w:sz w:val="20"/>
                <w:lang w:eastAsia="fr-CA"/>
              </w:rPr>
              <w:t>1 605 676 $</w:t>
            </w:r>
          </w:p>
        </w:tc>
      </w:tr>
      <w:tr w:rsidR="00FE3D17" w14:paraId="7B22102F" w14:textId="77777777" w:rsidTr="00BD1A64">
        <w:trPr>
          <w:tblCellSpacing w:w="15" w:type="dxa"/>
        </w:trPr>
        <w:tc>
          <w:tcPr>
            <w:tcW w:w="4031" w:type="dxa"/>
            <w:tcBorders>
              <w:left w:val="single" w:sz="4" w:space="0" w:color="auto"/>
            </w:tcBorders>
            <w:vAlign w:val="center"/>
            <w:hideMark/>
          </w:tcPr>
          <w:p w14:paraId="02612B12" w14:textId="77777777" w:rsidR="001B4BFA" w:rsidRPr="005F7C86" w:rsidRDefault="00730A01" w:rsidP="00BD1A64">
            <w:pPr>
              <w:rPr>
                <w:rFonts w:cs="Arial"/>
                <w:sz w:val="20"/>
                <w:lang w:eastAsia="fr-CA"/>
              </w:rPr>
            </w:pPr>
            <w:r w:rsidRPr="005F7C86">
              <w:rPr>
                <w:rFonts w:cs="Arial"/>
                <w:sz w:val="20"/>
                <w:lang w:eastAsia="fr-CA"/>
              </w:rPr>
              <w:t>Fiducie Familiale Daniel Arguin</w:t>
            </w:r>
          </w:p>
        </w:tc>
        <w:tc>
          <w:tcPr>
            <w:tcW w:w="1671" w:type="dxa"/>
            <w:tcBorders>
              <w:left w:val="single" w:sz="4" w:space="0" w:color="auto"/>
              <w:right w:val="single" w:sz="4" w:space="0" w:color="auto"/>
            </w:tcBorders>
            <w:vAlign w:val="center"/>
            <w:hideMark/>
          </w:tcPr>
          <w:p w14:paraId="64BDFE0B" w14:textId="77777777" w:rsidR="001B4BFA" w:rsidRPr="005F7C86" w:rsidRDefault="00730A01" w:rsidP="00DA6995">
            <w:pPr>
              <w:jc w:val="right"/>
              <w:rPr>
                <w:rFonts w:cs="Arial"/>
                <w:sz w:val="20"/>
                <w:lang w:eastAsia="fr-CA"/>
              </w:rPr>
            </w:pPr>
            <w:r w:rsidRPr="005F7C86">
              <w:rPr>
                <w:rFonts w:cs="Arial"/>
                <w:sz w:val="20"/>
                <w:lang w:eastAsia="fr-CA"/>
              </w:rPr>
              <w:t>1,67 %</w:t>
            </w:r>
          </w:p>
        </w:tc>
        <w:tc>
          <w:tcPr>
            <w:tcW w:w="2506" w:type="dxa"/>
            <w:tcBorders>
              <w:right w:val="single" w:sz="4" w:space="0" w:color="auto"/>
            </w:tcBorders>
            <w:vAlign w:val="center"/>
            <w:hideMark/>
          </w:tcPr>
          <w:p w14:paraId="67C7E827" w14:textId="77777777" w:rsidR="001B4BFA" w:rsidRPr="005F7C86" w:rsidRDefault="00730A01" w:rsidP="00BD1A64">
            <w:pPr>
              <w:jc w:val="right"/>
              <w:rPr>
                <w:rFonts w:cs="Arial"/>
                <w:sz w:val="20"/>
                <w:lang w:eastAsia="fr-CA"/>
              </w:rPr>
            </w:pPr>
            <w:r w:rsidRPr="005F7C86">
              <w:rPr>
                <w:rFonts w:cs="Arial"/>
                <w:sz w:val="20"/>
                <w:lang w:eastAsia="fr-CA"/>
              </w:rPr>
              <w:t>1 218 643 $</w:t>
            </w:r>
          </w:p>
        </w:tc>
      </w:tr>
      <w:tr w:rsidR="00FE3D17" w14:paraId="4A6E1156" w14:textId="77777777" w:rsidTr="00BD1A64">
        <w:trPr>
          <w:tblCellSpacing w:w="15" w:type="dxa"/>
        </w:trPr>
        <w:tc>
          <w:tcPr>
            <w:tcW w:w="4031" w:type="dxa"/>
            <w:tcBorders>
              <w:top w:val="single" w:sz="4" w:space="0" w:color="auto"/>
              <w:left w:val="single" w:sz="4" w:space="0" w:color="auto"/>
              <w:bottom w:val="single" w:sz="4" w:space="0" w:color="auto"/>
            </w:tcBorders>
            <w:vAlign w:val="center"/>
            <w:hideMark/>
          </w:tcPr>
          <w:p w14:paraId="64D3CA1E" w14:textId="77777777" w:rsidR="001B4BFA" w:rsidRPr="005F7C86" w:rsidRDefault="00730A01" w:rsidP="00BD1A64">
            <w:pPr>
              <w:rPr>
                <w:rFonts w:cs="Arial"/>
                <w:sz w:val="20"/>
                <w:lang w:eastAsia="fr-CA"/>
              </w:rPr>
            </w:pPr>
            <w:r w:rsidRPr="005F7C86">
              <w:rPr>
                <w:rFonts w:cs="Arial"/>
                <w:sz w:val="20"/>
                <w:lang w:eastAsia="fr-CA"/>
              </w:rPr>
              <w:t>Gestion JEAPE 2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2BFDC23B" w14:textId="77777777" w:rsidR="001B4BFA" w:rsidRPr="005F7C86" w:rsidRDefault="00730A01" w:rsidP="00DA6995">
            <w:pPr>
              <w:jc w:val="right"/>
              <w:rPr>
                <w:rFonts w:cs="Arial"/>
                <w:sz w:val="20"/>
                <w:lang w:eastAsia="fr-CA"/>
              </w:rPr>
            </w:pPr>
            <w:r w:rsidRPr="005F7C86">
              <w:rPr>
                <w:rFonts w:cs="Arial"/>
                <w:sz w:val="20"/>
                <w:lang w:eastAsia="fr-CA"/>
              </w:rPr>
              <w:t>2,29 %</w:t>
            </w:r>
          </w:p>
        </w:tc>
        <w:tc>
          <w:tcPr>
            <w:tcW w:w="2506" w:type="dxa"/>
            <w:tcBorders>
              <w:top w:val="single" w:sz="4" w:space="0" w:color="auto"/>
              <w:bottom w:val="single" w:sz="4" w:space="0" w:color="auto"/>
              <w:right w:val="single" w:sz="4" w:space="0" w:color="auto"/>
            </w:tcBorders>
            <w:vAlign w:val="center"/>
            <w:hideMark/>
          </w:tcPr>
          <w:p w14:paraId="41112966" w14:textId="77777777" w:rsidR="001B4BFA" w:rsidRPr="005F7C86" w:rsidRDefault="00730A01" w:rsidP="00BD1A64">
            <w:pPr>
              <w:jc w:val="right"/>
              <w:rPr>
                <w:rFonts w:cs="Arial"/>
                <w:sz w:val="20"/>
                <w:lang w:eastAsia="fr-CA"/>
              </w:rPr>
            </w:pPr>
            <w:r w:rsidRPr="005F7C86">
              <w:rPr>
                <w:rFonts w:cs="Arial"/>
                <w:sz w:val="20"/>
                <w:lang w:eastAsia="fr-CA"/>
              </w:rPr>
              <w:t>1 673 941 $</w:t>
            </w:r>
          </w:p>
        </w:tc>
      </w:tr>
      <w:tr w:rsidR="00FE3D17" w14:paraId="53A2C405" w14:textId="77777777" w:rsidTr="00BD1A64">
        <w:trPr>
          <w:tblCellSpacing w:w="15" w:type="dxa"/>
        </w:trPr>
        <w:tc>
          <w:tcPr>
            <w:tcW w:w="4031" w:type="dxa"/>
            <w:tcBorders>
              <w:left w:val="single" w:sz="4" w:space="0" w:color="auto"/>
            </w:tcBorders>
            <w:vAlign w:val="center"/>
            <w:hideMark/>
          </w:tcPr>
          <w:p w14:paraId="7B9BDD91" w14:textId="77777777" w:rsidR="001B4BFA" w:rsidRPr="005F7C86" w:rsidRDefault="00730A01" w:rsidP="00BD1A64">
            <w:pPr>
              <w:rPr>
                <w:rFonts w:cs="Arial"/>
                <w:sz w:val="20"/>
                <w:lang w:eastAsia="fr-CA"/>
              </w:rPr>
            </w:pPr>
            <w:r w:rsidRPr="005F7C86">
              <w:rPr>
                <w:rFonts w:cs="Arial"/>
                <w:sz w:val="20"/>
                <w:lang w:eastAsia="fr-CA"/>
              </w:rPr>
              <w:t>Gestion Jayvan inc.</w:t>
            </w:r>
          </w:p>
        </w:tc>
        <w:tc>
          <w:tcPr>
            <w:tcW w:w="1671" w:type="dxa"/>
            <w:tcBorders>
              <w:left w:val="single" w:sz="4" w:space="0" w:color="auto"/>
              <w:right w:val="single" w:sz="4" w:space="0" w:color="auto"/>
            </w:tcBorders>
            <w:vAlign w:val="center"/>
            <w:hideMark/>
          </w:tcPr>
          <w:p w14:paraId="258FEEE6" w14:textId="77777777" w:rsidR="001B4BFA" w:rsidRPr="005F7C86" w:rsidRDefault="00730A01" w:rsidP="00DA6995">
            <w:pPr>
              <w:jc w:val="right"/>
              <w:rPr>
                <w:rFonts w:cs="Arial"/>
                <w:sz w:val="20"/>
                <w:lang w:eastAsia="fr-CA"/>
              </w:rPr>
            </w:pPr>
            <w:r w:rsidRPr="005F7C86">
              <w:rPr>
                <w:rFonts w:cs="Arial"/>
                <w:sz w:val="20"/>
                <w:lang w:eastAsia="fr-CA"/>
              </w:rPr>
              <w:t>1,55 %</w:t>
            </w:r>
          </w:p>
        </w:tc>
        <w:tc>
          <w:tcPr>
            <w:tcW w:w="2506" w:type="dxa"/>
            <w:tcBorders>
              <w:right w:val="single" w:sz="4" w:space="0" w:color="auto"/>
            </w:tcBorders>
            <w:vAlign w:val="center"/>
            <w:hideMark/>
          </w:tcPr>
          <w:p w14:paraId="1DCCC4B3" w14:textId="77777777" w:rsidR="001B4BFA" w:rsidRPr="005F7C86" w:rsidRDefault="00730A01" w:rsidP="00BD1A64">
            <w:pPr>
              <w:jc w:val="right"/>
              <w:rPr>
                <w:rFonts w:cs="Arial"/>
                <w:sz w:val="20"/>
                <w:lang w:eastAsia="fr-CA"/>
              </w:rPr>
            </w:pPr>
            <w:r w:rsidRPr="005F7C86">
              <w:rPr>
                <w:rFonts w:cs="Arial"/>
                <w:sz w:val="20"/>
                <w:lang w:eastAsia="fr-CA"/>
              </w:rPr>
              <w:t>1 130 627 $</w:t>
            </w:r>
          </w:p>
        </w:tc>
      </w:tr>
      <w:tr w:rsidR="00FE3D17" w14:paraId="53A350E0" w14:textId="77777777" w:rsidTr="00BD1A64">
        <w:trPr>
          <w:tblCellSpacing w:w="15" w:type="dxa"/>
        </w:trPr>
        <w:tc>
          <w:tcPr>
            <w:tcW w:w="4031" w:type="dxa"/>
            <w:tcBorders>
              <w:top w:val="single" w:sz="4" w:space="0" w:color="auto"/>
              <w:left w:val="single" w:sz="4" w:space="0" w:color="auto"/>
              <w:bottom w:val="single" w:sz="4" w:space="0" w:color="auto"/>
            </w:tcBorders>
            <w:vAlign w:val="center"/>
            <w:hideMark/>
          </w:tcPr>
          <w:p w14:paraId="2646C81D" w14:textId="77777777" w:rsidR="001B4BFA" w:rsidRPr="005F7C86" w:rsidRDefault="00730A01" w:rsidP="00BD1A64">
            <w:pPr>
              <w:rPr>
                <w:rFonts w:cs="Arial"/>
                <w:sz w:val="20"/>
                <w:lang w:eastAsia="fr-CA"/>
              </w:rPr>
            </w:pPr>
            <w:r w:rsidRPr="005F7C86">
              <w:rPr>
                <w:rFonts w:cs="Arial"/>
                <w:sz w:val="20"/>
                <w:lang w:eastAsia="fr-CA"/>
              </w:rPr>
              <w:t>Immeubles A&amp;R Perron inc.</w:t>
            </w:r>
          </w:p>
        </w:tc>
        <w:tc>
          <w:tcPr>
            <w:tcW w:w="1671" w:type="dxa"/>
            <w:tcBorders>
              <w:top w:val="single" w:sz="4" w:space="0" w:color="auto"/>
              <w:left w:val="single" w:sz="4" w:space="0" w:color="auto"/>
              <w:bottom w:val="single" w:sz="4" w:space="0" w:color="auto"/>
              <w:right w:val="single" w:sz="4" w:space="0" w:color="auto"/>
            </w:tcBorders>
            <w:vAlign w:val="center"/>
            <w:hideMark/>
          </w:tcPr>
          <w:p w14:paraId="0477C147" w14:textId="77777777" w:rsidR="001B4BFA" w:rsidRPr="005F7C86" w:rsidRDefault="00730A01" w:rsidP="00DA6995">
            <w:pPr>
              <w:jc w:val="right"/>
              <w:rPr>
                <w:rFonts w:cs="Arial"/>
                <w:sz w:val="20"/>
                <w:lang w:eastAsia="fr-CA"/>
              </w:rPr>
            </w:pPr>
            <w:r w:rsidRPr="005F7C86">
              <w:rPr>
                <w:rFonts w:cs="Arial"/>
                <w:sz w:val="20"/>
                <w:lang w:eastAsia="fr-CA"/>
              </w:rPr>
              <w:t>7,24 %</w:t>
            </w:r>
          </w:p>
        </w:tc>
        <w:tc>
          <w:tcPr>
            <w:tcW w:w="2506" w:type="dxa"/>
            <w:tcBorders>
              <w:top w:val="single" w:sz="4" w:space="0" w:color="auto"/>
              <w:bottom w:val="single" w:sz="4" w:space="0" w:color="auto"/>
              <w:right w:val="single" w:sz="4" w:space="0" w:color="auto"/>
            </w:tcBorders>
            <w:vAlign w:val="center"/>
            <w:hideMark/>
          </w:tcPr>
          <w:p w14:paraId="013E71E0" w14:textId="77777777" w:rsidR="001B4BFA" w:rsidRPr="005F7C86" w:rsidRDefault="00730A01" w:rsidP="00BD1A64">
            <w:pPr>
              <w:jc w:val="right"/>
              <w:rPr>
                <w:rFonts w:cs="Arial"/>
                <w:sz w:val="20"/>
                <w:lang w:eastAsia="fr-CA"/>
              </w:rPr>
            </w:pPr>
            <w:r w:rsidRPr="005F7C86">
              <w:rPr>
                <w:rFonts w:cs="Arial"/>
                <w:sz w:val="20"/>
                <w:lang w:eastAsia="fr-CA"/>
              </w:rPr>
              <w:t>5 288 683 $</w:t>
            </w:r>
          </w:p>
        </w:tc>
      </w:tr>
      <w:tr w:rsidR="00FE3D17" w14:paraId="48C33126" w14:textId="77777777" w:rsidTr="00BD1A64">
        <w:trPr>
          <w:tblCellSpacing w:w="15" w:type="dxa"/>
        </w:trPr>
        <w:tc>
          <w:tcPr>
            <w:tcW w:w="4031" w:type="dxa"/>
            <w:tcBorders>
              <w:left w:val="single" w:sz="4" w:space="0" w:color="auto"/>
            </w:tcBorders>
            <w:vAlign w:val="center"/>
            <w:hideMark/>
          </w:tcPr>
          <w:p w14:paraId="3B628B8D" w14:textId="77777777" w:rsidR="001B4BFA" w:rsidRPr="005F7C86" w:rsidRDefault="00730A01" w:rsidP="00BD1A64">
            <w:pPr>
              <w:rPr>
                <w:rFonts w:cs="Arial"/>
                <w:sz w:val="20"/>
                <w:lang w:eastAsia="fr-CA"/>
              </w:rPr>
            </w:pPr>
            <w:r w:rsidRPr="005F7C86">
              <w:rPr>
                <w:rFonts w:cs="Arial"/>
                <w:sz w:val="20"/>
                <w:lang w:eastAsia="fr-CA"/>
              </w:rPr>
              <w:t xml:space="preserve">Gestion Immobilière Robert Robitaille inc. </w:t>
            </w:r>
          </w:p>
        </w:tc>
        <w:tc>
          <w:tcPr>
            <w:tcW w:w="1671" w:type="dxa"/>
            <w:tcBorders>
              <w:left w:val="single" w:sz="4" w:space="0" w:color="auto"/>
              <w:right w:val="single" w:sz="4" w:space="0" w:color="auto"/>
            </w:tcBorders>
            <w:vAlign w:val="center"/>
            <w:hideMark/>
          </w:tcPr>
          <w:p w14:paraId="4E906DEC" w14:textId="77777777" w:rsidR="001B4BFA" w:rsidRPr="005F7C86" w:rsidRDefault="00730A01" w:rsidP="00DA6995">
            <w:pPr>
              <w:jc w:val="right"/>
              <w:rPr>
                <w:rFonts w:cs="Arial"/>
                <w:sz w:val="20"/>
                <w:lang w:eastAsia="fr-CA"/>
              </w:rPr>
            </w:pPr>
            <w:r w:rsidRPr="005F7C86">
              <w:rPr>
                <w:rFonts w:cs="Arial"/>
                <w:sz w:val="20"/>
                <w:lang w:eastAsia="fr-CA"/>
              </w:rPr>
              <w:t>1,76 %</w:t>
            </w:r>
          </w:p>
        </w:tc>
        <w:tc>
          <w:tcPr>
            <w:tcW w:w="2506" w:type="dxa"/>
            <w:tcBorders>
              <w:right w:val="single" w:sz="4" w:space="0" w:color="auto"/>
            </w:tcBorders>
            <w:vAlign w:val="center"/>
            <w:hideMark/>
          </w:tcPr>
          <w:p w14:paraId="15D5DE70" w14:textId="77777777" w:rsidR="001B4BFA" w:rsidRPr="005F7C86" w:rsidRDefault="00730A01" w:rsidP="00BD1A64">
            <w:pPr>
              <w:jc w:val="right"/>
              <w:rPr>
                <w:rFonts w:cs="Arial"/>
                <w:sz w:val="20"/>
                <w:lang w:eastAsia="fr-CA"/>
              </w:rPr>
            </w:pPr>
            <w:r w:rsidRPr="005F7C86">
              <w:rPr>
                <w:rFonts w:cs="Arial"/>
                <w:sz w:val="20"/>
                <w:lang w:eastAsia="fr-CA"/>
              </w:rPr>
              <w:t>1 283 806 $</w:t>
            </w:r>
          </w:p>
        </w:tc>
      </w:tr>
      <w:tr w:rsidR="00FE3D17" w14:paraId="024A71DE" w14:textId="77777777" w:rsidTr="00BD1A64">
        <w:trPr>
          <w:tblCellSpacing w:w="15" w:type="dxa"/>
        </w:trPr>
        <w:tc>
          <w:tcPr>
            <w:tcW w:w="4031" w:type="dxa"/>
            <w:tcBorders>
              <w:top w:val="single" w:sz="4" w:space="0" w:color="auto"/>
              <w:left w:val="single" w:sz="4" w:space="0" w:color="auto"/>
            </w:tcBorders>
            <w:vAlign w:val="center"/>
            <w:hideMark/>
          </w:tcPr>
          <w:p w14:paraId="03415D12" w14:textId="77777777" w:rsidR="001B4BFA" w:rsidRPr="005F7C86" w:rsidRDefault="00730A01" w:rsidP="00BD1A64">
            <w:pPr>
              <w:rPr>
                <w:rFonts w:cs="Arial"/>
                <w:sz w:val="20"/>
                <w:lang w:eastAsia="fr-CA"/>
              </w:rPr>
            </w:pPr>
            <w:r w:rsidRPr="005F7C86">
              <w:rPr>
                <w:rFonts w:cs="Arial"/>
                <w:sz w:val="20"/>
                <w:lang w:eastAsia="fr-CA"/>
              </w:rPr>
              <w:t>9221-5029 Québec inc.</w:t>
            </w:r>
          </w:p>
        </w:tc>
        <w:tc>
          <w:tcPr>
            <w:tcW w:w="1671" w:type="dxa"/>
            <w:tcBorders>
              <w:top w:val="single" w:sz="4" w:space="0" w:color="auto"/>
              <w:left w:val="single" w:sz="4" w:space="0" w:color="auto"/>
              <w:right w:val="single" w:sz="4" w:space="0" w:color="auto"/>
            </w:tcBorders>
            <w:vAlign w:val="center"/>
            <w:hideMark/>
          </w:tcPr>
          <w:p w14:paraId="7D9C1BFB" w14:textId="77777777" w:rsidR="001B4BFA" w:rsidRPr="005F7C86" w:rsidRDefault="00730A01" w:rsidP="00DA6995">
            <w:pPr>
              <w:jc w:val="right"/>
              <w:rPr>
                <w:rFonts w:cs="Arial"/>
                <w:sz w:val="20"/>
                <w:lang w:eastAsia="fr-CA"/>
              </w:rPr>
            </w:pPr>
            <w:r w:rsidRPr="005F7C86">
              <w:rPr>
                <w:rFonts w:cs="Arial"/>
                <w:sz w:val="20"/>
                <w:lang w:eastAsia="fr-CA"/>
              </w:rPr>
              <w:t>0,52 %</w:t>
            </w:r>
          </w:p>
        </w:tc>
        <w:tc>
          <w:tcPr>
            <w:tcW w:w="2506" w:type="dxa"/>
            <w:tcBorders>
              <w:top w:val="single" w:sz="4" w:space="0" w:color="auto"/>
              <w:right w:val="single" w:sz="4" w:space="0" w:color="auto"/>
            </w:tcBorders>
            <w:vAlign w:val="center"/>
            <w:hideMark/>
          </w:tcPr>
          <w:p w14:paraId="68EA5EF9" w14:textId="77777777" w:rsidR="001B4BFA" w:rsidRPr="005F7C86" w:rsidRDefault="00730A01" w:rsidP="00BD1A64">
            <w:pPr>
              <w:jc w:val="right"/>
              <w:rPr>
                <w:rFonts w:cs="Arial"/>
                <w:sz w:val="20"/>
                <w:lang w:eastAsia="fr-CA"/>
              </w:rPr>
            </w:pPr>
            <w:r w:rsidRPr="005F7C86">
              <w:rPr>
                <w:rFonts w:cs="Arial"/>
                <w:sz w:val="20"/>
                <w:lang w:eastAsia="fr-CA"/>
              </w:rPr>
              <w:t>378 005 $</w:t>
            </w:r>
          </w:p>
        </w:tc>
      </w:tr>
      <w:tr w:rsidR="00FE3D17" w14:paraId="51B9CE5A" w14:textId="77777777" w:rsidTr="00BD1A64">
        <w:trPr>
          <w:tblCellSpacing w:w="15" w:type="dxa"/>
        </w:trPr>
        <w:tc>
          <w:tcPr>
            <w:tcW w:w="4031" w:type="dxa"/>
            <w:tcBorders>
              <w:top w:val="single" w:sz="4" w:space="0" w:color="auto"/>
              <w:left w:val="single" w:sz="4" w:space="0" w:color="auto"/>
            </w:tcBorders>
            <w:vAlign w:val="center"/>
            <w:hideMark/>
          </w:tcPr>
          <w:p w14:paraId="7CFF0B57" w14:textId="77777777" w:rsidR="001B4BFA" w:rsidRPr="005F7C86" w:rsidRDefault="00730A01" w:rsidP="00BD1A64">
            <w:pPr>
              <w:rPr>
                <w:rFonts w:cs="Arial"/>
                <w:sz w:val="20"/>
                <w:lang w:eastAsia="fr-CA"/>
              </w:rPr>
            </w:pPr>
            <w:r w:rsidRPr="005F7C86">
              <w:rPr>
                <w:rFonts w:cs="Arial"/>
                <w:sz w:val="20"/>
                <w:lang w:eastAsia="fr-CA"/>
              </w:rPr>
              <w:t>9136-6245 Québec inc.</w:t>
            </w:r>
          </w:p>
        </w:tc>
        <w:tc>
          <w:tcPr>
            <w:tcW w:w="1671" w:type="dxa"/>
            <w:tcBorders>
              <w:top w:val="single" w:sz="4" w:space="0" w:color="auto"/>
              <w:left w:val="single" w:sz="4" w:space="0" w:color="auto"/>
              <w:right w:val="single" w:sz="4" w:space="0" w:color="auto"/>
            </w:tcBorders>
            <w:vAlign w:val="center"/>
            <w:hideMark/>
          </w:tcPr>
          <w:p w14:paraId="5F630390" w14:textId="77777777" w:rsidR="001B4BFA" w:rsidRPr="005F7C86" w:rsidRDefault="00730A01" w:rsidP="00DA6995">
            <w:pPr>
              <w:jc w:val="right"/>
              <w:rPr>
                <w:rFonts w:cs="Arial"/>
                <w:sz w:val="20"/>
                <w:lang w:eastAsia="fr-CA"/>
              </w:rPr>
            </w:pPr>
            <w:r w:rsidRPr="005F7C86">
              <w:rPr>
                <w:rFonts w:cs="Arial"/>
                <w:sz w:val="20"/>
                <w:lang w:eastAsia="fr-CA"/>
              </w:rPr>
              <w:t>2,89 %</w:t>
            </w:r>
          </w:p>
        </w:tc>
        <w:tc>
          <w:tcPr>
            <w:tcW w:w="2506" w:type="dxa"/>
            <w:tcBorders>
              <w:top w:val="single" w:sz="4" w:space="0" w:color="auto"/>
              <w:right w:val="single" w:sz="4" w:space="0" w:color="auto"/>
            </w:tcBorders>
            <w:vAlign w:val="center"/>
            <w:hideMark/>
          </w:tcPr>
          <w:p w14:paraId="748C9EED" w14:textId="77777777" w:rsidR="001B4BFA" w:rsidRPr="005F7C86" w:rsidRDefault="00730A01" w:rsidP="00BD1A64">
            <w:pPr>
              <w:jc w:val="right"/>
              <w:rPr>
                <w:rFonts w:cs="Arial"/>
                <w:sz w:val="20"/>
                <w:lang w:eastAsia="fr-CA"/>
              </w:rPr>
            </w:pPr>
            <w:r w:rsidRPr="005F7C86">
              <w:rPr>
                <w:rFonts w:cs="Arial"/>
                <w:sz w:val="20"/>
                <w:lang w:eastAsia="fr-CA"/>
              </w:rPr>
              <w:t>2 113 726 $</w:t>
            </w:r>
          </w:p>
        </w:tc>
      </w:tr>
      <w:tr w:rsidR="00FE3D17" w14:paraId="2CC06655" w14:textId="77777777" w:rsidTr="00BD1A64">
        <w:trPr>
          <w:trHeight w:val="567"/>
          <w:tblCellSpacing w:w="15" w:type="dxa"/>
        </w:trPr>
        <w:tc>
          <w:tcPr>
            <w:tcW w:w="4031" w:type="dxa"/>
            <w:tcBorders>
              <w:top w:val="single" w:sz="4" w:space="0" w:color="auto"/>
              <w:left w:val="single" w:sz="4" w:space="0" w:color="auto"/>
              <w:bottom w:val="single" w:sz="4" w:space="0" w:color="auto"/>
            </w:tcBorders>
            <w:vAlign w:val="center"/>
            <w:hideMark/>
          </w:tcPr>
          <w:p w14:paraId="602E2E08" w14:textId="77777777" w:rsidR="001B4BFA" w:rsidRPr="005F7C86" w:rsidRDefault="00730A01" w:rsidP="00BD1A64">
            <w:pPr>
              <w:rPr>
                <w:rFonts w:cs="Arial"/>
                <w:sz w:val="20"/>
                <w:lang w:eastAsia="fr-CA"/>
              </w:rPr>
            </w:pPr>
            <w:r w:rsidRPr="005F7C86">
              <w:rPr>
                <w:rFonts w:cs="Arial"/>
                <w:b/>
                <w:bCs/>
                <w:sz w:val="20"/>
                <w:lang w:eastAsia="fr-CA"/>
              </w:rPr>
              <w:t>Total (Demandeurs/commanditaires)</w:t>
            </w:r>
          </w:p>
        </w:tc>
        <w:tc>
          <w:tcPr>
            <w:tcW w:w="1671" w:type="dxa"/>
            <w:tcBorders>
              <w:top w:val="single" w:sz="4" w:space="0" w:color="auto"/>
              <w:left w:val="single" w:sz="4" w:space="0" w:color="auto"/>
              <w:bottom w:val="single" w:sz="4" w:space="0" w:color="auto"/>
              <w:right w:val="single" w:sz="4" w:space="0" w:color="auto"/>
            </w:tcBorders>
            <w:vAlign w:val="center"/>
            <w:hideMark/>
          </w:tcPr>
          <w:p w14:paraId="66A8D2DA" w14:textId="77777777" w:rsidR="001B4BFA" w:rsidRPr="005F7C86" w:rsidRDefault="00730A01" w:rsidP="00DA6995">
            <w:pPr>
              <w:jc w:val="right"/>
              <w:rPr>
                <w:rFonts w:cs="Arial"/>
                <w:sz w:val="20"/>
                <w:lang w:eastAsia="fr-CA"/>
              </w:rPr>
            </w:pPr>
            <w:r w:rsidRPr="005F7C86">
              <w:rPr>
                <w:rFonts w:cs="Arial"/>
                <w:b/>
                <w:bCs/>
                <w:sz w:val="20"/>
                <w:lang w:eastAsia="fr-CA"/>
              </w:rPr>
              <w:t>79,77 %</w:t>
            </w:r>
          </w:p>
        </w:tc>
        <w:tc>
          <w:tcPr>
            <w:tcW w:w="2506" w:type="dxa"/>
            <w:tcBorders>
              <w:top w:val="single" w:sz="4" w:space="0" w:color="auto"/>
              <w:bottom w:val="single" w:sz="4" w:space="0" w:color="auto"/>
              <w:right w:val="single" w:sz="4" w:space="0" w:color="auto"/>
            </w:tcBorders>
            <w:vAlign w:val="center"/>
            <w:hideMark/>
          </w:tcPr>
          <w:p w14:paraId="75ADEF40" w14:textId="77777777" w:rsidR="001B4BFA" w:rsidRPr="005F7C86" w:rsidRDefault="00730A01" w:rsidP="00BD1A64">
            <w:pPr>
              <w:jc w:val="right"/>
              <w:rPr>
                <w:rFonts w:cs="Arial"/>
                <w:sz w:val="20"/>
                <w:lang w:eastAsia="fr-CA"/>
              </w:rPr>
            </w:pPr>
            <w:r w:rsidRPr="005F7C86">
              <w:rPr>
                <w:rFonts w:cs="Arial"/>
                <w:b/>
                <w:bCs/>
                <w:sz w:val="20"/>
                <w:lang w:eastAsia="fr-CA"/>
              </w:rPr>
              <w:t>58 250 611 $</w:t>
            </w:r>
          </w:p>
        </w:tc>
      </w:tr>
      <w:tr w:rsidR="00FE3D17" w14:paraId="10375DDA" w14:textId="77777777" w:rsidTr="00BD1A64">
        <w:trPr>
          <w:trHeight w:val="187"/>
          <w:tblCellSpacing w:w="15" w:type="dxa"/>
        </w:trPr>
        <w:tc>
          <w:tcPr>
            <w:tcW w:w="4031" w:type="dxa"/>
            <w:tcBorders>
              <w:top w:val="single" w:sz="4" w:space="0" w:color="auto"/>
              <w:left w:val="single" w:sz="4" w:space="0" w:color="auto"/>
              <w:bottom w:val="single" w:sz="4" w:space="0" w:color="auto"/>
            </w:tcBorders>
            <w:vAlign w:val="center"/>
          </w:tcPr>
          <w:p w14:paraId="6C229CEC" w14:textId="77777777" w:rsidR="001B4BFA" w:rsidRPr="00886E5D" w:rsidRDefault="00730A01" w:rsidP="00BD1A64">
            <w:pPr>
              <w:rPr>
                <w:rFonts w:cs="Arial"/>
                <w:sz w:val="20"/>
                <w:lang w:val="en-CA" w:eastAsia="fr-CA"/>
              </w:rPr>
            </w:pPr>
            <w:r w:rsidRPr="00886E5D">
              <w:rPr>
                <w:rFonts w:cs="Arial"/>
                <w:sz w:val="20"/>
                <w:lang w:val="en-CA" w:eastAsia="fr-CA"/>
              </w:rPr>
              <w:t>Reliquat</w:t>
            </w:r>
            <w:r w:rsidR="00886E5D" w:rsidRPr="00886E5D">
              <w:rPr>
                <w:rFonts w:cs="Arial"/>
                <w:sz w:val="20"/>
                <w:lang w:val="en-CA" w:eastAsia="fr-CA"/>
              </w:rPr>
              <w:t xml:space="preserve"> (FIISH s.e.c</w:t>
            </w:r>
            <w:r w:rsidR="00886E5D">
              <w:rPr>
                <w:rFonts w:cs="Arial"/>
                <w:sz w:val="20"/>
                <w:lang w:val="en-CA" w:eastAsia="fr-CA"/>
              </w:rPr>
              <w:t>.)</w:t>
            </w:r>
          </w:p>
        </w:tc>
        <w:tc>
          <w:tcPr>
            <w:tcW w:w="1671" w:type="dxa"/>
            <w:tcBorders>
              <w:top w:val="single" w:sz="4" w:space="0" w:color="auto"/>
              <w:left w:val="single" w:sz="4" w:space="0" w:color="auto"/>
              <w:bottom w:val="single" w:sz="4" w:space="0" w:color="auto"/>
              <w:right w:val="single" w:sz="4" w:space="0" w:color="auto"/>
            </w:tcBorders>
            <w:vAlign w:val="center"/>
          </w:tcPr>
          <w:p w14:paraId="06EB05F8" w14:textId="77777777" w:rsidR="001B4BFA" w:rsidRPr="008D39BC" w:rsidRDefault="00730A01" w:rsidP="00DA6995">
            <w:pPr>
              <w:jc w:val="right"/>
              <w:rPr>
                <w:rFonts w:cs="Arial"/>
                <w:sz w:val="20"/>
                <w:lang w:eastAsia="fr-CA"/>
              </w:rPr>
            </w:pPr>
            <w:r w:rsidRPr="008D39BC">
              <w:rPr>
                <w:rFonts w:cs="Arial"/>
                <w:sz w:val="20"/>
                <w:lang w:eastAsia="fr-CA"/>
              </w:rPr>
              <w:t>20,23 %</w:t>
            </w:r>
          </w:p>
        </w:tc>
        <w:tc>
          <w:tcPr>
            <w:tcW w:w="2506" w:type="dxa"/>
            <w:tcBorders>
              <w:top w:val="single" w:sz="4" w:space="0" w:color="auto"/>
              <w:bottom w:val="single" w:sz="4" w:space="0" w:color="auto"/>
              <w:right w:val="single" w:sz="4" w:space="0" w:color="auto"/>
            </w:tcBorders>
            <w:vAlign w:val="center"/>
          </w:tcPr>
          <w:p w14:paraId="0150B4DE" w14:textId="77777777" w:rsidR="001B4BFA" w:rsidRPr="008D39BC" w:rsidRDefault="00730A01" w:rsidP="00BD1A64">
            <w:pPr>
              <w:jc w:val="right"/>
              <w:rPr>
                <w:rFonts w:cs="Arial"/>
                <w:sz w:val="20"/>
                <w:lang w:eastAsia="fr-CA"/>
              </w:rPr>
            </w:pPr>
            <w:r w:rsidRPr="008D39BC">
              <w:rPr>
                <w:rFonts w:cs="Arial"/>
                <w:sz w:val="20"/>
                <w:lang w:eastAsia="fr-CA"/>
              </w:rPr>
              <w:t>14 773 508 $</w:t>
            </w:r>
          </w:p>
        </w:tc>
      </w:tr>
      <w:tr w:rsidR="00FE3D17" w14:paraId="6F41CC97" w14:textId="77777777" w:rsidTr="00BD1A64">
        <w:trPr>
          <w:trHeight w:val="567"/>
          <w:tblCellSpacing w:w="15" w:type="dxa"/>
        </w:trPr>
        <w:tc>
          <w:tcPr>
            <w:tcW w:w="4031" w:type="dxa"/>
            <w:tcBorders>
              <w:top w:val="single" w:sz="4" w:space="0" w:color="auto"/>
              <w:left w:val="single" w:sz="4" w:space="0" w:color="auto"/>
              <w:bottom w:val="single" w:sz="4" w:space="0" w:color="auto"/>
            </w:tcBorders>
            <w:vAlign w:val="center"/>
          </w:tcPr>
          <w:p w14:paraId="37182653" w14:textId="77777777" w:rsidR="001B4BFA" w:rsidRPr="008D39BC" w:rsidRDefault="00730A01" w:rsidP="00BD1A64">
            <w:pPr>
              <w:rPr>
                <w:rFonts w:cs="Arial"/>
                <w:b/>
                <w:bCs/>
                <w:sz w:val="20"/>
                <w:lang w:eastAsia="fr-CA"/>
              </w:rPr>
            </w:pPr>
            <w:r>
              <w:rPr>
                <w:rFonts w:cs="Arial"/>
                <w:b/>
                <w:bCs/>
                <w:sz w:val="20"/>
                <w:lang w:eastAsia="fr-CA"/>
              </w:rPr>
              <w:t>Total</w:t>
            </w:r>
          </w:p>
        </w:tc>
        <w:tc>
          <w:tcPr>
            <w:tcW w:w="1671" w:type="dxa"/>
            <w:tcBorders>
              <w:top w:val="single" w:sz="4" w:space="0" w:color="auto"/>
              <w:left w:val="single" w:sz="4" w:space="0" w:color="auto"/>
              <w:bottom w:val="single" w:sz="4" w:space="0" w:color="auto"/>
              <w:right w:val="single" w:sz="4" w:space="0" w:color="auto"/>
            </w:tcBorders>
            <w:vAlign w:val="center"/>
          </w:tcPr>
          <w:p w14:paraId="348310FD" w14:textId="77777777" w:rsidR="001B4BFA" w:rsidRDefault="00730A01" w:rsidP="00DA6995">
            <w:pPr>
              <w:jc w:val="right"/>
              <w:rPr>
                <w:rFonts w:cs="Arial"/>
                <w:b/>
                <w:bCs/>
                <w:sz w:val="20"/>
                <w:lang w:eastAsia="fr-CA"/>
              </w:rPr>
            </w:pPr>
            <w:r>
              <w:rPr>
                <w:rFonts w:cs="Arial"/>
                <w:b/>
                <w:bCs/>
                <w:sz w:val="20"/>
                <w:lang w:eastAsia="fr-CA"/>
              </w:rPr>
              <w:t>100,00 %</w:t>
            </w:r>
          </w:p>
        </w:tc>
        <w:tc>
          <w:tcPr>
            <w:tcW w:w="2506" w:type="dxa"/>
            <w:tcBorders>
              <w:top w:val="single" w:sz="4" w:space="0" w:color="auto"/>
              <w:bottom w:val="single" w:sz="4" w:space="0" w:color="auto"/>
              <w:right w:val="single" w:sz="4" w:space="0" w:color="auto"/>
            </w:tcBorders>
            <w:vAlign w:val="center"/>
          </w:tcPr>
          <w:p w14:paraId="232F7900" w14:textId="77777777" w:rsidR="001B4BFA" w:rsidRPr="00BA3F74" w:rsidRDefault="00730A01" w:rsidP="00886E5D">
            <w:pPr>
              <w:rPr>
                <w:rFonts w:cs="Arial"/>
                <w:b/>
                <w:bCs/>
                <w:sz w:val="20"/>
                <w:lang w:eastAsia="fr-CA"/>
              </w:rPr>
            </w:pPr>
            <w:r>
              <w:rPr>
                <w:rFonts w:cs="Arial"/>
                <w:sz w:val="20"/>
                <w:lang w:eastAsia="fr-CA"/>
              </w:rPr>
              <w:t xml:space="preserve">                       </w:t>
            </w:r>
            <w:r w:rsidRPr="00BA3F74">
              <w:rPr>
                <w:rFonts w:cs="Arial"/>
                <w:b/>
                <w:bCs/>
                <w:sz w:val="20"/>
                <w:lang w:eastAsia="fr-CA"/>
              </w:rPr>
              <w:t>73 024 119</w:t>
            </w:r>
            <w:r w:rsidR="00886E5D" w:rsidRPr="00BA3F74">
              <w:rPr>
                <w:rFonts w:cs="Arial"/>
                <w:b/>
                <w:bCs/>
                <w:sz w:val="20"/>
                <w:lang w:eastAsia="fr-CA"/>
              </w:rPr>
              <w:t xml:space="preserve"> $</w:t>
            </w:r>
          </w:p>
        </w:tc>
      </w:tr>
    </w:tbl>
    <w:p w14:paraId="4A52A3A8" w14:textId="77777777" w:rsidR="001B4BFA" w:rsidRDefault="001B4BFA" w:rsidP="009D4AD5">
      <w:pPr>
        <w:pStyle w:val="Default"/>
        <w:rPr>
          <w:sz w:val="23"/>
          <w:szCs w:val="23"/>
        </w:rPr>
      </w:pPr>
    </w:p>
    <w:p w14:paraId="5F5D45F6" w14:textId="77777777" w:rsidR="00886E5D" w:rsidRDefault="00730A01" w:rsidP="00886E5D">
      <w:pPr>
        <w:pStyle w:val="Paragraphe"/>
        <w:numPr>
          <w:ilvl w:val="0"/>
          <w:numId w:val="1"/>
        </w:numPr>
        <w:tabs>
          <w:tab w:val="clear" w:pos="786"/>
        </w:tabs>
        <w:spacing w:line="240" w:lineRule="auto"/>
        <w:ind w:left="0"/>
        <w:rPr>
          <w:sz w:val="23"/>
          <w:szCs w:val="23"/>
        </w:rPr>
      </w:pPr>
      <w:r w:rsidRPr="001B4BFA">
        <w:rPr>
          <w:b/>
          <w:bCs/>
        </w:rPr>
        <w:t xml:space="preserve">DÉCLARE </w:t>
      </w:r>
      <w:r>
        <w:t xml:space="preserve">que, tant la société en commandite Q-12 Capital, s.e.c., agissant et représentée par son commandité 9489-3385 Québec inc. que les demandeurs commanditaires ont l’intérêt juridique suffisant afin de réclamer aux Défendeurs Robert Giroux, 9355-9797 Québec inc., 9180-6646 Québec inc. et X2 Capital inc. les dommages réclamés en l’instance; </w:t>
      </w:r>
    </w:p>
    <w:p w14:paraId="1851D7B8" w14:textId="77777777" w:rsidR="00EF0BC6" w:rsidRPr="00886E5D" w:rsidRDefault="00730A01" w:rsidP="00886E5D">
      <w:pPr>
        <w:pStyle w:val="Paragraphe"/>
        <w:numPr>
          <w:ilvl w:val="0"/>
          <w:numId w:val="1"/>
        </w:numPr>
        <w:tabs>
          <w:tab w:val="clear" w:pos="786"/>
        </w:tabs>
        <w:spacing w:line="240" w:lineRule="auto"/>
        <w:ind w:left="0"/>
        <w:rPr>
          <w:sz w:val="23"/>
          <w:szCs w:val="23"/>
        </w:rPr>
      </w:pPr>
      <w:r w:rsidRPr="00886E5D">
        <w:rPr>
          <w:b/>
          <w:bCs/>
        </w:rPr>
        <w:t xml:space="preserve">CONDAMNE </w:t>
      </w:r>
      <w:r w:rsidRPr="00886E5D">
        <w:rPr>
          <w:i/>
          <w:iCs/>
        </w:rPr>
        <w:t xml:space="preserve">in solidum </w:t>
      </w:r>
      <w:r>
        <w:t>les Défendeurs Robert Giroux, 9355-9797 Québec inc., 9180-6646 Québec inc. et X2 Capital inc. à payer aux Demandeurs la somme de 55</w:t>
      </w:r>
      <w:r w:rsidR="00254282">
        <w:t> </w:t>
      </w:r>
      <w:r>
        <w:t>553</w:t>
      </w:r>
      <w:r w:rsidR="00254282">
        <w:t> </w:t>
      </w:r>
      <w:r>
        <w:t>375</w:t>
      </w:r>
      <w:r w:rsidR="00254282">
        <w:t> </w:t>
      </w:r>
      <w:r>
        <w:t xml:space="preserve">$, plus </w:t>
      </w:r>
      <w:r w:rsidR="00886C45">
        <w:t>les intérêts au taux de 12 % l’an</w:t>
      </w:r>
      <w:r>
        <w:t xml:space="preserve"> à compter </w:t>
      </w:r>
      <w:r w:rsidR="00886C45">
        <w:t>du 29 juin 2023, date</w:t>
      </w:r>
      <w:r>
        <w:t xml:space="preserve"> </w:t>
      </w:r>
      <w:r w:rsidR="00886C45">
        <w:t>d</w:t>
      </w:r>
      <w:r>
        <w:t>’assignation, et ce, jusqu’à la pleine exécution du jugement, le tout suivant la quantification détaillée au rapport d’expertise de KPMG et au tableau ventilé ci-dessous, à savoir</w:t>
      </w:r>
      <w:r w:rsidR="00DA6995">
        <w:t> </w:t>
      </w:r>
      <w:r>
        <w:t xml:space="preserve">: </w:t>
      </w:r>
    </w:p>
    <w:p w14:paraId="16CD7028" w14:textId="77777777" w:rsidR="00EF0BC6" w:rsidRDefault="00EF0BC6">
      <w:pPr>
        <w:rPr>
          <w:kern w:val="28"/>
        </w:rPr>
      </w:pPr>
    </w:p>
    <w:p w14:paraId="62547EDA" w14:textId="77777777" w:rsidR="001A67EA" w:rsidRDefault="00730A01" w:rsidP="0042740E">
      <w:pPr>
        <w:pStyle w:val="Default"/>
        <w:numPr>
          <w:ilvl w:val="0"/>
          <w:numId w:val="21"/>
        </w:numPr>
        <w:ind w:left="1134"/>
        <w:jc w:val="both"/>
      </w:pPr>
      <w:r>
        <w:t>Une somme de 49</w:t>
      </w:r>
      <w:r w:rsidR="00254282">
        <w:t> </w:t>
      </w:r>
      <w:r>
        <w:t>425</w:t>
      </w:r>
      <w:r w:rsidR="00254282">
        <w:t> </w:t>
      </w:r>
      <w:r>
        <w:t>838</w:t>
      </w:r>
      <w:r w:rsidR="00254282">
        <w:t> </w:t>
      </w:r>
      <w:r>
        <w:t>$ (88,97</w:t>
      </w:r>
      <w:r w:rsidR="00254282">
        <w:t> </w:t>
      </w:r>
      <w:r>
        <w:t>%), plus les intérêts applicables, aux Demandeurs/commanditaires, divisée au prorata de leur quote-part respective dans Q-12 Capital, s.e.c., le tout pour une condamnation individualisée, ainsi que le reliquat, plus les intérêts applicables, à la demanderesse Q-12 Capital, s.e.c.</w:t>
      </w:r>
    </w:p>
    <w:p w14:paraId="5E93669B" w14:textId="77777777" w:rsidR="00E6417F" w:rsidRDefault="00730A01">
      <w:pPr>
        <w:rPr>
          <w:rFonts w:cs="Arial"/>
          <w:color w:val="000000"/>
          <w:szCs w:val="24"/>
          <w:lang w:eastAsia="fr-CA"/>
        </w:rPr>
      </w:pPr>
      <w:r>
        <w:br w:type="page"/>
      </w:r>
    </w:p>
    <w:p w14:paraId="57D43A59" w14:textId="77777777" w:rsidR="001B4BFA" w:rsidRDefault="001B4BFA" w:rsidP="001A67EA">
      <w:pPr>
        <w:pStyle w:val="Default"/>
        <w:jc w:val="both"/>
      </w:pPr>
    </w:p>
    <w:p w14:paraId="03CF53B5" w14:textId="77777777" w:rsidR="001A67EA" w:rsidRDefault="00730A01" w:rsidP="001A67EA">
      <w:pPr>
        <w:pStyle w:val="Default"/>
        <w:jc w:val="both"/>
      </w:pPr>
      <w:r w:rsidRPr="00B847D7">
        <w:rPr>
          <w:noProof/>
        </w:rPr>
        <w:drawing>
          <wp:inline distT="0" distB="0" distL="0" distR="0" wp14:anchorId="1592B7D4" wp14:editId="38A2FE35">
            <wp:extent cx="5923280" cy="6582410"/>
            <wp:effectExtent l="0" t="0" r="1270" b="8890"/>
            <wp:docPr id="814985345" name="Image 1" descr="Une image contenant texte, capture d’écran, nombre, Parallè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097364" name="Image 1" descr="Une image contenant texte, capture d’écran, nombre, Parallèle&#10;&#10;Le contenu généré par l’IA peut être incorrect."/>
                    <pic:cNvPicPr/>
                  </pic:nvPicPr>
                  <pic:blipFill>
                    <a:blip r:embed="rId11"/>
                    <a:stretch>
                      <a:fillRect/>
                    </a:stretch>
                  </pic:blipFill>
                  <pic:spPr>
                    <a:xfrm>
                      <a:off x="0" y="0"/>
                      <a:ext cx="5923280" cy="6582410"/>
                    </a:xfrm>
                    <a:prstGeom prst="rect">
                      <a:avLst/>
                    </a:prstGeom>
                  </pic:spPr>
                </pic:pic>
              </a:graphicData>
            </a:graphic>
          </wp:inline>
        </w:drawing>
      </w:r>
    </w:p>
    <w:p w14:paraId="43CB0565" w14:textId="77777777" w:rsidR="009D4AD5" w:rsidRDefault="00730A01" w:rsidP="00254282">
      <w:pPr>
        <w:pStyle w:val="Paragraphe"/>
        <w:numPr>
          <w:ilvl w:val="0"/>
          <w:numId w:val="0"/>
        </w:numPr>
        <w:spacing w:before="240" w:line="240" w:lineRule="auto"/>
      </w:pPr>
      <w:r w:rsidRPr="008377EB">
        <w:rPr>
          <w:rFonts w:cs="Arial"/>
          <w:b/>
          <w:bCs/>
          <w:noProof/>
        </w:rPr>
        <w:drawing>
          <wp:inline distT="0" distB="0" distL="0" distR="0" wp14:anchorId="5FFF07F3" wp14:editId="55E0E72B">
            <wp:extent cx="5923280" cy="6911975"/>
            <wp:effectExtent l="0" t="0" r="1270" b="3175"/>
            <wp:docPr id="806996464" name="Image 1" descr="Une image contenant texte, capture d’écran, nombr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20026" name="Image 1" descr="Une image contenant texte, capture d’écran, nombre, Police&#10;&#10;Le contenu généré par l’IA peut être incorrect."/>
                    <pic:cNvPicPr/>
                  </pic:nvPicPr>
                  <pic:blipFill>
                    <a:blip r:embed="rId10"/>
                    <a:stretch>
                      <a:fillRect/>
                    </a:stretch>
                  </pic:blipFill>
                  <pic:spPr>
                    <a:xfrm>
                      <a:off x="0" y="0"/>
                      <a:ext cx="5923280" cy="6911975"/>
                    </a:xfrm>
                    <a:prstGeom prst="rect">
                      <a:avLst/>
                    </a:prstGeom>
                  </pic:spPr>
                </pic:pic>
              </a:graphicData>
            </a:graphic>
          </wp:inline>
        </w:drawing>
      </w:r>
    </w:p>
    <w:p w14:paraId="5E9AC7D6" w14:textId="77777777" w:rsidR="00E6417F" w:rsidRDefault="00E6417F" w:rsidP="00254282">
      <w:pPr>
        <w:pStyle w:val="Paragraphe"/>
        <w:numPr>
          <w:ilvl w:val="0"/>
          <w:numId w:val="0"/>
        </w:numPr>
        <w:spacing w:before="240" w:line="240" w:lineRule="auto"/>
      </w:pPr>
    </w:p>
    <w:p w14:paraId="72F135E7" w14:textId="77777777" w:rsidR="00886E5D" w:rsidRDefault="00730A01" w:rsidP="00886E5D">
      <w:pPr>
        <w:pStyle w:val="Paragraphe"/>
        <w:numPr>
          <w:ilvl w:val="0"/>
          <w:numId w:val="1"/>
        </w:numPr>
        <w:tabs>
          <w:tab w:val="clear" w:pos="786"/>
        </w:tabs>
        <w:spacing w:line="240" w:lineRule="auto"/>
        <w:ind w:left="0"/>
        <w:rPr>
          <w:szCs w:val="24"/>
        </w:rPr>
      </w:pPr>
      <w:r w:rsidRPr="001A67EA">
        <w:rPr>
          <w:b/>
          <w:bCs/>
          <w:szCs w:val="24"/>
        </w:rPr>
        <w:t xml:space="preserve">DÉCLARE </w:t>
      </w:r>
      <w:r w:rsidRPr="001A67EA">
        <w:rPr>
          <w:szCs w:val="24"/>
        </w:rPr>
        <w:t xml:space="preserve">que les Défendeurs ont commis des manquements importants à la procédure et ont commis un abus de procédure; </w:t>
      </w:r>
    </w:p>
    <w:p w14:paraId="2AADE4F7" w14:textId="77777777" w:rsidR="00886E5D" w:rsidRPr="00886E5D" w:rsidRDefault="00730A01" w:rsidP="00886E5D">
      <w:pPr>
        <w:pStyle w:val="Paragraphe"/>
        <w:numPr>
          <w:ilvl w:val="0"/>
          <w:numId w:val="1"/>
        </w:numPr>
        <w:tabs>
          <w:tab w:val="clear" w:pos="786"/>
        </w:tabs>
        <w:spacing w:line="240" w:lineRule="auto"/>
        <w:ind w:left="0"/>
        <w:rPr>
          <w:szCs w:val="24"/>
        </w:rPr>
      </w:pPr>
      <w:r w:rsidRPr="00886E5D">
        <w:rPr>
          <w:b/>
          <w:bCs/>
          <w:szCs w:val="24"/>
        </w:rPr>
        <w:t xml:space="preserve">RÉSERVE </w:t>
      </w:r>
      <w:r w:rsidRPr="00886E5D">
        <w:rPr>
          <w:szCs w:val="24"/>
        </w:rPr>
        <w:t xml:space="preserve">le droit des Demandeurs de réclamer le paiement d’une somme en compensation des honoraires engagés en raison des manquements importants la procédure des Défendeurs et le paiement d’une somme à titre de dommages et intérêts pour l’abus de procédure commis par les Défendeurs; </w:t>
      </w:r>
    </w:p>
    <w:p w14:paraId="6C35AFEB" w14:textId="77777777" w:rsidR="00886E5D" w:rsidRPr="00886E5D" w:rsidRDefault="00730A01" w:rsidP="00886E5D">
      <w:pPr>
        <w:pStyle w:val="Paragraphe"/>
        <w:numPr>
          <w:ilvl w:val="0"/>
          <w:numId w:val="1"/>
        </w:numPr>
        <w:tabs>
          <w:tab w:val="clear" w:pos="786"/>
        </w:tabs>
        <w:spacing w:line="240" w:lineRule="auto"/>
        <w:ind w:left="0"/>
        <w:rPr>
          <w:szCs w:val="24"/>
        </w:rPr>
      </w:pPr>
      <w:r w:rsidRPr="00886E5D">
        <w:rPr>
          <w:b/>
          <w:bCs/>
          <w:szCs w:val="24"/>
        </w:rPr>
        <w:t xml:space="preserve">ORDONNE </w:t>
      </w:r>
      <w:r w:rsidRPr="00886E5D">
        <w:rPr>
          <w:szCs w:val="24"/>
        </w:rPr>
        <w:t xml:space="preserve">l’exécution provisoire partielle du </w:t>
      </w:r>
      <w:r w:rsidR="00EF0BC6" w:rsidRPr="00886E5D">
        <w:rPr>
          <w:szCs w:val="24"/>
        </w:rPr>
        <w:t xml:space="preserve">présent </w:t>
      </w:r>
      <w:r w:rsidRPr="00886E5D">
        <w:rPr>
          <w:szCs w:val="24"/>
        </w:rPr>
        <w:t>jugement nonobstant appel</w:t>
      </w:r>
      <w:r w:rsidR="00EF0BC6" w:rsidRPr="00886E5D">
        <w:rPr>
          <w:szCs w:val="24"/>
        </w:rPr>
        <w:t>,</w:t>
      </w:r>
      <w:r w:rsidRPr="00886E5D">
        <w:rPr>
          <w:szCs w:val="24"/>
        </w:rPr>
        <w:t xml:space="preserve"> sous réserve d’une somme de 500 000 $ que les Défendeurs pourront conserver à titre de frais de subsistance jusqu’à ce que le présent jugement ait acquis l’autorité de la chose jugée, étant entendu que </w:t>
      </w:r>
      <w:r w:rsidR="00A375E2">
        <w:rPr>
          <w:szCs w:val="24"/>
        </w:rPr>
        <w:t>l’octroi de cette somme</w:t>
      </w:r>
      <w:r w:rsidRPr="00886E5D">
        <w:rPr>
          <w:szCs w:val="24"/>
        </w:rPr>
        <w:t xml:space="preserve"> de 500 000 $ </w:t>
      </w:r>
      <w:r w:rsidR="00A375E2">
        <w:rPr>
          <w:szCs w:val="24"/>
        </w:rPr>
        <w:t>est</w:t>
      </w:r>
      <w:r w:rsidRPr="00886E5D">
        <w:rPr>
          <w:szCs w:val="24"/>
        </w:rPr>
        <w:t xml:space="preserve"> globale aux deux dossiers et à toutes les réserves de frais de subsistance;</w:t>
      </w:r>
    </w:p>
    <w:p w14:paraId="62AAC28E" w14:textId="77777777" w:rsidR="00886E5D" w:rsidRDefault="00730A01" w:rsidP="00886E5D">
      <w:pPr>
        <w:pStyle w:val="Paragraphe"/>
        <w:numPr>
          <w:ilvl w:val="0"/>
          <w:numId w:val="1"/>
        </w:numPr>
        <w:tabs>
          <w:tab w:val="clear" w:pos="786"/>
        </w:tabs>
        <w:spacing w:line="240" w:lineRule="auto"/>
        <w:ind w:left="0"/>
        <w:rPr>
          <w:szCs w:val="24"/>
        </w:rPr>
      </w:pPr>
      <w:r w:rsidRPr="00886E5D">
        <w:rPr>
          <w:b/>
          <w:bCs/>
          <w:szCs w:val="24"/>
        </w:rPr>
        <w:t>REJETTE</w:t>
      </w:r>
      <w:r w:rsidRPr="00886E5D">
        <w:rPr>
          <w:szCs w:val="24"/>
        </w:rPr>
        <w:t xml:space="preserve"> les demandes reconventionnelles des Défendeurs/Demandeurs reconventionnels</w:t>
      </w:r>
      <w:r w:rsidRPr="00886E5D">
        <w:rPr>
          <w:sz w:val="23"/>
          <w:szCs w:val="23"/>
        </w:rPr>
        <w:t>;</w:t>
      </w:r>
    </w:p>
    <w:p w14:paraId="4BF6A8E9" w14:textId="77777777" w:rsidR="00390CD7" w:rsidRPr="00886E5D" w:rsidRDefault="00730A01" w:rsidP="00886E5D">
      <w:pPr>
        <w:pStyle w:val="Paragraphe"/>
        <w:numPr>
          <w:ilvl w:val="0"/>
          <w:numId w:val="1"/>
        </w:numPr>
        <w:tabs>
          <w:tab w:val="clear" w:pos="786"/>
        </w:tabs>
        <w:spacing w:line="240" w:lineRule="auto"/>
        <w:ind w:left="0"/>
        <w:rPr>
          <w:szCs w:val="24"/>
        </w:rPr>
      </w:pPr>
      <w:r w:rsidRPr="00886E5D">
        <w:rPr>
          <w:b/>
          <w:bCs/>
          <w:szCs w:val="24"/>
        </w:rPr>
        <w:t>LE TOUT</w:t>
      </w:r>
      <w:r w:rsidRPr="00886E5D">
        <w:rPr>
          <w:szCs w:val="24"/>
        </w:rPr>
        <w:t>, avec frais de justice et frais d’experts</w:t>
      </w:r>
      <w:r w:rsidR="00A375E2">
        <w:rPr>
          <w:szCs w:val="24"/>
        </w:rPr>
        <w:t>,</w:t>
      </w:r>
      <w:r w:rsidRPr="00886E5D">
        <w:rPr>
          <w:szCs w:val="24"/>
        </w:rPr>
        <w:t xml:space="preserve"> dans les deux dossiers</w:t>
      </w:r>
      <w:r w:rsidR="00A375E2">
        <w:rPr>
          <w:szCs w:val="24"/>
        </w:rPr>
        <w:t xml:space="preserve">, </w:t>
      </w:r>
      <w:r w:rsidR="00A375E2" w:rsidRPr="00A375E2">
        <w:rPr>
          <w:i/>
          <w:iCs/>
          <w:szCs w:val="24"/>
        </w:rPr>
        <w:t>in</w:t>
      </w:r>
      <w:r w:rsidR="00A375E2">
        <w:rPr>
          <w:szCs w:val="24"/>
        </w:rPr>
        <w:t xml:space="preserve"> </w:t>
      </w:r>
      <w:r w:rsidR="00A375E2" w:rsidRPr="00A375E2">
        <w:rPr>
          <w:i/>
          <w:iCs/>
          <w:szCs w:val="24"/>
        </w:rPr>
        <w:t>solidium</w:t>
      </w:r>
      <w:r w:rsidR="00A375E2">
        <w:rPr>
          <w:szCs w:val="24"/>
        </w:rPr>
        <w:t xml:space="preserve"> entre les Défendeurs</w:t>
      </w:r>
      <w:r w:rsidRPr="00886E5D">
        <w:rPr>
          <w:szCs w:val="24"/>
        </w:rPr>
        <w:t>.</w:t>
      </w:r>
    </w:p>
    <w:p w14:paraId="50BADEFD" w14:textId="77777777" w:rsidR="007841C6" w:rsidRPr="00706B6F" w:rsidRDefault="00730A01" w:rsidP="008B3CAF">
      <w:pPr>
        <w:pStyle w:val="Paragraphe"/>
        <w:numPr>
          <w:ilvl w:val="0"/>
          <w:numId w:val="0"/>
        </w:numPr>
        <w:spacing w:before="360" w:line="240" w:lineRule="auto"/>
        <w:ind w:left="4394"/>
        <w:rPr>
          <w:rFonts w:cs="Arial"/>
          <w:b/>
          <w:bCs/>
          <w:lang w:val="en-CA"/>
        </w:rPr>
      </w:pPr>
      <w:r w:rsidRPr="00706B6F">
        <w:rPr>
          <w:rFonts w:cs="Arial"/>
          <w:b/>
          <w:bCs/>
          <w:lang w:val="en-CA"/>
        </w:rPr>
        <w:t xml:space="preserve">________________________________ </w:t>
      </w:r>
    </w:p>
    <w:p w14:paraId="2C0982C7" w14:textId="77777777" w:rsidR="00706B6F" w:rsidRPr="00706B6F" w:rsidRDefault="00730A01" w:rsidP="00EC1B51">
      <w:pPr>
        <w:pStyle w:val="Paragraphe"/>
        <w:numPr>
          <w:ilvl w:val="0"/>
          <w:numId w:val="0"/>
        </w:numPr>
        <w:spacing w:before="0" w:line="240" w:lineRule="auto"/>
        <w:ind w:left="4395"/>
        <w:jc w:val="center"/>
        <w:rPr>
          <w:rFonts w:cs="Arial"/>
          <w:b/>
          <w:bCs/>
          <w:lang w:val="en-CA"/>
        </w:rPr>
      </w:pPr>
      <w:r w:rsidRPr="00706B6F">
        <w:rPr>
          <w:rFonts w:cs="Arial"/>
          <w:b/>
          <w:bCs/>
          <w:lang w:val="en-CA"/>
        </w:rPr>
        <w:t>JOCELYN GEOFFOY, j.c.s.</w:t>
      </w:r>
    </w:p>
    <w:p w14:paraId="03EAD13B" w14:textId="77777777" w:rsidR="008B3CAF" w:rsidRPr="006E4369" w:rsidRDefault="008B3CAF" w:rsidP="0098012F">
      <w:pPr>
        <w:tabs>
          <w:tab w:val="left" w:pos="2268"/>
        </w:tabs>
        <w:rPr>
          <w:sz w:val="22"/>
          <w:lang w:val="en-CA"/>
        </w:rPr>
      </w:pPr>
    </w:p>
    <w:p w14:paraId="62697C1B" w14:textId="77777777" w:rsidR="006E4369" w:rsidRDefault="00730A01" w:rsidP="0098012F">
      <w:pPr>
        <w:tabs>
          <w:tab w:val="left" w:pos="2268"/>
        </w:tabs>
        <w:rPr>
          <w:sz w:val="22"/>
        </w:rPr>
      </w:pPr>
      <w:r>
        <w:rPr>
          <w:sz w:val="22"/>
        </w:rPr>
        <w:t>Dates d’audition :</w:t>
      </w:r>
      <w:r w:rsidR="001D01A5">
        <w:rPr>
          <w:sz w:val="22"/>
        </w:rPr>
        <w:tab/>
      </w:r>
      <w:r>
        <w:rPr>
          <w:sz w:val="22"/>
        </w:rPr>
        <w:t>27 au 3</w:t>
      </w:r>
      <w:r w:rsidR="00D55BEA">
        <w:rPr>
          <w:sz w:val="22"/>
        </w:rPr>
        <w:t>0</w:t>
      </w:r>
      <w:r>
        <w:rPr>
          <w:sz w:val="22"/>
        </w:rPr>
        <w:t xml:space="preserve"> mai 2024</w:t>
      </w:r>
    </w:p>
    <w:p w14:paraId="03CAF014" w14:textId="77777777" w:rsidR="006E4369" w:rsidRDefault="00730A01" w:rsidP="006E4369">
      <w:pPr>
        <w:tabs>
          <w:tab w:val="left" w:pos="2268"/>
        </w:tabs>
        <w:rPr>
          <w:sz w:val="22"/>
        </w:rPr>
      </w:pPr>
      <w:r>
        <w:rPr>
          <w:sz w:val="22"/>
        </w:rPr>
        <w:tab/>
        <w:t xml:space="preserve">3 au </w:t>
      </w:r>
      <w:r w:rsidR="00D55BEA">
        <w:rPr>
          <w:sz w:val="22"/>
        </w:rPr>
        <w:t>7</w:t>
      </w:r>
      <w:r>
        <w:rPr>
          <w:sz w:val="22"/>
        </w:rPr>
        <w:t xml:space="preserve"> juin 2024</w:t>
      </w:r>
    </w:p>
    <w:p w14:paraId="1B68E1B2" w14:textId="77777777" w:rsidR="00D55BEA" w:rsidRDefault="00730A01" w:rsidP="006E4369">
      <w:pPr>
        <w:tabs>
          <w:tab w:val="left" w:pos="2268"/>
        </w:tabs>
        <w:rPr>
          <w:sz w:val="22"/>
        </w:rPr>
      </w:pPr>
      <w:r>
        <w:rPr>
          <w:sz w:val="22"/>
        </w:rPr>
        <w:tab/>
        <w:t>10 au 14 juin 2024</w:t>
      </w:r>
    </w:p>
    <w:p w14:paraId="21A72682" w14:textId="77777777" w:rsidR="006E4369" w:rsidRDefault="00730A01" w:rsidP="006E4369">
      <w:pPr>
        <w:tabs>
          <w:tab w:val="left" w:pos="2268"/>
        </w:tabs>
        <w:rPr>
          <w:sz w:val="22"/>
        </w:rPr>
      </w:pPr>
      <w:r>
        <w:rPr>
          <w:sz w:val="22"/>
        </w:rPr>
        <w:tab/>
        <w:t>1</w:t>
      </w:r>
      <w:r w:rsidR="00D55BEA">
        <w:rPr>
          <w:sz w:val="22"/>
        </w:rPr>
        <w:t>7 et 1</w:t>
      </w:r>
      <w:r>
        <w:rPr>
          <w:sz w:val="22"/>
        </w:rPr>
        <w:t>8 juin 2024</w:t>
      </w:r>
    </w:p>
    <w:p w14:paraId="247D0F96" w14:textId="77777777" w:rsidR="001D01A5" w:rsidRPr="006E4369" w:rsidRDefault="00730A01" w:rsidP="006E4369">
      <w:pPr>
        <w:tabs>
          <w:tab w:val="left" w:pos="2268"/>
        </w:tabs>
        <w:rPr>
          <w:sz w:val="22"/>
        </w:rPr>
      </w:pPr>
      <w:r>
        <w:rPr>
          <w:sz w:val="22"/>
        </w:rPr>
        <w:tab/>
        <w:t>2</w:t>
      </w:r>
      <w:r w:rsidR="00D55BEA">
        <w:rPr>
          <w:sz w:val="22"/>
        </w:rPr>
        <w:t>0</w:t>
      </w:r>
      <w:r>
        <w:rPr>
          <w:sz w:val="22"/>
        </w:rPr>
        <w:t xml:space="preserve"> </w:t>
      </w:r>
      <w:r w:rsidRPr="006E4369">
        <w:rPr>
          <w:sz w:val="22"/>
        </w:rPr>
        <w:t>au 24 janvier 2025</w:t>
      </w:r>
    </w:p>
    <w:p w14:paraId="6CCBB678" w14:textId="77777777" w:rsidR="00BF6556" w:rsidRDefault="00730A01" w:rsidP="0098012F">
      <w:pPr>
        <w:tabs>
          <w:tab w:val="left" w:pos="2268"/>
        </w:tabs>
        <w:rPr>
          <w:sz w:val="22"/>
        </w:rPr>
      </w:pPr>
      <w:r>
        <w:rPr>
          <w:sz w:val="22"/>
        </w:rPr>
        <w:tab/>
        <w:t>10 au 14 février 2025</w:t>
      </w:r>
    </w:p>
    <w:p w14:paraId="5E2416A6" w14:textId="77777777" w:rsidR="001D01A5" w:rsidRDefault="00730A01" w:rsidP="0098012F">
      <w:pPr>
        <w:tabs>
          <w:tab w:val="left" w:pos="2268"/>
        </w:tabs>
        <w:rPr>
          <w:sz w:val="22"/>
        </w:rPr>
      </w:pPr>
      <w:r>
        <w:rPr>
          <w:sz w:val="22"/>
        </w:rPr>
        <w:tab/>
        <w:t>17 au 21 février 2025</w:t>
      </w:r>
    </w:p>
    <w:p w14:paraId="2985BE4A" w14:textId="77777777" w:rsidR="001D01A5" w:rsidRDefault="00730A01" w:rsidP="0098012F">
      <w:pPr>
        <w:tabs>
          <w:tab w:val="left" w:pos="2268"/>
        </w:tabs>
        <w:rPr>
          <w:sz w:val="22"/>
        </w:rPr>
      </w:pPr>
      <w:r>
        <w:rPr>
          <w:sz w:val="22"/>
        </w:rPr>
        <w:tab/>
        <w:t>26 au 27 février 2025</w:t>
      </w:r>
    </w:p>
    <w:p w14:paraId="0AE1EA83" w14:textId="77777777" w:rsidR="001D01A5" w:rsidRDefault="00730A01" w:rsidP="0098012F">
      <w:pPr>
        <w:tabs>
          <w:tab w:val="left" w:pos="2268"/>
        </w:tabs>
        <w:rPr>
          <w:sz w:val="22"/>
        </w:rPr>
      </w:pPr>
      <w:r>
        <w:rPr>
          <w:sz w:val="22"/>
        </w:rPr>
        <w:tab/>
        <w:t>18 mars 2025</w:t>
      </w:r>
    </w:p>
    <w:p w14:paraId="17EE5DF6" w14:textId="77777777" w:rsidR="001D01A5" w:rsidRDefault="00730A01" w:rsidP="0098012F">
      <w:pPr>
        <w:tabs>
          <w:tab w:val="left" w:pos="2268"/>
        </w:tabs>
        <w:rPr>
          <w:sz w:val="22"/>
        </w:rPr>
      </w:pPr>
      <w:r>
        <w:rPr>
          <w:sz w:val="22"/>
        </w:rPr>
        <w:tab/>
        <w:t>28 avril au 1</w:t>
      </w:r>
      <w:r w:rsidRPr="001D01A5">
        <w:rPr>
          <w:sz w:val="22"/>
          <w:vertAlign w:val="superscript"/>
        </w:rPr>
        <w:t>er</w:t>
      </w:r>
      <w:r>
        <w:rPr>
          <w:sz w:val="22"/>
        </w:rPr>
        <w:t xml:space="preserve"> mai 2025</w:t>
      </w:r>
    </w:p>
    <w:p w14:paraId="2E976CF3" w14:textId="77777777" w:rsidR="008B3CAF" w:rsidRDefault="008B3CAF" w:rsidP="0098012F">
      <w:pPr>
        <w:tabs>
          <w:tab w:val="left" w:pos="2268"/>
        </w:tabs>
        <w:rPr>
          <w:sz w:val="22"/>
        </w:rPr>
      </w:pPr>
    </w:p>
    <w:p w14:paraId="023B842B" w14:textId="77777777" w:rsidR="008B3CAF" w:rsidRDefault="008B3CAF" w:rsidP="0098012F">
      <w:pPr>
        <w:tabs>
          <w:tab w:val="left" w:pos="2268"/>
        </w:tabs>
        <w:rPr>
          <w:sz w:val="22"/>
        </w:rPr>
      </w:pPr>
    </w:p>
    <w:p w14:paraId="404A0996" w14:textId="77777777" w:rsidR="008B3CAF" w:rsidRDefault="00730A01" w:rsidP="0098012F">
      <w:pPr>
        <w:tabs>
          <w:tab w:val="left" w:pos="2268"/>
        </w:tabs>
        <w:rPr>
          <w:sz w:val="22"/>
        </w:rPr>
      </w:pPr>
      <w:r>
        <w:rPr>
          <w:sz w:val="22"/>
        </w:rPr>
        <w:t>Date de dépôt des dernières procédures :</w:t>
      </w:r>
      <w:r>
        <w:rPr>
          <w:sz w:val="22"/>
        </w:rPr>
        <w:tab/>
        <w:t>DII</w:t>
      </w:r>
      <w:r w:rsidR="00447612">
        <w:rPr>
          <w:sz w:val="22"/>
        </w:rPr>
        <w:t xml:space="preserve">/Q-12, </w:t>
      </w:r>
      <w:r>
        <w:rPr>
          <w:sz w:val="22"/>
        </w:rPr>
        <w:t>modifiée</w:t>
      </w:r>
      <w:r w:rsidR="00447612">
        <w:rPr>
          <w:sz w:val="22"/>
        </w:rPr>
        <w:t> :</w:t>
      </w:r>
      <w:r>
        <w:rPr>
          <w:sz w:val="22"/>
        </w:rPr>
        <w:t xml:space="preserve"> le 1</w:t>
      </w:r>
      <w:r>
        <w:rPr>
          <w:sz w:val="22"/>
          <w:vertAlign w:val="superscript"/>
        </w:rPr>
        <w:t>er</w:t>
      </w:r>
      <w:r w:rsidR="00DA6995">
        <w:rPr>
          <w:sz w:val="22"/>
          <w:vertAlign w:val="superscript"/>
        </w:rPr>
        <w:t> </w:t>
      </w:r>
      <w:r>
        <w:rPr>
          <w:sz w:val="22"/>
        </w:rPr>
        <w:t>octobre</w:t>
      </w:r>
      <w:r w:rsidR="00DA6995">
        <w:rPr>
          <w:sz w:val="22"/>
        </w:rPr>
        <w:t> </w:t>
      </w:r>
      <w:r>
        <w:rPr>
          <w:sz w:val="22"/>
        </w:rPr>
        <w:t>2025</w:t>
      </w:r>
    </w:p>
    <w:p w14:paraId="735EA086" w14:textId="77777777" w:rsidR="00886C45" w:rsidRDefault="00730A01" w:rsidP="0098012F">
      <w:pPr>
        <w:tabs>
          <w:tab w:val="left" w:pos="2268"/>
        </w:tabs>
        <w:rPr>
          <w:sz w:val="22"/>
        </w:rPr>
      </w:pPr>
      <w:r>
        <w:rPr>
          <w:sz w:val="22"/>
        </w:rPr>
        <w:t>Date limite accordée aux défendeurs pour contester la DII modifiée : 21 octobre 2025</w:t>
      </w:r>
    </w:p>
    <w:p w14:paraId="10412E24" w14:textId="77777777" w:rsidR="001D01A5" w:rsidRDefault="001D01A5" w:rsidP="0098012F">
      <w:pPr>
        <w:tabs>
          <w:tab w:val="left" w:pos="2268"/>
        </w:tabs>
        <w:rPr>
          <w:sz w:val="22"/>
        </w:rPr>
      </w:pPr>
    </w:p>
    <w:p w14:paraId="2F93DF7D" w14:textId="77777777" w:rsidR="00CB453B" w:rsidRDefault="00730A01" w:rsidP="0098012F">
      <w:pPr>
        <w:rPr>
          <w:sz w:val="22"/>
        </w:rPr>
      </w:pPr>
      <w:r>
        <w:rPr>
          <w:sz w:val="22"/>
        </w:rPr>
        <w:t>M</w:t>
      </w:r>
      <w:r w:rsidRPr="00741846">
        <w:rPr>
          <w:sz w:val="22"/>
          <w:vertAlign w:val="superscript"/>
        </w:rPr>
        <w:t>e</w:t>
      </w:r>
      <w:r>
        <w:rPr>
          <w:sz w:val="22"/>
        </w:rPr>
        <w:t xml:space="preserve"> </w:t>
      </w:r>
      <w:r w:rsidR="001D01A5">
        <w:rPr>
          <w:sz w:val="22"/>
        </w:rPr>
        <w:t>François Valin</w:t>
      </w:r>
    </w:p>
    <w:p w14:paraId="56F19207" w14:textId="77777777" w:rsidR="001D01A5" w:rsidRDefault="00730A01" w:rsidP="0098012F">
      <w:pPr>
        <w:rPr>
          <w:sz w:val="22"/>
        </w:rPr>
      </w:pPr>
      <w:r>
        <w:rPr>
          <w:sz w:val="22"/>
        </w:rPr>
        <w:t>M</w:t>
      </w:r>
      <w:r w:rsidRPr="00741846">
        <w:rPr>
          <w:sz w:val="22"/>
          <w:vertAlign w:val="superscript"/>
        </w:rPr>
        <w:t>e</w:t>
      </w:r>
      <w:r>
        <w:rPr>
          <w:sz w:val="22"/>
        </w:rPr>
        <w:t xml:space="preserve"> Marie-Julie Lafleur</w:t>
      </w:r>
    </w:p>
    <w:p w14:paraId="0C7C0BA9" w14:textId="77777777" w:rsidR="001D01A5" w:rsidRDefault="00730A01" w:rsidP="0098012F">
      <w:pPr>
        <w:rPr>
          <w:sz w:val="22"/>
        </w:rPr>
      </w:pPr>
      <w:r>
        <w:rPr>
          <w:sz w:val="22"/>
        </w:rPr>
        <w:t>M</w:t>
      </w:r>
      <w:r w:rsidRPr="00741846">
        <w:rPr>
          <w:sz w:val="22"/>
          <w:vertAlign w:val="superscript"/>
        </w:rPr>
        <w:t>e</w:t>
      </w:r>
      <w:r>
        <w:rPr>
          <w:sz w:val="22"/>
        </w:rPr>
        <w:t xml:space="preserve"> Ariane Carrier</w:t>
      </w:r>
    </w:p>
    <w:p w14:paraId="0DD80234" w14:textId="77777777" w:rsidR="001D01A5" w:rsidRDefault="00730A01" w:rsidP="0098012F">
      <w:pPr>
        <w:rPr>
          <w:sz w:val="22"/>
        </w:rPr>
      </w:pPr>
      <w:r>
        <w:rPr>
          <w:sz w:val="22"/>
        </w:rPr>
        <w:t>M</w:t>
      </w:r>
      <w:r w:rsidRPr="00741846">
        <w:rPr>
          <w:sz w:val="22"/>
          <w:vertAlign w:val="superscript"/>
        </w:rPr>
        <w:t>e</w:t>
      </w:r>
      <w:r>
        <w:rPr>
          <w:sz w:val="22"/>
        </w:rPr>
        <w:t xml:space="preserve"> Raphaël Leclerc-Audet</w:t>
      </w:r>
    </w:p>
    <w:p w14:paraId="32D93406" w14:textId="77777777" w:rsidR="001D01A5" w:rsidRDefault="00730A01" w:rsidP="0098012F">
      <w:pPr>
        <w:rPr>
          <w:sz w:val="22"/>
        </w:rPr>
      </w:pPr>
      <w:r>
        <w:rPr>
          <w:sz w:val="22"/>
        </w:rPr>
        <w:t>M</w:t>
      </w:r>
      <w:r w:rsidRPr="00741846">
        <w:rPr>
          <w:sz w:val="22"/>
          <w:vertAlign w:val="superscript"/>
        </w:rPr>
        <w:t>e</w:t>
      </w:r>
      <w:r>
        <w:rPr>
          <w:sz w:val="22"/>
        </w:rPr>
        <w:t xml:space="preserve"> Geneviève McLean</w:t>
      </w:r>
    </w:p>
    <w:p w14:paraId="51AD8752" w14:textId="77777777" w:rsidR="00A40E51" w:rsidRDefault="00730A01" w:rsidP="0098012F">
      <w:pPr>
        <w:rPr>
          <w:sz w:val="22"/>
        </w:rPr>
      </w:pPr>
      <w:r w:rsidRPr="00D86B21">
        <w:rPr>
          <w:i/>
          <w:smallCaps/>
          <w:sz w:val="22"/>
        </w:rPr>
        <w:t xml:space="preserve">BCF </w:t>
      </w:r>
      <w:r w:rsidRPr="00882D30">
        <w:rPr>
          <w:i/>
          <w:smallCaps/>
          <w:sz w:val="22"/>
        </w:rPr>
        <w:t>s.e.n.c.</w:t>
      </w:r>
      <w:r>
        <w:rPr>
          <w:i/>
          <w:smallCaps/>
          <w:sz w:val="22"/>
        </w:rPr>
        <w:t>r.l</w:t>
      </w:r>
      <w:r>
        <w:rPr>
          <w:sz w:val="22"/>
        </w:rPr>
        <w:t xml:space="preserve"> </w:t>
      </w:r>
    </w:p>
    <w:p w14:paraId="092D3706" w14:textId="77777777" w:rsidR="001D01A5" w:rsidRDefault="00730A01" w:rsidP="0098012F">
      <w:pPr>
        <w:rPr>
          <w:sz w:val="22"/>
        </w:rPr>
      </w:pPr>
      <w:r>
        <w:rPr>
          <w:sz w:val="22"/>
        </w:rPr>
        <w:t>Pour les</w:t>
      </w:r>
      <w:r w:rsidR="00447612">
        <w:rPr>
          <w:sz w:val="22"/>
        </w:rPr>
        <w:t xml:space="preserve"> </w:t>
      </w:r>
      <w:r w:rsidR="00A40E51">
        <w:rPr>
          <w:sz w:val="22"/>
        </w:rPr>
        <w:t>D</w:t>
      </w:r>
      <w:r>
        <w:rPr>
          <w:sz w:val="22"/>
        </w:rPr>
        <w:t>emandeurs</w:t>
      </w:r>
      <w:r w:rsidR="00140E4B">
        <w:rPr>
          <w:sz w:val="22"/>
        </w:rPr>
        <w:t>/</w:t>
      </w:r>
      <w:r>
        <w:rPr>
          <w:sz w:val="22"/>
        </w:rPr>
        <w:t>d</w:t>
      </w:r>
      <w:r w:rsidR="00140E4B">
        <w:rPr>
          <w:sz w:val="22"/>
        </w:rPr>
        <w:t>éfendeurs reconventionnels</w:t>
      </w:r>
      <w:r>
        <w:rPr>
          <w:sz w:val="22"/>
        </w:rPr>
        <w:t xml:space="preserve"> Les Entreprises Roberge ltée et al.</w:t>
      </w:r>
    </w:p>
    <w:p w14:paraId="26A499AD" w14:textId="77777777" w:rsidR="00886C45" w:rsidRDefault="00886C45" w:rsidP="0098012F">
      <w:pPr>
        <w:rPr>
          <w:sz w:val="22"/>
        </w:rPr>
      </w:pPr>
    </w:p>
    <w:p w14:paraId="13A85A0B" w14:textId="77777777" w:rsidR="00D55BEA" w:rsidRDefault="00730A01" w:rsidP="0098012F">
      <w:pPr>
        <w:rPr>
          <w:sz w:val="22"/>
        </w:rPr>
      </w:pPr>
      <w:r>
        <w:rPr>
          <w:sz w:val="22"/>
        </w:rPr>
        <w:t>et</w:t>
      </w:r>
    </w:p>
    <w:p w14:paraId="3C930374" w14:textId="77777777" w:rsidR="00D55BEA" w:rsidRDefault="00D55BEA" w:rsidP="0098012F">
      <w:pPr>
        <w:rPr>
          <w:sz w:val="22"/>
        </w:rPr>
      </w:pPr>
    </w:p>
    <w:p w14:paraId="6EF86077" w14:textId="77777777" w:rsidR="00D55BEA" w:rsidRPr="00A40E51" w:rsidRDefault="00730A01" w:rsidP="00D55BEA">
      <w:pPr>
        <w:rPr>
          <w:sz w:val="22"/>
        </w:rPr>
      </w:pPr>
      <w:r w:rsidRPr="00A40E51">
        <w:rPr>
          <w:sz w:val="22"/>
        </w:rPr>
        <w:t>M</w:t>
      </w:r>
      <w:r w:rsidRPr="00A40E51">
        <w:rPr>
          <w:sz w:val="22"/>
          <w:vertAlign w:val="superscript"/>
        </w:rPr>
        <w:t>e</w:t>
      </w:r>
      <w:r w:rsidRPr="00A40E51">
        <w:rPr>
          <w:sz w:val="22"/>
        </w:rPr>
        <w:t xml:space="preserve"> </w:t>
      </w:r>
      <w:r>
        <w:rPr>
          <w:sz w:val="22"/>
        </w:rPr>
        <w:t>Jean-François Bertrand</w:t>
      </w:r>
    </w:p>
    <w:p w14:paraId="4999A194" w14:textId="77777777" w:rsidR="00D55BEA" w:rsidRPr="00A40E51" w:rsidRDefault="00730A01" w:rsidP="00D55BEA">
      <w:pPr>
        <w:rPr>
          <w:sz w:val="22"/>
        </w:rPr>
      </w:pPr>
      <w:r w:rsidRPr="00A40E51">
        <w:rPr>
          <w:sz w:val="22"/>
        </w:rPr>
        <w:t>M</w:t>
      </w:r>
      <w:r w:rsidRPr="00A40E51">
        <w:rPr>
          <w:sz w:val="22"/>
          <w:vertAlign w:val="superscript"/>
        </w:rPr>
        <w:t>e</w:t>
      </w:r>
      <w:r w:rsidRPr="00A40E51">
        <w:rPr>
          <w:sz w:val="22"/>
        </w:rPr>
        <w:t xml:space="preserve"> </w:t>
      </w:r>
      <w:r>
        <w:rPr>
          <w:sz w:val="22"/>
        </w:rPr>
        <w:t>Élodie Drolet-French</w:t>
      </w:r>
    </w:p>
    <w:p w14:paraId="25D8776B" w14:textId="77777777" w:rsidR="00D55BEA" w:rsidRPr="00A40E51" w:rsidRDefault="00730A01" w:rsidP="00D55BEA">
      <w:pPr>
        <w:rPr>
          <w:sz w:val="22"/>
        </w:rPr>
      </w:pPr>
      <w:r w:rsidRPr="00A40E51">
        <w:rPr>
          <w:sz w:val="22"/>
        </w:rPr>
        <w:t>M</w:t>
      </w:r>
      <w:r w:rsidRPr="00A40E51">
        <w:rPr>
          <w:sz w:val="22"/>
          <w:vertAlign w:val="superscript"/>
        </w:rPr>
        <w:t>e</w:t>
      </w:r>
      <w:r w:rsidRPr="00A40E51">
        <w:rPr>
          <w:sz w:val="22"/>
        </w:rPr>
        <w:t xml:space="preserve"> </w:t>
      </w:r>
      <w:r>
        <w:rPr>
          <w:sz w:val="22"/>
        </w:rPr>
        <w:t>Alexandre St-Pierre Marcoux</w:t>
      </w:r>
    </w:p>
    <w:p w14:paraId="7C6A16BD" w14:textId="77777777" w:rsidR="00D55BEA" w:rsidRPr="00A40E51" w:rsidRDefault="00730A01" w:rsidP="00D55BEA">
      <w:pPr>
        <w:rPr>
          <w:i/>
          <w:iCs/>
          <w:smallCaps/>
          <w:sz w:val="22"/>
        </w:rPr>
      </w:pPr>
      <w:r>
        <w:rPr>
          <w:i/>
          <w:iCs/>
          <w:smallCaps/>
          <w:sz w:val="22"/>
        </w:rPr>
        <w:t>Jean-François Bertrand avocats inc.</w:t>
      </w:r>
    </w:p>
    <w:p w14:paraId="0CF74CD2" w14:textId="77777777" w:rsidR="00D55BEA" w:rsidRPr="00A40E51" w:rsidRDefault="00730A01" w:rsidP="00D55BEA">
      <w:pPr>
        <w:rPr>
          <w:sz w:val="22"/>
        </w:rPr>
      </w:pPr>
      <w:r>
        <w:rPr>
          <w:sz w:val="22"/>
        </w:rPr>
        <w:t xml:space="preserve">Pour les </w:t>
      </w:r>
      <w:r w:rsidRPr="00A40E51">
        <w:rPr>
          <w:sz w:val="22"/>
        </w:rPr>
        <w:t>Demandeur</w:t>
      </w:r>
      <w:r>
        <w:rPr>
          <w:sz w:val="22"/>
        </w:rPr>
        <w:t>s/défendeurs reconventionnels Fonds d’investissement immobilier SH, s.e.c., et Q-12 Capital, s.e.c.</w:t>
      </w:r>
    </w:p>
    <w:p w14:paraId="064AC705" w14:textId="77777777" w:rsidR="00F82C66" w:rsidRDefault="00F82C66" w:rsidP="0098012F">
      <w:pPr>
        <w:rPr>
          <w:sz w:val="22"/>
        </w:rPr>
      </w:pPr>
    </w:p>
    <w:p w14:paraId="7DC1BD2A" w14:textId="77777777" w:rsidR="001D01A5" w:rsidRPr="00A40E51" w:rsidRDefault="00730A01" w:rsidP="0098012F">
      <w:pPr>
        <w:rPr>
          <w:sz w:val="22"/>
        </w:rPr>
      </w:pPr>
      <w:r w:rsidRPr="00A40E51">
        <w:rPr>
          <w:sz w:val="22"/>
        </w:rPr>
        <w:t>M</w:t>
      </w:r>
      <w:r w:rsidRPr="00A40E51">
        <w:rPr>
          <w:sz w:val="22"/>
          <w:vertAlign w:val="superscript"/>
        </w:rPr>
        <w:t>e</w:t>
      </w:r>
      <w:r w:rsidRPr="00A40E51">
        <w:rPr>
          <w:sz w:val="22"/>
        </w:rPr>
        <w:t xml:space="preserve"> </w:t>
      </w:r>
      <w:r w:rsidR="00A40E51" w:rsidRPr="00A40E51">
        <w:rPr>
          <w:sz w:val="22"/>
        </w:rPr>
        <w:t>Sylvain Rigaud</w:t>
      </w:r>
    </w:p>
    <w:p w14:paraId="0C82F6DC" w14:textId="77777777" w:rsidR="001D01A5" w:rsidRDefault="00730A01" w:rsidP="0098012F">
      <w:pPr>
        <w:rPr>
          <w:sz w:val="22"/>
        </w:rPr>
      </w:pPr>
      <w:r w:rsidRPr="00A40E51">
        <w:rPr>
          <w:sz w:val="22"/>
        </w:rPr>
        <w:t>M</w:t>
      </w:r>
      <w:r w:rsidRPr="00A40E51">
        <w:rPr>
          <w:sz w:val="22"/>
          <w:vertAlign w:val="superscript"/>
        </w:rPr>
        <w:t>e</w:t>
      </w:r>
      <w:r w:rsidRPr="00A40E51">
        <w:rPr>
          <w:sz w:val="22"/>
        </w:rPr>
        <w:t xml:space="preserve"> </w:t>
      </w:r>
      <w:r w:rsidR="00A40E51" w:rsidRPr="00A40E51">
        <w:rPr>
          <w:sz w:val="22"/>
        </w:rPr>
        <w:t>Ma</w:t>
      </w:r>
      <w:r w:rsidR="00A40E51">
        <w:rPr>
          <w:sz w:val="22"/>
        </w:rPr>
        <w:t>rc-Antoine Côté</w:t>
      </w:r>
    </w:p>
    <w:p w14:paraId="1745207A" w14:textId="77777777" w:rsidR="00A40E51" w:rsidRPr="00A40E51" w:rsidRDefault="00730A01" w:rsidP="0098012F">
      <w:pPr>
        <w:rPr>
          <w:sz w:val="22"/>
        </w:rPr>
      </w:pPr>
      <w:r w:rsidRPr="00A40E51">
        <w:rPr>
          <w:sz w:val="22"/>
        </w:rPr>
        <w:t>M</w:t>
      </w:r>
      <w:r w:rsidRPr="00A40E51">
        <w:rPr>
          <w:sz w:val="22"/>
          <w:vertAlign w:val="superscript"/>
        </w:rPr>
        <w:t>e</w:t>
      </w:r>
      <w:r>
        <w:rPr>
          <w:sz w:val="22"/>
          <w:vertAlign w:val="superscript"/>
        </w:rPr>
        <w:t xml:space="preserve"> </w:t>
      </w:r>
      <w:r>
        <w:rPr>
          <w:sz w:val="22"/>
        </w:rPr>
        <w:t>Joshua Bouzaglou</w:t>
      </w:r>
    </w:p>
    <w:p w14:paraId="51FBB7E5" w14:textId="77777777" w:rsidR="00A40E51" w:rsidRPr="00A40E51" w:rsidRDefault="00730A01" w:rsidP="00A40E51">
      <w:pPr>
        <w:rPr>
          <w:sz w:val="22"/>
        </w:rPr>
      </w:pPr>
      <w:r w:rsidRPr="00A40E51">
        <w:rPr>
          <w:sz w:val="22"/>
        </w:rPr>
        <w:t>M</w:t>
      </w:r>
      <w:r w:rsidRPr="00A40E51">
        <w:rPr>
          <w:sz w:val="22"/>
          <w:vertAlign w:val="superscript"/>
        </w:rPr>
        <w:t>e</w:t>
      </w:r>
      <w:r>
        <w:rPr>
          <w:sz w:val="22"/>
          <w:vertAlign w:val="superscript"/>
        </w:rPr>
        <w:t xml:space="preserve"> </w:t>
      </w:r>
      <w:r>
        <w:rPr>
          <w:sz w:val="22"/>
        </w:rPr>
        <w:t>Emmanuelle Lanctôt</w:t>
      </w:r>
    </w:p>
    <w:p w14:paraId="40CAA249" w14:textId="77777777" w:rsidR="00A40E51" w:rsidRPr="00706B6F" w:rsidRDefault="00730A01" w:rsidP="00A40E51">
      <w:pPr>
        <w:rPr>
          <w:sz w:val="22"/>
        </w:rPr>
      </w:pPr>
      <w:r w:rsidRPr="00706B6F">
        <w:rPr>
          <w:sz w:val="22"/>
        </w:rPr>
        <w:t>M</w:t>
      </w:r>
      <w:r w:rsidRPr="00706B6F">
        <w:rPr>
          <w:sz w:val="22"/>
          <w:vertAlign w:val="superscript"/>
        </w:rPr>
        <w:t xml:space="preserve">e </w:t>
      </w:r>
      <w:r w:rsidRPr="00706B6F">
        <w:rPr>
          <w:sz w:val="22"/>
        </w:rPr>
        <w:t>Olivier Archambault-Lafond</w:t>
      </w:r>
    </w:p>
    <w:p w14:paraId="38C0990C" w14:textId="77777777" w:rsidR="00A40E51" w:rsidRPr="00A40E51" w:rsidRDefault="00730A01" w:rsidP="0098012F">
      <w:pPr>
        <w:rPr>
          <w:sz w:val="22"/>
        </w:rPr>
      </w:pPr>
      <w:r w:rsidRPr="00A40E51">
        <w:rPr>
          <w:sz w:val="22"/>
        </w:rPr>
        <w:t>M</w:t>
      </w:r>
      <w:r w:rsidRPr="00A40E51">
        <w:rPr>
          <w:sz w:val="22"/>
          <w:vertAlign w:val="superscript"/>
        </w:rPr>
        <w:t>e</w:t>
      </w:r>
      <w:r w:rsidRPr="00A40E51">
        <w:rPr>
          <w:sz w:val="22"/>
        </w:rPr>
        <w:t xml:space="preserve"> Alexandra Fabre</w:t>
      </w:r>
    </w:p>
    <w:p w14:paraId="4FBC229F" w14:textId="77777777" w:rsidR="00A40E51" w:rsidRDefault="00730A01" w:rsidP="0098012F">
      <w:pPr>
        <w:rPr>
          <w:sz w:val="22"/>
        </w:rPr>
      </w:pPr>
      <w:r w:rsidRPr="00A40E51">
        <w:rPr>
          <w:sz w:val="22"/>
        </w:rPr>
        <w:t>M</w:t>
      </w:r>
      <w:r w:rsidRPr="00A40E51">
        <w:rPr>
          <w:sz w:val="22"/>
          <w:vertAlign w:val="superscript"/>
        </w:rPr>
        <w:t>e</w:t>
      </w:r>
      <w:r>
        <w:rPr>
          <w:sz w:val="22"/>
        </w:rPr>
        <w:t xml:space="preserve"> Marie-Louise Delisle</w:t>
      </w:r>
    </w:p>
    <w:p w14:paraId="7F890F9D" w14:textId="77777777" w:rsidR="00A40E51" w:rsidRPr="00A40E51" w:rsidRDefault="00730A01" w:rsidP="0098012F">
      <w:pPr>
        <w:rPr>
          <w:i/>
          <w:iCs/>
          <w:smallCaps/>
          <w:sz w:val="22"/>
          <w:lang w:val="en-CA"/>
        </w:rPr>
      </w:pPr>
      <w:r w:rsidRPr="00A40E51">
        <w:rPr>
          <w:i/>
          <w:iCs/>
          <w:smallCaps/>
          <w:sz w:val="22"/>
          <w:lang w:val="en-CA"/>
        </w:rPr>
        <w:t>woods s.e.n.c.r.l.</w:t>
      </w:r>
    </w:p>
    <w:p w14:paraId="482902C7" w14:textId="77777777" w:rsidR="00706B6F" w:rsidRPr="00A40E51" w:rsidRDefault="00730A01" w:rsidP="00706B6F">
      <w:pPr>
        <w:rPr>
          <w:sz w:val="22"/>
        </w:rPr>
      </w:pPr>
      <w:r>
        <w:rPr>
          <w:sz w:val="22"/>
        </w:rPr>
        <w:t>Pour les</w:t>
      </w:r>
      <w:r w:rsidRPr="00A40E51">
        <w:rPr>
          <w:sz w:val="22"/>
        </w:rPr>
        <w:t xml:space="preserve"> Défendeurs/</w:t>
      </w:r>
      <w:r>
        <w:rPr>
          <w:sz w:val="22"/>
        </w:rPr>
        <w:t>d</w:t>
      </w:r>
      <w:r w:rsidRPr="00A40E51">
        <w:rPr>
          <w:sz w:val="22"/>
        </w:rPr>
        <w:t>emandeur</w:t>
      </w:r>
      <w:r>
        <w:rPr>
          <w:sz w:val="22"/>
        </w:rPr>
        <w:t>s reconventionnels</w:t>
      </w:r>
    </w:p>
    <w:p w14:paraId="685C7929" w14:textId="77777777" w:rsidR="00A40E51" w:rsidRDefault="00A40E51" w:rsidP="0098012F">
      <w:pPr>
        <w:rPr>
          <w:sz w:val="22"/>
        </w:rPr>
      </w:pPr>
    </w:p>
    <w:p w14:paraId="3EA1172D" w14:textId="77777777" w:rsidR="00BA3F74" w:rsidRDefault="00730A01">
      <w:pPr>
        <w:rPr>
          <w:rFonts w:cs="Arial"/>
          <w:szCs w:val="24"/>
          <w:lang w:eastAsia="fr-CA"/>
        </w:rPr>
      </w:pPr>
      <w:r>
        <w:rPr>
          <w:rFonts w:cs="Arial"/>
          <w:szCs w:val="24"/>
          <w:lang w:eastAsia="fr-CA"/>
        </w:rPr>
        <w:br w:type="page"/>
      </w:r>
    </w:p>
    <w:p w14:paraId="4502E7CC" w14:textId="77777777" w:rsidR="00BA3F74" w:rsidRDefault="00BA3F74" w:rsidP="00BA3F74">
      <w:pPr>
        <w:jc w:val="center"/>
        <w:rPr>
          <w:rFonts w:cs="Arial"/>
          <w:b/>
          <w:bCs/>
          <w:sz w:val="48"/>
          <w:szCs w:val="48"/>
          <w:lang w:eastAsia="fr-CA"/>
        </w:rPr>
      </w:pPr>
    </w:p>
    <w:p w14:paraId="1B835DC5" w14:textId="77777777" w:rsidR="00BA3F74" w:rsidRDefault="00BA3F74" w:rsidP="00BA3F74">
      <w:pPr>
        <w:jc w:val="center"/>
        <w:rPr>
          <w:rFonts w:cs="Arial"/>
          <w:b/>
          <w:bCs/>
          <w:sz w:val="48"/>
          <w:szCs w:val="48"/>
          <w:lang w:eastAsia="fr-CA"/>
        </w:rPr>
      </w:pPr>
    </w:p>
    <w:p w14:paraId="19B10E2F" w14:textId="77777777" w:rsidR="00BA3F74" w:rsidRDefault="00BA3F74" w:rsidP="00BA3F74">
      <w:pPr>
        <w:jc w:val="center"/>
        <w:rPr>
          <w:rFonts w:cs="Arial"/>
          <w:b/>
          <w:bCs/>
          <w:sz w:val="48"/>
          <w:szCs w:val="48"/>
          <w:lang w:eastAsia="fr-CA"/>
        </w:rPr>
      </w:pPr>
    </w:p>
    <w:p w14:paraId="3879DCB8" w14:textId="77777777" w:rsidR="00BA3F74" w:rsidRDefault="00BA3F74" w:rsidP="00BA3F74">
      <w:pPr>
        <w:jc w:val="center"/>
        <w:rPr>
          <w:rFonts w:cs="Arial"/>
          <w:b/>
          <w:bCs/>
          <w:sz w:val="48"/>
          <w:szCs w:val="48"/>
          <w:lang w:eastAsia="fr-CA"/>
        </w:rPr>
      </w:pPr>
    </w:p>
    <w:p w14:paraId="361548CD" w14:textId="77777777" w:rsidR="00BA3F74" w:rsidRDefault="00BA3F74" w:rsidP="00BA3F74">
      <w:pPr>
        <w:jc w:val="center"/>
        <w:rPr>
          <w:rFonts w:cs="Arial"/>
          <w:b/>
          <w:bCs/>
          <w:sz w:val="48"/>
          <w:szCs w:val="48"/>
          <w:lang w:eastAsia="fr-CA"/>
        </w:rPr>
      </w:pPr>
    </w:p>
    <w:p w14:paraId="69969EA9" w14:textId="77777777" w:rsidR="00BA3F74" w:rsidRDefault="00BA3F74" w:rsidP="00BA3F74">
      <w:pPr>
        <w:jc w:val="center"/>
        <w:rPr>
          <w:rFonts w:cs="Arial"/>
          <w:b/>
          <w:bCs/>
          <w:sz w:val="48"/>
          <w:szCs w:val="48"/>
          <w:lang w:eastAsia="fr-CA"/>
        </w:rPr>
      </w:pPr>
    </w:p>
    <w:p w14:paraId="5251B074" w14:textId="77777777" w:rsidR="00BA3F74" w:rsidRDefault="00BA3F74" w:rsidP="00BA3F74">
      <w:pPr>
        <w:jc w:val="center"/>
        <w:rPr>
          <w:rFonts w:cs="Arial"/>
          <w:b/>
          <w:bCs/>
          <w:sz w:val="48"/>
          <w:szCs w:val="48"/>
          <w:lang w:eastAsia="fr-CA"/>
        </w:rPr>
      </w:pPr>
    </w:p>
    <w:p w14:paraId="22EB4409" w14:textId="77777777" w:rsidR="00BA3F74" w:rsidRDefault="00BA3F74" w:rsidP="00BA3F74">
      <w:pPr>
        <w:jc w:val="center"/>
        <w:rPr>
          <w:rFonts w:cs="Arial"/>
          <w:b/>
          <w:bCs/>
          <w:sz w:val="48"/>
          <w:szCs w:val="48"/>
          <w:lang w:eastAsia="fr-CA"/>
        </w:rPr>
      </w:pPr>
    </w:p>
    <w:p w14:paraId="369DC458" w14:textId="77777777" w:rsidR="00BA3F74" w:rsidRDefault="00BA3F74" w:rsidP="00BA3F74">
      <w:pPr>
        <w:jc w:val="center"/>
        <w:rPr>
          <w:rFonts w:cs="Arial"/>
          <w:b/>
          <w:bCs/>
          <w:sz w:val="48"/>
          <w:szCs w:val="48"/>
          <w:lang w:eastAsia="fr-CA"/>
        </w:rPr>
      </w:pPr>
    </w:p>
    <w:p w14:paraId="5D822AD9" w14:textId="77777777" w:rsidR="00BA3F74" w:rsidRDefault="00730A01" w:rsidP="00BA3F74">
      <w:pPr>
        <w:jc w:val="center"/>
        <w:rPr>
          <w:rFonts w:cs="Arial"/>
          <w:b/>
          <w:bCs/>
          <w:sz w:val="48"/>
          <w:szCs w:val="48"/>
          <w:lang w:eastAsia="fr-CA"/>
        </w:rPr>
      </w:pPr>
      <w:r>
        <w:rPr>
          <w:rFonts w:cs="Arial"/>
          <w:b/>
          <w:bCs/>
          <w:sz w:val="48"/>
          <w:szCs w:val="48"/>
          <w:lang w:eastAsia="fr-CA"/>
        </w:rPr>
        <w:t>ANNEXE A</w:t>
      </w:r>
    </w:p>
    <w:p w14:paraId="65B2C097" w14:textId="77777777" w:rsidR="00BA3F74" w:rsidRDefault="00BA3F74" w:rsidP="00BA3F74">
      <w:pPr>
        <w:jc w:val="center"/>
        <w:rPr>
          <w:rFonts w:cs="Arial"/>
          <w:b/>
          <w:bCs/>
          <w:sz w:val="48"/>
          <w:szCs w:val="48"/>
          <w:lang w:eastAsia="fr-CA"/>
        </w:rPr>
      </w:pPr>
    </w:p>
    <w:p w14:paraId="15934111" w14:textId="77777777" w:rsidR="00706B6F" w:rsidRDefault="00730A01" w:rsidP="00BA3F74">
      <w:pPr>
        <w:jc w:val="center"/>
        <w:rPr>
          <w:rFonts w:cs="Arial"/>
          <w:szCs w:val="24"/>
          <w:lang w:eastAsia="fr-CA"/>
        </w:rPr>
      </w:pPr>
      <w:r>
        <w:rPr>
          <w:rFonts w:cs="Arial"/>
          <w:szCs w:val="24"/>
          <w:lang w:eastAsia="fr-CA"/>
        </w:rPr>
        <w:br w:type="page"/>
      </w:r>
    </w:p>
    <w:p w14:paraId="4D33E558" w14:textId="77777777" w:rsidR="005701BB" w:rsidRPr="00A40E51" w:rsidRDefault="005701BB" w:rsidP="00A40E51">
      <w:pPr>
        <w:rPr>
          <w:rFonts w:cs="Arial"/>
          <w:szCs w:val="24"/>
          <w:lang w:eastAsia="fr-CA"/>
        </w:rPr>
      </w:pPr>
    </w:p>
    <w:p w14:paraId="5AF23556" w14:textId="77777777" w:rsidR="00194CEA" w:rsidRPr="00A74E5C" w:rsidRDefault="00730A01" w:rsidP="00420D97">
      <w:pPr>
        <w:pStyle w:val="Titre1"/>
        <w:jc w:val="center"/>
        <w:rPr>
          <w:lang w:eastAsia="fr-CA"/>
        </w:rPr>
      </w:pPr>
      <w:r>
        <w:rPr>
          <w:lang w:eastAsia="fr-CA"/>
        </w:rPr>
        <w:t>ANNEXE A</w:t>
      </w:r>
    </w:p>
    <w:p w14:paraId="18F51251" w14:textId="77777777" w:rsidR="00531AA3" w:rsidRPr="00464963" w:rsidRDefault="00730A01" w:rsidP="00443B59">
      <w:pPr>
        <w:pStyle w:val="Titre1"/>
        <w:numPr>
          <w:ilvl w:val="2"/>
          <w:numId w:val="44"/>
        </w:numPr>
        <w:ind w:left="567" w:hanging="567"/>
        <w:rPr>
          <w:sz w:val="24"/>
          <w:szCs w:val="24"/>
          <w:lang w:eastAsia="fr-CA"/>
        </w:rPr>
      </w:pPr>
      <w:r w:rsidRPr="00464963">
        <w:rPr>
          <w:sz w:val="24"/>
          <w:szCs w:val="24"/>
        </w:rPr>
        <w:t>L</w:t>
      </w:r>
      <w:r w:rsidR="001237A7" w:rsidRPr="00464963">
        <w:rPr>
          <w:sz w:val="24"/>
          <w:szCs w:val="24"/>
        </w:rPr>
        <w:t>E MANQUE DE CRÉDIBILITÉ DE</w:t>
      </w:r>
      <w:r w:rsidRPr="00464963">
        <w:rPr>
          <w:sz w:val="24"/>
          <w:szCs w:val="24"/>
        </w:rPr>
        <w:t xml:space="preserve"> GIROUX</w:t>
      </w:r>
    </w:p>
    <w:p w14:paraId="0CCC5A63" w14:textId="77777777" w:rsidR="009034A3" w:rsidRPr="004A039A" w:rsidRDefault="00730A01" w:rsidP="00443B59">
      <w:pPr>
        <w:pStyle w:val="Titre2"/>
        <w:numPr>
          <w:ilvl w:val="5"/>
          <w:numId w:val="44"/>
        </w:numPr>
        <w:ind w:left="284" w:hanging="284"/>
      </w:pPr>
      <w:r w:rsidRPr="004A039A">
        <w:t>Les déclarations trompeuses quant au respect des engagements du Groupe Huot</w:t>
      </w:r>
    </w:p>
    <w:p w14:paraId="16B43AD8" w14:textId="77777777" w:rsidR="000C19A2" w:rsidRPr="001237A7" w:rsidRDefault="00730A01" w:rsidP="00BA3F74">
      <w:pPr>
        <w:pStyle w:val="Paragraphedeliste"/>
        <w:spacing w:before="120" w:after="120"/>
        <w:ind w:left="284"/>
        <w:jc w:val="both"/>
        <w:rPr>
          <w:rFonts w:cs="Arial"/>
          <w:szCs w:val="24"/>
        </w:rPr>
      </w:pPr>
      <w:r w:rsidRPr="001237A7">
        <w:rPr>
          <w:rFonts w:cs="Arial"/>
          <w:szCs w:val="24"/>
        </w:rPr>
        <w:t>Giroux a d’abord déclaré que le Groupe Huot avait toujours respecté ses engagements. La preuve révèle que c’est faux.</w:t>
      </w:r>
    </w:p>
    <w:p w14:paraId="1B4230C3" w14:textId="77777777" w:rsidR="000C19A2" w:rsidRPr="001237A7" w:rsidRDefault="00730A01" w:rsidP="00BA3F74">
      <w:pPr>
        <w:pStyle w:val="Paragraphedeliste"/>
        <w:spacing w:before="120" w:after="120"/>
        <w:ind w:left="284"/>
        <w:contextualSpacing w:val="0"/>
        <w:jc w:val="both"/>
        <w:rPr>
          <w:rFonts w:cs="Arial"/>
          <w:szCs w:val="24"/>
        </w:rPr>
      </w:pPr>
      <w:r w:rsidRPr="001237A7">
        <w:rPr>
          <w:rFonts w:cs="Arial"/>
          <w:szCs w:val="24"/>
        </w:rPr>
        <w:t>Déclaration sous serment de Robert Giroux du 7</w:t>
      </w:r>
      <w:r w:rsidR="00DA6995">
        <w:rPr>
          <w:rFonts w:cs="Arial"/>
          <w:szCs w:val="24"/>
        </w:rPr>
        <w:t> </w:t>
      </w:r>
      <w:r w:rsidRPr="001237A7">
        <w:rPr>
          <w:rFonts w:cs="Arial"/>
          <w:szCs w:val="24"/>
        </w:rPr>
        <w:t>juillet</w:t>
      </w:r>
      <w:r w:rsidR="00DA6995">
        <w:rPr>
          <w:rFonts w:cs="Arial"/>
          <w:szCs w:val="24"/>
        </w:rPr>
        <w:t> </w:t>
      </w:r>
      <w:r w:rsidRPr="001237A7">
        <w:rPr>
          <w:rFonts w:cs="Arial"/>
          <w:szCs w:val="24"/>
        </w:rPr>
        <w:t>2023</w:t>
      </w:r>
      <w:r w:rsidR="005A0EF5" w:rsidRPr="001237A7">
        <w:rPr>
          <w:rFonts w:cs="Arial"/>
          <w:szCs w:val="24"/>
        </w:rPr>
        <w:t> </w:t>
      </w:r>
      <w:r w:rsidRPr="001237A7">
        <w:rPr>
          <w:rFonts w:cs="Arial"/>
          <w:szCs w:val="24"/>
        </w:rPr>
        <w:t>:</w:t>
      </w:r>
    </w:p>
    <w:p w14:paraId="55555678" w14:textId="77777777" w:rsidR="000C19A2" w:rsidRPr="00BA3F74" w:rsidRDefault="00730A01" w:rsidP="00990512">
      <w:pPr>
        <w:pStyle w:val="Citationenretrait"/>
        <w:spacing w:before="0"/>
      </w:pPr>
      <w:r w:rsidRPr="00BA3F74">
        <w:t>Depuis la création de FIISH et de Q-12 en 2017, le Groupe Huot a toujours réussi à respecter ses engagements. (...)</w:t>
      </w:r>
    </w:p>
    <w:p w14:paraId="45E32B2F" w14:textId="77777777" w:rsidR="005A0EF5" w:rsidRPr="001237A7" w:rsidRDefault="00730A01" w:rsidP="00990512">
      <w:pPr>
        <w:pStyle w:val="Citationenretrait"/>
        <w:spacing w:after="0"/>
        <w:ind w:left="284" w:right="0"/>
        <w:rPr>
          <w:sz w:val="24"/>
          <w:szCs w:val="24"/>
        </w:rPr>
      </w:pPr>
      <w:r w:rsidRPr="001237A7">
        <w:rPr>
          <w:sz w:val="24"/>
          <w:szCs w:val="24"/>
        </w:rPr>
        <w:t>Giroux a modifié son témoignage par la suite.</w:t>
      </w:r>
    </w:p>
    <w:p w14:paraId="36FC9200" w14:textId="77777777" w:rsidR="000C19A2" w:rsidRPr="001237A7" w:rsidRDefault="00730A01" w:rsidP="00BA3F74">
      <w:pPr>
        <w:pStyle w:val="Paragraphedeliste"/>
        <w:spacing w:before="120" w:after="120"/>
        <w:ind w:left="284"/>
        <w:jc w:val="both"/>
        <w:rPr>
          <w:rFonts w:cs="Arial"/>
          <w:szCs w:val="24"/>
        </w:rPr>
      </w:pPr>
      <w:r w:rsidRPr="001237A7">
        <w:rPr>
          <w:rFonts w:cs="Arial"/>
          <w:szCs w:val="24"/>
        </w:rPr>
        <w:t>Dans sa Déclaration sous serment du 25</w:t>
      </w:r>
      <w:r w:rsidR="00DA6995">
        <w:rPr>
          <w:rFonts w:cs="Arial"/>
          <w:szCs w:val="24"/>
        </w:rPr>
        <w:t> </w:t>
      </w:r>
      <w:r w:rsidRPr="001237A7">
        <w:rPr>
          <w:rFonts w:cs="Arial"/>
          <w:szCs w:val="24"/>
        </w:rPr>
        <w:t>août</w:t>
      </w:r>
      <w:r w:rsidR="00DA6995">
        <w:rPr>
          <w:rFonts w:cs="Arial"/>
          <w:szCs w:val="24"/>
        </w:rPr>
        <w:t> </w:t>
      </w:r>
      <w:r w:rsidRPr="001237A7">
        <w:rPr>
          <w:rFonts w:cs="Arial"/>
          <w:szCs w:val="24"/>
        </w:rPr>
        <w:t>2023, au par.</w:t>
      </w:r>
      <w:r w:rsidR="00DA6995">
        <w:rPr>
          <w:rFonts w:cs="Arial"/>
          <w:szCs w:val="24"/>
        </w:rPr>
        <w:t> </w:t>
      </w:r>
      <w:r w:rsidRPr="001237A7">
        <w:rPr>
          <w:rFonts w:cs="Arial"/>
          <w:szCs w:val="24"/>
        </w:rPr>
        <w:t>42, il retire sa déclaration antérieure quant au fait que le «</w:t>
      </w:r>
      <w:r w:rsidR="00DA6995">
        <w:rPr>
          <w:rFonts w:cs="Arial"/>
          <w:szCs w:val="24"/>
        </w:rPr>
        <w:t> </w:t>
      </w:r>
      <w:r w:rsidRPr="001237A7">
        <w:rPr>
          <w:rFonts w:cs="Arial"/>
          <w:i/>
          <w:iCs/>
          <w:szCs w:val="24"/>
        </w:rPr>
        <w:t>Groupe Huot a toujours réussi à respecter ses engagements</w:t>
      </w:r>
      <w:r w:rsidR="00DA6995">
        <w:rPr>
          <w:rFonts w:cs="Arial"/>
          <w:i/>
          <w:iCs/>
          <w:szCs w:val="24"/>
        </w:rPr>
        <w:t> </w:t>
      </w:r>
      <w:r w:rsidRPr="001237A7">
        <w:rPr>
          <w:rFonts w:cs="Arial"/>
          <w:szCs w:val="24"/>
        </w:rPr>
        <w:t>».</w:t>
      </w:r>
      <w:r w:rsidR="005A0EF5" w:rsidRPr="001237A7">
        <w:rPr>
          <w:rFonts w:cs="Arial"/>
          <w:szCs w:val="24"/>
        </w:rPr>
        <w:t xml:space="preserve"> </w:t>
      </w:r>
    </w:p>
    <w:p w14:paraId="1279E15F" w14:textId="77777777" w:rsidR="000C19A2" w:rsidRPr="001237A7" w:rsidRDefault="00730A01" w:rsidP="00990512">
      <w:pPr>
        <w:pStyle w:val="Citationenretrait"/>
        <w:spacing w:before="0"/>
      </w:pPr>
      <w:r w:rsidRPr="001237A7">
        <w:t>Giroux affirme avoir été informé des problèmes financiers du Groupe Huot en décembre</w:t>
      </w:r>
      <w:r w:rsidR="00DA6995">
        <w:t> </w:t>
      </w:r>
      <w:r w:rsidRPr="001237A7">
        <w:t>2022.</w:t>
      </w:r>
    </w:p>
    <w:p w14:paraId="68C7A50B" w14:textId="77777777" w:rsidR="000C19A2" w:rsidRPr="001237A7" w:rsidRDefault="00730A01" w:rsidP="00BA3F74">
      <w:pPr>
        <w:pStyle w:val="Paragraphedeliste"/>
        <w:spacing w:before="120" w:after="120"/>
        <w:ind w:left="284"/>
        <w:jc w:val="both"/>
        <w:rPr>
          <w:rFonts w:cs="Arial"/>
          <w:szCs w:val="24"/>
        </w:rPr>
      </w:pPr>
      <w:r w:rsidRPr="001237A7">
        <w:rPr>
          <w:rFonts w:cs="Arial"/>
          <w:szCs w:val="24"/>
        </w:rPr>
        <w:t>D</w:t>
      </w:r>
      <w:r w:rsidR="009034A3" w:rsidRPr="001237A7">
        <w:rPr>
          <w:rFonts w:cs="Arial"/>
          <w:szCs w:val="24"/>
        </w:rPr>
        <w:t>éclaration sous serment de Robert Giroux du 25</w:t>
      </w:r>
      <w:r w:rsidR="00DA6995">
        <w:rPr>
          <w:rFonts w:cs="Arial"/>
          <w:szCs w:val="24"/>
        </w:rPr>
        <w:t> </w:t>
      </w:r>
      <w:r w:rsidR="009034A3" w:rsidRPr="001237A7">
        <w:rPr>
          <w:rFonts w:cs="Arial"/>
          <w:szCs w:val="24"/>
        </w:rPr>
        <w:t>août</w:t>
      </w:r>
      <w:r w:rsidR="00DA6995">
        <w:rPr>
          <w:rFonts w:cs="Arial"/>
          <w:szCs w:val="24"/>
        </w:rPr>
        <w:t> </w:t>
      </w:r>
      <w:r w:rsidR="009034A3" w:rsidRPr="001237A7">
        <w:rPr>
          <w:rFonts w:cs="Arial"/>
          <w:szCs w:val="24"/>
        </w:rPr>
        <w:t>2023</w:t>
      </w:r>
      <w:r w:rsidRPr="001237A7">
        <w:rPr>
          <w:rFonts w:cs="Arial"/>
          <w:szCs w:val="24"/>
        </w:rPr>
        <w:t> </w:t>
      </w:r>
      <w:r w:rsidR="009034A3" w:rsidRPr="001237A7">
        <w:rPr>
          <w:rFonts w:cs="Arial"/>
          <w:szCs w:val="24"/>
        </w:rPr>
        <w:t>:</w:t>
      </w:r>
      <w:r w:rsidRPr="001237A7">
        <w:rPr>
          <w:rFonts w:cs="Arial"/>
          <w:szCs w:val="24"/>
        </w:rPr>
        <w:t> </w:t>
      </w:r>
    </w:p>
    <w:p w14:paraId="4E13854A" w14:textId="77777777" w:rsidR="005A0EF5" w:rsidRPr="00BA3F74" w:rsidRDefault="00730A01" w:rsidP="00990512">
      <w:pPr>
        <w:pStyle w:val="Citationenretrait"/>
        <w:spacing w:before="0" w:after="0"/>
        <w:ind w:left="284"/>
      </w:pPr>
      <w:r w:rsidRPr="00BA3F74">
        <w:t>C’est seulement vers décembre</w:t>
      </w:r>
      <w:r w:rsidR="00DA6995">
        <w:t> </w:t>
      </w:r>
      <w:r w:rsidRPr="00BA3F74">
        <w:t>2022 que j’ai été informé des problèmes financiers éventuels du Groupe Huot. À cette époque, M.</w:t>
      </w:r>
      <w:r w:rsidR="00DA6995">
        <w:t> </w:t>
      </w:r>
      <w:r w:rsidRPr="00BA3F74">
        <w:t>Huot nous a informé que le paiement des intérêts serait difficil</w:t>
      </w:r>
      <w:r w:rsidR="000C19A2" w:rsidRPr="00BA3F74">
        <w:t>e</w:t>
      </w:r>
      <w:r w:rsidRPr="00BA3F74">
        <w:t xml:space="preserve">. </w:t>
      </w:r>
    </w:p>
    <w:p w14:paraId="5DED501B" w14:textId="77777777" w:rsidR="001237A7" w:rsidRDefault="00730A01" w:rsidP="00BA3F74">
      <w:pPr>
        <w:pStyle w:val="Paragraphedeliste"/>
        <w:spacing w:before="120" w:after="120"/>
        <w:ind w:left="284"/>
        <w:contextualSpacing w:val="0"/>
        <w:jc w:val="both"/>
        <w:rPr>
          <w:rFonts w:cs="Arial"/>
          <w:szCs w:val="24"/>
        </w:rPr>
      </w:pPr>
      <w:r w:rsidRPr="001237A7">
        <w:rPr>
          <w:rFonts w:cs="Arial"/>
          <w:szCs w:val="24"/>
        </w:rPr>
        <w:t>Cette affirmation est contredite par l’enregistrement du 2</w:t>
      </w:r>
      <w:r w:rsidR="0005621D">
        <w:rPr>
          <w:rFonts w:cs="Arial"/>
          <w:szCs w:val="24"/>
        </w:rPr>
        <w:t> </w:t>
      </w:r>
      <w:r w:rsidRPr="001237A7">
        <w:rPr>
          <w:rFonts w:cs="Arial"/>
          <w:szCs w:val="24"/>
        </w:rPr>
        <w:t>mars</w:t>
      </w:r>
      <w:r w:rsidR="0005621D">
        <w:rPr>
          <w:rFonts w:cs="Arial"/>
          <w:szCs w:val="24"/>
        </w:rPr>
        <w:t> </w:t>
      </w:r>
      <w:r w:rsidRPr="001237A7">
        <w:rPr>
          <w:rFonts w:cs="Arial"/>
          <w:szCs w:val="24"/>
        </w:rPr>
        <w:t>202</w:t>
      </w:r>
      <w:r w:rsidR="000C19A2" w:rsidRPr="001237A7">
        <w:rPr>
          <w:rFonts w:cs="Arial"/>
          <w:szCs w:val="24"/>
        </w:rPr>
        <w:t>2</w:t>
      </w:r>
      <w:r>
        <w:rPr>
          <w:rStyle w:val="Appelnotedebasdep"/>
          <w:rFonts w:cs="Arial"/>
          <w:szCs w:val="24"/>
        </w:rPr>
        <w:footnoteReference w:id="455"/>
      </w:r>
      <w:r w:rsidR="0005621D">
        <w:rPr>
          <w:rFonts w:cs="Arial"/>
          <w:szCs w:val="24"/>
        </w:rPr>
        <w:t>.</w:t>
      </w:r>
    </w:p>
    <w:p w14:paraId="74270F0C" w14:textId="77777777" w:rsidR="005A0EF5" w:rsidRPr="001237A7" w:rsidRDefault="00730A01" w:rsidP="00990512">
      <w:pPr>
        <w:pStyle w:val="Paragraphedeliste"/>
        <w:spacing w:after="120"/>
        <w:ind w:left="284"/>
        <w:contextualSpacing w:val="0"/>
        <w:jc w:val="both"/>
        <w:rPr>
          <w:rFonts w:cs="Arial"/>
          <w:szCs w:val="24"/>
        </w:rPr>
      </w:pPr>
      <w:r w:rsidRPr="001237A7">
        <w:rPr>
          <w:rFonts w:cs="Arial"/>
          <w:szCs w:val="24"/>
        </w:rPr>
        <w:t xml:space="preserve">Giroux a été informé par Huot lui-même qu’il avait de graves difficultés financières, qu’il allait faire faillite et que ça faisait un bout de temps qu’il n’était pas capable de payer les intérêts. </w:t>
      </w:r>
    </w:p>
    <w:p w14:paraId="19792723" w14:textId="77777777" w:rsidR="005A0EF5" w:rsidRPr="001237A7" w:rsidRDefault="00730A01" w:rsidP="00BA3F74">
      <w:pPr>
        <w:pStyle w:val="Paragraphedeliste"/>
        <w:spacing w:before="120" w:after="120"/>
        <w:ind w:left="284"/>
        <w:jc w:val="both"/>
        <w:rPr>
          <w:rFonts w:cs="Arial"/>
          <w:szCs w:val="24"/>
        </w:rPr>
      </w:pPr>
      <w:r w:rsidRPr="001237A7">
        <w:rPr>
          <w:rFonts w:cs="Arial"/>
          <w:szCs w:val="24"/>
        </w:rPr>
        <w:t>Cette affirmation est également contredite par d’autres témoignages</w:t>
      </w:r>
      <w:r w:rsidR="0005621D">
        <w:rPr>
          <w:rFonts w:cs="Arial"/>
          <w:szCs w:val="24"/>
        </w:rPr>
        <w:t>.</w:t>
      </w:r>
    </w:p>
    <w:p w14:paraId="57DF3338" w14:textId="77777777" w:rsidR="001237A7" w:rsidRDefault="00730A01">
      <w:pPr>
        <w:rPr>
          <w:rFonts w:cs="Arial"/>
          <w:szCs w:val="24"/>
        </w:rPr>
      </w:pPr>
      <w:r>
        <w:rPr>
          <w:rFonts w:cs="Arial"/>
          <w:szCs w:val="24"/>
        </w:rPr>
        <w:br w:type="page"/>
      </w:r>
    </w:p>
    <w:p w14:paraId="28BCCC74" w14:textId="77777777" w:rsidR="005A0EF5" w:rsidRPr="001237A7" w:rsidRDefault="00730A01" w:rsidP="00990512">
      <w:pPr>
        <w:spacing w:before="120" w:after="120"/>
        <w:ind w:left="284"/>
        <w:rPr>
          <w:rFonts w:cs="Arial"/>
          <w:szCs w:val="24"/>
        </w:rPr>
      </w:pPr>
      <w:r w:rsidRPr="001237A7">
        <w:rPr>
          <w:rFonts w:cs="Arial"/>
          <w:szCs w:val="24"/>
        </w:rPr>
        <w:t>Déclaration sous serment de Nadine Lehoux du 17</w:t>
      </w:r>
      <w:r w:rsidR="0005621D">
        <w:rPr>
          <w:rFonts w:cs="Arial"/>
          <w:szCs w:val="24"/>
        </w:rPr>
        <w:t> </w:t>
      </w:r>
      <w:r w:rsidRPr="001237A7">
        <w:rPr>
          <w:rFonts w:cs="Arial"/>
          <w:szCs w:val="24"/>
        </w:rPr>
        <w:t>mai</w:t>
      </w:r>
      <w:r w:rsidR="0005621D">
        <w:rPr>
          <w:rFonts w:cs="Arial"/>
          <w:szCs w:val="24"/>
        </w:rPr>
        <w:t> </w:t>
      </w:r>
      <w:r w:rsidRPr="001237A7">
        <w:rPr>
          <w:rFonts w:cs="Arial"/>
          <w:szCs w:val="24"/>
        </w:rPr>
        <w:t>2024 : </w:t>
      </w:r>
    </w:p>
    <w:p w14:paraId="6DFC4133" w14:textId="77777777" w:rsidR="005A0EF5" w:rsidRPr="00BA3F74" w:rsidRDefault="00730A01" w:rsidP="00990512">
      <w:pPr>
        <w:pStyle w:val="Citationenretrait"/>
        <w:spacing w:before="0"/>
      </w:pPr>
      <w:r w:rsidRPr="00BA3F74">
        <w:t>Entre le printemps et la fin de l’année</w:t>
      </w:r>
      <w:r w:rsidR="0005621D">
        <w:t> </w:t>
      </w:r>
      <w:r w:rsidRPr="00BA3F74">
        <w:t>2022, j’ai senti un vent de panique s’installer à l’interne et M. Giroux a alors mobilisé l’équipe de X2, et ce, afin de mettre à jour toute la facturation en retard du Groupe Huot à ses différentes sociétés afin de s’assurer d’être payé le plus rapidement possible.</w:t>
      </w:r>
    </w:p>
    <w:p w14:paraId="015E312D" w14:textId="77777777" w:rsidR="009034A3" w:rsidRPr="000C19A2" w:rsidRDefault="00730A01" w:rsidP="00990512">
      <w:pPr>
        <w:spacing w:after="120"/>
        <w:ind w:left="284"/>
        <w:jc w:val="both"/>
        <w:rPr>
          <w:rFonts w:cs="Arial"/>
          <w:szCs w:val="24"/>
        </w:rPr>
      </w:pPr>
      <w:r w:rsidRPr="000C19A2">
        <w:rPr>
          <w:rFonts w:cs="Arial"/>
          <w:szCs w:val="24"/>
        </w:rPr>
        <w:t>Interrogatoire préalable de Stéphan Huot par M</w:t>
      </w:r>
      <w:r w:rsidRPr="0005621D">
        <w:rPr>
          <w:rFonts w:cs="Arial"/>
          <w:szCs w:val="24"/>
          <w:vertAlign w:val="superscript"/>
        </w:rPr>
        <w:t>e</w:t>
      </w:r>
      <w:r w:rsidR="0005621D">
        <w:rPr>
          <w:rFonts w:cs="Arial"/>
          <w:szCs w:val="24"/>
        </w:rPr>
        <w:t> </w:t>
      </w:r>
      <w:r w:rsidRPr="000C19A2">
        <w:rPr>
          <w:rFonts w:cs="Arial"/>
          <w:szCs w:val="24"/>
        </w:rPr>
        <w:t>François Valin du 29</w:t>
      </w:r>
      <w:r w:rsidR="0005621D">
        <w:rPr>
          <w:rFonts w:cs="Arial"/>
          <w:szCs w:val="24"/>
        </w:rPr>
        <w:t> </w:t>
      </w:r>
      <w:r w:rsidRPr="000C19A2">
        <w:rPr>
          <w:rFonts w:cs="Arial"/>
          <w:szCs w:val="24"/>
        </w:rPr>
        <w:t>août</w:t>
      </w:r>
      <w:r w:rsidR="0005621D">
        <w:rPr>
          <w:rFonts w:cs="Arial"/>
          <w:szCs w:val="24"/>
        </w:rPr>
        <w:t> </w:t>
      </w:r>
      <w:r w:rsidRPr="000C19A2">
        <w:rPr>
          <w:rFonts w:cs="Arial"/>
          <w:szCs w:val="24"/>
        </w:rPr>
        <w:t>2023</w:t>
      </w:r>
      <w:r>
        <w:rPr>
          <w:rStyle w:val="Appelnotedebasdep"/>
          <w:rFonts w:cs="Arial"/>
          <w:szCs w:val="24"/>
        </w:rPr>
        <w:footnoteReference w:id="456"/>
      </w:r>
      <w:r w:rsidR="00786414">
        <w:rPr>
          <w:rFonts w:cs="Arial"/>
          <w:szCs w:val="24"/>
        </w:rPr>
        <w:t>.</w:t>
      </w:r>
    </w:p>
    <w:p w14:paraId="15913157" w14:textId="77777777" w:rsidR="009034A3" w:rsidRPr="004A039A" w:rsidRDefault="00730A01" w:rsidP="00443B59">
      <w:pPr>
        <w:pStyle w:val="Titre2"/>
        <w:numPr>
          <w:ilvl w:val="5"/>
          <w:numId w:val="44"/>
        </w:numPr>
        <w:ind w:left="284" w:hanging="284"/>
        <w:rPr>
          <w:rFonts w:cs="Arial"/>
          <w:b w:val="0"/>
          <w:bCs/>
          <w:szCs w:val="24"/>
        </w:rPr>
      </w:pPr>
      <w:r w:rsidRPr="004A039A">
        <w:rPr>
          <w:rFonts w:cs="Arial"/>
          <w:bCs/>
          <w:szCs w:val="24"/>
        </w:rPr>
        <w:t>Les déclarations trompeuses quant à l’ignorance que le Groupe Huot était en défaut de payer ses taxes foncières à l’été 2022</w:t>
      </w:r>
    </w:p>
    <w:p w14:paraId="7E1E8D9A" w14:textId="77777777" w:rsidR="009034A3" w:rsidRDefault="00730A01" w:rsidP="00BA3F74">
      <w:pPr>
        <w:spacing w:before="120" w:after="120"/>
        <w:ind w:left="284"/>
        <w:rPr>
          <w:rFonts w:cs="Arial"/>
          <w:szCs w:val="24"/>
        </w:rPr>
      </w:pPr>
      <w:r w:rsidRPr="004A039A">
        <w:rPr>
          <w:rFonts w:cs="Arial"/>
          <w:szCs w:val="24"/>
        </w:rPr>
        <w:t>Giroux a d’abord affirmé ignorer que le Groupe Huot avait des taxes en retard</w:t>
      </w:r>
      <w:r>
        <w:rPr>
          <w:rStyle w:val="Appelnotedebasdep"/>
          <w:rFonts w:cs="Arial"/>
          <w:szCs w:val="24"/>
        </w:rPr>
        <w:footnoteReference w:id="457"/>
      </w:r>
      <w:r w:rsidR="0005621D">
        <w:rPr>
          <w:rFonts w:cs="Arial"/>
          <w:szCs w:val="24"/>
        </w:rPr>
        <w:t>.</w:t>
      </w:r>
    </w:p>
    <w:p w14:paraId="752B3EB9" w14:textId="77777777" w:rsidR="00786414" w:rsidRPr="00786414" w:rsidRDefault="00730A01" w:rsidP="0062423C">
      <w:pPr>
        <w:pStyle w:val="Citationenretrait"/>
        <w:spacing w:after="0"/>
      </w:pPr>
      <w:r w:rsidRPr="00786414">
        <w:t>Q</w:t>
      </w:r>
      <w:r w:rsidR="00990512">
        <w:t> :</w:t>
      </w:r>
      <w:r w:rsidRPr="00786414">
        <w:t xml:space="preserve"> C'est exact que le résultat de cette démarche-là démontrait qu'il y avait des taxes en retard depuis quelques années?</w:t>
      </w:r>
    </w:p>
    <w:p w14:paraId="1712257D" w14:textId="77777777" w:rsidR="009034A3" w:rsidRPr="00786414" w:rsidRDefault="00730A01" w:rsidP="00BA3F74">
      <w:pPr>
        <w:pStyle w:val="Citationenretrait"/>
      </w:pPr>
      <w:r w:rsidRPr="00786414">
        <w:t>R</w:t>
      </w:r>
      <w:r w:rsidR="00990512">
        <w:t> :</w:t>
      </w:r>
      <w:r w:rsidRPr="00786414">
        <w:t xml:space="preserve"> Non. Il y avait pas de taxe en retard.</w:t>
      </w:r>
    </w:p>
    <w:p w14:paraId="2E34DDA4" w14:textId="77777777" w:rsidR="009034A3" w:rsidRPr="004A039A" w:rsidRDefault="00730A01" w:rsidP="0098012F">
      <w:pPr>
        <w:spacing w:after="120"/>
        <w:ind w:left="284"/>
        <w:rPr>
          <w:rFonts w:cs="Arial"/>
          <w:szCs w:val="24"/>
        </w:rPr>
      </w:pPr>
      <w:r w:rsidRPr="004A039A">
        <w:rPr>
          <w:rFonts w:cs="Arial"/>
          <w:szCs w:val="24"/>
        </w:rPr>
        <w:t>Giroux a modifié son témoignage par la suite</w:t>
      </w:r>
      <w:r>
        <w:rPr>
          <w:rStyle w:val="Appelnotedebasdep"/>
          <w:rFonts w:cs="Arial"/>
          <w:szCs w:val="24"/>
        </w:rPr>
        <w:footnoteReference w:id="458"/>
      </w:r>
      <w:r w:rsidR="0005621D">
        <w:rPr>
          <w:rFonts w:cs="Arial"/>
          <w:szCs w:val="24"/>
        </w:rPr>
        <w:t>.</w:t>
      </w:r>
    </w:p>
    <w:p w14:paraId="3D279D04" w14:textId="77777777" w:rsidR="00786414" w:rsidRPr="00786414" w:rsidRDefault="00730A01" w:rsidP="0062423C">
      <w:pPr>
        <w:pStyle w:val="Citationenretrait"/>
        <w:spacing w:after="0"/>
      </w:pPr>
      <w:r w:rsidRPr="00786414">
        <w:t>R</w:t>
      </w:r>
      <w:r w:rsidR="00990512">
        <w:t> :</w:t>
      </w:r>
      <w:r w:rsidRPr="00786414">
        <w:t xml:space="preserve"> Je vous dis</w:t>
      </w:r>
      <w:r w:rsidR="0005621D">
        <w:t> </w:t>
      </w:r>
      <w:r w:rsidRPr="00786414">
        <w:t>: Nadine Lehoux me l'a dit qu'il avait un... un montant de taxes impayé, je pense, vers juillet, août, septembre... euh... juillet, août, septembre, octobre, je me souviens «</w:t>
      </w:r>
      <w:r w:rsidR="0005621D">
        <w:t> </w:t>
      </w:r>
      <w:r w:rsidRPr="00786414">
        <w:t>pus</w:t>
      </w:r>
      <w:r w:rsidR="0005621D">
        <w:t> </w:t>
      </w:r>
      <w:r w:rsidRPr="00786414">
        <w:t>» de la date, dans ces alentours-là... (...) en deux mille vingt-deux (2022).</w:t>
      </w:r>
    </w:p>
    <w:p w14:paraId="33BF8463" w14:textId="77777777" w:rsidR="00786414" w:rsidRPr="00786414" w:rsidRDefault="00730A01" w:rsidP="0062423C">
      <w:pPr>
        <w:pStyle w:val="Citationenretrait"/>
        <w:spacing w:after="0"/>
      </w:pPr>
      <w:r w:rsidRPr="00786414">
        <w:t>(...)</w:t>
      </w:r>
    </w:p>
    <w:p w14:paraId="55468CF3" w14:textId="77777777" w:rsidR="00786414" w:rsidRPr="00786414" w:rsidRDefault="00730A01" w:rsidP="0062423C">
      <w:pPr>
        <w:pStyle w:val="Citationenretrait"/>
        <w:spacing w:after="0"/>
      </w:pPr>
      <w:r w:rsidRPr="00786414">
        <w:t>Q</w:t>
      </w:r>
      <w:r w:rsidR="00990512">
        <w:t> :</w:t>
      </w:r>
      <w:r w:rsidRPr="00786414">
        <w:t xml:space="preserve"> O.K.! Donc, la vérité, c'est-tu deux mille vingt-quatre (2024), trois (3) avril, avec maître Valin ou c'est aujourd'hui?</w:t>
      </w:r>
    </w:p>
    <w:p w14:paraId="0E9A2EF5" w14:textId="77777777" w:rsidR="00786414" w:rsidRPr="00786414" w:rsidRDefault="00730A01" w:rsidP="0062423C">
      <w:pPr>
        <w:pStyle w:val="Citationenretrait"/>
        <w:spacing w:after="0"/>
      </w:pPr>
      <w:r w:rsidRPr="00786414">
        <w:t>R</w:t>
      </w:r>
      <w:r w:rsidR="00990512">
        <w:t> :</w:t>
      </w:r>
      <w:r w:rsidRPr="00786414">
        <w:t xml:space="preserve"> Je vous dis que j'ai été voir le courriel suite à l'interrogatoire, j'ai constaté que Nadine Lehoux me l'avait dit.</w:t>
      </w:r>
    </w:p>
    <w:p w14:paraId="4C0816F7" w14:textId="77777777" w:rsidR="00786414" w:rsidRPr="00786414" w:rsidRDefault="00730A01" w:rsidP="0062423C">
      <w:pPr>
        <w:pStyle w:val="Citationenretrait"/>
        <w:spacing w:after="0"/>
      </w:pPr>
      <w:r w:rsidRPr="00786414">
        <w:t>Q</w:t>
      </w:r>
      <w:r w:rsidR="00990512">
        <w:t> :</w:t>
      </w:r>
      <w:r w:rsidRPr="00786414">
        <w:t xml:space="preserve"> Donc, vous avez fait, comme on...</w:t>
      </w:r>
    </w:p>
    <w:p w14:paraId="6D65D0C7" w14:textId="77777777" w:rsidR="009034A3" w:rsidRPr="00786414" w:rsidRDefault="00730A01" w:rsidP="00BA3F74">
      <w:pPr>
        <w:pStyle w:val="Citationenretrait"/>
      </w:pPr>
      <w:r w:rsidRPr="00786414">
        <w:t>R</w:t>
      </w:r>
      <w:r w:rsidR="00990512">
        <w:t> :</w:t>
      </w:r>
      <w:r w:rsidRPr="00786414">
        <w:t xml:space="preserve"> Mais ça me disait rien!</w:t>
      </w:r>
    </w:p>
    <w:p w14:paraId="76075455" w14:textId="77777777" w:rsidR="009034A3" w:rsidRPr="004A039A" w:rsidRDefault="00730A01" w:rsidP="0098012F">
      <w:pPr>
        <w:spacing w:after="120"/>
        <w:ind w:left="284"/>
        <w:rPr>
          <w:rFonts w:cs="Arial"/>
          <w:szCs w:val="24"/>
        </w:rPr>
      </w:pPr>
      <w:r w:rsidRPr="004A039A">
        <w:rPr>
          <w:rFonts w:cs="Arial"/>
          <w:szCs w:val="24"/>
        </w:rPr>
        <w:t>Déclaration sous serment de Nadine Lehoux du 17</w:t>
      </w:r>
      <w:r w:rsidR="0005621D">
        <w:rPr>
          <w:rFonts w:cs="Arial"/>
          <w:szCs w:val="24"/>
        </w:rPr>
        <w:t> </w:t>
      </w:r>
      <w:r w:rsidRPr="004A039A">
        <w:rPr>
          <w:rFonts w:cs="Arial"/>
          <w:szCs w:val="24"/>
        </w:rPr>
        <w:t>mai</w:t>
      </w:r>
      <w:r w:rsidR="0005621D">
        <w:rPr>
          <w:rFonts w:cs="Arial"/>
          <w:szCs w:val="24"/>
        </w:rPr>
        <w:t> </w:t>
      </w:r>
      <w:r w:rsidRPr="004A039A">
        <w:rPr>
          <w:rFonts w:cs="Arial"/>
          <w:szCs w:val="24"/>
        </w:rPr>
        <w:t>2024</w:t>
      </w:r>
      <w:r>
        <w:rPr>
          <w:rStyle w:val="Appelnotedebasdep"/>
          <w:rFonts w:cs="Arial"/>
          <w:szCs w:val="24"/>
        </w:rPr>
        <w:footnoteReference w:id="459"/>
      </w:r>
      <w:r w:rsidR="0005621D">
        <w:rPr>
          <w:rFonts w:cs="Arial"/>
          <w:szCs w:val="24"/>
        </w:rPr>
        <w:t> </w:t>
      </w:r>
      <w:r w:rsidRPr="004A039A">
        <w:rPr>
          <w:rFonts w:cs="Arial"/>
          <w:szCs w:val="24"/>
        </w:rPr>
        <w:t>:</w:t>
      </w:r>
    </w:p>
    <w:p w14:paraId="123B2C67" w14:textId="77777777" w:rsidR="00786414" w:rsidRPr="00C568DF" w:rsidRDefault="00730A01" w:rsidP="00990512">
      <w:pPr>
        <w:pStyle w:val="Citationenretrait"/>
        <w:spacing w:before="0" w:after="0"/>
      </w:pPr>
      <w:r w:rsidRPr="00C568DF">
        <w:t>Au sujet des retards dans le paiement des taxes, M.</w:t>
      </w:r>
      <w:r w:rsidR="0005621D">
        <w:t> </w:t>
      </w:r>
      <w:r w:rsidRPr="00C568DF">
        <w:t>Giroux m’avait demandé, à la fin de l’été</w:t>
      </w:r>
      <w:r w:rsidR="0005621D">
        <w:t> </w:t>
      </w:r>
      <w:r w:rsidRPr="00C568DF">
        <w:t>2022 /début de l’automne</w:t>
      </w:r>
      <w:r w:rsidR="0005621D">
        <w:t> </w:t>
      </w:r>
      <w:r w:rsidRPr="00C568DF">
        <w:t>2022, de vérifier les arrérages de taxes foncières par le Groupe Huot. C’était la première fois qu’il me faisait une telle demande</w:t>
      </w:r>
      <w:r w:rsidR="0005621D">
        <w:t>.</w:t>
      </w:r>
    </w:p>
    <w:p w14:paraId="03233813" w14:textId="77777777" w:rsidR="009034A3" w:rsidRPr="00C568DF" w:rsidRDefault="00730A01" w:rsidP="0062423C">
      <w:pPr>
        <w:pStyle w:val="Citationenretrait"/>
        <w:spacing w:after="0"/>
        <w:rPr>
          <w:rFonts w:cs="Arial"/>
          <w:i/>
          <w:iCs/>
          <w:szCs w:val="22"/>
        </w:rPr>
      </w:pPr>
      <w:r w:rsidRPr="00C568DF">
        <w:rPr>
          <w:rFonts w:cs="Arial"/>
          <w:i/>
          <w:iCs/>
          <w:szCs w:val="22"/>
        </w:rPr>
        <w:t>J’ai alors fait ces vérifications et constaté que le Groupe Huot était en retard dans le paiement des taxes municipales et scolaires pour un montant de 2</w:t>
      </w:r>
      <w:r w:rsidR="00786414" w:rsidRPr="00C568DF">
        <w:rPr>
          <w:rFonts w:cs="Arial"/>
          <w:i/>
          <w:iCs/>
          <w:szCs w:val="22"/>
        </w:rPr>
        <w:t> </w:t>
      </w:r>
      <w:r w:rsidRPr="00C568DF">
        <w:rPr>
          <w:rFonts w:cs="Arial"/>
          <w:i/>
          <w:iCs/>
          <w:szCs w:val="22"/>
        </w:rPr>
        <w:t>000</w:t>
      </w:r>
      <w:r w:rsidR="00786414" w:rsidRPr="00C568DF">
        <w:rPr>
          <w:rFonts w:cs="Arial"/>
          <w:i/>
          <w:iCs/>
          <w:szCs w:val="22"/>
        </w:rPr>
        <w:t> </w:t>
      </w:r>
      <w:r w:rsidRPr="00C568DF">
        <w:rPr>
          <w:rFonts w:cs="Arial"/>
          <w:i/>
          <w:iCs/>
          <w:szCs w:val="22"/>
        </w:rPr>
        <w:t>000</w:t>
      </w:r>
      <w:r w:rsidR="00786414" w:rsidRPr="00C568DF">
        <w:rPr>
          <w:rFonts w:cs="Arial"/>
          <w:i/>
          <w:iCs/>
          <w:szCs w:val="22"/>
        </w:rPr>
        <w:t> </w:t>
      </w:r>
      <w:r w:rsidRPr="00C568DF">
        <w:rPr>
          <w:rFonts w:cs="Arial"/>
          <w:i/>
          <w:iCs/>
          <w:szCs w:val="22"/>
        </w:rPr>
        <w:t>$ à 3</w:t>
      </w:r>
      <w:r w:rsidR="00786414" w:rsidRPr="00C568DF">
        <w:rPr>
          <w:rFonts w:cs="Arial"/>
          <w:i/>
          <w:iCs/>
          <w:szCs w:val="22"/>
        </w:rPr>
        <w:t> </w:t>
      </w:r>
      <w:r w:rsidRPr="00C568DF">
        <w:rPr>
          <w:rFonts w:cs="Arial"/>
          <w:i/>
          <w:iCs/>
          <w:szCs w:val="22"/>
        </w:rPr>
        <w:t>000</w:t>
      </w:r>
      <w:r w:rsidR="00786414" w:rsidRPr="00C568DF">
        <w:rPr>
          <w:rFonts w:cs="Arial"/>
          <w:i/>
          <w:iCs/>
          <w:szCs w:val="22"/>
        </w:rPr>
        <w:t> </w:t>
      </w:r>
      <w:r w:rsidRPr="00C568DF">
        <w:rPr>
          <w:rFonts w:cs="Arial"/>
          <w:i/>
          <w:iCs/>
          <w:szCs w:val="22"/>
        </w:rPr>
        <w:t>000</w:t>
      </w:r>
      <w:r w:rsidR="00786414" w:rsidRPr="00C568DF">
        <w:rPr>
          <w:rFonts w:cs="Arial"/>
          <w:i/>
          <w:iCs/>
          <w:szCs w:val="22"/>
        </w:rPr>
        <w:t> </w:t>
      </w:r>
      <w:r w:rsidRPr="00C568DF">
        <w:rPr>
          <w:rFonts w:cs="Arial"/>
          <w:i/>
          <w:iCs/>
          <w:szCs w:val="22"/>
        </w:rPr>
        <w:t>$ à mon meilleur souvenir, ce que j’ai immédiatement porté à la connaissance de M.</w:t>
      </w:r>
      <w:r w:rsidR="0005621D">
        <w:rPr>
          <w:rFonts w:cs="Arial"/>
          <w:i/>
          <w:iCs/>
          <w:szCs w:val="22"/>
        </w:rPr>
        <w:t> </w:t>
      </w:r>
      <w:r w:rsidRPr="00C568DF">
        <w:rPr>
          <w:rFonts w:cs="Arial"/>
          <w:i/>
          <w:iCs/>
          <w:szCs w:val="22"/>
        </w:rPr>
        <w:t>Giroux qui s’est contenté d’en parler à M.</w:t>
      </w:r>
      <w:r w:rsidR="0005621D">
        <w:rPr>
          <w:rFonts w:cs="Arial"/>
          <w:i/>
          <w:iCs/>
          <w:szCs w:val="22"/>
        </w:rPr>
        <w:t> </w:t>
      </w:r>
      <w:r w:rsidRPr="00C568DF">
        <w:rPr>
          <w:rFonts w:cs="Arial"/>
          <w:i/>
          <w:iCs/>
          <w:szCs w:val="22"/>
        </w:rPr>
        <w:t>Huot.</w:t>
      </w:r>
    </w:p>
    <w:p w14:paraId="792ADD68" w14:textId="77777777" w:rsidR="009034A3" w:rsidRPr="004A039A" w:rsidRDefault="00730A01" w:rsidP="00443B59">
      <w:pPr>
        <w:pStyle w:val="Titre2"/>
        <w:numPr>
          <w:ilvl w:val="5"/>
          <w:numId w:val="44"/>
        </w:numPr>
        <w:ind w:left="284" w:hanging="284"/>
        <w:rPr>
          <w:rFonts w:cs="Arial"/>
          <w:b w:val="0"/>
          <w:bCs/>
          <w:szCs w:val="24"/>
        </w:rPr>
      </w:pPr>
      <w:r w:rsidRPr="004A039A">
        <w:rPr>
          <w:rFonts w:cs="Arial"/>
          <w:bCs/>
          <w:szCs w:val="24"/>
        </w:rPr>
        <w:t>Les déclarations trompeuses quant à la suffisance et à la valeur des garanties avant la débâcle de février</w:t>
      </w:r>
      <w:r w:rsidR="0005621D">
        <w:rPr>
          <w:rFonts w:cs="Arial"/>
          <w:bCs/>
          <w:szCs w:val="24"/>
        </w:rPr>
        <w:t> </w:t>
      </w:r>
      <w:r w:rsidRPr="004A039A">
        <w:rPr>
          <w:rFonts w:cs="Arial"/>
          <w:bCs/>
          <w:szCs w:val="24"/>
        </w:rPr>
        <w:t>2023</w:t>
      </w:r>
    </w:p>
    <w:p w14:paraId="7C7CDAF0" w14:textId="77777777" w:rsidR="009034A3" w:rsidRPr="004A039A" w:rsidRDefault="00730A01" w:rsidP="0098012F">
      <w:pPr>
        <w:spacing w:after="120"/>
        <w:ind w:left="284"/>
        <w:rPr>
          <w:rFonts w:cs="Arial"/>
          <w:szCs w:val="24"/>
        </w:rPr>
      </w:pPr>
      <w:r w:rsidRPr="004A039A">
        <w:rPr>
          <w:rFonts w:cs="Arial"/>
          <w:szCs w:val="24"/>
        </w:rPr>
        <w:t>Giroux a déclaré qu’en février</w:t>
      </w:r>
      <w:r w:rsidR="0005621D">
        <w:rPr>
          <w:rFonts w:cs="Arial"/>
          <w:szCs w:val="24"/>
        </w:rPr>
        <w:t> </w:t>
      </w:r>
      <w:r w:rsidRPr="004A039A">
        <w:rPr>
          <w:rFonts w:cs="Arial"/>
          <w:szCs w:val="24"/>
        </w:rPr>
        <w:t>2023, les garanties de FIISH étaient suffisantes et même très bonnes</w:t>
      </w:r>
      <w:r>
        <w:rPr>
          <w:rStyle w:val="Appelnotedebasdep"/>
          <w:rFonts w:cs="Arial"/>
          <w:szCs w:val="24"/>
        </w:rPr>
        <w:footnoteReference w:id="460"/>
      </w:r>
      <w:r w:rsidR="0005621D">
        <w:rPr>
          <w:rFonts w:cs="Arial"/>
          <w:szCs w:val="24"/>
        </w:rPr>
        <w:t>.</w:t>
      </w:r>
    </w:p>
    <w:p w14:paraId="5CE81934" w14:textId="77777777" w:rsidR="00A632D6" w:rsidRPr="000A34ED" w:rsidRDefault="00730A01" w:rsidP="0098012F">
      <w:pPr>
        <w:spacing w:after="120"/>
        <w:ind w:left="851"/>
        <w:rPr>
          <w:rFonts w:cs="Arial"/>
          <w:i/>
          <w:iCs/>
          <w:sz w:val="22"/>
          <w:szCs w:val="22"/>
        </w:rPr>
      </w:pPr>
      <w:r w:rsidRPr="00990512">
        <w:rPr>
          <w:rFonts w:cs="Arial"/>
          <w:sz w:val="22"/>
          <w:szCs w:val="22"/>
        </w:rPr>
        <w:t>Q</w:t>
      </w:r>
      <w:r w:rsidR="00990512">
        <w:rPr>
          <w:rFonts w:cs="Arial"/>
          <w:i/>
          <w:iCs/>
          <w:sz w:val="22"/>
          <w:szCs w:val="22"/>
        </w:rPr>
        <w:t> :</w:t>
      </w:r>
      <w:r w:rsidRPr="000A34ED">
        <w:rPr>
          <w:rFonts w:cs="Arial"/>
          <w:i/>
          <w:iCs/>
          <w:sz w:val="22"/>
          <w:szCs w:val="22"/>
        </w:rPr>
        <w:t xml:space="preserve"> Février de quelle année?</w:t>
      </w:r>
    </w:p>
    <w:p w14:paraId="4F1BCF02" w14:textId="77777777" w:rsidR="00A632D6" w:rsidRPr="000A34ED" w:rsidRDefault="00730A01" w:rsidP="0098012F">
      <w:pPr>
        <w:spacing w:after="120"/>
        <w:ind w:left="851"/>
        <w:rPr>
          <w:rFonts w:cs="Arial"/>
          <w:i/>
          <w:iCs/>
          <w:sz w:val="22"/>
          <w:szCs w:val="22"/>
        </w:rPr>
      </w:pPr>
      <w:r w:rsidRPr="00990512">
        <w:rPr>
          <w:rFonts w:cs="Arial"/>
          <w:sz w:val="22"/>
          <w:szCs w:val="22"/>
        </w:rPr>
        <w:t>R</w:t>
      </w:r>
      <w:r>
        <w:rPr>
          <w:rFonts w:cs="Arial"/>
          <w:i/>
          <w:iCs/>
          <w:sz w:val="22"/>
          <w:szCs w:val="22"/>
        </w:rPr>
        <w:t> :</w:t>
      </w:r>
      <w:r w:rsidR="009034A3" w:rsidRPr="000A34ED">
        <w:rPr>
          <w:rFonts w:cs="Arial"/>
          <w:i/>
          <w:iCs/>
          <w:sz w:val="22"/>
          <w:szCs w:val="22"/>
        </w:rPr>
        <w:t xml:space="preserve"> Bien, 2023. Juste avant...</w:t>
      </w:r>
    </w:p>
    <w:p w14:paraId="78E167E0" w14:textId="77777777" w:rsidR="00A632D6" w:rsidRPr="000A34ED" w:rsidRDefault="00730A01" w:rsidP="0098012F">
      <w:pPr>
        <w:spacing w:after="120"/>
        <w:ind w:left="851"/>
        <w:rPr>
          <w:rFonts w:cs="Arial"/>
          <w:i/>
          <w:iCs/>
          <w:sz w:val="22"/>
          <w:szCs w:val="22"/>
        </w:rPr>
      </w:pPr>
      <w:r w:rsidRPr="00990512">
        <w:rPr>
          <w:rFonts w:cs="Arial"/>
          <w:sz w:val="22"/>
          <w:szCs w:val="22"/>
        </w:rPr>
        <w:t>Q</w:t>
      </w:r>
      <w:r w:rsidR="00990512">
        <w:rPr>
          <w:rFonts w:cs="Arial"/>
          <w:sz w:val="22"/>
          <w:szCs w:val="22"/>
        </w:rPr>
        <w:t> :</w:t>
      </w:r>
      <w:r w:rsidRPr="000A34ED">
        <w:rPr>
          <w:rFonts w:cs="Arial"/>
          <w:i/>
          <w:iCs/>
          <w:sz w:val="22"/>
          <w:szCs w:val="22"/>
        </w:rPr>
        <w:t xml:space="preserve"> Oui, mais là, il est tard un peu.</w:t>
      </w:r>
    </w:p>
    <w:p w14:paraId="7A5AE8A5" w14:textId="77777777" w:rsidR="00A632D6" w:rsidRPr="000A34ED" w:rsidRDefault="00730A01" w:rsidP="0098012F">
      <w:pPr>
        <w:spacing w:after="120"/>
        <w:ind w:left="851"/>
        <w:rPr>
          <w:rFonts w:cs="Arial"/>
          <w:i/>
          <w:iCs/>
          <w:sz w:val="22"/>
          <w:szCs w:val="22"/>
        </w:rPr>
      </w:pPr>
      <w:r w:rsidRPr="00990512">
        <w:rPr>
          <w:rFonts w:cs="Arial"/>
          <w:sz w:val="22"/>
          <w:szCs w:val="22"/>
        </w:rPr>
        <w:t>R</w:t>
      </w:r>
      <w:r w:rsidR="00990512">
        <w:rPr>
          <w:rFonts w:cs="Arial"/>
          <w:sz w:val="22"/>
          <w:szCs w:val="22"/>
        </w:rPr>
        <w:t> :</w:t>
      </w:r>
      <w:r w:rsidRPr="000A34ED">
        <w:rPr>
          <w:rFonts w:cs="Arial"/>
          <w:i/>
          <w:iCs/>
          <w:sz w:val="22"/>
          <w:szCs w:val="22"/>
        </w:rPr>
        <w:t xml:space="preserve"> ... la débâcle, je l'ai demandé.</w:t>
      </w:r>
    </w:p>
    <w:p w14:paraId="0C9BEDEB" w14:textId="77777777" w:rsidR="00A632D6" w:rsidRPr="000A34ED" w:rsidRDefault="00730A01" w:rsidP="0098012F">
      <w:pPr>
        <w:spacing w:after="120"/>
        <w:ind w:left="851"/>
        <w:rPr>
          <w:rFonts w:cs="Arial"/>
          <w:i/>
          <w:iCs/>
          <w:sz w:val="22"/>
          <w:szCs w:val="22"/>
        </w:rPr>
      </w:pPr>
      <w:r w:rsidRPr="00990512">
        <w:rPr>
          <w:rFonts w:cs="Arial"/>
          <w:sz w:val="22"/>
          <w:szCs w:val="22"/>
        </w:rPr>
        <w:t>Q</w:t>
      </w:r>
      <w:r w:rsidR="00990512">
        <w:rPr>
          <w:rFonts w:cs="Arial"/>
          <w:sz w:val="22"/>
          <w:szCs w:val="22"/>
        </w:rPr>
        <w:t> :</w:t>
      </w:r>
      <w:r w:rsidRPr="000A34ED">
        <w:rPr>
          <w:rFonts w:cs="Arial"/>
          <w:i/>
          <w:iCs/>
          <w:sz w:val="22"/>
          <w:szCs w:val="22"/>
        </w:rPr>
        <w:t xml:space="preserve"> Il est tard un peu.</w:t>
      </w:r>
    </w:p>
    <w:p w14:paraId="5502FA1B" w14:textId="77777777" w:rsidR="00A632D6" w:rsidRPr="000A34ED" w:rsidRDefault="00730A01" w:rsidP="0098012F">
      <w:pPr>
        <w:spacing w:after="120"/>
        <w:ind w:left="851"/>
        <w:rPr>
          <w:rFonts w:cs="Arial"/>
          <w:i/>
          <w:iCs/>
          <w:sz w:val="22"/>
          <w:szCs w:val="22"/>
        </w:rPr>
      </w:pPr>
      <w:r w:rsidRPr="00990512">
        <w:rPr>
          <w:rFonts w:cs="Arial"/>
          <w:sz w:val="22"/>
          <w:szCs w:val="22"/>
        </w:rPr>
        <w:t>R</w:t>
      </w:r>
      <w:r w:rsidR="00990512">
        <w:rPr>
          <w:rFonts w:cs="Arial"/>
          <w:sz w:val="22"/>
          <w:szCs w:val="22"/>
        </w:rPr>
        <w:t> :</w:t>
      </w:r>
      <w:r w:rsidRPr="000A34ED">
        <w:rPr>
          <w:rFonts w:cs="Arial"/>
          <w:i/>
          <w:iCs/>
          <w:sz w:val="22"/>
          <w:szCs w:val="22"/>
        </w:rPr>
        <w:t xml:space="preserve"> Bien, parce qu'on jugeait que nos garanties étaient suffisantes, on n'était pas...</w:t>
      </w:r>
    </w:p>
    <w:p w14:paraId="6E41BE50" w14:textId="77777777" w:rsidR="00A632D6" w:rsidRPr="000A34ED" w:rsidRDefault="00730A01" w:rsidP="0098012F">
      <w:pPr>
        <w:spacing w:after="120"/>
        <w:ind w:left="851"/>
        <w:rPr>
          <w:rFonts w:cs="Arial"/>
          <w:i/>
          <w:iCs/>
          <w:sz w:val="22"/>
          <w:szCs w:val="22"/>
        </w:rPr>
      </w:pPr>
      <w:r w:rsidRPr="00990512">
        <w:rPr>
          <w:rFonts w:cs="Arial"/>
          <w:sz w:val="22"/>
          <w:szCs w:val="22"/>
        </w:rPr>
        <w:t>Q</w:t>
      </w:r>
      <w:r w:rsidR="00990512">
        <w:rPr>
          <w:rFonts w:cs="Arial"/>
          <w:sz w:val="22"/>
          <w:szCs w:val="22"/>
        </w:rPr>
        <w:t> :</w:t>
      </w:r>
      <w:r w:rsidRPr="000A34ED">
        <w:rPr>
          <w:rFonts w:cs="Arial"/>
          <w:i/>
          <w:iCs/>
          <w:sz w:val="22"/>
          <w:szCs w:val="22"/>
        </w:rPr>
        <w:t xml:space="preserve"> Mais monsieur...</w:t>
      </w:r>
    </w:p>
    <w:p w14:paraId="6B2F0177" w14:textId="77777777" w:rsidR="00A632D6" w:rsidRPr="000A34ED" w:rsidRDefault="00730A01" w:rsidP="0098012F">
      <w:pPr>
        <w:spacing w:after="120"/>
        <w:ind w:left="851"/>
        <w:rPr>
          <w:rFonts w:cs="Arial"/>
          <w:i/>
          <w:iCs/>
          <w:sz w:val="22"/>
          <w:szCs w:val="22"/>
        </w:rPr>
      </w:pPr>
      <w:r w:rsidRPr="00990512">
        <w:rPr>
          <w:rFonts w:cs="Arial"/>
          <w:sz w:val="22"/>
          <w:szCs w:val="22"/>
        </w:rPr>
        <w:t>R</w:t>
      </w:r>
      <w:r w:rsidR="00990512">
        <w:rPr>
          <w:rFonts w:cs="Arial"/>
          <w:sz w:val="22"/>
          <w:szCs w:val="22"/>
        </w:rPr>
        <w:t> :</w:t>
      </w:r>
      <w:r w:rsidRPr="000A34ED">
        <w:rPr>
          <w:rFonts w:cs="Arial"/>
          <w:i/>
          <w:iCs/>
          <w:sz w:val="22"/>
          <w:szCs w:val="22"/>
        </w:rPr>
        <w:t xml:space="preserve"> ... on n'était pas nerveux...</w:t>
      </w:r>
    </w:p>
    <w:p w14:paraId="05581C8F" w14:textId="77777777" w:rsidR="00C568DF" w:rsidRPr="000A34ED" w:rsidRDefault="00730A01" w:rsidP="0098012F">
      <w:pPr>
        <w:spacing w:after="120"/>
        <w:ind w:left="851"/>
        <w:rPr>
          <w:rFonts w:cs="Arial"/>
          <w:i/>
          <w:iCs/>
          <w:sz w:val="22"/>
          <w:szCs w:val="22"/>
        </w:rPr>
      </w:pPr>
      <w:r w:rsidRPr="00990512">
        <w:rPr>
          <w:rFonts w:cs="Arial"/>
          <w:sz w:val="22"/>
          <w:szCs w:val="22"/>
        </w:rPr>
        <w:t>Q</w:t>
      </w:r>
      <w:r w:rsidR="00990512">
        <w:rPr>
          <w:rFonts w:cs="Arial"/>
          <w:sz w:val="22"/>
          <w:szCs w:val="22"/>
        </w:rPr>
        <w:t> :</w:t>
      </w:r>
      <w:r w:rsidRPr="000A34ED">
        <w:rPr>
          <w:rFonts w:cs="Arial"/>
          <w:i/>
          <w:iCs/>
          <w:sz w:val="22"/>
          <w:szCs w:val="22"/>
        </w:rPr>
        <w:t xml:space="preserve"> ... monsieur Giroux, si je vous dis...</w:t>
      </w:r>
    </w:p>
    <w:p w14:paraId="204C43D6" w14:textId="77777777" w:rsidR="009034A3" w:rsidRPr="000A34ED" w:rsidRDefault="00730A01" w:rsidP="0098012F">
      <w:pPr>
        <w:spacing w:after="240"/>
        <w:ind w:left="851"/>
        <w:rPr>
          <w:rFonts w:cs="Arial"/>
          <w:sz w:val="22"/>
          <w:szCs w:val="22"/>
        </w:rPr>
      </w:pPr>
      <w:r w:rsidRPr="00990512">
        <w:rPr>
          <w:rFonts w:cs="Arial"/>
          <w:sz w:val="22"/>
          <w:szCs w:val="22"/>
        </w:rPr>
        <w:t>R</w:t>
      </w:r>
      <w:r w:rsidR="00990512">
        <w:rPr>
          <w:rFonts w:cs="Arial"/>
          <w:sz w:val="22"/>
          <w:szCs w:val="22"/>
        </w:rPr>
        <w:t> :</w:t>
      </w:r>
      <w:r w:rsidRPr="000A34ED">
        <w:rPr>
          <w:rFonts w:cs="Arial"/>
          <w:i/>
          <w:iCs/>
          <w:sz w:val="22"/>
          <w:szCs w:val="22"/>
        </w:rPr>
        <w:t xml:space="preserve"> ... les garanties étaient très bonnes à cette époque-là.</w:t>
      </w:r>
    </w:p>
    <w:p w14:paraId="28D330D3" w14:textId="77777777" w:rsidR="00C568DF" w:rsidRDefault="00730A01" w:rsidP="0098012F">
      <w:pPr>
        <w:ind w:left="284"/>
        <w:rPr>
          <w:rFonts w:cs="Arial"/>
          <w:szCs w:val="24"/>
        </w:rPr>
      </w:pPr>
      <w:r w:rsidRPr="004A039A">
        <w:rPr>
          <w:rFonts w:cs="Arial"/>
          <w:szCs w:val="24"/>
        </w:rPr>
        <w:t>Giroux a ensuite reconnu, dans une déclaration postérieure, que les garanties avaient perdu leur valeur.</w:t>
      </w:r>
    </w:p>
    <w:p w14:paraId="4904DE73" w14:textId="77777777" w:rsidR="009034A3" w:rsidRPr="004A039A" w:rsidRDefault="00730A01" w:rsidP="0098012F">
      <w:pPr>
        <w:spacing w:before="120"/>
        <w:ind w:left="284"/>
        <w:rPr>
          <w:rFonts w:cs="Arial"/>
          <w:szCs w:val="24"/>
        </w:rPr>
      </w:pPr>
      <w:r w:rsidRPr="004A039A">
        <w:rPr>
          <w:rFonts w:cs="Arial"/>
          <w:szCs w:val="24"/>
        </w:rPr>
        <w:t>Dans sa Déclaration sous serment amendée du 25</w:t>
      </w:r>
      <w:r w:rsidR="0005621D">
        <w:rPr>
          <w:rFonts w:cs="Arial"/>
          <w:szCs w:val="24"/>
        </w:rPr>
        <w:t> </w:t>
      </w:r>
      <w:r w:rsidRPr="004A039A">
        <w:rPr>
          <w:rFonts w:cs="Arial"/>
          <w:szCs w:val="24"/>
        </w:rPr>
        <w:t>août</w:t>
      </w:r>
      <w:r w:rsidR="0005621D">
        <w:rPr>
          <w:rFonts w:cs="Arial"/>
          <w:szCs w:val="24"/>
        </w:rPr>
        <w:t> </w:t>
      </w:r>
      <w:r w:rsidRPr="004A039A">
        <w:rPr>
          <w:rFonts w:cs="Arial"/>
          <w:szCs w:val="24"/>
        </w:rPr>
        <w:t>2023</w:t>
      </w:r>
      <w:r>
        <w:rPr>
          <w:rStyle w:val="Appelnotedebasdep"/>
          <w:rFonts w:cs="Arial"/>
          <w:szCs w:val="24"/>
        </w:rPr>
        <w:footnoteReference w:id="461"/>
      </w:r>
      <w:r w:rsidRPr="004A039A">
        <w:rPr>
          <w:rFonts w:cs="Arial"/>
          <w:szCs w:val="24"/>
        </w:rPr>
        <w:t xml:space="preserve"> il mentionne :</w:t>
      </w:r>
    </w:p>
    <w:p w14:paraId="5AD6CCC6" w14:textId="77777777" w:rsidR="00C568DF" w:rsidRPr="00D96D4B" w:rsidRDefault="00730A01" w:rsidP="0062423C">
      <w:pPr>
        <w:pStyle w:val="Citationenretrait"/>
      </w:pPr>
      <w:r w:rsidRPr="00D96D4B">
        <w:t>Dans le contexte de Stéphane Huot et du financement accordé par FIISH, les augmentations de taux d'intérêt, et par conséquent l'augmentation des taux de capitalisation, ont fait diminuer la valeur des propriétés du portefeuille. Cette baisse de valeur a inévitablement réduit l'équité sous garantie. En effet, l'équité du portefeuille de Stéphane Huot, sel</w:t>
      </w:r>
      <w:r w:rsidR="00A632D6" w:rsidRPr="00D96D4B">
        <w:t>on</w:t>
      </w:r>
      <w:r w:rsidRPr="00D96D4B">
        <w:t xml:space="preserve"> les rapports d'évaluation en main (datant principalement de</w:t>
      </w:r>
      <w:r w:rsidR="0005621D">
        <w:t> </w:t>
      </w:r>
      <w:r w:rsidRPr="00D96D4B">
        <w:t>2021-2022), démontrait une équité de +/-</w:t>
      </w:r>
      <w:r w:rsidR="0005621D">
        <w:t> </w:t>
      </w:r>
      <w:r w:rsidRPr="00D96D4B">
        <w:t>239.8</w:t>
      </w:r>
      <w:r w:rsidR="0005621D">
        <w:t> </w:t>
      </w:r>
      <w:r w:rsidRPr="00D96D4B">
        <w:t>M$. Pour chaque augmentation de 0.10 % du TGA, l'équité a diminué d'approximativement 20</w:t>
      </w:r>
      <w:r w:rsidR="0005621D">
        <w:t> </w:t>
      </w:r>
      <w:r w:rsidRPr="00D96D4B">
        <w:t>M$. Ainsi, les transactions à un TGA potentiel de +/-</w:t>
      </w:r>
      <w:r w:rsidR="0005621D">
        <w:t> </w:t>
      </w:r>
      <w:r w:rsidRPr="00D96D4B">
        <w:t>4.15</w:t>
      </w:r>
      <w:r w:rsidR="0005621D">
        <w:t> </w:t>
      </w:r>
      <w:r w:rsidRPr="00D96D4B">
        <w:t>% en début</w:t>
      </w:r>
      <w:r w:rsidR="0005621D">
        <w:t> </w:t>
      </w:r>
      <w:r w:rsidRPr="00D96D4B">
        <w:t>2022 se négocieraient plus près d'un TGA de 5.00</w:t>
      </w:r>
      <w:r w:rsidR="0005621D">
        <w:t> </w:t>
      </w:r>
      <w:r w:rsidRPr="00D96D4B">
        <w:t>% à l'heure actuelle, ce qui se traduit par une perte de valeur d’environ 20</w:t>
      </w:r>
      <w:r w:rsidR="0005621D">
        <w:t> </w:t>
      </w:r>
      <w:r w:rsidRPr="00D96D4B">
        <w:t>% sur la valeur marchande des immeubles.</w:t>
      </w:r>
    </w:p>
    <w:p w14:paraId="7D7AB074" w14:textId="77777777" w:rsidR="009034A3" w:rsidRDefault="00730A01" w:rsidP="0062423C">
      <w:pPr>
        <w:pStyle w:val="Citationenretrait"/>
      </w:pPr>
      <w:r w:rsidRPr="00D96D4B">
        <w:t>Cette perte de valeur a progressivement fait passer l'équité sous garantie de Stéphane Huot de +/-</w:t>
      </w:r>
      <w:r w:rsidR="0005621D">
        <w:t> </w:t>
      </w:r>
      <w:r w:rsidRPr="00D96D4B">
        <w:t>239.8</w:t>
      </w:r>
      <w:r w:rsidR="0005621D">
        <w:t> </w:t>
      </w:r>
      <w:r w:rsidRPr="00D96D4B">
        <w:t>M$ en début</w:t>
      </w:r>
      <w:r w:rsidR="0005621D">
        <w:t> </w:t>
      </w:r>
      <w:r w:rsidRPr="00D96D4B">
        <w:t>2022 à un montant estimé entre 50</w:t>
      </w:r>
      <w:r w:rsidR="0005621D">
        <w:t> </w:t>
      </w:r>
      <w:r w:rsidRPr="00D96D4B">
        <w:t>M$ et 70</w:t>
      </w:r>
      <w:r w:rsidR="0005621D">
        <w:t> </w:t>
      </w:r>
      <w:r w:rsidRPr="00D96D4B">
        <w:t>M$ avant d’initier les procédures en février</w:t>
      </w:r>
      <w:r w:rsidR="0005621D">
        <w:t> </w:t>
      </w:r>
      <w:r w:rsidRPr="00D96D4B">
        <w:t>2023 (*strictement en termes de valeur, sans compter les arrérages de taxes et hypothèques légales connues lors de la prise de démarches*).</w:t>
      </w:r>
    </w:p>
    <w:p w14:paraId="66D03AE3" w14:textId="77777777" w:rsidR="001237A7" w:rsidRDefault="00730A01" w:rsidP="001237A7">
      <w:pPr>
        <w:pStyle w:val="Paragraphedeliste"/>
        <w:tabs>
          <w:tab w:val="left" w:pos="3686"/>
        </w:tabs>
        <w:spacing w:before="120"/>
        <w:jc w:val="both"/>
        <w:rPr>
          <w:rFonts w:cs="Arial"/>
          <w:i/>
          <w:iCs/>
          <w:sz w:val="22"/>
          <w:szCs w:val="22"/>
        </w:rPr>
      </w:pPr>
      <w:r>
        <w:rPr>
          <w:rFonts w:cs="Arial"/>
          <w:i/>
          <w:iCs/>
          <w:sz w:val="22"/>
          <w:szCs w:val="22"/>
        </w:rPr>
        <w:tab/>
        <w:t>* * *</w:t>
      </w:r>
    </w:p>
    <w:p w14:paraId="5D701445" w14:textId="77777777" w:rsidR="009034A3" w:rsidRPr="00464963" w:rsidRDefault="00730A01" w:rsidP="00443B59">
      <w:pPr>
        <w:pStyle w:val="Titre1"/>
        <w:numPr>
          <w:ilvl w:val="2"/>
          <w:numId w:val="44"/>
        </w:numPr>
        <w:ind w:left="567" w:hanging="567"/>
        <w:rPr>
          <w:rFonts w:cs="Arial"/>
          <w:color w:val="000000" w:themeColor="text1"/>
          <w:sz w:val="24"/>
          <w:szCs w:val="24"/>
        </w:rPr>
      </w:pPr>
      <w:r w:rsidRPr="00464963">
        <w:rPr>
          <w:rFonts w:cs="Arial"/>
          <w:caps/>
          <w:color w:val="000000" w:themeColor="text1"/>
          <w:sz w:val="24"/>
          <w:szCs w:val="24"/>
        </w:rPr>
        <w:t>La production à la Cour de bilans tronqués</w:t>
      </w:r>
    </w:p>
    <w:p w14:paraId="2FC673EF" w14:textId="77777777" w:rsidR="009034A3" w:rsidRPr="000763AD" w:rsidRDefault="00730A01" w:rsidP="00443B59">
      <w:pPr>
        <w:pStyle w:val="Titre2"/>
        <w:numPr>
          <w:ilvl w:val="5"/>
          <w:numId w:val="44"/>
        </w:numPr>
        <w:ind w:left="284" w:hanging="284"/>
      </w:pPr>
      <w:r w:rsidRPr="000763AD">
        <w:t xml:space="preserve">Les déclarations trompeuses quant à son bilan </w:t>
      </w:r>
    </w:p>
    <w:p w14:paraId="6B5A5BA2" w14:textId="77777777" w:rsidR="0078454F" w:rsidRDefault="00730A01" w:rsidP="0062423C">
      <w:pPr>
        <w:spacing w:before="120"/>
        <w:ind w:left="284"/>
        <w:jc w:val="both"/>
        <w:rPr>
          <w:rFonts w:cs="Arial"/>
          <w:szCs w:val="24"/>
        </w:rPr>
      </w:pPr>
      <w:r w:rsidRPr="004A039A">
        <w:rPr>
          <w:rFonts w:cs="Arial"/>
          <w:szCs w:val="24"/>
        </w:rPr>
        <w:t>Giroux a présenté, au stade de l’injonction interlocutoire, des bilans attestant qu’il détenait des actifs pour plus de 170</w:t>
      </w:r>
      <w:r w:rsidR="00D8322E">
        <w:rPr>
          <w:rFonts w:cs="Arial"/>
          <w:szCs w:val="24"/>
        </w:rPr>
        <w:t> </w:t>
      </w:r>
      <w:r w:rsidRPr="004A039A">
        <w:rPr>
          <w:rFonts w:cs="Arial"/>
          <w:szCs w:val="24"/>
        </w:rPr>
        <w:t xml:space="preserve">M$. </w:t>
      </w:r>
    </w:p>
    <w:p w14:paraId="047A3E75" w14:textId="77777777" w:rsidR="0078454F" w:rsidRPr="0078454F" w:rsidRDefault="00730A01" w:rsidP="0042740E">
      <w:pPr>
        <w:pStyle w:val="Paragraphedeliste"/>
        <w:numPr>
          <w:ilvl w:val="0"/>
          <w:numId w:val="20"/>
        </w:numPr>
        <w:spacing w:before="120" w:after="120"/>
        <w:ind w:left="1434" w:hanging="357"/>
        <w:jc w:val="both"/>
        <w:rPr>
          <w:rFonts w:cs="Arial"/>
          <w:szCs w:val="24"/>
        </w:rPr>
      </w:pPr>
      <w:r w:rsidRPr="0078454F">
        <w:rPr>
          <w:rFonts w:cs="Arial"/>
          <w:szCs w:val="24"/>
        </w:rPr>
        <w:t>Déclaration sous serment sur actifs du 5</w:t>
      </w:r>
      <w:r w:rsidR="00D8322E">
        <w:rPr>
          <w:rFonts w:cs="Arial"/>
          <w:szCs w:val="24"/>
        </w:rPr>
        <w:t> </w:t>
      </w:r>
      <w:r w:rsidRPr="0078454F">
        <w:rPr>
          <w:rFonts w:cs="Arial"/>
          <w:szCs w:val="24"/>
        </w:rPr>
        <w:t>juillet</w:t>
      </w:r>
      <w:r w:rsidR="00D8322E">
        <w:rPr>
          <w:rFonts w:cs="Arial"/>
          <w:szCs w:val="24"/>
        </w:rPr>
        <w:t> </w:t>
      </w:r>
      <w:r w:rsidRPr="0078454F">
        <w:rPr>
          <w:rFonts w:cs="Arial"/>
          <w:szCs w:val="24"/>
        </w:rPr>
        <w:t>2023</w:t>
      </w:r>
      <w:r>
        <w:rPr>
          <w:rStyle w:val="Appelnotedebasdep"/>
          <w:rFonts w:cs="Arial"/>
          <w:szCs w:val="24"/>
        </w:rPr>
        <w:footnoteReference w:id="462"/>
      </w:r>
      <w:r w:rsidRPr="0078454F">
        <w:rPr>
          <w:rFonts w:cs="Arial"/>
          <w:szCs w:val="24"/>
        </w:rPr>
        <w:t> : valeur déclarée de 209</w:t>
      </w:r>
      <w:r w:rsidR="00D96D4B" w:rsidRPr="0078454F">
        <w:rPr>
          <w:rFonts w:cs="Arial"/>
          <w:szCs w:val="24"/>
        </w:rPr>
        <w:t> </w:t>
      </w:r>
      <w:r w:rsidRPr="0078454F">
        <w:rPr>
          <w:rFonts w:cs="Arial"/>
          <w:szCs w:val="24"/>
        </w:rPr>
        <w:t>545</w:t>
      </w:r>
      <w:r w:rsidR="00D96D4B" w:rsidRPr="0078454F">
        <w:rPr>
          <w:rFonts w:cs="Arial"/>
          <w:szCs w:val="24"/>
        </w:rPr>
        <w:t> </w:t>
      </w:r>
      <w:r w:rsidRPr="0078454F">
        <w:rPr>
          <w:rFonts w:cs="Arial"/>
          <w:szCs w:val="24"/>
        </w:rPr>
        <w:t>744</w:t>
      </w:r>
      <w:r w:rsidR="00D96D4B" w:rsidRPr="0078454F">
        <w:rPr>
          <w:rFonts w:cs="Arial"/>
          <w:szCs w:val="24"/>
        </w:rPr>
        <w:t> </w:t>
      </w:r>
      <w:r w:rsidRPr="0078454F">
        <w:rPr>
          <w:rFonts w:cs="Arial"/>
          <w:szCs w:val="24"/>
        </w:rPr>
        <w:t xml:space="preserve">$. </w:t>
      </w:r>
    </w:p>
    <w:p w14:paraId="60BAB17E" w14:textId="77777777" w:rsidR="0078454F" w:rsidRPr="0078454F" w:rsidRDefault="00730A01" w:rsidP="0042740E">
      <w:pPr>
        <w:pStyle w:val="Paragraphedeliste"/>
        <w:numPr>
          <w:ilvl w:val="0"/>
          <w:numId w:val="20"/>
        </w:numPr>
        <w:spacing w:before="120"/>
        <w:jc w:val="both"/>
        <w:rPr>
          <w:rFonts w:cs="Arial"/>
          <w:szCs w:val="24"/>
        </w:rPr>
      </w:pPr>
      <w:r w:rsidRPr="0078454F">
        <w:rPr>
          <w:rFonts w:cs="Arial"/>
          <w:szCs w:val="24"/>
        </w:rPr>
        <w:t>Déclaration sous serment sur actifs du 19</w:t>
      </w:r>
      <w:r w:rsidR="00D8322E">
        <w:rPr>
          <w:rFonts w:cs="Arial"/>
          <w:szCs w:val="24"/>
        </w:rPr>
        <w:t> </w:t>
      </w:r>
      <w:r w:rsidRPr="0078454F">
        <w:rPr>
          <w:rFonts w:cs="Arial"/>
          <w:szCs w:val="24"/>
        </w:rPr>
        <w:t>juillet</w:t>
      </w:r>
      <w:r w:rsidR="00D8322E">
        <w:rPr>
          <w:rFonts w:cs="Arial"/>
          <w:szCs w:val="24"/>
        </w:rPr>
        <w:t> </w:t>
      </w:r>
      <w:r w:rsidRPr="0078454F">
        <w:rPr>
          <w:rFonts w:cs="Arial"/>
          <w:szCs w:val="24"/>
        </w:rPr>
        <w:t>2023</w:t>
      </w:r>
      <w:r>
        <w:rPr>
          <w:rStyle w:val="Appelnotedebasdep"/>
          <w:rFonts w:cs="Arial"/>
          <w:szCs w:val="24"/>
        </w:rPr>
        <w:footnoteReference w:id="463"/>
      </w:r>
      <w:r w:rsidRPr="0078454F">
        <w:rPr>
          <w:rFonts w:cs="Arial"/>
          <w:szCs w:val="24"/>
        </w:rPr>
        <w:t> : valeur déclarée de 216</w:t>
      </w:r>
      <w:r w:rsidR="00D8322E">
        <w:rPr>
          <w:rFonts w:cs="Arial"/>
          <w:szCs w:val="24"/>
        </w:rPr>
        <w:t> </w:t>
      </w:r>
      <w:r w:rsidRPr="0078454F">
        <w:rPr>
          <w:rFonts w:cs="Arial"/>
          <w:szCs w:val="24"/>
        </w:rPr>
        <w:t>398</w:t>
      </w:r>
      <w:r w:rsidR="00D8322E">
        <w:rPr>
          <w:rFonts w:cs="Arial"/>
          <w:szCs w:val="24"/>
        </w:rPr>
        <w:t> </w:t>
      </w:r>
      <w:r w:rsidRPr="0078454F">
        <w:rPr>
          <w:rFonts w:cs="Arial"/>
          <w:szCs w:val="24"/>
        </w:rPr>
        <w:t>982</w:t>
      </w:r>
      <w:r w:rsidR="00D8322E">
        <w:rPr>
          <w:rFonts w:cs="Arial"/>
          <w:szCs w:val="24"/>
        </w:rPr>
        <w:t> </w:t>
      </w:r>
      <w:r w:rsidRPr="0078454F">
        <w:rPr>
          <w:rFonts w:cs="Arial"/>
          <w:szCs w:val="24"/>
        </w:rPr>
        <w:t xml:space="preserve">$. </w:t>
      </w:r>
    </w:p>
    <w:p w14:paraId="7538284E" w14:textId="77777777" w:rsidR="00D96D4B" w:rsidRPr="0078454F" w:rsidRDefault="00730A01" w:rsidP="0042740E">
      <w:pPr>
        <w:pStyle w:val="Paragraphedeliste"/>
        <w:numPr>
          <w:ilvl w:val="0"/>
          <w:numId w:val="20"/>
        </w:numPr>
        <w:spacing w:before="120"/>
        <w:jc w:val="both"/>
        <w:rPr>
          <w:rFonts w:cs="Arial"/>
          <w:szCs w:val="24"/>
        </w:rPr>
      </w:pPr>
      <w:r w:rsidRPr="0078454F">
        <w:rPr>
          <w:rFonts w:cs="Arial"/>
          <w:szCs w:val="24"/>
        </w:rPr>
        <w:t>Déclaration sous serment sur actifs du 15</w:t>
      </w:r>
      <w:r w:rsidR="00D8322E">
        <w:rPr>
          <w:rFonts w:cs="Arial"/>
          <w:szCs w:val="24"/>
        </w:rPr>
        <w:t> </w:t>
      </w:r>
      <w:r w:rsidRPr="0078454F">
        <w:rPr>
          <w:rFonts w:cs="Arial"/>
          <w:szCs w:val="24"/>
        </w:rPr>
        <w:t>septembre</w:t>
      </w:r>
      <w:r w:rsidR="00D8322E">
        <w:rPr>
          <w:rFonts w:cs="Arial"/>
          <w:szCs w:val="24"/>
        </w:rPr>
        <w:t> </w:t>
      </w:r>
      <w:r w:rsidRPr="0078454F">
        <w:rPr>
          <w:rFonts w:cs="Arial"/>
          <w:szCs w:val="24"/>
        </w:rPr>
        <w:t>2023</w:t>
      </w:r>
      <w:r>
        <w:rPr>
          <w:rStyle w:val="Appelnotedebasdep"/>
          <w:rFonts w:cs="Arial"/>
          <w:szCs w:val="24"/>
        </w:rPr>
        <w:footnoteReference w:id="464"/>
      </w:r>
      <w:r w:rsidR="0078454F" w:rsidRPr="0078454F">
        <w:rPr>
          <w:rFonts w:cs="Arial"/>
          <w:szCs w:val="24"/>
        </w:rPr>
        <w:t> </w:t>
      </w:r>
      <w:r w:rsidRPr="0078454F">
        <w:rPr>
          <w:rFonts w:cs="Arial"/>
          <w:szCs w:val="24"/>
        </w:rPr>
        <w:t>: valeur déclarée de 170 156 341 $, en tenant compte des passifs et des provisions comptables.</w:t>
      </w:r>
    </w:p>
    <w:p w14:paraId="066F2A02" w14:textId="77777777" w:rsidR="009034A3" w:rsidRDefault="00730A01" w:rsidP="0062423C">
      <w:pPr>
        <w:spacing w:before="120"/>
        <w:ind w:left="284"/>
        <w:jc w:val="both"/>
        <w:rPr>
          <w:rFonts w:cs="Arial"/>
          <w:szCs w:val="24"/>
        </w:rPr>
      </w:pPr>
      <w:r w:rsidRPr="004A039A">
        <w:rPr>
          <w:rFonts w:cs="Arial"/>
          <w:szCs w:val="24"/>
        </w:rPr>
        <w:t>La preuve d’expertise a pu démontrer la fausseté de ces bilans, la valeur réelle du bilan de Giroux étant estimée à 37</w:t>
      </w:r>
      <w:r w:rsidR="00D96D4B">
        <w:rPr>
          <w:rFonts w:cs="Arial"/>
          <w:szCs w:val="24"/>
        </w:rPr>
        <w:t> </w:t>
      </w:r>
      <w:r w:rsidRPr="004A039A">
        <w:rPr>
          <w:rFonts w:cs="Arial"/>
          <w:szCs w:val="24"/>
        </w:rPr>
        <w:t>M$</w:t>
      </w:r>
      <w:r>
        <w:rPr>
          <w:rStyle w:val="Appelnotedebasdep"/>
          <w:rFonts w:cs="Arial"/>
          <w:szCs w:val="24"/>
        </w:rPr>
        <w:footnoteReference w:id="465"/>
      </w:r>
      <w:r w:rsidR="00D96D4B">
        <w:rPr>
          <w:rFonts w:cs="Arial"/>
          <w:szCs w:val="24"/>
        </w:rPr>
        <w:t xml:space="preserve">. </w:t>
      </w:r>
      <w:r w:rsidRPr="004A039A">
        <w:rPr>
          <w:rFonts w:cs="Arial"/>
          <w:szCs w:val="24"/>
        </w:rPr>
        <w:t>Lors de son interrogatoire au procès, Giroux a d’ailleurs reconnu que si un immeuble est hypothéqué «</w:t>
      </w:r>
      <w:r w:rsidR="00D8322E">
        <w:rPr>
          <w:rFonts w:cs="Arial"/>
          <w:szCs w:val="24"/>
        </w:rPr>
        <w:t> </w:t>
      </w:r>
      <w:r w:rsidRPr="004A039A">
        <w:rPr>
          <w:rFonts w:cs="Arial"/>
          <w:szCs w:val="24"/>
        </w:rPr>
        <w:t>au bouchon</w:t>
      </w:r>
      <w:r w:rsidR="00D8322E">
        <w:rPr>
          <w:rFonts w:cs="Arial"/>
          <w:szCs w:val="24"/>
        </w:rPr>
        <w:t> </w:t>
      </w:r>
      <w:r w:rsidRPr="004A039A">
        <w:rPr>
          <w:rFonts w:cs="Arial"/>
          <w:szCs w:val="24"/>
        </w:rPr>
        <w:t>», il vaut nécessairement moins que sa valeur déclarée</w:t>
      </w:r>
      <w:r>
        <w:rPr>
          <w:rStyle w:val="Appelnotedebasdep"/>
          <w:rFonts w:cs="Arial"/>
          <w:szCs w:val="24"/>
        </w:rPr>
        <w:footnoteReference w:id="466"/>
      </w:r>
      <w:r w:rsidR="00D8322E">
        <w:rPr>
          <w:rFonts w:cs="Arial"/>
          <w:szCs w:val="24"/>
        </w:rPr>
        <w:t>.</w:t>
      </w:r>
    </w:p>
    <w:p w14:paraId="71AB30F7" w14:textId="77777777" w:rsidR="009034A3" w:rsidRPr="00464963" w:rsidRDefault="00730A01" w:rsidP="00443B59">
      <w:pPr>
        <w:pStyle w:val="Titre2"/>
        <w:numPr>
          <w:ilvl w:val="5"/>
          <w:numId w:val="44"/>
        </w:numPr>
        <w:ind w:left="284" w:hanging="284"/>
        <w:rPr>
          <w:rFonts w:cs="Arial"/>
          <w:b w:val="0"/>
          <w:bCs/>
          <w:szCs w:val="24"/>
        </w:rPr>
      </w:pPr>
      <w:r w:rsidRPr="00464963">
        <w:rPr>
          <w:rFonts w:cs="Arial"/>
          <w:bCs/>
          <w:szCs w:val="24"/>
        </w:rPr>
        <w:t>Les déclarations trompeuses quant à certains actifs</w:t>
      </w:r>
    </w:p>
    <w:p w14:paraId="4F82744F" w14:textId="77777777" w:rsidR="00D96D4B" w:rsidRDefault="00730A01" w:rsidP="0098012F">
      <w:pPr>
        <w:spacing w:before="120" w:after="120"/>
        <w:ind w:left="284"/>
        <w:jc w:val="both"/>
        <w:rPr>
          <w:rFonts w:cs="Arial"/>
          <w:szCs w:val="24"/>
        </w:rPr>
      </w:pPr>
      <w:r w:rsidRPr="004A039A">
        <w:rPr>
          <w:rFonts w:cs="Arial"/>
          <w:szCs w:val="24"/>
        </w:rPr>
        <w:t>Giroux a affirmé être conscient qu’il demeurait légalement copropriétaire d’un deuxième condo en Floride, pourtant absent de ses déclarations sous serment sur actifs</w:t>
      </w:r>
      <w:r>
        <w:rPr>
          <w:rStyle w:val="Appelnotedebasdep"/>
          <w:rFonts w:cs="Arial"/>
          <w:szCs w:val="24"/>
        </w:rPr>
        <w:footnoteReference w:id="467"/>
      </w:r>
      <w:r w:rsidR="00D8322E">
        <w:rPr>
          <w:rFonts w:cs="Arial"/>
          <w:szCs w:val="24"/>
        </w:rPr>
        <w:t>.</w:t>
      </w:r>
    </w:p>
    <w:p w14:paraId="5AB4C8D9" w14:textId="77777777" w:rsidR="009034A3" w:rsidRPr="004A039A" w:rsidRDefault="00730A01" w:rsidP="0062423C">
      <w:pPr>
        <w:spacing w:after="120"/>
        <w:ind w:left="284"/>
        <w:jc w:val="both"/>
        <w:rPr>
          <w:rFonts w:cs="Arial"/>
          <w:szCs w:val="24"/>
        </w:rPr>
      </w:pPr>
      <w:r w:rsidRPr="004A039A">
        <w:rPr>
          <w:rFonts w:cs="Arial"/>
          <w:szCs w:val="24"/>
        </w:rPr>
        <w:t>De même, il a été établi par le témoignage de M</w:t>
      </w:r>
      <w:r w:rsidRPr="00D8322E">
        <w:rPr>
          <w:rFonts w:cs="Arial"/>
          <w:szCs w:val="24"/>
          <w:vertAlign w:val="superscript"/>
        </w:rPr>
        <w:t>me</w:t>
      </w:r>
      <w:r w:rsidR="00D8322E">
        <w:rPr>
          <w:rFonts w:cs="Arial"/>
          <w:szCs w:val="24"/>
        </w:rPr>
        <w:t> </w:t>
      </w:r>
      <w:r w:rsidRPr="004A039A">
        <w:rPr>
          <w:rFonts w:cs="Arial"/>
          <w:szCs w:val="24"/>
        </w:rPr>
        <w:t>Céline Carbonneau que 6646 inc. demeure actionnaire de Les Développements de Beauport inc., laquelle détient une créance de 63</w:t>
      </w:r>
      <w:r w:rsidR="00D8322E">
        <w:rPr>
          <w:rFonts w:cs="Arial"/>
          <w:szCs w:val="24"/>
        </w:rPr>
        <w:t> </w:t>
      </w:r>
      <w:r w:rsidRPr="004A039A">
        <w:rPr>
          <w:rFonts w:cs="Arial"/>
          <w:szCs w:val="24"/>
        </w:rPr>
        <w:t>000</w:t>
      </w:r>
      <w:r w:rsidR="00D8322E">
        <w:rPr>
          <w:rFonts w:cs="Arial"/>
          <w:szCs w:val="24"/>
        </w:rPr>
        <w:t> </w:t>
      </w:r>
      <w:r w:rsidRPr="004A039A">
        <w:rPr>
          <w:rFonts w:cs="Arial"/>
          <w:szCs w:val="24"/>
        </w:rPr>
        <w:t>$ envers 6646 et produit chaque année ses états financiers et ses rapports d’impôt</w:t>
      </w:r>
      <w:r>
        <w:rPr>
          <w:rStyle w:val="Appelnotedebasdep"/>
          <w:rFonts w:cs="Arial"/>
          <w:szCs w:val="24"/>
        </w:rPr>
        <w:footnoteReference w:id="468"/>
      </w:r>
      <w:r w:rsidR="00D8322E">
        <w:rPr>
          <w:rFonts w:cs="Arial"/>
          <w:szCs w:val="24"/>
        </w:rPr>
        <w:t>.</w:t>
      </w:r>
    </w:p>
    <w:p w14:paraId="648A17FA" w14:textId="77777777" w:rsidR="009034A3" w:rsidRPr="00464963" w:rsidRDefault="00730A01" w:rsidP="00443B59">
      <w:pPr>
        <w:pStyle w:val="Titre2"/>
        <w:numPr>
          <w:ilvl w:val="0"/>
          <w:numId w:val="83"/>
        </w:numPr>
        <w:spacing w:before="120" w:after="0"/>
        <w:ind w:left="284" w:hanging="284"/>
        <w:jc w:val="both"/>
        <w:rPr>
          <w:rFonts w:cs="Arial"/>
          <w:color w:val="000000" w:themeColor="text1"/>
          <w:szCs w:val="24"/>
        </w:rPr>
      </w:pPr>
      <w:bookmarkStart w:id="146" w:name="_Toc210992322"/>
      <w:bookmarkStart w:id="147" w:name="_Toc211495261"/>
      <w:bookmarkStart w:id="148" w:name="_Toc211600669"/>
      <w:r w:rsidRPr="00464963">
        <w:rPr>
          <w:rFonts w:cs="Arial"/>
          <w:color w:val="000000" w:themeColor="text1"/>
          <w:szCs w:val="24"/>
        </w:rPr>
        <w:t>Les déclarations trompeuses quant à l’ignorance de ses soldes bancaires</w:t>
      </w:r>
      <w:bookmarkEnd w:id="146"/>
      <w:bookmarkEnd w:id="147"/>
      <w:bookmarkEnd w:id="148"/>
    </w:p>
    <w:p w14:paraId="20C6C849" w14:textId="77777777" w:rsidR="000A34ED" w:rsidRDefault="00730A01" w:rsidP="0062423C">
      <w:pPr>
        <w:spacing w:before="120"/>
        <w:ind w:left="284"/>
        <w:jc w:val="both"/>
        <w:rPr>
          <w:rFonts w:cs="Arial"/>
          <w:szCs w:val="24"/>
        </w:rPr>
      </w:pPr>
      <w:r w:rsidRPr="004A039A">
        <w:rPr>
          <w:rFonts w:cs="Arial"/>
          <w:szCs w:val="24"/>
        </w:rPr>
        <w:t>Giroux a nié, savoir combien d’argent se trouvait dans ses comptes bancaires</w:t>
      </w:r>
      <w:r w:rsidR="00D8322E">
        <w:rPr>
          <w:rFonts w:cs="Arial"/>
          <w:szCs w:val="24"/>
        </w:rPr>
        <w:t> </w:t>
      </w:r>
      <w:r w:rsidRPr="004A039A">
        <w:rPr>
          <w:rFonts w:cs="Arial"/>
          <w:szCs w:val="24"/>
        </w:rPr>
        <w:t>:</w:t>
      </w:r>
      <w:r w:rsidR="00D8322E">
        <w:rPr>
          <w:rFonts w:cs="Arial"/>
          <w:szCs w:val="24"/>
        </w:rPr>
        <w:t xml:space="preserve"> </w:t>
      </w:r>
    </w:p>
    <w:p w14:paraId="04FE52AB" w14:textId="77777777" w:rsidR="00D96D4B" w:rsidRDefault="00730A01" w:rsidP="0062423C">
      <w:pPr>
        <w:pStyle w:val="Citationenretrait"/>
        <w:rPr>
          <w:szCs w:val="24"/>
        </w:rPr>
      </w:pPr>
      <w:r w:rsidRPr="000A34ED">
        <w:t xml:space="preserve">Je ne regarde jamais l’argent que j’ai dans mon compte de banque. Je n’ouvre pas ça, un compte de banque. J’ai des gens qui font ma comptabilité, puis à un moment donné, ils me disent c’est quoi mes liquidités. C’est tout. Je n’y vais qu’en cas de problème, comme une </w:t>
      </w:r>
      <w:r w:rsidRPr="00D8322E">
        <w:rPr>
          <w:i/>
          <w:iCs/>
        </w:rPr>
        <w:t>Mareva</w:t>
      </w:r>
      <w:r>
        <w:rPr>
          <w:rStyle w:val="Appelnotedebasdep"/>
          <w:rFonts w:cs="Arial"/>
          <w:szCs w:val="24"/>
        </w:rPr>
        <w:footnoteReference w:id="469"/>
      </w:r>
      <w:r w:rsidR="00D8322E">
        <w:rPr>
          <w:i/>
          <w:iCs/>
        </w:rPr>
        <w:t>.</w:t>
      </w:r>
    </w:p>
    <w:p w14:paraId="2BB61BCD" w14:textId="77777777" w:rsidR="009034A3" w:rsidRDefault="00730A01" w:rsidP="0098012F">
      <w:pPr>
        <w:ind w:left="284"/>
        <w:jc w:val="both"/>
        <w:rPr>
          <w:rFonts w:cs="Arial"/>
          <w:szCs w:val="24"/>
        </w:rPr>
      </w:pPr>
      <w:r w:rsidRPr="004A039A">
        <w:rPr>
          <w:rFonts w:cs="Arial"/>
          <w:szCs w:val="24"/>
        </w:rPr>
        <w:t>Cette affirmation a été directement contredite par Céline Carbonneau, qui a témoigné que Giroux était toujours au courant de ses soldes bancaires</w:t>
      </w:r>
      <w:r w:rsidR="00D8322E">
        <w:rPr>
          <w:rFonts w:cs="Arial"/>
          <w:szCs w:val="24"/>
        </w:rPr>
        <w:t> </w:t>
      </w:r>
      <w:r w:rsidRPr="004A039A">
        <w:rPr>
          <w:rFonts w:cs="Arial"/>
          <w:szCs w:val="24"/>
        </w:rPr>
        <w:t>:</w:t>
      </w:r>
      <w:r w:rsidR="00D8322E">
        <w:rPr>
          <w:rFonts w:cs="Arial"/>
          <w:szCs w:val="24"/>
        </w:rPr>
        <w:t xml:space="preserve"> </w:t>
      </w:r>
      <w:r w:rsidRPr="004A039A">
        <w:rPr>
          <w:rFonts w:cs="Arial"/>
          <w:szCs w:val="24"/>
        </w:rPr>
        <w:t>«</w:t>
      </w:r>
      <w:r w:rsidR="00D8322E">
        <w:rPr>
          <w:rFonts w:cs="Arial"/>
          <w:szCs w:val="24"/>
        </w:rPr>
        <w:t> </w:t>
      </w:r>
      <w:r w:rsidRPr="004A039A">
        <w:rPr>
          <w:rFonts w:cs="Arial"/>
          <w:szCs w:val="24"/>
        </w:rPr>
        <w:t>Bien oui, parce qu’en plus, on faisait les liquidités à tous les jours</w:t>
      </w:r>
      <w:r w:rsidR="001666B1">
        <w:rPr>
          <w:rFonts w:cs="Arial"/>
          <w:szCs w:val="24"/>
        </w:rPr>
        <w:t> </w:t>
      </w:r>
      <w:r w:rsidRPr="004A039A">
        <w:rPr>
          <w:rFonts w:cs="Arial"/>
          <w:szCs w:val="24"/>
        </w:rPr>
        <w:t>»</w:t>
      </w:r>
      <w:r>
        <w:rPr>
          <w:rStyle w:val="Appelnotedebasdep"/>
          <w:rFonts w:cs="Arial"/>
          <w:szCs w:val="24"/>
        </w:rPr>
        <w:footnoteReference w:id="470"/>
      </w:r>
      <w:r w:rsidR="00D8322E">
        <w:rPr>
          <w:rFonts w:cs="Arial"/>
          <w:szCs w:val="24"/>
        </w:rPr>
        <w:t>.</w:t>
      </w:r>
    </w:p>
    <w:p w14:paraId="04554B5D" w14:textId="77777777" w:rsidR="001237A7" w:rsidRDefault="001237A7" w:rsidP="0098012F">
      <w:pPr>
        <w:ind w:left="284"/>
        <w:jc w:val="both"/>
        <w:rPr>
          <w:rFonts w:cs="Arial"/>
          <w:szCs w:val="24"/>
        </w:rPr>
      </w:pPr>
    </w:p>
    <w:p w14:paraId="5738D1A0" w14:textId="77777777" w:rsidR="001237A7" w:rsidRDefault="00730A01" w:rsidP="001237A7">
      <w:pPr>
        <w:pStyle w:val="Paragraphedeliste"/>
        <w:tabs>
          <w:tab w:val="left" w:pos="3686"/>
        </w:tabs>
        <w:jc w:val="both"/>
        <w:rPr>
          <w:rFonts w:cs="Arial"/>
          <w:szCs w:val="24"/>
        </w:rPr>
      </w:pPr>
      <w:r>
        <w:rPr>
          <w:rFonts w:cs="Arial"/>
          <w:szCs w:val="24"/>
        </w:rPr>
        <w:tab/>
        <w:t>* * *</w:t>
      </w:r>
    </w:p>
    <w:p w14:paraId="39CED2B9" w14:textId="77777777" w:rsidR="001237A7" w:rsidRDefault="00730A01">
      <w:pPr>
        <w:rPr>
          <w:rFonts w:cs="Arial"/>
          <w:szCs w:val="24"/>
        </w:rPr>
      </w:pPr>
      <w:r>
        <w:rPr>
          <w:rFonts w:cs="Arial"/>
          <w:szCs w:val="24"/>
        </w:rPr>
        <w:br w:type="page"/>
      </w:r>
    </w:p>
    <w:p w14:paraId="4E76D6C0" w14:textId="77777777" w:rsidR="009034A3" w:rsidRPr="00464963" w:rsidRDefault="00730A01" w:rsidP="00443B59">
      <w:pPr>
        <w:pStyle w:val="Titre1"/>
        <w:numPr>
          <w:ilvl w:val="2"/>
          <w:numId w:val="44"/>
        </w:numPr>
        <w:ind w:left="567" w:hanging="567"/>
        <w:rPr>
          <w:rFonts w:cs="Arial"/>
          <w:caps/>
          <w:sz w:val="24"/>
          <w:szCs w:val="24"/>
        </w:rPr>
      </w:pPr>
      <w:r w:rsidRPr="00464963">
        <w:rPr>
          <w:rFonts w:cs="Arial"/>
          <w:caps/>
          <w:color w:val="000000" w:themeColor="text1"/>
          <w:sz w:val="24"/>
          <w:szCs w:val="24"/>
        </w:rPr>
        <w:t>Les prêts à taux usuraires accordés au Groupe Huot par Giroux et niés par lui</w:t>
      </w:r>
    </w:p>
    <w:p w14:paraId="401971E5" w14:textId="77777777" w:rsidR="009034A3" w:rsidRPr="00464963" w:rsidRDefault="00730A01" w:rsidP="00443B59">
      <w:pPr>
        <w:pStyle w:val="Titre2"/>
        <w:numPr>
          <w:ilvl w:val="5"/>
          <w:numId w:val="44"/>
        </w:numPr>
        <w:spacing w:before="120" w:after="120"/>
        <w:ind w:left="284" w:hanging="284"/>
        <w:jc w:val="both"/>
        <w:rPr>
          <w:rFonts w:cs="Arial"/>
          <w:szCs w:val="24"/>
        </w:rPr>
      </w:pPr>
      <w:bookmarkStart w:id="149" w:name="_Toc210992323"/>
      <w:bookmarkStart w:id="150" w:name="_Toc211495262"/>
      <w:bookmarkStart w:id="151" w:name="_Toc211600670"/>
      <w:r w:rsidRPr="00464963">
        <w:rPr>
          <w:rFonts w:cs="Arial"/>
          <w:color w:val="000000" w:themeColor="text1"/>
          <w:szCs w:val="24"/>
        </w:rPr>
        <w:t>Les déclarations trompeuses de Giroux quant à l’inexistence de prêts à taux usuraires</w:t>
      </w:r>
      <w:bookmarkEnd w:id="149"/>
      <w:bookmarkEnd w:id="150"/>
      <w:bookmarkEnd w:id="151"/>
    </w:p>
    <w:p w14:paraId="2B33387B" w14:textId="77777777" w:rsidR="009034A3" w:rsidRPr="004A039A" w:rsidRDefault="00730A01" w:rsidP="00B17E9C">
      <w:pPr>
        <w:spacing w:after="120"/>
        <w:ind w:left="284"/>
        <w:jc w:val="both"/>
        <w:rPr>
          <w:rFonts w:cs="Arial"/>
          <w:szCs w:val="24"/>
        </w:rPr>
      </w:pPr>
      <w:r w:rsidRPr="004A039A">
        <w:rPr>
          <w:rFonts w:cs="Arial"/>
          <w:szCs w:val="24"/>
        </w:rPr>
        <w:t>Giroux a nié au procès avoir fait des prêts à des taux usuraires au Groupe Huot. Notes sténographiques de l’interrogatoire de Robert Giroux au procès</w:t>
      </w:r>
      <w:r w:rsidR="00FD2F69">
        <w:rPr>
          <w:rFonts w:cs="Arial"/>
          <w:szCs w:val="24"/>
        </w:rPr>
        <w:t> </w:t>
      </w:r>
      <w:r w:rsidRPr="004A039A">
        <w:rPr>
          <w:rFonts w:cs="Arial"/>
          <w:szCs w:val="24"/>
        </w:rPr>
        <w:t>:</w:t>
      </w:r>
    </w:p>
    <w:p w14:paraId="670A9BCD" w14:textId="77777777" w:rsidR="009034A3" w:rsidRPr="004A039A" w:rsidRDefault="00730A01" w:rsidP="0042740E">
      <w:pPr>
        <w:pStyle w:val="Listepuces"/>
        <w:numPr>
          <w:ilvl w:val="0"/>
          <w:numId w:val="20"/>
        </w:numPr>
        <w:ind w:left="851" w:hanging="284"/>
        <w:jc w:val="both"/>
        <w:rPr>
          <w:rFonts w:ascii="Arial" w:hAnsi="Arial" w:cs="Arial"/>
          <w:sz w:val="24"/>
          <w:szCs w:val="24"/>
          <w:lang w:val="fr-CA"/>
        </w:rPr>
      </w:pPr>
      <w:r>
        <w:rPr>
          <w:rFonts w:ascii="Arial" w:hAnsi="Arial" w:cs="Arial"/>
          <w:sz w:val="24"/>
          <w:szCs w:val="24"/>
          <w:lang w:val="fr-CA"/>
        </w:rPr>
        <w:t>P</w:t>
      </w:r>
      <w:r w:rsidRPr="004A039A">
        <w:rPr>
          <w:rFonts w:ascii="Arial" w:hAnsi="Arial" w:cs="Arial"/>
          <w:sz w:val="24"/>
          <w:szCs w:val="24"/>
          <w:lang w:val="fr-CA"/>
        </w:rPr>
        <w:t>.</w:t>
      </w:r>
      <w:r>
        <w:rPr>
          <w:rFonts w:ascii="Arial" w:hAnsi="Arial" w:cs="Arial"/>
          <w:sz w:val="24"/>
          <w:szCs w:val="24"/>
          <w:lang w:val="fr-CA"/>
        </w:rPr>
        <w:t> </w:t>
      </w:r>
      <w:r w:rsidRPr="004A039A">
        <w:rPr>
          <w:rFonts w:ascii="Arial" w:hAnsi="Arial" w:cs="Arial"/>
          <w:sz w:val="24"/>
          <w:szCs w:val="24"/>
          <w:lang w:val="fr-CA"/>
        </w:rPr>
        <w:t>1856</w:t>
      </w:r>
      <w:r>
        <w:rPr>
          <w:rFonts w:ascii="Arial" w:hAnsi="Arial" w:cs="Arial"/>
          <w:sz w:val="24"/>
          <w:szCs w:val="24"/>
          <w:lang w:val="fr-CA"/>
        </w:rPr>
        <w:t> </w:t>
      </w:r>
      <w:r w:rsidRPr="004A039A">
        <w:rPr>
          <w:rFonts w:ascii="Arial" w:hAnsi="Arial" w:cs="Arial"/>
          <w:sz w:val="24"/>
          <w:szCs w:val="24"/>
          <w:lang w:val="fr-CA"/>
        </w:rPr>
        <w:t>: R. «</w:t>
      </w:r>
      <w:r>
        <w:rPr>
          <w:rFonts w:ascii="Arial" w:hAnsi="Arial" w:cs="Arial"/>
          <w:sz w:val="24"/>
          <w:szCs w:val="24"/>
          <w:lang w:val="fr-CA"/>
        </w:rPr>
        <w:t> </w:t>
      </w:r>
      <w:r w:rsidRPr="004A039A">
        <w:rPr>
          <w:rFonts w:ascii="Arial" w:hAnsi="Arial" w:cs="Arial"/>
          <w:sz w:val="24"/>
          <w:szCs w:val="24"/>
          <w:lang w:val="fr-CA"/>
        </w:rPr>
        <w:t>Comme je vous dis, de mémoire, je n’ai jamais fait de taux dépassant soixante pour cent (60</w:t>
      </w:r>
      <w:r w:rsidR="005470AD">
        <w:rPr>
          <w:rFonts w:ascii="Arial" w:hAnsi="Arial" w:cs="Arial"/>
          <w:sz w:val="24"/>
          <w:szCs w:val="24"/>
          <w:lang w:val="fr-CA"/>
        </w:rPr>
        <w:t> </w:t>
      </w:r>
      <w:r w:rsidRPr="004A039A">
        <w:rPr>
          <w:rFonts w:ascii="Arial" w:hAnsi="Arial" w:cs="Arial"/>
          <w:sz w:val="24"/>
          <w:szCs w:val="24"/>
          <w:lang w:val="fr-CA"/>
        </w:rPr>
        <w:t>%)</w:t>
      </w:r>
      <w:r w:rsidR="005470AD">
        <w:rPr>
          <w:rFonts w:ascii="Arial" w:hAnsi="Arial" w:cs="Arial"/>
          <w:sz w:val="24"/>
          <w:szCs w:val="24"/>
          <w:lang w:val="fr-CA"/>
        </w:rPr>
        <w:t> </w:t>
      </w:r>
      <w:r w:rsidRPr="004A039A">
        <w:rPr>
          <w:rFonts w:ascii="Arial" w:hAnsi="Arial" w:cs="Arial"/>
          <w:sz w:val="24"/>
          <w:szCs w:val="24"/>
          <w:lang w:val="fr-CA"/>
        </w:rPr>
        <w:t>»;</w:t>
      </w:r>
    </w:p>
    <w:p w14:paraId="1D07EE80" w14:textId="77777777" w:rsidR="009034A3" w:rsidRPr="004A039A" w:rsidRDefault="00730A01" w:rsidP="0042740E">
      <w:pPr>
        <w:pStyle w:val="Listepuces"/>
        <w:numPr>
          <w:ilvl w:val="0"/>
          <w:numId w:val="20"/>
        </w:numPr>
        <w:ind w:left="851" w:hanging="284"/>
        <w:jc w:val="both"/>
        <w:rPr>
          <w:rFonts w:ascii="Arial" w:hAnsi="Arial" w:cs="Arial"/>
          <w:sz w:val="24"/>
          <w:szCs w:val="24"/>
          <w:lang w:val="fr-CA"/>
        </w:rPr>
      </w:pPr>
      <w:r>
        <w:rPr>
          <w:rFonts w:ascii="Arial" w:hAnsi="Arial" w:cs="Arial"/>
          <w:sz w:val="24"/>
          <w:szCs w:val="24"/>
          <w:lang w:val="fr-CA"/>
        </w:rPr>
        <w:t>P</w:t>
      </w:r>
      <w:r w:rsidRPr="004A039A">
        <w:rPr>
          <w:rFonts w:ascii="Arial" w:hAnsi="Arial" w:cs="Arial"/>
          <w:sz w:val="24"/>
          <w:szCs w:val="24"/>
          <w:lang w:val="fr-CA"/>
        </w:rPr>
        <w:t>.</w:t>
      </w:r>
      <w:r>
        <w:rPr>
          <w:rFonts w:ascii="Arial" w:hAnsi="Arial" w:cs="Arial"/>
          <w:sz w:val="24"/>
          <w:szCs w:val="24"/>
          <w:lang w:val="fr-CA"/>
        </w:rPr>
        <w:t> </w:t>
      </w:r>
      <w:r w:rsidRPr="004A039A">
        <w:rPr>
          <w:rFonts w:ascii="Arial" w:hAnsi="Arial" w:cs="Arial"/>
          <w:sz w:val="24"/>
          <w:szCs w:val="24"/>
          <w:lang w:val="fr-CA"/>
        </w:rPr>
        <w:t>2497</w:t>
      </w:r>
      <w:r>
        <w:rPr>
          <w:rFonts w:ascii="Arial" w:hAnsi="Arial" w:cs="Arial"/>
          <w:sz w:val="24"/>
          <w:szCs w:val="24"/>
          <w:lang w:val="fr-CA"/>
        </w:rPr>
        <w:t> </w:t>
      </w:r>
      <w:r w:rsidRPr="004A039A">
        <w:rPr>
          <w:rFonts w:ascii="Arial" w:hAnsi="Arial" w:cs="Arial"/>
          <w:sz w:val="24"/>
          <w:szCs w:val="24"/>
          <w:lang w:val="fr-CA"/>
        </w:rPr>
        <w:t>: Q. «</w:t>
      </w:r>
      <w:r>
        <w:rPr>
          <w:rFonts w:ascii="Arial" w:hAnsi="Arial" w:cs="Arial"/>
          <w:sz w:val="24"/>
          <w:szCs w:val="24"/>
          <w:lang w:val="fr-CA"/>
        </w:rPr>
        <w:t> </w:t>
      </w:r>
      <w:r w:rsidRPr="004A039A">
        <w:rPr>
          <w:rFonts w:ascii="Arial" w:hAnsi="Arial" w:cs="Arial"/>
          <w:sz w:val="24"/>
          <w:szCs w:val="24"/>
          <w:lang w:val="fr-CA"/>
        </w:rPr>
        <w:t>J’espère que vous l’avez lue, cette section-là?</w:t>
      </w:r>
      <w:r>
        <w:rPr>
          <w:rFonts w:ascii="Arial" w:hAnsi="Arial" w:cs="Arial"/>
          <w:sz w:val="24"/>
          <w:szCs w:val="24"/>
          <w:lang w:val="fr-CA"/>
        </w:rPr>
        <w:t> </w:t>
      </w:r>
      <w:r w:rsidRPr="004A039A">
        <w:rPr>
          <w:rFonts w:ascii="Arial" w:hAnsi="Arial" w:cs="Arial"/>
          <w:sz w:val="24"/>
          <w:szCs w:val="24"/>
          <w:lang w:val="fr-CA"/>
        </w:rPr>
        <w:t>» R. «</w:t>
      </w:r>
      <w:r>
        <w:rPr>
          <w:rFonts w:ascii="Arial" w:hAnsi="Arial" w:cs="Arial"/>
          <w:sz w:val="24"/>
          <w:szCs w:val="24"/>
          <w:lang w:val="fr-CA"/>
        </w:rPr>
        <w:t> </w:t>
      </w:r>
      <w:r w:rsidRPr="004A039A">
        <w:rPr>
          <w:rFonts w:ascii="Arial" w:hAnsi="Arial" w:cs="Arial"/>
          <w:sz w:val="24"/>
          <w:szCs w:val="24"/>
          <w:lang w:val="fr-CA"/>
        </w:rPr>
        <w:t>Je… je l’ai regardée et puis j’ai jamais fait de prêt usuraire</w:t>
      </w:r>
      <w:r>
        <w:rPr>
          <w:rFonts w:ascii="Arial" w:hAnsi="Arial" w:cs="Arial"/>
          <w:sz w:val="24"/>
          <w:szCs w:val="24"/>
          <w:lang w:val="fr-CA"/>
        </w:rPr>
        <w:t> </w:t>
      </w:r>
      <w:r w:rsidRPr="004A039A">
        <w:rPr>
          <w:rFonts w:ascii="Arial" w:hAnsi="Arial" w:cs="Arial"/>
          <w:sz w:val="24"/>
          <w:szCs w:val="24"/>
          <w:lang w:val="fr-CA"/>
        </w:rPr>
        <w:t>»;</w:t>
      </w:r>
    </w:p>
    <w:p w14:paraId="545574F9" w14:textId="77777777" w:rsidR="009034A3" w:rsidRPr="004A039A" w:rsidRDefault="00730A01" w:rsidP="0042740E">
      <w:pPr>
        <w:pStyle w:val="Listepuces"/>
        <w:numPr>
          <w:ilvl w:val="0"/>
          <w:numId w:val="20"/>
        </w:numPr>
        <w:ind w:left="851" w:hanging="284"/>
        <w:jc w:val="both"/>
        <w:rPr>
          <w:rFonts w:ascii="Arial" w:hAnsi="Arial" w:cs="Arial"/>
          <w:sz w:val="24"/>
          <w:szCs w:val="24"/>
          <w:lang w:val="fr-CA"/>
        </w:rPr>
      </w:pPr>
      <w:r>
        <w:rPr>
          <w:rFonts w:ascii="Arial" w:hAnsi="Arial" w:cs="Arial"/>
          <w:sz w:val="24"/>
          <w:szCs w:val="24"/>
          <w:lang w:val="fr-CA"/>
        </w:rPr>
        <w:t>P</w:t>
      </w:r>
      <w:r w:rsidRPr="004A039A">
        <w:rPr>
          <w:rFonts w:ascii="Arial" w:hAnsi="Arial" w:cs="Arial"/>
          <w:sz w:val="24"/>
          <w:szCs w:val="24"/>
          <w:lang w:val="fr-CA"/>
        </w:rPr>
        <w:t>.</w:t>
      </w:r>
      <w:r>
        <w:rPr>
          <w:rFonts w:ascii="Arial" w:hAnsi="Arial" w:cs="Arial"/>
          <w:sz w:val="24"/>
          <w:szCs w:val="24"/>
          <w:lang w:val="fr-CA"/>
        </w:rPr>
        <w:t> </w:t>
      </w:r>
      <w:r w:rsidRPr="004A039A">
        <w:rPr>
          <w:rFonts w:ascii="Arial" w:hAnsi="Arial" w:cs="Arial"/>
          <w:sz w:val="24"/>
          <w:szCs w:val="24"/>
          <w:lang w:val="fr-CA"/>
        </w:rPr>
        <w:t>2500-2501</w:t>
      </w:r>
      <w:r>
        <w:rPr>
          <w:rFonts w:ascii="Arial" w:hAnsi="Arial" w:cs="Arial"/>
          <w:sz w:val="24"/>
          <w:szCs w:val="24"/>
          <w:lang w:val="fr-CA"/>
        </w:rPr>
        <w:t> </w:t>
      </w:r>
      <w:r w:rsidRPr="004A039A">
        <w:rPr>
          <w:rFonts w:ascii="Arial" w:hAnsi="Arial" w:cs="Arial"/>
          <w:sz w:val="24"/>
          <w:szCs w:val="24"/>
          <w:lang w:val="fr-CA"/>
        </w:rPr>
        <w:t>: R. «</w:t>
      </w:r>
      <w:r>
        <w:rPr>
          <w:rFonts w:ascii="Arial" w:hAnsi="Arial" w:cs="Arial"/>
          <w:sz w:val="24"/>
          <w:szCs w:val="24"/>
          <w:lang w:val="fr-CA"/>
        </w:rPr>
        <w:t> </w:t>
      </w:r>
      <w:r w:rsidRPr="004A039A">
        <w:rPr>
          <w:rFonts w:ascii="Arial" w:hAnsi="Arial" w:cs="Arial"/>
          <w:sz w:val="24"/>
          <w:szCs w:val="24"/>
          <w:lang w:val="fr-CA"/>
        </w:rPr>
        <w:t>Mais les… les prêts identifiés, Monsieur le Juge, à quatre cent cinquante pour cent (450</w:t>
      </w:r>
      <w:r w:rsidR="005470AD">
        <w:rPr>
          <w:rFonts w:ascii="Arial" w:hAnsi="Arial" w:cs="Arial"/>
          <w:sz w:val="24"/>
          <w:szCs w:val="24"/>
          <w:lang w:val="fr-CA"/>
        </w:rPr>
        <w:t> </w:t>
      </w:r>
      <w:r w:rsidRPr="004A039A">
        <w:rPr>
          <w:rFonts w:ascii="Arial" w:hAnsi="Arial" w:cs="Arial"/>
          <w:sz w:val="24"/>
          <w:szCs w:val="24"/>
          <w:lang w:val="fr-CA"/>
        </w:rPr>
        <w:t>%), là, c’est… c’est des prêts qui sont faits à trois pour cent (3</w:t>
      </w:r>
      <w:r w:rsidR="005470AD">
        <w:rPr>
          <w:rFonts w:ascii="Arial" w:hAnsi="Arial" w:cs="Arial"/>
          <w:sz w:val="24"/>
          <w:szCs w:val="24"/>
          <w:lang w:val="fr-CA"/>
        </w:rPr>
        <w:t> </w:t>
      </w:r>
      <w:r w:rsidRPr="004A039A">
        <w:rPr>
          <w:rFonts w:ascii="Arial" w:hAnsi="Arial" w:cs="Arial"/>
          <w:sz w:val="24"/>
          <w:szCs w:val="24"/>
          <w:lang w:val="fr-CA"/>
        </w:rPr>
        <w:t>%), hein</w:t>
      </w:r>
      <w:r>
        <w:rPr>
          <w:rFonts w:ascii="Arial" w:hAnsi="Arial" w:cs="Arial"/>
          <w:sz w:val="24"/>
          <w:szCs w:val="24"/>
          <w:lang w:val="fr-CA"/>
        </w:rPr>
        <w:t> </w:t>
      </w:r>
      <w:r w:rsidRPr="004A039A">
        <w:rPr>
          <w:rFonts w:ascii="Arial" w:hAnsi="Arial" w:cs="Arial"/>
          <w:sz w:val="24"/>
          <w:szCs w:val="24"/>
          <w:lang w:val="fr-CA"/>
        </w:rPr>
        <w:t>»;</w:t>
      </w:r>
    </w:p>
    <w:p w14:paraId="6D755171" w14:textId="77777777" w:rsidR="009034A3" w:rsidRPr="004A039A" w:rsidRDefault="00730A01" w:rsidP="0042740E">
      <w:pPr>
        <w:pStyle w:val="Listepuces"/>
        <w:numPr>
          <w:ilvl w:val="0"/>
          <w:numId w:val="20"/>
        </w:numPr>
        <w:ind w:left="851" w:hanging="284"/>
        <w:jc w:val="both"/>
        <w:rPr>
          <w:rFonts w:ascii="Arial" w:hAnsi="Arial" w:cs="Arial"/>
          <w:sz w:val="24"/>
          <w:szCs w:val="24"/>
          <w:lang w:val="fr-CA"/>
        </w:rPr>
      </w:pPr>
      <w:r>
        <w:rPr>
          <w:rFonts w:ascii="Arial" w:hAnsi="Arial" w:cs="Arial"/>
          <w:sz w:val="24"/>
          <w:szCs w:val="24"/>
          <w:lang w:val="fr-CA"/>
        </w:rPr>
        <w:t>P</w:t>
      </w:r>
      <w:r w:rsidRPr="004A039A">
        <w:rPr>
          <w:rFonts w:ascii="Arial" w:hAnsi="Arial" w:cs="Arial"/>
          <w:sz w:val="24"/>
          <w:szCs w:val="24"/>
          <w:lang w:val="fr-CA"/>
        </w:rPr>
        <w:t>.</w:t>
      </w:r>
      <w:r>
        <w:rPr>
          <w:rFonts w:ascii="Arial" w:hAnsi="Arial" w:cs="Arial"/>
          <w:sz w:val="24"/>
          <w:szCs w:val="24"/>
          <w:lang w:val="fr-CA"/>
        </w:rPr>
        <w:t> </w:t>
      </w:r>
      <w:r w:rsidRPr="004A039A">
        <w:rPr>
          <w:rFonts w:ascii="Arial" w:hAnsi="Arial" w:cs="Arial"/>
          <w:sz w:val="24"/>
          <w:szCs w:val="24"/>
          <w:lang w:val="fr-CA"/>
        </w:rPr>
        <w:t>2502</w:t>
      </w:r>
      <w:r>
        <w:rPr>
          <w:rFonts w:ascii="Arial" w:hAnsi="Arial" w:cs="Arial"/>
          <w:sz w:val="24"/>
          <w:szCs w:val="24"/>
          <w:lang w:val="fr-CA"/>
        </w:rPr>
        <w:t> </w:t>
      </w:r>
      <w:r w:rsidRPr="004A039A">
        <w:rPr>
          <w:rFonts w:ascii="Arial" w:hAnsi="Arial" w:cs="Arial"/>
          <w:sz w:val="24"/>
          <w:szCs w:val="24"/>
          <w:lang w:val="fr-CA"/>
        </w:rPr>
        <w:t>: R. «</w:t>
      </w:r>
      <w:r>
        <w:rPr>
          <w:rFonts w:ascii="Arial" w:hAnsi="Arial" w:cs="Arial"/>
          <w:sz w:val="24"/>
          <w:szCs w:val="24"/>
          <w:lang w:val="fr-CA"/>
        </w:rPr>
        <w:t> </w:t>
      </w:r>
      <w:r w:rsidRPr="004A039A">
        <w:rPr>
          <w:rFonts w:ascii="Arial" w:hAnsi="Arial" w:cs="Arial"/>
          <w:sz w:val="24"/>
          <w:szCs w:val="24"/>
          <w:lang w:val="fr-CA"/>
        </w:rPr>
        <w:t>J’ai jamais fait de prêt dépassant soixante pour cent (60</w:t>
      </w:r>
      <w:r w:rsidR="005470AD">
        <w:rPr>
          <w:rFonts w:ascii="Arial" w:hAnsi="Arial" w:cs="Arial"/>
          <w:sz w:val="24"/>
          <w:szCs w:val="24"/>
          <w:lang w:val="fr-CA"/>
        </w:rPr>
        <w:t> </w:t>
      </w:r>
      <w:r w:rsidRPr="004A039A">
        <w:rPr>
          <w:rFonts w:ascii="Arial" w:hAnsi="Arial" w:cs="Arial"/>
          <w:sz w:val="24"/>
          <w:szCs w:val="24"/>
          <w:lang w:val="fr-CA"/>
        </w:rPr>
        <w:t>%)</w:t>
      </w:r>
      <w:r>
        <w:rPr>
          <w:rFonts w:ascii="Arial" w:hAnsi="Arial" w:cs="Arial"/>
          <w:sz w:val="24"/>
          <w:szCs w:val="24"/>
          <w:lang w:val="fr-CA"/>
        </w:rPr>
        <w:t> </w:t>
      </w:r>
      <w:r w:rsidRPr="004A039A">
        <w:rPr>
          <w:rFonts w:ascii="Arial" w:hAnsi="Arial" w:cs="Arial"/>
          <w:sz w:val="24"/>
          <w:szCs w:val="24"/>
          <w:lang w:val="fr-CA"/>
        </w:rPr>
        <w:t>».</w:t>
      </w:r>
    </w:p>
    <w:p w14:paraId="48C245D9" w14:textId="77777777" w:rsidR="009034A3" w:rsidRPr="004A039A" w:rsidRDefault="00730A01" w:rsidP="00B17E9C">
      <w:pPr>
        <w:ind w:left="284"/>
        <w:jc w:val="both"/>
        <w:rPr>
          <w:rFonts w:cs="Arial"/>
          <w:szCs w:val="24"/>
        </w:rPr>
      </w:pPr>
      <w:r w:rsidRPr="004A039A">
        <w:rPr>
          <w:rFonts w:cs="Arial"/>
          <w:szCs w:val="24"/>
        </w:rPr>
        <w:t>La preuve documentaire démontre non seulement qu’il a fait des prêts à des taux usuraires, mais en plus qu’il en avait été avisé et mis en garde par ses procureurs</w:t>
      </w:r>
      <w:r w:rsidR="005470AD">
        <w:rPr>
          <w:rFonts w:cs="Arial"/>
          <w:szCs w:val="24"/>
        </w:rPr>
        <w:t> </w:t>
      </w:r>
      <w:r w:rsidRPr="004A039A">
        <w:rPr>
          <w:rFonts w:cs="Arial"/>
          <w:szCs w:val="24"/>
        </w:rPr>
        <w:t>:</w:t>
      </w:r>
    </w:p>
    <w:p w14:paraId="5FFE81F4" w14:textId="77777777" w:rsidR="009034A3" w:rsidRDefault="00730A01" w:rsidP="0062423C">
      <w:pPr>
        <w:pStyle w:val="Citationenretrait"/>
        <w:rPr>
          <w:szCs w:val="24"/>
        </w:rPr>
      </w:pPr>
      <w:r w:rsidRPr="000A34ED">
        <w:t>Le prêt envisagé et la garantie qui y est rattachée pourraient être déclarés nuls. En vertu de l’article</w:t>
      </w:r>
      <w:r w:rsidR="00FD2F69">
        <w:t> </w:t>
      </w:r>
      <w:r w:rsidRPr="000A34ED">
        <w:t xml:space="preserve">347 du </w:t>
      </w:r>
      <w:r w:rsidRPr="00FD2F69">
        <w:rPr>
          <w:i/>
          <w:iCs/>
        </w:rPr>
        <w:t>Code criminel</w:t>
      </w:r>
      <w:r w:rsidRPr="000A34ED">
        <w:t>, le taux d’intérêt exigé pourrait se qualifier de taux d’intérêt usuraire</w:t>
      </w:r>
      <w:r w:rsidR="005470AD" w:rsidRPr="005470AD">
        <w:rPr>
          <w:rStyle w:val="Appelnotedebasdep"/>
          <w:rFonts w:cs="Arial"/>
          <w:szCs w:val="24"/>
        </w:rPr>
        <w:t xml:space="preserve"> </w:t>
      </w:r>
      <w:r>
        <w:rPr>
          <w:rStyle w:val="Appelnotedebasdep"/>
          <w:rFonts w:cs="Arial"/>
          <w:szCs w:val="24"/>
        </w:rPr>
        <w:footnoteReference w:id="471"/>
      </w:r>
      <w:r w:rsidR="00FD2F69">
        <w:rPr>
          <w:rFonts w:cs="Arial"/>
          <w:szCs w:val="24"/>
        </w:rPr>
        <w:t>.</w:t>
      </w:r>
    </w:p>
    <w:p w14:paraId="41CC4B9A" w14:textId="77777777" w:rsidR="00B17E9C" w:rsidRDefault="00730A01" w:rsidP="00B17E9C">
      <w:pPr>
        <w:pStyle w:val="Paragraphedeliste"/>
        <w:tabs>
          <w:tab w:val="left" w:pos="3686"/>
        </w:tabs>
        <w:ind w:left="837" w:firstLine="14"/>
        <w:jc w:val="both"/>
        <w:rPr>
          <w:rFonts w:cs="Arial"/>
          <w:sz w:val="22"/>
          <w:szCs w:val="22"/>
        </w:rPr>
      </w:pPr>
      <w:r>
        <w:rPr>
          <w:rFonts w:cs="Arial"/>
          <w:sz w:val="22"/>
          <w:szCs w:val="22"/>
        </w:rPr>
        <w:tab/>
        <w:t>* * *</w:t>
      </w:r>
    </w:p>
    <w:p w14:paraId="557D243E" w14:textId="77777777" w:rsidR="00B17E9C" w:rsidRDefault="00730A01" w:rsidP="00B17E9C">
      <w:pPr>
        <w:jc w:val="both"/>
        <w:rPr>
          <w:rFonts w:cs="Arial"/>
          <w:sz w:val="22"/>
          <w:szCs w:val="22"/>
        </w:rPr>
      </w:pPr>
      <w:r>
        <w:rPr>
          <w:rFonts w:cs="Arial"/>
          <w:sz w:val="22"/>
          <w:szCs w:val="22"/>
        </w:rPr>
        <w:br w:type="page"/>
      </w:r>
    </w:p>
    <w:p w14:paraId="3CE43B6F" w14:textId="77777777" w:rsidR="009034A3" w:rsidRPr="00464963" w:rsidRDefault="00730A01" w:rsidP="00443B59">
      <w:pPr>
        <w:pStyle w:val="Titre1"/>
        <w:numPr>
          <w:ilvl w:val="2"/>
          <w:numId w:val="44"/>
        </w:numPr>
        <w:ind w:left="567" w:hanging="567"/>
        <w:rPr>
          <w:rFonts w:cs="Arial"/>
          <w:sz w:val="24"/>
          <w:szCs w:val="24"/>
        </w:rPr>
      </w:pPr>
      <w:r w:rsidRPr="00464963">
        <w:rPr>
          <w:rFonts w:cs="Arial"/>
          <w:caps/>
          <w:color w:val="000000" w:themeColor="text1"/>
          <w:sz w:val="24"/>
          <w:szCs w:val="24"/>
        </w:rPr>
        <w:t>Les transactions Ponzi et les paiements</w:t>
      </w:r>
      <w:r w:rsidR="0062423C" w:rsidRPr="00464963">
        <w:rPr>
          <w:rFonts w:cs="Arial"/>
          <w:caps/>
          <w:color w:val="000000" w:themeColor="text1"/>
          <w:sz w:val="24"/>
          <w:szCs w:val="24"/>
        </w:rPr>
        <w:t xml:space="preserve"> </w:t>
      </w:r>
      <w:r w:rsidRPr="00464963">
        <w:rPr>
          <w:rFonts w:cs="Arial"/>
          <w:caps/>
          <w:color w:val="000000" w:themeColor="text1"/>
          <w:sz w:val="24"/>
          <w:szCs w:val="24"/>
        </w:rPr>
        <w:t>préférentiels</w:t>
      </w:r>
      <w:r w:rsidR="0062423C" w:rsidRPr="00464963">
        <w:rPr>
          <w:rFonts w:cs="Arial"/>
          <w:caps/>
          <w:color w:val="000000" w:themeColor="text1"/>
          <w:sz w:val="24"/>
          <w:szCs w:val="24"/>
        </w:rPr>
        <w:t xml:space="preserve"> </w:t>
      </w:r>
      <w:r w:rsidRPr="00464963">
        <w:rPr>
          <w:rFonts w:cs="Arial"/>
          <w:caps/>
          <w:color w:val="000000" w:themeColor="text1"/>
          <w:sz w:val="24"/>
          <w:szCs w:val="24"/>
        </w:rPr>
        <w:t>niés par Giroux</w:t>
      </w:r>
    </w:p>
    <w:p w14:paraId="1AC8F428" w14:textId="77777777" w:rsidR="009034A3" w:rsidRPr="00464963" w:rsidRDefault="00730A01" w:rsidP="00443B59">
      <w:pPr>
        <w:pStyle w:val="Titre2"/>
        <w:numPr>
          <w:ilvl w:val="5"/>
          <w:numId w:val="44"/>
        </w:numPr>
        <w:spacing w:before="120" w:after="120"/>
        <w:ind w:left="284" w:hanging="284"/>
        <w:jc w:val="both"/>
        <w:rPr>
          <w:rFonts w:cs="Arial"/>
          <w:szCs w:val="24"/>
        </w:rPr>
      </w:pPr>
      <w:bookmarkStart w:id="152" w:name="_Toc210992324"/>
      <w:bookmarkStart w:id="153" w:name="_Toc211495263"/>
      <w:bookmarkStart w:id="154" w:name="_Toc211600671"/>
      <w:r w:rsidRPr="00464963">
        <w:rPr>
          <w:rFonts w:cs="Arial"/>
          <w:color w:val="000000" w:themeColor="text1"/>
          <w:szCs w:val="24"/>
        </w:rPr>
        <w:t>Les déclarations trompeuses quant à l’existence du remboursement par Q</w:t>
      </w:r>
      <w:r w:rsidR="00531AA3" w:rsidRPr="00464963">
        <w:rPr>
          <w:rFonts w:cs="Arial"/>
          <w:color w:val="000000" w:themeColor="text1"/>
          <w:szCs w:val="24"/>
        </w:rPr>
        <w:noBreakHyphen/>
      </w:r>
      <w:r w:rsidRPr="00464963">
        <w:rPr>
          <w:rFonts w:cs="Arial"/>
          <w:color w:val="000000" w:themeColor="text1"/>
          <w:szCs w:val="24"/>
        </w:rPr>
        <w:t>12 du prêt de 1</w:t>
      </w:r>
      <w:r w:rsidR="00FD2F69" w:rsidRPr="00464963">
        <w:rPr>
          <w:rFonts w:cs="Arial"/>
          <w:color w:val="000000" w:themeColor="text1"/>
          <w:szCs w:val="24"/>
        </w:rPr>
        <w:t> </w:t>
      </w:r>
      <w:r w:rsidRPr="00464963">
        <w:rPr>
          <w:rFonts w:cs="Arial"/>
          <w:color w:val="000000" w:themeColor="text1"/>
          <w:szCs w:val="24"/>
        </w:rPr>
        <w:t>M$ à Giroux et qu’il avait consenti au Groupe Huot</w:t>
      </w:r>
      <w:bookmarkEnd w:id="152"/>
      <w:bookmarkEnd w:id="153"/>
      <w:bookmarkEnd w:id="154"/>
    </w:p>
    <w:p w14:paraId="2A4B6C6A" w14:textId="77777777" w:rsidR="005470AD" w:rsidRPr="004A039A" w:rsidRDefault="00730A01" w:rsidP="00B17E9C">
      <w:pPr>
        <w:spacing w:after="120"/>
        <w:ind w:left="284"/>
        <w:jc w:val="both"/>
        <w:rPr>
          <w:rFonts w:cs="Arial"/>
          <w:szCs w:val="24"/>
        </w:rPr>
      </w:pPr>
      <w:r w:rsidRPr="004A039A">
        <w:rPr>
          <w:rFonts w:cs="Arial"/>
          <w:szCs w:val="24"/>
        </w:rPr>
        <w:t>Giroux nie le remboursement de son prêt personnel de 1</w:t>
      </w:r>
      <w:r>
        <w:rPr>
          <w:rFonts w:cs="Arial"/>
          <w:szCs w:val="24"/>
        </w:rPr>
        <w:t> </w:t>
      </w:r>
      <w:r w:rsidRPr="004A039A">
        <w:rPr>
          <w:rFonts w:cs="Arial"/>
          <w:szCs w:val="24"/>
        </w:rPr>
        <w:t>M$ à même l’argent de Q</w:t>
      </w:r>
      <w:r>
        <w:rPr>
          <w:rFonts w:cs="Arial"/>
          <w:szCs w:val="24"/>
        </w:rPr>
        <w:noBreakHyphen/>
      </w:r>
      <w:r w:rsidRPr="004A039A">
        <w:rPr>
          <w:rFonts w:cs="Arial"/>
          <w:szCs w:val="24"/>
        </w:rPr>
        <w:t>12</w:t>
      </w:r>
      <w:r>
        <w:rPr>
          <w:rStyle w:val="Appelnotedebasdep"/>
          <w:rFonts w:cs="Arial"/>
          <w:szCs w:val="24"/>
        </w:rPr>
        <w:footnoteReference w:id="472"/>
      </w:r>
      <w:r w:rsidR="00FD2F69">
        <w:rPr>
          <w:rFonts w:cs="Arial"/>
          <w:szCs w:val="24"/>
        </w:rPr>
        <w:t>.</w:t>
      </w:r>
    </w:p>
    <w:p w14:paraId="2A8AD5BB" w14:textId="77777777" w:rsidR="009034A3" w:rsidRPr="004A039A" w:rsidRDefault="00730A01" w:rsidP="00B17E9C">
      <w:pPr>
        <w:ind w:left="284"/>
        <w:jc w:val="both"/>
        <w:rPr>
          <w:rFonts w:cs="Arial"/>
          <w:szCs w:val="24"/>
        </w:rPr>
      </w:pPr>
      <w:r w:rsidRPr="004A039A">
        <w:rPr>
          <w:rFonts w:cs="Arial"/>
          <w:szCs w:val="24"/>
        </w:rPr>
        <w:t>La preuve documentaire démontre pourtant qu’il était prévu, dès l’octroi du prêt de Giroux de 1</w:t>
      </w:r>
      <w:r w:rsidR="005470AD">
        <w:rPr>
          <w:rFonts w:cs="Arial"/>
          <w:szCs w:val="24"/>
        </w:rPr>
        <w:t> </w:t>
      </w:r>
      <w:r w:rsidRPr="004A039A">
        <w:rPr>
          <w:rFonts w:cs="Arial"/>
          <w:szCs w:val="24"/>
        </w:rPr>
        <w:t>M$, qu’il serait remboursé par Q</w:t>
      </w:r>
      <w:r w:rsidR="005470AD">
        <w:rPr>
          <w:rFonts w:cs="Arial"/>
          <w:szCs w:val="24"/>
        </w:rPr>
        <w:noBreakHyphen/>
      </w:r>
      <w:r w:rsidRPr="004A039A">
        <w:rPr>
          <w:rFonts w:cs="Arial"/>
          <w:szCs w:val="24"/>
        </w:rPr>
        <w:t>12</w:t>
      </w:r>
      <w:r>
        <w:rPr>
          <w:rStyle w:val="Appelnotedebasdep"/>
          <w:rFonts w:cs="Arial"/>
          <w:szCs w:val="24"/>
        </w:rPr>
        <w:footnoteReference w:id="473"/>
      </w:r>
      <w:r w:rsidR="00B17E9C">
        <w:rPr>
          <w:rFonts w:cs="Arial"/>
          <w:szCs w:val="24"/>
        </w:rPr>
        <w:t xml:space="preserve"> alors que l</w:t>
      </w:r>
      <w:r w:rsidRPr="004A039A">
        <w:rPr>
          <w:rFonts w:cs="Arial"/>
          <w:szCs w:val="24"/>
        </w:rPr>
        <w:t>a convention prévoyait que l’argent devait être déboursé au débiteur pour le prêt mezzanine de construction immobilière</w:t>
      </w:r>
      <w:r>
        <w:rPr>
          <w:rStyle w:val="Appelnotedebasdep"/>
          <w:rFonts w:cs="Arial"/>
          <w:szCs w:val="24"/>
        </w:rPr>
        <w:footnoteReference w:id="474"/>
      </w:r>
      <w:r w:rsidR="00FD2F69">
        <w:rPr>
          <w:rFonts w:cs="Arial"/>
          <w:szCs w:val="24"/>
        </w:rPr>
        <w:t>.</w:t>
      </w:r>
    </w:p>
    <w:p w14:paraId="2B363BC1" w14:textId="77777777" w:rsidR="009034A3" w:rsidRPr="00464963" w:rsidRDefault="00730A01" w:rsidP="00443B59">
      <w:pPr>
        <w:pStyle w:val="Titre2"/>
        <w:numPr>
          <w:ilvl w:val="5"/>
          <w:numId w:val="44"/>
        </w:numPr>
        <w:spacing w:after="120"/>
        <w:ind w:left="284" w:hanging="284"/>
        <w:jc w:val="both"/>
        <w:rPr>
          <w:rFonts w:cs="Arial"/>
          <w:szCs w:val="24"/>
        </w:rPr>
      </w:pPr>
      <w:bookmarkStart w:id="155" w:name="_Toc210992326"/>
      <w:bookmarkStart w:id="156" w:name="_Toc211495264"/>
      <w:bookmarkStart w:id="157" w:name="_Toc211600672"/>
      <w:r w:rsidRPr="00464963">
        <w:rPr>
          <w:rFonts w:cs="Arial"/>
          <w:color w:val="000000" w:themeColor="text1"/>
          <w:szCs w:val="24"/>
        </w:rPr>
        <w:t>Les déclarations trompeuses quant au fait que 6646 n’aurait jamais touché d’honoraires ou de frais en lien avec les prêts de Q-12</w:t>
      </w:r>
      <w:bookmarkEnd w:id="155"/>
      <w:bookmarkEnd w:id="156"/>
      <w:bookmarkEnd w:id="157"/>
    </w:p>
    <w:p w14:paraId="5A9F2644" w14:textId="77777777" w:rsidR="00B17E9C" w:rsidRDefault="00730A01" w:rsidP="00B17E9C">
      <w:pPr>
        <w:spacing w:after="120"/>
        <w:ind w:left="284"/>
        <w:jc w:val="both"/>
        <w:rPr>
          <w:rFonts w:cs="Arial"/>
          <w:szCs w:val="24"/>
        </w:rPr>
      </w:pPr>
      <w:r w:rsidRPr="004A039A">
        <w:rPr>
          <w:rFonts w:cs="Arial"/>
          <w:szCs w:val="24"/>
        </w:rPr>
        <w:t>Giroux a d’abord affirmé lors de son interrogatoire au préalable que 6646 n’avait pas perçu de frais en lien avec les prêts de Q-12</w:t>
      </w:r>
      <w:r>
        <w:rPr>
          <w:rStyle w:val="Appelnotedebasdep"/>
          <w:rFonts w:cs="Arial"/>
          <w:szCs w:val="24"/>
        </w:rPr>
        <w:footnoteReference w:id="475"/>
      </w:r>
      <w:r w:rsidR="00FD2F69">
        <w:rPr>
          <w:rFonts w:cs="Arial"/>
          <w:szCs w:val="24"/>
        </w:rPr>
        <w:t>.</w:t>
      </w:r>
    </w:p>
    <w:p w14:paraId="268BDFAA" w14:textId="77777777" w:rsidR="009034A3" w:rsidRDefault="00730A01" w:rsidP="00B17E9C">
      <w:pPr>
        <w:ind w:left="284"/>
        <w:jc w:val="both"/>
        <w:rPr>
          <w:rFonts w:cs="Arial"/>
          <w:szCs w:val="24"/>
        </w:rPr>
      </w:pPr>
      <w:r w:rsidRPr="004A039A">
        <w:rPr>
          <w:rFonts w:cs="Arial"/>
          <w:szCs w:val="24"/>
        </w:rPr>
        <w:t>Giroux a modifié son témoignage par la suite</w:t>
      </w:r>
      <w:r>
        <w:rPr>
          <w:rStyle w:val="Appelnotedebasdep"/>
          <w:rFonts w:cs="Arial"/>
          <w:szCs w:val="24"/>
        </w:rPr>
        <w:footnoteReference w:id="476"/>
      </w:r>
      <w:r w:rsidR="00FD2F69">
        <w:rPr>
          <w:rFonts w:cs="Arial"/>
          <w:szCs w:val="24"/>
        </w:rPr>
        <w:t>.</w:t>
      </w:r>
    </w:p>
    <w:p w14:paraId="5F1031E1" w14:textId="77777777" w:rsidR="009034A3" w:rsidRPr="00464963" w:rsidRDefault="00730A01" w:rsidP="00443B59">
      <w:pPr>
        <w:pStyle w:val="Titre2"/>
        <w:numPr>
          <w:ilvl w:val="5"/>
          <w:numId w:val="44"/>
        </w:numPr>
        <w:spacing w:after="120"/>
        <w:ind w:left="284" w:hanging="284"/>
        <w:jc w:val="both"/>
        <w:rPr>
          <w:rFonts w:cs="Arial"/>
          <w:b w:val="0"/>
          <w:bCs/>
          <w:szCs w:val="24"/>
        </w:rPr>
      </w:pPr>
      <w:bookmarkStart w:id="158" w:name="_Toc210992327"/>
      <w:bookmarkStart w:id="159" w:name="_Toc211495265"/>
      <w:bookmarkStart w:id="160" w:name="_Toc211600673"/>
      <w:r w:rsidRPr="00464963">
        <w:rPr>
          <w:rFonts w:cs="Arial"/>
          <w:bCs/>
          <w:color w:val="000000" w:themeColor="text1"/>
          <w:szCs w:val="24"/>
        </w:rPr>
        <w:t>Les déclarations trompeuses quant au fait de ne jamais avoir remboursé les prêts de Q-12 avec les mises de fonds des investisseurs</w:t>
      </w:r>
      <w:bookmarkEnd w:id="158"/>
      <w:bookmarkEnd w:id="159"/>
      <w:bookmarkEnd w:id="160"/>
    </w:p>
    <w:p w14:paraId="0B567CA1" w14:textId="77777777" w:rsidR="009034A3" w:rsidRDefault="00730A01" w:rsidP="0098012F">
      <w:pPr>
        <w:ind w:left="284"/>
        <w:jc w:val="both"/>
        <w:rPr>
          <w:rFonts w:cs="Arial"/>
          <w:szCs w:val="24"/>
        </w:rPr>
      </w:pPr>
      <w:r w:rsidRPr="004A039A">
        <w:rPr>
          <w:rFonts w:cs="Arial"/>
          <w:szCs w:val="24"/>
        </w:rPr>
        <w:t>Giroux affirme ne jamais avoir remboursé des prêts de Q</w:t>
      </w:r>
      <w:r w:rsidR="00953C72">
        <w:rPr>
          <w:rFonts w:cs="Arial"/>
          <w:szCs w:val="24"/>
        </w:rPr>
        <w:noBreakHyphen/>
      </w:r>
      <w:r w:rsidRPr="004A039A">
        <w:rPr>
          <w:rFonts w:cs="Arial"/>
          <w:szCs w:val="24"/>
        </w:rPr>
        <w:t>12 à l’aide de l’argent provenant des investisseurs</w:t>
      </w:r>
      <w:r>
        <w:rPr>
          <w:rStyle w:val="Appelnotedebasdep"/>
          <w:rFonts w:cs="Arial"/>
          <w:szCs w:val="24"/>
        </w:rPr>
        <w:footnoteReference w:id="477"/>
      </w:r>
      <w:r w:rsidR="00FD2F69">
        <w:rPr>
          <w:rFonts w:cs="Arial"/>
          <w:szCs w:val="24"/>
        </w:rPr>
        <w:t>.</w:t>
      </w:r>
      <w:r w:rsidRPr="004A039A">
        <w:rPr>
          <w:rFonts w:cs="Arial"/>
          <w:szCs w:val="24"/>
        </w:rPr>
        <w:t xml:space="preserve"> </w:t>
      </w:r>
    </w:p>
    <w:p w14:paraId="0FF7D195" w14:textId="77777777" w:rsidR="009034A3" w:rsidRDefault="00730A01" w:rsidP="00B17E9C">
      <w:pPr>
        <w:spacing w:before="120"/>
        <w:ind w:left="284"/>
        <w:jc w:val="both"/>
        <w:rPr>
          <w:rFonts w:cs="Arial"/>
          <w:szCs w:val="24"/>
        </w:rPr>
      </w:pPr>
      <w:r w:rsidRPr="004A039A">
        <w:rPr>
          <w:rFonts w:cs="Arial"/>
          <w:szCs w:val="24"/>
        </w:rPr>
        <w:t>La preuve documentaire établit le contraire</w:t>
      </w:r>
      <w:r>
        <w:rPr>
          <w:rStyle w:val="Appelnotedebasdep"/>
          <w:rFonts w:cs="Arial"/>
          <w:szCs w:val="24"/>
        </w:rPr>
        <w:footnoteReference w:id="478"/>
      </w:r>
      <w:r w:rsidR="00FD2F69">
        <w:rPr>
          <w:rFonts w:cs="Arial"/>
          <w:szCs w:val="24"/>
        </w:rPr>
        <w:t>.</w:t>
      </w:r>
    </w:p>
    <w:p w14:paraId="312FF13C" w14:textId="77777777" w:rsidR="009034A3" w:rsidRPr="00464963" w:rsidRDefault="00730A01" w:rsidP="00443B59">
      <w:pPr>
        <w:pStyle w:val="Titre2"/>
        <w:numPr>
          <w:ilvl w:val="5"/>
          <w:numId w:val="44"/>
        </w:numPr>
        <w:spacing w:after="120"/>
        <w:ind w:left="284" w:hanging="284"/>
        <w:jc w:val="both"/>
        <w:rPr>
          <w:rFonts w:cs="Arial"/>
          <w:b w:val="0"/>
          <w:bCs/>
          <w:szCs w:val="24"/>
        </w:rPr>
      </w:pPr>
      <w:bookmarkStart w:id="161" w:name="_Toc210992328"/>
      <w:bookmarkStart w:id="162" w:name="_Toc211495266"/>
      <w:bookmarkStart w:id="163" w:name="_Toc211600674"/>
      <w:r w:rsidRPr="00464963">
        <w:rPr>
          <w:rFonts w:cs="Arial"/>
          <w:bCs/>
          <w:szCs w:val="24"/>
        </w:rPr>
        <w:t>Les déclarations trompeuses quant au fait de ne jamais avoir imposé au Groupe Huot de payer Giroux en priorité</w:t>
      </w:r>
      <w:bookmarkEnd w:id="161"/>
      <w:bookmarkEnd w:id="162"/>
      <w:bookmarkEnd w:id="163"/>
    </w:p>
    <w:p w14:paraId="174655CE" w14:textId="77777777" w:rsidR="009034A3" w:rsidRDefault="00730A01" w:rsidP="0098012F">
      <w:pPr>
        <w:ind w:left="284"/>
        <w:jc w:val="both"/>
        <w:rPr>
          <w:rFonts w:cs="Arial"/>
          <w:szCs w:val="24"/>
        </w:rPr>
      </w:pPr>
      <w:r w:rsidRPr="004A039A">
        <w:rPr>
          <w:rFonts w:cs="Arial"/>
          <w:szCs w:val="24"/>
        </w:rPr>
        <w:t>Giroux affirme qu’il n’a jamais demandé à Huot de payer ses sociétés en priorité</w:t>
      </w:r>
      <w:r>
        <w:rPr>
          <w:rStyle w:val="Appelnotedebasdep"/>
          <w:rFonts w:cs="Arial"/>
          <w:szCs w:val="24"/>
        </w:rPr>
        <w:footnoteReference w:id="479"/>
      </w:r>
      <w:r w:rsidR="00FD2F69">
        <w:rPr>
          <w:rFonts w:cs="Arial"/>
          <w:szCs w:val="24"/>
        </w:rPr>
        <w:t>.</w:t>
      </w:r>
    </w:p>
    <w:p w14:paraId="00566C7F" w14:textId="77777777" w:rsidR="009034A3" w:rsidRDefault="00730A01" w:rsidP="00766590">
      <w:pPr>
        <w:spacing w:before="120"/>
        <w:ind w:left="284"/>
        <w:contextualSpacing/>
        <w:jc w:val="both"/>
        <w:rPr>
          <w:rFonts w:cs="Arial"/>
          <w:szCs w:val="24"/>
        </w:rPr>
      </w:pPr>
      <w:r w:rsidRPr="004A039A">
        <w:rPr>
          <w:rFonts w:cs="Arial"/>
          <w:szCs w:val="24"/>
        </w:rPr>
        <w:t>Giroux avoue ensuite qu’il ne s’en souvient pas, mais indique que s’il l’a fait, cela correspondait à un prêt en équité et que c’était autorisé</w:t>
      </w:r>
      <w:r>
        <w:rPr>
          <w:rStyle w:val="Appelnotedebasdep"/>
          <w:rFonts w:cs="Arial"/>
          <w:szCs w:val="24"/>
        </w:rPr>
        <w:footnoteReference w:id="480"/>
      </w:r>
      <w:r w:rsidR="00FD2F69">
        <w:rPr>
          <w:rFonts w:cs="Arial"/>
          <w:szCs w:val="24"/>
        </w:rPr>
        <w:t>.</w:t>
      </w:r>
      <w:r w:rsidRPr="004A039A">
        <w:rPr>
          <w:rFonts w:cs="Arial"/>
          <w:szCs w:val="24"/>
        </w:rPr>
        <w:t xml:space="preserve"> </w:t>
      </w:r>
    </w:p>
    <w:p w14:paraId="0E8D0182" w14:textId="77777777" w:rsidR="00766590" w:rsidRPr="004A039A" w:rsidRDefault="00730A01" w:rsidP="00766590">
      <w:pPr>
        <w:spacing w:before="120"/>
        <w:ind w:left="284"/>
        <w:contextualSpacing/>
        <w:jc w:val="center"/>
        <w:rPr>
          <w:rFonts w:cs="Arial"/>
          <w:szCs w:val="24"/>
        </w:rPr>
      </w:pPr>
      <w:r>
        <w:rPr>
          <w:rFonts w:cs="Arial"/>
          <w:sz w:val="22"/>
          <w:szCs w:val="22"/>
        </w:rPr>
        <w:t>* * *</w:t>
      </w:r>
    </w:p>
    <w:p w14:paraId="527F82A3" w14:textId="77777777" w:rsidR="009034A3" w:rsidRPr="00464963" w:rsidRDefault="00730A01" w:rsidP="00443B59">
      <w:pPr>
        <w:pStyle w:val="Titre1"/>
        <w:numPr>
          <w:ilvl w:val="2"/>
          <w:numId w:val="44"/>
        </w:numPr>
        <w:ind w:left="567" w:hanging="567"/>
        <w:rPr>
          <w:rFonts w:cs="Arial"/>
          <w:sz w:val="24"/>
          <w:szCs w:val="24"/>
        </w:rPr>
      </w:pPr>
      <w:r w:rsidRPr="00464963">
        <w:rPr>
          <w:rFonts w:cs="Arial"/>
          <w:color w:val="000000" w:themeColor="text1"/>
          <w:sz w:val="24"/>
          <w:szCs w:val="24"/>
        </w:rPr>
        <w:t>LES INFORMATIONS CACHÉES AUX COMMANDITAIRES ET NIÉES PAR GIROUX</w:t>
      </w:r>
    </w:p>
    <w:p w14:paraId="00C38815" w14:textId="77777777" w:rsidR="009034A3" w:rsidRPr="00464963" w:rsidRDefault="00730A01" w:rsidP="0098012F">
      <w:pPr>
        <w:pStyle w:val="Titre2"/>
        <w:spacing w:before="120" w:after="120"/>
        <w:ind w:left="284" w:hanging="284"/>
        <w:jc w:val="both"/>
        <w:rPr>
          <w:rFonts w:cs="Arial"/>
          <w:szCs w:val="24"/>
        </w:rPr>
      </w:pPr>
      <w:bookmarkStart w:id="164" w:name="_Toc210992329"/>
      <w:bookmarkStart w:id="165" w:name="_Toc211495267"/>
      <w:bookmarkStart w:id="166" w:name="_Toc211600675"/>
      <w:r w:rsidRPr="00464963">
        <w:rPr>
          <w:rFonts w:cs="Arial"/>
          <w:color w:val="000000" w:themeColor="text1"/>
          <w:szCs w:val="24"/>
        </w:rPr>
        <w:t>1. Les déclarations trompeuses quant au fait d'avoir avisé les commanditaires de FIISH que leurs intérêts seraient payés par Q-12 (Ponzi)</w:t>
      </w:r>
      <w:bookmarkEnd w:id="164"/>
      <w:bookmarkEnd w:id="165"/>
      <w:bookmarkEnd w:id="166"/>
    </w:p>
    <w:p w14:paraId="684843A6" w14:textId="77777777" w:rsidR="00953C72" w:rsidRDefault="00730A01" w:rsidP="0098012F">
      <w:pPr>
        <w:spacing w:after="120"/>
        <w:ind w:left="284"/>
        <w:jc w:val="both"/>
        <w:rPr>
          <w:rFonts w:cs="Arial"/>
          <w:szCs w:val="24"/>
        </w:rPr>
      </w:pPr>
      <w:r w:rsidRPr="004A039A">
        <w:rPr>
          <w:rFonts w:cs="Arial"/>
          <w:szCs w:val="24"/>
        </w:rPr>
        <w:t>Giroux affirme avoir averti les commanditaires de FIISH que leurs intérêts seraient payés par les commanditaires de Q-12</w:t>
      </w:r>
      <w:r w:rsidR="00FD2F69">
        <w:rPr>
          <w:rFonts w:cs="Arial"/>
          <w:szCs w:val="24"/>
        </w:rPr>
        <w:t> </w:t>
      </w:r>
      <w:r>
        <w:rPr>
          <w:rStyle w:val="Appelnotedebasdep"/>
          <w:rFonts w:cs="Arial"/>
          <w:szCs w:val="24"/>
        </w:rPr>
        <w:footnoteReference w:id="481"/>
      </w:r>
      <w:r w:rsidR="00FD2F69">
        <w:rPr>
          <w:rFonts w:cs="Arial"/>
          <w:szCs w:val="24"/>
        </w:rPr>
        <w:t>.</w:t>
      </w:r>
      <w:r>
        <w:rPr>
          <w:rFonts w:cs="Arial"/>
          <w:szCs w:val="24"/>
        </w:rPr>
        <w:t xml:space="preserve"> </w:t>
      </w:r>
    </w:p>
    <w:p w14:paraId="37583616" w14:textId="77777777" w:rsidR="000A34ED" w:rsidRPr="000A34ED" w:rsidRDefault="00730A01" w:rsidP="0062423C">
      <w:pPr>
        <w:pStyle w:val="Citationenretrait"/>
        <w:spacing w:after="0"/>
      </w:pPr>
      <w:r w:rsidRPr="000A34ED">
        <w:t>Q</w:t>
      </w:r>
      <w:r w:rsidR="00990512">
        <w:t> :</w:t>
      </w:r>
      <w:r w:rsidRPr="000A34ED">
        <w:t xml:space="preserve"> Que vous ne leur avez jamais dit que les intérêts mensuels seraient payés pour les gens de FIISH par les investisseurs de Q-12 et…</w:t>
      </w:r>
      <w:r w:rsidR="00953C72" w:rsidRPr="000A34ED">
        <w:t xml:space="preserve"> </w:t>
      </w:r>
    </w:p>
    <w:p w14:paraId="4E1FB5D2" w14:textId="77777777" w:rsidR="000A34ED" w:rsidRPr="000A34ED" w:rsidRDefault="00730A01" w:rsidP="0062423C">
      <w:pPr>
        <w:pStyle w:val="Citationenretrait"/>
        <w:spacing w:after="0"/>
      </w:pPr>
      <w:r w:rsidRPr="000A34ED">
        <w:t>R</w:t>
      </w:r>
      <w:r w:rsidR="00990512">
        <w:t> :</w:t>
      </w:r>
      <w:r w:rsidRPr="000A34ED">
        <w:t xml:space="preserve"> C’est faux!</w:t>
      </w:r>
      <w:r w:rsidR="00953C72" w:rsidRPr="000A34ED">
        <w:t xml:space="preserve"> </w:t>
      </w:r>
      <w:r w:rsidRPr="000A34ED">
        <w:t>Q … vice versa.</w:t>
      </w:r>
      <w:r w:rsidR="00953C72" w:rsidRPr="000A34ED">
        <w:t xml:space="preserve"> </w:t>
      </w:r>
    </w:p>
    <w:p w14:paraId="318F0C3C" w14:textId="77777777" w:rsidR="000A34ED" w:rsidRPr="000A34ED" w:rsidRDefault="00730A01" w:rsidP="0062423C">
      <w:pPr>
        <w:pStyle w:val="Citationenretrait"/>
      </w:pPr>
      <w:r w:rsidRPr="000A34ED">
        <w:t>R</w:t>
      </w:r>
      <w:r w:rsidR="00990512">
        <w:t> :</w:t>
      </w:r>
      <w:r w:rsidRPr="000A34ED">
        <w:t xml:space="preserve"> C’est faux! Je l’ai dit!</w:t>
      </w:r>
      <w:r w:rsidR="00953C72" w:rsidRPr="000A34ED">
        <w:t xml:space="preserve"> </w:t>
      </w:r>
    </w:p>
    <w:p w14:paraId="57D5368F" w14:textId="77777777" w:rsidR="000A34ED" w:rsidRDefault="00730A01" w:rsidP="0098012F">
      <w:pPr>
        <w:spacing w:after="120"/>
        <w:ind w:left="284"/>
        <w:jc w:val="both"/>
        <w:rPr>
          <w:rFonts w:cs="Arial"/>
          <w:szCs w:val="24"/>
        </w:rPr>
      </w:pPr>
      <w:r w:rsidRPr="004A039A">
        <w:rPr>
          <w:rFonts w:cs="Arial"/>
          <w:szCs w:val="24"/>
        </w:rPr>
        <w:t>Par la suite, Giroux indique que cela relevait de Nadine Lehoux et tente de présumer de ce qu’elle aurait dit aux commanditaires</w:t>
      </w:r>
      <w:r>
        <w:rPr>
          <w:rStyle w:val="Appelnotedebasdep"/>
          <w:rFonts w:cs="Arial"/>
          <w:szCs w:val="24"/>
        </w:rPr>
        <w:footnoteReference w:id="482"/>
      </w:r>
      <w:r w:rsidR="00FD2F69">
        <w:rPr>
          <w:rFonts w:cs="Arial"/>
          <w:szCs w:val="24"/>
        </w:rPr>
        <w:t>.</w:t>
      </w:r>
    </w:p>
    <w:p w14:paraId="299AE0D8" w14:textId="77777777" w:rsidR="000A34ED" w:rsidRPr="000A34ED" w:rsidRDefault="00730A01" w:rsidP="0062423C">
      <w:pPr>
        <w:pStyle w:val="Citationenretrait"/>
        <w:spacing w:after="0"/>
      </w:pPr>
      <w:r w:rsidRPr="000A34ED">
        <w:t>R</w:t>
      </w:r>
      <w:r w:rsidR="00990512">
        <w:t> :</w:t>
      </w:r>
      <w:r w:rsidRPr="000A34ED">
        <w:t xml:space="preserve"> J’ai dit je l’ai…</w:t>
      </w:r>
    </w:p>
    <w:p w14:paraId="35B09097" w14:textId="77777777" w:rsidR="000A34ED" w:rsidRPr="000A34ED" w:rsidRDefault="00730A01" w:rsidP="0062423C">
      <w:pPr>
        <w:pStyle w:val="Citationenretrait"/>
        <w:spacing w:after="0"/>
      </w:pPr>
      <w:r w:rsidRPr="000A34ED">
        <w:t>Q</w:t>
      </w:r>
      <w:r w:rsidR="00990512">
        <w:t> :</w:t>
      </w:r>
      <w:r w:rsidRPr="000A34ED">
        <w:t xml:space="preserve"> … en quoi c’est…</w:t>
      </w:r>
    </w:p>
    <w:p w14:paraId="51A7CDB1" w14:textId="77777777" w:rsidR="000A34ED" w:rsidRPr="000A34ED" w:rsidRDefault="00730A01" w:rsidP="0062423C">
      <w:pPr>
        <w:pStyle w:val="Citationenretrait"/>
        <w:spacing w:after="0"/>
      </w:pPr>
      <w:r w:rsidRPr="000A34ED">
        <w:t>R</w:t>
      </w:r>
      <w:r w:rsidR="00990512">
        <w:t> :</w:t>
      </w:r>
      <w:r w:rsidRPr="000A34ED">
        <w:t xml:space="preserve"> … avisés! Je vous l’ai répondue, tout à l’heure, à la question, j’ai dit : je les ai avisés!</w:t>
      </w:r>
    </w:p>
    <w:p w14:paraId="2D8ADB2A" w14:textId="77777777" w:rsidR="000A34ED" w:rsidRPr="000A34ED" w:rsidRDefault="00730A01" w:rsidP="0062423C">
      <w:pPr>
        <w:pStyle w:val="Citationenretrait"/>
        <w:spacing w:after="0"/>
      </w:pPr>
      <w:r w:rsidRPr="000A34ED">
        <w:t>Q</w:t>
      </w:r>
      <w:r w:rsidR="00990512">
        <w:t> :</w:t>
      </w:r>
      <w:r w:rsidRPr="000A34ED">
        <w:t xml:space="preserve"> De quoi?R Si c’est pas moi qui les a avisés, bien c’est Nadine Lehoux qui les a avisés.</w:t>
      </w:r>
    </w:p>
    <w:p w14:paraId="4306A842" w14:textId="77777777" w:rsidR="000A34ED" w:rsidRPr="000A34ED" w:rsidRDefault="00730A01" w:rsidP="0062423C">
      <w:pPr>
        <w:pStyle w:val="Citationenretrait"/>
        <w:spacing w:after="0"/>
      </w:pPr>
      <w:r w:rsidRPr="000A34ED">
        <w:t>(…)</w:t>
      </w:r>
    </w:p>
    <w:p w14:paraId="7171C92F" w14:textId="77777777" w:rsidR="000A34ED" w:rsidRPr="000A34ED" w:rsidRDefault="00730A01" w:rsidP="0062423C">
      <w:pPr>
        <w:pStyle w:val="Citationenretrait"/>
        <w:spacing w:after="0"/>
      </w:pPr>
      <w:r w:rsidRPr="000A34ED">
        <w:t>Q</w:t>
      </w:r>
      <w:r w:rsidR="00990512">
        <w:t> :</w:t>
      </w:r>
      <w:r w:rsidRPr="000A34ED">
        <w:t xml:space="preserve"> Avisés de quoi?</w:t>
      </w:r>
    </w:p>
    <w:p w14:paraId="35400EC7" w14:textId="77777777" w:rsidR="000A34ED" w:rsidRPr="000A34ED" w:rsidRDefault="00730A01" w:rsidP="0062423C">
      <w:pPr>
        <w:pStyle w:val="Citationenretrait"/>
        <w:spacing w:after="0"/>
      </w:pPr>
      <w:r w:rsidRPr="000A34ED">
        <w:t>R Ben que si on faisait un prêt en équité, je me souviens “pus” des – de toutes les périodes, les prêts en équité ont été faits… euh… quand Nadine Lehoux était là; de mémoire, là. Mais quand que Nadine, elle voulait des commanditaires pour injecter des fonds dans c’te prêt en équité-là, ben, elle devait sûrement dire que c’était un prêt en équité…</w:t>
      </w:r>
    </w:p>
    <w:p w14:paraId="7583C820" w14:textId="77777777" w:rsidR="000A34ED" w:rsidRPr="000A34ED" w:rsidRDefault="00730A01" w:rsidP="0062423C">
      <w:pPr>
        <w:pStyle w:val="Citationenretrait"/>
        <w:spacing w:after="0"/>
      </w:pPr>
      <w:r w:rsidRPr="000A34ED">
        <w:t>Q</w:t>
      </w:r>
      <w:r w:rsidR="00990512">
        <w:t> :</w:t>
      </w:r>
      <w:r w:rsidRPr="000A34ED">
        <w:t xml:space="preserve"> «</w:t>
      </w:r>
      <w:r w:rsidR="00FD2F69">
        <w:t> </w:t>
      </w:r>
      <w:r w:rsidRPr="000A34ED">
        <w:t>Sûrement</w:t>
      </w:r>
      <w:r w:rsidR="00FD2F69">
        <w:t> </w:t>
      </w:r>
      <w:r w:rsidRPr="000A34ED">
        <w:t>»?</w:t>
      </w:r>
    </w:p>
    <w:p w14:paraId="5BA159AD" w14:textId="77777777" w:rsidR="009034A3" w:rsidRPr="000A34ED" w:rsidRDefault="00730A01" w:rsidP="0062423C">
      <w:pPr>
        <w:pStyle w:val="Citationenretrait"/>
      </w:pPr>
      <w:r w:rsidRPr="000A34ED">
        <w:t>R</w:t>
      </w:r>
      <w:r w:rsidR="00990512">
        <w:t> :</w:t>
      </w:r>
      <w:r w:rsidRPr="000A34ED">
        <w:t xml:space="preserve"> Non, mais “chu” pas Nadine Lehoux…</w:t>
      </w:r>
    </w:p>
    <w:p w14:paraId="57FA2AF9" w14:textId="77777777" w:rsidR="009034A3" w:rsidRPr="00464963" w:rsidRDefault="00730A01" w:rsidP="0098012F">
      <w:pPr>
        <w:pStyle w:val="Titre2"/>
        <w:ind w:left="284" w:hanging="284"/>
        <w:jc w:val="both"/>
        <w:rPr>
          <w:rFonts w:cs="Arial"/>
          <w:color w:val="000000" w:themeColor="text1"/>
          <w:szCs w:val="24"/>
        </w:rPr>
      </w:pPr>
      <w:bookmarkStart w:id="167" w:name="_Toc210992330"/>
      <w:bookmarkStart w:id="168" w:name="_Toc211495268"/>
      <w:bookmarkStart w:id="169" w:name="_Toc211600676"/>
      <w:r w:rsidRPr="00464963">
        <w:rPr>
          <w:rFonts w:cs="Arial"/>
          <w:color w:val="000000" w:themeColor="text1"/>
          <w:szCs w:val="24"/>
        </w:rPr>
        <w:t>2. Les déclarations trompeuses quant au fait que tous les commanditaires de FIISH ont été avisés en mars</w:t>
      </w:r>
      <w:r w:rsidR="00FD2F69" w:rsidRPr="00464963">
        <w:rPr>
          <w:rFonts w:cs="Arial"/>
          <w:color w:val="000000" w:themeColor="text1"/>
          <w:szCs w:val="24"/>
        </w:rPr>
        <w:t> </w:t>
      </w:r>
      <w:r w:rsidRPr="00464963">
        <w:rPr>
          <w:rFonts w:cs="Arial"/>
          <w:color w:val="000000" w:themeColor="text1"/>
          <w:szCs w:val="24"/>
        </w:rPr>
        <w:t>2022 que FIISH consentirait un nouveau prêt au Groupe Huot pour payer les intérêts en défaut (Ponzi)</w:t>
      </w:r>
      <w:bookmarkEnd w:id="167"/>
      <w:bookmarkEnd w:id="168"/>
      <w:bookmarkEnd w:id="169"/>
    </w:p>
    <w:p w14:paraId="334F663A" w14:textId="77777777" w:rsidR="000A34ED" w:rsidRDefault="00730A01" w:rsidP="00B17E9C">
      <w:pPr>
        <w:spacing w:before="120" w:after="120"/>
        <w:ind w:left="284"/>
        <w:jc w:val="both"/>
        <w:rPr>
          <w:rFonts w:cs="Arial"/>
          <w:szCs w:val="24"/>
        </w:rPr>
      </w:pPr>
      <w:r w:rsidRPr="004A039A">
        <w:rPr>
          <w:rFonts w:cs="Arial"/>
          <w:szCs w:val="24"/>
        </w:rPr>
        <w:t>Giroux affirme avoir averti tous les commanditaires de FIISH en mars</w:t>
      </w:r>
      <w:r w:rsidR="00FD2F69">
        <w:rPr>
          <w:rFonts w:cs="Arial"/>
          <w:szCs w:val="24"/>
        </w:rPr>
        <w:t> </w:t>
      </w:r>
      <w:r w:rsidRPr="004A039A">
        <w:rPr>
          <w:rFonts w:cs="Arial"/>
          <w:szCs w:val="24"/>
        </w:rPr>
        <w:t>2022 des difficultés financières de Huot et du fait que les mises de fonds serviraient à payer leurs propres intérêts</w:t>
      </w:r>
      <w:r>
        <w:rPr>
          <w:rStyle w:val="Appelnotedebasdep"/>
          <w:rFonts w:cs="Arial"/>
          <w:szCs w:val="24"/>
        </w:rPr>
        <w:footnoteReference w:id="483"/>
      </w:r>
      <w:r>
        <w:rPr>
          <w:rFonts w:cs="Arial"/>
          <w:szCs w:val="24"/>
        </w:rPr>
        <w:t> :</w:t>
      </w:r>
    </w:p>
    <w:p w14:paraId="08119BC3" w14:textId="77777777" w:rsidR="000A34ED" w:rsidRPr="00C365A0" w:rsidRDefault="00730A01" w:rsidP="00990512">
      <w:pPr>
        <w:pStyle w:val="Citationenretrait"/>
        <w:spacing w:before="0"/>
      </w:pPr>
      <w:r w:rsidRPr="00C365A0">
        <w:t>Q</w:t>
      </w:r>
      <w:r w:rsidR="00990512">
        <w:t> :</w:t>
      </w:r>
      <w:r w:rsidRPr="00C365A0">
        <w:t xml:space="preserve"> Donc, on continue, Monsieur Giroux. Qu’est-ce que vous leur avez dit, justement, quand vous les avez contactés par téléphone au sujet de cette rencontre-là?</w:t>
      </w:r>
    </w:p>
    <w:p w14:paraId="26912F67" w14:textId="77777777" w:rsidR="000A34ED" w:rsidRPr="00C365A0" w:rsidRDefault="00730A01" w:rsidP="00990512">
      <w:pPr>
        <w:pStyle w:val="Citationenretrait"/>
        <w:spacing w:before="0"/>
      </w:pPr>
      <w:r w:rsidRPr="00C365A0">
        <w:t>R</w:t>
      </w:r>
      <w:r w:rsidR="00990512">
        <w:t> :</w:t>
      </w:r>
      <w:r w:rsidRPr="00C365A0">
        <w:t xml:space="preserve"> Ben, je leur ai fait un… un résumé des quatre cents (400) pages, là, que… qu’il y a… que vous avez entre vos mains, là.</w:t>
      </w:r>
    </w:p>
    <w:p w14:paraId="2AD458A9" w14:textId="77777777" w:rsidR="000A34ED" w:rsidRPr="00C365A0" w:rsidRDefault="00730A01" w:rsidP="00990512">
      <w:pPr>
        <w:pStyle w:val="Citationenretrait"/>
        <w:spacing w:before="0"/>
      </w:pPr>
      <w:r w:rsidRPr="00C365A0">
        <w:t>Q</w:t>
      </w:r>
      <w:r w:rsidR="00990512">
        <w:t> :</w:t>
      </w:r>
      <w:r w:rsidRPr="00C365A0">
        <w:t xml:space="preserve"> Pardon?</w:t>
      </w:r>
    </w:p>
    <w:p w14:paraId="2F5A27DB" w14:textId="77777777" w:rsidR="000A34ED" w:rsidRPr="00C365A0" w:rsidRDefault="00730A01" w:rsidP="00990512">
      <w:pPr>
        <w:pStyle w:val="Citationenretrait"/>
        <w:spacing w:before="0"/>
      </w:pPr>
      <w:r w:rsidRPr="00C365A0">
        <w:t>R</w:t>
      </w:r>
      <w:r w:rsidR="00990512">
        <w:t> :</w:t>
      </w:r>
      <w:r w:rsidRPr="00C365A0">
        <w:t xml:space="preserve"> J’ai fait un résumé des quatre cents (400) pages que vous avez entre vos mains, là</w:t>
      </w:r>
      <w:r>
        <w:rPr>
          <w:rStyle w:val="Appelnotedebasdep"/>
          <w:rFonts w:cs="Arial"/>
          <w:i/>
          <w:iCs/>
          <w:szCs w:val="22"/>
        </w:rPr>
        <w:footnoteReference w:id="484"/>
      </w:r>
      <w:r w:rsidR="00FD2F69">
        <w:t>.</w:t>
      </w:r>
    </w:p>
    <w:p w14:paraId="30B7DBF2" w14:textId="77777777" w:rsidR="00C365A0" w:rsidRPr="00C365A0" w:rsidRDefault="00730A01" w:rsidP="00990512">
      <w:pPr>
        <w:pStyle w:val="Citationenretrait"/>
        <w:spacing w:before="0"/>
      </w:pPr>
      <w:r w:rsidRPr="00C365A0">
        <w:t>R</w:t>
      </w:r>
      <w:r w:rsidR="00990512">
        <w:t> :</w:t>
      </w:r>
      <w:r w:rsidRPr="00C365A0">
        <w:t xml:space="preserve"> Bien, moi, je partais en vacances dans pas grand-temps, ça fait que pendant deux jours, j’ai fait des appels, j’ai fait des appels, j’ai fait des appels, j’ai expliqué à tout le monde… je ne répéterai pas ce que j’ai dit, là, on l’a… on vient de le passer en enregistrement, c’est ce que j’ai répété à tout le monde sans exception.</w:t>
      </w:r>
    </w:p>
    <w:p w14:paraId="187D8F29" w14:textId="77777777" w:rsidR="009034A3" w:rsidRPr="004A039A" w:rsidRDefault="00730A01" w:rsidP="0098012F">
      <w:pPr>
        <w:ind w:left="284"/>
        <w:jc w:val="both"/>
        <w:rPr>
          <w:rFonts w:cs="Arial"/>
          <w:szCs w:val="24"/>
        </w:rPr>
      </w:pPr>
      <w:r w:rsidRPr="004A039A">
        <w:rPr>
          <w:rFonts w:cs="Arial"/>
          <w:szCs w:val="24"/>
        </w:rPr>
        <w:t>Chacun des commanditaires demandeurs affirme le contraire dans sa déclaration sous serment</w:t>
      </w:r>
      <w:r w:rsidR="00FD2F69">
        <w:rPr>
          <w:rFonts w:cs="Arial"/>
          <w:szCs w:val="24"/>
        </w:rPr>
        <w:t> </w:t>
      </w:r>
      <w:r w:rsidRPr="004A039A">
        <w:rPr>
          <w:rFonts w:cs="Arial"/>
          <w:szCs w:val="24"/>
        </w:rPr>
        <w:t>: Bertrand Roberge (par.</w:t>
      </w:r>
      <w:r w:rsidR="00FD2F69">
        <w:rPr>
          <w:rFonts w:cs="Arial"/>
          <w:szCs w:val="24"/>
        </w:rPr>
        <w:t> </w:t>
      </w:r>
      <w:r w:rsidRPr="004A039A">
        <w:rPr>
          <w:rFonts w:cs="Arial"/>
          <w:szCs w:val="24"/>
        </w:rPr>
        <w:t>18), Pierre Couture (par.</w:t>
      </w:r>
      <w:r w:rsidR="00FD2F69">
        <w:rPr>
          <w:rFonts w:cs="Arial"/>
          <w:szCs w:val="24"/>
        </w:rPr>
        <w:t> </w:t>
      </w:r>
      <w:r w:rsidRPr="004A039A">
        <w:rPr>
          <w:rFonts w:cs="Arial"/>
          <w:szCs w:val="24"/>
        </w:rPr>
        <w:t>19), André Bélanger (par.</w:t>
      </w:r>
      <w:r w:rsidR="00FD2F69">
        <w:rPr>
          <w:rFonts w:cs="Arial"/>
          <w:szCs w:val="24"/>
        </w:rPr>
        <w:t> </w:t>
      </w:r>
      <w:r w:rsidRPr="004A039A">
        <w:rPr>
          <w:rFonts w:cs="Arial"/>
          <w:szCs w:val="24"/>
        </w:rPr>
        <w:t>29), Daniel Bordeleau (par.</w:t>
      </w:r>
      <w:r w:rsidR="00FD2F69">
        <w:rPr>
          <w:rFonts w:cs="Arial"/>
          <w:szCs w:val="24"/>
        </w:rPr>
        <w:t> </w:t>
      </w:r>
      <w:r w:rsidRPr="004A039A">
        <w:rPr>
          <w:rFonts w:cs="Arial"/>
          <w:szCs w:val="24"/>
        </w:rPr>
        <w:t>25-26), Jocelyn Giguère (par.</w:t>
      </w:r>
      <w:r w:rsidR="00FD2F69">
        <w:rPr>
          <w:rFonts w:cs="Arial"/>
          <w:szCs w:val="24"/>
        </w:rPr>
        <w:t> </w:t>
      </w:r>
      <w:r w:rsidRPr="004A039A">
        <w:rPr>
          <w:rFonts w:cs="Arial"/>
          <w:szCs w:val="24"/>
        </w:rPr>
        <w:t>19), Ronald Godbout (par.</w:t>
      </w:r>
      <w:r w:rsidR="00FD2F69">
        <w:rPr>
          <w:rFonts w:cs="Arial"/>
          <w:szCs w:val="24"/>
        </w:rPr>
        <w:t> </w:t>
      </w:r>
      <w:r w:rsidRPr="004A039A">
        <w:rPr>
          <w:rFonts w:cs="Arial"/>
          <w:szCs w:val="24"/>
        </w:rPr>
        <w:t>13), Alain Guay (par.</w:t>
      </w:r>
      <w:r w:rsidR="00FD2F69">
        <w:rPr>
          <w:rFonts w:cs="Arial"/>
          <w:szCs w:val="24"/>
        </w:rPr>
        <w:t> </w:t>
      </w:r>
      <w:r w:rsidRPr="004A039A">
        <w:rPr>
          <w:rFonts w:cs="Arial"/>
          <w:szCs w:val="24"/>
        </w:rPr>
        <w:t>13), Frankie Lafontaine (par.</w:t>
      </w:r>
      <w:r w:rsidR="00FD2F69">
        <w:rPr>
          <w:rFonts w:cs="Arial"/>
          <w:szCs w:val="24"/>
        </w:rPr>
        <w:t> </w:t>
      </w:r>
      <w:r w:rsidRPr="004A039A">
        <w:rPr>
          <w:rFonts w:cs="Arial"/>
          <w:szCs w:val="24"/>
        </w:rPr>
        <w:t>16), Alain Lemay (par.</w:t>
      </w:r>
      <w:r w:rsidR="00FD2F69">
        <w:rPr>
          <w:rFonts w:cs="Arial"/>
          <w:szCs w:val="24"/>
        </w:rPr>
        <w:t> </w:t>
      </w:r>
      <w:r w:rsidRPr="004A039A">
        <w:rPr>
          <w:rFonts w:cs="Arial"/>
          <w:szCs w:val="24"/>
        </w:rPr>
        <w:t>19), Alix Muller (par.</w:t>
      </w:r>
      <w:r w:rsidR="00FD2F69">
        <w:rPr>
          <w:rFonts w:cs="Arial"/>
          <w:szCs w:val="24"/>
        </w:rPr>
        <w:t> </w:t>
      </w:r>
      <w:r w:rsidRPr="004A039A">
        <w:rPr>
          <w:rFonts w:cs="Arial"/>
          <w:szCs w:val="24"/>
        </w:rPr>
        <w:t>29), André Perron (par.</w:t>
      </w:r>
      <w:r w:rsidR="00FD2F69">
        <w:rPr>
          <w:rFonts w:cs="Arial"/>
          <w:szCs w:val="24"/>
        </w:rPr>
        <w:t> </w:t>
      </w:r>
      <w:r w:rsidRPr="004A039A">
        <w:rPr>
          <w:rFonts w:cs="Arial"/>
          <w:szCs w:val="24"/>
        </w:rPr>
        <w:t>15), Alain Roy (par.</w:t>
      </w:r>
      <w:r w:rsidR="00FD2F69">
        <w:rPr>
          <w:rFonts w:cs="Arial"/>
          <w:szCs w:val="24"/>
        </w:rPr>
        <w:t> </w:t>
      </w:r>
      <w:r w:rsidRPr="004A039A">
        <w:rPr>
          <w:rFonts w:cs="Arial"/>
          <w:szCs w:val="24"/>
        </w:rPr>
        <w:t>15), Alain-Jacques Simard (par.</w:t>
      </w:r>
      <w:r w:rsidR="00FD2F69">
        <w:rPr>
          <w:rFonts w:cs="Arial"/>
          <w:szCs w:val="24"/>
        </w:rPr>
        <w:t> </w:t>
      </w:r>
      <w:r w:rsidRPr="004A039A">
        <w:rPr>
          <w:rFonts w:cs="Arial"/>
          <w:szCs w:val="24"/>
        </w:rPr>
        <w:t>28), Denis St-Cyr (par.</w:t>
      </w:r>
      <w:r w:rsidR="00FD2F69">
        <w:rPr>
          <w:rFonts w:cs="Arial"/>
          <w:szCs w:val="24"/>
        </w:rPr>
        <w:t> </w:t>
      </w:r>
      <w:r w:rsidRPr="004A039A">
        <w:rPr>
          <w:rFonts w:cs="Arial"/>
          <w:szCs w:val="24"/>
        </w:rPr>
        <w:t>14-17), Éric Tremblay (par.</w:t>
      </w:r>
      <w:r w:rsidR="00FD2F69">
        <w:rPr>
          <w:rFonts w:cs="Arial"/>
          <w:szCs w:val="24"/>
        </w:rPr>
        <w:t> </w:t>
      </w:r>
      <w:r w:rsidRPr="004A039A">
        <w:rPr>
          <w:rFonts w:cs="Arial"/>
          <w:szCs w:val="24"/>
        </w:rPr>
        <w:t>14), Sylvain Tremblay (par.</w:t>
      </w:r>
      <w:r w:rsidR="00FD2F69">
        <w:rPr>
          <w:rFonts w:cs="Arial"/>
          <w:szCs w:val="24"/>
        </w:rPr>
        <w:t> </w:t>
      </w:r>
      <w:r w:rsidRPr="004A039A">
        <w:rPr>
          <w:rFonts w:cs="Arial"/>
          <w:szCs w:val="24"/>
        </w:rPr>
        <w:t>29), Daniel Arguin (par.</w:t>
      </w:r>
      <w:r w:rsidR="00FD2F69">
        <w:rPr>
          <w:rFonts w:cs="Arial"/>
          <w:szCs w:val="24"/>
        </w:rPr>
        <w:t> </w:t>
      </w:r>
      <w:r w:rsidRPr="004A039A">
        <w:rPr>
          <w:rFonts w:cs="Arial"/>
          <w:szCs w:val="24"/>
        </w:rPr>
        <w:t>16), Rocky Roy (par.</w:t>
      </w:r>
      <w:r w:rsidR="00FD2F69">
        <w:rPr>
          <w:rFonts w:cs="Arial"/>
          <w:szCs w:val="24"/>
        </w:rPr>
        <w:t> </w:t>
      </w:r>
      <w:r w:rsidRPr="004A039A">
        <w:rPr>
          <w:rFonts w:cs="Arial"/>
          <w:szCs w:val="24"/>
        </w:rPr>
        <w:t>32), et Robert Robitaille (par.</w:t>
      </w:r>
      <w:r w:rsidR="00FD2F69">
        <w:rPr>
          <w:rFonts w:cs="Arial"/>
          <w:szCs w:val="24"/>
        </w:rPr>
        <w:t> </w:t>
      </w:r>
      <w:r w:rsidRPr="004A039A">
        <w:rPr>
          <w:rFonts w:cs="Arial"/>
          <w:szCs w:val="24"/>
        </w:rPr>
        <w:t>25).</w:t>
      </w:r>
    </w:p>
    <w:p w14:paraId="23E9CCDF" w14:textId="77777777" w:rsidR="009034A3" w:rsidRPr="00464963" w:rsidRDefault="00730A01" w:rsidP="0098012F">
      <w:pPr>
        <w:pStyle w:val="Titre2"/>
        <w:jc w:val="both"/>
        <w:rPr>
          <w:rFonts w:cs="Arial"/>
          <w:color w:val="000000" w:themeColor="text1"/>
          <w:szCs w:val="24"/>
        </w:rPr>
      </w:pPr>
      <w:bookmarkStart w:id="170" w:name="_Toc210992331"/>
      <w:bookmarkStart w:id="171" w:name="_Toc211495269"/>
      <w:bookmarkStart w:id="172" w:name="_Toc211600677"/>
      <w:r w:rsidRPr="00464963">
        <w:rPr>
          <w:rFonts w:cs="Arial"/>
          <w:color w:val="000000" w:themeColor="text1"/>
          <w:szCs w:val="24"/>
        </w:rPr>
        <w:t>3. Les contradictions de Giroux sur la faillite annoncée de Huot</w:t>
      </w:r>
      <w:bookmarkEnd w:id="170"/>
      <w:bookmarkEnd w:id="171"/>
      <w:bookmarkEnd w:id="172"/>
    </w:p>
    <w:p w14:paraId="5B654A98" w14:textId="77777777" w:rsidR="00C365A0" w:rsidRDefault="00730A01" w:rsidP="00616645">
      <w:pPr>
        <w:spacing w:before="120"/>
        <w:ind w:left="284"/>
        <w:jc w:val="both"/>
        <w:rPr>
          <w:rFonts w:cs="Arial"/>
          <w:szCs w:val="24"/>
        </w:rPr>
      </w:pPr>
      <w:r w:rsidRPr="004A039A">
        <w:rPr>
          <w:rFonts w:cs="Arial"/>
          <w:szCs w:val="24"/>
        </w:rPr>
        <w:t>Giroux déclare d’abord avoir averti les commanditaires que Huot s’en allait vers la faillite s’il ne parvenait pas à vendre</w:t>
      </w:r>
      <w:r>
        <w:rPr>
          <w:rStyle w:val="Appelnotedebasdep"/>
          <w:rFonts w:cs="Arial"/>
          <w:szCs w:val="24"/>
        </w:rPr>
        <w:footnoteReference w:id="485"/>
      </w:r>
      <w:r w:rsidR="00FD2F69">
        <w:rPr>
          <w:rFonts w:cs="Arial"/>
          <w:szCs w:val="24"/>
        </w:rPr>
        <w:t> :</w:t>
      </w:r>
    </w:p>
    <w:p w14:paraId="57EBA347" w14:textId="77777777" w:rsidR="00C365A0" w:rsidRPr="00C365A0" w:rsidRDefault="00730A01" w:rsidP="00616645">
      <w:pPr>
        <w:pStyle w:val="Citationenretrait"/>
      </w:pPr>
      <w:r w:rsidRPr="00C365A0">
        <w:t>(…) Puis je l’ai dit aux commanditaires à ce moment-là, c’est… c’est… la première chose que j’ai dite, c’est</w:t>
      </w:r>
      <w:r w:rsidR="00FD2F69">
        <w:t> </w:t>
      </w:r>
      <w:r w:rsidRPr="00C365A0">
        <w:t>: «</w:t>
      </w:r>
      <w:r w:rsidR="00FD2F69">
        <w:t> </w:t>
      </w:r>
      <w:r w:rsidRPr="00C365A0">
        <w:t>Il faut qu’il vende son parc si on veut être remboursés.</w:t>
      </w:r>
      <w:r w:rsidR="00FD2F69">
        <w:t> </w:t>
      </w:r>
      <w:r w:rsidRPr="00C365A0">
        <w:t>» Donc, il faut l’accompagner, puis oui, il va y avoir des problèmes à ce moment-là.</w:t>
      </w:r>
    </w:p>
    <w:p w14:paraId="05E3B084" w14:textId="77777777" w:rsidR="00C365A0" w:rsidRDefault="00730A01" w:rsidP="00CC2A90">
      <w:pPr>
        <w:spacing w:after="120"/>
        <w:ind w:left="284"/>
        <w:jc w:val="both"/>
        <w:rPr>
          <w:rFonts w:cs="Arial"/>
          <w:szCs w:val="24"/>
        </w:rPr>
      </w:pPr>
      <w:r w:rsidRPr="004A039A">
        <w:rPr>
          <w:rFonts w:cs="Arial"/>
          <w:szCs w:val="24"/>
        </w:rPr>
        <w:t>Quelques jours plus tard, Giroux soutient ne pas se souvenir qu’il était question de faillite et affirme plutôt avoir parlé d’un «</w:t>
      </w:r>
      <w:r>
        <w:rPr>
          <w:rFonts w:cs="Arial"/>
          <w:szCs w:val="24"/>
        </w:rPr>
        <w:t> </w:t>
      </w:r>
      <w:r w:rsidRPr="004A039A">
        <w:rPr>
          <w:rFonts w:cs="Arial"/>
          <w:i/>
          <w:iCs/>
          <w:szCs w:val="24"/>
        </w:rPr>
        <w:t>beau soleil à l’horizon</w:t>
      </w:r>
      <w:r>
        <w:rPr>
          <w:rFonts w:cs="Arial"/>
          <w:i/>
          <w:iCs/>
          <w:szCs w:val="24"/>
        </w:rPr>
        <w:t> </w:t>
      </w:r>
      <w:r w:rsidRPr="004A039A">
        <w:rPr>
          <w:rFonts w:cs="Arial"/>
          <w:szCs w:val="24"/>
        </w:rPr>
        <w:t>»</w:t>
      </w:r>
      <w:r>
        <w:rPr>
          <w:rStyle w:val="Appelnotedebasdep"/>
          <w:rFonts w:cs="Arial"/>
          <w:szCs w:val="24"/>
        </w:rPr>
        <w:footnoteReference w:id="486"/>
      </w:r>
      <w:r w:rsidR="00FD2F69">
        <w:rPr>
          <w:rFonts w:cs="Arial"/>
          <w:szCs w:val="24"/>
        </w:rPr>
        <w:t> :</w:t>
      </w:r>
    </w:p>
    <w:p w14:paraId="0AF763A4" w14:textId="77777777" w:rsidR="00C365A0" w:rsidRPr="00C365A0" w:rsidRDefault="00730A01" w:rsidP="00616645">
      <w:pPr>
        <w:pStyle w:val="Citationenretrait"/>
        <w:spacing w:after="0"/>
      </w:pPr>
      <w:r w:rsidRPr="00C365A0">
        <w:t>R</w:t>
      </w:r>
      <w:r w:rsidR="00CC2A90">
        <w:t xml:space="preserve"> : </w:t>
      </w:r>
      <w:r w:rsidRPr="00C365A0">
        <w:t>Bien, parce que premièrement, c’est un enregistrement du mois de mars, que j’ai écouté une fois, et puis, je ne me souvenais pas qu’à ce moment-là, il m’avait dit qu’il était pour faire faillite, là.</w:t>
      </w:r>
    </w:p>
    <w:p w14:paraId="4FB63A15" w14:textId="77777777" w:rsidR="00C365A0" w:rsidRPr="00C365A0" w:rsidRDefault="00730A01" w:rsidP="00616645">
      <w:pPr>
        <w:pStyle w:val="Citationenretrait"/>
        <w:spacing w:after="0"/>
      </w:pPr>
      <w:r w:rsidRPr="00C365A0">
        <w:t>(…)</w:t>
      </w:r>
    </w:p>
    <w:p w14:paraId="1CDF179D" w14:textId="77777777" w:rsidR="00C365A0" w:rsidRPr="00C365A0" w:rsidRDefault="00730A01" w:rsidP="00616645">
      <w:pPr>
        <w:pStyle w:val="Citationenretrait"/>
        <w:spacing w:after="0"/>
      </w:pPr>
      <w:r w:rsidRPr="00C365A0">
        <w:t>R</w:t>
      </w:r>
      <w:r w:rsidR="00CC2A90">
        <w:t xml:space="preserve"> : </w:t>
      </w:r>
      <w:r w:rsidRPr="00C365A0">
        <w:t>C’est que les communications que j’ai eues avec les commanditaires, à ce moment-là, je leur ai expliqué qu’il fallait qu’il vende, mais que c’était, oui, beau soleil à l’horizon, parce que s’il vendait, on était remboursés.</w:t>
      </w:r>
    </w:p>
    <w:p w14:paraId="3599AFA9" w14:textId="77777777" w:rsidR="00C365A0" w:rsidRPr="00C365A0" w:rsidRDefault="00730A01" w:rsidP="00616645">
      <w:pPr>
        <w:pStyle w:val="Citationenretrait"/>
        <w:spacing w:after="0"/>
      </w:pPr>
      <w:r w:rsidRPr="00C365A0">
        <w:t>(…)</w:t>
      </w:r>
    </w:p>
    <w:p w14:paraId="63F4C720" w14:textId="77777777" w:rsidR="00C365A0" w:rsidRPr="00C365A0" w:rsidRDefault="00730A01" w:rsidP="00616645">
      <w:pPr>
        <w:pStyle w:val="Citationenretrait"/>
        <w:spacing w:after="0"/>
      </w:pPr>
      <w:r w:rsidRPr="00C365A0">
        <w:t>Q</w:t>
      </w:r>
      <w:r w:rsidR="00CC2A90">
        <w:t> :</w:t>
      </w:r>
      <w:r w:rsidRPr="00C365A0">
        <w:t xml:space="preserve"> Monsieur Huot avait prévu que dans un an, il ferait faillite… et vous, vous n’avez jamais avisé les commanditaires de ça; c’est exact?</w:t>
      </w:r>
    </w:p>
    <w:p w14:paraId="40880392" w14:textId="77777777" w:rsidR="00C365A0" w:rsidRPr="00C365A0" w:rsidRDefault="00730A01" w:rsidP="00616645">
      <w:pPr>
        <w:pStyle w:val="Citationenretrait"/>
        <w:spacing w:after="0"/>
      </w:pPr>
      <w:r w:rsidRPr="00C365A0">
        <w:t>R C’est faux.</w:t>
      </w:r>
    </w:p>
    <w:p w14:paraId="3CFDD5ED" w14:textId="77777777" w:rsidR="00C365A0" w:rsidRPr="00C365A0" w:rsidRDefault="00730A01" w:rsidP="00616645">
      <w:pPr>
        <w:pStyle w:val="Citationenretrait"/>
        <w:spacing w:after="0"/>
      </w:pPr>
      <w:r w:rsidRPr="00C365A0">
        <w:t>Q</w:t>
      </w:r>
      <w:r w:rsidR="00CC2A90">
        <w:t> :</w:t>
      </w:r>
      <w:r w:rsidRPr="00C365A0">
        <w:t xml:space="preserve"> Alors, vous avez dit aux commanditaires : «</w:t>
      </w:r>
      <w:r w:rsidR="00FD2F69">
        <w:t> </w:t>
      </w:r>
      <w:r w:rsidRPr="00C365A0">
        <w:t>Monsieur Huot m’a dit qu’il allait faire faillite dans un an</w:t>
      </w:r>
      <w:r w:rsidR="00FD2F69">
        <w:t> </w:t>
      </w:r>
      <w:r w:rsidRPr="00C365A0">
        <w:t>»?</w:t>
      </w:r>
    </w:p>
    <w:p w14:paraId="7104AF6D" w14:textId="77777777" w:rsidR="009034A3" w:rsidRPr="00C365A0" w:rsidRDefault="00730A01" w:rsidP="00616645">
      <w:pPr>
        <w:pStyle w:val="Citationenretrait"/>
      </w:pPr>
      <w:r w:rsidRPr="00C365A0">
        <w:t>R</w:t>
      </w:r>
      <w:r w:rsidR="00CC2A90">
        <w:t> :</w:t>
      </w:r>
      <w:r w:rsidRPr="00C365A0">
        <w:t xml:space="preserve"> Moi, j’ai dit ça aux commanditaires? Bien, c’est faux.</w:t>
      </w:r>
    </w:p>
    <w:p w14:paraId="5BCAC9A1" w14:textId="77777777" w:rsidR="009034A3" w:rsidRDefault="00730A01" w:rsidP="00443B59">
      <w:pPr>
        <w:pStyle w:val="Titre2"/>
        <w:numPr>
          <w:ilvl w:val="0"/>
          <w:numId w:val="83"/>
        </w:numPr>
        <w:ind w:left="284" w:hanging="284"/>
        <w:jc w:val="both"/>
        <w:rPr>
          <w:rFonts w:cs="Arial"/>
          <w:b w:val="0"/>
          <w:bCs/>
          <w:szCs w:val="24"/>
        </w:rPr>
      </w:pPr>
      <w:r w:rsidRPr="004A039A">
        <w:rPr>
          <w:rFonts w:cs="Arial"/>
          <w:bCs/>
          <w:szCs w:val="24"/>
        </w:rPr>
        <w:t>Les contradictions relatives à Denis St-Cyr et aux mises de fonds pour payer les intérêts</w:t>
      </w:r>
    </w:p>
    <w:p w14:paraId="0DA60806" w14:textId="77777777" w:rsidR="00C365A0" w:rsidRDefault="00730A01" w:rsidP="00616645">
      <w:pPr>
        <w:pStyle w:val="Listenumros"/>
        <w:numPr>
          <w:ilvl w:val="0"/>
          <w:numId w:val="0"/>
        </w:numPr>
        <w:spacing w:before="120" w:after="120" w:line="240" w:lineRule="auto"/>
        <w:ind w:left="284"/>
        <w:jc w:val="both"/>
        <w:rPr>
          <w:rFonts w:ascii="Arial" w:hAnsi="Arial" w:cs="Arial"/>
          <w:sz w:val="24"/>
          <w:szCs w:val="24"/>
          <w:lang w:val="fr-CA"/>
        </w:rPr>
      </w:pPr>
      <w:r>
        <w:rPr>
          <w:rFonts w:ascii="Arial" w:hAnsi="Arial" w:cs="Arial"/>
          <w:sz w:val="24"/>
          <w:szCs w:val="24"/>
          <w:lang w:val="fr-CA"/>
        </w:rPr>
        <w:t xml:space="preserve">Au procès, </w:t>
      </w:r>
      <w:r w:rsidR="009034A3" w:rsidRPr="004A039A">
        <w:rPr>
          <w:rFonts w:ascii="Arial" w:hAnsi="Arial" w:cs="Arial"/>
          <w:sz w:val="24"/>
          <w:szCs w:val="24"/>
          <w:lang w:val="fr-CA"/>
        </w:rPr>
        <w:t>Giroux témoigne avoir averti le commanditaire Denis St-Cyr qu’il allait faire une mise de fonds pour payer ses intérêts</w:t>
      </w:r>
      <w:r>
        <w:rPr>
          <w:rStyle w:val="Appelnotedebasdep"/>
          <w:rFonts w:ascii="Arial" w:hAnsi="Arial" w:cs="Arial"/>
          <w:sz w:val="24"/>
          <w:szCs w:val="24"/>
        </w:rPr>
        <w:footnoteReference w:id="487"/>
      </w:r>
      <w:r w:rsidR="00FD2F69">
        <w:rPr>
          <w:rFonts w:ascii="Arial" w:hAnsi="Arial" w:cs="Arial"/>
          <w:sz w:val="24"/>
          <w:szCs w:val="24"/>
          <w:lang w:val="fr-CA"/>
        </w:rPr>
        <w:t> :</w:t>
      </w:r>
    </w:p>
    <w:p w14:paraId="358E7C30" w14:textId="77777777" w:rsidR="00644806" w:rsidRDefault="00730A01" w:rsidP="00616645">
      <w:pPr>
        <w:pStyle w:val="Citationenretrait"/>
      </w:pPr>
      <w:r w:rsidRPr="00644806">
        <w:t>R</w:t>
      </w:r>
      <w:r w:rsidR="00CC2A90">
        <w:t xml:space="preserve"> : </w:t>
      </w:r>
      <w:r w:rsidRPr="00644806">
        <w:t xml:space="preserve">Il n’a pas eu besoin de me poser la question, je l’ai appelé pour ça… j’appelais expressément pour dire qu’on était pour payer les frais d’intérêts à FIISH avec cet apport-là supplémentaire. </w:t>
      </w:r>
    </w:p>
    <w:p w14:paraId="363F0525" w14:textId="77777777" w:rsidR="00644806" w:rsidRDefault="00730A01" w:rsidP="00CC2A90">
      <w:pPr>
        <w:pStyle w:val="Listenumros"/>
        <w:numPr>
          <w:ilvl w:val="0"/>
          <w:numId w:val="0"/>
        </w:numPr>
        <w:spacing w:before="120" w:after="120" w:line="240" w:lineRule="auto"/>
        <w:ind w:left="284"/>
        <w:jc w:val="both"/>
        <w:rPr>
          <w:rFonts w:ascii="Arial" w:hAnsi="Arial" w:cs="Arial"/>
          <w:lang w:val="fr-CA"/>
        </w:rPr>
      </w:pPr>
      <w:r>
        <w:rPr>
          <w:rFonts w:ascii="Arial" w:hAnsi="Arial" w:cs="Arial"/>
          <w:lang w:val="fr-CA"/>
        </w:rPr>
        <w:t>Pourtant, à son interrogatoire au préalable, il reconnaît qu’il ne se souvient pas de sa discussion avec Denis St-Cyr</w:t>
      </w:r>
      <w:r w:rsidR="00616645">
        <w:rPr>
          <w:rFonts w:ascii="Arial" w:hAnsi="Arial" w:cs="Arial"/>
          <w:lang w:val="fr-CA"/>
        </w:rPr>
        <w:t> :</w:t>
      </w:r>
    </w:p>
    <w:p w14:paraId="2AB52FC3" w14:textId="77777777" w:rsidR="00E10BEF" w:rsidRDefault="00730A01" w:rsidP="00616645">
      <w:pPr>
        <w:pStyle w:val="Citationenretrait"/>
        <w:spacing w:after="0"/>
      </w:pPr>
      <w:r>
        <w:t>Q</w:t>
      </w:r>
      <w:r w:rsidR="00CC2A90">
        <w:t> :</w:t>
      </w:r>
      <w:r>
        <w:t xml:space="preserve"> Est-ce que vous vous souvenez d’avoir parlé des intérêts avec Denis St-Cyr?</w:t>
      </w:r>
    </w:p>
    <w:p w14:paraId="03F62515" w14:textId="77777777" w:rsidR="009034A3" w:rsidRDefault="00730A01" w:rsidP="00616645">
      <w:pPr>
        <w:pStyle w:val="Citationenretrait"/>
      </w:pPr>
      <w:r w:rsidRPr="00644806">
        <w:t>R</w:t>
      </w:r>
      <w:r w:rsidR="00CC2A90">
        <w:t> :</w:t>
      </w:r>
      <w:r w:rsidR="00CD6FEB">
        <w:t xml:space="preserve"> […] </w:t>
      </w:r>
      <w:r w:rsidRPr="00644806">
        <w:t xml:space="preserve"> Denis St-Cyr, précisément, je me souviens pas</w:t>
      </w:r>
      <w:r>
        <w:rPr>
          <w:rStyle w:val="Appelnotedebasdep"/>
          <w:rFonts w:cs="Arial"/>
        </w:rPr>
        <w:footnoteReference w:id="488"/>
      </w:r>
      <w:r w:rsidR="00FD2F69">
        <w:t>.</w:t>
      </w:r>
    </w:p>
    <w:p w14:paraId="14F956EC" w14:textId="77777777" w:rsidR="009034A3" w:rsidRPr="004A039A" w:rsidRDefault="00730A01" w:rsidP="00443B59">
      <w:pPr>
        <w:pStyle w:val="Titre2"/>
        <w:numPr>
          <w:ilvl w:val="0"/>
          <w:numId w:val="83"/>
        </w:numPr>
        <w:spacing w:before="120" w:after="100" w:afterAutospacing="1"/>
        <w:ind w:left="284" w:hanging="284"/>
        <w:jc w:val="both"/>
        <w:rPr>
          <w:rFonts w:cs="Arial"/>
          <w:b w:val="0"/>
          <w:bCs/>
          <w:szCs w:val="24"/>
        </w:rPr>
      </w:pPr>
      <w:r w:rsidRPr="004A039A">
        <w:rPr>
          <w:rFonts w:cs="Arial"/>
          <w:bCs/>
          <w:szCs w:val="24"/>
        </w:rPr>
        <w:t>Les prétentions de Giroux incompatibles avec ses autres affirmations</w:t>
      </w:r>
    </w:p>
    <w:p w14:paraId="3C88495E" w14:textId="77777777" w:rsidR="00644806" w:rsidRDefault="00730A01" w:rsidP="00616645">
      <w:pPr>
        <w:pStyle w:val="Listenumros"/>
        <w:numPr>
          <w:ilvl w:val="0"/>
          <w:numId w:val="0"/>
        </w:numPr>
        <w:spacing w:before="120" w:after="0" w:line="240" w:lineRule="auto"/>
        <w:ind w:left="284"/>
        <w:jc w:val="both"/>
        <w:rPr>
          <w:rFonts w:ascii="Arial" w:hAnsi="Arial" w:cs="Arial"/>
          <w:sz w:val="24"/>
          <w:szCs w:val="24"/>
          <w:lang w:val="fr-CA"/>
        </w:rPr>
      </w:pPr>
      <w:r w:rsidRPr="004A039A">
        <w:rPr>
          <w:rFonts w:ascii="Arial" w:hAnsi="Arial" w:cs="Arial"/>
          <w:sz w:val="24"/>
          <w:szCs w:val="24"/>
          <w:lang w:val="fr-CA"/>
        </w:rPr>
        <w:t>Giroux prétend avoir avisé tous les commanditaires que leurs mises de fonds allaient servir à payer leurs propres intérêts, mais ces dires sont incompatibles avec d’autres affirmations</w:t>
      </w:r>
      <w:r>
        <w:rPr>
          <w:rStyle w:val="Appelnotedebasdep"/>
          <w:rFonts w:ascii="Arial" w:hAnsi="Arial" w:cs="Arial"/>
          <w:sz w:val="24"/>
          <w:szCs w:val="24"/>
        </w:rPr>
        <w:footnoteReference w:id="489"/>
      </w:r>
      <w:r w:rsidR="00FD2F69">
        <w:rPr>
          <w:rFonts w:ascii="Arial" w:hAnsi="Arial" w:cs="Arial"/>
          <w:sz w:val="24"/>
          <w:szCs w:val="24"/>
          <w:lang w:val="fr-CA"/>
        </w:rPr>
        <w:t>.</w:t>
      </w:r>
    </w:p>
    <w:p w14:paraId="53736660" w14:textId="77777777" w:rsidR="00766590" w:rsidRDefault="00730A01" w:rsidP="00CD6FEB">
      <w:pPr>
        <w:pStyle w:val="Listenumros"/>
        <w:numPr>
          <w:ilvl w:val="0"/>
          <w:numId w:val="0"/>
        </w:numPr>
        <w:tabs>
          <w:tab w:val="left" w:pos="3686"/>
        </w:tabs>
        <w:spacing w:before="120" w:after="120" w:line="240" w:lineRule="auto"/>
        <w:ind w:left="720"/>
        <w:jc w:val="both"/>
        <w:rPr>
          <w:rFonts w:ascii="Arial" w:hAnsi="Arial" w:cs="Arial"/>
          <w:sz w:val="24"/>
          <w:szCs w:val="24"/>
          <w:lang w:val="fr-CA"/>
        </w:rPr>
      </w:pPr>
      <w:r>
        <w:rPr>
          <w:rFonts w:ascii="Arial" w:hAnsi="Arial" w:cs="Arial"/>
          <w:sz w:val="24"/>
          <w:szCs w:val="24"/>
          <w:lang w:val="fr-CA"/>
        </w:rPr>
        <w:tab/>
        <w:t>* * *</w:t>
      </w:r>
    </w:p>
    <w:p w14:paraId="0D2B58CE" w14:textId="77777777" w:rsidR="00766590" w:rsidRDefault="00730A01">
      <w:pPr>
        <w:rPr>
          <w:rFonts w:eastAsiaTheme="minorEastAsia" w:cs="Arial"/>
          <w:szCs w:val="24"/>
          <w:lang w:eastAsia="en-US"/>
        </w:rPr>
      </w:pPr>
      <w:r>
        <w:rPr>
          <w:rFonts w:cs="Arial"/>
          <w:szCs w:val="24"/>
        </w:rPr>
        <w:br w:type="page"/>
      </w:r>
    </w:p>
    <w:p w14:paraId="52FA87D7" w14:textId="77777777" w:rsidR="009034A3" w:rsidRPr="00464963" w:rsidRDefault="00730A01" w:rsidP="00443B59">
      <w:pPr>
        <w:pStyle w:val="Titre1"/>
        <w:numPr>
          <w:ilvl w:val="2"/>
          <w:numId w:val="44"/>
        </w:numPr>
        <w:ind w:left="567" w:hanging="567"/>
        <w:rPr>
          <w:rFonts w:cs="Arial"/>
          <w:color w:val="000000" w:themeColor="text1"/>
          <w:sz w:val="24"/>
          <w:szCs w:val="24"/>
        </w:rPr>
      </w:pPr>
      <w:r w:rsidRPr="00464963">
        <w:rPr>
          <w:rFonts w:cs="Arial"/>
          <w:color w:val="000000" w:themeColor="text1"/>
          <w:sz w:val="24"/>
          <w:szCs w:val="24"/>
        </w:rPr>
        <w:t>LES NOMBREUSES CONTRADICTIONS, CHANGEMENTS DE THÈSE</w:t>
      </w:r>
      <w:r w:rsidR="000F22BE">
        <w:rPr>
          <w:rFonts w:cs="Arial"/>
          <w:color w:val="000000" w:themeColor="text1"/>
          <w:sz w:val="24"/>
          <w:szCs w:val="24"/>
        </w:rPr>
        <w:t>S</w:t>
      </w:r>
      <w:r w:rsidRPr="00464963">
        <w:rPr>
          <w:rFonts w:cs="Arial"/>
          <w:color w:val="000000" w:themeColor="text1"/>
          <w:sz w:val="24"/>
          <w:szCs w:val="24"/>
        </w:rPr>
        <w:t xml:space="preserve"> ET AUTRES DÉCLARATIONS TROMPEUSES DE GIROUX</w:t>
      </w:r>
    </w:p>
    <w:p w14:paraId="703A1500" w14:textId="77777777" w:rsidR="009034A3" w:rsidRPr="00464963" w:rsidRDefault="00730A01" w:rsidP="00616645">
      <w:pPr>
        <w:pStyle w:val="Titre2"/>
        <w:spacing w:before="120" w:after="0"/>
        <w:jc w:val="both"/>
        <w:rPr>
          <w:rFonts w:cs="Arial"/>
          <w:color w:val="000000" w:themeColor="text1"/>
          <w:szCs w:val="24"/>
        </w:rPr>
      </w:pPr>
      <w:bookmarkStart w:id="173" w:name="_Toc210992332"/>
      <w:bookmarkStart w:id="174" w:name="_Toc211495270"/>
      <w:bookmarkStart w:id="175" w:name="_Toc211600678"/>
      <w:r w:rsidRPr="00464963">
        <w:rPr>
          <w:rFonts w:cs="Arial"/>
          <w:color w:val="000000" w:themeColor="text1"/>
          <w:szCs w:val="24"/>
        </w:rPr>
        <w:t>1. Les contradictions quant au caractère temporaire du prêt FIISH</w:t>
      </w:r>
      <w:bookmarkEnd w:id="173"/>
      <w:bookmarkEnd w:id="174"/>
      <w:bookmarkEnd w:id="175"/>
    </w:p>
    <w:p w14:paraId="7F448F4A" w14:textId="77777777" w:rsidR="00644806" w:rsidRDefault="00730A01" w:rsidP="00616645">
      <w:pPr>
        <w:spacing w:before="120"/>
        <w:ind w:left="284"/>
        <w:jc w:val="both"/>
        <w:rPr>
          <w:rFonts w:cs="Arial"/>
          <w:szCs w:val="24"/>
        </w:rPr>
      </w:pPr>
      <w:r w:rsidRPr="004A039A">
        <w:rPr>
          <w:rFonts w:cs="Arial"/>
          <w:szCs w:val="24"/>
        </w:rPr>
        <w:t>Giroux affirme que le prêt FIISH ne pouvait être que temporaire en raison des frais et intérêts trop élevés</w:t>
      </w:r>
      <w:r>
        <w:rPr>
          <w:rStyle w:val="Appelnotedebasdep"/>
          <w:rFonts w:cs="Arial"/>
          <w:szCs w:val="24"/>
        </w:rPr>
        <w:footnoteReference w:id="490"/>
      </w:r>
      <w:r w:rsidR="00FD2F69">
        <w:rPr>
          <w:rFonts w:cs="Arial"/>
          <w:szCs w:val="24"/>
        </w:rPr>
        <w:t>.</w:t>
      </w:r>
    </w:p>
    <w:p w14:paraId="043A187A" w14:textId="77777777" w:rsidR="00644806" w:rsidRPr="00E10BEF" w:rsidRDefault="00730A01" w:rsidP="00616645">
      <w:pPr>
        <w:pStyle w:val="Citationenretrait"/>
        <w:rPr>
          <w:rFonts w:cs="Arial"/>
          <w:i/>
          <w:iCs/>
          <w:szCs w:val="22"/>
        </w:rPr>
      </w:pPr>
      <w:r w:rsidRPr="00E10BEF">
        <w:t>[…] c'était des hauts taux d’intérêts […] mais une fois que les bâtiments sont stabilisés, bien, ça ne tient pas la route […].</w:t>
      </w:r>
    </w:p>
    <w:p w14:paraId="43C9A6E9" w14:textId="77777777" w:rsidR="009034A3" w:rsidRDefault="00730A01" w:rsidP="00CC2A90">
      <w:pPr>
        <w:spacing w:before="120" w:after="120"/>
        <w:ind w:left="284"/>
        <w:jc w:val="both"/>
        <w:rPr>
          <w:rFonts w:cs="Arial"/>
          <w:szCs w:val="24"/>
        </w:rPr>
      </w:pPr>
      <w:r w:rsidRPr="004A039A">
        <w:rPr>
          <w:rFonts w:cs="Arial"/>
          <w:szCs w:val="24"/>
        </w:rPr>
        <w:t>Au début du dossier, Giroux soutenait au contraire ne pas savoir que les taux de FIISH étaient excessifs</w:t>
      </w:r>
      <w:r>
        <w:rPr>
          <w:rStyle w:val="Appelnotedebasdep"/>
          <w:rFonts w:cs="Arial"/>
          <w:szCs w:val="24"/>
        </w:rPr>
        <w:footnoteReference w:id="491"/>
      </w:r>
      <w:r w:rsidR="00326990">
        <w:rPr>
          <w:rFonts w:cs="Arial"/>
          <w:szCs w:val="24"/>
        </w:rPr>
        <w:t> :</w:t>
      </w:r>
    </w:p>
    <w:p w14:paraId="2A150107" w14:textId="77777777" w:rsidR="009034A3" w:rsidRPr="00E10BEF" w:rsidRDefault="00730A01" w:rsidP="00616645">
      <w:pPr>
        <w:spacing w:after="120"/>
        <w:ind w:left="851"/>
        <w:jc w:val="both"/>
        <w:rPr>
          <w:rFonts w:cs="Arial"/>
          <w:i/>
          <w:iCs/>
          <w:sz w:val="22"/>
          <w:szCs w:val="22"/>
        </w:rPr>
      </w:pPr>
      <w:r w:rsidRPr="00E10BEF">
        <w:rPr>
          <w:rFonts w:cs="Arial"/>
          <w:i/>
          <w:iCs/>
          <w:sz w:val="22"/>
          <w:szCs w:val="22"/>
        </w:rPr>
        <w:t>[…] De mémoire, je ne me souviens pas de ça, que les frais étaient trop élevés.</w:t>
      </w:r>
    </w:p>
    <w:p w14:paraId="02D52EDB" w14:textId="77777777" w:rsidR="009034A3" w:rsidRPr="00464963" w:rsidRDefault="00730A01" w:rsidP="00616645">
      <w:pPr>
        <w:pStyle w:val="Titre2"/>
        <w:spacing w:before="120" w:after="0"/>
        <w:jc w:val="both"/>
        <w:rPr>
          <w:rFonts w:cs="Arial"/>
          <w:color w:val="000000" w:themeColor="text1"/>
          <w:szCs w:val="24"/>
        </w:rPr>
      </w:pPr>
      <w:bookmarkStart w:id="176" w:name="_Toc210992333"/>
      <w:bookmarkStart w:id="177" w:name="_Toc211495271"/>
      <w:bookmarkStart w:id="178" w:name="_Toc211600679"/>
      <w:r w:rsidRPr="00464963">
        <w:rPr>
          <w:rFonts w:cs="Arial"/>
          <w:color w:val="000000" w:themeColor="text1"/>
          <w:szCs w:val="24"/>
        </w:rPr>
        <w:t>2. Les déclarations trompeuses quant au remboursement offert en avril</w:t>
      </w:r>
      <w:r w:rsidR="00326990" w:rsidRPr="00464963">
        <w:rPr>
          <w:rFonts w:cs="Arial"/>
          <w:color w:val="000000" w:themeColor="text1"/>
          <w:szCs w:val="24"/>
        </w:rPr>
        <w:t> </w:t>
      </w:r>
      <w:r w:rsidRPr="00464963">
        <w:rPr>
          <w:rFonts w:cs="Arial"/>
          <w:color w:val="000000" w:themeColor="text1"/>
          <w:szCs w:val="24"/>
        </w:rPr>
        <w:t>2020</w:t>
      </w:r>
      <w:bookmarkEnd w:id="176"/>
      <w:bookmarkEnd w:id="177"/>
      <w:bookmarkEnd w:id="178"/>
    </w:p>
    <w:p w14:paraId="47733BB5" w14:textId="77777777" w:rsidR="009034A3" w:rsidRDefault="00730A01" w:rsidP="00616645">
      <w:pPr>
        <w:spacing w:before="120"/>
        <w:ind w:left="284"/>
        <w:jc w:val="both"/>
        <w:rPr>
          <w:rFonts w:cs="Arial"/>
          <w:szCs w:val="24"/>
        </w:rPr>
      </w:pPr>
      <w:r w:rsidRPr="004A039A">
        <w:rPr>
          <w:rFonts w:cs="Arial"/>
          <w:szCs w:val="24"/>
        </w:rPr>
        <w:t>Giroux prétend dans sa Défense et demande reconventionnelle modifiée (26</w:t>
      </w:r>
      <w:r w:rsidR="00326990">
        <w:rPr>
          <w:rFonts w:cs="Arial"/>
          <w:szCs w:val="24"/>
        </w:rPr>
        <w:t> </w:t>
      </w:r>
      <w:r w:rsidRPr="004A039A">
        <w:rPr>
          <w:rFonts w:cs="Arial"/>
          <w:szCs w:val="24"/>
        </w:rPr>
        <w:t>avril</w:t>
      </w:r>
      <w:r w:rsidR="00326990">
        <w:rPr>
          <w:rFonts w:cs="Arial"/>
          <w:szCs w:val="24"/>
        </w:rPr>
        <w:t> </w:t>
      </w:r>
      <w:r w:rsidRPr="004A039A">
        <w:rPr>
          <w:rFonts w:cs="Arial"/>
          <w:szCs w:val="24"/>
        </w:rPr>
        <w:t>2024) que tous les commanditaires de FIISH avaient l’opportunité d’être remboursés</w:t>
      </w:r>
      <w:r w:rsidR="00E10BEF">
        <w:rPr>
          <w:rFonts w:cs="Arial"/>
          <w:szCs w:val="24"/>
        </w:rPr>
        <w:t> :</w:t>
      </w:r>
    </w:p>
    <w:p w14:paraId="2AC678C8" w14:textId="77777777" w:rsidR="009034A3" w:rsidRPr="00E10BEF" w:rsidRDefault="00730A01" w:rsidP="00616645">
      <w:pPr>
        <w:pStyle w:val="Citationenretrait"/>
      </w:pPr>
      <w:r w:rsidRPr="00E10BEF">
        <w:t>En avril</w:t>
      </w:r>
      <w:r w:rsidR="00326990">
        <w:t> </w:t>
      </w:r>
      <w:r w:rsidRPr="00E10BEF">
        <w:t>2020, tous les commanditaires de FIISH d’alors ont eu l’opportunité d’être remboursés et de reprendre les fonds investis</w:t>
      </w:r>
      <w:r w:rsidR="00E10BEF" w:rsidRPr="00E10BEF">
        <w:t>.</w:t>
      </w:r>
    </w:p>
    <w:p w14:paraId="1B145BF6" w14:textId="77777777" w:rsidR="009034A3" w:rsidRDefault="00730A01" w:rsidP="00616645">
      <w:pPr>
        <w:spacing w:after="120"/>
        <w:ind w:left="284"/>
        <w:jc w:val="both"/>
        <w:rPr>
          <w:rFonts w:cs="Arial"/>
          <w:szCs w:val="24"/>
        </w:rPr>
      </w:pPr>
      <w:r w:rsidRPr="004A039A">
        <w:rPr>
          <w:rFonts w:cs="Arial"/>
          <w:szCs w:val="24"/>
        </w:rPr>
        <w:t>Or, au procès, il reconnaît que Huot l’avait averti dès janvier</w:t>
      </w:r>
      <w:r w:rsidR="00326990">
        <w:rPr>
          <w:rFonts w:cs="Arial"/>
          <w:szCs w:val="24"/>
        </w:rPr>
        <w:t> </w:t>
      </w:r>
      <w:r w:rsidRPr="004A039A">
        <w:rPr>
          <w:rFonts w:cs="Arial"/>
          <w:szCs w:val="24"/>
        </w:rPr>
        <w:t>2020 qu’il ne pouvait pas rembourser.</w:t>
      </w:r>
    </w:p>
    <w:p w14:paraId="7718B4E5" w14:textId="77777777" w:rsidR="00E10BEF" w:rsidRDefault="00730A01" w:rsidP="00CC2A90">
      <w:pPr>
        <w:pStyle w:val="Citationenretrait"/>
        <w:spacing w:before="0"/>
      </w:pPr>
      <w:r w:rsidRPr="00E10BEF">
        <w:t>[…] Stéphan Huot nous a avertis en début janvier qu’il ne pouvait pas nous rembourser</w:t>
      </w:r>
      <w:r>
        <w:rPr>
          <w:rStyle w:val="Appelnotedebasdep"/>
          <w:rFonts w:cs="Arial"/>
          <w:szCs w:val="24"/>
        </w:rPr>
        <w:footnoteReference w:id="492"/>
      </w:r>
      <w:r w:rsidR="00326990">
        <w:t>.</w:t>
      </w:r>
    </w:p>
    <w:p w14:paraId="09E0AECE" w14:textId="77777777" w:rsidR="009034A3" w:rsidRPr="00E10BEF" w:rsidRDefault="00730A01" w:rsidP="00CC2A90">
      <w:pPr>
        <w:pStyle w:val="Citationenretrait"/>
        <w:spacing w:before="0"/>
      </w:pPr>
      <w:r w:rsidRPr="004A039A">
        <w:rPr>
          <w:szCs w:val="24"/>
        </w:rPr>
        <w:t>[…] Si tout le monde avait fait comme Thabet, ça aurait été la fin du fonds</w:t>
      </w:r>
      <w:r>
        <w:rPr>
          <w:rStyle w:val="Appelnotedebasdep"/>
          <w:rFonts w:cs="Arial"/>
          <w:szCs w:val="24"/>
        </w:rPr>
        <w:footnoteReference w:id="493"/>
      </w:r>
      <w:r w:rsidR="00326990">
        <w:rPr>
          <w:szCs w:val="24"/>
        </w:rPr>
        <w:t>.</w:t>
      </w:r>
    </w:p>
    <w:p w14:paraId="0B9EC0D3" w14:textId="77777777" w:rsidR="009034A3" w:rsidRPr="00464963" w:rsidRDefault="00730A01" w:rsidP="00616645">
      <w:pPr>
        <w:pStyle w:val="Titre2"/>
        <w:spacing w:before="120" w:after="0"/>
        <w:jc w:val="both"/>
        <w:rPr>
          <w:rFonts w:cs="Arial"/>
          <w:szCs w:val="24"/>
        </w:rPr>
      </w:pPr>
      <w:bookmarkStart w:id="179" w:name="_Toc210992334"/>
      <w:bookmarkStart w:id="180" w:name="_Toc211495272"/>
      <w:bookmarkStart w:id="181" w:name="_Toc211600680"/>
      <w:r w:rsidRPr="00464963">
        <w:rPr>
          <w:rFonts w:cs="Arial"/>
          <w:color w:val="000000" w:themeColor="text1"/>
          <w:szCs w:val="24"/>
        </w:rPr>
        <w:t>3. Les déclarations trompeuses sur le projet Marvel</w:t>
      </w:r>
      <w:bookmarkEnd w:id="179"/>
      <w:bookmarkEnd w:id="180"/>
      <w:bookmarkEnd w:id="181"/>
    </w:p>
    <w:p w14:paraId="645803AA" w14:textId="77777777" w:rsidR="009034A3" w:rsidRPr="004A039A" w:rsidRDefault="00730A01" w:rsidP="00616645">
      <w:pPr>
        <w:spacing w:before="120"/>
        <w:ind w:left="284"/>
        <w:jc w:val="both"/>
        <w:rPr>
          <w:rFonts w:cs="Arial"/>
          <w:szCs w:val="24"/>
        </w:rPr>
      </w:pPr>
      <w:r w:rsidRPr="004A039A">
        <w:rPr>
          <w:rFonts w:cs="Arial"/>
          <w:szCs w:val="24"/>
        </w:rPr>
        <w:t>Giroux déclare avoir cru que Marvel demeurait une option valable jusqu’en février</w:t>
      </w:r>
      <w:r w:rsidR="003E0131">
        <w:rPr>
          <w:rFonts w:cs="Arial"/>
          <w:szCs w:val="24"/>
        </w:rPr>
        <w:t> </w:t>
      </w:r>
      <w:r w:rsidRPr="004A039A">
        <w:rPr>
          <w:rFonts w:cs="Arial"/>
          <w:szCs w:val="24"/>
        </w:rPr>
        <w:t>2023.</w:t>
      </w:r>
    </w:p>
    <w:p w14:paraId="1F91869F" w14:textId="77777777" w:rsidR="009034A3" w:rsidRDefault="00730A01" w:rsidP="00616645">
      <w:pPr>
        <w:spacing w:before="120" w:after="120"/>
        <w:ind w:left="851"/>
        <w:jc w:val="both"/>
        <w:rPr>
          <w:rFonts w:cs="Arial"/>
          <w:szCs w:val="24"/>
        </w:rPr>
      </w:pPr>
      <w:r w:rsidRPr="004A039A">
        <w:rPr>
          <w:rFonts w:cs="Arial"/>
          <w:szCs w:val="24"/>
        </w:rPr>
        <w:t>[…] J’y ai cru jusqu’au mois de février que PwC ferait</w:t>
      </w:r>
      <w:r w:rsidR="00C2054E" w:rsidRPr="00C2054E">
        <w:rPr>
          <w:rStyle w:val="Appelnotedebasdep"/>
          <w:rFonts w:cs="Arial"/>
          <w:szCs w:val="24"/>
        </w:rPr>
        <w:t xml:space="preserve"> </w:t>
      </w:r>
      <w:r>
        <w:rPr>
          <w:rStyle w:val="Appelnotedebasdep"/>
          <w:rFonts w:cs="Arial"/>
          <w:szCs w:val="24"/>
        </w:rPr>
        <w:footnoteReference w:id="494"/>
      </w:r>
      <w:r w:rsidR="003E0131">
        <w:rPr>
          <w:rFonts w:cs="Arial"/>
          <w:szCs w:val="24"/>
        </w:rPr>
        <w:t>.</w:t>
      </w:r>
    </w:p>
    <w:p w14:paraId="2CE650E3" w14:textId="77777777" w:rsidR="009034A3" w:rsidRDefault="00730A01" w:rsidP="00616645">
      <w:pPr>
        <w:spacing w:before="120"/>
        <w:ind w:left="284"/>
        <w:jc w:val="both"/>
        <w:rPr>
          <w:rFonts w:cs="Arial"/>
          <w:szCs w:val="24"/>
        </w:rPr>
      </w:pPr>
      <w:r w:rsidRPr="004A039A">
        <w:rPr>
          <w:rFonts w:cs="Arial"/>
          <w:szCs w:val="24"/>
        </w:rPr>
        <w:t>Il admet pourtant avoir perdu confiance dès octobre</w:t>
      </w:r>
      <w:r w:rsidR="003E0131">
        <w:rPr>
          <w:rFonts w:cs="Arial"/>
          <w:szCs w:val="24"/>
        </w:rPr>
        <w:t> </w:t>
      </w:r>
      <w:r w:rsidRPr="004A039A">
        <w:rPr>
          <w:rFonts w:cs="Arial"/>
          <w:szCs w:val="24"/>
        </w:rPr>
        <w:t>2022.</w:t>
      </w:r>
    </w:p>
    <w:p w14:paraId="1AB9E71D" w14:textId="77777777" w:rsidR="009034A3" w:rsidRDefault="00730A01" w:rsidP="00616645">
      <w:pPr>
        <w:spacing w:before="120"/>
        <w:ind w:left="851"/>
        <w:jc w:val="both"/>
        <w:rPr>
          <w:rFonts w:cs="Arial"/>
          <w:i/>
          <w:iCs/>
          <w:sz w:val="22"/>
          <w:szCs w:val="22"/>
        </w:rPr>
      </w:pPr>
      <w:r w:rsidRPr="00C2054E">
        <w:rPr>
          <w:rFonts w:cs="Arial"/>
          <w:i/>
          <w:iCs/>
          <w:sz w:val="22"/>
          <w:szCs w:val="22"/>
        </w:rPr>
        <w:t>[…] Je commençais à perdre confiance pour se faire rembourser</w:t>
      </w:r>
      <w:r>
        <w:rPr>
          <w:rStyle w:val="Appelnotedebasdep"/>
          <w:rFonts w:cs="Arial"/>
          <w:i/>
          <w:iCs/>
          <w:sz w:val="22"/>
          <w:szCs w:val="22"/>
        </w:rPr>
        <w:footnoteReference w:id="495"/>
      </w:r>
      <w:r w:rsidR="003E0131">
        <w:rPr>
          <w:rFonts w:cs="Arial"/>
          <w:i/>
          <w:iCs/>
          <w:sz w:val="22"/>
          <w:szCs w:val="22"/>
        </w:rPr>
        <w:t>.</w:t>
      </w:r>
    </w:p>
    <w:p w14:paraId="68E4046C" w14:textId="77777777" w:rsidR="009034A3" w:rsidRPr="00464963" w:rsidRDefault="00730A01" w:rsidP="00CC2A90">
      <w:pPr>
        <w:pStyle w:val="Titre2"/>
        <w:spacing w:before="120" w:after="120"/>
        <w:jc w:val="both"/>
        <w:rPr>
          <w:rFonts w:cs="Arial"/>
          <w:bCs/>
          <w:szCs w:val="24"/>
        </w:rPr>
      </w:pPr>
      <w:bookmarkStart w:id="182" w:name="_Toc210992335"/>
      <w:bookmarkStart w:id="183" w:name="_Toc211495273"/>
      <w:bookmarkStart w:id="184" w:name="_Toc211600681"/>
      <w:r w:rsidRPr="00464963">
        <w:rPr>
          <w:rFonts w:cs="Arial"/>
          <w:bCs/>
          <w:color w:val="000000" w:themeColor="text1"/>
          <w:szCs w:val="24"/>
        </w:rPr>
        <w:t>4. Les contradictions quant à l’existence de déficits mensuels</w:t>
      </w:r>
      <w:bookmarkEnd w:id="182"/>
      <w:bookmarkEnd w:id="183"/>
      <w:bookmarkEnd w:id="184"/>
    </w:p>
    <w:p w14:paraId="0E8A889E" w14:textId="77777777" w:rsidR="009034A3" w:rsidRPr="004A039A" w:rsidRDefault="00730A01" w:rsidP="00CC2A90">
      <w:pPr>
        <w:spacing w:before="120" w:after="120"/>
        <w:ind w:left="284"/>
        <w:jc w:val="both"/>
        <w:rPr>
          <w:rFonts w:cs="Arial"/>
          <w:szCs w:val="24"/>
        </w:rPr>
      </w:pPr>
      <w:r w:rsidRPr="004A039A">
        <w:rPr>
          <w:rFonts w:cs="Arial"/>
          <w:szCs w:val="24"/>
        </w:rPr>
        <w:t xml:space="preserve">Giroux </w:t>
      </w:r>
      <w:r w:rsidR="00616645">
        <w:rPr>
          <w:rFonts w:cs="Arial"/>
          <w:szCs w:val="24"/>
        </w:rPr>
        <w:t>a</w:t>
      </w:r>
      <w:r w:rsidRPr="004A039A">
        <w:rPr>
          <w:rFonts w:cs="Arial"/>
          <w:szCs w:val="24"/>
        </w:rPr>
        <w:t>ffirm</w:t>
      </w:r>
      <w:r w:rsidR="00CD6FEB">
        <w:rPr>
          <w:rFonts w:cs="Arial"/>
          <w:szCs w:val="24"/>
        </w:rPr>
        <w:t>e</w:t>
      </w:r>
      <w:r w:rsidRPr="004A039A">
        <w:rPr>
          <w:rFonts w:cs="Arial"/>
          <w:szCs w:val="24"/>
        </w:rPr>
        <w:t xml:space="preserve"> ne jamais avoir vu de cash flows négatifs dans FIISH.</w:t>
      </w:r>
    </w:p>
    <w:p w14:paraId="73A7BFA8" w14:textId="77777777" w:rsidR="009034A3" w:rsidRDefault="00730A01" w:rsidP="00CC2A90">
      <w:pPr>
        <w:spacing w:after="120"/>
        <w:ind w:left="851"/>
        <w:jc w:val="both"/>
        <w:rPr>
          <w:rFonts w:cs="Arial"/>
          <w:szCs w:val="24"/>
        </w:rPr>
      </w:pPr>
      <w:r w:rsidRPr="00C2054E">
        <w:rPr>
          <w:rFonts w:cs="Arial"/>
          <w:i/>
          <w:iCs/>
          <w:sz w:val="22"/>
          <w:szCs w:val="22"/>
        </w:rPr>
        <w:t>[…] Moi, j’ai toujours vu des cash flows positifs</w:t>
      </w:r>
      <w:r>
        <w:rPr>
          <w:rStyle w:val="Appelnotedebasdep"/>
          <w:rFonts w:cs="Arial"/>
          <w:szCs w:val="24"/>
        </w:rPr>
        <w:footnoteReference w:id="496"/>
      </w:r>
      <w:r w:rsidR="003E0131">
        <w:rPr>
          <w:rFonts w:cs="Arial"/>
          <w:i/>
          <w:iCs/>
          <w:sz w:val="22"/>
          <w:szCs w:val="22"/>
        </w:rPr>
        <w:t>.</w:t>
      </w:r>
    </w:p>
    <w:p w14:paraId="05707AF5" w14:textId="77777777" w:rsidR="009034A3" w:rsidRDefault="00730A01" w:rsidP="00CC2A90">
      <w:pPr>
        <w:spacing w:after="120"/>
        <w:ind w:left="284"/>
        <w:jc w:val="both"/>
        <w:rPr>
          <w:rFonts w:cs="Arial"/>
          <w:szCs w:val="24"/>
        </w:rPr>
      </w:pPr>
      <w:r w:rsidRPr="004A039A">
        <w:rPr>
          <w:rFonts w:cs="Arial"/>
          <w:szCs w:val="24"/>
        </w:rPr>
        <w:t>Au procès, il change de version et reconnaît avoir été avisé de déficits de 800</w:t>
      </w:r>
      <w:r w:rsidR="00C2054E">
        <w:rPr>
          <w:rFonts w:cs="Arial"/>
          <w:szCs w:val="24"/>
        </w:rPr>
        <w:t> </w:t>
      </w:r>
      <w:r w:rsidRPr="004A039A">
        <w:rPr>
          <w:rFonts w:cs="Arial"/>
          <w:szCs w:val="24"/>
        </w:rPr>
        <w:t>000</w:t>
      </w:r>
      <w:r w:rsidR="00C2054E">
        <w:rPr>
          <w:rFonts w:cs="Arial"/>
          <w:szCs w:val="24"/>
        </w:rPr>
        <w:t> </w:t>
      </w:r>
      <w:r w:rsidRPr="004A039A">
        <w:rPr>
          <w:rFonts w:cs="Arial"/>
          <w:szCs w:val="24"/>
        </w:rPr>
        <w:t>$ à 1</w:t>
      </w:r>
      <w:r w:rsidR="00C2054E">
        <w:rPr>
          <w:rFonts w:cs="Arial"/>
          <w:szCs w:val="24"/>
        </w:rPr>
        <w:t> </w:t>
      </w:r>
      <w:r w:rsidRPr="004A039A">
        <w:rPr>
          <w:rFonts w:cs="Arial"/>
          <w:szCs w:val="24"/>
        </w:rPr>
        <w:t>M$ par mois.</w:t>
      </w:r>
    </w:p>
    <w:p w14:paraId="4729C446" w14:textId="77777777" w:rsidR="009034A3" w:rsidRPr="004A039A" w:rsidRDefault="00730A01" w:rsidP="0098012F">
      <w:pPr>
        <w:ind w:left="851"/>
        <w:jc w:val="both"/>
        <w:rPr>
          <w:rFonts w:cs="Arial"/>
          <w:szCs w:val="24"/>
        </w:rPr>
      </w:pPr>
      <w:r w:rsidRPr="00C2054E">
        <w:rPr>
          <w:rFonts w:cs="Arial"/>
          <w:i/>
          <w:iCs/>
          <w:sz w:val="22"/>
          <w:szCs w:val="22"/>
        </w:rPr>
        <w:t>Ça, j’étais avisé, oui</w:t>
      </w:r>
      <w:r>
        <w:rPr>
          <w:rStyle w:val="Appelnotedebasdep"/>
          <w:rFonts w:cs="Arial"/>
          <w:szCs w:val="24"/>
        </w:rPr>
        <w:footnoteReference w:id="497"/>
      </w:r>
      <w:r w:rsidR="003E0131">
        <w:rPr>
          <w:rFonts w:cs="Arial"/>
          <w:szCs w:val="24"/>
        </w:rPr>
        <w:t>.</w:t>
      </w:r>
    </w:p>
    <w:p w14:paraId="285B7EE8" w14:textId="77777777" w:rsidR="009034A3" w:rsidRPr="00464963" w:rsidRDefault="00730A01" w:rsidP="00616645">
      <w:pPr>
        <w:pStyle w:val="Titre2"/>
        <w:spacing w:before="120" w:after="0"/>
        <w:jc w:val="both"/>
        <w:rPr>
          <w:rFonts w:cs="Arial"/>
          <w:szCs w:val="24"/>
        </w:rPr>
      </w:pPr>
      <w:bookmarkStart w:id="185" w:name="_Toc210992336"/>
      <w:bookmarkStart w:id="186" w:name="_Toc211495274"/>
      <w:bookmarkStart w:id="187" w:name="_Toc211600682"/>
      <w:r w:rsidRPr="00464963">
        <w:rPr>
          <w:rFonts w:cs="Arial"/>
          <w:color w:val="000000" w:themeColor="text1"/>
          <w:szCs w:val="24"/>
        </w:rPr>
        <w:t>5. Les déclarations trompeuses sur l’importance de la capacité de payer de l’emprunteur</w:t>
      </w:r>
      <w:bookmarkEnd w:id="185"/>
      <w:bookmarkEnd w:id="186"/>
      <w:bookmarkEnd w:id="187"/>
    </w:p>
    <w:p w14:paraId="59205D13" w14:textId="77777777" w:rsidR="009034A3" w:rsidRPr="004A039A" w:rsidRDefault="00730A01" w:rsidP="00CC2A90">
      <w:pPr>
        <w:spacing w:before="120" w:after="120"/>
        <w:ind w:left="284"/>
        <w:jc w:val="both"/>
        <w:rPr>
          <w:rFonts w:cs="Arial"/>
          <w:szCs w:val="24"/>
        </w:rPr>
      </w:pPr>
      <w:r w:rsidRPr="004A039A">
        <w:rPr>
          <w:rFonts w:cs="Arial"/>
          <w:szCs w:val="24"/>
        </w:rPr>
        <w:t>Giroux soutenait d’abord que la capacité de payer de Huot importait peu.</w:t>
      </w:r>
    </w:p>
    <w:p w14:paraId="499F9717" w14:textId="77777777" w:rsidR="009034A3" w:rsidRPr="00C2054E" w:rsidRDefault="00730A01" w:rsidP="00CC2A90">
      <w:pPr>
        <w:spacing w:after="120"/>
        <w:ind w:left="851"/>
        <w:jc w:val="both"/>
        <w:rPr>
          <w:rFonts w:cs="Arial"/>
          <w:i/>
          <w:iCs/>
          <w:sz w:val="22"/>
          <w:szCs w:val="22"/>
        </w:rPr>
      </w:pPr>
      <w:r w:rsidRPr="00C2054E">
        <w:rPr>
          <w:rFonts w:cs="Arial"/>
          <w:i/>
          <w:iCs/>
          <w:sz w:val="22"/>
          <w:szCs w:val="22"/>
        </w:rPr>
        <w:t>[…] La banque s’en balance un peu […] c’est le même principe pour FIISH</w:t>
      </w:r>
      <w:r>
        <w:rPr>
          <w:rStyle w:val="Appelnotedebasdep"/>
          <w:rFonts w:cs="Arial"/>
          <w:i/>
          <w:iCs/>
          <w:sz w:val="22"/>
          <w:szCs w:val="22"/>
        </w:rPr>
        <w:footnoteReference w:id="498"/>
      </w:r>
      <w:r w:rsidR="003E0131">
        <w:rPr>
          <w:rFonts w:cs="Arial"/>
          <w:i/>
          <w:iCs/>
          <w:sz w:val="22"/>
          <w:szCs w:val="22"/>
        </w:rPr>
        <w:t>.</w:t>
      </w:r>
      <w:r w:rsidRPr="00C2054E">
        <w:rPr>
          <w:rFonts w:cs="Arial"/>
          <w:i/>
          <w:iCs/>
          <w:sz w:val="22"/>
          <w:szCs w:val="22"/>
        </w:rPr>
        <w:t xml:space="preserve"> </w:t>
      </w:r>
    </w:p>
    <w:p w14:paraId="0A742A7F" w14:textId="77777777" w:rsidR="009034A3" w:rsidRPr="004A039A" w:rsidRDefault="00730A01" w:rsidP="00CC2A90">
      <w:pPr>
        <w:spacing w:after="120"/>
        <w:ind w:left="284"/>
        <w:jc w:val="both"/>
        <w:rPr>
          <w:rFonts w:cs="Arial"/>
          <w:szCs w:val="24"/>
        </w:rPr>
      </w:pPr>
      <w:r w:rsidRPr="004A039A">
        <w:rPr>
          <w:rFonts w:cs="Arial"/>
          <w:szCs w:val="24"/>
        </w:rPr>
        <w:t>Au procès, il reconnaît que cette capacité était un critère essentiel.</w:t>
      </w:r>
    </w:p>
    <w:p w14:paraId="258EF526" w14:textId="77777777" w:rsidR="009034A3" w:rsidRPr="00C2054E" w:rsidRDefault="00730A01" w:rsidP="0098012F">
      <w:pPr>
        <w:ind w:left="851"/>
        <w:jc w:val="both"/>
        <w:rPr>
          <w:rFonts w:cs="Arial"/>
          <w:szCs w:val="24"/>
        </w:rPr>
      </w:pPr>
      <w:r w:rsidRPr="00C2054E">
        <w:rPr>
          <w:rFonts w:cs="Arial"/>
          <w:i/>
          <w:iCs/>
          <w:sz w:val="22"/>
          <w:szCs w:val="22"/>
        </w:rPr>
        <w:t>Absolument, la capacité financière, c’est important</w:t>
      </w:r>
      <w:r>
        <w:rPr>
          <w:rStyle w:val="Appelnotedebasdep"/>
          <w:rFonts w:cs="Arial"/>
          <w:i/>
          <w:iCs/>
          <w:szCs w:val="24"/>
        </w:rPr>
        <w:footnoteReference w:id="499"/>
      </w:r>
      <w:r w:rsidR="003E0131">
        <w:rPr>
          <w:rFonts w:cs="Arial"/>
          <w:i/>
          <w:iCs/>
          <w:sz w:val="22"/>
          <w:szCs w:val="22"/>
        </w:rPr>
        <w:t>.</w:t>
      </w:r>
    </w:p>
    <w:p w14:paraId="785F7051" w14:textId="77777777" w:rsidR="009034A3" w:rsidRPr="00464963" w:rsidRDefault="00730A01" w:rsidP="00512850">
      <w:pPr>
        <w:pStyle w:val="Titre2"/>
        <w:spacing w:before="120" w:after="0"/>
        <w:jc w:val="both"/>
        <w:rPr>
          <w:rFonts w:cs="Arial"/>
          <w:szCs w:val="24"/>
        </w:rPr>
      </w:pPr>
      <w:bookmarkStart w:id="188" w:name="_Toc210992337"/>
      <w:bookmarkStart w:id="189" w:name="_Toc211495275"/>
      <w:bookmarkStart w:id="190" w:name="_Toc211600683"/>
      <w:r w:rsidRPr="00464963">
        <w:rPr>
          <w:rFonts w:cs="Arial"/>
          <w:color w:val="000000" w:themeColor="text1"/>
          <w:szCs w:val="24"/>
        </w:rPr>
        <w:t>6. Les déclarations trompeuses quant aux sommes retenues sur les prêts</w:t>
      </w:r>
      <w:bookmarkEnd w:id="188"/>
      <w:r w:rsidR="00CD6FEB" w:rsidRPr="00464963">
        <w:rPr>
          <w:rFonts w:cs="Arial"/>
          <w:color w:val="000000" w:themeColor="text1"/>
          <w:szCs w:val="24"/>
        </w:rPr>
        <w:t xml:space="preserve"> suivant les instructions de Huot pour payer les intérêts des commanditaires</w:t>
      </w:r>
      <w:bookmarkEnd w:id="189"/>
      <w:bookmarkEnd w:id="190"/>
    </w:p>
    <w:p w14:paraId="0064D881" w14:textId="77777777" w:rsidR="009034A3" w:rsidRPr="004A039A" w:rsidRDefault="00730A01" w:rsidP="00512850">
      <w:pPr>
        <w:spacing w:before="120"/>
        <w:ind w:left="284"/>
        <w:jc w:val="both"/>
        <w:rPr>
          <w:rFonts w:cs="Arial"/>
          <w:szCs w:val="24"/>
        </w:rPr>
      </w:pPr>
      <w:r>
        <w:rPr>
          <w:rFonts w:cs="Arial"/>
          <w:szCs w:val="24"/>
        </w:rPr>
        <w:t>A</w:t>
      </w:r>
      <w:r w:rsidRPr="004A039A">
        <w:rPr>
          <w:rFonts w:cs="Arial"/>
          <w:szCs w:val="24"/>
        </w:rPr>
        <w:t>u procès</w:t>
      </w:r>
      <w:r>
        <w:rPr>
          <w:rFonts w:cs="Arial"/>
          <w:szCs w:val="24"/>
        </w:rPr>
        <w:t>, le 14</w:t>
      </w:r>
      <w:r w:rsidR="003E0131">
        <w:rPr>
          <w:rFonts w:cs="Arial"/>
          <w:szCs w:val="24"/>
        </w:rPr>
        <w:t> </w:t>
      </w:r>
      <w:r>
        <w:rPr>
          <w:rFonts w:cs="Arial"/>
          <w:szCs w:val="24"/>
        </w:rPr>
        <w:t>février</w:t>
      </w:r>
      <w:r w:rsidR="003E0131">
        <w:rPr>
          <w:rFonts w:cs="Arial"/>
          <w:szCs w:val="24"/>
        </w:rPr>
        <w:t> </w:t>
      </w:r>
      <w:r>
        <w:rPr>
          <w:rFonts w:cs="Arial"/>
          <w:szCs w:val="24"/>
        </w:rPr>
        <w:t xml:space="preserve">2025, </w:t>
      </w:r>
      <w:r w:rsidRPr="004A039A">
        <w:rPr>
          <w:rFonts w:cs="Arial"/>
          <w:szCs w:val="24"/>
        </w:rPr>
        <w:t>Giroux soutient que Huot aurait lui-même donné instruction de retenir des sommes sur les prêts pour payer les rendements des commanditaires, tout en affirmant ne pas s’occuper de ce volet.</w:t>
      </w:r>
    </w:p>
    <w:p w14:paraId="37D270C1" w14:textId="77777777" w:rsidR="00C2054E" w:rsidRDefault="00C2054E" w:rsidP="0098012F">
      <w:pPr>
        <w:jc w:val="both"/>
        <w:rPr>
          <w:rFonts w:cs="Arial"/>
          <w:szCs w:val="24"/>
        </w:rPr>
      </w:pPr>
    </w:p>
    <w:p w14:paraId="1F3C762E" w14:textId="77777777" w:rsidR="009034A3" w:rsidRPr="00CD6FEB" w:rsidRDefault="00730A01" w:rsidP="00512850">
      <w:pPr>
        <w:pStyle w:val="Citationenretrait"/>
        <w:spacing w:after="0"/>
      </w:pPr>
      <w:r>
        <w:t>R</w:t>
      </w:r>
      <w:r w:rsidR="00CC2A90">
        <w:t> :</w:t>
      </w:r>
      <w:r>
        <w:t xml:space="preserve"> </w:t>
      </w:r>
      <w:r w:rsidRPr="00CD6FEB">
        <w:t>L’argent, elle est... on fait un prêt à… monsieur Huot… c’est à monsieur Huot à nous donner les instructions quoi faire avec l’argent. S’il dit « Bien prends-la pour telle affaire, bien on a des instructions qu’on recevait de monsieur Huot là</w:t>
      </w:r>
      <w:r>
        <w:rPr>
          <w:rStyle w:val="Appelnotedebasdep"/>
          <w:rFonts w:cs="Arial"/>
          <w:i/>
          <w:iCs/>
          <w:szCs w:val="22"/>
        </w:rPr>
        <w:footnoteReference w:id="500"/>
      </w:r>
      <w:r w:rsidR="003E0131">
        <w:t>.</w:t>
      </w:r>
    </w:p>
    <w:p w14:paraId="6D8E914F" w14:textId="77777777" w:rsidR="00CD6FEB" w:rsidRDefault="00730A01" w:rsidP="00512850">
      <w:pPr>
        <w:pStyle w:val="Citationenretrait"/>
        <w:spacing w:after="0"/>
      </w:pPr>
      <w:r w:rsidRPr="00CD6FEB">
        <w:t>Q</w:t>
      </w:r>
      <w:r w:rsidR="00CC2A90">
        <w:t xml:space="preserve"> : </w:t>
      </w:r>
      <w:r w:rsidRPr="00CD6FEB">
        <w:t>Donc</w:t>
      </w:r>
      <w:r>
        <w:t>, vous reteniez l’argent, puis vous attendiez les instructions d’Huot, c’est ça que vous ….</w:t>
      </w:r>
    </w:p>
    <w:p w14:paraId="1169724C" w14:textId="77777777" w:rsidR="00CD6FEB" w:rsidRDefault="00730A01" w:rsidP="00512850">
      <w:pPr>
        <w:pStyle w:val="Citationenretrait"/>
      </w:pPr>
      <w:r w:rsidRPr="00CD6FEB">
        <w:t>R</w:t>
      </w:r>
      <w:r w:rsidR="00CC2A90">
        <w:t xml:space="preserve"> : </w:t>
      </w:r>
      <w:r w:rsidRPr="00CD6FEB">
        <w:t>Ça</w:t>
      </w:r>
      <w:r>
        <w:t>, ce bout</w:t>
      </w:r>
      <w:r w:rsidR="003E0131">
        <w:t>-</w:t>
      </w:r>
      <w:r>
        <w:t>là, je ne m’en occupais pas…</w:t>
      </w:r>
    </w:p>
    <w:p w14:paraId="155284FC" w14:textId="77777777" w:rsidR="00CD6FEB" w:rsidRDefault="00730A01" w:rsidP="00512850">
      <w:pPr>
        <w:spacing w:before="120" w:after="120"/>
        <w:ind w:left="284"/>
        <w:jc w:val="both"/>
        <w:rPr>
          <w:rFonts w:cs="Arial"/>
          <w:szCs w:val="24"/>
        </w:rPr>
      </w:pPr>
      <w:r>
        <w:rPr>
          <w:rFonts w:cs="Arial"/>
          <w:szCs w:val="24"/>
        </w:rPr>
        <w:t>Giroux avait prétendu le contraire lors des interrogatoires antérieurs.</w:t>
      </w:r>
    </w:p>
    <w:p w14:paraId="19C473F1" w14:textId="77777777" w:rsidR="00CD6FEB" w:rsidRDefault="00730A01" w:rsidP="008522EF">
      <w:pPr>
        <w:spacing w:before="120" w:after="120"/>
        <w:ind w:left="284"/>
        <w:jc w:val="both"/>
        <w:rPr>
          <w:rFonts w:cs="Arial"/>
          <w:szCs w:val="24"/>
        </w:rPr>
      </w:pPr>
      <w:r>
        <w:rPr>
          <w:rFonts w:cs="Arial"/>
          <w:szCs w:val="24"/>
        </w:rPr>
        <w:t>Au procès, lors de son interrogatoire</w:t>
      </w:r>
      <w:r w:rsidR="008522EF">
        <w:rPr>
          <w:rFonts w:cs="Arial"/>
          <w:szCs w:val="24"/>
        </w:rPr>
        <w:t xml:space="preserve"> du 3</w:t>
      </w:r>
      <w:r w:rsidR="003E0131">
        <w:rPr>
          <w:rFonts w:cs="Arial"/>
          <w:szCs w:val="24"/>
        </w:rPr>
        <w:t> </w:t>
      </w:r>
      <w:r w:rsidR="008522EF">
        <w:rPr>
          <w:rFonts w:cs="Arial"/>
          <w:szCs w:val="24"/>
        </w:rPr>
        <w:t>juin</w:t>
      </w:r>
      <w:r w:rsidR="003E0131">
        <w:rPr>
          <w:rFonts w:cs="Arial"/>
          <w:szCs w:val="24"/>
        </w:rPr>
        <w:t> </w:t>
      </w:r>
      <w:r w:rsidR="008522EF">
        <w:rPr>
          <w:rFonts w:cs="Arial"/>
          <w:szCs w:val="24"/>
        </w:rPr>
        <w:t>2024, il témoigne</w:t>
      </w:r>
      <w:r>
        <w:rPr>
          <w:rStyle w:val="Appelnotedebasdep"/>
          <w:rFonts w:cs="Arial"/>
          <w:szCs w:val="24"/>
        </w:rPr>
        <w:footnoteReference w:id="501"/>
      </w:r>
      <w:r w:rsidR="008522EF">
        <w:rPr>
          <w:rFonts w:cs="Arial"/>
          <w:szCs w:val="24"/>
        </w:rPr>
        <w:t> :</w:t>
      </w:r>
    </w:p>
    <w:p w14:paraId="20A0A777" w14:textId="77777777" w:rsidR="008522EF" w:rsidRPr="008522EF" w:rsidRDefault="00730A01" w:rsidP="00512850">
      <w:pPr>
        <w:pStyle w:val="Citationenretrait"/>
      </w:pPr>
      <w:r w:rsidRPr="008522EF">
        <w:t xml:space="preserve">Mais, une fois que l’argent est rendu dans les mains de Stephan Huot, ben il peut… </w:t>
      </w:r>
      <w:r w:rsidRPr="00313479">
        <w:t>il a… lui, il</w:t>
      </w:r>
      <w:r w:rsidRPr="008522EF">
        <w:t xml:space="preserve"> faut qu’il s’en serve pour payer ses dépenses par rapport à l’immobilier. </w:t>
      </w:r>
      <w:r w:rsidRPr="008522EF">
        <w:rPr>
          <w:u w:val="single"/>
        </w:rPr>
        <w:t>Ben au lieu de lui donner l’argent à lui, et puis qu’il paie des fournisseurs, qu’il paie nos intérêts et tout, nous comme gestionnaires, on a dit : « on va retenir le montant… »</w:t>
      </w:r>
    </w:p>
    <w:p w14:paraId="4E453B93" w14:textId="77777777" w:rsidR="008522EF" w:rsidRDefault="00730A01" w:rsidP="008522EF">
      <w:pPr>
        <w:spacing w:before="120" w:after="120"/>
        <w:ind w:left="284"/>
        <w:jc w:val="both"/>
        <w:rPr>
          <w:rFonts w:cs="Arial"/>
          <w:szCs w:val="24"/>
        </w:rPr>
      </w:pPr>
      <w:r>
        <w:rPr>
          <w:rFonts w:cs="Arial"/>
          <w:szCs w:val="24"/>
        </w:rPr>
        <w:t>Et le 11</w:t>
      </w:r>
      <w:r w:rsidR="003E0131">
        <w:rPr>
          <w:rFonts w:cs="Arial"/>
          <w:szCs w:val="24"/>
        </w:rPr>
        <w:t> </w:t>
      </w:r>
      <w:r>
        <w:rPr>
          <w:rFonts w:cs="Arial"/>
          <w:szCs w:val="24"/>
        </w:rPr>
        <w:t>février</w:t>
      </w:r>
      <w:r w:rsidR="003E0131">
        <w:rPr>
          <w:rFonts w:cs="Arial"/>
          <w:szCs w:val="24"/>
        </w:rPr>
        <w:t> </w:t>
      </w:r>
      <w:r>
        <w:rPr>
          <w:rFonts w:cs="Arial"/>
          <w:szCs w:val="24"/>
        </w:rPr>
        <w:t>2025</w:t>
      </w:r>
      <w:r>
        <w:rPr>
          <w:rStyle w:val="Appelnotedebasdep"/>
          <w:rFonts w:cs="Arial"/>
          <w:szCs w:val="24"/>
        </w:rPr>
        <w:footnoteReference w:id="502"/>
      </w:r>
      <w:r>
        <w:rPr>
          <w:rFonts w:cs="Arial"/>
          <w:szCs w:val="24"/>
        </w:rPr>
        <w:t>, Giroux mentionne :</w:t>
      </w:r>
    </w:p>
    <w:p w14:paraId="510B4AD9" w14:textId="77777777" w:rsidR="008522EF" w:rsidRPr="008522EF" w:rsidRDefault="00730A01" w:rsidP="00512850">
      <w:pPr>
        <w:pStyle w:val="Citationenretrait"/>
      </w:pPr>
      <w:r w:rsidRPr="008522EF">
        <w:t>Le 30</w:t>
      </w:r>
      <w:r w:rsidR="003E0131">
        <w:t> </w:t>
      </w:r>
      <w:r w:rsidRPr="008522EF">
        <w:t xml:space="preserve">juin était une date limite (…) puis nous autres, pour s’assurer que Stéphan Huot nous donne les </w:t>
      </w:r>
      <w:r w:rsidR="003E0131" w:rsidRPr="008522EF">
        <w:t>intérêts</w:t>
      </w:r>
      <w:r w:rsidRPr="008522EF">
        <w:t>, donc on les a retenus à même les déboursés.</w:t>
      </w:r>
    </w:p>
    <w:p w14:paraId="39433582" w14:textId="77777777" w:rsidR="008522EF" w:rsidRDefault="00730A01" w:rsidP="008522EF">
      <w:pPr>
        <w:spacing w:before="120" w:after="120"/>
        <w:ind w:left="284"/>
        <w:jc w:val="both"/>
        <w:rPr>
          <w:rFonts w:cs="Arial"/>
          <w:szCs w:val="24"/>
        </w:rPr>
      </w:pPr>
      <w:r>
        <w:rPr>
          <w:rFonts w:cs="Arial"/>
          <w:szCs w:val="24"/>
        </w:rPr>
        <w:t xml:space="preserve">La preuve documentaire établit également que </w:t>
      </w:r>
      <w:r w:rsidR="003E0131">
        <w:rPr>
          <w:rFonts w:cs="Arial"/>
          <w:szCs w:val="24"/>
        </w:rPr>
        <w:t>H</w:t>
      </w:r>
      <w:r>
        <w:rPr>
          <w:rFonts w:cs="Arial"/>
          <w:szCs w:val="24"/>
        </w:rPr>
        <w:t xml:space="preserve">uot n’a pas donné ses instructions et qu’il constatait plutôt que la « gratte » était passée. </w:t>
      </w:r>
    </w:p>
    <w:p w14:paraId="62688B6D" w14:textId="77777777" w:rsidR="008522EF" w:rsidRDefault="00730A01" w:rsidP="008522EF">
      <w:pPr>
        <w:spacing w:before="120" w:after="120"/>
        <w:ind w:left="284"/>
        <w:jc w:val="both"/>
        <w:rPr>
          <w:rFonts w:cs="Arial"/>
          <w:szCs w:val="24"/>
        </w:rPr>
      </w:pPr>
      <w:r>
        <w:rPr>
          <w:rFonts w:cs="Arial"/>
          <w:szCs w:val="24"/>
        </w:rPr>
        <w:t>Textos entre Giroux et Huot</w:t>
      </w:r>
      <w:r>
        <w:rPr>
          <w:rStyle w:val="Appelnotedebasdep"/>
          <w:rFonts w:cs="Arial"/>
          <w:szCs w:val="24"/>
        </w:rPr>
        <w:footnoteReference w:id="503"/>
      </w:r>
      <w:r>
        <w:rPr>
          <w:rFonts w:cs="Arial"/>
          <w:szCs w:val="24"/>
        </w:rPr>
        <w:t> :</w:t>
      </w:r>
    </w:p>
    <w:p w14:paraId="5FB9AE36" w14:textId="77777777" w:rsidR="008522EF" w:rsidRPr="008522EF" w:rsidRDefault="00730A01" w:rsidP="00512850">
      <w:pPr>
        <w:pStyle w:val="Citationenretrait"/>
        <w:spacing w:after="0"/>
      </w:pPr>
      <w:r w:rsidRPr="008522EF">
        <w:t>R.G. : Allo Stef – Je viens de t’envoyer un courriel, prends en connaissance et appelle-moi.</w:t>
      </w:r>
    </w:p>
    <w:p w14:paraId="715D30BF" w14:textId="77777777" w:rsidR="008522EF" w:rsidRDefault="00730A01" w:rsidP="00512850">
      <w:pPr>
        <w:pStyle w:val="Citationenretrait"/>
        <w:spacing w:after="0"/>
        <w:rPr>
          <w:szCs w:val="24"/>
        </w:rPr>
      </w:pPr>
      <w:r w:rsidRPr="008522EF">
        <w:t>S.H. : Câline, y reste pas grand-chose une fois la gratte passée</w:t>
      </w:r>
      <w:r>
        <w:rPr>
          <w:szCs w:val="24"/>
        </w:rPr>
        <w:t>.</w:t>
      </w:r>
    </w:p>
    <w:p w14:paraId="1F23F524" w14:textId="77777777" w:rsidR="00512850" w:rsidRPr="008522EF" w:rsidRDefault="00512850" w:rsidP="00512850">
      <w:pPr>
        <w:pStyle w:val="Citationenretrait"/>
        <w:spacing w:after="0"/>
        <w:rPr>
          <w:szCs w:val="24"/>
        </w:rPr>
      </w:pPr>
    </w:p>
    <w:p w14:paraId="41803354" w14:textId="77777777" w:rsidR="00890850" w:rsidRDefault="00730A01" w:rsidP="00890850">
      <w:pPr>
        <w:tabs>
          <w:tab w:val="left" w:pos="3686"/>
        </w:tabs>
        <w:jc w:val="both"/>
        <w:rPr>
          <w:rFonts w:cs="Arial"/>
          <w:szCs w:val="24"/>
        </w:rPr>
      </w:pPr>
      <w:r>
        <w:rPr>
          <w:rFonts w:cs="Arial"/>
          <w:szCs w:val="24"/>
        </w:rPr>
        <w:tab/>
        <w:t>* * *</w:t>
      </w:r>
    </w:p>
    <w:p w14:paraId="6E3E01C4" w14:textId="77777777" w:rsidR="00890850" w:rsidRDefault="00730A01">
      <w:pPr>
        <w:rPr>
          <w:rFonts w:cs="Arial"/>
          <w:szCs w:val="24"/>
        </w:rPr>
      </w:pPr>
      <w:r>
        <w:rPr>
          <w:rFonts w:cs="Arial"/>
          <w:szCs w:val="24"/>
        </w:rPr>
        <w:br w:type="page"/>
      </w:r>
    </w:p>
    <w:p w14:paraId="5BD6BDC1" w14:textId="77777777" w:rsidR="009034A3" w:rsidRPr="00464963" w:rsidRDefault="00730A01" w:rsidP="00443B59">
      <w:pPr>
        <w:pStyle w:val="Titre1"/>
        <w:numPr>
          <w:ilvl w:val="2"/>
          <w:numId w:val="44"/>
        </w:numPr>
        <w:ind w:left="567" w:hanging="567"/>
        <w:rPr>
          <w:rFonts w:cs="Arial"/>
          <w:b w:val="0"/>
          <w:bCs/>
          <w:sz w:val="24"/>
          <w:szCs w:val="24"/>
        </w:rPr>
      </w:pPr>
      <w:r w:rsidRPr="00464963">
        <w:rPr>
          <w:rFonts w:cs="Arial"/>
          <w:sz w:val="24"/>
          <w:szCs w:val="24"/>
        </w:rPr>
        <w:t>GIROUX SE POSE EN VICTIME ET MET LA RESPONSABILITÉ SUR LES AUTRES</w:t>
      </w:r>
    </w:p>
    <w:p w14:paraId="583A7133" w14:textId="77777777" w:rsidR="009034A3" w:rsidRPr="00890850" w:rsidRDefault="00730A01" w:rsidP="00443B59">
      <w:pPr>
        <w:pStyle w:val="Titre2"/>
        <w:numPr>
          <w:ilvl w:val="5"/>
          <w:numId w:val="44"/>
        </w:numPr>
        <w:spacing w:after="120"/>
        <w:ind w:left="284" w:hanging="284"/>
        <w:jc w:val="both"/>
        <w:rPr>
          <w:rFonts w:cs="Arial"/>
          <w:bCs/>
          <w:szCs w:val="24"/>
        </w:rPr>
      </w:pPr>
      <w:bookmarkStart w:id="191" w:name="_Toc210992338"/>
      <w:bookmarkStart w:id="192" w:name="_Toc211495276"/>
      <w:bookmarkStart w:id="193" w:name="_Toc211600684"/>
      <w:r w:rsidRPr="00512850">
        <w:t>Les déclarations trompeuses quant au fait que Lehoux et St-Gelais auraient eu la responsabilité d’analyser les prêts consentis par Q-12 en faveur du</w:t>
      </w:r>
      <w:bookmarkEnd w:id="191"/>
      <w:bookmarkEnd w:id="192"/>
      <w:bookmarkEnd w:id="193"/>
      <w:r w:rsidRPr="00890850">
        <w:rPr>
          <w:rFonts w:cs="Arial"/>
          <w:bCs/>
          <w:szCs w:val="24"/>
        </w:rPr>
        <w:t xml:space="preserve"> Groupe Huot</w:t>
      </w:r>
    </w:p>
    <w:p w14:paraId="5515946F" w14:textId="77777777" w:rsidR="009034A3" w:rsidRDefault="00730A01" w:rsidP="001B0817">
      <w:pPr>
        <w:spacing w:after="120"/>
        <w:ind w:left="284"/>
        <w:jc w:val="both"/>
        <w:rPr>
          <w:rFonts w:cs="Arial"/>
          <w:szCs w:val="24"/>
        </w:rPr>
      </w:pPr>
      <w:r w:rsidRPr="004A039A">
        <w:rPr>
          <w:rFonts w:cs="Arial"/>
          <w:szCs w:val="24"/>
        </w:rPr>
        <w:t>Giroux tente de faire reposer sur ses employés la responsabilité de l’analyse des prêts consentis au Groupe Huot</w:t>
      </w:r>
      <w:r>
        <w:rPr>
          <w:rStyle w:val="Appelnotedebasdep"/>
          <w:rFonts w:cs="Arial"/>
          <w:szCs w:val="24"/>
        </w:rPr>
        <w:footnoteReference w:id="504"/>
      </w:r>
      <w:r w:rsidR="003E0131">
        <w:rPr>
          <w:rFonts w:cs="Arial"/>
          <w:szCs w:val="24"/>
        </w:rPr>
        <w:t>.</w:t>
      </w:r>
      <w:r w:rsidRPr="004A039A">
        <w:rPr>
          <w:rFonts w:cs="Arial"/>
          <w:szCs w:val="24"/>
        </w:rPr>
        <w:t xml:space="preserve"> </w:t>
      </w:r>
    </w:p>
    <w:p w14:paraId="37EC372C" w14:textId="77777777" w:rsidR="009034A3" w:rsidRDefault="00730A01" w:rsidP="0098012F">
      <w:pPr>
        <w:ind w:left="284"/>
        <w:jc w:val="both"/>
        <w:rPr>
          <w:rFonts w:cs="Arial"/>
          <w:szCs w:val="24"/>
        </w:rPr>
      </w:pPr>
      <w:r w:rsidRPr="004A039A">
        <w:rPr>
          <w:rFonts w:cs="Arial"/>
          <w:szCs w:val="24"/>
        </w:rPr>
        <w:t>Les affirmations de Giroux à cet égard sont contredites par tous les témoins</w:t>
      </w:r>
      <w:r>
        <w:rPr>
          <w:rStyle w:val="Appelnotedebasdep"/>
          <w:rFonts w:cs="Arial"/>
          <w:szCs w:val="24"/>
        </w:rPr>
        <w:footnoteReference w:id="505"/>
      </w:r>
      <w:r w:rsidR="003E0131">
        <w:rPr>
          <w:rFonts w:cs="Arial"/>
          <w:szCs w:val="24"/>
        </w:rPr>
        <w:t>.</w:t>
      </w:r>
    </w:p>
    <w:p w14:paraId="7C0D6C72" w14:textId="77777777" w:rsidR="009034A3" w:rsidRPr="004C46F6" w:rsidRDefault="00730A01" w:rsidP="00443B59">
      <w:pPr>
        <w:pStyle w:val="Titre2"/>
        <w:numPr>
          <w:ilvl w:val="5"/>
          <w:numId w:val="44"/>
        </w:numPr>
        <w:spacing w:after="120"/>
        <w:ind w:left="284" w:hanging="284"/>
        <w:jc w:val="both"/>
        <w:rPr>
          <w:rFonts w:cs="Arial"/>
          <w:b w:val="0"/>
          <w:bCs/>
          <w:szCs w:val="24"/>
        </w:rPr>
      </w:pPr>
      <w:r w:rsidRPr="004C46F6">
        <w:rPr>
          <w:rFonts w:cs="Arial"/>
          <w:bCs/>
          <w:szCs w:val="24"/>
        </w:rPr>
        <w:t>Les déclarations trompeuses quant au mandat et au rôle de St-Gelais</w:t>
      </w:r>
      <w:r w:rsidR="003E0131">
        <w:rPr>
          <w:rFonts w:cs="Arial"/>
          <w:bCs/>
          <w:szCs w:val="24"/>
        </w:rPr>
        <w:t> </w:t>
      </w:r>
      <w:r w:rsidRPr="004C46F6">
        <w:rPr>
          <w:rFonts w:cs="Arial"/>
          <w:bCs/>
          <w:szCs w:val="24"/>
        </w:rPr>
        <w:t>: validation de la situation financière du Groupe Huot et des tableaux de bord</w:t>
      </w:r>
    </w:p>
    <w:p w14:paraId="2A064CF9" w14:textId="77777777" w:rsidR="004C46F6" w:rsidRDefault="00730A01" w:rsidP="001B0817">
      <w:pPr>
        <w:spacing w:after="120"/>
        <w:ind w:left="284"/>
        <w:jc w:val="both"/>
        <w:rPr>
          <w:rFonts w:cs="Arial"/>
          <w:szCs w:val="24"/>
        </w:rPr>
      </w:pPr>
      <w:r w:rsidRPr="004A039A">
        <w:rPr>
          <w:rFonts w:cs="Arial"/>
          <w:szCs w:val="24"/>
        </w:rPr>
        <w:t>Giroux affirme que St-Gelais devait valider la situation financière du Groupe Huot et analyser les tableaux de bord</w:t>
      </w:r>
      <w:r>
        <w:rPr>
          <w:rStyle w:val="Appelnotedebasdep"/>
          <w:rFonts w:cs="Arial"/>
          <w:szCs w:val="24"/>
        </w:rPr>
        <w:footnoteReference w:id="506"/>
      </w:r>
      <w:r w:rsidR="003E0131">
        <w:rPr>
          <w:rFonts w:cs="Arial"/>
          <w:szCs w:val="24"/>
        </w:rPr>
        <w:t>.</w:t>
      </w:r>
    </w:p>
    <w:p w14:paraId="4EC3B42A" w14:textId="77777777" w:rsidR="004C46F6" w:rsidRDefault="00730A01" w:rsidP="0098012F">
      <w:pPr>
        <w:ind w:left="284"/>
        <w:jc w:val="both"/>
        <w:rPr>
          <w:rFonts w:cs="Arial"/>
          <w:szCs w:val="24"/>
        </w:rPr>
      </w:pPr>
      <w:r w:rsidRPr="004A039A">
        <w:rPr>
          <w:rFonts w:cs="Arial"/>
          <w:szCs w:val="24"/>
        </w:rPr>
        <w:t>Le témoignage de St-Gelais confirme qu’il n’avait aucun mandat de vérification</w:t>
      </w:r>
      <w:r w:rsidR="003E0131">
        <w:rPr>
          <w:rFonts w:cs="Arial"/>
          <w:szCs w:val="24"/>
        </w:rPr>
        <w:t> </w:t>
      </w:r>
      <w:r w:rsidRPr="004A039A">
        <w:rPr>
          <w:rFonts w:cs="Arial"/>
          <w:szCs w:val="24"/>
        </w:rPr>
        <w:t>: il se fiait à l’information transmise par Huot sans contre-vérification</w:t>
      </w:r>
      <w:r>
        <w:rPr>
          <w:rStyle w:val="Appelnotedebasdep"/>
          <w:rFonts w:cs="Arial"/>
          <w:szCs w:val="24"/>
        </w:rPr>
        <w:footnoteReference w:id="507"/>
      </w:r>
      <w:r w:rsidR="003E0131">
        <w:rPr>
          <w:rFonts w:cs="Arial"/>
          <w:szCs w:val="24"/>
        </w:rPr>
        <w:t>.</w:t>
      </w:r>
    </w:p>
    <w:p w14:paraId="44E38294" w14:textId="77777777" w:rsidR="009034A3" w:rsidRDefault="00730A01" w:rsidP="00443B59">
      <w:pPr>
        <w:pStyle w:val="Titre2"/>
        <w:numPr>
          <w:ilvl w:val="5"/>
          <w:numId w:val="44"/>
        </w:numPr>
        <w:spacing w:after="120"/>
        <w:ind w:left="284" w:hanging="284"/>
        <w:jc w:val="both"/>
        <w:rPr>
          <w:rFonts w:cs="Arial"/>
          <w:b w:val="0"/>
          <w:bCs/>
          <w:szCs w:val="24"/>
        </w:rPr>
      </w:pPr>
      <w:r w:rsidRPr="004A039A">
        <w:rPr>
          <w:rFonts w:cs="Arial"/>
          <w:bCs/>
          <w:szCs w:val="24"/>
        </w:rPr>
        <w:t>Les déclarations trompeuses quant au prétendu refus des Demandeurs relativement à la nomination d’un consultant ou contrôleur pour analyser de l’interne les affaires du Groupe Huot</w:t>
      </w:r>
    </w:p>
    <w:p w14:paraId="67154101" w14:textId="77777777" w:rsidR="004C46F6" w:rsidRDefault="00730A01" w:rsidP="001B0817">
      <w:pPr>
        <w:spacing w:after="120"/>
        <w:ind w:left="284"/>
        <w:jc w:val="both"/>
        <w:rPr>
          <w:rFonts w:cs="Arial"/>
          <w:szCs w:val="24"/>
        </w:rPr>
      </w:pPr>
      <w:r w:rsidRPr="004A039A">
        <w:rPr>
          <w:rFonts w:cs="Arial"/>
          <w:szCs w:val="24"/>
        </w:rPr>
        <w:t>Giroux tente d’attribuer aux commanditaires du «</w:t>
      </w:r>
      <w:r w:rsidR="003E0131">
        <w:rPr>
          <w:rFonts w:cs="Arial"/>
          <w:szCs w:val="24"/>
        </w:rPr>
        <w:t> </w:t>
      </w:r>
      <w:r w:rsidRPr="004A039A">
        <w:rPr>
          <w:rFonts w:cs="Arial"/>
          <w:szCs w:val="24"/>
        </w:rPr>
        <w:t>comité consultatif</w:t>
      </w:r>
      <w:r w:rsidR="003E0131">
        <w:rPr>
          <w:rFonts w:cs="Arial"/>
          <w:szCs w:val="24"/>
        </w:rPr>
        <w:t> </w:t>
      </w:r>
      <w:r w:rsidRPr="004A039A">
        <w:rPr>
          <w:rFonts w:cs="Arial"/>
          <w:szCs w:val="24"/>
        </w:rPr>
        <w:t>» la décision de ne pas retenir de vérificateur général</w:t>
      </w:r>
      <w:r>
        <w:rPr>
          <w:rStyle w:val="Appelnotedebasdep"/>
          <w:rFonts w:cs="Arial"/>
          <w:szCs w:val="24"/>
        </w:rPr>
        <w:footnoteReference w:id="508"/>
      </w:r>
      <w:r w:rsidR="003E0131">
        <w:rPr>
          <w:rFonts w:cs="Arial"/>
          <w:szCs w:val="24"/>
        </w:rPr>
        <w:t>.</w:t>
      </w:r>
    </w:p>
    <w:p w14:paraId="356BAA04" w14:textId="77777777" w:rsidR="00696EF4" w:rsidRDefault="00730A01" w:rsidP="0098012F">
      <w:pPr>
        <w:spacing w:after="120"/>
        <w:ind w:left="284"/>
        <w:jc w:val="both"/>
        <w:rPr>
          <w:rFonts w:cs="Arial"/>
          <w:szCs w:val="24"/>
        </w:rPr>
      </w:pPr>
      <w:r w:rsidRPr="004A039A">
        <w:rPr>
          <w:rFonts w:cs="Arial"/>
          <w:szCs w:val="24"/>
        </w:rPr>
        <w:t>Le témoignage de St-Gelais établit plutôt que Giroux et Huot ont géré cette question ensemble, Giroux voulant faire supporter les frais par Huot</w:t>
      </w:r>
      <w:r>
        <w:rPr>
          <w:rStyle w:val="Appelnotedebasdep"/>
          <w:rFonts w:cs="Arial"/>
          <w:szCs w:val="24"/>
        </w:rPr>
        <w:footnoteReference w:id="509"/>
      </w:r>
      <w:r w:rsidR="003E0131">
        <w:rPr>
          <w:rFonts w:cs="Arial"/>
          <w:szCs w:val="24"/>
        </w:rPr>
        <w:t>.</w:t>
      </w:r>
    </w:p>
    <w:p w14:paraId="7E662F72" w14:textId="77777777" w:rsidR="00890850" w:rsidRDefault="00730A01" w:rsidP="00890850">
      <w:pPr>
        <w:pStyle w:val="Paragraphedeliste"/>
        <w:tabs>
          <w:tab w:val="left" w:pos="3686"/>
        </w:tabs>
        <w:spacing w:after="120"/>
        <w:jc w:val="both"/>
        <w:rPr>
          <w:rFonts w:cs="Arial"/>
          <w:szCs w:val="24"/>
        </w:rPr>
      </w:pPr>
      <w:r>
        <w:rPr>
          <w:rFonts w:cs="Arial"/>
          <w:szCs w:val="24"/>
        </w:rPr>
        <w:tab/>
        <w:t>* * *</w:t>
      </w:r>
    </w:p>
    <w:p w14:paraId="31371A02" w14:textId="77777777" w:rsidR="00890850" w:rsidRDefault="00730A01">
      <w:pPr>
        <w:rPr>
          <w:rFonts w:cs="Arial"/>
          <w:szCs w:val="24"/>
        </w:rPr>
      </w:pPr>
      <w:r>
        <w:rPr>
          <w:rFonts w:cs="Arial"/>
          <w:szCs w:val="24"/>
        </w:rPr>
        <w:br w:type="page"/>
      </w:r>
    </w:p>
    <w:p w14:paraId="29ED804A" w14:textId="77777777" w:rsidR="009034A3" w:rsidRPr="00464963" w:rsidRDefault="00730A01" w:rsidP="00443B59">
      <w:pPr>
        <w:pStyle w:val="Titre1"/>
        <w:numPr>
          <w:ilvl w:val="2"/>
          <w:numId w:val="44"/>
        </w:numPr>
        <w:ind w:left="567" w:hanging="567"/>
        <w:rPr>
          <w:rFonts w:cs="Arial"/>
          <w:sz w:val="24"/>
          <w:szCs w:val="24"/>
        </w:rPr>
      </w:pPr>
      <w:r w:rsidRPr="00464963">
        <w:rPr>
          <w:rFonts w:cs="Arial"/>
          <w:color w:val="000000" w:themeColor="text1"/>
          <w:sz w:val="24"/>
          <w:szCs w:val="24"/>
        </w:rPr>
        <w:t>LA DEMANDE RECONVENTIONNELLE DE X2</w:t>
      </w:r>
    </w:p>
    <w:p w14:paraId="175F6E41" w14:textId="77777777" w:rsidR="009034A3" w:rsidRPr="004C46F6" w:rsidRDefault="00730A01" w:rsidP="00443B59">
      <w:pPr>
        <w:pStyle w:val="Titre2"/>
        <w:numPr>
          <w:ilvl w:val="5"/>
          <w:numId w:val="44"/>
        </w:numPr>
        <w:spacing w:after="120"/>
        <w:ind w:left="284" w:hanging="284"/>
        <w:jc w:val="both"/>
      </w:pPr>
      <w:r w:rsidRPr="004C46F6">
        <w:t>Les déclarations trompeuses quant au fait que X2 aurait continué l’exploitation de son entreprise après la débâcle de février</w:t>
      </w:r>
      <w:r w:rsidR="001B0817">
        <w:t> </w:t>
      </w:r>
      <w:r w:rsidRPr="004C46F6">
        <w:t>2023</w:t>
      </w:r>
    </w:p>
    <w:p w14:paraId="43155F26" w14:textId="77777777" w:rsidR="004C46F6" w:rsidRDefault="00730A01" w:rsidP="001B0817">
      <w:pPr>
        <w:spacing w:after="120"/>
        <w:ind w:left="284"/>
        <w:jc w:val="both"/>
        <w:rPr>
          <w:rFonts w:cs="Arial"/>
          <w:szCs w:val="24"/>
        </w:rPr>
      </w:pPr>
      <w:r w:rsidRPr="004A039A">
        <w:rPr>
          <w:rFonts w:cs="Arial"/>
          <w:szCs w:val="24"/>
        </w:rPr>
        <w:t>Giroux affirme avoir poursuivi la gestion des fonds Q-12, Q-8, Q-20 et Q-325</w:t>
      </w:r>
      <w:r>
        <w:rPr>
          <w:rStyle w:val="Appelnotedebasdep"/>
          <w:rFonts w:cs="Arial"/>
          <w:szCs w:val="24"/>
        </w:rPr>
        <w:footnoteReference w:id="510"/>
      </w:r>
      <w:r w:rsidR="001B0817">
        <w:rPr>
          <w:rFonts w:cs="Arial"/>
          <w:szCs w:val="24"/>
        </w:rPr>
        <w:t>.</w:t>
      </w:r>
    </w:p>
    <w:p w14:paraId="25EFFCBD" w14:textId="77777777" w:rsidR="009034A3" w:rsidRDefault="00730A01" w:rsidP="001B0817">
      <w:pPr>
        <w:pStyle w:val="Citationenretrait"/>
        <w:spacing w:before="0"/>
      </w:pPr>
      <w:r w:rsidRPr="00696EF4">
        <w:t>Ça fait que t’sais, ma vie, elle aurait continué, j’aurais continué à avoir X2, j’aurais continué à gérer les fonds Q-12, Q-8, Q-20, Q-325, j’aurais continué... ma vie aurait continué, mais ce n’est pas ça qui s’est passé.</w:t>
      </w:r>
    </w:p>
    <w:p w14:paraId="02BFA087" w14:textId="77777777" w:rsidR="00696EF4" w:rsidRDefault="00730A01" w:rsidP="001B0817">
      <w:pPr>
        <w:spacing w:after="120"/>
        <w:ind w:left="284"/>
        <w:jc w:val="both"/>
        <w:rPr>
          <w:rFonts w:cs="Arial"/>
          <w:szCs w:val="24"/>
        </w:rPr>
      </w:pPr>
      <w:r w:rsidRPr="004A039A">
        <w:rPr>
          <w:rFonts w:cs="Arial"/>
          <w:szCs w:val="24"/>
        </w:rPr>
        <w:t>La preuve révèle pourtant que les fonds étaient alors en processus de fermeture</w:t>
      </w:r>
      <w:r w:rsidR="001B0817">
        <w:rPr>
          <w:rFonts w:cs="Arial"/>
          <w:szCs w:val="24"/>
        </w:rPr>
        <w:t> </w:t>
      </w:r>
      <w:r w:rsidRPr="004A039A">
        <w:rPr>
          <w:rFonts w:cs="Arial"/>
          <w:szCs w:val="24"/>
        </w:rPr>
        <w:t>:</w:t>
      </w:r>
    </w:p>
    <w:p w14:paraId="0C7E018F" w14:textId="77777777" w:rsidR="00696EF4" w:rsidRPr="004030A3" w:rsidRDefault="00730A01" w:rsidP="00512850">
      <w:pPr>
        <w:spacing w:after="120"/>
        <w:ind w:left="851"/>
        <w:jc w:val="both"/>
        <w:rPr>
          <w:rFonts w:cs="Arial"/>
          <w:sz w:val="22"/>
          <w:szCs w:val="22"/>
        </w:rPr>
      </w:pPr>
      <w:r w:rsidRPr="004030A3">
        <w:rPr>
          <w:rFonts w:cs="Arial"/>
          <w:sz w:val="22"/>
          <w:szCs w:val="22"/>
        </w:rPr>
        <w:t xml:space="preserve">- </w:t>
      </w:r>
      <w:r w:rsidRPr="000E72C3">
        <w:rPr>
          <w:rFonts w:cs="Arial"/>
          <w:sz w:val="22"/>
          <w:szCs w:val="22"/>
        </w:rPr>
        <w:t>D-259</w:t>
      </w:r>
      <w:r w:rsidR="00512850">
        <w:rPr>
          <w:rFonts w:cs="Arial"/>
          <w:sz w:val="22"/>
          <w:szCs w:val="22"/>
        </w:rPr>
        <w:t> </w:t>
      </w:r>
      <w:r w:rsidRPr="004030A3">
        <w:rPr>
          <w:rFonts w:cs="Arial"/>
          <w:sz w:val="22"/>
          <w:szCs w:val="22"/>
        </w:rPr>
        <w:t>:</w:t>
      </w:r>
      <w:r w:rsidR="000E72C3">
        <w:rPr>
          <w:rFonts w:cs="Arial"/>
          <w:sz w:val="22"/>
          <w:szCs w:val="22"/>
        </w:rPr>
        <w:t xml:space="preserve"> </w:t>
      </w:r>
      <w:r w:rsidRPr="004030A3">
        <w:rPr>
          <w:rFonts w:cs="Arial"/>
          <w:sz w:val="22"/>
          <w:szCs w:val="22"/>
        </w:rPr>
        <w:t>Courriel de Jonathan Végiard à Robert Giroux (26 juin 2023) – discussion pour un mandat de décroissance et fermeture des fonds Q-8 et Q-12.</w:t>
      </w:r>
    </w:p>
    <w:p w14:paraId="590E8C5D" w14:textId="77777777" w:rsidR="00696EF4" w:rsidRPr="004030A3" w:rsidRDefault="00730A01" w:rsidP="00512850">
      <w:pPr>
        <w:spacing w:after="120"/>
        <w:ind w:left="851"/>
        <w:jc w:val="both"/>
        <w:rPr>
          <w:rFonts w:cs="Arial"/>
          <w:sz w:val="22"/>
          <w:szCs w:val="22"/>
        </w:rPr>
      </w:pPr>
      <w:r w:rsidRPr="004030A3">
        <w:rPr>
          <w:rFonts w:cs="Arial"/>
          <w:sz w:val="22"/>
          <w:szCs w:val="22"/>
        </w:rPr>
        <w:t>- D-260</w:t>
      </w:r>
      <w:r w:rsidR="001B0817">
        <w:rPr>
          <w:rFonts w:cs="Arial"/>
          <w:sz w:val="22"/>
          <w:szCs w:val="22"/>
        </w:rPr>
        <w:t> </w:t>
      </w:r>
      <w:r w:rsidRPr="004030A3">
        <w:rPr>
          <w:rFonts w:cs="Arial"/>
          <w:sz w:val="22"/>
          <w:szCs w:val="22"/>
        </w:rPr>
        <w:t>: Contrat de consultation entre X2 Capital inc. et 9413-9409 Québec inc. (Jonathan Végiard) du 27 juin 2023 prévoyant la «</w:t>
      </w:r>
      <w:r w:rsidR="00512850">
        <w:rPr>
          <w:rFonts w:cs="Arial"/>
          <w:sz w:val="22"/>
          <w:szCs w:val="22"/>
        </w:rPr>
        <w:t> </w:t>
      </w:r>
      <w:r w:rsidRPr="004030A3">
        <w:rPr>
          <w:rFonts w:cs="Arial"/>
          <w:sz w:val="22"/>
          <w:szCs w:val="22"/>
        </w:rPr>
        <w:t>décroissance et fermeture des fonds Q-8 et Q-12</w:t>
      </w:r>
      <w:r w:rsidR="00512850">
        <w:rPr>
          <w:rFonts w:cs="Arial"/>
          <w:sz w:val="22"/>
          <w:szCs w:val="22"/>
        </w:rPr>
        <w:t> </w:t>
      </w:r>
      <w:r w:rsidRPr="004030A3">
        <w:rPr>
          <w:rFonts w:cs="Arial"/>
          <w:sz w:val="22"/>
          <w:szCs w:val="22"/>
        </w:rPr>
        <w:t>» (art. 2.1.2).</w:t>
      </w:r>
    </w:p>
    <w:p w14:paraId="1E2BAC36" w14:textId="77777777" w:rsidR="00696EF4" w:rsidRPr="004030A3" w:rsidRDefault="00730A01" w:rsidP="00512850">
      <w:pPr>
        <w:spacing w:after="120"/>
        <w:ind w:left="851"/>
        <w:jc w:val="both"/>
        <w:rPr>
          <w:rFonts w:cs="Arial"/>
          <w:sz w:val="22"/>
          <w:szCs w:val="22"/>
        </w:rPr>
      </w:pPr>
      <w:r w:rsidRPr="004030A3">
        <w:rPr>
          <w:rFonts w:cs="Arial"/>
          <w:sz w:val="22"/>
          <w:szCs w:val="22"/>
        </w:rPr>
        <w:t>- Pièce PQ-9.5.2</w:t>
      </w:r>
      <w:r w:rsidR="00512850">
        <w:rPr>
          <w:rFonts w:cs="Arial"/>
          <w:sz w:val="22"/>
          <w:szCs w:val="22"/>
        </w:rPr>
        <w:t> </w:t>
      </w:r>
      <w:r w:rsidRPr="004030A3">
        <w:rPr>
          <w:rFonts w:cs="Arial"/>
          <w:sz w:val="22"/>
          <w:szCs w:val="22"/>
        </w:rPr>
        <w:t>:</w:t>
      </w:r>
      <w:r w:rsidR="000E72C3">
        <w:rPr>
          <w:rFonts w:cs="Arial"/>
          <w:sz w:val="22"/>
          <w:szCs w:val="22"/>
        </w:rPr>
        <w:t xml:space="preserve"> </w:t>
      </w:r>
      <w:r w:rsidRPr="004030A3">
        <w:rPr>
          <w:rFonts w:cs="Arial"/>
          <w:sz w:val="22"/>
          <w:szCs w:val="22"/>
        </w:rPr>
        <w:t>Courriel de Nadine Lehoux aux investisseurs (19</w:t>
      </w:r>
      <w:r w:rsidR="000E72C3">
        <w:rPr>
          <w:rFonts w:cs="Arial"/>
          <w:sz w:val="22"/>
          <w:szCs w:val="22"/>
        </w:rPr>
        <w:t> </w:t>
      </w:r>
      <w:r w:rsidRPr="004030A3">
        <w:rPr>
          <w:rFonts w:cs="Arial"/>
          <w:sz w:val="22"/>
          <w:szCs w:val="22"/>
        </w:rPr>
        <w:t>décembre</w:t>
      </w:r>
      <w:r w:rsidR="000E72C3">
        <w:rPr>
          <w:rFonts w:cs="Arial"/>
          <w:sz w:val="22"/>
          <w:szCs w:val="22"/>
        </w:rPr>
        <w:t> </w:t>
      </w:r>
      <w:r w:rsidRPr="004030A3">
        <w:rPr>
          <w:rFonts w:cs="Arial"/>
          <w:sz w:val="22"/>
          <w:szCs w:val="22"/>
        </w:rPr>
        <w:t>2022)</w:t>
      </w:r>
      <w:r w:rsidR="00512850">
        <w:rPr>
          <w:rFonts w:cs="Arial"/>
          <w:sz w:val="22"/>
          <w:szCs w:val="22"/>
        </w:rPr>
        <w:t> </w:t>
      </w:r>
      <w:r w:rsidRPr="004030A3">
        <w:rPr>
          <w:rFonts w:cs="Arial"/>
          <w:sz w:val="22"/>
          <w:szCs w:val="22"/>
        </w:rPr>
        <w:t>:</w:t>
      </w:r>
      <w:r w:rsidR="00512850">
        <w:rPr>
          <w:rFonts w:cs="Arial"/>
          <w:sz w:val="22"/>
          <w:szCs w:val="22"/>
        </w:rPr>
        <w:t xml:space="preserve"> </w:t>
      </w:r>
      <w:r w:rsidRPr="004030A3">
        <w:rPr>
          <w:rFonts w:cs="Arial"/>
          <w:sz w:val="22"/>
          <w:szCs w:val="22"/>
        </w:rPr>
        <w:t>«</w:t>
      </w:r>
      <w:r w:rsidR="00512850">
        <w:rPr>
          <w:rFonts w:cs="Arial"/>
          <w:sz w:val="22"/>
          <w:szCs w:val="22"/>
        </w:rPr>
        <w:t> </w:t>
      </w:r>
      <w:r w:rsidRPr="004030A3">
        <w:rPr>
          <w:rFonts w:cs="Arial"/>
          <w:sz w:val="22"/>
          <w:szCs w:val="22"/>
        </w:rPr>
        <w:t>Pour votre information, depuis le début octobre, nous avons cessé d’approuver de nouveaux financements à l’exception de quelques dossiers pour des clients récurrents.</w:t>
      </w:r>
      <w:r w:rsidR="00512850">
        <w:rPr>
          <w:rFonts w:cs="Arial"/>
          <w:sz w:val="22"/>
          <w:szCs w:val="22"/>
        </w:rPr>
        <w:t> </w:t>
      </w:r>
      <w:r w:rsidRPr="004030A3">
        <w:rPr>
          <w:rFonts w:cs="Arial"/>
          <w:sz w:val="22"/>
          <w:szCs w:val="22"/>
        </w:rPr>
        <w:t>»</w:t>
      </w:r>
    </w:p>
    <w:p w14:paraId="0C7A5568" w14:textId="77777777" w:rsidR="00696EF4" w:rsidRPr="004030A3" w:rsidRDefault="00730A01" w:rsidP="00512850">
      <w:pPr>
        <w:spacing w:after="120"/>
        <w:ind w:left="851"/>
        <w:jc w:val="both"/>
        <w:rPr>
          <w:rFonts w:cs="Arial"/>
          <w:sz w:val="22"/>
          <w:szCs w:val="22"/>
        </w:rPr>
      </w:pPr>
      <w:r w:rsidRPr="004030A3">
        <w:rPr>
          <w:rFonts w:cs="Arial"/>
          <w:sz w:val="22"/>
          <w:szCs w:val="22"/>
        </w:rPr>
        <w:t>- Pièce PQ-290, p.</w:t>
      </w:r>
      <w:r w:rsidR="000E72C3">
        <w:rPr>
          <w:rFonts w:cs="Arial"/>
          <w:sz w:val="22"/>
          <w:szCs w:val="22"/>
        </w:rPr>
        <w:t> </w:t>
      </w:r>
      <w:r w:rsidRPr="004030A3">
        <w:rPr>
          <w:rFonts w:cs="Arial"/>
          <w:sz w:val="22"/>
          <w:szCs w:val="22"/>
        </w:rPr>
        <w:t>12</w:t>
      </w:r>
      <w:r w:rsidR="00512850">
        <w:rPr>
          <w:rFonts w:cs="Arial"/>
          <w:sz w:val="22"/>
          <w:szCs w:val="22"/>
        </w:rPr>
        <w:t> </w:t>
      </w:r>
      <w:r w:rsidRPr="004030A3">
        <w:rPr>
          <w:rFonts w:cs="Arial"/>
          <w:sz w:val="22"/>
          <w:szCs w:val="22"/>
        </w:rPr>
        <w:t>:</w:t>
      </w:r>
      <w:r w:rsidR="000E72C3">
        <w:rPr>
          <w:rFonts w:cs="Arial"/>
          <w:sz w:val="22"/>
          <w:szCs w:val="22"/>
        </w:rPr>
        <w:t xml:space="preserve"> </w:t>
      </w:r>
      <w:r w:rsidRPr="004030A3">
        <w:rPr>
          <w:rFonts w:cs="Arial"/>
          <w:sz w:val="22"/>
          <w:szCs w:val="22"/>
        </w:rPr>
        <w:t>PowerPoint de KPMG au soutien du témoignage de François Filion — les expertises de LMD y reconnaissent que les investisseurs ne souhaitaient plus investir et étaient en mode remboursement.</w:t>
      </w:r>
    </w:p>
    <w:p w14:paraId="4C2B3CB0" w14:textId="77777777" w:rsidR="009034A3" w:rsidRDefault="00730A01" w:rsidP="0098012F">
      <w:pPr>
        <w:ind w:left="851"/>
        <w:jc w:val="both"/>
        <w:rPr>
          <w:rFonts w:cs="Arial"/>
          <w:sz w:val="22"/>
          <w:szCs w:val="22"/>
        </w:rPr>
      </w:pPr>
      <w:r w:rsidRPr="004030A3">
        <w:rPr>
          <w:rFonts w:cs="Arial"/>
          <w:sz w:val="22"/>
          <w:szCs w:val="22"/>
        </w:rPr>
        <w:t>- Pièces PQ-5 et PSH-5</w:t>
      </w:r>
      <w:r w:rsidR="000E72C3">
        <w:rPr>
          <w:rFonts w:cs="Arial"/>
          <w:sz w:val="22"/>
          <w:szCs w:val="22"/>
        </w:rPr>
        <w:t> </w:t>
      </w:r>
      <w:r w:rsidRPr="004030A3">
        <w:rPr>
          <w:rFonts w:cs="Arial"/>
          <w:sz w:val="22"/>
          <w:szCs w:val="22"/>
        </w:rPr>
        <w:t>: les anciens commandités de Q-12 (9797) et de FIISH (1395) ont remis leur démission.</w:t>
      </w:r>
    </w:p>
    <w:p w14:paraId="31C417D6" w14:textId="77777777" w:rsidR="00890850" w:rsidRDefault="00890850" w:rsidP="0098012F">
      <w:pPr>
        <w:ind w:left="851"/>
        <w:jc w:val="both"/>
        <w:rPr>
          <w:rFonts w:cs="Arial"/>
          <w:sz w:val="22"/>
          <w:szCs w:val="22"/>
        </w:rPr>
      </w:pPr>
    </w:p>
    <w:p w14:paraId="4AD335CC" w14:textId="77777777" w:rsidR="00890850" w:rsidRDefault="00730A01" w:rsidP="00CB2B84">
      <w:pPr>
        <w:pStyle w:val="Paragraphedeliste"/>
        <w:jc w:val="center"/>
        <w:rPr>
          <w:rFonts w:cs="Arial"/>
          <w:sz w:val="22"/>
          <w:szCs w:val="22"/>
        </w:rPr>
      </w:pPr>
      <w:r>
        <w:rPr>
          <w:rFonts w:cs="Arial"/>
          <w:sz w:val="22"/>
          <w:szCs w:val="22"/>
        </w:rPr>
        <w:t>* * *</w:t>
      </w:r>
    </w:p>
    <w:p w14:paraId="23C3B0C6" w14:textId="77777777" w:rsidR="00890850" w:rsidRDefault="00730A01">
      <w:pPr>
        <w:rPr>
          <w:rFonts w:cs="Arial"/>
          <w:sz w:val="22"/>
          <w:szCs w:val="22"/>
        </w:rPr>
      </w:pPr>
      <w:r>
        <w:rPr>
          <w:rFonts w:cs="Arial"/>
          <w:sz w:val="22"/>
          <w:szCs w:val="22"/>
        </w:rPr>
        <w:br w:type="page"/>
      </w:r>
    </w:p>
    <w:p w14:paraId="2561515B" w14:textId="77777777" w:rsidR="009034A3" w:rsidRPr="00464963" w:rsidRDefault="00730A01" w:rsidP="00443B59">
      <w:pPr>
        <w:pStyle w:val="Titre1"/>
        <w:numPr>
          <w:ilvl w:val="2"/>
          <w:numId w:val="44"/>
        </w:numPr>
        <w:ind w:left="567" w:hanging="567"/>
        <w:rPr>
          <w:rFonts w:cs="Arial"/>
          <w:sz w:val="24"/>
          <w:szCs w:val="24"/>
        </w:rPr>
      </w:pPr>
      <w:r w:rsidRPr="00464963">
        <w:rPr>
          <w:rFonts w:cs="Arial"/>
          <w:sz w:val="24"/>
          <w:szCs w:val="24"/>
        </w:rPr>
        <w:t>LA DOCUMENTATION TRONQUÉE PAR GIROUX ET LES AUTRES FAUSSETÉS</w:t>
      </w:r>
    </w:p>
    <w:p w14:paraId="217AD718" w14:textId="77777777" w:rsidR="009034A3" w:rsidRPr="00913D4D" w:rsidRDefault="00730A01" w:rsidP="00443B59">
      <w:pPr>
        <w:pStyle w:val="Titre2"/>
        <w:numPr>
          <w:ilvl w:val="5"/>
          <w:numId w:val="44"/>
        </w:numPr>
        <w:spacing w:before="120" w:after="0"/>
        <w:ind w:left="284" w:hanging="284"/>
      </w:pPr>
      <w:r w:rsidRPr="004A039A">
        <w:t>Présentation d’un tableau de cash-flows tronqué</w:t>
      </w:r>
    </w:p>
    <w:p w14:paraId="009A6EB1" w14:textId="77777777" w:rsidR="009034A3" w:rsidRPr="004A039A" w:rsidRDefault="00730A01" w:rsidP="000E72C3">
      <w:pPr>
        <w:spacing w:before="120" w:after="120"/>
        <w:ind w:left="284"/>
        <w:jc w:val="both"/>
        <w:rPr>
          <w:rFonts w:cs="Arial"/>
          <w:szCs w:val="24"/>
        </w:rPr>
      </w:pPr>
      <w:r w:rsidRPr="004A039A">
        <w:rPr>
          <w:rFonts w:cs="Arial"/>
          <w:szCs w:val="24"/>
        </w:rPr>
        <w:t>Giroux a présenté un tableau tronqué lors de l’interrogatoire au préalable de Sophie Larochelle afin de tenter de lui faire reconnaître une situation financière pourtant non conforme à la réalité</w:t>
      </w:r>
      <w:r>
        <w:rPr>
          <w:rStyle w:val="Appelnotedebasdep"/>
          <w:rFonts w:cs="Arial"/>
          <w:szCs w:val="24"/>
        </w:rPr>
        <w:footnoteReference w:id="511"/>
      </w:r>
      <w:r w:rsidR="000E72C3">
        <w:rPr>
          <w:rFonts w:cs="Arial"/>
          <w:szCs w:val="24"/>
        </w:rPr>
        <w:t>.</w:t>
      </w:r>
    </w:p>
    <w:p w14:paraId="3F952DE7" w14:textId="77777777" w:rsidR="009034A3" w:rsidRDefault="00730A01" w:rsidP="000E72C3">
      <w:pPr>
        <w:spacing w:after="120"/>
        <w:ind w:left="284"/>
        <w:jc w:val="both"/>
        <w:rPr>
          <w:rFonts w:cs="Arial"/>
          <w:szCs w:val="24"/>
        </w:rPr>
      </w:pPr>
      <w:r w:rsidRPr="004A039A">
        <w:rPr>
          <w:rFonts w:cs="Arial"/>
          <w:szCs w:val="24"/>
        </w:rPr>
        <w:t>Ce tableau présentait un surplus de trésorerie cumulée pour l’année 2019 de 2</w:t>
      </w:r>
      <w:r w:rsidR="00913D4D">
        <w:rPr>
          <w:rFonts w:cs="Arial"/>
          <w:szCs w:val="24"/>
        </w:rPr>
        <w:t> </w:t>
      </w:r>
      <w:r w:rsidRPr="004A039A">
        <w:rPr>
          <w:rFonts w:cs="Arial"/>
          <w:szCs w:val="24"/>
        </w:rPr>
        <w:t>487</w:t>
      </w:r>
      <w:r w:rsidR="00913D4D">
        <w:rPr>
          <w:rFonts w:cs="Arial"/>
          <w:szCs w:val="24"/>
        </w:rPr>
        <w:t> </w:t>
      </w:r>
      <w:r w:rsidRPr="004A039A">
        <w:rPr>
          <w:rFonts w:cs="Arial"/>
          <w:szCs w:val="24"/>
        </w:rPr>
        <w:t>094</w:t>
      </w:r>
      <w:r w:rsidR="00913D4D">
        <w:rPr>
          <w:rFonts w:cs="Arial"/>
          <w:szCs w:val="24"/>
        </w:rPr>
        <w:t> </w:t>
      </w:r>
      <w:r w:rsidRPr="004A039A">
        <w:rPr>
          <w:rFonts w:cs="Arial"/>
          <w:szCs w:val="24"/>
        </w:rPr>
        <w:t>$ alors qu’il aurait dû plutôt montrer un déficit de trésorerie cumulé pour cette année</w:t>
      </w:r>
      <w:r w:rsidR="000E72C3">
        <w:rPr>
          <w:rFonts w:cs="Arial"/>
          <w:szCs w:val="24"/>
        </w:rPr>
        <w:t> </w:t>
      </w:r>
      <w:r w:rsidRPr="004A039A">
        <w:rPr>
          <w:rFonts w:cs="Arial"/>
          <w:szCs w:val="24"/>
        </w:rPr>
        <w:t xml:space="preserve">2019, après apports et injections de fonds, de </w:t>
      </w:r>
      <w:r w:rsidR="00890850">
        <w:rPr>
          <w:rFonts w:cs="Arial"/>
          <w:szCs w:val="24"/>
        </w:rPr>
        <w:t>(</w:t>
      </w:r>
      <w:r w:rsidRPr="004A039A">
        <w:rPr>
          <w:rFonts w:cs="Arial"/>
          <w:szCs w:val="24"/>
        </w:rPr>
        <w:t>4</w:t>
      </w:r>
      <w:r w:rsidR="00913D4D">
        <w:rPr>
          <w:rFonts w:cs="Arial"/>
          <w:szCs w:val="24"/>
        </w:rPr>
        <w:t> </w:t>
      </w:r>
      <w:r w:rsidRPr="004A039A">
        <w:rPr>
          <w:rFonts w:cs="Arial"/>
          <w:szCs w:val="24"/>
        </w:rPr>
        <w:t>851</w:t>
      </w:r>
      <w:r w:rsidR="00913D4D">
        <w:rPr>
          <w:rFonts w:cs="Arial"/>
          <w:szCs w:val="24"/>
        </w:rPr>
        <w:t> </w:t>
      </w:r>
      <w:r w:rsidRPr="004A039A">
        <w:rPr>
          <w:rFonts w:cs="Arial"/>
          <w:szCs w:val="24"/>
        </w:rPr>
        <w:t>336</w:t>
      </w:r>
      <w:r w:rsidR="00913D4D">
        <w:rPr>
          <w:rFonts w:cs="Arial"/>
          <w:szCs w:val="24"/>
        </w:rPr>
        <w:t> </w:t>
      </w:r>
      <w:r w:rsidRPr="004A039A">
        <w:rPr>
          <w:rFonts w:cs="Arial"/>
          <w:szCs w:val="24"/>
        </w:rPr>
        <w:t>$</w:t>
      </w:r>
      <w:r w:rsidR="00890850">
        <w:rPr>
          <w:rFonts w:cs="Arial"/>
          <w:szCs w:val="24"/>
        </w:rPr>
        <w:t>)</w:t>
      </w:r>
      <w:r w:rsidR="00913D4D">
        <w:rPr>
          <w:rFonts w:cs="Arial"/>
          <w:szCs w:val="24"/>
        </w:rPr>
        <w:t>.</w:t>
      </w:r>
    </w:p>
    <w:p w14:paraId="590EDA33" w14:textId="77777777" w:rsidR="009034A3" w:rsidRPr="004A039A" w:rsidRDefault="00730A01" w:rsidP="000E72C3">
      <w:pPr>
        <w:spacing w:before="120"/>
        <w:ind w:left="284"/>
        <w:jc w:val="both"/>
        <w:rPr>
          <w:rFonts w:cs="Arial"/>
          <w:szCs w:val="24"/>
        </w:rPr>
      </w:pPr>
      <w:r w:rsidRPr="004A039A">
        <w:rPr>
          <w:rFonts w:cs="Arial"/>
          <w:szCs w:val="24"/>
        </w:rPr>
        <w:t>Les procureurs des Demandeurs ont dû retracer le tableau original afin d’en informer le témoin et lui permettre de témoigner sur la situation financière réelle</w:t>
      </w:r>
      <w:r>
        <w:rPr>
          <w:rStyle w:val="Appelnotedebasdep"/>
          <w:rFonts w:cs="Arial"/>
          <w:szCs w:val="24"/>
        </w:rPr>
        <w:footnoteReference w:id="512"/>
      </w:r>
      <w:r w:rsidR="000E72C3">
        <w:rPr>
          <w:rFonts w:cs="Arial"/>
          <w:szCs w:val="24"/>
        </w:rPr>
        <w:t>.</w:t>
      </w:r>
    </w:p>
    <w:p w14:paraId="29D5AF52" w14:textId="77777777" w:rsidR="009034A3" w:rsidRPr="004A039A" w:rsidRDefault="00730A01" w:rsidP="00443B59">
      <w:pPr>
        <w:pStyle w:val="Titre2"/>
        <w:numPr>
          <w:ilvl w:val="5"/>
          <w:numId w:val="44"/>
        </w:numPr>
        <w:spacing w:before="120" w:after="0"/>
        <w:ind w:left="284" w:hanging="284"/>
        <w:rPr>
          <w:rFonts w:cs="Arial"/>
          <w:b w:val="0"/>
          <w:bCs/>
          <w:szCs w:val="24"/>
        </w:rPr>
      </w:pPr>
      <w:r w:rsidRPr="004A039A">
        <w:rPr>
          <w:rFonts w:cs="Arial"/>
          <w:bCs/>
          <w:szCs w:val="24"/>
        </w:rPr>
        <w:t>Déclaration non conforme sur le rôle de sa conjointe dans 6646</w:t>
      </w:r>
    </w:p>
    <w:p w14:paraId="05B399A2" w14:textId="77777777" w:rsidR="009034A3" w:rsidRPr="004A039A" w:rsidRDefault="00730A01" w:rsidP="00512850">
      <w:pPr>
        <w:spacing w:before="120" w:after="120"/>
        <w:ind w:left="284"/>
        <w:jc w:val="both"/>
        <w:rPr>
          <w:rFonts w:cs="Arial"/>
          <w:szCs w:val="24"/>
        </w:rPr>
      </w:pPr>
      <w:r w:rsidRPr="004A039A">
        <w:rPr>
          <w:rFonts w:cs="Arial"/>
          <w:szCs w:val="24"/>
        </w:rPr>
        <w:t>Lorsqu’il a été questionné quant à la raison pour laquelle Diane Jobin, sa conjointe, avait démissionné de son poste d’administratrice au sein de 6646 le 30</w:t>
      </w:r>
      <w:r w:rsidR="000E72C3">
        <w:rPr>
          <w:rFonts w:cs="Arial"/>
          <w:szCs w:val="24"/>
        </w:rPr>
        <w:t> </w:t>
      </w:r>
      <w:r w:rsidRPr="004A039A">
        <w:rPr>
          <w:rFonts w:cs="Arial"/>
          <w:szCs w:val="24"/>
        </w:rPr>
        <w:t>juin</w:t>
      </w:r>
      <w:r w:rsidR="000E72C3">
        <w:rPr>
          <w:rFonts w:cs="Arial"/>
          <w:szCs w:val="24"/>
        </w:rPr>
        <w:t> </w:t>
      </w:r>
      <w:r w:rsidRPr="004A039A">
        <w:rPr>
          <w:rFonts w:cs="Arial"/>
          <w:szCs w:val="24"/>
        </w:rPr>
        <w:t>2023, Giroux a d’abord affirmé qu’il n’était pas au courant, puis qu’il n’en avait pas discuté avec elle, et enfin qu’elle lui avait dit qu’elle ne comprenait pas pourquoi elle était administratrice et qu’il devait s’agir d’une erreur</w:t>
      </w:r>
      <w:r>
        <w:rPr>
          <w:rStyle w:val="Appelnotedebasdep"/>
          <w:rFonts w:cs="Arial"/>
          <w:szCs w:val="24"/>
        </w:rPr>
        <w:footnoteReference w:id="513"/>
      </w:r>
      <w:r w:rsidR="000E72C3">
        <w:rPr>
          <w:rFonts w:cs="Arial"/>
          <w:szCs w:val="24"/>
        </w:rPr>
        <w:t>.</w:t>
      </w:r>
    </w:p>
    <w:p w14:paraId="5619A235" w14:textId="77777777" w:rsidR="00913D4D" w:rsidRPr="00913D4D" w:rsidRDefault="00730A01" w:rsidP="000E72C3">
      <w:pPr>
        <w:pStyle w:val="Citationenretrait"/>
        <w:spacing w:before="0"/>
      </w:pPr>
      <w:r w:rsidRPr="00913D4D">
        <w:t>R</w:t>
      </w:r>
      <w:r w:rsidR="000E72C3">
        <w:t xml:space="preserve"> : </w:t>
      </w:r>
      <w:r w:rsidRPr="00913D4D">
        <w:t>O.K.! Ben, si c’est ça qui est arrivé, c’est parce que... euh... Je le sais pas, là, je veux dire, il – si elle... elle était administrateur, pis elle l’est “pus”... euh... c’est peut-être que... Je sais pas! Il faudrait voir la raison! (...)</w:t>
      </w:r>
    </w:p>
    <w:p w14:paraId="3070BA99" w14:textId="77777777" w:rsidR="00913D4D" w:rsidRPr="00913D4D" w:rsidRDefault="00730A01" w:rsidP="000E72C3">
      <w:pPr>
        <w:pStyle w:val="Citationenretrait"/>
        <w:spacing w:before="0"/>
      </w:pPr>
      <w:r w:rsidRPr="00913D4D">
        <w:t>Q</w:t>
      </w:r>
      <w:r w:rsidR="000E72C3">
        <w:t xml:space="preserve"> : </w:t>
      </w:r>
      <w:r w:rsidRPr="00913D4D">
        <w:t>Avez-vous parlé avec elle de démissionner?</w:t>
      </w:r>
    </w:p>
    <w:p w14:paraId="6FB35645" w14:textId="77777777" w:rsidR="009034A3" w:rsidRPr="00913D4D" w:rsidRDefault="00730A01" w:rsidP="000E72C3">
      <w:pPr>
        <w:pStyle w:val="Citationenretrait"/>
        <w:spacing w:before="0"/>
      </w:pPr>
      <w:r w:rsidRPr="00913D4D">
        <w:t>R</w:t>
      </w:r>
      <w:r w:rsidR="000E72C3">
        <w:t xml:space="preserve"> : </w:t>
      </w:r>
      <w:r w:rsidRPr="00913D4D">
        <w:t>Non ! (...) Elle m’a dit qu’elle était administrateur et elle ne comprenait pas pourquoi.</w:t>
      </w:r>
    </w:p>
    <w:p w14:paraId="4E019B56" w14:textId="77777777" w:rsidR="009034A3" w:rsidRDefault="00730A01" w:rsidP="000E72C3">
      <w:pPr>
        <w:spacing w:before="120" w:after="120"/>
        <w:ind w:left="284"/>
        <w:jc w:val="both"/>
        <w:rPr>
          <w:rFonts w:cs="Arial"/>
          <w:szCs w:val="24"/>
        </w:rPr>
      </w:pPr>
      <w:r w:rsidRPr="004A039A">
        <w:rPr>
          <w:rFonts w:cs="Arial"/>
          <w:szCs w:val="24"/>
        </w:rPr>
        <w:t>Or, la preuve démontre que la réalité est tout autre</w:t>
      </w:r>
      <w:r w:rsidR="00913D4D">
        <w:rPr>
          <w:rFonts w:cs="Arial"/>
          <w:szCs w:val="24"/>
        </w:rPr>
        <w:t xml:space="preserve">. </w:t>
      </w:r>
      <w:r w:rsidRPr="004A039A">
        <w:rPr>
          <w:rFonts w:cs="Arial"/>
          <w:szCs w:val="24"/>
        </w:rPr>
        <w:t>M</w:t>
      </w:r>
      <w:r w:rsidRPr="000E72C3">
        <w:rPr>
          <w:rFonts w:cs="Arial"/>
          <w:szCs w:val="24"/>
          <w:vertAlign w:val="superscript"/>
        </w:rPr>
        <w:t>me</w:t>
      </w:r>
      <w:r w:rsidR="000E72C3">
        <w:rPr>
          <w:rFonts w:cs="Arial"/>
          <w:szCs w:val="24"/>
        </w:rPr>
        <w:t> </w:t>
      </w:r>
      <w:r w:rsidRPr="004A039A">
        <w:rPr>
          <w:rFonts w:cs="Arial"/>
          <w:szCs w:val="24"/>
        </w:rPr>
        <w:t>Jobin est actionnaire de</w:t>
      </w:r>
      <w:r w:rsidR="000E72C3">
        <w:rPr>
          <w:rFonts w:cs="Arial"/>
          <w:szCs w:val="24"/>
        </w:rPr>
        <w:t> </w:t>
      </w:r>
      <w:r w:rsidRPr="004A039A">
        <w:rPr>
          <w:rFonts w:cs="Arial"/>
          <w:szCs w:val="24"/>
        </w:rPr>
        <w:t>6646 et donc bien au fait de l’identité des actionnaires et administrateurs</w:t>
      </w:r>
      <w:r w:rsidR="00913D4D">
        <w:rPr>
          <w:rFonts w:cs="Arial"/>
          <w:szCs w:val="24"/>
        </w:rPr>
        <w:t xml:space="preserve">. </w:t>
      </w:r>
      <w:r w:rsidRPr="004A039A">
        <w:rPr>
          <w:rFonts w:cs="Arial"/>
          <w:szCs w:val="24"/>
        </w:rPr>
        <w:t>Elle était administratrice de 6646 depuis</w:t>
      </w:r>
      <w:r w:rsidR="000E72C3">
        <w:rPr>
          <w:rFonts w:cs="Arial"/>
          <w:szCs w:val="24"/>
        </w:rPr>
        <w:t> </w:t>
      </w:r>
      <w:r w:rsidRPr="004A039A">
        <w:rPr>
          <w:rFonts w:cs="Arial"/>
          <w:szCs w:val="24"/>
        </w:rPr>
        <w:t>2013</w:t>
      </w:r>
      <w:r w:rsidR="00913D4D" w:rsidRPr="00913D4D">
        <w:rPr>
          <w:rStyle w:val="Appelnotedebasdep"/>
          <w:rFonts w:cs="Arial"/>
          <w:szCs w:val="24"/>
        </w:rPr>
        <w:t xml:space="preserve"> </w:t>
      </w:r>
      <w:r>
        <w:rPr>
          <w:rStyle w:val="Appelnotedebasdep"/>
          <w:rFonts w:cs="Arial"/>
          <w:szCs w:val="24"/>
        </w:rPr>
        <w:footnoteReference w:id="514"/>
      </w:r>
      <w:r w:rsidR="000E72C3">
        <w:rPr>
          <w:rFonts w:cs="Arial"/>
          <w:szCs w:val="24"/>
        </w:rPr>
        <w:t>.</w:t>
      </w:r>
    </w:p>
    <w:p w14:paraId="2EB11F44" w14:textId="77777777" w:rsidR="009034A3" w:rsidRPr="004A039A" w:rsidRDefault="00730A01" w:rsidP="000E72C3">
      <w:pPr>
        <w:spacing w:after="100" w:afterAutospacing="1"/>
        <w:ind w:left="284"/>
        <w:jc w:val="both"/>
        <w:rPr>
          <w:rFonts w:cs="Arial"/>
          <w:szCs w:val="24"/>
        </w:rPr>
      </w:pPr>
      <w:r w:rsidRPr="004A039A">
        <w:rPr>
          <w:rFonts w:cs="Arial"/>
          <w:szCs w:val="24"/>
        </w:rPr>
        <w:t>Elle était bien au fait de son rôle, ayant signé plusieurs résolutions et coordonné leur préparation avec les avocats (pièce PQ-259).</w:t>
      </w:r>
    </w:p>
    <w:p w14:paraId="5C093231" w14:textId="77777777" w:rsidR="009034A3" w:rsidRDefault="00730A01" w:rsidP="0098012F">
      <w:pPr>
        <w:ind w:left="284"/>
        <w:jc w:val="both"/>
        <w:rPr>
          <w:rFonts w:cs="Arial"/>
          <w:szCs w:val="24"/>
        </w:rPr>
      </w:pPr>
      <w:r w:rsidRPr="004A039A">
        <w:rPr>
          <w:rFonts w:cs="Arial"/>
          <w:szCs w:val="24"/>
        </w:rPr>
        <w:t>Cette démission survient le même jour que la signification des procédures à M. Giroux (plumitifs).</w:t>
      </w:r>
    </w:p>
    <w:p w14:paraId="67D76E5F" w14:textId="77777777" w:rsidR="009034A3" w:rsidRPr="004A039A" w:rsidRDefault="00730A01" w:rsidP="00443B59">
      <w:pPr>
        <w:pStyle w:val="Titre2"/>
        <w:numPr>
          <w:ilvl w:val="5"/>
          <w:numId w:val="44"/>
        </w:numPr>
        <w:spacing w:before="120" w:after="0"/>
        <w:ind w:left="284" w:hanging="284"/>
        <w:rPr>
          <w:rFonts w:cs="Arial"/>
          <w:b w:val="0"/>
          <w:bCs/>
          <w:szCs w:val="24"/>
        </w:rPr>
      </w:pPr>
      <w:r w:rsidRPr="004A039A">
        <w:rPr>
          <w:rFonts w:cs="Arial"/>
          <w:bCs/>
          <w:color w:val="000000" w:themeColor="text1"/>
          <w:szCs w:val="24"/>
        </w:rPr>
        <w:t>Défaut d’informer un acheteur potentiel (Cogir) de la dette de 120 M$ de FIISH</w:t>
      </w:r>
      <w:r w:rsidRPr="004A039A">
        <w:rPr>
          <w:rFonts w:cs="Arial"/>
          <w:bCs/>
          <w:szCs w:val="24"/>
        </w:rPr>
        <w:t xml:space="preserve"> </w:t>
      </w:r>
    </w:p>
    <w:p w14:paraId="4EB213EB" w14:textId="77777777" w:rsidR="009034A3" w:rsidRDefault="00730A01" w:rsidP="000E72C3">
      <w:pPr>
        <w:spacing w:before="120" w:after="120"/>
        <w:ind w:left="284"/>
        <w:jc w:val="both"/>
        <w:rPr>
          <w:rFonts w:cs="Arial"/>
          <w:szCs w:val="24"/>
        </w:rPr>
      </w:pPr>
      <w:r w:rsidRPr="004A039A">
        <w:rPr>
          <w:rFonts w:cs="Arial"/>
          <w:szCs w:val="24"/>
        </w:rPr>
        <w:t>Giroux affirme que Cogir était au courant de l’existence du financement de 120</w:t>
      </w:r>
      <w:r w:rsidR="00913D4D">
        <w:rPr>
          <w:rFonts w:cs="Arial"/>
          <w:szCs w:val="24"/>
        </w:rPr>
        <w:t> </w:t>
      </w:r>
      <w:r w:rsidRPr="004A039A">
        <w:rPr>
          <w:rFonts w:cs="Arial"/>
          <w:szCs w:val="24"/>
        </w:rPr>
        <w:t>M$ par FIISH</w:t>
      </w:r>
      <w:r>
        <w:rPr>
          <w:rStyle w:val="Appelnotedebasdep"/>
          <w:rFonts w:cs="Arial"/>
          <w:szCs w:val="24"/>
        </w:rPr>
        <w:footnoteReference w:id="515"/>
      </w:r>
      <w:r w:rsidR="000E72C3">
        <w:rPr>
          <w:rFonts w:cs="Arial"/>
          <w:szCs w:val="24"/>
        </w:rPr>
        <w:t>.</w:t>
      </w:r>
    </w:p>
    <w:p w14:paraId="20B2FD4F" w14:textId="77777777" w:rsidR="009034A3" w:rsidRPr="004A039A" w:rsidRDefault="00730A01" w:rsidP="0098012F">
      <w:pPr>
        <w:ind w:left="284"/>
        <w:jc w:val="both"/>
        <w:rPr>
          <w:rFonts w:cs="Arial"/>
          <w:szCs w:val="24"/>
        </w:rPr>
      </w:pPr>
      <w:r w:rsidRPr="004A039A">
        <w:rPr>
          <w:rFonts w:cs="Arial"/>
          <w:szCs w:val="24"/>
        </w:rPr>
        <w:t>Or, les représentants de Cogir, Mathieu Duguay et Marc Doré affirment le contraire</w:t>
      </w:r>
      <w:r w:rsidR="0099369D">
        <w:rPr>
          <w:rFonts w:cs="Arial"/>
          <w:szCs w:val="24"/>
        </w:rPr>
        <w:t> </w:t>
      </w:r>
      <w:r w:rsidRPr="004A039A">
        <w:rPr>
          <w:rFonts w:cs="Arial"/>
          <w:szCs w:val="24"/>
        </w:rPr>
        <w:t>:</w:t>
      </w:r>
      <w:r>
        <w:rPr>
          <w:rStyle w:val="Appelnotedebasdep"/>
          <w:rFonts w:cs="Arial"/>
          <w:szCs w:val="24"/>
        </w:rPr>
        <w:footnoteReference w:id="516"/>
      </w:r>
    </w:p>
    <w:p w14:paraId="0DAC7880" w14:textId="77777777" w:rsidR="0099369D" w:rsidRPr="0099369D" w:rsidRDefault="00730A01" w:rsidP="00512850">
      <w:pPr>
        <w:pStyle w:val="Citationenretrait"/>
        <w:spacing w:after="0"/>
      </w:pPr>
      <w:r w:rsidRPr="0099369D">
        <w:t>Q</w:t>
      </w:r>
      <w:r w:rsidR="000E72C3">
        <w:t xml:space="preserve"> : </w:t>
      </w:r>
      <w:r w:rsidRPr="0099369D">
        <w:t>Est-ce que vous saviez qu’il y avait des sûretés consenties à FIISH de plus de 150</w:t>
      </w:r>
      <w:r w:rsidR="000E72C3">
        <w:t> </w:t>
      </w:r>
      <w:r w:rsidRPr="0099369D">
        <w:t>millions ?</w:t>
      </w:r>
    </w:p>
    <w:p w14:paraId="2C976DD7" w14:textId="77777777" w:rsidR="009034A3" w:rsidRPr="0099369D" w:rsidRDefault="00730A01" w:rsidP="00512850">
      <w:pPr>
        <w:pStyle w:val="Citationenretrait"/>
        <w:spacing w:after="0"/>
      </w:pPr>
      <w:r w:rsidRPr="0099369D">
        <w:t>R</w:t>
      </w:r>
      <w:r w:rsidR="000E72C3">
        <w:t xml:space="preserve"> : </w:t>
      </w:r>
      <w:r w:rsidRPr="0099369D">
        <w:t>Non, je ne savais même pas c’est quoi le fonds FIISH.</w:t>
      </w:r>
    </w:p>
    <w:p w14:paraId="485D9271" w14:textId="77777777" w:rsidR="0099369D" w:rsidRPr="0099369D" w:rsidRDefault="00730A01" w:rsidP="00512850">
      <w:pPr>
        <w:pStyle w:val="Citationenretrait"/>
        <w:spacing w:after="0"/>
      </w:pPr>
      <w:r w:rsidRPr="0099369D">
        <w:t>Marc Doré, 18</w:t>
      </w:r>
      <w:r w:rsidR="000E72C3">
        <w:t> </w:t>
      </w:r>
      <w:r w:rsidRPr="0099369D">
        <w:t>février</w:t>
      </w:r>
      <w:r w:rsidR="000E72C3">
        <w:t> </w:t>
      </w:r>
      <w:r w:rsidRPr="0099369D">
        <w:t>2025, p.</w:t>
      </w:r>
      <w:r w:rsidR="000E72C3">
        <w:t> </w:t>
      </w:r>
      <w:r w:rsidRPr="0099369D">
        <w:t>26-27</w:t>
      </w:r>
      <w:r w:rsidR="000E72C3">
        <w:t> </w:t>
      </w:r>
      <w:r w:rsidRPr="0099369D">
        <w:t>:</w:t>
      </w:r>
    </w:p>
    <w:p w14:paraId="48C7E1E0" w14:textId="77777777" w:rsidR="0099369D" w:rsidRPr="0099369D" w:rsidRDefault="00730A01" w:rsidP="00512850">
      <w:pPr>
        <w:pStyle w:val="Citationenretrait"/>
        <w:spacing w:after="0"/>
      </w:pPr>
      <w:r w:rsidRPr="0099369D">
        <w:t>Q</w:t>
      </w:r>
      <w:r w:rsidR="000E72C3">
        <w:t xml:space="preserve"> : </w:t>
      </w:r>
      <w:r w:rsidRPr="0099369D">
        <w:t>Vous ne saviez pas qu’il y avait une hypothèque non publiée de 150</w:t>
      </w:r>
      <w:r w:rsidR="000E72C3">
        <w:t> </w:t>
      </w:r>
      <w:r w:rsidRPr="0099369D">
        <w:t>M$ au bénéfice de FIISH?</w:t>
      </w:r>
    </w:p>
    <w:p w14:paraId="37312CA3" w14:textId="77777777" w:rsidR="009034A3" w:rsidRPr="0099369D" w:rsidRDefault="00730A01" w:rsidP="00512850">
      <w:pPr>
        <w:pStyle w:val="Citationenretrait"/>
        <w:spacing w:after="0"/>
      </w:pPr>
      <w:r w:rsidRPr="0099369D">
        <w:t>R</w:t>
      </w:r>
      <w:r w:rsidR="000E72C3">
        <w:t xml:space="preserve"> : </w:t>
      </w:r>
      <w:r w:rsidRPr="0099369D">
        <w:t>Je l’ai appris fin</w:t>
      </w:r>
      <w:r w:rsidR="000E72C3">
        <w:t> </w:t>
      </w:r>
      <w:r w:rsidRPr="0099369D">
        <w:t>2022 ou début</w:t>
      </w:r>
      <w:r w:rsidR="000E72C3">
        <w:t> </w:t>
      </w:r>
      <w:r w:rsidRPr="0099369D">
        <w:t>2023.</w:t>
      </w:r>
    </w:p>
    <w:p w14:paraId="748A3005" w14:textId="77777777" w:rsidR="009034A3" w:rsidRDefault="009034A3" w:rsidP="0098012F">
      <w:pPr>
        <w:pStyle w:val="Listenumros"/>
        <w:numPr>
          <w:ilvl w:val="0"/>
          <w:numId w:val="0"/>
        </w:numPr>
        <w:ind w:left="284" w:hanging="360"/>
        <w:jc w:val="both"/>
        <w:rPr>
          <w:b/>
          <w:bCs/>
          <w:sz w:val="24"/>
          <w:szCs w:val="24"/>
          <w:lang w:val="fr-CA"/>
        </w:rPr>
      </w:pPr>
    </w:p>
    <w:p w14:paraId="7461229B" w14:textId="77777777" w:rsidR="00890850" w:rsidRPr="00890850" w:rsidRDefault="00730A01" w:rsidP="00890850">
      <w:pPr>
        <w:pStyle w:val="Listenumros"/>
        <w:numPr>
          <w:ilvl w:val="0"/>
          <w:numId w:val="0"/>
        </w:numPr>
        <w:tabs>
          <w:tab w:val="left" w:pos="3686"/>
        </w:tabs>
        <w:ind w:left="720"/>
        <w:jc w:val="both"/>
        <w:rPr>
          <w:sz w:val="24"/>
          <w:szCs w:val="24"/>
          <w:lang w:val="fr-CA"/>
        </w:rPr>
      </w:pPr>
      <w:r>
        <w:rPr>
          <w:sz w:val="24"/>
          <w:szCs w:val="24"/>
          <w:lang w:val="fr-CA"/>
        </w:rPr>
        <w:tab/>
        <w:t>* * *</w:t>
      </w:r>
    </w:p>
    <w:p w14:paraId="4D7978A3" w14:textId="77777777" w:rsidR="009034A3" w:rsidRDefault="009034A3" w:rsidP="0098012F">
      <w:pPr>
        <w:spacing w:before="100" w:beforeAutospacing="1" w:after="100" w:afterAutospacing="1"/>
        <w:rPr>
          <w:rFonts w:cs="Arial"/>
          <w:szCs w:val="24"/>
          <w:lang w:eastAsia="fr-CA"/>
        </w:rPr>
      </w:pPr>
    </w:p>
    <w:p w14:paraId="4815E772" w14:textId="77777777" w:rsidR="009034A3" w:rsidRDefault="00730A01" w:rsidP="0098012F">
      <w:pPr>
        <w:rPr>
          <w:rFonts w:cs="Arial"/>
          <w:szCs w:val="24"/>
          <w:lang w:eastAsia="fr-CA"/>
        </w:rPr>
      </w:pPr>
      <w:r>
        <w:rPr>
          <w:rFonts w:cs="Arial"/>
          <w:szCs w:val="24"/>
          <w:lang w:eastAsia="fr-CA"/>
        </w:rPr>
        <w:br w:type="page"/>
      </w:r>
    </w:p>
    <w:p w14:paraId="0B5CDF47" w14:textId="77777777" w:rsidR="004C34E4" w:rsidRDefault="004C34E4" w:rsidP="004C34E4">
      <w:pPr>
        <w:jc w:val="center"/>
        <w:rPr>
          <w:rFonts w:cs="Arial"/>
          <w:b/>
          <w:bCs/>
          <w:sz w:val="48"/>
          <w:szCs w:val="48"/>
          <w:lang w:eastAsia="fr-CA"/>
        </w:rPr>
      </w:pPr>
    </w:p>
    <w:p w14:paraId="04EE58A0" w14:textId="77777777" w:rsidR="004C34E4" w:rsidRDefault="004C34E4" w:rsidP="004C34E4">
      <w:pPr>
        <w:jc w:val="center"/>
        <w:rPr>
          <w:rFonts w:cs="Arial"/>
          <w:b/>
          <w:bCs/>
          <w:sz w:val="48"/>
          <w:szCs w:val="48"/>
          <w:lang w:eastAsia="fr-CA"/>
        </w:rPr>
      </w:pPr>
    </w:p>
    <w:p w14:paraId="46CA9D95" w14:textId="77777777" w:rsidR="004C34E4" w:rsidRDefault="004C34E4" w:rsidP="004C34E4">
      <w:pPr>
        <w:jc w:val="center"/>
        <w:rPr>
          <w:rFonts w:cs="Arial"/>
          <w:b/>
          <w:bCs/>
          <w:sz w:val="48"/>
          <w:szCs w:val="48"/>
          <w:lang w:eastAsia="fr-CA"/>
        </w:rPr>
      </w:pPr>
    </w:p>
    <w:p w14:paraId="660C4474" w14:textId="77777777" w:rsidR="004C34E4" w:rsidRDefault="004C34E4" w:rsidP="004C34E4">
      <w:pPr>
        <w:jc w:val="center"/>
        <w:rPr>
          <w:rFonts w:cs="Arial"/>
          <w:b/>
          <w:bCs/>
          <w:sz w:val="48"/>
          <w:szCs w:val="48"/>
          <w:lang w:eastAsia="fr-CA"/>
        </w:rPr>
      </w:pPr>
    </w:p>
    <w:p w14:paraId="7FAB027C" w14:textId="77777777" w:rsidR="004C34E4" w:rsidRDefault="004C34E4" w:rsidP="004C34E4">
      <w:pPr>
        <w:jc w:val="center"/>
        <w:rPr>
          <w:rFonts w:cs="Arial"/>
          <w:b/>
          <w:bCs/>
          <w:sz w:val="48"/>
          <w:szCs w:val="48"/>
          <w:lang w:eastAsia="fr-CA"/>
        </w:rPr>
      </w:pPr>
    </w:p>
    <w:p w14:paraId="5E8B41E9" w14:textId="77777777" w:rsidR="004C34E4" w:rsidRDefault="004C34E4" w:rsidP="004C34E4">
      <w:pPr>
        <w:jc w:val="center"/>
        <w:rPr>
          <w:rFonts w:cs="Arial"/>
          <w:b/>
          <w:bCs/>
          <w:sz w:val="48"/>
          <w:szCs w:val="48"/>
          <w:lang w:eastAsia="fr-CA"/>
        </w:rPr>
      </w:pPr>
    </w:p>
    <w:p w14:paraId="1F6C7305" w14:textId="77777777" w:rsidR="004C34E4" w:rsidRDefault="004C34E4" w:rsidP="004C34E4">
      <w:pPr>
        <w:jc w:val="center"/>
        <w:rPr>
          <w:rFonts w:cs="Arial"/>
          <w:b/>
          <w:bCs/>
          <w:sz w:val="48"/>
          <w:szCs w:val="48"/>
          <w:lang w:eastAsia="fr-CA"/>
        </w:rPr>
      </w:pPr>
    </w:p>
    <w:p w14:paraId="1E854575" w14:textId="77777777" w:rsidR="004C34E4" w:rsidRDefault="004C34E4" w:rsidP="004C34E4">
      <w:pPr>
        <w:jc w:val="center"/>
        <w:rPr>
          <w:rFonts w:cs="Arial"/>
          <w:b/>
          <w:bCs/>
          <w:sz w:val="48"/>
          <w:szCs w:val="48"/>
          <w:lang w:eastAsia="fr-CA"/>
        </w:rPr>
      </w:pPr>
    </w:p>
    <w:p w14:paraId="79C66DA5" w14:textId="77777777" w:rsidR="004C34E4" w:rsidRDefault="004C34E4" w:rsidP="004C34E4">
      <w:pPr>
        <w:jc w:val="center"/>
        <w:rPr>
          <w:rFonts w:cs="Arial"/>
          <w:b/>
          <w:bCs/>
          <w:sz w:val="48"/>
          <w:szCs w:val="48"/>
          <w:lang w:eastAsia="fr-CA"/>
        </w:rPr>
      </w:pPr>
    </w:p>
    <w:p w14:paraId="4C695278" w14:textId="77777777" w:rsidR="004C34E4" w:rsidRDefault="00730A01" w:rsidP="004C34E4">
      <w:pPr>
        <w:jc w:val="center"/>
        <w:rPr>
          <w:rFonts w:cs="Arial"/>
          <w:b/>
          <w:bCs/>
          <w:sz w:val="48"/>
          <w:szCs w:val="48"/>
          <w:lang w:eastAsia="fr-CA"/>
        </w:rPr>
      </w:pPr>
      <w:r>
        <w:rPr>
          <w:rFonts w:cs="Arial"/>
          <w:b/>
          <w:bCs/>
          <w:sz w:val="48"/>
          <w:szCs w:val="48"/>
          <w:lang w:eastAsia="fr-CA"/>
        </w:rPr>
        <w:t>ANNEXE B</w:t>
      </w:r>
    </w:p>
    <w:p w14:paraId="7F8DA56C" w14:textId="77777777" w:rsidR="004C34E4" w:rsidRDefault="004C34E4" w:rsidP="004C34E4">
      <w:pPr>
        <w:jc w:val="center"/>
        <w:rPr>
          <w:rFonts w:cs="Arial"/>
          <w:b/>
          <w:bCs/>
          <w:sz w:val="48"/>
          <w:szCs w:val="48"/>
          <w:lang w:eastAsia="fr-CA"/>
        </w:rPr>
      </w:pPr>
    </w:p>
    <w:p w14:paraId="78102CA6" w14:textId="77777777" w:rsidR="00051BA3" w:rsidRPr="00051BA3" w:rsidRDefault="00730A01" w:rsidP="00051BA3">
      <w:pPr>
        <w:jc w:val="center"/>
        <w:rPr>
          <w:rFonts w:cs="Arial"/>
          <w:szCs w:val="24"/>
          <w:lang w:eastAsia="fr-CA"/>
        </w:rPr>
      </w:pPr>
      <w:r>
        <w:rPr>
          <w:rFonts w:cs="Arial"/>
          <w:szCs w:val="24"/>
          <w:lang w:eastAsia="fr-CA"/>
        </w:rPr>
        <w:br w:type="page"/>
      </w:r>
    </w:p>
    <w:p w14:paraId="1F8DC56E" w14:textId="77777777" w:rsidR="00051BA3" w:rsidRDefault="00730A01" w:rsidP="00420D97">
      <w:pPr>
        <w:pStyle w:val="Titre1"/>
        <w:jc w:val="center"/>
        <w:rPr>
          <w:rFonts w:cs="Arial"/>
          <w:bCs/>
          <w:szCs w:val="28"/>
          <w:lang w:eastAsia="fr-CA"/>
        </w:rPr>
      </w:pPr>
      <w:r>
        <w:rPr>
          <w:rFonts w:cs="Arial"/>
          <w:bCs/>
          <w:szCs w:val="28"/>
          <w:lang w:eastAsia="fr-CA"/>
        </w:rPr>
        <w:t>ANNEXE B</w:t>
      </w:r>
    </w:p>
    <w:p w14:paraId="1CDBE0CF" w14:textId="77777777" w:rsidR="00890850" w:rsidRPr="00464963" w:rsidRDefault="00730A01" w:rsidP="00CC2A90">
      <w:pPr>
        <w:pStyle w:val="Titre1"/>
        <w:rPr>
          <w:rFonts w:cs="Arial"/>
          <w:b w:val="0"/>
          <w:bCs/>
          <w:sz w:val="24"/>
          <w:szCs w:val="24"/>
          <w:lang w:eastAsia="fr-CA"/>
        </w:rPr>
      </w:pPr>
      <w:r w:rsidRPr="00464963">
        <w:rPr>
          <w:rFonts w:cs="Arial"/>
          <w:bCs/>
          <w:sz w:val="24"/>
          <w:szCs w:val="24"/>
          <w:lang w:eastAsia="fr-CA"/>
        </w:rPr>
        <w:t>LES FINANCEMENTS EFFECTUÉS PAR FIISH</w:t>
      </w:r>
      <w:r w:rsidR="00B50CBE" w:rsidRPr="00464963">
        <w:rPr>
          <w:rFonts w:cs="Arial"/>
          <w:bCs/>
          <w:sz w:val="24"/>
          <w:szCs w:val="24"/>
          <w:lang w:eastAsia="fr-CA"/>
        </w:rPr>
        <w:t xml:space="preserve"> ET LES MANQUEMENTS EN LIEN AVEC CES FINANCEMENTS</w:t>
      </w:r>
      <w:bookmarkStart w:id="194" w:name="_Toc210992339"/>
    </w:p>
    <w:p w14:paraId="3A4C227E" w14:textId="77777777" w:rsidR="008900D7" w:rsidRPr="00890850" w:rsidRDefault="00730A01" w:rsidP="00890850">
      <w:pPr>
        <w:pStyle w:val="Paragraphe"/>
        <w:numPr>
          <w:ilvl w:val="0"/>
          <w:numId w:val="0"/>
        </w:numPr>
        <w:spacing w:line="240" w:lineRule="auto"/>
        <w:rPr>
          <w:rFonts w:cs="Arial"/>
          <w:b/>
          <w:bCs/>
          <w:szCs w:val="24"/>
          <w:lang w:eastAsia="fr-CA"/>
        </w:rPr>
      </w:pPr>
      <w:r>
        <w:rPr>
          <w:rFonts w:cs="Arial"/>
          <w:szCs w:val="24"/>
        </w:rPr>
        <w:t>L</w:t>
      </w:r>
      <w:r w:rsidRPr="00B50CBE">
        <w:rPr>
          <w:rFonts w:cs="Arial"/>
          <w:szCs w:val="24"/>
        </w:rPr>
        <w:t xml:space="preserve">e fonds FIISH a été constitué en </w:t>
      </w:r>
      <w:r>
        <w:rPr>
          <w:rFonts w:cs="Arial"/>
          <w:szCs w:val="24"/>
        </w:rPr>
        <w:t>mars</w:t>
      </w:r>
      <w:r w:rsidR="000E72C3">
        <w:rPr>
          <w:rFonts w:cs="Arial"/>
          <w:szCs w:val="24"/>
        </w:rPr>
        <w:t> </w:t>
      </w:r>
      <w:r w:rsidRPr="00B50CBE">
        <w:rPr>
          <w:rFonts w:cs="Arial"/>
          <w:szCs w:val="24"/>
        </w:rPr>
        <w:t>2017 pour consentir un prêt de 59 M$ pour les activités immobilières de Huot</w:t>
      </w:r>
      <w:r>
        <w:rPr>
          <w:rStyle w:val="Appelnotedebasdep"/>
          <w:rFonts w:cs="Arial"/>
          <w:szCs w:val="24"/>
        </w:rPr>
        <w:footnoteReference w:id="517"/>
      </w:r>
      <w:r>
        <w:rPr>
          <w:rFonts w:cs="Arial"/>
          <w:szCs w:val="24"/>
        </w:rPr>
        <w:t xml:space="preserve"> sur un montant maximal permis de 75 M$.</w:t>
      </w:r>
      <w:r w:rsidRPr="00B50CBE">
        <w:rPr>
          <w:rFonts w:cs="Arial"/>
          <w:szCs w:val="24"/>
        </w:rPr>
        <w:t xml:space="preserve"> </w:t>
      </w:r>
      <w:r>
        <w:rPr>
          <w:rFonts w:cs="Arial"/>
          <w:szCs w:val="24"/>
        </w:rPr>
        <w:t>C</w:t>
      </w:r>
      <w:r w:rsidRPr="00B50CBE">
        <w:rPr>
          <w:rFonts w:cs="Arial"/>
          <w:szCs w:val="24"/>
        </w:rPr>
        <w:t>e montant a évolué au fil du temps pour atteindre un montant maximal de 121,35</w:t>
      </w:r>
      <w:r w:rsidR="000E72C3">
        <w:rPr>
          <w:rFonts w:cs="Arial"/>
          <w:szCs w:val="24"/>
        </w:rPr>
        <w:t> </w:t>
      </w:r>
      <w:r w:rsidRPr="00B50CBE">
        <w:rPr>
          <w:rFonts w:cs="Arial"/>
          <w:szCs w:val="24"/>
        </w:rPr>
        <w:t>M$ permis par amendement du 4</w:t>
      </w:r>
      <w:r w:rsidR="000E72C3">
        <w:rPr>
          <w:rFonts w:cs="Arial"/>
          <w:szCs w:val="24"/>
        </w:rPr>
        <w:t> </w:t>
      </w:r>
      <w:r w:rsidRPr="00B50CBE">
        <w:rPr>
          <w:rFonts w:cs="Arial"/>
          <w:szCs w:val="24"/>
        </w:rPr>
        <w:t>mars</w:t>
      </w:r>
      <w:r w:rsidR="000E72C3">
        <w:rPr>
          <w:rFonts w:cs="Arial"/>
          <w:szCs w:val="24"/>
        </w:rPr>
        <w:t> </w:t>
      </w:r>
      <w:r w:rsidRPr="00B50CBE">
        <w:rPr>
          <w:rFonts w:cs="Arial"/>
          <w:szCs w:val="24"/>
        </w:rPr>
        <w:t>2022</w:t>
      </w:r>
      <w:r>
        <w:rPr>
          <w:rStyle w:val="Appelnotedebasdep"/>
          <w:rFonts w:cs="Arial"/>
          <w:szCs w:val="24"/>
        </w:rPr>
        <w:footnoteReference w:id="518"/>
      </w:r>
      <w:r w:rsidRPr="00B50CBE">
        <w:rPr>
          <w:rFonts w:cs="Arial"/>
          <w:szCs w:val="24"/>
        </w:rPr>
        <w:t>. Voici l’évolution d</w:t>
      </w:r>
      <w:r>
        <w:rPr>
          <w:rFonts w:cs="Arial"/>
          <w:szCs w:val="24"/>
        </w:rPr>
        <w:t>’une partie de ce</w:t>
      </w:r>
      <w:r w:rsidRPr="00B50CBE">
        <w:rPr>
          <w:rFonts w:cs="Arial"/>
          <w:szCs w:val="24"/>
        </w:rPr>
        <w:t xml:space="preserve"> prêt pour la période comprise entre mars</w:t>
      </w:r>
      <w:r w:rsidR="000E72C3">
        <w:rPr>
          <w:rFonts w:cs="Arial"/>
          <w:szCs w:val="24"/>
        </w:rPr>
        <w:t> </w:t>
      </w:r>
      <w:r w:rsidRPr="00B50CBE">
        <w:rPr>
          <w:rFonts w:cs="Arial"/>
          <w:szCs w:val="24"/>
        </w:rPr>
        <w:t>2017 et juillet</w:t>
      </w:r>
      <w:r w:rsidR="000E72C3">
        <w:rPr>
          <w:rFonts w:cs="Arial"/>
          <w:szCs w:val="24"/>
        </w:rPr>
        <w:t> </w:t>
      </w:r>
      <w:r w:rsidRPr="00B50CBE">
        <w:rPr>
          <w:rFonts w:cs="Arial"/>
          <w:szCs w:val="24"/>
        </w:rPr>
        <w:t>2019</w:t>
      </w:r>
      <w:r>
        <w:rPr>
          <w:rFonts w:cs="Arial"/>
          <w:szCs w:val="24"/>
        </w:rPr>
        <w:t xml:space="preserve"> seulement. Nous verrons plus loin (aux paragraphes</w:t>
      </w:r>
      <w:r w:rsidR="000E72C3">
        <w:rPr>
          <w:rFonts w:cs="Arial"/>
          <w:szCs w:val="24"/>
        </w:rPr>
        <w:t> </w:t>
      </w:r>
      <w:r>
        <w:rPr>
          <w:rFonts w:cs="Arial"/>
          <w:szCs w:val="24"/>
        </w:rPr>
        <w:t>2, 3, 4 et 5) ce qu’il en est de l’évolution du prêt pour les années subséquentes (de</w:t>
      </w:r>
      <w:r w:rsidR="000E72C3">
        <w:rPr>
          <w:rFonts w:cs="Arial"/>
          <w:szCs w:val="24"/>
        </w:rPr>
        <w:t> </w:t>
      </w:r>
      <w:r>
        <w:rPr>
          <w:rFonts w:cs="Arial"/>
          <w:szCs w:val="24"/>
        </w:rPr>
        <w:t>2020 à</w:t>
      </w:r>
      <w:r w:rsidR="000E72C3">
        <w:rPr>
          <w:rFonts w:cs="Arial"/>
          <w:szCs w:val="24"/>
        </w:rPr>
        <w:t> </w:t>
      </w:r>
      <w:r>
        <w:rPr>
          <w:rFonts w:cs="Arial"/>
          <w:szCs w:val="24"/>
        </w:rPr>
        <w:t>2022).</w:t>
      </w:r>
      <w:bookmarkEnd w:id="194"/>
    </w:p>
    <w:p w14:paraId="15D40595" w14:textId="77777777" w:rsidR="00464963" w:rsidRDefault="00730A01" w:rsidP="0042740E">
      <w:pPr>
        <w:pStyle w:val="Titre2"/>
        <w:numPr>
          <w:ilvl w:val="2"/>
          <w:numId w:val="23"/>
        </w:numPr>
        <w:spacing w:after="120"/>
        <w:ind w:left="284" w:hanging="284"/>
        <w:rPr>
          <w:smallCaps/>
        </w:rPr>
      </w:pPr>
      <w:bookmarkStart w:id="195" w:name="_Toc210992340"/>
      <w:bookmarkStart w:id="196" w:name="_Toc211495277"/>
      <w:bookmarkStart w:id="197" w:name="_Toc211600685"/>
      <w:r>
        <w:rPr>
          <w:smallCaps/>
        </w:rPr>
        <w:t>La Convention de prêt FIISH 2017 et la Convention de prêt additionnel 2019</w:t>
      </w:r>
    </w:p>
    <w:bookmarkEnd w:id="195"/>
    <w:bookmarkEnd w:id="196"/>
    <w:bookmarkEnd w:id="197"/>
    <w:p w14:paraId="01E6D563" w14:textId="77777777" w:rsidR="008900D7" w:rsidRDefault="00730A01" w:rsidP="0042740E">
      <w:pPr>
        <w:pStyle w:val="NormalWeb"/>
        <w:numPr>
          <w:ilvl w:val="0"/>
          <w:numId w:val="23"/>
        </w:numPr>
        <w:tabs>
          <w:tab w:val="clear" w:pos="720"/>
        </w:tabs>
        <w:spacing w:after="120"/>
        <w:ind w:left="709" w:hanging="425"/>
        <w:jc w:val="both"/>
        <w:rPr>
          <w:rFonts w:ascii="Arial" w:hAnsi="Arial" w:cs="Arial"/>
        </w:rPr>
      </w:pPr>
      <w:r w:rsidRPr="00FF22EF">
        <w:rPr>
          <w:rStyle w:val="lev"/>
          <w:rFonts w:ascii="Arial" w:hAnsi="Arial" w:cs="Arial"/>
          <w:b w:val="0"/>
          <w:bCs w:val="0"/>
        </w:rPr>
        <w:t>Montant maximal du prêt</w:t>
      </w:r>
      <w:r w:rsidRPr="00960F75">
        <w:rPr>
          <w:rFonts w:ascii="Arial" w:hAnsi="Arial" w:cs="Arial"/>
        </w:rPr>
        <w:t xml:space="preserve"> de 75</w:t>
      </w:r>
      <w:r w:rsidR="00FF22EF">
        <w:rPr>
          <w:rFonts w:ascii="Arial" w:hAnsi="Arial" w:cs="Arial"/>
        </w:rPr>
        <w:t> </w:t>
      </w:r>
      <w:r w:rsidRPr="00960F75">
        <w:rPr>
          <w:rFonts w:ascii="Arial" w:hAnsi="Arial" w:cs="Arial"/>
        </w:rPr>
        <w:t>M$ pour une durée de 3</w:t>
      </w:r>
      <w:r w:rsidR="00FF22EF">
        <w:rPr>
          <w:rFonts w:ascii="Arial" w:hAnsi="Arial" w:cs="Arial"/>
        </w:rPr>
        <w:t> </w:t>
      </w:r>
      <w:r w:rsidRPr="00960F75">
        <w:rPr>
          <w:rFonts w:ascii="Arial" w:hAnsi="Arial" w:cs="Arial"/>
        </w:rPr>
        <w:t>ans, du 9</w:t>
      </w:r>
      <w:r w:rsidR="00FF22EF">
        <w:rPr>
          <w:rFonts w:ascii="Arial" w:hAnsi="Arial" w:cs="Arial"/>
        </w:rPr>
        <w:t> </w:t>
      </w:r>
      <w:r w:rsidRPr="00960F75">
        <w:rPr>
          <w:rFonts w:ascii="Arial" w:hAnsi="Arial" w:cs="Arial"/>
        </w:rPr>
        <w:t>mars</w:t>
      </w:r>
      <w:r w:rsidR="00FF22EF">
        <w:rPr>
          <w:rFonts w:ascii="Arial" w:hAnsi="Arial" w:cs="Arial"/>
        </w:rPr>
        <w:t> </w:t>
      </w:r>
      <w:r w:rsidRPr="00960F75">
        <w:rPr>
          <w:rFonts w:ascii="Arial" w:hAnsi="Arial" w:cs="Arial"/>
        </w:rPr>
        <w:t>2017 au 8</w:t>
      </w:r>
      <w:r w:rsidR="00FF22EF">
        <w:rPr>
          <w:rFonts w:ascii="Arial" w:hAnsi="Arial" w:cs="Arial"/>
        </w:rPr>
        <w:t> </w:t>
      </w:r>
      <w:r w:rsidRPr="00960F75">
        <w:rPr>
          <w:rFonts w:ascii="Arial" w:hAnsi="Arial" w:cs="Arial"/>
        </w:rPr>
        <w:t>mars</w:t>
      </w:r>
      <w:r w:rsidR="00FF22EF">
        <w:rPr>
          <w:rFonts w:ascii="Arial" w:hAnsi="Arial" w:cs="Arial"/>
        </w:rPr>
        <w:t> </w:t>
      </w:r>
      <w:r w:rsidRPr="00960F75">
        <w:rPr>
          <w:rFonts w:ascii="Arial" w:hAnsi="Arial" w:cs="Arial"/>
        </w:rPr>
        <w:t>2020</w:t>
      </w:r>
      <w:r>
        <w:rPr>
          <w:rStyle w:val="Appelnotedebasdep"/>
          <w:rFonts w:ascii="Arial" w:hAnsi="Arial" w:cs="Arial"/>
        </w:rPr>
        <w:footnoteReference w:id="519"/>
      </w:r>
      <w:r w:rsidRPr="00960F75">
        <w:rPr>
          <w:rFonts w:ascii="Arial" w:hAnsi="Arial" w:cs="Arial"/>
        </w:rPr>
        <w:t>.</w:t>
      </w:r>
    </w:p>
    <w:p w14:paraId="0F94E98B" w14:textId="77777777" w:rsidR="008900D7" w:rsidRPr="00960F75" w:rsidRDefault="00730A01" w:rsidP="0042740E">
      <w:pPr>
        <w:pStyle w:val="NormalWeb"/>
        <w:numPr>
          <w:ilvl w:val="0"/>
          <w:numId w:val="23"/>
        </w:numPr>
        <w:tabs>
          <w:tab w:val="clear" w:pos="720"/>
        </w:tabs>
        <w:spacing w:before="100" w:beforeAutospacing="1" w:after="100" w:afterAutospacing="1"/>
        <w:ind w:left="709" w:hanging="425"/>
        <w:jc w:val="both"/>
        <w:rPr>
          <w:rFonts w:ascii="Arial" w:hAnsi="Arial" w:cs="Arial"/>
        </w:rPr>
      </w:pPr>
      <w:r w:rsidRPr="00FF22EF">
        <w:rPr>
          <w:rStyle w:val="lev"/>
          <w:rFonts w:ascii="Arial" w:hAnsi="Arial" w:cs="Arial"/>
          <w:b w:val="0"/>
          <w:bCs w:val="0"/>
        </w:rPr>
        <w:t>Convention de prêt additionnel et amendement</w:t>
      </w:r>
      <w:r w:rsidRPr="00960F75">
        <w:rPr>
          <w:rFonts w:ascii="Arial" w:hAnsi="Arial" w:cs="Arial"/>
        </w:rPr>
        <w:t xml:space="preserve"> en date du 4</w:t>
      </w:r>
      <w:r w:rsidR="000E72C3">
        <w:rPr>
          <w:rFonts w:ascii="Arial" w:hAnsi="Arial" w:cs="Arial"/>
        </w:rPr>
        <w:t> </w:t>
      </w:r>
      <w:r w:rsidRPr="00960F75">
        <w:rPr>
          <w:rFonts w:ascii="Arial" w:hAnsi="Arial" w:cs="Arial"/>
        </w:rPr>
        <w:t>juillet</w:t>
      </w:r>
      <w:r w:rsidR="000E72C3">
        <w:rPr>
          <w:rFonts w:ascii="Arial" w:hAnsi="Arial" w:cs="Arial"/>
        </w:rPr>
        <w:t> </w:t>
      </w:r>
      <w:r w:rsidRPr="00960F75">
        <w:rPr>
          <w:rFonts w:ascii="Arial" w:hAnsi="Arial" w:cs="Arial"/>
        </w:rPr>
        <w:t>2019 pour augmenter le prêt à 105</w:t>
      </w:r>
      <w:r w:rsidR="00FF22EF">
        <w:rPr>
          <w:rFonts w:ascii="Arial" w:hAnsi="Arial" w:cs="Arial"/>
        </w:rPr>
        <w:t> </w:t>
      </w:r>
      <w:r w:rsidRPr="00960F75">
        <w:rPr>
          <w:rFonts w:ascii="Arial" w:hAnsi="Arial" w:cs="Arial"/>
        </w:rPr>
        <w:t>M$</w:t>
      </w:r>
      <w:r>
        <w:rPr>
          <w:rStyle w:val="Appelnotedebasdep"/>
          <w:rFonts w:ascii="Arial" w:hAnsi="Arial" w:cs="Arial"/>
        </w:rPr>
        <w:footnoteReference w:id="520"/>
      </w:r>
      <w:r w:rsidRPr="00960F75">
        <w:rPr>
          <w:rFonts w:ascii="Arial" w:hAnsi="Arial" w:cs="Arial"/>
        </w:rPr>
        <w:t>.</w:t>
      </w:r>
    </w:p>
    <w:p w14:paraId="5ED04446" w14:textId="77777777" w:rsidR="008900D7" w:rsidRPr="004C34E4" w:rsidRDefault="00730A01" w:rsidP="008B3CAF">
      <w:pPr>
        <w:pStyle w:val="NormalWeb"/>
        <w:spacing w:before="120" w:after="120"/>
        <w:jc w:val="both"/>
        <w:rPr>
          <w:rFonts w:ascii="Arial" w:hAnsi="Arial" w:cs="Arial"/>
          <w:highlight w:val="yellow"/>
          <w:u w:val="single"/>
        </w:rPr>
      </w:pPr>
      <w:r w:rsidRPr="004C34E4">
        <w:rPr>
          <w:rStyle w:val="lev"/>
          <w:rFonts w:ascii="Arial" w:hAnsi="Arial" w:cs="Arial"/>
          <w:u w:val="single"/>
        </w:rPr>
        <w:t>Les avances de fonds ont évolué comme suit :</w:t>
      </w:r>
    </w:p>
    <w:p w14:paraId="76D82CE9" w14:textId="77777777" w:rsidR="00FF22EF" w:rsidRPr="00FF22EF" w:rsidRDefault="00730A01" w:rsidP="0042740E">
      <w:pPr>
        <w:pStyle w:val="NormalWeb"/>
        <w:numPr>
          <w:ilvl w:val="0"/>
          <w:numId w:val="23"/>
        </w:numPr>
        <w:tabs>
          <w:tab w:val="clear" w:pos="720"/>
        </w:tabs>
        <w:spacing w:before="100" w:beforeAutospacing="1" w:after="100" w:afterAutospacing="1"/>
        <w:ind w:left="709" w:hanging="425"/>
        <w:jc w:val="both"/>
        <w:rPr>
          <w:rFonts w:ascii="Arial" w:hAnsi="Arial" w:cs="Arial"/>
          <w:b/>
          <w:bCs/>
        </w:rPr>
      </w:pPr>
      <w:r w:rsidRPr="008A06F2">
        <w:rPr>
          <w:rStyle w:val="lev"/>
          <w:rFonts w:ascii="Arial" w:hAnsi="Arial" w:cs="Arial"/>
        </w:rPr>
        <w:t>Avance de fonds au montant de 3 M$ de septembre 2017</w:t>
      </w:r>
      <w:r w:rsidRPr="00FF22EF">
        <w:rPr>
          <w:rFonts w:ascii="Arial" w:hAnsi="Arial" w:cs="Arial"/>
          <w:b/>
          <w:bCs/>
        </w:rPr>
        <w:t> :</w:t>
      </w:r>
    </w:p>
    <w:p w14:paraId="5E3FCDAB" w14:textId="77777777" w:rsidR="008900D7" w:rsidRPr="00FF22EF" w:rsidRDefault="00730A01" w:rsidP="000E72C3">
      <w:pPr>
        <w:pStyle w:val="NormalWeb"/>
        <w:ind w:left="709"/>
        <w:jc w:val="both"/>
        <w:rPr>
          <w:rFonts w:ascii="Arial" w:hAnsi="Arial" w:cs="Arial"/>
        </w:rPr>
      </w:pPr>
      <w:r w:rsidRPr="00FF22EF">
        <w:rPr>
          <w:rFonts w:ascii="Arial" w:hAnsi="Arial" w:cs="Arial"/>
        </w:rPr>
        <w:t xml:space="preserve">Courriel de St-Gelais aux commanditaires faisant état d’une demande pour mise de fonds pour </w:t>
      </w:r>
      <w:r w:rsidRPr="00FF22EF">
        <w:rPr>
          <w:rStyle w:val="lev"/>
          <w:rFonts w:ascii="Arial" w:hAnsi="Arial" w:cs="Arial"/>
          <w:b w:val="0"/>
          <w:bCs w:val="0"/>
        </w:rPr>
        <w:t>Diplomates</w:t>
      </w:r>
      <w:r w:rsidR="000E72C3">
        <w:rPr>
          <w:rStyle w:val="lev"/>
          <w:rFonts w:ascii="Arial" w:hAnsi="Arial" w:cs="Arial"/>
          <w:b w:val="0"/>
          <w:bCs w:val="0"/>
        </w:rPr>
        <w:t> </w:t>
      </w:r>
      <w:r w:rsidRPr="00FF22EF">
        <w:rPr>
          <w:rStyle w:val="lev"/>
          <w:rFonts w:ascii="Arial" w:hAnsi="Arial" w:cs="Arial"/>
          <w:b w:val="0"/>
          <w:bCs w:val="0"/>
        </w:rPr>
        <w:t>3</w:t>
      </w:r>
      <w:r w:rsidRPr="00FF22EF">
        <w:rPr>
          <w:rFonts w:ascii="Arial" w:hAnsi="Arial" w:cs="Arial"/>
        </w:rPr>
        <w:t xml:space="preserve"> et support au fonds de roulement des activités immobilières du Groupe Huot</w:t>
      </w:r>
      <w:r>
        <w:rPr>
          <w:rStyle w:val="Appelnotedebasdep"/>
          <w:rFonts w:ascii="Arial" w:hAnsi="Arial" w:cs="Arial"/>
        </w:rPr>
        <w:footnoteReference w:id="521"/>
      </w:r>
      <w:r w:rsidRPr="00FF22EF">
        <w:rPr>
          <w:rFonts w:ascii="Arial" w:hAnsi="Arial" w:cs="Arial"/>
        </w:rPr>
        <w:t>.</w:t>
      </w:r>
    </w:p>
    <w:p w14:paraId="50C21008" w14:textId="77777777" w:rsidR="00FF22EF" w:rsidRPr="00FF22EF" w:rsidRDefault="00730A01" w:rsidP="0042740E">
      <w:pPr>
        <w:pStyle w:val="NormalWeb"/>
        <w:numPr>
          <w:ilvl w:val="0"/>
          <w:numId w:val="23"/>
        </w:numPr>
        <w:tabs>
          <w:tab w:val="clear" w:pos="720"/>
        </w:tabs>
        <w:spacing w:before="100" w:beforeAutospacing="1" w:after="100" w:afterAutospacing="1"/>
        <w:ind w:left="709" w:hanging="425"/>
        <w:jc w:val="both"/>
        <w:rPr>
          <w:rFonts w:ascii="Arial" w:hAnsi="Arial" w:cs="Arial"/>
          <w:b/>
          <w:bCs/>
        </w:rPr>
      </w:pPr>
      <w:r w:rsidRPr="008A06F2">
        <w:rPr>
          <w:rStyle w:val="lev"/>
          <w:rFonts w:ascii="Arial" w:hAnsi="Arial" w:cs="Arial"/>
        </w:rPr>
        <w:t>Avance de fonds au montant de 6 M$ de décembre 2017</w:t>
      </w:r>
      <w:r w:rsidRPr="00FF22EF">
        <w:rPr>
          <w:rFonts w:ascii="Arial" w:hAnsi="Arial" w:cs="Arial"/>
          <w:b/>
          <w:bCs/>
        </w:rPr>
        <w:t> : </w:t>
      </w:r>
    </w:p>
    <w:p w14:paraId="3FEDE6DC" w14:textId="77777777" w:rsidR="008900D7" w:rsidRPr="00960F75" w:rsidRDefault="00730A01" w:rsidP="000E72C3">
      <w:pPr>
        <w:pStyle w:val="NormalWeb"/>
        <w:spacing w:after="100" w:afterAutospacing="1"/>
        <w:ind w:left="709"/>
        <w:jc w:val="both"/>
        <w:rPr>
          <w:rFonts w:ascii="Arial" w:hAnsi="Arial" w:cs="Arial"/>
        </w:rPr>
      </w:pPr>
      <w:r w:rsidRPr="00113395">
        <w:rPr>
          <w:rFonts w:ascii="Arial" w:hAnsi="Arial" w:cs="Arial"/>
        </w:rPr>
        <w:t xml:space="preserve">Courriel de St-Gelais à un commanditaire faisant état d’une demande pour mise de fonds pour </w:t>
      </w:r>
      <w:r w:rsidRPr="00FF22EF">
        <w:rPr>
          <w:rStyle w:val="lev"/>
          <w:rFonts w:ascii="Arial" w:hAnsi="Arial" w:cs="Arial"/>
          <w:b w:val="0"/>
          <w:bCs w:val="0"/>
        </w:rPr>
        <w:t>Aventura</w:t>
      </w:r>
      <w:r w:rsidR="000E72C3">
        <w:rPr>
          <w:rStyle w:val="lev"/>
          <w:rFonts w:ascii="Arial" w:hAnsi="Arial" w:cs="Arial"/>
          <w:b w:val="0"/>
          <w:bCs w:val="0"/>
        </w:rPr>
        <w:t> </w:t>
      </w:r>
      <w:r w:rsidRPr="00FF22EF">
        <w:rPr>
          <w:rStyle w:val="lev"/>
          <w:rFonts w:ascii="Arial" w:hAnsi="Arial" w:cs="Arial"/>
          <w:b w:val="0"/>
          <w:bCs w:val="0"/>
        </w:rPr>
        <w:t>5 (1,7 M$)</w:t>
      </w:r>
      <w:r w:rsidRPr="00FF22EF">
        <w:rPr>
          <w:rFonts w:ascii="Arial" w:hAnsi="Arial" w:cs="Arial"/>
          <w:b/>
          <w:bCs/>
        </w:rPr>
        <w:t>,</w:t>
      </w:r>
      <w:r w:rsidRPr="00113395">
        <w:rPr>
          <w:rFonts w:ascii="Arial" w:hAnsi="Arial" w:cs="Arial"/>
        </w:rPr>
        <w:t xml:space="preserve"> pour mise de fonds pour </w:t>
      </w:r>
      <w:r w:rsidRPr="00FF22EF">
        <w:rPr>
          <w:rStyle w:val="lev"/>
          <w:rFonts w:ascii="Arial" w:hAnsi="Arial" w:cs="Arial"/>
          <w:b w:val="0"/>
          <w:bCs w:val="0"/>
        </w:rPr>
        <w:t>Morille (1,8 M$)</w:t>
      </w:r>
      <w:r w:rsidRPr="00113395">
        <w:rPr>
          <w:rFonts w:ascii="Arial" w:hAnsi="Arial" w:cs="Arial"/>
        </w:rPr>
        <w:t>, pour remboursement d’un prêt terrain</w:t>
      </w:r>
      <w:r w:rsidR="000E72C3">
        <w:rPr>
          <w:rFonts w:ascii="Arial" w:hAnsi="Arial" w:cs="Arial"/>
        </w:rPr>
        <w:t> </w:t>
      </w:r>
      <w:r w:rsidRPr="00FF22EF">
        <w:rPr>
          <w:rStyle w:val="lev"/>
          <w:rFonts w:ascii="Arial" w:hAnsi="Arial" w:cs="Arial"/>
          <w:b w:val="0"/>
          <w:bCs w:val="0"/>
        </w:rPr>
        <w:t>7</w:t>
      </w:r>
      <w:r w:rsidR="000E72C3">
        <w:rPr>
          <w:rStyle w:val="lev"/>
          <w:rFonts w:ascii="Arial" w:hAnsi="Arial" w:cs="Arial"/>
          <w:b w:val="0"/>
          <w:bCs w:val="0"/>
        </w:rPr>
        <w:t> </w:t>
      </w:r>
      <w:r w:rsidRPr="00FF22EF">
        <w:rPr>
          <w:rStyle w:val="lev"/>
          <w:rFonts w:ascii="Arial" w:hAnsi="Arial" w:cs="Arial"/>
          <w:b w:val="0"/>
          <w:bCs w:val="0"/>
        </w:rPr>
        <w:t>Éléments phases</w:t>
      </w:r>
      <w:r w:rsidR="000E72C3">
        <w:rPr>
          <w:rStyle w:val="lev"/>
          <w:rFonts w:ascii="Arial" w:hAnsi="Arial" w:cs="Arial"/>
          <w:b w:val="0"/>
          <w:bCs w:val="0"/>
        </w:rPr>
        <w:t> </w:t>
      </w:r>
      <w:r w:rsidRPr="00FF22EF">
        <w:rPr>
          <w:rStyle w:val="lev"/>
          <w:rFonts w:ascii="Arial" w:hAnsi="Arial" w:cs="Arial"/>
          <w:b w:val="0"/>
          <w:bCs w:val="0"/>
        </w:rPr>
        <w:t>2 et</w:t>
      </w:r>
      <w:r w:rsidR="000E72C3">
        <w:rPr>
          <w:rStyle w:val="lev"/>
          <w:rFonts w:ascii="Arial" w:hAnsi="Arial" w:cs="Arial"/>
          <w:b w:val="0"/>
          <w:bCs w:val="0"/>
        </w:rPr>
        <w:t> </w:t>
      </w:r>
      <w:r w:rsidRPr="00FF22EF">
        <w:rPr>
          <w:rStyle w:val="lev"/>
          <w:rFonts w:ascii="Arial" w:hAnsi="Arial" w:cs="Arial"/>
          <w:b w:val="0"/>
          <w:bCs w:val="0"/>
        </w:rPr>
        <w:t>3 (1,6 M$)</w:t>
      </w:r>
      <w:r w:rsidRPr="00960F75">
        <w:rPr>
          <w:rFonts w:ascii="Arial" w:hAnsi="Arial" w:cs="Arial"/>
        </w:rPr>
        <w:t xml:space="preserve"> et pour fonds de roulement </w:t>
      </w:r>
      <w:r w:rsidRPr="00FF22EF">
        <w:rPr>
          <w:rFonts w:ascii="Arial" w:hAnsi="Arial" w:cs="Arial"/>
        </w:rPr>
        <w:t>(900 k$)</w:t>
      </w:r>
      <w:r>
        <w:rPr>
          <w:rStyle w:val="Appelnotedebasdep"/>
          <w:rFonts w:ascii="Arial" w:hAnsi="Arial" w:cs="Arial"/>
        </w:rPr>
        <w:footnoteReference w:id="522"/>
      </w:r>
      <w:r w:rsidR="00FF22EF">
        <w:rPr>
          <w:rFonts w:ascii="Arial" w:hAnsi="Arial" w:cs="Arial"/>
        </w:rPr>
        <w:t>.</w:t>
      </w:r>
    </w:p>
    <w:p w14:paraId="24BE6B9A" w14:textId="77777777" w:rsidR="008A06F2" w:rsidRDefault="00730A01" w:rsidP="0042740E">
      <w:pPr>
        <w:pStyle w:val="NormalWeb"/>
        <w:numPr>
          <w:ilvl w:val="1"/>
          <w:numId w:val="23"/>
        </w:numPr>
        <w:spacing w:after="120"/>
        <w:ind w:left="709" w:hanging="425"/>
        <w:jc w:val="both"/>
        <w:rPr>
          <w:rFonts w:ascii="Arial" w:hAnsi="Arial" w:cs="Arial"/>
        </w:rPr>
      </w:pPr>
      <w:r w:rsidRPr="008A06F2">
        <w:rPr>
          <w:rStyle w:val="lev"/>
          <w:rFonts w:ascii="Arial" w:hAnsi="Arial" w:cs="Arial"/>
        </w:rPr>
        <w:t>Avance de fonds au montant de 2,5 M$ de juin</w:t>
      </w:r>
      <w:r w:rsidR="00FF22EF" w:rsidRPr="008A06F2">
        <w:rPr>
          <w:rStyle w:val="lev"/>
          <w:rFonts w:ascii="Arial" w:hAnsi="Arial" w:cs="Arial"/>
        </w:rPr>
        <w:t> </w:t>
      </w:r>
      <w:r w:rsidRPr="008A06F2">
        <w:rPr>
          <w:rStyle w:val="lev"/>
          <w:rFonts w:ascii="Arial" w:hAnsi="Arial" w:cs="Arial"/>
        </w:rPr>
        <w:t>2018</w:t>
      </w:r>
      <w:r w:rsidR="00FF22EF" w:rsidRPr="008A06F2">
        <w:rPr>
          <w:rFonts w:ascii="Arial" w:hAnsi="Arial" w:cs="Arial"/>
        </w:rPr>
        <w:t> </w:t>
      </w:r>
      <w:r w:rsidRPr="008A06F2">
        <w:rPr>
          <w:rFonts w:ascii="Arial" w:hAnsi="Arial" w:cs="Arial"/>
        </w:rPr>
        <w:t>:</w:t>
      </w:r>
    </w:p>
    <w:p w14:paraId="3832B914" w14:textId="77777777" w:rsidR="008900D7" w:rsidRPr="008A06F2" w:rsidRDefault="00730A01" w:rsidP="000E72C3">
      <w:pPr>
        <w:pStyle w:val="NormalWeb"/>
        <w:spacing w:after="100" w:afterAutospacing="1"/>
        <w:ind w:left="709"/>
        <w:jc w:val="both"/>
        <w:rPr>
          <w:rFonts w:ascii="Arial" w:hAnsi="Arial" w:cs="Arial"/>
        </w:rPr>
      </w:pPr>
      <w:r w:rsidRPr="008A06F2">
        <w:rPr>
          <w:rFonts w:ascii="Arial" w:hAnsi="Arial" w:cs="Arial"/>
        </w:rPr>
        <w:t>Courriel de Giroux aux commanditaires faisant état d’une demande pour «</w:t>
      </w:r>
      <w:r w:rsidRPr="008A06F2">
        <w:rPr>
          <w:rFonts w:ascii="Arial" w:hAnsi="Arial" w:cs="Arial"/>
          <w:b/>
          <w:bCs/>
        </w:rPr>
        <w:t> </w:t>
      </w:r>
      <w:r w:rsidRPr="008A06F2">
        <w:rPr>
          <w:rStyle w:val="lev"/>
          <w:rFonts w:ascii="Arial" w:hAnsi="Arial" w:cs="Arial"/>
          <w:b w:val="0"/>
          <w:bCs w:val="0"/>
        </w:rPr>
        <w:t>les projets de Stéphan</w:t>
      </w:r>
      <w:r w:rsidR="008A06F2" w:rsidRPr="008A06F2">
        <w:rPr>
          <w:rStyle w:val="lev"/>
          <w:rFonts w:ascii="Arial" w:hAnsi="Arial" w:cs="Arial"/>
          <w:b w:val="0"/>
          <w:bCs w:val="0"/>
        </w:rPr>
        <w:t> </w:t>
      </w:r>
      <w:r w:rsidRPr="008A06F2">
        <w:rPr>
          <w:rFonts w:ascii="Arial" w:hAnsi="Arial" w:cs="Arial"/>
        </w:rPr>
        <w:t>»</w:t>
      </w:r>
      <w:r>
        <w:rPr>
          <w:rStyle w:val="Appelnotedebasdep"/>
          <w:rFonts w:ascii="Arial" w:hAnsi="Arial" w:cs="Arial"/>
        </w:rPr>
        <w:footnoteReference w:id="523"/>
      </w:r>
      <w:r w:rsidRPr="008A06F2">
        <w:rPr>
          <w:rFonts w:ascii="Arial" w:hAnsi="Arial" w:cs="Arial"/>
        </w:rPr>
        <w:t>.</w:t>
      </w:r>
    </w:p>
    <w:p w14:paraId="0CF30EB5" w14:textId="77777777" w:rsidR="008A06F2" w:rsidRDefault="00730A01" w:rsidP="0042740E">
      <w:pPr>
        <w:pStyle w:val="NormalWeb"/>
        <w:numPr>
          <w:ilvl w:val="1"/>
          <w:numId w:val="23"/>
        </w:numPr>
        <w:spacing w:before="100" w:beforeAutospacing="1" w:after="120"/>
        <w:ind w:left="568" w:hanging="284"/>
        <w:jc w:val="both"/>
        <w:rPr>
          <w:rFonts w:ascii="Arial" w:hAnsi="Arial" w:cs="Arial"/>
        </w:rPr>
      </w:pPr>
      <w:r w:rsidRPr="00960F75">
        <w:rPr>
          <w:rStyle w:val="lev"/>
          <w:rFonts w:ascii="Arial" w:hAnsi="Arial" w:cs="Arial"/>
        </w:rPr>
        <w:t>Avance de fonds au montant de 2,5</w:t>
      </w:r>
      <w:r w:rsidR="00A65675">
        <w:rPr>
          <w:rStyle w:val="lev"/>
          <w:rFonts w:ascii="Arial" w:hAnsi="Arial" w:cs="Arial"/>
        </w:rPr>
        <w:t> </w:t>
      </w:r>
      <w:r w:rsidRPr="00960F75">
        <w:rPr>
          <w:rStyle w:val="lev"/>
          <w:rFonts w:ascii="Arial" w:hAnsi="Arial" w:cs="Arial"/>
        </w:rPr>
        <w:t>M$ de septembre</w:t>
      </w:r>
      <w:r>
        <w:rPr>
          <w:rStyle w:val="lev"/>
          <w:rFonts w:ascii="Arial" w:hAnsi="Arial" w:cs="Arial"/>
        </w:rPr>
        <w:t> </w:t>
      </w:r>
      <w:r w:rsidRPr="00960F75">
        <w:rPr>
          <w:rStyle w:val="lev"/>
          <w:rFonts w:ascii="Arial" w:hAnsi="Arial" w:cs="Arial"/>
        </w:rPr>
        <w:t>2018</w:t>
      </w:r>
      <w:r>
        <w:rPr>
          <w:rFonts w:ascii="Arial" w:hAnsi="Arial" w:cs="Arial"/>
        </w:rPr>
        <w:t> </w:t>
      </w:r>
      <w:r w:rsidRPr="00960F75">
        <w:rPr>
          <w:rFonts w:ascii="Arial" w:hAnsi="Arial" w:cs="Arial"/>
        </w:rPr>
        <w:t>:</w:t>
      </w:r>
      <w:r>
        <w:rPr>
          <w:rFonts w:ascii="Arial" w:hAnsi="Arial" w:cs="Arial"/>
        </w:rPr>
        <w:t> </w:t>
      </w:r>
    </w:p>
    <w:p w14:paraId="6387F272" w14:textId="77777777" w:rsidR="008900D7" w:rsidRDefault="00730A01" w:rsidP="000E72C3">
      <w:pPr>
        <w:pStyle w:val="NormalWeb"/>
        <w:spacing w:after="100" w:afterAutospacing="1"/>
        <w:ind w:left="567"/>
        <w:jc w:val="both"/>
        <w:rPr>
          <w:rFonts w:ascii="Arial" w:hAnsi="Arial" w:cs="Arial"/>
        </w:rPr>
      </w:pPr>
      <w:r w:rsidRPr="00960F75">
        <w:rPr>
          <w:rFonts w:ascii="Arial" w:hAnsi="Arial" w:cs="Arial"/>
        </w:rPr>
        <w:t xml:space="preserve">Courriel de Giroux aux commanditaires faisant état d’une demande pour mise de fonds pour le projet </w:t>
      </w:r>
      <w:r w:rsidRPr="008A06F2">
        <w:rPr>
          <w:rStyle w:val="lev"/>
          <w:rFonts w:ascii="Arial" w:hAnsi="Arial" w:cs="Arial"/>
          <w:b w:val="0"/>
          <w:bCs w:val="0"/>
        </w:rPr>
        <w:t>7</w:t>
      </w:r>
      <w:r w:rsidR="00AD4803">
        <w:rPr>
          <w:rStyle w:val="lev"/>
          <w:rFonts w:ascii="Arial" w:hAnsi="Arial" w:cs="Arial"/>
          <w:b w:val="0"/>
          <w:bCs w:val="0"/>
        </w:rPr>
        <w:t> </w:t>
      </w:r>
      <w:r w:rsidRPr="008A06F2">
        <w:rPr>
          <w:rStyle w:val="lev"/>
          <w:rFonts w:ascii="Arial" w:hAnsi="Arial" w:cs="Arial"/>
          <w:b w:val="0"/>
          <w:bCs w:val="0"/>
        </w:rPr>
        <w:t>Éléments Phase</w:t>
      </w:r>
      <w:r w:rsidR="00AD4803">
        <w:rPr>
          <w:rStyle w:val="lev"/>
          <w:rFonts w:ascii="Arial" w:hAnsi="Arial" w:cs="Arial"/>
          <w:b w:val="0"/>
          <w:bCs w:val="0"/>
        </w:rPr>
        <w:t> </w:t>
      </w:r>
      <w:r w:rsidRPr="008A06F2">
        <w:rPr>
          <w:rStyle w:val="lev"/>
          <w:rFonts w:ascii="Arial" w:hAnsi="Arial" w:cs="Arial"/>
          <w:b w:val="0"/>
          <w:bCs w:val="0"/>
        </w:rPr>
        <w:t>6</w:t>
      </w:r>
      <w:r>
        <w:rPr>
          <w:rStyle w:val="Appelnotedebasdep"/>
          <w:rFonts w:ascii="Arial" w:hAnsi="Arial" w:cs="Arial"/>
        </w:rPr>
        <w:footnoteReference w:id="524"/>
      </w:r>
      <w:r w:rsidRPr="00960F75">
        <w:rPr>
          <w:rStyle w:val="lev"/>
          <w:rFonts w:ascii="Arial" w:hAnsi="Arial" w:cs="Arial"/>
          <w:b w:val="0"/>
          <w:bCs w:val="0"/>
        </w:rPr>
        <w:t>.</w:t>
      </w:r>
    </w:p>
    <w:p w14:paraId="716CDE32" w14:textId="77777777" w:rsidR="008A06F2" w:rsidRDefault="00730A01" w:rsidP="0042740E">
      <w:pPr>
        <w:pStyle w:val="NormalWeb"/>
        <w:numPr>
          <w:ilvl w:val="1"/>
          <w:numId w:val="23"/>
        </w:numPr>
        <w:spacing w:before="100" w:beforeAutospacing="1" w:after="120"/>
        <w:ind w:left="568" w:hanging="284"/>
        <w:jc w:val="both"/>
        <w:rPr>
          <w:rFonts w:ascii="Arial" w:hAnsi="Arial" w:cs="Arial"/>
        </w:rPr>
      </w:pPr>
      <w:r w:rsidRPr="00960F75">
        <w:rPr>
          <w:rStyle w:val="lev"/>
          <w:rFonts w:ascii="Arial" w:hAnsi="Arial" w:cs="Arial"/>
        </w:rPr>
        <w:t>Avance de fonds au montant de 2 M$ en novembre</w:t>
      </w:r>
      <w:r>
        <w:rPr>
          <w:rStyle w:val="lev"/>
          <w:rFonts w:ascii="Arial" w:hAnsi="Arial" w:cs="Arial"/>
        </w:rPr>
        <w:t> </w:t>
      </w:r>
      <w:r w:rsidRPr="00960F75">
        <w:rPr>
          <w:rStyle w:val="lev"/>
          <w:rFonts w:ascii="Arial" w:hAnsi="Arial" w:cs="Arial"/>
        </w:rPr>
        <w:t>2018</w:t>
      </w:r>
      <w:r>
        <w:rPr>
          <w:rFonts w:ascii="Arial" w:hAnsi="Arial" w:cs="Arial"/>
        </w:rPr>
        <w:t> </w:t>
      </w:r>
      <w:r w:rsidRPr="00960F75">
        <w:rPr>
          <w:rFonts w:ascii="Arial" w:hAnsi="Arial" w:cs="Arial"/>
        </w:rPr>
        <w:t>:</w:t>
      </w:r>
    </w:p>
    <w:p w14:paraId="78951BBF" w14:textId="77777777" w:rsidR="008900D7" w:rsidRPr="00960F75" w:rsidRDefault="00730A01" w:rsidP="000E72C3">
      <w:pPr>
        <w:pStyle w:val="NormalWeb"/>
        <w:spacing w:after="100" w:afterAutospacing="1"/>
        <w:ind w:left="567"/>
        <w:jc w:val="both"/>
        <w:rPr>
          <w:rFonts w:ascii="Arial" w:hAnsi="Arial" w:cs="Arial"/>
        </w:rPr>
      </w:pPr>
      <w:r w:rsidRPr="00960F75">
        <w:rPr>
          <w:rFonts w:ascii="Arial" w:hAnsi="Arial" w:cs="Arial"/>
        </w:rPr>
        <w:t>Courriel de Giroux aux commanditaires faisant état d’une demande pour escompte sur les comptes fournisseurs, les sommes excédentaires devant être injectées dans le flux monétaire de FIISH</w:t>
      </w:r>
      <w:r>
        <w:rPr>
          <w:rStyle w:val="Appelnotedebasdep"/>
          <w:rFonts w:ascii="Arial" w:hAnsi="Arial" w:cs="Arial"/>
        </w:rPr>
        <w:footnoteReference w:id="525"/>
      </w:r>
      <w:r w:rsidRPr="00960F75">
        <w:rPr>
          <w:rFonts w:ascii="Arial" w:hAnsi="Arial" w:cs="Arial"/>
        </w:rPr>
        <w:t>.</w:t>
      </w:r>
    </w:p>
    <w:p w14:paraId="0B566AB2" w14:textId="77777777" w:rsidR="008A06F2" w:rsidRDefault="00730A01" w:rsidP="0042740E">
      <w:pPr>
        <w:pStyle w:val="NormalWeb"/>
        <w:numPr>
          <w:ilvl w:val="1"/>
          <w:numId w:val="23"/>
        </w:numPr>
        <w:spacing w:before="100" w:beforeAutospacing="1" w:after="120"/>
        <w:ind w:left="568" w:hanging="284"/>
        <w:jc w:val="both"/>
        <w:rPr>
          <w:rFonts w:ascii="Arial" w:hAnsi="Arial" w:cs="Arial"/>
        </w:rPr>
      </w:pPr>
      <w:r w:rsidRPr="00113395">
        <w:rPr>
          <w:rStyle w:val="lev"/>
          <w:rFonts w:ascii="Arial" w:hAnsi="Arial" w:cs="Arial"/>
        </w:rPr>
        <w:t>Avance de fonds au montant de 21,7</w:t>
      </w:r>
      <w:r>
        <w:rPr>
          <w:rStyle w:val="lev"/>
          <w:rFonts w:ascii="Arial" w:hAnsi="Arial" w:cs="Arial"/>
        </w:rPr>
        <w:t> </w:t>
      </w:r>
      <w:r w:rsidRPr="00113395">
        <w:rPr>
          <w:rStyle w:val="lev"/>
          <w:rFonts w:ascii="Arial" w:hAnsi="Arial" w:cs="Arial"/>
        </w:rPr>
        <w:t>M$ en juillet</w:t>
      </w:r>
      <w:r>
        <w:rPr>
          <w:rStyle w:val="lev"/>
          <w:rFonts w:ascii="Arial" w:hAnsi="Arial" w:cs="Arial"/>
        </w:rPr>
        <w:t> </w:t>
      </w:r>
      <w:r w:rsidRPr="00113395">
        <w:rPr>
          <w:rStyle w:val="lev"/>
          <w:rFonts w:ascii="Arial" w:hAnsi="Arial" w:cs="Arial"/>
        </w:rPr>
        <w:t>2019</w:t>
      </w:r>
      <w:r>
        <w:rPr>
          <w:rFonts w:ascii="Arial" w:hAnsi="Arial" w:cs="Arial"/>
        </w:rPr>
        <w:t> </w:t>
      </w:r>
      <w:r w:rsidRPr="00113395">
        <w:rPr>
          <w:rFonts w:ascii="Arial" w:hAnsi="Arial" w:cs="Arial"/>
        </w:rPr>
        <w:t>:</w:t>
      </w:r>
    </w:p>
    <w:p w14:paraId="0D47EF55" w14:textId="77777777" w:rsidR="008900D7" w:rsidRPr="00960F75" w:rsidRDefault="00730A01" w:rsidP="000E72C3">
      <w:pPr>
        <w:pStyle w:val="NormalWeb"/>
        <w:spacing w:after="100" w:afterAutospacing="1"/>
        <w:ind w:left="567"/>
        <w:jc w:val="both"/>
        <w:rPr>
          <w:rFonts w:ascii="Arial" w:hAnsi="Arial" w:cs="Arial"/>
        </w:rPr>
      </w:pPr>
      <w:r w:rsidRPr="00113395">
        <w:rPr>
          <w:rFonts w:ascii="Arial" w:hAnsi="Arial" w:cs="Arial"/>
        </w:rPr>
        <w:t xml:space="preserve">Courriel de St-Gelais aux commanditaires faisant état d’une demande </w:t>
      </w:r>
      <w:r w:rsidRPr="00960F75">
        <w:rPr>
          <w:rFonts w:ascii="Arial" w:hAnsi="Arial" w:cs="Arial"/>
        </w:rPr>
        <w:t>pour remboursement du financement Douville Moffet (11,5 M$)</w:t>
      </w:r>
      <w:r>
        <w:rPr>
          <w:rStyle w:val="Appelnotedebasdep"/>
          <w:rFonts w:ascii="Arial" w:hAnsi="Arial" w:cs="Arial"/>
        </w:rPr>
        <w:footnoteReference w:id="526"/>
      </w:r>
      <w:r w:rsidRPr="00960F75">
        <w:rPr>
          <w:rFonts w:ascii="Arial" w:hAnsi="Arial" w:cs="Arial"/>
          <w:bCs/>
        </w:rPr>
        <w:t>.</w:t>
      </w:r>
    </w:p>
    <w:p w14:paraId="1BB539FE" w14:textId="77777777" w:rsidR="008900D7" w:rsidRPr="00960F75" w:rsidRDefault="00730A01" w:rsidP="000E72C3">
      <w:pPr>
        <w:pStyle w:val="NormalWeb"/>
        <w:spacing w:before="100" w:beforeAutospacing="1" w:after="100" w:afterAutospacing="1"/>
        <w:ind w:left="567" w:hanging="283"/>
        <w:jc w:val="both"/>
        <w:rPr>
          <w:rFonts w:ascii="Arial" w:hAnsi="Arial" w:cs="Arial"/>
        </w:rPr>
      </w:pPr>
      <w:r w:rsidRPr="00960F75">
        <w:rPr>
          <w:rFonts w:ascii="Arial" w:hAnsi="Arial" w:cs="Arial"/>
          <w:bCs/>
        </w:rPr>
        <w:t>…et voici les défauts liés à ces avances de fonds, selon ce que le Tribunal retient de la preuve :</w:t>
      </w:r>
      <w:r w:rsidRPr="00960F75">
        <w:rPr>
          <w:rFonts w:cs="Arial"/>
          <w:bCs/>
        </w:rPr>
        <w:t xml:space="preserve">  </w:t>
      </w:r>
    </w:p>
    <w:p w14:paraId="127E7BE6" w14:textId="77777777" w:rsidR="008900D7" w:rsidRPr="00C12315" w:rsidRDefault="00730A01" w:rsidP="000E72C3">
      <w:pPr>
        <w:pStyle w:val="Titre3"/>
        <w:numPr>
          <w:ilvl w:val="2"/>
          <w:numId w:val="6"/>
        </w:numPr>
        <w:ind w:left="284" w:hanging="284"/>
        <w:jc w:val="both"/>
        <w:rPr>
          <w:rFonts w:cs="Arial"/>
          <w:b/>
          <w:szCs w:val="24"/>
        </w:rPr>
      </w:pPr>
      <w:bookmarkStart w:id="198" w:name="_Toc210992341"/>
      <w:bookmarkStart w:id="199" w:name="_Toc211495278"/>
      <w:bookmarkStart w:id="200" w:name="_Toc211600686"/>
      <w:r w:rsidRPr="00C12315">
        <w:rPr>
          <w:rFonts w:cs="Arial"/>
          <w:b/>
          <w:szCs w:val="24"/>
        </w:rPr>
        <w:t>Les défauts de respecter la convention de société en commandite</w:t>
      </w:r>
      <w:r>
        <w:rPr>
          <w:rStyle w:val="Appelnotedebasdep"/>
          <w:rFonts w:cs="Arial"/>
          <w:bCs/>
          <w:szCs w:val="24"/>
        </w:rPr>
        <w:footnoteReference w:id="527"/>
      </w:r>
      <w:bookmarkEnd w:id="198"/>
      <w:bookmarkEnd w:id="199"/>
      <w:bookmarkEnd w:id="200"/>
    </w:p>
    <w:p w14:paraId="1963E9FE" w14:textId="77777777" w:rsidR="00A94507" w:rsidRPr="00A94507" w:rsidRDefault="00730A01" w:rsidP="0042740E">
      <w:pPr>
        <w:pStyle w:val="NormalWeb"/>
        <w:numPr>
          <w:ilvl w:val="1"/>
          <w:numId w:val="23"/>
        </w:numPr>
        <w:spacing w:before="100" w:beforeAutospacing="1"/>
        <w:ind w:left="567" w:hanging="283"/>
        <w:jc w:val="both"/>
        <w:rPr>
          <w:rFonts w:ascii="Arial" w:hAnsi="Arial" w:cs="Arial"/>
        </w:rPr>
      </w:pPr>
      <w:r w:rsidRPr="00A94507">
        <w:rPr>
          <w:rFonts w:ascii="Arial" w:hAnsi="Arial" w:cs="Arial"/>
        </w:rPr>
        <w:t>Défaut de protéger ses actifs (art.</w:t>
      </w:r>
      <w:r w:rsidR="00AD4803">
        <w:rPr>
          <w:rFonts w:ascii="Arial" w:hAnsi="Arial" w:cs="Arial"/>
        </w:rPr>
        <w:t> </w:t>
      </w:r>
      <w:r w:rsidRPr="00A94507">
        <w:rPr>
          <w:rFonts w:ascii="Arial" w:hAnsi="Arial" w:cs="Arial"/>
        </w:rPr>
        <w:t>2.5.3);</w:t>
      </w:r>
    </w:p>
    <w:p w14:paraId="29147B09" w14:textId="77777777" w:rsidR="00A94507" w:rsidRPr="00A94507" w:rsidRDefault="00730A01" w:rsidP="0042740E">
      <w:pPr>
        <w:pStyle w:val="NormalWeb"/>
        <w:numPr>
          <w:ilvl w:val="1"/>
          <w:numId w:val="23"/>
        </w:numPr>
        <w:spacing w:before="100" w:beforeAutospacing="1"/>
        <w:ind w:left="567" w:hanging="283"/>
        <w:jc w:val="both"/>
        <w:rPr>
          <w:rFonts w:ascii="Arial" w:hAnsi="Arial" w:cs="Arial"/>
        </w:rPr>
      </w:pPr>
      <w:r w:rsidRPr="00A94507">
        <w:rPr>
          <w:rFonts w:ascii="Arial" w:hAnsi="Arial" w:cs="Arial"/>
        </w:rPr>
        <w:t>Défaut de respecter l’obligation de loyauté et de dévouement du commandité (art.</w:t>
      </w:r>
      <w:r w:rsidR="00AD4803">
        <w:rPr>
          <w:rFonts w:ascii="Arial" w:hAnsi="Arial" w:cs="Arial"/>
        </w:rPr>
        <w:t> </w:t>
      </w:r>
      <w:r w:rsidRPr="00A94507">
        <w:rPr>
          <w:rFonts w:ascii="Arial" w:hAnsi="Arial" w:cs="Arial"/>
        </w:rPr>
        <w:t>8.4);</w:t>
      </w:r>
    </w:p>
    <w:p w14:paraId="11C0BFDF" w14:textId="77777777" w:rsidR="00A94507" w:rsidRPr="00A94507" w:rsidRDefault="00730A01" w:rsidP="0042740E">
      <w:pPr>
        <w:pStyle w:val="NormalWeb"/>
        <w:numPr>
          <w:ilvl w:val="1"/>
          <w:numId w:val="23"/>
        </w:numPr>
        <w:spacing w:before="100" w:beforeAutospacing="1"/>
        <w:ind w:left="567" w:hanging="283"/>
        <w:jc w:val="both"/>
        <w:rPr>
          <w:rFonts w:ascii="Arial" w:hAnsi="Arial" w:cs="Arial"/>
        </w:rPr>
      </w:pPr>
      <w:r w:rsidRPr="00A94507">
        <w:rPr>
          <w:rFonts w:ascii="Arial" w:hAnsi="Arial" w:cs="Arial"/>
        </w:rPr>
        <w:t>Défaut d’aviser par écrit les commanditaires e l’existence des défauts d’Huot aux termes des conventions de financement (art.</w:t>
      </w:r>
      <w:r w:rsidR="00AD4803">
        <w:rPr>
          <w:rFonts w:ascii="Arial" w:hAnsi="Arial" w:cs="Arial"/>
        </w:rPr>
        <w:t> </w:t>
      </w:r>
      <w:r w:rsidRPr="00A94507">
        <w:rPr>
          <w:rFonts w:ascii="Arial" w:hAnsi="Arial" w:cs="Arial"/>
        </w:rPr>
        <w:t>10.3);</w:t>
      </w:r>
    </w:p>
    <w:p w14:paraId="2A8D78F3" w14:textId="77777777" w:rsidR="008900D7" w:rsidRPr="00A94507" w:rsidRDefault="00730A01" w:rsidP="0042740E">
      <w:pPr>
        <w:pStyle w:val="NormalWeb"/>
        <w:numPr>
          <w:ilvl w:val="1"/>
          <w:numId w:val="23"/>
        </w:numPr>
        <w:spacing w:before="100" w:beforeAutospacing="1"/>
        <w:ind w:left="567" w:hanging="283"/>
        <w:jc w:val="both"/>
        <w:rPr>
          <w:rFonts w:ascii="Arial" w:hAnsi="Arial" w:cs="Arial"/>
        </w:rPr>
      </w:pPr>
      <w:r w:rsidRPr="00A94507">
        <w:rPr>
          <w:rFonts w:ascii="Arial" w:hAnsi="Arial" w:cs="Arial"/>
        </w:rPr>
        <w:t>Défaut résultant des déboursés additionnels effectués alors que le ratio d’équité n’était pas respecté (stratégie de prêt (Annexe</w:t>
      </w:r>
      <w:r w:rsidR="00AD4803">
        <w:rPr>
          <w:rFonts w:ascii="Arial" w:hAnsi="Arial" w:cs="Arial"/>
        </w:rPr>
        <w:t> </w:t>
      </w:r>
      <w:r w:rsidRPr="00A94507">
        <w:rPr>
          <w:rFonts w:ascii="Arial" w:hAnsi="Arial" w:cs="Arial"/>
        </w:rPr>
        <w:t>A, par.</w:t>
      </w:r>
      <w:r w:rsidR="00AD4803">
        <w:rPr>
          <w:rFonts w:ascii="Arial" w:hAnsi="Arial" w:cs="Arial"/>
        </w:rPr>
        <w:t> </w:t>
      </w:r>
      <w:r w:rsidRPr="00A94507">
        <w:rPr>
          <w:rFonts w:ascii="Arial" w:hAnsi="Arial" w:cs="Arial"/>
        </w:rPr>
        <w:t>3)) :</w:t>
      </w:r>
    </w:p>
    <w:p w14:paraId="1065B8D4" w14:textId="77777777" w:rsidR="008900D7" w:rsidRPr="008A06F2" w:rsidRDefault="00730A01" w:rsidP="00443B59">
      <w:pPr>
        <w:pStyle w:val="Citationenretrait"/>
        <w:numPr>
          <w:ilvl w:val="0"/>
          <w:numId w:val="65"/>
        </w:numPr>
        <w:ind w:left="851" w:right="0" w:hanging="283"/>
        <w:rPr>
          <w:szCs w:val="22"/>
        </w:rPr>
      </w:pPr>
      <w:r w:rsidRPr="008A06F2">
        <w:rPr>
          <w:szCs w:val="22"/>
        </w:rPr>
        <w:t>À partir de juillet</w:t>
      </w:r>
      <w:r w:rsidR="00AD4803">
        <w:rPr>
          <w:szCs w:val="22"/>
        </w:rPr>
        <w:t> </w:t>
      </w:r>
      <w:r w:rsidRPr="008A06F2">
        <w:rPr>
          <w:szCs w:val="22"/>
        </w:rPr>
        <w:t>2019, une avance de 21,7 M$ a été effectuée et le prêt FIISH a atteint 96,7 M$. La « Garantie Fonds Investissement » était alors établie à 96 M$</w:t>
      </w:r>
      <w:r>
        <w:rPr>
          <w:rStyle w:val="Appelnotedebasdep"/>
          <w:rFonts w:cs="Arial"/>
          <w:szCs w:val="22"/>
        </w:rPr>
        <w:footnoteReference w:id="528"/>
      </w:r>
      <w:r w:rsidRPr="008A06F2">
        <w:rPr>
          <w:szCs w:val="22"/>
        </w:rPr>
        <w:t>;</w:t>
      </w:r>
    </w:p>
    <w:p w14:paraId="2970597C" w14:textId="77777777" w:rsidR="008900D7" w:rsidRPr="008A06F2" w:rsidRDefault="00730A01" w:rsidP="00443B59">
      <w:pPr>
        <w:pStyle w:val="Citationenretrait"/>
        <w:numPr>
          <w:ilvl w:val="0"/>
          <w:numId w:val="65"/>
        </w:numPr>
        <w:ind w:left="851" w:right="0" w:hanging="283"/>
        <w:rPr>
          <w:szCs w:val="22"/>
        </w:rPr>
      </w:pPr>
      <w:r w:rsidRPr="008A06F2">
        <w:rPr>
          <w:szCs w:val="22"/>
        </w:rPr>
        <w:t>En décembre</w:t>
      </w:r>
      <w:r w:rsidR="00AD4803">
        <w:rPr>
          <w:szCs w:val="22"/>
        </w:rPr>
        <w:t> </w:t>
      </w:r>
      <w:r w:rsidRPr="008A06F2">
        <w:rPr>
          <w:szCs w:val="22"/>
        </w:rPr>
        <w:t>2019, le montant du prêt FIISH était de 95,3 M$, alors que la « Garantie Fonds Investissement » était établie à 93,7 M$</w:t>
      </w:r>
      <w:r>
        <w:rPr>
          <w:rStyle w:val="Appelnotedebasdep"/>
          <w:rFonts w:cs="Arial"/>
          <w:szCs w:val="22"/>
        </w:rPr>
        <w:footnoteReference w:id="529"/>
      </w:r>
      <w:r w:rsidRPr="008A06F2">
        <w:rPr>
          <w:szCs w:val="22"/>
        </w:rPr>
        <w:t>;</w:t>
      </w:r>
    </w:p>
    <w:p w14:paraId="5625B3ED" w14:textId="77777777" w:rsidR="008900D7" w:rsidRPr="008A06F2" w:rsidRDefault="00730A01" w:rsidP="00443B59">
      <w:pPr>
        <w:pStyle w:val="Citationenretrait"/>
        <w:numPr>
          <w:ilvl w:val="0"/>
          <w:numId w:val="65"/>
        </w:numPr>
        <w:ind w:left="851" w:right="0" w:hanging="283"/>
        <w:rPr>
          <w:szCs w:val="22"/>
        </w:rPr>
      </w:pPr>
      <w:r w:rsidRPr="008A06F2">
        <w:rPr>
          <w:szCs w:val="22"/>
        </w:rPr>
        <w:t>Les surplus de trésoreries découlant des opérations du Groupe Huot étaient nettement insuffisants pour payer les intérêts et frais de FIISH de 2017 à 2022</w:t>
      </w:r>
      <w:r>
        <w:rPr>
          <w:rStyle w:val="Appelnotedebasdep"/>
          <w:rFonts w:cs="Arial"/>
          <w:szCs w:val="22"/>
        </w:rPr>
        <w:footnoteReference w:id="530"/>
      </w:r>
      <w:r w:rsidRPr="008A06F2">
        <w:rPr>
          <w:szCs w:val="22"/>
        </w:rPr>
        <w:t>;</w:t>
      </w:r>
    </w:p>
    <w:p w14:paraId="7F7468AE" w14:textId="77777777" w:rsidR="008900D7" w:rsidRPr="00AD4803" w:rsidRDefault="00730A01" w:rsidP="00443B59">
      <w:pPr>
        <w:pStyle w:val="Citationenretrait"/>
        <w:numPr>
          <w:ilvl w:val="0"/>
          <w:numId w:val="65"/>
        </w:numPr>
        <w:ind w:left="567" w:right="0" w:hanging="283"/>
        <w:rPr>
          <w:sz w:val="24"/>
          <w:szCs w:val="24"/>
        </w:rPr>
      </w:pPr>
      <w:r w:rsidRPr="00AD4803">
        <w:rPr>
          <w:sz w:val="24"/>
          <w:szCs w:val="24"/>
        </w:rPr>
        <w:t>De plus, de 2017 à 2022, Huot était incapable de payer les frais et intérêts du prêt FIISH et devait donc s’endetter davantage pour les payer</w:t>
      </w:r>
      <w:r>
        <w:rPr>
          <w:rStyle w:val="Appelnotedebasdep"/>
          <w:rFonts w:cs="Arial"/>
          <w:bCs/>
          <w:sz w:val="24"/>
          <w:szCs w:val="24"/>
        </w:rPr>
        <w:footnoteReference w:id="531"/>
      </w:r>
      <w:r w:rsidRPr="00AD4803">
        <w:rPr>
          <w:sz w:val="24"/>
          <w:szCs w:val="24"/>
        </w:rPr>
        <w:t>.</w:t>
      </w:r>
    </w:p>
    <w:p w14:paraId="2FE0D665" w14:textId="77777777" w:rsidR="008900D7" w:rsidRDefault="00730A01" w:rsidP="004C34E4">
      <w:pPr>
        <w:pStyle w:val="Titre3"/>
        <w:numPr>
          <w:ilvl w:val="2"/>
          <w:numId w:val="6"/>
        </w:numPr>
        <w:ind w:left="284" w:hanging="284"/>
        <w:jc w:val="both"/>
        <w:rPr>
          <w:b/>
          <w:bCs/>
          <w:u w:val="single"/>
        </w:rPr>
      </w:pPr>
      <w:bookmarkStart w:id="201" w:name="_Toc210992342"/>
      <w:bookmarkStart w:id="202" w:name="_Toc211495279"/>
      <w:bookmarkStart w:id="203" w:name="_Toc211600687"/>
      <w:r w:rsidRPr="00E9095D">
        <w:rPr>
          <w:b/>
          <w:bCs/>
        </w:rPr>
        <w:t>Les défauts de respecter la convention de prêt</w:t>
      </w:r>
      <w:r w:rsidR="00AD4803">
        <w:rPr>
          <w:b/>
          <w:bCs/>
        </w:rPr>
        <w:t> </w:t>
      </w:r>
      <w:r w:rsidRPr="00E9095D">
        <w:rPr>
          <w:b/>
          <w:bCs/>
        </w:rPr>
        <w:t>2017</w:t>
      </w:r>
      <w:r>
        <w:rPr>
          <w:rStyle w:val="Appelnotedebasdep"/>
        </w:rPr>
        <w:footnoteReference w:id="532"/>
      </w:r>
      <w:r w:rsidRPr="00E9095D">
        <w:rPr>
          <w:b/>
          <w:bCs/>
        </w:rPr>
        <w:t xml:space="preserve"> et la convention de prêt additionnel</w:t>
      </w:r>
      <w:r w:rsidR="00AD4803">
        <w:rPr>
          <w:b/>
          <w:bCs/>
        </w:rPr>
        <w:t> </w:t>
      </w:r>
      <w:r w:rsidRPr="00E9095D">
        <w:rPr>
          <w:b/>
          <w:bCs/>
        </w:rPr>
        <w:t>2019</w:t>
      </w:r>
      <w:r>
        <w:rPr>
          <w:rStyle w:val="Appelnotedebasdep"/>
        </w:rPr>
        <w:footnoteReference w:id="533"/>
      </w:r>
      <w:bookmarkEnd w:id="201"/>
      <w:bookmarkEnd w:id="202"/>
      <w:bookmarkEnd w:id="203"/>
    </w:p>
    <w:p w14:paraId="5F8DABD8" w14:textId="77777777" w:rsidR="008900D7" w:rsidRPr="009B6C47" w:rsidRDefault="00730A01" w:rsidP="004C34E4">
      <w:pPr>
        <w:pStyle w:val="Paragraphe"/>
        <w:numPr>
          <w:ilvl w:val="0"/>
          <w:numId w:val="0"/>
        </w:numPr>
        <w:spacing w:line="240" w:lineRule="auto"/>
        <w:ind w:left="284"/>
        <w:rPr>
          <w:rFonts w:cs="Arial"/>
          <w:b/>
          <w:szCs w:val="24"/>
        </w:rPr>
      </w:pPr>
      <w:r>
        <w:rPr>
          <w:rFonts w:cs="Arial"/>
          <w:bCs/>
          <w:szCs w:val="24"/>
        </w:rPr>
        <w:t>Les nouvelles mises de fonds de 21,7 M$ en juillet</w:t>
      </w:r>
      <w:r w:rsidR="00AD4803">
        <w:rPr>
          <w:rFonts w:cs="Arial"/>
          <w:bCs/>
          <w:szCs w:val="24"/>
        </w:rPr>
        <w:t> </w:t>
      </w:r>
      <w:r>
        <w:rPr>
          <w:rFonts w:cs="Arial"/>
          <w:bCs/>
          <w:szCs w:val="24"/>
        </w:rPr>
        <w:t>2021</w:t>
      </w:r>
      <w:r>
        <w:rPr>
          <w:rStyle w:val="Appelnotedebasdep"/>
          <w:rFonts w:cs="Arial"/>
          <w:bCs/>
          <w:szCs w:val="24"/>
        </w:rPr>
        <w:footnoteReference w:id="534"/>
      </w:r>
      <w:r>
        <w:rPr>
          <w:rFonts w:cs="Arial"/>
          <w:bCs/>
          <w:szCs w:val="24"/>
        </w:rPr>
        <w:t xml:space="preserve"> ont servi à :</w:t>
      </w:r>
    </w:p>
    <w:p w14:paraId="59065E6D" w14:textId="77777777" w:rsidR="00681E05" w:rsidRDefault="00730A01" w:rsidP="0042740E">
      <w:pPr>
        <w:pStyle w:val="NormalWeb"/>
        <w:numPr>
          <w:ilvl w:val="1"/>
          <w:numId w:val="23"/>
        </w:numPr>
        <w:spacing w:before="100" w:beforeAutospacing="1"/>
        <w:ind w:left="567" w:hanging="283"/>
        <w:jc w:val="both"/>
        <w:rPr>
          <w:rFonts w:ascii="Arial" w:hAnsi="Arial" w:cs="Arial"/>
          <w:bCs/>
        </w:rPr>
      </w:pPr>
      <w:r w:rsidRPr="00681E05">
        <w:rPr>
          <w:rFonts w:ascii="Arial" w:hAnsi="Arial" w:cs="Arial"/>
          <w:bCs/>
        </w:rPr>
        <w:t>Débours Giroux : payer 5,06 M$ à 6646 en frais de Giroux et en remboursement de prêts effectués à Huot portant intérêt au taux de 15 % l’an</w:t>
      </w:r>
      <w:r>
        <w:rPr>
          <w:rStyle w:val="Appelnotedebasdep"/>
          <w:rFonts w:ascii="Arial" w:hAnsi="Arial" w:cs="Arial"/>
          <w:bCs/>
        </w:rPr>
        <w:footnoteReference w:id="535"/>
      </w:r>
      <w:r w:rsidRPr="00681E05">
        <w:rPr>
          <w:rFonts w:ascii="Arial" w:hAnsi="Arial" w:cs="Arial"/>
          <w:b/>
        </w:rPr>
        <w:t xml:space="preserve"> </w:t>
      </w:r>
      <w:r w:rsidRPr="00681E05">
        <w:rPr>
          <w:rFonts w:ascii="Arial" w:hAnsi="Arial" w:cs="Arial"/>
          <w:bCs/>
        </w:rPr>
        <w:t>alors qu’Huot ne devait pas contracter un emprunt de nature à entraver le remboursement du Prêt</w:t>
      </w:r>
      <w:r>
        <w:rPr>
          <w:rStyle w:val="Appelnotedebasdep"/>
          <w:rFonts w:ascii="Arial" w:hAnsi="Arial" w:cs="Arial"/>
          <w:bCs/>
        </w:rPr>
        <w:footnoteReference w:id="536"/>
      </w:r>
      <w:r w:rsidRPr="00681E05">
        <w:rPr>
          <w:rFonts w:ascii="Arial" w:hAnsi="Arial" w:cs="Arial"/>
          <w:bCs/>
        </w:rPr>
        <w:t xml:space="preserve"> ou le ratio d’équité</w:t>
      </w:r>
      <w:r>
        <w:rPr>
          <w:rStyle w:val="Appelnotedebasdep"/>
          <w:rFonts w:ascii="Arial" w:hAnsi="Arial" w:cs="Arial"/>
          <w:bCs/>
        </w:rPr>
        <w:footnoteReference w:id="537"/>
      </w:r>
      <w:r w:rsidRPr="00681E05">
        <w:rPr>
          <w:rFonts w:ascii="Arial" w:hAnsi="Arial" w:cs="Arial"/>
          <w:bCs/>
        </w:rPr>
        <w:t xml:space="preserve"> et que le prêt devait être utilisé uniquement aux activités immobilières et versé uniquement à Huot immobilier</w:t>
      </w:r>
      <w:r>
        <w:rPr>
          <w:rStyle w:val="Appelnotedebasdep"/>
          <w:rFonts w:ascii="Arial" w:hAnsi="Arial" w:cs="Arial"/>
          <w:bCs/>
        </w:rPr>
        <w:footnoteReference w:id="538"/>
      </w:r>
      <w:r w:rsidRPr="00681E05">
        <w:rPr>
          <w:rFonts w:ascii="Arial" w:hAnsi="Arial" w:cs="Arial"/>
          <w:bCs/>
        </w:rPr>
        <w:t>.</w:t>
      </w:r>
    </w:p>
    <w:p w14:paraId="64615715" w14:textId="77777777" w:rsidR="008900D7" w:rsidRPr="00681E05" w:rsidRDefault="00730A01" w:rsidP="0042740E">
      <w:pPr>
        <w:pStyle w:val="NormalWeb"/>
        <w:numPr>
          <w:ilvl w:val="1"/>
          <w:numId w:val="23"/>
        </w:numPr>
        <w:spacing w:before="100" w:beforeAutospacing="1"/>
        <w:ind w:left="567" w:hanging="283"/>
        <w:jc w:val="both"/>
        <w:rPr>
          <w:rFonts w:ascii="Arial" w:hAnsi="Arial" w:cs="Arial"/>
          <w:bCs/>
        </w:rPr>
      </w:pPr>
      <w:r w:rsidRPr="00681E05">
        <w:rPr>
          <w:rFonts w:ascii="Arial" w:hAnsi="Arial" w:cs="Arial"/>
          <w:bCs/>
        </w:rPr>
        <w:t>Défaut résultant des déboursés additionnels et de l’augmentation du prêt au lieu d’exercer les recours prévus à la convention de prêt</w:t>
      </w:r>
      <w:r>
        <w:rPr>
          <w:rStyle w:val="Appelnotedebasdep"/>
          <w:rFonts w:ascii="Arial" w:hAnsi="Arial" w:cs="Arial"/>
          <w:bCs/>
        </w:rPr>
        <w:footnoteReference w:id="539"/>
      </w:r>
      <w:r w:rsidRPr="00681E05">
        <w:rPr>
          <w:rFonts w:ascii="Arial" w:hAnsi="Arial" w:cs="Arial"/>
          <w:bCs/>
        </w:rPr>
        <w:t xml:space="preserve"> alors que le défaut de paiement constitue un cas de défaut</w:t>
      </w:r>
      <w:r>
        <w:rPr>
          <w:rStyle w:val="Appelnotedebasdep"/>
          <w:rFonts w:ascii="Arial" w:hAnsi="Arial" w:cs="Arial"/>
          <w:bCs/>
        </w:rPr>
        <w:footnoteReference w:id="540"/>
      </w:r>
      <w:r w:rsidRPr="00681E05">
        <w:rPr>
          <w:rFonts w:ascii="Arial" w:hAnsi="Arial" w:cs="Arial"/>
          <w:bCs/>
        </w:rPr>
        <w:t>.</w:t>
      </w:r>
    </w:p>
    <w:p w14:paraId="0556B885" w14:textId="77777777" w:rsidR="008900D7" w:rsidRDefault="00730A01" w:rsidP="004C34E4">
      <w:pPr>
        <w:pStyle w:val="Paragraphe"/>
        <w:numPr>
          <w:ilvl w:val="0"/>
          <w:numId w:val="0"/>
        </w:numPr>
        <w:spacing w:line="240" w:lineRule="auto"/>
        <w:ind w:left="284"/>
        <w:rPr>
          <w:rFonts w:cs="Arial"/>
          <w:bCs/>
          <w:szCs w:val="24"/>
        </w:rPr>
      </w:pPr>
      <w:r>
        <w:rPr>
          <w:rFonts w:cs="Arial"/>
          <w:bCs/>
          <w:szCs w:val="24"/>
        </w:rPr>
        <w:t>De plus, Huot était également en défaut aux termes de la convention de prêt</w:t>
      </w:r>
      <w:r w:rsidR="00AD4803">
        <w:rPr>
          <w:rFonts w:cs="Arial"/>
          <w:bCs/>
          <w:szCs w:val="24"/>
        </w:rPr>
        <w:t> </w:t>
      </w:r>
      <w:r>
        <w:rPr>
          <w:rFonts w:cs="Arial"/>
          <w:bCs/>
          <w:szCs w:val="24"/>
        </w:rPr>
        <w:t>2017</w:t>
      </w:r>
      <w:r>
        <w:rPr>
          <w:rStyle w:val="Appelnotedebasdep"/>
          <w:rFonts w:cs="Arial"/>
          <w:bCs/>
          <w:szCs w:val="24"/>
        </w:rPr>
        <w:footnoteReference w:id="541"/>
      </w:r>
      <w:r w:rsidR="004C34E4">
        <w:rPr>
          <w:rFonts w:cs="Arial"/>
          <w:bCs/>
          <w:szCs w:val="24"/>
        </w:rPr>
        <w:t xml:space="preserve"> </w:t>
      </w:r>
      <w:r>
        <w:rPr>
          <w:rFonts w:cs="Arial"/>
          <w:bCs/>
          <w:szCs w:val="24"/>
        </w:rPr>
        <w:t>puisque ce dernier avait :</w:t>
      </w:r>
    </w:p>
    <w:p w14:paraId="6AF16B67" w14:textId="77777777" w:rsidR="008900D7" w:rsidRDefault="00730A01" w:rsidP="00443B59">
      <w:pPr>
        <w:pStyle w:val="Citationenretrait"/>
        <w:numPr>
          <w:ilvl w:val="0"/>
          <w:numId w:val="65"/>
        </w:numPr>
        <w:ind w:left="567" w:right="0" w:hanging="283"/>
        <w:rPr>
          <w:rFonts w:cs="Arial"/>
          <w:bCs/>
          <w:szCs w:val="24"/>
        </w:rPr>
      </w:pPr>
      <w:r w:rsidRPr="00681E05">
        <w:rPr>
          <w:rFonts w:cs="Arial"/>
          <w:bCs/>
          <w:szCs w:val="24"/>
        </w:rPr>
        <w:t>Contracté des prêts auprès de DMA et de Fiera sans avoir obtenu l’accord du prêteur</w:t>
      </w:r>
      <w:r>
        <w:rPr>
          <w:rStyle w:val="Appelnotedebasdep"/>
          <w:rFonts w:cs="Arial"/>
          <w:bCs/>
          <w:szCs w:val="24"/>
        </w:rPr>
        <w:footnoteReference w:id="542"/>
      </w:r>
      <w:r>
        <w:rPr>
          <w:rFonts w:cs="Arial"/>
          <w:b/>
          <w:szCs w:val="24"/>
        </w:rPr>
        <w:t xml:space="preserve"> </w:t>
      </w:r>
      <w:r>
        <w:rPr>
          <w:rFonts w:cs="Arial"/>
          <w:bCs/>
          <w:szCs w:val="24"/>
        </w:rPr>
        <w:t>en contravention des articles</w:t>
      </w:r>
      <w:r w:rsidR="00AD4803">
        <w:rPr>
          <w:rFonts w:cs="Arial"/>
          <w:bCs/>
          <w:szCs w:val="24"/>
        </w:rPr>
        <w:t> </w:t>
      </w:r>
      <w:r>
        <w:rPr>
          <w:rFonts w:cs="Arial"/>
          <w:bCs/>
          <w:szCs w:val="24"/>
        </w:rPr>
        <w:t>14.7 (contracter un emprunt de nature à entraver le remboursement du Prêt), 17.3</w:t>
      </w:r>
      <w:r w:rsidR="00AD4803">
        <w:rPr>
          <w:rFonts w:cs="Arial"/>
          <w:bCs/>
          <w:szCs w:val="24"/>
        </w:rPr>
        <w:t> </w:t>
      </w:r>
      <w:r>
        <w:rPr>
          <w:rFonts w:cs="Arial"/>
          <w:bCs/>
          <w:szCs w:val="24"/>
        </w:rPr>
        <w:t>(non-respect des obligations de la convention de prêt) et 17.5</w:t>
      </w:r>
      <w:r w:rsidR="00AD4803">
        <w:rPr>
          <w:rFonts w:cs="Arial"/>
          <w:bCs/>
          <w:szCs w:val="24"/>
        </w:rPr>
        <w:t> </w:t>
      </w:r>
      <w:r>
        <w:rPr>
          <w:rFonts w:cs="Arial"/>
          <w:bCs/>
          <w:szCs w:val="24"/>
        </w:rPr>
        <w:t>(diminuer le ratio d’équité) de la convention de prêt</w:t>
      </w:r>
      <w:r>
        <w:rPr>
          <w:rStyle w:val="Appelnotedebasdep"/>
          <w:rFonts w:cs="Arial"/>
          <w:bCs/>
          <w:szCs w:val="24"/>
        </w:rPr>
        <w:footnoteReference w:id="543"/>
      </w:r>
      <w:r>
        <w:rPr>
          <w:rFonts w:cs="Arial"/>
          <w:bCs/>
          <w:szCs w:val="24"/>
        </w:rPr>
        <w:t>;</w:t>
      </w:r>
    </w:p>
    <w:p w14:paraId="4AB24B40" w14:textId="77777777" w:rsidR="008900D7" w:rsidRDefault="00730A01" w:rsidP="00443B59">
      <w:pPr>
        <w:pStyle w:val="Citationenretrait"/>
        <w:numPr>
          <w:ilvl w:val="0"/>
          <w:numId w:val="65"/>
        </w:numPr>
        <w:ind w:left="567" w:right="0" w:hanging="283"/>
        <w:rPr>
          <w:rFonts w:cs="Arial"/>
          <w:bCs/>
          <w:szCs w:val="24"/>
        </w:rPr>
      </w:pPr>
      <w:r w:rsidRPr="00681E05">
        <w:rPr>
          <w:rFonts w:cs="Arial"/>
          <w:bCs/>
          <w:szCs w:val="24"/>
        </w:rPr>
        <w:t>Consenti des hypothèques, sûretés et autres garanties sans avoir obtenu l’accord du prêteur</w:t>
      </w:r>
      <w:r>
        <w:rPr>
          <w:rStyle w:val="Appelnotedebasdep"/>
          <w:rFonts w:cs="Arial"/>
          <w:bCs/>
          <w:szCs w:val="24"/>
        </w:rPr>
        <w:footnoteReference w:id="544"/>
      </w:r>
      <w:r>
        <w:rPr>
          <w:rFonts w:cs="Arial"/>
          <w:b/>
          <w:szCs w:val="24"/>
        </w:rPr>
        <w:t xml:space="preserve"> </w:t>
      </w:r>
      <w:r>
        <w:rPr>
          <w:rFonts w:cs="Arial"/>
          <w:bCs/>
          <w:szCs w:val="24"/>
        </w:rPr>
        <w:t>en contravention des articles</w:t>
      </w:r>
      <w:r w:rsidR="00AD4803">
        <w:rPr>
          <w:rFonts w:cs="Arial"/>
          <w:bCs/>
          <w:szCs w:val="24"/>
        </w:rPr>
        <w:t> </w:t>
      </w:r>
      <w:r>
        <w:rPr>
          <w:rFonts w:cs="Arial"/>
          <w:bCs/>
          <w:szCs w:val="24"/>
        </w:rPr>
        <w:t>14.8 (consentir une sûreté sur ses biens), 17.3</w:t>
      </w:r>
      <w:r w:rsidR="00AD4803">
        <w:rPr>
          <w:rFonts w:cs="Arial"/>
          <w:bCs/>
          <w:szCs w:val="24"/>
        </w:rPr>
        <w:t> </w:t>
      </w:r>
      <w:r>
        <w:rPr>
          <w:rFonts w:cs="Arial"/>
          <w:bCs/>
          <w:szCs w:val="24"/>
        </w:rPr>
        <w:t>(non-respect des obligations de la convention de prêt) et 17.4</w:t>
      </w:r>
      <w:r w:rsidR="00AD4803">
        <w:rPr>
          <w:rFonts w:cs="Arial"/>
          <w:bCs/>
          <w:szCs w:val="24"/>
        </w:rPr>
        <w:t> </w:t>
      </w:r>
      <w:r>
        <w:rPr>
          <w:rFonts w:cs="Arial"/>
          <w:bCs/>
          <w:szCs w:val="24"/>
        </w:rPr>
        <w:t>(sûretés du prêt diminuées) de la convention de prêt</w:t>
      </w:r>
      <w:r>
        <w:rPr>
          <w:rStyle w:val="Appelnotedebasdep"/>
          <w:rFonts w:cs="Arial"/>
          <w:bCs/>
          <w:szCs w:val="24"/>
        </w:rPr>
        <w:footnoteReference w:id="545"/>
      </w:r>
      <w:r>
        <w:rPr>
          <w:rFonts w:cs="Arial"/>
          <w:bCs/>
          <w:szCs w:val="24"/>
        </w:rPr>
        <w:t>;</w:t>
      </w:r>
    </w:p>
    <w:p w14:paraId="34FDA167" w14:textId="77777777" w:rsidR="008900D7" w:rsidRDefault="00730A01" w:rsidP="00443B59">
      <w:pPr>
        <w:pStyle w:val="Citationenretrait"/>
        <w:numPr>
          <w:ilvl w:val="0"/>
          <w:numId w:val="65"/>
        </w:numPr>
        <w:ind w:left="567" w:right="0" w:hanging="283"/>
        <w:rPr>
          <w:rFonts w:cs="Arial"/>
          <w:bCs/>
          <w:szCs w:val="24"/>
        </w:rPr>
      </w:pPr>
      <w:r w:rsidRPr="00681E05">
        <w:rPr>
          <w:rFonts w:cs="Arial"/>
          <w:bCs/>
          <w:szCs w:val="24"/>
        </w:rPr>
        <w:t>Procédé à une réorganisation des sociétés du Groupe Huot sans avoir obtenu l’accord du prêteur,</w:t>
      </w:r>
      <w:r>
        <w:rPr>
          <w:rFonts w:cs="Arial"/>
          <w:bCs/>
          <w:szCs w:val="24"/>
        </w:rPr>
        <w:t xml:space="preserve"> en contravention des articles 14.2 (modification dans la répartition des actions) et 17.3 (non-respect des obligations de la convention de prêt) de la convention de prêt</w:t>
      </w:r>
      <w:r>
        <w:rPr>
          <w:rStyle w:val="Appelnotedebasdep"/>
          <w:rFonts w:cs="Arial"/>
          <w:bCs/>
          <w:szCs w:val="24"/>
        </w:rPr>
        <w:footnoteReference w:id="546"/>
      </w:r>
      <w:r>
        <w:rPr>
          <w:rFonts w:cs="Arial"/>
          <w:bCs/>
          <w:szCs w:val="24"/>
        </w:rPr>
        <w:t>.</w:t>
      </w:r>
    </w:p>
    <w:p w14:paraId="0125CD61" w14:textId="77777777" w:rsidR="00681E05" w:rsidRDefault="00730A01" w:rsidP="0042740E">
      <w:pPr>
        <w:pStyle w:val="NormalWeb"/>
        <w:numPr>
          <w:ilvl w:val="1"/>
          <w:numId w:val="23"/>
        </w:numPr>
        <w:spacing w:before="100" w:beforeAutospacing="1"/>
        <w:ind w:left="993" w:hanging="426"/>
        <w:jc w:val="both"/>
        <w:rPr>
          <w:rFonts w:ascii="Arial" w:hAnsi="Arial" w:cs="Arial"/>
          <w:bCs/>
        </w:rPr>
      </w:pPr>
      <w:r w:rsidRPr="00681E05">
        <w:rPr>
          <w:rFonts w:ascii="Arial" w:hAnsi="Arial" w:cs="Arial"/>
          <w:bCs/>
        </w:rPr>
        <w:t>Défaut résultant du dépassement des ratios d’équité</w:t>
      </w:r>
      <w:r>
        <w:rPr>
          <w:rStyle w:val="Appelnotedebasdep"/>
          <w:rFonts w:ascii="Arial" w:hAnsi="Arial" w:cs="Arial"/>
          <w:bCs/>
        </w:rPr>
        <w:footnoteReference w:id="547"/>
      </w:r>
      <w:r w:rsidRPr="00681E05">
        <w:rPr>
          <w:rFonts w:ascii="Arial" w:hAnsi="Arial" w:cs="Arial"/>
          <w:bCs/>
        </w:rPr>
        <w:t xml:space="preserve"> et de ne pas avoir mis en place un mécanisme de surveillance afin de faire en sorte que tout budget et tout état de trésorerie soient respectés</w:t>
      </w:r>
      <w:r>
        <w:rPr>
          <w:rStyle w:val="Appelnotedebasdep"/>
          <w:rFonts w:ascii="Arial" w:hAnsi="Arial" w:cs="Arial"/>
          <w:bCs/>
        </w:rPr>
        <w:footnoteReference w:id="548"/>
      </w:r>
      <w:r w:rsidRPr="00681E05">
        <w:rPr>
          <w:rFonts w:ascii="Arial" w:hAnsi="Arial" w:cs="Arial"/>
          <w:bCs/>
        </w:rPr>
        <w:t>.</w:t>
      </w:r>
    </w:p>
    <w:p w14:paraId="2244B75D" w14:textId="77777777" w:rsidR="00681E05" w:rsidRPr="00681E05" w:rsidRDefault="00730A01" w:rsidP="0042740E">
      <w:pPr>
        <w:pStyle w:val="NormalWeb"/>
        <w:numPr>
          <w:ilvl w:val="1"/>
          <w:numId w:val="23"/>
        </w:numPr>
        <w:spacing w:before="100" w:beforeAutospacing="1"/>
        <w:ind w:left="993" w:hanging="426"/>
        <w:jc w:val="both"/>
        <w:rPr>
          <w:rFonts w:ascii="Arial" w:hAnsi="Arial" w:cs="Arial"/>
          <w:bCs/>
        </w:rPr>
      </w:pPr>
      <w:r w:rsidRPr="00681E05">
        <w:rPr>
          <w:rFonts w:ascii="Arial" w:hAnsi="Arial" w:cs="Arial"/>
          <w:bCs/>
        </w:rPr>
        <w:t>Défaut résultant de l’absence de publication de l’hypothèque immobilière au montant de 105 M$ sur les immeubles Les Triplex (9092-6064 Québec inc.), et ce, pour garantir le prêt</w:t>
      </w:r>
      <w:r>
        <w:rPr>
          <w:rStyle w:val="Appelnotedebasdep"/>
          <w:rFonts w:ascii="Arial" w:hAnsi="Arial" w:cs="Arial"/>
          <w:bCs/>
        </w:rPr>
        <w:footnoteReference w:id="549"/>
      </w:r>
      <w:r w:rsidRPr="00681E05">
        <w:rPr>
          <w:rFonts w:ascii="Arial" w:hAnsi="Arial" w:cs="Arial"/>
          <w:bCs/>
        </w:rPr>
        <w:t>.</w:t>
      </w:r>
    </w:p>
    <w:p w14:paraId="413B3C4F" w14:textId="77777777" w:rsidR="00681E05" w:rsidRPr="00681E05" w:rsidRDefault="00730A01" w:rsidP="0042740E">
      <w:pPr>
        <w:pStyle w:val="NormalWeb"/>
        <w:numPr>
          <w:ilvl w:val="1"/>
          <w:numId w:val="23"/>
        </w:numPr>
        <w:spacing w:before="100" w:beforeAutospacing="1"/>
        <w:ind w:left="993" w:hanging="426"/>
        <w:jc w:val="both"/>
        <w:rPr>
          <w:rFonts w:ascii="Arial" w:hAnsi="Arial" w:cs="Arial"/>
          <w:bCs/>
        </w:rPr>
      </w:pPr>
      <w:r w:rsidRPr="00681E05">
        <w:rPr>
          <w:rFonts w:ascii="Arial" w:hAnsi="Arial" w:cs="Arial"/>
          <w:bCs/>
        </w:rPr>
        <w:t>Défaut résultant du refus de mandater un conseiller financier afin de mettre en œuvre le plan de remboursement du prêt</w:t>
      </w:r>
      <w:r>
        <w:rPr>
          <w:rStyle w:val="Appelnotedebasdep"/>
          <w:rFonts w:ascii="Arial" w:hAnsi="Arial" w:cs="Arial"/>
          <w:bCs/>
        </w:rPr>
        <w:footnoteReference w:id="550"/>
      </w:r>
      <w:r w:rsidRPr="00681E05">
        <w:rPr>
          <w:rFonts w:ascii="Arial" w:hAnsi="Arial" w:cs="Arial"/>
          <w:bCs/>
        </w:rPr>
        <w:t>.</w:t>
      </w:r>
    </w:p>
    <w:p w14:paraId="188579A8" w14:textId="77777777" w:rsidR="008900D7" w:rsidRPr="00681E05" w:rsidRDefault="00730A01" w:rsidP="0042740E">
      <w:pPr>
        <w:pStyle w:val="NormalWeb"/>
        <w:numPr>
          <w:ilvl w:val="1"/>
          <w:numId w:val="23"/>
        </w:numPr>
        <w:spacing w:before="100" w:beforeAutospacing="1"/>
        <w:ind w:left="993" w:hanging="426"/>
        <w:jc w:val="both"/>
        <w:rPr>
          <w:rFonts w:ascii="Arial" w:hAnsi="Arial" w:cs="Arial"/>
          <w:bCs/>
        </w:rPr>
      </w:pPr>
      <w:r w:rsidRPr="00681E05">
        <w:rPr>
          <w:rFonts w:ascii="Arial" w:hAnsi="Arial" w:cs="Arial"/>
          <w:bCs/>
        </w:rPr>
        <w:t>Défaut résultant du fait de ne pas avoir exigé le remboursement du prêt à échéance, soit le 8</w:t>
      </w:r>
      <w:r w:rsidR="00AD4803">
        <w:rPr>
          <w:rFonts w:ascii="Arial" w:hAnsi="Arial" w:cs="Arial"/>
          <w:bCs/>
        </w:rPr>
        <w:t> </w:t>
      </w:r>
      <w:r w:rsidRPr="00681E05">
        <w:rPr>
          <w:rFonts w:ascii="Arial" w:hAnsi="Arial" w:cs="Arial"/>
          <w:bCs/>
        </w:rPr>
        <w:t>mars</w:t>
      </w:r>
      <w:r w:rsidR="00AD4803">
        <w:rPr>
          <w:rFonts w:ascii="Arial" w:hAnsi="Arial" w:cs="Arial"/>
          <w:bCs/>
        </w:rPr>
        <w:t> </w:t>
      </w:r>
      <w:r w:rsidRPr="00681E05">
        <w:rPr>
          <w:rFonts w:ascii="Arial" w:hAnsi="Arial" w:cs="Arial"/>
          <w:bCs/>
        </w:rPr>
        <w:t>2020</w:t>
      </w:r>
      <w:r>
        <w:rPr>
          <w:rStyle w:val="Appelnotedebasdep"/>
          <w:rFonts w:ascii="Arial" w:hAnsi="Arial" w:cs="Arial"/>
          <w:bCs/>
        </w:rPr>
        <w:footnoteReference w:id="551"/>
      </w:r>
      <w:r w:rsidRPr="00681E05">
        <w:rPr>
          <w:rFonts w:ascii="Arial" w:hAnsi="Arial" w:cs="Arial"/>
          <w:bCs/>
        </w:rPr>
        <w:t>.</w:t>
      </w:r>
    </w:p>
    <w:p w14:paraId="5398E0D2" w14:textId="77777777" w:rsidR="008900D7" w:rsidRPr="00677325" w:rsidRDefault="00730A01" w:rsidP="004C34E4">
      <w:pPr>
        <w:pStyle w:val="Titre3"/>
        <w:numPr>
          <w:ilvl w:val="2"/>
          <w:numId w:val="6"/>
        </w:numPr>
        <w:ind w:left="284" w:hanging="284"/>
        <w:jc w:val="both"/>
        <w:rPr>
          <w:rFonts w:cs="Arial"/>
          <w:b/>
          <w:szCs w:val="24"/>
          <w:u w:val="single"/>
        </w:rPr>
      </w:pPr>
      <w:bookmarkStart w:id="204" w:name="_Toc210992343"/>
      <w:bookmarkStart w:id="205" w:name="_Toc211495280"/>
      <w:bookmarkStart w:id="206" w:name="_Toc211600688"/>
      <w:r w:rsidRPr="00E9095D">
        <w:rPr>
          <w:rFonts w:cs="Arial"/>
          <w:b/>
          <w:szCs w:val="24"/>
        </w:rPr>
        <w:t>Autres manquements</w:t>
      </w:r>
      <w:r>
        <w:rPr>
          <w:rStyle w:val="Appelnotedebasdep"/>
          <w:rFonts w:cs="Arial"/>
          <w:bCs/>
          <w:szCs w:val="24"/>
        </w:rPr>
        <w:footnoteReference w:id="552"/>
      </w:r>
      <w:bookmarkEnd w:id="204"/>
      <w:bookmarkEnd w:id="205"/>
      <w:bookmarkEnd w:id="206"/>
    </w:p>
    <w:p w14:paraId="2AF5BA5F" w14:textId="77777777" w:rsidR="008900D7" w:rsidRDefault="00730A01" w:rsidP="004C34E4">
      <w:pPr>
        <w:pStyle w:val="Paragraphe"/>
        <w:numPr>
          <w:ilvl w:val="0"/>
          <w:numId w:val="0"/>
        </w:numPr>
        <w:spacing w:line="240" w:lineRule="auto"/>
        <w:ind w:left="284"/>
        <w:rPr>
          <w:rFonts w:cs="Arial"/>
          <w:bCs/>
          <w:szCs w:val="24"/>
        </w:rPr>
      </w:pPr>
      <w:r>
        <w:rPr>
          <w:rFonts w:cs="Arial"/>
          <w:bCs/>
          <w:szCs w:val="24"/>
        </w:rPr>
        <w:t>Les difficultés financières du Groupe Huot existaient minimalement depuis la mise en place du fonds FIISH en</w:t>
      </w:r>
      <w:r w:rsidR="00AD4803">
        <w:rPr>
          <w:rFonts w:cs="Arial"/>
          <w:bCs/>
          <w:szCs w:val="24"/>
        </w:rPr>
        <w:t> </w:t>
      </w:r>
      <w:r>
        <w:rPr>
          <w:rFonts w:cs="Arial"/>
          <w:bCs/>
          <w:szCs w:val="24"/>
        </w:rPr>
        <w:t>2017</w:t>
      </w:r>
      <w:r>
        <w:rPr>
          <w:rStyle w:val="Appelnotedebasdep"/>
          <w:rFonts w:cs="Arial"/>
          <w:bCs/>
          <w:szCs w:val="24"/>
        </w:rPr>
        <w:footnoteReference w:id="553"/>
      </w:r>
      <w:r>
        <w:rPr>
          <w:rFonts w:cs="Arial"/>
          <w:bCs/>
          <w:szCs w:val="24"/>
        </w:rPr>
        <w:t> :</w:t>
      </w:r>
    </w:p>
    <w:p w14:paraId="2FFB9F70" w14:textId="77777777" w:rsidR="008900D7" w:rsidRDefault="00730A01" w:rsidP="00AD4803">
      <w:pPr>
        <w:pStyle w:val="Paragraphe"/>
        <w:numPr>
          <w:ilvl w:val="0"/>
          <w:numId w:val="0"/>
        </w:numPr>
        <w:spacing w:after="100" w:afterAutospacing="1" w:line="240" w:lineRule="auto"/>
        <w:ind w:left="284"/>
        <w:rPr>
          <w:rFonts w:cs="Arial"/>
          <w:b/>
          <w:szCs w:val="24"/>
          <w:u w:val="single"/>
        </w:rPr>
      </w:pPr>
      <w:r>
        <w:rPr>
          <w:rFonts w:cs="Arial"/>
          <w:b/>
          <w:szCs w:val="24"/>
          <w:u w:val="single"/>
        </w:rPr>
        <w:t>2017</w:t>
      </w:r>
    </w:p>
    <w:p w14:paraId="632045C1" w14:textId="77777777" w:rsidR="008900D7" w:rsidRDefault="00730A01" w:rsidP="00443B59">
      <w:pPr>
        <w:pStyle w:val="Paragraphe"/>
        <w:numPr>
          <w:ilvl w:val="0"/>
          <w:numId w:val="70"/>
        </w:numPr>
        <w:spacing w:line="240" w:lineRule="auto"/>
        <w:ind w:left="567" w:hanging="283"/>
        <w:rPr>
          <w:rFonts w:cs="Arial"/>
          <w:bCs/>
          <w:szCs w:val="24"/>
        </w:rPr>
      </w:pPr>
      <w:r>
        <w:rPr>
          <w:rFonts w:cs="Arial"/>
          <w:bCs/>
          <w:szCs w:val="24"/>
        </w:rPr>
        <w:t>Défaut d’avoir informé les commanditaires que :</w:t>
      </w:r>
    </w:p>
    <w:p w14:paraId="6820F48C" w14:textId="77777777" w:rsidR="008900D7" w:rsidRDefault="00730A01" w:rsidP="0042740E">
      <w:pPr>
        <w:pStyle w:val="Paragraphe"/>
        <w:numPr>
          <w:ilvl w:val="0"/>
          <w:numId w:val="24"/>
        </w:numPr>
        <w:spacing w:after="0" w:line="240" w:lineRule="auto"/>
        <w:ind w:left="851" w:hanging="284"/>
        <w:rPr>
          <w:rFonts w:cs="Arial"/>
          <w:bCs/>
          <w:szCs w:val="24"/>
        </w:rPr>
      </w:pPr>
      <w:r>
        <w:rPr>
          <w:rFonts w:cs="Arial"/>
          <w:bCs/>
          <w:szCs w:val="24"/>
        </w:rPr>
        <w:t>Les opérations immobilières de Huot, considérant le prêt FIISH, étaient en déficit annuel de liquidités de 10,8 M$ en</w:t>
      </w:r>
      <w:r w:rsidR="00AD4803">
        <w:rPr>
          <w:rFonts w:cs="Arial"/>
          <w:bCs/>
          <w:szCs w:val="24"/>
        </w:rPr>
        <w:t> </w:t>
      </w:r>
      <w:r>
        <w:rPr>
          <w:rFonts w:cs="Arial"/>
          <w:bCs/>
          <w:szCs w:val="24"/>
        </w:rPr>
        <w:t>2017</w:t>
      </w:r>
      <w:r>
        <w:rPr>
          <w:rStyle w:val="Appelnotedebasdep"/>
          <w:rFonts w:cs="Arial"/>
          <w:bCs/>
          <w:szCs w:val="24"/>
        </w:rPr>
        <w:footnoteReference w:id="554"/>
      </w:r>
      <w:r>
        <w:rPr>
          <w:rFonts w:cs="Arial"/>
          <w:bCs/>
          <w:szCs w:val="24"/>
        </w:rPr>
        <w:t>;</w:t>
      </w:r>
    </w:p>
    <w:p w14:paraId="53528D3A" w14:textId="77777777" w:rsidR="008900D7" w:rsidRDefault="00730A01" w:rsidP="0042740E">
      <w:pPr>
        <w:pStyle w:val="Paragraphe"/>
        <w:numPr>
          <w:ilvl w:val="0"/>
          <w:numId w:val="24"/>
        </w:numPr>
        <w:spacing w:after="0" w:line="240" w:lineRule="auto"/>
        <w:ind w:left="851" w:hanging="284"/>
        <w:rPr>
          <w:rFonts w:cs="Arial"/>
          <w:bCs/>
          <w:szCs w:val="24"/>
        </w:rPr>
      </w:pPr>
      <w:r w:rsidRPr="008327E6">
        <w:rPr>
          <w:rFonts w:cs="Arial"/>
          <w:bCs/>
          <w:szCs w:val="24"/>
        </w:rPr>
        <w:t>6646 a consenti deux (2) prêts totalisant 900 k$ à Huot</w:t>
      </w:r>
      <w:r>
        <w:rPr>
          <w:rStyle w:val="Appelnotedebasdep"/>
          <w:rFonts w:cs="Arial"/>
          <w:bCs/>
          <w:szCs w:val="24"/>
        </w:rPr>
        <w:footnoteReference w:id="555"/>
      </w:r>
      <w:r w:rsidRPr="008327E6">
        <w:rPr>
          <w:rFonts w:cs="Arial"/>
          <w:bCs/>
          <w:szCs w:val="24"/>
        </w:rPr>
        <w:t>;</w:t>
      </w:r>
    </w:p>
    <w:p w14:paraId="2100D944" w14:textId="77777777" w:rsidR="008900D7" w:rsidRPr="008327E6" w:rsidRDefault="00730A01" w:rsidP="0042740E">
      <w:pPr>
        <w:pStyle w:val="Paragraphe"/>
        <w:numPr>
          <w:ilvl w:val="0"/>
          <w:numId w:val="24"/>
        </w:numPr>
        <w:spacing w:after="0" w:line="240" w:lineRule="auto"/>
        <w:ind w:left="851" w:hanging="284"/>
        <w:rPr>
          <w:rFonts w:cs="Arial"/>
          <w:bCs/>
          <w:szCs w:val="24"/>
        </w:rPr>
      </w:pPr>
      <w:r w:rsidRPr="008327E6">
        <w:rPr>
          <w:rFonts w:cs="Arial"/>
          <w:bCs/>
          <w:szCs w:val="24"/>
        </w:rPr>
        <w:t>Huot devait à 9797 des frais de services financiers impayés au montant de 1,5 M$</w:t>
      </w:r>
      <w:r>
        <w:rPr>
          <w:rStyle w:val="Appelnotedebasdep"/>
          <w:rFonts w:cs="Arial"/>
          <w:bCs/>
          <w:szCs w:val="24"/>
        </w:rPr>
        <w:footnoteReference w:id="556"/>
      </w:r>
      <w:r w:rsidRPr="008327E6">
        <w:rPr>
          <w:rFonts w:cs="Arial"/>
          <w:bCs/>
          <w:szCs w:val="24"/>
        </w:rPr>
        <w:t>.</w:t>
      </w:r>
    </w:p>
    <w:p w14:paraId="389BCE76" w14:textId="77777777" w:rsidR="008900D7" w:rsidRDefault="00730A01" w:rsidP="00AD4803">
      <w:pPr>
        <w:pStyle w:val="Paragraphe"/>
        <w:numPr>
          <w:ilvl w:val="0"/>
          <w:numId w:val="0"/>
        </w:numPr>
        <w:spacing w:after="100" w:afterAutospacing="1" w:line="240" w:lineRule="auto"/>
        <w:ind w:left="284"/>
        <w:rPr>
          <w:rFonts w:cs="Arial"/>
          <w:b/>
          <w:szCs w:val="24"/>
          <w:u w:val="single"/>
        </w:rPr>
      </w:pPr>
      <w:r>
        <w:rPr>
          <w:rFonts w:cs="Arial"/>
          <w:b/>
          <w:szCs w:val="24"/>
          <w:u w:val="single"/>
        </w:rPr>
        <w:t>2018</w:t>
      </w:r>
    </w:p>
    <w:p w14:paraId="4C4C46A7" w14:textId="77777777" w:rsidR="008900D7" w:rsidRPr="008327E6" w:rsidRDefault="00730A01" w:rsidP="00443B59">
      <w:pPr>
        <w:pStyle w:val="Paragraphe"/>
        <w:numPr>
          <w:ilvl w:val="0"/>
          <w:numId w:val="71"/>
        </w:numPr>
        <w:spacing w:line="240" w:lineRule="auto"/>
        <w:ind w:left="567" w:hanging="283"/>
        <w:rPr>
          <w:rFonts w:cs="Arial"/>
          <w:b/>
          <w:szCs w:val="24"/>
          <w:u w:val="single"/>
        </w:rPr>
      </w:pPr>
      <w:r>
        <w:rPr>
          <w:rFonts w:cs="Arial"/>
          <w:bCs/>
          <w:szCs w:val="24"/>
        </w:rPr>
        <w:t>Défaut d’avoir informé les commanditaires que :</w:t>
      </w:r>
    </w:p>
    <w:p w14:paraId="253F60F1" w14:textId="77777777" w:rsidR="008900D7" w:rsidRDefault="00730A01" w:rsidP="0042740E">
      <w:pPr>
        <w:pStyle w:val="Paragraphe"/>
        <w:numPr>
          <w:ilvl w:val="0"/>
          <w:numId w:val="24"/>
        </w:numPr>
        <w:spacing w:after="0" w:line="240" w:lineRule="auto"/>
        <w:ind w:left="851" w:hanging="284"/>
        <w:rPr>
          <w:rFonts w:cs="Arial"/>
          <w:bCs/>
          <w:szCs w:val="24"/>
        </w:rPr>
      </w:pPr>
      <w:r>
        <w:rPr>
          <w:rFonts w:cs="Arial"/>
          <w:bCs/>
          <w:szCs w:val="24"/>
        </w:rPr>
        <w:t>Les opérations immobilières du Groupe Huot, considérant le prêt FIISH, étaient en déficit annuel de liquidités de 12,7 M$ en</w:t>
      </w:r>
      <w:r w:rsidR="00AD4803">
        <w:rPr>
          <w:rFonts w:cs="Arial"/>
          <w:bCs/>
          <w:szCs w:val="24"/>
        </w:rPr>
        <w:t> </w:t>
      </w:r>
      <w:r>
        <w:rPr>
          <w:rFonts w:cs="Arial"/>
          <w:bCs/>
          <w:szCs w:val="24"/>
        </w:rPr>
        <w:t>2018</w:t>
      </w:r>
      <w:r>
        <w:rPr>
          <w:rStyle w:val="Appelnotedebasdep"/>
          <w:rFonts w:cs="Arial"/>
          <w:bCs/>
          <w:szCs w:val="24"/>
        </w:rPr>
        <w:footnoteReference w:id="557"/>
      </w:r>
      <w:r>
        <w:rPr>
          <w:rFonts w:cs="Arial"/>
          <w:bCs/>
          <w:szCs w:val="24"/>
        </w:rPr>
        <w:t>;</w:t>
      </w:r>
    </w:p>
    <w:p w14:paraId="0B76C316" w14:textId="77777777" w:rsidR="008900D7" w:rsidRDefault="00730A01" w:rsidP="0042740E">
      <w:pPr>
        <w:pStyle w:val="Paragraphe"/>
        <w:numPr>
          <w:ilvl w:val="0"/>
          <w:numId w:val="24"/>
        </w:numPr>
        <w:spacing w:after="0" w:line="240" w:lineRule="auto"/>
        <w:ind w:left="851" w:hanging="284"/>
        <w:rPr>
          <w:rFonts w:cs="Arial"/>
          <w:bCs/>
          <w:szCs w:val="24"/>
        </w:rPr>
      </w:pPr>
      <w:r>
        <w:rPr>
          <w:rFonts w:cs="Arial"/>
          <w:bCs/>
          <w:szCs w:val="24"/>
        </w:rPr>
        <w:t>6646 a consenti huit (8) prêts totalisant 6,6 M$ à Huot</w:t>
      </w:r>
      <w:r>
        <w:rPr>
          <w:rStyle w:val="Appelnotedebasdep"/>
          <w:rFonts w:cs="Arial"/>
          <w:bCs/>
          <w:szCs w:val="24"/>
        </w:rPr>
        <w:footnoteReference w:id="558"/>
      </w:r>
      <w:r>
        <w:rPr>
          <w:rFonts w:cs="Arial"/>
          <w:bCs/>
          <w:szCs w:val="24"/>
        </w:rPr>
        <w:t>;</w:t>
      </w:r>
    </w:p>
    <w:p w14:paraId="6626EC0C" w14:textId="77777777" w:rsidR="008900D7" w:rsidRDefault="00730A01" w:rsidP="0042740E">
      <w:pPr>
        <w:pStyle w:val="Paragraphe"/>
        <w:numPr>
          <w:ilvl w:val="0"/>
          <w:numId w:val="24"/>
        </w:numPr>
        <w:spacing w:after="0" w:line="240" w:lineRule="auto"/>
        <w:ind w:left="851" w:hanging="284"/>
        <w:rPr>
          <w:rFonts w:cs="Arial"/>
          <w:bCs/>
          <w:szCs w:val="24"/>
        </w:rPr>
      </w:pPr>
      <w:r>
        <w:rPr>
          <w:rFonts w:cs="Arial"/>
          <w:bCs/>
          <w:szCs w:val="24"/>
        </w:rPr>
        <w:t>Huot devait à 9797 des frais de services financiers impayés au montant cumulatif de 3,7 M$</w:t>
      </w:r>
      <w:r>
        <w:rPr>
          <w:rStyle w:val="Appelnotedebasdep"/>
          <w:rFonts w:cs="Arial"/>
          <w:bCs/>
          <w:szCs w:val="24"/>
        </w:rPr>
        <w:footnoteReference w:id="559"/>
      </w:r>
      <w:r w:rsidR="00AD4803">
        <w:rPr>
          <w:rFonts w:cs="Arial"/>
          <w:bCs/>
          <w:szCs w:val="24"/>
        </w:rPr>
        <w:t>.</w:t>
      </w:r>
    </w:p>
    <w:p w14:paraId="7E3A6604" w14:textId="77777777" w:rsidR="008900D7" w:rsidRDefault="00730A01" w:rsidP="00AD4803">
      <w:pPr>
        <w:pStyle w:val="Paragraphe"/>
        <w:numPr>
          <w:ilvl w:val="0"/>
          <w:numId w:val="0"/>
        </w:numPr>
        <w:spacing w:after="100" w:afterAutospacing="1" w:line="240" w:lineRule="auto"/>
        <w:ind w:left="851" w:hanging="567"/>
        <w:rPr>
          <w:rFonts w:cs="Arial"/>
          <w:b/>
          <w:szCs w:val="24"/>
          <w:u w:val="single"/>
        </w:rPr>
      </w:pPr>
      <w:r>
        <w:rPr>
          <w:rFonts w:cs="Arial"/>
          <w:b/>
          <w:szCs w:val="24"/>
          <w:u w:val="single"/>
        </w:rPr>
        <w:t>2019</w:t>
      </w:r>
    </w:p>
    <w:p w14:paraId="2168A99B" w14:textId="77777777" w:rsidR="008900D7" w:rsidRDefault="00730A01" w:rsidP="00443B59">
      <w:pPr>
        <w:pStyle w:val="Paragraphe"/>
        <w:numPr>
          <w:ilvl w:val="0"/>
          <w:numId w:val="72"/>
        </w:numPr>
        <w:spacing w:line="240" w:lineRule="auto"/>
        <w:ind w:left="567" w:hanging="283"/>
        <w:rPr>
          <w:rFonts w:cs="Arial"/>
          <w:bCs/>
          <w:szCs w:val="24"/>
        </w:rPr>
      </w:pPr>
      <w:r>
        <w:rPr>
          <w:rFonts w:cs="Arial"/>
          <w:bCs/>
          <w:szCs w:val="24"/>
        </w:rPr>
        <w:t>Défaut d’avoir informé les commanditaires que :</w:t>
      </w:r>
    </w:p>
    <w:p w14:paraId="473F666A" w14:textId="77777777" w:rsidR="008900D7" w:rsidRDefault="00730A01" w:rsidP="0042740E">
      <w:pPr>
        <w:pStyle w:val="Paragraphe"/>
        <w:numPr>
          <w:ilvl w:val="0"/>
          <w:numId w:val="24"/>
        </w:numPr>
        <w:spacing w:after="0" w:line="240" w:lineRule="auto"/>
        <w:ind w:left="851" w:hanging="284"/>
        <w:rPr>
          <w:rFonts w:cs="Arial"/>
          <w:bCs/>
          <w:szCs w:val="24"/>
        </w:rPr>
      </w:pPr>
      <w:r>
        <w:rPr>
          <w:rFonts w:cs="Arial"/>
          <w:bCs/>
          <w:szCs w:val="24"/>
        </w:rPr>
        <w:t>Les opérations immobilières de Huot, considérant le prêt FIISH, étaient en déficit annuel de liquidités de 9,6 M$ en</w:t>
      </w:r>
      <w:r w:rsidR="00AD4803">
        <w:rPr>
          <w:rFonts w:cs="Arial"/>
          <w:bCs/>
          <w:szCs w:val="24"/>
        </w:rPr>
        <w:t> </w:t>
      </w:r>
      <w:r>
        <w:rPr>
          <w:rFonts w:cs="Arial"/>
          <w:bCs/>
          <w:szCs w:val="24"/>
        </w:rPr>
        <w:t>2019</w:t>
      </w:r>
      <w:r>
        <w:rPr>
          <w:rStyle w:val="Appelnotedebasdep"/>
          <w:rFonts w:cs="Arial"/>
          <w:bCs/>
          <w:szCs w:val="24"/>
        </w:rPr>
        <w:footnoteReference w:id="560"/>
      </w:r>
      <w:r>
        <w:rPr>
          <w:rFonts w:cs="Arial"/>
          <w:bCs/>
          <w:szCs w:val="24"/>
        </w:rPr>
        <w:t>;</w:t>
      </w:r>
    </w:p>
    <w:p w14:paraId="6648D8CE" w14:textId="77777777" w:rsidR="008900D7" w:rsidRDefault="00730A01" w:rsidP="0042740E">
      <w:pPr>
        <w:pStyle w:val="Paragraphe"/>
        <w:numPr>
          <w:ilvl w:val="0"/>
          <w:numId w:val="24"/>
        </w:numPr>
        <w:spacing w:after="0" w:line="240" w:lineRule="auto"/>
        <w:ind w:left="851" w:hanging="284"/>
        <w:rPr>
          <w:rFonts w:cs="Arial"/>
          <w:bCs/>
          <w:szCs w:val="24"/>
        </w:rPr>
      </w:pPr>
      <w:r>
        <w:rPr>
          <w:rFonts w:cs="Arial"/>
          <w:bCs/>
          <w:szCs w:val="24"/>
        </w:rPr>
        <w:t>Le fonds de roulement de Groupe Huot au 31</w:t>
      </w:r>
      <w:r w:rsidR="00AD4803">
        <w:rPr>
          <w:rFonts w:cs="Arial"/>
          <w:bCs/>
          <w:szCs w:val="24"/>
        </w:rPr>
        <w:t> </w:t>
      </w:r>
      <w:r>
        <w:rPr>
          <w:rFonts w:cs="Arial"/>
          <w:bCs/>
          <w:szCs w:val="24"/>
        </w:rPr>
        <w:t>décembre</w:t>
      </w:r>
      <w:r w:rsidR="00AD4803">
        <w:rPr>
          <w:rFonts w:cs="Arial"/>
          <w:bCs/>
          <w:szCs w:val="24"/>
        </w:rPr>
        <w:t> </w:t>
      </w:r>
      <w:r>
        <w:rPr>
          <w:rFonts w:cs="Arial"/>
          <w:bCs/>
          <w:szCs w:val="24"/>
        </w:rPr>
        <w:t>2019 était de 12,1 M$</w:t>
      </w:r>
      <w:r>
        <w:rPr>
          <w:rStyle w:val="Appelnotedebasdep"/>
          <w:rFonts w:cs="Arial"/>
          <w:bCs/>
          <w:szCs w:val="24"/>
        </w:rPr>
        <w:footnoteReference w:id="561"/>
      </w:r>
      <w:r>
        <w:rPr>
          <w:rFonts w:cs="Arial"/>
          <w:bCs/>
          <w:szCs w:val="24"/>
        </w:rPr>
        <w:t>;</w:t>
      </w:r>
    </w:p>
    <w:p w14:paraId="13B2510C" w14:textId="77777777" w:rsidR="008900D7" w:rsidRDefault="00730A01" w:rsidP="0042740E">
      <w:pPr>
        <w:pStyle w:val="Paragraphe"/>
        <w:numPr>
          <w:ilvl w:val="0"/>
          <w:numId w:val="24"/>
        </w:numPr>
        <w:spacing w:after="0" w:line="240" w:lineRule="auto"/>
        <w:ind w:left="851" w:hanging="284"/>
        <w:rPr>
          <w:rFonts w:cs="Arial"/>
          <w:bCs/>
          <w:szCs w:val="24"/>
        </w:rPr>
      </w:pPr>
      <w:r>
        <w:rPr>
          <w:rFonts w:cs="Arial"/>
          <w:bCs/>
          <w:szCs w:val="24"/>
        </w:rPr>
        <w:t>6646 a consenti quatre (4) prêts totalisant 2 885 M$ à Huot</w:t>
      </w:r>
      <w:r>
        <w:rPr>
          <w:rStyle w:val="Appelnotedebasdep"/>
          <w:rFonts w:cs="Arial"/>
          <w:bCs/>
          <w:szCs w:val="24"/>
        </w:rPr>
        <w:footnoteReference w:id="562"/>
      </w:r>
      <w:r>
        <w:rPr>
          <w:rFonts w:cs="Arial"/>
          <w:bCs/>
          <w:szCs w:val="24"/>
        </w:rPr>
        <w:t>;</w:t>
      </w:r>
    </w:p>
    <w:p w14:paraId="3ADBF6A7" w14:textId="77777777" w:rsidR="008900D7" w:rsidRDefault="00730A01" w:rsidP="0042740E">
      <w:pPr>
        <w:pStyle w:val="Paragraphe"/>
        <w:numPr>
          <w:ilvl w:val="0"/>
          <w:numId w:val="24"/>
        </w:numPr>
        <w:spacing w:after="0" w:line="240" w:lineRule="auto"/>
        <w:ind w:left="851" w:hanging="284"/>
        <w:rPr>
          <w:rFonts w:cs="Arial"/>
          <w:bCs/>
          <w:szCs w:val="24"/>
        </w:rPr>
      </w:pPr>
      <w:r>
        <w:rPr>
          <w:rFonts w:cs="Arial"/>
          <w:bCs/>
          <w:szCs w:val="24"/>
        </w:rPr>
        <w:t>Huot devait à 9797 des frais de services financiers impayés au montant cumulatif de 6,9 M$</w:t>
      </w:r>
      <w:r>
        <w:rPr>
          <w:rStyle w:val="Appelnotedebasdep"/>
          <w:rFonts w:cs="Arial"/>
          <w:bCs/>
          <w:szCs w:val="24"/>
        </w:rPr>
        <w:footnoteReference w:id="563"/>
      </w:r>
      <w:r>
        <w:rPr>
          <w:rFonts w:cs="Arial"/>
          <w:bCs/>
          <w:szCs w:val="24"/>
        </w:rPr>
        <w:t>.</w:t>
      </w:r>
    </w:p>
    <w:p w14:paraId="23922E79" w14:textId="77777777" w:rsidR="008900D7" w:rsidRDefault="00730A01" w:rsidP="00AD4803">
      <w:pPr>
        <w:pStyle w:val="Paragraphe"/>
        <w:numPr>
          <w:ilvl w:val="0"/>
          <w:numId w:val="0"/>
        </w:numPr>
        <w:spacing w:before="240" w:after="100" w:afterAutospacing="1" w:line="240" w:lineRule="auto"/>
        <w:ind w:left="284"/>
        <w:rPr>
          <w:rFonts w:cs="Arial"/>
          <w:bCs/>
          <w:szCs w:val="24"/>
        </w:rPr>
      </w:pPr>
      <w:r>
        <w:rPr>
          <w:rFonts w:cs="Arial"/>
          <w:bCs/>
          <w:szCs w:val="24"/>
        </w:rPr>
        <w:t>En</w:t>
      </w:r>
      <w:r w:rsidR="00AD4803">
        <w:rPr>
          <w:rFonts w:cs="Arial"/>
          <w:bCs/>
          <w:szCs w:val="24"/>
        </w:rPr>
        <w:t> </w:t>
      </w:r>
      <w:r>
        <w:rPr>
          <w:rFonts w:cs="Arial"/>
          <w:bCs/>
          <w:szCs w:val="24"/>
        </w:rPr>
        <w:t>2018 et</w:t>
      </w:r>
      <w:r w:rsidR="00AD4803">
        <w:rPr>
          <w:rFonts w:cs="Arial"/>
          <w:bCs/>
          <w:szCs w:val="24"/>
        </w:rPr>
        <w:t> </w:t>
      </w:r>
      <w:r>
        <w:rPr>
          <w:rFonts w:cs="Arial"/>
          <w:bCs/>
          <w:szCs w:val="24"/>
        </w:rPr>
        <w:t>2019, les tableaux de bord reçus du Groupe Huot contenaient les intérêts et frais du prêt FIISH, alors que ceux transmis aux commanditaires ne les contenaient pas</w:t>
      </w:r>
      <w:r>
        <w:rPr>
          <w:rStyle w:val="Appelnotedebasdep"/>
          <w:rFonts w:cs="Arial"/>
          <w:bCs/>
          <w:szCs w:val="24"/>
        </w:rPr>
        <w:footnoteReference w:id="564"/>
      </w:r>
      <w:r>
        <w:rPr>
          <w:rFonts w:cs="Arial"/>
          <w:bCs/>
          <w:szCs w:val="24"/>
        </w:rPr>
        <w:t>. Notons que les tableaux de bord transmis aux commanditaires excluaient les intérêts et frais afférents aux prêts personnels des Défendeurs à Huot et/ou au Groupe Huot</w:t>
      </w:r>
      <w:r>
        <w:rPr>
          <w:rStyle w:val="Appelnotedebasdep"/>
          <w:rFonts w:cs="Arial"/>
          <w:bCs/>
          <w:szCs w:val="24"/>
        </w:rPr>
        <w:footnoteReference w:id="565"/>
      </w:r>
      <w:r>
        <w:rPr>
          <w:rFonts w:cs="Arial"/>
          <w:bCs/>
          <w:szCs w:val="24"/>
        </w:rPr>
        <w:t>, ce que Giroux ne pouvait ignorer.</w:t>
      </w:r>
    </w:p>
    <w:p w14:paraId="3A0DAE93" w14:textId="77777777" w:rsidR="008900D7" w:rsidRDefault="00730A01" w:rsidP="00443B59">
      <w:pPr>
        <w:pStyle w:val="Paragraphe"/>
        <w:numPr>
          <w:ilvl w:val="0"/>
          <w:numId w:val="66"/>
        </w:numPr>
        <w:spacing w:line="240" w:lineRule="auto"/>
        <w:ind w:left="567" w:hanging="283"/>
        <w:rPr>
          <w:rFonts w:cs="Arial"/>
          <w:bCs/>
          <w:szCs w:val="24"/>
        </w:rPr>
      </w:pPr>
      <w:r>
        <w:rPr>
          <w:rFonts w:cs="Arial"/>
          <w:bCs/>
          <w:szCs w:val="24"/>
        </w:rPr>
        <w:t>Défaut d’obtenir et d’analyser la documentation supportant les tableaux de bord, les cashflows, les flux monétaires et les soldes des comptes de banque.</w:t>
      </w:r>
    </w:p>
    <w:p w14:paraId="39EF1658" w14:textId="77777777" w:rsidR="008900D7" w:rsidRDefault="00730A01" w:rsidP="00443B59">
      <w:pPr>
        <w:pStyle w:val="Paragraphe"/>
        <w:numPr>
          <w:ilvl w:val="0"/>
          <w:numId w:val="66"/>
        </w:numPr>
        <w:spacing w:line="240" w:lineRule="auto"/>
        <w:ind w:left="567" w:hanging="283"/>
        <w:rPr>
          <w:rFonts w:cs="Arial"/>
          <w:bCs/>
          <w:szCs w:val="24"/>
        </w:rPr>
      </w:pPr>
      <w:r>
        <w:rPr>
          <w:rFonts w:cs="Arial"/>
          <w:bCs/>
          <w:szCs w:val="24"/>
        </w:rPr>
        <w:t>Défaut d’obtenir et d’analyser les états financiers annuels et mensuels de l’emprunteur et des sociétés du Groupe Huot ainsi que les bilans personnels de Huot</w:t>
      </w:r>
      <w:r>
        <w:rPr>
          <w:rStyle w:val="Appelnotedebasdep"/>
          <w:rFonts w:cs="Arial"/>
          <w:bCs/>
          <w:szCs w:val="24"/>
        </w:rPr>
        <w:footnoteReference w:id="566"/>
      </w:r>
      <w:r w:rsidR="00AD4803">
        <w:rPr>
          <w:rFonts w:cs="Arial"/>
          <w:bCs/>
          <w:szCs w:val="24"/>
        </w:rPr>
        <w:t>.</w:t>
      </w:r>
    </w:p>
    <w:p w14:paraId="2438F8C0" w14:textId="77777777" w:rsidR="00890850" w:rsidRDefault="00730A01" w:rsidP="00890850">
      <w:pPr>
        <w:pStyle w:val="Paragraphe"/>
        <w:numPr>
          <w:ilvl w:val="0"/>
          <w:numId w:val="0"/>
        </w:numPr>
        <w:tabs>
          <w:tab w:val="left" w:pos="3402"/>
        </w:tabs>
        <w:spacing w:line="240" w:lineRule="auto"/>
        <w:ind w:left="720"/>
        <w:rPr>
          <w:rFonts w:cs="Arial"/>
          <w:bCs/>
          <w:szCs w:val="24"/>
        </w:rPr>
      </w:pPr>
      <w:r>
        <w:rPr>
          <w:rFonts w:cs="Arial"/>
          <w:bCs/>
          <w:szCs w:val="24"/>
        </w:rPr>
        <w:tab/>
        <w:t>* * *</w:t>
      </w:r>
    </w:p>
    <w:p w14:paraId="38AB9BDE" w14:textId="77777777" w:rsidR="00890850" w:rsidRDefault="00730A01">
      <w:pPr>
        <w:rPr>
          <w:rFonts w:cs="Arial"/>
          <w:bCs/>
          <w:kern w:val="28"/>
          <w:szCs w:val="24"/>
        </w:rPr>
      </w:pPr>
      <w:r>
        <w:rPr>
          <w:rFonts w:cs="Arial"/>
          <w:bCs/>
          <w:szCs w:val="24"/>
        </w:rPr>
        <w:br w:type="page"/>
      </w:r>
    </w:p>
    <w:p w14:paraId="2A875D61" w14:textId="77777777" w:rsidR="00464963" w:rsidRDefault="00730A01" w:rsidP="0042740E">
      <w:pPr>
        <w:pStyle w:val="Titre2"/>
        <w:numPr>
          <w:ilvl w:val="3"/>
          <w:numId w:val="22"/>
        </w:numPr>
        <w:ind w:left="284" w:hanging="284"/>
        <w:rPr>
          <w:rFonts w:cs="Arial"/>
          <w:szCs w:val="24"/>
        </w:rPr>
      </w:pPr>
      <w:bookmarkStart w:id="207" w:name="_Toc210992344"/>
      <w:bookmarkStart w:id="208" w:name="_Toc211495281"/>
      <w:bookmarkStart w:id="209" w:name="_Toc211600689"/>
      <w:r>
        <w:rPr>
          <w:rFonts w:cs="Arial"/>
          <w:smallCaps/>
          <w:szCs w:val="24"/>
        </w:rPr>
        <w:t>La Convention de prêt FIISH en 2020</w:t>
      </w:r>
    </w:p>
    <w:bookmarkEnd w:id="207"/>
    <w:bookmarkEnd w:id="208"/>
    <w:bookmarkEnd w:id="209"/>
    <w:p w14:paraId="261621E4" w14:textId="77777777" w:rsidR="008900D7" w:rsidRPr="00113395" w:rsidRDefault="00730A01" w:rsidP="008B3CAF">
      <w:pPr>
        <w:pStyle w:val="Paragraphe"/>
        <w:numPr>
          <w:ilvl w:val="0"/>
          <w:numId w:val="0"/>
        </w:numPr>
        <w:spacing w:line="240" w:lineRule="auto"/>
        <w:rPr>
          <w:rFonts w:cs="Arial"/>
          <w:bCs/>
          <w:szCs w:val="24"/>
        </w:rPr>
      </w:pPr>
      <w:r w:rsidRPr="00113395">
        <w:rPr>
          <w:rFonts w:cs="Arial"/>
          <w:bCs/>
          <w:szCs w:val="24"/>
        </w:rPr>
        <w:t>En</w:t>
      </w:r>
      <w:r w:rsidR="00AD4803">
        <w:rPr>
          <w:rFonts w:cs="Arial"/>
          <w:bCs/>
          <w:szCs w:val="24"/>
        </w:rPr>
        <w:t> </w:t>
      </w:r>
      <w:r w:rsidRPr="00113395">
        <w:rPr>
          <w:rFonts w:cs="Arial"/>
          <w:bCs/>
          <w:szCs w:val="24"/>
        </w:rPr>
        <w:t>2020, le montant maximal du prêt FIISH a été porté à 100</w:t>
      </w:r>
      <w:r>
        <w:rPr>
          <w:rFonts w:cs="Arial"/>
          <w:bCs/>
          <w:szCs w:val="24"/>
        </w:rPr>
        <w:t> </w:t>
      </w:r>
      <w:r w:rsidRPr="00113395">
        <w:rPr>
          <w:rFonts w:cs="Arial"/>
          <w:bCs/>
          <w:szCs w:val="24"/>
        </w:rPr>
        <w:t>M$ pour une durée de 3</w:t>
      </w:r>
      <w:r w:rsidR="00AD4803">
        <w:rPr>
          <w:rFonts w:cs="Arial"/>
          <w:bCs/>
          <w:szCs w:val="24"/>
        </w:rPr>
        <w:t> </w:t>
      </w:r>
      <w:r w:rsidRPr="00113395">
        <w:rPr>
          <w:rFonts w:cs="Arial"/>
          <w:bCs/>
          <w:szCs w:val="24"/>
        </w:rPr>
        <w:t>ans, soit du 7</w:t>
      </w:r>
      <w:r w:rsidR="00AD4803">
        <w:rPr>
          <w:rFonts w:cs="Arial"/>
          <w:bCs/>
          <w:szCs w:val="24"/>
        </w:rPr>
        <w:t> </w:t>
      </w:r>
      <w:r w:rsidRPr="00113395">
        <w:rPr>
          <w:rFonts w:cs="Arial"/>
          <w:bCs/>
          <w:szCs w:val="24"/>
        </w:rPr>
        <w:t>avril</w:t>
      </w:r>
      <w:r w:rsidR="00AD4803">
        <w:rPr>
          <w:rFonts w:cs="Arial"/>
          <w:bCs/>
          <w:szCs w:val="24"/>
        </w:rPr>
        <w:t> </w:t>
      </w:r>
      <w:r w:rsidRPr="00113395">
        <w:rPr>
          <w:rFonts w:cs="Arial"/>
          <w:bCs/>
          <w:szCs w:val="24"/>
        </w:rPr>
        <w:t>2020</w:t>
      </w:r>
      <w:r>
        <w:rPr>
          <w:rFonts w:cs="Arial"/>
          <w:bCs/>
          <w:szCs w:val="24"/>
        </w:rPr>
        <w:t xml:space="preserve"> </w:t>
      </w:r>
      <w:r w:rsidRPr="00113395">
        <w:rPr>
          <w:rFonts w:cs="Arial"/>
          <w:bCs/>
          <w:szCs w:val="24"/>
        </w:rPr>
        <w:t>au 6</w:t>
      </w:r>
      <w:r w:rsidR="00AD4803">
        <w:rPr>
          <w:rFonts w:cs="Arial"/>
          <w:bCs/>
          <w:szCs w:val="24"/>
        </w:rPr>
        <w:t> </w:t>
      </w:r>
      <w:r w:rsidRPr="00113395">
        <w:rPr>
          <w:rFonts w:cs="Arial"/>
          <w:bCs/>
          <w:szCs w:val="24"/>
        </w:rPr>
        <w:t>avril</w:t>
      </w:r>
      <w:r w:rsidR="00AD4803">
        <w:rPr>
          <w:rFonts w:cs="Arial"/>
          <w:bCs/>
          <w:szCs w:val="24"/>
        </w:rPr>
        <w:t> </w:t>
      </w:r>
      <w:r w:rsidRPr="00113395">
        <w:rPr>
          <w:rFonts w:cs="Arial"/>
          <w:bCs/>
          <w:szCs w:val="24"/>
        </w:rPr>
        <w:t>2023</w:t>
      </w:r>
      <w:r>
        <w:rPr>
          <w:rStyle w:val="Appelnotedebasdep"/>
          <w:rFonts w:cs="Arial"/>
          <w:bCs/>
          <w:szCs w:val="24"/>
        </w:rPr>
        <w:footnoteReference w:id="567"/>
      </w:r>
      <w:r>
        <w:rPr>
          <w:rFonts w:cs="Arial"/>
          <w:bCs/>
          <w:szCs w:val="24"/>
        </w:rPr>
        <w:t>.</w:t>
      </w:r>
      <w:r w:rsidRPr="00113395">
        <w:rPr>
          <w:rFonts w:cs="Arial"/>
          <w:bCs/>
          <w:szCs w:val="24"/>
        </w:rPr>
        <w:t xml:space="preserve"> Il y a alors eu une avance de fonds de 9,7</w:t>
      </w:r>
      <w:r>
        <w:rPr>
          <w:rFonts w:cs="Arial"/>
          <w:bCs/>
          <w:szCs w:val="24"/>
        </w:rPr>
        <w:t> </w:t>
      </w:r>
      <w:r w:rsidRPr="00113395">
        <w:rPr>
          <w:rFonts w:cs="Arial"/>
          <w:bCs/>
          <w:szCs w:val="24"/>
        </w:rPr>
        <w:t>M$ en avril</w:t>
      </w:r>
      <w:r w:rsidR="00AD4803">
        <w:rPr>
          <w:rFonts w:cs="Arial"/>
          <w:bCs/>
          <w:szCs w:val="24"/>
        </w:rPr>
        <w:t> </w:t>
      </w:r>
      <w:r w:rsidRPr="00113395">
        <w:rPr>
          <w:rFonts w:cs="Arial"/>
          <w:bCs/>
          <w:szCs w:val="24"/>
        </w:rPr>
        <w:t>2020, sans cependant de courriel explicatif comme antérieurement.</w:t>
      </w:r>
    </w:p>
    <w:p w14:paraId="3A1EDE87" w14:textId="77777777" w:rsidR="008900D7" w:rsidRPr="00113395" w:rsidRDefault="00730A01" w:rsidP="008B3CAF">
      <w:pPr>
        <w:pStyle w:val="Paragraphe"/>
        <w:numPr>
          <w:ilvl w:val="0"/>
          <w:numId w:val="0"/>
        </w:numPr>
        <w:spacing w:line="240" w:lineRule="auto"/>
        <w:rPr>
          <w:rFonts w:cs="Arial"/>
          <w:bCs/>
          <w:szCs w:val="24"/>
        </w:rPr>
      </w:pPr>
      <w:r w:rsidRPr="00113395">
        <w:rPr>
          <w:rFonts w:cs="Arial"/>
          <w:bCs/>
          <w:szCs w:val="24"/>
        </w:rPr>
        <w:t>En lien avec cette augmentation et nouvelle avance de fonds, le Tribunal constate les contraventions suivantes des défendeurs :</w:t>
      </w:r>
    </w:p>
    <w:p w14:paraId="4D4BAB72" w14:textId="77777777" w:rsidR="008900D7" w:rsidRPr="0008009B" w:rsidRDefault="00730A01" w:rsidP="0042740E">
      <w:pPr>
        <w:pStyle w:val="Titre3"/>
        <w:numPr>
          <w:ilvl w:val="4"/>
          <w:numId w:val="23"/>
        </w:numPr>
        <w:ind w:left="284" w:hanging="284"/>
        <w:jc w:val="both"/>
        <w:rPr>
          <w:rFonts w:cs="Arial"/>
          <w:bCs/>
          <w:szCs w:val="24"/>
        </w:rPr>
      </w:pPr>
      <w:bookmarkStart w:id="210" w:name="_Toc210992345"/>
      <w:bookmarkStart w:id="211" w:name="_Toc211495282"/>
      <w:bookmarkStart w:id="212" w:name="_Toc211600690"/>
      <w:r w:rsidRPr="00113395">
        <w:rPr>
          <w:rFonts w:cs="Arial"/>
          <w:b/>
          <w:szCs w:val="24"/>
        </w:rPr>
        <w:t>Contraventions à la convention de société en commandite</w:t>
      </w:r>
      <w:r>
        <w:rPr>
          <w:rStyle w:val="Appelnotedebasdep"/>
          <w:rFonts w:cs="Arial"/>
          <w:b/>
          <w:szCs w:val="24"/>
        </w:rPr>
        <w:footnoteReference w:id="568"/>
      </w:r>
      <w:bookmarkEnd w:id="210"/>
      <w:bookmarkEnd w:id="211"/>
      <w:bookmarkEnd w:id="212"/>
    </w:p>
    <w:p w14:paraId="6AFD1C6A" w14:textId="77777777" w:rsidR="00C12315" w:rsidRDefault="00730A01" w:rsidP="00443B59">
      <w:pPr>
        <w:pStyle w:val="Paragraphe"/>
        <w:numPr>
          <w:ilvl w:val="0"/>
          <w:numId w:val="66"/>
        </w:numPr>
        <w:spacing w:line="240" w:lineRule="auto"/>
        <w:ind w:left="567" w:hanging="283"/>
        <w:rPr>
          <w:rFonts w:cs="Arial"/>
          <w:bCs/>
          <w:szCs w:val="24"/>
        </w:rPr>
      </w:pPr>
      <w:r>
        <w:rPr>
          <w:rFonts w:cs="Arial"/>
          <w:bCs/>
          <w:szCs w:val="24"/>
        </w:rPr>
        <w:t>Défaut de protéger ses actifs (art.</w:t>
      </w:r>
      <w:r w:rsidR="00AD4803">
        <w:rPr>
          <w:rFonts w:cs="Arial"/>
          <w:bCs/>
          <w:szCs w:val="24"/>
        </w:rPr>
        <w:t> </w:t>
      </w:r>
      <w:r>
        <w:rPr>
          <w:rFonts w:cs="Arial"/>
          <w:bCs/>
          <w:szCs w:val="24"/>
        </w:rPr>
        <w:t>2.5.3).</w:t>
      </w:r>
    </w:p>
    <w:p w14:paraId="0B37ECD9" w14:textId="77777777" w:rsidR="00C12315" w:rsidRDefault="00730A01" w:rsidP="00443B59">
      <w:pPr>
        <w:pStyle w:val="Paragraphe"/>
        <w:numPr>
          <w:ilvl w:val="0"/>
          <w:numId w:val="66"/>
        </w:numPr>
        <w:spacing w:line="240" w:lineRule="auto"/>
        <w:ind w:left="567" w:hanging="283"/>
        <w:rPr>
          <w:rFonts w:cs="Arial"/>
          <w:bCs/>
          <w:szCs w:val="24"/>
        </w:rPr>
      </w:pPr>
      <w:r w:rsidRPr="00C12315">
        <w:rPr>
          <w:rFonts w:cs="Arial"/>
          <w:bCs/>
          <w:szCs w:val="24"/>
        </w:rPr>
        <w:t>Non-respect de l’obligation de loyauté et de dévouement du commandité (art.</w:t>
      </w:r>
      <w:r w:rsidR="00AD4803">
        <w:rPr>
          <w:rFonts w:cs="Arial"/>
          <w:bCs/>
          <w:szCs w:val="24"/>
        </w:rPr>
        <w:t> </w:t>
      </w:r>
      <w:r w:rsidRPr="00C12315">
        <w:rPr>
          <w:rFonts w:cs="Arial"/>
          <w:bCs/>
          <w:szCs w:val="24"/>
        </w:rPr>
        <w:t>8.4).</w:t>
      </w:r>
    </w:p>
    <w:p w14:paraId="7B85E851" w14:textId="77777777" w:rsidR="00C12315" w:rsidRDefault="00730A01" w:rsidP="00443B59">
      <w:pPr>
        <w:pStyle w:val="Paragraphe"/>
        <w:numPr>
          <w:ilvl w:val="0"/>
          <w:numId w:val="66"/>
        </w:numPr>
        <w:spacing w:line="240" w:lineRule="auto"/>
        <w:ind w:left="567" w:hanging="283"/>
        <w:rPr>
          <w:rFonts w:cs="Arial"/>
          <w:bCs/>
          <w:szCs w:val="24"/>
        </w:rPr>
      </w:pPr>
      <w:r w:rsidRPr="00C12315">
        <w:rPr>
          <w:rFonts w:cs="Arial"/>
          <w:bCs/>
          <w:szCs w:val="24"/>
        </w:rPr>
        <w:t>Défaut d’aviser par écrit les commanditaires de l’existence des défauts d’Huot aux termes des conventions de financement (art.</w:t>
      </w:r>
      <w:r w:rsidR="00A07B0C">
        <w:rPr>
          <w:rFonts w:cs="Arial"/>
          <w:bCs/>
          <w:szCs w:val="24"/>
        </w:rPr>
        <w:t> </w:t>
      </w:r>
      <w:r w:rsidRPr="00C12315">
        <w:rPr>
          <w:rFonts w:cs="Arial"/>
          <w:bCs/>
          <w:szCs w:val="24"/>
        </w:rPr>
        <w:t>10.3).</w:t>
      </w:r>
    </w:p>
    <w:p w14:paraId="5B2E6110" w14:textId="77777777" w:rsidR="008900D7" w:rsidRPr="00C12315" w:rsidRDefault="00730A01" w:rsidP="00443B59">
      <w:pPr>
        <w:pStyle w:val="Paragraphe"/>
        <w:numPr>
          <w:ilvl w:val="0"/>
          <w:numId w:val="66"/>
        </w:numPr>
        <w:spacing w:line="240" w:lineRule="auto"/>
        <w:ind w:left="567" w:hanging="283"/>
        <w:rPr>
          <w:rFonts w:cs="Arial"/>
          <w:bCs/>
          <w:szCs w:val="24"/>
        </w:rPr>
      </w:pPr>
      <w:r w:rsidRPr="00C12315">
        <w:rPr>
          <w:rFonts w:cs="Arial"/>
          <w:bCs/>
          <w:szCs w:val="24"/>
        </w:rPr>
        <w:t>La convention de société en commandite a été amendée le 7 avril 2020</w:t>
      </w:r>
      <w:r>
        <w:rPr>
          <w:rStyle w:val="Appelnotedebasdep"/>
          <w:rFonts w:cs="Arial"/>
          <w:bCs/>
          <w:szCs w:val="24"/>
        </w:rPr>
        <w:footnoteReference w:id="569"/>
      </w:r>
      <w:r w:rsidRPr="00C12315">
        <w:rPr>
          <w:rFonts w:cs="Arial"/>
          <w:bCs/>
          <w:szCs w:val="24"/>
        </w:rPr>
        <w:t xml:space="preserve"> et le prêt a été augmenté à 100 M$ (art.</w:t>
      </w:r>
      <w:r w:rsidR="00A07B0C">
        <w:rPr>
          <w:rFonts w:cs="Arial"/>
          <w:bCs/>
          <w:szCs w:val="24"/>
        </w:rPr>
        <w:t> </w:t>
      </w:r>
      <w:r w:rsidRPr="00C12315">
        <w:rPr>
          <w:rFonts w:cs="Arial"/>
          <w:bCs/>
          <w:szCs w:val="24"/>
        </w:rPr>
        <w:t>4 et Stratégie de prêt Annexe</w:t>
      </w:r>
      <w:r w:rsidR="00A07B0C">
        <w:rPr>
          <w:rFonts w:cs="Arial"/>
          <w:bCs/>
          <w:szCs w:val="24"/>
        </w:rPr>
        <w:t> </w:t>
      </w:r>
      <w:r w:rsidRPr="00C12315">
        <w:rPr>
          <w:rFonts w:cs="Arial"/>
          <w:bCs/>
          <w:szCs w:val="24"/>
        </w:rPr>
        <w:t>A-2). Tout déboursé additionnel devait être au préalable justifié par un ratio d’équité au moins équivalent à celui existant à cette date (Annexe</w:t>
      </w:r>
      <w:r w:rsidR="00A07B0C">
        <w:rPr>
          <w:rFonts w:cs="Arial"/>
          <w:bCs/>
          <w:szCs w:val="24"/>
        </w:rPr>
        <w:t> </w:t>
      </w:r>
      <w:r w:rsidRPr="00C12315">
        <w:rPr>
          <w:rFonts w:cs="Arial"/>
          <w:bCs/>
          <w:szCs w:val="24"/>
        </w:rPr>
        <w:t>A-2, par.</w:t>
      </w:r>
      <w:r w:rsidR="00A07B0C">
        <w:rPr>
          <w:rFonts w:cs="Arial"/>
          <w:bCs/>
          <w:szCs w:val="24"/>
        </w:rPr>
        <w:t> </w:t>
      </w:r>
      <w:r w:rsidRPr="00C12315">
        <w:rPr>
          <w:rFonts w:cs="Arial"/>
          <w:bCs/>
          <w:szCs w:val="24"/>
        </w:rPr>
        <w:t>2), alors que :</w:t>
      </w:r>
    </w:p>
    <w:p w14:paraId="1D4E838C" w14:textId="77777777" w:rsidR="00C12315" w:rsidRDefault="00730A01" w:rsidP="0042740E">
      <w:pPr>
        <w:pStyle w:val="Paragraphe"/>
        <w:numPr>
          <w:ilvl w:val="0"/>
          <w:numId w:val="24"/>
        </w:numPr>
        <w:spacing w:line="240" w:lineRule="auto"/>
        <w:ind w:left="567" w:hanging="283"/>
        <w:rPr>
          <w:rFonts w:cs="Arial"/>
          <w:bCs/>
          <w:szCs w:val="24"/>
        </w:rPr>
      </w:pPr>
      <w:r>
        <w:rPr>
          <w:rFonts w:cs="Arial"/>
          <w:bCs/>
          <w:szCs w:val="24"/>
        </w:rPr>
        <w:t>Les opérations du Groupe Huot ont été déficitaires de</w:t>
      </w:r>
      <w:r w:rsidR="00A07B0C">
        <w:rPr>
          <w:rFonts w:cs="Arial"/>
          <w:bCs/>
          <w:szCs w:val="24"/>
        </w:rPr>
        <w:t> </w:t>
      </w:r>
      <w:r>
        <w:rPr>
          <w:rFonts w:cs="Arial"/>
          <w:bCs/>
          <w:szCs w:val="24"/>
        </w:rPr>
        <w:t>2017 à</w:t>
      </w:r>
      <w:r w:rsidR="00A07B0C">
        <w:rPr>
          <w:rFonts w:cs="Arial"/>
          <w:bCs/>
          <w:szCs w:val="24"/>
        </w:rPr>
        <w:t> </w:t>
      </w:r>
      <w:r>
        <w:rPr>
          <w:rFonts w:cs="Arial"/>
          <w:bCs/>
          <w:szCs w:val="24"/>
        </w:rPr>
        <w:t>2022 et</w:t>
      </w:r>
      <w:r w:rsidR="00CA4A83">
        <w:rPr>
          <w:rFonts w:cs="Arial"/>
          <w:bCs/>
          <w:szCs w:val="24"/>
        </w:rPr>
        <w:t xml:space="preserve"> si l’on regarde seulement l’année 2020, </w:t>
      </w:r>
      <w:r>
        <w:rPr>
          <w:rFonts w:cs="Arial"/>
          <w:bCs/>
          <w:szCs w:val="24"/>
        </w:rPr>
        <w:t>le déficit de liquidité</w:t>
      </w:r>
      <w:r w:rsidR="00CA4A83">
        <w:rPr>
          <w:rFonts w:cs="Arial"/>
          <w:bCs/>
          <w:szCs w:val="24"/>
        </w:rPr>
        <w:t xml:space="preserve"> total </w:t>
      </w:r>
      <w:r>
        <w:rPr>
          <w:rFonts w:cs="Arial"/>
          <w:bCs/>
          <w:szCs w:val="24"/>
        </w:rPr>
        <w:t xml:space="preserve">était de 5 853 367 $ </w:t>
      </w:r>
      <w:r w:rsidR="00CA4A83">
        <w:rPr>
          <w:rFonts w:cs="Arial"/>
          <w:bCs/>
          <w:szCs w:val="24"/>
        </w:rPr>
        <w:t>pour cette année</w:t>
      </w:r>
      <w:r>
        <w:rPr>
          <w:rStyle w:val="Appelnotedebasdep"/>
          <w:rFonts w:cs="Arial"/>
          <w:bCs/>
          <w:szCs w:val="24"/>
        </w:rPr>
        <w:footnoteReference w:id="570"/>
      </w:r>
      <w:r>
        <w:rPr>
          <w:rFonts w:cs="Arial"/>
          <w:bCs/>
          <w:szCs w:val="24"/>
        </w:rPr>
        <w:t>;</w:t>
      </w:r>
    </w:p>
    <w:p w14:paraId="68195871" w14:textId="77777777" w:rsidR="00890850" w:rsidRDefault="00730A01" w:rsidP="0042740E">
      <w:pPr>
        <w:pStyle w:val="Paragraphe"/>
        <w:numPr>
          <w:ilvl w:val="0"/>
          <w:numId w:val="24"/>
        </w:numPr>
        <w:spacing w:line="240" w:lineRule="auto"/>
        <w:ind w:left="567" w:hanging="283"/>
        <w:rPr>
          <w:rFonts w:cs="Arial"/>
          <w:bCs/>
          <w:szCs w:val="24"/>
        </w:rPr>
      </w:pPr>
      <w:r w:rsidRPr="00C12315">
        <w:rPr>
          <w:rFonts w:cs="Arial"/>
          <w:bCs/>
          <w:szCs w:val="24"/>
        </w:rPr>
        <w:t>De</w:t>
      </w:r>
      <w:r w:rsidR="00A07B0C">
        <w:rPr>
          <w:rFonts w:cs="Arial"/>
          <w:bCs/>
          <w:szCs w:val="24"/>
        </w:rPr>
        <w:t> </w:t>
      </w:r>
      <w:r w:rsidRPr="00C12315">
        <w:rPr>
          <w:rFonts w:cs="Arial"/>
          <w:bCs/>
          <w:szCs w:val="24"/>
        </w:rPr>
        <w:t>2017 à</w:t>
      </w:r>
      <w:r w:rsidR="00A07B0C">
        <w:rPr>
          <w:rFonts w:cs="Arial"/>
          <w:bCs/>
          <w:szCs w:val="24"/>
        </w:rPr>
        <w:t> </w:t>
      </w:r>
      <w:r w:rsidRPr="00C12315">
        <w:rPr>
          <w:rFonts w:cs="Arial"/>
          <w:bCs/>
          <w:szCs w:val="24"/>
        </w:rPr>
        <w:t>2022, Huot était incapable de payer les frais et intérêts du prêt FIISH et devait donc s’endetter davantage pour les payer</w:t>
      </w:r>
      <w:r>
        <w:rPr>
          <w:rStyle w:val="Appelnotedebasdep"/>
          <w:rFonts w:cs="Arial"/>
          <w:bCs/>
          <w:szCs w:val="24"/>
        </w:rPr>
        <w:footnoteReference w:id="571"/>
      </w:r>
      <w:r w:rsidRPr="00C12315">
        <w:rPr>
          <w:rFonts w:cs="Arial"/>
          <w:bCs/>
          <w:szCs w:val="24"/>
        </w:rPr>
        <w:t>.</w:t>
      </w:r>
    </w:p>
    <w:p w14:paraId="2F62C4F0" w14:textId="77777777" w:rsidR="008900D7" w:rsidRPr="00113395" w:rsidRDefault="00730A01" w:rsidP="0042740E">
      <w:pPr>
        <w:pStyle w:val="Titre3"/>
        <w:numPr>
          <w:ilvl w:val="4"/>
          <w:numId w:val="23"/>
        </w:numPr>
        <w:ind w:left="284" w:hanging="284"/>
        <w:jc w:val="both"/>
        <w:rPr>
          <w:rFonts w:cs="Arial"/>
          <w:bCs/>
          <w:szCs w:val="24"/>
        </w:rPr>
      </w:pPr>
      <w:bookmarkStart w:id="213" w:name="_Toc210992346"/>
      <w:bookmarkStart w:id="214" w:name="_Toc211495283"/>
      <w:bookmarkStart w:id="215" w:name="_Toc211600691"/>
      <w:r>
        <w:rPr>
          <w:rFonts w:cs="Arial"/>
          <w:b/>
          <w:szCs w:val="24"/>
        </w:rPr>
        <w:t>Contraventions à la convention de prêt 2020</w:t>
      </w:r>
      <w:r>
        <w:rPr>
          <w:rStyle w:val="Appelnotedebasdep"/>
          <w:rFonts w:cs="Arial"/>
          <w:bCs/>
          <w:szCs w:val="24"/>
        </w:rPr>
        <w:footnoteReference w:id="572"/>
      </w:r>
      <w:bookmarkEnd w:id="213"/>
      <w:bookmarkEnd w:id="214"/>
      <w:bookmarkEnd w:id="215"/>
    </w:p>
    <w:p w14:paraId="7B29F583" w14:textId="77777777" w:rsidR="008900D7" w:rsidRDefault="00730A01" w:rsidP="004A72E9">
      <w:pPr>
        <w:pStyle w:val="Paragraphe"/>
        <w:numPr>
          <w:ilvl w:val="0"/>
          <w:numId w:val="0"/>
        </w:numPr>
        <w:spacing w:line="240" w:lineRule="auto"/>
        <w:ind w:left="284"/>
        <w:rPr>
          <w:rFonts w:cs="Arial"/>
          <w:bCs/>
          <w:szCs w:val="24"/>
        </w:rPr>
      </w:pPr>
      <w:r>
        <w:rPr>
          <w:rFonts w:cs="Arial"/>
          <w:bCs/>
          <w:szCs w:val="24"/>
        </w:rPr>
        <w:t>Les nouvelles mises de fonds de 9,7 M$ afin d’augmenter le prêt à 100 M$ ont servi à :</w:t>
      </w:r>
    </w:p>
    <w:p w14:paraId="13BCA9FD" w14:textId="77777777" w:rsidR="008900D7" w:rsidRDefault="00730A01" w:rsidP="0042740E">
      <w:pPr>
        <w:pStyle w:val="Paragraphe"/>
        <w:numPr>
          <w:ilvl w:val="0"/>
          <w:numId w:val="24"/>
        </w:numPr>
        <w:spacing w:line="240" w:lineRule="auto"/>
        <w:ind w:left="567" w:hanging="284"/>
        <w:rPr>
          <w:rFonts w:cs="Arial"/>
          <w:bCs/>
          <w:szCs w:val="24"/>
        </w:rPr>
      </w:pPr>
      <w:r>
        <w:rPr>
          <w:rFonts w:cs="Arial"/>
          <w:b/>
          <w:szCs w:val="24"/>
        </w:rPr>
        <w:t xml:space="preserve">Transaction Ponzi : </w:t>
      </w:r>
      <w:r w:rsidRPr="00E9095D">
        <w:rPr>
          <w:rFonts w:cs="Arial"/>
          <w:bCs/>
          <w:szCs w:val="24"/>
        </w:rPr>
        <w:t>payer 725 516 $ à FIISH pour les intérêts d’avril</w:t>
      </w:r>
      <w:r w:rsidR="00A07B0C">
        <w:rPr>
          <w:rFonts w:cs="Arial"/>
          <w:bCs/>
          <w:szCs w:val="24"/>
        </w:rPr>
        <w:t> </w:t>
      </w:r>
      <w:r w:rsidRPr="00E9095D">
        <w:rPr>
          <w:rFonts w:cs="Arial"/>
          <w:bCs/>
          <w:szCs w:val="24"/>
        </w:rPr>
        <w:t>2020</w:t>
      </w:r>
      <w:r>
        <w:rPr>
          <w:rStyle w:val="Appelnotedebasdep"/>
          <w:rFonts w:cs="Arial"/>
          <w:bCs/>
          <w:szCs w:val="24"/>
        </w:rPr>
        <w:footnoteReference w:id="573"/>
      </w:r>
      <w:r w:rsidRPr="00E9095D">
        <w:rPr>
          <w:rFonts w:cs="Arial"/>
          <w:bCs/>
          <w:szCs w:val="24"/>
        </w:rPr>
        <w:t xml:space="preserve"> </w:t>
      </w:r>
      <w:r>
        <w:rPr>
          <w:rFonts w:cs="Arial"/>
          <w:bCs/>
          <w:szCs w:val="24"/>
        </w:rPr>
        <w:t>alors que le prêt devait servir uniquement aux activités immobilières et être remis à Huot immobilier (art.</w:t>
      </w:r>
      <w:r w:rsidR="00A07B0C">
        <w:rPr>
          <w:rFonts w:cs="Arial"/>
          <w:bCs/>
          <w:szCs w:val="24"/>
        </w:rPr>
        <w:t> </w:t>
      </w:r>
      <w:r>
        <w:rPr>
          <w:rFonts w:cs="Arial"/>
          <w:bCs/>
          <w:szCs w:val="24"/>
        </w:rPr>
        <w:t>12.1.5);</w:t>
      </w:r>
    </w:p>
    <w:p w14:paraId="47D20B14" w14:textId="77777777" w:rsidR="008900D7" w:rsidRPr="008E6C71" w:rsidRDefault="00730A01" w:rsidP="0042740E">
      <w:pPr>
        <w:pStyle w:val="Paragraphe"/>
        <w:numPr>
          <w:ilvl w:val="0"/>
          <w:numId w:val="24"/>
        </w:numPr>
        <w:spacing w:line="240" w:lineRule="auto"/>
        <w:ind w:left="567" w:hanging="284"/>
        <w:rPr>
          <w:rFonts w:cs="Arial"/>
          <w:b/>
          <w:szCs w:val="24"/>
        </w:rPr>
      </w:pPr>
      <w:r w:rsidRPr="008E6C71">
        <w:rPr>
          <w:rFonts w:cs="Arial"/>
          <w:b/>
          <w:szCs w:val="24"/>
        </w:rPr>
        <w:t xml:space="preserve">Débours Giroux : </w:t>
      </w:r>
      <w:r w:rsidRPr="00E9095D">
        <w:rPr>
          <w:rFonts w:cs="Arial"/>
          <w:bCs/>
          <w:szCs w:val="24"/>
        </w:rPr>
        <w:t>payer plus de 7,3 M$ à 9797 en remboursement de frais et intérêts impayés</w:t>
      </w:r>
      <w:r>
        <w:rPr>
          <w:rStyle w:val="Appelnotedebasdep"/>
          <w:rFonts w:cs="Arial"/>
          <w:bCs/>
          <w:szCs w:val="24"/>
        </w:rPr>
        <w:footnoteReference w:id="574"/>
      </w:r>
      <w:r w:rsidRPr="00E9095D">
        <w:rPr>
          <w:rFonts w:cs="Arial"/>
          <w:bCs/>
          <w:szCs w:val="24"/>
        </w:rPr>
        <w:t>,</w:t>
      </w:r>
      <w:r>
        <w:rPr>
          <w:rFonts w:cs="Arial"/>
          <w:bCs/>
          <w:szCs w:val="24"/>
        </w:rPr>
        <w:t xml:space="preserve"> alors que le prêt devait servir uniquement aux activités immobilières et être remis à Huot immobilier (art.</w:t>
      </w:r>
      <w:r w:rsidR="00A07B0C">
        <w:rPr>
          <w:rFonts w:cs="Arial"/>
          <w:bCs/>
          <w:szCs w:val="24"/>
        </w:rPr>
        <w:t> </w:t>
      </w:r>
      <w:r>
        <w:rPr>
          <w:rFonts w:cs="Arial"/>
          <w:bCs/>
          <w:szCs w:val="24"/>
        </w:rPr>
        <w:t>12.1.5);</w:t>
      </w:r>
    </w:p>
    <w:p w14:paraId="5FFFD2A2" w14:textId="77777777" w:rsidR="008900D7" w:rsidRPr="008E6C71" w:rsidRDefault="00730A01" w:rsidP="0042740E">
      <w:pPr>
        <w:pStyle w:val="Paragraphe"/>
        <w:numPr>
          <w:ilvl w:val="0"/>
          <w:numId w:val="24"/>
        </w:numPr>
        <w:spacing w:line="240" w:lineRule="auto"/>
        <w:ind w:left="567" w:hanging="284"/>
        <w:rPr>
          <w:rFonts w:cs="Arial"/>
          <w:b/>
          <w:szCs w:val="24"/>
        </w:rPr>
      </w:pPr>
      <w:r>
        <w:rPr>
          <w:rFonts w:cs="Arial"/>
          <w:bCs/>
          <w:szCs w:val="24"/>
        </w:rPr>
        <w:t>8096 a consenti un prêt de 7 M$ à Huot qui a été utilisé pour payer les frais de dossier et frais de services financiers d’avril</w:t>
      </w:r>
      <w:r w:rsidR="00A07B0C">
        <w:rPr>
          <w:rFonts w:cs="Arial"/>
          <w:bCs/>
          <w:szCs w:val="24"/>
        </w:rPr>
        <w:t> </w:t>
      </w:r>
      <w:r>
        <w:rPr>
          <w:rFonts w:cs="Arial"/>
          <w:bCs/>
          <w:szCs w:val="24"/>
        </w:rPr>
        <w:t>2020 au montant de 3 189 941 $ pour le prêt FIISH et de 222 657 $ pour ce prêt de 8096, en sus des honoraires professionnels afférents au renouvellement du prêt FIISH</w:t>
      </w:r>
      <w:r>
        <w:rPr>
          <w:rStyle w:val="Appelnotedebasdep"/>
          <w:rFonts w:cs="Arial"/>
          <w:bCs/>
          <w:szCs w:val="24"/>
        </w:rPr>
        <w:footnoteReference w:id="575"/>
      </w:r>
      <w:r>
        <w:rPr>
          <w:rFonts w:cs="Arial"/>
          <w:bCs/>
          <w:szCs w:val="24"/>
        </w:rPr>
        <w:t>, et ce, alors qu’Huot ne devait pas contracter d’autres dettes que celles découlant d’opérations courantes (art.</w:t>
      </w:r>
      <w:r w:rsidR="00A07B0C">
        <w:rPr>
          <w:rFonts w:cs="Arial"/>
          <w:bCs/>
          <w:szCs w:val="24"/>
        </w:rPr>
        <w:t> </w:t>
      </w:r>
      <w:r>
        <w:rPr>
          <w:rFonts w:cs="Arial"/>
          <w:bCs/>
          <w:szCs w:val="24"/>
        </w:rPr>
        <w:t>11.4);</w:t>
      </w:r>
    </w:p>
    <w:p w14:paraId="74407EEB" w14:textId="77777777" w:rsidR="00E9095D" w:rsidRDefault="00730A01" w:rsidP="0042740E">
      <w:pPr>
        <w:pStyle w:val="Paragraphe"/>
        <w:numPr>
          <w:ilvl w:val="0"/>
          <w:numId w:val="24"/>
        </w:numPr>
        <w:spacing w:line="240" w:lineRule="auto"/>
        <w:ind w:left="567" w:hanging="284"/>
        <w:rPr>
          <w:rFonts w:cs="Arial"/>
          <w:b/>
          <w:szCs w:val="24"/>
        </w:rPr>
      </w:pPr>
      <w:r>
        <w:rPr>
          <w:rFonts w:cs="Arial"/>
          <w:bCs/>
          <w:szCs w:val="24"/>
        </w:rPr>
        <w:t>Défaut résultant des déboursés additionnels à l’emprunteur au lieu d’exercer les recours prévus à la convention de prêt au cas de défaut (art.</w:t>
      </w:r>
      <w:r w:rsidR="00A07B0C">
        <w:rPr>
          <w:rFonts w:cs="Arial"/>
          <w:bCs/>
          <w:szCs w:val="24"/>
        </w:rPr>
        <w:t> </w:t>
      </w:r>
      <w:r>
        <w:rPr>
          <w:rFonts w:cs="Arial"/>
          <w:bCs/>
          <w:szCs w:val="24"/>
        </w:rPr>
        <w:t>3.1 et 20), vu que le non-paiement des sommes dues constitue un cas de défaut (art.</w:t>
      </w:r>
      <w:r w:rsidR="00A07B0C">
        <w:rPr>
          <w:rFonts w:cs="Arial"/>
          <w:bCs/>
          <w:szCs w:val="24"/>
        </w:rPr>
        <w:t> </w:t>
      </w:r>
      <w:r>
        <w:rPr>
          <w:rFonts w:cs="Arial"/>
          <w:bCs/>
          <w:szCs w:val="24"/>
        </w:rPr>
        <w:t>17.1.1).</w:t>
      </w:r>
    </w:p>
    <w:p w14:paraId="6951F70D" w14:textId="77777777" w:rsidR="00E9095D" w:rsidRDefault="00730A01" w:rsidP="0042740E">
      <w:pPr>
        <w:pStyle w:val="Paragraphe"/>
        <w:numPr>
          <w:ilvl w:val="0"/>
          <w:numId w:val="24"/>
        </w:numPr>
        <w:spacing w:line="240" w:lineRule="auto"/>
        <w:ind w:left="567" w:hanging="284"/>
        <w:rPr>
          <w:rFonts w:cs="Arial"/>
          <w:b/>
          <w:szCs w:val="24"/>
        </w:rPr>
      </w:pPr>
      <w:r w:rsidRPr="00E9095D">
        <w:rPr>
          <w:rFonts w:cs="Arial"/>
          <w:bCs/>
          <w:szCs w:val="24"/>
        </w:rPr>
        <w:t>Défaut résultant du fait de ne pas avoir publié l’hypothèque immobilière au montant de 100 M$ contre les immeubles du Groupe Huot dès le premier cas de défaut d’Huot (art.</w:t>
      </w:r>
      <w:r w:rsidR="00A07B0C">
        <w:rPr>
          <w:rFonts w:cs="Arial"/>
          <w:bCs/>
          <w:szCs w:val="24"/>
        </w:rPr>
        <w:t> </w:t>
      </w:r>
      <w:r w:rsidRPr="00E9095D">
        <w:rPr>
          <w:rFonts w:cs="Arial"/>
          <w:bCs/>
          <w:szCs w:val="24"/>
        </w:rPr>
        <w:t>10.1.8 et 10.2).</w:t>
      </w:r>
    </w:p>
    <w:p w14:paraId="087FAD54" w14:textId="77777777" w:rsidR="008900D7" w:rsidRPr="00E9095D" w:rsidRDefault="00730A01" w:rsidP="0042740E">
      <w:pPr>
        <w:pStyle w:val="Paragraphe"/>
        <w:numPr>
          <w:ilvl w:val="0"/>
          <w:numId w:val="24"/>
        </w:numPr>
        <w:spacing w:line="240" w:lineRule="auto"/>
        <w:ind w:left="567" w:hanging="284"/>
        <w:rPr>
          <w:rFonts w:cs="Arial"/>
          <w:b/>
          <w:szCs w:val="24"/>
        </w:rPr>
      </w:pPr>
      <w:r w:rsidRPr="00E9095D">
        <w:rPr>
          <w:rFonts w:cs="Arial"/>
          <w:bCs/>
          <w:szCs w:val="24"/>
        </w:rPr>
        <w:t>Défaut de ne pas avoir exigé l’attestation mensuelle certifiant qu’Huot respectait ses obligations aux termes du prêt et qu’il n’existait aucun cas de défaut (art.</w:t>
      </w:r>
      <w:r w:rsidR="00A07B0C">
        <w:rPr>
          <w:rFonts w:cs="Arial"/>
          <w:bCs/>
          <w:szCs w:val="24"/>
        </w:rPr>
        <w:t> </w:t>
      </w:r>
      <w:r w:rsidRPr="00E9095D">
        <w:rPr>
          <w:rFonts w:cs="Arial"/>
          <w:bCs/>
          <w:szCs w:val="24"/>
        </w:rPr>
        <w:t>11.6)</w:t>
      </w:r>
      <w:r>
        <w:rPr>
          <w:rStyle w:val="Appelnotedebasdep"/>
          <w:rFonts w:cs="Arial"/>
          <w:bCs/>
          <w:szCs w:val="24"/>
        </w:rPr>
        <w:footnoteReference w:id="576"/>
      </w:r>
      <w:r w:rsidRPr="00E9095D">
        <w:rPr>
          <w:rFonts w:cs="Arial"/>
          <w:bCs/>
          <w:szCs w:val="24"/>
        </w:rPr>
        <w:t xml:space="preserve"> ni les attestations de paiement des dettes fiscales (art.</w:t>
      </w:r>
      <w:r w:rsidR="00A07B0C">
        <w:rPr>
          <w:rFonts w:cs="Arial"/>
          <w:bCs/>
          <w:szCs w:val="24"/>
        </w:rPr>
        <w:t> </w:t>
      </w:r>
      <w:r w:rsidRPr="00E9095D">
        <w:rPr>
          <w:rFonts w:cs="Arial"/>
          <w:bCs/>
          <w:szCs w:val="24"/>
        </w:rPr>
        <w:t>14.1.2)</w:t>
      </w:r>
      <w:r>
        <w:rPr>
          <w:rStyle w:val="Appelnotedebasdep"/>
          <w:rFonts w:cs="Arial"/>
          <w:bCs/>
          <w:szCs w:val="24"/>
        </w:rPr>
        <w:footnoteReference w:id="577"/>
      </w:r>
      <w:r w:rsidR="00A07B0C">
        <w:rPr>
          <w:rFonts w:cs="Arial"/>
          <w:bCs/>
          <w:szCs w:val="24"/>
        </w:rPr>
        <w:t>.</w:t>
      </w:r>
    </w:p>
    <w:p w14:paraId="25292FCE" w14:textId="77777777" w:rsidR="008900D7" w:rsidRDefault="00730A01" w:rsidP="0042740E">
      <w:pPr>
        <w:pStyle w:val="Paragraphe"/>
        <w:numPr>
          <w:ilvl w:val="0"/>
          <w:numId w:val="24"/>
        </w:numPr>
        <w:spacing w:line="240" w:lineRule="auto"/>
        <w:ind w:left="567" w:hanging="283"/>
        <w:rPr>
          <w:rFonts w:cs="Arial"/>
          <w:bCs/>
          <w:szCs w:val="24"/>
        </w:rPr>
      </w:pPr>
      <w:r>
        <w:rPr>
          <w:rFonts w:cs="Arial"/>
          <w:bCs/>
          <w:szCs w:val="24"/>
        </w:rPr>
        <w:t>En 2020, le Groupe Huot avait des taxes municipales impayées cumulatives de 86 k$ et TPS/TVQ impayées cumulatives de 2,1 M$</w:t>
      </w:r>
      <w:r>
        <w:rPr>
          <w:rStyle w:val="Appelnotedebasdep"/>
          <w:rFonts w:cs="Arial"/>
          <w:bCs/>
          <w:szCs w:val="24"/>
        </w:rPr>
        <w:footnoteReference w:id="578"/>
      </w:r>
      <w:r>
        <w:rPr>
          <w:rFonts w:cs="Arial"/>
          <w:bCs/>
          <w:szCs w:val="24"/>
        </w:rPr>
        <w:t>.</w:t>
      </w:r>
    </w:p>
    <w:p w14:paraId="381BC5D5" w14:textId="77777777" w:rsidR="00E9095D" w:rsidRDefault="00730A01" w:rsidP="0042740E">
      <w:pPr>
        <w:pStyle w:val="Paragraphe"/>
        <w:numPr>
          <w:ilvl w:val="0"/>
          <w:numId w:val="24"/>
        </w:numPr>
        <w:spacing w:line="240" w:lineRule="auto"/>
        <w:ind w:left="567" w:hanging="284"/>
        <w:rPr>
          <w:rFonts w:cs="Arial"/>
          <w:bCs/>
          <w:szCs w:val="24"/>
        </w:rPr>
      </w:pPr>
      <w:r>
        <w:rPr>
          <w:rFonts w:cs="Arial"/>
          <w:bCs/>
          <w:szCs w:val="24"/>
        </w:rPr>
        <w:t>Défaut de s’assurer de l’utilisation conforme de tout déboursé (art.</w:t>
      </w:r>
      <w:r w:rsidR="00A07B0C">
        <w:rPr>
          <w:rFonts w:cs="Arial"/>
          <w:bCs/>
          <w:szCs w:val="24"/>
        </w:rPr>
        <w:t> </w:t>
      </w:r>
      <w:r>
        <w:rPr>
          <w:rFonts w:cs="Arial"/>
          <w:bCs/>
          <w:szCs w:val="24"/>
        </w:rPr>
        <w:t>11.10) et de l’utilisation des flux de trésorerie (art.</w:t>
      </w:r>
      <w:r w:rsidR="00A07B0C">
        <w:rPr>
          <w:rFonts w:cs="Arial"/>
          <w:bCs/>
          <w:szCs w:val="24"/>
        </w:rPr>
        <w:t> </w:t>
      </w:r>
      <w:r>
        <w:rPr>
          <w:rFonts w:cs="Arial"/>
          <w:bCs/>
          <w:szCs w:val="24"/>
        </w:rPr>
        <w:t>11.11)</w:t>
      </w:r>
      <w:r>
        <w:rPr>
          <w:rStyle w:val="Appelnotedebasdep"/>
          <w:rFonts w:cs="Arial"/>
          <w:bCs/>
          <w:szCs w:val="24"/>
        </w:rPr>
        <w:footnoteReference w:id="579"/>
      </w:r>
      <w:r>
        <w:rPr>
          <w:rFonts w:cs="Arial"/>
          <w:bCs/>
          <w:szCs w:val="24"/>
        </w:rPr>
        <w:t>.</w:t>
      </w:r>
    </w:p>
    <w:p w14:paraId="1C81479C" w14:textId="77777777" w:rsidR="008900D7" w:rsidRPr="00E9095D" w:rsidRDefault="00730A01" w:rsidP="0042740E">
      <w:pPr>
        <w:pStyle w:val="Paragraphe"/>
        <w:numPr>
          <w:ilvl w:val="0"/>
          <w:numId w:val="24"/>
        </w:numPr>
        <w:spacing w:line="240" w:lineRule="auto"/>
        <w:ind w:left="567" w:hanging="284"/>
        <w:rPr>
          <w:rFonts w:cs="Arial"/>
          <w:bCs/>
          <w:szCs w:val="24"/>
        </w:rPr>
      </w:pPr>
      <w:r w:rsidRPr="00E9095D">
        <w:rPr>
          <w:rFonts w:cs="Arial"/>
          <w:bCs/>
          <w:szCs w:val="24"/>
        </w:rPr>
        <w:t>Défaut résultant du dépassement des ratios d’équité (art.</w:t>
      </w:r>
      <w:r w:rsidR="00A07B0C">
        <w:rPr>
          <w:rFonts w:cs="Arial"/>
          <w:bCs/>
          <w:szCs w:val="24"/>
        </w:rPr>
        <w:t> </w:t>
      </w:r>
      <w:r w:rsidRPr="00E9095D">
        <w:rPr>
          <w:rFonts w:cs="Arial"/>
          <w:bCs/>
          <w:szCs w:val="24"/>
        </w:rPr>
        <w:t>17.1.5)</w:t>
      </w:r>
      <w:r>
        <w:rPr>
          <w:rStyle w:val="Appelnotedebasdep"/>
          <w:rFonts w:cs="Arial"/>
          <w:bCs/>
          <w:szCs w:val="24"/>
        </w:rPr>
        <w:footnoteReference w:id="580"/>
      </w:r>
      <w:r w:rsidRPr="00E9095D">
        <w:rPr>
          <w:rFonts w:cs="Arial"/>
          <w:bCs/>
          <w:szCs w:val="24"/>
        </w:rPr>
        <w:t xml:space="preserve"> et de ne pas avoir mis en place un mécanisme de surveillance afin de faire en sorte que tout budget et tout état de trésorerie soit respecté (art.</w:t>
      </w:r>
      <w:r w:rsidR="00A07B0C">
        <w:rPr>
          <w:rFonts w:cs="Arial"/>
          <w:bCs/>
          <w:szCs w:val="24"/>
        </w:rPr>
        <w:t> </w:t>
      </w:r>
      <w:r w:rsidRPr="00E9095D">
        <w:rPr>
          <w:rFonts w:cs="Arial"/>
          <w:bCs/>
          <w:szCs w:val="24"/>
        </w:rPr>
        <w:t>12.1.8)</w:t>
      </w:r>
      <w:r>
        <w:rPr>
          <w:rStyle w:val="Appelnotedebasdep"/>
          <w:rFonts w:cs="Arial"/>
          <w:bCs/>
          <w:szCs w:val="24"/>
        </w:rPr>
        <w:footnoteReference w:id="581"/>
      </w:r>
      <w:r w:rsidR="00A07B0C">
        <w:rPr>
          <w:rFonts w:cs="Arial"/>
          <w:bCs/>
          <w:szCs w:val="24"/>
        </w:rPr>
        <w:t>.</w:t>
      </w:r>
    </w:p>
    <w:p w14:paraId="26A4ED3C" w14:textId="77777777" w:rsidR="008900D7" w:rsidRPr="00DD6F1D" w:rsidRDefault="00730A01" w:rsidP="0042740E">
      <w:pPr>
        <w:pStyle w:val="Paragraphe"/>
        <w:numPr>
          <w:ilvl w:val="0"/>
          <w:numId w:val="24"/>
        </w:numPr>
        <w:spacing w:line="240" w:lineRule="auto"/>
        <w:ind w:left="567" w:hanging="283"/>
        <w:rPr>
          <w:rFonts w:cs="Arial"/>
          <w:bCs/>
          <w:szCs w:val="24"/>
        </w:rPr>
      </w:pPr>
      <w:r>
        <w:rPr>
          <w:rFonts w:cs="Arial"/>
          <w:bCs/>
          <w:szCs w:val="24"/>
        </w:rPr>
        <w:t>Le fait de ne pas avoir considéré la totalité des intérêts et les frais FIISH aux tableaux de bord mène à une lecture erronée des flux monétaires des opérations immobilières d’Huot</w:t>
      </w:r>
      <w:r>
        <w:rPr>
          <w:rStyle w:val="Appelnotedebasdep"/>
          <w:rFonts w:cs="Arial"/>
          <w:bCs/>
          <w:szCs w:val="24"/>
        </w:rPr>
        <w:footnoteReference w:id="582"/>
      </w:r>
      <w:r>
        <w:rPr>
          <w:rFonts w:cs="Arial"/>
          <w:bCs/>
          <w:szCs w:val="24"/>
        </w:rPr>
        <w:t>. Les surplus de trésoreries étaient nettement insuffisants pour payer ces intérêts et frais de</w:t>
      </w:r>
      <w:r w:rsidR="00A07B0C">
        <w:rPr>
          <w:rFonts w:cs="Arial"/>
          <w:bCs/>
          <w:szCs w:val="24"/>
        </w:rPr>
        <w:t> </w:t>
      </w:r>
      <w:r>
        <w:rPr>
          <w:rFonts w:cs="Arial"/>
          <w:bCs/>
          <w:szCs w:val="24"/>
        </w:rPr>
        <w:t>2017 à</w:t>
      </w:r>
      <w:r w:rsidR="00A07B0C">
        <w:rPr>
          <w:rFonts w:cs="Arial"/>
          <w:bCs/>
          <w:szCs w:val="24"/>
        </w:rPr>
        <w:t> </w:t>
      </w:r>
      <w:r>
        <w:rPr>
          <w:rFonts w:cs="Arial"/>
          <w:bCs/>
          <w:szCs w:val="24"/>
        </w:rPr>
        <w:t>2022</w:t>
      </w:r>
      <w:r>
        <w:rPr>
          <w:rStyle w:val="Appelnotedebasdep"/>
          <w:rFonts w:cs="Arial"/>
          <w:bCs/>
          <w:szCs w:val="24"/>
        </w:rPr>
        <w:footnoteReference w:id="583"/>
      </w:r>
      <w:r>
        <w:rPr>
          <w:rFonts w:cs="Arial"/>
          <w:bCs/>
          <w:szCs w:val="24"/>
        </w:rPr>
        <w:t>.</w:t>
      </w:r>
    </w:p>
    <w:p w14:paraId="202DEE2A" w14:textId="77777777" w:rsidR="008900D7" w:rsidRDefault="00730A01" w:rsidP="0042740E">
      <w:pPr>
        <w:pStyle w:val="Titre3"/>
        <w:numPr>
          <w:ilvl w:val="4"/>
          <w:numId w:val="23"/>
        </w:numPr>
        <w:ind w:left="284" w:hanging="284"/>
        <w:jc w:val="both"/>
        <w:rPr>
          <w:rFonts w:cs="Arial"/>
          <w:b/>
          <w:szCs w:val="24"/>
        </w:rPr>
      </w:pPr>
      <w:bookmarkStart w:id="216" w:name="_Toc210992347"/>
      <w:bookmarkStart w:id="217" w:name="_Toc211495284"/>
      <w:bookmarkStart w:id="218" w:name="_Toc211600692"/>
      <w:r w:rsidRPr="00113395">
        <w:rPr>
          <w:rFonts w:cs="Arial"/>
          <w:b/>
          <w:szCs w:val="24"/>
        </w:rPr>
        <w:t>Autres manquements</w:t>
      </w:r>
      <w:bookmarkEnd w:id="216"/>
      <w:bookmarkEnd w:id="217"/>
      <w:bookmarkEnd w:id="218"/>
    </w:p>
    <w:p w14:paraId="1D169328" w14:textId="77777777" w:rsidR="008900D7" w:rsidRDefault="00730A01" w:rsidP="008B3CAF">
      <w:pPr>
        <w:pStyle w:val="Paragraphe"/>
        <w:numPr>
          <w:ilvl w:val="0"/>
          <w:numId w:val="0"/>
        </w:numPr>
        <w:spacing w:line="240" w:lineRule="auto"/>
        <w:rPr>
          <w:rFonts w:cs="Arial"/>
          <w:b/>
          <w:szCs w:val="24"/>
          <w:u w:val="single"/>
        </w:rPr>
      </w:pPr>
      <w:r>
        <w:rPr>
          <w:rFonts w:cs="Arial"/>
          <w:b/>
          <w:szCs w:val="24"/>
          <w:u w:val="single"/>
        </w:rPr>
        <w:t>Période couverte par l’amendement : avril 2020 au 4 mai 2021</w:t>
      </w:r>
    </w:p>
    <w:p w14:paraId="06182D77" w14:textId="77777777" w:rsidR="008900D7" w:rsidRDefault="00730A01" w:rsidP="00443B59">
      <w:pPr>
        <w:pStyle w:val="Paragraphe"/>
        <w:numPr>
          <w:ilvl w:val="0"/>
          <w:numId w:val="69"/>
        </w:numPr>
        <w:spacing w:line="240" w:lineRule="auto"/>
        <w:ind w:left="568" w:hanging="284"/>
        <w:rPr>
          <w:rFonts w:cs="Arial"/>
          <w:bCs/>
          <w:szCs w:val="24"/>
        </w:rPr>
      </w:pPr>
      <w:r>
        <w:rPr>
          <w:rFonts w:cs="Arial"/>
          <w:bCs/>
          <w:szCs w:val="24"/>
        </w:rPr>
        <w:t>Défaut d’avoir informé les commanditaires que :</w:t>
      </w:r>
    </w:p>
    <w:p w14:paraId="6894F017" w14:textId="77777777" w:rsidR="008900D7" w:rsidRDefault="00730A01" w:rsidP="0042740E">
      <w:pPr>
        <w:pStyle w:val="Paragraphe"/>
        <w:numPr>
          <w:ilvl w:val="0"/>
          <w:numId w:val="24"/>
        </w:numPr>
        <w:spacing w:line="240" w:lineRule="auto"/>
        <w:ind w:left="1134" w:hanging="283"/>
        <w:rPr>
          <w:rFonts w:cs="Arial"/>
          <w:bCs/>
          <w:szCs w:val="24"/>
        </w:rPr>
      </w:pPr>
      <w:r>
        <w:rPr>
          <w:rFonts w:cs="Arial"/>
          <w:bCs/>
          <w:szCs w:val="24"/>
        </w:rPr>
        <w:t>Les opérations immobilières du Groupe Huot, considérant le prêt FIISH, étaient en déficit annuel de liquidités de 5,9 M$ en</w:t>
      </w:r>
      <w:r w:rsidR="00A07B0C">
        <w:rPr>
          <w:rFonts w:cs="Arial"/>
          <w:bCs/>
          <w:szCs w:val="24"/>
        </w:rPr>
        <w:t> </w:t>
      </w:r>
      <w:r>
        <w:rPr>
          <w:rFonts w:cs="Arial"/>
          <w:bCs/>
          <w:szCs w:val="24"/>
        </w:rPr>
        <w:t>2020</w:t>
      </w:r>
      <w:r>
        <w:rPr>
          <w:rStyle w:val="Appelnotedebasdep"/>
          <w:rFonts w:cs="Arial"/>
          <w:bCs/>
          <w:szCs w:val="24"/>
        </w:rPr>
        <w:footnoteReference w:id="584"/>
      </w:r>
      <w:r>
        <w:rPr>
          <w:rFonts w:cs="Arial"/>
          <w:bCs/>
          <w:szCs w:val="24"/>
        </w:rPr>
        <w:t>;</w:t>
      </w:r>
    </w:p>
    <w:p w14:paraId="34CB9599" w14:textId="77777777" w:rsidR="008900D7" w:rsidRDefault="00730A01" w:rsidP="0042740E">
      <w:pPr>
        <w:pStyle w:val="Paragraphe"/>
        <w:numPr>
          <w:ilvl w:val="0"/>
          <w:numId w:val="24"/>
        </w:numPr>
        <w:spacing w:line="240" w:lineRule="auto"/>
        <w:ind w:left="1134" w:hanging="283"/>
        <w:rPr>
          <w:rFonts w:cs="Arial"/>
          <w:bCs/>
          <w:szCs w:val="24"/>
        </w:rPr>
      </w:pPr>
      <w:r>
        <w:rPr>
          <w:rFonts w:cs="Arial"/>
          <w:bCs/>
          <w:szCs w:val="24"/>
        </w:rPr>
        <w:t>Entre juillet</w:t>
      </w:r>
      <w:r w:rsidR="00A07B0C">
        <w:rPr>
          <w:rFonts w:cs="Arial"/>
          <w:bCs/>
          <w:szCs w:val="24"/>
        </w:rPr>
        <w:t> </w:t>
      </w:r>
      <w:r>
        <w:rPr>
          <w:rFonts w:cs="Arial"/>
          <w:bCs/>
          <w:szCs w:val="24"/>
        </w:rPr>
        <w:t>2020 et décembre</w:t>
      </w:r>
      <w:r w:rsidR="00A07B0C">
        <w:rPr>
          <w:rFonts w:cs="Arial"/>
          <w:bCs/>
          <w:szCs w:val="24"/>
        </w:rPr>
        <w:t> </w:t>
      </w:r>
      <w:r>
        <w:rPr>
          <w:rFonts w:cs="Arial"/>
          <w:bCs/>
          <w:szCs w:val="24"/>
        </w:rPr>
        <w:t>2020, 6646 a consenti sept (7) prêts totalisant 9,1 M$ à Millénum</w:t>
      </w:r>
      <w:r>
        <w:rPr>
          <w:rStyle w:val="Appelnotedebasdep"/>
          <w:rFonts w:cs="Arial"/>
          <w:bCs/>
          <w:szCs w:val="24"/>
        </w:rPr>
        <w:footnoteReference w:id="585"/>
      </w:r>
      <w:r>
        <w:rPr>
          <w:rFonts w:cs="Arial"/>
          <w:bCs/>
          <w:szCs w:val="24"/>
        </w:rPr>
        <w:t>, dont trois (3) prêts totalisant 4 M$, au taux d’intérêt de 41 %</w:t>
      </w:r>
      <w:r>
        <w:rPr>
          <w:rStyle w:val="Appelnotedebasdep"/>
          <w:rFonts w:cs="Arial"/>
          <w:bCs/>
          <w:szCs w:val="24"/>
        </w:rPr>
        <w:footnoteReference w:id="586"/>
      </w:r>
      <w:r>
        <w:rPr>
          <w:rFonts w:cs="Arial"/>
          <w:bCs/>
          <w:szCs w:val="24"/>
        </w:rPr>
        <w:t>;</w:t>
      </w:r>
    </w:p>
    <w:p w14:paraId="0136D000" w14:textId="77777777" w:rsidR="008900D7" w:rsidRDefault="00730A01" w:rsidP="0042740E">
      <w:pPr>
        <w:pStyle w:val="Paragraphe"/>
        <w:numPr>
          <w:ilvl w:val="0"/>
          <w:numId w:val="24"/>
        </w:numPr>
        <w:spacing w:line="240" w:lineRule="auto"/>
        <w:ind w:left="1134" w:hanging="283"/>
        <w:rPr>
          <w:rFonts w:cs="Arial"/>
          <w:bCs/>
          <w:szCs w:val="24"/>
        </w:rPr>
      </w:pPr>
      <w:r>
        <w:rPr>
          <w:rFonts w:cs="Arial"/>
          <w:bCs/>
          <w:szCs w:val="24"/>
        </w:rPr>
        <w:t>8096 a consenti un (1) prêt de 7 M$ à Huot ayant servi à payer des frais de dossier dus sur le prêt FIISH</w:t>
      </w:r>
      <w:r>
        <w:rPr>
          <w:rStyle w:val="Appelnotedebasdep"/>
          <w:rFonts w:cs="Arial"/>
          <w:bCs/>
          <w:szCs w:val="24"/>
        </w:rPr>
        <w:footnoteReference w:id="587"/>
      </w:r>
      <w:r>
        <w:rPr>
          <w:rFonts w:cs="Arial"/>
          <w:bCs/>
          <w:szCs w:val="24"/>
        </w:rPr>
        <w:t>;</w:t>
      </w:r>
    </w:p>
    <w:p w14:paraId="2ED63311" w14:textId="77777777" w:rsidR="008900D7" w:rsidRDefault="00730A01" w:rsidP="0042740E">
      <w:pPr>
        <w:pStyle w:val="Paragraphe"/>
        <w:numPr>
          <w:ilvl w:val="0"/>
          <w:numId w:val="24"/>
        </w:numPr>
        <w:spacing w:line="240" w:lineRule="auto"/>
        <w:ind w:left="1134" w:hanging="283"/>
        <w:rPr>
          <w:rFonts w:cs="Arial"/>
          <w:bCs/>
          <w:szCs w:val="24"/>
        </w:rPr>
      </w:pPr>
      <w:r>
        <w:rPr>
          <w:rFonts w:cs="Arial"/>
          <w:bCs/>
          <w:szCs w:val="24"/>
        </w:rPr>
        <w:t>Le fonds de roulement du Groupe Huot au 31</w:t>
      </w:r>
      <w:r w:rsidR="00A07B0C">
        <w:rPr>
          <w:rFonts w:cs="Arial"/>
          <w:bCs/>
          <w:szCs w:val="24"/>
        </w:rPr>
        <w:t> </w:t>
      </w:r>
      <w:r>
        <w:rPr>
          <w:rFonts w:cs="Arial"/>
          <w:bCs/>
          <w:szCs w:val="24"/>
        </w:rPr>
        <w:t>décembre</w:t>
      </w:r>
      <w:r w:rsidR="00A07B0C">
        <w:rPr>
          <w:rFonts w:cs="Arial"/>
          <w:bCs/>
          <w:szCs w:val="24"/>
        </w:rPr>
        <w:t> </w:t>
      </w:r>
      <w:r>
        <w:rPr>
          <w:rFonts w:cs="Arial"/>
          <w:bCs/>
          <w:szCs w:val="24"/>
        </w:rPr>
        <w:t>2020 est de 9,3 </w:t>
      </w:r>
      <w:r w:rsidRPr="0027775A">
        <w:rPr>
          <w:rFonts w:cs="Arial"/>
          <w:bCs/>
          <w:szCs w:val="24"/>
        </w:rPr>
        <w:t>0 M$</w:t>
      </w:r>
      <w:r>
        <w:rPr>
          <w:rStyle w:val="Appelnotedebasdep"/>
          <w:rFonts w:cs="Arial"/>
          <w:bCs/>
          <w:szCs w:val="24"/>
        </w:rPr>
        <w:footnoteReference w:id="588"/>
      </w:r>
      <w:r w:rsidRPr="0027775A">
        <w:rPr>
          <w:rFonts w:cs="Arial"/>
          <w:bCs/>
          <w:szCs w:val="24"/>
        </w:rPr>
        <w:t>.</w:t>
      </w:r>
    </w:p>
    <w:p w14:paraId="6A71ED50" w14:textId="77777777" w:rsidR="00A65675" w:rsidRDefault="00730A01" w:rsidP="00A65675">
      <w:pPr>
        <w:pStyle w:val="Paragraphe"/>
        <w:numPr>
          <w:ilvl w:val="0"/>
          <w:numId w:val="0"/>
        </w:numPr>
        <w:tabs>
          <w:tab w:val="left" w:pos="3686"/>
        </w:tabs>
        <w:spacing w:line="240" w:lineRule="auto"/>
        <w:ind w:left="720"/>
        <w:rPr>
          <w:rFonts w:cs="Arial"/>
          <w:bCs/>
          <w:szCs w:val="24"/>
        </w:rPr>
      </w:pPr>
      <w:r>
        <w:rPr>
          <w:rFonts w:cs="Arial"/>
          <w:bCs/>
          <w:szCs w:val="24"/>
        </w:rPr>
        <w:tab/>
        <w:t>* * *</w:t>
      </w:r>
    </w:p>
    <w:p w14:paraId="2FAA0F1C" w14:textId="77777777" w:rsidR="00A65675" w:rsidRDefault="00730A01">
      <w:pPr>
        <w:rPr>
          <w:rFonts w:cs="Arial"/>
          <w:bCs/>
          <w:kern w:val="28"/>
          <w:szCs w:val="24"/>
        </w:rPr>
      </w:pPr>
      <w:r>
        <w:rPr>
          <w:rFonts w:cs="Arial"/>
          <w:bCs/>
          <w:szCs w:val="24"/>
        </w:rPr>
        <w:br w:type="page"/>
      </w:r>
    </w:p>
    <w:p w14:paraId="2A127CB1" w14:textId="77777777" w:rsidR="00F758B9" w:rsidRPr="00F758B9" w:rsidRDefault="00730A01" w:rsidP="0042740E">
      <w:pPr>
        <w:pStyle w:val="Titre2"/>
        <w:numPr>
          <w:ilvl w:val="3"/>
          <w:numId w:val="22"/>
        </w:numPr>
        <w:ind w:left="284" w:hanging="284"/>
        <w:rPr>
          <w:rFonts w:cs="Arial"/>
          <w:b w:val="0"/>
          <w:caps/>
          <w:szCs w:val="24"/>
        </w:rPr>
      </w:pPr>
      <w:bookmarkStart w:id="219" w:name="_Toc210992348"/>
      <w:bookmarkStart w:id="220" w:name="_Toc211495285"/>
      <w:bookmarkStart w:id="221" w:name="_Toc211600693"/>
      <w:r>
        <w:rPr>
          <w:rFonts w:cs="Arial"/>
          <w:smallCaps/>
          <w:szCs w:val="24"/>
        </w:rPr>
        <w:t>Les amendements de 2021 à la Convention de prêt FIISH (amendements #1 et #2)</w:t>
      </w:r>
    </w:p>
    <w:bookmarkEnd w:id="219"/>
    <w:bookmarkEnd w:id="220"/>
    <w:bookmarkEnd w:id="221"/>
    <w:p w14:paraId="22464BC6" w14:textId="77777777" w:rsidR="008900D7" w:rsidRPr="00113395" w:rsidRDefault="00730A01" w:rsidP="004A72E9">
      <w:pPr>
        <w:pStyle w:val="Paragraphe"/>
        <w:numPr>
          <w:ilvl w:val="0"/>
          <w:numId w:val="0"/>
        </w:numPr>
        <w:spacing w:line="240" w:lineRule="auto"/>
        <w:ind w:left="284"/>
        <w:rPr>
          <w:rFonts w:cs="Arial"/>
          <w:bCs/>
          <w:szCs w:val="24"/>
        </w:rPr>
      </w:pPr>
      <w:r w:rsidRPr="00883529">
        <w:rPr>
          <w:rFonts w:cs="Arial"/>
          <w:szCs w:val="24"/>
        </w:rPr>
        <w:t>Les</w:t>
      </w:r>
      <w:r w:rsidRPr="00113395">
        <w:rPr>
          <w:rFonts w:cs="Arial"/>
          <w:bCs/>
          <w:szCs w:val="24"/>
        </w:rPr>
        <w:t xml:space="preserve"> 5</w:t>
      </w:r>
      <w:r w:rsidR="00A07B0C">
        <w:rPr>
          <w:rFonts w:cs="Arial"/>
          <w:bCs/>
          <w:szCs w:val="24"/>
        </w:rPr>
        <w:t> </w:t>
      </w:r>
      <w:r w:rsidRPr="00113395">
        <w:rPr>
          <w:rFonts w:cs="Arial"/>
          <w:bCs/>
          <w:szCs w:val="24"/>
        </w:rPr>
        <w:t>mai et 19</w:t>
      </w:r>
      <w:r w:rsidR="00A07B0C">
        <w:rPr>
          <w:rFonts w:cs="Arial"/>
          <w:bCs/>
          <w:szCs w:val="24"/>
        </w:rPr>
        <w:t> </w:t>
      </w:r>
      <w:r w:rsidRPr="00113395">
        <w:rPr>
          <w:rFonts w:cs="Arial"/>
          <w:bCs/>
          <w:szCs w:val="24"/>
        </w:rPr>
        <w:t>octobre</w:t>
      </w:r>
      <w:r w:rsidR="00A07B0C">
        <w:rPr>
          <w:rFonts w:cs="Arial"/>
          <w:bCs/>
          <w:szCs w:val="24"/>
        </w:rPr>
        <w:t> </w:t>
      </w:r>
      <w:r w:rsidRPr="00113395">
        <w:rPr>
          <w:rFonts w:cs="Arial"/>
          <w:bCs/>
          <w:szCs w:val="24"/>
        </w:rPr>
        <w:t>2021, les Défendeurs ont modifié la convention de prêt FIISH</w:t>
      </w:r>
      <w:r w:rsidR="00A07B0C">
        <w:rPr>
          <w:rFonts w:cs="Arial"/>
          <w:bCs/>
          <w:szCs w:val="24"/>
        </w:rPr>
        <w:t> </w:t>
      </w:r>
      <w:r w:rsidRPr="00113395">
        <w:rPr>
          <w:rFonts w:cs="Arial"/>
          <w:bCs/>
          <w:szCs w:val="24"/>
        </w:rPr>
        <w:t>2020 pour porter à 120</w:t>
      </w:r>
      <w:r>
        <w:rPr>
          <w:rFonts w:cs="Arial"/>
          <w:bCs/>
          <w:szCs w:val="24"/>
        </w:rPr>
        <w:t> </w:t>
      </w:r>
      <w:r w:rsidRPr="00113395">
        <w:rPr>
          <w:rFonts w:cs="Arial"/>
          <w:bCs/>
          <w:szCs w:val="24"/>
        </w:rPr>
        <w:t>M$ le montant maximal du prêt</w:t>
      </w:r>
      <w:r>
        <w:rPr>
          <w:rStyle w:val="Appelnotedebasdep"/>
          <w:rFonts w:cs="Arial"/>
          <w:bCs/>
          <w:szCs w:val="24"/>
        </w:rPr>
        <w:footnoteReference w:id="589"/>
      </w:r>
      <w:r w:rsidRPr="00113395">
        <w:rPr>
          <w:rFonts w:cs="Arial"/>
          <w:bCs/>
          <w:szCs w:val="24"/>
        </w:rPr>
        <w:t>. Ils ont fait trois nouvelles avances de fonds</w:t>
      </w:r>
      <w:r w:rsidR="00A07B0C">
        <w:rPr>
          <w:rFonts w:cs="Arial"/>
          <w:bCs/>
          <w:szCs w:val="24"/>
        </w:rPr>
        <w:t xml:space="preserve"> </w:t>
      </w:r>
      <w:r w:rsidRPr="00113395">
        <w:rPr>
          <w:rFonts w:cs="Arial"/>
          <w:bCs/>
          <w:szCs w:val="24"/>
        </w:rPr>
        <w:t>au courant de cette année-là, soit :</w:t>
      </w:r>
    </w:p>
    <w:p w14:paraId="7DD5AA9E" w14:textId="77777777" w:rsidR="008900D7" w:rsidRPr="00113395" w:rsidRDefault="00730A01" w:rsidP="00443B59">
      <w:pPr>
        <w:pStyle w:val="Paragraphe"/>
        <w:numPr>
          <w:ilvl w:val="0"/>
          <w:numId w:val="99"/>
        </w:numPr>
        <w:spacing w:after="0" w:line="240" w:lineRule="auto"/>
        <w:ind w:left="567" w:hanging="283"/>
        <w:rPr>
          <w:rFonts w:cs="Arial"/>
          <w:bCs/>
          <w:szCs w:val="24"/>
        </w:rPr>
      </w:pPr>
      <w:r w:rsidRPr="00113395">
        <w:rPr>
          <w:rFonts w:cs="Arial"/>
          <w:bCs/>
          <w:szCs w:val="24"/>
        </w:rPr>
        <w:t>12</w:t>
      </w:r>
      <w:r>
        <w:rPr>
          <w:rFonts w:cs="Arial"/>
          <w:bCs/>
          <w:szCs w:val="24"/>
        </w:rPr>
        <w:t> </w:t>
      </w:r>
      <w:r w:rsidRPr="00113395">
        <w:rPr>
          <w:rFonts w:cs="Arial"/>
          <w:bCs/>
          <w:szCs w:val="24"/>
        </w:rPr>
        <w:t>095</w:t>
      </w:r>
      <w:r>
        <w:rPr>
          <w:rFonts w:cs="Arial"/>
          <w:bCs/>
          <w:szCs w:val="24"/>
        </w:rPr>
        <w:t> </w:t>
      </w:r>
      <w:r w:rsidRPr="00113395">
        <w:rPr>
          <w:rFonts w:cs="Arial"/>
          <w:bCs/>
          <w:szCs w:val="24"/>
        </w:rPr>
        <w:t>M$ en avril et juin 2021;</w:t>
      </w:r>
    </w:p>
    <w:p w14:paraId="08FF5860" w14:textId="77777777" w:rsidR="008900D7" w:rsidRPr="00113395" w:rsidRDefault="00730A01" w:rsidP="00443B59">
      <w:pPr>
        <w:pStyle w:val="Paragraphe"/>
        <w:numPr>
          <w:ilvl w:val="0"/>
          <w:numId w:val="99"/>
        </w:numPr>
        <w:spacing w:after="0" w:line="240" w:lineRule="auto"/>
        <w:ind w:left="567" w:hanging="283"/>
        <w:rPr>
          <w:rFonts w:cs="Arial"/>
          <w:bCs/>
          <w:szCs w:val="24"/>
        </w:rPr>
      </w:pPr>
      <w:r w:rsidRPr="00113395">
        <w:rPr>
          <w:rFonts w:cs="Arial"/>
          <w:bCs/>
          <w:szCs w:val="24"/>
        </w:rPr>
        <w:t>7,9</w:t>
      </w:r>
      <w:r>
        <w:rPr>
          <w:rFonts w:cs="Arial"/>
          <w:bCs/>
          <w:szCs w:val="24"/>
        </w:rPr>
        <w:t> </w:t>
      </w:r>
      <w:r w:rsidRPr="00113395">
        <w:rPr>
          <w:rFonts w:cs="Arial"/>
          <w:bCs/>
          <w:szCs w:val="24"/>
        </w:rPr>
        <w:t>M$ en juillet 2021; et</w:t>
      </w:r>
    </w:p>
    <w:p w14:paraId="46EE20C8" w14:textId="77777777" w:rsidR="008900D7" w:rsidRPr="00535A82" w:rsidRDefault="00730A01" w:rsidP="00443B59">
      <w:pPr>
        <w:pStyle w:val="Paragraphe"/>
        <w:numPr>
          <w:ilvl w:val="0"/>
          <w:numId w:val="99"/>
        </w:numPr>
        <w:spacing w:after="0" w:line="240" w:lineRule="auto"/>
        <w:ind w:left="567" w:hanging="283"/>
        <w:rPr>
          <w:rFonts w:cs="Arial"/>
          <w:bCs/>
          <w:szCs w:val="24"/>
        </w:rPr>
      </w:pPr>
      <w:r w:rsidRPr="00113395">
        <w:rPr>
          <w:rFonts w:cs="Arial"/>
          <w:bCs/>
          <w:szCs w:val="24"/>
        </w:rPr>
        <w:t>9,0</w:t>
      </w:r>
      <w:r>
        <w:rPr>
          <w:rFonts w:cs="Arial"/>
          <w:bCs/>
          <w:szCs w:val="24"/>
        </w:rPr>
        <w:t> </w:t>
      </w:r>
      <w:r w:rsidRPr="00113395">
        <w:rPr>
          <w:rFonts w:cs="Arial"/>
          <w:bCs/>
          <w:szCs w:val="24"/>
        </w:rPr>
        <w:t>M$ en octobre 2021</w:t>
      </w:r>
      <w:r w:rsidR="00A07B0C">
        <w:rPr>
          <w:rFonts w:cs="Arial"/>
          <w:bCs/>
          <w:szCs w:val="24"/>
        </w:rPr>
        <w:t>.</w:t>
      </w:r>
    </w:p>
    <w:p w14:paraId="386C848E" w14:textId="77777777" w:rsidR="008900D7" w:rsidRPr="00113395" w:rsidRDefault="00730A01" w:rsidP="004A72E9">
      <w:pPr>
        <w:pStyle w:val="Paragraphe"/>
        <w:numPr>
          <w:ilvl w:val="0"/>
          <w:numId w:val="0"/>
        </w:numPr>
        <w:spacing w:line="240" w:lineRule="auto"/>
        <w:ind w:left="284"/>
        <w:rPr>
          <w:rFonts w:cs="Arial"/>
          <w:bCs/>
          <w:szCs w:val="24"/>
        </w:rPr>
      </w:pPr>
      <w:r w:rsidRPr="00113395">
        <w:rPr>
          <w:rFonts w:cs="Arial"/>
          <w:bCs/>
          <w:szCs w:val="24"/>
        </w:rPr>
        <w:t>Voici les contraventions et manquements retenus par le Tribunal en lien avec ces amendements et avances :</w:t>
      </w:r>
    </w:p>
    <w:p w14:paraId="362604A4" w14:textId="77777777" w:rsidR="00B93B39" w:rsidRDefault="00730A01" w:rsidP="00443B59">
      <w:pPr>
        <w:pStyle w:val="Titre3"/>
        <w:numPr>
          <w:ilvl w:val="2"/>
          <w:numId w:val="56"/>
        </w:numPr>
        <w:ind w:left="284" w:hanging="284"/>
        <w:jc w:val="both"/>
        <w:rPr>
          <w:rFonts w:cs="Arial"/>
          <w:bCs/>
          <w:szCs w:val="24"/>
        </w:rPr>
      </w:pPr>
      <w:bookmarkStart w:id="222" w:name="_Toc211495286"/>
      <w:bookmarkStart w:id="223" w:name="_Toc211600694"/>
      <w:r w:rsidRPr="00113395">
        <w:rPr>
          <w:rFonts w:cs="Arial"/>
          <w:b/>
          <w:szCs w:val="24"/>
        </w:rPr>
        <w:t>Contraventions à la convention de société en commandite</w:t>
      </w:r>
      <w:r>
        <w:rPr>
          <w:rFonts w:cs="Arial"/>
          <w:b/>
          <w:szCs w:val="24"/>
        </w:rPr>
        <w:t xml:space="preserve"> (PSH-8)</w:t>
      </w:r>
      <w:r>
        <w:rPr>
          <w:rStyle w:val="Appelnotedebasdep"/>
          <w:rFonts w:cs="Arial"/>
          <w:bCs/>
          <w:szCs w:val="24"/>
        </w:rPr>
        <w:footnoteReference w:id="590"/>
      </w:r>
      <w:bookmarkEnd w:id="222"/>
      <w:bookmarkEnd w:id="223"/>
      <w:r w:rsidRPr="00113395">
        <w:rPr>
          <w:rFonts w:cs="Arial"/>
          <w:bCs/>
          <w:szCs w:val="24"/>
        </w:rPr>
        <w:t xml:space="preserve"> </w:t>
      </w:r>
    </w:p>
    <w:p w14:paraId="6B8CE53C" w14:textId="77777777" w:rsidR="00063866" w:rsidRDefault="00730A01" w:rsidP="00443B59">
      <w:pPr>
        <w:pStyle w:val="Paragraphe"/>
        <w:numPr>
          <w:ilvl w:val="0"/>
          <w:numId w:val="67"/>
        </w:numPr>
        <w:spacing w:line="240" w:lineRule="auto"/>
        <w:ind w:left="567" w:hanging="283"/>
        <w:rPr>
          <w:rFonts w:cs="Arial"/>
          <w:bCs/>
          <w:szCs w:val="24"/>
        </w:rPr>
      </w:pPr>
      <w:r>
        <w:rPr>
          <w:rFonts w:cs="Arial"/>
          <w:bCs/>
          <w:szCs w:val="24"/>
        </w:rPr>
        <w:t>Défaut de protéger ses actifs (art.</w:t>
      </w:r>
      <w:r w:rsidR="00A07B0C">
        <w:rPr>
          <w:rFonts w:cs="Arial"/>
          <w:bCs/>
          <w:szCs w:val="24"/>
        </w:rPr>
        <w:t> </w:t>
      </w:r>
      <w:r>
        <w:rPr>
          <w:rFonts w:cs="Arial"/>
          <w:bCs/>
          <w:szCs w:val="24"/>
        </w:rPr>
        <w:t>2.5.3).</w:t>
      </w:r>
    </w:p>
    <w:p w14:paraId="174330F3" w14:textId="77777777" w:rsidR="00B93B39" w:rsidRDefault="00730A01" w:rsidP="00443B59">
      <w:pPr>
        <w:pStyle w:val="Paragraphe"/>
        <w:numPr>
          <w:ilvl w:val="0"/>
          <w:numId w:val="67"/>
        </w:numPr>
        <w:spacing w:line="240" w:lineRule="auto"/>
        <w:ind w:left="567" w:hanging="283"/>
        <w:rPr>
          <w:rFonts w:cs="Arial"/>
          <w:bCs/>
          <w:szCs w:val="24"/>
        </w:rPr>
      </w:pPr>
      <w:r>
        <w:rPr>
          <w:rFonts w:cs="Arial"/>
          <w:bCs/>
          <w:szCs w:val="24"/>
        </w:rPr>
        <w:t>Défaut de respecter l’obligation de loyauté et de dévouement du commandité (art.</w:t>
      </w:r>
      <w:r w:rsidR="00A07B0C">
        <w:rPr>
          <w:rFonts w:cs="Arial"/>
          <w:bCs/>
          <w:szCs w:val="24"/>
        </w:rPr>
        <w:t> </w:t>
      </w:r>
      <w:r>
        <w:rPr>
          <w:rFonts w:cs="Arial"/>
          <w:bCs/>
          <w:szCs w:val="24"/>
        </w:rPr>
        <w:t>8.4).</w:t>
      </w:r>
    </w:p>
    <w:p w14:paraId="07B9A163" w14:textId="77777777" w:rsidR="00B93B39" w:rsidRDefault="00730A01" w:rsidP="00443B59">
      <w:pPr>
        <w:pStyle w:val="Paragraphe"/>
        <w:numPr>
          <w:ilvl w:val="0"/>
          <w:numId w:val="67"/>
        </w:numPr>
        <w:spacing w:line="240" w:lineRule="auto"/>
        <w:ind w:left="567" w:hanging="283"/>
        <w:rPr>
          <w:rFonts w:cs="Arial"/>
          <w:bCs/>
          <w:szCs w:val="24"/>
        </w:rPr>
      </w:pPr>
      <w:r>
        <w:rPr>
          <w:rFonts w:cs="Arial"/>
          <w:bCs/>
          <w:szCs w:val="24"/>
        </w:rPr>
        <w:t>Défaut d’aviser par écrit les commanditaires de l’existence des défauts d’Huot aux termes des conventions de financement (art.</w:t>
      </w:r>
      <w:r w:rsidR="00A07B0C">
        <w:rPr>
          <w:rFonts w:cs="Arial"/>
          <w:bCs/>
          <w:szCs w:val="24"/>
        </w:rPr>
        <w:t> </w:t>
      </w:r>
      <w:r>
        <w:rPr>
          <w:rFonts w:cs="Arial"/>
          <w:bCs/>
          <w:szCs w:val="24"/>
        </w:rPr>
        <w:t>10.3).</w:t>
      </w:r>
    </w:p>
    <w:p w14:paraId="777114E6" w14:textId="77777777" w:rsidR="00B93B39" w:rsidRDefault="00730A01" w:rsidP="004A72E9">
      <w:pPr>
        <w:pStyle w:val="Paragraphe"/>
        <w:numPr>
          <w:ilvl w:val="0"/>
          <w:numId w:val="0"/>
        </w:numPr>
        <w:spacing w:line="240" w:lineRule="auto"/>
        <w:ind w:left="284"/>
        <w:rPr>
          <w:rFonts w:cs="Arial"/>
          <w:bCs/>
          <w:szCs w:val="24"/>
        </w:rPr>
      </w:pPr>
      <w:r>
        <w:rPr>
          <w:rFonts w:cs="Arial"/>
          <w:bCs/>
          <w:szCs w:val="24"/>
        </w:rPr>
        <w:t>La convention de société en commandite a été amendée le 5</w:t>
      </w:r>
      <w:r w:rsidR="00A07B0C">
        <w:rPr>
          <w:rFonts w:cs="Arial"/>
          <w:bCs/>
          <w:szCs w:val="24"/>
        </w:rPr>
        <w:t> </w:t>
      </w:r>
      <w:r>
        <w:rPr>
          <w:rFonts w:cs="Arial"/>
          <w:bCs/>
          <w:szCs w:val="24"/>
        </w:rPr>
        <w:t>mai 2021</w:t>
      </w:r>
      <w:r>
        <w:rPr>
          <w:rStyle w:val="Appelnotedebasdep"/>
          <w:rFonts w:cs="Arial"/>
          <w:bCs/>
          <w:szCs w:val="24"/>
        </w:rPr>
        <w:footnoteReference w:id="591"/>
      </w:r>
      <w:r>
        <w:rPr>
          <w:rFonts w:cs="Arial"/>
          <w:bCs/>
          <w:szCs w:val="24"/>
        </w:rPr>
        <w:t xml:space="preserve"> et le prêt a été augmenté à 120 M$</w:t>
      </w:r>
      <w:r>
        <w:rPr>
          <w:rStyle w:val="Appelnotedebasdep"/>
          <w:rFonts w:cs="Arial"/>
          <w:bCs/>
          <w:szCs w:val="24"/>
        </w:rPr>
        <w:footnoteReference w:id="592"/>
      </w:r>
      <w:r>
        <w:rPr>
          <w:rFonts w:cs="Arial"/>
          <w:bCs/>
          <w:szCs w:val="24"/>
        </w:rPr>
        <w:t>. Conformément à la stratégie de prêt, tout déboursé additionnel devait être justifié par un ratio d’équité au moins équivalent à celui existant à cette date</w:t>
      </w:r>
      <w:r>
        <w:rPr>
          <w:rStyle w:val="Appelnotedebasdep"/>
          <w:rFonts w:cs="Arial"/>
          <w:bCs/>
          <w:szCs w:val="24"/>
        </w:rPr>
        <w:footnoteReference w:id="593"/>
      </w:r>
      <w:r>
        <w:rPr>
          <w:rFonts w:cs="Arial"/>
          <w:bCs/>
          <w:szCs w:val="24"/>
        </w:rPr>
        <w:t>, alors que :</w:t>
      </w:r>
    </w:p>
    <w:p w14:paraId="483BB5C3" w14:textId="77777777" w:rsidR="00B93B39" w:rsidRDefault="00730A01" w:rsidP="00443B59">
      <w:pPr>
        <w:pStyle w:val="Paragraphe"/>
        <w:numPr>
          <w:ilvl w:val="0"/>
          <w:numId w:val="100"/>
        </w:numPr>
        <w:spacing w:line="240" w:lineRule="auto"/>
        <w:ind w:left="567" w:hanging="283"/>
        <w:rPr>
          <w:rFonts w:cs="Arial"/>
          <w:bCs/>
          <w:szCs w:val="24"/>
        </w:rPr>
      </w:pPr>
      <w:r>
        <w:rPr>
          <w:rFonts w:cs="Arial"/>
          <w:bCs/>
          <w:szCs w:val="24"/>
        </w:rPr>
        <w:t>Les opérations du Groupe Huot ont été déficitaires de</w:t>
      </w:r>
      <w:r w:rsidR="00A07B0C">
        <w:rPr>
          <w:rFonts w:cs="Arial"/>
          <w:bCs/>
          <w:szCs w:val="24"/>
        </w:rPr>
        <w:t> </w:t>
      </w:r>
      <w:r>
        <w:rPr>
          <w:rFonts w:cs="Arial"/>
          <w:bCs/>
          <w:szCs w:val="24"/>
        </w:rPr>
        <w:t>2017 à</w:t>
      </w:r>
      <w:r w:rsidR="00A07B0C">
        <w:rPr>
          <w:rFonts w:cs="Arial"/>
          <w:bCs/>
          <w:szCs w:val="24"/>
        </w:rPr>
        <w:t> </w:t>
      </w:r>
      <w:r>
        <w:rPr>
          <w:rFonts w:cs="Arial"/>
          <w:bCs/>
          <w:szCs w:val="24"/>
        </w:rPr>
        <w:t>2022 et le déficit de liquidité était de 16 969 740 $ en</w:t>
      </w:r>
      <w:r w:rsidR="00A07B0C">
        <w:rPr>
          <w:rFonts w:cs="Arial"/>
          <w:bCs/>
          <w:szCs w:val="24"/>
        </w:rPr>
        <w:t> </w:t>
      </w:r>
      <w:r>
        <w:rPr>
          <w:rFonts w:cs="Arial"/>
          <w:bCs/>
          <w:szCs w:val="24"/>
        </w:rPr>
        <w:t>2021 uniquement</w:t>
      </w:r>
      <w:r>
        <w:rPr>
          <w:rStyle w:val="Appelnotedebasdep"/>
          <w:rFonts w:cs="Arial"/>
          <w:bCs/>
          <w:szCs w:val="24"/>
        </w:rPr>
        <w:footnoteReference w:id="594"/>
      </w:r>
      <w:r>
        <w:rPr>
          <w:rFonts w:cs="Arial"/>
          <w:bCs/>
          <w:szCs w:val="24"/>
        </w:rPr>
        <w:t>;</w:t>
      </w:r>
    </w:p>
    <w:p w14:paraId="35B8DD92" w14:textId="77777777" w:rsidR="00B93B39" w:rsidRPr="0085421E" w:rsidRDefault="00730A01" w:rsidP="00443B59">
      <w:pPr>
        <w:pStyle w:val="Paragraphe"/>
        <w:numPr>
          <w:ilvl w:val="0"/>
          <w:numId w:val="100"/>
        </w:numPr>
        <w:spacing w:line="240" w:lineRule="auto"/>
        <w:ind w:left="567" w:hanging="283"/>
        <w:rPr>
          <w:rFonts w:cs="Arial"/>
          <w:bCs/>
          <w:szCs w:val="24"/>
        </w:rPr>
      </w:pPr>
      <w:r>
        <w:rPr>
          <w:rFonts w:cs="Arial"/>
          <w:bCs/>
          <w:szCs w:val="24"/>
        </w:rPr>
        <w:t>De 2017 à 2022, Huot était incapable de payer les frais et intérêts du prêt FIISH et devait donc s’endetter davantage pour les payer</w:t>
      </w:r>
      <w:r>
        <w:rPr>
          <w:rStyle w:val="Appelnotedebasdep"/>
          <w:rFonts w:cs="Arial"/>
          <w:bCs/>
          <w:szCs w:val="24"/>
        </w:rPr>
        <w:footnoteReference w:id="595"/>
      </w:r>
      <w:r>
        <w:rPr>
          <w:rFonts w:cs="Arial"/>
          <w:bCs/>
          <w:szCs w:val="24"/>
        </w:rPr>
        <w:t>.</w:t>
      </w:r>
    </w:p>
    <w:p w14:paraId="1018FAD1" w14:textId="77777777" w:rsidR="00B93B39" w:rsidRPr="00B93B39" w:rsidRDefault="00730A01" w:rsidP="00443B59">
      <w:pPr>
        <w:pStyle w:val="Titre3"/>
        <w:numPr>
          <w:ilvl w:val="2"/>
          <w:numId w:val="56"/>
        </w:numPr>
        <w:ind w:left="284" w:hanging="284"/>
        <w:jc w:val="both"/>
        <w:rPr>
          <w:b/>
          <w:bCs/>
        </w:rPr>
      </w:pPr>
      <w:bookmarkStart w:id="224" w:name="_Toc211495287"/>
      <w:bookmarkStart w:id="225" w:name="_Toc211600695"/>
      <w:r w:rsidRPr="00B93B39">
        <w:rPr>
          <w:b/>
          <w:bCs/>
        </w:rPr>
        <w:t>Contraventions à la convention de prêt 2020 (PSH-12)</w:t>
      </w:r>
      <w:bookmarkEnd w:id="224"/>
      <w:bookmarkEnd w:id="225"/>
    </w:p>
    <w:p w14:paraId="295AD00F" w14:textId="77777777" w:rsidR="008900D7" w:rsidRDefault="00730A01" w:rsidP="004A72E9">
      <w:pPr>
        <w:pStyle w:val="Paragraphe"/>
        <w:numPr>
          <w:ilvl w:val="0"/>
          <w:numId w:val="0"/>
        </w:numPr>
        <w:spacing w:line="240" w:lineRule="auto"/>
        <w:ind w:left="284"/>
        <w:rPr>
          <w:rFonts w:cs="Arial"/>
          <w:bCs/>
          <w:szCs w:val="24"/>
        </w:rPr>
      </w:pPr>
      <w:r>
        <w:rPr>
          <w:rFonts w:cs="Arial"/>
          <w:bCs/>
          <w:szCs w:val="24"/>
        </w:rPr>
        <w:t xml:space="preserve">L’augmentation du prêt était basée uniquement sur le rapport de Tassé Bertrand sur la situation des garanties hypothécaires des entités Huot et une mise à jour </w:t>
      </w:r>
      <w:r>
        <w:rPr>
          <w:rFonts w:cs="Arial"/>
          <w:bCs/>
          <w:szCs w:val="24"/>
          <w:u w:val="single"/>
        </w:rPr>
        <w:t>à vue</w:t>
      </w:r>
      <w:r>
        <w:rPr>
          <w:rFonts w:cs="Arial"/>
          <w:bCs/>
          <w:szCs w:val="24"/>
        </w:rPr>
        <w:t xml:space="preserve"> des index des immeubles (amendement</w:t>
      </w:r>
      <w:r w:rsidR="00A07B0C">
        <w:rPr>
          <w:rFonts w:cs="Arial"/>
          <w:bCs/>
          <w:szCs w:val="24"/>
        </w:rPr>
        <w:t> </w:t>
      </w:r>
      <w:r>
        <w:rPr>
          <w:rFonts w:cs="Arial"/>
          <w:bCs/>
          <w:szCs w:val="24"/>
        </w:rPr>
        <w:t>#1, attendu) alors que Giroux devait :</w:t>
      </w:r>
    </w:p>
    <w:p w14:paraId="1BECA8C4" w14:textId="77777777" w:rsidR="00063866" w:rsidRDefault="00730A01" w:rsidP="00443B59">
      <w:pPr>
        <w:pStyle w:val="Paragraphe"/>
        <w:numPr>
          <w:ilvl w:val="0"/>
          <w:numId w:val="101"/>
        </w:numPr>
        <w:spacing w:line="240" w:lineRule="auto"/>
        <w:ind w:left="567" w:hanging="283"/>
        <w:rPr>
          <w:rFonts w:cs="Arial"/>
          <w:bCs/>
          <w:szCs w:val="24"/>
        </w:rPr>
      </w:pPr>
      <w:r>
        <w:rPr>
          <w:rFonts w:cs="Arial"/>
          <w:bCs/>
          <w:szCs w:val="24"/>
        </w:rPr>
        <w:t>E</w:t>
      </w:r>
      <w:r w:rsidR="008900D7" w:rsidRPr="0027775A">
        <w:rPr>
          <w:rFonts w:cs="Arial"/>
          <w:bCs/>
          <w:szCs w:val="24"/>
        </w:rPr>
        <w:t>xiger des attestations mensuelles à Huot certifiant attestant du respect de ses obligations aux termes du prêt et qu’il n’existait aucun cas de défaut</w:t>
      </w:r>
      <w:r>
        <w:rPr>
          <w:rStyle w:val="Appelnotedebasdep"/>
          <w:rFonts w:cs="Arial"/>
          <w:bCs/>
          <w:szCs w:val="24"/>
        </w:rPr>
        <w:footnoteReference w:id="596"/>
      </w:r>
      <w:r w:rsidR="008900D7" w:rsidRPr="0027775A">
        <w:rPr>
          <w:rFonts w:cs="Arial"/>
          <w:bCs/>
          <w:szCs w:val="24"/>
        </w:rPr>
        <w:t>;</w:t>
      </w:r>
    </w:p>
    <w:p w14:paraId="61132E75" w14:textId="77777777" w:rsidR="00063866" w:rsidRDefault="00730A01" w:rsidP="00443B59">
      <w:pPr>
        <w:pStyle w:val="Paragraphe"/>
        <w:numPr>
          <w:ilvl w:val="0"/>
          <w:numId w:val="101"/>
        </w:numPr>
        <w:spacing w:line="240" w:lineRule="auto"/>
        <w:ind w:left="567" w:hanging="283"/>
        <w:rPr>
          <w:rFonts w:cs="Arial"/>
          <w:bCs/>
          <w:szCs w:val="24"/>
        </w:rPr>
      </w:pPr>
      <w:r>
        <w:rPr>
          <w:rFonts w:cs="Arial"/>
          <w:bCs/>
          <w:szCs w:val="24"/>
        </w:rPr>
        <w:t>S</w:t>
      </w:r>
      <w:r w:rsidR="008900D7" w:rsidRPr="00063866">
        <w:rPr>
          <w:rFonts w:cs="Arial"/>
          <w:bCs/>
          <w:szCs w:val="24"/>
        </w:rPr>
        <w:t>’informer de l’utilisation conforme de tout déboursé</w:t>
      </w:r>
      <w:r>
        <w:rPr>
          <w:rStyle w:val="Appelnotedebasdep"/>
          <w:rFonts w:cs="Arial"/>
          <w:bCs/>
          <w:szCs w:val="24"/>
        </w:rPr>
        <w:footnoteReference w:id="597"/>
      </w:r>
      <w:r w:rsidR="008900D7" w:rsidRPr="00063866">
        <w:rPr>
          <w:rFonts w:cs="Arial"/>
          <w:bCs/>
          <w:szCs w:val="24"/>
        </w:rPr>
        <w:t xml:space="preserve"> et de l’utilisation des flux de trésorerie</w:t>
      </w:r>
      <w:r>
        <w:rPr>
          <w:rStyle w:val="Appelnotedebasdep"/>
          <w:rFonts w:cs="Arial"/>
          <w:bCs/>
          <w:szCs w:val="24"/>
        </w:rPr>
        <w:footnoteReference w:id="598"/>
      </w:r>
      <w:r w:rsidR="008900D7" w:rsidRPr="00063866">
        <w:rPr>
          <w:rFonts w:cs="Arial"/>
          <w:bCs/>
          <w:szCs w:val="24"/>
        </w:rPr>
        <w:t>;</w:t>
      </w:r>
    </w:p>
    <w:p w14:paraId="37EA34BE" w14:textId="77777777" w:rsidR="00063866" w:rsidRDefault="00730A01" w:rsidP="00443B59">
      <w:pPr>
        <w:pStyle w:val="Paragraphe"/>
        <w:numPr>
          <w:ilvl w:val="0"/>
          <w:numId w:val="101"/>
        </w:numPr>
        <w:spacing w:line="240" w:lineRule="auto"/>
        <w:ind w:left="567" w:hanging="283"/>
        <w:rPr>
          <w:rFonts w:cs="Arial"/>
          <w:bCs/>
          <w:szCs w:val="24"/>
        </w:rPr>
      </w:pPr>
      <w:r>
        <w:rPr>
          <w:rFonts w:cs="Arial"/>
          <w:bCs/>
          <w:szCs w:val="24"/>
        </w:rPr>
        <w:t>M</w:t>
      </w:r>
      <w:r w:rsidR="008900D7" w:rsidRPr="00063866">
        <w:rPr>
          <w:rFonts w:cs="Arial"/>
          <w:bCs/>
          <w:szCs w:val="24"/>
        </w:rPr>
        <w:t>ettre en place un mécanisme de surveillance afin de faire en sorte que tout budget et tout état de trésorerie soit respecté</w:t>
      </w:r>
      <w:r>
        <w:rPr>
          <w:rStyle w:val="Appelnotedebasdep"/>
          <w:rFonts w:cs="Arial"/>
          <w:bCs/>
          <w:szCs w:val="24"/>
        </w:rPr>
        <w:footnoteReference w:id="599"/>
      </w:r>
      <w:r w:rsidR="008900D7" w:rsidRPr="00063866">
        <w:rPr>
          <w:rFonts w:cs="Arial"/>
          <w:bCs/>
          <w:szCs w:val="24"/>
        </w:rPr>
        <w:t>;</w:t>
      </w:r>
    </w:p>
    <w:p w14:paraId="2EF628A1" w14:textId="77777777" w:rsidR="008900D7" w:rsidRPr="00063866" w:rsidRDefault="00730A01" w:rsidP="00443B59">
      <w:pPr>
        <w:pStyle w:val="Paragraphe"/>
        <w:numPr>
          <w:ilvl w:val="0"/>
          <w:numId w:val="101"/>
        </w:numPr>
        <w:spacing w:line="240" w:lineRule="auto"/>
        <w:ind w:left="567" w:hanging="283"/>
        <w:rPr>
          <w:rFonts w:cs="Arial"/>
          <w:bCs/>
          <w:szCs w:val="24"/>
        </w:rPr>
      </w:pPr>
      <w:r>
        <w:rPr>
          <w:rFonts w:cs="Arial"/>
          <w:bCs/>
          <w:szCs w:val="24"/>
        </w:rPr>
        <w:t>D</w:t>
      </w:r>
      <w:r w:rsidRPr="00063866">
        <w:rPr>
          <w:rFonts w:cs="Arial"/>
          <w:bCs/>
          <w:szCs w:val="24"/>
        </w:rPr>
        <w:t>emander à Huot des attestations démontrant le paiement de toute dette fiscale</w:t>
      </w:r>
      <w:r>
        <w:rPr>
          <w:rStyle w:val="Appelnotedebasdep"/>
          <w:rFonts w:cs="Arial"/>
          <w:bCs/>
          <w:szCs w:val="24"/>
        </w:rPr>
        <w:footnoteReference w:id="600"/>
      </w:r>
      <w:r w:rsidRPr="00063866">
        <w:rPr>
          <w:rFonts w:cs="Arial"/>
          <w:bCs/>
          <w:szCs w:val="24"/>
        </w:rPr>
        <w:t>. En</w:t>
      </w:r>
      <w:r w:rsidR="00A07B0C">
        <w:rPr>
          <w:rFonts w:cs="Arial"/>
          <w:bCs/>
          <w:szCs w:val="24"/>
        </w:rPr>
        <w:t> </w:t>
      </w:r>
      <w:r w:rsidRPr="00063866">
        <w:rPr>
          <w:rFonts w:cs="Arial"/>
          <w:bCs/>
          <w:szCs w:val="24"/>
        </w:rPr>
        <w:t>2021, le Groupe Huot avait des taxes municipales impayées cumulatives de 1 M$ et TPS/TVQ impayées cumulatives de 14 M$</w:t>
      </w:r>
      <w:r>
        <w:rPr>
          <w:rStyle w:val="Appelnotedebasdep"/>
          <w:rFonts w:cs="Arial"/>
          <w:bCs/>
          <w:szCs w:val="24"/>
        </w:rPr>
        <w:footnoteReference w:id="601"/>
      </w:r>
      <w:r w:rsidRPr="00063866">
        <w:rPr>
          <w:rFonts w:cs="Arial"/>
          <w:bCs/>
          <w:szCs w:val="24"/>
        </w:rPr>
        <w:t>.</w:t>
      </w:r>
    </w:p>
    <w:p w14:paraId="34816688" w14:textId="77777777" w:rsidR="008900D7" w:rsidRDefault="00730A01" w:rsidP="004A72E9">
      <w:pPr>
        <w:pStyle w:val="Paragraphe"/>
        <w:numPr>
          <w:ilvl w:val="0"/>
          <w:numId w:val="0"/>
        </w:numPr>
        <w:spacing w:line="240" w:lineRule="auto"/>
        <w:ind w:left="284"/>
        <w:rPr>
          <w:rFonts w:cs="Arial"/>
          <w:bCs/>
          <w:szCs w:val="24"/>
        </w:rPr>
      </w:pPr>
      <w:r>
        <w:rPr>
          <w:rFonts w:cs="Arial"/>
          <w:bCs/>
          <w:szCs w:val="24"/>
        </w:rPr>
        <w:t>Les nouvelles mises de fonds de 20 M$ ont servi à :</w:t>
      </w:r>
    </w:p>
    <w:p w14:paraId="6347322A" w14:textId="77777777" w:rsidR="00063866" w:rsidRDefault="00730A01" w:rsidP="00443B59">
      <w:pPr>
        <w:pStyle w:val="Paragraphe"/>
        <w:numPr>
          <w:ilvl w:val="0"/>
          <w:numId w:val="102"/>
        </w:numPr>
        <w:spacing w:line="240" w:lineRule="auto"/>
        <w:ind w:left="567" w:hanging="283"/>
        <w:rPr>
          <w:rFonts w:cs="Arial"/>
          <w:bCs/>
          <w:szCs w:val="24"/>
        </w:rPr>
      </w:pPr>
      <w:r>
        <w:rPr>
          <w:rFonts w:cs="Arial"/>
          <w:b/>
          <w:szCs w:val="24"/>
        </w:rPr>
        <w:t xml:space="preserve">Débours Giroux : </w:t>
      </w:r>
      <w:r w:rsidRPr="0027775A">
        <w:rPr>
          <w:rFonts w:cs="Arial"/>
          <w:bCs/>
          <w:szCs w:val="24"/>
        </w:rPr>
        <w:t>payer 9 636 833 $ à 8096 en remboursement de son prêt consenti à Huot de 7 M$, pour des frais financiers, des frais de dossier du prêt FIISH et des intérêts</w:t>
      </w:r>
      <w:r>
        <w:rPr>
          <w:rStyle w:val="Appelnotedebasdep"/>
          <w:rFonts w:cs="Arial"/>
          <w:bCs/>
          <w:szCs w:val="24"/>
        </w:rPr>
        <w:footnoteReference w:id="602"/>
      </w:r>
      <w:r w:rsidRPr="00A07B0C">
        <w:rPr>
          <w:rFonts w:cs="Arial"/>
          <w:bCs/>
          <w:szCs w:val="24"/>
        </w:rPr>
        <w:t xml:space="preserve"> </w:t>
      </w:r>
      <w:r>
        <w:rPr>
          <w:rFonts w:cs="Arial"/>
          <w:bCs/>
          <w:szCs w:val="24"/>
        </w:rPr>
        <w:t>alors que le prêt devait servir uniquement à Huot immobilier (art.</w:t>
      </w:r>
      <w:r w:rsidR="00A07B0C">
        <w:rPr>
          <w:rFonts w:cs="Arial"/>
          <w:bCs/>
          <w:szCs w:val="24"/>
        </w:rPr>
        <w:t> </w:t>
      </w:r>
      <w:r>
        <w:rPr>
          <w:rFonts w:cs="Arial"/>
          <w:bCs/>
          <w:szCs w:val="24"/>
        </w:rPr>
        <w:t>12.1.5);</w:t>
      </w:r>
    </w:p>
    <w:p w14:paraId="3D5C6F64" w14:textId="77777777" w:rsidR="00063866" w:rsidRDefault="00730A01" w:rsidP="00443B59">
      <w:pPr>
        <w:pStyle w:val="Paragraphe"/>
        <w:numPr>
          <w:ilvl w:val="0"/>
          <w:numId w:val="102"/>
        </w:numPr>
        <w:spacing w:line="240" w:lineRule="auto"/>
        <w:ind w:left="567" w:hanging="283"/>
        <w:rPr>
          <w:rFonts w:cs="Arial"/>
          <w:bCs/>
          <w:szCs w:val="24"/>
        </w:rPr>
      </w:pPr>
      <w:r w:rsidRPr="00063866">
        <w:rPr>
          <w:rFonts w:cs="Arial"/>
          <w:b/>
          <w:szCs w:val="24"/>
        </w:rPr>
        <w:t xml:space="preserve">Débours Giroux : </w:t>
      </w:r>
      <w:r w:rsidRPr="00063866">
        <w:rPr>
          <w:rFonts w:cs="Arial"/>
          <w:bCs/>
          <w:szCs w:val="24"/>
        </w:rPr>
        <w:t>payer 108 314 $ à 6646 pour des honoraires professionnels liés aux renouvellements des prêts de Q-12</w:t>
      </w:r>
      <w:r>
        <w:rPr>
          <w:rStyle w:val="Appelnotedebasdep"/>
          <w:rFonts w:cs="Arial"/>
          <w:bCs/>
          <w:szCs w:val="24"/>
        </w:rPr>
        <w:footnoteReference w:id="603"/>
      </w:r>
      <w:r w:rsidRPr="00063866">
        <w:rPr>
          <w:rFonts w:cs="Arial"/>
          <w:b/>
          <w:szCs w:val="24"/>
        </w:rPr>
        <w:t xml:space="preserve"> </w:t>
      </w:r>
      <w:r w:rsidRPr="00063866">
        <w:rPr>
          <w:rFonts w:cs="Arial"/>
          <w:bCs/>
          <w:szCs w:val="24"/>
        </w:rPr>
        <w:t>alors que le prêt devait servir uniquement aux activités immobilières et être remis uniquement à Huot immobilier (art.</w:t>
      </w:r>
      <w:r w:rsidR="00A07B0C">
        <w:rPr>
          <w:rFonts w:cs="Arial"/>
          <w:bCs/>
          <w:szCs w:val="24"/>
        </w:rPr>
        <w:t> </w:t>
      </w:r>
      <w:r w:rsidRPr="00063866">
        <w:rPr>
          <w:rFonts w:cs="Arial"/>
          <w:bCs/>
          <w:szCs w:val="24"/>
        </w:rPr>
        <w:t>12.1.5);</w:t>
      </w:r>
    </w:p>
    <w:p w14:paraId="1E2A2C04" w14:textId="77777777" w:rsidR="00063866" w:rsidRDefault="00730A01" w:rsidP="00443B59">
      <w:pPr>
        <w:pStyle w:val="Paragraphe"/>
        <w:numPr>
          <w:ilvl w:val="0"/>
          <w:numId w:val="102"/>
        </w:numPr>
        <w:spacing w:line="240" w:lineRule="auto"/>
        <w:ind w:left="567" w:hanging="283"/>
        <w:rPr>
          <w:rFonts w:cs="Arial"/>
          <w:bCs/>
          <w:szCs w:val="24"/>
        </w:rPr>
      </w:pPr>
      <w:r w:rsidRPr="00063866">
        <w:rPr>
          <w:rFonts w:cs="Arial"/>
          <w:b/>
          <w:szCs w:val="24"/>
        </w:rPr>
        <w:t xml:space="preserve">Transaction Ponzi : </w:t>
      </w:r>
      <w:r w:rsidRPr="00063866">
        <w:rPr>
          <w:rFonts w:cs="Arial"/>
          <w:bCs/>
          <w:szCs w:val="24"/>
        </w:rPr>
        <w:t>payer 635 186 $ en intérêts sur le prêt FIISH de mai</w:t>
      </w:r>
      <w:r w:rsidR="00A07B0C">
        <w:rPr>
          <w:rFonts w:cs="Arial"/>
          <w:bCs/>
          <w:szCs w:val="24"/>
        </w:rPr>
        <w:t> </w:t>
      </w:r>
      <w:r w:rsidRPr="00063866">
        <w:rPr>
          <w:rFonts w:cs="Arial"/>
          <w:bCs/>
          <w:szCs w:val="24"/>
        </w:rPr>
        <w:t>2021</w:t>
      </w:r>
      <w:r>
        <w:rPr>
          <w:rStyle w:val="Appelnotedebasdep"/>
          <w:rFonts w:cs="Arial"/>
          <w:bCs/>
          <w:szCs w:val="24"/>
        </w:rPr>
        <w:footnoteReference w:id="604"/>
      </w:r>
      <w:r w:rsidRPr="00063866">
        <w:rPr>
          <w:rFonts w:cs="Arial"/>
          <w:b/>
          <w:szCs w:val="24"/>
        </w:rPr>
        <w:t xml:space="preserve"> </w:t>
      </w:r>
      <w:r w:rsidRPr="00063866">
        <w:rPr>
          <w:rFonts w:cs="Arial"/>
          <w:bCs/>
          <w:szCs w:val="24"/>
        </w:rPr>
        <w:t>alors que le prêt devait servir uniquement aux activités immobilières et être remis uniquement à Huot immobilier (art.</w:t>
      </w:r>
      <w:r w:rsidR="00A07B0C">
        <w:rPr>
          <w:rFonts w:cs="Arial"/>
          <w:bCs/>
          <w:szCs w:val="24"/>
        </w:rPr>
        <w:t> </w:t>
      </w:r>
      <w:r w:rsidRPr="00063866">
        <w:rPr>
          <w:rFonts w:cs="Arial"/>
          <w:bCs/>
          <w:szCs w:val="24"/>
        </w:rPr>
        <w:t>12.1.5);</w:t>
      </w:r>
    </w:p>
    <w:p w14:paraId="52E76361" w14:textId="77777777" w:rsidR="00063866" w:rsidRDefault="00730A01" w:rsidP="00443B59">
      <w:pPr>
        <w:pStyle w:val="Paragraphe"/>
        <w:numPr>
          <w:ilvl w:val="0"/>
          <w:numId w:val="102"/>
        </w:numPr>
        <w:spacing w:line="240" w:lineRule="auto"/>
        <w:ind w:left="567" w:hanging="283"/>
        <w:rPr>
          <w:rFonts w:cs="Arial"/>
          <w:bCs/>
          <w:szCs w:val="24"/>
        </w:rPr>
      </w:pPr>
      <w:r w:rsidRPr="00063866">
        <w:rPr>
          <w:rFonts w:cs="Arial"/>
          <w:b/>
          <w:szCs w:val="24"/>
        </w:rPr>
        <w:t>Transaction Ponzi : payer 2 900 000 $ à Q-12 en remboursement de prêts intérêts</w:t>
      </w:r>
      <w:r>
        <w:rPr>
          <w:rStyle w:val="Appelnotedebasdep"/>
          <w:rFonts w:cs="Arial"/>
          <w:bCs/>
          <w:szCs w:val="24"/>
        </w:rPr>
        <w:footnoteReference w:id="605"/>
      </w:r>
      <w:r w:rsidRPr="00063866">
        <w:rPr>
          <w:rFonts w:cs="Arial"/>
          <w:b/>
          <w:szCs w:val="24"/>
        </w:rPr>
        <w:t xml:space="preserve"> </w:t>
      </w:r>
      <w:r w:rsidRPr="00063866">
        <w:rPr>
          <w:rFonts w:cs="Arial"/>
          <w:bCs/>
          <w:szCs w:val="24"/>
        </w:rPr>
        <w:t>alors que le prêt devait servir uniquement aux activités immobilières et être remis uniquement à Huot immobilier (art.</w:t>
      </w:r>
      <w:r w:rsidR="00A07B0C">
        <w:rPr>
          <w:rFonts w:cs="Arial"/>
          <w:bCs/>
          <w:szCs w:val="24"/>
        </w:rPr>
        <w:t> </w:t>
      </w:r>
      <w:r w:rsidRPr="00063866">
        <w:rPr>
          <w:rFonts w:cs="Arial"/>
          <w:bCs/>
          <w:szCs w:val="24"/>
        </w:rPr>
        <w:t>12.1.5)</w:t>
      </w:r>
      <w:r w:rsidR="00A07B0C">
        <w:rPr>
          <w:rFonts w:cs="Arial"/>
          <w:bCs/>
          <w:szCs w:val="24"/>
        </w:rPr>
        <w:t>;</w:t>
      </w:r>
    </w:p>
    <w:p w14:paraId="11DC567C" w14:textId="77777777" w:rsidR="00063866" w:rsidRDefault="00730A01" w:rsidP="00443B59">
      <w:pPr>
        <w:pStyle w:val="Paragraphe"/>
        <w:numPr>
          <w:ilvl w:val="0"/>
          <w:numId w:val="102"/>
        </w:numPr>
        <w:spacing w:line="240" w:lineRule="auto"/>
        <w:ind w:left="567" w:hanging="283"/>
        <w:rPr>
          <w:rFonts w:cs="Arial"/>
          <w:bCs/>
          <w:szCs w:val="24"/>
        </w:rPr>
      </w:pPr>
      <w:r w:rsidRPr="00063866">
        <w:rPr>
          <w:rFonts w:cs="Arial"/>
          <w:bCs/>
          <w:szCs w:val="24"/>
        </w:rPr>
        <w:t>Défaut résultant des déboursés additionnels au lieu d’exercer les recours prévus à la convention de prêt (art.</w:t>
      </w:r>
      <w:r w:rsidR="00A07B0C">
        <w:rPr>
          <w:rFonts w:cs="Arial"/>
          <w:bCs/>
          <w:szCs w:val="24"/>
        </w:rPr>
        <w:t> </w:t>
      </w:r>
      <w:r w:rsidRPr="00063866">
        <w:rPr>
          <w:rFonts w:cs="Arial"/>
          <w:bCs/>
          <w:szCs w:val="24"/>
        </w:rPr>
        <w:t>3.1 et 20), le défaut de payer les sommes dues constituant un cas de défaut (art.</w:t>
      </w:r>
      <w:r w:rsidR="00A07B0C">
        <w:rPr>
          <w:rFonts w:cs="Arial"/>
          <w:bCs/>
          <w:szCs w:val="24"/>
        </w:rPr>
        <w:t> </w:t>
      </w:r>
      <w:r w:rsidRPr="00063866">
        <w:rPr>
          <w:rFonts w:cs="Arial"/>
          <w:bCs/>
          <w:szCs w:val="24"/>
        </w:rPr>
        <w:t>17.1.1);</w:t>
      </w:r>
    </w:p>
    <w:p w14:paraId="4CEE8925" w14:textId="77777777" w:rsidR="00063866" w:rsidRDefault="00730A01" w:rsidP="00443B59">
      <w:pPr>
        <w:pStyle w:val="Paragraphe"/>
        <w:numPr>
          <w:ilvl w:val="0"/>
          <w:numId w:val="102"/>
        </w:numPr>
        <w:spacing w:line="240" w:lineRule="auto"/>
        <w:ind w:left="567" w:hanging="283"/>
        <w:rPr>
          <w:rFonts w:cs="Arial"/>
          <w:bCs/>
          <w:szCs w:val="24"/>
        </w:rPr>
      </w:pPr>
      <w:r w:rsidRPr="00063866">
        <w:rPr>
          <w:rFonts w:cs="Arial"/>
          <w:bCs/>
          <w:szCs w:val="24"/>
        </w:rPr>
        <w:t>Défaut résultant du refus de publier l’hypothèque immobilière au montant de 100 M$ contre les immeubles du Groupe Huot dès le premier cas de défaut d’Huot (art.</w:t>
      </w:r>
      <w:r w:rsidR="00A07B0C">
        <w:rPr>
          <w:rFonts w:cs="Arial"/>
          <w:bCs/>
          <w:szCs w:val="24"/>
        </w:rPr>
        <w:t> </w:t>
      </w:r>
      <w:r w:rsidRPr="00063866">
        <w:rPr>
          <w:rFonts w:cs="Arial"/>
          <w:bCs/>
          <w:szCs w:val="24"/>
        </w:rPr>
        <w:t>10.1.8 et 10.2);</w:t>
      </w:r>
    </w:p>
    <w:p w14:paraId="76102FD2" w14:textId="77777777" w:rsidR="00063866" w:rsidRDefault="00730A01" w:rsidP="00443B59">
      <w:pPr>
        <w:pStyle w:val="Paragraphe"/>
        <w:numPr>
          <w:ilvl w:val="0"/>
          <w:numId w:val="102"/>
        </w:numPr>
        <w:spacing w:line="240" w:lineRule="auto"/>
        <w:ind w:left="567" w:hanging="283"/>
        <w:rPr>
          <w:rFonts w:cs="Arial"/>
          <w:bCs/>
          <w:szCs w:val="24"/>
        </w:rPr>
      </w:pPr>
      <w:r w:rsidRPr="00063866">
        <w:rPr>
          <w:rFonts w:cs="Arial"/>
          <w:bCs/>
          <w:szCs w:val="24"/>
        </w:rPr>
        <w:t>Défaut résultant du dépassement des ratios d’équité (art.</w:t>
      </w:r>
      <w:r w:rsidR="00A07B0C">
        <w:rPr>
          <w:rFonts w:cs="Arial"/>
          <w:bCs/>
          <w:szCs w:val="24"/>
        </w:rPr>
        <w:t> </w:t>
      </w:r>
      <w:r w:rsidRPr="00063866">
        <w:rPr>
          <w:rFonts w:cs="Arial"/>
          <w:bCs/>
          <w:szCs w:val="24"/>
        </w:rPr>
        <w:t>17.1.5) et de ne pas avoir mis en place un mécanisme de surveillance afin de faire en sorte que tout budget et tout état de trésorerie soient respectés (art.</w:t>
      </w:r>
      <w:r w:rsidR="00A07B0C">
        <w:rPr>
          <w:rFonts w:cs="Arial"/>
          <w:bCs/>
          <w:szCs w:val="24"/>
        </w:rPr>
        <w:t> </w:t>
      </w:r>
      <w:r w:rsidRPr="00063866">
        <w:rPr>
          <w:rFonts w:cs="Arial"/>
          <w:bCs/>
          <w:szCs w:val="24"/>
        </w:rPr>
        <w:t>12.1.8) :</w:t>
      </w:r>
    </w:p>
    <w:p w14:paraId="66079442" w14:textId="77777777" w:rsidR="00063866" w:rsidRDefault="00730A01" w:rsidP="00443B59">
      <w:pPr>
        <w:pStyle w:val="Paragraphe"/>
        <w:numPr>
          <w:ilvl w:val="0"/>
          <w:numId w:val="103"/>
        </w:numPr>
        <w:spacing w:line="240" w:lineRule="auto"/>
        <w:ind w:left="851" w:hanging="284"/>
        <w:rPr>
          <w:rFonts w:cs="Arial"/>
          <w:bCs/>
          <w:szCs w:val="24"/>
        </w:rPr>
      </w:pPr>
      <w:r w:rsidRPr="00063866">
        <w:rPr>
          <w:rFonts w:cs="Arial"/>
          <w:bCs/>
          <w:szCs w:val="24"/>
        </w:rPr>
        <w:t>À partir d’octobre</w:t>
      </w:r>
      <w:r w:rsidR="00A07B0C">
        <w:rPr>
          <w:rFonts w:cs="Arial"/>
          <w:bCs/>
          <w:szCs w:val="24"/>
        </w:rPr>
        <w:t> </w:t>
      </w:r>
      <w:r w:rsidRPr="00063866">
        <w:rPr>
          <w:rFonts w:cs="Arial"/>
          <w:bCs/>
          <w:szCs w:val="24"/>
        </w:rPr>
        <w:t>2021, les immeubles de Transrapide ont été ajoutés aux tableaux de bord, alors que la garantie hypothécaire du prêt FIISH ne portait pas sur ces actifs. En octobre</w:t>
      </w:r>
      <w:r w:rsidR="00CC2A90">
        <w:rPr>
          <w:rFonts w:cs="Arial"/>
          <w:bCs/>
          <w:szCs w:val="24"/>
        </w:rPr>
        <w:t> </w:t>
      </w:r>
      <w:r w:rsidRPr="00063866">
        <w:rPr>
          <w:rFonts w:cs="Arial"/>
          <w:bCs/>
          <w:szCs w:val="24"/>
        </w:rPr>
        <w:t>2021, la valeur de l’équité allouée à Huot en regard à ces actifs était de 14,5 M$</w:t>
      </w:r>
      <w:r>
        <w:rPr>
          <w:rStyle w:val="Appelnotedebasdep"/>
          <w:rFonts w:cs="Arial"/>
          <w:bCs/>
          <w:szCs w:val="24"/>
        </w:rPr>
        <w:footnoteReference w:id="606"/>
      </w:r>
      <w:r w:rsidRPr="00063866">
        <w:rPr>
          <w:rFonts w:cs="Arial"/>
          <w:bCs/>
          <w:szCs w:val="24"/>
        </w:rPr>
        <w:t>, ce qui signifie que le montant du financement ne respectait nullement la règle d’allocation</w:t>
      </w:r>
      <w:r>
        <w:rPr>
          <w:rStyle w:val="Appelnotedebasdep"/>
          <w:rFonts w:cs="Arial"/>
          <w:bCs/>
          <w:szCs w:val="24"/>
        </w:rPr>
        <w:footnoteReference w:id="607"/>
      </w:r>
      <w:r w:rsidRPr="00063866">
        <w:rPr>
          <w:rFonts w:cs="Arial"/>
          <w:bCs/>
          <w:szCs w:val="24"/>
        </w:rPr>
        <w:t>;</w:t>
      </w:r>
    </w:p>
    <w:p w14:paraId="4BCF8350" w14:textId="77777777" w:rsidR="008900D7" w:rsidRPr="00063866" w:rsidRDefault="00730A01" w:rsidP="00443B59">
      <w:pPr>
        <w:pStyle w:val="Paragraphe"/>
        <w:numPr>
          <w:ilvl w:val="0"/>
          <w:numId w:val="103"/>
        </w:numPr>
        <w:spacing w:line="240" w:lineRule="auto"/>
        <w:ind w:left="851" w:hanging="284"/>
        <w:rPr>
          <w:rFonts w:cs="Arial"/>
          <w:bCs/>
          <w:szCs w:val="24"/>
        </w:rPr>
      </w:pPr>
      <w:r w:rsidRPr="00063866">
        <w:rPr>
          <w:rFonts w:cs="Arial"/>
          <w:bCs/>
          <w:szCs w:val="24"/>
        </w:rPr>
        <w:t>En</w:t>
      </w:r>
      <w:r w:rsidR="00CC2A90">
        <w:rPr>
          <w:rFonts w:cs="Arial"/>
          <w:bCs/>
          <w:szCs w:val="24"/>
        </w:rPr>
        <w:t> </w:t>
      </w:r>
      <w:r w:rsidRPr="00063866">
        <w:rPr>
          <w:rFonts w:cs="Arial"/>
          <w:bCs/>
          <w:szCs w:val="24"/>
        </w:rPr>
        <w:t>2020 et</w:t>
      </w:r>
      <w:r w:rsidR="00CC2A90">
        <w:rPr>
          <w:rFonts w:cs="Arial"/>
          <w:bCs/>
          <w:szCs w:val="24"/>
        </w:rPr>
        <w:t> </w:t>
      </w:r>
      <w:r w:rsidRPr="00063866">
        <w:rPr>
          <w:rFonts w:cs="Arial"/>
          <w:bCs/>
          <w:szCs w:val="24"/>
        </w:rPr>
        <w:t>2021, les taxes municipales visant les immeubles du Groupe Huot étaient impayées pour un montant de près de 1 M%</w:t>
      </w:r>
      <w:r>
        <w:rPr>
          <w:rStyle w:val="Appelnotedebasdep"/>
          <w:rFonts w:cs="Arial"/>
          <w:bCs/>
          <w:szCs w:val="24"/>
        </w:rPr>
        <w:footnoteReference w:id="608"/>
      </w:r>
      <w:r w:rsidRPr="00063866">
        <w:rPr>
          <w:rFonts w:cs="Arial"/>
          <w:bCs/>
          <w:szCs w:val="24"/>
        </w:rPr>
        <w:t>. Or, la vérification visant à s’assurer qu’aucune taxe n’était due n’a été effectuée que deux fois entre</w:t>
      </w:r>
      <w:r w:rsidR="00CC2A90">
        <w:rPr>
          <w:rFonts w:cs="Arial"/>
          <w:bCs/>
          <w:szCs w:val="24"/>
        </w:rPr>
        <w:t> </w:t>
      </w:r>
      <w:r w:rsidRPr="00063866">
        <w:rPr>
          <w:rFonts w:cs="Arial"/>
          <w:bCs/>
          <w:szCs w:val="24"/>
        </w:rPr>
        <w:t>2017 et</w:t>
      </w:r>
      <w:r w:rsidR="00CC2A90">
        <w:rPr>
          <w:rFonts w:cs="Arial"/>
          <w:bCs/>
          <w:szCs w:val="24"/>
        </w:rPr>
        <w:t> </w:t>
      </w:r>
      <w:r w:rsidRPr="00063866">
        <w:rPr>
          <w:rFonts w:cs="Arial"/>
          <w:bCs/>
          <w:szCs w:val="24"/>
        </w:rPr>
        <w:t>2022, soit au moment du renouvellement du prêt FIISH en mars-avril</w:t>
      </w:r>
      <w:r w:rsidR="00CC2A90">
        <w:rPr>
          <w:rFonts w:cs="Arial"/>
          <w:bCs/>
          <w:szCs w:val="24"/>
        </w:rPr>
        <w:t> </w:t>
      </w:r>
      <w:r w:rsidRPr="00063866">
        <w:rPr>
          <w:rFonts w:cs="Arial"/>
          <w:bCs/>
          <w:szCs w:val="24"/>
        </w:rPr>
        <w:t>2020 et à l’automne</w:t>
      </w:r>
      <w:r w:rsidR="00CC2A90">
        <w:rPr>
          <w:rFonts w:cs="Arial"/>
          <w:bCs/>
          <w:szCs w:val="24"/>
        </w:rPr>
        <w:t> </w:t>
      </w:r>
      <w:r w:rsidRPr="00063866">
        <w:rPr>
          <w:rFonts w:cs="Arial"/>
          <w:bCs/>
          <w:szCs w:val="24"/>
        </w:rPr>
        <w:t>2022</w:t>
      </w:r>
      <w:r>
        <w:rPr>
          <w:rStyle w:val="Appelnotedebasdep"/>
          <w:rFonts w:cs="Arial"/>
          <w:bCs/>
          <w:szCs w:val="24"/>
        </w:rPr>
        <w:footnoteReference w:id="609"/>
      </w:r>
      <w:r w:rsidRPr="00063866">
        <w:rPr>
          <w:rFonts w:cs="Arial"/>
          <w:bCs/>
          <w:szCs w:val="24"/>
        </w:rPr>
        <w:t>.</w:t>
      </w:r>
    </w:p>
    <w:p w14:paraId="72ED7E02" w14:textId="77777777" w:rsidR="00063866" w:rsidRDefault="00730A01" w:rsidP="00443B59">
      <w:pPr>
        <w:pStyle w:val="Paragraphe"/>
        <w:numPr>
          <w:ilvl w:val="0"/>
          <w:numId w:val="103"/>
        </w:numPr>
        <w:spacing w:line="240" w:lineRule="auto"/>
        <w:ind w:left="567" w:hanging="283"/>
        <w:rPr>
          <w:rFonts w:cs="Arial"/>
          <w:bCs/>
          <w:szCs w:val="24"/>
        </w:rPr>
      </w:pPr>
      <w:r>
        <w:rPr>
          <w:rFonts w:cs="Arial"/>
          <w:bCs/>
          <w:szCs w:val="24"/>
        </w:rPr>
        <w:t>Défaut résultant des déboursés additionnels au lieu d’exercer les recours prévus à la convention de prêt vu les défauts (art.</w:t>
      </w:r>
      <w:r w:rsidR="00CC2A90">
        <w:rPr>
          <w:rFonts w:cs="Arial"/>
          <w:bCs/>
          <w:szCs w:val="24"/>
        </w:rPr>
        <w:t> </w:t>
      </w:r>
      <w:r>
        <w:rPr>
          <w:rFonts w:cs="Arial"/>
          <w:bCs/>
          <w:szCs w:val="24"/>
        </w:rPr>
        <w:t>3.1 et 20).</w:t>
      </w:r>
    </w:p>
    <w:p w14:paraId="1C080CCA" w14:textId="77777777" w:rsidR="00063866" w:rsidRDefault="00730A01" w:rsidP="00443B59">
      <w:pPr>
        <w:pStyle w:val="Paragraphe"/>
        <w:numPr>
          <w:ilvl w:val="0"/>
          <w:numId w:val="103"/>
        </w:numPr>
        <w:spacing w:line="240" w:lineRule="auto"/>
        <w:ind w:left="567" w:hanging="283"/>
        <w:rPr>
          <w:rFonts w:cs="Arial"/>
          <w:bCs/>
          <w:szCs w:val="24"/>
        </w:rPr>
      </w:pPr>
      <w:r w:rsidRPr="00063866">
        <w:rPr>
          <w:rFonts w:cs="Arial"/>
          <w:bCs/>
          <w:szCs w:val="24"/>
        </w:rPr>
        <w:t>Défaut de ne pas avoir exigé les attestations mensuelles certifiant qu’Huot respectait ses obligations aux termes du prêt et qu’il n’existait aucun cas de défaut (art.</w:t>
      </w:r>
      <w:r w:rsidR="00CC2A90">
        <w:rPr>
          <w:rFonts w:cs="Arial"/>
          <w:bCs/>
          <w:szCs w:val="24"/>
        </w:rPr>
        <w:t> </w:t>
      </w:r>
      <w:r w:rsidRPr="00063866">
        <w:rPr>
          <w:rFonts w:cs="Arial"/>
          <w:bCs/>
          <w:szCs w:val="24"/>
        </w:rPr>
        <w:t>11.6)</w:t>
      </w:r>
      <w:r>
        <w:rPr>
          <w:rStyle w:val="Appelnotedebasdep"/>
          <w:rFonts w:cs="Arial"/>
          <w:bCs/>
          <w:szCs w:val="24"/>
        </w:rPr>
        <w:footnoteReference w:id="610"/>
      </w:r>
      <w:r w:rsidRPr="00063866">
        <w:rPr>
          <w:rFonts w:cs="Arial"/>
          <w:bCs/>
          <w:szCs w:val="24"/>
        </w:rPr>
        <w:t xml:space="preserve"> ni les attestations de paiement des dettes fiscales (art.</w:t>
      </w:r>
      <w:r w:rsidR="00CC2A90">
        <w:rPr>
          <w:rFonts w:cs="Arial"/>
          <w:bCs/>
          <w:szCs w:val="24"/>
        </w:rPr>
        <w:t> </w:t>
      </w:r>
      <w:r w:rsidRPr="00063866">
        <w:rPr>
          <w:rFonts w:cs="Arial"/>
          <w:bCs/>
          <w:szCs w:val="24"/>
        </w:rPr>
        <w:t>14.1.2)</w:t>
      </w:r>
      <w:r>
        <w:rPr>
          <w:rStyle w:val="Appelnotedebasdep"/>
          <w:rFonts w:cs="Arial"/>
          <w:bCs/>
          <w:szCs w:val="24"/>
        </w:rPr>
        <w:footnoteReference w:id="611"/>
      </w:r>
      <w:r w:rsidRPr="00063866">
        <w:rPr>
          <w:rFonts w:cs="Arial"/>
          <w:bCs/>
          <w:szCs w:val="24"/>
        </w:rPr>
        <w:t> :</w:t>
      </w:r>
    </w:p>
    <w:p w14:paraId="7BDF50CF" w14:textId="77777777" w:rsidR="008900D7" w:rsidRPr="00063866" w:rsidRDefault="00730A01" w:rsidP="00443B59">
      <w:pPr>
        <w:pStyle w:val="Paragraphe"/>
        <w:numPr>
          <w:ilvl w:val="0"/>
          <w:numId w:val="103"/>
        </w:numPr>
        <w:spacing w:line="240" w:lineRule="auto"/>
        <w:ind w:left="851" w:hanging="284"/>
        <w:rPr>
          <w:rFonts w:cs="Arial"/>
          <w:bCs/>
          <w:szCs w:val="24"/>
        </w:rPr>
      </w:pPr>
      <w:r w:rsidRPr="00063866">
        <w:rPr>
          <w:rFonts w:cs="Arial"/>
          <w:bCs/>
          <w:szCs w:val="24"/>
        </w:rPr>
        <w:t>En</w:t>
      </w:r>
      <w:r w:rsidR="00CC2A90">
        <w:rPr>
          <w:rFonts w:cs="Arial"/>
          <w:bCs/>
          <w:szCs w:val="24"/>
        </w:rPr>
        <w:t> </w:t>
      </w:r>
      <w:r w:rsidRPr="00063866">
        <w:rPr>
          <w:rFonts w:cs="Arial"/>
          <w:bCs/>
          <w:szCs w:val="24"/>
        </w:rPr>
        <w:t>2021, le montant des taxes municipales impayées par le Groupe Huot s’élevait à 1 M% et le montant des TPS/TVQ impayées à 14 M$</w:t>
      </w:r>
      <w:r>
        <w:rPr>
          <w:rStyle w:val="Appelnotedebasdep"/>
          <w:rFonts w:cs="Arial"/>
          <w:bCs/>
          <w:szCs w:val="24"/>
        </w:rPr>
        <w:footnoteReference w:id="612"/>
      </w:r>
      <w:r w:rsidRPr="00063866">
        <w:rPr>
          <w:rFonts w:cs="Arial"/>
          <w:bCs/>
          <w:szCs w:val="24"/>
        </w:rPr>
        <w:t>.</w:t>
      </w:r>
    </w:p>
    <w:p w14:paraId="412C1494" w14:textId="77777777" w:rsidR="008900D7" w:rsidRDefault="00730A01" w:rsidP="00443B59">
      <w:pPr>
        <w:pStyle w:val="Titre3"/>
        <w:numPr>
          <w:ilvl w:val="2"/>
          <w:numId w:val="56"/>
        </w:numPr>
        <w:ind w:left="284" w:hanging="284"/>
        <w:jc w:val="both"/>
        <w:rPr>
          <w:rFonts w:cs="Arial"/>
          <w:b/>
          <w:szCs w:val="24"/>
        </w:rPr>
      </w:pPr>
      <w:bookmarkStart w:id="226" w:name="_Toc211495288"/>
      <w:bookmarkStart w:id="227" w:name="_Toc211600696"/>
      <w:r w:rsidRPr="00113395">
        <w:rPr>
          <w:rFonts w:cs="Arial"/>
          <w:b/>
          <w:szCs w:val="24"/>
        </w:rPr>
        <w:t>Autres manquements</w:t>
      </w:r>
      <w:bookmarkEnd w:id="226"/>
      <w:bookmarkEnd w:id="227"/>
      <w:r>
        <w:rPr>
          <w:rFonts w:cs="Arial"/>
          <w:b/>
          <w:szCs w:val="24"/>
        </w:rPr>
        <w:t xml:space="preserve"> </w:t>
      </w:r>
    </w:p>
    <w:p w14:paraId="531E4383" w14:textId="77777777" w:rsidR="008900D7" w:rsidRDefault="00730A01" w:rsidP="00443B59">
      <w:pPr>
        <w:pStyle w:val="Paragraphe"/>
        <w:numPr>
          <w:ilvl w:val="0"/>
          <w:numId w:val="68"/>
        </w:numPr>
        <w:spacing w:line="240" w:lineRule="auto"/>
        <w:ind w:left="567" w:hanging="283"/>
        <w:rPr>
          <w:rFonts w:cs="Arial"/>
          <w:bCs/>
          <w:szCs w:val="24"/>
        </w:rPr>
      </w:pPr>
      <w:r>
        <w:rPr>
          <w:rFonts w:cs="Arial"/>
          <w:bCs/>
          <w:szCs w:val="24"/>
        </w:rPr>
        <w:t>Défaut d’avoir informé les commanditaires que :</w:t>
      </w:r>
    </w:p>
    <w:p w14:paraId="4B10D8F3" w14:textId="77777777" w:rsidR="008900D7" w:rsidRDefault="00730A01" w:rsidP="00443B59">
      <w:pPr>
        <w:pStyle w:val="Paragraphe"/>
        <w:numPr>
          <w:ilvl w:val="1"/>
          <w:numId w:val="87"/>
        </w:numPr>
        <w:spacing w:line="240" w:lineRule="auto"/>
        <w:ind w:left="851" w:hanging="284"/>
        <w:rPr>
          <w:rFonts w:cs="Arial"/>
          <w:bCs/>
          <w:szCs w:val="24"/>
        </w:rPr>
      </w:pPr>
      <w:r>
        <w:rPr>
          <w:rFonts w:cs="Arial"/>
          <w:bCs/>
          <w:szCs w:val="24"/>
        </w:rPr>
        <w:t>Les opérations immobilières du Groupe Huot, considérant le prêt FIISH, étaient en déficit annuel de liquidités de 17 M$ en</w:t>
      </w:r>
      <w:r w:rsidR="00CC2A90">
        <w:rPr>
          <w:rFonts w:cs="Arial"/>
          <w:bCs/>
          <w:szCs w:val="24"/>
        </w:rPr>
        <w:t> </w:t>
      </w:r>
      <w:r>
        <w:rPr>
          <w:rFonts w:cs="Arial"/>
          <w:bCs/>
          <w:szCs w:val="24"/>
        </w:rPr>
        <w:t>2021</w:t>
      </w:r>
      <w:r>
        <w:rPr>
          <w:rStyle w:val="Appelnotedebasdep"/>
          <w:rFonts w:cs="Arial"/>
          <w:bCs/>
          <w:szCs w:val="24"/>
        </w:rPr>
        <w:footnoteReference w:id="613"/>
      </w:r>
      <w:r>
        <w:rPr>
          <w:rFonts w:cs="Arial"/>
          <w:bCs/>
          <w:szCs w:val="24"/>
        </w:rPr>
        <w:t>;</w:t>
      </w:r>
    </w:p>
    <w:p w14:paraId="605FAC61" w14:textId="77777777" w:rsidR="008900D7" w:rsidRDefault="00730A01" w:rsidP="00443B59">
      <w:pPr>
        <w:pStyle w:val="Paragraphe"/>
        <w:numPr>
          <w:ilvl w:val="1"/>
          <w:numId w:val="87"/>
        </w:numPr>
        <w:spacing w:line="240" w:lineRule="auto"/>
        <w:ind w:left="851" w:hanging="284"/>
        <w:rPr>
          <w:rFonts w:cs="Arial"/>
          <w:bCs/>
          <w:szCs w:val="24"/>
        </w:rPr>
      </w:pPr>
      <w:r>
        <w:rPr>
          <w:rFonts w:cs="Arial"/>
          <w:bCs/>
          <w:szCs w:val="24"/>
        </w:rPr>
        <w:t>Dans le cadre de l’avance de 20 M$ de FIISH pour l’amendement</w:t>
      </w:r>
      <w:r w:rsidR="00CC2A90">
        <w:rPr>
          <w:rFonts w:cs="Arial"/>
          <w:bCs/>
          <w:szCs w:val="24"/>
        </w:rPr>
        <w:t> </w:t>
      </w:r>
      <w:r>
        <w:rPr>
          <w:rFonts w:cs="Arial"/>
          <w:bCs/>
          <w:szCs w:val="24"/>
        </w:rPr>
        <w:t>#1, un transfert de FIISH vers Q-12 au montant de 2,45 M$ a été effectué avec les sommes reçues d’investisseurs de Q-12 afin de rembourser les prêts P04, P05, P09 et P27</w:t>
      </w:r>
      <w:r>
        <w:rPr>
          <w:rStyle w:val="Appelnotedebasdep"/>
          <w:rFonts w:cs="Arial"/>
          <w:bCs/>
          <w:szCs w:val="24"/>
        </w:rPr>
        <w:footnoteReference w:id="614"/>
      </w:r>
      <w:r>
        <w:rPr>
          <w:rFonts w:cs="Arial"/>
          <w:bCs/>
          <w:szCs w:val="24"/>
        </w:rPr>
        <w:t>;</w:t>
      </w:r>
    </w:p>
    <w:p w14:paraId="5164F7BA" w14:textId="77777777" w:rsidR="008900D7" w:rsidRPr="00344696" w:rsidRDefault="00730A01" w:rsidP="00443B59">
      <w:pPr>
        <w:pStyle w:val="Paragraphe"/>
        <w:numPr>
          <w:ilvl w:val="1"/>
          <w:numId w:val="87"/>
        </w:numPr>
        <w:spacing w:line="240" w:lineRule="auto"/>
        <w:ind w:left="851" w:hanging="284"/>
        <w:rPr>
          <w:rFonts w:cs="Arial"/>
          <w:bCs/>
          <w:szCs w:val="24"/>
        </w:rPr>
      </w:pPr>
      <w:r>
        <w:rPr>
          <w:rFonts w:cs="Arial"/>
          <w:bCs/>
          <w:szCs w:val="24"/>
        </w:rPr>
        <w:t>En juillet</w:t>
      </w:r>
      <w:r w:rsidR="00CC2A90">
        <w:rPr>
          <w:rFonts w:cs="Arial"/>
          <w:bCs/>
          <w:szCs w:val="24"/>
        </w:rPr>
        <w:t> </w:t>
      </w:r>
      <w:r>
        <w:rPr>
          <w:rFonts w:cs="Arial"/>
          <w:bCs/>
          <w:szCs w:val="24"/>
        </w:rPr>
        <w:t>2021, le Groupe Huot était dans l’incapacité de rembourser 3,8 M$ sur le prêt Aventura IX consenti par Q-12 (prêt P040)</w:t>
      </w:r>
      <w:r>
        <w:rPr>
          <w:rStyle w:val="Appelnotedebasdep"/>
          <w:rFonts w:cs="Arial"/>
          <w:bCs/>
          <w:szCs w:val="24"/>
        </w:rPr>
        <w:footnoteReference w:id="615"/>
      </w:r>
      <w:r>
        <w:rPr>
          <w:rFonts w:cs="Arial"/>
          <w:bCs/>
          <w:szCs w:val="24"/>
        </w:rPr>
        <w:t>;</w:t>
      </w:r>
    </w:p>
    <w:p w14:paraId="29808964" w14:textId="77777777" w:rsidR="008900D7" w:rsidRDefault="00730A01" w:rsidP="00443B59">
      <w:pPr>
        <w:pStyle w:val="Paragraphe"/>
        <w:numPr>
          <w:ilvl w:val="1"/>
          <w:numId w:val="87"/>
        </w:numPr>
        <w:spacing w:line="240" w:lineRule="auto"/>
        <w:ind w:left="851" w:hanging="284"/>
        <w:rPr>
          <w:rFonts w:cs="Arial"/>
          <w:bCs/>
          <w:szCs w:val="24"/>
        </w:rPr>
      </w:pPr>
      <w:r>
        <w:rPr>
          <w:rFonts w:cs="Arial"/>
          <w:bCs/>
          <w:szCs w:val="24"/>
        </w:rPr>
        <w:t>6646 a consenti un prêt d’urgence à Millénum au montant de 3,68 M$ à un taux d’intérêt de 60 %</w:t>
      </w:r>
      <w:r>
        <w:rPr>
          <w:rStyle w:val="Appelnotedebasdep"/>
          <w:rFonts w:cs="Arial"/>
          <w:bCs/>
          <w:szCs w:val="24"/>
        </w:rPr>
        <w:footnoteReference w:id="616"/>
      </w:r>
      <w:r>
        <w:rPr>
          <w:rFonts w:cs="Arial"/>
          <w:bCs/>
          <w:szCs w:val="24"/>
        </w:rPr>
        <w:t>. Ce prêt, qui a servi à rembourser le prêt P040, a été effectué avec des fonds provenant de 8096, et donc ultimement des commanditaires de FIISH via l’amendement</w:t>
      </w:r>
      <w:r w:rsidR="00CC2A90">
        <w:rPr>
          <w:rFonts w:cs="Arial"/>
          <w:bCs/>
          <w:szCs w:val="24"/>
        </w:rPr>
        <w:t> </w:t>
      </w:r>
      <w:r>
        <w:rPr>
          <w:rFonts w:cs="Arial"/>
          <w:bCs/>
          <w:szCs w:val="24"/>
        </w:rPr>
        <w:t>#1</w:t>
      </w:r>
      <w:r>
        <w:rPr>
          <w:rStyle w:val="Appelnotedebasdep"/>
          <w:rFonts w:cs="Arial"/>
          <w:bCs/>
          <w:szCs w:val="24"/>
        </w:rPr>
        <w:footnoteReference w:id="617"/>
      </w:r>
      <w:r>
        <w:rPr>
          <w:rFonts w:cs="Arial"/>
          <w:bCs/>
          <w:szCs w:val="24"/>
        </w:rPr>
        <w:t>.</w:t>
      </w:r>
    </w:p>
    <w:p w14:paraId="43238D9B" w14:textId="77777777" w:rsidR="008900D7" w:rsidRPr="00F67CEA" w:rsidRDefault="00730A01" w:rsidP="00443B59">
      <w:pPr>
        <w:pStyle w:val="Paragraphe"/>
        <w:numPr>
          <w:ilvl w:val="0"/>
          <w:numId w:val="68"/>
        </w:numPr>
        <w:spacing w:line="240" w:lineRule="auto"/>
        <w:ind w:left="567" w:hanging="283"/>
        <w:rPr>
          <w:rFonts w:cs="Arial"/>
          <w:bCs/>
          <w:szCs w:val="24"/>
        </w:rPr>
      </w:pPr>
      <w:r>
        <w:rPr>
          <w:rFonts w:cs="Arial"/>
          <w:bCs/>
          <w:szCs w:val="24"/>
        </w:rPr>
        <w:t>D</w:t>
      </w:r>
      <w:r w:rsidRPr="008B0162">
        <w:rPr>
          <w:rFonts w:cs="Arial"/>
          <w:bCs/>
          <w:szCs w:val="24"/>
        </w:rPr>
        <w:t xml:space="preserve">éfaut quant à l’obtention de la documentation afin de valider les cashflows ainsi que la situation financière de Huot </w:t>
      </w:r>
      <w:r w:rsidR="00063866">
        <w:rPr>
          <w:rFonts w:cs="Arial"/>
          <w:bCs/>
          <w:szCs w:val="24"/>
        </w:rPr>
        <w:t>se sont</w:t>
      </w:r>
      <w:r w:rsidRPr="008B0162">
        <w:rPr>
          <w:rFonts w:cs="Arial"/>
          <w:bCs/>
          <w:szCs w:val="24"/>
        </w:rPr>
        <w:t xml:space="preserve"> poursuivi jusqu’à la débâcle. </w:t>
      </w:r>
    </w:p>
    <w:p w14:paraId="45FC49B3" w14:textId="77777777" w:rsidR="008900D7" w:rsidRPr="00C95F54" w:rsidRDefault="00730A01" w:rsidP="004B2E61">
      <w:pPr>
        <w:pStyle w:val="Paragraphe"/>
        <w:numPr>
          <w:ilvl w:val="0"/>
          <w:numId w:val="0"/>
        </w:numPr>
        <w:spacing w:line="240" w:lineRule="auto"/>
        <w:ind w:left="284"/>
        <w:rPr>
          <w:rFonts w:cs="Arial"/>
          <w:b/>
          <w:szCs w:val="24"/>
          <w:u w:val="single"/>
        </w:rPr>
      </w:pPr>
      <w:r w:rsidRPr="00C95F54">
        <w:rPr>
          <w:rFonts w:cs="Arial"/>
          <w:b/>
          <w:szCs w:val="24"/>
          <w:u w:val="single"/>
        </w:rPr>
        <w:t>Période couverte par l’amendement : 19</w:t>
      </w:r>
      <w:r w:rsidR="00CC2A90">
        <w:rPr>
          <w:rFonts w:cs="Arial"/>
          <w:b/>
          <w:szCs w:val="24"/>
          <w:u w:val="single"/>
        </w:rPr>
        <w:t> </w:t>
      </w:r>
      <w:r w:rsidRPr="00C95F54">
        <w:rPr>
          <w:rFonts w:cs="Arial"/>
          <w:b/>
          <w:szCs w:val="24"/>
          <w:u w:val="single"/>
        </w:rPr>
        <w:t>octobre</w:t>
      </w:r>
      <w:r w:rsidR="00CC2A90">
        <w:rPr>
          <w:rFonts w:cs="Arial"/>
          <w:b/>
          <w:szCs w:val="24"/>
          <w:u w:val="single"/>
        </w:rPr>
        <w:t> </w:t>
      </w:r>
      <w:r w:rsidRPr="00C95F54">
        <w:rPr>
          <w:rFonts w:cs="Arial"/>
          <w:b/>
          <w:szCs w:val="24"/>
          <w:u w:val="single"/>
        </w:rPr>
        <w:t>2021 au 3</w:t>
      </w:r>
      <w:r w:rsidR="00CC2A90">
        <w:rPr>
          <w:rFonts w:cs="Arial"/>
          <w:b/>
          <w:szCs w:val="24"/>
          <w:u w:val="single"/>
        </w:rPr>
        <w:t> </w:t>
      </w:r>
      <w:r w:rsidRPr="00C95F54">
        <w:rPr>
          <w:rFonts w:cs="Arial"/>
          <w:b/>
          <w:szCs w:val="24"/>
          <w:u w:val="single"/>
        </w:rPr>
        <w:t>mars</w:t>
      </w:r>
      <w:r w:rsidR="00CC2A90">
        <w:rPr>
          <w:rFonts w:cs="Arial"/>
          <w:b/>
          <w:szCs w:val="24"/>
          <w:u w:val="single"/>
        </w:rPr>
        <w:t> </w:t>
      </w:r>
      <w:r w:rsidRPr="00C95F54">
        <w:rPr>
          <w:rFonts w:cs="Arial"/>
          <w:b/>
          <w:szCs w:val="24"/>
          <w:u w:val="single"/>
        </w:rPr>
        <w:t>2022</w:t>
      </w:r>
    </w:p>
    <w:p w14:paraId="7AA4426C" w14:textId="77777777" w:rsidR="008900D7" w:rsidRDefault="00730A01" w:rsidP="00443B59">
      <w:pPr>
        <w:pStyle w:val="Paragraphe"/>
        <w:numPr>
          <w:ilvl w:val="0"/>
          <w:numId w:val="68"/>
        </w:numPr>
        <w:spacing w:line="240" w:lineRule="auto"/>
        <w:ind w:left="567" w:hanging="283"/>
        <w:rPr>
          <w:rFonts w:cs="Arial"/>
          <w:bCs/>
          <w:szCs w:val="24"/>
        </w:rPr>
      </w:pPr>
      <w:r>
        <w:rPr>
          <w:rFonts w:cs="Arial"/>
          <w:bCs/>
          <w:szCs w:val="24"/>
        </w:rPr>
        <w:t>Défaut d’avoir informé les commanditaires que :</w:t>
      </w:r>
    </w:p>
    <w:p w14:paraId="0A9526BE" w14:textId="77777777" w:rsidR="008900D7" w:rsidRDefault="00730A01" w:rsidP="00443B59">
      <w:pPr>
        <w:pStyle w:val="Paragraphe"/>
        <w:numPr>
          <w:ilvl w:val="1"/>
          <w:numId w:val="87"/>
        </w:numPr>
        <w:spacing w:line="240" w:lineRule="auto"/>
        <w:ind w:left="851" w:hanging="284"/>
        <w:rPr>
          <w:rFonts w:cs="Arial"/>
          <w:bCs/>
          <w:szCs w:val="24"/>
        </w:rPr>
      </w:pPr>
      <w:r>
        <w:rPr>
          <w:rFonts w:cs="Arial"/>
          <w:bCs/>
          <w:szCs w:val="24"/>
        </w:rPr>
        <w:t>En février</w:t>
      </w:r>
      <w:r w:rsidR="00CC2A90">
        <w:rPr>
          <w:rFonts w:cs="Arial"/>
          <w:bCs/>
          <w:szCs w:val="24"/>
        </w:rPr>
        <w:t> </w:t>
      </w:r>
      <w:r>
        <w:rPr>
          <w:rFonts w:cs="Arial"/>
          <w:bCs/>
          <w:szCs w:val="24"/>
        </w:rPr>
        <w:t>2022, 6646 a consenti un prêt à Millénum au montant de 1 M$ à un taux de 60 %</w:t>
      </w:r>
      <w:r>
        <w:rPr>
          <w:rStyle w:val="Appelnotedebasdep"/>
          <w:rFonts w:cs="Arial"/>
          <w:bCs/>
          <w:szCs w:val="24"/>
        </w:rPr>
        <w:footnoteReference w:id="618"/>
      </w:r>
      <w:r>
        <w:rPr>
          <w:rFonts w:cs="Arial"/>
          <w:bCs/>
          <w:szCs w:val="24"/>
        </w:rPr>
        <w:t>;</w:t>
      </w:r>
    </w:p>
    <w:p w14:paraId="16FC0418" w14:textId="77777777" w:rsidR="008900D7" w:rsidRPr="00C95F54" w:rsidRDefault="00730A01" w:rsidP="00443B59">
      <w:pPr>
        <w:pStyle w:val="Paragraphe"/>
        <w:numPr>
          <w:ilvl w:val="0"/>
          <w:numId w:val="68"/>
        </w:numPr>
        <w:spacing w:line="240" w:lineRule="auto"/>
        <w:ind w:left="851" w:hanging="284"/>
        <w:rPr>
          <w:rFonts w:cs="Arial"/>
          <w:bCs/>
          <w:szCs w:val="24"/>
        </w:rPr>
      </w:pPr>
      <w:r>
        <w:rPr>
          <w:rFonts w:cs="Arial"/>
          <w:b/>
          <w:szCs w:val="24"/>
        </w:rPr>
        <w:t xml:space="preserve">Transaction Ponzi : </w:t>
      </w:r>
      <w:r>
        <w:rPr>
          <w:rFonts w:cs="Arial"/>
          <w:bCs/>
          <w:szCs w:val="24"/>
        </w:rPr>
        <w:t>une somme de 2,45 M$ provenant des investisseurs de Q-12 (P071) a servi à payer notamment 761 419 $ pour les intérêts sur le prêt FIISH de février</w:t>
      </w:r>
      <w:r w:rsidR="00CC2A90">
        <w:rPr>
          <w:rFonts w:cs="Arial"/>
          <w:bCs/>
          <w:szCs w:val="24"/>
        </w:rPr>
        <w:t> </w:t>
      </w:r>
      <w:r>
        <w:rPr>
          <w:rFonts w:cs="Arial"/>
          <w:bCs/>
          <w:szCs w:val="24"/>
        </w:rPr>
        <w:t>2022, 670 696 $ pour les intérêts de prêts de Q-12, 575 676 $ en intérêts à 8096, 76 646 $ en intérêts à 6646 et 32 750 $ à Giroux Arpentage</w:t>
      </w:r>
      <w:r>
        <w:rPr>
          <w:rStyle w:val="Appelnotedebasdep"/>
          <w:rFonts w:cs="Arial"/>
          <w:bCs/>
          <w:szCs w:val="24"/>
        </w:rPr>
        <w:footnoteReference w:id="619"/>
      </w:r>
      <w:r w:rsidR="00CC2A90">
        <w:rPr>
          <w:rFonts w:cs="Arial"/>
          <w:bCs/>
          <w:szCs w:val="24"/>
        </w:rPr>
        <w:t>.</w:t>
      </w:r>
    </w:p>
    <w:p w14:paraId="5D35C19E" w14:textId="77777777" w:rsidR="00F758B9" w:rsidRPr="00F758B9" w:rsidRDefault="00730A01" w:rsidP="0042740E">
      <w:pPr>
        <w:pStyle w:val="Titre2"/>
        <w:numPr>
          <w:ilvl w:val="3"/>
          <w:numId w:val="22"/>
        </w:numPr>
        <w:ind w:left="284" w:hanging="284"/>
        <w:rPr>
          <w:rFonts w:cs="Arial"/>
          <w:b w:val="0"/>
          <w:caps/>
          <w:szCs w:val="24"/>
        </w:rPr>
      </w:pPr>
      <w:bookmarkStart w:id="228" w:name="_Toc210992349"/>
      <w:bookmarkStart w:id="229" w:name="_Toc211495289"/>
      <w:bookmarkStart w:id="230" w:name="_Toc211600697"/>
      <w:r>
        <w:rPr>
          <w:rFonts w:cs="Arial"/>
          <w:smallCaps/>
          <w:szCs w:val="24"/>
        </w:rPr>
        <w:t>Les amendements de 2022 à la Convention de prêt FIISH (amendements #3, #4 et</w:t>
      </w:r>
      <w:r w:rsidR="00B521C9">
        <w:rPr>
          <w:rFonts w:cs="Arial"/>
          <w:smallCaps/>
          <w:szCs w:val="24"/>
        </w:rPr>
        <w:t> </w:t>
      </w:r>
      <w:r>
        <w:rPr>
          <w:rFonts w:cs="Arial"/>
          <w:smallCaps/>
          <w:szCs w:val="24"/>
        </w:rPr>
        <w:t>#5)</w:t>
      </w:r>
    </w:p>
    <w:bookmarkEnd w:id="228"/>
    <w:bookmarkEnd w:id="229"/>
    <w:bookmarkEnd w:id="230"/>
    <w:p w14:paraId="7251AD60" w14:textId="77777777" w:rsidR="008900D7" w:rsidRPr="00113395" w:rsidRDefault="00730A01" w:rsidP="008B3CAF">
      <w:pPr>
        <w:pStyle w:val="Paragraphe"/>
        <w:numPr>
          <w:ilvl w:val="0"/>
          <w:numId w:val="0"/>
        </w:numPr>
        <w:spacing w:line="240" w:lineRule="auto"/>
        <w:rPr>
          <w:rFonts w:cs="Arial"/>
          <w:bCs/>
          <w:szCs w:val="24"/>
        </w:rPr>
      </w:pPr>
      <w:r w:rsidRPr="00F758B9">
        <w:rPr>
          <w:rFonts w:cs="Arial"/>
          <w:bCs/>
          <w:szCs w:val="24"/>
        </w:rPr>
        <w:t>Les 4</w:t>
      </w:r>
      <w:r w:rsidR="00F758B9" w:rsidRPr="00F758B9">
        <w:rPr>
          <w:rFonts w:cs="Arial"/>
          <w:bCs/>
          <w:szCs w:val="24"/>
        </w:rPr>
        <w:t> </w:t>
      </w:r>
      <w:r w:rsidRPr="00F758B9">
        <w:rPr>
          <w:rFonts w:cs="Arial"/>
          <w:bCs/>
          <w:szCs w:val="24"/>
        </w:rPr>
        <w:t>mars</w:t>
      </w:r>
      <w:r w:rsidRPr="00113395">
        <w:rPr>
          <w:rFonts w:cs="Arial"/>
          <w:bCs/>
          <w:szCs w:val="24"/>
        </w:rPr>
        <w:t>, 10</w:t>
      </w:r>
      <w:r w:rsidR="00F758B9">
        <w:rPr>
          <w:rFonts w:cs="Arial"/>
          <w:bCs/>
          <w:szCs w:val="24"/>
        </w:rPr>
        <w:t> </w:t>
      </w:r>
      <w:r w:rsidRPr="00113395">
        <w:rPr>
          <w:rFonts w:cs="Arial"/>
          <w:bCs/>
          <w:szCs w:val="24"/>
        </w:rPr>
        <w:t>octobre et 15</w:t>
      </w:r>
      <w:r w:rsidR="00F758B9">
        <w:rPr>
          <w:rFonts w:cs="Arial"/>
          <w:bCs/>
          <w:szCs w:val="24"/>
        </w:rPr>
        <w:t> </w:t>
      </w:r>
      <w:r w:rsidRPr="00113395">
        <w:rPr>
          <w:rFonts w:cs="Arial"/>
          <w:bCs/>
          <w:szCs w:val="24"/>
        </w:rPr>
        <w:t>décembre</w:t>
      </w:r>
      <w:r w:rsidR="00F758B9">
        <w:rPr>
          <w:rFonts w:cs="Arial"/>
          <w:bCs/>
          <w:szCs w:val="24"/>
        </w:rPr>
        <w:t> </w:t>
      </w:r>
      <w:r w:rsidRPr="00113395">
        <w:rPr>
          <w:rFonts w:cs="Arial"/>
          <w:bCs/>
          <w:szCs w:val="24"/>
        </w:rPr>
        <w:t>2022, les Défendeurs ont modifié la convention de prêt FIISH</w:t>
      </w:r>
      <w:r w:rsidR="00F758B9">
        <w:rPr>
          <w:rFonts w:cs="Arial"/>
          <w:bCs/>
          <w:szCs w:val="24"/>
        </w:rPr>
        <w:t> </w:t>
      </w:r>
      <w:r w:rsidRPr="00113395">
        <w:rPr>
          <w:rFonts w:cs="Arial"/>
          <w:bCs/>
          <w:szCs w:val="24"/>
        </w:rPr>
        <w:t>2020 pour porter à 121</w:t>
      </w:r>
      <w:r>
        <w:rPr>
          <w:rFonts w:cs="Arial"/>
          <w:bCs/>
          <w:szCs w:val="24"/>
        </w:rPr>
        <w:t>,</w:t>
      </w:r>
      <w:r w:rsidRPr="00113395">
        <w:rPr>
          <w:rFonts w:cs="Arial"/>
          <w:bCs/>
          <w:szCs w:val="24"/>
        </w:rPr>
        <w:t>35</w:t>
      </w:r>
      <w:r>
        <w:rPr>
          <w:rFonts w:cs="Arial"/>
          <w:bCs/>
          <w:szCs w:val="24"/>
        </w:rPr>
        <w:t> </w:t>
      </w:r>
      <w:r w:rsidRPr="00113395">
        <w:rPr>
          <w:rFonts w:cs="Arial"/>
          <w:bCs/>
          <w:szCs w:val="24"/>
        </w:rPr>
        <w:t>M$ le montant maximal du prêt</w:t>
      </w:r>
      <w:r>
        <w:rPr>
          <w:rStyle w:val="Appelnotedebasdep"/>
          <w:rFonts w:cs="Arial"/>
          <w:bCs/>
          <w:szCs w:val="24"/>
        </w:rPr>
        <w:footnoteReference w:id="620"/>
      </w:r>
      <w:r w:rsidRPr="00113395">
        <w:rPr>
          <w:rFonts w:cs="Arial"/>
          <w:bCs/>
          <w:szCs w:val="24"/>
        </w:rPr>
        <w:t>. Ils ont fait une nouvelle avance de fonds</w:t>
      </w:r>
      <w:r w:rsidR="00F758B9">
        <w:rPr>
          <w:rFonts w:cs="Arial"/>
          <w:bCs/>
          <w:szCs w:val="24"/>
        </w:rPr>
        <w:t xml:space="preserve"> </w:t>
      </w:r>
      <w:r w:rsidRPr="00113395">
        <w:rPr>
          <w:rFonts w:cs="Arial"/>
          <w:bCs/>
          <w:szCs w:val="24"/>
        </w:rPr>
        <w:t>de 5</w:t>
      </w:r>
      <w:r>
        <w:rPr>
          <w:rFonts w:cs="Arial"/>
          <w:bCs/>
          <w:szCs w:val="24"/>
        </w:rPr>
        <w:t>,</w:t>
      </w:r>
      <w:r w:rsidRPr="00113395">
        <w:rPr>
          <w:rFonts w:cs="Arial"/>
          <w:bCs/>
          <w:szCs w:val="24"/>
        </w:rPr>
        <w:t>15</w:t>
      </w:r>
      <w:r>
        <w:rPr>
          <w:rFonts w:cs="Arial"/>
          <w:bCs/>
          <w:szCs w:val="24"/>
        </w:rPr>
        <w:t> </w:t>
      </w:r>
      <w:r w:rsidRPr="00113395">
        <w:rPr>
          <w:rFonts w:cs="Arial"/>
          <w:bCs/>
          <w:szCs w:val="24"/>
        </w:rPr>
        <w:t>M$ en mars et avril</w:t>
      </w:r>
      <w:r w:rsidR="00F758B9">
        <w:rPr>
          <w:rFonts w:cs="Arial"/>
          <w:bCs/>
          <w:szCs w:val="24"/>
        </w:rPr>
        <w:t> </w:t>
      </w:r>
      <w:r w:rsidRPr="00113395">
        <w:rPr>
          <w:rFonts w:cs="Arial"/>
          <w:bCs/>
          <w:szCs w:val="24"/>
        </w:rPr>
        <w:t>2022. Voici les contraventions et manquements retenus par le Tribunal en lien avec ces amendements et avances :</w:t>
      </w:r>
    </w:p>
    <w:p w14:paraId="42753A0E" w14:textId="77777777" w:rsidR="008900D7" w:rsidRPr="005D2372" w:rsidRDefault="00730A01" w:rsidP="00443B59">
      <w:pPr>
        <w:pStyle w:val="Titre3"/>
        <w:numPr>
          <w:ilvl w:val="2"/>
          <w:numId w:val="87"/>
        </w:numPr>
        <w:ind w:left="284" w:hanging="284"/>
        <w:rPr>
          <w:rFonts w:cs="Arial"/>
          <w:bCs/>
          <w:szCs w:val="24"/>
        </w:rPr>
      </w:pPr>
      <w:bookmarkStart w:id="231" w:name="_Toc211495290"/>
      <w:bookmarkStart w:id="232" w:name="_Toc211600698"/>
      <w:r w:rsidRPr="005D2372">
        <w:rPr>
          <w:rFonts w:cs="Arial"/>
          <w:b/>
          <w:szCs w:val="24"/>
        </w:rPr>
        <w:t>Contraventions à la convention de société en commandite</w:t>
      </w:r>
      <w:r>
        <w:rPr>
          <w:rStyle w:val="Appelnotedebasdep"/>
          <w:rFonts w:cs="Arial"/>
          <w:b/>
          <w:szCs w:val="24"/>
        </w:rPr>
        <w:footnoteReference w:id="621"/>
      </w:r>
      <w:bookmarkEnd w:id="231"/>
      <w:bookmarkEnd w:id="232"/>
      <w:r w:rsidRPr="005D2372">
        <w:rPr>
          <w:rFonts w:cs="Arial"/>
          <w:bCs/>
          <w:szCs w:val="24"/>
        </w:rPr>
        <w:t xml:space="preserve"> </w:t>
      </w:r>
    </w:p>
    <w:p w14:paraId="2641006E" w14:textId="77777777" w:rsidR="008900D7" w:rsidRDefault="00730A01" w:rsidP="00443B59">
      <w:pPr>
        <w:pStyle w:val="Paragraphe"/>
        <w:numPr>
          <w:ilvl w:val="0"/>
          <w:numId w:val="73"/>
        </w:numPr>
        <w:spacing w:line="240" w:lineRule="auto"/>
        <w:ind w:left="567" w:hanging="283"/>
        <w:rPr>
          <w:rFonts w:cs="Arial"/>
          <w:bCs/>
          <w:szCs w:val="24"/>
        </w:rPr>
      </w:pPr>
      <w:r>
        <w:rPr>
          <w:rFonts w:cs="Arial"/>
          <w:bCs/>
          <w:szCs w:val="24"/>
        </w:rPr>
        <w:t>Défaut de protéger ses actifs (art.</w:t>
      </w:r>
      <w:r w:rsidR="00F758B9">
        <w:rPr>
          <w:rFonts w:cs="Arial"/>
          <w:bCs/>
          <w:szCs w:val="24"/>
        </w:rPr>
        <w:t> </w:t>
      </w:r>
      <w:r>
        <w:rPr>
          <w:rFonts w:cs="Arial"/>
          <w:bCs/>
          <w:szCs w:val="24"/>
        </w:rPr>
        <w:t>2.5.3.).</w:t>
      </w:r>
    </w:p>
    <w:p w14:paraId="26BA5188" w14:textId="77777777" w:rsidR="008900D7" w:rsidRDefault="00730A01" w:rsidP="00443B59">
      <w:pPr>
        <w:pStyle w:val="Paragraphe"/>
        <w:numPr>
          <w:ilvl w:val="0"/>
          <w:numId w:val="73"/>
        </w:numPr>
        <w:spacing w:line="240" w:lineRule="auto"/>
        <w:ind w:left="567" w:hanging="283"/>
        <w:rPr>
          <w:rFonts w:cs="Arial"/>
          <w:bCs/>
          <w:szCs w:val="24"/>
        </w:rPr>
      </w:pPr>
      <w:r>
        <w:rPr>
          <w:rFonts w:cs="Arial"/>
          <w:bCs/>
          <w:szCs w:val="24"/>
        </w:rPr>
        <w:t>Défaut de respecter l’obligation de loyauté et de dévouement du commandité (art.</w:t>
      </w:r>
      <w:r w:rsidR="00F758B9">
        <w:rPr>
          <w:rFonts w:cs="Arial"/>
          <w:bCs/>
          <w:szCs w:val="24"/>
        </w:rPr>
        <w:t> </w:t>
      </w:r>
      <w:r>
        <w:rPr>
          <w:rFonts w:cs="Arial"/>
          <w:bCs/>
          <w:szCs w:val="24"/>
        </w:rPr>
        <w:t>8.4).</w:t>
      </w:r>
    </w:p>
    <w:p w14:paraId="54D69284" w14:textId="77777777" w:rsidR="008900D7" w:rsidRDefault="00730A01" w:rsidP="00443B59">
      <w:pPr>
        <w:pStyle w:val="Paragraphe"/>
        <w:numPr>
          <w:ilvl w:val="0"/>
          <w:numId w:val="73"/>
        </w:numPr>
        <w:spacing w:line="240" w:lineRule="auto"/>
        <w:ind w:left="567" w:hanging="283"/>
        <w:rPr>
          <w:rFonts w:cs="Arial"/>
          <w:bCs/>
          <w:szCs w:val="24"/>
        </w:rPr>
      </w:pPr>
      <w:r>
        <w:rPr>
          <w:rFonts w:cs="Arial"/>
          <w:bCs/>
          <w:szCs w:val="24"/>
        </w:rPr>
        <w:t>Défaut d’aviser par écrit les commanditaires de l’existence des défauts d’Huot aux termes des conventions de financement (art.</w:t>
      </w:r>
      <w:r w:rsidR="00F758B9">
        <w:rPr>
          <w:rFonts w:cs="Arial"/>
          <w:bCs/>
          <w:szCs w:val="24"/>
        </w:rPr>
        <w:t> </w:t>
      </w:r>
      <w:r>
        <w:rPr>
          <w:rFonts w:cs="Arial"/>
          <w:bCs/>
          <w:szCs w:val="24"/>
        </w:rPr>
        <w:t>10.3).</w:t>
      </w:r>
    </w:p>
    <w:p w14:paraId="46BFB010" w14:textId="77777777" w:rsidR="008900D7" w:rsidRDefault="00730A01" w:rsidP="004B2E61">
      <w:pPr>
        <w:pStyle w:val="Paragraphe"/>
        <w:numPr>
          <w:ilvl w:val="0"/>
          <w:numId w:val="0"/>
        </w:numPr>
        <w:spacing w:line="240" w:lineRule="auto"/>
        <w:ind w:left="284"/>
        <w:rPr>
          <w:rFonts w:cs="Arial"/>
          <w:bCs/>
          <w:szCs w:val="24"/>
        </w:rPr>
      </w:pPr>
      <w:r>
        <w:rPr>
          <w:rFonts w:cs="Arial"/>
          <w:bCs/>
          <w:szCs w:val="24"/>
        </w:rPr>
        <w:t>La convention de société en commandite a été amendée le 4</w:t>
      </w:r>
      <w:r w:rsidR="00F758B9">
        <w:rPr>
          <w:rFonts w:cs="Arial"/>
          <w:bCs/>
          <w:szCs w:val="24"/>
        </w:rPr>
        <w:t> </w:t>
      </w:r>
      <w:r>
        <w:rPr>
          <w:rFonts w:cs="Arial"/>
          <w:bCs/>
          <w:szCs w:val="24"/>
        </w:rPr>
        <w:t>mars</w:t>
      </w:r>
      <w:r w:rsidR="00F758B9">
        <w:rPr>
          <w:rFonts w:cs="Arial"/>
          <w:bCs/>
          <w:szCs w:val="24"/>
        </w:rPr>
        <w:t> </w:t>
      </w:r>
      <w:r>
        <w:rPr>
          <w:rFonts w:cs="Arial"/>
          <w:bCs/>
          <w:szCs w:val="24"/>
        </w:rPr>
        <w:t>2022</w:t>
      </w:r>
      <w:r>
        <w:rPr>
          <w:rStyle w:val="Appelnotedebasdep"/>
          <w:rFonts w:cs="Arial"/>
          <w:bCs/>
          <w:szCs w:val="24"/>
        </w:rPr>
        <w:footnoteReference w:id="622"/>
      </w:r>
      <w:r>
        <w:rPr>
          <w:rFonts w:cs="Arial"/>
          <w:bCs/>
          <w:szCs w:val="24"/>
        </w:rPr>
        <w:t>, le prêt a été augmenté à 121 350 M$</w:t>
      </w:r>
      <w:r>
        <w:rPr>
          <w:rStyle w:val="Appelnotedebasdep"/>
          <w:rFonts w:cs="Arial"/>
          <w:bCs/>
          <w:szCs w:val="24"/>
        </w:rPr>
        <w:footnoteReference w:id="623"/>
      </w:r>
      <w:r>
        <w:rPr>
          <w:rFonts w:cs="Arial"/>
          <w:bCs/>
          <w:szCs w:val="24"/>
        </w:rPr>
        <w:t xml:space="preserve"> et tout déboursé additionnel devait être justifié par un ratio d’équité au moins équivalent à celui existant à cette date</w:t>
      </w:r>
      <w:r>
        <w:rPr>
          <w:rStyle w:val="Appelnotedebasdep"/>
          <w:rFonts w:cs="Arial"/>
          <w:bCs/>
          <w:szCs w:val="24"/>
        </w:rPr>
        <w:footnoteReference w:id="624"/>
      </w:r>
      <w:r>
        <w:rPr>
          <w:rFonts w:cs="Arial"/>
          <w:bCs/>
          <w:szCs w:val="24"/>
        </w:rPr>
        <w:t>, alors que :</w:t>
      </w:r>
    </w:p>
    <w:p w14:paraId="42D2350C" w14:textId="77777777" w:rsidR="005D2372" w:rsidRDefault="00730A01" w:rsidP="00443B59">
      <w:pPr>
        <w:pStyle w:val="Paragraphe"/>
        <w:numPr>
          <w:ilvl w:val="1"/>
          <w:numId w:val="87"/>
        </w:numPr>
        <w:spacing w:line="240" w:lineRule="auto"/>
        <w:ind w:left="851" w:hanging="284"/>
        <w:rPr>
          <w:rFonts w:cs="Arial"/>
          <w:bCs/>
          <w:szCs w:val="24"/>
        </w:rPr>
      </w:pPr>
      <w:r>
        <w:rPr>
          <w:rFonts w:cs="Arial"/>
          <w:bCs/>
          <w:szCs w:val="24"/>
        </w:rPr>
        <w:t>Les opérations du Groupe Huot ont été déficitaires de</w:t>
      </w:r>
      <w:r w:rsidR="00F758B9">
        <w:rPr>
          <w:rFonts w:cs="Arial"/>
          <w:bCs/>
          <w:szCs w:val="24"/>
        </w:rPr>
        <w:t> </w:t>
      </w:r>
      <w:r>
        <w:rPr>
          <w:rFonts w:cs="Arial"/>
          <w:bCs/>
          <w:szCs w:val="24"/>
        </w:rPr>
        <w:t>2017 à</w:t>
      </w:r>
      <w:r w:rsidR="00F758B9">
        <w:rPr>
          <w:rFonts w:cs="Arial"/>
          <w:bCs/>
          <w:szCs w:val="24"/>
        </w:rPr>
        <w:t> </w:t>
      </w:r>
      <w:r>
        <w:rPr>
          <w:rFonts w:cs="Arial"/>
          <w:bCs/>
          <w:szCs w:val="24"/>
        </w:rPr>
        <w:t>2022 et le déficit de liquidité était de 16 969 740 $ en</w:t>
      </w:r>
      <w:r w:rsidR="00F758B9">
        <w:rPr>
          <w:rFonts w:cs="Arial"/>
          <w:bCs/>
          <w:szCs w:val="24"/>
        </w:rPr>
        <w:t> </w:t>
      </w:r>
      <w:r>
        <w:rPr>
          <w:rFonts w:cs="Arial"/>
          <w:bCs/>
          <w:szCs w:val="24"/>
        </w:rPr>
        <w:t>2021 uniquement</w:t>
      </w:r>
      <w:r>
        <w:rPr>
          <w:rStyle w:val="Appelnotedebasdep"/>
          <w:rFonts w:cs="Arial"/>
          <w:bCs/>
          <w:szCs w:val="24"/>
        </w:rPr>
        <w:footnoteReference w:id="625"/>
      </w:r>
      <w:r>
        <w:rPr>
          <w:rFonts w:cs="Arial"/>
          <w:bCs/>
          <w:szCs w:val="24"/>
        </w:rPr>
        <w:t>;</w:t>
      </w:r>
    </w:p>
    <w:p w14:paraId="1549E208" w14:textId="77777777" w:rsidR="00205DAE" w:rsidRPr="005D2372" w:rsidRDefault="00730A01" w:rsidP="00443B59">
      <w:pPr>
        <w:pStyle w:val="Paragraphe"/>
        <w:numPr>
          <w:ilvl w:val="1"/>
          <w:numId w:val="87"/>
        </w:numPr>
        <w:spacing w:line="240" w:lineRule="auto"/>
        <w:ind w:left="851" w:hanging="284"/>
        <w:rPr>
          <w:rFonts w:cs="Arial"/>
          <w:bCs/>
          <w:szCs w:val="24"/>
        </w:rPr>
      </w:pPr>
      <w:r w:rsidRPr="005D2372">
        <w:rPr>
          <w:rFonts w:cs="Arial"/>
          <w:bCs/>
          <w:szCs w:val="24"/>
        </w:rPr>
        <w:t>De</w:t>
      </w:r>
      <w:r w:rsidR="00F758B9">
        <w:rPr>
          <w:rFonts w:cs="Arial"/>
          <w:bCs/>
          <w:szCs w:val="24"/>
        </w:rPr>
        <w:t> </w:t>
      </w:r>
      <w:r w:rsidRPr="005D2372">
        <w:rPr>
          <w:rFonts w:cs="Arial"/>
          <w:bCs/>
          <w:szCs w:val="24"/>
        </w:rPr>
        <w:t>2017 à</w:t>
      </w:r>
      <w:r w:rsidR="00F758B9">
        <w:rPr>
          <w:rFonts w:cs="Arial"/>
          <w:bCs/>
          <w:szCs w:val="24"/>
        </w:rPr>
        <w:t> </w:t>
      </w:r>
      <w:r w:rsidRPr="005D2372">
        <w:rPr>
          <w:rFonts w:cs="Arial"/>
          <w:bCs/>
          <w:szCs w:val="24"/>
        </w:rPr>
        <w:t>2022, Huot était incapable de payer les frais et intérêts du prêt FIISH et devait donc s’endetter davantage pour les payer</w:t>
      </w:r>
      <w:r>
        <w:rPr>
          <w:rStyle w:val="Appelnotedebasdep"/>
          <w:rFonts w:cs="Arial"/>
          <w:bCs/>
          <w:szCs w:val="24"/>
        </w:rPr>
        <w:footnoteReference w:id="626"/>
      </w:r>
      <w:r w:rsidRPr="005D2372">
        <w:rPr>
          <w:rFonts w:cs="Arial"/>
          <w:bCs/>
          <w:szCs w:val="24"/>
        </w:rPr>
        <w:t>.</w:t>
      </w:r>
    </w:p>
    <w:p w14:paraId="4E710A1F" w14:textId="77777777" w:rsidR="008900D7" w:rsidRPr="00205DAE" w:rsidRDefault="00730A01" w:rsidP="00443B59">
      <w:pPr>
        <w:pStyle w:val="Paragraphe"/>
        <w:numPr>
          <w:ilvl w:val="0"/>
          <w:numId w:val="73"/>
        </w:numPr>
        <w:spacing w:line="240" w:lineRule="auto"/>
        <w:ind w:left="567" w:hanging="283"/>
        <w:rPr>
          <w:rFonts w:cs="Arial"/>
          <w:bCs/>
          <w:szCs w:val="24"/>
        </w:rPr>
      </w:pPr>
      <w:r w:rsidRPr="00205DAE">
        <w:rPr>
          <w:rFonts w:cs="Arial"/>
          <w:bCs/>
          <w:szCs w:val="24"/>
        </w:rPr>
        <w:t>Défaut d’obtenir une résolution spéciale des commanditaires avant de conclure l’amendement</w:t>
      </w:r>
      <w:r w:rsidR="00F758B9">
        <w:rPr>
          <w:rFonts w:cs="Arial"/>
          <w:bCs/>
          <w:szCs w:val="24"/>
        </w:rPr>
        <w:t> </w:t>
      </w:r>
      <w:r w:rsidRPr="00205DAE">
        <w:rPr>
          <w:rFonts w:cs="Arial"/>
          <w:bCs/>
          <w:szCs w:val="24"/>
        </w:rPr>
        <w:t>#3 à la convention de prêt</w:t>
      </w:r>
      <w:r>
        <w:rPr>
          <w:rStyle w:val="Appelnotedebasdep"/>
          <w:rFonts w:cs="Arial"/>
          <w:bCs/>
          <w:szCs w:val="24"/>
        </w:rPr>
        <w:footnoteReference w:id="627"/>
      </w:r>
      <w:r w:rsidRPr="00205DAE">
        <w:rPr>
          <w:rFonts w:cs="Arial"/>
          <w:bCs/>
          <w:szCs w:val="24"/>
        </w:rPr>
        <w:t>.</w:t>
      </w:r>
    </w:p>
    <w:p w14:paraId="619E3076" w14:textId="77777777" w:rsidR="008900D7" w:rsidRPr="00113395" w:rsidRDefault="00730A01" w:rsidP="0042740E">
      <w:pPr>
        <w:pStyle w:val="Titre3"/>
        <w:numPr>
          <w:ilvl w:val="3"/>
          <w:numId w:val="27"/>
        </w:numPr>
        <w:ind w:left="284" w:hanging="284"/>
        <w:rPr>
          <w:rFonts w:cs="Arial"/>
          <w:bCs/>
          <w:szCs w:val="24"/>
        </w:rPr>
      </w:pPr>
      <w:bookmarkStart w:id="233" w:name="_Toc211495291"/>
      <w:bookmarkStart w:id="234" w:name="_Toc211600699"/>
      <w:r w:rsidRPr="00113395">
        <w:rPr>
          <w:rFonts w:cs="Arial"/>
          <w:b/>
          <w:szCs w:val="24"/>
        </w:rPr>
        <w:t>Contraventions à la convention de prêt 2020</w:t>
      </w:r>
      <w:r>
        <w:rPr>
          <w:rStyle w:val="Appelnotedebasdep"/>
          <w:rFonts w:cs="Arial"/>
          <w:b/>
          <w:szCs w:val="24"/>
        </w:rPr>
        <w:footnoteReference w:id="628"/>
      </w:r>
      <w:bookmarkEnd w:id="233"/>
      <w:bookmarkEnd w:id="234"/>
      <w:r w:rsidRPr="00113395">
        <w:rPr>
          <w:rFonts w:cs="Arial"/>
          <w:b/>
          <w:szCs w:val="24"/>
        </w:rPr>
        <w:t xml:space="preserve"> </w:t>
      </w:r>
    </w:p>
    <w:p w14:paraId="0CB5F99C" w14:textId="77777777" w:rsidR="008900D7" w:rsidRPr="005D2372" w:rsidRDefault="00730A01" w:rsidP="00443B59">
      <w:pPr>
        <w:pStyle w:val="Paragraphe"/>
        <w:numPr>
          <w:ilvl w:val="0"/>
          <w:numId w:val="74"/>
        </w:numPr>
        <w:tabs>
          <w:tab w:val="clear" w:pos="720"/>
        </w:tabs>
        <w:spacing w:line="240" w:lineRule="auto"/>
        <w:ind w:left="567" w:hanging="283"/>
        <w:rPr>
          <w:rFonts w:cs="Arial"/>
          <w:bCs/>
          <w:szCs w:val="24"/>
        </w:rPr>
      </w:pPr>
      <w:r>
        <w:rPr>
          <w:rFonts w:cs="Arial"/>
          <w:bCs/>
          <w:szCs w:val="24"/>
        </w:rPr>
        <w:t>Défaut résultant des déboursés additionnels au lieu d’exercer les recours prévus à la convention de prêt au cas de défaut (art.</w:t>
      </w:r>
      <w:r w:rsidR="00F758B9">
        <w:rPr>
          <w:rFonts w:cs="Arial"/>
          <w:bCs/>
          <w:szCs w:val="24"/>
        </w:rPr>
        <w:t> </w:t>
      </w:r>
      <w:r>
        <w:rPr>
          <w:rFonts w:cs="Arial"/>
          <w:bCs/>
          <w:szCs w:val="24"/>
        </w:rPr>
        <w:t>3.1 et</w:t>
      </w:r>
      <w:r w:rsidR="00F758B9">
        <w:rPr>
          <w:rFonts w:cs="Arial"/>
          <w:bCs/>
          <w:szCs w:val="24"/>
        </w:rPr>
        <w:t> </w:t>
      </w:r>
      <w:r>
        <w:rPr>
          <w:rFonts w:cs="Arial"/>
          <w:bCs/>
          <w:szCs w:val="24"/>
        </w:rPr>
        <w:t>20) vu que</w:t>
      </w:r>
      <w:r w:rsidR="005D2372">
        <w:rPr>
          <w:rFonts w:cs="Arial"/>
          <w:bCs/>
          <w:szCs w:val="24"/>
        </w:rPr>
        <w:t xml:space="preserve"> </w:t>
      </w:r>
      <w:r w:rsidRPr="005D2372">
        <w:rPr>
          <w:rFonts w:cs="Arial"/>
          <w:bCs/>
          <w:szCs w:val="24"/>
        </w:rPr>
        <w:t>Huot a clairement indiqué qu’il n’était pas en mesure de faire les paiements mensuels d’intérêts de FIISH de février, mars et avril</w:t>
      </w:r>
      <w:r w:rsidR="00F758B9">
        <w:rPr>
          <w:rFonts w:cs="Arial"/>
          <w:bCs/>
          <w:szCs w:val="24"/>
        </w:rPr>
        <w:t> </w:t>
      </w:r>
      <w:r w:rsidRPr="005D2372">
        <w:rPr>
          <w:rFonts w:cs="Arial"/>
          <w:bCs/>
          <w:szCs w:val="24"/>
        </w:rPr>
        <w:t>2022</w:t>
      </w:r>
      <w:r>
        <w:rPr>
          <w:rStyle w:val="Appelnotedebasdep"/>
          <w:rFonts w:cs="Arial"/>
          <w:bCs/>
          <w:szCs w:val="24"/>
        </w:rPr>
        <w:footnoteReference w:id="629"/>
      </w:r>
      <w:r w:rsidRPr="005D2372">
        <w:rPr>
          <w:rFonts w:cs="Arial"/>
          <w:bCs/>
          <w:szCs w:val="24"/>
        </w:rPr>
        <w:t>;</w:t>
      </w:r>
    </w:p>
    <w:p w14:paraId="3C3587E0" w14:textId="77777777" w:rsidR="005D2372" w:rsidRDefault="00730A01" w:rsidP="00443B59">
      <w:pPr>
        <w:pStyle w:val="Paragraphe"/>
        <w:numPr>
          <w:ilvl w:val="2"/>
          <w:numId w:val="104"/>
        </w:numPr>
        <w:spacing w:line="240" w:lineRule="auto"/>
        <w:ind w:left="567" w:hanging="283"/>
        <w:rPr>
          <w:rFonts w:cs="Arial"/>
          <w:bCs/>
          <w:szCs w:val="24"/>
        </w:rPr>
      </w:pPr>
      <w:r>
        <w:rPr>
          <w:rFonts w:cs="Arial"/>
          <w:bCs/>
          <w:szCs w:val="24"/>
        </w:rPr>
        <w:t>Le défaut de paiement des sommes dues constitue un cas de défaut (art.</w:t>
      </w:r>
      <w:r w:rsidR="00F758B9">
        <w:rPr>
          <w:rFonts w:cs="Arial"/>
          <w:bCs/>
          <w:szCs w:val="24"/>
        </w:rPr>
        <w:t> </w:t>
      </w:r>
      <w:r>
        <w:rPr>
          <w:rFonts w:cs="Arial"/>
          <w:bCs/>
          <w:szCs w:val="24"/>
        </w:rPr>
        <w:t>17.1.1);</w:t>
      </w:r>
    </w:p>
    <w:p w14:paraId="6CAA6AAC" w14:textId="77777777" w:rsidR="008900D7" w:rsidRPr="005D2372" w:rsidRDefault="00730A01" w:rsidP="00443B59">
      <w:pPr>
        <w:pStyle w:val="Paragraphe"/>
        <w:numPr>
          <w:ilvl w:val="2"/>
          <w:numId w:val="104"/>
        </w:numPr>
        <w:spacing w:line="240" w:lineRule="auto"/>
        <w:ind w:left="567" w:hanging="283"/>
        <w:rPr>
          <w:rFonts w:cs="Arial"/>
          <w:bCs/>
          <w:szCs w:val="24"/>
        </w:rPr>
      </w:pPr>
      <w:r w:rsidRPr="005D2372">
        <w:rPr>
          <w:rFonts w:cs="Arial"/>
          <w:bCs/>
          <w:szCs w:val="24"/>
        </w:rPr>
        <w:t>L’amendement</w:t>
      </w:r>
      <w:r w:rsidR="00F758B9">
        <w:rPr>
          <w:rFonts w:cs="Arial"/>
          <w:bCs/>
          <w:szCs w:val="24"/>
        </w:rPr>
        <w:t> </w:t>
      </w:r>
      <w:r w:rsidRPr="005D2372">
        <w:rPr>
          <w:rFonts w:cs="Arial"/>
          <w:bCs/>
          <w:szCs w:val="24"/>
        </w:rPr>
        <w:t>#3 prévoit que Giroux renonce à invoquer les défauts ce qui démontre que celui-ci tolérait et faisait fi de leur existence</w:t>
      </w:r>
      <w:r>
        <w:rPr>
          <w:rStyle w:val="Appelnotedebasdep"/>
          <w:rFonts w:cs="Arial"/>
          <w:bCs/>
          <w:szCs w:val="24"/>
        </w:rPr>
        <w:footnoteReference w:id="630"/>
      </w:r>
      <w:r w:rsidRPr="005D2372">
        <w:rPr>
          <w:rFonts w:cs="Arial"/>
          <w:bCs/>
          <w:szCs w:val="24"/>
        </w:rPr>
        <w:t>.</w:t>
      </w:r>
    </w:p>
    <w:p w14:paraId="60CB4191" w14:textId="77777777" w:rsidR="008900D7" w:rsidRDefault="00730A01" w:rsidP="004B2E61">
      <w:pPr>
        <w:pStyle w:val="Paragraphe"/>
        <w:numPr>
          <w:ilvl w:val="0"/>
          <w:numId w:val="0"/>
        </w:numPr>
        <w:spacing w:line="240" w:lineRule="auto"/>
        <w:ind w:left="284"/>
        <w:rPr>
          <w:rFonts w:cs="Arial"/>
          <w:bCs/>
          <w:szCs w:val="24"/>
        </w:rPr>
      </w:pPr>
      <w:r>
        <w:rPr>
          <w:rFonts w:cs="Arial"/>
          <w:bCs/>
          <w:szCs w:val="24"/>
        </w:rPr>
        <w:t>Les nouvelles mises de fonds des commanditaires totalisant 5,15 M$ ont servi à :</w:t>
      </w:r>
    </w:p>
    <w:p w14:paraId="709F45E5" w14:textId="77777777" w:rsidR="005D2372" w:rsidRDefault="00730A01" w:rsidP="00443B59">
      <w:pPr>
        <w:pStyle w:val="Paragraphe"/>
        <w:numPr>
          <w:ilvl w:val="0"/>
          <w:numId w:val="74"/>
        </w:numPr>
        <w:tabs>
          <w:tab w:val="clear" w:pos="720"/>
        </w:tabs>
        <w:spacing w:line="240" w:lineRule="auto"/>
        <w:ind w:left="567" w:hanging="283"/>
        <w:rPr>
          <w:rFonts w:cs="Arial"/>
          <w:bCs/>
          <w:szCs w:val="24"/>
        </w:rPr>
      </w:pPr>
      <w:r>
        <w:rPr>
          <w:rFonts w:cs="Arial"/>
          <w:b/>
          <w:szCs w:val="24"/>
        </w:rPr>
        <w:t xml:space="preserve">Débours Giroux : </w:t>
      </w:r>
      <w:r w:rsidRPr="00205DAE">
        <w:rPr>
          <w:rFonts w:cs="Arial"/>
          <w:bCs/>
          <w:szCs w:val="24"/>
        </w:rPr>
        <w:t>payer 1 282 385 $ à 8096 en intérêts et frais financiers</w:t>
      </w:r>
      <w:r>
        <w:rPr>
          <w:rStyle w:val="Appelnotedebasdep"/>
          <w:rFonts w:cs="Arial"/>
          <w:bCs/>
          <w:szCs w:val="24"/>
        </w:rPr>
        <w:footnoteReference w:id="631"/>
      </w:r>
      <w:r w:rsidRPr="00205DAE">
        <w:rPr>
          <w:rFonts w:cs="Arial"/>
          <w:bCs/>
          <w:szCs w:val="24"/>
        </w:rPr>
        <w:t>,</w:t>
      </w:r>
      <w:r>
        <w:rPr>
          <w:rFonts w:cs="Arial"/>
          <w:bCs/>
          <w:szCs w:val="24"/>
        </w:rPr>
        <w:t xml:space="preserve"> alors que le prêt devait servir uniquement aux activités immobilières et être remis uniquement à Huot immobilier (art.</w:t>
      </w:r>
      <w:r w:rsidR="00F758B9">
        <w:rPr>
          <w:rFonts w:cs="Arial"/>
          <w:bCs/>
          <w:szCs w:val="24"/>
        </w:rPr>
        <w:t> </w:t>
      </w:r>
      <w:r>
        <w:rPr>
          <w:rFonts w:cs="Arial"/>
          <w:bCs/>
          <w:szCs w:val="24"/>
        </w:rPr>
        <w:t>12.1.5);</w:t>
      </w:r>
    </w:p>
    <w:p w14:paraId="29494373" w14:textId="77777777" w:rsidR="005D2372" w:rsidRDefault="00730A01" w:rsidP="00443B59">
      <w:pPr>
        <w:pStyle w:val="Paragraphe"/>
        <w:numPr>
          <w:ilvl w:val="0"/>
          <w:numId w:val="74"/>
        </w:numPr>
        <w:tabs>
          <w:tab w:val="clear" w:pos="720"/>
        </w:tabs>
        <w:spacing w:line="240" w:lineRule="auto"/>
        <w:ind w:left="567" w:hanging="283"/>
        <w:rPr>
          <w:rFonts w:cs="Arial"/>
          <w:bCs/>
          <w:szCs w:val="24"/>
        </w:rPr>
      </w:pPr>
      <w:r w:rsidRPr="005D2372">
        <w:rPr>
          <w:rFonts w:cs="Arial"/>
          <w:b/>
          <w:szCs w:val="24"/>
        </w:rPr>
        <w:t xml:space="preserve">Débours Giroux : </w:t>
      </w:r>
      <w:r w:rsidRPr="005D2372">
        <w:rPr>
          <w:rFonts w:cs="Arial"/>
          <w:bCs/>
          <w:szCs w:val="24"/>
        </w:rPr>
        <w:t>payer 154 134 $ à 6646 en intérêts et frais dus par Millénum pour des prêts au taux d’intérêts de 41 %</w:t>
      </w:r>
      <w:r>
        <w:rPr>
          <w:rStyle w:val="Appelnotedebasdep"/>
          <w:rFonts w:cs="Arial"/>
          <w:bCs/>
          <w:szCs w:val="24"/>
        </w:rPr>
        <w:footnoteReference w:id="632"/>
      </w:r>
      <w:r w:rsidRPr="005D2372">
        <w:rPr>
          <w:rFonts w:cs="Arial"/>
          <w:bCs/>
          <w:szCs w:val="24"/>
        </w:rPr>
        <w:t>,</w:t>
      </w:r>
      <w:r w:rsidRPr="005D2372">
        <w:rPr>
          <w:rFonts w:cs="Arial"/>
          <w:b/>
          <w:szCs w:val="24"/>
        </w:rPr>
        <w:t xml:space="preserve"> </w:t>
      </w:r>
      <w:r w:rsidRPr="005D2372">
        <w:rPr>
          <w:rFonts w:cs="Arial"/>
          <w:bCs/>
          <w:szCs w:val="24"/>
        </w:rPr>
        <w:t>alors que le prêt devait servir uniquement aux activités immobilières et être remis uniquement à Huot immobilier (art.</w:t>
      </w:r>
      <w:r w:rsidR="00F758B9">
        <w:rPr>
          <w:rFonts w:cs="Arial"/>
          <w:bCs/>
          <w:szCs w:val="24"/>
        </w:rPr>
        <w:t> </w:t>
      </w:r>
      <w:r w:rsidRPr="005D2372">
        <w:rPr>
          <w:rFonts w:cs="Arial"/>
          <w:bCs/>
          <w:szCs w:val="24"/>
        </w:rPr>
        <w:t>12.1.5) et qu’Huot ne devait pas contracter d’autres dettes que celles découlant d’opérations courantes (art.</w:t>
      </w:r>
      <w:r w:rsidR="00F758B9">
        <w:rPr>
          <w:rFonts w:cs="Arial"/>
          <w:bCs/>
          <w:szCs w:val="24"/>
        </w:rPr>
        <w:t> </w:t>
      </w:r>
      <w:r w:rsidRPr="005D2372">
        <w:rPr>
          <w:rFonts w:cs="Arial"/>
          <w:bCs/>
          <w:szCs w:val="24"/>
        </w:rPr>
        <w:t>11.4);</w:t>
      </w:r>
    </w:p>
    <w:p w14:paraId="7AAD63EC" w14:textId="77777777" w:rsidR="005D2372" w:rsidRDefault="00730A01" w:rsidP="00443B59">
      <w:pPr>
        <w:pStyle w:val="Paragraphe"/>
        <w:numPr>
          <w:ilvl w:val="0"/>
          <w:numId w:val="74"/>
        </w:numPr>
        <w:tabs>
          <w:tab w:val="clear" w:pos="720"/>
        </w:tabs>
        <w:spacing w:line="240" w:lineRule="auto"/>
        <w:ind w:left="567" w:hanging="283"/>
        <w:rPr>
          <w:rFonts w:cs="Arial"/>
          <w:bCs/>
          <w:szCs w:val="24"/>
        </w:rPr>
      </w:pPr>
      <w:r w:rsidRPr="005D2372">
        <w:rPr>
          <w:rFonts w:cs="Arial"/>
          <w:b/>
          <w:szCs w:val="24"/>
        </w:rPr>
        <w:t xml:space="preserve">Débours Giroux : </w:t>
      </w:r>
      <w:r w:rsidRPr="005D2372">
        <w:rPr>
          <w:rFonts w:cs="Arial"/>
          <w:bCs/>
          <w:szCs w:val="24"/>
        </w:rPr>
        <w:t>payer 21 137 $ à Giroux Arpentage pour des frais</w:t>
      </w:r>
      <w:r>
        <w:rPr>
          <w:rStyle w:val="Appelnotedebasdep"/>
          <w:rFonts w:cs="Arial"/>
          <w:bCs/>
          <w:szCs w:val="24"/>
        </w:rPr>
        <w:footnoteReference w:id="633"/>
      </w:r>
      <w:r w:rsidRPr="005D2372">
        <w:rPr>
          <w:rFonts w:cs="Arial"/>
          <w:bCs/>
          <w:szCs w:val="24"/>
        </w:rPr>
        <w:t>, alors que le prêt devait servir uniquement aux activités immobilières et être remis uniquement à Huot immobilier (art.</w:t>
      </w:r>
      <w:r w:rsidR="00F758B9">
        <w:rPr>
          <w:rFonts w:cs="Arial"/>
          <w:bCs/>
          <w:szCs w:val="24"/>
        </w:rPr>
        <w:t> </w:t>
      </w:r>
      <w:r w:rsidRPr="005D2372">
        <w:rPr>
          <w:rFonts w:cs="Arial"/>
          <w:bCs/>
          <w:szCs w:val="24"/>
        </w:rPr>
        <w:t>12.1.5);</w:t>
      </w:r>
    </w:p>
    <w:p w14:paraId="68DF4A12" w14:textId="77777777" w:rsidR="005D2372" w:rsidRDefault="00730A01" w:rsidP="00443B59">
      <w:pPr>
        <w:pStyle w:val="Paragraphe"/>
        <w:numPr>
          <w:ilvl w:val="0"/>
          <w:numId w:val="74"/>
        </w:numPr>
        <w:tabs>
          <w:tab w:val="clear" w:pos="720"/>
        </w:tabs>
        <w:spacing w:line="240" w:lineRule="auto"/>
        <w:ind w:left="567" w:hanging="283"/>
        <w:rPr>
          <w:rFonts w:cs="Arial"/>
          <w:bCs/>
          <w:szCs w:val="24"/>
        </w:rPr>
      </w:pPr>
      <w:r w:rsidRPr="005D2372">
        <w:rPr>
          <w:rFonts w:cs="Arial"/>
          <w:b/>
          <w:szCs w:val="24"/>
        </w:rPr>
        <w:t xml:space="preserve">Débours Giroux : </w:t>
      </w:r>
      <w:r w:rsidRPr="005D2372">
        <w:rPr>
          <w:rFonts w:cs="Arial"/>
          <w:bCs/>
          <w:szCs w:val="24"/>
        </w:rPr>
        <w:t>payer 112 676 $ à X2 pour des frais</w:t>
      </w:r>
      <w:r>
        <w:rPr>
          <w:rStyle w:val="Appelnotedebasdep"/>
          <w:rFonts w:cs="Arial"/>
          <w:bCs/>
          <w:szCs w:val="24"/>
        </w:rPr>
        <w:footnoteReference w:id="634"/>
      </w:r>
      <w:r w:rsidRPr="005D2372">
        <w:rPr>
          <w:rFonts w:cs="Arial"/>
          <w:bCs/>
          <w:szCs w:val="24"/>
        </w:rPr>
        <w:t>, alors que le prêt devait servir uniquement aux activités immobilières et être remis uniquement à Huot immobilier (art.</w:t>
      </w:r>
      <w:r w:rsidR="00F758B9">
        <w:rPr>
          <w:rFonts w:cs="Arial"/>
          <w:bCs/>
          <w:szCs w:val="24"/>
        </w:rPr>
        <w:t> </w:t>
      </w:r>
      <w:r w:rsidRPr="005D2372">
        <w:rPr>
          <w:rFonts w:cs="Arial"/>
          <w:bCs/>
          <w:szCs w:val="24"/>
        </w:rPr>
        <w:t>12.1.5);</w:t>
      </w:r>
    </w:p>
    <w:p w14:paraId="59297FC3" w14:textId="77777777" w:rsidR="005D2372" w:rsidRDefault="00730A01" w:rsidP="00443B59">
      <w:pPr>
        <w:pStyle w:val="Paragraphe"/>
        <w:numPr>
          <w:ilvl w:val="0"/>
          <w:numId w:val="74"/>
        </w:numPr>
        <w:tabs>
          <w:tab w:val="clear" w:pos="720"/>
        </w:tabs>
        <w:spacing w:line="240" w:lineRule="auto"/>
        <w:ind w:left="567" w:hanging="283"/>
        <w:rPr>
          <w:rFonts w:cs="Arial"/>
          <w:bCs/>
          <w:szCs w:val="24"/>
        </w:rPr>
      </w:pPr>
      <w:r w:rsidRPr="005D2372">
        <w:rPr>
          <w:rFonts w:cs="Arial"/>
          <w:b/>
          <w:szCs w:val="24"/>
        </w:rPr>
        <w:t xml:space="preserve">Transaction Ponzi : </w:t>
      </w:r>
      <w:r w:rsidRPr="005D2372">
        <w:rPr>
          <w:rFonts w:cs="Arial"/>
          <w:bCs/>
          <w:szCs w:val="24"/>
        </w:rPr>
        <w:t>payer 710 598 $ à Q-12 pour les intérêts de mars</w:t>
      </w:r>
      <w:r w:rsidR="00F758B9">
        <w:rPr>
          <w:rFonts w:cs="Arial"/>
          <w:bCs/>
          <w:szCs w:val="24"/>
        </w:rPr>
        <w:t> </w:t>
      </w:r>
      <w:r w:rsidRPr="005D2372">
        <w:rPr>
          <w:rFonts w:cs="Arial"/>
          <w:bCs/>
          <w:szCs w:val="24"/>
        </w:rPr>
        <w:t>2022</w:t>
      </w:r>
      <w:r>
        <w:rPr>
          <w:rStyle w:val="Appelnotedebasdep"/>
          <w:rFonts w:cs="Arial"/>
          <w:bCs/>
          <w:szCs w:val="24"/>
        </w:rPr>
        <w:footnoteReference w:id="635"/>
      </w:r>
      <w:r w:rsidRPr="005D2372">
        <w:rPr>
          <w:rFonts w:cs="Arial"/>
          <w:bCs/>
          <w:szCs w:val="24"/>
        </w:rPr>
        <w:t>, alors que le prêt devait servir uniquement aux activités immobilières et être remis uniquement à Huot immobilier (art.</w:t>
      </w:r>
      <w:r w:rsidR="00F758B9">
        <w:rPr>
          <w:rFonts w:cs="Arial"/>
          <w:bCs/>
          <w:szCs w:val="24"/>
        </w:rPr>
        <w:t> </w:t>
      </w:r>
      <w:r w:rsidRPr="005D2372">
        <w:rPr>
          <w:rFonts w:cs="Arial"/>
          <w:bCs/>
          <w:szCs w:val="24"/>
        </w:rPr>
        <w:t>12.1.5);</w:t>
      </w:r>
    </w:p>
    <w:p w14:paraId="281732E9" w14:textId="77777777" w:rsidR="005D2372" w:rsidRDefault="00730A01" w:rsidP="00443B59">
      <w:pPr>
        <w:pStyle w:val="Paragraphe"/>
        <w:numPr>
          <w:ilvl w:val="0"/>
          <w:numId w:val="74"/>
        </w:numPr>
        <w:tabs>
          <w:tab w:val="clear" w:pos="720"/>
        </w:tabs>
        <w:spacing w:line="240" w:lineRule="auto"/>
        <w:ind w:left="567" w:hanging="283"/>
        <w:rPr>
          <w:rFonts w:cs="Arial"/>
          <w:bCs/>
          <w:szCs w:val="24"/>
        </w:rPr>
      </w:pPr>
      <w:r w:rsidRPr="005D2372">
        <w:rPr>
          <w:rFonts w:cs="Arial"/>
          <w:b/>
          <w:szCs w:val="24"/>
        </w:rPr>
        <w:t xml:space="preserve">Transaction Ponzi : </w:t>
      </w:r>
      <w:r w:rsidRPr="005D2372">
        <w:rPr>
          <w:rFonts w:cs="Arial"/>
          <w:bCs/>
          <w:szCs w:val="24"/>
        </w:rPr>
        <w:t>payer 1 719 450 $ à FIISH pour les intérêts de mars et avril</w:t>
      </w:r>
      <w:r w:rsidR="00F758B9">
        <w:rPr>
          <w:rFonts w:cs="Arial"/>
          <w:bCs/>
          <w:szCs w:val="24"/>
        </w:rPr>
        <w:t> </w:t>
      </w:r>
      <w:r w:rsidRPr="005D2372">
        <w:rPr>
          <w:rFonts w:cs="Arial"/>
          <w:bCs/>
          <w:szCs w:val="24"/>
        </w:rPr>
        <w:t>2022</w:t>
      </w:r>
      <w:r>
        <w:rPr>
          <w:rStyle w:val="Appelnotedebasdep"/>
          <w:rFonts w:cs="Arial"/>
          <w:bCs/>
          <w:szCs w:val="24"/>
        </w:rPr>
        <w:footnoteReference w:id="636"/>
      </w:r>
      <w:r w:rsidRPr="005D2372">
        <w:rPr>
          <w:rFonts w:cs="Arial"/>
          <w:bCs/>
          <w:szCs w:val="24"/>
        </w:rPr>
        <w:t>, alors que le prêt devait servir uniquement aux activités immobilières et être remis uniquement à Huot immobilier (art.</w:t>
      </w:r>
      <w:r w:rsidR="00F758B9">
        <w:rPr>
          <w:rFonts w:cs="Arial"/>
          <w:bCs/>
          <w:szCs w:val="24"/>
        </w:rPr>
        <w:t> </w:t>
      </w:r>
      <w:r w:rsidRPr="005D2372">
        <w:rPr>
          <w:rFonts w:cs="Arial"/>
          <w:bCs/>
          <w:szCs w:val="24"/>
        </w:rPr>
        <w:t>12.1.5);</w:t>
      </w:r>
    </w:p>
    <w:p w14:paraId="1D08CAAC" w14:textId="77777777" w:rsidR="008900D7" w:rsidRPr="005D2372" w:rsidRDefault="00730A01" w:rsidP="00443B59">
      <w:pPr>
        <w:pStyle w:val="Paragraphe"/>
        <w:numPr>
          <w:ilvl w:val="0"/>
          <w:numId w:val="74"/>
        </w:numPr>
        <w:tabs>
          <w:tab w:val="clear" w:pos="720"/>
        </w:tabs>
        <w:spacing w:line="240" w:lineRule="auto"/>
        <w:ind w:left="567" w:hanging="283"/>
        <w:rPr>
          <w:rFonts w:cs="Arial"/>
          <w:bCs/>
          <w:szCs w:val="24"/>
        </w:rPr>
      </w:pPr>
      <w:r w:rsidRPr="005D2372">
        <w:rPr>
          <w:rFonts w:cs="Arial"/>
          <w:bCs/>
          <w:szCs w:val="24"/>
        </w:rPr>
        <w:t>Défaut résultant du dépassement des ratios d’équité (art.</w:t>
      </w:r>
      <w:r w:rsidR="00F758B9">
        <w:rPr>
          <w:rFonts w:cs="Arial"/>
          <w:bCs/>
          <w:szCs w:val="24"/>
        </w:rPr>
        <w:t> </w:t>
      </w:r>
      <w:r w:rsidRPr="005D2372">
        <w:rPr>
          <w:rFonts w:cs="Arial"/>
          <w:bCs/>
          <w:szCs w:val="24"/>
        </w:rPr>
        <w:t>17.1.5) et de ne pas avoir mis en place un mécanisme de surveillance afin de faire en sorte que tout budget et tout état de trésorerie soient respectés (art.</w:t>
      </w:r>
      <w:r w:rsidR="00F758B9">
        <w:rPr>
          <w:rFonts w:cs="Arial"/>
          <w:bCs/>
          <w:szCs w:val="24"/>
        </w:rPr>
        <w:t> </w:t>
      </w:r>
      <w:r w:rsidRPr="005D2372">
        <w:rPr>
          <w:rFonts w:cs="Arial"/>
          <w:bCs/>
          <w:szCs w:val="24"/>
        </w:rPr>
        <w:t>12.1.8) :</w:t>
      </w:r>
    </w:p>
    <w:p w14:paraId="7553DA89" w14:textId="77777777" w:rsidR="008900D7" w:rsidRDefault="00730A01" w:rsidP="00443B59">
      <w:pPr>
        <w:pStyle w:val="Paragraphe"/>
        <w:numPr>
          <w:ilvl w:val="0"/>
          <w:numId w:val="73"/>
        </w:numPr>
        <w:spacing w:line="240" w:lineRule="auto"/>
        <w:ind w:left="851" w:hanging="284"/>
        <w:rPr>
          <w:rFonts w:cs="Arial"/>
          <w:bCs/>
          <w:szCs w:val="24"/>
        </w:rPr>
      </w:pPr>
      <w:r>
        <w:rPr>
          <w:rFonts w:cs="Arial"/>
          <w:bCs/>
          <w:szCs w:val="24"/>
        </w:rPr>
        <w:t>À partir d’octobre</w:t>
      </w:r>
      <w:r w:rsidR="00F758B9">
        <w:rPr>
          <w:rFonts w:cs="Arial"/>
          <w:bCs/>
          <w:szCs w:val="24"/>
        </w:rPr>
        <w:t> </w:t>
      </w:r>
      <w:r>
        <w:rPr>
          <w:rFonts w:cs="Arial"/>
          <w:bCs/>
          <w:szCs w:val="24"/>
        </w:rPr>
        <w:t>2021, les immeubles de Transrapide ont été ajoutés aux tableaux de bord, alors que la garantie hypothécaire du prêt FIISH ne portait pas sur ces actifs. En avril</w:t>
      </w:r>
      <w:r w:rsidR="00F758B9">
        <w:rPr>
          <w:rFonts w:cs="Arial"/>
          <w:bCs/>
          <w:szCs w:val="24"/>
        </w:rPr>
        <w:t> </w:t>
      </w:r>
      <w:r>
        <w:rPr>
          <w:rFonts w:cs="Arial"/>
          <w:bCs/>
          <w:szCs w:val="24"/>
        </w:rPr>
        <w:t>2022, la valeur de l’équité allouée à Huot en regard à ces actifs était de 16,2 M$ et représentait 8,3 % de la valeur de l’équité d’Huot</w:t>
      </w:r>
      <w:r>
        <w:rPr>
          <w:rStyle w:val="Appelnotedebasdep"/>
          <w:rFonts w:cs="Arial"/>
          <w:bCs/>
          <w:szCs w:val="24"/>
        </w:rPr>
        <w:footnoteReference w:id="637"/>
      </w:r>
      <w:r>
        <w:rPr>
          <w:rFonts w:cs="Arial"/>
          <w:bCs/>
          <w:szCs w:val="24"/>
        </w:rPr>
        <w:t>.</w:t>
      </w:r>
    </w:p>
    <w:p w14:paraId="2CF3A07F" w14:textId="77777777" w:rsidR="008900D7" w:rsidRDefault="00730A01" w:rsidP="00443B59">
      <w:pPr>
        <w:pStyle w:val="Paragraphe"/>
        <w:numPr>
          <w:ilvl w:val="0"/>
          <w:numId w:val="74"/>
        </w:numPr>
        <w:tabs>
          <w:tab w:val="clear" w:pos="720"/>
        </w:tabs>
        <w:spacing w:line="240" w:lineRule="auto"/>
        <w:ind w:left="567" w:hanging="283"/>
        <w:rPr>
          <w:rFonts w:cs="Arial"/>
          <w:bCs/>
          <w:szCs w:val="24"/>
        </w:rPr>
      </w:pPr>
      <w:r>
        <w:rPr>
          <w:rFonts w:cs="Arial"/>
          <w:bCs/>
          <w:szCs w:val="24"/>
        </w:rPr>
        <w:t>Défaut de ne pas avoir exigé les attestations mensuelles certifiant qu’Huot respectait ses obligations aux termes du prêt et qu’il n’existait aucun cas de défaut (art.</w:t>
      </w:r>
      <w:r w:rsidR="00F758B9">
        <w:rPr>
          <w:rFonts w:cs="Arial"/>
          <w:bCs/>
          <w:szCs w:val="24"/>
        </w:rPr>
        <w:t> </w:t>
      </w:r>
      <w:r>
        <w:rPr>
          <w:rFonts w:cs="Arial"/>
          <w:bCs/>
          <w:szCs w:val="24"/>
        </w:rPr>
        <w:t>11.6)</w:t>
      </w:r>
      <w:r>
        <w:rPr>
          <w:rStyle w:val="Appelnotedebasdep"/>
          <w:rFonts w:cs="Arial"/>
          <w:bCs/>
          <w:szCs w:val="24"/>
        </w:rPr>
        <w:footnoteReference w:id="638"/>
      </w:r>
      <w:r>
        <w:rPr>
          <w:rFonts w:cs="Arial"/>
          <w:bCs/>
          <w:szCs w:val="24"/>
        </w:rPr>
        <w:t xml:space="preserve"> ni les attestations de paiement des dettes fiscales (art.</w:t>
      </w:r>
      <w:r w:rsidR="00F758B9">
        <w:rPr>
          <w:rFonts w:cs="Arial"/>
          <w:bCs/>
          <w:szCs w:val="24"/>
        </w:rPr>
        <w:t> </w:t>
      </w:r>
      <w:r>
        <w:rPr>
          <w:rFonts w:cs="Arial"/>
          <w:bCs/>
          <w:szCs w:val="24"/>
        </w:rPr>
        <w:t>14.1.2)</w:t>
      </w:r>
      <w:r>
        <w:rPr>
          <w:rStyle w:val="Appelnotedebasdep"/>
          <w:rFonts w:cs="Arial"/>
          <w:bCs/>
          <w:szCs w:val="24"/>
        </w:rPr>
        <w:footnoteReference w:id="639"/>
      </w:r>
      <w:r>
        <w:rPr>
          <w:rFonts w:cs="Arial"/>
          <w:bCs/>
          <w:szCs w:val="24"/>
        </w:rPr>
        <w:t> :</w:t>
      </w:r>
    </w:p>
    <w:p w14:paraId="1961032D" w14:textId="77777777" w:rsidR="008900D7" w:rsidRDefault="00730A01" w:rsidP="00443B59">
      <w:pPr>
        <w:pStyle w:val="Paragraphe"/>
        <w:numPr>
          <w:ilvl w:val="0"/>
          <w:numId w:val="73"/>
        </w:numPr>
        <w:spacing w:line="240" w:lineRule="auto"/>
        <w:ind w:hanging="295"/>
        <w:rPr>
          <w:rFonts w:cs="Arial"/>
          <w:bCs/>
          <w:szCs w:val="24"/>
        </w:rPr>
      </w:pPr>
      <w:r>
        <w:rPr>
          <w:rFonts w:cs="Arial"/>
          <w:bCs/>
          <w:szCs w:val="24"/>
        </w:rPr>
        <w:t>En</w:t>
      </w:r>
      <w:r w:rsidR="00F758B9">
        <w:rPr>
          <w:rFonts w:cs="Arial"/>
          <w:bCs/>
          <w:szCs w:val="24"/>
        </w:rPr>
        <w:t> </w:t>
      </w:r>
      <w:r>
        <w:rPr>
          <w:rFonts w:cs="Arial"/>
          <w:bCs/>
          <w:szCs w:val="24"/>
        </w:rPr>
        <w:t>2022, le montant des taxes municipales impayées par le Groupe Huot s’élevait à 4,6 M$ et le montant des TPS/TVQ impayées à 17 M$</w:t>
      </w:r>
      <w:r>
        <w:rPr>
          <w:rStyle w:val="Appelnotedebasdep"/>
          <w:rFonts w:cs="Arial"/>
          <w:bCs/>
          <w:szCs w:val="24"/>
        </w:rPr>
        <w:footnoteReference w:id="640"/>
      </w:r>
      <w:r>
        <w:rPr>
          <w:rFonts w:cs="Arial"/>
          <w:bCs/>
          <w:szCs w:val="24"/>
        </w:rPr>
        <w:t>.</w:t>
      </w:r>
    </w:p>
    <w:p w14:paraId="39C3A36C" w14:textId="77777777" w:rsidR="008900D7" w:rsidRDefault="00730A01" w:rsidP="00443B59">
      <w:pPr>
        <w:pStyle w:val="Paragraphe"/>
        <w:numPr>
          <w:ilvl w:val="0"/>
          <w:numId w:val="75"/>
        </w:numPr>
        <w:spacing w:line="240" w:lineRule="auto"/>
        <w:ind w:left="567" w:hanging="283"/>
        <w:rPr>
          <w:rFonts w:cs="Arial"/>
          <w:bCs/>
          <w:szCs w:val="24"/>
        </w:rPr>
      </w:pPr>
      <w:r w:rsidRPr="00E47B7F">
        <w:rPr>
          <w:rFonts w:cs="Arial"/>
          <w:bCs/>
          <w:szCs w:val="24"/>
        </w:rPr>
        <w:t>Défaut</w:t>
      </w:r>
      <w:r>
        <w:rPr>
          <w:rFonts w:cs="Arial"/>
          <w:bCs/>
          <w:szCs w:val="24"/>
        </w:rPr>
        <w:t xml:space="preserve"> résultant du dépassement des ratios d’équité (art.</w:t>
      </w:r>
      <w:r w:rsidR="00F758B9">
        <w:rPr>
          <w:rFonts w:cs="Arial"/>
          <w:bCs/>
          <w:szCs w:val="24"/>
        </w:rPr>
        <w:t> </w:t>
      </w:r>
      <w:r>
        <w:rPr>
          <w:rFonts w:cs="Arial"/>
          <w:bCs/>
          <w:szCs w:val="24"/>
        </w:rPr>
        <w:t>17.1.5) et de ne pas avoir mis en place un mécanisme de surveillance afin de faire en sorte que tout budget et tout état de trésorerie soient respectés (art.</w:t>
      </w:r>
      <w:r w:rsidR="00F758B9">
        <w:rPr>
          <w:rFonts w:cs="Arial"/>
          <w:bCs/>
          <w:szCs w:val="24"/>
        </w:rPr>
        <w:t> </w:t>
      </w:r>
      <w:r>
        <w:rPr>
          <w:rFonts w:cs="Arial"/>
          <w:bCs/>
          <w:szCs w:val="24"/>
        </w:rPr>
        <w:t>12.1.8) :</w:t>
      </w:r>
    </w:p>
    <w:p w14:paraId="21614A6A" w14:textId="77777777" w:rsidR="008900D7" w:rsidRDefault="00730A01" w:rsidP="00443B59">
      <w:pPr>
        <w:pStyle w:val="Paragraphe"/>
        <w:numPr>
          <w:ilvl w:val="0"/>
          <w:numId w:val="73"/>
        </w:numPr>
        <w:spacing w:line="240" w:lineRule="auto"/>
        <w:rPr>
          <w:rFonts w:cs="Arial"/>
          <w:bCs/>
          <w:szCs w:val="24"/>
        </w:rPr>
      </w:pPr>
      <w:r>
        <w:rPr>
          <w:rFonts w:cs="Arial"/>
          <w:bCs/>
          <w:szCs w:val="24"/>
        </w:rPr>
        <w:t>À partir d’octobre</w:t>
      </w:r>
      <w:r w:rsidR="00F758B9">
        <w:rPr>
          <w:rFonts w:cs="Arial"/>
          <w:bCs/>
          <w:szCs w:val="24"/>
        </w:rPr>
        <w:t> </w:t>
      </w:r>
      <w:r>
        <w:rPr>
          <w:rFonts w:cs="Arial"/>
          <w:bCs/>
          <w:szCs w:val="24"/>
        </w:rPr>
        <w:t>2022, l’immeuble de 9442-7416 Québec inc. (Kepler) est ajouté aux tableaux de bord, alors que la garantie hypothécaire du prêt FIISH ne porte pas sur cet actif. En novembre</w:t>
      </w:r>
      <w:r w:rsidR="00F758B9">
        <w:rPr>
          <w:rFonts w:cs="Arial"/>
          <w:bCs/>
          <w:szCs w:val="24"/>
        </w:rPr>
        <w:t> </w:t>
      </w:r>
      <w:r>
        <w:rPr>
          <w:rFonts w:cs="Arial"/>
          <w:bCs/>
          <w:szCs w:val="24"/>
        </w:rPr>
        <w:t>2022, la valeur de l’équité allouée à cet actif était de 160 385 $</w:t>
      </w:r>
      <w:r>
        <w:rPr>
          <w:rStyle w:val="Appelnotedebasdep"/>
          <w:rFonts w:cs="Arial"/>
          <w:bCs/>
          <w:szCs w:val="24"/>
        </w:rPr>
        <w:footnoteReference w:id="641"/>
      </w:r>
      <w:r>
        <w:rPr>
          <w:rFonts w:cs="Arial"/>
          <w:bCs/>
          <w:szCs w:val="24"/>
        </w:rPr>
        <w:t>.</w:t>
      </w:r>
    </w:p>
    <w:p w14:paraId="2C7098BB" w14:textId="77777777" w:rsidR="008900D7" w:rsidRDefault="00730A01" w:rsidP="00443B59">
      <w:pPr>
        <w:pStyle w:val="Paragraphe"/>
        <w:numPr>
          <w:ilvl w:val="0"/>
          <w:numId w:val="75"/>
        </w:numPr>
        <w:spacing w:line="240" w:lineRule="auto"/>
        <w:ind w:left="567" w:hanging="283"/>
        <w:rPr>
          <w:rFonts w:cs="Arial"/>
          <w:bCs/>
          <w:szCs w:val="24"/>
        </w:rPr>
      </w:pPr>
      <w:r w:rsidRPr="00E47B7F">
        <w:rPr>
          <w:rFonts w:cs="Arial"/>
          <w:bCs/>
          <w:szCs w:val="24"/>
        </w:rPr>
        <w:t>Défaut</w:t>
      </w:r>
      <w:r>
        <w:rPr>
          <w:rFonts w:cs="Arial"/>
          <w:bCs/>
          <w:szCs w:val="24"/>
        </w:rPr>
        <w:t xml:space="preserve"> résultant des déboursés additionnels (par le biais de Q-12) au lieu d’exercer les recours prévus à la convention de prêt au cas de défaut (art.</w:t>
      </w:r>
      <w:r w:rsidR="00F758B9">
        <w:rPr>
          <w:rFonts w:cs="Arial"/>
          <w:bCs/>
          <w:szCs w:val="24"/>
        </w:rPr>
        <w:t> </w:t>
      </w:r>
      <w:r>
        <w:rPr>
          <w:rFonts w:cs="Arial"/>
          <w:bCs/>
          <w:szCs w:val="24"/>
        </w:rPr>
        <w:t>3.1 et</w:t>
      </w:r>
      <w:r w:rsidR="00F758B9">
        <w:rPr>
          <w:rFonts w:cs="Arial"/>
          <w:bCs/>
          <w:szCs w:val="24"/>
        </w:rPr>
        <w:t> </w:t>
      </w:r>
      <w:r>
        <w:rPr>
          <w:rFonts w:cs="Arial"/>
          <w:bCs/>
          <w:szCs w:val="24"/>
        </w:rPr>
        <w:t>20) vue que :</w:t>
      </w:r>
    </w:p>
    <w:p w14:paraId="769FF7B3" w14:textId="77777777" w:rsidR="005D2372" w:rsidRDefault="00730A01" w:rsidP="00443B59">
      <w:pPr>
        <w:pStyle w:val="Paragraphe"/>
        <w:numPr>
          <w:ilvl w:val="0"/>
          <w:numId w:val="73"/>
        </w:numPr>
        <w:spacing w:line="240" w:lineRule="auto"/>
        <w:ind w:left="851" w:hanging="284"/>
        <w:rPr>
          <w:rFonts w:cs="Arial"/>
          <w:bCs/>
          <w:szCs w:val="24"/>
        </w:rPr>
      </w:pPr>
      <w:r>
        <w:rPr>
          <w:rFonts w:cs="Arial"/>
          <w:b/>
          <w:szCs w:val="24"/>
        </w:rPr>
        <w:t>Transaction Ponzi </w:t>
      </w:r>
      <w:r>
        <w:rPr>
          <w:rFonts w:cs="Arial"/>
          <w:bCs/>
          <w:szCs w:val="24"/>
        </w:rPr>
        <w:t>: L’amendement</w:t>
      </w:r>
      <w:r w:rsidR="00F758B9">
        <w:rPr>
          <w:rFonts w:cs="Arial"/>
          <w:bCs/>
          <w:szCs w:val="24"/>
        </w:rPr>
        <w:t> </w:t>
      </w:r>
      <w:r>
        <w:rPr>
          <w:rFonts w:cs="Arial"/>
          <w:bCs/>
          <w:szCs w:val="24"/>
        </w:rPr>
        <w:t>#5 prévoit que le prêt de Q-12 à Huot est consenti pour payer les intérêts dus à FIISH pour les mois de janvier, février et mars</w:t>
      </w:r>
      <w:r w:rsidR="00F758B9">
        <w:rPr>
          <w:rFonts w:cs="Arial"/>
          <w:bCs/>
          <w:szCs w:val="24"/>
        </w:rPr>
        <w:t> </w:t>
      </w:r>
      <w:r>
        <w:rPr>
          <w:rFonts w:cs="Arial"/>
          <w:bCs/>
          <w:szCs w:val="24"/>
        </w:rPr>
        <w:t>2023 et prévoit le paiement du « Nanane » de 500 000 $ prévu à l’amendement</w:t>
      </w:r>
      <w:r w:rsidR="00F758B9">
        <w:rPr>
          <w:rFonts w:cs="Arial"/>
          <w:bCs/>
          <w:szCs w:val="24"/>
        </w:rPr>
        <w:t> </w:t>
      </w:r>
      <w:r>
        <w:rPr>
          <w:rFonts w:cs="Arial"/>
          <w:bCs/>
          <w:szCs w:val="24"/>
        </w:rPr>
        <w:t>#3</w:t>
      </w:r>
      <w:r>
        <w:rPr>
          <w:rStyle w:val="Appelnotedebasdep"/>
          <w:rFonts w:cs="Arial"/>
          <w:bCs/>
          <w:szCs w:val="24"/>
        </w:rPr>
        <w:footnoteReference w:id="642"/>
      </w:r>
      <w:r>
        <w:rPr>
          <w:rFonts w:cs="Arial"/>
          <w:bCs/>
          <w:szCs w:val="24"/>
        </w:rPr>
        <w:t xml:space="preserve"> et qui est exigible depuis le mois de juin</w:t>
      </w:r>
      <w:r w:rsidR="00F758B9">
        <w:rPr>
          <w:rFonts w:cs="Arial"/>
          <w:bCs/>
          <w:szCs w:val="24"/>
        </w:rPr>
        <w:t> </w:t>
      </w:r>
      <w:r>
        <w:rPr>
          <w:rFonts w:cs="Arial"/>
          <w:bCs/>
          <w:szCs w:val="24"/>
        </w:rPr>
        <w:t>2022</w:t>
      </w:r>
      <w:r>
        <w:rPr>
          <w:rStyle w:val="Appelnotedebasdep"/>
          <w:rFonts w:cs="Arial"/>
          <w:bCs/>
          <w:szCs w:val="24"/>
        </w:rPr>
        <w:footnoteReference w:id="643"/>
      </w:r>
      <w:r>
        <w:rPr>
          <w:rFonts w:cs="Arial"/>
          <w:bCs/>
          <w:szCs w:val="24"/>
        </w:rPr>
        <w:t>;</w:t>
      </w:r>
    </w:p>
    <w:p w14:paraId="71EE8FF3" w14:textId="77777777" w:rsidR="008900D7" w:rsidRPr="005D2372" w:rsidRDefault="00730A01" w:rsidP="00443B59">
      <w:pPr>
        <w:pStyle w:val="Paragraphe"/>
        <w:numPr>
          <w:ilvl w:val="0"/>
          <w:numId w:val="73"/>
        </w:numPr>
        <w:spacing w:line="240" w:lineRule="auto"/>
        <w:rPr>
          <w:rFonts w:cs="Arial"/>
          <w:bCs/>
          <w:szCs w:val="24"/>
        </w:rPr>
      </w:pPr>
      <w:r w:rsidRPr="005D2372">
        <w:rPr>
          <w:rFonts w:cs="Arial"/>
          <w:bCs/>
          <w:szCs w:val="24"/>
        </w:rPr>
        <w:t>Le défaut de paiement des sommes dues constitue un cas de défaut (art.</w:t>
      </w:r>
      <w:r w:rsidR="00F758B9">
        <w:rPr>
          <w:rFonts w:cs="Arial"/>
          <w:bCs/>
          <w:szCs w:val="24"/>
        </w:rPr>
        <w:t> </w:t>
      </w:r>
      <w:r w:rsidRPr="005D2372">
        <w:rPr>
          <w:rFonts w:cs="Arial"/>
          <w:bCs/>
          <w:szCs w:val="24"/>
        </w:rPr>
        <w:t>17.1.1)</w:t>
      </w:r>
      <w:r w:rsidR="00205DAE" w:rsidRPr="005D2372">
        <w:rPr>
          <w:rFonts w:cs="Arial"/>
          <w:bCs/>
          <w:szCs w:val="24"/>
        </w:rPr>
        <w:t>.</w:t>
      </w:r>
    </w:p>
    <w:p w14:paraId="68155C47" w14:textId="77777777" w:rsidR="008900D7" w:rsidRPr="00113395" w:rsidRDefault="00730A01" w:rsidP="0042740E">
      <w:pPr>
        <w:pStyle w:val="Titre3"/>
        <w:numPr>
          <w:ilvl w:val="3"/>
          <w:numId w:val="27"/>
        </w:numPr>
        <w:ind w:left="284" w:hanging="284"/>
        <w:rPr>
          <w:rFonts w:cs="Arial"/>
          <w:b/>
          <w:szCs w:val="24"/>
        </w:rPr>
      </w:pPr>
      <w:bookmarkStart w:id="235" w:name="_Toc211495292"/>
      <w:bookmarkStart w:id="236" w:name="_Toc211600700"/>
      <w:r w:rsidRPr="00113395">
        <w:rPr>
          <w:rFonts w:cs="Arial"/>
          <w:b/>
          <w:szCs w:val="24"/>
        </w:rPr>
        <w:t>Autres manquements</w:t>
      </w:r>
      <w:bookmarkEnd w:id="235"/>
      <w:bookmarkEnd w:id="236"/>
    </w:p>
    <w:p w14:paraId="16820B81" w14:textId="77777777" w:rsidR="008900D7" w:rsidRDefault="00730A01" w:rsidP="007313C6">
      <w:pPr>
        <w:pStyle w:val="Paragraphe"/>
        <w:numPr>
          <w:ilvl w:val="0"/>
          <w:numId w:val="0"/>
        </w:numPr>
        <w:spacing w:line="240" w:lineRule="auto"/>
        <w:ind w:left="284"/>
        <w:rPr>
          <w:rFonts w:cs="Arial"/>
          <w:b/>
          <w:szCs w:val="24"/>
          <w:u w:val="single"/>
        </w:rPr>
      </w:pPr>
      <w:r w:rsidRPr="006F2ACA">
        <w:rPr>
          <w:rFonts w:cs="Arial"/>
          <w:b/>
          <w:szCs w:val="24"/>
          <w:u w:val="single"/>
        </w:rPr>
        <w:t>Période couverte</w:t>
      </w:r>
      <w:r>
        <w:rPr>
          <w:rFonts w:cs="Arial"/>
          <w:b/>
          <w:szCs w:val="24"/>
          <w:u w:val="single"/>
        </w:rPr>
        <w:t xml:space="preserve"> par l’amendement : 4</w:t>
      </w:r>
      <w:r w:rsidR="00F758B9">
        <w:rPr>
          <w:rFonts w:cs="Arial"/>
          <w:b/>
          <w:szCs w:val="24"/>
          <w:u w:val="single"/>
        </w:rPr>
        <w:t> </w:t>
      </w:r>
      <w:r>
        <w:rPr>
          <w:rFonts w:cs="Arial"/>
          <w:b/>
          <w:szCs w:val="24"/>
          <w:u w:val="single"/>
        </w:rPr>
        <w:t>mars</w:t>
      </w:r>
      <w:r w:rsidR="00F758B9">
        <w:rPr>
          <w:rFonts w:cs="Arial"/>
          <w:b/>
          <w:szCs w:val="24"/>
          <w:u w:val="single"/>
        </w:rPr>
        <w:t> </w:t>
      </w:r>
      <w:r>
        <w:rPr>
          <w:rFonts w:cs="Arial"/>
          <w:b/>
          <w:szCs w:val="24"/>
          <w:u w:val="single"/>
        </w:rPr>
        <w:t>2022 au 9</w:t>
      </w:r>
      <w:r w:rsidR="00F758B9">
        <w:rPr>
          <w:rFonts w:cs="Arial"/>
          <w:b/>
          <w:szCs w:val="24"/>
          <w:u w:val="single"/>
        </w:rPr>
        <w:t> </w:t>
      </w:r>
      <w:r>
        <w:rPr>
          <w:rFonts w:cs="Arial"/>
          <w:b/>
          <w:szCs w:val="24"/>
          <w:u w:val="single"/>
        </w:rPr>
        <w:t>octobre</w:t>
      </w:r>
      <w:r w:rsidR="00F758B9">
        <w:rPr>
          <w:rFonts w:cs="Arial"/>
          <w:b/>
          <w:szCs w:val="24"/>
          <w:u w:val="single"/>
        </w:rPr>
        <w:t> </w:t>
      </w:r>
      <w:r>
        <w:rPr>
          <w:rFonts w:cs="Arial"/>
          <w:b/>
          <w:szCs w:val="24"/>
          <w:u w:val="single"/>
        </w:rPr>
        <w:t>2022</w:t>
      </w:r>
    </w:p>
    <w:p w14:paraId="16000312" w14:textId="77777777" w:rsidR="008900D7" w:rsidRDefault="00730A01" w:rsidP="00443B59">
      <w:pPr>
        <w:pStyle w:val="Paragraphe"/>
        <w:numPr>
          <w:ilvl w:val="0"/>
          <w:numId w:val="76"/>
        </w:numPr>
        <w:tabs>
          <w:tab w:val="clear" w:pos="720"/>
        </w:tabs>
        <w:spacing w:line="240" w:lineRule="auto"/>
        <w:ind w:left="567" w:hanging="283"/>
        <w:rPr>
          <w:rFonts w:cs="Arial"/>
          <w:bCs/>
          <w:szCs w:val="24"/>
        </w:rPr>
      </w:pPr>
      <w:r>
        <w:rPr>
          <w:rFonts w:cs="Arial"/>
          <w:bCs/>
          <w:szCs w:val="24"/>
        </w:rPr>
        <w:t>Défaut d’avoir informé les commanditaires que :</w:t>
      </w:r>
    </w:p>
    <w:p w14:paraId="19828DA7" w14:textId="77777777" w:rsidR="00F56955" w:rsidRDefault="00730A01" w:rsidP="00443B59">
      <w:pPr>
        <w:pStyle w:val="Paragraphe"/>
        <w:numPr>
          <w:ilvl w:val="0"/>
          <w:numId w:val="105"/>
        </w:numPr>
        <w:spacing w:line="240" w:lineRule="auto"/>
        <w:ind w:left="851" w:hanging="284"/>
        <w:rPr>
          <w:rFonts w:cs="Arial"/>
          <w:bCs/>
          <w:szCs w:val="24"/>
        </w:rPr>
      </w:pPr>
      <w:r>
        <w:rPr>
          <w:rFonts w:cs="Arial"/>
          <w:bCs/>
          <w:szCs w:val="24"/>
        </w:rPr>
        <w:t>Les opérations immobilières de Groupe Huot, considérant le prêt FIISH, étaient en déficit annuel de liquidités de 15,9 M$ en</w:t>
      </w:r>
      <w:r w:rsidR="00F758B9">
        <w:rPr>
          <w:rFonts w:cs="Arial"/>
          <w:bCs/>
          <w:szCs w:val="24"/>
        </w:rPr>
        <w:t> </w:t>
      </w:r>
      <w:r>
        <w:rPr>
          <w:rFonts w:cs="Arial"/>
          <w:bCs/>
          <w:szCs w:val="24"/>
        </w:rPr>
        <w:t>2022</w:t>
      </w:r>
      <w:r>
        <w:rPr>
          <w:rStyle w:val="Appelnotedebasdep"/>
          <w:rFonts w:cs="Arial"/>
          <w:bCs/>
          <w:szCs w:val="24"/>
        </w:rPr>
        <w:footnoteReference w:id="644"/>
      </w:r>
      <w:r>
        <w:rPr>
          <w:rFonts w:cs="Arial"/>
          <w:bCs/>
          <w:szCs w:val="24"/>
        </w:rPr>
        <w:t>;</w:t>
      </w:r>
    </w:p>
    <w:p w14:paraId="4080F76A" w14:textId="77777777" w:rsidR="00F56955" w:rsidRDefault="00730A01" w:rsidP="00443B59">
      <w:pPr>
        <w:pStyle w:val="Paragraphe"/>
        <w:numPr>
          <w:ilvl w:val="0"/>
          <w:numId w:val="105"/>
        </w:numPr>
        <w:spacing w:line="240" w:lineRule="auto"/>
        <w:ind w:left="851" w:hanging="284"/>
        <w:rPr>
          <w:rFonts w:cs="Arial"/>
          <w:bCs/>
          <w:szCs w:val="24"/>
        </w:rPr>
      </w:pPr>
      <w:r w:rsidRPr="00F56955">
        <w:rPr>
          <w:rFonts w:cs="Arial"/>
          <w:bCs/>
          <w:szCs w:val="24"/>
        </w:rPr>
        <w:t>La teneur de la conversation du 2</w:t>
      </w:r>
      <w:r w:rsidR="00F758B9">
        <w:rPr>
          <w:rFonts w:cs="Arial"/>
          <w:bCs/>
          <w:szCs w:val="24"/>
        </w:rPr>
        <w:t> </w:t>
      </w:r>
      <w:r w:rsidRPr="00F56955">
        <w:rPr>
          <w:rFonts w:cs="Arial"/>
          <w:bCs/>
          <w:szCs w:val="24"/>
        </w:rPr>
        <w:t>mars</w:t>
      </w:r>
      <w:r w:rsidR="00F758B9">
        <w:rPr>
          <w:rFonts w:cs="Arial"/>
          <w:bCs/>
          <w:szCs w:val="24"/>
        </w:rPr>
        <w:t> </w:t>
      </w:r>
      <w:r w:rsidRPr="00F56955">
        <w:rPr>
          <w:rFonts w:cs="Arial"/>
          <w:bCs/>
          <w:szCs w:val="24"/>
        </w:rPr>
        <w:t>2022</w:t>
      </w:r>
      <w:r>
        <w:rPr>
          <w:rStyle w:val="Appelnotedebasdep"/>
          <w:rFonts w:cs="Arial"/>
          <w:bCs/>
          <w:szCs w:val="24"/>
        </w:rPr>
        <w:footnoteReference w:id="645"/>
      </w:r>
      <w:r w:rsidRPr="00F56955">
        <w:rPr>
          <w:rFonts w:cs="Arial"/>
          <w:bCs/>
          <w:szCs w:val="24"/>
        </w:rPr>
        <w:t>;</w:t>
      </w:r>
    </w:p>
    <w:p w14:paraId="2EA07CBE" w14:textId="77777777" w:rsidR="008900D7" w:rsidRPr="00F56955" w:rsidRDefault="00730A01" w:rsidP="00443B59">
      <w:pPr>
        <w:pStyle w:val="Paragraphe"/>
        <w:numPr>
          <w:ilvl w:val="0"/>
          <w:numId w:val="105"/>
        </w:numPr>
        <w:spacing w:line="240" w:lineRule="auto"/>
        <w:ind w:left="851" w:hanging="284"/>
        <w:rPr>
          <w:rFonts w:cs="Arial"/>
          <w:bCs/>
          <w:szCs w:val="24"/>
        </w:rPr>
      </w:pPr>
      <w:r w:rsidRPr="00F56955">
        <w:rPr>
          <w:rFonts w:cs="Arial"/>
          <w:bCs/>
          <w:szCs w:val="24"/>
        </w:rPr>
        <w:t>Les frais de 500 k$ liés à l’Amendement</w:t>
      </w:r>
      <w:r w:rsidR="00F758B9">
        <w:rPr>
          <w:rFonts w:cs="Arial"/>
          <w:bCs/>
          <w:szCs w:val="24"/>
        </w:rPr>
        <w:t> </w:t>
      </w:r>
      <w:r w:rsidRPr="00F56955">
        <w:rPr>
          <w:rFonts w:cs="Arial"/>
          <w:bCs/>
          <w:szCs w:val="24"/>
        </w:rPr>
        <w:t>#3 du prêt FIISH n’ont jamais été payés par Huot</w:t>
      </w:r>
      <w:r>
        <w:rPr>
          <w:rStyle w:val="Appelnotedebasdep"/>
          <w:rFonts w:cs="Arial"/>
          <w:bCs/>
          <w:szCs w:val="24"/>
        </w:rPr>
        <w:footnoteReference w:id="646"/>
      </w:r>
      <w:r w:rsidR="003B6474">
        <w:rPr>
          <w:rFonts w:cs="Arial"/>
          <w:bCs/>
          <w:szCs w:val="24"/>
        </w:rPr>
        <w:t>.</w:t>
      </w:r>
    </w:p>
    <w:p w14:paraId="5DDE59B1" w14:textId="77777777" w:rsidR="008900D7" w:rsidRDefault="00730A01" w:rsidP="007313C6">
      <w:pPr>
        <w:pStyle w:val="Paragraphe"/>
        <w:numPr>
          <w:ilvl w:val="0"/>
          <w:numId w:val="0"/>
        </w:numPr>
        <w:spacing w:line="240" w:lineRule="auto"/>
        <w:ind w:left="284"/>
        <w:rPr>
          <w:rFonts w:cs="Arial"/>
          <w:bCs/>
          <w:szCs w:val="24"/>
        </w:rPr>
      </w:pPr>
      <w:r w:rsidRPr="00E0347F">
        <w:rPr>
          <w:rFonts w:cs="Arial"/>
          <w:bCs/>
          <w:szCs w:val="24"/>
        </w:rPr>
        <w:t>Le défaut quant à l’obtention de la documentation requise afin de valider les cashflows ainsi que la situation financière de Huot</w:t>
      </w:r>
      <w:r w:rsidR="00F758B9">
        <w:rPr>
          <w:rFonts w:cs="Arial"/>
          <w:bCs/>
          <w:szCs w:val="24"/>
        </w:rPr>
        <w:t>,</w:t>
      </w:r>
      <w:r w:rsidRPr="00E0347F">
        <w:rPr>
          <w:rFonts w:cs="Arial"/>
          <w:bCs/>
          <w:szCs w:val="24"/>
        </w:rPr>
        <w:t xml:space="preserve"> s’est poursuivi jusqu’à la débâcle</w:t>
      </w:r>
      <w:r>
        <w:rPr>
          <w:rStyle w:val="Appelnotedebasdep"/>
          <w:rFonts w:cs="Arial"/>
          <w:bCs/>
          <w:szCs w:val="24"/>
        </w:rPr>
        <w:footnoteReference w:id="647"/>
      </w:r>
      <w:r w:rsidRPr="00E0347F">
        <w:rPr>
          <w:rFonts w:cs="Arial"/>
          <w:bCs/>
          <w:szCs w:val="24"/>
        </w:rPr>
        <w:t>. Notons que les tableaux de bord transmis aux commanditaires excluaient également, comme pour les années antérieures, les intérêts et frais afférents aux prêts personnels des Défendeurs à Huot et/ou au Groupe Huot</w:t>
      </w:r>
      <w:r>
        <w:rPr>
          <w:rStyle w:val="Appelnotedebasdep"/>
          <w:rFonts w:cs="Arial"/>
          <w:bCs/>
          <w:szCs w:val="24"/>
        </w:rPr>
        <w:footnoteReference w:id="648"/>
      </w:r>
      <w:r w:rsidR="00E0347F">
        <w:rPr>
          <w:rFonts w:cs="Arial"/>
          <w:bCs/>
          <w:szCs w:val="24"/>
        </w:rPr>
        <w:t>.</w:t>
      </w:r>
    </w:p>
    <w:p w14:paraId="3623BEE2" w14:textId="77777777" w:rsidR="008900D7" w:rsidRDefault="00730A01" w:rsidP="007313C6">
      <w:pPr>
        <w:pStyle w:val="Paragraphe"/>
        <w:numPr>
          <w:ilvl w:val="0"/>
          <w:numId w:val="0"/>
        </w:numPr>
        <w:spacing w:line="240" w:lineRule="auto"/>
        <w:ind w:left="284"/>
        <w:rPr>
          <w:rFonts w:cs="Arial"/>
          <w:b/>
          <w:szCs w:val="24"/>
          <w:u w:val="single"/>
        </w:rPr>
      </w:pPr>
      <w:r w:rsidRPr="006F2ACA">
        <w:rPr>
          <w:rFonts w:cs="Arial"/>
          <w:b/>
          <w:szCs w:val="24"/>
          <w:u w:val="single"/>
        </w:rPr>
        <w:t>Période couverte</w:t>
      </w:r>
      <w:r>
        <w:rPr>
          <w:rFonts w:cs="Arial"/>
          <w:b/>
          <w:szCs w:val="24"/>
          <w:u w:val="single"/>
        </w:rPr>
        <w:t xml:space="preserve"> par l’amendement : 10</w:t>
      </w:r>
      <w:r w:rsidR="00F758B9">
        <w:rPr>
          <w:rFonts w:cs="Arial"/>
          <w:b/>
          <w:szCs w:val="24"/>
          <w:u w:val="single"/>
        </w:rPr>
        <w:t> </w:t>
      </w:r>
      <w:r>
        <w:rPr>
          <w:rFonts w:cs="Arial"/>
          <w:b/>
          <w:szCs w:val="24"/>
          <w:u w:val="single"/>
        </w:rPr>
        <w:t>octobre</w:t>
      </w:r>
      <w:r w:rsidR="00F758B9">
        <w:rPr>
          <w:rFonts w:cs="Arial"/>
          <w:b/>
          <w:szCs w:val="24"/>
          <w:u w:val="single"/>
        </w:rPr>
        <w:t> </w:t>
      </w:r>
      <w:r>
        <w:rPr>
          <w:rFonts w:cs="Arial"/>
          <w:b/>
          <w:szCs w:val="24"/>
          <w:u w:val="single"/>
        </w:rPr>
        <w:t>2022 au 14</w:t>
      </w:r>
      <w:r w:rsidR="00F758B9">
        <w:rPr>
          <w:rFonts w:cs="Arial"/>
          <w:b/>
          <w:szCs w:val="24"/>
          <w:u w:val="single"/>
        </w:rPr>
        <w:t> </w:t>
      </w:r>
      <w:r>
        <w:rPr>
          <w:rFonts w:cs="Arial"/>
          <w:b/>
          <w:szCs w:val="24"/>
          <w:u w:val="single"/>
        </w:rPr>
        <w:t>décembre</w:t>
      </w:r>
      <w:r w:rsidR="00F758B9">
        <w:rPr>
          <w:rFonts w:cs="Arial"/>
          <w:b/>
          <w:szCs w:val="24"/>
          <w:u w:val="single"/>
        </w:rPr>
        <w:t> </w:t>
      </w:r>
      <w:r>
        <w:rPr>
          <w:rFonts w:cs="Arial"/>
          <w:b/>
          <w:szCs w:val="24"/>
          <w:u w:val="single"/>
        </w:rPr>
        <w:t>2022</w:t>
      </w:r>
    </w:p>
    <w:p w14:paraId="145EA6F1" w14:textId="77777777" w:rsidR="008900D7" w:rsidRDefault="00730A01" w:rsidP="00443B59">
      <w:pPr>
        <w:pStyle w:val="Paragraphe"/>
        <w:numPr>
          <w:ilvl w:val="0"/>
          <w:numId w:val="77"/>
        </w:numPr>
        <w:tabs>
          <w:tab w:val="clear" w:pos="720"/>
        </w:tabs>
        <w:spacing w:line="240" w:lineRule="auto"/>
        <w:ind w:left="567" w:hanging="283"/>
        <w:rPr>
          <w:rFonts w:cs="Arial"/>
          <w:szCs w:val="24"/>
        </w:rPr>
      </w:pPr>
      <w:r>
        <w:rPr>
          <w:rFonts w:cs="Arial"/>
          <w:szCs w:val="24"/>
        </w:rPr>
        <w:t>Défaut d’avoir informé les commanditaires que :</w:t>
      </w:r>
    </w:p>
    <w:p w14:paraId="0E371FEE" w14:textId="77777777" w:rsidR="00F56955" w:rsidRDefault="00730A01" w:rsidP="00443B59">
      <w:pPr>
        <w:pStyle w:val="Paragraphe"/>
        <w:numPr>
          <w:ilvl w:val="0"/>
          <w:numId w:val="106"/>
        </w:numPr>
        <w:spacing w:line="240" w:lineRule="auto"/>
        <w:ind w:left="851" w:hanging="284"/>
        <w:rPr>
          <w:rFonts w:cs="Arial"/>
          <w:bCs/>
          <w:szCs w:val="24"/>
        </w:rPr>
      </w:pPr>
      <w:r>
        <w:rPr>
          <w:rFonts w:cs="Arial"/>
          <w:bCs/>
          <w:szCs w:val="24"/>
        </w:rPr>
        <w:t>Les opérations immobilières de Groupe Huot, considérant le prêt FIISH, étaient en déficit annuel de liquidités de 15,9 M$ en</w:t>
      </w:r>
      <w:r w:rsidR="00F758B9">
        <w:rPr>
          <w:rFonts w:cs="Arial"/>
          <w:bCs/>
          <w:szCs w:val="24"/>
        </w:rPr>
        <w:t> </w:t>
      </w:r>
      <w:r>
        <w:rPr>
          <w:rFonts w:cs="Arial"/>
          <w:bCs/>
          <w:szCs w:val="24"/>
        </w:rPr>
        <w:t>2022</w:t>
      </w:r>
      <w:r>
        <w:rPr>
          <w:rStyle w:val="Appelnotedebasdep"/>
          <w:rFonts w:cs="Arial"/>
          <w:bCs/>
          <w:szCs w:val="24"/>
        </w:rPr>
        <w:footnoteReference w:id="649"/>
      </w:r>
      <w:r>
        <w:rPr>
          <w:rFonts w:cs="Arial"/>
          <w:bCs/>
          <w:szCs w:val="24"/>
        </w:rPr>
        <w:t>;</w:t>
      </w:r>
    </w:p>
    <w:p w14:paraId="73D09FA9" w14:textId="77777777" w:rsidR="00F56955" w:rsidRDefault="00730A01" w:rsidP="00443B59">
      <w:pPr>
        <w:pStyle w:val="Paragraphe"/>
        <w:numPr>
          <w:ilvl w:val="0"/>
          <w:numId w:val="106"/>
        </w:numPr>
        <w:spacing w:line="240" w:lineRule="auto"/>
        <w:ind w:left="851" w:hanging="284"/>
        <w:rPr>
          <w:rFonts w:cs="Arial"/>
          <w:bCs/>
          <w:szCs w:val="24"/>
        </w:rPr>
      </w:pPr>
      <w:r w:rsidRPr="00F56955">
        <w:rPr>
          <w:rFonts w:cs="Arial"/>
          <w:szCs w:val="24"/>
        </w:rPr>
        <w:t>Le prêt</w:t>
      </w:r>
      <w:r w:rsidR="00F758B9">
        <w:rPr>
          <w:rFonts w:cs="Arial"/>
          <w:szCs w:val="24"/>
        </w:rPr>
        <w:t> </w:t>
      </w:r>
      <w:r w:rsidRPr="00F56955">
        <w:rPr>
          <w:rFonts w:cs="Arial"/>
          <w:szCs w:val="24"/>
        </w:rPr>
        <w:t>P100 dans Q-12 au montant de 1 350 M$ (Prêt d’urgence), au taux combiné de 133 %, a servi à payer 854 071 $ pour les intérêts d’octobre</w:t>
      </w:r>
      <w:r w:rsidR="00F758B9">
        <w:rPr>
          <w:rFonts w:cs="Arial"/>
          <w:szCs w:val="24"/>
        </w:rPr>
        <w:t> </w:t>
      </w:r>
      <w:r w:rsidRPr="00F56955">
        <w:rPr>
          <w:rFonts w:cs="Arial"/>
          <w:szCs w:val="24"/>
        </w:rPr>
        <w:t>2022 qui étaient dus à FIISH</w:t>
      </w:r>
      <w:r>
        <w:rPr>
          <w:rStyle w:val="Appelnotedebasdep"/>
          <w:rFonts w:cs="Arial"/>
          <w:szCs w:val="24"/>
        </w:rPr>
        <w:footnoteReference w:id="650"/>
      </w:r>
      <w:r w:rsidRPr="00F56955">
        <w:rPr>
          <w:rFonts w:cs="Arial"/>
          <w:szCs w:val="24"/>
        </w:rPr>
        <w:t>;</w:t>
      </w:r>
    </w:p>
    <w:p w14:paraId="258A0B0F" w14:textId="77777777" w:rsidR="00F56955" w:rsidRDefault="00730A01" w:rsidP="00443B59">
      <w:pPr>
        <w:pStyle w:val="Paragraphe"/>
        <w:numPr>
          <w:ilvl w:val="0"/>
          <w:numId w:val="106"/>
        </w:numPr>
        <w:spacing w:line="240" w:lineRule="auto"/>
        <w:ind w:left="851" w:hanging="284"/>
        <w:rPr>
          <w:rFonts w:cs="Arial"/>
          <w:bCs/>
          <w:szCs w:val="24"/>
        </w:rPr>
      </w:pPr>
      <w:r w:rsidRPr="00F56955">
        <w:rPr>
          <w:rFonts w:cs="Arial"/>
          <w:szCs w:val="24"/>
        </w:rPr>
        <w:t>8096 a consenti un prêt de 647 k$ à Huot au taux combiné de 133 %</w:t>
      </w:r>
      <w:r>
        <w:rPr>
          <w:rStyle w:val="Appelnotedebasdep"/>
          <w:rFonts w:cs="Arial"/>
          <w:szCs w:val="24"/>
        </w:rPr>
        <w:footnoteReference w:id="651"/>
      </w:r>
      <w:r w:rsidRPr="00F56955">
        <w:rPr>
          <w:rFonts w:cs="Arial"/>
          <w:szCs w:val="24"/>
        </w:rPr>
        <w:t>;</w:t>
      </w:r>
    </w:p>
    <w:p w14:paraId="3BD7113F" w14:textId="77777777" w:rsidR="008900D7" w:rsidRPr="00F56955" w:rsidRDefault="00730A01" w:rsidP="00443B59">
      <w:pPr>
        <w:pStyle w:val="Paragraphe"/>
        <w:numPr>
          <w:ilvl w:val="0"/>
          <w:numId w:val="106"/>
        </w:numPr>
        <w:spacing w:line="240" w:lineRule="auto"/>
        <w:ind w:left="851" w:hanging="284"/>
        <w:rPr>
          <w:rFonts w:cs="Arial"/>
          <w:bCs/>
          <w:szCs w:val="24"/>
        </w:rPr>
      </w:pPr>
      <w:r w:rsidRPr="00F56955">
        <w:rPr>
          <w:rFonts w:cs="Arial"/>
          <w:szCs w:val="24"/>
        </w:rPr>
        <w:t>Ces deux prêts auraient été payés par des sommes provenant d’un financement Potenza. Les sommes dues au Groupe Giroux s’élevaient à 4,1 M$</w:t>
      </w:r>
      <w:r>
        <w:rPr>
          <w:rStyle w:val="Appelnotedebasdep"/>
          <w:rFonts w:cs="Arial"/>
          <w:szCs w:val="24"/>
        </w:rPr>
        <w:footnoteReference w:id="652"/>
      </w:r>
      <w:r w:rsidRPr="00F56955">
        <w:rPr>
          <w:rFonts w:cs="Arial"/>
          <w:szCs w:val="24"/>
        </w:rPr>
        <w:t>.</w:t>
      </w:r>
    </w:p>
    <w:p w14:paraId="44BD6CB6" w14:textId="77777777" w:rsidR="008900D7" w:rsidRDefault="00730A01" w:rsidP="007313C6">
      <w:pPr>
        <w:pStyle w:val="Paragraphe"/>
        <w:numPr>
          <w:ilvl w:val="0"/>
          <w:numId w:val="0"/>
        </w:numPr>
        <w:spacing w:line="240" w:lineRule="auto"/>
        <w:ind w:left="284"/>
        <w:rPr>
          <w:rFonts w:cs="Arial"/>
          <w:bCs/>
          <w:szCs w:val="24"/>
        </w:rPr>
      </w:pPr>
      <w:r w:rsidRPr="00E0347F">
        <w:rPr>
          <w:rFonts w:cs="Arial"/>
          <w:bCs/>
          <w:szCs w:val="24"/>
        </w:rPr>
        <w:t>Le défaut quant à l’obtention de la documentation requise afin de valider les cashflows ainsi que la situation financière de Huot</w:t>
      </w:r>
      <w:r w:rsidR="00435086">
        <w:rPr>
          <w:rFonts w:cs="Arial"/>
          <w:bCs/>
          <w:szCs w:val="24"/>
        </w:rPr>
        <w:t>,</w:t>
      </w:r>
      <w:r w:rsidRPr="00E0347F">
        <w:rPr>
          <w:rFonts w:cs="Arial"/>
          <w:bCs/>
          <w:szCs w:val="24"/>
        </w:rPr>
        <w:t xml:space="preserve"> s’est poursuivi jusqu’à la débâcle</w:t>
      </w:r>
      <w:r>
        <w:rPr>
          <w:rStyle w:val="Appelnotedebasdep"/>
          <w:rFonts w:cs="Arial"/>
          <w:bCs/>
          <w:szCs w:val="24"/>
        </w:rPr>
        <w:footnoteReference w:id="653"/>
      </w:r>
      <w:r w:rsidRPr="00E0347F">
        <w:rPr>
          <w:rFonts w:cs="Arial"/>
          <w:bCs/>
          <w:szCs w:val="24"/>
        </w:rPr>
        <w:t>. Notons que les tableaux de bord transmis aux commanditaires excluaient également, comme pour les années antérieures, les intérêts et frais afférents aux prêts personnels des Défendeurs à Huot et/ou au Groupe Huot</w:t>
      </w:r>
      <w:r>
        <w:rPr>
          <w:rStyle w:val="Appelnotedebasdep"/>
          <w:rFonts w:cs="Arial"/>
          <w:bCs/>
          <w:szCs w:val="24"/>
        </w:rPr>
        <w:footnoteReference w:id="654"/>
      </w:r>
      <w:r w:rsidRPr="00E0347F">
        <w:rPr>
          <w:rFonts w:cs="Arial"/>
          <w:bCs/>
          <w:szCs w:val="24"/>
        </w:rPr>
        <w:t>.</w:t>
      </w:r>
    </w:p>
    <w:p w14:paraId="32005F41" w14:textId="77777777" w:rsidR="008900D7" w:rsidRDefault="00730A01" w:rsidP="007313C6">
      <w:pPr>
        <w:pStyle w:val="Paragraphe"/>
        <w:numPr>
          <w:ilvl w:val="0"/>
          <w:numId w:val="0"/>
        </w:numPr>
        <w:spacing w:line="240" w:lineRule="auto"/>
        <w:ind w:left="284"/>
        <w:rPr>
          <w:rFonts w:cs="Arial"/>
          <w:b/>
          <w:szCs w:val="24"/>
          <w:u w:val="single"/>
        </w:rPr>
      </w:pPr>
      <w:r w:rsidRPr="006F2ACA">
        <w:rPr>
          <w:rFonts w:cs="Arial"/>
          <w:b/>
          <w:szCs w:val="24"/>
          <w:u w:val="single"/>
        </w:rPr>
        <w:t>Période couverte</w:t>
      </w:r>
      <w:r>
        <w:rPr>
          <w:rFonts w:cs="Arial"/>
          <w:b/>
          <w:szCs w:val="24"/>
          <w:u w:val="single"/>
        </w:rPr>
        <w:t xml:space="preserve"> par l’amendement : 15</w:t>
      </w:r>
      <w:r w:rsidR="00435086">
        <w:rPr>
          <w:rFonts w:cs="Arial"/>
          <w:b/>
          <w:szCs w:val="24"/>
          <w:u w:val="single"/>
        </w:rPr>
        <w:t> </w:t>
      </w:r>
      <w:r>
        <w:rPr>
          <w:rFonts w:cs="Arial"/>
          <w:b/>
          <w:szCs w:val="24"/>
          <w:u w:val="single"/>
        </w:rPr>
        <w:t>décembre</w:t>
      </w:r>
      <w:r w:rsidR="00435086">
        <w:rPr>
          <w:rFonts w:cs="Arial"/>
          <w:b/>
          <w:szCs w:val="24"/>
          <w:u w:val="single"/>
        </w:rPr>
        <w:t> </w:t>
      </w:r>
      <w:r>
        <w:rPr>
          <w:rFonts w:cs="Arial"/>
          <w:b/>
          <w:szCs w:val="24"/>
          <w:u w:val="single"/>
        </w:rPr>
        <w:t>2022 à la débâcle du Groupe Huot</w:t>
      </w:r>
    </w:p>
    <w:p w14:paraId="535311FC" w14:textId="77777777" w:rsidR="008900D7" w:rsidRDefault="00730A01" w:rsidP="00443B59">
      <w:pPr>
        <w:pStyle w:val="Paragraphe"/>
        <w:numPr>
          <w:ilvl w:val="0"/>
          <w:numId w:val="78"/>
        </w:numPr>
        <w:tabs>
          <w:tab w:val="clear" w:pos="720"/>
        </w:tabs>
        <w:spacing w:line="240" w:lineRule="auto"/>
        <w:ind w:left="567" w:hanging="283"/>
        <w:rPr>
          <w:rFonts w:cs="Arial"/>
          <w:szCs w:val="24"/>
        </w:rPr>
      </w:pPr>
      <w:r>
        <w:rPr>
          <w:rFonts w:cs="Arial"/>
          <w:szCs w:val="24"/>
        </w:rPr>
        <w:t>Défaut d’avoir informé les commanditaires que :</w:t>
      </w:r>
    </w:p>
    <w:p w14:paraId="34E5D46D" w14:textId="77777777" w:rsidR="008900D7" w:rsidRDefault="00730A01" w:rsidP="00443B59">
      <w:pPr>
        <w:pStyle w:val="Paragraphe"/>
        <w:numPr>
          <w:ilvl w:val="0"/>
          <w:numId w:val="107"/>
        </w:numPr>
        <w:spacing w:line="240" w:lineRule="auto"/>
        <w:ind w:left="851" w:hanging="284"/>
        <w:rPr>
          <w:rFonts w:cs="Arial"/>
          <w:bCs/>
          <w:szCs w:val="24"/>
        </w:rPr>
      </w:pPr>
      <w:r>
        <w:rPr>
          <w:rFonts w:cs="Arial"/>
          <w:bCs/>
          <w:szCs w:val="24"/>
        </w:rPr>
        <w:t>Les opérations immobilières de Groupe Huot, considérant le prêt FIISH, étaient en déficit annuel de liquidités de 15,9 M$ en</w:t>
      </w:r>
      <w:r w:rsidR="00435086">
        <w:rPr>
          <w:rFonts w:cs="Arial"/>
          <w:bCs/>
          <w:szCs w:val="24"/>
        </w:rPr>
        <w:t> </w:t>
      </w:r>
      <w:r>
        <w:rPr>
          <w:rFonts w:cs="Arial"/>
          <w:bCs/>
          <w:szCs w:val="24"/>
        </w:rPr>
        <w:t>2022</w:t>
      </w:r>
      <w:r>
        <w:rPr>
          <w:rStyle w:val="Appelnotedebasdep"/>
          <w:rFonts w:cs="Arial"/>
          <w:bCs/>
          <w:szCs w:val="24"/>
        </w:rPr>
        <w:footnoteReference w:id="655"/>
      </w:r>
      <w:r>
        <w:rPr>
          <w:rFonts w:cs="Arial"/>
          <w:bCs/>
          <w:szCs w:val="24"/>
        </w:rPr>
        <w:t>;</w:t>
      </w:r>
    </w:p>
    <w:p w14:paraId="7013384E" w14:textId="77777777" w:rsidR="008900D7" w:rsidRDefault="00730A01" w:rsidP="007313C6">
      <w:pPr>
        <w:pStyle w:val="Paragraphe"/>
        <w:numPr>
          <w:ilvl w:val="0"/>
          <w:numId w:val="0"/>
        </w:numPr>
        <w:spacing w:line="240" w:lineRule="auto"/>
        <w:ind w:left="284"/>
        <w:rPr>
          <w:rFonts w:cs="Arial"/>
          <w:bCs/>
          <w:szCs w:val="24"/>
        </w:rPr>
      </w:pPr>
      <w:r>
        <w:rPr>
          <w:rFonts w:cs="Arial"/>
          <w:bCs/>
          <w:szCs w:val="24"/>
        </w:rPr>
        <w:t>L’amendement</w:t>
      </w:r>
      <w:r w:rsidR="00435086">
        <w:rPr>
          <w:rFonts w:cs="Arial"/>
          <w:bCs/>
          <w:szCs w:val="24"/>
        </w:rPr>
        <w:t> </w:t>
      </w:r>
      <w:r>
        <w:rPr>
          <w:rFonts w:cs="Arial"/>
          <w:bCs/>
          <w:szCs w:val="24"/>
        </w:rPr>
        <w:t>#5</w:t>
      </w:r>
      <w:r>
        <w:rPr>
          <w:rStyle w:val="Appelnotedebasdep"/>
          <w:rFonts w:cs="Arial"/>
          <w:bCs/>
          <w:szCs w:val="24"/>
        </w:rPr>
        <w:footnoteReference w:id="656"/>
      </w:r>
      <w:r>
        <w:rPr>
          <w:rFonts w:cs="Arial"/>
          <w:bCs/>
          <w:szCs w:val="24"/>
        </w:rPr>
        <w:t xml:space="preserve"> prévoit l’ajout de cautions additionnelles, le Groupe Transrapide. Or, ces cautions additionnelles n’ajoutent rien sur l’équité du Groupe Huot :</w:t>
      </w:r>
    </w:p>
    <w:p w14:paraId="2C63F8F4" w14:textId="77777777" w:rsidR="00F56955" w:rsidRDefault="00730A01" w:rsidP="00443B59">
      <w:pPr>
        <w:pStyle w:val="Paragraphe"/>
        <w:numPr>
          <w:ilvl w:val="0"/>
          <w:numId w:val="108"/>
        </w:numPr>
        <w:spacing w:line="240" w:lineRule="auto"/>
        <w:ind w:left="851" w:hanging="284"/>
        <w:rPr>
          <w:rFonts w:cs="Arial"/>
          <w:bCs/>
          <w:szCs w:val="24"/>
        </w:rPr>
      </w:pPr>
      <w:r>
        <w:rPr>
          <w:rFonts w:cs="Arial"/>
          <w:bCs/>
          <w:szCs w:val="24"/>
        </w:rPr>
        <w:t>Tous les immeubles de Transrapide sont déjà largement hypothéqués en faveur de Q-12 et d’autres créanciers</w:t>
      </w:r>
      <w:r>
        <w:rPr>
          <w:rStyle w:val="Appelnotedebasdep"/>
          <w:rFonts w:cs="Arial"/>
          <w:bCs/>
          <w:szCs w:val="24"/>
        </w:rPr>
        <w:footnoteReference w:id="657"/>
      </w:r>
      <w:r>
        <w:rPr>
          <w:rFonts w:cs="Arial"/>
          <w:bCs/>
          <w:szCs w:val="24"/>
        </w:rPr>
        <w:t>;</w:t>
      </w:r>
    </w:p>
    <w:p w14:paraId="125282C8" w14:textId="77777777" w:rsidR="008900D7" w:rsidRPr="00F56955" w:rsidRDefault="00730A01" w:rsidP="00443B59">
      <w:pPr>
        <w:pStyle w:val="Paragraphe"/>
        <w:numPr>
          <w:ilvl w:val="0"/>
          <w:numId w:val="108"/>
        </w:numPr>
        <w:spacing w:line="240" w:lineRule="auto"/>
        <w:ind w:left="851" w:hanging="284"/>
        <w:rPr>
          <w:rFonts w:cs="Arial"/>
          <w:bCs/>
          <w:szCs w:val="24"/>
        </w:rPr>
      </w:pPr>
      <w:r w:rsidRPr="00F56955">
        <w:rPr>
          <w:rFonts w:cs="Arial"/>
          <w:bCs/>
          <w:szCs w:val="24"/>
        </w:rPr>
        <w:t>Huot a consenti à Giroux une hypothèque au montant de 4 M$ sur certains immeubles et biens meubles du Groupe Transrapide prenant rang avant l’hypothèque de FIISH</w:t>
      </w:r>
      <w:r>
        <w:rPr>
          <w:rStyle w:val="Appelnotedebasdep"/>
          <w:rFonts w:cs="Arial"/>
          <w:bCs/>
          <w:szCs w:val="24"/>
        </w:rPr>
        <w:footnoteReference w:id="658"/>
      </w:r>
      <w:r w:rsidRPr="00F56955">
        <w:rPr>
          <w:rFonts w:cs="Arial"/>
          <w:bCs/>
          <w:szCs w:val="24"/>
        </w:rPr>
        <w:t>;</w:t>
      </w:r>
    </w:p>
    <w:p w14:paraId="026FF9D8" w14:textId="77777777" w:rsidR="008900D7" w:rsidRDefault="00730A01" w:rsidP="007313C6">
      <w:pPr>
        <w:pStyle w:val="Paragraphe"/>
        <w:numPr>
          <w:ilvl w:val="0"/>
          <w:numId w:val="0"/>
        </w:numPr>
        <w:spacing w:line="240" w:lineRule="auto"/>
        <w:ind w:left="284"/>
        <w:rPr>
          <w:rFonts w:cs="Arial"/>
          <w:bCs/>
          <w:szCs w:val="24"/>
        </w:rPr>
      </w:pPr>
      <w:r>
        <w:rPr>
          <w:rFonts w:cs="Arial"/>
          <w:bCs/>
          <w:szCs w:val="24"/>
        </w:rPr>
        <w:t>La valeur de l’équité d’Huot est grandement surévaluée, passant de 193 M$ en février</w:t>
      </w:r>
      <w:r w:rsidR="00435086">
        <w:rPr>
          <w:rFonts w:cs="Arial"/>
          <w:bCs/>
          <w:szCs w:val="24"/>
        </w:rPr>
        <w:t> </w:t>
      </w:r>
      <w:r>
        <w:rPr>
          <w:rFonts w:cs="Arial"/>
          <w:bCs/>
          <w:szCs w:val="24"/>
        </w:rPr>
        <w:t>2022 à 265 M$ en décembre</w:t>
      </w:r>
      <w:r w:rsidR="00435086">
        <w:rPr>
          <w:rFonts w:cs="Arial"/>
          <w:bCs/>
          <w:szCs w:val="24"/>
        </w:rPr>
        <w:t> </w:t>
      </w:r>
      <w:r>
        <w:rPr>
          <w:rFonts w:cs="Arial"/>
          <w:bCs/>
          <w:szCs w:val="24"/>
        </w:rPr>
        <w:t>2022, alors que :</w:t>
      </w:r>
    </w:p>
    <w:p w14:paraId="1CD07603" w14:textId="77777777" w:rsidR="00F56955" w:rsidRDefault="00730A01" w:rsidP="00443B59">
      <w:pPr>
        <w:pStyle w:val="Paragraphe"/>
        <w:numPr>
          <w:ilvl w:val="0"/>
          <w:numId w:val="109"/>
        </w:numPr>
        <w:spacing w:line="240" w:lineRule="auto"/>
        <w:ind w:left="851" w:hanging="284"/>
        <w:rPr>
          <w:rFonts w:cs="Arial"/>
          <w:bCs/>
          <w:szCs w:val="24"/>
        </w:rPr>
      </w:pPr>
      <w:r>
        <w:rPr>
          <w:rFonts w:cs="Arial"/>
          <w:bCs/>
          <w:szCs w:val="24"/>
        </w:rPr>
        <w:t>En février</w:t>
      </w:r>
      <w:r w:rsidR="00435086">
        <w:rPr>
          <w:rFonts w:cs="Arial"/>
          <w:bCs/>
          <w:szCs w:val="24"/>
        </w:rPr>
        <w:t> </w:t>
      </w:r>
      <w:r>
        <w:rPr>
          <w:rFonts w:cs="Arial"/>
          <w:bCs/>
          <w:szCs w:val="24"/>
        </w:rPr>
        <w:t>2023, X2 a préparé un rapport sur l’équité d’Huot qui indique une valeur de l’équité de 123,2 M$</w:t>
      </w:r>
      <w:r>
        <w:rPr>
          <w:rStyle w:val="Appelnotedebasdep"/>
          <w:rFonts w:cs="Arial"/>
          <w:bCs/>
          <w:szCs w:val="24"/>
        </w:rPr>
        <w:footnoteReference w:id="659"/>
      </w:r>
      <w:r>
        <w:rPr>
          <w:rFonts w:cs="Arial"/>
          <w:bCs/>
          <w:szCs w:val="24"/>
        </w:rPr>
        <w:t>;</w:t>
      </w:r>
    </w:p>
    <w:p w14:paraId="044C20D2" w14:textId="77777777" w:rsidR="008900D7" w:rsidRPr="00F56955" w:rsidRDefault="00730A01" w:rsidP="00443B59">
      <w:pPr>
        <w:pStyle w:val="Paragraphe"/>
        <w:numPr>
          <w:ilvl w:val="0"/>
          <w:numId w:val="109"/>
        </w:numPr>
        <w:spacing w:line="240" w:lineRule="auto"/>
        <w:ind w:left="851" w:hanging="284"/>
        <w:rPr>
          <w:rFonts w:cs="Arial"/>
          <w:bCs/>
          <w:szCs w:val="24"/>
        </w:rPr>
      </w:pPr>
      <w:r w:rsidRPr="00F56955">
        <w:rPr>
          <w:rFonts w:cs="Arial"/>
          <w:bCs/>
          <w:szCs w:val="24"/>
        </w:rPr>
        <w:t>Dans sa déclaration sous serment du 25</w:t>
      </w:r>
      <w:r w:rsidR="00435086">
        <w:rPr>
          <w:rFonts w:cs="Arial"/>
          <w:bCs/>
          <w:szCs w:val="24"/>
        </w:rPr>
        <w:t> </w:t>
      </w:r>
      <w:r w:rsidRPr="00F56955">
        <w:rPr>
          <w:rFonts w:cs="Arial"/>
          <w:bCs/>
          <w:szCs w:val="24"/>
        </w:rPr>
        <w:t>août</w:t>
      </w:r>
      <w:r w:rsidR="00435086">
        <w:rPr>
          <w:rFonts w:cs="Arial"/>
          <w:bCs/>
          <w:szCs w:val="24"/>
        </w:rPr>
        <w:t> </w:t>
      </w:r>
      <w:r w:rsidRPr="00F56955">
        <w:rPr>
          <w:rFonts w:cs="Arial"/>
          <w:bCs/>
          <w:szCs w:val="24"/>
        </w:rPr>
        <w:t>2023, Giroux indique que, pour le mois de février</w:t>
      </w:r>
      <w:r w:rsidR="00435086">
        <w:rPr>
          <w:rFonts w:cs="Arial"/>
          <w:bCs/>
          <w:szCs w:val="24"/>
        </w:rPr>
        <w:t> </w:t>
      </w:r>
      <w:r w:rsidRPr="00F56955">
        <w:rPr>
          <w:rFonts w:cs="Arial"/>
          <w:bCs/>
          <w:szCs w:val="24"/>
        </w:rPr>
        <w:t>2023, la valeur de l’équité d’Huot peut être estimée entre 50 M$ et 70 M$</w:t>
      </w:r>
      <w:r>
        <w:rPr>
          <w:rStyle w:val="Appelnotedebasdep"/>
          <w:rFonts w:cs="Arial"/>
          <w:bCs/>
          <w:szCs w:val="24"/>
        </w:rPr>
        <w:footnoteReference w:id="660"/>
      </w:r>
      <w:r w:rsidRPr="00F56955">
        <w:rPr>
          <w:rFonts w:cs="Arial"/>
          <w:bCs/>
          <w:szCs w:val="24"/>
        </w:rPr>
        <w:t>.</w:t>
      </w:r>
    </w:p>
    <w:p w14:paraId="7793C697" w14:textId="77777777" w:rsidR="008900D7" w:rsidRDefault="00730A01" w:rsidP="007313C6">
      <w:pPr>
        <w:pStyle w:val="Paragraphe"/>
        <w:numPr>
          <w:ilvl w:val="0"/>
          <w:numId w:val="0"/>
        </w:numPr>
        <w:spacing w:line="240" w:lineRule="auto"/>
        <w:ind w:left="284"/>
        <w:rPr>
          <w:rFonts w:cs="Arial"/>
          <w:bCs/>
          <w:szCs w:val="24"/>
        </w:rPr>
      </w:pPr>
      <w:r w:rsidRPr="00E0347F">
        <w:rPr>
          <w:rFonts w:cs="Arial"/>
          <w:bCs/>
          <w:szCs w:val="24"/>
        </w:rPr>
        <w:t>Le défaut quant à l’obtention de la documentation afin de valider les cashflows ainsi que la situation financière de Huot</w:t>
      </w:r>
      <w:r w:rsidR="00435086">
        <w:rPr>
          <w:rFonts w:cs="Arial"/>
          <w:bCs/>
          <w:szCs w:val="24"/>
        </w:rPr>
        <w:t>,</w:t>
      </w:r>
      <w:r w:rsidRPr="00E0347F">
        <w:rPr>
          <w:rFonts w:cs="Arial"/>
          <w:bCs/>
          <w:szCs w:val="24"/>
        </w:rPr>
        <w:t xml:space="preserve"> s’est poursuivi jusqu’à la débâcle</w:t>
      </w:r>
      <w:r>
        <w:rPr>
          <w:rStyle w:val="Appelnotedebasdep"/>
          <w:rFonts w:cs="Arial"/>
          <w:bCs/>
          <w:szCs w:val="24"/>
        </w:rPr>
        <w:footnoteReference w:id="661"/>
      </w:r>
      <w:r w:rsidRPr="00E0347F">
        <w:rPr>
          <w:rFonts w:cs="Arial"/>
          <w:bCs/>
          <w:szCs w:val="24"/>
        </w:rPr>
        <w:t>. Notons que les tableaux de bord transmis aux commanditaires excluaient également, comme pour les années antérieures, les intérêts et frais afférents aux prêts personnels des Défendeurs à Huot et/ou au Groupe Huot</w:t>
      </w:r>
      <w:r>
        <w:rPr>
          <w:rStyle w:val="Appelnotedebasdep"/>
          <w:rFonts w:cs="Arial"/>
          <w:bCs/>
          <w:szCs w:val="24"/>
        </w:rPr>
        <w:footnoteReference w:id="662"/>
      </w:r>
      <w:r w:rsidR="00E0347F">
        <w:rPr>
          <w:rFonts w:cs="Arial"/>
          <w:bCs/>
          <w:szCs w:val="24"/>
        </w:rPr>
        <w:t>.</w:t>
      </w:r>
    </w:p>
    <w:p w14:paraId="7B3698CC" w14:textId="77777777" w:rsidR="003A5FC4" w:rsidRPr="00890850" w:rsidRDefault="00730A01" w:rsidP="003A5FC4">
      <w:pPr>
        <w:pStyle w:val="Listenumros"/>
        <w:numPr>
          <w:ilvl w:val="0"/>
          <w:numId w:val="0"/>
        </w:numPr>
        <w:tabs>
          <w:tab w:val="left" w:pos="3686"/>
        </w:tabs>
        <w:ind w:left="720"/>
        <w:jc w:val="both"/>
        <w:rPr>
          <w:sz w:val="24"/>
          <w:szCs w:val="24"/>
          <w:lang w:val="fr-CA"/>
        </w:rPr>
      </w:pPr>
      <w:r>
        <w:rPr>
          <w:sz w:val="24"/>
          <w:szCs w:val="24"/>
          <w:lang w:val="fr-CA"/>
        </w:rPr>
        <w:tab/>
        <w:t>* * *</w:t>
      </w:r>
    </w:p>
    <w:p w14:paraId="7890B361" w14:textId="77777777" w:rsidR="008900D7" w:rsidRDefault="00730A01" w:rsidP="0098012F">
      <w:pPr>
        <w:rPr>
          <w:rFonts w:cs="Arial"/>
          <w:b/>
          <w:bCs/>
          <w:szCs w:val="24"/>
          <w:lang w:eastAsia="fr-CA"/>
        </w:rPr>
      </w:pPr>
      <w:r>
        <w:rPr>
          <w:rFonts w:cs="Arial"/>
          <w:b/>
          <w:bCs/>
          <w:szCs w:val="24"/>
          <w:lang w:eastAsia="fr-CA"/>
        </w:rPr>
        <w:br w:type="page"/>
      </w:r>
    </w:p>
    <w:p w14:paraId="623E9862" w14:textId="77777777" w:rsidR="007313C6" w:rsidRDefault="007313C6" w:rsidP="007313C6">
      <w:pPr>
        <w:jc w:val="center"/>
        <w:rPr>
          <w:rFonts w:cs="Arial"/>
          <w:b/>
          <w:bCs/>
          <w:sz w:val="48"/>
          <w:szCs w:val="48"/>
          <w:lang w:eastAsia="fr-CA"/>
        </w:rPr>
      </w:pPr>
    </w:p>
    <w:p w14:paraId="1668C318" w14:textId="77777777" w:rsidR="007313C6" w:rsidRDefault="007313C6" w:rsidP="007313C6">
      <w:pPr>
        <w:jc w:val="center"/>
        <w:rPr>
          <w:rFonts w:cs="Arial"/>
          <w:b/>
          <w:bCs/>
          <w:sz w:val="48"/>
          <w:szCs w:val="48"/>
          <w:lang w:eastAsia="fr-CA"/>
        </w:rPr>
      </w:pPr>
    </w:p>
    <w:p w14:paraId="4C111AE1" w14:textId="77777777" w:rsidR="007313C6" w:rsidRDefault="007313C6" w:rsidP="007313C6">
      <w:pPr>
        <w:jc w:val="center"/>
        <w:rPr>
          <w:rFonts w:cs="Arial"/>
          <w:b/>
          <w:bCs/>
          <w:sz w:val="48"/>
          <w:szCs w:val="48"/>
          <w:lang w:eastAsia="fr-CA"/>
        </w:rPr>
      </w:pPr>
    </w:p>
    <w:p w14:paraId="4740F531" w14:textId="77777777" w:rsidR="007313C6" w:rsidRDefault="007313C6" w:rsidP="007313C6">
      <w:pPr>
        <w:jc w:val="center"/>
        <w:rPr>
          <w:rFonts w:cs="Arial"/>
          <w:b/>
          <w:bCs/>
          <w:sz w:val="48"/>
          <w:szCs w:val="48"/>
          <w:lang w:eastAsia="fr-CA"/>
        </w:rPr>
      </w:pPr>
    </w:p>
    <w:p w14:paraId="220B2F45" w14:textId="77777777" w:rsidR="007313C6" w:rsidRDefault="007313C6" w:rsidP="007313C6">
      <w:pPr>
        <w:jc w:val="center"/>
        <w:rPr>
          <w:rFonts w:cs="Arial"/>
          <w:b/>
          <w:bCs/>
          <w:sz w:val="48"/>
          <w:szCs w:val="48"/>
          <w:lang w:eastAsia="fr-CA"/>
        </w:rPr>
      </w:pPr>
    </w:p>
    <w:p w14:paraId="22213512" w14:textId="77777777" w:rsidR="007313C6" w:rsidRDefault="007313C6" w:rsidP="007313C6">
      <w:pPr>
        <w:jc w:val="center"/>
        <w:rPr>
          <w:rFonts w:cs="Arial"/>
          <w:b/>
          <w:bCs/>
          <w:sz w:val="48"/>
          <w:szCs w:val="48"/>
          <w:lang w:eastAsia="fr-CA"/>
        </w:rPr>
      </w:pPr>
    </w:p>
    <w:p w14:paraId="6EFDC68F" w14:textId="77777777" w:rsidR="007313C6" w:rsidRDefault="007313C6" w:rsidP="007313C6">
      <w:pPr>
        <w:jc w:val="center"/>
        <w:rPr>
          <w:rFonts w:cs="Arial"/>
          <w:b/>
          <w:bCs/>
          <w:sz w:val="48"/>
          <w:szCs w:val="48"/>
          <w:lang w:eastAsia="fr-CA"/>
        </w:rPr>
      </w:pPr>
    </w:p>
    <w:p w14:paraId="18B73FAE" w14:textId="77777777" w:rsidR="007313C6" w:rsidRDefault="007313C6" w:rsidP="007313C6">
      <w:pPr>
        <w:jc w:val="center"/>
        <w:rPr>
          <w:rFonts w:cs="Arial"/>
          <w:b/>
          <w:bCs/>
          <w:sz w:val="48"/>
          <w:szCs w:val="48"/>
          <w:lang w:eastAsia="fr-CA"/>
        </w:rPr>
      </w:pPr>
    </w:p>
    <w:p w14:paraId="4912C70F" w14:textId="77777777" w:rsidR="007313C6" w:rsidRDefault="007313C6" w:rsidP="007313C6">
      <w:pPr>
        <w:jc w:val="center"/>
        <w:rPr>
          <w:rFonts w:cs="Arial"/>
          <w:b/>
          <w:bCs/>
          <w:sz w:val="48"/>
          <w:szCs w:val="48"/>
          <w:lang w:eastAsia="fr-CA"/>
        </w:rPr>
      </w:pPr>
    </w:p>
    <w:p w14:paraId="706B63E9" w14:textId="77777777" w:rsidR="007313C6" w:rsidRDefault="00730A01" w:rsidP="007313C6">
      <w:pPr>
        <w:jc w:val="center"/>
        <w:rPr>
          <w:rFonts w:cs="Arial"/>
          <w:b/>
          <w:bCs/>
          <w:sz w:val="48"/>
          <w:szCs w:val="48"/>
          <w:lang w:eastAsia="fr-CA"/>
        </w:rPr>
      </w:pPr>
      <w:r>
        <w:rPr>
          <w:rFonts w:cs="Arial"/>
          <w:b/>
          <w:bCs/>
          <w:sz w:val="48"/>
          <w:szCs w:val="48"/>
          <w:lang w:eastAsia="fr-CA"/>
        </w:rPr>
        <w:t>ANNEXE C</w:t>
      </w:r>
    </w:p>
    <w:p w14:paraId="62E4DD33" w14:textId="77777777" w:rsidR="007313C6" w:rsidRDefault="007313C6" w:rsidP="007313C6">
      <w:pPr>
        <w:jc w:val="center"/>
        <w:rPr>
          <w:rFonts w:cs="Arial"/>
          <w:b/>
          <w:bCs/>
          <w:sz w:val="48"/>
          <w:szCs w:val="48"/>
          <w:lang w:eastAsia="fr-CA"/>
        </w:rPr>
      </w:pPr>
    </w:p>
    <w:p w14:paraId="0106DB9A" w14:textId="77777777" w:rsidR="007313C6" w:rsidRDefault="00730A01" w:rsidP="007313C6">
      <w:pPr>
        <w:jc w:val="center"/>
        <w:rPr>
          <w:rFonts w:cs="Arial"/>
          <w:szCs w:val="24"/>
          <w:lang w:eastAsia="fr-CA"/>
        </w:rPr>
      </w:pPr>
      <w:r>
        <w:rPr>
          <w:rFonts w:cs="Arial"/>
          <w:szCs w:val="24"/>
          <w:lang w:eastAsia="fr-CA"/>
        </w:rPr>
        <w:br w:type="page"/>
      </w:r>
    </w:p>
    <w:p w14:paraId="7F234FE6" w14:textId="77777777" w:rsidR="00051BA3" w:rsidRPr="00051BA3" w:rsidRDefault="00730A01" w:rsidP="00420D97">
      <w:pPr>
        <w:pStyle w:val="Titre1"/>
        <w:jc w:val="center"/>
        <w:rPr>
          <w:lang w:eastAsia="fr-CA"/>
        </w:rPr>
      </w:pPr>
      <w:bookmarkStart w:id="237" w:name="_Toc210992350"/>
      <w:bookmarkStart w:id="238" w:name="_Toc211495293"/>
      <w:bookmarkStart w:id="239" w:name="_Toc211600701"/>
      <w:r w:rsidRPr="00051BA3">
        <w:rPr>
          <w:caps/>
          <w:lang w:eastAsia="fr-CA"/>
        </w:rPr>
        <w:t>Annexe</w:t>
      </w:r>
      <w:r w:rsidRPr="00051BA3">
        <w:rPr>
          <w:lang w:eastAsia="fr-CA"/>
        </w:rPr>
        <w:t xml:space="preserve"> C</w:t>
      </w:r>
    </w:p>
    <w:p w14:paraId="08BD2A2A" w14:textId="77777777" w:rsidR="008900D7" w:rsidRPr="00435086" w:rsidRDefault="00730A01" w:rsidP="0098012F">
      <w:pPr>
        <w:spacing w:before="120" w:after="120"/>
        <w:outlineLvl w:val="2"/>
        <w:rPr>
          <w:rFonts w:cs="Arial"/>
          <w:b/>
          <w:bCs/>
          <w:caps/>
          <w:kern w:val="28"/>
          <w:szCs w:val="24"/>
          <w:lang w:eastAsia="fr-CA"/>
        </w:rPr>
      </w:pPr>
      <w:r w:rsidRPr="00435086">
        <w:rPr>
          <w:rFonts w:cs="Arial"/>
          <w:b/>
          <w:bCs/>
          <w:caps/>
          <w:kern w:val="28"/>
          <w:szCs w:val="24"/>
          <w:lang w:eastAsia="fr-CA"/>
        </w:rPr>
        <w:t>Les projets du Groupe Huot financés par Q-12</w:t>
      </w:r>
      <w:r w:rsidR="00E0347F" w:rsidRPr="00435086">
        <w:rPr>
          <w:rFonts w:cs="Arial"/>
          <w:b/>
          <w:bCs/>
          <w:caps/>
          <w:kern w:val="28"/>
          <w:szCs w:val="24"/>
          <w:lang w:eastAsia="fr-CA"/>
        </w:rPr>
        <w:t xml:space="preserve"> et les manquements reprochés</w:t>
      </w:r>
      <w:bookmarkEnd w:id="237"/>
      <w:bookmarkEnd w:id="238"/>
      <w:bookmarkEnd w:id="239"/>
    </w:p>
    <w:p w14:paraId="5C0732CC" w14:textId="77777777" w:rsidR="00D81BE7" w:rsidRPr="00B521C9" w:rsidRDefault="00730A01" w:rsidP="00443B59">
      <w:pPr>
        <w:pStyle w:val="Titre2"/>
        <w:numPr>
          <w:ilvl w:val="2"/>
          <w:numId w:val="123"/>
        </w:numPr>
        <w:spacing w:after="120"/>
        <w:ind w:left="426" w:hanging="426"/>
        <w:rPr>
          <w:smallCaps/>
        </w:rPr>
      </w:pPr>
      <w:r w:rsidRPr="00B521C9">
        <w:rPr>
          <w:smallCaps/>
        </w:rPr>
        <w:t>Le projet Arrow (P021)</w:t>
      </w:r>
    </w:p>
    <w:p w14:paraId="1B349607" w14:textId="77777777" w:rsidR="00D81BE7" w:rsidRPr="00D81BE7" w:rsidRDefault="00730A01" w:rsidP="0098012F">
      <w:pPr>
        <w:pStyle w:val="Paragraphe"/>
        <w:numPr>
          <w:ilvl w:val="0"/>
          <w:numId w:val="0"/>
        </w:numPr>
        <w:spacing w:line="240" w:lineRule="auto"/>
        <w:rPr>
          <w:rFonts w:cs="Arial"/>
          <w:szCs w:val="24"/>
        </w:rPr>
      </w:pPr>
      <w:r w:rsidRPr="00D81BE7">
        <w:rPr>
          <w:rFonts w:cs="Arial"/>
          <w:szCs w:val="24"/>
        </w:rPr>
        <w:t>Le projet Arrow constitue un exemple significatif de grossiers manquements de la part des Défendeurs. Présenté comme un financement sécurisé par des meubles et les loyers d’immeubles locatifs, il s’est avéré fondé sur des garanties inexistantes et des déboursements fautifs.</w:t>
      </w:r>
    </w:p>
    <w:p w14:paraId="4B6C3CD2" w14:textId="77777777" w:rsidR="00D81BE7" w:rsidRPr="00D81BE7" w:rsidRDefault="00730A01" w:rsidP="0098012F">
      <w:pPr>
        <w:pStyle w:val="Paragraphe"/>
        <w:numPr>
          <w:ilvl w:val="0"/>
          <w:numId w:val="0"/>
        </w:numPr>
        <w:spacing w:line="240" w:lineRule="auto"/>
        <w:rPr>
          <w:rFonts w:cs="Arial"/>
          <w:szCs w:val="24"/>
        </w:rPr>
      </w:pPr>
      <w:r w:rsidRPr="00D81BE7">
        <w:rPr>
          <w:rFonts w:cs="Arial"/>
          <w:szCs w:val="24"/>
        </w:rPr>
        <w:t>Il s’agit d’un prêt mezzanine initiale de 1,3 M$ consenti par Q-12 le 2</w:t>
      </w:r>
      <w:r w:rsidR="00435086">
        <w:rPr>
          <w:rFonts w:cs="Arial"/>
          <w:szCs w:val="24"/>
        </w:rPr>
        <w:t> </w:t>
      </w:r>
      <w:r w:rsidRPr="00D81BE7">
        <w:rPr>
          <w:rFonts w:cs="Arial"/>
          <w:szCs w:val="24"/>
        </w:rPr>
        <w:t>octobre</w:t>
      </w:r>
      <w:r w:rsidR="00435086">
        <w:rPr>
          <w:rFonts w:cs="Arial"/>
          <w:szCs w:val="24"/>
        </w:rPr>
        <w:t> </w:t>
      </w:r>
      <w:r w:rsidRPr="00D81BE7">
        <w:rPr>
          <w:rFonts w:cs="Arial"/>
          <w:szCs w:val="24"/>
        </w:rPr>
        <w:t>2019 (prêt</w:t>
      </w:r>
      <w:r w:rsidR="00435086">
        <w:rPr>
          <w:rFonts w:cs="Arial"/>
          <w:szCs w:val="24"/>
        </w:rPr>
        <w:t> </w:t>
      </w:r>
      <w:r w:rsidRPr="00D81BE7">
        <w:rPr>
          <w:rFonts w:cs="Arial"/>
          <w:szCs w:val="24"/>
        </w:rPr>
        <w:t>P021)</w:t>
      </w:r>
      <w:r>
        <w:rPr>
          <w:rStyle w:val="Appelnotedebasdep"/>
          <w:rFonts w:cs="Arial"/>
          <w:szCs w:val="24"/>
        </w:rPr>
        <w:footnoteReference w:id="663"/>
      </w:r>
      <w:r w:rsidRPr="00D81BE7">
        <w:rPr>
          <w:rFonts w:cs="Arial"/>
          <w:szCs w:val="24"/>
        </w:rPr>
        <w:t xml:space="preserve"> et renouvelé les 22</w:t>
      </w:r>
      <w:r w:rsidR="00435086">
        <w:rPr>
          <w:rFonts w:cs="Arial"/>
          <w:szCs w:val="24"/>
        </w:rPr>
        <w:t> </w:t>
      </w:r>
      <w:r w:rsidRPr="00D81BE7">
        <w:rPr>
          <w:rFonts w:cs="Arial"/>
          <w:szCs w:val="24"/>
        </w:rPr>
        <w:t>septembre</w:t>
      </w:r>
      <w:r w:rsidR="00435086">
        <w:rPr>
          <w:rFonts w:cs="Arial"/>
          <w:szCs w:val="24"/>
        </w:rPr>
        <w:t> </w:t>
      </w:r>
      <w:r w:rsidRPr="00D81BE7">
        <w:rPr>
          <w:rFonts w:cs="Arial"/>
          <w:szCs w:val="24"/>
        </w:rPr>
        <w:t>2021 et 9</w:t>
      </w:r>
      <w:r w:rsidR="00435086">
        <w:rPr>
          <w:rFonts w:cs="Arial"/>
          <w:szCs w:val="24"/>
        </w:rPr>
        <w:t> </w:t>
      </w:r>
      <w:r w:rsidRPr="00D81BE7">
        <w:rPr>
          <w:rFonts w:cs="Arial"/>
          <w:szCs w:val="24"/>
        </w:rPr>
        <w:t>novembre</w:t>
      </w:r>
      <w:r w:rsidR="00435086">
        <w:rPr>
          <w:rFonts w:cs="Arial"/>
          <w:szCs w:val="24"/>
        </w:rPr>
        <w:t> </w:t>
      </w:r>
      <w:r w:rsidRPr="00D81BE7">
        <w:rPr>
          <w:rFonts w:cs="Arial"/>
          <w:szCs w:val="24"/>
        </w:rPr>
        <w:t>2022</w:t>
      </w:r>
      <w:r>
        <w:rPr>
          <w:rStyle w:val="Appelnotedebasdep"/>
          <w:rFonts w:cs="Arial"/>
          <w:szCs w:val="24"/>
        </w:rPr>
        <w:footnoteReference w:id="664"/>
      </w:r>
      <w:r w:rsidRPr="00D81BE7">
        <w:rPr>
          <w:rFonts w:cs="Arial"/>
          <w:szCs w:val="24"/>
        </w:rPr>
        <w:t>.</w:t>
      </w:r>
    </w:p>
    <w:p w14:paraId="12661990" w14:textId="77777777" w:rsidR="00D81BE7" w:rsidRPr="00D81BE7" w:rsidRDefault="00730A01" w:rsidP="0098012F">
      <w:pPr>
        <w:pStyle w:val="Paragraphe"/>
        <w:numPr>
          <w:ilvl w:val="0"/>
          <w:numId w:val="0"/>
        </w:numPr>
        <w:spacing w:line="240" w:lineRule="auto"/>
        <w:rPr>
          <w:rFonts w:cs="Arial"/>
          <w:szCs w:val="24"/>
        </w:rPr>
      </w:pPr>
      <w:r w:rsidRPr="00D81BE7">
        <w:rPr>
          <w:rFonts w:cs="Arial"/>
          <w:szCs w:val="24"/>
        </w:rPr>
        <w:t>L’objet du prêt consistait en l’acquisition de l’ameublement de 145</w:t>
      </w:r>
      <w:r w:rsidR="00435086">
        <w:rPr>
          <w:rFonts w:cs="Arial"/>
          <w:szCs w:val="24"/>
        </w:rPr>
        <w:t> </w:t>
      </w:r>
      <w:r w:rsidRPr="00D81BE7">
        <w:rPr>
          <w:rFonts w:cs="Arial"/>
          <w:szCs w:val="24"/>
        </w:rPr>
        <w:t>unités résidentielles mises en location à court et moyen terme. Le prêt devait être ainsi garanti par une hypothèque mobilière sur les meubles achetés pour ces résidences.</w:t>
      </w:r>
    </w:p>
    <w:p w14:paraId="71EF518C" w14:textId="77777777" w:rsidR="00D81BE7" w:rsidRPr="007313C6" w:rsidRDefault="00730A01" w:rsidP="00443B59">
      <w:pPr>
        <w:pStyle w:val="Paragraphedeliste"/>
        <w:numPr>
          <w:ilvl w:val="2"/>
          <w:numId w:val="87"/>
        </w:numPr>
        <w:spacing w:before="100" w:beforeAutospacing="1" w:after="100" w:afterAutospacing="1"/>
        <w:ind w:left="284" w:hanging="284"/>
        <w:rPr>
          <w:rFonts w:cs="Arial"/>
          <w:b/>
          <w:bCs/>
          <w:szCs w:val="24"/>
        </w:rPr>
      </w:pPr>
      <w:r w:rsidRPr="007313C6">
        <w:rPr>
          <w:rFonts w:cs="Arial"/>
          <w:b/>
          <w:bCs/>
          <w:szCs w:val="24"/>
        </w:rPr>
        <w:t>Les manquements reprochés</w:t>
      </w:r>
    </w:p>
    <w:p w14:paraId="05185675" w14:textId="77777777" w:rsidR="00D81BE7" w:rsidRPr="003D1739" w:rsidRDefault="00730A01" w:rsidP="00443B59">
      <w:pPr>
        <w:pStyle w:val="Citationenretrait"/>
        <w:numPr>
          <w:ilvl w:val="0"/>
          <w:numId w:val="75"/>
        </w:numPr>
        <w:spacing w:before="0" w:after="0"/>
        <w:ind w:left="567" w:right="0" w:hanging="283"/>
        <w:rPr>
          <w:sz w:val="24"/>
          <w:szCs w:val="24"/>
        </w:rPr>
      </w:pPr>
      <w:r w:rsidRPr="003D1739">
        <w:rPr>
          <w:sz w:val="24"/>
          <w:szCs w:val="24"/>
        </w:rPr>
        <w:t>Il s’avère que le prêt de 1,3 M$ a été complètement versé par Q-12 alors que les factures d’achat de meubles ne totalisent que 95 670 $</w:t>
      </w:r>
      <w:r>
        <w:rPr>
          <w:rStyle w:val="Appelnotedebasdep"/>
          <w:rFonts w:cs="Arial"/>
          <w:sz w:val="24"/>
          <w:szCs w:val="24"/>
        </w:rPr>
        <w:footnoteReference w:id="665"/>
      </w:r>
      <w:r w:rsidRPr="003D1739">
        <w:rPr>
          <w:sz w:val="24"/>
          <w:szCs w:val="24"/>
        </w:rPr>
        <w:t>.</w:t>
      </w:r>
    </w:p>
    <w:p w14:paraId="11B97DE1" w14:textId="77777777" w:rsidR="00D81BE7" w:rsidRPr="003D1739" w:rsidRDefault="00730A01" w:rsidP="00443B59">
      <w:pPr>
        <w:pStyle w:val="Citationenretrait"/>
        <w:numPr>
          <w:ilvl w:val="0"/>
          <w:numId w:val="75"/>
        </w:numPr>
        <w:spacing w:after="0"/>
        <w:ind w:left="567" w:right="0" w:hanging="283"/>
        <w:rPr>
          <w:sz w:val="24"/>
          <w:szCs w:val="24"/>
        </w:rPr>
      </w:pPr>
      <w:r w:rsidRPr="003D1739">
        <w:rPr>
          <w:sz w:val="24"/>
          <w:szCs w:val="24"/>
        </w:rPr>
        <w:t>Qui plus est, les meubles en question n’étaient pas la propriété de l’emprunteur</w:t>
      </w:r>
      <w:r w:rsidR="00435086">
        <w:rPr>
          <w:sz w:val="24"/>
          <w:szCs w:val="24"/>
        </w:rPr>
        <w:t>,</w:t>
      </w:r>
      <w:r w:rsidRPr="003D1739">
        <w:rPr>
          <w:sz w:val="24"/>
          <w:szCs w:val="24"/>
        </w:rPr>
        <w:t xml:space="preserve"> mais ils appartiennent plutôt à Millénum Construction, de sorte que la validité de la garantie obtenue était fort questionnable.</w:t>
      </w:r>
    </w:p>
    <w:p w14:paraId="141EDD22" w14:textId="77777777" w:rsidR="00D81BE7" w:rsidRPr="00D81BE7" w:rsidRDefault="00730A01" w:rsidP="00443B59">
      <w:pPr>
        <w:pStyle w:val="Citationenretrait"/>
        <w:numPr>
          <w:ilvl w:val="0"/>
          <w:numId w:val="75"/>
        </w:numPr>
        <w:spacing w:after="0"/>
        <w:ind w:left="567" w:right="0" w:hanging="283"/>
      </w:pPr>
      <w:r w:rsidRPr="003D1739">
        <w:rPr>
          <w:sz w:val="24"/>
          <w:szCs w:val="24"/>
        </w:rPr>
        <w:t>Le prêt faisait aussi l’objet d’une hypothèque sur les loyers produits par l’immeuble, cependant aucune preuve de suivi desdits loyers n’a été offerte</w:t>
      </w:r>
      <w:r w:rsidRPr="00D81BE7">
        <w:t>.</w:t>
      </w:r>
    </w:p>
    <w:p w14:paraId="7F162442" w14:textId="77777777" w:rsidR="00D81BE7" w:rsidRPr="00D81BE7" w:rsidRDefault="00730A01" w:rsidP="0098012F">
      <w:pPr>
        <w:pStyle w:val="Paragraphe"/>
        <w:numPr>
          <w:ilvl w:val="0"/>
          <w:numId w:val="0"/>
        </w:numPr>
        <w:spacing w:line="240" w:lineRule="auto"/>
        <w:ind w:left="567"/>
        <w:rPr>
          <w:rFonts w:cs="Arial"/>
          <w:szCs w:val="24"/>
        </w:rPr>
      </w:pPr>
      <w:r w:rsidRPr="00D81BE7">
        <w:rPr>
          <w:rFonts w:cs="Arial"/>
          <w:szCs w:val="24"/>
        </w:rPr>
        <w:t>Voici le résumé d’autres manquements reprochés</w:t>
      </w:r>
      <w:r>
        <w:rPr>
          <w:rStyle w:val="Appelnotedebasdep"/>
          <w:rFonts w:cs="Arial"/>
          <w:szCs w:val="24"/>
        </w:rPr>
        <w:footnoteReference w:id="666"/>
      </w:r>
      <w:r>
        <w:rPr>
          <w:rFonts w:cs="Arial"/>
          <w:szCs w:val="24"/>
        </w:rPr>
        <w:t> :</w:t>
      </w:r>
      <w:r w:rsidRPr="00D81BE7">
        <w:rPr>
          <w:rFonts w:cs="Arial"/>
          <w:szCs w:val="24"/>
        </w:rPr>
        <w:t> </w:t>
      </w:r>
    </w:p>
    <w:p w14:paraId="0F7A000D" w14:textId="77777777" w:rsidR="003D1739" w:rsidRDefault="00730A01" w:rsidP="00443B59">
      <w:pPr>
        <w:pStyle w:val="Citationenretrait"/>
        <w:numPr>
          <w:ilvl w:val="0"/>
          <w:numId w:val="75"/>
        </w:numPr>
        <w:spacing w:before="0" w:after="0"/>
        <w:ind w:left="851" w:right="0" w:hanging="284"/>
      </w:pPr>
      <w:r w:rsidRPr="00D81BE7">
        <w:rPr>
          <w:sz w:val="24"/>
        </w:rPr>
        <w:t>Défaut de sécuriser le prêt par des sûretés acceptables ou convenables.</w:t>
      </w:r>
    </w:p>
    <w:p w14:paraId="5660A0CD" w14:textId="77777777" w:rsidR="003D1739" w:rsidRDefault="00730A01" w:rsidP="00443B59">
      <w:pPr>
        <w:pStyle w:val="Citationenretrait"/>
        <w:numPr>
          <w:ilvl w:val="0"/>
          <w:numId w:val="75"/>
        </w:numPr>
        <w:spacing w:after="0"/>
        <w:ind w:left="851" w:right="0" w:hanging="284"/>
      </w:pPr>
      <w:r w:rsidRPr="003D1739">
        <w:rPr>
          <w:sz w:val="24"/>
        </w:rPr>
        <w:t>Défaut d’obtenir des factures justificatives de l’acquisition des meubles.</w:t>
      </w:r>
    </w:p>
    <w:p w14:paraId="5405CD82" w14:textId="77777777" w:rsidR="00D81BE7" w:rsidRPr="003D1739" w:rsidRDefault="00730A01" w:rsidP="00443B59">
      <w:pPr>
        <w:pStyle w:val="Citationenretrait"/>
        <w:numPr>
          <w:ilvl w:val="0"/>
          <w:numId w:val="75"/>
        </w:numPr>
        <w:spacing w:after="0"/>
        <w:ind w:left="851" w:right="0" w:hanging="284"/>
        <w:rPr>
          <w:sz w:val="24"/>
        </w:rPr>
      </w:pPr>
      <w:r w:rsidRPr="003D1739">
        <w:rPr>
          <w:sz w:val="24"/>
        </w:rPr>
        <w:t>Défaut de procéder à une analyse sérieuse de la valeur des biens mis en garantie.</w:t>
      </w:r>
    </w:p>
    <w:p w14:paraId="7DA9E9C9" w14:textId="77777777" w:rsidR="00D81BE7" w:rsidRPr="00D81BE7" w:rsidRDefault="00730A01" w:rsidP="00443B59">
      <w:pPr>
        <w:pStyle w:val="Citationenretrait"/>
        <w:numPr>
          <w:ilvl w:val="0"/>
          <w:numId w:val="75"/>
        </w:numPr>
        <w:spacing w:after="0"/>
        <w:ind w:left="851" w:right="0" w:hanging="284"/>
        <w:rPr>
          <w:sz w:val="24"/>
        </w:rPr>
      </w:pPr>
      <w:r w:rsidRPr="00D81BE7">
        <w:rPr>
          <w:sz w:val="24"/>
        </w:rPr>
        <w:t>Déboursement fautif</w:t>
      </w:r>
      <w:r w:rsidR="00435086">
        <w:rPr>
          <w:sz w:val="24"/>
        </w:rPr>
        <w:t> </w:t>
      </w:r>
      <w:r w:rsidRPr="00D81BE7">
        <w:rPr>
          <w:sz w:val="24"/>
        </w:rPr>
        <w:t>: les fonds n’ont pas été versés à l’emprunteur, mais à 6646</w:t>
      </w:r>
      <w:r>
        <w:rPr>
          <w:rStyle w:val="Appelnotedebasdep"/>
          <w:sz w:val="24"/>
        </w:rPr>
        <w:footnoteReference w:id="667"/>
      </w:r>
      <w:r w:rsidRPr="00D81BE7">
        <w:rPr>
          <w:sz w:val="24"/>
        </w:rPr>
        <w:t xml:space="preserve"> </w:t>
      </w:r>
      <w:r w:rsidR="00F56955">
        <w:rPr>
          <w:sz w:val="24"/>
        </w:rPr>
        <w:t xml:space="preserve">qui </w:t>
      </w:r>
      <w:r w:rsidRPr="00D81BE7">
        <w:rPr>
          <w:sz w:val="24"/>
        </w:rPr>
        <w:t>les a remis directement à Stéphan Huot</w:t>
      </w:r>
      <w:r>
        <w:rPr>
          <w:rStyle w:val="Appelnotedebasdep"/>
          <w:sz w:val="24"/>
        </w:rPr>
        <w:footnoteReference w:id="668"/>
      </w:r>
      <w:r w:rsidRPr="00D81BE7">
        <w:rPr>
          <w:sz w:val="24"/>
        </w:rPr>
        <w:t>, et non à l’emprunteur.</w:t>
      </w:r>
    </w:p>
    <w:p w14:paraId="7A7AC3FE" w14:textId="77777777" w:rsidR="00D81BE7" w:rsidRPr="00D81BE7" w:rsidRDefault="00730A01" w:rsidP="0098012F">
      <w:pPr>
        <w:pStyle w:val="Citationenretrait"/>
        <w:ind w:left="0" w:right="0"/>
        <w:rPr>
          <w:sz w:val="24"/>
        </w:rPr>
      </w:pPr>
      <w:r w:rsidRPr="00D81BE7">
        <w:rPr>
          <w:sz w:val="24"/>
        </w:rPr>
        <w:t>Le prêt a été renouvelé depuis</w:t>
      </w:r>
      <w:r w:rsidR="00435086">
        <w:rPr>
          <w:sz w:val="24"/>
        </w:rPr>
        <w:t> </w:t>
      </w:r>
      <w:r w:rsidRPr="00D81BE7">
        <w:rPr>
          <w:sz w:val="24"/>
        </w:rPr>
        <w:t>2019 sans validation ni actualisation des garanties, les seuls documents disponibles étaient des baux expirés (mars</w:t>
      </w:r>
      <w:r w:rsidR="00435086">
        <w:rPr>
          <w:sz w:val="24"/>
        </w:rPr>
        <w:t> </w:t>
      </w:r>
      <w:r w:rsidRPr="00D81BE7">
        <w:rPr>
          <w:sz w:val="24"/>
        </w:rPr>
        <w:t>2018) et un inventaire sommaire préparé en interne</w:t>
      </w:r>
      <w:r>
        <w:rPr>
          <w:rStyle w:val="Appelnotedebasdep"/>
          <w:sz w:val="24"/>
        </w:rPr>
        <w:footnoteReference w:id="669"/>
      </w:r>
      <w:r w:rsidRPr="00D81BE7">
        <w:rPr>
          <w:sz w:val="24"/>
        </w:rPr>
        <w:t>.</w:t>
      </w:r>
    </w:p>
    <w:p w14:paraId="52BDF0C4" w14:textId="77777777" w:rsidR="00130CD0" w:rsidRDefault="00730A01" w:rsidP="00443B59">
      <w:pPr>
        <w:pStyle w:val="Citationenretrait"/>
        <w:numPr>
          <w:ilvl w:val="0"/>
          <w:numId w:val="75"/>
        </w:numPr>
        <w:spacing w:before="0" w:after="0"/>
        <w:ind w:left="567" w:right="0" w:hanging="283"/>
        <w:rPr>
          <w:sz w:val="24"/>
        </w:rPr>
      </w:pPr>
      <w:r w:rsidRPr="00D81BE7">
        <w:rPr>
          <w:sz w:val="24"/>
        </w:rPr>
        <w:t>Les déficits opérationnels d’Arrow étaient connus</w:t>
      </w:r>
      <w:r>
        <w:rPr>
          <w:rStyle w:val="Appelnotedebasdep"/>
          <w:sz w:val="24"/>
        </w:rPr>
        <w:footnoteReference w:id="670"/>
      </w:r>
      <w:r w:rsidRPr="00D81BE7">
        <w:rPr>
          <w:sz w:val="24"/>
        </w:rPr>
        <w:t xml:space="preserve">. </w:t>
      </w:r>
    </w:p>
    <w:p w14:paraId="5BCA7508" w14:textId="77777777" w:rsidR="00D81BE7" w:rsidRPr="00130CD0" w:rsidRDefault="00730A01" w:rsidP="00443B59">
      <w:pPr>
        <w:pStyle w:val="Citationenretrait"/>
        <w:numPr>
          <w:ilvl w:val="0"/>
          <w:numId w:val="75"/>
        </w:numPr>
        <w:ind w:left="568" w:right="0" w:hanging="284"/>
        <w:rPr>
          <w:sz w:val="24"/>
        </w:rPr>
      </w:pPr>
      <w:r w:rsidRPr="00130CD0">
        <w:rPr>
          <w:sz w:val="24"/>
        </w:rPr>
        <w:t>Les commanditaires ont été induits en erreur par des représentations trompeuses. Il s’agit d’une Illustration flagrante d’un manquement grave aux obligations de prudence, de loyauté et de diligence imputables aux Défendeurs.</w:t>
      </w:r>
    </w:p>
    <w:p w14:paraId="00F887FB" w14:textId="77777777" w:rsidR="00D81BE7" w:rsidRPr="007313C6" w:rsidRDefault="00730A01" w:rsidP="00443B59">
      <w:pPr>
        <w:pStyle w:val="Paragraphedeliste"/>
        <w:numPr>
          <w:ilvl w:val="2"/>
          <w:numId w:val="87"/>
        </w:numPr>
        <w:spacing w:before="100" w:beforeAutospacing="1" w:after="100" w:afterAutospacing="1"/>
        <w:ind w:left="284" w:hanging="284"/>
        <w:rPr>
          <w:rFonts w:cs="Arial"/>
          <w:b/>
          <w:bCs/>
          <w:szCs w:val="24"/>
        </w:rPr>
      </w:pPr>
      <w:r w:rsidRPr="007313C6">
        <w:rPr>
          <w:rFonts w:cs="Arial"/>
          <w:b/>
          <w:bCs/>
          <w:szCs w:val="24"/>
        </w:rPr>
        <w:t>La perte en lien avec ce prêt</w:t>
      </w:r>
    </w:p>
    <w:p w14:paraId="59855404" w14:textId="77777777" w:rsidR="00D81BE7" w:rsidRDefault="00730A01" w:rsidP="00443B59">
      <w:pPr>
        <w:pStyle w:val="Citationenretrait"/>
        <w:numPr>
          <w:ilvl w:val="0"/>
          <w:numId w:val="75"/>
        </w:numPr>
        <w:spacing w:before="0"/>
        <w:ind w:left="567" w:right="0"/>
        <w:rPr>
          <w:rFonts w:cs="Arial"/>
          <w:sz w:val="24"/>
          <w:szCs w:val="24"/>
        </w:rPr>
      </w:pPr>
      <w:r w:rsidRPr="003D1739">
        <w:rPr>
          <w:sz w:val="24"/>
          <w:szCs w:val="24"/>
        </w:rPr>
        <w:t>Concernant ce prêt lié au projet Arrow, en tenant compte d’une entente de</w:t>
      </w:r>
      <w:r w:rsidRPr="003D1739">
        <w:rPr>
          <w:rFonts w:cs="Arial"/>
          <w:sz w:val="24"/>
          <w:szCs w:val="24"/>
        </w:rPr>
        <w:t xml:space="preserve"> règlement en lien avec la vente des biens meubles </w:t>
      </w:r>
      <w:r w:rsidR="00435086" w:rsidRPr="003D1739">
        <w:rPr>
          <w:rFonts w:cs="Arial"/>
          <w:sz w:val="24"/>
          <w:szCs w:val="24"/>
        </w:rPr>
        <w:t>à la suite de</w:t>
      </w:r>
      <w:r w:rsidRPr="003D1739">
        <w:rPr>
          <w:rFonts w:cs="Arial"/>
          <w:sz w:val="24"/>
          <w:szCs w:val="24"/>
        </w:rPr>
        <w:t xml:space="preserve"> la débâcle</w:t>
      </w:r>
      <w:r>
        <w:rPr>
          <w:rStyle w:val="Appelnotedebasdep"/>
          <w:rFonts w:cs="Arial"/>
          <w:sz w:val="24"/>
          <w:szCs w:val="24"/>
        </w:rPr>
        <w:footnoteReference w:id="671"/>
      </w:r>
      <w:r w:rsidRPr="003D1739">
        <w:rPr>
          <w:rFonts w:cs="Arial"/>
          <w:sz w:val="24"/>
          <w:szCs w:val="24"/>
        </w:rPr>
        <w:t>, le Tribunal établit la perte des Demandeurs à 950 000 $</w:t>
      </w:r>
      <w:r>
        <w:rPr>
          <w:rStyle w:val="Appelnotedebasdep"/>
          <w:rFonts w:cs="Arial"/>
          <w:sz w:val="24"/>
          <w:szCs w:val="24"/>
        </w:rPr>
        <w:footnoteReference w:id="672"/>
      </w:r>
      <w:r w:rsidR="00F56955">
        <w:rPr>
          <w:rFonts w:cs="Arial"/>
          <w:sz w:val="24"/>
          <w:szCs w:val="24"/>
        </w:rPr>
        <w:t xml:space="preserve"> plus 162 500 $ d’intérêts au 31</w:t>
      </w:r>
      <w:r w:rsidR="00435086">
        <w:rPr>
          <w:rFonts w:cs="Arial"/>
          <w:sz w:val="24"/>
          <w:szCs w:val="24"/>
        </w:rPr>
        <w:t> </w:t>
      </w:r>
      <w:r w:rsidR="00F56955">
        <w:rPr>
          <w:rFonts w:cs="Arial"/>
          <w:sz w:val="24"/>
          <w:szCs w:val="24"/>
        </w:rPr>
        <w:t>octobre</w:t>
      </w:r>
      <w:r w:rsidR="00435086">
        <w:rPr>
          <w:rFonts w:cs="Arial"/>
          <w:sz w:val="24"/>
          <w:szCs w:val="24"/>
        </w:rPr>
        <w:t> </w:t>
      </w:r>
      <w:r w:rsidR="00F56955">
        <w:rPr>
          <w:rFonts w:cs="Arial"/>
          <w:sz w:val="24"/>
          <w:szCs w:val="24"/>
        </w:rPr>
        <w:t>2023 pour un total de 1 112 500 $</w:t>
      </w:r>
      <w:r w:rsidRPr="003D1739">
        <w:rPr>
          <w:rFonts w:cs="Arial"/>
          <w:sz w:val="24"/>
          <w:szCs w:val="24"/>
        </w:rPr>
        <w:t>.</w:t>
      </w:r>
    </w:p>
    <w:p w14:paraId="6AF50142" w14:textId="77777777" w:rsidR="008900D7" w:rsidRPr="00B521C9" w:rsidRDefault="00730A01" w:rsidP="00443B59">
      <w:pPr>
        <w:pStyle w:val="Titre2"/>
        <w:numPr>
          <w:ilvl w:val="2"/>
          <w:numId w:val="123"/>
        </w:numPr>
        <w:spacing w:after="120"/>
        <w:ind w:left="426" w:hanging="426"/>
        <w:rPr>
          <w:smallCaps/>
        </w:rPr>
      </w:pPr>
      <w:r w:rsidRPr="00B521C9">
        <w:rPr>
          <w:smallCaps/>
        </w:rPr>
        <w:t>Le projet Hangar Saint-Hubert</w:t>
      </w:r>
      <w:r w:rsidR="00D81BE7" w:rsidRPr="00B521C9">
        <w:rPr>
          <w:smallCaps/>
        </w:rPr>
        <w:t xml:space="preserve"> (P074)</w:t>
      </w:r>
    </w:p>
    <w:p w14:paraId="543E242E" w14:textId="77777777" w:rsidR="00BE37B9" w:rsidRPr="00BE37B9" w:rsidRDefault="00730A01" w:rsidP="00BE37B9">
      <w:pPr>
        <w:pStyle w:val="Paragraphe"/>
        <w:numPr>
          <w:ilvl w:val="0"/>
          <w:numId w:val="0"/>
        </w:numPr>
        <w:spacing w:line="240" w:lineRule="auto"/>
        <w:rPr>
          <w:rFonts w:cs="Arial"/>
          <w:szCs w:val="24"/>
          <w:lang w:eastAsia="fr-CA"/>
        </w:rPr>
      </w:pPr>
      <w:r w:rsidRPr="00152D74">
        <w:rPr>
          <w:rFonts w:cs="Arial"/>
          <w:szCs w:val="24"/>
        </w:rPr>
        <w:t>Le</w:t>
      </w:r>
      <w:r w:rsidRPr="00152D74">
        <w:rPr>
          <w:rFonts w:cs="Arial"/>
          <w:szCs w:val="24"/>
          <w:lang w:eastAsia="fr-CA"/>
        </w:rPr>
        <w:t xml:space="preserve"> projet concernait la </w:t>
      </w:r>
      <w:r w:rsidRPr="004C2FBA">
        <w:rPr>
          <w:rFonts w:cs="Arial"/>
          <w:szCs w:val="24"/>
          <w:lang w:eastAsia="fr-CA"/>
        </w:rPr>
        <w:t>construction d’un hangar à l’aéroport de Saint-Hubert</w:t>
      </w:r>
      <w:r w:rsidRPr="00152D74">
        <w:rPr>
          <w:rFonts w:cs="Arial"/>
          <w:szCs w:val="24"/>
          <w:lang w:eastAsia="fr-CA"/>
        </w:rPr>
        <w:t xml:space="preserve">, financé par un prêt de </w:t>
      </w:r>
      <w:r w:rsidRPr="004C2FBA">
        <w:rPr>
          <w:rFonts w:cs="Arial"/>
          <w:szCs w:val="24"/>
          <w:lang w:eastAsia="fr-CA"/>
        </w:rPr>
        <w:t>11,5 M$ accordé le 16</w:t>
      </w:r>
      <w:r w:rsidR="00435086">
        <w:rPr>
          <w:rFonts w:cs="Arial"/>
          <w:szCs w:val="24"/>
          <w:lang w:eastAsia="fr-CA"/>
        </w:rPr>
        <w:t> </w:t>
      </w:r>
      <w:r w:rsidRPr="004C2FBA">
        <w:rPr>
          <w:rFonts w:cs="Arial"/>
          <w:szCs w:val="24"/>
          <w:lang w:eastAsia="fr-CA"/>
        </w:rPr>
        <w:t>mars</w:t>
      </w:r>
      <w:r w:rsidR="00435086">
        <w:rPr>
          <w:rFonts w:cs="Arial"/>
          <w:szCs w:val="24"/>
          <w:lang w:eastAsia="fr-CA"/>
        </w:rPr>
        <w:t> </w:t>
      </w:r>
      <w:r w:rsidRPr="004C2FBA">
        <w:rPr>
          <w:rFonts w:cs="Arial"/>
          <w:szCs w:val="24"/>
          <w:lang w:eastAsia="fr-CA"/>
        </w:rPr>
        <w:t>2022</w:t>
      </w:r>
      <w:r w:rsidRPr="00152D74">
        <w:rPr>
          <w:rFonts w:cs="Arial"/>
          <w:szCs w:val="24"/>
          <w:lang w:eastAsia="fr-CA"/>
        </w:rPr>
        <w:t xml:space="preserve">. </w:t>
      </w:r>
    </w:p>
    <w:p w14:paraId="6EFEE56E" w14:textId="77777777" w:rsidR="00D81BE7" w:rsidRPr="007313C6" w:rsidRDefault="00730A01" w:rsidP="00443B59">
      <w:pPr>
        <w:pStyle w:val="Paragraphedeliste"/>
        <w:numPr>
          <w:ilvl w:val="5"/>
          <w:numId w:val="78"/>
        </w:numPr>
        <w:spacing w:before="100" w:beforeAutospacing="1" w:after="100" w:afterAutospacing="1"/>
        <w:ind w:left="284" w:hanging="284"/>
        <w:rPr>
          <w:rFonts w:cs="Arial"/>
          <w:b/>
          <w:bCs/>
          <w:szCs w:val="24"/>
        </w:rPr>
      </w:pPr>
      <w:r w:rsidRPr="007313C6">
        <w:rPr>
          <w:rFonts w:cs="Arial"/>
          <w:b/>
          <w:bCs/>
          <w:szCs w:val="24"/>
        </w:rPr>
        <w:t>Les manquements reprochés</w:t>
      </w:r>
    </w:p>
    <w:p w14:paraId="43B49C4E" w14:textId="77777777" w:rsidR="00B07B6F" w:rsidRDefault="00730A01" w:rsidP="00443B59">
      <w:pPr>
        <w:pStyle w:val="Citationenretrait"/>
        <w:numPr>
          <w:ilvl w:val="0"/>
          <w:numId w:val="75"/>
        </w:numPr>
        <w:spacing w:before="0"/>
        <w:ind w:left="567" w:right="0" w:hanging="283"/>
        <w:rPr>
          <w:rFonts w:cs="Arial"/>
          <w:sz w:val="24"/>
          <w:szCs w:val="24"/>
          <w:lang w:eastAsia="fr-CA"/>
        </w:rPr>
      </w:pPr>
      <w:r w:rsidRPr="003D1739">
        <w:rPr>
          <w:rFonts w:cs="Arial"/>
          <w:sz w:val="24"/>
          <w:szCs w:val="24"/>
          <w:lang w:eastAsia="fr-CA"/>
        </w:rPr>
        <w:t>Dès l’octroi, aucun déboursé progressif n’a été mis en place, et la totalité des fonds a été versée sans suivi de l’avancement des travaux. Or, aucune construction n’avait débuté</w:t>
      </w:r>
      <w:r w:rsidR="00BE37B9">
        <w:rPr>
          <w:rFonts w:cs="Arial"/>
          <w:sz w:val="24"/>
          <w:szCs w:val="24"/>
          <w:lang w:eastAsia="fr-CA"/>
        </w:rPr>
        <w:t xml:space="preserve">. Il n’y a absolument rien qui a été fait sur ce terrain qui était un terrain loué par bail emphytéotique qui est demeuré vague, </w:t>
      </w:r>
      <w:r w:rsidRPr="003D1739">
        <w:rPr>
          <w:rFonts w:cs="Arial"/>
          <w:sz w:val="24"/>
          <w:szCs w:val="24"/>
          <w:lang w:eastAsia="fr-CA"/>
        </w:rPr>
        <w:t xml:space="preserve">de sorte que le ratio prêt/valeur </w:t>
      </w:r>
      <w:r w:rsidR="00BE37B9">
        <w:rPr>
          <w:rFonts w:cs="Arial"/>
          <w:sz w:val="24"/>
          <w:szCs w:val="24"/>
          <w:lang w:eastAsia="fr-CA"/>
        </w:rPr>
        <w:t>est de</w:t>
      </w:r>
      <w:r w:rsidRPr="003D1739">
        <w:rPr>
          <w:rFonts w:cs="Arial"/>
          <w:sz w:val="24"/>
          <w:szCs w:val="24"/>
          <w:lang w:eastAsia="fr-CA"/>
        </w:rPr>
        <w:t xml:space="preserve"> 0</w:t>
      </w:r>
      <w:r w:rsidR="007D272E">
        <w:rPr>
          <w:rFonts w:cs="Arial"/>
          <w:sz w:val="24"/>
          <w:szCs w:val="24"/>
          <w:lang w:eastAsia="fr-CA"/>
        </w:rPr>
        <w:t> </w:t>
      </w:r>
      <w:r w:rsidRPr="003D1739">
        <w:rPr>
          <w:rFonts w:cs="Arial"/>
          <w:sz w:val="24"/>
          <w:szCs w:val="24"/>
          <w:lang w:eastAsia="fr-CA"/>
        </w:rPr>
        <w:t>%</w:t>
      </w:r>
      <w:r>
        <w:rPr>
          <w:rStyle w:val="Appelnotedebasdep"/>
          <w:rFonts w:cs="Arial"/>
          <w:sz w:val="24"/>
          <w:szCs w:val="24"/>
          <w:lang w:eastAsia="fr-CA"/>
        </w:rPr>
        <w:footnoteReference w:id="673"/>
      </w:r>
      <w:r w:rsidR="005F5EC9">
        <w:rPr>
          <w:rFonts w:cs="Arial"/>
          <w:sz w:val="24"/>
          <w:szCs w:val="24"/>
          <w:lang w:eastAsia="fr-CA"/>
        </w:rPr>
        <w:t>.</w:t>
      </w:r>
    </w:p>
    <w:p w14:paraId="02DD332F" w14:textId="77777777" w:rsidR="00D81BE7" w:rsidRPr="00D81BE7" w:rsidRDefault="00730A01" w:rsidP="00443B59">
      <w:pPr>
        <w:pStyle w:val="Paragraphedeliste"/>
        <w:numPr>
          <w:ilvl w:val="5"/>
          <w:numId w:val="78"/>
        </w:numPr>
        <w:spacing w:before="100" w:beforeAutospacing="1" w:after="100" w:afterAutospacing="1"/>
        <w:ind w:left="284" w:hanging="284"/>
        <w:rPr>
          <w:rFonts w:cs="Arial"/>
          <w:b/>
          <w:bCs/>
          <w:szCs w:val="24"/>
        </w:rPr>
      </w:pPr>
      <w:r w:rsidRPr="00D81BE7">
        <w:rPr>
          <w:rFonts w:cs="Arial"/>
          <w:b/>
          <w:bCs/>
          <w:szCs w:val="24"/>
        </w:rPr>
        <w:t>La perte en lien avec ce prêt</w:t>
      </w:r>
    </w:p>
    <w:p w14:paraId="7B013330" w14:textId="77777777" w:rsidR="00B07B6F" w:rsidRDefault="00730A01" w:rsidP="00443B59">
      <w:pPr>
        <w:pStyle w:val="Citationenretrait"/>
        <w:numPr>
          <w:ilvl w:val="0"/>
          <w:numId w:val="75"/>
        </w:numPr>
        <w:ind w:left="567" w:right="0" w:hanging="283"/>
        <w:rPr>
          <w:rFonts w:cs="Arial"/>
          <w:sz w:val="24"/>
          <w:szCs w:val="24"/>
          <w:lang w:eastAsia="fr-CA"/>
        </w:rPr>
      </w:pPr>
      <w:r w:rsidRPr="003D1739">
        <w:rPr>
          <w:rFonts w:cs="Arial"/>
          <w:sz w:val="24"/>
          <w:szCs w:val="24"/>
          <w:lang w:eastAsia="fr-CA"/>
        </w:rPr>
        <w:t>Le montant total du prêt constitue une perte totale de 11,5 M$</w:t>
      </w:r>
      <w:r w:rsidR="00BE37B9">
        <w:rPr>
          <w:rFonts w:cs="Arial"/>
          <w:sz w:val="24"/>
          <w:szCs w:val="24"/>
          <w:lang w:eastAsia="fr-CA"/>
        </w:rPr>
        <w:t xml:space="preserve"> en ajoutant les intérêts mensuels non payés au 31</w:t>
      </w:r>
      <w:r w:rsidR="00435086">
        <w:rPr>
          <w:rFonts w:cs="Arial"/>
          <w:sz w:val="24"/>
          <w:szCs w:val="24"/>
          <w:lang w:eastAsia="fr-CA"/>
        </w:rPr>
        <w:t> </w:t>
      </w:r>
      <w:r w:rsidR="00BE37B9">
        <w:rPr>
          <w:rFonts w:cs="Arial"/>
          <w:sz w:val="24"/>
          <w:szCs w:val="24"/>
          <w:lang w:eastAsia="fr-CA"/>
        </w:rPr>
        <w:t>octobre</w:t>
      </w:r>
      <w:r w:rsidR="00435086">
        <w:rPr>
          <w:rFonts w:cs="Arial"/>
          <w:sz w:val="24"/>
          <w:szCs w:val="24"/>
          <w:lang w:eastAsia="fr-CA"/>
        </w:rPr>
        <w:t> </w:t>
      </w:r>
      <w:r w:rsidR="00BE37B9">
        <w:rPr>
          <w:rFonts w:cs="Arial"/>
          <w:sz w:val="24"/>
          <w:szCs w:val="24"/>
          <w:lang w:eastAsia="fr-CA"/>
        </w:rPr>
        <w:t>2023, la perte s’élève à 12 535 000 $ à cette date</w:t>
      </w:r>
      <w:r>
        <w:rPr>
          <w:rStyle w:val="Appelnotedebasdep"/>
          <w:rFonts w:cs="Arial"/>
          <w:sz w:val="24"/>
          <w:szCs w:val="24"/>
          <w:lang w:eastAsia="fr-CA"/>
        </w:rPr>
        <w:footnoteReference w:id="674"/>
      </w:r>
      <w:r w:rsidR="005F5EC9">
        <w:rPr>
          <w:rFonts w:cs="Arial"/>
          <w:sz w:val="24"/>
          <w:szCs w:val="24"/>
          <w:lang w:eastAsia="fr-CA"/>
        </w:rPr>
        <w:t>.</w:t>
      </w:r>
    </w:p>
    <w:p w14:paraId="7815C394" w14:textId="77777777" w:rsidR="008900D7" w:rsidRPr="00B521C9" w:rsidRDefault="00730A01" w:rsidP="00443B59">
      <w:pPr>
        <w:pStyle w:val="Titre2"/>
        <w:numPr>
          <w:ilvl w:val="2"/>
          <w:numId w:val="123"/>
        </w:numPr>
        <w:spacing w:after="120"/>
        <w:ind w:left="426" w:hanging="426"/>
        <w:rPr>
          <w:smallCaps/>
        </w:rPr>
      </w:pPr>
      <w:r w:rsidRPr="00B521C9">
        <w:rPr>
          <w:smallCaps/>
        </w:rPr>
        <w:t>Le projet Louis XIV (P034)</w:t>
      </w:r>
    </w:p>
    <w:p w14:paraId="75FD015E" w14:textId="77777777" w:rsidR="008900D7" w:rsidRDefault="00730A01" w:rsidP="007D272E">
      <w:pPr>
        <w:spacing w:before="100" w:beforeAutospacing="1" w:after="100" w:afterAutospacing="1"/>
        <w:jc w:val="both"/>
        <w:rPr>
          <w:rFonts w:cs="Arial"/>
          <w:szCs w:val="24"/>
          <w:lang w:eastAsia="fr-CA"/>
        </w:rPr>
      </w:pPr>
      <w:r w:rsidRPr="002179BB">
        <w:rPr>
          <w:rFonts w:cs="Arial"/>
          <w:szCs w:val="24"/>
          <w:lang w:eastAsia="fr-CA"/>
        </w:rPr>
        <w:t>Le projet Louis XIV concernait un financement de terrains destinés à un développement immobilier.</w:t>
      </w:r>
      <w:r w:rsidR="002179BB">
        <w:rPr>
          <w:rFonts w:cs="Arial"/>
          <w:szCs w:val="24"/>
          <w:lang w:eastAsia="fr-CA"/>
        </w:rPr>
        <w:t xml:space="preserve"> Deux prêts ont été consentis pour ce projet</w:t>
      </w:r>
      <w:r w:rsidR="00435086">
        <w:rPr>
          <w:rFonts w:cs="Arial"/>
          <w:szCs w:val="24"/>
          <w:lang w:eastAsia="fr-CA"/>
        </w:rPr>
        <w:t>,</w:t>
      </w:r>
      <w:r w:rsidR="002179BB">
        <w:rPr>
          <w:rFonts w:cs="Arial"/>
          <w:szCs w:val="24"/>
          <w:lang w:eastAsia="fr-CA"/>
        </w:rPr>
        <w:t xml:space="preserve"> soit</w:t>
      </w:r>
      <w:r w:rsidR="00435086">
        <w:rPr>
          <w:rFonts w:cs="Arial"/>
          <w:szCs w:val="24"/>
          <w:lang w:eastAsia="fr-CA"/>
        </w:rPr>
        <w:t xml:space="preserve"> </w:t>
      </w:r>
      <w:r w:rsidRPr="002179BB">
        <w:rPr>
          <w:rFonts w:cs="Arial"/>
          <w:szCs w:val="24"/>
          <w:lang w:eastAsia="fr-CA"/>
        </w:rPr>
        <w:t>8,2</w:t>
      </w:r>
      <w:r w:rsidR="005F5EC9">
        <w:rPr>
          <w:rFonts w:cs="Arial"/>
          <w:szCs w:val="24"/>
          <w:lang w:eastAsia="fr-CA"/>
        </w:rPr>
        <w:t> </w:t>
      </w:r>
      <w:r w:rsidRPr="002179BB">
        <w:rPr>
          <w:rFonts w:cs="Arial"/>
          <w:szCs w:val="24"/>
          <w:lang w:eastAsia="fr-CA"/>
        </w:rPr>
        <w:t xml:space="preserve">M$ </w:t>
      </w:r>
      <w:r w:rsidR="003B6474">
        <w:rPr>
          <w:rFonts w:cs="Arial"/>
          <w:szCs w:val="24"/>
          <w:lang w:eastAsia="fr-CA"/>
        </w:rPr>
        <w:t xml:space="preserve">en </w:t>
      </w:r>
      <w:r w:rsidRPr="002179BB">
        <w:rPr>
          <w:rFonts w:cs="Arial"/>
          <w:szCs w:val="24"/>
          <w:lang w:eastAsia="fr-CA"/>
        </w:rPr>
        <w:t>juillet</w:t>
      </w:r>
      <w:r w:rsidR="005F5EC9">
        <w:rPr>
          <w:rFonts w:cs="Arial"/>
          <w:szCs w:val="24"/>
          <w:lang w:eastAsia="fr-CA"/>
        </w:rPr>
        <w:t> </w:t>
      </w:r>
      <w:r w:rsidRPr="002179BB">
        <w:rPr>
          <w:rFonts w:cs="Arial"/>
          <w:szCs w:val="24"/>
          <w:lang w:eastAsia="fr-CA"/>
        </w:rPr>
        <w:t>2020 et 3,6</w:t>
      </w:r>
      <w:r w:rsidR="003B6474">
        <w:rPr>
          <w:rFonts w:cs="Arial"/>
          <w:szCs w:val="24"/>
          <w:lang w:eastAsia="fr-CA"/>
        </w:rPr>
        <w:t> </w:t>
      </w:r>
      <w:r w:rsidRPr="002179BB">
        <w:rPr>
          <w:rFonts w:cs="Arial"/>
          <w:szCs w:val="24"/>
          <w:lang w:eastAsia="fr-CA"/>
        </w:rPr>
        <w:t xml:space="preserve">M$ </w:t>
      </w:r>
      <w:r w:rsidR="003B6474">
        <w:rPr>
          <w:rFonts w:cs="Arial"/>
          <w:szCs w:val="24"/>
          <w:lang w:eastAsia="fr-CA"/>
        </w:rPr>
        <w:t xml:space="preserve">en </w:t>
      </w:r>
      <w:r w:rsidRPr="002179BB">
        <w:rPr>
          <w:rFonts w:cs="Arial"/>
          <w:szCs w:val="24"/>
          <w:lang w:eastAsia="fr-CA"/>
        </w:rPr>
        <w:t>septembre</w:t>
      </w:r>
      <w:r w:rsidR="005F5EC9">
        <w:rPr>
          <w:rFonts w:cs="Arial"/>
          <w:szCs w:val="24"/>
          <w:lang w:eastAsia="fr-CA"/>
        </w:rPr>
        <w:t> </w:t>
      </w:r>
      <w:r w:rsidRPr="002179BB">
        <w:rPr>
          <w:rFonts w:cs="Arial"/>
          <w:szCs w:val="24"/>
          <w:lang w:eastAsia="fr-CA"/>
        </w:rPr>
        <w:t>202</w:t>
      </w:r>
      <w:r w:rsidR="002179BB" w:rsidRPr="002179BB">
        <w:rPr>
          <w:rFonts w:cs="Arial"/>
          <w:szCs w:val="24"/>
          <w:lang w:eastAsia="fr-CA"/>
        </w:rPr>
        <w:t>2</w:t>
      </w:r>
      <w:r w:rsidRPr="002179BB">
        <w:rPr>
          <w:rFonts w:cs="Arial"/>
          <w:szCs w:val="24"/>
          <w:lang w:eastAsia="fr-CA"/>
        </w:rPr>
        <w:t>, pour un total de 11</w:t>
      </w:r>
      <w:r w:rsidR="005F5EC9">
        <w:rPr>
          <w:rFonts w:cs="Arial"/>
          <w:szCs w:val="24"/>
          <w:lang w:eastAsia="fr-CA"/>
        </w:rPr>
        <w:t>,</w:t>
      </w:r>
      <w:r w:rsidRPr="002179BB">
        <w:rPr>
          <w:rFonts w:cs="Arial"/>
          <w:szCs w:val="24"/>
          <w:lang w:eastAsia="fr-CA"/>
        </w:rPr>
        <w:t>885</w:t>
      </w:r>
      <w:r w:rsidR="005F5EC9">
        <w:rPr>
          <w:rFonts w:cs="Arial"/>
          <w:szCs w:val="24"/>
          <w:lang w:eastAsia="fr-CA"/>
        </w:rPr>
        <w:t> </w:t>
      </w:r>
      <w:r w:rsidRPr="002179BB">
        <w:rPr>
          <w:rFonts w:cs="Arial"/>
          <w:szCs w:val="24"/>
          <w:lang w:eastAsia="fr-CA"/>
        </w:rPr>
        <w:t>M$</w:t>
      </w:r>
      <w:r>
        <w:rPr>
          <w:rStyle w:val="Appelnotedebasdep"/>
          <w:rFonts w:cs="Arial"/>
          <w:szCs w:val="24"/>
          <w:lang w:eastAsia="fr-CA"/>
        </w:rPr>
        <w:footnoteReference w:id="675"/>
      </w:r>
      <w:r w:rsidR="005F5EC9">
        <w:rPr>
          <w:rFonts w:cs="Arial"/>
          <w:szCs w:val="24"/>
          <w:lang w:eastAsia="fr-CA"/>
        </w:rPr>
        <w:t>.</w:t>
      </w:r>
    </w:p>
    <w:p w14:paraId="062A760D" w14:textId="77777777" w:rsidR="008900D7" w:rsidRPr="002179BB" w:rsidRDefault="00730A01" w:rsidP="007D272E">
      <w:pPr>
        <w:spacing w:before="100" w:beforeAutospacing="1" w:after="100" w:afterAutospacing="1"/>
        <w:jc w:val="both"/>
        <w:rPr>
          <w:rFonts w:cs="Arial"/>
          <w:szCs w:val="24"/>
          <w:lang w:eastAsia="fr-CA"/>
        </w:rPr>
      </w:pPr>
      <w:r>
        <w:rPr>
          <w:rFonts w:cs="Arial"/>
          <w:szCs w:val="24"/>
          <w:lang w:eastAsia="fr-CA"/>
        </w:rPr>
        <w:t xml:space="preserve">Ces prêts étaient garantis par </w:t>
      </w:r>
      <w:r w:rsidRPr="002179BB">
        <w:rPr>
          <w:rFonts w:cs="Arial"/>
          <w:szCs w:val="24"/>
          <w:lang w:eastAsia="fr-CA"/>
        </w:rPr>
        <w:t>des terrains dont la valeur a été évaluée par Altus à seulement 2,677</w:t>
      </w:r>
      <w:r>
        <w:rPr>
          <w:rFonts w:cs="Arial"/>
          <w:szCs w:val="24"/>
          <w:lang w:eastAsia="fr-CA"/>
        </w:rPr>
        <w:t> </w:t>
      </w:r>
      <w:r w:rsidRPr="002179BB">
        <w:rPr>
          <w:rFonts w:cs="Arial"/>
          <w:szCs w:val="24"/>
          <w:lang w:eastAsia="fr-CA"/>
        </w:rPr>
        <w:t>M$ en liquidation (Rapport Altus, cité par KPMG)</w:t>
      </w:r>
      <w:r>
        <w:rPr>
          <w:rStyle w:val="Appelnotedebasdep"/>
          <w:rFonts w:cs="Arial"/>
          <w:szCs w:val="24"/>
          <w:lang w:eastAsia="fr-CA"/>
        </w:rPr>
        <w:footnoteReference w:id="676"/>
      </w:r>
      <w:r w:rsidR="005F5EC9">
        <w:rPr>
          <w:rFonts w:cs="Arial"/>
          <w:szCs w:val="24"/>
          <w:lang w:eastAsia="fr-CA"/>
        </w:rPr>
        <w:t>.</w:t>
      </w:r>
    </w:p>
    <w:p w14:paraId="25FF90CA" w14:textId="77777777" w:rsidR="002179BB" w:rsidRPr="007313C6" w:rsidRDefault="00730A01" w:rsidP="00443B59">
      <w:pPr>
        <w:pStyle w:val="Paragraphedeliste"/>
        <w:numPr>
          <w:ilvl w:val="4"/>
          <w:numId w:val="123"/>
        </w:numPr>
        <w:spacing w:before="100" w:beforeAutospacing="1" w:after="100" w:afterAutospacing="1"/>
        <w:ind w:left="284" w:hanging="284"/>
        <w:rPr>
          <w:rFonts w:cs="Arial"/>
          <w:szCs w:val="24"/>
          <w:lang w:eastAsia="fr-CA"/>
        </w:rPr>
      </w:pPr>
      <w:r w:rsidRPr="007313C6">
        <w:rPr>
          <w:rFonts w:cs="Arial"/>
          <w:b/>
          <w:bCs/>
          <w:szCs w:val="24"/>
          <w:lang w:eastAsia="fr-CA"/>
        </w:rPr>
        <w:t>Les m</w:t>
      </w:r>
      <w:r w:rsidR="008900D7" w:rsidRPr="007313C6">
        <w:rPr>
          <w:rFonts w:cs="Arial"/>
          <w:b/>
          <w:bCs/>
          <w:szCs w:val="24"/>
          <w:lang w:eastAsia="fr-CA"/>
        </w:rPr>
        <w:t>anquements reprochés</w:t>
      </w:r>
      <w:r w:rsidR="008900D7" w:rsidRPr="007313C6">
        <w:rPr>
          <w:rFonts w:cs="Arial"/>
          <w:szCs w:val="24"/>
          <w:lang w:eastAsia="fr-CA"/>
        </w:rPr>
        <w:t xml:space="preserve"> </w:t>
      </w:r>
    </w:p>
    <w:p w14:paraId="58625479" w14:textId="77777777" w:rsidR="008900D7" w:rsidRDefault="00730A01" w:rsidP="00443B59">
      <w:pPr>
        <w:pStyle w:val="Citationenretrait"/>
        <w:numPr>
          <w:ilvl w:val="0"/>
          <w:numId w:val="75"/>
        </w:numPr>
        <w:spacing w:before="0"/>
        <w:ind w:left="567" w:right="0" w:hanging="283"/>
        <w:rPr>
          <w:rFonts w:cs="Arial"/>
          <w:szCs w:val="24"/>
          <w:lang w:eastAsia="fr-CA"/>
        </w:rPr>
      </w:pPr>
      <w:r w:rsidRPr="00130CD0">
        <w:rPr>
          <w:rFonts w:cs="Arial"/>
          <w:sz w:val="24"/>
          <w:szCs w:val="24"/>
          <w:lang w:eastAsia="fr-CA"/>
        </w:rPr>
        <w:t>Les prêts ont été consentis malgré l’absence de garanties suffisantes, sans actualisation adéquate des baux ni inventaire fiable, et en contravention avec les stratégies de diversification prévues pour Q</w:t>
      </w:r>
      <w:r w:rsidR="00130CD0">
        <w:rPr>
          <w:rFonts w:cs="Arial"/>
          <w:sz w:val="24"/>
          <w:szCs w:val="24"/>
          <w:lang w:eastAsia="fr-CA"/>
        </w:rPr>
        <w:noBreakHyphen/>
      </w:r>
      <w:r w:rsidRPr="00130CD0">
        <w:rPr>
          <w:rFonts w:cs="Arial"/>
          <w:sz w:val="24"/>
          <w:szCs w:val="24"/>
          <w:lang w:eastAsia="fr-CA"/>
        </w:rPr>
        <w:t>12</w:t>
      </w:r>
      <w:r w:rsidRPr="002179BB">
        <w:rPr>
          <w:rFonts w:cs="Arial"/>
          <w:szCs w:val="24"/>
          <w:lang w:eastAsia="fr-CA"/>
        </w:rPr>
        <w:t>.</w:t>
      </w:r>
    </w:p>
    <w:p w14:paraId="4F4F7D8C" w14:textId="77777777" w:rsidR="00F16D45" w:rsidRPr="00F16D45" w:rsidRDefault="00730A01" w:rsidP="00443B59">
      <w:pPr>
        <w:pStyle w:val="Paragraphedeliste"/>
        <w:numPr>
          <w:ilvl w:val="4"/>
          <w:numId w:val="123"/>
        </w:numPr>
        <w:spacing w:before="100" w:beforeAutospacing="1" w:after="100" w:afterAutospacing="1"/>
        <w:ind w:left="284" w:hanging="284"/>
        <w:rPr>
          <w:rFonts w:cs="Arial"/>
          <w:b/>
          <w:bCs/>
          <w:szCs w:val="24"/>
          <w:lang w:eastAsia="fr-CA"/>
        </w:rPr>
      </w:pPr>
      <w:r w:rsidRPr="00F16D45">
        <w:rPr>
          <w:rFonts w:cs="Arial"/>
          <w:b/>
          <w:bCs/>
          <w:szCs w:val="24"/>
          <w:lang w:eastAsia="fr-CA"/>
        </w:rPr>
        <w:t>La perte en lien avec ces prêts</w:t>
      </w:r>
      <w:r w:rsidR="008900D7" w:rsidRPr="00F16D45">
        <w:rPr>
          <w:rFonts w:cs="Arial"/>
          <w:b/>
          <w:bCs/>
          <w:szCs w:val="24"/>
          <w:lang w:eastAsia="fr-CA"/>
        </w:rPr>
        <w:t xml:space="preserve"> </w:t>
      </w:r>
    </w:p>
    <w:p w14:paraId="37904AA9" w14:textId="77777777" w:rsidR="0024458E" w:rsidRDefault="00730A01" w:rsidP="00443B59">
      <w:pPr>
        <w:pStyle w:val="Citationenretrait"/>
        <w:numPr>
          <w:ilvl w:val="0"/>
          <w:numId w:val="75"/>
        </w:numPr>
        <w:ind w:left="567" w:right="0" w:hanging="283"/>
        <w:rPr>
          <w:rFonts w:cs="Arial"/>
          <w:sz w:val="24"/>
          <w:szCs w:val="24"/>
          <w:lang w:eastAsia="fr-CA"/>
        </w:rPr>
      </w:pPr>
      <w:r w:rsidRPr="00130CD0">
        <w:rPr>
          <w:rFonts w:cs="Arial"/>
          <w:sz w:val="24"/>
          <w:szCs w:val="24"/>
          <w:lang w:eastAsia="fr-CA"/>
        </w:rPr>
        <w:t>S</w:t>
      </w:r>
      <w:r w:rsidR="008900D7" w:rsidRPr="00130CD0">
        <w:rPr>
          <w:rFonts w:cs="Arial"/>
          <w:sz w:val="24"/>
          <w:szCs w:val="24"/>
          <w:lang w:eastAsia="fr-CA"/>
        </w:rPr>
        <w:t xml:space="preserve">elon KPMG, la perte nette est de </w:t>
      </w:r>
      <w:r w:rsidR="00B07B6F">
        <w:rPr>
          <w:rFonts w:cs="Arial"/>
          <w:sz w:val="24"/>
          <w:szCs w:val="24"/>
          <w:lang w:eastAsia="fr-CA"/>
        </w:rPr>
        <w:t>8 192 814,40 </w:t>
      </w:r>
      <w:r w:rsidR="008900D7" w:rsidRPr="00130CD0">
        <w:rPr>
          <w:rFonts w:cs="Arial"/>
          <w:sz w:val="24"/>
          <w:szCs w:val="24"/>
          <w:lang w:eastAsia="fr-CA"/>
        </w:rPr>
        <w:t>$ (capital), à laquelle s’ajoutent les intérêts</w:t>
      </w:r>
      <w:r>
        <w:rPr>
          <w:rStyle w:val="Appelnotedebasdep"/>
          <w:rFonts w:cs="Arial"/>
          <w:sz w:val="24"/>
          <w:szCs w:val="24"/>
          <w:lang w:eastAsia="fr-CA"/>
        </w:rPr>
        <w:footnoteReference w:id="677"/>
      </w:r>
      <w:r w:rsidR="005F5EC9">
        <w:rPr>
          <w:rFonts w:cs="Arial"/>
          <w:sz w:val="24"/>
          <w:szCs w:val="24"/>
          <w:lang w:eastAsia="fr-CA"/>
        </w:rPr>
        <w:t>.</w:t>
      </w:r>
    </w:p>
    <w:p w14:paraId="358D1754" w14:textId="77777777" w:rsidR="0024458E" w:rsidRPr="004F6FDC" w:rsidRDefault="00730A01" w:rsidP="00443B59">
      <w:pPr>
        <w:pStyle w:val="Citationenretrait"/>
        <w:numPr>
          <w:ilvl w:val="0"/>
          <w:numId w:val="75"/>
        </w:numPr>
        <w:ind w:left="567" w:right="0" w:hanging="283"/>
        <w:rPr>
          <w:rFonts w:cs="Arial"/>
          <w:sz w:val="24"/>
          <w:szCs w:val="24"/>
          <w:lang w:eastAsia="fr-CA"/>
        </w:rPr>
      </w:pPr>
      <w:r w:rsidRPr="004F6FDC">
        <w:rPr>
          <w:rFonts w:cs="Arial"/>
          <w:sz w:val="24"/>
          <w:szCs w:val="24"/>
          <w:lang w:eastAsia="fr-CA"/>
        </w:rPr>
        <w:t>À la suite de la vente en justice, le 6</w:t>
      </w:r>
      <w:r w:rsidR="00435086">
        <w:rPr>
          <w:rFonts w:cs="Arial"/>
          <w:sz w:val="24"/>
          <w:szCs w:val="24"/>
          <w:lang w:eastAsia="fr-CA"/>
        </w:rPr>
        <w:t> </w:t>
      </w:r>
      <w:r w:rsidRPr="004F6FDC">
        <w:rPr>
          <w:rFonts w:cs="Arial"/>
          <w:sz w:val="24"/>
          <w:szCs w:val="24"/>
          <w:lang w:eastAsia="fr-CA"/>
        </w:rPr>
        <w:t>juin</w:t>
      </w:r>
      <w:r w:rsidR="00435086">
        <w:rPr>
          <w:rFonts w:cs="Arial"/>
          <w:sz w:val="24"/>
          <w:szCs w:val="24"/>
          <w:lang w:eastAsia="fr-CA"/>
        </w:rPr>
        <w:t> </w:t>
      </w:r>
      <w:r w:rsidRPr="004F6FDC">
        <w:rPr>
          <w:rFonts w:cs="Arial"/>
          <w:sz w:val="24"/>
          <w:szCs w:val="24"/>
          <w:lang w:eastAsia="fr-CA"/>
        </w:rPr>
        <w:t>2025, des «</w:t>
      </w:r>
      <w:r w:rsidR="00435086">
        <w:rPr>
          <w:rFonts w:cs="Arial"/>
          <w:sz w:val="24"/>
          <w:szCs w:val="24"/>
          <w:lang w:eastAsia="fr-CA"/>
        </w:rPr>
        <w:t> </w:t>
      </w:r>
      <w:r w:rsidRPr="004F6FDC">
        <w:rPr>
          <w:rFonts w:cs="Arial"/>
          <w:sz w:val="24"/>
          <w:szCs w:val="24"/>
          <w:lang w:eastAsia="fr-CA"/>
        </w:rPr>
        <w:t>Lots Louis</w:t>
      </w:r>
      <w:r w:rsidR="00435086">
        <w:rPr>
          <w:rFonts w:cs="Arial"/>
          <w:sz w:val="24"/>
          <w:szCs w:val="24"/>
          <w:lang w:eastAsia="fr-CA"/>
        </w:rPr>
        <w:t> </w:t>
      </w:r>
      <w:r w:rsidRPr="004F6FDC">
        <w:rPr>
          <w:rFonts w:cs="Arial"/>
          <w:sz w:val="24"/>
          <w:szCs w:val="24"/>
          <w:lang w:eastAsia="fr-CA"/>
        </w:rPr>
        <w:t>XIV</w:t>
      </w:r>
      <w:r w:rsidR="00435086">
        <w:rPr>
          <w:rFonts w:cs="Arial"/>
          <w:sz w:val="24"/>
          <w:szCs w:val="24"/>
          <w:lang w:eastAsia="fr-CA"/>
        </w:rPr>
        <w:t> </w:t>
      </w:r>
      <w:r w:rsidRPr="004F6FDC">
        <w:rPr>
          <w:rFonts w:cs="Arial"/>
          <w:sz w:val="24"/>
          <w:szCs w:val="24"/>
          <w:lang w:eastAsia="fr-CA"/>
        </w:rPr>
        <w:t>», l’état de collocation (19</w:t>
      </w:r>
      <w:r w:rsidR="00435086">
        <w:rPr>
          <w:rFonts w:cs="Arial"/>
          <w:sz w:val="24"/>
          <w:szCs w:val="24"/>
          <w:lang w:eastAsia="fr-CA"/>
        </w:rPr>
        <w:t> </w:t>
      </w:r>
      <w:r w:rsidRPr="004F6FDC">
        <w:rPr>
          <w:rFonts w:cs="Arial"/>
          <w:sz w:val="24"/>
          <w:szCs w:val="24"/>
          <w:lang w:eastAsia="fr-CA"/>
        </w:rPr>
        <w:t>août</w:t>
      </w:r>
      <w:r w:rsidR="00435086">
        <w:rPr>
          <w:rFonts w:cs="Arial"/>
          <w:sz w:val="24"/>
          <w:szCs w:val="24"/>
          <w:lang w:eastAsia="fr-CA"/>
        </w:rPr>
        <w:t> </w:t>
      </w:r>
      <w:r w:rsidRPr="004F6FDC">
        <w:rPr>
          <w:rFonts w:cs="Arial"/>
          <w:sz w:val="24"/>
          <w:szCs w:val="24"/>
          <w:lang w:eastAsia="fr-CA"/>
        </w:rPr>
        <w:t>2025) prévoyait un versement de 3 655 540,22 $ à Q</w:t>
      </w:r>
      <w:r w:rsidRPr="004F6FDC">
        <w:rPr>
          <w:rFonts w:cs="Arial"/>
          <w:sz w:val="24"/>
          <w:szCs w:val="24"/>
          <w:lang w:eastAsia="fr-CA"/>
        </w:rPr>
        <w:noBreakHyphen/>
        <w:t>12</w:t>
      </w:r>
      <w:r>
        <w:rPr>
          <w:rStyle w:val="Appelnotedebasdep"/>
          <w:rFonts w:cs="Arial"/>
          <w:sz w:val="24"/>
          <w:szCs w:val="24"/>
          <w:lang w:eastAsia="fr-CA"/>
        </w:rPr>
        <w:footnoteReference w:id="678"/>
      </w:r>
      <w:r w:rsidR="005F5EC9">
        <w:rPr>
          <w:rFonts w:cs="Arial"/>
          <w:sz w:val="24"/>
          <w:szCs w:val="24"/>
          <w:lang w:eastAsia="fr-CA"/>
        </w:rPr>
        <w:t>.</w:t>
      </w:r>
    </w:p>
    <w:p w14:paraId="00C4B481" w14:textId="77777777" w:rsidR="0024458E" w:rsidRPr="004F6FDC" w:rsidRDefault="00730A01" w:rsidP="00443B59">
      <w:pPr>
        <w:pStyle w:val="Citationenretrait"/>
        <w:numPr>
          <w:ilvl w:val="0"/>
          <w:numId w:val="75"/>
        </w:numPr>
        <w:ind w:left="567" w:right="0" w:hanging="283"/>
        <w:rPr>
          <w:rFonts w:cs="Arial"/>
          <w:sz w:val="24"/>
          <w:szCs w:val="24"/>
          <w:lang w:eastAsia="fr-CA"/>
        </w:rPr>
      </w:pPr>
      <w:r w:rsidRPr="004F6FDC">
        <w:rPr>
          <w:rFonts w:cs="Arial"/>
          <w:sz w:val="24"/>
          <w:szCs w:val="24"/>
          <w:lang w:eastAsia="fr-CA"/>
        </w:rPr>
        <w:t>Les procureurs ont ensuite informé le Tribunal de cette vente et du montant à distribuer, et les Demandeurs ont annoncé qu’ils ajusteraient les conclusions en conséquence</w:t>
      </w:r>
      <w:r>
        <w:rPr>
          <w:rStyle w:val="Appelnotedebasdep"/>
          <w:rFonts w:cs="Arial"/>
          <w:sz w:val="24"/>
          <w:szCs w:val="24"/>
          <w:lang w:eastAsia="fr-CA"/>
        </w:rPr>
        <w:footnoteReference w:id="679"/>
      </w:r>
      <w:r w:rsidR="005F5EC9">
        <w:rPr>
          <w:rFonts w:cs="Arial"/>
          <w:sz w:val="24"/>
          <w:szCs w:val="24"/>
          <w:lang w:eastAsia="fr-CA"/>
        </w:rPr>
        <w:t>.</w:t>
      </w:r>
      <w:r w:rsidRPr="004F6FDC">
        <w:rPr>
          <w:rFonts w:cs="Arial"/>
          <w:sz w:val="24"/>
          <w:szCs w:val="24"/>
          <w:lang w:eastAsia="fr-CA"/>
        </w:rPr>
        <w:t xml:space="preserve"> </w:t>
      </w:r>
    </w:p>
    <w:p w14:paraId="154D7B2E" w14:textId="77777777" w:rsidR="008F1BD9" w:rsidRPr="004F6FDC" w:rsidRDefault="00730A01" w:rsidP="00443B59">
      <w:pPr>
        <w:pStyle w:val="Citationenretrait"/>
        <w:numPr>
          <w:ilvl w:val="0"/>
          <w:numId w:val="75"/>
        </w:numPr>
        <w:ind w:left="567" w:right="0" w:hanging="283"/>
        <w:rPr>
          <w:rFonts w:cs="Arial"/>
          <w:sz w:val="24"/>
          <w:szCs w:val="24"/>
          <w:lang w:eastAsia="fr-CA"/>
        </w:rPr>
      </w:pPr>
      <w:r w:rsidRPr="004F6FDC">
        <w:rPr>
          <w:rFonts w:cs="Arial"/>
          <w:sz w:val="24"/>
          <w:szCs w:val="24"/>
          <w:lang w:eastAsia="fr-CA"/>
        </w:rPr>
        <w:t>Vers le 3</w:t>
      </w:r>
      <w:r w:rsidR="0024458E" w:rsidRPr="004F6FDC">
        <w:rPr>
          <w:rFonts w:cs="Arial"/>
          <w:sz w:val="24"/>
          <w:szCs w:val="24"/>
          <w:lang w:eastAsia="fr-CA"/>
        </w:rPr>
        <w:t> </w:t>
      </w:r>
      <w:r w:rsidRPr="004F6FDC">
        <w:rPr>
          <w:rFonts w:cs="Arial"/>
          <w:sz w:val="24"/>
          <w:szCs w:val="24"/>
          <w:lang w:eastAsia="fr-CA"/>
        </w:rPr>
        <w:t>septembre</w:t>
      </w:r>
      <w:r w:rsidR="0024458E" w:rsidRPr="004F6FDC">
        <w:rPr>
          <w:rFonts w:cs="Arial"/>
          <w:sz w:val="24"/>
          <w:szCs w:val="24"/>
          <w:lang w:eastAsia="fr-CA"/>
        </w:rPr>
        <w:t> </w:t>
      </w:r>
      <w:r w:rsidRPr="004F6FDC">
        <w:rPr>
          <w:rFonts w:cs="Arial"/>
          <w:sz w:val="24"/>
          <w:szCs w:val="24"/>
          <w:lang w:eastAsia="fr-CA"/>
        </w:rPr>
        <w:t>2025, Q</w:t>
      </w:r>
      <w:r w:rsidR="0024458E" w:rsidRPr="004F6FDC">
        <w:rPr>
          <w:rFonts w:cs="Arial"/>
          <w:sz w:val="24"/>
          <w:szCs w:val="24"/>
          <w:lang w:eastAsia="fr-CA"/>
        </w:rPr>
        <w:noBreakHyphen/>
      </w:r>
      <w:r w:rsidRPr="004F6FDC">
        <w:rPr>
          <w:rFonts w:cs="Arial"/>
          <w:sz w:val="24"/>
          <w:szCs w:val="24"/>
          <w:lang w:eastAsia="fr-CA"/>
        </w:rPr>
        <w:t>12 a finalement reçu un montant légèrement supérieur, soit : 3</w:t>
      </w:r>
      <w:r w:rsidR="0024458E" w:rsidRPr="004F6FDC">
        <w:rPr>
          <w:rFonts w:cs="Arial"/>
          <w:sz w:val="24"/>
          <w:szCs w:val="24"/>
          <w:lang w:eastAsia="fr-CA"/>
        </w:rPr>
        <w:t> </w:t>
      </w:r>
      <w:r w:rsidRPr="004F6FDC">
        <w:rPr>
          <w:rFonts w:cs="Arial"/>
          <w:sz w:val="24"/>
          <w:szCs w:val="24"/>
          <w:lang w:eastAsia="fr-CA"/>
        </w:rPr>
        <w:t>657</w:t>
      </w:r>
      <w:r w:rsidR="0024458E" w:rsidRPr="004F6FDC">
        <w:rPr>
          <w:rFonts w:cs="Arial"/>
          <w:sz w:val="24"/>
          <w:szCs w:val="24"/>
          <w:lang w:eastAsia="fr-CA"/>
        </w:rPr>
        <w:t> </w:t>
      </w:r>
      <w:r w:rsidRPr="004F6FDC">
        <w:rPr>
          <w:rFonts w:cs="Arial"/>
          <w:sz w:val="24"/>
          <w:szCs w:val="24"/>
          <w:lang w:eastAsia="fr-CA"/>
        </w:rPr>
        <w:t>185,60</w:t>
      </w:r>
      <w:r w:rsidR="0024458E" w:rsidRPr="004F6FDC">
        <w:rPr>
          <w:rFonts w:cs="Arial"/>
          <w:sz w:val="24"/>
          <w:szCs w:val="24"/>
          <w:lang w:eastAsia="fr-CA"/>
        </w:rPr>
        <w:t> </w:t>
      </w:r>
      <w:r w:rsidRPr="004F6FDC">
        <w:rPr>
          <w:rFonts w:cs="Arial"/>
          <w:sz w:val="24"/>
          <w:szCs w:val="24"/>
          <w:lang w:eastAsia="fr-CA"/>
        </w:rPr>
        <w:t>$. Par conséquent, le «</w:t>
      </w:r>
      <w:r w:rsidR="0024458E" w:rsidRPr="004F6FDC">
        <w:rPr>
          <w:rFonts w:cs="Arial"/>
          <w:sz w:val="24"/>
          <w:szCs w:val="24"/>
          <w:lang w:eastAsia="fr-CA"/>
        </w:rPr>
        <w:t> </w:t>
      </w:r>
      <w:r w:rsidRPr="004F6FDC">
        <w:rPr>
          <w:rFonts w:cs="Arial"/>
          <w:sz w:val="24"/>
          <w:szCs w:val="24"/>
          <w:lang w:eastAsia="fr-CA"/>
        </w:rPr>
        <w:t>quantum</w:t>
      </w:r>
      <w:r w:rsidR="0024458E" w:rsidRPr="004F6FDC">
        <w:rPr>
          <w:rFonts w:cs="Arial"/>
          <w:sz w:val="24"/>
          <w:szCs w:val="24"/>
          <w:lang w:eastAsia="fr-CA"/>
        </w:rPr>
        <w:t> </w:t>
      </w:r>
      <w:r w:rsidRPr="004F6FDC">
        <w:rPr>
          <w:rFonts w:cs="Arial"/>
          <w:sz w:val="24"/>
          <w:szCs w:val="24"/>
          <w:lang w:eastAsia="fr-CA"/>
        </w:rPr>
        <w:t>» de la réclamation des Demandeurs a été ajusté pour tenir compte de cette somme encaissée</w:t>
      </w:r>
      <w:r>
        <w:rPr>
          <w:rStyle w:val="Appelnotedebasdep"/>
          <w:rFonts w:cs="Arial"/>
          <w:sz w:val="24"/>
          <w:szCs w:val="24"/>
          <w:lang w:eastAsia="fr-CA"/>
        </w:rPr>
        <w:footnoteReference w:id="680"/>
      </w:r>
      <w:r w:rsidR="005F5EC9">
        <w:rPr>
          <w:rFonts w:cs="Arial"/>
          <w:sz w:val="24"/>
          <w:szCs w:val="24"/>
          <w:lang w:eastAsia="fr-CA"/>
        </w:rPr>
        <w:t>.</w:t>
      </w:r>
    </w:p>
    <w:p w14:paraId="587B3DAC" w14:textId="77777777" w:rsidR="004F6FDC" w:rsidRDefault="00730A01" w:rsidP="00443B59">
      <w:pPr>
        <w:pStyle w:val="Paragraphedeliste"/>
        <w:numPr>
          <w:ilvl w:val="0"/>
          <w:numId w:val="75"/>
        </w:numPr>
        <w:spacing w:before="100" w:beforeAutospacing="1" w:after="100" w:afterAutospacing="1"/>
        <w:ind w:left="567" w:hanging="283"/>
        <w:jc w:val="both"/>
        <w:rPr>
          <w:rFonts w:cs="Arial"/>
          <w:szCs w:val="24"/>
          <w:lang w:eastAsia="fr-CA"/>
        </w:rPr>
      </w:pPr>
      <w:r w:rsidRPr="00B07B6F">
        <w:rPr>
          <w:rFonts w:cs="Arial"/>
          <w:szCs w:val="24"/>
          <w:lang w:eastAsia="fr-CA"/>
        </w:rPr>
        <w:t>En bref, le produit reçu d’environ 3,657</w:t>
      </w:r>
      <w:r w:rsidR="0024458E" w:rsidRPr="00B07B6F">
        <w:rPr>
          <w:rFonts w:cs="Arial"/>
          <w:szCs w:val="24"/>
          <w:lang w:eastAsia="fr-CA"/>
        </w:rPr>
        <w:t> </w:t>
      </w:r>
      <w:r w:rsidRPr="00B07B6F">
        <w:rPr>
          <w:rFonts w:cs="Arial"/>
          <w:szCs w:val="24"/>
          <w:lang w:eastAsia="fr-CA"/>
        </w:rPr>
        <w:t>M$ vient diminuer la réclamation de Q</w:t>
      </w:r>
      <w:r w:rsidR="0024458E" w:rsidRPr="00B07B6F">
        <w:rPr>
          <w:rFonts w:cs="Arial"/>
          <w:szCs w:val="24"/>
          <w:lang w:eastAsia="fr-CA"/>
        </w:rPr>
        <w:noBreakHyphen/>
      </w:r>
      <w:r w:rsidRPr="00B07B6F">
        <w:rPr>
          <w:rFonts w:cs="Arial"/>
          <w:szCs w:val="24"/>
          <w:lang w:eastAsia="fr-CA"/>
        </w:rPr>
        <w:t>12 sur les prêts liés aux Lots Louis</w:t>
      </w:r>
      <w:r w:rsidR="00435086">
        <w:rPr>
          <w:rFonts w:cs="Arial"/>
          <w:szCs w:val="24"/>
          <w:lang w:eastAsia="fr-CA"/>
        </w:rPr>
        <w:t> </w:t>
      </w:r>
      <w:r w:rsidRPr="00B07B6F">
        <w:rPr>
          <w:rFonts w:cs="Arial"/>
          <w:szCs w:val="24"/>
          <w:lang w:eastAsia="fr-CA"/>
        </w:rPr>
        <w:t>XIV, mais il demeure une perte de 8</w:t>
      </w:r>
      <w:r w:rsidR="0024458E" w:rsidRPr="00B07B6F">
        <w:rPr>
          <w:rFonts w:cs="Arial"/>
          <w:szCs w:val="24"/>
          <w:lang w:eastAsia="fr-CA"/>
        </w:rPr>
        <w:t> </w:t>
      </w:r>
      <w:r w:rsidRPr="00B07B6F">
        <w:rPr>
          <w:rFonts w:cs="Arial"/>
          <w:szCs w:val="24"/>
          <w:lang w:eastAsia="fr-CA"/>
        </w:rPr>
        <w:t>192</w:t>
      </w:r>
      <w:r w:rsidR="0024458E" w:rsidRPr="00B07B6F">
        <w:rPr>
          <w:rFonts w:cs="Arial"/>
          <w:szCs w:val="24"/>
          <w:lang w:eastAsia="fr-CA"/>
        </w:rPr>
        <w:t> </w:t>
      </w:r>
      <w:r w:rsidRPr="00B07B6F">
        <w:rPr>
          <w:rFonts w:cs="Arial"/>
          <w:szCs w:val="24"/>
          <w:lang w:eastAsia="fr-CA"/>
        </w:rPr>
        <w:t>814,40</w:t>
      </w:r>
      <w:r w:rsidR="0024458E" w:rsidRPr="00B07B6F">
        <w:rPr>
          <w:rFonts w:cs="Arial"/>
          <w:szCs w:val="24"/>
          <w:lang w:eastAsia="fr-CA"/>
        </w:rPr>
        <w:t> </w:t>
      </w:r>
      <w:r w:rsidRPr="00B07B6F">
        <w:rPr>
          <w:rFonts w:cs="Arial"/>
          <w:szCs w:val="24"/>
          <w:lang w:eastAsia="fr-CA"/>
        </w:rPr>
        <w:t>$ sur les deux prêts totalisant 11,888</w:t>
      </w:r>
      <w:r w:rsidR="0024458E" w:rsidRPr="00B07B6F">
        <w:rPr>
          <w:rFonts w:cs="Arial"/>
          <w:szCs w:val="24"/>
          <w:lang w:eastAsia="fr-CA"/>
        </w:rPr>
        <w:t> </w:t>
      </w:r>
      <w:r w:rsidRPr="00B07B6F">
        <w:rPr>
          <w:rFonts w:cs="Arial"/>
          <w:szCs w:val="24"/>
          <w:lang w:eastAsia="fr-CA"/>
        </w:rPr>
        <w:t>M$ consentis pour ces projets (11</w:t>
      </w:r>
      <w:r w:rsidR="0024458E" w:rsidRPr="00B07B6F">
        <w:rPr>
          <w:rFonts w:cs="Arial"/>
          <w:szCs w:val="24"/>
          <w:lang w:eastAsia="fr-CA"/>
        </w:rPr>
        <w:t> </w:t>
      </w:r>
      <w:r w:rsidRPr="00B07B6F">
        <w:rPr>
          <w:rFonts w:cs="Arial"/>
          <w:szCs w:val="24"/>
          <w:lang w:eastAsia="fr-CA"/>
        </w:rPr>
        <w:t>850</w:t>
      </w:r>
      <w:r w:rsidR="0024458E" w:rsidRPr="00B07B6F">
        <w:rPr>
          <w:rFonts w:cs="Arial"/>
          <w:szCs w:val="24"/>
          <w:lang w:eastAsia="fr-CA"/>
        </w:rPr>
        <w:t> </w:t>
      </w:r>
      <w:r w:rsidRPr="00B07B6F">
        <w:rPr>
          <w:rFonts w:cs="Arial"/>
          <w:szCs w:val="24"/>
          <w:lang w:eastAsia="fr-CA"/>
        </w:rPr>
        <w:t>000</w:t>
      </w:r>
      <w:r w:rsidR="0024458E" w:rsidRPr="00B07B6F">
        <w:rPr>
          <w:rFonts w:cs="Arial"/>
          <w:szCs w:val="24"/>
          <w:lang w:eastAsia="fr-CA"/>
        </w:rPr>
        <w:t> </w:t>
      </w:r>
      <w:r w:rsidRPr="00B07B6F">
        <w:rPr>
          <w:rFonts w:cs="Arial"/>
          <w:szCs w:val="24"/>
          <w:lang w:eastAsia="fr-CA"/>
        </w:rPr>
        <w:t>$</w:t>
      </w:r>
      <w:r w:rsidR="005F5EC9">
        <w:rPr>
          <w:rFonts w:cs="Arial"/>
          <w:szCs w:val="24"/>
          <w:lang w:eastAsia="fr-CA"/>
        </w:rPr>
        <w:t> </w:t>
      </w:r>
      <w:r w:rsidRPr="00B07B6F">
        <w:rPr>
          <w:rFonts w:cs="Arial"/>
          <w:szCs w:val="24"/>
          <w:lang w:eastAsia="fr-CA"/>
        </w:rPr>
        <w:t>−</w:t>
      </w:r>
      <w:r w:rsidR="005F5EC9">
        <w:rPr>
          <w:rFonts w:cs="Arial"/>
          <w:szCs w:val="24"/>
          <w:lang w:eastAsia="fr-CA"/>
        </w:rPr>
        <w:t> </w:t>
      </w:r>
      <w:r w:rsidRPr="00B07B6F">
        <w:rPr>
          <w:rFonts w:cs="Arial"/>
          <w:szCs w:val="24"/>
          <w:lang w:eastAsia="fr-CA"/>
        </w:rPr>
        <w:t>3</w:t>
      </w:r>
      <w:r w:rsidR="0024458E" w:rsidRPr="00B07B6F">
        <w:rPr>
          <w:rFonts w:cs="Arial"/>
          <w:szCs w:val="24"/>
          <w:lang w:eastAsia="fr-CA"/>
        </w:rPr>
        <w:t> </w:t>
      </w:r>
      <w:r w:rsidRPr="00B07B6F">
        <w:rPr>
          <w:rFonts w:cs="Arial"/>
          <w:szCs w:val="24"/>
          <w:lang w:eastAsia="fr-CA"/>
        </w:rPr>
        <w:t>657</w:t>
      </w:r>
      <w:r w:rsidR="0024458E" w:rsidRPr="00B07B6F">
        <w:rPr>
          <w:rFonts w:cs="Arial"/>
          <w:szCs w:val="24"/>
          <w:lang w:eastAsia="fr-CA"/>
        </w:rPr>
        <w:t> </w:t>
      </w:r>
      <w:r w:rsidRPr="00B07B6F">
        <w:rPr>
          <w:rFonts w:cs="Arial"/>
          <w:szCs w:val="24"/>
          <w:lang w:eastAsia="fr-CA"/>
        </w:rPr>
        <w:t>185,60</w:t>
      </w:r>
      <w:r w:rsidR="0024458E" w:rsidRPr="00B07B6F">
        <w:rPr>
          <w:rFonts w:cs="Arial"/>
          <w:szCs w:val="24"/>
          <w:lang w:eastAsia="fr-CA"/>
        </w:rPr>
        <w:t> </w:t>
      </w:r>
      <w:r w:rsidRPr="00B07B6F">
        <w:rPr>
          <w:rFonts w:cs="Arial"/>
          <w:szCs w:val="24"/>
          <w:lang w:eastAsia="fr-CA"/>
        </w:rPr>
        <w:t>$</w:t>
      </w:r>
      <w:r w:rsidR="005F5EC9">
        <w:rPr>
          <w:rFonts w:cs="Arial"/>
          <w:szCs w:val="24"/>
          <w:lang w:eastAsia="fr-CA"/>
        </w:rPr>
        <w:t> </w:t>
      </w:r>
      <w:r w:rsidRPr="00B07B6F">
        <w:rPr>
          <w:rFonts w:cs="Arial"/>
          <w:szCs w:val="24"/>
          <w:lang w:eastAsia="fr-CA"/>
        </w:rPr>
        <w:t>=</w:t>
      </w:r>
      <w:r w:rsidR="005F5EC9">
        <w:rPr>
          <w:rFonts w:cs="Arial"/>
          <w:szCs w:val="24"/>
          <w:lang w:eastAsia="fr-CA"/>
        </w:rPr>
        <w:t> </w:t>
      </w:r>
      <w:r w:rsidRPr="00B07B6F">
        <w:rPr>
          <w:rFonts w:cs="Arial"/>
          <w:szCs w:val="24"/>
          <w:lang w:eastAsia="fr-CA"/>
        </w:rPr>
        <w:t>8</w:t>
      </w:r>
      <w:r w:rsidR="0024458E" w:rsidRPr="00B07B6F">
        <w:rPr>
          <w:rFonts w:cs="Arial"/>
          <w:szCs w:val="24"/>
          <w:lang w:eastAsia="fr-CA"/>
        </w:rPr>
        <w:t> </w:t>
      </w:r>
      <w:r w:rsidRPr="00B07B6F">
        <w:rPr>
          <w:rFonts w:cs="Arial"/>
          <w:szCs w:val="24"/>
          <w:lang w:eastAsia="fr-CA"/>
        </w:rPr>
        <w:t>192</w:t>
      </w:r>
      <w:r w:rsidR="0024458E" w:rsidRPr="00B07B6F">
        <w:rPr>
          <w:rFonts w:cs="Arial"/>
          <w:szCs w:val="24"/>
          <w:lang w:eastAsia="fr-CA"/>
        </w:rPr>
        <w:t> </w:t>
      </w:r>
      <w:r w:rsidRPr="00B07B6F">
        <w:rPr>
          <w:rFonts w:cs="Arial"/>
          <w:szCs w:val="24"/>
          <w:lang w:eastAsia="fr-CA"/>
        </w:rPr>
        <w:t>814,40</w:t>
      </w:r>
      <w:r w:rsidR="0024458E" w:rsidRPr="00B07B6F">
        <w:rPr>
          <w:rFonts w:cs="Arial"/>
          <w:szCs w:val="24"/>
          <w:lang w:eastAsia="fr-CA"/>
        </w:rPr>
        <w:t> </w:t>
      </w:r>
      <w:r w:rsidRPr="00B07B6F">
        <w:rPr>
          <w:rFonts w:cs="Arial"/>
          <w:szCs w:val="24"/>
          <w:lang w:eastAsia="fr-CA"/>
        </w:rPr>
        <w:t>$). En ajoutant les intérêts non payés de janvier à octobre</w:t>
      </w:r>
      <w:r w:rsidR="005F5EC9">
        <w:rPr>
          <w:rFonts w:cs="Arial"/>
          <w:szCs w:val="24"/>
          <w:lang w:eastAsia="fr-CA"/>
        </w:rPr>
        <w:t> </w:t>
      </w:r>
      <w:r w:rsidRPr="00B07B6F">
        <w:rPr>
          <w:rFonts w:cs="Arial"/>
          <w:szCs w:val="24"/>
          <w:lang w:eastAsia="fr-CA"/>
        </w:rPr>
        <w:t>2023 totalisant 1 511</w:t>
      </w:r>
      <w:r w:rsidR="0024458E" w:rsidRPr="00B07B6F">
        <w:rPr>
          <w:rFonts w:cs="Arial"/>
          <w:szCs w:val="24"/>
          <w:lang w:eastAsia="fr-CA"/>
        </w:rPr>
        <w:t> </w:t>
      </w:r>
      <w:r w:rsidRPr="00B07B6F">
        <w:rPr>
          <w:rFonts w:cs="Arial"/>
          <w:szCs w:val="24"/>
          <w:lang w:eastAsia="fr-CA"/>
        </w:rPr>
        <w:t>250</w:t>
      </w:r>
      <w:r w:rsidR="0024458E" w:rsidRPr="00B07B6F">
        <w:rPr>
          <w:rFonts w:cs="Arial"/>
          <w:szCs w:val="24"/>
          <w:lang w:eastAsia="fr-CA"/>
        </w:rPr>
        <w:t> </w:t>
      </w:r>
      <w:r w:rsidRPr="00B07B6F">
        <w:rPr>
          <w:rFonts w:cs="Arial"/>
          <w:szCs w:val="24"/>
          <w:lang w:eastAsia="fr-CA"/>
        </w:rPr>
        <w:t>$, la perte encourue en lien avec ce projet est de 9 704</w:t>
      </w:r>
      <w:r w:rsidR="00886C45">
        <w:rPr>
          <w:rFonts w:cs="Arial"/>
          <w:szCs w:val="24"/>
          <w:lang w:eastAsia="fr-CA"/>
        </w:rPr>
        <w:t> </w:t>
      </w:r>
      <w:r w:rsidRPr="00B07B6F">
        <w:rPr>
          <w:rFonts w:cs="Arial"/>
          <w:szCs w:val="24"/>
          <w:lang w:eastAsia="fr-CA"/>
        </w:rPr>
        <w:t>0</w:t>
      </w:r>
      <w:r w:rsidR="00886C45">
        <w:rPr>
          <w:rFonts w:cs="Arial"/>
          <w:szCs w:val="24"/>
          <w:lang w:eastAsia="fr-CA"/>
        </w:rPr>
        <w:t>6</w:t>
      </w:r>
      <w:r w:rsidRPr="00B07B6F">
        <w:rPr>
          <w:rFonts w:cs="Arial"/>
          <w:szCs w:val="24"/>
          <w:lang w:eastAsia="fr-CA"/>
        </w:rPr>
        <w:t>4</w:t>
      </w:r>
      <w:r w:rsidR="00886C45">
        <w:rPr>
          <w:rFonts w:cs="Arial"/>
          <w:szCs w:val="24"/>
          <w:lang w:eastAsia="fr-CA"/>
        </w:rPr>
        <w:t>,40</w:t>
      </w:r>
      <w:r w:rsidR="0024458E" w:rsidRPr="00B07B6F">
        <w:rPr>
          <w:rFonts w:cs="Arial"/>
          <w:szCs w:val="24"/>
          <w:lang w:eastAsia="fr-CA"/>
        </w:rPr>
        <w:t> </w:t>
      </w:r>
      <w:r w:rsidRPr="00B07B6F">
        <w:rPr>
          <w:rFonts w:cs="Arial"/>
          <w:szCs w:val="24"/>
          <w:lang w:eastAsia="fr-CA"/>
        </w:rPr>
        <w:t>$</w:t>
      </w:r>
      <w:r>
        <w:rPr>
          <w:rFonts w:cs="Arial"/>
          <w:szCs w:val="24"/>
          <w:lang w:eastAsia="fr-CA"/>
        </w:rPr>
        <w:t>.</w:t>
      </w:r>
    </w:p>
    <w:p w14:paraId="0AF9CA0A" w14:textId="77777777" w:rsidR="00893685" w:rsidRDefault="00730A01">
      <w:pPr>
        <w:rPr>
          <w:rFonts w:cs="Arial"/>
          <w:szCs w:val="24"/>
          <w:lang w:eastAsia="fr-CA"/>
        </w:rPr>
      </w:pPr>
      <w:r>
        <w:rPr>
          <w:rFonts w:cs="Arial"/>
          <w:szCs w:val="24"/>
          <w:lang w:eastAsia="fr-CA"/>
        </w:rPr>
        <w:br w:type="page"/>
      </w:r>
    </w:p>
    <w:p w14:paraId="2BC895A2" w14:textId="77777777" w:rsidR="008900D7" w:rsidRPr="00B521C9" w:rsidRDefault="00730A01" w:rsidP="00443B59">
      <w:pPr>
        <w:pStyle w:val="Titre2"/>
        <w:numPr>
          <w:ilvl w:val="2"/>
          <w:numId w:val="123"/>
        </w:numPr>
        <w:spacing w:after="120"/>
        <w:ind w:left="426" w:hanging="426"/>
        <w:rPr>
          <w:smallCaps/>
        </w:rPr>
      </w:pPr>
      <w:r w:rsidRPr="00B521C9">
        <w:rPr>
          <w:smallCaps/>
        </w:rPr>
        <w:t>Le</w:t>
      </w:r>
      <w:r w:rsidR="00F16D45" w:rsidRPr="00B521C9">
        <w:rPr>
          <w:smallCaps/>
        </w:rPr>
        <w:t xml:space="preserve"> projet </w:t>
      </w:r>
      <w:r w:rsidRPr="00B521C9">
        <w:rPr>
          <w:smallCaps/>
        </w:rPr>
        <w:t>Kepler (P064)</w:t>
      </w:r>
    </w:p>
    <w:p w14:paraId="492143F0" w14:textId="77777777" w:rsidR="00F76DE9" w:rsidRPr="00BC744C" w:rsidRDefault="00730A01" w:rsidP="00BC744C">
      <w:pPr>
        <w:pStyle w:val="NormalWeb"/>
        <w:spacing w:before="120" w:after="120"/>
        <w:jc w:val="both"/>
        <w:rPr>
          <w:rFonts w:ascii="Arial" w:hAnsi="Arial" w:cs="Arial"/>
        </w:rPr>
      </w:pPr>
      <w:r w:rsidRPr="004F6FDC">
        <w:rPr>
          <w:rFonts w:ascii="Arial" w:hAnsi="Arial" w:cs="Arial"/>
        </w:rPr>
        <w:t xml:space="preserve">Le </w:t>
      </w:r>
      <w:r w:rsidRPr="004F6FDC">
        <w:rPr>
          <w:rStyle w:val="lev"/>
          <w:rFonts w:ascii="Arial" w:hAnsi="Arial" w:cs="Arial"/>
          <w:b w:val="0"/>
          <w:bCs w:val="0"/>
        </w:rPr>
        <w:t>prêt Q12-P064</w:t>
      </w:r>
      <w:r w:rsidRPr="004F6FDC">
        <w:rPr>
          <w:rFonts w:ascii="Arial" w:hAnsi="Arial" w:cs="Arial"/>
          <w:b/>
          <w:bCs/>
        </w:rPr>
        <w:t xml:space="preserve"> </w:t>
      </w:r>
      <w:r w:rsidRPr="004F6FDC">
        <w:rPr>
          <w:rFonts w:ascii="Arial" w:hAnsi="Arial" w:cs="Arial"/>
        </w:rPr>
        <w:t>vise l’agrandissement de</w:t>
      </w:r>
      <w:r w:rsidRPr="004F6FDC">
        <w:rPr>
          <w:rFonts w:ascii="Arial" w:hAnsi="Arial" w:cs="Arial"/>
          <w:b/>
          <w:bCs/>
        </w:rPr>
        <w:t xml:space="preserve"> </w:t>
      </w:r>
      <w:r w:rsidRPr="004F6FDC">
        <w:rPr>
          <w:rFonts w:ascii="Arial" w:hAnsi="Arial" w:cs="Arial"/>
        </w:rPr>
        <w:t>l’</w:t>
      </w:r>
      <w:r w:rsidRPr="004F6FDC">
        <w:rPr>
          <w:rStyle w:val="lev"/>
          <w:rFonts w:ascii="Arial" w:hAnsi="Arial" w:cs="Arial"/>
          <w:b w:val="0"/>
          <w:bCs w:val="0"/>
        </w:rPr>
        <w:t>immeuble située au 2935</w:t>
      </w:r>
      <w:r w:rsidR="00435086">
        <w:rPr>
          <w:rStyle w:val="lev"/>
          <w:rFonts w:ascii="Arial" w:hAnsi="Arial" w:cs="Arial"/>
          <w:b w:val="0"/>
          <w:bCs w:val="0"/>
        </w:rPr>
        <w:t>,</w:t>
      </w:r>
      <w:r w:rsidRPr="004F6FDC">
        <w:rPr>
          <w:rStyle w:val="lev"/>
          <w:rFonts w:ascii="Arial" w:hAnsi="Arial" w:cs="Arial"/>
          <w:b w:val="0"/>
          <w:bCs w:val="0"/>
        </w:rPr>
        <w:t xml:space="preserve"> </w:t>
      </w:r>
      <w:r w:rsidR="00435086">
        <w:rPr>
          <w:rStyle w:val="lev"/>
          <w:rFonts w:ascii="Arial" w:hAnsi="Arial" w:cs="Arial"/>
          <w:b w:val="0"/>
          <w:bCs w:val="0"/>
        </w:rPr>
        <w:t>a</w:t>
      </w:r>
      <w:r w:rsidRPr="004F6FDC">
        <w:rPr>
          <w:rStyle w:val="lev"/>
          <w:rFonts w:ascii="Arial" w:hAnsi="Arial" w:cs="Arial"/>
          <w:b w:val="0"/>
          <w:bCs w:val="0"/>
        </w:rPr>
        <w:t>v. Kepler</w:t>
      </w:r>
      <w:r>
        <w:rPr>
          <w:rStyle w:val="Appelnotedebasdep"/>
          <w:rFonts w:ascii="Arial" w:hAnsi="Arial" w:cs="Arial"/>
        </w:rPr>
        <w:footnoteReference w:id="681"/>
      </w:r>
      <w:r w:rsidR="005F5EC9" w:rsidRPr="00BC744C">
        <w:rPr>
          <w:rFonts w:ascii="Arial" w:hAnsi="Arial" w:cs="Arial"/>
        </w:rPr>
        <w:t>.</w:t>
      </w:r>
    </w:p>
    <w:p w14:paraId="1C383118" w14:textId="77777777" w:rsidR="00F76DE9" w:rsidRPr="004F6FDC" w:rsidRDefault="00730A01" w:rsidP="00BC744C">
      <w:pPr>
        <w:pStyle w:val="NormalWeb"/>
        <w:tabs>
          <w:tab w:val="left" w:pos="1276"/>
        </w:tabs>
        <w:spacing w:after="120"/>
        <w:jc w:val="both"/>
        <w:rPr>
          <w:rFonts w:ascii="Arial" w:hAnsi="Arial" w:cs="Arial"/>
        </w:rPr>
      </w:pPr>
      <w:r w:rsidRPr="004F6FDC">
        <w:rPr>
          <w:rFonts w:ascii="Arial" w:hAnsi="Arial" w:cs="Arial"/>
        </w:rPr>
        <w:t>Ce prêt de 5</w:t>
      </w:r>
      <w:r w:rsidR="007D272E" w:rsidRPr="004F6FDC">
        <w:rPr>
          <w:rFonts w:ascii="Arial" w:hAnsi="Arial" w:cs="Arial"/>
        </w:rPr>
        <w:t>,</w:t>
      </w:r>
      <w:r w:rsidRPr="004F6FDC">
        <w:rPr>
          <w:rFonts w:ascii="Arial" w:hAnsi="Arial" w:cs="Arial"/>
        </w:rPr>
        <w:t>25</w:t>
      </w:r>
      <w:r w:rsidR="007D272E" w:rsidRPr="004F6FDC">
        <w:rPr>
          <w:rFonts w:ascii="Arial" w:hAnsi="Arial" w:cs="Arial"/>
        </w:rPr>
        <w:t> </w:t>
      </w:r>
      <w:r w:rsidRPr="004F6FDC">
        <w:rPr>
          <w:rFonts w:ascii="Arial" w:hAnsi="Arial" w:cs="Arial"/>
        </w:rPr>
        <w:t xml:space="preserve">M$, garanti par une </w:t>
      </w:r>
      <w:r w:rsidRPr="004F6FDC">
        <w:rPr>
          <w:rStyle w:val="lev"/>
          <w:rFonts w:ascii="Arial" w:hAnsi="Arial" w:cs="Arial"/>
          <w:b w:val="0"/>
          <w:bCs w:val="0"/>
        </w:rPr>
        <w:t>hypothèque immobilière de 2</w:t>
      </w:r>
      <w:r w:rsidRPr="005F5EC9">
        <w:rPr>
          <w:rStyle w:val="lev"/>
          <w:rFonts w:ascii="Arial" w:hAnsi="Arial" w:cs="Arial"/>
          <w:b w:val="0"/>
          <w:bCs w:val="0"/>
          <w:vertAlign w:val="superscript"/>
        </w:rPr>
        <w:t>e</w:t>
      </w:r>
      <w:r w:rsidR="005F5EC9">
        <w:rPr>
          <w:rStyle w:val="lev"/>
          <w:rFonts w:ascii="Arial" w:hAnsi="Arial" w:cs="Arial"/>
          <w:b w:val="0"/>
          <w:bCs w:val="0"/>
        </w:rPr>
        <w:t> </w:t>
      </w:r>
      <w:r w:rsidRPr="004F6FDC">
        <w:rPr>
          <w:rStyle w:val="lev"/>
          <w:rFonts w:ascii="Arial" w:hAnsi="Arial" w:cs="Arial"/>
          <w:b w:val="0"/>
          <w:bCs w:val="0"/>
        </w:rPr>
        <w:t>rang</w:t>
      </w:r>
      <w:r w:rsidRPr="004F6FDC">
        <w:rPr>
          <w:rFonts w:ascii="Arial" w:hAnsi="Arial" w:cs="Arial"/>
        </w:rPr>
        <w:t xml:space="preserve"> sur le lot 1</w:t>
      </w:r>
      <w:r w:rsidR="007D272E" w:rsidRPr="004F6FDC">
        <w:rPr>
          <w:rFonts w:ascii="Arial" w:hAnsi="Arial" w:cs="Arial"/>
        </w:rPr>
        <w:t> </w:t>
      </w:r>
      <w:r w:rsidRPr="004F6FDC">
        <w:rPr>
          <w:rFonts w:ascii="Arial" w:hAnsi="Arial" w:cs="Arial"/>
        </w:rPr>
        <w:t>532</w:t>
      </w:r>
      <w:r w:rsidR="007D272E" w:rsidRPr="004F6FDC">
        <w:rPr>
          <w:rFonts w:ascii="Arial" w:hAnsi="Arial" w:cs="Arial"/>
        </w:rPr>
        <w:t> </w:t>
      </w:r>
      <w:r w:rsidRPr="004F6FDC">
        <w:rPr>
          <w:rFonts w:ascii="Arial" w:hAnsi="Arial" w:cs="Arial"/>
        </w:rPr>
        <w:t xml:space="preserve">982 du cadastre du Québec et une </w:t>
      </w:r>
      <w:r w:rsidRPr="004F6FDC">
        <w:rPr>
          <w:rStyle w:val="lev"/>
          <w:rFonts w:ascii="Arial" w:hAnsi="Arial" w:cs="Arial"/>
          <w:b w:val="0"/>
          <w:bCs w:val="0"/>
        </w:rPr>
        <w:t>hypothèque mobilière</w:t>
      </w:r>
      <w:r w:rsidRPr="004F6FDC">
        <w:rPr>
          <w:rFonts w:ascii="Arial" w:hAnsi="Arial" w:cs="Arial"/>
          <w:b/>
          <w:bCs/>
        </w:rPr>
        <w:t xml:space="preserve"> </w:t>
      </w:r>
      <w:r w:rsidRPr="004F6FDC">
        <w:rPr>
          <w:rFonts w:ascii="Arial" w:hAnsi="Arial" w:cs="Arial"/>
        </w:rPr>
        <w:t xml:space="preserve">sur les biens de l’emprunteur, a été conclu le </w:t>
      </w:r>
      <w:r w:rsidRPr="004F6FDC">
        <w:rPr>
          <w:rStyle w:val="lev"/>
          <w:rFonts w:ascii="Arial" w:hAnsi="Arial" w:cs="Arial"/>
          <w:b w:val="0"/>
          <w:bCs w:val="0"/>
        </w:rPr>
        <w:t>30</w:t>
      </w:r>
      <w:r w:rsidR="007D272E" w:rsidRPr="004F6FDC">
        <w:rPr>
          <w:rStyle w:val="lev"/>
          <w:rFonts w:ascii="Arial" w:hAnsi="Arial" w:cs="Arial"/>
          <w:b w:val="0"/>
          <w:bCs w:val="0"/>
        </w:rPr>
        <w:t> </w:t>
      </w:r>
      <w:r w:rsidRPr="004F6FDC">
        <w:rPr>
          <w:rStyle w:val="lev"/>
          <w:rFonts w:ascii="Arial" w:hAnsi="Arial" w:cs="Arial"/>
          <w:b w:val="0"/>
          <w:bCs w:val="0"/>
        </w:rPr>
        <w:t>septembre</w:t>
      </w:r>
      <w:r w:rsidR="007D272E" w:rsidRPr="004F6FDC">
        <w:rPr>
          <w:rStyle w:val="lev"/>
          <w:rFonts w:ascii="Arial" w:hAnsi="Arial" w:cs="Arial"/>
          <w:b w:val="0"/>
          <w:bCs w:val="0"/>
        </w:rPr>
        <w:t> </w:t>
      </w:r>
      <w:r w:rsidRPr="004F6FDC">
        <w:rPr>
          <w:rStyle w:val="lev"/>
          <w:rFonts w:ascii="Arial" w:hAnsi="Arial" w:cs="Arial"/>
          <w:b w:val="0"/>
          <w:bCs w:val="0"/>
        </w:rPr>
        <w:t>2021</w:t>
      </w:r>
      <w:r>
        <w:rPr>
          <w:rStyle w:val="Appelnotedebasdep"/>
          <w:rFonts w:ascii="Arial" w:hAnsi="Arial" w:cs="Arial"/>
        </w:rPr>
        <w:footnoteReference w:id="682"/>
      </w:r>
      <w:r w:rsidR="005F5EC9">
        <w:rPr>
          <w:rFonts w:ascii="Arial" w:hAnsi="Arial" w:cs="Arial"/>
        </w:rPr>
        <w:t>.</w:t>
      </w:r>
    </w:p>
    <w:p w14:paraId="32C03691" w14:textId="77777777" w:rsidR="00F76DE9" w:rsidRPr="004F6FDC" w:rsidRDefault="00730A01" w:rsidP="00BC744C">
      <w:pPr>
        <w:pStyle w:val="NormalWeb"/>
        <w:spacing w:after="120"/>
        <w:jc w:val="both"/>
        <w:rPr>
          <w:rFonts w:ascii="Arial" w:hAnsi="Arial" w:cs="Arial"/>
        </w:rPr>
      </w:pPr>
      <w:r w:rsidRPr="004F6FDC">
        <w:rPr>
          <w:rFonts w:ascii="Arial" w:hAnsi="Arial" w:cs="Arial"/>
        </w:rPr>
        <w:t xml:space="preserve">Quelques jours après le décaissement du prêt Kepler, une avance de de fonds de </w:t>
      </w:r>
      <w:r w:rsidRPr="004F6FDC">
        <w:rPr>
          <w:rStyle w:val="lev"/>
          <w:rFonts w:ascii="Arial" w:hAnsi="Arial" w:cs="Arial"/>
          <w:b w:val="0"/>
          <w:bCs w:val="0"/>
        </w:rPr>
        <w:t>5</w:t>
      </w:r>
      <w:r w:rsidR="007D272E" w:rsidRPr="004F6FDC">
        <w:rPr>
          <w:rStyle w:val="lev"/>
          <w:rFonts w:ascii="Arial" w:hAnsi="Arial" w:cs="Arial"/>
          <w:b w:val="0"/>
          <w:bCs w:val="0"/>
        </w:rPr>
        <w:t> </w:t>
      </w:r>
      <w:r w:rsidRPr="004F6FDC">
        <w:rPr>
          <w:rStyle w:val="lev"/>
          <w:rFonts w:ascii="Arial" w:hAnsi="Arial" w:cs="Arial"/>
          <w:b w:val="0"/>
          <w:bCs w:val="0"/>
        </w:rPr>
        <w:t>013</w:t>
      </w:r>
      <w:r w:rsidR="007D272E" w:rsidRPr="004F6FDC">
        <w:rPr>
          <w:rStyle w:val="lev"/>
          <w:rFonts w:ascii="Arial" w:hAnsi="Arial" w:cs="Arial"/>
          <w:b w:val="0"/>
          <w:bCs w:val="0"/>
        </w:rPr>
        <w:t> </w:t>
      </w:r>
      <w:r w:rsidRPr="004F6FDC">
        <w:rPr>
          <w:rStyle w:val="lev"/>
          <w:rFonts w:ascii="Arial" w:hAnsi="Arial" w:cs="Arial"/>
          <w:b w:val="0"/>
          <w:bCs w:val="0"/>
        </w:rPr>
        <w:t>700</w:t>
      </w:r>
      <w:r w:rsidR="007D272E" w:rsidRPr="004F6FDC">
        <w:rPr>
          <w:rStyle w:val="lev"/>
          <w:rFonts w:ascii="Arial" w:hAnsi="Arial" w:cs="Arial"/>
          <w:b w:val="0"/>
          <w:bCs w:val="0"/>
        </w:rPr>
        <w:t> </w:t>
      </w:r>
      <w:r w:rsidRPr="004F6FDC">
        <w:rPr>
          <w:rStyle w:val="lev"/>
          <w:rFonts w:ascii="Arial" w:hAnsi="Arial" w:cs="Arial"/>
          <w:b w:val="0"/>
          <w:bCs w:val="0"/>
        </w:rPr>
        <w:t>$</w:t>
      </w:r>
      <w:r w:rsidRPr="004F6FDC">
        <w:rPr>
          <w:rFonts w:ascii="Arial" w:hAnsi="Arial" w:cs="Arial"/>
        </w:rPr>
        <w:t xml:space="preserve"> a ensuite été faite à </w:t>
      </w:r>
      <w:r w:rsidRPr="004F6FDC">
        <w:rPr>
          <w:rStyle w:val="lev"/>
          <w:rFonts w:ascii="Arial" w:hAnsi="Arial" w:cs="Arial"/>
          <w:b w:val="0"/>
          <w:bCs w:val="0"/>
        </w:rPr>
        <w:t>SPH</w:t>
      </w:r>
      <w:r w:rsidRPr="004F6FDC">
        <w:rPr>
          <w:rFonts w:ascii="Arial" w:hAnsi="Arial" w:cs="Arial"/>
        </w:rPr>
        <w:t>, remboursée en partie en</w:t>
      </w:r>
      <w:r w:rsidR="005F5EC9">
        <w:rPr>
          <w:rFonts w:ascii="Arial" w:hAnsi="Arial" w:cs="Arial"/>
        </w:rPr>
        <w:t> </w:t>
      </w:r>
      <w:r w:rsidRPr="004F6FDC">
        <w:rPr>
          <w:rFonts w:ascii="Arial" w:hAnsi="Arial" w:cs="Arial"/>
        </w:rPr>
        <w:t>2022</w:t>
      </w:r>
      <w:r>
        <w:rPr>
          <w:rStyle w:val="Appelnotedebasdep"/>
          <w:rFonts w:ascii="Arial" w:hAnsi="Arial" w:cs="Arial"/>
        </w:rPr>
        <w:footnoteReference w:id="683"/>
      </w:r>
      <w:r w:rsidR="005F5EC9">
        <w:rPr>
          <w:rFonts w:ascii="Arial" w:hAnsi="Arial" w:cs="Arial"/>
        </w:rPr>
        <w:t>.</w:t>
      </w:r>
    </w:p>
    <w:p w14:paraId="12FA3225" w14:textId="77777777" w:rsidR="00F76DE9" w:rsidRPr="004F6FDC" w:rsidRDefault="00730A01" w:rsidP="00BC744C">
      <w:pPr>
        <w:pStyle w:val="NormalWeb"/>
        <w:spacing w:after="120"/>
        <w:jc w:val="both"/>
        <w:rPr>
          <w:rFonts w:ascii="Arial" w:hAnsi="Arial" w:cs="Arial"/>
        </w:rPr>
      </w:pPr>
      <w:r w:rsidRPr="004F6FDC">
        <w:rPr>
          <w:rFonts w:ascii="Arial" w:hAnsi="Arial" w:cs="Arial"/>
        </w:rPr>
        <w:t xml:space="preserve">Des </w:t>
      </w:r>
      <w:r w:rsidRPr="004F6FDC">
        <w:rPr>
          <w:rStyle w:val="lev"/>
          <w:rFonts w:ascii="Arial" w:hAnsi="Arial" w:cs="Arial"/>
          <w:b w:val="0"/>
          <w:bCs w:val="0"/>
        </w:rPr>
        <w:t>frais de dossier de 157</w:t>
      </w:r>
      <w:r w:rsidR="007D272E" w:rsidRPr="004F6FDC">
        <w:rPr>
          <w:rStyle w:val="lev"/>
          <w:rFonts w:ascii="Arial" w:hAnsi="Arial" w:cs="Arial"/>
          <w:b w:val="0"/>
          <w:bCs w:val="0"/>
        </w:rPr>
        <w:t> </w:t>
      </w:r>
      <w:r w:rsidRPr="004F6FDC">
        <w:rPr>
          <w:rStyle w:val="lev"/>
          <w:rFonts w:ascii="Arial" w:hAnsi="Arial" w:cs="Arial"/>
          <w:b w:val="0"/>
          <w:bCs w:val="0"/>
        </w:rPr>
        <w:t>500</w:t>
      </w:r>
      <w:r w:rsidR="007D272E" w:rsidRPr="004F6FDC">
        <w:rPr>
          <w:rStyle w:val="lev"/>
          <w:rFonts w:ascii="Arial" w:hAnsi="Arial" w:cs="Arial"/>
          <w:b w:val="0"/>
          <w:bCs w:val="0"/>
        </w:rPr>
        <w:t> </w:t>
      </w:r>
      <w:r w:rsidRPr="004F6FDC">
        <w:rPr>
          <w:rStyle w:val="lev"/>
          <w:rFonts w:ascii="Arial" w:hAnsi="Arial" w:cs="Arial"/>
          <w:b w:val="0"/>
          <w:bCs w:val="0"/>
        </w:rPr>
        <w:t>$</w:t>
      </w:r>
      <w:r w:rsidRPr="004F6FDC">
        <w:rPr>
          <w:rFonts w:ascii="Arial" w:hAnsi="Arial" w:cs="Arial"/>
        </w:rPr>
        <w:t xml:space="preserve"> (3</w:t>
      </w:r>
      <w:r w:rsidR="007D272E" w:rsidRPr="004F6FDC">
        <w:rPr>
          <w:rFonts w:ascii="Arial" w:hAnsi="Arial" w:cs="Arial"/>
        </w:rPr>
        <w:t> </w:t>
      </w:r>
      <w:r w:rsidRPr="004F6FDC">
        <w:rPr>
          <w:rFonts w:ascii="Arial" w:hAnsi="Arial" w:cs="Arial"/>
        </w:rPr>
        <w:t xml:space="preserve">%) ont été versés à </w:t>
      </w:r>
      <w:r w:rsidRPr="004F6FDC">
        <w:rPr>
          <w:rStyle w:val="lev"/>
          <w:rFonts w:ascii="Arial" w:hAnsi="Arial" w:cs="Arial"/>
          <w:b w:val="0"/>
          <w:bCs w:val="0"/>
        </w:rPr>
        <w:t>X2</w:t>
      </w:r>
      <w:r w:rsidR="00B521C9">
        <w:rPr>
          <w:rStyle w:val="lev"/>
          <w:rFonts w:ascii="Arial" w:hAnsi="Arial" w:cs="Arial"/>
          <w:b w:val="0"/>
          <w:bCs w:val="0"/>
        </w:rPr>
        <w:t xml:space="preserve"> Capital inc.,</w:t>
      </w:r>
      <w:r w:rsidRPr="004F6FDC">
        <w:rPr>
          <w:rFonts w:ascii="Arial" w:hAnsi="Arial" w:cs="Arial"/>
        </w:rPr>
        <w:t xml:space="preserve"> et des </w:t>
      </w:r>
      <w:r w:rsidRPr="004F6FDC">
        <w:rPr>
          <w:rStyle w:val="lev"/>
          <w:rFonts w:ascii="Arial" w:hAnsi="Arial" w:cs="Arial"/>
          <w:b w:val="0"/>
          <w:bCs w:val="0"/>
        </w:rPr>
        <w:t>frais de services financiers de 2</w:t>
      </w:r>
      <w:r w:rsidR="007D272E" w:rsidRPr="004F6FDC">
        <w:rPr>
          <w:rStyle w:val="lev"/>
          <w:rFonts w:ascii="Arial" w:hAnsi="Arial" w:cs="Arial"/>
          <w:b w:val="0"/>
          <w:bCs w:val="0"/>
        </w:rPr>
        <w:t> </w:t>
      </w:r>
      <w:r w:rsidRPr="004F6FDC">
        <w:rPr>
          <w:rStyle w:val="lev"/>
          <w:rFonts w:ascii="Arial" w:hAnsi="Arial" w:cs="Arial"/>
          <w:b w:val="0"/>
          <w:bCs w:val="0"/>
        </w:rPr>
        <w:t>%</w:t>
      </w:r>
      <w:r w:rsidRPr="004F6FDC">
        <w:rPr>
          <w:rFonts w:ascii="Arial" w:hAnsi="Arial" w:cs="Arial"/>
        </w:rPr>
        <w:t xml:space="preserve"> ont été facturés par</w:t>
      </w:r>
      <w:r w:rsidR="005F5EC9">
        <w:rPr>
          <w:rFonts w:ascii="Arial" w:hAnsi="Arial" w:cs="Arial"/>
        </w:rPr>
        <w:t> </w:t>
      </w:r>
      <w:r w:rsidRPr="004F6FDC">
        <w:rPr>
          <w:rStyle w:val="lev"/>
          <w:rFonts w:ascii="Arial" w:hAnsi="Arial" w:cs="Arial"/>
          <w:b w:val="0"/>
          <w:bCs w:val="0"/>
        </w:rPr>
        <w:t>9797</w:t>
      </w:r>
      <w:r w:rsidRPr="004F6FDC">
        <w:rPr>
          <w:rFonts w:ascii="Arial" w:hAnsi="Arial" w:cs="Arial"/>
        </w:rPr>
        <w:t>.</w:t>
      </w:r>
    </w:p>
    <w:p w14:paraId="23626446" w14:textId="77777777" w:rsidR="00F76DE9" w:rsidRPr="004F6FDC" w:rsidRDefault="00730A01" w:rsidP="00443B59">
      <w:pPr>
        <w:pStyle w:val="NormalWeb"/>
        <w:numPr>
          <w:ilvl w:val="5"/>
          <w:numId w:val="139"/>
        </w:numPr>
        <w:spacing w:before="100" w:beforeAutospacing="1" w:after="100" w:afterAutospacing="1"/>
        <w:ind w:left="284" w:hanging="284"/>
        <w:jc w:val="both"/>
        <w:rPr>
          <w:rStyle w:val="lev"/>
          <w:rFonts w:ascii="Arial" w:hAnsi="Arial" w:cs="Arial"/>
        </w:rPr>
      </w:pPr>
      <w:r w:rsidRPr="004F6FDC">
        <w:rPr>
          <w:rStyle w:val="lev"/>
          <w:rFonts w:ascii="Arial" w:hAnsi="Arial" w:cs="Arial"/>
        </w:rPr>
        <w:t>Les manquements reprochés</w:t>
      </w:r>
    </w:p>
    <w:p w14:paraId="10AD9910" w14:textId="77777777" w:rsidR="007D272E" w:rsidRPr="004F6FDC" w:rsidRDefault="00730A01" w:rsidP="00443B59">
      <w:pPr>
        <w:pStyle w:val="Citationenretrait"/>
        <w:numPr>
          <w:ilvl w:val="0"/>
          <w:numId w:val="75"/>
        </w:numPr>
        <w:ind w:left="567" w:right="0" w:hanging="283"/>
        <w:rPr>
          <w:rFonts w:cs="Arial"/>
          <w:sz w:val="24"/>
          <w:szCs w:val="24"/>
        </w:rPr>
      </w:pPr>
      <w:r w:rsidRPr="004F6FDC">
        <w:rPr>
          <w:rFonts w:cs="Arial"/>
          <w:sz w:val="24"/>
          <w:szCs w:val="24"/>
        </w:rPr>
        <w:t xml:space="preserve">Le prêt a été </w:t>
      </w:r>
      <w:r w:rsidRPr="004F6FDC">
        <w:rPr>
          <w:rStyle w:val="lev"/>
          <w:rFonts w:cs="Arial"/>
          <w:b w:val="0"/>
          <w:bCs w:val="0"/>
          <w:sz w:val="24"/>
          <w:szCs w:val="24"/>
        </w:rPr>
        <w:t>décaissé en trois versements</w:t>
      </w:r>
      <w:r w:rsidRPr="004F6FDC">
        <w:rPr>
          <w:rFonts w:cs="Arial"/>
          <w:sz w:val="24"/>
          <w:szCs w:val="24"/>
        </w:rPr>
        <w:t xml:space="preserve"> (3,75 M$, 750 000 $ et 750 000 $) sans justification ni contrôle.</w:t>
      </w:r>
    </w:p>
    <w:p w14:paraId="6ED5C729" w14:textId="77777777" w:rsidR="007D272E" w:rsidRPr="00BC744C" w:rsidRDefault="00730A01" w:rsidP="00443B59">
      <w:pPr>
        <w:pStyle w:val="Citationenretrait"/>
        <w:numPr>
          <w:ilvl w:val="0"/>
          <w:numId w:val="75"/>
        </w:numPr>
        <w:ind w:left="567" w:right="0" w:hanging="283"/>
        <w:rPr>
          <w:rFonts w:cs="Arial"/>
          <w:sz w:val="24"/>
          <w:szCs w:val="24"/>
        </w:rPr>
      </w:pPr>
      <w:r w:rsidRPr="00BC744C">
        <w:rPr>
          <w:rFonts w:cs="Arial"/>
          <w:sz w:val="24"/>
          <w:szCs w:val="24"/>
        </w:rPr>
        <w:t xml:space="preserve">Le prêt a été octroyé </w:t>
      </w:r>
      <w:r w:rsidRPr="00BC744C">
        <w:rPr>
          <w:rStyle w:val="lev"/>
          <w:rFonts w:cs="Arial"/>
          <w:b w:val="0"/>
          <w:bCs w:val="0"/>
          <w:sz w:val="24"/>
          <w:szCs w:val="24"/>
        </w:rPr>
        <w:t>sans aucun suivi des travaux</w:t>
      </w:r>
      <w:r w:rsidRPr="00BC744C">
        <w:rPr>
          <w:rFonts w:cs="Arial"/>
          <w:sz w:val="24"/>
          <w:szCs w:val="24"/>
        </w:rPr>
        <w:t>, sans exigence de quittances ou de contrôle périodique des coûts.</w:t>
      </w:r>
    </w:p>
    <w:p w14:paraId="1A46739F" w14:textId="77777777" w:rsidR="007D272E" w:rsidRPr="004F6FDC" w:rsidRDefault="00730A01" w:rsidP="00443B59">
      <w:pPr>
        <w:pStyle w:val="Citationenretrait"/>
        <w:numPr>
          <w:ilvl w:val="0"/>
          <w:numId w:val="75"/>
        </w:numPr>
        <w:ind w:left="567" w:right="0" w:hanging="283"/>
        <w:rPr>
          <w:rFonts w:cs="Arial"/>
          <w:sz w:val="24"/>
          <w:szCs w:val="24"/>
        </w:rPr>
      </w:pPr>
      <w:r w:rsidRPr="004F6FDC">
        <w:rPr>
          <w:rFonts w:cs="Arial"/>
        </w:rPr>
        <w:t xml:space="preserve">En </w:t>
      </w:r>
      <w:r w:rsidRPr="004F6FDC">
        <w:rPr>
          <w:rStyle w:val="lev"/>
          <w:rFonts w:cs="Arial"/>
          <w:b w:val="0"/>
          <w:bCs w:val="0"/>
          <w:sz w:val="24"/>
          <w:szCs w:val="24"/>
        </w:rPr>
        <w:t>mars</w:t>
      </w:r>
      <w:r w:rsidR="005F5EC9">
        <w:rPr>
          <w:rStyle w:val="lev"/>
          <w:rFonts w:cs="Arial"/>
          <w:b w:val="0"/>
          <w:bCs w:val="0"/>
          <w:sz w:val="24"/>
          <w:szCs w:val="24"/>
        </w:rPr>
        <w:t> </w:t>
      </w:r>
      <w:r w:rsidRPr="004F6FDC">
        <w:rPr>
          <w:rStyle w:val="lev"/>
          <w:rFonts w:cs="Arial"/>
          <w:b w:val="0"/>
          <w:bCs w:val="0"/>
          <w:sz w:val="24"/>
          <w:szCs w:val="24"/>
        </w:rPr>
        <w:t>2022</w:t>
      </w:r>
      <w:r w:rsidRPr="004F6FDC">
        <w:rPr>
          <w:rFonts w:cs="Arial"/>
          <w:b/>
          <w:bCs/>
        </w:rPr>
        <w:t>,</w:t>
      </w:r>
      <w:r w:rsidRPr="004F6FDC">
        <w:rPr>
          <w:rFonts w:cs="Arial"/>
        </w:rPr>
        <w:t xml:space="preserve"> les intérêts dus (66 883,56 $) ont été </w:t>
      </w:r>
      <w:r w:rsidRPr="004F6FDC">
        <w:rPr>
          <w:rStyle w:val="lev"/>
          <w:rFonts w:cs="Arial"/>
          <w:b w:val="0"/>
          <w:bCs w:val="0"/>
          <w:sz w:val="24"/>
          <w:szCs w:val="24"/>
        </w:rPr>
        <w:t>payés à même des fonds provenant du prêt FIISH</w:t>
      </w:r>
      <w:r w:rsidRPr="004F6FDC">
        <w:rPr>
          <w:rFonts w:cs="Arial"/>
          <w:b/>
          <w:bCs/>
        </w:rPr>
        <w:t>,</w:t>
      </w:r>
      <w:r w:rsidRPr="004F6FDC">
        <w:rPr>
          <w:rFonts w:cs="Arial"/>
        </w:rPr>
        <w:t xml:space="preserve"> démontrant une circulation de fonds entre les deux sociétés en commandite.</w:t>
      </w:r>
    </w:p>
    <w:p w14:paraId="1BCE5AD4" w14:textId="77777777" w:rsidR="008F1BD9" w:rsidRPr="004F6FDC" w:rsidRDefault="00730A01" w:rsidP="00443B59">
      <w:pPr>
        <w:pStyle w:val="Citationenretrait"/>
        <w:numPr>
          <w:ilvl w:val="0"/>
          <w:numId w:val="75"/>
        </w:numPr>
        <w:ind w:left="567" w:right="0" w:hanging="283"/>
        <w:rPr>
          <w:rFonts w:cs="Arial"/>
          <w:sz w:val="24"/>
          <w:szCs w:val="24"/>
        </w:rPr>
      </w:pPr>
      <w:r w:rsidRPr="004F6FDC">
        <w:rPr>
          <w:rFonts w:cs="Arial"/>
        </w:rPr>
        <w:t xml:space="preserve">En </w:t>
      </w:r>
      <w:r w:rsidRPr="004F6FDC">
        <w:rPr>
          <w:rStyle w:val="lev"/>
          <w:rFonts w:cs="Arial"/>
          <w:b w:val="0"/>
          <w:bCs w:val="0"/>
          <w:sz w:val="24"/>
          <w:szCs w:val="24"/>
        </w:rPr>
        <w:t>décembre</w:t>
      </w:r>
      <w:r w:rsidR="005F5EC9">
        <w:rPr>
          <w:rStyle w:val="lev"/>
          <w:rFonts w:cs="Arial"/>
          <w:b w:val="0"/>
          <w:bCs w:val="0"/>
          <w:sz w:val="24"/>
          <w:szCs w:val="24"/>
        </w:rPr>
        <w:t> </w:t>
      </w:r>
      <w:r w:rsidRPr="004F6FDC">
        <w:rPr>
          <w:rStyle w:val="lev"/>
          <w:rFonts w:cs="Arial"/>
          <w:b w:val="0"/>
          <w:bCs w:val="0"/>
          <w:sz w:val="24"/>
          <w:szCs w:val="24"/>
        </w:rPr>
        <w:t>2022</w:t>
      </w:r>
      <w:r w:rsidRPr="004F6FDC">
        <w:rPr>
          <w:rFonts w:cs="Arial"/>
        </w:rPr>
        <w:t>, Q</w:t>
      </w:r>
      <w:r w:rsidR="007D272E" w:rsidRPr="004F6FDC">
        <w:rPr>
          <w:rFonts w:cs="Arial"/>
        </w:rPr>
        <w:noBreakHyphen/>
      </w:r>
      <w:r w:rsidRPr="004F6FDC">
        <w:rPr>
          <w:rFonts w:cs="Arial"/>
        </w:rPr>
        <w:t xml:space="preserve">12 (par l’entremise de 9797 et Giroux) a </w:t>
      </w:r>
      <w:r w:rsidRPr="004F6FDC">
        <w:rPr>
          <w:rStyle w:val="lev"/>
          <w:rFonts w:cs="Arial"/>
          <w:b w:val="0"/>
          <w:bCs w:val="0"/>
          <w:sz w:val="24"/>
          <w:szCs w:val="24"/>
        </w:rPr>
        <w:t>cédé son rang hypothécaire à Addenda Capital inc.</w:t>
      </w:r>
      <w:r w:rsidRPr="004F6FDC">
        <w:rPr>
          <w:rFonts w:cs="Arial"/>
          <w:b/>
          <w:bCs/>
        </w:rPr>
        <w:t xml:space="preserve">, </w:t>
      </w:r>
      <w:r w:rsidRPr="004F6FDC">
        <w:rPr>
          <w:rFonts w:cs="Arial"/>
        </w:rPr>
        <w:t xml:space="preserve">en contrepartie d’un remboursement partiel laissant un </w:t>
      </w:r>
      <w:r w:rsidRPr="004F6FDC">
        <w:rPr>
          <w:rStyle w:val="lev"/>
          <w:rFonts w:cs="Arial"/>
          <w:b w:val="0"/>
          <w:bCs w:val="0"/>
          <w:sz w:val="24"/>
          <w:szCs w:val="24"/>
        </w:rPr>
        <w:t>solde impayé de 1 879 615 $</w:t>
      </w:r>
      <w:r w:rsidRPr="004F6FDC">
        <w:rPr>
          <w:rFonts w:cs="Arial"/>
          <w:b/>
          <w:bCs/>
        </w:rPr>
        <w:t>,</w:t>
      </w:r>
      <w:r w:rsidRPr="004F6FDC">
        <w:rPr>
          <w:rFonts w:cs="Arial"/>
        </w:rPr>
        <w:t xml:space="preserve"> garanti cette fois par une hypothèque mobilière sur les </w:t>
      </w:r>
      <w:r w:rsidRPr="004F6FDC">
        <w:rPr>
          <w:rStyle w:val="lev"/>
          <w:rFonts w:cs="Arial"/>
          <w:b w:val="0"/>
          <w:bCs w:val="0"/>
          <w:sz w:val="24"/>
          <w:szCs w:val="24"/>
        </w:rPr>
        <w:t>actions de 7416</w:t>
      </w:r>
      <w:r w:rsidRPr="004F6FDC">
        <w:rPr>
          <w:rFonts w:cs="Arial"/>
        </w:rPr>
        <w:t xml:space="preserve"> (société dont Huot est l’unique administrateur et premier actionnaire par le biais de SPH)</w:t>
      </w:r>
      <w:r>
        <w:rPr>
          <w:rStyle w:val="Appelnotedebasdep"/>
          <w:rFonts w:cs="Arial"/>
        </w:rPr>
        <w:footnoteReference w:id="684"/>
      </w:r>
      <w:r w:rsidR="005F5EC9">
        <w:rPr>
          <w:rFonts w:cs="Arial"/>
        </w:rPr>
        <w:t>.</w:t>
      </w:r>
    </w:p>
    <w:p w14:paraId="567F361B" w14:textId="77777777" w:rsidR="008F1BD9" w:rsidRPr="00BC744C" w:rsidRDefault="00730A01" w:rsidP="00443B59">
      <w:pPr>
        <w:pStyle w:val="Citationenretrait"/>
        <w:numPr>
          <w:ilvl w:val="0"/>
          <w:numId w:val="75"/>
        </w:numPr>
        <w:ind w:left="567" w:right="0" w:hanging="283"/>
        <w:rPr>
          <w:rStyle w:val="lev"/>
          <w:rFonts w:cs="Arial"/>
          <w:b w:val="0"/>
          <w:bCs w:val="0"/>
          <w:sz w:val="24"/>
          <w:szCs w:val="24"/>
        </w:rPr>
      </w:pPr>
      <w:r w:rsidRPr="00BC744C">
        <w:rPr>
          <w:rFonts w:cs="Arial"/>
          <w:sz w:val="24"/>
          <w:szCs w:val="24"/>
        </w:rPr>
        <w:t xml:space="preserve">Le </w:t>
      </w:r>
      <w:r w:rsidRPr="00BC744C">
        <w:rPr>
          <w:rStyle w:val="lev"/>
          <w:rFonts w:cs="Arial"/>
          <w:b w:val="0"/>
          <w:bCs w:val="0"/>
          <w:sz w:val="24"/>
          <w:szCs w:val="24"/>
        </w:rPr>
        <w:t>16</w:t>
      </w:r>
      <w:r w:rsidR="005F5EC9" w:rsidRPr="00BC744C">
        <w:rPr>
          <w:rStyle w:val="lev"/>
          <w:rFonts w:cs="Arial"/>
          <w:b w:val="0"/>
          <w:bCs w:val="0"/>
          <w:sz w:val="24"/>
          <w:szCs w:val="24"/>
        </w:rPr>
        <w:t> </w:t>
      </w:r>
      <w:r w:rsidRPr="00BC744C">
        <w:rPr>
          <w:rStyle w:val="lev"/>
          <w:rFonts w:cs="Arial"/>
          <w:b w:val="0"/>
          <w:bCs w:val="0"/>
          <w:sz w:val="24"/>
          <w:szCs w:val="24"/>
        </w:rPr>
        <w:t>décembre</w:t>
      </w:r>
      <w:r w:rsidR="005F5EC9" w:rsidRPr="00BC744C">
        <w:rPr>
          <w:rStyle w:val="lev"/>
          <w:rFonts w:cs="Arial"/>
          <w:b w:val="0"/>
          <w:bCs w:val="0"/>
          <w:sz w:val="24"/>
          <w:szCs w:val="24"/>
        </w:rPr>
        <w:t> </w:t>
      </w:r>
      <w:r w:rsidRPr="00BC744C">
        <w:rPr>
          <w:rStyle w:val="lev"/>
          <w:rFonts w:cs="Arial"/>
          <w:b w:val="0"/>
          <w:bCs w:val="0"/>
          <w:sz w:val="24"/>
          <w:szCs w:val="24"/>
        </w:rPr>
        <w:t>2022</w:t>
      </w:r>
      <w:r w:rsidRPr="00BC744C">
        <w:rPr>
          <w:rFonts w:cs="Arial"/>
          <w:sz w:val="24"/>
          <w:szCs w:val="24"/>
        </w:rPr>
        <w:t xml:space="preserve">, l’hypothèque immobilière a été </w:t>
      </w:r>
      <w:r w:rsidRPr="00BC744C">
        <w:rPr>
          <w:rStyle w:val="lev"/>
          <w:rFonts w:cs="Arial"/>
          <w:b w:val="0"/>
          <w:bCs w:val="0"/>
          <w:sz w:val="24"/>
          <w:szCs w:val="24"/>
        </w:rPr>
        <w:t>réduite à 800 000 $</w:t>
      </w:r>
      <w:r w:rsidRPr="00BC744C">
        <w:rPr>
          <w:rFonts w:cs="Arial"/>
          <w:b/>
          <w:bCs/>
          <w:sz w:val="24"/>
          <w:szCs w:val="24"/>
        </w:rPr>
        <w:t>,</w:t>
      </w:r>
      <w:r w:rsidRPr="00BC744C">
        <w:rPr>
          <w:rFonts w:cs="Arial"/>
          <w:sz w:val="24"/>
          <w:szCs w:val="24"/>
        </w:rPr>
        <w:t xml:space="preserve"> fragilisant la garantie initiale. De plus, la </w:t>
      </w:r>
      <w:r w:rsidRPr="00BC744C">
        <w:rPr>
          <w:rStyle w:val="lev"/>
          <w:rFonts w:cs="Arial"/>
          <w:b w:val="0"/>
          <w:bCs w:val="0"/>
          <w:sz w:val="24"/>
          <w:szCs w:val="24"/>
        </w:rPr>
        <w:t>garantie</w:t>
      </w:r>
      <w:r w:rsidRPr="00BC744C">
        <w:rPr>
          <w:rStyle w:val="lev"/>
          <w:rFonts w:cs="Arial"/>
          <w:sz w:val="24"/>
          <w:szCs w:val="24"/>
        </w:rPr>
        <w:t xml:space="preserve"> </w:t>
      </w:r>
      <w:r w:rsidRPr="00BC744C">
        <w:rPr>
          <w:rFonts w:cs="Arial"/>
          <w:sz w:val="24"/>
          <w:szCs w:val="24"/>
        </w:rPr>
        <w:t xml:space="preserve">du prêt était désormais basée sur des </w:t>
      </w:r>
      <w:r w:rsidRPr="00BC744C">
        <w:rPr>
          <w:rStyle w:val="lev"/>
          <w:rFonts w:cs="Arial"/>
          <w:b w:val="0"/>
          <w:bCs w:val="0"/>
          <w:sz w:val="24"/>
          <w:szCs w:val="24"/>
        </w:rPr>
        <w:t>valeurs mobilières</w:t>
      </w:r>
      <w:r w:rsidRPr="00BC744C">
        <w:rPr>
          <w:rFonts w:cs="Arial"/>
          <w:sz w:val="24"/>
          <w:szCs w:val="24"/>
        </w:rPr>
        <w:t xml:space="preserve"> plutôt que sur un immeuble, ce qui la rendait </w:t>
      </w:r>
      <w:r w:rsidRPr="00BC744C">
        <w:rPr>
          <w:rStyle w:val="lev"/>
          <w:rFonts w:cs="Arial"/>
          <w:b w:val="0"/>
          <w:bCs w:val="0"/>
          <w:sz w:val="24"/>
          <w:szCs w:val="24"/>
        </w:rPr>
        <w:t>beaucoup moins sécuritaire</w:t>
      </w:r>
      <w:r>
        <w:rPr>
          <w:rStyle w:val="Appelnotedebasdep"/>
          <w:rFonts w:cs="Arial"/>
          <w:sz w:val="24"/>
          <w:szCs w:val="24"/>
        </w:rPr>
        <w:footnoteReference w:id="685"/>
      </w:r>
      <w:r w:rsidR="005F5EC9" w:rsidRPr="00BC744C">
        <w:rPr>
          <w:rStyle w:val="lev"/>
          <w:rFonts w:cs="Arial"/>
          <w:b w:val="0"/>
          <w:bCs w:val="0"/>
          <w:sz w:val="24"/>
          <w:szCs w:val="24"/>
        </w:rPr>
        <w:t>.</w:t>
      </w:r>
    </w:p>
    <w:p w14:paraId="694B8166" w14:textId="77777777" w:rsidR="00F76DE9" w:rsidRDefault="00730A01" w:rsidP="00443B59">
      <w:pPr>
        <w:pStyle w:val="Citationenretrait"/>
        <w:numPr>
          <w:ilvl w:val="0"/>
          <w:numId w:val="75"/>
        </w:numPr>
        <w:ind w:left="567" w:right="0" w:hanging="283"/>
        <w:rPr>
          <w:rFonts w:cs="Arial"/>
          <w:sz w:val="24"/>
          <w:szCs w:val="24"/>
        </w:rPr>
      </w:pPr>
      <w:r w:rsidRPr="00BC744C">
        <w:rPr>
          <w:rFonts w:cs="Arial"/>
          <w:sz w:val="24"/>
          <w:szCs w:val="24"/>
        </w:rPr>
        <w:t xml:space="preserve">9797 et X2 ont omis d’effectuer un </w:t>
      </w:r>
      <w:r w:rsidRPr="00BC744C">
        <w:rPr>
          <w:rStyle w:val="lev"/>
          <w:rFonts w:cs="Arial"/>
          <w:b w:val="0"/>
          <w:bCs w:val="0"/>
          <w:sz w:val="24"/>
          <w:szCs w:val="24"/>
        </w:rPr>
        <w:t>déboursement progressif du prêt</w:t>
      </w:r>
      <w:r w:rsidRPr="00BC744C">
        <w:rPr>
          <w:rFonts w:cs="Arial"/>
          <w:b/>
          <w:bCs/>
          <w:sz w:val="24"/>
          <w:szCs w:val="24"/>
        </w:rPr>
        <w:t>,</w:t>
      </w:r>
      <w:r w:rsidRPr="00BC744C">
        <w:rPr>
          <w:rFonts w:cs="Arial"/>
          <w:sz w:val="24"/>
          <w:szCs w:val="24"/>
        </w:rPr>
        <w:t xml:space="preserve"> ce qui a entraîné la </w:t>
      </w:r>
      <w:r w:rsidRPr="00BC744C">
        <w:rPr>
          <w:rStyle w:val="lev"/>
          <w:rFonts w:cs="Arial"/>
          <w:b w:val="0"/>
          <w:bCs w:val="0"/>
          <w:sz w:val="24"/>
          <w:szCs w:val="24"/>
        </w:rPr>
        <w:t>multiplication des hypothèques légales de construction</w:t>
      </w:r>
      <w:r w:rsidRPr="00BC744C">
        <w:rPr>
          <w:rFonts w:cs="Arial"/>
          <w:sz w:val="24"/>
          <w:szCs w:val="24"/>
        </w:rPr>
        <w:t xml:space="preserve"> et compromis le recouvrement de la créance</w:t>
      </w:r>
      <w:r w:rsidR="008F1BD9" w:rsidRPr="00BC744C">
        <w:rPr>
          <w:rFonts w:cs="Arial"/>
          <w:sz w:val="24"/>
          <w:szCs w:val="24"/>
        </w:rPr>
        <w:t>.</w:t>
      </w:r>
    </w:p>
    <w:p w14:paraId="10B00CDC" w14:textId="77777777" w:rsidR="00BC744C" w:rsidRPr="00BC744C" w:rsidRDefault="00BC744C" w:rsidP="00BC744C">
      <w:pPr>
        <w:pStyle w:val="Citationenretrait"/>
        <w:ind w:left="567" w:right="0"/>
        <w:rPr>
          <w:rFonts w:cs="Arial"/>
          <w:sz w:val="24"/>
          <w:szCs w:val="24"/>
        </w:rPr>
      </w:pPr>
    </w:p>
    <w:p w14:paraId="4CEA0F7D" w14:textId="77777777" w:rsidR="00F76DE9" w:rsidRPr="004E5CB2" w:rsidRDefault="00730A01" w:rsidP="00443B59">
      <w:pPr>
        <w:pStyle w:val="NormalWeb"/>
        <w:numPr>
          <w:ilvl w:val="5"/>
          <w:numId w:val="139"/>
        </w:numPr>
        <w:spacing w:before="100" w:beforeAutospacing="1" w:after="100" w:afterAutospacing="1"/>
        <w:ind w:left="284" w:hanging="284"/>
        <w:jc w:val="both"/>
        <w:rPr>
          <w:rStyle w:val="lev"/>
        </w:rPr>
      </w:pPr>
      <w:r w:rsidRPr="004F6FDC">
        <w:rPr>
          <w:rStyle w:val="lev"/>
          <w:rFonts w:ascii="Arial" w:hAnsi="Arial" w:cs="Arial"/>
        </w:rPr>
        <w:t>La perte en lien avec ce prêt</w:t>
      </w:r>
    </w:p>
    <w:p w14:paraId="4A6117C2" w14:textId="77777777" w:rsidR="008F1BD9" w:rsidRPr="00BC744C" w:rsidRDefault="00730A01" w:rsidP="00443B59">
      <w:pPr>
        <w:pStyle w:val="Citationenretrait"/>
        <w:numPr>
          <w:ilvl w:val="0"/>
          <w:numId w:val="75"/>
        </w:numPr>
        <w:ind w:left="567" w:right="0" w:hanging="283"/>
        <w:rPr>
          <w:rFonts w:cs="Arial"/>
          <w:sz w:val="24"/>
          <w:szCs w:val="24"/>
        </w:rPr>
      </w:pPr>
      <w:r w:rsidRPr="00BC744C">
        <w:rPr>
          <w:rFonts w:cs="Arial"/>
          <w:sz w:val="24"/>
          <w:szCs w:val="24"/>
        </w:rPr>
        <w:t xml:space="preserve">La </w:t>
      </w:r>
      <w:r w:rsidRPr="00BC744C">
        <w:rPr>
          <w:rStyle w:val="lev"/>
          <w:rFonts w:cs="Arial"/>
          <w:b w:val="0"/>
          <w:bCs w:val="0"/>
          <w:sz w:val="24"/>
          <w:szCs w:val="24"/>
        </w:rPr>
        <w:t>valeur marchande de l’immeuble Kepler</w:t>
      </w:r>
      <w:r w:rsidRPr="00BC744C">
        <w:rPr>
          <w:rFonts w:cs="Arial"/>
          <w:sz w:val="24"/>
          <w:szCs w:val="24"/>
        </w:rPr>
        <w:t xml:space="preserve"> (environ 8,7 M$) est </w:t>
      </w:r>
      <w:r w:rsidRPr="00BC744C">
        <w:rPr>
          <w:rStyle w:val="lev"/>
          <w:rFonts w:cs="Arial"/>
          <w:b w:val="0"/>
          <w:bCs w:val="0"/>
          <w:sz w:val="24"/>
          <w:szCs w:val="24"/>
        </w:rPr>
        <w:t>insuffisante pour couvrir la créance</w:t>
      </w:r>
      <w:r w:rsidRPr="00BC744C">
        <w:rPr>
          <w:rFonts w:cs="Arial"/>
          <w:sz w:val="24"/>
          <w:szCs w:val="24"/>
        </w:rPr>
        <w:t xml:space="preserve"> de Q-</w:t>
      </w:r>
      <w:r w:rsidR="00BC744C">
        <w:rPr>
          <w:rFonts w:cs="Arial"/>
          <w:sz w:val="24"/>
          <w:szCs w:val="24"/>
        </w:rPr>
        <w:t>1</w:t>
      </w:r>
      <w:r w:rsidRPr="00BC744C">
        <w:rPr>
          <w:rFonts w:cs="Arial"/>
          <w:sz w:val="24"/>
          <w:szCs w:val="24"/>
        </w:rPr>
        <w:t>2, qui ne devrait récupérer aucune somme après la liquidation.</w:t>
      </w:r>
    </w:p>
    <w:p w14:paraId="09D95628" w14:textId="77777777" w:rsidR="008F1BD9" w:rsidRPr="00BC744C" w:rsidRDefault="00730A01" w:rsidP="00443B59">
      <w:pPr>
        <w:pStyle w:val="Citationenretrait"/>
        <w:numPr>
          <w:ilvl w:val="0"/>
          <w:numId w:val="75"/>
        </w:numPr>
        <w:ind w:left="567" w:right="0" w:hanging="283"/>
        <w:rPr>
          <w:rFonts w:cs="Arial"/>
          <w:sz w:val="24"/>
          <w:szCs w:val="24"/>
        </w:rPr>
      </w:pPr>
      <w:r w:rsidRPr="00BC744C">
        <w:rPr>
          <w:rFonts w:cs="Arial"/>
          <w:sz w:val="24"/>
          <w:szCs w:val="24"/>
        </w:rPr>
        <w:t xml:space="preserve">Un </w:t>
      </w:r>
      <w:r w:rsidRPr="00BC744C">
        <w:rPr>
          <w:rStyle w:val="lev"/>
          <w:rFonts w:cs="Arial"/>
          <w:b w:val="0"/>
          <w:bCs w:val="0"/>
          <w:sz w:val="24"/>
          <w:szCs w:val="24"/>
        </w:rPr>
        <w:t>solde impayé de 1 879 615 $</w:t>
      </w:r>
      <w:r w:rsidRPr="00BC744C">
        <w:rPr>
          <w:rFonts w:cs="Arial"/>
          <w:sz w:val="24"/>
          <w:szCs w:val="24"/>
        </w:rPr>
        <w:t xml:space="preserve"> subsiste encore en capital alors que 9797 et X2 ont perçu au total </w:t>
      </w:r>
      <w:r w:rsidRPr="00BC744C">
        <w:rPr>
          <w:rStyle w:val="lev"/>
          <w:rFonts w:cs="Arial"/>
          <w:b w:val="0"/>
          <w:bCs w:val="0"/>
          <w:sz w:val="24"/>
          <w:szCs w:val="24"/>
        </w:rPr>
        <w:t>290 447,64 $</w:t>
      </w:r>
      <w:r w:rsidRPr="00BC744C">
        <w:rPr>
          <w:rFonts w:cs="Arial"/>
          <w:sz w:val="24"/>
          <w:szCs w:val="24"/>
        </w:rPr>
        <w:t xml:space="preserve"> en frais (dossier, renouvellement et services financiers) sans respect des normes de gouvernance promises</w:t>
      </w:r>
      <w:r>
        <w:rPr>
          <w:rStyle w:val="Appelnotedebasdep"/>
          <w:rFonts w:cs="Arial"/>
          <w:sz w:val="24"/>
          <w:szCs w:val="24"/>
        </w:rPr>
        <w:footnoteReference w:id="686"/>
      </w:r>
      <w:r w:rsidR="005F5EC9" w:rsidRPr="00BC744C">
        <w:rPr>
          <w:rFonts w:cs="Arial"/>
          <w:sz w:val="24"/>
          <w:szCs w:val="24"/>
        </w:rPr>
        <w:t>.</w:t>
      </w:r>
    </w:p>
    <w:p w14:paraId="71CAE67D" w14:textId="77777777" w:rsidR="004F6FDC" w:rsidRPr="00BC744C" w:rsidRDefault="00730A01" w:rsidP="00443B59">
      <w:pPr>
        <w:pStyle w:val="Citationenretrait"/>
        <w:numPr>
          <w:ilvl w:val="0"/>
          <w:numId w:val="75"/>
        </w:numPr>
        <w:ind w:left="567" w:right="0" w:hanging="283"/>
        <w:rPr>
          <w:rFonts w:cs="Arial"/>
          <w:sz w:val="24"/>
          <w:szCs w:val="24"/>
        </w:rPr>
      </w:pPr>
      <w:r w:rsidRPr="00BC744C">
        <w:rPr>
          <w:rFonts w:cs="Arial"/>
          <w:sz w:val="24"/>
          <w:szCs w:val="24"/>
        </w:rPr>
        <w:t>À ce solde de 1</w:t>
      </w:r>
      <w:r w:rsidR="008F1BD9" w:rsidRPr="00BC744C">
        <w:rPr>
          <w:rFonts w:cs="Arial"/>
          <w:sz w:val="24"/>
          <w:szCs w:val="24"/>
        </w:rPr>
        <w:t> </w:t>
      </w:r>
      <w:r w:rsidRPr="00BC744C">
        <w:rPr>
          <w:rFonts w:cs="Arial"/>
          <w:sz w:val="24"/>
          <w:szCs w:val="24"/>
        </w:rPr>
        <w:t>879</w:t>
      </w:r>
      <w:r w:rsidR="008F1BD9" w:rsidRPr="00BC744C">
        <w:rPr>
          <w:rFonts w:cs="Arial"/>
          <w:sz w:val="24"/>
          <w:szCs w:val="24"/>
        </w:rPr>
        <w:t> </w:t>
      </w:r>
      <w:r w:rsidRPr="00BC744C">
        <w:rPr>
          <w:rFonts w:cs="Arial"/>
          <w:sz w:val="24"/>
          <w:szCs w:val="24"/>
        </w:rPr>
        <w:t>615</w:t>
      </w:r>
      <w:r w:rsidR="008F1BD9" w:rsidRPr="00BC744C">
        <w:rPr>
          <w:rFonts w:cs="Arial"/>
          <w:sz w:val="24"/>
          <w:szCs w:val="24"/>
        </w:rPr>
        <w:t> </w:t>
      </w:r>
      <w:r w:rsidRPr="00BC744C">
        <w:rPr>
          <w:rFonts w:cs="Arial"/>
          <w:sz w:val="24"/>
          <w:szCs w:val="24"/>
        </w:rPr>
        <w:t>$ s’ajoute 234</w:t>
      </w:r>
      <w:r w:rsidR="008F1BD9" w:rsidRPr="00BC744C">
        <w:rPr>
          <w:rFonts w:cs="Arial"/>
          <w:sz w:val="24"/>
          <w:szCs w:val="24"/>
        </w:rPr>
        <w:t> </w:t>
      </w:r>
      <w:r w:rsidRPr="00BC744C">
        <w:rPr>
          <w:rFonts w:cs="Arial"/>
          <w:sz w:val="24"/>
          <w:szCs w:val="24"/>
        </w:rPr>
        <w:t>952</w:t>
      </w:r>
      <w:r w:rsidR="008F1BD9" w:rsidRPr="00BC744C">
        <w:rPr>
          <w:rFonts w:cs="Arial"/>
          <w:sz w:val="24"/>
          <w:szCs w:val="24"/>
        </w:rPr>
        <w:t> </w:t>
      </w:r>
      <w:r w:rsidRPr="00BC744C">
        <w:rPr>
          <w:rFonts w:cs="Arial"/>
          <w:sz w:val="24"/>
          <w:szCs w:val="24"/>
        </w:rPr>
        <w:t>$ d’intérêt au 1</w:t>
      </w:r>
      <w:r w:rsidRPr="00BC744C">
        <w:rPr>
          <w:rFonts w:cs="Arial"/>
          <w:sz w:val="24"/>
          <w:szCs w:val="24"/>
          <w:vertAlign w:val="superscript"/>
        </w:rPr>
        <w:t>er</w:t>
      </w:r>
      <w:r w:rsidR="00BC744C">
        <w:rPr>
          <w:rFonts w:cs="Arial"/>
          <w:sz w:val="24"/>
          <w:szCs w:val="24"/>
        </w:rPr>
        <w:t> </w:t>
      </w:r>
      <w:r w:rsidRPr="00BC744C">
        <w:rPr>
          <w:rFonts w:cs="Arial"/>
          <w:sz w:val="24"/>
          <w:szCs w:val="24"/>
        </w:rPr>
        <w:t>octobre</w:t>
      </w:r>
      <w:r w:rsidR="00BC744C">
        <w:rPr>
          <w:rFonts w:cs="Arial"/>
          <w:sz w:val="24"/>
          <w:szCs w:val="24"/>
        </w:rPr>
        <w:t> </w:t>
      </w:r>
      <w:r w:rsidRPr="00BC744C">
        <w:rPr>
          <w:rFonts w:cs="Arial"/>
          <w:sz w:val="24"/>
          <w:szCs w:val="24"/>
        </w:rPr>
        <w:t>2023 pour une perte totale à cette date de 2 114</w:t>
      </w:r>
      <w:r w:rsidR="008F1BD9" w:rsidRPr="00BC744C">
        <w:rPr>
          <w:rFonts w:cs="Arial"/>
          <w:sz w:val="24"/>
          <w:szCs w:val="24"/>
        </w:rPr>
        <w:t> </w:t>
      </w:r>
      <w:r w:rsidRPr="00BC744C">
        <w:rPr>
          <w:rFonts w:cs="Arial"/>
          <w:sz w:val="24"/>
          <w:szCs w:val="24"/>
        </w:rPr>
        <w:t>567</w:t>
      </w:r>
      <w:r w:rsidR="008F1BD9" w:rsidRPr="00BC744C">
        <w:rPr>
          <w:rFonts w:cs="Arial"/>
          <w:sz w:val="24"/>
          <w:szCs w:val="24"/>
        </w:rPr>
        <w:t> </w:t>
      </w:r>
      <w:r w:rsidRPr="00BC744C">
        <w:rPr>
          <w:rFonts w:cs="Arial"/>
          <w:sz w:val="24"/>
          <w:szCs w:val="24"/>
        </w:rPr>
        <w:t>$. Aucun remboursement n’est possible.</w:t>
      </w:r>
    </w:p>
    <w:p w14:paraId="0FF93ED3" w14:textId="77777777" w:rsidR="003D467C" w:rsidRPr="00B521C9" w:rsidRDefault="00730A01" w:rsidP="00443B59">
      <w:pPr>
        <w:pStyle w:val="Titre2"/>
        <w:numPr>
          <w:ilvl w:val="2"/>
          <w:numId w:val="123"/>
        </w:numPr>
        <w:spacing w:after="120"/>
        <w:ind w:left="426" w:hanging="426"/>
        <w:rPr>
          <w:smallCaps/>
        </w:rPr>
      </w:pPr>
      <w:bookmarkStart w:id="240" w:name="_Hlk211700964"/>
      <w:r w:rsidRPr="00B521C9">
        <w:rPr>
          <w:smallCaps/>
        </w:rPr>
        <w:t xml:space="preserve">Le projet </w:t>
      </w:r>
      <w:r w:rsidR="008900D7" w:rsidRPr="00B521C9">
        <w:rPr>
          <w:smallCaps/>
        </w:rPr>
        <w:t>Transrapide (P069, P079, P082, P084</w:t>
      </w:r>
      <w:r w:rsidR="00893685" w:rsidRPr="00B521C9">
        <w:rPr>
          <w:smallCaps/>
        </w:rPr>
        <w:t>)</w:t>
      </w:r>
    </w:p>
    <w:p w14:paraId="67EBF067" w14:textId="77777777" w:rsidR="003D467C" w:rsidRPr="00893685" w:rsidRDefault="00730A01" w:rsidP="00893685">
      <w:pPr>
        <w:pStyle w:val="NormalWeb"/>
        <w:spacing w:before="120"/>
        <w:jc w:val="both"/>
        <w:rPr>
          <w:rFonts w:ascii="Arial" w:hAnsi="Arial" w:cs="Arial"/>
        </w:rPr>
      </w:pPr>
      <w:r w:rsidRPr="00893685">
        <w:rPr>
          <w:rStyle w:val="lev"/>
          <w:rFonts w:ascii="Arial" w:hAnsi="Arial" w:cs="Arial"/>
          <w:b w:val="0"/>
          <w:bCs w:val="0"/>
        </w:rPr>
        <w:t>Le projet Transrapide</w:t>
      </w:r>
      <w:r w:rsidRPr="00893685">
        <w:rPr>
          <w:rFonts w:ascii="Arial" w:hAnsi="Arial" w:cs="Arial"/>
        </w:rPr>
        <w:t xml:space="preserve"> regroupe plusieurs sociétés de la division industrielle du Groupe Huot</w:t>
      </w:r>
      <w:r w:rsidR="00BC744C">
        <w:rPr>
          <w:rFonts w:ascii="Arial" w:hAnsi="Arial" w:cs="Arial"/>
        </w:rPr>
        <w:t>,</w:t>
      </w:r>
      <w:r w:rsidRPr="00893685">
        <w:rPr>
          <w:rFonts w:ascii="Arial" w:hAnsi="Arial" w:cs="Arial"/>
        </w:rPr>
        <w:t xml:space="preserve"> soit : Entreposage des Riveurs</w:t>
      </w:r>
      <w:r w:rsidR="00BC744C">
        <w:rPr>
          <w:rFonts w:ascii="Arial" w:hAnsi="Arial" w:cs="Arial"/>
        </w:rPr>
        <w:t>,</w:t>
      </w:r>
      <w:r w:rsidRPr="00893685">
        <w:rPr>
          <w:rFonts w:ascii="Arial" w:hAnsi="Arial" w:cs="Arial"/>
        </w:rPr>
        <w:t xml:space="preserve"> s.e.c., Centre de distribution Transrapide inc. et Complexe Groupe Transrapide inc. Ce projet comporte des développements par phases. </w:t>
      </w:r>
    </w:p>
    <w:p w14:paraId="617291C2" w14:textId="77777777" w:rsidR="003D467C" w:rsidRPr="00893685" w:rsidRDefault="003D467C" w:rsidP="00893685">
      <w:pPr>
        <w:pStyle w:val="NormalWeb"/>
        <w:jc w:val="both"/>
        <w:rPr>
          <w:rFonts w:ascii="Arial" w:hAnsi="Arial" w:cs="Arial"/>
        </w:rPr>
      </w:pPr>
    </w:p>
    <w:p w14:paraId="034EA05D" w14:textId="77777777" w:rsidR="003D467C" w:rsidRPr="00893685" w:rsidRDefault="00730A01" w:rsidP="00893685">
      <w:pPr>
        <w:pStyle w:val="NormalWeb"/>
        <w:jc w:val="both"/>
        <w:rPr>
          <w:rFonts w:ascii="Arial" w:hAnsi="Arial" w:cs="Arial"/>
        </w:rPr>
      </w:pPr>
      <w:r w:rsidRPr="00893685">
        <w:rPr>
          <w:rFonts w:ascii="Arial" w:hAnsi="Arial" w:cs="Arial"/>
        </w:rPr>
        <w:t>À l’été</w:t>
      </w:r>
      <w:r w:rsidR="00BC744C">
        <w:rPr>
          <w:rFonts w:ascii="Arial" w:hAnsi="Arial" w:cs="Arial"/>
        </w:rPr>
        <w:t> </w:t>
      </w:r>
      <w:r w:rsidRPr="00893685">
        <w:rPr>
          <w:rFonts w:ascii="Arial" w:hAnsi="Arial" w:cs="Arial"/>
        </w:rPr>
        <w:t xml:space="preserve">2023, ces entités ont été placées sous la </w:t>
      </w:r>
      <w:r w:rsidRPr="00893685">
        <w:rPr>
          <w:rStyle w:val="lev"/>
          <w:rFonts w:ascii="Arial" w:hAnsi="Arial" w:cs="Arial"/>
          <w:b w:val="0"/>
          <w:bCs w:val="0"/>
        </w:rPr>
        <w:t>protection de la LACC</w:t>
      </w:r>
      <w:r w:rsidRPr="00893685">
        <w:rPr>
          <w:rStyle w:val="lev"/>
          <w:rFonts w:ascii="Arial" w:hAnsi="Arial" w:cs="Arial"/>
          <w:i/>
          <w:iCs/>
        </w:rPr>
        <w:t xml:space="preserve"> </w:t>
      </w:r>
      <w:r w:rsidRPr="00893685">
        <w:rPr>
          <w:rStyle w:val="lev"/>
          <w:rFonts w:ascii="Arial" w:hAnsi="Arial" w:cs="Arial"/>
          <w:b w:val="0"/>
          <w:bCs w:val="0"/>
          <w:i/>
          <w:iCs/>
        </w:rPr>
        <w:t>(Loi sur les arrangements avec les créanciers</w:t>
      </w:r>
      <w:r w:rsidRPr="00893685">
        <w:rPr>
          <w:rStyle w:val="lev"/>
          <w:rFonts w:ascii="Arial" w:hAnsi="Arial" w:cs="Arial"/>
          <w:b w:val="0"/>
          <w:bCs w:val="0"/>
        </w:rPr>
        <w:t>)</w:t>
      </w:r>
      <w:r w:rsidRPr="00893685">
        <w:rPr>
          <w:rFonts w:ascii="Arial" w:hAnsi="Arial" w:cs="Arial"/>
        </w:rPr>
        <w:t xml:space="preserve">, avec nomination de </w:t>
      </w:r>
      <w:r w:rsidRPr="00893685">
        <w:rPr>
          <w:rStyle w:val="lev"/>
          <w:rFonts w:ascii="Arial" w:hAnsi="Arial" w:cs="Arial"/>
          <w:b w:val="0"/>
          <w:bCs w:val="0"/>
        </w:rPr>
        <w:t>Deloitte</w:t>
      </w:r>
      <w:r w:rsidRPr="00893685">
        <w:rPr>
          <w:rFonts w:ascii="Arial" w:hAnsi="Arial" w:cs="Arial"/>
          <w:b/>
          <w:bCs/>
        </w:rPr>
        <w:t xml:space="preserve"> </w:t>
      </w:r>
      <w:r w:rsidRPr="00893685">
        <w:rPr>
          <w:rFonts w:ascii="Arial" w:hAnsi="Arial" w:cs="Arial"/>
        </w:rPr>
        <w:t>comme contrôleur, en raison d’avances intragroupes substantielles, de l’arrêt des chantiers et d’une multiplication d’</w:t>
      </w:r>
      <w:r w:rsidRPr="00893685">
        <w:rPr>
          <w:rStyle w:val="lev"/>
          <w:rFonts w:ascii="Arial" w:hAnsi="Arial" w:cs="Arial"/>
          <w:b w:val="0"/>
          <w:bCs w:val="0"/>
        </w:rPr>
        <w:t>hypothèques légales de construction</w:t>
      </w:r>
      <w:r>
        <w:rPr>
          <w:rStyle w:val="Appelnotedebasdep"/>
          <w:rFonts w:ascii="Arial" w:hAnsi="Arial" w:cs="Arial"/>
        </w:rPr>
        <w:footnoteReference w:id="687"/>
      </w:r>
      <w:r w:rsidR="00BC744C">
        <w:rPr>
          <w:rStyle w:val="lev"/>
          <w:rFonts w:ascii="Arial" w:hAnsi="Arial" w:cs="Arial"/>
          <w:b w:val="0"/>
          <w:bCs w:val="0"/>
        </w:rPr>
        <w:t>.</w:t>
      </w:r>
    </w:p>
    <w:p w14:paraId="7A6ABDF0" w14:textId="77777777" w:rsidR="003D467C" w:rsidRPr="00893685" w:rsidRDefault="003D467C" w:rsidP="003D467C">
      <w:pPr>
        <w:pStyle w:val="NormalWeb"/>
        <w:rPr>
          <w:rFonts w:ascii="Arial" w:hAnsi="Arial" w:cs="Arial"/>
        </w:rPr>
      </w:pPr>
    </w:p>
    <w:p w14:paraId="6C059C32" w14:textId="77777777" w:rsidR="00893685" w:rsidRPr="004F6FDC" w:rsidRDefault="00730A01" w:rsidP="00443B59">
      <w:pPr>
        <w:pStyle w:val="NormalWeb"/>
        <w:numPr>
          <w:ilvl w:val="5"/>
          <w:numId w:val="140"/>
        </w:numPr>
        <w:spacing w:before="100" w:beforeAutospacing="1" w:after="120"/>
        <w:ind w:left="284" w:hanging="284"/>
        <w:jc w:val="both"/>
        <w:rPr>
          <w:rStyle w:val="lev"/>
          <w:rFonts w:ascii="Arial" w:hAnsi="Arial" w:cs="Arial"/>
        </w:rPr>
      </w:pPr>
      <w:r w:rsidRPr="004F6FDC">
        <w:rPr>
          <w:rStyle w:val="lev"/>
          <w:rFonts w:ascii="Arial" w:hAnsi="Arial" w:cs="Arial"/>
        </w:rPr>
        <w:t>Les manquements reprochés</w:t>
      </w:r>
    </w:p>
    <w:p w14:paraId="2E460C3F" w14:textId="77777777" w:rsidR="003D467C" w:rsidRPr="00893685" w:rsidRDefault="00730A01" w:rsidP="00893685">
      <w:pPr>
        <w:pStyle w:val="NormalWeb"/>
        <w:jc w:val="both"/>
        <w:rPr>
          <w:rFonts w:ascii="Arial" w:hAnsi="Arial" w:cs="Arial"/>
        </w:rPr>
      </w:pPr>
      <w:r w:rsidRPr="00893685">
        <w:rPr>
          <w:rFonts w:ascii="Arial" w:hAnsi="Arial" w:cs="Arial"/>
        </w:rPr>
        <w:t>Dès février</w:t>
      </w:r>
      <w:r w:rsidR="00BC744C">
        <w:rPr>
          <w:rFonts w:ascii="Arial" w:hAnsi="Arial" w:cs="Arial"/>
        </w:rPr>
        <w:t> </w:t>
      </w:r>
      <w:r w:rsidRPr="00893685">
        <w:rPr>
          <w:rFonts w:ascii="Arial" w:hAnsi="Arial" w:cs="Arial"/>
        </w:rPr>
        <w:t xml:space="preserve">2022, un prêt présenté comme destiné à la </w:t>
      </w:r>
      <w:r w:rsidRPr="00893685">
        <w:rPr>
          <w:rStyle w:val="lev"/>
          <w:rFonts w:ascii="Arial" w:hAnsi="Arial" w:cs="Arial"/>
          <w:b w:val="0"/>
          <w:bCs w:val="0"/>
        </w:rPr>
        <w:t>phase</w:t>
      </w:r>
      <w:r w:rsidR="00BC744C">
        <w:rPr>
          <w:rStyle w:val="lev"/>
          <w:rFonts w:ascii="Arial" w:hAnsi="Arial" w:cs="Arial"/>
          <w:b w:val="0"/>
          <w:bCs w:val="0"/>
        </w:rPr>
        <w:t> </w:t>
      </w:r>
      <w:r w:rsidRPr="00893685">
        <w:rPr>
          <w:rStyle w:val="lev"/>
          <w:rFonts w:ascii="Arial" w:hAnsi="Arial" w:cs="Arial"/>
          <w:b w:val="0"/>
          <w:bCs w:val="0"/>
        </w:rPr>
        <w:t>1 – Centre de distribution Transrapide</w:t>
      </w:r>
      <w:r w:rsidRPr="00BC744C">
        <w:rPr>
          <w:rFonts w:ascii="Arial" w:hAnsi="Arial" w:cs="Arial"/>
        </w:rPr>
        <w:t xml:space="preserve"> </w:t>
      </w:r>
      <w:r w:rsidRPr="00893685">
        <w:rPr>
          <w:rFonts w:ascii="Arial" w:hAnsi="Arial" w:cs="Arial"/>
          <w:b/>
          <w:bCs/>
        </w:rPr>
        <w:t>(</w:t>
      </w:r>
      <w:r w:rsidRPr="00893685">
        <w:rPr>
          <w:rStyle w:val="lev"/>
          <w:rFonts w:ascii="Arial" w:hAnsi="Arial" w:cs="Arial"/>
          <w:b w:val="0"/>
          <w:bCs w:val="0"/>
        </w:rPr>
        <w:t>Q</w:t>
      </w:r>
      <w:r w:rsidR="00BC744C">
        <w:rPr>
          <w:rStyle w:val="lev"/>
          <w:rFonts w:ascii="Arial" w:hAnsi="Arial" w:cs="Arial"/>
          <w:b w:val="0"/>
          <w:bCs w:val="0"/>
        </w:rPr>
        <w:t>-</w:t>
      </w:r>
      <w:r w:rsidRPr="00893685">
        <w:rPr>
          <w:rStyle w:val="lev"/>
          <w:rFonts w:ascii="Arial" w:hAnsi="Arial" w:cs="Arial"/>
          <w:b w:val="0"/>
          <w:bCs w:val="0"/>
        </w:rPr>
        <w:t>12</w:t>
      </w:r>
      <w:r w:rsidR="00BC744C">
        <w:rPr>
          <w:rStyle w:val="lev"/>
          <w:rFonts w:ascii="Arial" w:hAnsi="Arial" w:cs="Arial"/>
          <w:b w:val="0"/>
          <w:bCs w:val="0"/>
        </w:rPr>
        <w:t> </w:t>
      </w:r>
      <w:r w:rsidRPr="00893685">
        <w:rPr>
          <w:rStyle w:val="lev"/>
          <w:rFonts w:ascii="Arial" w:hAnsi="Arial" w:cs="Arial"/>
          <w:b w:val="0"/>
          <w:bCs w:val="0"/>
        </w:rPr>
        <w:t>-</w:t>
      </w:r>
      <w:r w:rsidR="00BC744C">
        <w:rPr>
          <w:rStyle w:val="lev"/>
          <w:rFonts w:ascii="Arial" w:hAnsi="Arial" w:cs="Arial"/>
          <w:b w:val="0"/>
          <w:bCs w:val="0"/>
        </w:rPr>
        <w:t> </w:t>
      </w:r>
      <w:r w:rsidRPr="00893685">
        <w:rPr>
          <w:rStyle w:val="lev"/>
          <w:rFonts w:ascii="Arial" w:hAnsi="Arial" w:cs="Arial"/>
          <w:b w:val="0"/>
          <w:bCs w:val="0"/>
        </w:rPr>
        <w:t>P071</w:t>
      </w:r>
      <w:r w:rsidRPr="00893685">
        <w:rPr>
          <w:rFonts w:ascii="Arial" w:hAnsi="Arial" w:cs="Arial"/>
        </w:rPr>
        <w:t>, 2,45</w:t>
      </w:r>
      <w:r w:rsidR="00BC744C">
        <w:rPr>
          <w:rFonts w:ascii="Arial" w:hAnsi="Arial" w:cs="Arial"/>
        </w:rPr>
        <w:t> </w:t>
      </w:r>
      <w:r w:rsidRPr="00893685">
        <w:rPr>
          <w:rFonts w:ascii="Arial" w:hAnsi="Arial" w:cs="Arial"/>
        </w:rPr>
        <w:t xml:space="preserve">M$) n’a en réalité </w:t>
      </w:r>
      <w:r w:rsidRPr="00893685">
        <w:rPr>
          <w:rStyle w:val="lev"/>
          <w:rFonts w:ascii="Arial" w:hAnsi="Arial" w:cs="Arial"/>
          <w:b w:val="0"/>
          <w:bCs w:val="0"/>
        </w:rPr>
        <w:t>financé aucun travail</w:t>
      </w:r>
      <w:r w:rsidRPr="00893685">
        <w:rPr>
          <w:rFonts w:ascii="Arial" w:hAnsi="Arial" w:cs="Arial"/>
          <w:b/>
          <w:bCs/>
        </w:rPr>
        <w:t xml:space="preserve"> </w:t>
      </w:r>
      <w:r w:rsidRPr="00893685">
        <w:rPr>
          <w:rFonts w:ascii="Arial" w:hAnsi="Arial" w:cs="Arial"/>
        </w:rPr>
        <w:t>au projet</w:t>
      </w:r>
      <w:r>
        <w:rPr>
          <w:rStyle w:val="Appelnotedebasdep"/>
          <w:rFonts w:ascii="Arial" w:hAnsi="Arial" w:cs="Arial"/>
        </w:rPr>
        <w:footnoteReference w:id="688"/>
      </w:r>
      <w:r w:rsidRPr="00893685">
        <w:rPr>
          <w:rFonts w:ascii="Arial" w:hAnsi="Arial" w:cs="Arial"/>
        </w:rPr>
        <w:t>:</w:t>
      </w:r>
      <w:r w:rsidR="00BC744C">
        <w:rPr>
          <w:rFonts w:ascii="Arial" w:hAnsi="Arial" w:cs="Arial"/>
        </w:rPr>
        <w:t>L</w:t>
      </w:r>
      <w:r w:rsidRPr="00893685">
        <w:rPr>
          <w:rFonts w:ascii="Arial" w:hAnsi="Arial" w:cs="Arial"/>
        </w:rPr>
        <w:t xml:space="preserve">’entièreté du déboursé a été </w:t>
      </w:r>
      <w:r w:rsidRPr="00893685">
        <w:rPr>
          <w:rStyle w:val="lev"/>
          <w:rFonts w:ascii="Arial" w:hAnsi="Arial" w:cs="Arial"/>
          <w:b w:val="0"/>
          <w:bCs w:val="0"/>
        </w:rPr>
        <w:t>retenue et détournée</w:t>
      </w:r>
      <w:r w:rsidRPr="00893685">
        <w:rPr>
          <w:rFonts w:ascii="Arial" w:hAnsi="Arial" w:cs="Arial"/>
        </w:rPr>
        <w:t xml:space="preserve"> pour payer des </w:t>
      </w:r>
      <w:r w:rsidRPr="00893685">
        <w:rPr>
          <w:rStyle w:val="lev"/>
          <w:rFonts w:ascii="Arial" w:hAnsi="Arial" w:cs="Arial"/>
          <w:b w:val="0"/>
          <w:bCs w:val="0"/>
        </w:rPr>
        <w:t>frais</w:t>
      </w:r>
      <w:r w:rsidRPr="00893685">
        <w:rPr>
          <w:rFonts w:ascii="Arial" w:hAnsi="Arial" w:cs="Arial"/>
          <w:b/>
          <w:bCs/>
        </w:rPr>
        <w:t xml:space="preserve"> </w:t>
      </w:r>
      <w:r w:rsidRPr="00893685">
        <w:rPr>
          <w:rFonts w:ascii="Arial" w:hAnsi="Arial" w:cs="Arial"/>
        </w:rPr>
        <w:t xml:space="preserve">(X2, 6646), des </w:t>
      </w:r>
      <w:r w:rsidRPr="00893685">
        <w:rPr>
          <w:rStyle w:val="lev"/>
          <w:rFonts w:ascii="Arial" w:hAnsi="Arial" w:cs="Arial"/>
          <w:b w:val="0"/>
          <w:bCs w:val="0"/>
        </w:rPr>
        <w:t>intérêts dus par FIISH et 8096</w:t>
      </w:r>
      <w:r w:rsidRPr="00893685">
        <w:rPr>
          <w:rFonts w:ascii="Arial" w:hAnsi="Arial" w:cs="Arial"/>
        </w:rPr>
        <w:t xml:space="preserve">, ainsi qu’une </w:t>
      </w:r>
      <w:r w:rsidRPr="00893685">
        <w:rPr>
          <w:rStyle w:val="lev"/>
          <w:rFonts w:ascii="Arial" w:hAnsi="Arial" w:cs="Arial"/>
          <w:b w:val="0"/>
          <w:bCs w:val="0"/>
        </w:rPr>
        <w:t>facture de Giroux Arpentage</w:t>
      </w:r>
      <w:r w:rsidRPr="00893685">
        <w:rPr>
          <w:rFonts w:ascii="Arial" w:hAnsi="Arial" w:cs="Arial"/>
          <w:b/>
          <w:bCs/>
        </w:rPr>
        <w:t>,</w:t>
      </w:r>
      <w:r w:rsidRPr="00893685">
        <w:rPr>
          <w:rFonts w:ascii="Arial" w:hAnsi="Arial" w:cs="Arial"/>
        </w:rPr>
        <w:t xml:space="preserve"> et même un</w:t>
      </w:r>
      <w:r w:rsidR="00893685">
        <w:rPr>
          <w:rFonts w:ascii="Arial" w:hAnsi="Arial" w:cs="Arial"/>
        </w:rPr>
        <w:t xml:space="preserve"> t</w:t>
      </w:r>
      <w:r w:rsidRPr="00893685">
        <w:rPr>
          <w:rStyle w:val="lev"/>
          <w:rFonts w:ascii="Arial" w:hAnsi="Arial" w:cs="Arial"/>
          <w:b w:val="0"/>
          <w:bCs w:val="0"/>
        </w:rPr>
        <w:t>ransfert vers FIISH</w:t>
      </w:r>
      <w:r w:rsidRPr="00893685">
        <w:rPr>
          <w:rFonts w:ascii="Arial" w:hAnsi="Arial" w:cs="Arial"/>
        </w:rPr>
        <w:t xml:space="preserve"> pour ses intérêts mensuels; rien n’a été alloué au chantier contrairement à la convention</w:t>
      </w:r>
      <w:r>
        <w:rPr>
          <w:rStyle w:val="Appelnotedebasdep"/>
          <w:rFonts w:ascii="Arial" w:hAnsi="Arial" w:cs="Arial"/>
        </w:rPr>
        <w:footnoteReference w:id="689"/>
      </w:r>
      <w:r w:rsidR="00BC744C">
        <w:rPr>
          <w:rFonts w:ascii="Arial" w:hAnsi="Arial" w:cs="Arial"/>
        </w:rPr>
        <w:t>.</w:t>
      </w:r>
    </w:p>
    <w:p w14:paraId="50509DE2" w14:textId="77777777" w:rsidR="003D467C" w:rsidRPr="00893685" w:rsidRDefault="003D467C" w:rsidP="00893685">
      <w:pPr>
        <w:pStyle w:val="NormalWeb"/>
        <w:jc w:val="both"/>
        <w:rPr>
          <w:rFonts w:ascii="Arial" w:hAnsi="Arial" w:cs="Arial"/>
        </w:rPr>
      </w:pPr>
    </w:p>
    <w:p w14:paraId="3FC5CE81" w14:textId="77777777" w:rsidR="003D467C" w:rsidRDefault="00730A01" w:rsidP="005C16F0">
      <w:pPr>
        <w:pStyle w:val="NormalWeb"/>
        <w:tabs>
          <w:tab w:val="left" w:pos="3402"/>
        </w:tabs>
        <w:jc w:val="both"/>
        <w:rPr>
          <w:rFonts w:ascii="Arial" w:hAnsi="Arial" w:cs="Arial"/>
        </w:rPr>
      </w:pPr>
      <w:r w:rsidRPr="00893685">
        <w:rPr>
          <w:rFonts w:ascii="Arial" w:hAnsi="Arial" w:cs="Arial"/>
        </w:rPr>
        <w:t xml:space="preserve">Par la suite, le </w:t>
      </w:r>
      <w:r w:rsidRPr="00893685">
        <w:rPr>
          <w:rStyle w:val="lev"/>
          <w:rFonts w:ascii="Arial" w:hAnsi="Arial" w:cs="Arial"/>
          <w:b w:val="0"/>
          <w:bCs w:val="0"/>
        </w:rPr>
        <w:t>22</w:t>
      </w:r>
      <w:r w:rsidR="005C16F0">
        <w:rPr>
          <w:rStyle w:val="lev"/>
          <w:rFonts w:ascii="Arial" w:hAnsi="Arial" w:cs="Arial"/>
          <w:b w:val="0"/>
          <w:bCs w:val="0"/>
        </w:rPr>
        <w:t> </w:t>
      </w:r>
      <w:r w:rsidRPr="00893685">
        <w:rPr>
          <w:rStyle w:val="lev"/>
          <w:rFonts w:ascii="Arial" w:hAnsi="Arial" w:cs="Arial"/>
          <w:b w:val="0"/>
          <w:bCs w:val="0"/>
        </w:rPr>
        <w:t>décembre</w:t>
      </w:r>
      <w:r w:rsidR="005C16F0">
        <w:rPr>
          <w:rStyle w:val="lev"/>
          <w:rFonts w:ascii="Arial" w:hAnsi="Arial" w:cs="Arial"/>
          <w:b w:val="0"/>
          <w:bCs w:val="0"/>
        </w:rPr>
        <w:t> </w:t>
      </w:r>
      <w:r w:rsidRPr="00893685">
        <w:rPr>
          <w:rStyle w:val="lev"/>
          <w:rFonts w:ascii="Arial" w:hAnsi="Arial" w:cs="Arial"/>
          <w:b w:val="0"/>
          <w:bCs w:val="0"/>
        </w:rPr>
        <w:t>2022</w:t>
      </w:r>
      <w:r w:rsidRPr="00893685">
        <w:rPr>
          <w:rFonts w:ascii="Arial" w:hAnsi="Arial" w:cs="Arial"/>
        </w:rPr>
        <w:t xml:space="preserve">, Q-12 a pris une </w:t>
      </w:r>
      <w:r w:rsidRPr="00893685">
        <w:rPr>
          <w:rStyle w:val="lev"/>
          <w:rFonts w:ascii="Arial" w:hAnsi="Arial" w:cs="Arial"/>
          <w:b w:val="0"/>
          <w:bCs w:val="0"/>
        </w:rPr>
        <w:t>hypothèque</w:t>
      </w:r>
      <w:r w:rsidRPr="00893685">
        <w:rPr>
          <w:rFonts w:ascii="Arial" w:hAnsi="Arial" w:cs="Arial"/>
          <w:b/>
          <w:bCs/>
        </w:rPr>
        <w:t xml:space="preserve"> </w:t>
      </w:r>
      <w:r w:rsidRPr="00893685">
        <w:rPr>
          <w:rFonts w:ascii="Arial" w:hAnsi="Arial" w:cs="Arial"/>
        </w:rPr>
        <w:t>sur les</w:t>
      </w:r>
      <w:r w:rsidRPr="00893685">
        <w:rPr>
          <w:rFonts w:ascii="Arial" w:hAnsi="Arial" w:cs="Arial"/>
          <w:b/>
          <w:bCs/>
        </w:rPr>
        <w:t xml:space="preserve"> </w:t>
      </w:r>
      <w:r w:rsidRPr="00893685">
        <w:rPr>
          <w:rStyle w:val="lev"/>
          <w:rFonts w:ascii="Arial" w:hAnsi="Arial" w:cs="Arial"/>
          <w:b w:val="0"/>
          <w:bCs w:val="0"/>
        </w:rPr>
        <w:t>phases</w:t>
      </w:r>
      <w:r w:rsidR="005C16F0">
        <w:rPr>
          <w:rStyle w:val="lev"/>
          <w:rFonts w:ascii="Arial" w:hAnsi="Arial" w:cs="Arial"/>
          <w:b w:val="0"/>
          <w:bCs w:val="0"/>
        </w:rPr>
        <w:t> </w:t>
      </w:r>
      <w:r w:rsidRPr="00893685">
        <w:rPr>
          <w:rStyle w:val="lev"/>
          <w:rFonts w:ascii="Arial" w:hAnsi="Arial" w:cs="Arial"/>
          <w:b w:val="0"/>
          <w:bCs w:val="0"/>
        </w:rPr>
        <w:t>1 à</w:t>
      </w:r>
      <w:r w:rsidR="005C16F0">
        <w:rPr>
          <w:rStyle w:val="lev"/>
          <w:rFonts w:ascii="Arial" w:hAnsi="Arial" w:cs="Arial"/>
          <w:b w:val="0"/>
          <w:bCs w:val="0"/>
        </w:rPr>
        <w:t> </w:t>
      </w:r>
      <w:r w:rsidRPr="00893685">
        <w:rPr>
          <w:rStyle w:val="lev"/>
          <w:rFonts w:ascii="Arial" w:hAnsi="Arial" w:cs="Arial"/>
          <w:b w:val="0"/>
          <w:bCs w:val="0"/>
        </w:rPr>
        <w:t>5 et</w:t>
      </w:r>
      <w:r w:rsidR="005C16F0">
        <w:rPr>
          <w:rStyle w:val="lev"/>
          <w:rFonts w:ascii="Arial" w:hAnsi="Arial" w:cs="Arial"/>
          <w:b w:val="0"/>
          <w:bCs w:val="0"/>
        </w:rPr>
        <w:t> </w:t>
      </w:r>
      <w:r w:rsidRPr="00893685">
        <w:rPr>
          <w:rStyle w:val="lev"/>
          <w:rFonts w:ascii="Arial" w:hAnsi="Arial" w:cs="Arial"/>
          <w:b w:val="0"/>
          <w:bCs w:val="0"/>
        </w:rPr>
        <w:t>7 à</w:t>
      </w:r>
      <w:r w:rsidR="005C16F0">
        <w:rPr>
          <w:rStyle w:val="lev"/>
          <w:rFonts w:ascii="Arial" w:hAnsi="Arial" w:cs="Arial"/>
          <w:b w:val="0"/>
          <w:bCs w:val="0"/>
        </w:rPr>
        <w:t> </w:t>
      </w:r>
      <w:r w:rsidRPr="00893685">
        <w:rPr>
          <w:rStyle w:val="lev"/>
          <w:rFonts w:ascii="Arial" w:hAnsi="Arial" w:cs="Arial"/>
          <w:b w:val="0"/>
          <w:bCs w:val="0"/>
        </w:rPr>
        <w:t>11</w:t>
      </w:r>
      <w:r w:rsidRPr="00893685">
        <w:rPr>
          <w:rFonts w:ascii="Arial" w:hAnsi="Arial" w:cs="Arial"/>
        </w:rPr>
        <w:t xml:space="preserve"> du Complexe Transrapide</w:t>
      </w:r>
      <w:r w:rsidR="00893685">
        <w:rPr>
          <w:rFonts w:ascii="Arial" w:hAnsi="Arial" w:cs="Arial"/>
        </w:rPr>
        <w:t xml:space="preserve"> </w:t>
      </w:r>
      <w:r w:rsidRPr="00893685">
        <w:rPr>
          <w:rFonts w:ascii="Arial" w:hAnsi="Arial" w:cs="Arial"/>
        </w:rPr>
        <w:t xml:space="preserve">mais, sans justification valable, par l’entremise de Giroux, une </w:t>
      </w:r>
      <w:r w:rsidRPr="00893685">
        <w:rPr>
          <w:rStyle w:val="lev"/>
          <w:rFonts w:ascii="Arial" w:hAnsi="Arial" w:cs="Arial"/>
          <w:b w:val="0"/>
          <w:bCs w:val="0"/>
        </w:rPr>
        <w:t>mainlevée</w:t>
      </w:r>
      <w:r w:rsidRPr="00893685">
        <w:rPr>
          <w:rFonts w:ascii="Arial" w:hAnsi="Arial" w:cs="Arial"/>
        </w:rPr>
        <w:t xml:space="preserve"> a été consentie</w:t>
      </w:r>
      <w:r w:rsidR="00893685">
        <w:rPr>
          <w:rFonts w:ascii="Arial" w:hAnsi="Arial" w:cs="Arial"/>
        </w:rPr>
        <w:t xml:space="preserve"> le </w:t>
      </w:r>
      <w:r w:rsidR="00893685">
        <w:rPr>
          <w:rStyle w:val="lev"/>
          <w:rFonts w:ascii="Arial" w:hAnsi="Arial" w:cs="Arial"/>
          <w:b w:val="0"/>
          <w:bCs w:val="0"/>
        </w:rPr>
        <w:t>1</w:t>
      </w:r>
      <w:r w:rsidR="00893685" w:rsidRPr="00893685">
        <w:rPr>
          <w:rStyle w:val="lev"/>
          <w:rFonts w:ascii="Arial" w:hAnsi="Arial" w:cs="Arial"/>
          <w:b w:val="0"/>
          <w:bCs w:val="0"/>
          <w:vertAlign w:val="superscript"/>
        </w:rPr>
        <w:t>er</w:t>
      </w:r>
      <w:r w:rsidR="005C16F0">
        <w:rPr>
          <w:rStyle w:val="lev"/>
          <w:rFonts w:ascii="Arial" w:hAnsi="Arial" w:cs="Arial"/>
          <w:b w:val="0"/>
          <w:bCs w:val="0"/>
        </w:rPr>
        <w:t> </w:t>
      </w:r>
      <w:r w:rsidRPr="00893685">
        <w:rPr>
          <w:rStyle w:val="lev"/>
          <w:rFonts w:ascii="Arial" w:hAnsi="Arial" w:cs="Arial"/>
          <w:b w:val="0"/>
          <w:bCs w:val="0"/>
        </w:rPr>
        <w:t>février</w:t>
      </w:r>
      <w:r w:rsidR="005C16F0">
        <w:rPr>
          <w:rStyle w:val="lev"/>
          <w:rFonts w:ascii="Arial" w:hAnsi="Arial" w:cs="Arial"/>
          <w:b w:val="0"/>
          <w:bCs w:val="0"/>
        </w:rPr>
        <w:t> </w:t>
      </w:r>
      <w:r w:rsidRPr="00893685">
        <w:rPr>
          <w:rStyle w:val="lev"/>
          <w:rFonts w:ascii="Arial" w:hAnsi="Arial" w:cs="Arial"/>
          <w:b w:val="0"/>
          <w:bCs w:val="0"/>
        </w:rPr>
        <w:t>202</w:t>
      </w:r>
      <w:r w:rsidR="00893685">
        <w:rPr>
          <w:rStyle w:val="lev"/>
          <w:rFonts w:ascii="Arial" w:hAnsi="Arial" w:cs="Arial"/>
          <w:b w:val="0"/>
          <w:bCs w:val="0"/>
        </w:rPr>
        <w:t>3 su</w:t>
      </w:r>
      <w:r w:rsidRPr="00893685">
        <w:rPr>
          <w:rFonts w:ascii="Arial" w:hAnsi="Arial" w:cs="Arial"/>
        </w:rPr>
        <w:t>r les</w:t>
      </w:r>
      <w:r w:rsidRPr="00893685">
        <w:rPr>
          <w:rFonts w:ascii="Arial" w:hAnsi="Arial" w:cs="Arial"/>
          <w:b/>
          <w:bCs/>
        </w:rPr>
        <w:t xml:space="preserve"> </w:t>
      </w:r>
      <w:r w:rsidRPr="00893685">
        <w:rPr>
          <w:rStyle w:val="lev"/>
          <w:rFonts w:ascii="Arial" w:hAnsi="Arial" w:cs="Arial"/>
          <w:b w:val="0"/>
          <w:bCs w:val="0"/>
        </w:rPr>
        <w:t>phases</w:t>
      </w:r>
      <w:r w:rsidR="005C16F0">
        <w:rPr>
          <w:rStyle w:val="lev"/>
          <w:rFonts w:ascii="Arial" w:hAnsi="Arial" w:cs="Arial"/>
          <w:b w:val="0"/>
          <w:bCs w:val="0"/>
        </w:rPr>
        <w:t> </w:t>
      </w:r>
      <w:r w:rsidRPr="00893685">
        <w:rPr>
          <w:rStyle w:val="lev"/>
          <w:rFonts w:ascii="Arial" w:hAnsi="Arial" w:cs="Arial"/>
          <w:b w:val="0"/>
          <w:bCs w:val="0"/>
        </w:rPr>
        <w:t>1 à</w:t>
      </w:r>
      <w:r w:rsidR="005C16F0">
        <w:rPr>
          <w:rStyle w:val="lev"/>
          <w:rFonts w:ascii="Arial" w:hAnsi="Arial" w:cs="Arial"/>
          <w:b w:val="0"/>
          <w:bCs w:val="0"/>
        </w:rPr>
        <w:t> </w:t>
      </w:r>
      <w:r w:rsidRPr="00893685">
        <w:rPr>
          <w:rStyle w:val="lev"/>
          <w:rFonts w:ascii="Arial" w:hAnsi="Arial" w:cs="Arial"/>
          <w:b w:val="0"/>
          <w:bCs w:val="0"/>
        </w:rPr>
        <w:t>4, 7 et</w:t>
      </w:r>
      <w:r w:rsidR="005C16F0">
        <w:rPr>
          <w:rStyle w:val="lev"/>
          <w:rFonts w:ascii="Arial" w:hAnsi="Arial" w:cs="Arial"/>
          <w:b w:val="0"/>
          <w:bCs w:val="0"/>
        </w:rPr>
        <w:t> </w:t>
      </w:r>
      <w:r w:rsidRPr="00893685">
        <w:rPr>
          <w:rStyle w:val="lev"/>
          <w:rFonts w:ascii="Arial" w:hAnsi="Arial" w:cs="Arial"/>
          <w:b w:val="0"/>
          <w:bCs w:val="0"/>
        </w:rPr>
        <w:t>8</w:t>
      </w:r>
      <w:r w:rsidRPr="00893685">
        <w:rPr>
          <w:rFonts w:ascii="Arial" w:hAnsi="Arial" w:cs="Arial"/>
          <w:b/>
          <w:bCs/>
        </w:rPr>
        <w:t xml:space="preserve">, </w:t>
      </w:r>
      <w:r w:rsidRPr="00893685">
        <w:rPr>
          <w:rFonts w:ascii="Arial" w:hAnsi="Arial" w:cs="Arial"/>
        </w:rPr>
        <w:t>réduisant sensiblement la portée des sûretés</w:t>
      </w:r>
      <w:r>
        <w:rPr>
          <w:rStyle w:val="Appelnotedebasdep"/>
          <w:rFonts w:ascii="Arial" w:hAnsi="Arial" w:cs="Arial"/>
        </w:rPr>
        <w:footnoteReference w:id="690"/>
      </w:r>
      <w:r w:rsidR="005C16F0">
        <w:rPr>
          <w:rFonts w:ascii="Arial" w:hAnsi="Arial" w:cs="Arial"/>
        </w:rPr>
        <w:t>.</w:t>
      </w:r>
    </w:p>
    <w:p w14:paraId="228FF7D1" w14:textId="77777777" w:rsidR="00893685" w:rsidRPr="00893685" w:rsidRDefault="00893685" w:rsidP="00893685">
      <w:pPr>
        <w:pStyle w:val="NormalWeb"/>
        <w:jc w:val="both"/>
        <w:rPr>
          <w:rFonts w:ascii="Arial" w:hAnsi="Arial" w:cs="Arial"/>
        </w:rPr>
      </w:pPr>
    </w:p>
    <w:p w14:paraId="0822D54F" w14:textId="77777777" w:rsidR="003D467C" w:rsidRDefault="00730A01" w:rsidP="00893685">
      <w:pPr>
        <w:pStyle w:val="NormalWeb"/>
        <w:jc w:val="both"/>
        <w:rPr>
          <w:rFonts w:ascii="Arial" w:hAnsi="Arial" w:cs="Arial"/>
        </w:rPr>
      </w:pPr>
      <w:r w:rsidRPr="00893685">
        <w:rPr>
          <w:rFonts w:ascii="Arial" w:hAnsi="Arial" w:cs="Arial"/>
        </w:rPr>
        <w:t xml:space="preserve">Les constats financiers soulignent le </w:t>
      </w:r>
      <w:r w:rsidRPr="00893685">
        <w:rPr>
          <w:rStyle w:val="lev"/>
          <w:rFonts w:ascii="Arial" w:hAnsi="Arial" w:cs="Arial"/>
          <w:b w:val="0"/>
          <w:bCs w:val="0"/>
        </w:rPr>
        <w:t>caractère impropre</w:t>
      </w:r>
      <w:r w:rsidRPr="00893685">
        <w:rPr>
          <w:rFonts w:ascii="Arial" w:hAnsi="Arial" w:cs="Arial"/>
        </w:rPr>
        <w:t xml:space="preserve"> du montage</w:t>
      </w:r>
      <w:r w:rsidR="005C16F0">
        <w:rPr>
          <w:rFonts w:ascii="Arial" w:hAnsi="Arial" w:cs="Arial"/>
        </w:rPr>
        <w:t> </w:t>
      </w:r>
      <w:r w:rsidRPr="00893685">
        <w:rPr>
          <w:rFonts w:ascii="Arial" w:hAnsi="Arial" w:cs="Arial"/>
        </w:rPr>
        <w:t xml:space="preserve">: au total, </w:t>
      </w:r>
      <w:r w:rsidRPr="00893685">
        <w:rPr>
          <w:rStyle w:val="lev"/>
          <w:rFonts w:ascii="Arial" w:hAnsi="Arial" w:cs="Arial"/>
          <w:b w:val="0"/>
          <w:bCs w:val="0"/>
        </w:rPr>
        <w:t>110</w:t>
      </w:r>
      <w:r w:rsidR="00893685">
        <w:rPr>
          <w:rStyle w:val="lev"/>
          <w:rFonts w:ascii="Arial" w:hAnsi="Arial" w:cs="Arial"/>
          <w:b w:val="0"/>
          <w:bCs w:val="0"/>
        </w:rPr>
        <w:t> </w:t>
      </w:r>
      <w:r w:rsidRPr="00893685">
        <w:rPr>
          <w:rStyle w:val="lev"/>
          <w:rFonts w:ascii="Arial" w:hAnsi="Arial" w:cs="Arial"/>
          <w:b w:val="0"/>
          <w:bCs w:val="0"/>
        </w:rPr>
        <w:t>484</w:t>
      </w:r>
      <w:r w:rsidR="00893685">
        <w:rPr>
          <w:rStyle w:val="lev"/>
          <w:rFonts w:ascii="Arial" w:hAnsi="Arial" w:cs="Arial"/>
          <w:b w:val="0"/>
          <w:bCs w:val="0"/>
        </w:rPr>
        <w:t> </w:t>
      </w:r>
      <w:r w:rsidRPr="00893685">
        <w:rPr>
          <w:rStyle w:val="lev"/>
          <w:rFonts w:ascii="Arial" w:hAnsi="Arial" w:cs="Arial"/>
          <w:b w:val="0"/>
          <w:bCs w:val="0"/>
        </w:rPr>
        <w:t>084</w:t>
      </w:r>
      <w:r w:rsidR="00893685">
        <w:rPr>
          <w:rStyle w:val="lev"/>
          <w:rFonts w:ascii="Arial" w:hAnsi="Arial" w:cs="Arial"/>
          <w:b w:val="0"/>
          <w:bCs w:val="0"/>
        </w:rPr>
        <w:t> </w:t>
      </w:r>
      <w:r w:rsidRPr="00893685">
        <w:rPr>
          <w:rStyle w:val="lev"/>
          <w:rFonts w:ascii="Arial" w:hAnsi="Arial" w:cs="Arial"/>
          <w:b w:val="0"/>
          <w:bCs w:val="0"/>
        </w:rPr>
        <w:t>$</w:t>
      </w:r>
      <w:r w:rsidRPr="00893685">
        <w:rPr>
          <w:rFonts w:ascii="Arial" w:hAnsi="Arial" w:cs="Arial"/>
        </w:rPr>
        <w:t xml:space="preserve"> ont été injectés dans Transrapide (toutes sources confondues) dont </w:t>
      </w:r>
      <w:r w:rsidRPr="00893685">
        <w:rPr>
          <w:rStyle w:val="lev"/>
          <w:rFonts w:ascii="Arial" w:hAnsi="Arial" w:cs="Arial"/>
          <w:b w:val="0"/>
          <w:bCs w:val="0"/>
        </w:rPr>
        <w:t>47,7</w:t>
      </w:r>
      <w:r w:rsidR="00893685">
        <w:rPr>
          <w:rStyle w:val="lev"/>
          <w:rFonts w:ascii="Arial" w:hAnsi="Arial" w:cs="Arial"/>
          <w:b w:val="0"/>
          <w:bCs w:val="0"/>
        </w:rPr>
        <w:t> </w:t>
      </w:r>
      <w:r w:rsidRPr="00893685">
        <w:rPr>
          <w:rStyle w:val="lev"/>
          <w:rFonts w:ascii="Arial" w:hAnsi="Arial" w:cs="Arial"/>
          <w:b w:val="0"/>
          <w:bCs w:val="0"/>
        </w:rPr>
        <w:t>M$ nets de Q</w:t>
      </w:r>
      <w:r w:rsidR="00893685">
        <w:rPr>
          <w:rStyle w:val="lev"/>
          <w:rFonts w:ascii="Arial" w:hAnsi="Arial" w:cs="Arial"/>
          <w:b w:val="0"/>
          <w:bCs w:val="0"/>
        </w:rPr>
        <w:noBreakHyphen/>
      </w:r>
      <w:r w:rsidRPr="00893685">
        <w:rPr>
          <w:rStyle w:val="lev"/>
          <w:rFonts w:ascii="Arial" w:hAnsi="Arial" w:cs="Arial"/>
          <w:b w:val="0"/>
          <w:bCs w:val="0"/>
        </w:rPr>
        <w:t>12</w:t>
      </w:r>
      <w:r w:rsidRPr="00893685">
        <w:rPr>
          <w:rFonts w:ascii="Arial" w:hAnsi="Arial" w:cs="Arial"/>
        </w:rPr>
        <w:t>; or</w:t>
      </w:r>
      <w:r w:rsidR="005C16F0">
        <w:rPr>
          <w:rFonts w:ascii="Arial" w:hAnsi="Arial" w:cs="Arial"/>
        </w:rPr>
        <w:t>,</w:t>
      </w:r>
      <w:r w:rsidRPr="00893685">
        <w:rPr>
          <w:rFonts w:ascii="Arial" w:hAnsi="Arial" w:cs="Arial"/>
        </w:rPr>
        <w:t xml:space="preserve"> seulement </w:t>
      </w:r>
      <w:r w:rsidRPr="00893685">
        <w:rPr>
          <w:rStyle w:val="lev"/>
          <w:rFonts w:ascii="Arial" w:hAnsi="Arial" w:cs="Arial"/>
          <w:b w:val="0"/>
          <w:bCs w:val="0"/>
        </w:rPr>
        <w:t>50</w:t>
      </w:r>
      <w:r w:rsidR="00893685">
        <w:rPr>
          <w:rStyle w:val="lev"/>
          <w:rFonts w:ascii="Arial" w:hAnsi="Arial" w:cs="Arial"/>
          <w:b w:val="0"/>
          <w:bCs w:val="0"/>
        </w:rPr>
        <w:t> </w:t>
      </w:r>
      <w:r w:rsidRPr="00893685">
        <w:rPr>
          <w:rStyle w:val="lev"/>
          <w:rFonts w:ascii="Arial" w:hAnsi="Arial" w:cs="Arial"/>
          <w:b w:val="0"/>
          <w:bCs w:val="0"/>
        </w:rPr>
        <w:t>846</w:t>
      </w:r>
      <w:r w:rsidR="00893685">
        <w:rPr>
          <w:rStyle w:val="lev"/>
          <w:rFonts w:ascii="Arial" w:hAnsi="Arial" w:cs="Arial"/>
          <w:b w:val="0"/>
          <w:bCs w:val="0"/>
        </w:rPr>
        <w:t> </w:t>
      </w:r>
      <w:r w:rsidRPr="00893685">
        <w:rPr>
          <w:rStyle w:val="lev"/>
          <w:rFonts w:ascii="Arial" w:hAnsi="Arial" w:cs="Arial"/>
          <w:b w:val="0"/>
          <w:bCs w:val="0"/>
        </w:rPr>
        <w:t>987</w:t>
      </w:r>
      <w:r w:rsidR="00893685">
        <w:rPr>
          <w:rStyle w:val="lev"/>
          <w:rFonts w:ascii="Arial" w:hAnsi="Arial" w:cs="Arial"/>
          <w:b w:val="0"/>
          <w:bCs w:val="0"/>
        </w:rPr>
        <w:t> </w:t>
      </w:r>
      <w:r w:rsidRPr="00893685">
        <w:rPr>
          <w:rStyle w:val="lev"/>
          <w:rFonts w:ascii="Arial" w:hAnsi="Arial" w:cs="Arial"/>
          <w:b w:val="0"/>
          <w:bCs w:val="0"/>
        </w:rPr>
        <w:t>$</w:t>
      </w:r>
      <w:r w:rsidRPr="00893685">
        <w:rPr>
          <w:rFonts w:ascii="Arial" w:hAnsi="Arial" w:cs="Arial"/>
          <w:b/>
          <w:bCs/>
        </w:rPr>
        <w:t xml:space="preserve"> </w:t>
      </w:r>
      <w:r w:rsidRPr="00893685">
        <w:rPr>
          <w:rFonts w:ascii="Arial" w:hAnsi="Arial" w:cs="Arial"/>
        </w:rPr>
        <w:t xml:space="preserve">ont servi aux </w:t>
      </w:r>
      <w:r w:rsidRPr="00893685">
        <w:rPr>
          <w:rStyle w:val="lev"/>
          <w:rFonts w:ascii="Arial" w:hAnsi="Arial" w:cs="Arial"/>
          <w:b w:val="0"/>
          <w:bCs w:val="0"/>
        </w:rPr>
        <w:t>immobilisations</w:t>
      </w:r>
      <w:r w:rsidRPr="00893685">
        <w:rPr>
          <w:rFonts w:ascii="Arial" w:hAnsi="Arial" w:cs="Arial"/>
        </w:rPr>
        <w:t xml:space="preserve">, tandis que </w:t>
      </w:r>
      <w:r w:rsidRPr="00893685">
        <w:rPr>
          <w:rStyle w:val="lev"/>
          <w:rFonts w:ascii="Arial" w:hAnsi="Arial" w:cs="Arial"/>
          <w:b w:val="0"/>
          <w:bCs w:val="0"/>
        </w:rPr>
        <w:t>58</w:t>
      </w:r>
      <w:r w:rsidR="00893685">
        <w:rPr>
          <w:rStyle w:val="lev"/>
          <w:rFonts w:ascii="Arial" w:hAnsi="Arial" w:cs="Arial"/>
          <w:b w:val="0"/>
          <w:bCs w:val="0"/>
        </w:rPr>
        <w:t> </w:t>
      </w:r>
      <w:r w:rsidRPr="00893685">
        <w:rPr>
          <w:rStyle w:val="lev"/>
          <w:rFonts w:ascii="Arial" w:hAnsi="Arial" w:cs="Arial"/>
          <w:b w:val="0"/>
          <w:bCs w:val="0"/>
        </w:rPr>
        <w:t>462</w:t>
      </w:r>
      <w:r w:rsidR="00893685">
        <w:rPr>
          <w:rStyle w:val="lev"/>
          <w:rFonts w:ascii="Arial" w:hAnsi="Arial" w:cs="Arial"/>
          <w:b w:val="0"/>
          <w:bCs w:val="0"/>
        </w:rPr>
        <w:t> </w:t>
      </w:r>
      <w:r w:rsidRPr="00893685">
        <w:rPr>
          <w:rStyle w:val="lev"/>
          <w:rFonts w:ascii="Arial" w:hAnsi="Arial" w:cs="Arial"/>
          <w:b w:val="0"/>
          <w:bCs w:val="0"/>
        </w:rPr>
        <w:t>195</w:t>
      </w:r>
      <w:r w:rsidR="00893685">
        <w:rPr>
          <w:rStyle w:val="lev"/>
          <w:rFonts w:ascii="Arial" w:hAnsi="Arial" w:cs="Arial"/>
          <w:b w:val="0"/>
          <w:bCs w:val="0"/>
        </w:rPr>
        <w:t> </w:t>
      </w:r>
      <w:r w:rsidRPr="00893685">
        <w:rPr>
          <w:rStyle w:val="lev"/>
          <w:rFonts w:ascii="Arial" w:hAnsi="Arial" w:cs="Arial"/>
          <w:b w:val="0"/>
          <w:bCs w:val="0"/>
        </w:rPr>
        <w:t>$</w:t>
      </w:r>
      <w:r w:rsidRPr="00893685">
        <w:rPr>
          <w:rFonts w:ascii="Arial" w:hAnsi="Arial" w:cs="Arial"/>
        </w:rPr>
        <w:t xml:space="preserve"> ont été versés en </w:t>
      </w:r>
      <w:r w:rsidRPr="00893685">
        <w:rPr>
          <w:rStyle w:val="lev"/>
          <w:rFonts w:ascii="Arial" w:hAnsi="Arial" w:cs="Arial"/>
          <w:b w:val="0"/>
          <w:bCs w:val="0"/>
        </w:rPr>
        <w:t>avances de fonds</w:t>
      </w:r>
      <w:r w:rsidRPr="00893685">
        <w:rPr>
          <w:rFonts w:ascii="Arial" w:hAnsi="Arial" w:cs="Arial"/>
        </w:rPr>
        <w:t xml:space="preserve">, principalement à </w:t>
      </w:r>
      <w:r w:rsidRPr="00893685">
        <w:rPr>
          <w:rStyle w:val="lev"/>
          <w:rFonts w:ascii="Arial" w:hAnsi="Arial" w:cs="Arial"/>
          <w:b w:val="0"/>
          <w:bCs w:val="0"/>
        </w:rPr>
        <w:t>SPH</w:t>
      </w:r>
      <w:r>
        <w:rPr>
          <w:rStyle w:val="Appelnotedebasdep"/>
          <w:rFonts w:ascii="Arial" w:hAnsi="Arial" w:cs="Arial"/>
        </w:rPr>
        <w:footnoteReference w:id="691"/>
      </w:r>
      <w:r w:rsidR="005C16F0">
        <w:rPr>
          <w:rFonts w:ascii="Arial" w:hAnsi="Arial" w:cs="Arial"/>
        </w:rPr>
        <w:t>.</w:t>
      </w:r>
    </w:p>
    <w:p w14:paraId="3B5DFD02" w14:textId="77777777" w:rsidR="00893685" w:rsidRPr="00893685" w:rsidRDefault="00893685" w:rsidP="00893685">
      <w:pPr>
        <w:pStyle w:val="NormalWeb"/>
        <w:jc w:val="both"/>
        <w:rPr>
          <w:rFonts w:ascii="Arial" w:hAnsi="Arial" w:cs="Arial"/>
        </w:rPr>
      </w:pPr>
    </w:p>
    <w:p w14:paraId="1FC0103E" w14:textId="77777777" w:rsidR="003D467C" w:rsidRPr="00893685" w:rsidRDefault="00730A01" w:rsidP="00893685">
      <w:pPr>
        <w:pStyle w:val="NormalWeb"/>
        <w:jc w:val="both"/>
        <w:rPr>
          <w:rFonts w:ascii="Arial" w:hAnsi="Arial" w:cs="Arial"/>
        </w:rPr>
      </w:pPr>
      <w:r w:rsidRPr="00893685">
        <w:rPr>
          <w:rFonts w:ascii="Arial" w:hAnsi="Arial" w:cs="Arial"/>
        </w:rPr>
        <w:t>En gros, ces prêts ont été effectués sans suivi, sans déboursés progressifs ni contrôle. Il est à noter que 1</w:t>
      </w:r>
      <w:r w:rsidR="00893685">
        <w:rPr>
          <w:rFonts w:ascii="Arial" w:hAnsi="Arial" w:cs="Arial"/>
        </w:rPr>
        <w:t> </w:t>
      </w:r>
      <w:r w:rsidRPr="00893685">
        <w:rPr>
          <w:rFonts w:ascii="Arial" w:hAnsi="Arial" w:cs="Arial"/>
        </w:rPr>
        <w:t>M$ a aussi été utilisé pour rembourser un prêt à terme dû à 6646, portant intérêt à 60</w:t>
      </w:r>
      <w:r w:rsidR="00EE647D">
        <w:rPr>
          <w:rFonts w:ascii="Arial" w:hAnsi="Arial" w:cs="Arial"/>
        </w:rPr>
        <w:t> </w:t>
      </w:r>
      <w:r w:rsidRPr="00893685">
        <w:rPr>
          <w:rFonts w:ascii="Arial" w:hAnsi="Arial" w:cs="Arial"/>
        </w:rPr>
        <w:t>%</w:t>
      </w:r>
      <w:r>
        <w:rPr>
          <w:rStyle w:val="Appelnotedebasdep"/>
          <w:rFonts w:ascii="Arial" w:hAnsi="Arial" w:cs="Arial"/>
        </w:rPr>
        <w:footnoteReference w:id="692"/>
      </w:r>
      <w:r w:rsidRPr="00893685">
        <w:rPr>
          <w:rFonts w:ascii="Arial" w:hAnsi="Arial" w:cs="Arial"/>
        </w:rPr>
        <w:t xml:space="preserve"> ainsi que pour payer une facture de 77 478,15</w:t>
      </w:r>
      <w:r w:rsidR="00EE647D">
        <w:rPr>
          <w:rFonts w:ascii="Arial" w:hAnsi="Arial" w:cs="Arial"/>
        </w:rPr>
        <w:t> </w:t>
      </w:r>
      <w:r w:rsidRPr="00893685">
        <w:rPr>
          <w:rFonts w:ascii="Arial" w:hAnsi="Arial" w:cs="Arial"/>
        </w:rPr>
        <w:t xml:space="preserve">$ </w:t>
      </w:r>
      <w:r w:rsidR="005C16F0">
        <w:rPr>
          <w:rFonts w:ascii="Arial" w:hAnsi="Arial" w:cs="Arial"/>
        </w:rPr>
        <w:t>dus</w:t>
      </w:r>
      <w:r w:rsidRPr="00893685">
        <w:rPr>
          <w:rFonts w:ascii="Arial" w:hAnsi="Arial" w:cs="Arial"/>
        </w:rPr>
        <w:t xml:space="preserve"> par Millénum à 6646.</w:t>
      </w:r>
    </w:p>
    <w:p w14:paraId="263BDE30" w14:textId="77777777" w:rsidR="003D467C" w:rsidRPr="00893685" w:rsidRDefault="003D467C" w:rsidP="00893685">
      <w:pPr>
        <w:pStyle w:val="NormalWeb"/>
        <w:jc w:val="both"/>
        <w:rPr>
          <w:rFonts w:ascii="Arial" w:hAnsi="Arial" w:cs="Arial"/>
        </w:rPr>
      </w:pPr>
    </w:p>
    <w:p w14:paraId="61C78BBC" w14:textId="77777777" w:rsidR="003D467C" w:rsidRPr="00893685" w:rsidRDefault="00730A01" w:rsidP="00443B59">
      <w:pPr>
        <w:pStyle w:val="NormalWeb"/>
        <w:numPr>
          <w:ilvl w:val="5"/>
          <w:numId w:val="140"/>
        </w:numPr>
        <w:spacing w:before="100" w:beforeAutospacing="1" w:after="120"/>
        <w:ind w:left="284" w:hanging="284"/>
        <w:jc w:val="both"/>
        <w:rPr>
          <w:rFonts w:ascii="Arial" w:hAnsi="Arial" w:cs="Arial"/>
          <w:b/>
          <w:bCs/>
        </w:rPr>
      </w:pPr>
      <w:r w:rsidRPr="00EE647D">
        <w:rPr>
          <w:rStyle w:val="lev"/>
          <w:rFonts w:ascii="Arial" w:hAnsi="Arial" w:cs="Arial"/>
        </w:rPr>
        <w:t>Les</w:t>
      </w:r>
      <w:r w:rsidRPr="00EE647D">
        <w:rPr>
          <w:rFonts w:ascii="Arial" w:hAnsi="Arial" w:cs="Arial"/>
        </w:rPr>
        <w:t xml:space="preserve"> </w:t>
      </w:r>
      <w:r w:rsidRPr="00893685">
        <w:rPr>
          <w:rFonts w:ascii="Arial" w:hAnsi="Arial" w:cs="Arial"/>
          <w:b/>
          <w:bCs/>
        </w:rPr>
        <w:t>pertes encourues</w:t>
      </w:r>
    </w:p>
    <w:p w14:paraId="3F48A342" w14:textId="77777777" w:rsidR="008900D7" w:rsidRPr="00893685" w:rsidRDefault="00730A01" w:rsidP="00893685">
      <w:pPr>
        <w:spacing w:before="100" w:beforeAutospacing="1" w:after="100" w:afterAutospacing="1"/>
        <w:jc w:val="both"/>
        <w:rPr>
          <w:rFonts w:cs="Arial"/>
          <w:szCs w:val="24"/>
          <w:lang w:eastAsia="fr-CA"/>
        </w:rPr>
      </w:pPr>
      <w:r w:rsidRPr="00893685">
        <w:rPr>
          <w:rFonts w:cs="Arial"/>
          <w:szCs w:val="24"/>
        </w:rPr>
        <w:t>Aucune valeur ne demeure récupérable, il s’agit d’une perte totale de 24 301</w:t>
      </w:r>
      <w:r w:rsidR="00EE647D">
        <w:rPr>
          <w:rFonts w:cs="Arial"/>
          <w:szCs w:val="24"/>
        </w:rPr>
        <w:t> </w:t>
      </w:r>
      <w:r w:rsidRPr="00893685">
        <w:rPr>
          <w:rFonts w:cs="Arial"/>
          <w:szCs w:val="24"/>
        </w:rPr>
        <w:t>446</w:t>
      </w:r>
      <w:r w:rsidR="00EE647D">
        <w:rPr>
          <w:rFonts w:cs="Arial"/>
          <w:szCs w:val="24"/>
        </w:rPr>
        <w:t> </w:t>
      </w:r>
      <w:r w:rsidRPr="00893685">
        <w:rPr>
          <w:rFonts w:cs="Arial"/>
          <w:szCs w:val="24"/>
        </w:rPr>
        <w:t>$</w:t>
      </w:r>
      <w:bookmarkEnd w:id="240"/>
      <w:r w:rsidR="004473B0">
        <w:rPr>
          <w:rFonts w:cs="Arial"/>
          <w:szCs w:val="24"/>
        </w:rPr>
        <w:t>.</w:t>
      </w:r>
    </w:p>
    <w:p w14:paraId="60ABED65" w14:textId="77777777" w:rsidR="008900D7" w:rsidRPr="00B521C9" w:rsidRDefault="00730A01" w:rsidP="00443B59">
      <w:pPr>
        <w:pStyle w:val="Titre2"/>
        <w:numPr>
          <w:ilvl w:val="2"/>
          <w:numId w:val="123"/>
        </w:numPr>
        <w:spacing w:after="120"/>
        <w:ind w:left="426" w:hanging="426"/>
        <w:rPr>
          <w:smallCaps/>
        </w:rPr>
      </w:pPr>
      <w:r w:rsidRPr="00B521C9">
        <w:rPr>
          <w:smallCaps/>
        </w:rPr>
        <w:t>Le projet Hangar Blanc-Sablon (P067)</w:t>
      </w:r>
    </w:p>
    <w:p w14:paraId="3EBF3467" w14:textId="77777777" w:rsidR="000D4000" w:rsidRDefault="00730A01" w:rsidP="0098012F">
      <w:pPr>
        <w:pStyle w:val="Paragraphe"/>
        <w:numPr>
          <w:ilvl w:val="0"/>
          <w:numId w:val="0"/>
        </w:numPr>
        <w:spacing w:line="240" w:lineRule="auto"/>
        <w:rPr>
          <w:rFonts w:cs="Arial"/>
          <w:szCs w:val="24"/>
          <w:lang w:eastAsia="fr-CA"/>
        </w:rPr>
      </w:pPr>
      <w:r w:rsidRPr="00152D74">
        <w:rPr>
          <w:rFonts w:cs="Arial"/>
          <w:szCs w:val="24"/>
          <w:lang w:eastAsia="fr-CA"/>
        </w:rPr>
        <w:t xml:space="preserve">Ce projet visait la construction d’un hangar dans le cadre d’un financement immobilier. Bien que les Défendeurs </w:t>
      </w:r>
      <w:r w:rsidR="003B6474">
        <w:rPr>
          <w:rFonts w:cs="Arial"/>
          <w:szCs w:val="24"/>
          <w:lang w:eastAsia="fr-CA"/>
        </w:rPr>
        <w:t>soulignent</w:t>
      </w:r>
      <w:r w:rsidRPr="00152D74">
        <w:rPr>
          <w:rFonts w:cs="Arial"/>
          <w:szCs w:val="24"/>
          <w:lang w:eastAsia="fr-CA"/>
        </w:rPr>
        <w:t xml:space="preserve"> qu’aucune perte n’ait été encourue</w:t>
      </w:r>
      <w:r>
        <w:rPr>
          <w:rStyle w:val="Appelnotedebasdep"/>
          <w:rFonts w:cs="Arial"/>
          <w:szCs w:val="24"/>
          <w:lang w:eastAsia="fr-CA"/>
        </w:rPr>
        <w:footnoteReference w:id="693"/>
      </w:r>
      <w:r w:rsidR="003B6474">
        <w:rPr>
          <w:rFonts w:cs="Arial"/>
          <w:szCs w:val="24"/>
          <w:lang w:eastAsia="fr-CA"/>
        </w:rPr>
        <w:t>,</w:t>
      </w:r>
      <w:r w:rsidRPr="00152D74">
        <w:rPr>
          <w:rFonts w:cs="Arial"/>
          <w:szCs w:val="24"/>
          <w:lang w:eastAsia="fr-CA"/>
        </w:rPr>
        <w:t xml:space="preserve"> les Demandeurs </w:t>
      </w:r>
      <w:r w:rsidR="003B6474">
        <w:rPr>
          <w:rFonts w:cs="Arial"/>
          <w:szCs w:val="24"/>
          <w:lang w:eastAsia="fr-CA"/>
        </w:rPr>
        <w:t>rappellent</w:t>
      </w:r>
      <w:r w:rsidRPr="00152D74">
        <w:rPr>
          <w:rFonts w:cs="Arial"/>
          <w:szCs w:val="24"/>
          <w:lang w:eastAsia="fr-CA"/>
        </w:rPr>
        <w:t xml:space="preserve"> que le prêt a été consenti sans véritable analyse ni suivi. </w:t>
      </w:r>
    </w:p>
    <w:p w14:paraId="484A1ECC" w14:textId="77777777" w:rsidR="008900D7" w:rsidRPr="00B521C9" w:rsidRDefault="00730A01" w:rsidP="00443B59">
      <w:pPr>
        <w:pStyle w:val="Titre2"/>
        <w:numPr>
          <w:ilvl w:val="2"/>
          <w:numId w:val="123"/>
        </w:numPr>
        <w:spacing w:after="120"/>
        <w:ind w:left="426" w:hanging="426"/>
        <w:rPr>
          <w:smallCaps/>
        </w:rPr>
      </w:pPr>
      <w:r w:rsidRPr="00B521C9">
        <w:rPr>
          <w:smallCaps/>
        </w:rPr>
        <w:t>Le projet Père-Lelièvre</w:t>
      </w:r>
      <w:r w:rsidR="004F6FDC" w:rsidRPr="00B521C9">
        <w:rPr>
          <w:smallCaps/>
        </w:rPr>
        <w:t>/</w:t>
      </w:r>
      <w:r w:rsidRPr="00B521C9">
        <w:rPr>
          <w:smallCaps/>
        </w:rPr>
        <w:t>Riviera (P072)</w:t>
      </w:r>
    </w:p>
    <w:p w14:paraId="5E8C479B" w14:textId="77777777" w:rsidR="00EE647D" w:rsidRDefault="00730A01" w:rsidP="00EE647D">
      <w:pPr>
        <w:pStyle w:val="Paragraphe"/>
        <w:numPr>
          <w:ilvl w:val="0"/>
          <w:numId w:val="0"/>
        </w:numPr>
        <w:spacing w:line="240" w:lineRule="auto"/>
        <w:rPr>
          <w:rFonts w:cs="Arial"/>
          <w:szCs w:val="24"/>
          <w:lang w:eastAsia="fr-CA"/>
        </w:rPr>
      </w:pPr>
      <w:r w:rsidRPr="00152D74">
        <w:rPr>
          <w:rFonts w:cs="Arial"/>
          <w:szCs w:val="24"/>
          <w:lang w:eastAsia="fr-CA"/>
        </w:rPr>
        <w:t xml:space="preserve">Ce projet immobilier concernait le secteur Père-Lelièvre à Québec. </w:t>
      </w:r>
      <w:r w:rsidR="004F6FDC">
        <w:rPr>
          <w:rFonts w:cs="Arial"/>
          <w:szCs w:val="24"/>
          <w:lang w:eastAsia="fr-CA"/>
        </w:rPr>
        <w:t>Q</w:t>
      </w:r>
      <w:r w:rsidR="004F6FDC">
        <w:rPr>
          <w:rFonts w:cs="Arial"/>
          <w:szCs w:val="24"/>
          <w:lang w:eastAsia="fr-CA"/>
        </w:rPr>
        <w:noBreakHyphen/>
        <w:t>12</w:t>
      </w:r>
      <w:r w:rsidRPr="00152D74">
        <w:rPr>
          <w:rFonts w:cs="Arial"/>
          <w:szCs w:val="24"/>
          <w:lang w:eastAsia="fr-CA"/>
        </w:rPr>
        <w:t xml:space="preserve"> y a </w:t>
      </w:r>
      <w:r w:rsidR="004F6FDC">
        <w:rPr>
          <w:rFonts w:cs="Arial"/>
          <w:szCs w:val="24"/>
          <w:lang w:eastAsia="fr-CA"/>
        </w:rPr>
        <w:t>financ</w:t>
      </w:r>
      <w:r w:rsidRPr="00152D74">
        <w:rPr>
          <w:rFonts w:cs="Arial"/>
          <w:szCs w:val="24"/>
          <w:lang w:eastAsia="fr-CA"/>
        </w:rPr>
        <w:t>é un développement résidentiel d’envergure, mais plusieurs lacunes ont été constatées</w:t>
      </w:r>
      <w:r w:rsidR="00146EF6">
        <w:rPr>
          <w:rFonts w:cs="Arial"/>
          <w:szCs w:val="24"/>
          <w:lang w:eastAsia="fr-CA"/>
        </w:rPr>
        <w:t>.</w:t>
      </w:r>
    </w:p>
    <w:p w14:paraId="46A3FACC" w14:textId="77777777" w:rsidR="00EE647D" w:rsidRPr="00EE647D" w:rsidRDefault="00730A01" w:rsidP="00443B59">
      <w:pPr>
        <w:pStyle w:val="Paragraphe"/>
        <w:numPr>
          <w:ilvl w:val="5"/>
          <w:numId w:val="141"/>
        </w:numPr>
        <w:spacing w:line="240" w:lineRule="auto"/>
        <w:ind w:left="284" w:hanging="284"/>
        <w:rPr>
          <w:rStyle w:val="lev"/>
          <w:rFonts w:cs="Arial"/>
          <w:b w:val="0"/>
          <w:bCs w:val="0"/>
          <w:szCs w:val="24"/>
          <w:lang w:eastAsia="fr-CA"/>
        </w:rPr>
      </w:pPr>
      <w:r w:rsidRPr="004F6FDC">
        <w:rPr>
          <w:rStyle w:val="lev"/>
          <w:rFonts w:cs="Arial"/>
        </w:rPr>
        <w:t>Les manquements reprochés</w:t>
      </w:r>
    </w:p>
    <w:p w14:paraId="1BD936C2" w14:textId="77777777" w:rsidR="008900D7" w:rsidRPr="00190E8F" w:rsidRDefault="00730A01" w:rsidP="00443B59">
      <w:pPr>
        <w:pStyle w:val="Citationenretrait"/>
        <w:numPr>
          <w:ilvl w:val="0"/>
          <w:numId w:val="75"/>
        </w:numPr>
        <w:ind w:left="567" w:right="0" w:hanging="283"/>
        <w:rPr>
          <w:rFonts w:cs="Arial"/>
          <w:sz w:val="24"/>
          <w:szCs w:val="24"/>
          <w:lang w:eastAsia="fr-CA"/>
        </w:rPr>
      </w:pPr>
      <w:r w:rsidRPr="00190E8F">
        <w:rPr>
          <w:rFonts w:cs="Arial"/>
          <w:sz w:val="24"/>
          <w:szCs w:val="24"/>
          <w:lang w:eastAsia="fr-CA"/>
        </w:rPr>
        <w:t>Le prêt servait en réalité à refinancer un précédent emprunt</w:t>
      </w:r>
      <w:r>
        <w:rPr>
          <w:rStyle w:val="Appelnotedebasdep"/>
          <w:rFonts w:cs="Arial"/>
          <w:sz w:val="24"/>
          <w:szCs w:val="24"/>
          <w:lang w:eastAsia="fr-CA"/>
        </w:rPr>
        <w:footnoteReference w:id="694"/>
      </w:r>
      <w:r w:rsidRPr="00190E8F">
        <w:rPr>
          <w:rFonts w:cs="Arial"/>
          <w:sz w:val="24"/>
          <w:szCs w:val="24"/>
          <w:lang w:eastAsia="fr-CA"/>
        </w:rPr>
        <w:t>, ce que Giroux a omis de préciser aux commanditaires lors de sa présentation du 15</w:t>
      </w:r>
      <w:r w:rsidR="004473B0">
        <w:rPr>
          <w:rFonts w:cs="Arial"/>
          <w:sz w:val="24"/>
          <w:szCs w:val="24"/>
          <w:lang w:eastAsia="fr-CA"/>
        </w:rPr>
        <w:t> </w:t>
      </w:r>
      <w:r w:rsidRPr="00190E8F">
        <w:rPr>
          <w:rFonts w:cs="Arial"/>
          <w:sz w:val="24"/>
          <w:szCs w:val="24"/>
          <w:lang w:eastAsia="fr-CA"/>
        </w:rPr>
        <w:t>juin</w:t>
      </w:r>
      <w:r w:rsidR="004473B0">
        <w:rPr>
          <w:rFonts w:cs="Arial"/>
          <w:sz w:val="24"/>
          <w:szCs w:val="24"/>
          <w:lang w:eastAsia="fr-CA"/>
        </w:rPr>
        <w:t> </w:t>
      </w:r>
      <w:r w:rsidRPr="00190E8F">
        <w:rPr>
          <w:rFonts w:cs="Arial"/>
          <w:sz w:val="24"/>
          <w:szCs w:val="24"/>
          <w:lang w:eastAsia="fr-CA"/>
        </w:rPr>
        <w:t>2020</w:t>
      </w:r>
      <w:r>
        <w:rPr>
          <w:rStyle w:val="Appelnotedebasdep"/>
          <w:rFonts w:cs="Arial"/>
          <w:sz w:val="24"/>
          <w:szCs w:val="24"/>
          <w:lang w:eastAsia="fr-CA"/>
        </w:rPr>
        <w:footnoteReference w:id="695"/>
      </w:r>
      <w:r w:rsidRPr="00190E8F">
        <w:rPr>
          <w:rFonts w:cs="Arial"/>
          <w:sz w:val="24"/>
          <w:szCs w:val="24"/>
          <w:lang w:eastAsia="fr-CA"/>
        </w:rPr>
        <w:t>.</w:t>
      </w:r>
    </w:p>
    <w:p w14:paraId="7716715D" w14:textId="77777777" w:rsidR="00130CD0" w:rsidRPr="00190E8F" w:rsidRDefault="00730A01" w:rsidP="00443B59">
      <w:pPr>
        <w:pStyle w:val="Paragraphedeliste"/>
        <w:numPr>
          <w:ilvl w:val="0"/>
          <w:numId w:val="80"/>
        </w:numPr>
        <w:spacing w:before="100" w:beforeAutospacing="1" w:after="100" w:afterAutospacing="1"/>
        <w:ind w:left="567" w:hanging="283"/>
        <w:jc w:val="both"/>
        <w:rPr>
          <w:rFonts w:cs="Arial"/>
          <w:szCs w:val="24"/>
          <w:lang w:eastAsia="fr-CA"/>
        </w:rPr>
      </w:pPr>
      <w:r w:rsidRPr="00190E8F">
        <w:rPr>
          <w:rFonts w:cs="Arial"/>
          <w:szCs w:val="24"/>
          <w:lang w:eastAsia="fr-CA"/>
        </w:rPr>
        <w:t>Le projet n’était pas conforme au zonage en vigueur, puisqu’il prévoyait des constructions de plusieurs étages dans un secteur limité à un ou deux étages</w:t>
      </w:r>
      <w:r>
        <w:rPr>
          <w:rStyle w:val="Appelnotedebasdep"/>
          <w:rFonts w:cs="Arial"/>
          <w:szCs w:val="24"/>
          <w:lang w:eastAsia="fr-CA"/>
        </w:rPr>
        <w:footnoteReference w:id="696"/>
      </w:r>
      <w:r w:rsidRPr="00190E8F">
        <w:rPr>
          <w:rFonts w:cs="Arial"/>
          <w:szCs w:val="24"/>
          <w:lang w:eastAsia="fr-CA"/>
        </w:rPr>
        <w:t>.</w:t>
      </w:r>
    </w:p>
    <w:p w14:paraId="3307E22A" w14:textId="77777777" w:rsidR="008900D7" w:rsidRPr="00190E8F" w:rsidRDefault="00730A01" w:rsidP="00443B59">
      <w:pPr>
        <w:pStyle w:val="Citationenretrait"/>
        <w:numPr>
          <w:ilvl w:val="0"/>
          <w:numId w:val="75"/>
        </w:numPr>
        <w:ind w:left="567" w:right="0" w:hanging="283"/>
        <w:rPr>
          <w:rFonts w:cs="Arial"/>
          <w:sz w:val="24"/>
          <w:szCs w:val="24"/>
          <w:lang w:eastAsia="fr-CA"/>
        </w:rPr>
      </w:pPr>
      <w:r w:rsidRPr="00190E8F">
        <w:rPr>
          <w:rFonts w:cs="Arial"/>
          <w:sz w:val="24"/>
          <w:szCs w:val="24"/>
          <w:lang w:eastAsia="fr-CA"/>
        </w:rPr>
        <w:t xml:space="preserve">Le plan de Huot incluait un lot dont </w:t>
      </w:r>
      <w:r w:rsidR="003B6474">
        <w:rPr>
          <w:rFonts w:cs="Arial"/>
          <w:sz w:val="24"/>
          <w:szCs w:val="24"/>
          <w:lang w:eastAsia="fr-CA"/>
        </w:rPr>
        <w:t xml:space="preserve">l’emprunteur </w:t>
      </w:r>
      <w:r w:rsidRPr="00190E8F">
        <w:rPr>
          <w:rFonts w:cs="Arial"/>
          <w:sz w:val="24"/>
          <w:szCs w:val="24"/>
          <w:lang w:eastAsia="fr-CA"/>
        </w:rPr>
        <w:t>n’était pas propriétaire (lot</w:t>
      </w:r>
      <w:r w:rsidR="004473B0">
        <w:rPr>
          <w:rFonts w:cs="Arial"/>
          <w:sz w:val="24"/>
          <w:szCs w:val="24"/>
          <w:lang w:eastAsia="fr-CA"/>
        </w:rPr>
        <w:t> </w:t>
      </w:r>
      <w:r w:rsidRPr="00190E8F">
        <w:rPr>
          <w:rFonts w:cs="Arial"/>
          <w:sz w:val="24"/>
          <w:szCs w:val="24"/>
          <w:lang w:eastAsia="fr-CA"/>
        </w:rPr>
        <w:t>2</w:t>
      </w:r>
      <w:r w:rsidR="00EA68E3">
        <w:rPr>
          <w:rFonts w:cs="Arial"/>
          <w:sz w:val="24"/>
          <w:szCs w:val="24"/>
          <w:lang w:eastAsia="fr-CA"/>
        </w:rPr>
        <w:t> </w:t>
      </w:r>
      <w:r w:rsidRPr="00190E8F">
        <w:rPr>
          <w:rFonts w:cs="Arial"/>
          <w:sz w:val="24"/>
          <w:szCs w:val="24"/>
          <w:lang w:eastAsia="fr-CA"/>
        </w:rPr>
        <w:t>036 111)</w:t>
      </w:r>
      <w:r>
        <w:rPr>
          <w:rStyle w:val="Appelnotedebasdep"/>
          <w:rFonts w:cs="Arial"/>
          <w:sz w:val="24"/>
          <w:szCs w:val="24"/>
          <w:lang w:eastAsia="fr-CA"/>
        </w:rPr>
        <w:footnoteReference w:id="697"/>
      </w:r>
      <w:r w:rsidR="00EA68E3">
        <w:rPr>
          <w:rFonts w:cs="Arial"/>
          <w:sz w:val="24"/>
          <w:szCs w:val="24"/>
          <w:lang w:eastAsia="fr-CA"/>
        </w:rPr>
        <w:t>.</w:t>
      </w:r>
      <w:r w:rsidR="003B6474">
        <w:rPr>
          <w:rFonts w:cs="Arial"/>
          <w:sz w:val="24"/>
          <w:szCs w:val="24"/>
          <w:lang w:eastAsia="fr-CA"/>
        </w:rPr>
        <w:t xml:space="preserve"> Ce lot s’avérait nécessaire à la finalité du projet.</w:t>
      </w:r>
    </w:p>
    <w:p w14:paraId="507C35F4" w14:textId="77777777" w:rsidR="008900D7" w:rsidRPr="00190E8F" w:rsidRDefault="00730A01" w:rsidP="00443B59">
      <w:pPr>
        <w:pStyle w:val="Citationenretrait"/>
        <w:numPr>
          <w:ilvl w:val="0"/>
          <w:numId w:val="75"/>
        </w:numPr>
        <w:ind w:left="567" w:right="0" w:hanging="283"/>
        <w:rPr>
          <w:rFonts w:cs="Arial"/>
          <w:sz w:val="24"/>
          <w:szCs w:val="24"/>
          <w:lang w:eastAsia="fr-CA"/>
        </w:rPr>
      </w:pPr>
      <w:r w:rsidRPr="00190E8F">
        <w:rPr>
          <w:rFonts w:cs="Arial"/>
          <w:sz w:val="24"/>
          <w:szCs w:val="24"/>
          <w:lang w:eastAsia="fr-CA"/>
        </w:rPr>
        <w:t>Le financement reposait sur un calcul rudimentaire, sans garanties solides.</w:t>
      </w:r>
    </w:p>
    <w:p w14:paraId="482EC388" w14:textId="77777777" w:rsidR="008900D7" w:rsidRDefault="00730A01" w:rsidP="0098012F">
      <w:pPr>
        <w:pStyle w:val="Paragraphe"/>
        <w:numPr>
          <w:ilvl w:val="0"/>
          <w:numId w:val="0"/>
        </w:numPr>
        <w:spacing w:line="240" w:lineRule="auto"/>
        <w:rPr>
          <w:rFonts w:cs="Arial"/>
          <w:szCs w:val="24"/>
          <w:lang w:eastAsia="fr-CA"/>
        </w:rPr>
      </w:pPr>
      <w:r w:rsidRPr="00152D74">
        <w:rPr>
          <w:rFonts w:cs="Arial"/>
          <w:szCs w:val="24"/>
          <w:lang w:eastAsia="fr-CA"/>
        </w:rPr>
        <w:t>Malgré l’ampleur des risques, le prêt a été déboursé en un seul versement, sans contrôle progressif</w:t>
      </w:r>
      <w:r>
        <w:rPr>
          <w:rStyle w:val="Appelnotedebasdep"/>
          <w:rFonts w:cs="Arial"/>
          <w:szCs w:val="24"/>
          <w:lang w:eastAsia="fr-CA"/>
        </w:rPr>
        <w:footnoteReference w:id="698"/>
      </w:r>
      <w:r w:rsidRPr="00152D74">
        <w:rPr>
          <w:rFonts w:cs="Arial"/>
          <w:szCs w:val="24"/>
          <w:lang w:eastAsia="fr-CA"/>
        </w:rPr>
        <w:t>.</w:t>
      </w:r>
    </w:p>
    <w:p w14:paraId="451015D8" w14:textId="77777777" w:rsidR="00146EF6" w:rsidRPr="00EE647D" w:rsidRDefault="00730A01" w:rsidP="00443B59">
      <w:pPr>
        <w:pStyle w:val="Paragraphe"/>
        <w:numPr>
          <w:ilvl w:val="5"/>
          <w:numId w:val="141"/>
        </w:numPr>
        <w:spacing w:line="240" w:lineRule="auto"/>
        <w:ind w:left="284" w:hanging="284"/>
        <w:rPr>
          <w:rStyle w:val="lev"/>
        </w:rPr>
      </w:pPr>
      <w:r w:rsidRPr="00EE647D">
        <w:rPr>
          <w:rStyle w:val="lev"/>
        </w:rPr>
        <w:t>La perte en lien avec ce prêt</w:t>
      </w:r>
    </w:p>
    <w:p w14:paraId="1522C65B" w14:textId="77777777" w:rsidR="00146EF6" w:rsidRDefault="00730A01" w:rsidP="00443B59">
      <w:pPr>
        <w:pStyle w:val="Citationenretrait"/>
        <w:numPr>
          <w:ilvl w:val="0"/>
          <w:numId w:val="75"/>
        </w:numPr>
        <w:ind w:left="567" w:right="0" w:hanging="283"/>
        <w:rPr>
          <w:rFonts w:cs="Arial"/>
          <w:sz w:val="24"/>
          <w:szCs w:val="24"/>
          <w:lang w:eastAsia="fr-CA"/>
        </w:rPr>
      </w:pPr>
      <w:r w:rsidRPr="00190E8F">
        <w:rPr>
          <w:rFonts w:cs="Arial"/>
          <w:sz w:val="24"/>
          <w:szCs w:val="24"/>
          <w:lang w:eastAsia="fr-CA"/>
        </w:rPr>
        <w:t>Il s’agit d’un prêt de 6,3 M$ avec des garanties sur un immeuble (terrain et améliorations) d’une valeur de liquidation de 6,87 M$</w:t>
      </w:r>
      <w:r w:rsidR="006F0F5A">
        <w:rPr>
          <w:rFonts w:cs="Arial"/>
          <w:sz w:val="24"/>
          <w:szCs w:val="24"/>
          <w:lang w:eastAsia="fr-CA"/>
        </w:rPr>
        <w:t xml:space="preserve"> </w:t>
      </w:r>
      <w:r w:rsidRPr="00190E8F">
        <w:rPr>
          <w:rFonts w:cs="Arial"/>
          <w:sz w:val="24"/>
          <w:szCs w:val="24"/>
          <w:lang w:eastAsia="fr-CA"/>
        </w:rPr>
        <w:t xml:space="preserve">grevé </w:t>
      </w:r>
      <w:r w:rsidR="006F0F5A">
        <w:rPr>
          <w:rFonts w:cs="Arial"/>
          <w:sz w:val="24"/>
          <w:szCs w:val="24"/>
          <w:lang w:eastAsia="fr-CA"/>
        </w:rPr>
        <w:t xml:space="preserve">de nombres </w:t>
      </w:r>
      <w:r w:rsidR="004473B0">
        <w:rPr>
          <w:rFonts w:cs="Arial"/>
          <w:sz w:val="24"/>
          <w:szCs w:val="24"/>
          <w:lang w:eastAsia="fr-CA"/>
        </w:rPr>
        <w:t>d’</w:t>
      </w:r>
      <w:r w:rsidRPr="00190E8F">
        <w:rPr>
          <w:rFonts w:cs="Arial"/>
          <w:sz w:val="24"/>
          <w:szCs w:val="24"/>
          <w:lang w:eastAsia="fr-CA"/>
        </w:rPr>
        <w:t xml:space="preserve">hypothèques légales. </w:t>
      </w:r>
    </w:p>
    <w:p w14:paraId="72203E16" w14:textId="77777777" w:rsidR="006F0F5A" w:rsidRDefault="00730A01" w:rsidP="00443B59">
      <w:pPr>
        <w:pStyle w:val="Citationenretrait"/>
        <w:numPr>
          <w:ilvl w:val="0"/>
          <w:numId w:val="75"/>
        </w:numPr>
        <w:ind w:left="567" w:right="0" w:hanging="283"/>
        <w:rPr>
          <w:rFonts w:cs="Arial"/>
          <w:sz w:val="24"/>
          <w:szCs w:val="24"/>
          <w:lang w:eastAsia="fr-CA"/>
        </w:rPr>
      </w:pPr>
      <w:r>
        <w:rPr>
          <w:rFonts w:cs="Arial"/>
          <w:sz w:val="24"/>
          <w:szCs w:val="24"/>
          <w:lang w:eastAsia="fr-CA"/>
        </w:rPr>
        <w:t>Compte tenu d’une entente de principe intervenue avec un acheteur potentiel à l’été</w:t>
      </w:r>
      <w:r w:rsidR="004473B0">
        <w:rPr>
          <w:rFonts w:cs="Arial"/>
          <w:sz w:val="24"/>
          <w:szCs w:val="24"/>
          <w:lang w:eastAsia="fr-CA"/>
        </w:rPr>
        <w:t> </w:t>
      </w:r>
      <w:r>
        <w:rPr>
          <w:rFonts w:cs="Arial"/>
          <w:sz w:val="24"/>
          <w:szCs w:val="24"/>
          <w:lang w:eastAsia="fr-CA"/>
        </w:rPr>
        <w:t>2024</w:t>
      </w:r>
      <w:r>
        <w:rPr>
          <w:rStyle w:val="Appelnotedebasdep"/>
          <w:rFonts w:cs="Arial"/>
          <w:sz w:val="24"/>
          <w:szCs w:val="24"/>
          <w:lang w:eastAsia="fr-CA"/>
        </w:rPr>
        <w:footnoteReference w:id="699"/>
      </w:r>
      <w:r>
        <w:rPr>
          <w:rFonts w:cs="Arial"/>
          <w:sz w:val="24"/>
          <w:szCs w:val="24"/>
          <w:lang w:eastAsia="fr-CA"/>
        </w:rPr>
        <w:t xml:space="preserve"> concernant le règlement des hypothèques légales et de payer le montant de 6,3 M$ pour la dette de Q</w:t>
      </w:r>
      <w:r>
        <w:rPr>
          <w:rFonts w:cs="Arial"/>
          <w:sz w:val="24"/>
          <w:szCs w:val="24"/>
          <w:lang w:eastAsia="fr-CA"/>
        </w:rPr>
        <w:noBreakHyphen/>
        <w:t>12</w:t>
      </w:r>
      <w:r>
        <w:rPr>
          <w:rStyle w:val="Appelnotedebasdep"/>
          <w:rFonts w:cs="Arial"/>
          <w:sz w:val="24"/>
          <w:szCs w:val="24"/>
          <w:lang w:eastAsia="fr-CA"/>
        </w:rPr>
        <w:footnoteReference w:id="700"/>
      </w:r>
      <w:r>
        <w:rPr>
          <w:rFonts w:cs="Arial"/>
          <w:sz w:val="24"/>
          <w:szCs w:val="24"/>
          <w:lang w:eastAsia="fr-CA"/>
        </w:rPr>
        <w:t xml:space="preserve">, il ne demeure que les frais d’intérêts de 787 500 $ qui sont dus </w:t>
      </w:r>
      <w:r w:rsidR="003B6474">
        <w:rPr>
          <w:rFonts w:cs="Arial"/>
          <w:sz w:val="24"/>
          <w:szCs w:val="24"/>
          <w:lang w:eastAsia="fr-CA"/>
        </w:rPr>
        <w:t xml:space="preserve">sur </w:t>
      </w:r>
      <w:r>
        <w:rPr>
          <w:rFonts w:cs="Arial"/>
          <w:sz w:val="24"/>
          <w:szCs w:val="24"/>
          <w:lang w:eastAsia="fr-CA"/>
        </w:rPr>
        <w:t>ce prêt.</w:t>
      </w:r>
    </w:p>
    <w:p w14:paraId="59FAD890" w14:textId="77777777" w:rsidR="00261048" w:rsidRPr="00B521C9" w:rsidRDefault="00730A01" w:rsidP="00443B59">
      <w:pPr>
        <w:pStyle w:val="Titre2"/>
        <w:numPr>
          <w:ilvl w:val="2"/>
          <w:numId w:val="123"/>
        </w:numPr>
        <w:spacing w:after="120"/>
        <w:ind w:left="426" w:hanging="426"/>
        <w:rPr>
          <w:smallCaps/>
        </w:rPr>
      </w:pPr>
      <w:r w:rsidRPr="00B521C9">
        <w:rPr>
          <w:smallCaps/>
        </w:rPr>
        <w:t>La créance « Diplomates »</w:t>
      </w:r>
    </w:p>
    <w:p w14:paraId="0752EED9" w14:textId="77777777" w:rsidR="00261048" w:rsidRDefault="00730A01" w:rsidP="00B521C9">
      <w:pPr>
        <w:pStyle w:val="NormalWeb"/>
        <w:spacing w:after="240"/>
        <w:jc w:val="both"/>
        <w:rPr>
          <w:rFonts w:ascii="Arial" w:hAnsi="Arial" w:cs="Arial"/>
        </w:rPr>
      </w:pPr>
      <w:r w:rsidRPr="00261048">
        <w:rPr>
          <w:rFonts w:ascii="Arial" w:hAnsi="Arial" w:cs="Arial"/>
        </w:rPr>
        <w:t xml:space="preserve">La </w:t>
      </w:r>
      <w:r w:rsidRPr="00261048">
        <w:rPr>
          <w:rStyle w:val="lev"/>
          <w:rFonts w:ascii="Arial" w:hAnsi="Arial" w:cs="Arial"/>
          <w:b w:val="0"/>
          <w:bCs w:val="0"/>
        </w:rPr>
        <w:t xml:space="preserve">créance </w:t>
      </w:r>
      <w:r>
        <w:rPr>
          <w:rStyle w:val="lev"/>
          <w:rFonts w:ascii="Arial" w:hAnsi="Arial" w:cs="Arial"/>
          <w:b w:val="0"/>
          <w:bCs w:val="0"/>
        </w:rPr>
        <w:t>« </w:t>
      </w:r>
      <w:r w:rsidRPr="00261048">
        <w:rPr>
          <w:rStyle w:val="lev"/>
          <w:rFonts w:ascii="Arial" w:hAnsi="Arial" w:cs="Arial"/>
          <w:b w:val="0"/>
          <w:bCs w:val="0"/>
        </w:rPr>
        <w:t>Diplomates</w:t>
      </w:r>
      <w:r>
        <w:rPr>
          <w:rStyle w:val="lev"/>
          <w:rFonts w:ascii="Arial" w:hAnsi="Arial" w:cs="Arial"/>
          <w:b w:val="0"/>
          <w:bCs w:val="0"/>
        </w:rPr>
        <w:t> »</w:t>
      </w:r>
      <w:r w:rsidRPr="00261048">
        <w:rPr>
          <w:rFonts w:ascii="Arial" w:hAnsi="Arial" w:cs="Arial"/>
        </w:rPr>
        <w:t xml:space="preserve"> correspond à un </w:t>
      </w:r>
      <w:r w:rsidRPr="00261048">
        <w:rPr>
          <w:rStyle w:val="lev"/>
          <w:rFonts w:ascii="Arial" w:hAnsi="Arial" w:cs="Arial"/>
          <w:b w:val="0"/>
          <w:bCs w:val="0"/>
        </w:rPr>
        <w:t>prêt immobilier</w:t>
      </w:r>
      <w:r w:rsidRPr="00261048">
        <w:rPr>
          <w:rFonts w:ascii="Arial" w:hAnsi="Arial" w:cs="Arial"/>
        </w:rPr>
        <w:t xml:space="preserve"> consenti par </w:t>
      </w:r>
      <w:r w:rsidRPr="00261048">
        <w:rPr>
          <w:rStyle w:val="lev"/>
          <w:rFonts w:ascii="Arial" w:hAnsi="Arial" w:cs="Arial"/>
          <w:b w:val="0"/>
          <w:bCs w:val="0"/>
        </w:rPr>
        <w:t>Q-12</w:t>
      </w:r>
      <w:r w:rsidRPr="00261048">
        <w:rPr>
          <w:rStyle w:val="lev"/>
          <w:rFonts w:ascii="Arial" w:hAnsi="Arial" w:cs="Arial"/>
        </w:rPr>
        <w:t xml:space="preserve"> </w:t>
      </w:r>
      <w:r w:rsidRPr="00261048">
        <w:rPr>
          <w:rFonts w:ascii="Arial" w:hAnsi="Arial" w:cs="Arial"/>
        </w:rPr>
        <w:t xml:space="preserve">au Groupe Huot pour le financement de l’immeuble </w:t>
      </w:r>
      <w:r w:rsidRPr="00261048">
        <w:rPr>
          <w:rStyle w:val="lev"/>
          <w:rFonts w:ascii="Arial" w:hAnsi="Arial" w:cs="Arial"/>
          <w:b w:val="0"/>
          <w:bCs w:val="0"/>
        </w:rPr>
        <w:t>« Les Diplomates »</w:t>
      </w:r>
      <w:r w:rsidRPr="00261048">
        <w:rPr>
          <w:rFonts w:ascii="Arial" w:hAnsi="Arial" w:cs="Arial"/>
        </w:rPr>
        <w:t>, un des projets résidentiels du portefeuille Huot</w:t>
      </w:r>
      <w:r>
        <w:rPr>
          <w:rStyle w:val="Appelnotedebasdep"/>
          <w:rFonts w:ascii="Arial" w:hAnsi="Arial" w:cs="Arial"/>
        </w:rPr>
        <w:footnoteReference w:id="701"/>
      </w:r>
      <w:r w:rsidR="004473B0">
        <w:rPr>
          <w:rFonts w:ascii="Arial" w:hAnsi="Arial" w:cs="Arial"/>
        </w:rPr>
        <w:t>.</w:t>
      </w:r>
    </w:p>
    <w:p w14:paraId="13A1A8D7" w14:textId="77777777" w:rsidR="00261048" w:rsidRDefault="00730A01" w:rsidP="00443B59">
      <w:pPr>
        <w:pStyle w:val="NormalWeb"/>
        <w:numPr>
          <w:ilvl w:val="5"/>
          <w:numId w:val="142"/>
        </w:numPr>
        <w:ind w:left="284" w:hanging="284"/>
        <w:rPr>
          <w:rFonts w:ascii="Arial" w:hAnsi="Arial" w:cs="Arial"/>
          <w:b/>
          <w:bCs/>
        </w:rPr>
      </w:pPr>
      <w:r w:rsidRPr="00261048">
        <w:rPr>
          <w:rFonts w:ascii="Arial" w:hAnsi="Arial" w:cs="Arial"/>
          <w:b/>
          <w:bCs/>
        </w:rPr>
        <w:t>Les manquements reprochés</w:t>
      </w:r>
    </w:p>
    <w:p w14:paraId="3BD707D0" w14:textId="77777777" w:rsidR="00261048" w:rsidRDefault="00730A01" w:rsidP="00443B59">
      <w:pPr>
        <w:pStyle w:val="Citationenretrait"/>
        <w:numPr>
          <w:ilvl w:val="0"/>
          <w:numId w:val="75"/>
        </w:numPr>
        <w:ind w:left="567" w:right="0" w:hanging="283"/>
        <w:rPr>
          <w:rFonts w:cs="Arial"/>
          <w:sz w:val="24"/>
          <w:szCs w:val="24"/>
        </w:rPr>
      </w:pPr>
      <w:r w:rsidRPr="00261048">
        <w:rPr>
          <w:rFonts w:cs="Arial"/>
          <w:sz w:val="24"/>
          <w:szCs w:val="24"/>
        </w:rPr>
        <w:t>L</w:t>
      </w:r>
      <w:r w:rsidRPr="00261048">
        <w:rPr>
          <w:rStyle w:val="lev"/>
          <w:rFonts w:cs="Arial"/>
          <w:b w:val="0"/>
          <w:bCs w:val="0"/>
          <w:sz w:val="24"/>
          <w:szCs w:val="24"/>
        </w:rPr>
        <w:t>e déboursé du prêt a été effectué en un seul versement</w:t>
      </w:r>
      <w:r w:rsidRPr="00261048">
        <w:rPr>
          <w:rFonts w:cs="Arial"/>
          <w:sz w:val="24"/>
          <w:szCs w:val="24"/>
        </w:rPr>
        <w:t>, sans suivi des travaux ni déboursés progressifs.</w:t>
      </w:r>
    </w:p>
    <w:p w14:paraId="435389E2" w14:textId="77777777" w:rsidR="00261048" w:rsidRPr="00261048" w:rsidRDefault="00730A01" w:rsidP="00443B59">
      <w:pPr>
        <w:pStyle w:val="Citationenretrait"/>
        <w:numPr>
          <w:ilvl w:val="0"/>
          <w:numId w:val="75"/>
        </w:numPr>
        <w:ind w:left="567" w:right="0" w:hanging="283"/>
        <w:rPr>
          <w:rFonts w:cs="Arial"/>
          <w:sz w:val="24"/>
          <w:szCs w:val="24"/>
        </w:rPr>
      </w:pPr>
      <w:r w:rsidRPr="00261048">
        <w:rPr>
          <w:rFonts w:cs="Arial"/>
          <w:sz w:val="24"/>
          <w:szCs w:val="24"/>
        </w:rPr>
        <w:t xml:space="preserve">Selon le témoignage de l’expert </w:t>
      </w:r>
      <w:r w:rsidRPr="00261048">
        <w:rPr>
          <w:rStyle w:val="lev"/>
          <w:rFonts w:cs="Arial"/>
          <w:b w:val="0"/>
          <w:bCs w:val="0"/>
          <w:sz w:val="24"/>
          <w:szCs w:val="24"/>
        </w:rPr>
        <w:t>Filion</w:t>
      </w:r>
      <w:r w:rsidRPr="00261048">
        <w:rPr>
          <w:rFonts w:cs="Arial"/>
          <w:sz w:val="24"/>
          <w:szCs w:val="24"/>
        </w:rPr>
        <w:t xml:space="preserve"> (13</w:t>
      </w:r>
      <w:r w:rsidR="004473B0">
        <w:rPr>
          <w:rFonts w:cs="Arial"/>
          <w:sz w:val="24"/>
          <w:szCs w:val="24"/>
        </w:rPr>
        <w:t> </w:t>
      </w:r>
      <w:r w:rsidRPr="00261048">
        <w:rPr>
          <w:rFonts w:cs="Arial"/>
          <w:sz w:val="24"/>
          <w:szCs w:val="24"/>
        </w:rPr>
        <w:t>juin</w:t>
      </w:r>
      <w:r w:rsidR="004473B0">
        <w:rPr>
          <w:rFonts w:cs="Arial"/>
          <w:sz w:val="24"/>
          <w:szCs w:val="24"/>
        </w:rPr>
        <w:t> </w:t>
      </w:r>
      <w:r w:rsidRPr="00261048">
        <w:rPr>
          <w:rFonts w:cs="Arial"/>
          <w:sz w:val="24"/>
          <w:szCs w:val="24"/>
        </w:rPr>
        <w:t xml:space="preserve">2024), cette créance Diplomates de </w:t>
      </w:r>
      <w:r w:rsidRPr="00261048">
        <w:rPr>
          <w:rStyle w:val="lev"/>
          <w:rFonts w:cs="Arial"/>
          <w:b w:val="0"/>
          <w:bCs w:val="0"/>
          <w:sz w:val="24"/>
          <w:szCs w:val="24"/>
        </w:rPr>
        <w:t>6 000 000 $</w:t>
      </w:r>
      <w:r w:rsidRPr="00261048">
        <w:rPr>
          <w:rFonts w:cs="Arial"/>
          <w:sz w:val="24"/>
          <w:szCs w:val="24"/>
        </w:rPr>
        <w:t xml:space="preserve"> a ultérieurement fait l’objet d’un </w:t>
      </w:r>
      <w:r w:rsidRPr="00261048">
        <w:rPr>
          <w:rStyle w:val="lev"/>
          <w:rFonts w:cs="Arial"/>
          <w:b w:val="0"/>
          <w:bCs w:val="0"/>
          <w:sz w:val="24"/>
          <w:szCs w:val="24"/>
        </w:rPr>
        <w:t>transfert de valeur vers FIISH</w:t>
      </w:r>
      <w:r>
        <w:rPr>
          <w:rStyle w:val="lev"/>
          <w:rFonts w:cs="Arial"/>
          <w:sz w:val="24"/>
          <w:szCs w:val="24"/>
        </w:rPr>
        <w:t xml:space="preserve"> </w:t>
      </w:r>
      <w:r w:rsidRPr="00261048">
        <w:rPr>
          <w:rFonts w:cs="Arial"/>
          <w:sz w:val="24"/>
          <w:szCs w:val="24"/>
        </w:rPr>
        <w:t xml:space="preserve">afin de compenser les pertes subies dans le </w:t>
      </w:r>
      <w:r w:rsidRPr="00261048">
        <w:rPr>
          <w:rStyle w:val="lev"/>
          <w:rFonts w:cs="Arial"/>
          <w:b w:val="0"/>
          <w:bCs w:val="0"/>
          <w:sz w:val="24"/>
          <w:szCs w:val="24"/>
        </w:rPr>
        <w:t>projet Ariela</w:t>
      </w:r>
      <w:r w:rsidRPr="00261048">
        <w:rPr>
          <w:rFonts w:cs="Arial"/>
          <w:sz w:val="24"/>
          <w:szCs w:val="24"/>
        </w:rPr>
        <w:t xml:space="preserve">. Cette opération a créé un </w:t>
      </w:r>
      <w:r w:rsidRPr="00261048">
        <w:rPr>
          <w:rStyle w:val="lev"/>
          <w:rFonts w:cs="Arial"/>
          <w:b w:val="0"/>
          <w:bCs w:val="0"/>
          <w:sz w:val="24"/>
          <w:szCs w:val="24"/>
        </w:rPr>
        <w:t>produit de disposition artificiel</w:t>
      </w:r>
      <w:r w:rsidRPr="00261048">
        <w:rPr>
          <w:rFonts w:cs="Arial"/>
          <w:sz w:val="24"/>
          <w:szCs w:val="24"/>
        </w:rPr>
        <w:t xml:space="preserve"> dans Q-12 et une </w:t>
      </w:r>
      <w:r w:rsidRPr="00261048">
        <w:rPr>
          <w:rStyle w:val="lev"/>
          <w:rFonts w:cs="Arial"/>
          <w:b w:val="0"/>
          <w:bCs w:val="0"/>
          <w:sz w:val="24"/>
          <w:szCs w:val="24"/>
        </w:rPr>
        <w:t>récupération corrélative</w:t>
      </w:r>
      <w:r w:rsidRPr="00261048">
        <w:rPr>
          <w:rFonts w:cs="Arial"/>
          <w:sz w:val="24"/>
          <w:szCs w:val="24"/>
        </w:rPr>
        <w:t xml:space="preserve"> dans FIISH, sans toutefois conférer de valeur économique réelle à la créance elle-même</w:t>
      </w:r>
      <w:r w:rsidRPr="00261048">
        <w:rPr>
          <w:rFonts w:cs="Arial"/>
        </w:rPr>
        <w:t xml:space="preserve">. </w:t>
      </w:r>
    </w:p>
    <w:p w14:paraId="76DD7C57" w14:textId="77777777" w:rsidR="00261048" w:rsidRPr="00261048" w:rsidRDefault="00730A01" w:rsidP="00443B59">
      <w:pPr>
        <w:pStyle w:val="Citationenretrait"/>
        <w:numPr>
          <w:ilvl w:val="0"/>
          <w:numId w:val="75"/>
        </w:numPr>
        <w:ind w:left="567" w:right="0" w:hanging="283"/>
        <w:rPr>
          <w:rFonts w:cs="Arial"/>
          <w:sz w:val="24"/>
          <w:szCs w:val="24"/>
        </w:rPr>
      </w:pPr>
      <w:r w:rsidRPr="00261048">
        <w:rPr>
          <w:rFonts w:cs="Arial"/>
          <w:sz w:val="24"/>
          <w:szCs w:val="24"/>
        </w:rPr>
        <w:t>En résumé, la valeur comptable de la créance Diplomates a été transférée à FIISH dans le cadre d’un mécanisme de compensation interne lié aux pertes du projet Ariela</w:t>
      </w:r>
      <w:r w:rsidRPr="00261048">
        <w:rPr>
          <w:sz w:val="24"/>
          <w:szCs w:val="24"/>
        </w:rPr>
        <w:t>.</w:t>
      </w:r>
    </w:p>
    <w:p w14:paraId="29F7FC42" w14:textId="77777777" w:rsidR="008900D7" w:rsidRPr="00B521C9" w:rsidRDefault="00730A01" w:rsidP="00443B59">
      <w:pPr>
        <w:pStyle w:val="Titre2"/>
        <w:numPr>
          <w:ilvl w:val="2"/>
          <w:numId w:val="123"/>
        </w:numPr>
        <w:spacing w:after="120"/>
        <w:ind w:left="426" w:hanging="426"/>
        <w:rPr>
          <w:smallCaps/>
        </w:rPr>
      </w:pPr>
      <w:r w:rsidRPr="00B521C9">
        <w:rPr>
          <w:smallCaps/>
        </w:rPr>
        <w:t>Le projet Ariela (Prêt P090)</w:t>
      </w:r>
    </w:p>
    <w:p w14:paraId="2995441F" w14:textId="77777777" w:rsidR="008900D7" w:rsidRPr="00152D74" w:rsidRDefault="00730A01" w:rsidP="0098012F">
      <w:pPr>
        <w:pStyle w:val="Paragraphe"/>
        <w:numPr>
          <w:ilvl w:val="0"/>
          <w:numId w:val="0"/>
        </w:numPr>
        <w:spacing w:line="240" w:lineRule="auto"/>
        <w:rPr>
          <w:rFonts w:cs="Arial"/>
          <w:szCs w:val="24"/>
          <w:lang w:eastAsia="fr-CA"/>
        </w:rPr>
      </w:pPr>
      <w:r w:rsidRPr="00152D74">
        <w:rPr>
          <w:rFonts w:cs="Arial"/>
          <w:szCs w:val="24"/>
          <w:lang w:eastAsia="fr-CA"/>
        </w:rPr>
        <w:t>Le p</w:t>
      </w:r>
      <w:r w:rsidR="006F0F5A">
        <w:rPr>
          <w:rFonts w:cs="Arial"/>
          <w:szCs w:val="24"/>
          <w:lang w:eastAsia="fr-CA"/>
        </w:rPr>
        <w:t>rêt</w:t>
      </w:r>
      <w:r w:rsidRPr="00152D74">
        <w:rPr>
          <w:rFonts w:cs="Arial"/>
          <w:szCs w:val="24"/>
          <w:lang w:eastAsia="fr-CA"/>
        </w:rPr>
        <w:t xml:space="preserve"> Ariela </w:t>
      </w:r>
      <w:r w:rsidR="006F0F5A">
        <w:rPr>
          <w:rFonts w:cs="Arial"/>
          <w:szCs w:val="24"/>
          <w:lang w:eastAsia="fr-CA"/>
        </w:rPr>
        <w:t>est un financement de 19,2 M$ consenti en juillet</w:t>
      </w:r>
      <w:r w:rsidR="004473B0">
        <w:rPr>
          <w:rFonts w:cs="Arial"/>
          <w:szCs w:val="24"/>
          <w:lang w:eastAsia="fr-CA"/>
        </w:rPr>
        <w:t> </w:t>
      </w:r>
      <w:r w:rsidR="006F0F5A">
        <w:rPr>
          <w:rFonts w:cs="Arial"/>
          <w:szCs w:val="24"/>
          <w:lang w:eastAsia="fr-CA"/>
        </w:rPr>
        <w:t>2019 à Développement Ariela s.e.c., une société liée à Huot</w:t>
      </w:r>
      <w:r>
        <w:rPr>
          <w:rStyle w:val="Appelnotedebasdep"/>
          <w:rFonts w:cs="Arial"/>
          <w:szCs w:val="24"/>
          <w:lang w:eastAsia="fr-CA"/>
        </w:rPr>
        <w:footnoteReference w:id="702"/>
      </w:r>
      <w:r w:rsidR="006F0F5A">
        <w:rPr>
          <w:rFonts w:cs="Arial"/>
          <w:szCs w:val="24"/>
          <w:lang w:eastAsia="fr-CA"/>
        </w:rPr>
        <w:t xml:space="preserve">. Ce prêt </w:t>
      </w:r>
      <w:r w:rsidRPr="00152D74">
        <w:rPr>
          <w:rFonts w:cs="Arial"/>
          <w:szCs w:val="24"/>
          <w:lang w:eastAsia="fr-CA"/>
        </w:rPr>
        <w:t xml:space="preserve">devait permettre le développement d’un parc immobilier de </w:t>
      </w:r>
      <w:r w:rsidRPr="00146EF6">
        <w:rPr>
          <w:rFonts w:cs="Arial"/>
          <w:szCs w:val="24"/>
          <w:lang w:eastAsia="fr-CA"/>
        </w:rPr>
        <w:t>316</w:t>
      </w:r>
      <w:r w:rsidR="004473B0">
        <w:rPr>
          <w:rFonts w:cs="Arial"/>
          <w:szCs w:val="24"/>
          <w:lang w:eastAsia="fr-CA"/>
        </w:rPr>
        <w:t> </w:t>
      </w:r>
      <w:r w:rsidRPr="00146EF6">
        <w:rPr>
          <w:rFonts w:cs="Arial"/>
          <w:szCs w:val="24"/>
          <w:lang w:eastAsia="fr-CA"/>
        </w:rPr>
        <w:t>unités d’habitation</w:t>
      </w:r>
      <w:r w:rsidRPr="00152D74">
        <w:rPr>
          <w:rFonts w:cs="Arial"/>
          <w:szCs w:val="24"/>
          <w:lang w:eastAsia="fr-CA"/>
        </w:rPr>
        <w:t xml:space="preserve"> à Beauport (200</w:t>
      </w:r>
      <w:r w:rsidR="004473B0">
        <w:rPr>
          <w:rFonts w:cs="Arial"/>
          <w:szCs w:val="24"/>
          <w:lang w:eastAsia="fr-CA"/>
        </w:rPr>
        <w:t> </w:t>
      </w:r>
      <w:r w:rsidRPr="00152D74">
        <w:rPr>
          <w:rFonts w:cs="Arial"/>
          <w:szCs w:val="24"/>
          <w:lang w:eastAsia="fr-CA"/>
        </w:rPr>
        <w:t>unités en multi logements, 114</w:t>
      </w:r>
      <w:r w:rsidR="004473B0">
        <w:rPr>
          <w:rFonts w:cs="Arial"/>
          <w:szCs w:val="24"/>
          <w:lang w:eastAsia="fr-CA"/>
        </w:rPr>
        <w:t> </w:t>
      </w:r>
      <w:r w:rsidRPr="00152D74">
        <w:rPr>
          <w:rFonts w:cs="Arial"/>
          <w:szCs w:val="24"/>
          <w:lang w:eastAsia="fr-CA"/>
        </w:rPr>
        <w:t>en triplex et 2</w:t>
      </w:r>
      <w:r>
        <w:rPr>
          <w:rFonts w:cs="Arial"/>
          <w:szCs w:val="24"/>
          <w:lang w:eastAsia="fr-CA"/>
        </w:rPr>
        <w:t> </w:t>
      </w:r>
      <w:r w:rsidRPr="00152D74">
        <w:rPr>
          <w:rFonts w:cs="Arial"/>
          <w:szCs w:val="24"/>
          <w:lang w:eastAsia="fr-CA"/>
        </w:rPr>
        <w:t xml:space="preserve">jumelés), tel que présenté par Giroux aux commanditaires le </w:t>
      </w:r>
      <w:r w:rsidRPr="00146EF6">
        <w:rPr>
          <w:rFonts w:cs="Arial"/>
          <w:szCs w:val="24"/>
          <w:lang w:eastAsia="fr-CA"/>
        </w:rPr>
        <w:t>15</w:t>
      </w:r>
      <w:r w:rsidR="004473B0">
        <w:rPr>
          <w:rFonts w:cs="Arial"/>
          <w:szCs w:val="24"/>
          <w:lang w:eastAsia="fr-CA"/>
        </w:rPr>
        <w:t> </w:t>
      </w:r>
      <w:r w:rsidRPr="00146EF6">
        <w:rPr>
          <w:rFonts w:cs="Arial"/>
          <w:szCs w:val="24"/>
          <w:lang w:eastAsia="fr-CA"/>
        </w:rPr>
        <w:t>juin</w:t>
      </w:r>
      <w:r w:rsidR="004473B0">
        <w:rPr>
          <w:rFonts w:cs="Arial"/>
          <w:szCs w:val="24"/>
          <w:lang w:eastAsia="fr-CA"/>
        </w:rPr>
        <w:t> </w:t>
      </w:r>
      <w:r w:rsidRPr="00146EF6">
        <w:rPr>
          <w:rFonts w:cs="Arial"/>
          <w:szCs w:val="24"/>
          <w:lang w:eastAsia="fr-CA"/>
        </w:rPr>
        <w:t>2020</w:t>
      </w:r>
      <w:r>
        <w:rPr>
          <w:rStyle w:val="Appelnotedebasdep"/>
          <w:rFonts w:cs="Arial"/>
          <w:szCs w:val="24"/>
          <w:lang w:eastAsia="fr-CA"/>
        </w:rPr>
        <w:footnoteReference w:id="703"/>
      </w:r>
      <w:r w:rsidRPr="00152D74">
        <w:rPr>
          <w:rFonts w:cs="Arial"/>
          <w:szCs w:val="24"/>
          <w:lang w:eastAsia="fr-CA"/>
        </w:rPr>
        <w:t>. Toutefois, plusieurs irrégularités sont relevées</w:t>
      </w:r>
      <w:r w:rsidR="00EE647D">
        <w:rPr>
          <w:rFonts w:cs="Arial"/>
          <w:szCs w:val="24"/>
          <w:lang w:eastAsia="fr-CA"/>
        </w:rPr>
        <w:t>.</w:t>
      </w:r>
    </w:p>
    <w:p w14:paraId="5E63326D" w14:textId="77777777" w:rsidR="00146EF6" w:rsidRPr="00EE647D" w:rsidRDefault="00730A01" w:rsidP="00443B59">
      <w:pPr>
        <w:pStyle w:val="NormalWeb"/>
        <w:numPr>
          <w:ilvl w:val="5"/>
          <w:numId w:val="143"/>
        </w:numPr>
        <w:spacing w:before="120"/>
        <w:ind w:left="284" w:hanging="284"/>
        <w:rPr>
          <w:rFonts w:ascii="Arial" w:hAnsi="Arial" w:cs="Arial"/>
          <w:b/>
          <w:bCs/>
          <w:lang w:eastAsia="fr-CA"/>
        </w:rPr>
      </w:pPr>
      <w:r w:rsidRPr="00EE647D">
        <w:rPr>
          <w:rFonts w:ascii="Arial" w:hAnsi="Arial" w:cs="Arial"/>
          <w:b/>
          <w:bCs/>
          <w:lang w:eastAsia="fr-CA"/>
        </w:rPr>
        <w:t>Les manquement reprochés</w:t>
      </w:r>
    </w:p>
    <w:p w14:paraId="1E925F49" w14:textId="77777777" w:rsidR="008900D7" w:rsidRPr="00190E8F" w:rsidRDefault="00730A01" w:rsidP="00443B59">
      <w:pPr>
        <w:pStyle w:val="Citationenretrait"/>
        <w:numPr>
          <w:ilvl w:val="0"/>
          <w:numId w:val="75"/>
        </w:numPr>
        <w:spacing w:before="100" w:beforeAutospacing="1" w:after="100" w:afterAutospacing="1"/>
        <w:ind w:left="567" w:right="0" w:hanging="283"/>
        <w:rPr>
          <w:rFonts w:cs="Arial"/>
          <w:sz w:val="24"/>
          <w:szCs w:val="24"/>
          <w:lang w:eastAsia="fr-CA"/>
        </w:rPr>
      </w:pPr>
      <w:r w:rsidRPr="00190E8F">
        <w:rPr>
          <w:rFonts w:cs="Arial"/>
          <w:sz w:val="24"/>
          <w:szCs w:val="24"/>
          <w:lang w:eastAsia="fr-CA"/>
        </w:rPr>
        <w:t>Le prêt a servi à rembourser un financement antérieur</w:t>
      </w:r>
      <w:r>
        <w:rPr>
          <w:rStyle w:val="Appelnotedebasdep"/>
          <w:rFonts w:cs="Arial"/>
          <w:sz w:val="24"/>
          <w:szCs w:val="24"/>
          <w:lang w:eastAsia="fr-CA"/>
        </w:rPr>
        <w:footnoteReference w:id="704"/>
      </w:r>
      <w:r w:rsidRPr="00EA68E3">
        <w:rPr>
          <w:rFonts w:cs="Arial"/>
          <w:sz w:val="24"/>
          <w:szCs w:val="24"/>
          <w:lang w:eastAsia="fr-CA"/>
        </w:rPr>
        <w:t>.</w:t>
      </w:r>
    </w:p>
    <w:p w14:paraId="705E2545" w14:textId="77777777" w:rsidR="008900D7" w:rsidRPr="00190E8F" w:rsidRDefault="00730A01" w:rsidP="00443B59">
      <w:pPr>
        <w:pStyle w:val="Citationenretrait"/>
        <w:numPr>
          <w:ilvl w:val="0"/>
          <w:numId w:val="75"/>
        </w:numPr>
        <w:spacing w:before="100" w:beforeAutospacing="1" w:after="100" w:afterAutospacing="1"/>
        <w:ind w:left="567" w:right="0" w:hanging="283"/>
        <w:rPr>
          <w:rFonts w:cs="Arial"/>
          <w:sz w:val="24"/>
          <w:szCs w:val="24"/>
          <w:lang w:eastAsia="fr-CA"/>
        </w:rPr>
      </w:pPr>
      <w:r w:rsidRPr="00190E8F">
        <w:rPr>
          <w:rFonts w:cs="Arial"/>
          <w:sz w:val="24"/>
          <w:szCs w:val="24"/>
          <w:lang w:eastAsia="fr-CA"/>
        </w:rPr>
        <w:t>Le projet reposait sur un zonage non conforme</w:t>
      </w:r>
      <w:r>
        <w:rPr>
          <w:rStyle w:val="Appelnotedebasdep"/>
          <w:rFonts w:cs="Arial"/>
          <w:sz w:val="24"/>
          <w:szCs w:val="24"/>
          <w:lang w:eastAsia="fr-CA"/>
        </w:rPr>
        <w:footnoteReference w:id="705"/>
      </w:r>
      <w:r w:rsidRPr="00190E8F">
        <w:rPr>
          <w:rFonts w:cs="Arial"/>
          <w:sz w:val="24"/>
          <w:szCs w:val="24"/>
          <w:lang w:eastAsia="fr-CA"/>
        </w:rPr>
        <w:t>.</w:t>
      </w:r>
    </w:p>
    <w:p w14:paraId="66C8B948" w14:textId="77777777" w:rsidR="008900D7" w:rsidRPr="00190E8F" w:rsidRDefault="00730A01" w:rsidP="00443B59">
      <w:pPr>
        <w:pStyle w:val="Citationenretrait"/>
        <w:numPr>
          <w:ilvl w:val="0"/>
          <w:numId w:val="75"/>
        </w:numPr>
        <w:spacing w:before="100" w:beforeAutospacing="1" w:after="100" w:afterAutospacing="1"/>
        <w:ind w:left="567" w:right="0" w:hanging="283"/>
        <w:rPr>
          <w:rFonts w:cs="Arial"/>
          <w:sz w:val="24"/>
          <w:szCs w:val="24"/>
          <w:lang w:eastAsia="fr-CA"/>
        </w:rPr>
      </w:pPr>
      <w:r w:rsidRPr="00190E8F">
        <w:rPr>
          <w:rFonts w:cs="Arial"/>
          <w:sz w:val="24"/>
          <w:szCs w:val="24"/>
          <w:lang w:eastAsia="fr-CA"/>
        </w:rPr>
        <w:t>Le lot inclus n’appartenait pas à Huot</w:t>
      </w:r>
      <w:r>
        <w:rPr>
          <w:rStyle w:val="Appelnotedebasdep"/>
          <w:rFonts w:cs="Arial"/>
          <w:sz w:val="24"/>
          <w:szCs w:val="24"/>
          <w:lang w:eastAsia="fr-CA"/>
        </w:rPr>
        <w:footnoteReference w:id="706"/>
      </w:r>
      <w:r w:rsidRPr="00190E8F">
        <w:rPr>
          <w:rFonts w:cs="Arial"/>
          <w:sz w:val="24"/>
          <w:szCs w:val="24"/>
          <w:lang w:eastAsia="fr-CA"/>
        </w:rPr>
        <w:t>.</w:t>
      </w:r>
    </w:p>
    <w:p w14:paraId="3D78EAAE" w14:textId="77777777" w:rsidR="008900D7" w:rsidRPr="00190E8F" w:rsidRDefault="00730A01" w:rsidP="00443B59">
      <w:pPr>
        <w:pStyle w:val="Paragraphedeliste"/>
        <w:numPr>
          <w:ilvl w:val="0"/>
          <w:numId w:val="79"/>
        </w:numPr>
        <w:spacing w:before="100" w:beforeAutospacing="1" w:after="100" w:afterAutospacing="1"/>
        <w:ind w:left="567" w:hanging="283"/>
        <w:rPr>
          <w:rFonts w:cs="Arial"/>
          <w:szCs w:val="24"/>
          <w:lang w:eastAsia="fr-CA"/>
        </w:rPr>
      </w:pPr>
      <w:r w:rsidRPr="00190E8F">
        <w:rPr>
          <w:rFonts w:cs="Arial"/>
          <w:szCs w:val="24"/>
          <w:lang w:eastAsia="fr-CA"/>
        </w:rPr>
        <w:t>Aucun état financier complet ni preuve d’assurance n’a été exigé.</w:t>
      </w:r>
    </w:p>
    <w:p w14:paraId="62CFE1C9" w14:textId="77777777" w:rsidR="008900D7" w:rsidRDefault="00730A01" w:rsidP="00EE647D">
      <w:pPr>
        <w:pStyle w:val="Paragraphe"/>
        <w:numPr>
          <w:ilvl w:val="0"/>
          <w:numId w:val="0"/>
        </w:numPr>
        <w:spacing w:line="240" w:lineRule="auto"/>
        <w:rPr>
          <w:rFonts w:cs="Arial"/>
          <w:szCs w:val="24"/>
          <w:lang w:eastAsia="fr-CA"/>
        </w:rPr>
      </w:pPr>
      <w:r w:rsidRPr="00152D74">
        <w:rPr>
          <w:rFonts w:cs="Arial"/>
          <w:szCs w:val="24"/>
          <w:lang w:eastAsia="fr-CA"/>
        </w:rPr>
        <w:t>Les reproches portent aussi sur l’absence de garanties suffisantes, de vérification de la capacité de remboursement, de véritable enquête de crédit et de documents essentiels tels qu’un plan d’affaires détaillé ou un rapport d’évaluation agréé.</w:t>
      </w:r>
      <w:r>
        <w:rPr>
          <w:rFonts w:cs="Arial"/>
          <w:szCs w:val="24"/>
          <w:lang w:eastAsia="fr-CA"/>
        </w:rPr>
        <w:t xml:space="preserve"> </w:t>
      </w:r>
      <w:r w:rsidRPr="00152D74">
        <w:rPr>
          <w:rFonts w:cs="Arial"/>
          <w:szCs w:val="24"/>
          <w:lang w:eastAsia="fr-CA"/>
        </w:rPr>
        <w:t>Les conventions de prêt</w:t>
      </w:r>
      <w:r>
        <w:rPr>
          <w:rStyle w:val="Appelnotedebasdep"/>
          <w:rFonts w:cs="Arial"/>
          <w:szCs w:val="24"/>
          <w:lang w:eastAsia="fr-CA"/>
        </w:rPr>
        <w:footnoteReference w:id="707"/>
      </w:r>
      <w:r w:rsidRPr="00152D74">
        <w:rPr>
          <w:rFonts w:cs="Arial"/>
          <w:szCs w:val="24"/>
          <w:lang w:eastAsia="fr-CA"/>
        </w:rPr>
        <w:t xml:space="preserve"> montrent que les sommes ont été déboursées en un seul versement.</w:t>
      </w:r>
    </w:p>
    <w:p w14:paraId="5C15CE49" w14:textId="77777777" w:rsidR="006F0F5A" w:rsidRPr="00EE647D" w:rsidRDefault="00730A01" w:rsidP="00443B59">
      <w:pPr>
        <w:pStyle w:val="NormalWeb"/>
        <w:numPr>
          <w:ilvl w:val="5"/>
          <w:numId w:val="142"/>
        </w:numPr>
        <w:spacing w:before="120"/>
        <w:ind w:left="284" w:hanging="284"/>
        <w:rPr>
          <w:rFonts w:ascii="Arial" w:hAnsi="Arial" w:cs="Arial"/>
          <w:b/>
          <w:bCs/>
          <w:lang w:eastAsia="fr-CA"/>
        </w:rPr>
      </w:pPr>
      <w:r w:rsidRPr="00EE647D">
        <w:rPr>
          <w:rFonts w:ascii="Arial" w:hAnsi="Arial" w:cs="Arial"/>
          <w:b/>
          <w:bCs/>
          <w:lang w:eastAsia="fr-CA"/>
        </w:rPr>
        <w:t xml:space="preserve">La perte en lien avec ce projet </w:t>
      </w:r>
    </w:p>
    <w:p w14:paraId="4B97A06F" w14:textId="77777777" w:rsidR="00261048" w:rsidRPr="00261048" w:rsidRDefault="00730A01" w:rsidP="004473B0">
      <w:pPr>
        <w:pStyle w:val="Paragraphedeliste"/>
        <w:spacing w:before="100" w:beforeAutospacing="1" w:after="100" w:afterAutospacing="1"/>
        <w:ind w:left="0"/>
        <w:jc w:val="both"/>
        <w:rPr>
          <w:rFonts w:cs="Arial"/>
          <w:szCs w:val="24"/>
          <w:lang w:eastAsia="fr-CA"/>
        </w:rPr>
      </w:pPr>
      <w:r>
        <w:rPr>
          <w:rFonts w:cs="Arial"/>
          <w:szCs w:val="24"/>
          <w:lang w:eastAsia="fr-CA"/>
        </w:rPr>
        <w:t>En appliquant la créance « Diplom</w:t>
      </w:r>
      <w:r w:rsidR="0009445D">
        <w:rPr>
          <w:rFonts w:cs="Arial"/>
          <w:szCs w:val="24"/>
          <w:lang w:eastAsia="fr-CA"/>
        </w:rPr>
        <w:t>a</w:t>
      </w:r>
      <w:r>
        <w:rPr>
          <w:rFonts w:cs="Arial"/>
          <w:szCs w:val="24"/>
          <w:lang w:eastAsia="fr-CA"/>
        </w:rPr>
        <w:t>tes » de 6 M$ au prêt Ariela de 19,2 M$, il demeure une perte avant intérêts de 13,2 M$ à laquelle s’ajoute des intérêts de 2,4 M$ au 31</w:t>
      </w:r>
      <w:r w:rsidR="004473B0">
        <w:rPr>
          <w:rFonts w:cs="Arial"/>
          <w:szCs w:val="24"/>
          <w:lang w:eastAsia="fr-CA"/>
        </w:rPr>
        <w:t> </w:t>
      </w:r>
      <w:r>
        <w:rPr>
          <w:rFonts w:cs="Arial"/>
          <w:szCs w:val="24"/>
          <w:lang w:eastAsia="fr-CA"/>
        </w:rPr>
        <w:t>octobre</w:t>
      </w:r>
      <w:r w:rsidR="004473B0">
        <w:rPr>
          <w:rFonts w:cs="Arial"/>
          <w:szCs w:val="24"/>
          <w:lang w:eastAsia="fr-CA"/>
        </w:rPr>
        <w:t> </w:t>
      </w:r>
      <w:r>
        <w:rPr>
          <w:rFonts w:cs="Arial"/>
          <w:szCs w:val="24"/>
          <w:lang w:eastAsia="fr-CA"/>
        </w:rPr>
        <w:t>2023 pour un total de 15,6 M$ de perte.</w:t>
      </w:r>
    </w:p>
    <w:p w14:paraId="12F29AF8" w14:textId="77777777" w:rsidR="00190E8F" w:rsidRPr="00B521C9" w:rsidRDefault="00730A01" w:rsidP="00443B59">
      <w:pPr>
        <w:pStyle w:val="Titre2"/>
        <w:numPr>
          <w:ilvl w:val="2"/>
          <w:numId w:val="123"/>
        </w:numPr>
        <w:spacing w:after="120"/>
        <w:ind w:left="426" w:hanging="426"/>
        <w:rPr>
          <w:smallCaps/>
        </w:rPr>
      </w:pPr>
      <w:r w:rsidRPr="00B521C9">
        <w:rPr>
          <w:smallCaps/>
        </w:rPr>
        <w:t>Le projet DMI3 (P043 et P063)</w:t>
      </w:r>
    </w:p>
    <w:p w14:paraId="002FCB01" w14:textId="77777777" w:rsidR="0009445D" w:rsidRPr="0024458E" w:rsidRDefault="00730A01" w:rsidP="0009445D">
      <w:pPr>
        <w:pStyle w:val="NormalWeb"/>
        <w:jc w:val="both"/>
        <w:rPr>
          <w:rFonts w:ascii="Arial" w:hAnsi="Arial" w:cs="Arial"/>
        </w:rPr>
      </w:pPr>
      <w:r w:rsidRPr="0024458E">
        <w:rPr>
          <w:rFonts w:ascii="Arial" w:hAnsi="Arial" w:cs="Arial"/>
        </w:rPr>
        <w:t>Le 5</w:t>
      </w:r>
      <w:r w:rsidR="004473B0">
        <w:rPr>
          <w:rFonts w:ascii="Arial" w:hAnsi="Arial" w:cs="Arial"/>
        </w:rPr>
        <w:t> </w:t>
      </w:r>
      <w:r w:rsidRPr="0024458E">
        <w:rPr>
          <w:rFonts w:ascii="Arial" w:hAnsi="Arial" w:cs="Arial"/>
        </w:rPr>
        <w:t>octobre</w:t>
      </w:r>
      <w:r w:rsidR="004473B0">
        <w:rPr>
          <w:rFonts w:ascii="Arial" w:hAnsi="Arial" w:cs="Arial"/>
        </w:rPr>
        <w:t> </w:t>
      </w:r>
      <w:r w:rsidRPr="0024458E">
        <w:rPr>
          <w:rFonts w:ascii="Arial" w:hAnsi="Arial" w:cs="Arial"/>
        </w:rPr>
        <w:t>2020, Q</w:t>
      </w:r>
      <w:r>
        <w:rPr>
          <w:rFonts w:ascii="Arial" w:hAnsi="Arial" w:cs="Arial"/>
        </w:rPr>
        <w:noBreakHyphen/>
      </w:r>
      <w:r w:rsidRPr="0024458E">
        <w:rPr>
          <w:rFonts w:ascii="Arial" w:hAnsi="Arial" w:cs="Arial"/>
        </w:rPr>
        <w:t xml:space="preserve">12, consent un financement global de </w:t>
      </w:r>
      <w:r w:rsidRPr="0024458E">
        <w:rPr>
          <w:rStyle w:val="lev"/>
          <w:rFonts w:ascii="Arial" w:hAnsi="Arial" w:cs="Arial"/>
          <w:b w:val="0"/>
          <w:bCs w:val="0"/>
        </w:rPr>
        <w:t>12,3 M$</w:t>
      </w:r>
      <w:r w:rsidRPr="0024458E">
        <w:rPr>
          <w:rFonts w:ascii="Arial" w:hAnsi="Arial" w:cs="Arial"/>
        </w:rPr>
        <w:t xml:space="preserve"> à une société de gestion (</w:t>
      </w:r>
      <w:r w:rsidRPr="0024458E">
        <w:rPr>
          <w:rStyle w:val="lev"/>
          <w:rFonts w:ascii="Arial" w:hAnsi="Arial" w:cs="Arial"/>
          <w:b w:val="0"/>
          <w:bCs w:val="0"/>
        </w:rPr>
        <w:t>9375-9348 Québec inc.</w:t>
      </w:r>
      <w:r w:rsidRPr="0024458E">
        <w:rPr>
          <w:rStyle w:val="lev"/>
          <w:rFonts w:ascii="Arial" w:hAnsi="Arial" w:cs="Arial"/>
        </w:rPr>
        <w:t xml:space="preserve"> </w:t>
      </w:r>
      <w:r w:rsidRPr="0024458E">
        <w:rPr>
          <w:rStyle w:val="lev"/>
          <w:rFonts w:ascii="Arial" w:hAnsi="Arial" w:cs="Arial"/>
          <w:b w:val="0"/>
          <w:bCs w:val="0"/>
        </w:rPr>
        <w:t>(«</w:t>
      </w:r>
      <w:r w:rsidRPr="0024458E">
        <w:rPr>
          <w:rStyle w:val="lev"/>
          <w:rFonts w:ascii="Arial" w:hAnsi="Arial" w:cs="Arial"/>
        </w:rPr>
        <w:t> 9348 </w:t>
      </w:r>
      <w:r w:rsidRPr="0024458E">
        <w:rPr>
          <w:rStyle w:val="lev"/>
          <w:rFonts w:ascii="Arial" w:hAnsi="Arial" w:cs="Arial"/>
          <w:b w:val="0"/>
          <w:bCs w:val="0"/>
        </w:rPr>
        <w:t>»</w:t>
      </w:r>
      <w:r w:rsidRPr="0024458E">
        <w:rPr>
          <w:rFonts w:ascii="Arial" w:hAnsi="Arial" w:cs="Arial"/>
        </w:rPr>
        <w:t>) liée à Huot</w:t>
      </w:r>
      <w:r>
        <w:rPr>
          <w:rStyle w:val="Appelnotedebasdep"/>
          <w:rFonts w:ascii="Arial" w:hAnsi="Arial" w:cs="Arial"/>
        </w:rPr>
        <w:footnoteReference w:id="708"/>
      </w:r>
      <w:r>
        <w:rPr>
          <w:rFonts w:ascii="Arial" w:hAnsi="Arial" w:cs="Arial"/>
        </w:rPr>
        <w:t>.</w:t>
      </w:r>
      <w:r w:rsidRPr="0024458E">
        <w:rPr>
          <w:rFonts w:ascii="Arial" w:hAnsi="Arial" w:cs="Arial"/>
        </w:rPr>
        <w:t xml:space="preserve"> Le débours unique doit servir</w:t>
      </w:r>
      <w:r w:rsidR="004473B0">
        <w:rPr>
          <w:rFonts w:ascii="Arial" w:hAnsi="Arial" w:cs="Arial"/>
        </w:rPr>
        <w:t xml:space="preserve"> </w:t>
      </w:r>
      <w:r w:rsidRPr="0024458E">
        <w:rPr>
          <w:rFonts w:ascii="Arial" w:hAnsi="Arial" w:cs="Arial"/>
        </w:rPr>
        <w:t>à :</w:t>
      </w:r>
    </w:p>
    <w:p w14:paraId="448B8D9A" w14:textId="77777777" w:rsidR="0009445D" w:rsidRPr="0024458E" w:rsidRDefault="00730A01" w:rsidP="00443B59">
      <w:pPr>
        <w:pStyle w:val="NormalWeb"/>
        <w:numPr>
          <w:ilvl w:val="0"/>
          <w:numId w:val="85"/>
        </w:numPr>
        <w:spacing w:before="100" w:beforeAutospacing="1" w:after="100" w:afterAutospacing="1"/>
        <w:ind w:left="993" w:hanging="437"/>
        <w:jc w:val="both"/>
        <w:rPr>
          <w:rFonts w:ascii="Arial" w:hAnsi="Arial" w:cs="Arial"/>
        </w:rPr>
      </w:pPr>
      <w:r w:rsidRPr="0024458E">
        <w:rPr>
          <w:rFonts w:ascii="Arial" w:hAnsi="Arial" w:cs="Arial"/>
        </w:rPr>
        <w:t xml:space="preserve">refinancer un prêt antérieur de </w:t>
      </w:r>
      <w:r w:rsidRPr="00D03518">
        <w:rPr>
          <w:rStyle w:val="lev"/>
          <w:rFonts w:ascii="Arial" w:hAnsi="Arial" w:cs="Arial"/>
          <w:b w:val="0"/>
          <w:bCs w:val="0"/>
        </w:rPr>
        <w:t>9,65 M$</w:t>
      </w:r>
      <w:r w:rsidRPr="0024458E">
        <w:rPr>
          <w:rFonts w:ascii="Arial" w:hAnsi="Arial" w:cs="Arial"/>
        </w:rPr>
        <w:t xml:space="preserve"> dû à </w:t>
      </w:r>
      <w:r w:rsidRPr="00D03518">
        <w:rPr>
          <w:rStyle w:val="lev"/>
          <w:rFonts w:ascii="Arial" w:hAnsi="Arial" w:cs="Arial"/>
          <w:b w:val="0"/>
          <w:bCs w:val="0"/>
        </w:rPr>
        <w:t>Fiera FP</w:t>
      </w:r>
      <w:r>
        <w:rPr>
          <w:rStyle w:val="Appelnotedebasdep"/>
          <w:rFonts w:ascii="Arial" w:hAnsi="Arial" w:cs="Arial"/>
        </w:rPr>
        <w:footnoteReference w:id="709"/>
      </w:r>
      <w:r w:rsidR="004473B0">
        <w:rPr>
          <w:rStyle w:val="lev"/>
          <w:rFonts w:ascii="Arial" w:hAnsi="Arial" w:cs="Arial"/>
          <w:b w:val="0"/>
          <w:bCs w:val="0"/>
        </w:rPr>
        <w:t>;</w:t>
      </w:r>
      <w:r>
        <w:rPr>
          <w:rFonts w:ascii="Arial" w:hAnsi="Arial" w:cs="Arial"/>
        </w:rPr>
        <w:t xml:space="preserve"> </w:t>
      </w:r>
      <w:r w:rsidRPr="0024458E">
        <w:rPr>
          <w:rFonts w:ascii="Arial" w:hAnsi="Arial" w:cs="Arial"/>
        </w:rPr>
        <w:t xml:space="preserve">et </w:t>
      </w:r>
    </w:p>
    <w:p w14:paraId="38C4152E" w14:textId="77777777" w:rsidR="0009445D" w:rsidRPr="0024458E" w:rsidRDefault="00730A01" w:rsidP="00443B59">
      <w:pPr>
        <w:pStyle w:val="NormalWeb"/>
        <w:numPr>
          <w:ilvl w:val="0"/>
          <w:numId w:val="85"/>
        </w:numPr>
        <w:spacing w:before="100" w:beforeAutospacing="1" w:after="240"/>
        <w:ind w:left="993" w:hanging="437"/>
        <w:jc w:val="both"/>
        <w:rPr>
          <w:rFonts w:ascii="Arial" w:hAnsi="Arial" w:cs="Arial"/>
        </w:rPr>
      </w:pPr>
      <w:r w:rsidRPr="0024458E">
        <w:rPr>
          <w:rFonts w:ascii="Arial" w:hAnsi="Arial" w:cs="Arial"/>
        </w:rPr>
        <w:t xml:space="preserve">rembourser </w:t>
      </w:r>
      <w:r w:rsidRPr="00D03518">
        <w:rPr>
          <w:rStyle w:val="lev"/>
          <w:rFonts w:ascii="Arial" w:hAnsi="Arial" w:cs="Arial"/>
          <w:b w:val="0"/>
          <w:bCs w:val="0"/>
        </w:rPr>
        <w:t>2,3 M$</w:t>
      </w:r>
      <w:r w:rsidRPr="0024458E">
        <w:rPr>
          <w:rFonts w:ascii="Arial" w:hAnsi="Arial" w:cs="Arial"/>
        </w:rPr>
        <w:t xml:space="preserve"> prêtés par Q</w:t>
      </w:r>
      <w:r>
        <w:rPr>
          <w:rFonts w:ascii="Arial" w:hAnsi="Arial" w:cs="Arial"/>
        </w:rPr>
        <w:noBreakHyphen/>
      </w:r>
      <w:r w:rsidRPr="0024458E">
        <w:rPr>
          <w:rFonts w:ascii="Arial" w:hAnsi="Arial" w:cs="Arial"/>
        </w:rPr>
        <w:t>12 à la phase</w:t>
      </w:r>
      <w:r w:rsidR="004473B0">
        <w:rPr>
          <w:rFonts w:ascii="Arial" w:hAnsi="Arial" w:cs="Arial"/>
        </w:rPr>
        <w:t> </w:t>
      </w:r>
      <w:r w:rsidRPr="0024458E">
        <w:rPr>
          <w:rFonts w:ascii="Arial" w:hAnsi="Arial" w:cs="Arial"/>
        </w:rPr>
        <w:t xml:space="preserve">5 du projet immobilier </w:t>
      </w:r>
      <w:r w:rsidRPr="00D03518">
        <w:rPr>
          <w:rStyle w:val="lev"/>
          <w:rFonts w:ascii="Arial" w:hAnsi="Arial" w:cs="Arial"/>
          <w:b w:val="0"/>
          <w:bCs w:val="0"/>
        </w:rPr>
        <w:t>«</w:t>
      </w:r>
      <w:r w:rsidR="004473B0">
        <w:rPr>
          <w:rStyle w:val="lev"/>
          <w:rFonts w:ascii="Arial" w:hAnsi="Arial" w:cs="Arial"/>
          <w:b w:val="0"/>
          <w:bCs w:val="0"/>
        </w:rPr>
        <w:t> </w:t>
      </w:r>
      <w:r w:rsidRPr="00D03518">
        <w:rPr>
          <w:rStyle w:val="lev"/>
          <w:rFonts w:ascii="Arial" w:hAnsi="Arial" w:cs="Arial"/>
          <w:b w:val="0"/>
          <w:bCs w:val="0"/>
        </w:rPr>
        <w:t>Les 7</w:t>
      </w:r>
      <w:r w:rsidR="004473B0">
        <w:rPr>
          <w:rStyle w:val="lev"/>
          <w:rFonts w:ascii="Arial" w:hAnsi="Arial" w:cs="Arial"/>
          <w:b w:val="0"/>
          <w:bCs w:val="0"/>
        </w:rPr>
        <w:t> </w:t>
      </w:r>
      <w:r w:rsidRPr="00D03518">
        <w:rPr>
          <w:rStyle w:val="lev"/>
          <w:rFonts w:ascii="Arial" w:hAnsi="Arial" w:cs="Arial"/>
          <w:b w:val="0"/>
          <w:bCs w:val="0"/>
        </w:rPr>
        <w:t>Éléments du Mesnil</w:t>
      </w:r>
      <w:r w:rsidR="004473B0">
        <w:rPr>
          <w:rStyle w:val="lev"/>
          <w:rFonts w:ascii="Arial" w:hAnsi="Arial" w:cs="Arial"/>
          <w:b w:val="0"/>
          <w:bCs w:val="0"/>
        </w:rPr>
        <w:t> </w:t>
      </w:r>
      <w:r w:rsidRPr="00D03518">
        <w:rPr>
          <w:rStyle w:val="lev"/>
          <w:rFonts w:ascii="Arial" w:hAnsi="Arial" w:cs="Arial"/>
          <w:b w:val="0"/>
          <w:bCs w:val="0"/>
        </w:rPr>
        <w:t>»</w:t>
      </w:r>
      <w:bookmarkStart w:id="241" w:name="_Hlk211263215"/>
      <w:r>
        <w:rPr>
          <w:rStyle w:val="Appelnotedebasdep"/>
          <w:rFonts w:ascii="Arial" w:hAnsi="Arial" w:cs="Arial"/>
        </w:rPr>
        <w:footnoteReference w:id="710"/>
      </w:r>
      <w:r w:rsidR="004473B0">
        <w:rPr>
          <w:rStyle w:val="lev"/>
          <w:rFonts w:ascii="Arial" w:hAnsi="Arial" w:cs="Arial"/>
          <w:b w:val="0"/>
          <w:bCs w:val="0"/>
        </w:rPr>
        <w:t>.</w:t>
      </w:r>
    </w:p>
    <w:p w14:paraId="556D4B78" w14:textId="77777777" w:rsidR="0009445D" w:rsidRPr="00EE647D" w:rsidRDefault="00730A01" w:rsidP="00443B59">
      <w:pPr>
        <w:pStyle w:val="Paragraphedeliste"/>
        <w:numPr>
          <w:ilvl w:val="5"/>
          <w:numId w:val="144"/>
        </w:numPr>
        <w:spacing w:before="100" w:beforeAutospacing="1" w:after="100" w:afterAutospacing="1"/>
        <w:ind w:left="284" w:hanging="284"/>
        <w:rPr>
          <w:rFonts w:cs="Arial"/>
          <w:b/>
          <w:bCs/>
        </w:rPr>
      </w:pPr>
      <w:r w:rsidRPr="00EE647D">
        <w:rPr>
          <w:rFonts w:cs="Arial"/>
          <w:b/>
          <w:bCs/>
          <w:szCs w:val="24"/>
          <w:lang w:eastAsia="fr-CA"/>
        </w:rPr>
        <w:t>Les</w:t>
      </w:r>
      <w:r w:rsidRPr="00EE647D">
        <w:rPr>
          <w:rFonts w:cs="Arial"/>
          <w:b/>
          <w:bCs/>
        </w:rPr>
        <w:t xml:space="preserve"> manquements reprochés </w:t>
      </w:r>
      <w:bookmarkEnd w:id="241"/>
    </w:p>
    <w:p w14:paraId="5CF5188D" w14:textId="77777777" w:rsidR="0009445D" w:rsidRPr="00646B1D" w:rsidRDefault="00730A01" w:rsidP="00443B59">
      <w:pPr>
        <w:pStyle w:val="Citationenretrait"/>
        <w:numPr>
          <w:ilvl w:val="0"/>
          <w:numId w:val="75"/>
        </w:numPr>
        <w:spacing w:before="100" w:beforeAutospacing="1" w:after="100" w:afterAutospacing="1"/>
        <w:ind w:left="567" w:right="0" w:hanging="283"/>
        <w:rPr>
          <w:rFonts w:cs="Arial"/>
          <w:b/>
          <w:bCs/>
          <w:sz w:val="24"/>
          <w:szCs w:val="24"/>
        </w:rPr>
      </w:pPr>
      <w:r w:rsidRPr="00646B1D">
        <w:rPr>
          <w:rFonts w:cs="Arial"/>
          <w:sz w:val="24"/>
          <w:szCs w:val="24"/>
        </w:rPr>
        <w:t xml:space="preserve">La sûreté prise pour garantir Q-12 n’est pas une hypothèque immobilière directe sur les immeubles, il s’agit d’une </w:t>
      </w:r>
      <w:r w:rsidRPr="00646B1D">
        <w:rPr>
          <w:rStyle w:val="lev"/>
          <w:rFonts w:cs="Arial"/>
          <w:b w:val="0"/>
          <w:bCs w:val="0"/>
          <w:sz w:val="24"/>
          <w:szCs w:val="24"/>
        </w:rPr>
        <w:t>hypothèque mobilière avec dépossession sur 50 % des actions de 2825</w:t>
      </w:r>
      <w:r w:rsidR="004473B0">
        <w:rPr>
          <w:rFonts w:cs="Arial"/>
          <w:b/>
          <w:bCs/>
          <w:sz w:val="24"/>
          <w:szCs w:val="24"/>
        </w:rPr>
        <w:t> </w:t>
      </w:r>
      <w:r w:rsidRPr="00646B1D">
        <w:rPr>
          <w:rFonts w:cs="Arial"/>
          <w:sz w:val="24"/>
          <w:szCs w:val="24"/>
        </w:rPr>
        <w:t xml:space="preserve">détenues par 9348. Il s’agit donc d’un </w:t>
      </w:r>
      <w:r w:rsidRPr="00646B1D">
        <w:rPr>
          <w:rStyle w:val="lev"/>
          <w:rFonts w:cs="Arial"/>
          <w:b w:val="0"/>
          <w:bCs w:val="0"/>
          <w:sz w:val="24"/>
          <w:szCs w:val="24"/>
        </w:rPr>
        <w:t>stratagème qui a détérioré la qualité des sûretés</w:t>
      </w:r>
      <w:r w:rsidRPr="00646B1D">
        <w:rPr>
          <w:rFonts w:cs="Arial"/>
          <w:sz w:val="24"/>
          <w:szCs w:val="24"/>
        </w:rPr>
        <w:t xml:space="preserve"> en remplaçant une </w:t>
      </w:r>
      <w:r w:rsidRPr="00646B1D">
        <w:rPr>
          <w:rStyle w:val="lev"/>
          <w:rFonts w:cs="Arial"/>
          <w:b w:val="0"/>
          <w:bCs w:val="0"/>
          <w:sz w:val="24"/>
          <w:szCs w:val="24"/>
        </w:rPr>
        <w:t>hypothèque immobilière</w:t>
      </w:r>
      <w:r w:rsidRPr="00646B1D">
        <w:rPr>
          <w:rFonts w:cs="Arial"/>
          <w:sz w:val="24"/>
          <w:szCs w:val="24"/>
        </w:rPr>
        <w:t xml:space="preserve"> par une </w:t>
      </w:r>
      <w:r w:rsidRPr="00646B1D">
        <w:rPr>
          <w:rStyle w:val="lev"/>
          <w:rFonts w:cs="Arial"/>
          <w:b w:val="0"/>
          <w:bCs w:val="0"/>
          <w:sz w:val="24"/>
          <w:szCs w:val="24"/>
        </w:rPr>
        <w:t>hypothèque mobilière sur des actions de sociétés de gestion</w:t>
      </w:r>
      <w:r w:rsidRPr="00646B1D">
        <w:rPr>
          <w:rFonts w:cs="Arial"/>
          <w:sz w:val="24"/>
          <w:szCs w:val="24"/>
        </w:rPr>
        <w:t xml:space="preserve">, ce qui a </w:t>
      </w:r>
      <w:r w:rsidRPr="00646B1D">
        <w:rPr>
          <w:rStyle w:val="lev"/>
          <w:rFonts w:cs="Arial"/>
          <w:b w:val="0"/>
          <w:bCs w:val="0"/>
          <w:sz w:val="24"/>
          <w:szCs w:val="24"/>
        </w:rPr>
        <w:t>accru l’équité de l’immeuble pour l’emprunteur</w:t>
      </w:r>
      <w:r w:rsidRPr="00646B1D">
        <w:rPr>
          <w:rFonts w:cs="Arial"/>
          <w:b/>
          <w:bCs/>
          <w:sz w:val="24"/>
          <w:szCs w:val="24"/>
        </w:rPr>
        <w:t xml:space="preserve"> </w:t>
      </w:r>
      <w:r w:rsidRPr="00646B1D">
        <w:rPr>
          <w:rFonts w:cs="Arial"/>
          <w:sz w:val="24"/>
          <w:szCs w:val="24"/>
        </w:rPr>
        <w:t>tout en</w:t>
      </w:r>
      <w:r w:rsidRPr="00646B1D">
        <w:rPr>
          <w:rFonts w:cs="Arial"/>
          <w:b/>
          <w:bCs/>
          <w:sz w:val="24"/>
          <w:szCs w:val="24"/>
        </w:rPr>
        <w:t xml:space="preserve"> </w:t>
      </w:r>
      <w:r w:rsidRPr="00646B1D">
        <w:rPr>
          <w:rStyle w:val="lev"/>
          <w:rFonts w:cs="Arial"/>
          <w:b w:val="0"/>
          <w:bCs w:val="0"/>
          <w:sz w:val="24"/>
          <w:szCs w:val="24"/>
        </w:rPr>
        <w:t>affaiblissant la position de Q-12</w:t>
      </w:r>
      <w:r w:rsidRPr="00646B1D">
        <w:rPr>
          <w:rFonts w:cs="Arial"/>
          <w:sz w:val="24"/>
          <w:szCs w:val="24"/>
        </w:rPr>
        <w:t>.</w:t>
      </w:r>
    </w:p>
    <w:p w14:paraId="41BBD0E2" w14:textId="77777777" w:rsidR="0009445D" w:rsidRPr="00646B1D" w:rsidRDefault="00730A01" w:rsidP="00443B59">
      <w:pPr>
        <w:pStyle w:val="Citationenretrait"/>
        <w:numPr>
          <w:ilvl w:val="0"/>
          <w:numId w:val="75"/>
        </w:numPr>
        <w:spacing w:before="100" w:beforeAutospacing="1" w:after="100" w:afterAutospacing="1"/>
        <w:ind w:left="567" w:right="0" w:hanging="283"/>
        <w:rPr>
          <w:rFonts w:cs="Arial"/>
          <w:b/>
          <w:bCs/>
          <w:sz w:val="24"/>
          <w:szCs w:val="24"/>
        </w:rPr>
      </w:pPr>
      <w:r w:rsidRPr="00646B1D">
        <w:rPr>
          <w:rFonts w:cs="Arial"/>
          <w:sz w:val="24"/>
          <w:szCs w:val="24"/>
        </w:rPr>
        <w:t xml:space="preserve">En </w:t>
      </w:r>
      <w:r w:rsidRPr="00646B1D">
        <w:rPr>
          <w:rStyle w:val="lev"/>
          <w:rFonts w:cs="Arial"/>
          <w:b w:val="0"/>
          <w:bCs w:val="0"/>
          <w:sz w:val="24"/>
          <w:szCs w:val="24"/>
        </w:rPr>
        <w:t>mars</w:t>
      </w:r>
      <w:r w:rsidR="004473B0">
        <w:rPr>
          <w:rStyle w:val="lev"/>
          <w:rFonts w:cs="Arial"/>
          <w:b w:val="0"/>
          <w:bCs w:val="0"/>
          <w:sz w:val="24"/>
          <w:szCs w:val="24"/>
        </w:rPr>
        <w:t> </w:t>
      </w:r>
      <w:r w:rsidRPr="00646B1D">
        <w:rPr>
          <w:rStyle w:val="lev"/>
          <w:rFonts w:cs="Arial"/>
          <w:b w:val="0"/>
          <w:bCs w:val="0"/>
          <w:sz w:val="24"/>
          <w:szCs w:val="24"/>
        </w:rPr>
        <w:t>2022</w:t>
      </w:r>
      <w:r w:rsidRPr="00646B1D">
        <w:rPr>
          <w:rFonts w:cs="Arial"/>
          <w:sz w:val="24"/>
          <w:szCs w:val="24"/>
        </w:rPr>
        <w:t xml:space="preserve">, les </w:t>
      </w:r>
      <w:r w:rsidRPr="00646B1D">
        <w:rPr>
          <w:rStyle w:val="lev"/>
          <w:rFonts w:cs="Arial"/>
          <w:b w:val="0"/>
          <w:bCs w:val="0"/>
          <w:sz w:val="24"/>
          <w:szCs w:val="24"/>
        </w:rPr>
        <w:t>intérêts mensuels (105 442,47 $)</w:t>
      </w:r>
      <w:r w:rsidRPr="00646B1D">
        <w:rPr>
          <w:rFonts w:cs="Arial"/>
          <w:b/>
          <w:bCs/>
          <w:sz w:val="24"/>
          <w:szCs w:val="24"/>
        </w:rPr>
        <w:t xml:space="preserve"> </w:t>
      </w:r>
      <w:r w:rsidRPr="00646B1D">
        <w:rPr>
          <w:rFonts w:cs="Arial"/>
          <w:sz w:val="24"/>
          <w:szCs w:val="24"/>
        </w:rPr>
        <w:t xml:space="preserve">dus pour DMI3 ont été </w:t>
      </w:r>
      <w:r w:rsidRPr="00646B1D">
        <w:rPr>
          <w:rStyle w:val="lev"/>
          <w:rFonts w:cs="Arial"/>
          <w:b w:val="0"/>
          <w:bCs w:val="0"/>
          <w:sz w:val="24"/>
          <w:szCs w:val="24"/>
        </w:rPr>
        <w:t>payés en puisant dans une augmentation du prêt FIISH à Huot</w:t>
      </w:r>
      <w:r w:rsidRPr="00646B1D">
        <w:rPr>
          <w:rFonts w:cs="Arial"/>
          <w:sz w:val="24"/>
          <w:szCs w:val="24"/>
        </w:rPr>
        <w:t xml:space="preserve">, ce qui illustre un </w:t>
      </w:r>
      <w:r w:rsidRPr="00646B1D">
        <w:rPr>
          <w:rStyle w:val="lev"/>
          <w:rFonts w:cs="Arial"/>
          <w:b w:val="0"/>
          <w:bCs w:val="0"/>
          <w:sz w:val="24"/>
          <w:szCs w:val="24"/>
        </w:rPr>
        <w:t>financement circulaire</w:t>
      </w:r>
      <w:r w:rsidRPr="00646B1D">
        <w:rPr>
          <w:rFonts w:cs="Arial"/>
          <w:b/>
          <w:bCs/>
          <w:sz w:val="24"/>
          <w:szCs w:val="24"/>
        </w:rPr>
        <w:t xml:space="preserve"> </w:t>
      </w:r>
      <w:r w:rsidRPr="00646B1D">
        <w:rPr>
          <w:rFonts w:cs="Arial"/>
          <w:sz w:val="24"/>
          <w:szCs w:val="24"/>
        </w:rPr>
        <w:t xml:space="preserve">entre les fonds. Ensuite, les termes des prêts ont été </w:t>
      </w:r>
      <w:r w:rsidRPr="00646B1D">
        <w:rPr>
          <w:rStyle w:val="lev"/>
          <w:rFonts w:cs="Arial"/>
          <w:b w:val="0"/>
          <w:bCs w:val="0"/>
          <w:sz w:val="24"/>
          <w:szCs w:val="24"/>
        </w:rPr>
        <w:t>prolongés</w:t>
      </w:r>
      <w:r w:rsidRPr="00646B1D">
        <w:rPr>
          <w:rFonts w:cs="Arial"/>
          <w:sz w:val="24"/>
          <w:szCs w:val="24"/>
        </w:rPr>
        <w:t xml:space="preserve"> à répétition (</w:t>
      </w:r>
      <w:r w:rsidRPr="00646B1D">
        <w:rPr>
          <w:rStyle w:val="lev"/>
          <w:rFonts w:cs="Arial"/>
          <w:b w:val="0"/>
          <w:bCs w:val="0"/>
          <w:sz w:val="24"/>
          <w:szCs w:val="24"/>
        </w:rPr>
        <w:t>2021</w:t>
      </w:r>
      <w:r w:rsidRPr="00646B1D">
        <w:rPr>
          <w:rFonts w:cs="Arial"/>
          <w:sz w:val="24"/>
          <w:szCs w:val="24"/>
        </w:rPr>
        <w:t xml:space="preserve"> puis </w:t>
      </w:r>
      <w:r w:rsidRPr="00646B1D">
        <w:rPr>
          <w:rStyle w:val="lev"/>
          <w:rFonts w:cs="Arial"/>
          <w:b w:val="0"/>
          <w:bCs w:val="0"/>
          <w:sz w:val="24"/>
          <w:szCs w:val="24"/>
        </w:rPr>
        <w:t>9</w:t>
      </w:r>
      <w:r w:rsidR="004473B0">
        <w:rPr>
          <w:rStyle w:val="lev"/>
          <w:rFonts w:cs="Arial"/>
          <w:b w:val="0"/>
          <w:bCs w:val="0"/>
          <w:sz w:val="24"/>
          <w:szCs w:val="24"/>
        </w:rPr>
        <w:t> </w:t>
      </w:r>
      <w:r w:rsidRPr="00646B1D">
        <w:rPr>
          <w:rStyle w:val="lev"/>
          <w:rFonts w:cs="Arial"/>
          <w:b w:val="0"/>
          <w:bCs w:val="0"/>
          <w:sz w:val="24"/>
          <w:szCs w:val="24"/>
        </w:rPr>
        <w:t>novembre</w:t>
      </w:r>
      <w:r w:rsidR="004473B0">
        <w:rPr>
          <w:rStyle w:val="lev"/>
          <w:rFonts w:cs="Arial"/>
          <w:b w:val="0"/>
          <w:bCs w:val="0"/>
          <w:sz w:val="24"/>
          <w:szCs w:val="24"/>
        </w:rPr>
        <w:t> </w:t>
      </w:r>
      <w:r w:rsidRPr="00646B1D">
        <w:rPr>
          <w:rStyle w:val="lev"/>
          <w:rFonts w:cs="Arial"/>
          <w:b w:val="0"/>
          <w:bCs w:val="0"/>
          <w:sz w:val="24"/>
          <w:szCs w:val="24"/>
        </w:rPr>
        <w:t>2022</w:t>
      </w:r>
      <w:r w:rsidRPr="00646B1D">
        <w:rPr>
          <w:rFonts w:cs="Arial"/>
          <w:sz w:val="24"/>
          <w:szCs w:val="24"/>
        </w:rPr>
        <w:t xml:space="preserve">), chaque fois </w:t>
      </w:r>
      <w:r w:rsidRPr="00646B1D">
        <w:rPr>
          <w:rStyle w:val="lev"/>
          <w:rFonts w:cs="Arial"/>
          <w:b w:val="0"/>
          <w:bCs w:val="0"/>
          <w:sz w:val="24"/>
          <w:szCs w:val="24"/>
        </w:rPr>
        <w:t>assortis de frais additionnels de 307 500 $ (2,5 % du solde)</w:t>
      </w:r>
      <w:r w:rsidRPr="00646B1D">
        <w:rPr>
          <w:rFonts w:cs="Arial"/>
          <w:sz w:val="24"/>
          <w:szCs w:val="24"/>
        </w:rPr>
        <w:t xml:space="preserve"> exigibles au renouvellement. </w:t>
      </w:r>
    </w:p>
    <w:p w14:paraId="5D494B03" w14:textId="77777777" w:rsidR="0009445D" w:rsidRPr="00646B1D" w:rsidRDefault="00730A01" w:rsidP="00443B59">
      <w:pPr>
        <w:pStyle w:val="Citationenretrait"/>
        <w:numPr>
          <w:ilvl w:val="0"/>
          <w:numId w:val="75"/>
        </w:numPr>
        <w:spacing w:before="100" w:beforeAutospacing="1" w:after="100" w:afterAutospacing="1"/>
        <w:ind w:left="567" w:right="0" w:hanging="283"/>
        <w:rPr>
          <w:rFonts w:cs="Arial"/>
          <w:b/>
          <w:bCs/>
          <w:sz w:val="24"/>
          <w:szCs w:val="24"/>
        </w:rPr>
      </w:pPr>
      <w:r w:rsidRPr="00646B1D">
        <w:rPr>
          <w:rStyle w:val="lev"/>
          <w:rFonts w:cs="Arial"/>
          <w:b w:val="0"/>
          <w:bCs w:val="0"/>
          <w:sz w:val="24"/>
          <w:szCs w:val="24"/>
        </w:rPr>
        <w:t>Des frais</w:t>
      </w:r>
      <w:r w:rsidRPr="00646B1D">
        <w:rPr>
          <w:rFonts w:cs="Arial"/>
          <w:sz w:val="24"/>
          <w:szCs w:val="24"/>
        </w:rPr>
        <w:t xml:space="preserve"> (frais de dossier par </w:t>
      </w:r>
      <w:r w:rsidRPr="00646B1D">
        <w:rPr>
          <w:rStyle w:val="lev"/>
          <w:rFonts w:cs="Arial"/>
          <w:b w:val="0"/>
          <w:bCs w:val="0"/>
          <w:sz w:val="24"/>
          <w:szCs w:val="24"/>
        </w:rPr>
        <w:t>6646</w:t>
      </w:r>
      <w:r w:rsidRPr="00646B1D">
        <w:rPr>
          <w:rFonts w:cs="Arial"/>
          <w:sz w:val="24"/>
          <w:szCs w:val="24"/>
        </w:rPr>
        <w:t xml:space="preserve"> et </w:t>
      </w:r>
      <w:r w:rsidRPr="00646B1D">
        <w:rPr>
          <w:rStyle w:val="lev"/>
          <w:rFonts w:cs="Arial"/>
          <w:b w:val="0"/>
          <w:bCs w:val="0"/>
          <w:sz w:val="24"/>
          <w:szCs w:val="24"/>
        </w:rPr>
        <w:t>frais de services financiers de 2 % par 9797</w:t>
      </w:r>
      <w:r w:rsidRPr="00646B1D">
        <w:rPr>
          <w:rFonts w:cs="Arial"/>
          <w:sz w:val="24"/>
          <w:szCs w:val="24"/>
        </w:rPr>
        <w:t xml:space="preserve">) ont aussi été facturés sur DMI3 et des fonds provenant de ces prêts ont aussi été utilisé pour </w:t>
      </w:r>
      <w:r w:rsidRPr="00646B1D">
        <w:rPr>
          <w:rStyle w:val="lev"/>
          <w:rFonts w:cs="Arial"/>
          <w:b w:val="0"/>
          <w:bCs w:val="0"/>
          <w:sz w:val="24"/>
          <w:szCs w:val="24"/>
        </w:rPr>
        <w:t>payer des frais associés à d’autres prêts</w:t>
      </w:r>
      <w:r>
        <w:rPr>
          <w:rStyle w:val="Appelnotedebasdep"/>
          <w:rFonts w:cs="Arial"/>
          <w:sz w:val="24"/>
          <w:szCs w:val="24"/>
        </w:rPr>
        <w:footnoteReference w:id="711"/>
      </w:r>
      <w:r w:rsidRPr="00646B1D">
        <w:rPr>
          <w:rFonts w:cs="Arial"/>
          <w:sz w:val="24"/>
          <w:szCs w:val="24"/>
        </w:rPr>
        <w:t xml:space="preserve">. </w:t>
      </w:r>
    </w:p>
    <w:p w14:paraId="5FCF94EB" w14:textId="77777777" w:rsidR="0009445D" w:rsidRPr="0024458E" w:rsidRDefault="00730A01" w:rsidP="00443B59">
      <w:pPr>
        <w:pStyle w:val="Paragraphedeliste"/>
        <w:numPr>
          <w:ilvl w:val="5"/>
          <w:numId w:val="142"/>
        </w:numPr>
        <w:spacing w:before="100" w:beforeAutospacing="1" w:after="100" w:afterAutospacing="1"/>
        <w:ind w:left="284" w:hanging="284"/>
        <w:rPr>
          <w:rFonts w:cs="Arial"/>
          <w:b/>
          <w:bCs/>
        </w:rPr>
      </w:pPr>
      <w:r w:rsidRPr="0024458E">
        <w:rPr>
          <w:rFonts w:cs="Arial"/>
          <w:b/>
          <w:bCs/>
        </w:rPr>
        <w:t>Les pertes lié</w:t>
      </w:r>
      <w:r>
        <w:rPr>
          <w:rFonts w:cs="Arial"/>
          <w:b/>
          <w:bCs/>
        </w:rPr>
        <w:t>e</w:t>
      </w:r>
      <w:r w:rsidRPr="0024458E">
        <w:rPr>
          <w:rFonts w:cs="Arial"/>
          <w:b/>
          <w:bCs/>
        </w:rPr>
        <w:t>s à ce projet</w:t>
      </w:r>
    </w:p>
    <w:p w14:paraId="3990EB9D" w14:textId="77777777" w:rsidR="0009445D" w:rsidRPr="00646B1D" w:rsidRDefault="00730A01" w:rsidP="00443B59">
      <w:pPr>
        <w:pStyle w:val="Citationenretrait"/>
        <w:numPr>
          <w:ilvl w:val="0"/>
          <w:numId w:val="75"/>
        </w:numPr>
        <w:spacing w:before="100" w:beforeAutospacing="1" w:after="100" w:afterAutospacing="1"/>
        <w:ind w:left="567" w:right="0" w:hanging="283"/>
        <w:rPr>
          <w:rFonts w:cs="Arial"/>
          <w:sz w:val="24"/>
          <w:szCs w:val="24"/>
        </w:rPr>
      </w:pPr>
      <w:r w:rsidRPr="00646B1D">
        <w:rPr>
          <w:rFonts w:cs="Arial"/>
          <w:sz w:val="24"/>
          <w:szCs w:val="24"/>
        </w:rPr>
        <w:t xml:space="preserve">Sur le plan financier, DMI3 aboutit à une </w:t>
      </w:r>
      <w:r w:rsidRPr="00646B1D">
        <w:rPr>
          <w:rStyle w:val="lev"/>
          <w:rFonts w:cs="Arial"/>
          <w:b w:val="0"/>
          <w:bCs w:val="0"/>
          <w:sz w:val="24"/>
          <w:szCs w:val="24"/>
        </w:rPr>
        <w:t>«</w:t>
      </w:r>
      <w:r>
        <w:rPr>
          <w:rStyle w:val="lev"/>
          <w:rFonts w:cs="Arial"/>
          <w:b w:val="0"/>
          <w:bCs w:val="0"/>
          <w:sz w:val="24"/>
          <w:szCs w:val="24"/>
        </w:rPr>
        <w:t> </w:t>
      </w:r>
      <w:r w:rsidRPr="00646B1D">
        <w:rPr>
          <w:rStyle w:val="lev"/>
          <w:rFonts w:cs="Arial"/>
          <w:b w:val="0"/>
          <w:bCs w:val="0"/>
          <w:sz w:val="24"/>
          <w:szCs w:val="24"/>
        </w:rPr>
        <w:t>perte de 0</w:t>
      </w:r>
      <w:r>
        <w:rPr>
          <w:rStyle w:val="lev"/>
          <w:rFonts w:cs="Arial"/>
          <w:b w:val="0"/>
          <w:bCs w:val="0"/>
          <w:sz w:val="24"/>
          <w:szCs w:val="24"/>
        </w:rPr>
        <w:t> </w:t>
      </w:r>
      <w:r w:rsidRPr="00646B1D">
        <w:rPr>
          <w:rStyle w:val="lev"/>
          <w:rFonts w:cs="Arial"/>
          <w:b w:val="0"/>
          <w:bCs w:val="0"/>
          <w:sz w:val="24"/>
          <w:szCs w:val="24"/>
        </w:rPr>
        <w:t>$</w:t>
      </w:r>
      <w:r>
        <w:rPr>
          <w:rStyle w:val="lev"/>
          <w:rFonts w:cs="Arial"/>
          <w:b w:val="0"/>
          <w:bCs w:val="0"/>
          <w:sz w:val="24"/>
          <w:szCs w:val="24"/>
        </w:rPr>
        <w:t> </w:t>
      </w:r>
      <w:r w:rsidRPr="00646B1D">
        <w:rPr>
          <w:rStyle w:val="lev"/>
          <w:rFonts w:cs="Arial"/>
          <w:b w:val="0"/>
          <w:bCs w:val="0"/>
          <w:sz w:val="24"/>
          <w:szCs w:val="24"/>
        </w:rPr>
        <w:t>»</w:t>
      </w:r>
      <w:r w:rsidRPr="00646B1D">
        <w:rPr>
          <w:rFonts w:cs="Arial"/>
          <w:sz w:val="24"/>
          <w:szCs w:val="24"/>
        </w:rPr>
        <w:t xml:space="preserve"> en raison d’un mécanisme de transfert/récupération lié à la </w:t>
      </w:r>
      <w:r w:rsidRPr="00646B1D">
        <w:rPr>
          <w:rStyle w:val="lev"/>
          <w:rFonts w:cs="Arial"/>
          <w:b w:val="0"/>
          <w:bCs w:val="0"/>
          <w:sz w:val="24"/>
          <w:szCs w:val="24"/>
        </w:rPr>
        <w:t>transaction MACH</w:t>
      </w:r>
      <w:r w:rsidRPr="00646B1D">
        <w:rPr>
          <w:rFonts w:cs="Arial"/>
          <w:sz w:val="24"/>
          <w:szCs w:val="24"/>
        </w:rPr>
        <w:t xml:space="preserve"> et à </w:t>
      </w:r>
      <w:r w:rsidRPr="00646B1D">
        <w:rPr>
          <w:rStyle w:val="lev"/>
          <w:rFonts w:cs="Arial"/>
          <w:b w:val="0"/>
          <w:bCs w:val="0"/>
          <w:sz w:val="24"/>
          <w:szCs w:val="24"/>
        </w:rPr>
        <w:t>FIISH</w:t>
      </w:r>
      <w:r w:rsidRPr="00646B1D">
        <w:rPr>
          <w:rFonts w:cs="Arial"/>
          <w:sz w:val="24"/>
          <w:szCs w:val="24"/>
        </w:rPr>
        <w:t>.</w:t>
      </w:r>
      <w:r w:rsidRPr="00646B1D">
        <w:rPr>
          <w:rFonts w:cs="Arial"/>
          <w:b/>
          <w:bCs/>
          <w:sz w:val="24"/>
          <w:szCs w:val="24"/>
        </w:rPr>
        <w:t xml:space="preserve"> </w:t>
      </w:r>
      <w:r w:rsidRPr="00646B1D">
        <w:rPr>
          <w:rFonts w:cs="Arial"/>
          <w:sz w:val="24"/>
          <w:szCs w:val="24"/>
        </w:rPr>
        <w:t>Seuls les intérêts au 1</w:t>
      </w:r>
      <w:r w:rsidRPr="00646B1D">
        <w:rPr>
          <w:rFonts w:cs="Arial"/>
          <w:sz w:val="24"/>
          <w:szCs w:val="24"/>
          <w:vertAlign w:val="superscript"/>
        </w:rPr>
        <w:t>er</w:t>
      </w:r>
      <w:r w:rsidR="006C5F05">
        <w:rPr>
          <w:rFonts w:cs="Arial"/>
          <w:sz w:val="24"/>
          <w:szCs w:val="24"/>
        </w:rPr>
        <w:t> </w:t>
      </w:r>
      <w:r w:rsidRPr="00646B1D">
        <w:rPr>
          <w:rFonts w:cs="Arial"/>
          <w:sz w:val="24"/>
          <w:szCs w:val="24"/>
        </w:rPr>
        <w:t>octobre, au montant de 1</w:t>
      </w:r>
      <w:r>
        <w:rPr>
          <w:rFonts w:cs="Arial"/>
          <w:sz w:val="24"/>
          <w:szCs w:val="24"/>
        </w:rPr>
        <w:t> </w:t>
      </w:r>
      <w:r w:rsidRPr="00646B1D">
        <w:rPr>
          <w:rFonts w:cs="Arial"/>
          <w:sz w:val="24"/>
          <w:szCs w:val="24"/>
        </w:rPr>
        <w:t>034</w:t>
      </w:r>
      <w:r>
        <w:rPr>
          <w:rFonts w:cs="Arial"/>
          <w:sz w:val="24"/>
          <w:szCs w:val="24"/>
        </w:rPr>
        <w:t> </w:t>
      </w:r>
      <w:r w:rsidRPr="00646B1D">
        <w:rPr>
          <w:rFonts w:cs="Arial"/>
          <w:sz w:val="24"/>
          <w:szCs w:val="24"/>
        </w:rPr>
        <w:t>583</w:t>
      </w:r>
      <w:r>
        <w:rPr>
          <w:rFonts w:cs="Arial"/>
          <w:sz w:val="24"/>
          <w:szCs w:val="24"/>
        </w:rPr>
        <w:t> </w:t>
      </w:r>
      <w:r w:rsidRPr="00646B1D">
        <w:rPr>
          <w:rFonts w:cs="Arial"/>
          <w:sz w:val="24"/>
          <w:szCs w:val="24"/>
        </w:rPr>
        <w:t>$, sont retenus quant aux pertes lié</w:t>
      </w:r>
      <w:r>
        <w:rPr>
          <w:rFonts w:cs="Arial"/>
          <w:sz w:val="24"/>
          <w:szCs w:val="24"/>
        </w:rPr>
        <w:t>e</w:t>
      </w:r>
      <w:r w:rsidRPr="00646B1D">
        <w:rPr>
          <w:rFonts w:cs="Arial"/>
          <w:sz w:val="24"/>
          <w:szCs w:val="24"/>
        </w:rPr>
        <w:t>s à ces prêts.</w:t>
      </w:r>
    </w:p>
    <w:p w14:paraId="07ABC3A0" w14:textId="77777777" w:rsidR="00190E8F" w:rsidRPr="00B521C9" w:rsidRDefault="00730A01" w:rsidP="00443B59">
      <w:pPr>
        <w:pStyle w:val="Titre2"/>
        <w:numPr>
          <w:ilvl w:val="2"/>
          <w:numId w:val="123"/>
        </w:numPr>
        <w:spacing w:after="120"/>
        <w:ind w:left="426" w:hanging="426"/>
        <w:rPr>
          <w:smallCaps/>
        </w:rPr>
      </w:pPr>
      <w:r w:rsidRPr="00B521C9">
        <w:rPr>
          <w:smallCaps/>
        </w:rPr>
        <w:t>Le prêt direct à Huot (P093)</w:t>
      </w:r>
    </w:p>
    <w:p w14:paraId="637C7F94" w14:textId="77777777" w:rsidR="00BF449D" w:rsidRPr="001A238B" w:rsidRDefault="00730A01" w:rsidP="006C5F05">
      <w:pPr>
        <w:pStyle w:val="Paragraphe"/>
        <w:numPr>
          <w:ilvl w:val="0"/>
          <w:numId w:val="0"/>
        </w:numPr>
        <w:spacing w:after="0" w:line="240" w:lineRule="auto"/>
        <w:rPr>
          <w:szCs w:val="24"/>
        </w:rPr>
      </w:pPr>
      <w:r>
        <w:t xml:space="preserve">Le </w:t>
      </w:r>
      <w:r w:rsidRPr="002F3805">
        <w:rPr>
          <w:rStyle w:val="lev"/>
          <w:b w:val="0"/>
          <w:bCs w:val="0"/>
        </w:rPr>
        <w:t>22</w:t>
      </w:r>
      <w:r w:rsidR="006C5F05">
        <w:rPr>
          <w:rStyle w:val="lev"/>
          <w:b w:val="0"/>
          <w:bCs w:val="0"/>
        </w:rPr>
        <w:t> </w:t>
      </w:r>
      <w:r w:rsidRPr="002F3805">
        <w:rPr>
          <w:rStyle w:val="lev"/>
          <w:b w:val="0"/>
          <w:bCs w:val="0"/>
        </w:rPr>
        <w:t>décembre</w:t>
      </w:r>
      <w:r w:rsidR="006C5F05">
        <w:rPr>
          <w:rStyle w:val="lev"/>
          <w:b w:val="0"/>
          <w:bCs w:val="0"/>
        </w:rPr>
        <w:t> </w:t>
      </w:r>
      <w:r w:rsidRPr="002F3805">
        <w:rPr>
          <w:rStyle w:val="lev"/>
          <w:b w:val="0"/>
          <w:bCs w:val="0"/>
        </w:rPr>
        <w:t>2022</w:t>
      </w:r>
      <w:r>
        <w:t>, Q-12, a consenti un</w:t>
      </w:r>
      <w:r w:rsidRPr="00973818">
        <w:t xml:space="preserve"> </w:t>
      </w:r>
      <w:r w:rsidRPr="00BF449D">
        <w:rPr>
          <w:rStyle w:val="lev"/>
          <w:b w:val="0"/>
          <w:bCs w:val="0"/>
        </w:rPr>
        <w:t>p</w:t>
      </w:r>
      <w:r w:rsidRPr="002F3805">
        <w:rPr>
          <w:rStyle w:val="lev"/>
          <w:b w:val="0"/>
          <w:bCs w:val="0"/>
        </w:rPr>
        <w:t>rêt</w:t>
      </w:r>
      <w:r>
        <w:t xml:space="preserve"> de 5 M$ à</w:t>
      </w:r>
      <w:r w:rsidRPr="001A238B">
        <w:t xml:space="preserve"> </w:t>
      </w:r>
      <w:r w:rsidRPr="00973818">
        <w:rPr>
          <w:rStyle w:val="lev"/>
          <w:b w:val="0"/>
          <w:bCs w:val="0"/>
        </w:rPr>
        <w:t>Huot</w:t>
      </w:r>
      <w:r>
        <w:rPr>
          <w:rStyle w:val="lev"/>
        </w:rPr>
        <w:t xml:space="preserve"> </w:t>
      </w:r>
      <w:r>
        <w:t xml:space="preserve">à un taux de 14 % l’an. Ce prêt avait notamment pour but </w:t>
      </w:r>
      <w:r w:rsidRPr="002F3805">
        <w:rPr>
          <w:rFonts w:cs="Arial"/>
          <w:szCs w:val="24"/>
          <w:lang w:eastAsia="fr-CA"/>
        </w:rPr>
        <w:t>de</w:t>
      </w:r>
      <w:r>
        <w:rPr>
          <w:rFonts w:cs="Arial"/>
          <w:szCs w:val="24"/>
          <w:lang w:eastAsia="fr-CA"/>
        </w:rPr>
        <w:t xml:space="preserve"> rembourser </w:t>
      </w:r>
      <w:r w:rsidRPr="001A238B">
        <w:rPr>
          <w:rFonts w:cs="Arial"/>
          <w:szCs w:val="24"/>
          <w:u w:val="single"/>
          <w:lang w:eastAsia="fr-CA"/>
        </w:rPr>
        <w:t>à l’avance</w:t>
      </w:r>
      <w:r>
        <w:rPr>
          <w:rFonts w:cs="Arial"/>
          <w:szCs w:val="24"/>
          <w:lang w:eastAsia="fr-CA"/>
        </w:rPr>
        <w:t xml:space="preserve"> 8096 </w:t>
      </w:r>
      <w:r w:rsidRPr="001A238B">
        <w:rPr>
          <w:rFonts w:cs="Arial"/>
          <w:szCs w:val="24"/>
          <w:lang w:eastAsia="fr-CA"/>
        </w:rPr>
        <w:t>des frais et intérêts afférents au prêt FIISH</w:t>
      </w:r>
      <w:r>
        <w:rPr>
          <w:szCs w:val="24"/>
        </w:rPr>
        <w:t xml:space="preserve"> </w:t>
      </w:r>
      <w:r w:rsidRPr="001A238B">
        <w:rPr>
          <w:rFonts w:cs="Arial"/>
          <w:szCs w:val="24"/>
          <w:lang w:eastAsia="fr-CA"/>
        </w:rPr>
        <w:t>au montant de 647</w:t>
      </w:r>
      <w:r>
        <w:rPr>
          <w:rFonts w:cs="Arial"/>
          <w:szCs w:val="24"/>
          <w:lang w:eastAsia="fr-CA"/>
        </w:rPr>
        <w:t> </w:t>
      </w:r>
      <w:r w:rsidRPr="001A238B">
        <w:rPr>
          <w:rFonts w:cs="Arial"/>
          <w:szCs w:val="24"/>
          <w:lang w:eastAsia="fr-CA"/>
        </w:rPr>
        <w:t>306</w:t>
      </w:r>
      <w:r>
        <w:rPr>
          <w:rFonts w:cs="Arial"/>
          <w:szCs w:val="24"/>
          <w:lang w:eastAsia="fr-CA"/>
        </w:rPr>
        <w:t> </w:t>
      </w:r>
      <w:r w:rsidRPr="001A238B">
        <w:rPr>
          <w:rFonts w:cs="Arial"/>
          <w:szCs w:val="24"/>
          <w:lang w:eastAsia="fr-CA"/>
        </w:rPr>
        <w:t>$</w:t>
      </w:r>
      <w:r>
        <w:rPr>
          <w:rFonts w:cs="Arial"/>
          <w:szCs w:val="24"/>
          <w:lang w:eastAsia="fr-CA"/>
        </w:rPr>
        <w:t xml:space="preserve">. Le </w:t>
      </w:r>
      <w:r w:rsidRPr="001A238B">
        <w:rPr>
          <w:szCs w:val="24"/>
        </w:rPr>
        <w:t xml:space="preserve">prêt a </w:t>
      </w:r>
      <w:r>
        <w:rPr>
          <w:szCs w:val="24"/>
        </w:rPr>
        <w:t>aussi s</w:t>
      </w:r>
      <w:r w:rsidRPr="001A238B">
        <w:rPr>
          <w:szCs w:val="24"/>
        </w:rPr>
        <w:t xml:space="preserve">ervi à </w:t>
      </w:r>
      <w:r w:rsidRPr="001A238B">
        <w:rPr>
          <w:rStyle w:val="lev"/>
          <w:b w:val="0"/>
          <w:bCs w:val="0"/>
          <w:szCs w:val="24"/>
        </w:rPr>
        <w:t>payer</w:t>
      </w:r>
      <w:r>
        <w:rPr>
          <w:rStyle w:val="lev"/>
          <w:b w:val="0"/>
          <w:bCs w:val="0"/>
          <w:szCs w:val="24"/>
        </w:rPr>
        <w:t xml:space="preserve"> d’autres</w:t>
      </w:r>
      <w:r w:rsidRPr="001A238B">
        <w:rPr>
          <w:rStyle w:val="lev"/>
          <w:b w:val="0"/>
          <w:bCs w:val="0"/>
          <w:szCs w:val="24"/>
        </w:rPr>
        <w:t xml:space="preserve"> intérêts </w:t>
      </w:r>
      <w:r>
        <w:rPr>
          <w:rStyle w:val="lev"/>
          <w:b w:val="0"/>
          <w:bCs w:val="0"/>
          <w:szCs w:val="24"/>
        </w:rPr>
        <w:t xml:space="preserve">au montant de </w:t>
      </w:r>
      <w:r w:rsidRPr="001A238B">
        <w:rPr>
          <w:szCs w:val="24"/>
        </w:rPr>
        <w:t>854</w:t>
      </w:r>
      <w:r>
        <w:rPr>
          <w:szCs w:val="24"/>
        </w:rPr>
        <w:t> </w:t>
      </w:r>
      <w:r w:rsidRPr="001A238B">
        <w:rPr>
          <w:szCs w:val="24"/>
        </w:rPr>
        <w:t>071</w:t>
      </w:r>
      <w:r>
        <w:rPr>
          <w:szCs w:val="24"/>
        </w:rPr>
        <w:t> </w:t>
      </w:r>
      <w:r w:rsidRPr="001A238B">
        <w:rPr>
          <w:szCs w:val="24"/>
        </w:rPr>
        <w:t>$</w:t>
      </w:r>
      <w:r>
        <w:rPr>
          <w:szCs w:val="24"/>
        </w:rPr>
        <w:t xml:space="preserve"> </w:t>
      </w:r>
      <w:r w:rsidR="006C5F05">
        <w:rPr>
          <w:szCs w:val="24"/>
        </w:rPr>
        <w:t>dû</w:t>
      </w:r>
      <w:r>
        <w:rPr>
          <w:rStyle w:val="lev"/>
          <w:b w:val="0"/>
          <w:bCs w:val="0"/>
          <w:szCs w:val="24"/>
        </w:rPr>
        <w:t xml:space="preserve"> par Huot à FIISH </w:t>
      </w:r>
      <w:r w:rsidRPr="001A238B">
        <w:rPr>
          <w:szCs w:val="24"/>
        </w:rPr>
        <w:t>plutôt qu’à financer un projet réel.</w:t>
      </w:r>
    </w:p>
    <w:p w14:paraId="3A374248" w14:textId="77777777" w:rsidR="00BF449D" w:rsidRDefault="00730A01" w:rsidP="006C5F05">
      <w:pPr>
        <w:autoSpaceDE w:val="0"/>
        <w:autoSpaceDN w:val="0"/>
        <w:adjustRightInd w:val="0"/>
        <w:spacing w:before="120" w:after="120"/>
        <w:jc w:val="both"/>
        <w:rPr>
          <w:rFonts w:cs="Arial"/>
          <w:sz w:val="20"/>
          <w:lang w:eastAsia="fr-CA"/>
        </w:rPr>
      </w:pPr>
      <w:r>
        <w:rPr>
          <w:rFonts w:cs="Arial"/>
          <w:szCs w:val="24"/>
          <w:lang w:eastAsia="fr-CA"/>
        </w:rPr>
        <w:t>Ainsi, à ce momen</w:t>
      </w:r>
      <w:r w:rsidR="003F0859">
        <w:rPr>
          <w:rFonts w:cs="Arial"/>
          <w:szCs w:val="24"/>
          <w:lang w:eastAsia="fr-CA"/>
        </w:rPr>
        <w:t>t,</w:t>
      </w:r>
      <w:r w:rsidRPr="002F3805">
        <w:rPr>
          <w:rFonts w:eastAsia="ArialMT"/>
        </w:rPr>
        <w:t xml:space="preserve"> alors que Giroux sait que le Groupe Huot s</w:t>
      </w:r>
      <w:r>
        <w:rPr>
          <w:rFonts w:eastAsia="ArialMT"/>
        </w:rPr>
        <w:t>’</w:t>
      </w:r>
      <w:r w:rsidRPr="002F3805">
        <w:rPr>
          <w:rFonts w:eastAsia="ArialMT"/>
        </w:rPr>
        <w:t>en va</w:t>
      </w:r>
      <w:r>
        <w:rPr>
          <w:rFonts w:ascii="ArialMT" w:eastAsia="ArialMT" w:cs="ArialMT"/>
          <w:szCs w:val="24"/>
          <w:lang w:eastAsia="fr-CA"/>
        </w:rPr>
        <w:t xml:space="preserve"> </w:t>
      </w:r>
      <w:r>
        <w:rPr>
          <w:rFonts w:cs="Arial"/>
          <w:szCs w:val="24"/>
          <w:lang w:eastAsia="fr-CA"/>
        </w:rPr>
        <w:t>« dans le mur », il en profite néanmoins pour se faire payer en avance des intérêts</w:t>
      </w:r>
      <w:r w:rsidR="003F0859">
        <w:rPr>
          <w:rFonts w:cs="Arial"/>
          <w:szCs w:val="24"/>
          <w:lang w:eastAsia="fr-CA"/>
        </w:rPr>
        <w:t xml:space="preserve"> </w:t>
      </w:r>
      <w:r>
        <w:rPr>
          <w:rFonts w:cs="Arial"/>
          <w:szCs w:val="24"/>
          <w:lang w:eastAsia="fr-CA"/>
        </w:rPr>
        <w:t>et frais pour le mois de janvier</w:t>
      </w:r>
      <w:r w:rsidR="006C5F05">
        <w:rPr>
          <w:rFonts w:cs="Arial"/>
          <w:szCs w:val="24"/>
          <w:lang w:eastAsia="fr-CA"/>
        </w:rPr>
        <w:t> </w:t>
      </w:r>
      <w:r>
        <w:rPr>
          <w:rFonts w:cs="Arial"/>
          <w:szCs w:val="24"/>
          <w:lang w:eastAsia="fr-CA"/>
        </w:rPr>
        <w:t xml:space="preserve">2023 </w:t>
      </w:r>
      <w:r w:rsidRPr="002F3805">
        <w:rPr>
          <w:rFonts w:eastAsia="ArialMT"/>
        </w:rPr>
        <w:t>avec l</w:t>
      </w:r>
      <w:r w:rsidR="003F0859">
        <w:rPr>
          <w:rFonts w:eastAsia="ArialMT"/>
        </w:rPr>
        <w:t>’</w:t>
      </w:r>
      <w:r w:rsidRPr="002F3805">
        <w:rPr>
          <w:rFonts w:eastAsia="ArialMT"/>
        </w:rPr>
        <w:t>argent</w:t>
      </w:r>
      <w:r>
        <w:rPr>
          <w:rFonts w:ascii="ArialMT" w:eastAsia="ArialMT" w:cs="ArialMT"/>
          <w:szCs w:val="24"/>
          <w:lang w:eastAsia="fr-CA"/>
        </w:rPr>
        <w:t xml:space="preserve"> </w:t>
      </w:r>
      <w:r>
        <w:rPr>
          <w:rFonts w:cs="Arial"/>
          <w:szCs w:val="24"/>
          <w:lang w:eastAsia="fr-CA"/>
        </w:rPr>
        <w:t>provenant des mises de fonds des commanditaires de Q</w:t>
      </w:r>
      <w:r w:rsidR="003F0859">
        <w:rPr>
          <w:rFonts w:cs="Arial"/>
          <w:szCs w:val="24"/>
          <w:lang w:eastAsia="fr-CA"/>
        </w:rPr>
        <w:noBreakHyphen/>
      </w:r>
      <w:r>
        <w:rPr>
          <w:rFonts w:cs="Arial"/>
          <w:szCs w:val="24"/>
          <w:lang w:eastAsia="fr-CA"/>
        </w:rPr>
        <w:t>12</w:t>
      </w:r>
      <w:r>
        <w:rPr>
          <w:rStyle w:val="Appelnotedebasdep"/>
          <w:rFonts w:cs="Arial"/>
          <w:szCs w:val="24"/>
          <w:lang w:eastAsia="fr-CA"/>
        </w:rPr>
        <w:footnoteReference w:id="712"/>
      </w:r>
      <w:r w:rsidR="006C5F05">
        <w:rPr>
          <w:rFonts w:cs="Arial"/>
          <w:szCs w:val="24"/>
          <w:lang w:eastAsia="fr-CA"/>
        </w:rPr>
        <w:t>.</w:t>
      </w:r>
    </w:p>
    <w:p w14:paraId="74F6A51C" w14:textId="77777777" w:rsidR="00BF449D" w:rsidRDefault="00730A01" w:rsidP="006C5F05">
      <w:pPr>
        <w:autoSpaceDE w:val="0"/>
        <w:autoSpaceDN w:val="0"/>
        <w:adjustRightInd w:val="0"/>
        <w:jc w:val="both"/>
        <w:rPr>
          <w:rFonts w:cs="Arial"/>
          <w:szCs w:val="24"/>
          <w:lang w:eastAsia="fr-CA"/>
        </w:rPr>
      </w:pPr>
      <w:r w:rsidRPr="00973818">
        <w:rPr>
          <w:rFonts w:cs="Arial"/>
          <w:szCs w:val="24"/>
          <w:lang w:eastAsia="fr-CA"/>
        </w:rPr>
        <w:t>Un solde de 1</w:t>
      </w:r>
      <w:r w:rsidR="003F0859">
        <w:rPr>
          <w:rFonts w:cs="Arial"/>
          <w:szCs w:val="24"/>
          <w:lang w:eastAsia="fr-CA"/>
        </w:rPr>
        <w:t>,</w:t>
      </w:r>
      <w:r w:rsidRPr="00973818">
        <w:rPr>
          <w:rFonts w:cs="Arial"/>
          <w:szCs w:val="24"/>
          <w:lang w:eastAsia="fr-CA"/>
        </w:rPr>
        <w:t>56</w:t>
      </w:r>
      <w:r w:rsidR="003F0859">
        <w:rPr>
          <w:rFonts w:cs="Arial"/>
          <w:szCs w:val="24"/>
          <w:lang w:eastAsia="fr-CA"/>
        </w:rPr>
        <w:t> </w:t>
      </w:r>
      <w:r w:rsidRPr="00973818">
        <w:rPr>
          <w:rFonts w:cs="Arial"/>
          <w:szCs w:val="24"/>
          <w:lang w:eastAsia="fr-CA"/>
        </w:rPr>
        <w:t>M$</w:t>
      </w:r>
      <w:r>
        <w:rPr>
          <w:rFonts w:cs="Arial"/>
          <w:szCs w:val="24"/>
          <w:lang w:eastAsia="fr-CA"/>
        </w:rPr>
        <w:t>, qui s’avère être une perte totale,</w:t>
      </w:r>
      <w:r w:rsidRPr="00973818">
        <w:rPr>
          <w:rFonts w:cs="Arial"/>
          <w:szCs w:val="24"/>
          <w:lang w:eastAsia="fr-CA"/>
        </w:rPr>
        <w:t xml:space="preserve"> demeure toujours dû sur ce prêt</w:t>
      </w:r>
      <w:r>
        <w:rPr>
          <w:rFonts w:cs="Arial"/>
          <w:szCs w:val="24"/>
          <w:lang w:eastAsia="fr-CA"/>
        </w:rPr>
        <w:t>.</w:t>
      </w:r>
    </w:p>
    <w:p w14:paraId="35292506" w14:textId="77777777" w:rsidR="00BF449D" w:rsidRPr="00973818" w:rsidRDefault="00730A01" w:rsidP="006C5F05">
      <w:pPr>
        <w:autoSpaceDE w:val="0"/>
        <w:autoSpaceDN w:val="0"/>
        <w:adjustRightInd w:val="0"/>
        <w:jc w:val="both"/>
        <w:rPr>
          <w:rFonts w:cs="Arial"/>
          <w:szCs w:val="24"/>
          <w:lang w:eastAsia="fr-CA"/>
        </w:rPr>
      </w:pPr>
      <w:r>
        <w:rPr>
          <w:rFonts w:cs="Arial"/>
          <w:szCs w:val="24"/>
          <w:lang w:eastAsia="fr-CA"/>
        </w:rPr>
        <w:t xml:space="preserve">Comme nous l’avons vu au chapitre </w:t>
      </w:r>
      <w:r w:rsidRPr="00973818">
        <w:rPr>
          <w:rFonts w:cs="Arial"/>
          <w:i/>
          <w:iCs/>
          <w:szCs w:val="24"/>
          <w:lang w:eastAsia="fr-CA"/>
        </w:rPr>
        <w:t>Quantification des dommages-FIISH</w:t>
      </w:r>
      <w:r>
        <w:rPr>
          <w:rStyle w:val="Appelnotedebasdep"/>
          <w:rFonts w:cs="Arial"/>
          <w:szCs w:val="24"/>
          <w:lang w:eastAsia="fr-CA"/>
        </w:rPr>
        <w:footnoteReference w:id="713"/>
      </w:r>
      <w:r>
        <w:rPr>
          <w:rFonts w:cs="Arial"/>
          <w:i/>
          <w:iCs/>
          <w:szCs w:val="24"/>
          <w:lang w:eastAsia="fr-CA"/>
        </w:rPr>
        <w:t>,</w:t>
      </w:r>
      <w:r w:rsidRPr="00973818">
        <w:rPr>
          <w:rFonts w:cs="Arial"/>
          <w:szCs w:val="24"/>
          <w:lang w:eastAsia="fr-CA"/>
        </w:rPr>
        <w:t xml:space="preserve"> l’expert Filion a </w:t>
      </w:r>
      <w:r>
        <w:rPr>
          <w:rFonts w:cs="Arial"/>
          <w:szCs w:val="24"/>
          <w:lang w:eastAsia="fr-CA"/>
        </w:rPr>
        <w:t>inclus cette perte dans le montant réclamé dans FIISH.</w:t>
      </w:r>
    </w:p>
    <w:p w14:paraId="067E28C8" w14:textId="77777777" w:rsidR="00190E8F" w:rsidRPr="00C67102" w:rsidRDefault="00730A01" w:rsidP="00C67102">
      <w:pPr>
        <w:pStyle w:val="Paragraphedeliste"/>
        <w:tabs>
          <w:tab w:val="left" w:pos="3686"/>
        </w:tabs>
        <w:spacing w:before="100" w:beforeAutospacing="1" w:after="100" w:afterAutospacing="1"/>
        <w:rPr>
          <w:rFonts w:cs="Arial"/>
          <w:szCs w:val="24"/>
          <w:lang w:eastAsia="fr-CA"/>
        </w:rPr>
      </w:pPr>
      <w:r>
        <w:rPr>
          <w:rFonts w:cs="Arial"/>
          <w:szCs w:val="24"/>
          <w:lang w:eastAsia="fr-CA"/>
        </w:rPr>
        <w:tab/>
        <w:t>* * *</w:t>
      </w:r>
    </w:p>
    <w:p w14:paraId="30EF2CB7" w14:textId="77777777" w:rsidR="00EE647D" w:rsidRDefault="00EE647D" w:rsidP="00EE647D">
      <w:pPr>
        <w:rPr>
          <w:rFonts w:cs="Arial"/>
          <w:b/>
          <w:bCs/>
          <w:sz w:val="48"/>
          <w:szCs w:val="48"/>
          <w:lang w:eastAsia="fr-CA"/>
        </w:rPr>
      </w:pPr>
    </w:p>
    <w:p w14:paraId="62933AD3" w14:textId="77777777" w:rsidR="00EE647D" w:rsidRDefault="00EE647D" w:rsidP="00EE647D">
      <w:pPr>
        <w:jc w:val="center"/>
        <w:rPr>
          <w:rFonts w:cs="Arial"/>
          <w:b/>
          <w:bCs/>
          <w:sz w:val="48"/>
          <w:szCs w:val="48"/>
          <w:lang w:eastAsia="fr-CA"/>
        </w:rPr>
      </w:pPr>
    </w:p>
    <w:p w14:paraId="4544A265" w14:textId="77777777" w:rsidR="00EE647D" w:rsidRDefault="00EE647D" w:rsidP="00EE647D">
      <w:pPr>
        <w:jc w:val="center"/>
        <w:rPr>
          <w:rFonts w:cs="Arial"/>
          <w:b/>
          <w:bCs/>
          <w:sz w:val="48"/>
          <w:szCs w:val="48"/>
          <w:lang w:eastAsia="fr-CA"/>
        </w:rPr>
      </w:pPr>
    </w:p>
    <w:p w14:paraId="7516CC30" w14:textId="77777777" w:rsidR="00EE647D" w:rsidRDefault="00EE647D" w:rsidP="00EE647D">
      <w:pPr>
        <w:jc w:val="center"/>
        <w:rPr>
          <w:rFonts w:cs="Arial"/>
          <w:b/>
          <w:bCs/>
          <w:sz w:val="48"/>
          <w:szCs w:val="48"/>
          <w:lang w:eastAsia="fr-CA"/>
        </w:rPr>
      </w:pPr>
    </w:p>
    <w:p w14:paraId="06A442EE" w14:textId="77777777" w:rsidR="00EE647D" w:rsidRDefault="00EE647D" w:rsidP="00EE647D">
      <w:pPr>
        <w:jc w:val="center"/>
        <w:rPr>
          <w:rFonts w:cs="Arial"/>
          <w:b/>
          <w:bCs/>
          <w:sz w:val="48"/>
          <w:szCs w:val="48"/>
          <w:lang w:eastAsia="fr-CA"/>
        </w:rPr>
      </w:pPr>
    </w:p>
    <w:p w14:paraId="66A850BE" w14:textId="77777777" w:rsidR="00EE647D" w:rsidRDefault="00EE647D" w:rsidP="00EE647D">
      <w:pPr>
        <w:jc w:val="center"/>
        <w:rPr>
          <w:rFonts w:cs="Arial"/>
          <w:b/>
          <w:bCs/>
          <w:sz w:val="48"/>
          <w:szCs w:val="48"/>
          <w:lang w:eastAsia="fr-CA"/>
        </w:rPr>
      </w:pPr>
    </w:p>
    <w:p w14:paraId="622E7046" w14:textId="77777777" w:rsidR="00EE647D" w:rsidRDefault="00EE647D" w:rsidP="00EE647D">
      <w:pPr>
        <w:jc w:val="center"/>
        <w:rPr>
          <w:rFonts w:cs="Arial"/>
          <w:b/>
          <w:bCs/>
          <w:sz w:val="48"/>
          <w:szCs w:val="48"/>
          <w:lang w:eastAsia="fr-CA"/>
        </w:rPr>
      </w:pPr>
    </w:p>
    <w:p w14:paraId="2A9612CF" w14:textId="77777777" w:rsidR="00EE647D" w:rsidRDefault="00EE647D" w:rsidP="00EE647D">
      <w:pPr>
        <w:jc w:val="center"/>
        <w:rPr>
          <w:rFonts w:cs="Arial"/>
          <w:b/>
          <w:bCs/>
          <w:sz w:val="48"/>
          <w:szCs w:val="48"/>
          <w:lang w:eastAsia="fr-CA"/>
        </w:rPr>
      </w:pPr>
    </w:p>
    <w:p w14:paraId="5A5C5FD2" w14:textId="77777777" w:rsidR="00EE647D" w:rsidRDefault="00EE647D" w:rsidP="00EE647D">
      <w:pPr>
        <w:jc w:val="center"/>
        <w:rPr>
          <w:rFonts w:cs="Arial"/>
          <w:b/>
          <w:bCs/>
          <w:sz w:val="48"/>
          <w:szCs w:val="48"/>
          <w:lang w:eastAsia="fr-CA"/>
        </w:rPr>
      </w:pPr>
    </w:p>
    <w:p w14:paraId="24D4E637" w14:textId="77777777" w:rsidR="00EE647D" w:rsidRDefault="00730A01" w:rsidP="00EE647D">
      <w:pPr>
        <w:jc w:val="center"/>
        <w:rPr>
          <w:rFonts w:cs="Arial"/>
          <w:b/>
          <w:bCs/>
          <w:sz w:val="48"/>
          <w:szCs w:val="48"/>
          <w:lang w:eastAsia="fr-CA"/>
        </w:rPr>
      </w:pPr>
      <w:r>
        <w:rPr>
          <w:rFonts w:cs="Arial"/>
          <w:b/>
          <w:bCs/>
          <w:sz w:val="48"/>
          <w:szCs w:val="48"/>
          <w:lang w:eastAsia="fr-CA"/>
        </w:rPr>
        <w:t>ANNEXE D</w:t>
      </w:r>
    </w:p>
    <w:p w14:paraId="1690872D" w14:textId="77777777" w:rsidR="00EE647D" w:rsidRDefault="00EE647D" w:rsidP="00EE647D">
      <w:pPr>
        <w:jc w:val="center"/>
        <w:rPr>
          <w:rFonts w:cs="Arial"/>
          <w:b/>
          <w:bCs/>
          <w:sz w:val="48"/>
          <w:szCs w:val="48"/>
          <w:lang w:eastAsia="fr-CA"/>
        </w:rPr>
      </w:pPr>
    </w:p>
    <w:p w14:paraId="419E8FDB" w14:textId="77777777" w:rsidR="00EE647D" w:rsidRDefault="00730A01" w:rsidP="00EE647D">
      <w:pPr>
        <w:jc w:val="center"/>
        <w:rPr>
          <w:rFonts w:cs="Arial"/>
          <w:szCs w:val="24"/>
          <w:lang w:eastAsia="fr-CA"/>
        </w:rPr>
      </w:pPr>
      <w:r>
        <w:rPr>
          <w:rFonts w:cs="Arial"/>
          <w:szCs w:val="24"/>
          <w:lang w:eastAsia="fr-CA"/>
        </w:rPr>
        <w:br w:type="page"/>
      </w:r>
    </w:p>
    <w:p w14:paraId="7B019B79" w14:textId="77777777" w:rsidR="00051BA3" w:rsidRPr="00051BA3" w:rsidRDefault="00730A01" w:rsidP="00420D97">
      <w:pPr>
        <w:pStyle w:val="Titre1"/>
        <w:jc w:val="center"/>
        <w:rPr>
          <w:szCs w:val="28"/>
          <w:lang w:eastAsia="fr-CA"/>
        </w:rPr>
      </w:pPr>
      <w:r>
        <w:rPr>
          <w:szCs w:val="28"/>
          <w:lang w:eastAsia="fr-CA"/>
        </w:rPr>
        <w:t>ANNEXE D</w:t>
      </w:r>
    </w:p>
    <w:p w14:paraId="07B665C6" w14:textId="77777777" w:rsidR="005865B9" w:rsidRPr="006C5F05" w:rsidRDefault="00730A01" w:rsidP="00C67102">
      <w:pPr>
        <w:pStyle w:val="Titre1"/>
        <w:rPr>
          <w:caps/>
          <w:sz w:val="24"/>
          <w:szCs w:val="24"/>
          <w:lang w:eastAsia="fr-CA"/>
        </w:rPr>
      </w:pPr>
      <w:r w:rsidRPr="006C5F05">
        <w:rPr>
          <w:caps/>
          <w:sz w:val="24"/>
          <w:szCs w:val="24"/>
          <w:lang w:eastAsia="fr-CA"/>
        </w:rPr>
        <w:t>Dépôt de milliers de pièces additionnelles</w:t>
      </w:r>
    </w:p>
    <w:p w14:paraId="7B6B174C" w14:textId="77777777" w:rsidR="005865B9" w:rsidRPr="00AF0318" w:rsidRDefault="005865B9" w:rsidP="0098012F">
      <w:pPr>
        <w:autoSpaceDE w:val="0"/>
        <w:autoSpaceDN w:val="0"/>
        <w:adjustRightInd w:val="0"/>
        <w:rPr>
          <w:rFonts w:cs="Arial"/>
          <w:b/>
          <w:bCs/>
          <w:szCs w:val="24"/>
          <w:lang w:eastAsia="fr-CA"/>
        </w:rPr>
      </w:pPr>
    </w:p>
    <w:p w14:paraId="5669AB8E" w14:textId="77777777" w:rsidR="005865B9" w:rsidRDefault="00730A01" w:rsidP="0098012F">
      <w:pPr>
        <w:autoSpaceDE w:val="0"/>
        <w:autoSpaceDN w:val="0"/>
        <w:adjustRightInd w:val="0"/>
        <w:jc w:val="both"/>
        <w:rPr>
          <w:rFonts w:cs="Arial"/>
          <w:szCs w:val="24"/>
          <w:lang w:eastAsia="fr-CA"/>
        </w:rPr>
      </w:pPr>
      <w:r>
        <w:rPr>
          <w:rFonts w:cs="Arial"/>
          <w:szCs w:val="24"/>
          <w:lang w:eastAsia="fr-CA"/>
        </w:rPr>
        <w:t>Alors que les Défendeurs n’ont présenté aucune demande pour déposer des pièces additionnelles subséquemment à la mise en état du dossier, ces derniers ont stratégiquement attendu la fin de la suspension de l’instance pour déposer des milliers de pièces additionnelles</w:t>
      </w:r>
      <w:r>
        <w:rPr>
          <w:rStyle w:val="Appelnotedebasdep"/>
          <w:rFonts w:cs="Arial"/>
          <w:szCs w:val="24"/>
          <w:lang w:eastAsia="fr-CA"/>
        </w:rPr>
        <w:footnoteReference w:id="714"/>
      </w:r>
      <w:r>
        <w:rPr>
          <w:rFonts w:cs="Arial"/>
          <w:szCs w:val="24"/>
          <w:lang w:eastAsia="fr-CA"/>
        </w:rPr>
        <w:t xml:space="preserve">. Rappelons que les Défendeurs avaient initialement choisi de déposer environ cinq cents (500) pièces. </w:t>
      </w:r>
    </w:p>
    <w:p w14:paraId="2EE7449F" w14:textId="77777777" w:rsidR="005865B9" w:rsidRDefault="005865B9" w:rsidP="006C5F05">
      <w:pPr>
        <w:autoSpaceDE w:val="0"/>
        <w:autoSpaceDN w:val="0"/>
        <w:adjustRightInd w:val="0"/>
        <w:ind w:left="284"/>
        <w:jc w:val="both"/>
        <w:rPr>
          <w:rFonts w:cs="Arial"/>
          <w:szCs w:val="24"/>
          <w:lang w:eastAsia="fr-CA"/>
        </w:rPr>
      </w:pPr>
    </w:p>
    <w:p w14:paraId="79406006"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a)</w:t>
      </w:r>
      <w:r w:rsidR="006C5F05">
        <w:rPr>
          <w:rFonts w:cs="Arial"/>
          <w:szCs w:val="24"/>
          <w:lang w:eastAsia="fr-CA"/>
        </w:rPr>
        <w:t> </w:t>
      </w:r>
      <w:r>
        <w:rPr>
          <w:rFonts w:cs="Arial"/>
          <w:szCs w:val="24"/>
          <w:lang w:eastAsia="fr-CA"/>
        </w:rPr>
        <w:t>Les Défendeurs ont notifié le 26</w:t>
      </w:r>
      <w:r w:rsidR="006C5F05">
        <w:rPr>
          <w:rFonts w:cs="Arial"/>
          <w:szCs w:val="24"/>
          <w:lang w:eastAsia="fr-CA"/>
        </w:rPr>
        <w:t> </w:t>
      </w:r>
      <w:r>
        <w:rPr>
          <w:rFonts w:cs="Arial"/>
          <w:szCs w:val="24"/>
          <w:lang w:eastAsia="fr-CA"/>
        </w:rPr>
        <w:t>décembre</w:t>
      </w:r>
      <w:r w:rsidR="006C5F05">
        <w:rPr>
          <w:rFonts w:cs="Arial"/>
          <w:szCs w:val="24"/>
          <w:lang w:eastAsia="fr-CA"/>
        </w:rPr>
        <w:t> </w:t>
      </w:r>
      <w:r>
        <w:rPr>
          <w:rFonts w:cs="Arial"/>
          <w:szCs w:val="24"/>
          <w:lang w:eastAsia="fr-CA"/>
        </w:rPr>
        <w:t>2024 les pièces additionnelles</w:t>
      </w:r>
      <w:r w:rsidR="006C5F05">
        <w:rPr>
          <w:rFonts w:cs="Arial"/>
          <w:szCs w:val="24"/>
          <w:lang w:eastAsia="fr-CA"/>
        </w:rPr>
        <w:t> </w:t>
      </w:r>
      <w:r>
        <w:rPr>
          <w:rFonts w:cs="Arial"/>
          <w:szCs w:val="24"/>
          <w:lang w:eastAsia="fr-CA"/>
        </w:rPr>
        <w:t>D-516 à D</w:t>
      </w:r>
      <w:r>
        <w:rPr>
          <w:rFonts w:cs="Arial"/>
          <w:szCs w:val="24"/>
          <w:lang w:eastAsia="fr-CA"/>
        </w:rPr>
        <w:noBreakHyphen/>
        <w:t>518 aux procureurs des Demandeurs alors qu’elles avaient été annoncées dès l’audition du 18</w:t>
      </w:r>
      <w:r w:rsidR="006C5F05">
        <w:rPr>
          <w:rFonts w:cs="Arial"/>
          <w:szCs w:val="24"/>
          <w:lang w:eastAsia="fr-CA"/>
        </w:rPr>
        <w:t> </w:t>
      </w:r>
      <w:r>
        <w:rPr>
          <w:rFonts w:cs="Arial"/>
          <w:szCs w:val="24"/>
          <w:lang w:eastAsia="fr-CA"/>
        </w:rPr>
        <w:t>juin</w:t>
      </w:r>
      <w:r w:rsidR="006C5F05">
        <w:rPr>
          <w:rFonts w:cs="Arial"/>
          <w:szCs w:val="24"/>
          <w:lang w:eastAsia="fr-CA"/>
        </w:rPr>
        <w:t> </w:t>
      </w:r>
      <w:r>
        <w:rPr>
          <w:rFonts w:cs="Arial"/>
          <w:szCs w:val="24"/>
          <w:lang w:eastAsia="fr-CA"/>
        </w:rPr>
        <w:t>2024;</w:t>
      </w:r>
    </w:p>
    <w:p w14:paraId="35B0C555" w14:textId="77777777" w:rsidR="005865B9" w:rsidRDefault="005865B9" w:rsidP="006C5F05">
      <w:pPr>
        <w:autoSpaceDE w:val="0"/>
        <w:autoSpaceDN w:val="0"/>
        <w:adjustRightInd w:val="0"/>
        <w:ind w:left="284"/>
        <w:jc w:val="both"/>
        <w:rPr>
          <w:rFonts w:cs="Arial"/>
          <w:szCs w:val="24"/>
          <w:lang w:eastAsia="fr-CA"/>
        </w:rPr>
      </w:pPr>
    </w:p>
    <w:p w14:paraId="598F3128"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b)</w:t>
      </w:r>
      <w:r w:rsidR="006C5F05">
        <w:rPr>
          <w:rFonts w:cs="Arial"/>
          <w:szCs w:val="24"/>
          <w:lang w:eastAsia="fr-CA"/>
        </w:rPr>
        <w:t> </w:t>
      </w:r>
      <w:r>
        <w:rPr>
          <w:rFonts w:cs="Arial"/>
          <w:szCs w:val="24"/>
          <w:lang w:eastAsia="fr-CA"/>
        </w:rPr>
        <w:t>Le 30</w:t>
      </w:r>
      <w:r w:rsidR="006C5F05">
        <w:rPr>
          <w:rFonts w:cs="Arial"/>
          <w:szCs w:val="24"/>
          <w:lang w:eastAsia="fr-CA"/>
        </w:rPr>
        <w:t> </w:t>
      </w:r>
      <w:r>
        <w:rPr>
          <w:rFonts w:cs="Arial"/>
          <w:szCs w:val="24"/>
          <w:lang w:eastAsia="fr-CA"/>
        </w:rPr>
        <w:t>décembre</w:t>
      </w:r>
      <w:r w:rsidR="006C5F05">
        <w:rPr>
          <w:rFonts w:cs="Arial"/>
          <w:szCs w:val="24"/>
          <w:lang w:eastAsia="fr-CA"/>
        </w:rPr>
        <w:t> </w:t>
      </w:r>
      <w:r>
        <w:rPr>
          <w:rFonts w:cs="Arial"/>
          <w:szCs w:val="24"/>
          <w:lang w:eastAsia="fr-CA"/>
        </w:rPr>
        <w:t>2024, les Défendeurs ont notifié aux procureurs des Demandeurs seize pièces additionnelles, soit les pièces</w:t>
      </w:r>
      <w:r w:rsidR="006C5F05">
        <w:rPr>
          <w:rFonts w:cs="Arial"/>
          <w:szCs w:val="24"/>
          <w:lang w:eastAsia="fr-CA"/>
        </w:rPr>
        <w:t xml:space="preserve"> </w:t>
      </w:r>
      <w:r>
        <w:rPr>
          <w:rFonts w:cs="Arial"/>
          <w:szCs w:val="24"/>
          <w:lang w:eastAsia="fr-CA"/>
        </w:rPr>
        <w:t>D-519 à D-535, représentant 2</w:t>
      </w:r>
      <w:r w:rsidR="006C5F05">
        <w:rPr>
          <w:rFonts w:cs="Arial"/>
          <w:szCs w:val="24"/>
          <w:lang w:eastAsia="fr-CA"/>
        </w:rPr>
        <w:t> </w:t>
      </w:r>
      <w:r>
        <w:rPr>
          <w:rFonts w:cs="Arial"/>
          <w:szCs w:val="24"/>
          <w:lang w:eastAsia="fr-CA"/>
        </w:rPr>
        <w:t>021</w:t>
      </w:r>
      <w:r w:rsidR="006C5F05">
        <w:rPr>
          <w:rFonts w:cs="Arial"/>
          <w:szCs w:val="24"/>
          <w:lang w:eastAsia="fr-CA"/>
        </w:rPr>
        <w:t> </w:t>
      </w:r>
      <w:r>
        <w:rPr>
          <w:rFonts w:cs="Arial"/>
          <w:szCs w:val="24"/>
          <w:lang w:eastAsia="fr-CA"/>
        </w:rPr>
        <w:t>pages, tel qu’il appert de l’</w:t>
      </w:r>
      <w:r>
        <w:rPr>
          <w:rFonts w:cs="Arial"/>
          <w:i/>
          <w:iCs/>
          <w:szCs w:val="24"/>
          <w:lang w:eastAsia="fr-CA"/>
        </w:rPr>
        <w:t xml:space="preserve">Avis de communication de pièces additionnelles et mise en demeure de reconnaître l’origine de preuve et l’intégrité de l’information qu’ils portent, </w:t>
      </w:r>
      <w:r>
        <w:rPr>
          <w:rFonts w:cs="Arial"/>
          <w:szCs w:val="24"/>
          <w:lang w:eastAsia="fr-CA"/>
        </w:rPr>
        <w:t>daté du 30 décembre</w:t>
      </w:r>
      <w:r w:rsidR="006C5F05">
        <w:rPr>
          <w:rFonts w:cs="Arial"/>
          <w:szCs w:val="24"/>
          <w:lang w:eastAsia="fr-CA"/>
        </w:rPr>
        <w:t> </w:t>
      </w:r>
      <w:r>
        <w:rPr>
          <w:rFonts w:cs="Arial"/>
          <w:szCs w:val="24"/>
          <w:lang w:eastAsia="fr-CA"/>
        </w:rPr>
        <w:t>2024;</w:t>
      </w:r>
    </w:p>
    <w:p w14:paraId="655DBF38" w14:textId="77777777" w:rsidR="005865B9" w:rsidRDefault="005865B9" w:rsidP="006C5F05">
      <w:pPr>
        <w:autoSpaceDE w:val="0"/>
        <w:autoSpaceDN w:val="0"/>
        <w:adjustRightInd w:val="0"/>
        <w:ind w:left="284"/>
        <w:jc w:val="both"/>
        <w:rPr>
          <w:rFonts w:cs="Arial"/>
          <w:szCs w:val="24"/>
          <w:lang w:eastAsia="fr-CA"/>
        </w:rPr>
      </w:pPr>
    </w:p>
    <w:p w14:paraId="587DB291"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c)</w:t>
      </w:r>
      <w:r w:rsidR="006C5F05">
        <w:rPr>
          <w:rFonts w:cs="Arial"/>
          <w:szCs w:val="24"/>
          <w:lang w:eastAsia="fr-CA"/>
        </w:rPr>
        <w:t> </w:t>
      </w:r>
      <w:r>
        <w:rPr>
          <w:rFonts w:cs="Arial"/>
          <w:szCs w:val="24"/>
          <w:lang w:eastAsia="fr-CA"/>
        </w:rPr>
        <w:t>Le 10</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 les Défendeurs ont notifié aux procureurs des Demandeurs trente-neuf pièces additionnelles, soit les pièces D-533 à D-533.39, représentant 665</w:t>
      </w:r>
      <w:r w:rsidR="006C5F05">
        <w:rPr>
          <w:rFonts w:cs="Arial"/>
          <w:szCs w:val="24"/>
          <w:lang w:eastAsia="fr-CA"/>
        </w:rPr>
        <w:t> </w:t>
      </w:r>
      <w:r>
        <w:rPr>
          <w:rFonts w:cs="Arial"/>
          <w:szCs w:val="24"/>
          <w:lang w:eastAsia="fr-CA"/>
        </w:rPr>
        <w:t>pages, tel qu’il appert de l’</w:t>
      </w:r>
      <w:r>
        <w:rPr>
          <w:rFonts w:cs="Arial"/>
          <w:i/>
          <w:iCs/>
          <w:szCs w:val="24"/>
          <w:lang w:eastAsia="fr-CA"/>
        </w:rPr>
        <w:t xml:space="preserve">Avis de communication de pièces additionnelles et mise en demeure de reconnaître l’origine de preuve et l’intégrité de l’information qu’ils portent, </w:t>
      </w:r>
      <w:r>
        <w:rPr>
          <w:rFonts w:cs="Arial"/>
          <w:szCs w:val="24"/>
          <w:lang w:eastAsia="fr-CA"/>
        </w:rPr>
        <w:t>daté du 10 janvier</w:t>
      </w:r>
      <w:r w:rsidR="006C5F05">
        <w:rPr>
          <w:rFonts w:cs="Arial"/>
          <w:szCs w:val="24"/>
          <w:lang w:eastAsia="fr-CA"/>
        </w:rPr>
        <w:t> </w:t>
      </w:r>
      <w:r>
        <w:rPr>
          <w:rFonts w:cs="Arial"/>
          <w:szCs w:val="24"/>
          <w:lang w:eastAsia="fr-CA"/>
        </w:rPr>
        <w:t>2025;</w:t>
      </w:r>
    </w:p>
    <w:p w14:paraId="69383BBE" w14:textId="77777777" w:rsidR="005865B9" w:rsidRDefault="005865B9" w:rsidP="006C5F05">
      <w:pPr>
        <w:autoSpaceDE w:val="0"/>
        <w:autoSpaceDN w:val="0"/>
        <w:adjustRightInd w:val="0"/>
        <w:ind w:left="284"/>
        <w:jc w:val="both"/>
        <w:rPr>
          <w:rFonts w:cs="Arial"/>
          <w:szCs w:val="24"/>
          <w:lang w:eastAsia="fr-CA"/>
        </w:rPr>
      </w:pPr>
    </w:p>
    <w:p w14:paraId="2D58C469"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d)</w:t>
      </w:r>
      <w:r w:rsidR="006C5F05">
        <w:rPr>
          <w:rFonts w:cs="Arial"/>
          <w:szCs w:val="24"/>
          <w:lang w:eastAsia="fr-CA"/>
        </w:rPr>
        <w:t> </w:t>
      </w:r>
      <w:r>
        <w:rPr>
          <w:rFonts w:cs="Arial"/>
          <w:szCs w:val="24"/>
          <w:lang w:eastAsia="fr-CA"/>
        </w:rPr>
        <w:t>Le 13</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 les Défendeurs ont notifié aux procureurs des Demandeurs cent soixante-trois (163) pièces additionnelles, soit les pièces D-536 à D-536.85 et D-537 à D</w:t>
      </w:r>
      <w:r>
        <w:rPr>
          <w:rFonts w:cs="Arial"/>
          <w:szCs w:val="24"/>
          <w:lang w:eastAsia="fr-CA"/>
        </w:rPr>
        <w:noBreakHyphen/>
        <w:t>537.78, représentant 5</w:t>
      </w:r>
      <w:r w:rsidR="006C5F05">
        <w:rPr>
          <w:rFonts w:cs="Arial"/>
          <w:szCs w:val="24"/>
          <w:lang w:eastAsia="fr-CA"/>
        </w:rPr>
        <w:t> </w:t>
      </w:r>
      <w:r>
        <w:rPr>
          <w:rFonts w:cs="Arial"/>
          <w:szCs w:val="24"/>
          <w:lang w:eastAsia="fr-CA"/>
        </w:rPr>
        <w:t>853</w:t>
      </w:r>
      <w:r w:rsidR="006C5F05">
        <w:rPr>
          <w:rFonts w:cs="Arial"/>
          <w:szCs w:val="24"/>
          <w:lang w:eastAsia="fr-CA"/>
        </w:rPr>
        <w:t> </w:t>
      </w:r>
      <w:r>
        <w:rPr>
          <w:rFonts w:cs="Arial"/>
          <w:szCs w:val="24"/>
          <w:lang w:eastAsia="fr-CA"/>
        </w:rPr>
        <w:t>pages, tel qu’il appert de l’</w:t>
      </w:r>
      <w:r>
        <w:rPr>
          <w:rFonts w:cs="Arial"/>
          <w:i/>
          <w:iCs/>
          <w:szCs w:val="24"/>
          <w:lang w:eastAsia="fr-CA"/>
        </w:rPr>
        <w:t>Avis de communication de pièces additionnelles et mise en</w:t>
      </w:r>
      <w:r w:rsidR="0065168C">
        <w:rPr>
          <w:rFonts w:cs="Arial"/>
          <w:i/>
          <w:iCs/>
          <w:szCs w:val="24"/>
          <w:lang w:eastAsia="fr-CA"/>
        </w:rPr>
        <w:t xml:space="preserve"> </w:t>
      </w:r>
      <w:r>
        <w:rPr>
          <w:rFonts w:cs="Arial"/>
          <w:i/>
          <w:iCs/>
          <w:szCs w:val="24"/>
          <w:lang w:eastAsia="fr-CA"/>
        </w:rPr>
        <w:t>demeure de reconnaître l’origine d’éléments de preuve et de l’intégrité de</w:t>
      </w:r>
      <w:r w:rsidR="0065168C">
        <w:rPr>
          <w:rFonts w:cs="Arial"/>
          <w:i/>
          <w:iCs/>
          <w:szCs w:val="24"/>
          <w:lang w:eastAsia="fr-CA"/>
        </w:rPr>
        <w:t xml:space="preserve"> </w:t>
      </w:r>
      <w:r>
        <w:rPr>
          <w:rFonts w:cs="Arial"/>
          <w:i/>
          <w:iCs/>
          <w:szCs w:val="24"/>
          <w:lang w:eastAsia="fr-CA"/>
        </w:rPr>
        <w:t xml:space="preserve">l’information qu’ils portent </w:t>
      </w:r>
      <w:r>
        <w:rPr>
          <w:rFonts w:cs="Arial"/>
          <w:szCs w:val="24"/>
          <w:lang w:eastAsia="fr-CA"/>
        </w:rPr>
        <w:t>daté du 13</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w:t>
      </w:r>
    </w:p>
    <w:p w14:paraId="4173C88F" w14:textId="77777777" w:rsidR="005865B9" w:rsidRDefault="005865B9" w:rsidP="006C5F05">
      <w:pPr>
        <w:autoSpaceDE w:val="0"/>
        <w:autoSpaceDN w:val="0"/>
        <w:adjustRightInd w:val="0"/>
        <w:ind w:left="284"/>
        <w:jc w:val="both"/>
        <w:rPr>
          <w:rFonts w:cs="Arial"/>
          <w:szCs w:val="24"/>
          <w:lang w:eastAsia="fr-CA"/>
        </w:rPr>
      </w:pPr>
    </w:p>
    <w:p w14:paraId="11E1FCAE"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e)</w:t>
      </w:r>
      <w:r w:rsidR="006C5F05">
        <w:rPr>
          <w:rFonts w:cs="Arial"/>
          <w:szCs w:val="24"/>
          <w:lang w:eastAsia="fr-CA"/>
        </w:rPr>
        <w:t> </w:t>
      </w:r>
      <w:r>
        <w:rPr>
          <w:rFonts w:cs="Arial"/>
          <w:szCs w:val="24"/>
          <w:lang w:eastAsia="fr-CA"/>
        </w:rPr>
        <w:t>Le 14</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 les Défendeurs ont notifié aux procureurs des Demandeurs les pièces additionnelles D-538 à D-543, représentant 9</w:t>
      </w:r>
      <w:r w:rsidR="006C5F05">
        <w:rPr>
          <w:rFonts w:cs="Arial"/>
          <w:szCs w:val="24"/>
          <w:lang w:eastAsia="fr-CA"/>
        </w:rPr>
        <w:t> </w:t>
      </w:r>
      <w:r>
        <w:rPr>
          <w:rFonts w:cs="Arial"/>
          <w:szCs w:val="24"/>
          <w:lang w:eastAsia="fr-CA"/>
        </w:rPr>
        <w:t>024</w:t>
      </w:r>
      <w:r w:rsidR="006C5F05">
        <w:rPr>
          <w:rFonts w:cs="Arial"/>
          <w:szCs w:val="24"/>
          <w:lang w:eastAsia="fr-CA"/>
        </w:rPr>
        <w:t> </w:t>
      </w:r>
      <w:r>
        <w:rPr>
          <w:rFonts w:cs="Arial"/>
          <w:szCs w:val="24"/>
          <w:lang w:eastAsia="fr-CA"/>
        </w:rPr>
        <w:t>pages, tel qu’il appert de l’</w:t>
      </w:r>
      <w:r>
        <w:rPr>
          <w:rFonts w:cs="Arial"/>
          <w:i/>
          <w:iCs/>
          <w:szCs w:val="24"/>
          <w:lang w:eastAsia="fr-CA"/>
        </w:rPr>
        <w:t xml:space="preserve">Avis de communication de pièces additionnelles et mise en demeure de reconnaître l’origine d’éléments de preuve et de l’intégrité de l’information qu’ils portent, </w:t>
      </w:r>
      <w:r>
        <w:rPr>
          <w:rFonts w:cs="Arial"/>
          <w:szCs w:val="24"/>
          <w:lang w:eastAsia="fr-CA"/>
        </w:rPr>
        <w:t>daté du 14</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w:t>
      </w:r>
    </w:p>
    <w:p w14:paraId="25A753D0" w14:textId="77777777" w:rsidR="005865B9" w:rsidRDefault="005865B9" w:rsidP="006C5F05">
      <w:pPr>
        <w:autoSpaceDE w:val="0"/>
        <w:autoSpaceDN w:val="0"/>
        <w:adjustRightInd w:val="0"/>
        <w:ind w:left="284"/>
        <w:jc w:val="both"/>
        <w:rPr>
          <w:rFonts w:cs="Arial"/>
          <w:szCs w:val="24"/>
          <w:lang w:eastAsia="fr-CA"/>
        </w:rPr>
      </w:pPr>
    </w:p>
    <w:p w14:paraId="1F4719AC"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f)</w:t>
      </w:r>
      <w:r w:rsidR="006C5F05">
        <w:rPr>
          <w:rFonts w:cs="Arial"/>
          <w:szCs w:val="24"/>
          <w:lang w:eastAsia="fr-CA"/>
        </w:rPr>
        <w:t> </w:t>
      </w:r>
      <w:r>
        <w:rPr>
          <w:rFonts w:cs="Arial"/>
          <w:szCs w:val="24"/>
          <w:lang w:eastAsia="fr-CA"/>
        </w:rPr>
        <w:t>Le 16</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 les Défendeurs ont notifié aux procureurs des Demandeurs les pièces additionnelles D-539 à D-539.93, D-544 à D-544.272 et D-545 à D-545.59, représentant plus de 10</w:t>
      </w:r>
      <w:r w:rsidR="006C5F05">
        <w:rPr>
          <w:rFonts w:cs="Arial"/>
          <w:szCs w:val="24"/>
          <w:lang w:eastAsia="fr-CA"/>
        </w:rPr>
        <w:t> </w:t>
      </w:r>
      <w:r>
        <w:rPr>
          <w:rFonts w:cs="Arial"/>
          <w:szCs w:val="24"/>
          <w:lang w:eastAsia="fr-CA"/>
        </w:rPr>
        <w:t>000</w:t>
      </w:r>
      <w:r w:rsidR="006C5F05">
        <w:rPr>
          <w:rFonts w:cs="Arial"/>
          <w:szCs w:val="24"/>
          <w:lang w:eastAsia="fr-CA"/>
        </w:rPr>
        <w:t> </w:t>
      </w:r>
      <w:r>
        <w:rPr>
          <w:rFonts w:cs="Arial"/>
          <w:szCs w:val="24"/>
          <w:lang w:eastAsia="fr-CA"/>
        </w:rPr>
        <w:t>pages, tel qu’il appert de l’</w:t>
      </w:r>
      <w:r>
        <w:rPr>
          <w:rFonts w:cs="Arial"/>
          <w:i/>
          <w:iCs/>
          <w:szCs w:val="24"/>
          <w:lang w:eastAsia="fr-CA"/>
        </w:rPr>
        <w:t xml:space="preserve">Avis de communication de pièces additionnelles et mise en demeure de reconnaître l’origine d’éléments de preuve et de l’intégrité de l’information qu’ils portent, </w:t>
      </w:r>
      <w:r>
        <w:rPr>
          <w:rFonts w:cs="Arial"/>
          <w:szCs w:val="24"/>
          <w:lang w:eastAsia="fr-CA"/>
        </w:rPr>
        <w:t>daté 16</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w:t>
      </w:r>
    </w:p>
    <w:p w14:paraId="05B09D6D" w14:textId="77777777" w:rsidR="005865B9" w:rsidRDefault="005865B9" w:rsidP="006C5F05">
      <w:pPr>
        <w:autoSpaceDE w:val="0"/>
        <w:autoSpaceDN w:val="0"/>
        <w:adjustRightInd w:val="0"/>
        <w:ind w:left="284"/>
        <w:jc w:val="both"/>
        <w:rPr>
          <w:rFonts w:cs="Arial"/>
          <w:szCs w:val="24"/>
          <w:lang w:eastAsia="fr-CA"/>
        </w:rPr>
      </w:pPr>
    </w:p>
    <w:p w14:paraId="63940C14"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g)</w:t>
      </w:r>
      <w:r w:rsidR="006C5F05">
        <w:rPr>
          <w:rFonts w:cs="Arial"/>
          <w:szCs w:val="24"/>
          <w:lang w:eastAsia="fr-CA"/>
        </w:rPr>
        <w:t> </w:t>
      </w:r>
      <w:r>
        <w:rPr>
          <w:rFonts w:cs="Arial"/>
          <w:szCs w:val="24"/>
          <w:lang w:eastAsia="fr-CA"/>
        </w:rPr>
        <w:t>Le 18</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 les Défendeurs ont notifié aux procureurs des Demandeurs les pièces additionnelles D-643 à D-672, représentant 7</w:t>
      </w:r>
      <w:r w:rsidR="006C5F05">
        <w:rPr>
          <w:rFonts w:cs="Arial"/>
          <w:szCs w:val="24"/>
          <w:lang w:eastAsia="fr-CA"/>
        </w:rPr>
        <w:t> </w:t>
      </w:r>
      <w:r>
        <w:rPr>
          <w:rFonts w:cs="Arial"/>
          <w:szCs w:val="24"/>
          <w:lang w:eastAsia="fr-CA"/>
        </w:rPr>
        <w:t>150</w:t>
      </w:r>
      <w:r w:rsidR="006C5F05">
        <w:rPr>
          <w:rFonts w:cs="Arial"/>
          <w:szCs w:val="24"/>
          <w:lang w:eastAsia="fr-CA"/>
        </w:rPr>
        <w:t> </w:t>
      </w:r>
      <w:r>
        <w:rPr>
          <w:rFonts w:cs="Arial"/>
          <w:szCs w:val="24"/>
          <w:lang w:eastAsia="fr-CA"/>
        </w:rPr>
        <w:t>pages, tel qu’il appert de l’</w:t>
      </w:r>
      <w:r>
        <w:rPr>
          <w:rFonts w:cs="Arial"/>
          <w:i/>
          <w:iCs/>
          <w:szCs w:val="24"/>
          <w:lang w:eastAsia="fr-CA"/>
        </w:rPr>
        <w:t xml:space="preserve">Avis de communication de pièces additionnelles et mise en demeure de reconnaître l’origine d’éléments de preuve et de l’intégrité de l’information qu’ils portent, </w:t>
      </w:r>
      <w:r>
        <w:rPr>
          <w:rFonts w:cs="Arial"/>
          <w:szCs w:val="24"/>
          <w:lang w:eastAsia="fr-CA"/>
        </w:rPr>
        <w:t>daté 16</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w:t>
      </w:r>
    </w:p>
    <w:p w14:paraId="41A03EEC" w14:textId="77777777" w:rsidR="005865B9" w:rsidRDefault="005865B9" w:rsidP="006C5F05">
      <w:pPr>
        <w:autoSpaceDE w:val="0"/>
        <w:autoSpaceDN w:val="0"/>
        <w:adjustRightInd w:val="0"/>
        <w:ind w:left="284"/>
        <w:jc w:val="both"/>
        <w:rPr>
          <w:rFonts w:cs="Arial"/>
          <w:szCs w:val="24"/>
          <w:lang w:eastAsia="fr-CA"/>
        </w:rPr>
      </w:pPr>
    </w:p>
    <w:p w14:paraId="3B9AAD8A"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h)</w:t>
      </w:r>
      <w:r w:rsidR="006C5F05">
        <w:rPr>
          <w:rFonts w:cs="Arial"/>
          <w:szCs w:val="24"/>
          <w:lang w:eastAsia="fr-CA"/>
        </w:rPr>
        <w:t> </w:t>
      </w:r>
      <w:r>
        <w:rPr>
          <w:rFonts w:cs="Arial"/>
          <w:szCs w:val="24"/>
          <w:lang w:eastAsia="fr-CA"/>
        </w:rPr>
        <w:t>Le 19</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 les Défendeurs ont notifié aux procureurs des Demandeurs les pièces additionnelles</w:t>
      </w:r>
      <w:r w:rsidR="00E54CF8">
        <w:rPr>
          <w:rFonts w:cs="Arial"/>
          <w:szCs w:val="24"/>
          <w:lang w:eastAsia="fr-CA"/>
        </w:rPr>
        <w:t> </w:t>
      </w:r>
      <w:r>
        <w:rPr>
          <w:rFonts w:cs="Arial"/>
          <w:szCs w:val="24"/>
          <w:lang w:eastAsia="fr-CA"/>
        </w:rPr>
        <w:t>D-27.01, D-602 à D-637, représentant plus de 3</w:t>
      </w:r>
      <w:r w:rsidR="006C5F05">
        <w:rPr>
          <w:rFonts w:cs="Arial"/>
          <w:szCs w:val="24"/>
          <w:lang w:eastAsia="fr-CA"/>
        </w:rPr>
        <w:t> </w:t>
      </w:r>
      <w:r>
        <w:rPr>
          <w:rFonts w:cs="Arial"/>
          <w:szCs w:val="24"/>
          <w:lang w:eastAsia="fr-CA"/>
        </w:rPr>
        <w:t>380</w:t>
      </w:r>
      <w:r w:rsidR="006C5F05">
        <w:rPr>
          <w:rFonts w:cs="Arial"/>
          <w:szCs w:val="24"/>
          <w:lang w:eastAsia="fr-CA"/>
        </w:rPr>
        <w:t> </w:t>
      </w:r>
      <w:r>
        <w:rPr>
          <w:rFonts w:cs="Arial"/>
          <w:szCs w:val="24"/>
          <w:lang w:eastAsia="fr-CA"/>
        </w:rPr>
        <w:t>pages, tel qu’il appert de l’</w:t>
      </w:r>
      <w:r>
        <w:rPr>
          <w:rFonts w:cs="Arial"/>
          <w:i/>
          <w:iCs/>
          <w:szCs w:val="24"/>
          <w:lang w:eastAsia="fr-CA"/>
        </w:rPr>
        <w:t>Avis de communication de pièces additionnelles et mise en demeure de reconnaître l’origine d’éléments de preuve et de l’intégrité de l’information qu’ils portent,</w:t>
      </w:r>
      <w:r w:rsidR="006C5F05">
        <w:rPr>
          <w:rFonts w:cs="Arial"/>
          <w:i/>
          <w:iCs/>
          <w:szCs w:val="24"/>
          <w:lang w:eastAsia="fr-CA"/>
        </w:rPr>
        <w:t xml:space="preserve"> </w:t>
      </w:r>
      <w:r>
        <w:rPr>
          <w:rFonts w:cs="Arial"/>
          <w:szCs w:val="24"/>
          <w:lang w:eastAsia="fr-CA"/>
        </w:rPr>
        <w:t>daté 19</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w:t>
      </w:r>
    </w:p>
    <w:p w14:paraId="38005DC0" w14:textId="77777777" w:rsidR="005865B9" w:rsidRDefault="005865B9" w:rsidP="006C5F05">
      <w:pPr>
        <w:autoSpaceDE w:val="0"/>
        <w:autoSpaceDN w:val="0"/>
        <w:adjustRightInd w:val="0"/>
        <w:ind w:left="284"/>
        <w:jc w:val="both"/>
        <w:rPr>
          <w:rFonts w:cs="Arial"/>
          <w:szCs w:val="24"/>
          <w:lang w:eastAsia="fr-CA"/>
        </w:rPr>
      </w:pPr>
    </w:p>
    <w:p w14:paraId="011967B2"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i)</w:t>
      </w:r>
      <w:r w:rsidR="006C5F05">
        <w:rPr>
          <w:rFonts w:cs="Arial"/>
          <w:szCs w:val="24"/>
          <w:lang w:eastAsia="fr-CA"/>
        </w:rPr>
        <w:t> </w:t>
      </w:r>
      <w:r>
        <w:rPr>
          <w:rFonts w:cs="Arial"/>
          <w:szCs w:val="24"/>
          <w:lang w:eastAsia="fr-CA"/>
        </w:rPr>
        <w:t>Le 21</w:t>
      </w:r>
      <w:r w:rsidR="006C5F05">
        <w:rPr>
          <w:rFonts w:cs="Arial"/>
          <w:szCs w:val="24"/>
          <w:lang w:eastAsia="fr-CA"/>
        </w:rPr>
        <w:t> </w:t>
      </w:r>
      <w:r>
        <w:rPr>
          <w:rFonts w:cs="Arial"/>
          <w:szCs w:val="24"/>
          <w:lang w:eastAsia="fr-CA"/>
        </w:rPr>
        <w:t>janvier</w:t>
      </w:r>
      <w:r w:rsidR="006C5F05">
        <w:rPr>
          <w:rFonts w:cs="Arial"/>
          <w:szCs w:val="24"/>
          <w:lang w:eastAsia="fr-CA"/>
        </w:rPr>
        <w:t> </w:t>
      </w:r>
      <w:r>
        <w:rPr>
          <w:rFonts w:cs="Arial"/>
          <w:szCs w:val="24"/>
          <w:lang w:eastAsia="fr-CA"/>
        </w:rPr>
        <w:t>2025, alors que la seconde phase du procès est en cours, les Défendeurs ont notifié aux procureurs des Demandeurs les pièces additionnelles D</w:t>
      </w:r>
      <w:r w:rsidR="006C5F05">
        <w:rPr>
          <w:rFonts w:cs="Arial"/>
          <w:szCs w:val="24"/>
          <w:lang w:eastAsia="fr-CA"/>
        </w:rPr>
        <w:noBreakHyphen/>
      </w:r>
      <w:r>
        <w:rPr>
          <w:rFonts w:cs="Arial"/>
          <w:szCs w:val="24"/>
          <w:lang w:eastAsia="fr-CA"/>
        </w:rPr>
        <w:t>643 à D-672, représentant plus de 5</w:t>
      </w:r>
      <w:r w:rsidR="006C5F05">
        <w:rPr>
          <w:rFonts w:cs="Arial"/>
          <w:szCs w:val="24"/>
          <w:lang w:eastAsia="fr-CA"/>
        </w:rPr>
        <w:t> </w:t>
      </w:r>
      <w:r>
        <w:rPr>
          <w:rFonts w:cs="Arial"/>
          <w:szCs w:val="24"/>
          <w:lang w:eastAsia="fr-CA"/>
        </w:rPr>
        <w:t>100</w:t>
      </w:r>
      <w:r w:rsidR="006C5F05">
        <w:rPr>
          <w:rFonts w:cs="Arial"/>
          <w:szCs w:val="24"/>
          <w:lang w:eastAsia="fr-CA"/>
        </w:rPr>
        <w:t> </w:t>
      </w:r>
      <w:r>
        <w:rPr>
          <w:rFonts w:cs="Arial"/>
          <w:szCs w:val="24"/>
          <w:lang w:eastAsia="fr-CA"/>
        </w:rPr>
        <w:t>pages, tel qu’il appert de l’</w:t>
      </w:r>
      <w:r>
        <w:rPr>
          <w:rFonts w:cs="Arial"/>
          <w:i/>
          <w:iCs/>
          <w:szCs w:val="24"/>
          <w:lang w:eastAsia="fr-CA"/>
        </w:rPr>
        <w:t xml:space="preserve">Avis de communication de pièces additionnelles et mise en demeure de reconnaître l’origine d’éléments de preuve et de l’intégrité de l’information qu’ils portent, </w:t>
      </w:r>
      <w:r>
        <w:rPr>
          <w:rFonts w:cs="Arial"/>
          <w:szCs w:val="24"/>
          <w:lang w:eastAsia="fr-CA"/>
        </w:rPr>
        <w:t>daté 21</w:t>
      </w:r>
      <w:r w:rsidR="00FF290B">
        <w:rPr>
          <w:rFonts w:cs="Arial"/>
          <w:szCs w:val="24"/>
          <w:lang w:eastAsia="fr-CA"/>
        </w:rPr>
        <w:t> </w:t>
      </w:r>
      <w:r>
        <w:rPr>
          <w:rFonts w:cs="Arial"/>
          <w:szCs w:val="24"/>
          <w:lang w:eastAsia="fr-CA"/>
        </w:rPr>
        <w:t>janvier</w:t>
      </w:r>
      <w:r w:rsidR="00FF290B">
        <w:rPr>
          <w:rFonts w:cs="Arial"/>
          <w:szCs w:val="24"/>
          <w:lang w:eastAsia="fr-CA"/>
        </w:rPr>
        <w:t> </w:t>
      </w:r>
      <w:r>
        <w:rPr>
          <w:rFonts w:cs="Arial"/>
          <w:szCs w:val="24"/>
          <w:lang w:eastAsia="fr-CA"/>
        </w:rPr>
        <w:t>2025;</w:t>
      </w:r>
    </w:p>
    <w:p w14:paraId="46ABBC14" w14:textId="77777777" w:rsidR="005865B9" w:rsidRDefault="005865B9" w:rsidP="006C5F05">
      <w:pPr>
        <w:autoSpaceDE w:val="0"/>
        <w:autoSpaceDN w:val="0"/>
        <w:adjustRightInd w:val="0"/>
        <w:ind w:left="284"/>
        <w:jc w:val="both"/>
        <w:rPr>
          <w:rFonts w:cs="Arial"/>
          <w:sz w:val="20"/>
          <w:lang w:eastAsia="fr-CA"/>
        </w:rPr>
      </w:pPr>
    </w:p>
    <w:p w14:paraId="455B2FBF" w14:textId="77777777" w:rsidR="005865B9" w:rsidRDefault="00730A01" w:rsidP="006C5F05">
      <w:pPr>
        <w:autoSpaceDE w:val="0"/>
        <w:autoSpaceDN w:val="0"/>
        <w:adjustRightInd w:val="0"/>
        <w:ind w:left="284"/>
        <w:jc w:val="both"/>
        <w:rPr>
          <w:rFonts w:cs="Arial"/>
          <w:szCs w:val="24"/>
          <w:lang w:eastAsia="fr-CA"/>
        </w:rPr>
      </w:pPr>
      <w:r>
        <w:rPr>
          <w:rFonts w:cs="Arial"/>
          <w:szCs w:val="24"/>
          <w:lang w:eastAsia="fr-CA"/>
        </w:rPr>
        <w:t>j)</w:t>
      </w:r>
      <w:r w:rsidR="00FF290B">
        <w:rPr>
          <w:rFonts w:cs="Arial"/>
          <w:szCs w:val="24"/>
          <w:lang w:eastAsia="fr-CA"/>
        </w:rPr>
        <w:t> </w:t>
      </w:r>
      <w:r>
        <w:rPr>
          <w:rFonts w:cs="Arial"/>
          <w:szCs w:val="24"/>
          <w:lang w:eastAsia="fr-CA"/>
        </w:rPr>
        <w:t>Le 31</w:t>
      </w:r>
      <w:r w:rsidR="00FF290B">
        <w:rPr>
          <w:rFonts w:cs="Arial"/>
          <w:szCs w:val="24"/>
          <w:lang w:eastAsia="fr-CA"/>
        </w:rPr>
        <w:t> </w:t>
      </w:r>
      <w:r>
        <w:rPr>
          <w:rFonts w:cs="Arial"/>
          <w:szCs w:val="24"/>
          <w:lang w:eastAsia="fr-CA"/>
        </w:rPr>
        <w:t>janvier</w:t>
      </w:r>
      <w:r w:rsidR="00FF290B">
        <w:rPr>
          <w:rFonts w:cs="Arial"/>
          <w:szCs w:val="24"/>
          <w:lang w:eastAsia="fr-CA"/>
        </w:rPr>
        <w:t> </w:t>
      </w:r>
      <w:r>
        <w:rPr>
          <w:rFonts w:cs="Arial"/>
          <w:szCs w:val="24"/>
          <w:lang w:eastAsia="fr-CA"/>
        </w:rPr>
        <w:t>2025 à 23</w:t>
      </w:r>
      <w:r w:rsidR="00FF290B">
        <w:rPr>
          <w:rFonts w:cs="Arial"/>
          <w:szCs w:val="24"/>
          <w:lang w:eastAsia="fr-CA"/>
        </w:rPr>
        <w:t> </w:t>
      </w:r>
      <w:r>
        <w:rPr>
          <w:rFonts w:cs="Arial"/>
          <w:szCs w:val="24"/>
          <w:lang w:eastAsia="fr-CA"/>
        </w:rPr>
        <w:t>h</w:t>
      </w:r>
      <w:r w:rsidR="00FF290B">
        <w:rPr>
          <w:rFonts w:cs="Arial"/>
          <w:szCs w:val="24"/>
          <w:lang w:eastAsia="fr-CA"/>
        </w:rPr>
        <w:t> </w:t>
      </w:r>
      <w:r>
        <w:rPr>
          <w:rFonts w:cs="Arial"/>
          <w:szCs w:val="24"/>
          <w:lang w:eastAsia="fr-CA"/>
        </w:rPr>
        <w:t>59, les Défendeurs ont notifié aux procureurs des Demandeurs les pièces additionnelles D-676 à D-795, représentant 880</w:t>
      </w:r>
      <w:r w:rsidR="00FF290B">
        <w:rPr>
          <w:rFonts w:cs="Arial"/>
          <w:szCs w:val="24"/>
          <w:lang w:eastAsia="fr-CA"/>
        </w:rPr>
        <w:t> </w:t>
      </w:r>
      <w:r>
        <w:rPr>
          <w:rFonts w:cs="Arial"/>
          <w:szCs w:val="24"/>
          <w:lang w:eastAsia="fr-CA"/>
        </w:rPr>
        <w:t xml:space="preserve">pages, </w:t>
      </w:r>
      <w:r w:rsidRPr="00F3667A">
        <w:rPr>
          <w:rFonts w:cs="Arial"/>
          <w:szCs w:val="24"/>
          <w:lang w:eastAsia="fr-CA"/>
        </w:rPr>
        <w:t>tel qu’il appert de l’</w:t>
      </w:r>
      <w:r w:rsidRPr="00F3667A">
        <w:rPr>
          <w:rFonts w:cs="Arial"/>
          <w:i/>
          <w:iCs/>
          <w:szCs w:val="24"/>
          <w:lang w:eastAsia="fr-CA"/>
        </w:rPr>
        <w:t>Avis de communication de pièces</w:t>
      </w:r>
      <w:r>
        <w:rPr>
          <w:rFonts w:cs="Arial"/>
          <w:i/>
          <w:iCs/>
          <w:szCs w:val="24"/>
          <w:lang w:eastAsia="fr-CA"/>
        </w:rPr>
        <w:t xml:space="preserve"> additionnelles et mise en demeure de reconnaître l’origine de preuve et </w:t>
      </w:r>
      <w:r w:rsidRPr="00AF0318">
        <w:rPr>
          <w:rFonts w:cs="Arial"/>
          <w:i/>
          <w:iCs/>
          <w:szCs w:val="24"/>
          <w:lang w:eastAsia="fr-CA"/>
        </w:rPr>
        <w:t>l’intégrité de l’information qu’ils portent</w:t>
      </w:r>
      <w:r>
        <w:rPr>
          <w:rFonts w:cs="Arial"/>
          <w:i/>
          <w:iCs/>
          <w:szCs w:val="24"/>
          <w:lang w:eastAsia="fr-CA"/>
        </w:rPr>
        <w:t>,</w:t>
      </w:r>
      <w:r w:rsidRPr="00AF0318">
        <w:rPr>
          <w:rFonts w:cs="Arial"/>
          <w:i/>
          <w:iCs/>
          <w:szCs w:val="24"/>
          <w:lang w:eastAsia="fr-CA"/>
        </w:rPr>
        <w:t xml:space="preserve"> </w:t>
      </w:r>
      <w:r w:rsidRPr="00AF0318">
        <w:rPr>
          <w:rFonts w:cs="Arial"/>
          <w:szCs w:val="24"/>
          <w:lang w:eastAsia="fr-CA"/>
        </w:rPr>
        <w:t>daté du 31</w:t>
      </w:r>
      <w:r w:rsidR="00FF290B">
        <w:rPr>
          <w:rFonts w:cs="Arial"/>
          <w:szCs w:val="24"/>
          <w:lang w:eastAsia="fr-CA"/>
        </w:rPr>
        <w:t> </w:t>
      </w:r>
      <w:r w:rsidRPr="00AF0318">
        <w:rPr>
          <w:rFonts w:cs="Arial"/>
          <w:szCs w:val="24"/>
          <w:lang w:eastAsia="fr-CA"/>
        </w:rPr>
        <w:t>janvier</w:t>
      </w:r>
      <w:r w:rsidR="00FF290B">
        <w:rPr>
          <w:rFonts w:cs="Arial"/>
          <w:szCs w:val="24"/>
          <w:lang w:eastAsia="fr-CA"/>
        </w:rPr>
        <w:t> </w:t>
      </w:r>
      <w:r w:rsidRPr="00AF0318">
        <w:rPr>
          <w:rFonts w:cs="Arial"/>
          <w:szCs w:val="24"/>
          <w:lang w:eastAsia="fr-CA"/>
        </w:rPr>
        <w:t>2025;</w:t>
      </w:r>
    </w:p>
    <w:p w14:paraId="56438794" w14:textId="77777777" w:rsidR="003A5FC4" w:rsidRDefault="003A5FC4" w:rsidP="006C5F05">
      <w:pPr>
        <w:autoSpaceDE w:val="0"/>
        <w:autoSpaceDN w:val="0"/>
        <w:adjustRightInd w:val="0"/>
        <w:ind w:left="284"/>
        <w:jc w:val="both"/>
        <w:rPr>
          <w:rFonts w:cs="Arial"/>
          <w:szCs w:val="24"/>
          <w:lang w:eastAsia="fr-CA"/>
        </w:rPr>
      </w:pPr>
    </w:p>
    <w:p w14:paraId="77B526C2" w14:textId="77777777" w:rsidR="003A5FC4" w:rsidRPr="00890850" w:rsidRDefault="00730A01" w:rsidP="003A5FC4">
      <w:pPr>
        <w:pStyle w:val="Listenumros"/>
        <w:numPr>
          <w:ilvl w:val="0"/>
          <w:numId w:val="0"/>
        </w:numPr>
        <w:tabs>
          <w:tab w:val="left" w:pos="3686"/>
        </w:tabs>
        <w:ind w:left="720"/>
        <w:jc w:val="both"/>
        <w:rPr>
          <w:sz w:val="24"/>
          <w:szCs w:val="24"/>
          <w:lang w:val="fr-CA"/>
        </w:rPr>
      </w:pPr>
      <w:r>
        <w:rPr>
          <w:sz w:val="24"/>
          <w:szCs w:val="24"/>
          <w:lang w:val="fr-CA"/>
        </w:rPr>
        <w:tab/>
        <w:t>* * *</w:t>
      </w:r>
    </w:p>
    <w:p w14:paraId="7B9CD330" w14:textId="77777777" w:rsidR="005865B9" w:rsidRDefault="00730A01" w:rsidP="0098012F">
      <w:pPr>
        <w:rPr>
          <w:b/>
          <w:bCs/>
          <w:sz w:val="22"/>
        </w:rPr>
      </w:pPr>
      <w:r>
        <w:rPr>
          <w:b/>
          <w:bCs/>
          <w:sz w:val="22"/>
        </w:rPr>
        <w:br w:type="page"/>
      </w:r>
    </w:p>
    <w:p w14:paraId="4A5EDC3C" w14:textId="77777777" w:rsidR="00C67102" w:rsidRDefault="00C67102" w:rsidP="00C67102">
      <w:pPr>
        <w:rPr>
          <w:rFonts w:cs="Arial"/>
          <w:b/>
          <w:bCs/>
          <w:sz w:val="48"/>
          <w:szCs w:val="48"/>
          <w:lang w:eastAsia="fr-CA"/>
        </w:rPr>
      </w:pPr>
    </w:p>
    <w:p w14:paraId="3433D71E" w14:textId="77777777" w:rsidR="00C67102" w:rsidRDefault="00C67102" w:rsidP="00C67102">
      <w:pPr>
        <w:jc w:val="center"/>
        <w:rPr>
          <w:rFonts w:cs="Arial"/>
          <w:b/>
          <w:bCs/>
          <w:sz w:val="48"/>
          <w:szCs w:val="48"/>
          <w:lang w:eastAsia="fr-CA"/>
        </w:rPr>
      </w:pPr>
    </w:p>
    <w:p w14:paraId="43D07443" w14:textId="77777777" w:rsidR="00C67102" w:rsidRDefault="00C67102" w:rsidP="00C67102">
      <w:pPr>
        <w:jc w:val="center"/>
        <w:rPr>
          <w:rFonts w:cs="Arial"/>
          <w:b/>
          <w:bCs/>
          <w:sz w:val="48"/>
          <w:szCs w:val="48"/>
          <w:lang w:eastAsia="fr-CA"/>
        </w:rPr>
      </w:pPr>
    </w:p>
    <w:p w14:paraId="2F090A6E" w14:textId="77777777" w:rsidR="00C67102" w:rsidRDefault="00C67102" w:rsidP="00C67102">
      <w:pPr>
        <w:jc w:val="center"/>
        <w:rPr>
          <w:rFonts w:cs="Arial"/>
          <w:b/>
          <w:bCs/>
          <w:sz w:val="48"/>
          <w:szCs w:val="48"/>
          <w:lang w:eastAsia="fr-CA"/>
        </w:rPr>
      </w:pPr>
    </w:p>
    <w:p w14:paraId="08E1DA82" w14:textId="77777777" w:rsidR="00C67102" w:rsidRDefault="00C67102" w:rsidP="00C67102">
      <w:pPr>
        <w:jc w:val="center"/>
        <w:rPr>
          <w:rFonts w:cs="Arial"/>
          <w:b/>
          <w:bCs/>
          <w:sz w:val="48"/>
          <w:szCs w:val="48"/>
          <w:lang w:eastAsia="fr-CA"/>
        </w:rPr>
      </w:pPr>
    </w:p>
    <w:p w14:paraId="5B8857B6" w14:textId="77777777" w:rsidR="00C67102" w:rsidRDefault="00C67102" w:rsidP="00C67102">
      <w:pPr>
        <w:jc w:val="center"/>
        <w:rPr>
          <w:rFonts w:cs="Arial"/>
          <w:b/>
          <w:bCs/>
          <w:sz w:val="48"/>
          <w:szCs w:val="48"/>
          <w:lang w:eastAsia="fr-CA"/>
        </w:rPr>
      </w:pPr>
    </w:p>
    <w:p w14:paraId="1899BA96" w14:textId="77777777" w:rsidR="00C67102" w:rsidRDefault="00C67102" w:rsidP="00C67102">
      <w:pPr>
        <w:jc w:val="center"/>
        <w:rPr>
          <w:rFonts w:cs="Arial"/>
          <w:b/>
          <w:bCs/>
          <w:sz w:val="48"/>
          <w:szCs w:val="48"/>
          <w:lang w:eastAsia="fr-CA"/>
        </w:rPr>
      </w:pPr>
    </w:p>
    <w:p w14:paraId="5C97BB52" w14:textId="77777777" w:rsidR="00C67102" w:rsidRDefault="00C67102" w:rsidP="00C67102">
      <w:pPr>
        <w:jc w:val="center"/>
        <w:rPr>
          <w:rFonts w:cs="Arial"/>
          <w:b/>
          <w:bCs/>
          <w:sz w:val="48"/>
          <w:szCs w:val="48"/>
          <w:lang w:eastAsia="fr-CA"/>
        </w:rPr>
      </w:pPr>
    </w:p>
    <w:p w14:paraId="43FA26C9" w14:textId="77777777" w:rsidR="00C67102" w:rsidRDefault="00C67102" w:rsidP="00C67102">
      <w:pPr>
        <w:jc w:val="center"/>
        <w:rPr>
          <w:rFonts w:cs="Arial"/>
          <w:b/>
          <w:bCs/>
          <w:sz w:val="48"/>
          <w:szCs w:val="48"/>
          <w:lang w:eastAsia="fr-CA"/>
        </w:rPr>
      </w:pPr>
    </w:p>
    <w:p w14:paraId="6EAEB95E" w14:textId="77777777" w:rsidR="00C67102" w:rsidRDefault="00730A01" w:rsidP="00C67102">
      <w:pPr>
        <w:jc w:val="center"/>
        <w:rPr>
          <w:rFonts w:cs="Arial"/>
          <w:b/>
          <w:bCs/>
          <w:sz w:val="48"/>
          <w:szCs w:val="48"/>
          <w:lang w:eastAsia="fr-CA"/>
        </w:rPr>
      </w:pPr>
      <w:r>
        <w:rPr>
          <w:rFonts w:cs="Arial"/>
          <w:b/>
          <w:bCs/>
          <w:sz w:val="48"/>
          <w:szCs w:val="48"/>
          <w:lang w:eastAsia="fr-CA"/>
        </w:rPr>
        <w:t>ANNEXE E</w:t>
      </w:r>
    </w:p>
    <w:p w14:paraId="400A4EDF" w14:textId="77777777" w:rsidR="00C67102" w:rsidRDefault="00C67102" w:rsidP="00C67102">
      <w:pPr>
        <w:jc w:val="center"/>
        <w:rPr>
          <w:rFonts w:cs="Arial"/>
          <w:b/>
          <w:bCs/>
          <w:sz w:val="48"/>
          <w:szCs w:val="48"/>
          <w:lang w:eastAsia="fr-CA"/>
        </w:rPr>
      </w:pPr>
    </w:p>
    <w:p w14:paraId="6680A770" w14:textId="77777777" w:rsidR="00C67102" w:rsidRDefault="00730A01" w:rsidP="00C67102">
      <w:pPr>
        <w:jc w:val="center"/>
        <w:rPr>
          <w:rFonts w:cs="Arial"/>
          <w:szCs w:val="24"/>
          <w:lang w:eastAsia="fr-CA"/>
        </w:rPr>
      </w:pPr>
      <w:r>
        <w:rPr>
          <w:rFonts w:cs="Arial"/>
          <w:szCs w:val="24"/>
          <w:lang w:eastAsia="fr-CA"/>
        </w:rPr>
        <w:br w:type="page"/>
      </w:r>
    </w:p>
    <w:p w14:paraId="70A45923" w14:textId="77777777" w:rsidR="00051BA3" w:rsidRPr="00051BA3" w:rsidRDefault="00730A01" w:rsidP="00420D97">
      <w:pPr>
        <w:pStyle w:val="Titre1"/>
        <w:spacing w:after="120"/>
        <w:jc w:val="center"/>
        <w:rPr>
          <w:szCs w:val="28"/>
          <w:lang w:eastAsia="fr-CA"/>
        </w:rPr>
      </w:pPr>
      <w:r>
        <w:rPr>
          <w:szCs w:val="28"/>
          <w:lang w:eastAsia="fr-CA"/>
        </w:rPr>
        <w:t>ANNEXE E</w:t>
      </w:r>
    </w:p>
    <w:p w14:paraId="6BFC91AB" w14:textId="77777777" w:rsidR="00852048" w:rsidRPr="00FF290B" w:rsidRDefault="00730A01" w:rsidP="00C67102">
      <w:pPr>
        <w:pStyle w:val="Titre1"/>
        <w:spacing w:after="120"/>
        <w:rPr>
          <w:caps/>
          <w:sz w:val="24"/>
          <w:szCs w:val="24"/>
        </w:rPr>
      </w:pPr>
      <w:r w:rsidRPr="00FF290B">
        <w:rPr>
          <w:caps/>
          <w:sz w:val="24"/>
          <w:szCs w:val="24"/>
          <w:lang w:eastAsia="fr-CA"/>
        </w:rPr>
        <w:t>La désinvolture des Défendeurs face aux diverses ordonnances du</w:t>
      </w:r>
      <w:r w:rsidRPr="00FF290B">
        <w:rPr>
          <w:caps/>
          <w:sz w:val="24"/>
          <w:szCs w:val="24"/>
        </w:rPr>
        <w:t xml:space="preserve"> Tribunal</w:t>
      </w:r>
    </w:p>
    <w:p w14:paraId="536D33FF" w14:textId="77777777" w:rsidR="00852048" w:rsidRDefault="00730A01" w:rsidP="00FF290B">
      <w:pPr>
        <w:autoSpaceDE w:val="0"/>
        <w:autoSpaceDN w:val="0"/>
        <w:adjustRightInd w:val="0"/>
        <w:jc w:val="both"/>
        <w:rPr>
          <w:rFonts w:cs="Arial"/>
          <w:szCs w:val="24"/>
          <w:lang w:eastAsia="fr-CA"/>
        </w:rPr>
      </w:pPr>
      <w:r>
        <w:t>Hormis les tentatives des Défendeurs de défier les ordonnances des Jugements Pilote et Bouchard, tel que mentionné au</w:t>
      </w:r>
      <w:r w:rsidR="005E02C7">
        <w:t>x</w:t>
      </w:r>
      <w:r>
        <w:t xml:space="preserve"> paragraphe</w:t>
      </w:r>
      <w:r w:rsidR="005E02C7">
        <w:t>s</w:t>
      </w:r>
      <w:r>
        <w:t xml:space="preserve"> </w:t>
      </w:r>
      <w:r w:rsidR="005E02C7">
        <w:t>[504] à [507]</w:t>
      </w:r>
      <w:r>
        <w:t xml:space="preserve"> du présent jugement, les Défendeurs ont, à </w:t>
      </w:r>
      <w:r>
        <w:rPr>
          <w:rFonts w:cs="Arial"/>
          <w:szCs w:val="24"/>
          <w:lang w:eastAsia="fr-CA"/>
        </w:rPr>
        <w:t>maintes reprises, que ce soit directement ou indirectement, tenté d’éluder ou de se soustraire aux ordonnances du Tribunal rendues dans le cadre du présent dossier. En voici certains exemples :</w:t>
      </w:r>
    </w:p>
    <w:p w14:paraId="1F70A69D" w14:textId="77777777" w:rsidR="00852048" w:rsidRPr="00FF290B" w:rsidRDefault="00730A01" w:rsidP="00443B59">
      <w:pPr>
        <w:pStyle w:val="Titre2"/>
        <w:numPr>
          <w:ilvl w:val="0"/>
          <w:numId w:val="124"/>
        </w:numPr>
        <w:spacing w:after="120"/>
        <w:rPr>
          <w:smallCaps/>
        </w:rPr>
      </w:pPr>
      <w:r w:rsidRPr="00FF290B">
        <w:rPr>
          <w:smallCaps/>
        </w:rPr>
        <w:t>Défier l’ordonnance du 21</w:t>
      </w:r>
      <w:r w:rsidR="00FF290B" w:rsidRPr="00FF290B">
        <w:rPr>
          <w:smallCaps/>
        </w:rPr>
        <w:t> </w:t>
      </w:r>
      <w:r w:rsidRPr="00FF290B">
        <w:rPr>
          <w:smallCaps/>
        </w:rPr>
        <w:t>mars</w:t>
      </w:r>
      <w:r w:rsidR="00FF290B" w:rsidRPr="00FF290B">
        <w:rPr>
          <w:smallCaps/>
        </w:rPr>
        <w:t> </w:t>
      </w:r>
      <w:r w:rsidRPr="00FF290B">
        <w:rPr>
          <w:smallCaps/>
        </w:rPr>
        <w:t>2024 quant au dépôt des notes</w:t>
      </w:r>
      <w:r w:rsidRPr="00FF290B">
        <w:rPr>
          <w:smallCaps/>
          <w:lang w:eastAsia="fr-CA"/>
        </w:rPr>
        <w:t xml:space="preserve"> </w:t>
      </w:r>
      <w:r w:rsidRPr="00FF290B">
        <w:rPr>
          <w:smallCaps/>
        </w:rPr>
        <w:t>sténographiques des interrogatoires préalables</w:t>
      </w:r>
    </w:p>
    <w:p w14:paraId="3FB49ADE" w14:textId="77777777" w:rsidR="00B92A3B" w:rsidRPr="00B92A3B"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sidRPr="00B92A3B">
        <w:rPr>
          <w:rFonts w:cs="Arial"/>
          <w:szCs w:val="24"/>
          <w:lang w:eastAsia="fr-CA"/>
        </w:rPr>
        <w:t>Le 21</w:t>
      </w:r>
      <w:r w:rsidR="00FF290B">
        <w:rPr>
          <w:rFonts w:cs="Arial"/>
          <w:szCs w:val="24"/>
          <w:lang w:eastAsia="fr-CA"/>
        </w:rPr>
        <w:t> </w:t>
      </w:r>
      <w:r w:rsidRPr="00B92A3B">
        <w:rPr>
          <w:rFonts w:cs="Arial"/>
          <w:szCs w:val="24"/>
          <w:lang w:eastAsia="fr-CA"/>
        </w:rPr>
        <w:t>mars</w:t>
      </w:r>
      <w:r w:rsidR="00FF290B">
        <w:rPr>
          <w:rFonts w:cs="Arial"/>
          <w:szCs w:val="24"/>
          <w:lang w:eastAsia="fr-CA"/>
        </w:rPr>
        <w:t> </w:t>
      </w:r>
      <w:r w:rsidRPr="00B92A3B">
        <w:rPr>
          <w:rFonts w:cs="Arial"/>
          <w:szCs w:val="24"/>
          <w:lang w:eastAsia="fr-CA"/>
        </w:rPr>
        <w:t xml:space="preserve">2024, lors de la conférence de gestion, le Tribunal </w:t>
      </w:r>
      <w:r w:rsidRPr="00B92A3B">
        <w:rPr>
          <w:rFonts w:cs="Arial"/>
          <w:i/>
          <w:iCs/>
          <w:szCs w:val="24"/>
          <w:lang w:eastAsia="fr-CA"/>
        </w:rPr>
        <w:t>« prend acte de l’engagement des avocats des défendeurs à produire leur liste des témoins (incluant la durée et les sujets de leur témoignage), d’admissions, notes sténographiques et pièces au plus tard 12</w:t>
      </w:r>
      <w:r w:rsidR="00FF290B">
        <w:rPr>
          <w:rFonts w:cs="Arial"/>
          <w:i/>
          <w:iCs/>
          <w:szCs w:val="24"/>
          <w:lang w:eastAsia="fr-CA"/>
        </w:rPr>
        <w:t> </w:t>
      </w:r>
      <w:r w:rsidRPr="00B92A3B">
        <w:rPr>
          <w:rFonts w:cs="Arial"/>
          <w:i/>
          <w:iCs/>
          <w:szCs w:val="24"/>
          <w:lang w:eastAsia="fr-CA"/>
        </w:rPr>
        <w:t>avril</w:t>
      </w:r>
      <w:r w:rsidR="00FF290B">
        <w:rPr>
          <w:rFonts w:cs="Arial"/>
          <w:i/>
          <w:iCs/>
          <w:szCs w:val="24"/>
          <w:lang w:eastAsia="fr-CA"/>
        </w:rPr>
        <w:t> </w:t>
      </w:r>
      <w:r w:rsidRPr="00B92A3B">
        <w:rPr>
          <w:rFonts w:cs="Arial"/>
          <w:i/>
          <w:iCs/>
          <w:szCs w:val="24"/>
          <w:lang w:eastAsia="fr-CA"/>
        </w:rPr>
        <w:t>2024, étant entendu que les demandeurs doivent transmettre la liste de témoins (incluant la durée et les sujets de leur témoignage) aux défendeurs d’ici le 2</w:t>
      </w:r>
      <w:r w:rsidR="00FF290B">
        <w:rPr>
          <w:rFonts w:cs="Arial"/>
          <w:i/>
          <w:iCs/>
          <w:szCs w:val="24"/>
          <w:lang w:eastAsia="fr-CA"/>
        </w:rPr>
        <w:t> </w:t>
      </w:r>
      <w:r w:rsidRPr="00B92A3B">
        <w:rPr>
          <w:rFonts w:cs="Arial"/>
          <w:i/>
          <w:iCs/>
          <w:szCs w:val="24"/>
          <w:lang w:eastAsia="fr-CA"/>
        </w:rPr>
        <w:t>avril</w:t>
      </w:r>
      <w:r w:rsidR="00FF290B">
        <w:rPr>
          <w:rFonts w:cs="Arial"/>
          <w:i/>
          <w:iCs/>
          <w:szCs w:val="24"/>
          <w:lang w:eastAsia="fr-CA"/>
        </w:rPr>
        <w:t> </w:t>
      </w:r>
      <w:r w:rsidRPr="00B92A3B">
        <w:rPr>
          <w:rFonts w:cs="Arial"/>
          <w:i/>
          <w:iCs/>
          <w:szCs w:val="24"/>
          <w:lang w:eastAsia="fr-CA"/>
        </w:rPr>
        <w:t>2024 </w:t>
      </w:r>
      <w:r w:rsidRPr="00B92A3B">
        <w:rPr>
          <w:rFonts w:cs="Arial"/>
          <w:szCs w:val="24"/>
          <w:lang w:eastAsia="fr-CA"/>
        </w:rPr>
        <w:t>»</w:t>
      </w:r>
      <w:r>
        <w:rPr>
          <w:rStyle w:val="Appelnotedebasdep"/>
          <w:rFonts w:cs="Arial"/>
          <w:szCs w:val="24"/>
          <w:lang w:eastAsia="fr-CA"/>
        </w:rPr>
        <w:footnoteReference w:id="715"/>
      </w:r>
      <w:r w:rsidR="00FF290B">
        <w:rPr>
          <w:rFonts w:cs="Arial"/>
          <w:szCs w:val="24"/>
          <w:lang w:eastAsia="fr-CA"/>
        </w:rPr>
        <w:t>.</w:t>
      </w:r>
    </w:p>
    <w:p w14:paraId="0EA61B95" w14:textId="77777777" w:rsidR="00852048" w:rsidRPr="00B92A3B"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sidRPr="00B92A3B">
        <w:rPr>
          <w:rFonts w:cs="Arial"/>
          <w:szCs w:val="24"/>
          <w:lang w:eastAsia="fr-CA"/>
        </w:rPr>
        <w:t xml:space="preserve">Or, les Défendeurs se sont plutôt servi de leur </w:t>
      </w:r>
      <w:r w:rsidRPr="00B92A3B">
        <w:rPr>
          <w:rFonts w:cs="Arial"/>
          <w:i/>
          <w:iCs/>
          <w:szCs w:val="24"/>
          <w:lang w:eastAsia="fr-CA"/>
        </w:rPr>
        <w:t>Demande en irrecevabilité des</w:t>
      </w:r>
      <w:r w:rsidR="00B92A3B" w:rsidRPr="00B92A3B">
        <w:rPr>
          <w:rFonts w:cs="Arial"/>
          <w:i/>
          <w:iCs/>
          <w:szCs w:val="24"/>
          <w:lang w:eastAsia="fr-CA"/>
        </w:rPr>
        <w:t xml:space="preserve"> </w:t>
      </w:r>
      <w:r w:rsidRPr="00B92A3B">
        <w:rPr>
          <w:rFonts w:cs="Arial"/>
          <w:i/>
          <w:iCs/>
          <w:szCs w:val="24"/>
          <w:lang w:eastAsia="fr-CA"/>
        </w:rPr>
        <w:t xml:space="preserve">recours intentés par les commanditaires de FIISH et de Q-12 </w:t>
      </w:r>
      <w:r w:rsidRPr="00B92A3B">
        <w:rPr>
          <w:rFonts w:cs="Arial"/>
          <w:szCs w:val="24"/>
          <w:lang w:eastAsia="fr-CA"/>
        </w:rPr>
        <w:t>datée du</w:t>
      </w:r>
      <w:r w:rsidR="00B92A3B" w:rsidRPr="00B92A3B">
        <w:rPr>
          <w:rFonts w:cs="Arial"/>
          <w:szCs w:val="24"/>
          <w:lang w:eastAsia="fr-CA"/>
        </w:rPr>
        <w:t xml:space="preserve"> </w:t>
      </w:r>
      <w:r w:rsidRPr="00B92A3B">
        <w:rPr>
          <w:rFonts w:cs="Arial"/>
          <w:szCs w:val="24"/>
          <w:lang w:eastAsia="fr-CA"/>
        </w:rPr>
        <w:t>18</w:t>
      </w:r>
      <w:r w:rsidR="00FF290B">
        <w:rPr>
          <w:rFonts w:cs="Arial"/>
          <w:szCs w:val="24"/>
          <w:lang w:eastAsia="fr-CA"/>
        </w:rPr>
        <w:t> </w:t>
      </w:r>
      <w:r w:rsidRPr="00B92A3B">
        <w:rPr>
          <w:rFonts w:cs="Arial"/>
          <w:szCs w:val="24"/>
          <w:lang w:eastAsia="fr-CA"/>
        </w:rPr>
        <w:t>avril</w:t>
      </w:r>
      <w:r w:rsidR="00FF290B">
        <w:rPr>
          <w:rFonts w:cs="Arial"/>
          <w:szCs w:val="24"/>
          <w:lang w:eastAsia="fr-CA"/>
        </w:rPr>
        <w:t> </w:t>
      </w:r>
      <w:r w:rsidRPr="00B92A3B">
        <w:rPr>
          <w:rFonts w:cs="Arial"/>
          <w:szCs w:val="24"/>
          <w:lang w:eastAsia="fr-CA"/>
        </w:rPr>
        <w:t>2024 comme prétexte pour ne pas respecter l’ordonnance susmentionnée</w:t>
      </w:r>
      <w:r w:rsidR="00B92A3B" w:rsidRPr="00B92A3B">
        <w:rPr>
          <w:rFonts w:cs="Arial"/>
          <w:szCs w:val="24"/>
          <w:lang w:eastAsia="fr-CA"/>
        </w:rPr>
        <w:t xml:space="preserve"> </w:t>
      </w:r>
      <w:r w:rsidRPr="00B92A3B">
        <w:rPr>
          <w:rFonts w:cs="Arial"/>
          <w:szCs w:val="24"/>
          <w:lang w:eastAsia="fr-CA"/>
        </w:rPr>
        <w:t>relativement aux échéances imposées pour le dépôt des notes sténographiques</w:t>
      </w:r>
      <w:r w:rsidR="00B92A3B">
        <w:rPr>
          <w:rFonts w:cs="Arial"/>
          <w:szCs w:val="24"/>
          <w:lang w:eastAsia="fr-CA"/>
        </w:rPr>
        <w:t xml:space="preserve"> </w:t>
      </w:r>
      <w:r w:rsidRPr="00B92A3B">
        <w:rPr>
          <w:rFonts w:cs="Arial"/>
          <w:szCs w:val="24"/>
          <w:lang w:eastAsia="fr-CA"/>
        </w:rPr>
        <w:t>des interrogatoires.</w:t>
      </w:r>
    </w:p>
    <w:p w14:paraId="157CC9F2" w14:textId="77777777" w:rsidR="00852048" w:rsidRPr="00B92A3B" w:rsidRDefault="00730A01" w:rsidP="00443B59">
      <w:pPr>
        <w:pStyle w:val="Paragraphedeliste"/>
        <w:numPr>
          <w:ilvl w:val="0"/>
          <w:numId w:val="81"/>
        </w:numPr>
        <w:autoSpaceDE w:val="0"/>
        <w:autoSpaceDN w:val="0"/>
        <w:adjustRightInd w:val="0"/>
        <w:ind w:left="567" w:hanging="283"/>
        <w:jc w:val="both"/>
        <w:rPr>
          <w:rFonts w:cs="Arial"/>
          <w:szCs w:val="24"/>
          <w:lang w:eastAsia="fr-CA"/>
        </w:rPr>
      </w:pPr>
      <w:r w:rsidRPr="00B92A3B">
        <w:rPr>
          <w:rFonts w:cs="Arial"/>
          <w:szCs w:val="24"/>
          <w:lang w:eastAsia="fr-CA"/>
        </w:rPr>
        <w:t>Ainsi, en ne produisant les notes sténographiques qu’entre le</w:t>
      </w:r>
      <w:r w:rsidR="00FF290B">
        <w:rPr>
          <w:rFonts w:cs="Arial"/>
          <w:szCs w:val="24"/>
          <w:lang w:eastAsia="fr-CA"/>
        </w:rPr>
        <w:t> </w:t>
      </w:r>
      <w:r w:rsidRPr="00B92A3B">
        <w:rPr>
          <w:rFonts w:cs="Arial"/>
          <w:szCs w:val="24"/>
          <w:lang w:eastAsia="fr-CA"/>
        </w:rPr>
        <w:t>19 et 23</w:t>
      </w:r>
      <w:r w:rsidR="00FF290B">
        <w:rPr>
          <w:rFonts w:cs="Arial"/>
          <w:szCs w:val="24"/>
          <w:lang w:eastAsia="fr-CA"/>
        </w:rPr>
        <w:t> </w:t>
      </w:r>
      <w:r w:rsidRPr="00B92A3B">
        <w:rPr>
          <w:rFonts w:cs="Arial"/>
          <w:szCs w:val="24"/>
          <w:lang w:eastAsia="fr-CA"/>
        </w:rPr>
        <w:t>avril</w:t>
      </w:r>
      <w:r w:rsidR="00FF290B">
        <w:rPr>
          <w:rFonts w:cs="Arial"/>
          <w:szCs w:val="24"/>
          <w:lang w:eastAsia="fr-CA"/>
        </w:rPr>
        <w:t> </w:t>
      </w:r>
      <w:r w:rsidRPr="00B92A3B">
        <w:rPr>
          <w:rFonts w:cs="Arial"/>
          <w:szCs w:val="24"/>
          <w:lang w:eastAsia="fr-CA"/>
        </w:rPr>
        <w:t>2024,</w:t>
      </w:r>
      <w:r w:rsidR="00B92A3B" w:rsidRPr="00B92A3B">
        <w:rPr>
          <w:rFonts w:cs="Arial"/>
          <w:szCs w:val="24"/>
          <w:lang w:eastAsia="fr-CA"/>
        </w:rPr>
        <w:t xml:space="preserve"> </w:t>
      </w:r>
      <w:r w:rsidRPr="00B92A3B">
        <w:rPr>
          <w:rFonts w:cs="Arial"/>
          <w:szCs w:val="24"/>
          <w:lang w:eastAsia="fr-CA"/>
        </w:rPr>
        <w:t>les Défendeurs ont sciemment transgressé le délai imparti par le Tribunal.</w:t>
      </w:r>
      <w:r w:rsidR="00B92A3B" w:rsidRPr="00B92A3B">
        <w:rPr>
          <w:rFonts w:cs="Arial"/>
          <w:szCs w:val="24"/>
          <w:lang w:eastAsia="fr-CA"/>
        </w:rPr>
        <w:t xml:space="preserve"> </w:t>
      </w:r>
      <w:r w:rsidRPr="00B92A3B">
        <w:rPr>
          <w:rFonts w:cs="Arial"/>
          <w:szCs w:val="24"/>
          <w:lang w:eastAsia="fr-CA"/>
        </w:rPr>
        <w:t>Mais il y a plus. Les Défendeurs ont également charcuté les transcriptions à un</w:t>
      </w:r>
      <w:r w:rsidR="00B92A3B" w:rsidRPr="00B92A3B">
        <w:rPr>
          <w:rFonts w:cs="Arial"/>
          <w:szCs w:val="24"/>
          <w:lang w:eastAsia="fr-CA"/>
        </w:rPr>
        <w:t xml:space="preserve"> </w:t>
      </w:r>
      <w:r w:rsidRPr="00B92A3B">
        <w:rPr>
          <w:rFonts w:cs="Arial"/>
          <w:szCs w:val="24"/>
          <w:lang w:eastAsia="fr-CA"/>
        </w:rPr>
        <w:t>point tel qu’elles se retrouvent dénuées de toute substance.</w:t>
      </w:r>
    </w:p>
    <w:p w14:paraId="6F5BFFD5" w14:textId="77777777" w:rsidR="00852048" w:rsidRPr="00940417" w:rsidRDefault="00730A01" w:rsidP="00443B59">
      <w:pPr>
        <w:pStyle w:val="Titre2"/>
        <w:numPr>
          <w:ilvl w:val="0"/>
          <w:numId w:val="124"/>
        </w:numPr>
        <w:spacing w:after="120"/>
        <w:rPr>
          <w:smallCaps/>
        </w:rPr>
      </w:pPr>
      <w:r w:rsidRPr="00FF290B">
        <w:rPr>
          <w:smallCaps/>
        </w:rPr>
        <w:t>Défier les ordonnances en lien avec la communication du calendrier de procès d</w:t>
      </w:r>
      <w:r w:rsidRPr="00940417">
        <w:rPr>
          <w:smallCaps/>
        </w:rPr>
        <w:t>es Défendeurs</w:t>
      </w:r>
    </w:p>
    <w:p w14:paraId="3772940D" w14:textId="77777777" w:rsidR="00852048"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sidRPr="0009445D">
        <w:rPr>
          <w:rFonts w:cs="Arial"/>
          <w:szCs w:val="24"/>
          <w:lang w:eastAsia="fr-CA"/>
        </w:rPr>
        <w:t>Dès le 16</w:t>
      </w:r>
      <w:r w:rsidR="00FF290B">
        <w:rPr>
          <w:rFonts w:cs="Arial"/>
          <w:szCs w:val="24"/>
          <w:lang w:eastAsia="fr-CA"/>
        </w:rPr>
        <w:t> </w:t>
      </w:r>
      <w:r w:rsidRPr="0009445D">
        <w:rPr>
          <w:rFonts w:cs="Arial"/>
          <w:szCs w:val="24"/>
          <w:lang w:eastAsia="fr-CA"/>
        </w:rPr>
        <w:t>mai</w:t>
      </w:r>
      <w:r w:rsidR="00FF290B">
        <w:rPr>
          <w:rFonts w:cs="Arial"/>
          <w:szCs w:val="24"/>
          <w:lang w:eastAsia="fr-CA"/>
        </w:rPr>
        <w:t xml:space="preserve"> </w:t>
      </w:r>
      <w:r w:rsidRPr="0009445D">
        <w:rPr>
          <w:rFonts w:cs="Arial"/>
          <w:szCs w:val="24"/>
          <w:lang w:eastAsia="fr-CA"/>
        </w:rPr>
        <w:t>2024, le Tribunal ordonne aux Défendeurs de transmettre leur</w:t>
      </w:r>
      <w:r w:rsidR="00B92A3B" w:rsidRPr="0009445D">
        <w:rPr>
          <w:rFonts w:cs="Arial"/>
          <w:szCs w:val="24"/>
          <w:lang w:eastAsia="fr-CA"/>
        </w:rPr>
        <w:t xml:space="preserve"> </w:t>
      </w:r>
      <w:r w:rsidRPr="0009445D">
        <w:rPr>
          <w:rFonts w:cs="Arial"/>
          <w:szCs w:val="24"/>
          <w:lang w:eastAsia="fr-CA"/>
        </w:rPr>
        <w:t>calendrier en défense à la partie demanderesse au plus tard le 23</w:t>
      </w:r>
      <w:r w:rsidR="00FF290B">
        <w:rPr>
          <w:rFonts w:cs="Arial"/>
          <w:szCs w:val="24"/>
          <w:lang w:eastAsia="fr-CA"/>
        </w:rPr>
        <w:t> </w:t>
      </w:r>
      <w:r w:rsidRPr="0009445D">
        <w:rPr>
          <w:rFonts w:cs="Arial"/>
          <w:szCs w:val="24"/>
          <w:lang w:eastAsia="fr-CA"/>
        </w:rPr>
        <w:t>mai</w:t>
      </w:r>
      <w:r w:rsidR="00FF290B">
        <w:rPr>
          <w:rFonts w:cs="Arial"/>
          <w:szCs w:val="24"/>
          <w:lang w:eastAsia="fr-CA"/>
        </w:rPr>
        <w:t> </w:t>
      </w:r>
      <w:r w:rsidRPr="0009445D">
        <w:rPr>
          <w:rFonts w:cs="Arial"/>
          <w:szCs w:val="24"/>
          <w:lang w:eastAsia="fr-CA"/>
        </w:rPr>
        <w:t>2024</w:t>
      </w:r>
      <w:r>
        <w:rPr>
          <w:rStyle w:val="Appelnotedebasdep"/>
          <w:rFonts w:cs="Arial"/>
          <w:szCs w:val="24"/>
          <w:lang w:eastAsia="fr-CA"/>
        </w:rPr>
        <w:footnoteReference w:id="716"/>
      </w:r>
      <w:r w:rsidR="00FF290B">
        <w:rPr>
          <w:rFonts w:cs="Arial"/>
          <w:szCs w:val="24"/>
          <w:lang w:eastAsia="fr-CA"/>
        </w:rPr>
        <w:t>.</w:t>
      </w:r>
    </w:p>
    <w:p w14:paraId="41A6925C" w14:textId="77777777" w:rsidR="00852048" w:rsidRPr="00B92A3B"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sidRPr="00B92A3B">
        <w:rPr>
          <w:rFonts w:cs="Arial"/>
          <w:szCs w:val="24"/>
          <w:lang w:eastAsia="fr-CA"/>
        </w:rPr>
        <w:t>Par la suite, soit le 18</w:t>
      </w:r>
      <w:r w:rsidR="00FF290B">
        <w:rPr>
          <w:rFonts w:cs="Arial"/>
          <w:szCs w:val="24"/>
          <w:lang w:eastAsia="fr-CA"/>
        </w:rPr>
        <w:t> </w:t>
      </w:r>
      <w:r w:rsidRPr="00B92A3B">
        <w:rPr>
          <w:rFonts w:cs="Arial"/>
          <w:szCs w:val="24"/>
          <w:lang w:eastAsia="fr-CA"/>
        </w:rPr>
        <w:t>novembre</w:t>
      </w:r>
      <w:r w:rsidR="00FF290B">
        <w:rPr>
          <w:rFonts w:cs="Arial"/>
          <w:szCs w:val="24"/>
          <w:lang w:eastAsia="fr-CA"/>
        </w:rPr>
        <w:t> </w:t>
      </w:r>
      <w:r w:rsidRPr="00B92A3B">
        <w:rPr>
          <w:rFonts w:cs="Arial"/>
          <w:szCs w:val="24"/>
          <w:lang w:eastAsia="fr-CA"/>
        </w:rPr>
        <w:t>2024, une séance de gestion est tenue, lors de</w:t>
      </w:r>
      <w:r w:rsidR="00B92A3B" w:rsidRPr="00B92A3B">
        <w:rPr>
          <w:rFonts w:cs="Arial"/>
          <w:szCs w:val="24"/>
          <w:lang w:eastAsia="fr-CA"/>
        </w:rPr>
        <w:t xml:space="preserve"> </w:t>
      </w:r>
      <w:r w:rsidRPr="00B92A3B">
        <w:rPr>
          <w:rFonts w:cs="Arial"/>
          <w:szCs w:val="24"/>
          <w:lang w:eastAsia="fr-CA"/>
        </w:rPr>
        <w:t xml:space="preserve">laquelle le Tribunal informe les parties que les nouvelles dates d’audience </w:t>
      </w:r>
      <w:r w:rsidR="0009445D">
        <w:rPr>
          <w:rFonts w:cs="Arial"/>
          <w:szCs w:val="24"/>
          <w:lang w:eastAsia="fr-CA"/>
        </w:rPr>
        <w:t>se</w:t>
      </w:r>
      <w:r w:rsidRPr="00B92A3B">
        <w:rPr>
          <w:rFonts w:cs="Arial"/>
          <w:szCs w:val="24"/>
          <w:lang w:eastAsia="fr-CA"/>
        </w:rPr>
        <w:t>ront du</w:t>
      </w:r>
      <w:r w:rsidR="00FF290B">
        <w:rPr>
          <w:rFonts w:cs="Arial"/>
          <w:szCs w:val="24"/>
          <w:lang w:eastAsia="fr-CA"/>
        </w:rPr>
        <w:t> </w:t>
      </w:r>
      <w:r w:rsidRPr="00B92A3B">
        <w:rPr>
          <w:rFonts w:cs="Arial"/>
          <w:szCs w:val="24"/>
          <w:lang w:eastAsia="fr-CA"/>
        </w:rPr>
        <w:t>20 au 24</w:t>
      </w:r>
      <w:r w:rsidR="00FF290B">
        <w:rPr>
          <w:rFonts w:cs="Arial"/>
          <w:szCs w:val="24"/>
          <w:lang w:eastAsia="fr-CA"/>
        </w:rPr>
        <w:t> </w:t>
      </w:r>
      <w:r w:rsidRPr="00B92A3B">
        <w:rPr>
          <w:rFonts w:cs="Arial"/>
          <w:szCs w:val="24"/>
          <w:lang w:eastAsia="fr-CA"/>
        </w:rPr>
        <w:t>janvier</w:t>
      </w:r>
      <w:r w:rsidR="00FF290B">
        <w:rPr>
          <w:rFonts w:cs="Arial"/>
          <w:szCs w:val="24"/>
          <w:lang w:eastAsia="fr-CA"/>
        </w:rPr>
        <w:t> </w:t>
      </w:r>
      <w:r w:rsidRPr="00B92A3B">
        <w:rPr>
          <w:rFonts w:cs="Arial"/>
          <w:szCs w:val="24"/>
          <w:lang w:eastAsia="fr-CA"/>
        </w:rPr>
        <w:t>2025 et du</w:t>
      </w:r>
      <w:r w:rsidR="00FF290B">
        <w:rPr>
          <w:rFonts w:cs="Arial"/>
          <w:szCs w:val="24"/>
          <w:lang w:eastAsia="fr-CA"/>
        </w:rPr>
        <w:t> </w:t>
      </w:r>
      <w:r w:rsidRPr="00B92A3B">
        <w:rPr>
          <w:rFonts w:cs="Arial"/>
          <w:szCs w:val="24"/>
          <w:lang w:eastAsia="fr-CA"/>
        </w:rPr>
        <w:t>10 au 21</w:t>
      </w:r>
      <w:r w:rsidR="00FF290B">
        <w:rPr>
          <w:rFonts w:cs="Arial"/>
          <w:szCs w:val="24"/>
          <w:lang w:eastAsia="fr-CA"/>
        </w:rPr>
        <w:t> </w:t>
      </w:r>
      <w:r w:rsidRPr="00B92A3B">
        <w:rPr>
          <w:rFonts w:cs="Arial"/>
          <w:szCs w:val="24"/>
          <w:lang w:eastAsia="fr-CA"/>
        </w:rPr>
        <w:t>février</w:t>
      </w:r>
      <w:r w:rsidR="00FF290B">
        <w:rPr>
          <w:rFonts w:cs="Arial"/>
          <w:szCs w:val="24"/>
          <w:lang w:eastAsia="fr-CA"/>
        </w:rPr>
        <w:t> </w:t>
      </w:r>
      <w:r w:rsidRPr="00B92A3B">
        <w:rPr>
          <w:rFonts w:cs="Arial"/>
          <w:szCs w:val="24"/>
          <w:lang w:eastAsia="fr-CA"/>
        </w:rPr>
        <w:t>2025. De plus, le Tribunal indique</w:t>
      </w:r>
      <w:r w:rsidR="00B92A3B" w:rsidRPr="00B92A3B">
        <w:rPr>
          <w:rFonts w:cs="Arial"/>
          <w:szCs w:val="24"/>
          <w:lang w:eastAsia="fr-CA"/>
        </w:rPr>
        <w:t xml:space="preserve"> </w:t>
      </w:r>
      <w:r w:rsidRPr="00B92A3B">
        <w:rPr>
          <w:rFonts w:cs="Arial"/>
          <w:szCs w:val="24"/>
          <w:lang w:eastAsia="fr-CA"/>
        </w:rPr>
        <w:t>aux parties qu’elles «</w:t>
      </w:r>
      <w:r w:rsidR="00FF290B">
        <w:rPr>
          <w:rFonts w:cs="Arial"/>
          <w:szCs w:val="24"/>
          <w:lang w:eastAsia="fr-CA"/>
        </w:rPr>
        <w:t> </w:t>
      </w:r>
      <w:r w:rsidRPr="00B92A3B">
        <w:rPr>
          <w:rFonts w:cs="Arial"/>
          <w:szCs w:val="24"/>
          <w:lang w:eastAsia="fr-CA"/>
        </w:rPr>
        <w:t>o</w:t>
      </w:r>
      <w:r w:rsidRPr="00B92A3B">
        <w:rPr>
          <w:rFonts w:cs="Arial"/>
          <w:i/>
          <w:iCs/>
          <w:szCs w:val="24"/>
          <w:lang w:eastAsia="fr-CA"/>
        </w:rPr>
        <w:t>nt jusqu’au plus tard le 9</w:t>
      </w:r>
      <w:r w:rsidR="00FF290B">
        <w:rPr>
          <w:rFonts w:cs="Arial"/>
          <w:i/>
          <w:iCs/>
          <w:szCs w:val="24"/>
          <w:lang w:eastAsia="fr-CA"/>
        </w:rPr>
        <w:t> </w:t>
      </w:r>
      <w:r w:rsidRPr="00B92A3B">
        <w:rPr>
          <w:rFonts w:cs="Arial"/>
          <w:i/>
          <w:iCs/>
          <w:szCs w:val="24"/>
          <w:lang w:eastAsia="fr-CA"/>
        </w:rPr>
        <w:t>décembre</w:t>
      </w:r>
      <w:r w:rsidR="00FF290B">
        <w:rPr>
          <w:rFonts w:cs="Arial"/>
          <w:i/>
          <w:iCs/>
          <w:szCs w:val="24"/>
          <w:lang w:eastAsia="fr-CA"/>
        </w:rPr>
        <w:t> </w:t>
      </w:r>
      <w:r w:rsidRPr="00B92A3B">
        <w:rPr>
          <w:rFonts w:cs="Arial"/>
          <w:i/>
          <w:iCs/>
          <w:szCs w:val="24"/>
          <w:lang w:eastAsia="fr-CA"/>
        </w:rPr>
        <w:t>2024 pour déposer de</w:t>
      </w:r>
      <w:r w:rsidR="00B92A3B" w:rsidRPr="00B92A3B">
        <w:rPr>
          <w:rFonts w:cs="Arial"/>
          <w:i/>
          <w:iCs/>
          <w:szCs w:val="24"/>
          <w:lang w:eastAsia="fr-CA"/>
        </w:rPr>
        <w:t xml:space="preserve"> </w:t>
      </w:r>
      <w:r w:rsidRPr="00B92A3B">
        <w:rPr>
          <w:rFonts w:cs="Arial"/>
          <w:i/>
          <w:iCs/>
          <w:szCs w:val="24"/>
          <w:lang w:eastAsia="fr-CA"/>
        </w:rPr>
        <w:t>nouvelles requêtes ou demandes et transmettre leur liste des témoins pour</w:t>
      </w:r>
      <w:r w:rsidR="00B92A3B" w:rsidRPr="00B92A3B">
        <w:rPr>
          <w:rFonts w:cs="Arial"/>
          <w:i/>
          <w:iCs/>
          <w:szCs w:val="24"/>
          <w:lang w:eastAsia="fr-CA"/>
        </w:rPr>
        <w:t xml:space="preserve"> </w:t>
      </w:r>
      <w:r w:rsidRPr="00B92A3B">
        <w:rPr>
          <w:rFonts w:cs="Arial"/>
          <w:i/>
          <w:iCs/>
          <w:szCs w:val="24"/>
          <w:lang w:eastAsia="fr-CA"/>
        </w:rPr>
        <w:t>l’audition</w:t>
      </w:r>
      <w:r w:rsidR="00FF290B">
        <w:rPr>
          <w:rFonts w:cs="Arial"/>
          <w:i/>
          <w:iCs/>
          <w:szCs w:val="24"/>
          <w:lang w:eastAsia="fr-CA"/>
        </w:rPr>
        <w:t> </w:t>
      </w:r>
      <w:r w:rsidRPr="00B92A3B">
        <w:rPr>
          <w:rFonts w:cs="Arial"/>
          <w:szCs w:val="24"/>
          <w:lang w:eastAsia="fr-CA"/>
        </w:rPr>
        <w:t>»</w:t>
      </w:r>
      <w:r>
        <w:rPr>
          <w:rStyle w:val="Appelnotedebasdep"/>
          <w:rFonts w:cs="Arial"/>
          <w:szCs w:val="24"/>
          <w:lang w:eastAsia="fr-CA"/>
        </w:rPr>
        <w:footnoteReference w:id="717"/>
      </w:r>
      <w:r w:rsidR="00FF290B">
        <w:rPr>
          <w:rFonts w:cs="Arial"/>
          <w:szCs w:val="24"/>
          <w:lang w:eastAsia="fr-CA"/>
        </w:rPr>
        <w:t>.</w:t>
      </w:r>
    </w:p>
    <w:p w14:paraId="2E49B2E2" w14:textId="77777777" w:rsidR="00852048" w:rsidRPr="00B92A3B"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sidRPr="00B92A3B">
        <w:rPr>
          <w:rFonts w:cs="Arial"/>
          <w:szCs w:val="24"/>
          <w:lang w:eastAsia="fr-CA"/>
        </w:rPr>
        <w:t>En date du 16</w:t>
      </w:r>
      <w:r w:rsidR="00FF290B">
        <w:rPr>
          <w:rFonts w:cs="Arial"/>
          <w:szCs w:val="24"/>
          <w:lang w:eastAsia="fr-CA"/>
        </w:rPr>
        <w:t> </w:t>
      </w:r>
      <w:r w:rsidRPr="00B92A3B">
        <w:rPr>
          <w:rFonts w:cs="Arial"/>
          <w:szCs w:val="24"/>
          <w:lang w:eastAsia="fr-CA"/>
        </w:rPr>
        <w:t>décembre</w:t>
      </w:r>
      <w:r w:rsidR="00FF290B">
        <w:rPr>
          <w:rFonts w:cs="Arial"/>
          <w:szCs w:val="24"/>
          <w:lang w:eastAsia="fr-CA"/>
        </w:rPr>
        <w:t> </w:t>
      </w:r>
      <w:r w:rsidRPr="00B92A3B">
        <w:rPr>
          <w:rFonts w:cs="Arial"/>
          <w:szCs w:val="24"/>
          <w:lang w:eastAsia="fr-CA"/>
        </w:rPr>
        <w:t>2024, n’ayant toujours pas reçu la liste des témoins des</w:t>
      </w:r>
      <w:r w:rsidR="00B92A3B" w:rsidRPr="00B92A3B">
        <w:rPr>
          <w:rFonts w:cs="Arial"/>
          <w:szCs w:val="24"/>
          <w:lang w:eastAsia="fr-CA"/>
        </w:rPr>
        <w:t xml:space="preserve"> </w:t>
      </w:r>
      <w:r w:rsidRPr="00B92A3B">
        <w:rPr>
          <w:rFonts w:cs="Arial"/>
          <w:szCs w:val="24"/>
          <w:lang w:eastAsia="fr-CA"/>
        </w:rPr>
        <w:t>Défendeurs, le Tribunal mentionne ce qui suit au paragraphe</w:t>
      </w:r>
      <w:r w:rsidR="00FF290B">
        <w:rPr>
          <w:rFonts w:cs="Arial"/>
          <w:szCs w:val="24"/>
          <w:lang w:eastAsia="fr-CA"/>
        </w:rPr>
        <w:t> </w:t>
      </w:r>
      <w:r w:rsidRPr="00B92A3B">
        <w:rPr>
          <w:rFonts w:cs="Arial"/>
          <w:szCs w:val="24"/>
          <w:lang w:eastAsia="fr-CA"/>
        </w:rPr>
        <w:t>37 de sa décision de gestion</w:t>
      </w:r>
      <w:r w:rsidR="00B92A3B" w:rsidRPr="00B92A3B">
        <w:rPr>
          <w:rFonts w:cs="Arial"/>
          <w:szCs w:val="24"/>
          <w:lang w:eastAsia="fr-CA"/>
        </w:rPr>
        <w:t> </w:t>
      </w:r>
      <w:r w:rsidRPr="00B92A3B">
        <w:rPr>
          <w:rFonts w:cs="Arial"/>
          <w:szCs w:val="24"/>
          <w:lang w:eastAsia="fr-CA"/>
        </w:rPr>
        <w:t>:</w:t>
      </w:r>
    </w:p>
    <w:p w14:paraId="5C604B50" w14:textId="77777777" w:rsidR="00852048" w:rsidRDefault="00730A01" w:rsidP="00FF290B">
      <w:pPr>
        <w:pStyle w:val="Citationenretrait"/>
        <w:rPr>
          <w:lang w:eastAsia="fr-CA"/>
        </w:rPr>
      </w:pPr>
      <w:r>
        <w:rPr>
          <w:lang w:eastAsia="fr-CA"/>
        </w:rPr>
        <w:t>[37]</w:t>
      </w:r>
      <w:r w:rsidR="00FF290B">
        <w:rPr>
          <w:lang w:eastAsia="fr-CA"/>
        </w:rPr>
        <w:t> </w:t>
      </w:r>
      <w:r w:rsidRPr="003B5E2E">
        <w:rPr>
          <w:lang w:eastAsia="fr-CA"/>
        </w:rPr>
        <w:t>Le Tribunal a reçu la liste des témoins des demandeurs, mais aucune</w:t>
      </w:r>
      <w:r w:rsidR="00B92A3B">
        <w:rPr>
          <w:lang w:eastAsia="fr-CA"/>
        </w:rPr>
        <w:t xml:space="preserve"> </w:t>
      </w:r>
      <w:r w:rsidRPr="003B5E2E">
        <w:rPr>
          <w:lang w:eastAsia="fr-CA"/>
        </w:rPr>
        <w:t>nouvelle liste des témoins des défendeurs n’a encore été transmise. Doit-on</w:t>
      </w:r>
      <w:r w:rsidR="00B92A3B">
        <w:rPr>
          <w:lang w:eastAsia="fr-CA"/>
        </w:rPr>
        <w:t xml:space="preserve"> </w:t>
      </w:r>
      <w:r w:rsidRPr="003B5E2E">
        <w:rPr>
          <w:lang w:eastAsia="fr-CA"/>
        </w:rPr>
        <w:t>en déduire que les défendeurs s’en reportent à la liste de témoins</w:t>
      </w:r>
      <w:r w:rsidR="00B92A3B">
        <w:rPr>
          <w:lang w:eastAsia="fr-CA"/>
        </w:rPr>
        <w:t xml:space="preserve"> </w:t>
      </w:r>
      <w:r w:rsidRPr="003B5E2E">
        <w:rPr>
          <w:lang w:eastAsia="fr-CA"/>
        </w:rPr>
        <w:t>présentée en mai dernier? À moins qu’une nouvelle liste ne soit transmise</w:t>
      </w:r>
      <w:r w:rsidR="00B92A3B">
        <w:rPr>
          <w:lang w:eastAsia="fr-CA"/>
        </w:rPr>
        <w:t xml:space="preserve"> </w:t>
      </w:r>
      <w:r w:rsidRPr="003B5E2E">
        <w:rPr>
          <w:lang w:eastAsia="fr-CA"/>
        </w:rPr>
        <w:t>dans les cinq jours de la présente décision, c’est ce qui en sera déduit</w:t>
      </w:r>
      <w:r>
        <w:rPr>
          <w:lang w:eastAsia="fr-CA"/>
        </w:rPr>
        <w:t>.</w:t>
      </w:r>
    </w:p>
    <w:p w14:paraId="75361347" w14:textId="77777777" w:rsidR="00852048"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Pr>
          <w:rFonts w:cs="Arial"/>
          <w:szCs w:val="24"/>
          <w:lang w:eastAsia="fr-CA"/>
        </w:rPr>
        <w:t>Relativement à l’échéance concernant la transmission du calendrier de procès, le</w:t>
      </w:r>
      <w:r w:rsidR="00B92A3B">
        <w:rPr>
          <w:rFonts w:cs="Arial"/>
          <w:szCs w:val="24"/>
          <w:lang w:eastAsia="fr-CA"/>
        </w:rPr>
        <w:t xml:space="preserve"> </w:t>
      </w:r>
      <w:r>
        <w:rPr>
          <w:rFonts w:cs="Arial"/>
          <w:szCs w:val="24"/>
          <w:lang w:eastAsia="fr-CA"/>
        </w:rPr>
        <w:t>Tribunal précise ce qui suit dans sa décision de gestion du</w:t>
      </w:r>
      <w:r w:rsidR="00B92A3B">
        <w:rPr>
          <w:rFonts w:cs="Arial"/>
          <w:szCs w:val="24"/>
          <w:lang w:eastAsia="fr-CA"/>
        </w:rPr>
        <w:t xml:space="preserve"> </w:t>
      </w:r>
      <w:r>
        <w:rPr>
          <w:rFonts w:cs="Arial"/>
          <w:szCs w:val="24"/>
          <w:lang w:eastAsia="fr-CA"/>
        </w:rPr>
        <w:t>16</w:t>
      </w:r>
      <w:r w:rsidR="00FF290B">
        <w:rPr>
          <w:rFonts w:cs="Arial"/>
          <w:szCs w:val="24"/>
          <w:lang w:eastAsia="fr-CA"/>
        </w:rPr>
        <w:t> </w:t>
      </w:r>
      <w:r>
        <w:rPr>
          <w:rFonts w:cs="Arial"/>
          <w:szCs w:val="24"/>
          <w:lang w:eastAsia="fr-CA"/>
        </w:rPr>
        <w:t>décembre</w:t>
      </w:r>
      <w:r w:rsidR="00FF290B">
        <w:rPr>
          <w:rFonts w:cs="Arial"/>
          <w:szCs w:val="24"/>
          <w:lang w:eastAsia="fr-CA"/>
        </w:rPr>
        <w:t> </w:t>
      </w:r>
      <w:r>
        <w:rPr>
          <w:rFonts w:cs="Arial"/>
          <w:szCs w:val="24"/>
          <w:lang w:eastAsia="fr-CA"/>
        </w:rPr>
        <w:t>2024 :</w:t>
      </w:r>
    </w:p>
    <w:p w14:paraId="368E751E" w14:textId="77777777" w:rsidR="00852048" w:rsidRPr="00FF290B" w:rsidRDefault="00730A01" w:rsidP="00FF290B">
      <w:pPr>
        <w:pStyle w:val="Citationenretrait"/>
        <w:rPr>
          <w:lang w:eastAsia="fr-CA"/>
        </w:rPr>
      </w:pPr>
      <w:r w:rsidRPr="00FF290B">
        <w:rPr>
          <w:lang w:eastAsia="fr-CA"/>
        </w:rPr>
        <w:t>[42] Considérant le devoir de coopération et collaboration des procureurs,</w:t>
      </w:r>
      <w:r w:rsidR="00B92A3B" w:rsidRPr="00FF290B">
        <w:rPr>
          <w:lang w:eastAsia="fr-CA"/>
        </w:rPr>
        <w:t xml:space="preserve"> </w:t>
      </w:r>
      <w:r w:rsidRPr="00FF290B">
        <w:rPr>
          <w:lang w:eastAsia="fr-CA"/>
        </w:rPr>
        <w:t>le Tribunal leur ordonnera aussi de se transmettre une mise à jour de leur</w:t>
      </w:r>
      <w:r w:rsidR="00B92A3B" w:rsidRPr="00FF290B">
        <w:rPr>
          <w:lang w:eastAsia="fr-CA"/>
        </w:rPr>
        <w:t xml:space="preserve"> </w:t>
      </w:r>
      <w:r w:rsidRPr="00FF290B">
        <w:rPr>
          <w:lang w:eastAsia="fr-CA"/>
        </w:rPr>
        <w:t>calendrier de procès indiquant la preuve qu’ils souhaitent administrer, de</w:t>
      </w:r>
      <w:r w:rsidR="00B92A3B" w:rsidRPr="00FF290B">
        <w:rPr>
          <w:lang w:eastAsia="fr-CA"/>
        </w:rPr>
        <w:t xml:space="preserve"> </w:t>
      </w:r>
      <w:r w:rsidRPr="00FF290B">
        <w:rPr>
          <w:lang w:eastAsia="fr-CA"/>
        </w:rPr>
        <w:t>même que la liste de leurs témoins au moins 5</w:t>
      </w:r>
      <w:r w:rsidR="00FF290B">
        <w:rPr>
          <w:lang w:eastAsia="fr-CA"/>
        </w:rPr>
        <w:t> </w:t>
      </w:r>
      <w:r w:rsidRPr="00FF290B">
        <w:rPr>
          <w:lang w:eastAsia="fr-CA"/>
        </w:rPr>
        <w:t>jours avant l’audition.</w:t>
      </w:r>
    </w:p>
    <w:p w14:paraId="122FD026" w14:textId="77777777" w:rsidR="00852048" w:rsidRPr="00B92A3B"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sidRPr="00B92A3B">
        <w:rPr>
          <w:rFonts w:cs="Arial"/>
          <w:szCs w:val="24"/>
          <w:lang w:eastAsia="fr-CA"/>
        </w:rPr>
        <w:t>Un calendrier de procès sera transmis par les Défendeurs le 15</w:t>
      </w:r>
      <w:r w:rsidR="00FF290B">
        <w:rPr>
          <w:rFonts w:cs="Arial"/>
          <w:szCs w:val="24"/>
          <w:lang w:eastAsia="fr-CA"/>
        </w:rPr>
        <w:t> </w:t>
      </w:r>
      <w:r w:rsidRPr="00B92A3B">
        <w:rPr>
          <w:rFonts w:cs="Arial"/>
          <w:szCs w:val="24"/>
          <w:lang w:eastAsia="fr-CA"/>
        </w:rPr>
        <w:t>janvier</w:t>
      </w:r>
      <w:r w:rsidR="00FF290B">
        <w:rPr>
          <w:rFonts w:cs="Arial"/>
          <w:szCs w:val="24"/>
          <w:lang w:eastAsia="fr-CA"/>
        </w:rPr>
        <w:t> </w:t>
      </w:r>
      <w:r w:rsidRPr="00B92A3B">
        <w:rPr>
          <w:rFonts w:cs="Arial"/>
          <w:szCs w:val="24"/>
          <w:lang w:eastAsia="fr-CA"/>
        </w:rPr>
        <w:t>2025, mais</w:t>
      </w:r>
      <w:r w:rsidR="00B92A3B" w:rsidRPr="00B92A3B">
        <w:rPr>
          <w:rFonts w:cs="Arial"/>
          <w:szCs w:val="24"/>
          <w:lang w:eastAsia="fr-CA"/>
        </w:rPr>
        <w:t xml:space="preserve"> </w:t>
      </w:r>
      <w:r w:rsidRPr="00B92A3B">
        <w:rPr>
          <w:rFonts w:cs="Arial"/>
          <w:szCs w:val="24"/>
          <w:lang w:eastAsia="fr-CA"/>
        </w:rPr>
        <w:t>celui-ci ne visera que la semaine du</w:t>
      </w:r>
      <w:r w:rsidR="00FF290B">
        <w:rPr>
          <w:rFonts w:cs="Arial"/>
          <w:szCs w:val="24"/>
          <w:lang w:eastAsia="fr-CA"/>
        </w:rPr>
        <w:t> </w:t>
      </w:r>
      <w:r w:rsidRPr="00B92A3B">
        <w:rPr>
          <w:rFonts w:cs="Arial"/>
          <w:szCs w:val="24"/>
          <w:lang w:eastAsia="fr-CA"/>
        </w:rPr>
        <w:t>20 au 24</w:t>
      </w:r>
      <w:r w:rsidR="00FF290B">
        <w:rPr>
          <w:rFonts w:cs="Arial"/>
          <w:szCs w:val="24"/>
          <w:lang w:eastAsia="fr-CA"/>
        </w:rPr>
        <w:t> </w:t>
      </w:r>
      <w:r w:rsidRPr="00B92A3B">
        <w:rPr>
          <w:rFonts w:cs="Arial"/>
          <w:szCs w:val="24"/>
          <w:lang w:eastAsia="fr-CA"/>
        </w:rPr>
        <w:t>janvier</w:t>
      </w:r>
      <w:r w:rsidR="00FF290B">
        <w:rPr>
          <w:rFonts w:cs="Arial"/>
          <w:szCs w:val="24"/>
          <w:lang w:eastAsia="fr-CA"/>
        </w:rPr>
        <w:t> </w:t>
      </w:r>
      <w:r w:rsidRPr="00B92A3B">
        <w:rPr>
          <w:rFonts w:cs="Arial"/>
          <w:szCs w:val="24"/>
          <w:lang w:eastAsia="fr-CA"/>
        </w:rPr>
        <w:t>2025.</w:t>
      </w:r>
    </w:p>
    <w:p w14:paraId="4F5109E3" w14:textId="77777777" w:rsidR="00852048" w:rsidRPr="00B92A3B"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sidRPr="00B92A3B">
        <w:rPr>
          <w:rFonts w:cs="Arial"/>
          <w:szCs w:val="24"/>
          <w:lang w:eastAsia="fr-CA"/>
        </w:rPr>
        <w:t>Encore une fois, en jouant délibérément sur les mots de l’ordonnance du Tribunal,</w:t>
      </w:r>
      <w:r w:rsidR="00B92A3B" w:rsidRPr="00B92A3B">
        <w:rPr>
          <w:rFonts w:cs="Arial"/>
          <w:szCs w:val="24"/>
          <w:lang w:eastAsia="fr-CA"/>
        </w:rPr>
        <w:t xml:space="preserve"> </w:t>
      </w:r>
      <w:r w:rsidRPr="00B92A3B">
        <w:rPr>
          <w:rFonts w:cs="Arial"/>
          <w:szCs w:val="24"/>
          <w:lang w:eastAsia="fr-CA"/>
        </w:rPr>
        <w:t>les Défendeurs la transgressent et les Demandeurs sont dans l’obligation de</w:t>
      </w:r>
      <w:r w:rsidR="00B92A3B" w:rsidRPr="00B92A3B">
        <w:rPr>
          <w:rFonts w:cs="Arial"/>
          <w:szCs w:val="24"/>
          <w:lang w:eastAsia="fr-CA"/>
        </w:rPr>
        <w:t xml:space="preserve"> </w:t>
      </w:r>
      <w:r w:rsidRPr="00B92A3B">
        <w:rPr>
          <w:rFonts w:cs="Arial"/>
          <w:szCs w:val="24"/>
          <w:lang w:eastAsia="fr-CA"/>
        </w:rPr>
        <w:t>solliciter l’intervention du Tribunal afin de fixer explicitement une date limite pour</w:t>
      </w:r>
      <w:r w:rsidR="00B92A3B" w:rsidRPr="00B92A3B">
        <w:rPr>
          <w:rFonts w:cs="Arial"/>
          <w:szCs w:val="24"/>
          <w:lang w:eastAsia="fr-CA"/>
        </w:rPr>
        <w:t xml:space="preserve"> </w:t>
      </w:r>
      <w:r w:rsidRPr="00B92A3B">
        <w:rPr>
          <w:rFonts w:cs="Arial"/>
          <w:szCs w:val="24"/>
          <w:lang w:eastAsia="fr-CA"/>
        </w:rPr>
        <w:t>la transmission du calendrier complet comprenant également la troisième phase</w:t>
      </w:r>
      <w:r w:rsidR="00B92A3B" w:rsidRPr="00B92A3B">
        <w:rPr>
          <w:rFonts w:cs="Arial"/>
          <w:szCs w:val="24"/>
          <w:lang w:eastAsia="fr-CA"/>
        </w:rPr>
        <w:t xml:space="preserve"> </w:t>
      </w:r>
      <w:r w:rsidRPr="00B92A3B">
        <w:rPr>
          <w:rFonts w:cs="Arial"/>
          <w:szCs w:val="24"/>
          <w:lang w:eastAsia="fr-CA"/>
        </w:rPr>
        <w:t>du procès</w:t>
      </w:r>
      <w:r w:rsidRPr="00B92A3B">
        <w:rPr>
          <w:rFonts w:cs="Arial"/>
          <w:sz w:val="16"/>
          <w:szCs w:val="16"/>
          <w:lang w:eastAsia="fr-CA"/>
        </w:rPr>
        <w:t>.</w:t>
      </w:r>
    </w:p>
    <w:p w14:paraId="72F51943" w14:textId="77777777" w:rsidR="00852048" w:rsidRPr="00B92A3B"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sidRPr="00B92A3B">
        <w:rPr>
          <w:rFonts w:cs="Arial"/>
          <w:szCs w:val="24"/>
          <w:lang w:eastAsia="fr-CA"/>
        </w:rPr>
        <w:t>Or, le devoir de coopération énoncé à l’article</w:t>
      </w:r>
      <w:r w:rsidR="00FF290B">
        <w:rPr>
          <w:rFonts w:cs="Arial"/>
          <w:szCs w:val="24"/>
          <w:lang w:eastAsia="fr-CA"/>
        </w:rPr>
        <w:t> </w:t>
      </w:r>
      <w:r w:rsidRPr="00B92A3B">
        <w:rPr>
          <w:rFonts w:cs="Arial"/>
          <w:szCs w:val="24"/>
          <w:lang w:eastAsia="fr-CA"/>
        </w:rPr>
        <w:t>20 du C.p.c. devrait rendre inutiles</w:t>
      </w:r>
      <w:r w:rsidR="00B92A3B" w:rsidRPr="00B92A3B">
        <w:rPr>
          <w:rFonts w:cs="Arial"/>
          <w:szCs w:val="24"/>
          <w:lang w:eastAsia="fr-CA"/>
        </w:rPr>
        <w:t xml:space="preserve"> </w:t>
      </w:r>
      <w:r w:rsidRPr="00B92A3B">
        <w:rPr>
          <w:rFonts w:cs="Arial"/>
          <w:szCs w:val="24"/>
          <w:lang w:eastAsia="fr-CA"/>
        </w:rPr>
        <w:t>pareilles démarches. Par ailleurs, tarder à répétition à respecter ses engagements</w:t>
      </w:r>
      <w:r w:rsidR="00B92A3B" w:rsidRPr="00B92A3B">
        <w:rPr>
          <w:rFonts w:cs="Arial"/>
          <w:szCs w:val="24"/>
          <w:lang w:eastAsia="fr-CA"/>
        </w:rPr>
        <w:t xml:space="preserve"> </w:t>
      </w:r>
      <w:r w:rsidRPr="00B92A3B">
        <w:rPr>
          <w:rFonts w:cs="Arial"/>
          <w:szCs w:val="24"/>
          <w:lang w:eastAsia="fr-CA"/>
        </w:rPr>
        <w:t>et défier les ordonnances des tribunaux constituent des manquements</w:t>
      </w:r>
      <w:r w:rsidR="00B92A3B">
        <w:rPr>
          <w:rFonts w:cs="Arial"/>
          <w:szCs w:val="24"/>
          <w:lang w:eastAsia="fr-CA"/>
        </w:rPr>
        <w:t xml:space="preserve"> </w:t>
      </w:r>
      <w:r w:rsidRPr="00B92A3B">
        <w:rPr>
          <w:rFonts w:cs="Arial"/>
          <w:szCs w:val="24"/>
          <w:lang w:eastAsia="fr-CA"/>
        </w:rPr>
        <w:t>importants</w:t>
      </w:r>
      <w:r>
        <w:rPr>
          <w:rStyle w:val="Appelnotedebasdep"/>
          <w:rFonts w:cs="Arial"/>
          <w:szCs w:val="24"/>
          <w:lang w:eastAsia="fr-CA"/>
        </w:rPr>
        <w:footnoteReference w:id="718"/>
      </w:r>
      <w:r w:rsidR="00B92A3B">
        <w:rPr>
          <w:rFonts w:cs="Arial"/>
          <w:szCs w:val="24"/>
          <w:lang w:eastAsia="fr-CA"/>
        </w:rPr>
        <w:t>.</w:t>
      </w:r>
    </w:p>
    <w:p w14:paraId="3FD70A56" w14:textId="77777777" w:rsidR="00852048" w:rsidRDefault="00730A01" w:rsidP="00443B59">
      <w:pPr>
        <w:pStyle w:val="Paragraphedeliste"/>
        <w:numPr>
          <w:ilvl w:val="0"/>
          <w:numId w:val="81"/>
        </w:numPr>
        <w:autoSpaceDE w:val="0"/>
        <w:autoSpaceDN w:val="0"/>
        <w:adjustRightInd w:val="0"/>
        <w:ind w:left="567" w:hanging="283"/>
        <w:jc w:val="both"/>
        <w:rPr>
          <w:rFonts w:cs="Arial"/>
          <w:szCs w:val="24"/>
          <w:lang w:eastAsia="fr-CA"/>
        </w:rPr>
      </w:pPr>
      <w:r w:rsidRPr="00B92A3B">
        <w:rPr>
          <w:rFonts w:cs="Arial"/>
          <w:szCs w:val="24"/>
          <w:lang w:eastAsia="fr-CA"/>
        </w:rPr>
        <w:t>Les Demandeurs ne recevront finalement le calendrier de procès complet des</w:t>
      </w:r>
      <w:r w:rsidR="007E2540">
        <w:rPr>
          <w:rFonts w:cs="Arial"/>
          <w:szCs w:val="24"/>
          <w:lang w:eastAsia="fr-CA"/>
        </w:rPr>
        <w:t xml:space="preserve"> </w:t>
      </w:r>
      <w:r w:rsidRPr="00B92A3B">
        <w:rPr>
          <w:rFonts w:cs="Arial"/>
          <w:szCs w:val="24"/>
          <w:lang w:eastAsia="fr-CA"/>
        </w:rPr>
        <w:t>Défendeurs que le 30</w:t>
      </w:r>
      <w:r w:rsidR="00D80936">
        <w:rPr>
          <w:rFonts w:cs="Arial"/>
          <w:szCs w:val="24"/>
          <w:lang w:eastAsia="fr-CA"/>
        </w:rPr>
        <w:t> </w:t>
      </w:r>
      <w:r w:rsidRPr="00B92A3B">
        <w:rPr>
          <w:rFonts w:cs="Arial"/>
          <w:szCs w:val="24"/>
          <w:lang w:eastAsia="fr-CA"/>
        </w:rPr>
        <w:t>janvier</w:t>
      </w:r>
      <w:r w:rsidR="00D80936">
        <w:rPr>
          <w:rFonts w:cs="Arial"/>
          <w:szCs w:val="24"/>
          <w:lang w:eastAsia="fr-CA"/>
        </w:rPr>
        <w:t> </w:t>
      </w:r>
      <w:r w:rsidRPr="00B92A3B">
        <w:rPr>
          <w:rFonts w:cs="Arial"/>
          <w:szCs w:val="24"/>
          <w:lang w:eastAsia="fr-CA"/>
        </w:rPr>
        <w:t>2025.</w:t>
      </w:r>
    </w:p>
    <w:p w14:paraId="37B46DC5" w14:textId="77777777" w:rsidR="007E2540" w:rsidRDefault="00730A01">
      <w:pPr>
        <w:rPr>
          <w:rFonts w:cs="Arial"/>
          <w:szCs w:val="24"/>
          <w:lang w:eastAsia="fr-CA"/>
        </w:rPr>
      </w:pPr>
      <w:r>
        <w:rPr>
          <w:rFonts w:cs="Arial"/>
          <w:szCs w:val="24"/>
          <w:lang w:eastAsia="fr-CA"/>
        </w:rPr>
        <w:br w:type="page"/>
      </w:r>
    </w:p>
    <w:p w14:paraId="1FE3E0F5" w14:textId="77777777" w:rsidR="00852048" w:rsidRPr="00940417" w:rsidRDefault="00730A01" w:rsidP="00443B59">
      <w:pPr>
        <w:pStyle w:val="Titre2"/>
        <w:numPr>
          <w:ilvl w:val="0"/>
          <w:numId w:val="124"/>
        </w:numPr>
        <w:spacing w:after="120"/>
        <w:rPr>
          <w:smallCaps/>
        </w:rPr>
      </w:pPr>
      <w:r w:rsidRPr="00940417">
        <w:rPr>
          <w:smallCaps/>
        </w:rPr>
        <w:t>Défier les ordonnances émises le 24</w:t>
      </w:r>
      <w:r w:rsidR="00D80936" w:rsidRPr="00940417">
        <w:rPr>
          <w:smallCaps/>
        </w:rPr>
        <w:t> </w:t>
      </w:r>
      <w:r w:rsidRPr="00940417">
        <w:rPr>
          <w:smallCaps/>
        </w:rPr>
        <w:t>janvier</w:t>
      </w:r>
      <w:r w:rsidR="00D80936" w:rsidRPr="00940417">
        <w:rPr>
          <w:smallCaps/>
        </w:rPr>
        <w:t> </w:t>
      </w:r>
      <w:r w:rsidRPr="00940417">
        <w:rPr>
          <w:smallCaps/>
        </w:rPr>
        <w:t>2025</w:t>
      </w:r>
    </w:p>
    <w:p w14:paraId="0439C7F0" w14:textId="77777777" w:rsidR="00852048" w:rsidRPr="00D06767" w:rsidRDefault="00730A01" w:rsidP="00443B59">
      <w:pPr>
        <w:pStyle w:val="Paragraphedeliste"/>
        <w:numPr>
          <w:ilvl w:val="0"/>
          <w:numId w:val="81"/>
        </w:numPr>
        <w:autoSpaceDE w:val="0"/>
        <w:autoSpaceDN w:val="0"/>
        <w:adjustRightInd w:val="0"/>
        <w:spacing w:after="120"/>
        <w:ind w:left="568" w:hanging="284"/>
        <w:contextualSpacing w:val="0"/>
        <w:jc w:val="both"/>
        <w:rPr>
          <w:rFonts w:cs="Arial"/>
          <w:i/>
          <w:iCs/>
          <w:szCs w:val="24"/>
          <w:lang w:eastAsia="fr-CA"/>
        </w:rPr>
      </w:pPr>
      <w:r w:rsidRPr="00D06767">
        <w:rPr>
          <w:rFonts w:cs="Arial"/>
          <w:szCs w:val="24"/>
          <w:lang w:eastAsia="fr-CA"/>
        </w:rPr>
        <w:t>Le 24</w:t>
      </w:r>
      <w:r w:rsidR="00D80936">
        <w:rPr>
          <w:rFonts w:cs="Arial"/>
          <w:szCs w:val="24"/>
          <w:lang w:eastAsia="fr-CA"/>
        </w:rPr>
        <w:t> </w:t>
      </w:r>
      <w:r w:rsidRPr="00D06767">
        <w:rPr>
          <w:rFonts w:cs="Arial"/>
          <w:szCs w:val="24"/>
          <w:lang w:eastAsia="fr-CA"/>
        </w:rPr>
        <w:t>janvier</w:t>
      </w:r>
      <w:r w:rsidR="00D80936">
        <w:rPr>
          <w:rFonts w:cs="Arial"/>
          <w:szCs w:val="24"/>
          <w:lang w:eastAsia="fr-CA"/>
        </w:rPr>
        <w:t> </w:t>
      </w:r>
      <w:r w:rsidRPr="00D06767">
        <w:rPr>
          <w:rFonts w:cs="Arial"/>
          <w:szCs w:val="24"/>
          <w:lang w:eastAsia="fr-CA"/>
        </w:rPr>
        <w:t xml:space="preserve">2025, le Tribunal </w:t>
      </w:r>
      <w:r w:rsidR="007E2540">
        <w:rPr>
          <w:rFonts w:cs="Arial"/>
          <w:szCs w:val="24"/>
          <w:lang w:eastAsia="fr-CA"/>
        </w:rPr>
        <w:t>permet</w:t>
      </w:r>
      <w:r w:rsidRPr="00D06767">
        <w:rPr>
          <w:rFonts w:cs="Arial"/>
          <w:szCs w:val="24"/>
          <w:lang w:eastAsia="fr-CA"/>
        </w:rPr>
        <w:t xml:space="preserve"> aux Défendeurs de transmettre au</w:t>
      </w:r>
      <w:r w:rsidR="00D06767" w:rsidRPr="00D06767">
        <w:rPr>
          <w:rFonts w:cs="Arial"/>
          <w:szCs w:val="24"/>
          <w:lang w:eastAsia="fr-CA"/>
        </w:rPr>
        <w:t xml:space="preserve"> </w:t>
      </w:r>
      <w:r w:rsidRPr="00D06767">
        <w:rPr>
          <w:rFonts w:cs="Arial"/>
          <w:szCs w:val="24"/>
          <w:lang w:eastAsia="fr-CA"/>
        </w:rPr>
        <w:t>plus deux pièces additionnelles concernant Guillaume St-Gelais</w:t>
      </w:r>
      <w:r w:rsidR="00D06767" w:rsidRPr="00D06767">
        <w:rPr>
          <w:rFonts w:cs="Arial"/>
          <w:szCs w:val="24"/>
          <w:lang w:eastAsia="fr-CA"/>
        </w:rPr>
        <w:t xml:space="preserve">, </w:t>
      </w:r>
      <w:r w:rsidRPr="00D06767">
        <w:rPr>
          <w:rFonts w:cs="Arial"/>
          <w:szCs w:val="24"/>
          <w:lang w:eastAsia="fr-CA"/>
        </w:rPr>
        <w:t>et ce, au plus tard le 27</w:t>
      </w:r>
      <w:r w:rsidR="00D06767" w:rsidRPr="00D06767">
        <w:rPr>
          <w:rFonts w:cs="Arial"/>
          <w:szCs w:val="24"/>
          <w:lang w:eastAsia="fr-CA"/>
        </w:rPr>
        <w:t> </w:t>
      </w:r>
      <w:r w:rsidRPr="00D06767">
        <w:rPr>
          <w:rFonts w:cs="Arial"/>
          <w:szCs w:val="24"/>
          <w:lang w:eastAsia="fr-CA"/>
        </w:rPr>
        <w:t>janvier</w:t>
      </w:r>
      <w:r w:rsidR="00D06767" w:rsidRPr="00D06767">
        <w:rPr>
          <w:rFonts w:cs="Arial"/>
          <w:szCs w:val="24"/>
          <w:lang w:eastAsia="fr-CA"/>
        </w:rPr>
        <w:t> </w:t>
      </w:r>
      <w:r w:rsidRPr="00D06767">
        <w:rPr>
          <w:rFonts w:cs="Arial"/>
          <w:szCs w:val="24"/>
          <w:lang w:eastAsia="fr-CA"/>
        </w:rPr>
        <w:t>2025. La précision suivante est spécifié</w:t>
      </w:r>
      <w:r w:rsidR="00D06767" w:rsidRPr="00D06767">
        <w:rPr>
          <w:rFonts w:cs="Arial"/>
          <w:szCs w:val="24"/>
          <w:lang w:eastAsia="fr-CA"/>
        </w:rPr>
        <w:t>e </w:t>
      </w:r>
      <w:r w:rsidRPr="00D06767">
        <w:rPr>
          <w:rFonts w:cs="Arial"/>
          <w:szCs w:val="24"/>
          <w:lang w:eastAsia="fr-CA"/>
        </w:rPr>
        <w:t>: «</w:t>
      </w:r>
      <w:r w:rsidR="00D80936">
        <w:rPr>
          <w:rFonts w:cs="Arial"/>
          <w:szCs w:val="24"/>
          <w:lang w:eastAsia="fr-CA"/>
        </w:rPr>
        <w:t> </w:t>
      </w:r>
      <w:r w:rsidRPr="00D06767">
        <w:rPr>
          <w:rFonts w:cs="Arial"/>
          <w:i/>
          <w:iCs/>
          <w:szCs w:val="24"/>
          <w:lang w:eastAsia="fr-CA"/>
        </w:rPr>
        <w:t>une pièce j’entends quelque chose comme un courriel ou quelque chose comme ça, là, je n’entends pas... une pièce en liasse</w:t>
      </w:r>
      <w:r w:rsidR="00D80936">
        <w:rPr>
          <w:rFonts w:cs="Arial"/>
          <w:szCs w:val="24"/>
          <w:lang w:eastAsia="fr-CA"/>
        </w:rPr>
        <w:t> </w:t>
      </w:r>
      <w:r w:rsidRPr="00D06767">
        <w:rPr>
          <w:rFonts w:cs="Arial"/>
          <w:szCs w:val="24"/>
          <w:lang w:eastAsia="fr-CA"/>
        </w:rPr>
        <w:t>». Rappelons que les procureurs des Défendeurs, M</w:t>
      </w:r>
      <w:r w:rsidRPr="003B6474">
        <w:rPr>
          <w:rFonts w:cs="Arial"/>
          <w:szCs w:val="24"/>
          <w:vertAlign w:val="superscript"/>
          <w:lang w:eastAsia="fr-CA"/>
        </w:rPr>
        <w:t>e</w:t>
      </w:r>
      <w:r w:rsidR="00D06767">
        <w:rPr>
          <w:rFonts w:cs="Arial"/>
          <w:szCs w:val="24"/>
          <w:lang w:eastAsia="fr-CA"/>
        </w:rPr>
        <w:t> </w:t>
      </w:r>
      <w:r w:rsidRPr="00D06767">
        <w:rPr>
          <w:rFonts w:cs="Arial"/>
          <w:szCs w:val="24"/>
          <w:lang w:eastAsia="fr-CA"/>
        </w:rPr>
        <w:t>Côté que M</w:t>
      </w:r>
      <w:r w:rsidRPr="003B6474">
        <w:rPr>
          <w:rFonts w:cs="Arial"/>
          <w:szCs w:val="24"/>
          <w:vertAlign w:val="superscript"/>
          <w:lang w:eastAsia="fr-CA"/>
        </w:rPr>
        <w:t>e</w:t>
      </w:r>
      <w:r w:rsidR="00D06767">
        <w:rPr>
          <w:rFonts w:cs="Arial"/>
          <w:szCs w:val="24"/>
          <w:lang w:eastAsia="fr-CA"/>
        </w:rPr>
        <w:t> </w:t>
      </w:r>
      <w:r w:rsidRPr="00D06767">
        <w:rPr>
          <w:rFonts w:cs="Arial"/>
          <w:szCs w:val="24"/>
          <w:lang w:eastAsia="fr-CA"/>
        </w:rPr>
        <w:t>Bouzaglou se sont dit en</w:t>
      </w:r>
      <w:r w:rsidRPr="00D06767">
        <w:rPr>
          <w:rFonts w:cs="Arial"/>
          <w:i/>
          <w:iCs/>
          <w:szCs w:val="24"/>
          <w:lang w:eastAsia="fr-CA"/>
        </w:rPr>
        <w:t xml:space="preserve"> </w:t>
      </w:r>
      <w:r w:rsidRPr="00D06767">
        <w:rPr>
          <w:rFonts w:cs="Arial"/>
          <w:szCs w:val="24"/>
          <w:lang w:eastAsia="fr-CA"/>
        </w:rPr>
        <w:t>accord avec cette intervention du Tribunal</w:t>
      </w:r>
      <w:r>
        <w:rPr>
          <w:rStyle w:val="Appelnotedebasdep"/>
          <w:rFonts w:cs="Arial"/>
          <w:szCs w:val="24"/>
          <w:lang w:eastAsia="fr-CA"/>
        </w:rPr>
        <w:footnoteReference w:id="719"/>
      </w:r>
      <w:r w:rsidR="00D80936">
        <w:rPr>
          <w:rFonts w:cs="Arial"/>
          <w:szCs w:val="24"/>
          <w:lang w:eastAsia="fr-CA"/>
        </w:rPr>
        <w:t>.</w:t>
      </w:r>
    </w:p>
    <w:p w14:paraId="37B7E6C1" w14:textId="77777777" w:rsidR="00852048" w:rsidRPr="0099369D" w:rsidRDefault="00730A01" w:rsidP="00C67102">
      <w:pPr>
        <w:autoSpaceDE w:val="0"/>
        <w:autoSpaceDN w:val="0"/>
        <w:adjustRightInd w:val="0"/>
        <w:spacing w:before="120"/>
        <w:ind w:left="567"/>
        <w:jc w:val="both"/>
        <w:rPr>
          <w:rFonts w:cs="Arial"/>
          <w:b/>
          <w:bCs/>
          <w:i/>
          <w:iCs/>
          <w:sz w:val="22"/>
          <w:szCs w:val="22"/>
          <w:lang w:eastAsia="fr-CA"/>
        </w:rPr>
      </w:pPr>
      <w:r w:rsidRPr="0099369D">
        <w:rPr>
          <w:rFonts w:cs="Arial"/>
          <w:b/>
          <w:bCs/>
          <w:i/>
          <w:iCs/>
          <w:sz w:val="22"/>
          <w:szCs w:val="22"/>
          <w:lang w:eastAsia="fr-CA"/>
        </w:rPr>
        <w:t>LA COUR</w:t>
      </w:r>
      <w:r w:rsidR="00D80936">
        <w:rPr>
          <w:rFonts w:cs="Arial"/>
          <w:b/>
          <w:bCs/>
          <w:i/>
          <w:iCs/>
          <w:sz w:val="22"/>
          <w:szCs w:val="22"/>
          <w:lang w:eastAsia="fr-CA"/>
        </w:rPr>
        <w:t> </w:t>
      </w:r>
      <w:r w:rsidRPr="0099369D">
        <w:rPr>
          <w:rFonts w:cs="Arial"/>
          <w:b/>
          <w:bCs/>
          <w:i/>
          <w:iCs/>
          <w:sz w:val="22"/>
          <w:szCs w:val="22"/>
          <w:lang w:eastAsia="fr-CA"/>
        </w:rPr>
        <w:t>:</w:t>
      </w:r>
    </w:p>
    <w:p w14:paraId="251C462B" w14:textId="77777777" w:rsidR="00852048" w:rsidRPr="0099369D" w:rsidRDefault="00730A01" w:rsidP="00C67102">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Lundi au plus tard s’il y a une pièce ou deux.</w:t>
      </w:r>
    </w:p>
    <w:p w14:paraId="48BCA11C" w14:textId="77777777" w:rsidR="00852048" w:rsidRPr="0099369D" w:rsidRDefault="00730A01" w:rsidP="00C67102">
      <w:pPr>
        <w:autoSpaceDE w:val="0"/>
        <w:autoSpaceDN w:val="0"/>
        <w:adjustRightInd w:val="0"/>
        <w:ind w:left="567"/>
        <w:jc w:val="both"/>
        <w:rPr>
          <w:rFonts w:cs="Arial"/>
          <w:b/>
          <w:bCs/>
          <w:i/>
          <w:iCs/>
          <w:sz w:val="22"/>
          <w:szCs w:val="22"/>
          <w:lang w:eastAsia="fr-CA"/>
        </w:rPr>
      </w:pPr>
      <w:r w:rsidRPr="0099369D">
        <w:rPr>
          <w:rFonts w:cs="Arial"/>
          <w:b/>
          <w:bCs/>
          <w:i/>
          <w:iCs/>
          <w:sz w:val="22"/>
          <w:szCs w:val="22"/>
          <w:lang w:eastAsia="fr-CA"/>
        </w:rPr>
        <w:t>M</w:t>
      </w:r>
      <w:r w:rsidRPr="00D80936">
        <w:rPr>
          <w:rFonts w:cs="Arial"/>
          <w:b/>
          <w:bCs/>
          <w:i/>
          <w:iCs/>
          <w:sz w:val="22"/>
          <w:szCs w:val="22"/>
          <w:vertAlign w:val="superscript"/>
          <w:lang w:eastAsia="fr-CA"/>
        </w:rPr>
        <w:t>e</w:t>
      </w:r>
      <w:r w:rsidR="00D80936">
        <w:rPr>
          <w:rFonts w:cs="Arial"/>
          <w:b/>
          <w:bCs/>
          <w:i/>
          <w:iCs/>
          <w:sz w:val="22"/>
          <w:szCs w:val="22"/>
          <w:lang w:eastAsia="fr-CA"/>
        </w:rPr>
        <w:t> </w:t>
      </w:r>
      <w:r w:rsidRPr="0099369D">
        <w:rPr>
          <w:rFonts w:cs="Arial"/>
          <w:b/>
          <w:bCs/>
          <w:i/>
          <w:iCs/>
          <w:sz w:val="22"/>
          <w:szCs w:val="22"/>
          <w:lang w:eastAsia="fr-CA"/>
        </w:rPr>
        <w:t>MARC-ANTOINE CÔTÉ</w:t>
      </w:r>
      <w:r w:rsidR="00D80936">
        <w:rPr>
          <w:rFonts w:cs="Arial"/>
          <w:b/>
          <w:bCs/>
          <w:i/>
          <w:iCs/>
          <w:sz w:val="22"/>
          <w:szCs w:val="22"/>
          <w:lang w:eastAsia="fr-CA"/>
        </w:rPr>
        <w:t> </w:t>
      </w:r>
      <w:r w:rsidRPr="0099369D">
        <w:rPr>
          <w:rFonts w:cs="Arial"/>
          <w:b/>
          <w:bCs/>
          <w:i/>
          <w:iCs/>
          <w:sz w:val="22"/>
          <w:szCs w:val="22"/>
          <w:lang w:eastAsia="fr-CA"/>
        </w:rPr>
        <w:t>:</w:t>
      </w:r>
    </w:p>
    <w:p w14:paraId="077D7F93" w14:textId="77777777" w:rsidR="00852048" w:rsidRPr="0099369D" w:rsidRDefault="00730A01" w:rsidP="00C67102">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Ça me va.</w:t>
      </w:r>
    </w:p>
    <w:p w14:paraId="7493DA0E" w14:textId="77777777" w:rsidR="00852048" w:rsidRPr="0099369D" w:rsidRDefault="00730A01" w:rsidP="00C67102">
      <w:pPr>
        <w:autoSpaceDE w:val="0"/>
        <w:autoSpaceDN w:val="0"/>
        <w:adjustRightInd w:val="0"/>
        <w:ind w:left="567"/>
        <w:jc w:val="both"/>
        <w:rPr>
          <w:rFonts w:cs="Arial"/>
          <w:b/>
          <w:bCs/>
          <w:i/>
          <w:iCs/>
          <w:sz w:val="22"/>
          <w:szCs w:val="22"/>
          <w:lang w:eastAsia="fr-CA"/>
        </w:rPr>
      </w:pPr>
      <w:r w:rsidRPr="0099369D">
        <w:rPr>
          <w:rFonts w:cs="Arial"/>
          <w:b/>
          <w:bCs/>
          <w:i/>
          <w:iCs/>
          <w:sz w:val="22"/>
          <w:szCs w:val="22"/>
          <w:lang w:eastAsia="fr-CA"/>
        </w:rPr>
        <w:t>M</w:t>
      </w:r>
      <w:r w:rsidRPr="00D80936">
        <w:rPr>
          <w:rFonts w:cs="Arial"/>
          <w:b/>
          <w:bCs/>
          <w:i/>
          <w:iCs/>
          <w:sz w:val="22"/>
          <w:szCs w:val="22"/>
          <w:vertAlign w:val="superscript"/>
          <w:lang w:eastAsia="fr-CA"/>
        </w:rPr>
        <w:t>e</w:t>
      </w:r>
      <w:r w:rsidR="00D80936">
        <w:rPr>
          <w:rFonts w:cs="Arial"/>
          <w:b/>
          <w:bCs/>
          <w:i/>
          <w:iCs/>
          <w:sz w:val="22"/>
          <w:szCs w:val="22"/>
          <w:lang w:eastAsia="fr-CA"/>
        </w:rPr>
        <w:t> </w:t>
      </w:r>
      <w:r w:rsidRPr="0099369D">
        <w:rPr>
          <w:rFonts w:cs="Arial"/>
          <w:b/>
          <w:bCs/>
          <w:i/>
          <w:iCs/>
          <w:sz w:val="22"/>
          <w:szCs w:val="22"/>
          <w:lang w:eastAsia="fr-CA"/>
        </w:rPr>
        <w:t>FRANÇOIS VALIN</w:t>
      </w:r>
      <w:r w:rsidR="00D80936">
        <w:rPr>
          <w:rFonts w:cs="Arial"/>
          <w:b/>
          <w:bCs/>
          <w:i/>
          <w:iCs/>
          <w:sz w:val="22"/>
          <w:szCs w:val="22"/>
          <w:lang w:eastAsia="fr-CA"/>
        </w:rPr>
        <w:t> </w:t>
      </w:r>
      <w:r w:rsidRPr="0099369D">
        <w:rPr>
          <w:rFonts w:cs="Arial"/>
          <w:b/>
          <w:bCs/>
          <w:i/>
          <w:iCs/>
          <w:sz w:val="22"/>
          <w:szCs w:val="22"/>
          <w:lang w:eastAsia="fr-CA"/>
        </w:rPr>
        <w:t>:</w:t>
      </w:r>
    </w:p>
    <w:p w14:paraId="67213901" w14:textId="77777777" w:rsidR="00852048" w:rsidRPr="0099369D" w:rsidRDefault="00730A01" w:rsidP="00C67102">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Pas un ensemble de pièces, là.</w:t>
      </w:r>
    </w:p>
    <w:p w14:paraId="0094C730" w14:textId="77777777" w:rsidR="00852048" w:rsidRPr="0099369D" w:rsidRDefault="00730A01" w:rsidP="00C67102">
      <w:pPr>
        <w:autoSpaceDE w:val="0"/>
        <w:autoSpaceDN w:val="0"/>
        <w:adjustRightInd w:val="0"/>
        <w:ind w:left="567"/>
        <w:jc w:val="both"/>
        <w:rPr>
          <w:rFonts w:cs="Arial"/>
          <w:b/>
          <w:bCs/>
          <w:i/>
          <w:iCs/>
          <w:sz w:val="22"/>
          <w:szCs w:val="22"/>
          <w:lang w:eastAsia="fr-CA"/>
        </w:rPr>
      </w:pPr>
      <w:r w:rsidRPr="0099369D">
        <w:rPr>
          <w:rFonts w:cs="Arial"/>
          <w:b/>
          <w:bCs/>
          <w:i/>
          <w:iCs/>
          <w:sz w:val="22"/>
          <w:szCs w:val="22"/>
          <w:lang w:eastAsia="fr-CA"/>
        </w:rPr>
        <w:t>M</w:t>
      </w:r>
      <w:r w:rsidRPr="001C27F8">
        <w:rPr>
          <w:rFonts w:cs="Arial"/>
          <w:b/>
          <w:bCs/>
          <w:i/>
          <w:iCs/>
          <w:sz w:val="22"/>
          <w:szCs w:val="22"/>
          <w:vertAlign w:val="superscript"/>
          <w:lang w:eastAsia="fr-CA"/>
        </w:rPr>
        <w:t>e</w:t>
      </w:r>
      <w:r w:rsidR="00D80936">
        <w:rPr>
          <w:rFonts w:cs="Arial"/>
          <w:b/>
          <w:bCs/>
          <w:i/>
          <w:iCs/>
          <w:sz w:val="22"/>
          <w:szCs w:val="22"/>
          <w:lang w:eastAsia="fr-CA"/>
        </w:rPr>
        <w:t> </w:t>
      </w:r>
      <w:r w:rsidRPr="0099369D">
        <w:rPr>
          <w:rFonts w:cs="Arial"/>
          <w:b/>
          <w:bCs/>
          <w:i/>
          <w:iCs/>
          <w:sz w:val="22"/>
          <w:szCs w:val="22"/>
          <w:lang w:eastAsia="fr-CA"/>
        </w:rPr>
        <w:t>MARC-ANTOINE CÔTÉ</w:t>
      </w:r>
      <w:r w:rsidR="00D80936">
        <w:rPr>
          <w:rFonts w:cs="Arial"/>
          <w:b/>
          <w:bCs/>
          <w:i/>
          <w:iCs/>
          <w:sz w:val="22"/>
          <w:szCs w:val="22"/>
          <w:lang w:eastAsia="fr-CA"/>
        </w:rPr>
        <w:t> </w:t>
      </w:r>
      <w:r w:rsidRPr="0099369D">
        <w:rPr>
          <w:rFonts w:cs="Arial"/>
          <w:b/>
          <w:bCs/>
          <w:i/>
          <w:iCs/>
          <w:sz w:val="22"/>
          <w:szCs w:val="22"/>
          <w:lang w:eastAsia="fr-CA"/>
        </w:rPr>
        <w:t>:</w:t>
      </w:r>
    </w:p>
    <w:p w14:paraId="66AA3E86" w14:textId="77777777" w:rsidR="00852048" w:rsidRPr="0099369D" w:rsidRDefault="00730A01" w:rsidP="00C67102">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Non non.</w:t>
      </w:r>
    </w:p>
    <w:p w14:paraId="2C2D7C77" w14:textId="77777777" w:rsidR="00852048" w:rsidRPr="0099369D" w:rsidRDefault="00730A01" w:rsidP="00C67102">
      <w:pPr>
        <w:autoSpaceDE w:val="0"/>
        <w:autoSpaceDN w:val="0"/>
        <w:adjustRightInd w:val="0"/>
        <w:ind w:left="567"/>
        <w:jc w:val="both"/>
        <w:rPr>
          <w:rFonts w:cs="Arial"/>
          <w:b/>
          <w:bCs/>
          <w:i/>
          <w:iCs/>
          <w:sz w:val="22"/>
          <w:szCs w:val="22"/>
          <w:lang w:eastAsia="fr-CA"/>
        </w:rPr>
      </w:pPr>
      <w:r w:rsidRPr="0099369D">
        <w:rPr>
          <w:rFonts w:cs="Arial"/>
          <w:b/>
          <w:bCs/>
          <w:i/>
          <w:iCs/>
          <w:sz w:val="22"/>
          <w:szCs w:val="22"/>
          <w:lang w:eastAsia="fr-CA"/>
        </w:rPr>
        <w:t>LA COUR</w:t>
      </w:r>
      <w:r w:rsidR="00D80936">
        <w:rPr>
          <w:rFonts w:cs="Arial"/>
          <w:b/>
          <w:bCs/>
          <w:i/>
          <w:iCs/>
          <w:sz w:val="22"/>
          <w:szCs w:val="22"/>
          <w:lang w:eastAsia="fr-CA"/>
        </w:rPr>
        <w:t> </w:t>
      </w:r>
      <w:r w:rsidRPr="0099369D">
        <w:rPr>
          <w:rFonts w:cs="Arial"/>
          <w:b/>
          <w:bCs/>
          <w:i/>
          <w:iCs/>
          <w:sz w:val="22"/>
          <w:szCs w:val="22"/>
          <w:lang w:eastAsia="fr-CA"/>
        </w:rPr>
        <w:t>:</w:t>
      </w:r>
    </w:p>
    <w:p w14:paraId="680CA1BE" w14:textId="77777777" w:rsidR="00852048" w:rsidRPr="0099369D" w:rsidRDefault="00730A01" w:rsidP="00C67102">
      <w:pPr>
        <w:autoSpaceDE w:val="0"/>
        <w:autoSpaceDN w:val="0"/>
        <w:adjustRightInd w:val="0"/>
        <w:ind w:left="567"/>
        <w:jc w:val="both"/>
        <w:rPr>
          <w:rFonts w:cs="Arial"/>
          <w:i/>
          <w:iCs/>
          <w:sz w:val="22"/>
          <w:szCs w:val="22"/>
          <w:lang w:eastAsia="fr-CA"/>
        </w:rPr>
      </w:pPr>
      <w:r w:rsidRPr="0099369D">
        <w:rPr>
          <w:rFonts w:cs="Arial"/>
          <w:i/>
          <w:iCs/>
          <w:sz w:val="22"/>
          <w:szCs w:val="22"/>
          <w:lang w:eastAsia="fr-CA"/>
        </w:rPr>
        <w:t>Non, s’il y a une pièce ou deux concernant ce témoin-là, lundi au plus</w:t>
      </w:r>
      <w:r w:rsidR="00760EF8">
        <w:rPr>
          <w:rFonts w:cs="Arial"/>
          <w:i/>
          <w:iCs/>
          <w:sz w:val="22"/>
          <w:szCs w:val="22"/>
          <w:lang w:eastAsia="fr-CA"/>
        </w:rPr>
        <w:t xml:space="preserve"> </w:t>
      </w:r>
      <w:r w:rsidRPr="0099369D">
        <w:rPr>
          <w:rFonts w:cs="Arial"/>
          <w:i/>
          <w:iCs/>
          <w:sz w:val="22"/>
          <w:szCs w:val="22"/>
          <w:lang w:eastAsia="fr-CA"/>
        </w:rPr>
        <w:t>tard, on s’entend.</w:t>
      </w:r>
    </w:p>
    <w:p w14:paraId="47A5DEEC" w14:textId="77777777" w:rsidR="00852048" w:rsidRPr="0099369D" w:rsidRDefault="00730A01" w:rsidP="00C67102">
      <w:pPr>
        <w:autoSpaceDE w:val="0"/>
        <w:autoSpaceDN w:val="0"/>
        <w:adjustRightInd w:val="0"/>
        <w:spacing w:before="120"/>
        <w:ind w:left="567"/>
        <w:jc w:val="both"/>
        <w:rPr>
          <w:rFonts w:cs="Arial"/>
          <w:b/>
          <w:bCs/>
          <w:i/>
          <w:iCs/>
          <w:sz w:val="22"/>
          <w:szCs w:val="22"/>
          <w:lang w:eastAsia="fr-CA"/>
        </w:rPr>
      </w:pPr>
      <w:r w:rsidRPr="0099369D">
        <w:rPr>
          <w:rFonts w:cs="Arial"/>
          <w:b/>
          <w:bCs/>
          <w:i/>
          <w:iCs/>
          <w:sz w:val="22"/>
          <w:szCs w:val="22"/>
          <w:lang w:eastAsia="fr-CA"/>
        </w:rPr>
        <w:t>M</w:t>
      </w:r>
      <w:r w:rsidRPr="001C27F8">
        <w:rPr>
          <w:rFonts w:cs="Arial"/>
          <w:b/>
          <w:bCs/>
          <w:i/>
          <w:iCs/>
          <w:sz w:val="22"/>
          <w:szCs w:val="22"/>
          <w:vertAlign w:val="superscript"/>
          <w:lang w:eastAsia="fr-CA"/>
        </w:rPr>
        <w:t>e</w:t>
      </w:r>
      <w:r w:rsidR="00D80936">
        <w:rPr>
          <w:rFonts w:cs="Arial"/>
          <w:b/>
          <w:bCs/>
          <w:i/>
          <w:iCs/>
          <w:sz w:val="22"/>
          <w:szCs w:val="22"/>
          <w:lang w:eastAsia="fr-CA"/>
        </w:rPr>
        <w:t> </w:t>
      </w:r>
      <w:r w:rsidRPr="0099369D">
        <w:rPr>
          <w:rFonts w:cs="Arial"/>
          <w:b/>
          <w:bCs/>
          <w:i/>
          <w:iCs/>
          <w:sz w:val="22"/>
          <w:szCs w:val="22"/>
          <w:lang w:eastAsia="fr-CA"/>
        </w:rPr>
        <w:t>ALEXANDRE ST-PIERRE MARCOUX</w:t>
      </w:r>
      <w:r w:rsidR="00D80936">
        <w:rPr>
          <w:rFonts w:cs="Arial"/>
          <w:b/>
          <w:bCs/>
          <w:i/>
          <w:iCs/>
          <w:sz w:val="22"/>
          <w:szCs w:val="22"/>
          <w:lang w:eastAsia="fr-CA"/>
        </w:rPr>
        <w:t> </w:t>
      </w:r>
      <w:r w:rsidRPr="0099369D">
        <w:rPr>
          <w:rFonts w:cs="Arial"/>
          <w:b/>
          <w:bCs/>
          <w:i/>
          <w:iCs/>
          <w:sz w:val="22"/>
          <w:szCs w:val="22"/>
          <w:lang w:eastAsia="fr-CA"/>
        </w:rPr>
        <w:t>:</w:t>
      </w:r>
    </w:p>
    <w:p w14:paraId="4165E8F6" w14:textId="77777777" w:rsidR="00852048" w:rsidRPr="0099369D" w:rsidRDefault="00730A01" w:rsidP="00C67102">
      <w:pPr>
        <w:autoSpaceDE w:val="0"/>
        <w:autoSpaceDN w:val="0"/>
        <w:adjustRightInd w:val="0"/>
        <w:ind w:left="567"/>
        <w:jc w:val="both"/>
        <w:rPr>
          <w:rFonts w:cs="Arial"/>
          <w:i/>
          <w:iCs/>
          <w:sz w:val="22"/>
          <w:szCs w:val="22"/>
          <w:lang w:eastAsia="fr-CA"/>
        </w:rPr>
      </w:pPr>
      <w:r w:rsidRPr="0099369D">
        <w:rPr>
          <w:rFonts w:cs="Arial"/>
          <w:i/>
          <w:iCs/>
          <w:sz w:val="22"/>
          <w:szCs w:val="22"/>
          <w:lang w:eastAsia="fr-CA"/>
        </w:rPr>
        <w:t>Je veux juste donner un exemple, là, D-653, il y a 400</w:t>
      </w:r>
      <w:r w:rsidR="001C27F8">
        <w:rPr>
          <w:rFonts w:cs="Arial"/>
          <w:i/>
          <w:iCs/>
          <w:sz w:val="22"/>
          <w:szCs w:val="22"/>
          <w:lang w:eastAsia="fr-CA"/>
        </w:rPr>
        <w:t> </w:t>
      </w:r>
      <w:r w:rsidRPr="0099369D">
        <w:rPr>
          <w:rFonts w:cs="Arial"/>
          <w:i/>
          <w:iCs/>
          <w:sz w:val="22"/>
          <w:szCs w:val="22"/>
          <w:lang w:eastAsia="fr-CA"/>
        </w:rPr>
        <w:t>documents dans</w:t>
      </w:r>
      <w:r w:rsidR="00760EF8">
        <w:rPr>
          <w:rFonts w:cs="Arial"/>
          <w:i/>
          <w:iCs/>
          <w:sz w:val="22"/>
          <w:szCs w:val="22"/>
          <w:lang w:eastAsia="fr-CA"/>
        </w:rPr>
        <w:t xml:space="preserve"> </w:t>
      </w:r>
      <w:r w:rsidRPr="0099369D">
        <w:rPr>
          <w:rFonts w:cs="Arial"/>
          <w:i/>
          <w:iCs/>
          <w:sz w:val="22"/>
          <w:szCs w:val="22"/>
          <w:lang w:eastAsia="fr-CA"/>
        </w:rPr>
        <w:t>une pièce.</w:t>
      </w:r>
    </w:p>
    <w:p w14:paraId="7DA70E6A" w14:textId="77777777" w:rsidR="00852048" w:rsidRPr="0099369D" w:rsidRDefault="00730A01" w:rsidP="00C67102">
      <w:pPr>
        <w:autoSpaceDE w:val="0"/>
        <w:autoSpaceDN w:val="0"/>
        <w:adjustRightInd w:val="0"/>
        <w:spacing w:before="120"/>
        <w:ind w:left="567"/>
        <w:jc w:val="both"/>
        <w:rPr>
          <w:rFonts w:cs="Arial"/>
          <w:b/>
          <w:bCs/>
          <w:i/>
          <w:iCs/>
          <w:sz w:val="22"/>
          <w:szCs w:val="22"/>
          <w:lang w:eastAsia="fr-CA"/>
        </w:rPr>
      </w:pPr>
      <w:r w:rsidRPr="0099369D">
        <w:rPr>
          <w:rFonts w:cs="Arial"/>
          <w:b/>
          <w:bCs/>
          <w:i/>
          <w:iCs/>
          <w:sz w:val="22"/>
          <w:szCs w:val="22"/>
          <w:lang w:eastAsia="fr-CA"/>
        </w:rPr>
        <w:t>M</w:t>
      </w:r>
      <w:r w:rsidRPr="001C27F8">
        <w:rPr>
          <w:rFonts w:cs="Arial"/>
          <w:b/>
          <w:bCs/>
          <w:i/>
          <w:iCs/>
          <w:sz w:val="22"/>
          <w:szCs w:val="22"/>
          <w:vertAlign w:val="superscript"/>
          <w:lang w:eastAsia="fr-CA"/>
        </w:rPr>
        <w:t>e</w:t>
      </w:r>
      <w:r w:rsidR="00D80936">
        <w:rPr>
          <w:rFonts w:cs="Arial"/>
          <w:b/>
          <w:bCs/>
          <w:i/>
          <w:iCs/>
          <w:sz w:val="22"/>
          <w:szCs w:val="22"/>
          <w:lang w:eastAsia="fr-CA"/>
        </w:rPr>
        <w:t> </w:t>
      </w:r>
      <w:r w:rsidRPr="0099369D">
        <w:rPr>
          <w:rFonts w:cs="Arial"/>
          <w:b/>
          <w:bCs/>
          <w:i/>
          <w:iCs/>
          <w:sz w:val="22"/>
          <w:szCs w:val="22"/>
          <w:lang w:eastAsia="fr-CA"/>
        </w:rPr>
        <w:t>FRANÇOIS VALIN</w:t>
      </w:r>
      <w:r w:rsidR="00D80936">
        <w:rPr>
          <w:rFonts w:cs="Arial"/>
          <w:b/>
          <w:bCs/>
          <w:i/>
          <w:iCs/>
          <w:sz w:val="22"/>
          <w:szCs w:val="22"/>
          <w:lang w:eastAsia="fr-CA"/>
        </w:rPr>
        <w:t> </w:t>
      </w:r>
      <w:r w:rsidRPr="0099369D">
        <w:rPr>
          <w:rFonts w:cs="Arial"/>
          <w:b/>
          <w:bCs/>
          <w:i/>
          <w:iCs/>
          <w:sz w:val="22"/>
          <w:szCs w:val="22"/>
          <w:lang w:eastAsia="fr-CA"/>
        </w:rPr>
        <w:t>:</w:t>
      </w:r>
    </w:p>
    <w:p w14:paraId="0CE0EBAD" w14:textId="77777777" w:rsidR="00852048" w:rsidRPr="0099369D" w:rsidRDefault="00730A01" w:rsidP="00C67102">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C’est ça.</w:t>
      </w:r>
    </w:p>
    <w:p w14:paraId="2BBE065E" w14:textId="77777777" w:rsidR="00852048" w:rsidRPr="0099369D" w:rsidRDefault="00730A01" w:rsidP="00C67102">
      <w:pPr>
        <w:autoSpaceDE w:val="0"/>
        <w:autoSpaceDN w:val="0"/>
        <w:adjustRightInd w:val="0"/>
        <w:ind w:left="567"/>
        <w:jc w:val="both"/>
        <w:rPr>
          <w:rFonts w:cs="Arial"/>
          <w:b/>
          <w:bCs/>
          <w:i/>
          <w:iCs/>
          <w:sz w:val="22"/>
          <w:szCs w:val="22"/>
          <w:lang w:eastAsia="fr-CA"/>
        </w:rPr>
      </w:pPr>
      <w:r w:rsidRPr="0099369D">
        <w:rPr>
          <w:rFonts w:cs="Arial"/>
          <w:b/>
          <w:bCs/>
          <w:i/>
          <w:iCs/>
          <w:sz w:val="22"/>
          <w:szCs w:val="22"/>
          <w:lang w:eastAsia="fr-CA"/>
        </w:rPr>
        <w:t>LA COUR</w:t>
      </w:r>
      <w:r w:rsidR="001C27F8">
        <w:rPr>
          <w:rFonts w:cs="Arial"/>
          <w:b/>
          <w:bCs/>
          <w:i/>
          <w:iCs/>
          <w:sz w:val="22"/>
          <w:szCs w:val="22"/>
          <w:lang w:eastAsia="fr-CA"/>
        </w:rPr>
        <w:t> </w:t>
      </w:r>
      <w:r w:rsidRPr="0099369D">
        <w:rPr>
          <w:rFonts w:cs="Arial"/>
          <w:b/>
          <w:bCs/>
          <w:i/>
          <w:iCs/>
          <w:sz w:val="22"/>
          <w:szCs w:val="22"/>
          <w:lang w:eastAsia="fr-CA"/>
        </w:rPr>
        <w:t>:</w:t>
      </w:r>
    </w:p>
    <w:p w14:paraId="340718AB" w14:textId="77777777" w:rsidR="00852048" w:rsidRPr="0099369D" w:rsidRDefault="00730A01" w:rsidP="00C67102">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Non, je sais, mais...</w:t>
      </w:r>
    </w:p>
    <w:p w14:paraId="0F4A2DC4" w14:textId="77777777" w:rsidR="00852048" w:rsidRPr="0099369D" w:rsidRDefault="00730A01" w:rsidP="00C67102">
      <w:pPr>
        <w:autoSpaceDE w:val="0"/>
        <w:autoSpaceDN w:val="0"/>
        <w:adjustRightInd w:val="0"/>
        <w:ind w:left="567"/>
        <w:jc w:val="both"/>
        <w:rPr>
          <w:rFonts w:cs="Arial"/>
          <w:b/>
          <w:bCs/>
          <w:i/>
          <w:iCs/>
          <w:sz w:val="22"/>
          <w:szCs w:val="22"/>
          <w:lang w:eastAsia="fr-CA"/>
        </w:rPr>
      </w:pPr>
      <w:r w:rsidRPr="0099369D">
        <w:rPr>
          <w:rFonts w:cs="Arial"/>
          <w:b/>
          <w:bCs/>
          <w:i/>
          <w:iCs/>
          <w:sz w:val="22"/>
          <w:szCs w:val="22"/>
          <w:lang w:eastAsia="fr-CA"/>
        </w:rPr>
        <w:t>M</w:t>
      </w:r>
      <w:r w:rsidRPr="001C27F8">
        <w:rPr>
          <w:rFonts w:cs="Arial"/>
          <w:b/>
          <w:bCs/>
          <w:i/>
          <w:iCs/>
          <w:sz w:val="22"/>
          <w:szCs w:val="22"/>
          <w:vertAlign w:val="superscript"/>
          <w:lang w:eastAsia="fr-CA"/>
        </w:rPr>
        <w:t>e</w:t>
      </w:r>
      <w:r w:rsidR="001C27F8">
        <w:rPr>
          <w:rFonts w:cs="Arial"/>
          <w:b/>
          <w:bCs/>
          <w:i/>
          <w:iCs/>
          <w:sz w:val="22"/>
          <w:szCs w:val="22"/>
          <w:lang w:eastAsia="fr-CA"/>
        </w:rPr>
        <w:t> </w:t>
      </w:r>
      <w:r w:rsidRPr="0099369D">
        <w:rPr>
          <w:rFonts w:cs="Arial"/>
          <w:b/>
          <w:bCs/>
          <w:i/>
          <w:iCs/>
          <w:sz w:val="22"/>
          <w:szCs w:val="22"/>
          <w:lang w:eastAsia="fr-CA"/>
        </w:rPr>
        <w:t>JEAN-FRANÇOIS BERTRAND</w:t>
      </w:r>
      <w:r w:rsidR="001C27F8">
        <w:rPr>
          <w:rFonts w:cs="Arial"/>
          <w:b/>
          <w:bCs/>
          <w:i/>
          <w:iCs/>
          <w:sz w:val="22"/>
          <w:szCs w:val="22"/>
          <w:lang w:eastAsia="fr-CA"/>
        </w:rPr>
        <w:t> </w:t>
      </w:r>
      <w:r w:rsidRPr="0099369D">
        <w:rPr>
          <w:rFonts w:cs="Arial"/>
          <w:b/>
          <w:bCs/>
          <w:i/>
          <w:iCs/>
          <w:sz w:val="22"/>
          <w:szCs w:val="22"/>
          <w:lang w:eastAsia="fr-CA"/>
        </w:rPr>
        <w:t>:</w:t>
      </w:r>
    </w:p>
    <w:p w14:paraId="2BCA8348" w14:textId="77777777" w:rsidR="00852048" w:rsidRPr="0099369D" w:rsidRDefault="00730A01" w:rsidP="00C67102">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Une pièce simple.</w:t>
      </w:r>
    </w:p>
    <w:p w14:paraId="131B3B26" w14:textId="77777777" w:rsidR="00852048" w:rsidRPr="0099369D" w:rsidRDefault="00730A01" w:rsidP="00C67102">
      <w:pPr>
        <w:autoSpaceDE w:val="0"/>
        <w:autoSpaceDN w:val="0"/>
        <w:adjustRightInd w:val="0"/>
        <w:ind w:left="567"/>
        <w:jc w:val="both"/>
        <w:rPr>
          <w:rFonts w:cs="Arial"/>
          <w:b/>
          <w:bCs/>
          <w:i/>
          <w:iCs/>
          <w:sz w:val="22"/>
          <w:szCs w:val="22"/>
          <w:lang w:eastAsia="fr-CA"/>
        </w:rPr>
      </w:pPr>
      <w:r w:rsidRPr="0099369D">
        <w:rPr>
          <w:rFonts w:cs="Arial"/>
          <w:b/>
          <w:bCs/>
          <w:i/>
          <w:iCs/>
          <w:sz w:val="22"/>
          <w:szCs w:val="22"/>
          <w:lang w:eastAsia="fr-CA"/>
        </w:rPr>
        <w:t>LA COUR</w:t>
      </w:r>
      <w:r w:rsidR="001C27F8">
        <w:rPr>
          <w:rFonts w:cs="Arial"/>
          <w:b/>
          <w:bCs/>
          <w:i/>
          <w:iCs/>
          <w:sz w:val="22"/>
          <w:szCs w:val="22"/>
          <w:lang w:eastAsia="fr-CA"/>
        </w:rPr>
        <w:t> </w:t>
      </w:r>
      <w:r w:rsidRPr="0099369D">
        <w:rPr>
          <w:rFonts w:cs="Arial"/>
          <w:b/>
          <w:bCs/>
          <w:i/>
          <w:iCs/>
          <w:sz w:val="22"/>
          <w:szCs w:val="22"/>
          <w:lang w:eastAsia="fr-CA"/>
        </w:rPr>
        <w:t>:</w:t>
      </w:r>
    </w:p>
    <w:p w14:paraId="16B8DA0E" w14:textId="77777777" w:rsidR="00852048" w:rsidRPr="0099369D" w:rsidRDefault="00730A01" w:rsidP="00C67102">
      <w:pPr>
        <w:autoSpaceDE w:val="0"/>
        <w:autoSpaceDN w:val="0"/>
        <w:adjustRightInd w:val="0"/>
        <w:ind w:left="567"/>
        <w:jc w:val="both"/>
        <w:rPr>
          <w:rFonts w:cs="Arial"/>
          <w:i/>
          <w:iCs/>
          <w:sz w:val="22"/>
          <w:szCs w:val="22"/>
          <w:lang w:eastAsia="fr-CA"/>
        </w:rPr>
      </w:pPr>
      <w:r w:rsidRPr="0099369D">
        <w:rPr>
          <w:rFonts w:cs="Arial"/>
          <w:i/>
          <w:iCs/>
          <w:sz w:val="22"/>
          <w:szCs w:val="22"/>
          <w:lang w:eastAsia="fr-CA"/>
        </w:rPr>
        <w:t>Une pièce, j’entends quelque chose comme un courriel ou quelque</w:t>
      </w:r>
      <w:r w:rsidR="00760EF8">
        <w:rPr>
          <w:rFonts w:cs="Arial"/>
          <w:i/>
          <w:iCs/>
          <w:sz w:val="22"/>
          <w:szCs w:val="22"/>
          <w:lang w:eastAsia="fr-CA"/>
        </w:rPr>
        <w:t xml:space="preserve"> </w:t>
      </w:r>
      <w:r w:rsidRPr="0099369D">
        <w:rPr>
          <w:rFonts w:cs="Arial"/>
          <w:i/>
          <w:iCs/>
          <w:sz w:val="22"/>
          <w:szCs w:val="22"/>
          <w:lang w:eastAsia="fr-CA"/>
        </w:rPr>
        <w:t>chose comme ça, je n’entends pas...</w:t>
      </w:r>
    </w:p>
    <w:p w14:paraId="4C91F5DF" w14:textId="77777777" w:rsidR="00852048" w:rsidRPr="0099369D" w:rsidRDefault="00730A01" w:rsidP="00C67102">
      <w:pPr>
        <w:autoSpaceDE w:val="0"/>
        <w:autoSpaceDN w:val="0"/>
        <w:adjustRightInd w:val="0"/>
        <w:spacing w:before="120"/>
        <w:ind w:left="567"/>
        <w:jc w:val="both"/>
        <w:rPr>
          <w:rFonts w:cs="Arial"/>
          <w:b/>
          <w:bCs/>
          <w:i/>
          <w:iCs/>
          <w:sz w:val="22"/>
          <w:szCs w:val="22"/>
          <w:lang w:eastAsia="fr-CA"/>
        </w:rPr>
      </w:pPr>
      <w:r w:rsidRPr="0099369D">
        <w:rPr>
          <w:rFonts w:cs="Arial"/>
          <w:b/>
          <w:bCs/>
          <w:i/>
          <w:iCs/>
          <w:sz w:val="22"/>
          <w:szCs w:val="22"/>
          <w:lang w:eastAsia="fr-CA"/>
        </w:rPr>
        <w:t>M</w:t>
      </w:r>
      <w:r w:rsidRPr="001C27F8">
        <w:rPr>
          <w:rFonts w:cs="Arial"/>
          <w:b/>
          <w:bCs/>
          <w:i/>
          <w:iCs/>
          <w:sz w:val="22"/>
          <w:szCs w:val="22"/>
          <w:vertAlign w:val="superscript"/>
          <w:lang w:eastAsia="fr-CA"/>
        </w:rPr>
        <w:t>e</w:t>
      </w:r>
      <w:r w:rsidR="001C27F8">
        <w:rPr>
          <w:rFonts w:cs="Arial"/>
          <w:b/>
          <w:bCs/>
          <w:i/>
          <w:iCs/>
          <w:sz w:val="22"/>
          <w:szCs w:val="22"/>
          <w:lang w:eastAsia="fr-CA"/>
        </w:rPr>
        <w:t> </w:t>
      </w:r>
      <w:r w:rsidRPr="0099369D">
        <w:rPr>
          <w:rFonts w:cs="Arial"/>
          <w:b/>
          <w:bCs/>
          <w:i/>
          <w:iCs/>
          <w:sz w:val="22"/>
          <w:szCs w:val="22"/>
          <w:lang w:eastAsia="fr-CA"/>
        </w:rPr>
        <w:t>JOSHUA BOUZAGLOU</w:t>
      </w:r>
      <w:r w:rsidR="001C27F8">
        <w:rPr>
          <w:rFonts w:cs="Arial"/>
          <w:b/>
          <w:bCs/>
          <w:i/>
          <w:iCs/>
          <w:sz w:val="22"/>
          <w:szCs w:val="22"/>
          <w:lang w:eastAsia="fr-CA"/>
        </w:rPr>
        <w:t> </w:t>
      </w:r>
      <w:r w:rsidRPr="0099369D">
        <w:rPr>
          <w:rFonts w:cs="Arial"/>
          <w:b/>
          <w:bCs/>
          <w:i/>
          <w:iCs/>
          <w:sz w:val="22"/>
          <w:szCs w:val="22"/>
          <w:lang w:eastAsia="fr-CA"/>
        </w:rPr>
        <w:t>:</w:t>
      </w:r>
    </w:p>
    <w:p w14:paraId="16923AFD" w14:textId="77777777" w:rsidR="00852048" w:rsidRPr="0099369D" w:rsidRDefault="00730A01" w:rsidP="00C67102">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Monsieur le juge...</w:t>
      </w:r>
    </w:p>
    <w:p w14:paraId="02EDC0A0" w14:textId="77777777" w:rsidR="00852048" w:rsidRPr="0099369D" w:rsidRDefault="00730A01" w:rsidP="00C67102">
      <w:pPr>
        <w:autoSpaceDE w:val="0"/>
        <w:autoSpaceDN w:val="0"/>
        <w:adjustRightInd w:val="0"/>
        <w:ind w:left="567"/>
        <w:jc w:val="both"/>
        <w:rPr>
          <w:rFonts w:cs="Arial"/>
          <w:b/>
          <w:bCs/>
          <w:i/>
          <w:iCs/>
          <w:sz w:val="22"/>
          <w:szCs w:val="22"/>
          <w:lang w:eastAsia="fr-CA"/>
        </w:rPr>
      </w:pPr>
      <w:r w:rsidRPr="0099369D">
        <w:rPr>
          <w:rFonts w:cs="Arial"/>
          <w:b/>
          <w:bCs/>
          <w:i/>
          <w:iCs/>
          <w:sz w:val="22"/>
          <w:szCs w:val="22"/>
          <w:lang w:eastAsia="fr-CA"/>
        </w:rPr>
        <w:t>LA COUR</w:t>
      </w:r>
      <w:r w:rsidR="001C27F8">
        <w:rPr>
          <w:rFonts w:cs="Arial"/>
          <w:b/>
          <w:bCs/>
          <w:i/>
          <w:iCs/>
          <w:sz w:val="22"/>
          <w:szCs w:val="22"/>
          <w:lang w:eastAsia="fr-CA"/>
        </w:rPr>
        <w:t> </w:t>
      </w:r>
      <w:r w:rsidRPr="0099369D">
        <w:rPr>
          <w:rFonts w:cs="Arial"/>
          <w:b/>
          <w:bCs/>
          <w:i/>
          <w:iCs/>
          <w:sz w:val="22"/>
          <w:szCs w:val="22"/>
          <w:lang w:eastAsia="fr-CA"/>
        </w:rPr>
        <w:t>:</w:t>
      </w:r>
    </w:p>
    <w:p w14:paraId="76035CE4" w14:textId="77777777" w:rsidR="00852048" w:rsidRPr="0099369D"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Une pièce en liasse.</w:t>
      </w:r>
    </w:p>
    <w:p w14:paraId="7A0F7B75" w14:textId="77777777" w:rsidR="00852048" w:rsidRPr="0099369D" w:rsidRDefault="00730A01" w:rsidP="00C67102">
      <w:pPr>
        <w:autoSpaceDE w:val="0"/>
        <w:autoSpaceDN w:val="0"/>
        <w:adjustRightInd w:val="0"/>
        <w:ind w:left="567"/>
        <w:jc w:val="both"/>
        <w:rPr>
          <w:rFonts w:cs="Arial"/>
          <w:b/>
          <w:bCs/>
          <w:i/>
          <w:iCs/>
          <w:sz w:val="22"/>
          <w:szCs w:val="22"/>
          <w:lang w:eastAsia="fr-CA"/>
        </w:rPr>
      </w:pPr>
      <w:r w:rsidRPr="0099369D">
        <w:rPr>
          <w:rFonts w:cs="Arial"/>
          <w:b/>
          <w:bCs/>
          <w:i/>
          <w:iCs/>
          <w:sz w:val="22"/>
          <w:szCs w:val="22"/>
          <w:lang w:eastAsia="fr-CA"/>
        </w:rPr>
        <w:t>M</w:t>
      </w:r>
      <w:r w:rsidRPr="001C27F8">
        <w:rPr>
          <w:rFonts w:cs="Arial"/>
          <w:b/>
          <w:bCs/>
          <w:i/>
          <w:iCs/>
          <w:sz w:val="22"/>
          <w:szCs w:val="22"/>
          <w:vertAlign w:val="superscript"/>
          <w:lang w:eastAsia="fr-CA"/>
        </w:rPr>
        <w:t>e</w:t>
      </w:r>
      <w:r w:rsidR="001C27F8">
        <w:rPr>
          <w:rFonts w:cs="Arial"/>
          <w:b/>
          <w:bCs/>
          <w:i/>
          <w:iCs/>
          <w:sz w:val="22"/>
          <w:szCs w:val="22"/>
          <w:lang w:eastAsia="fr-CA"/>
        </w:rPr>
        <w:t> </w:t>
      </w:r>
      <w:r w:rsidRPr="0099369D">
        <w:rPr>
          <w:rFonts w:cs="Arial"/>
          <w:b/>
          <w:bCs/>
          <w:i/>
          <w:iCs/>
          <w:sz w:val="22"/>
          <w:szCs w:val="22"/>
          <w:lang w:eastAsia="fr-CA"/>
        </w:rPr>
        <w:t>MARC-ANTOINE CÔTÉ</w:t>
      </w:r>
      <w:r w:rsidR="001C27F8">
        <w:rPr>
          <w:rFonts w:cs="Arial"/>
          <w:b/>
          <w:bCs/>
          <w:i/>
          <w:iCs/>
          <w:sz w:val="22"/>
          <w:szCs w:val="22"/>
          <w:lang w:eastAsia="fr-CA"/>
        </w:rPr>
        <w:t> </w:t>
      </w:r>
      <w:r w:rsidRPr="0099369D">
        <w:rPr>
          <w:rFonts w:cs="Arial"/>
          <w:b/>
          <w:bCs/>
          <w:i/>
          <w:iCs/>
          <w:sz w:val="22"/>
          <w:szCs w:val="22"/>
          <w:lang w:eastAsia="fr-CA"/>
        </w:rPr>
        <w:t>:</w:t>
      </w:r>
    </w:p>
    <w:p w14:paraId="3F00262C" w14:textId="77777777" w:rsidR="00852048"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Non non, je n’en produirai pas... non non, ce n’est pas du tout mon</w:t>
      </w:r>
      <w:r w:rsidR="00760EF8">
        <w:rPr>
          <w:rFonts w:cs="Arial"/>
          <w:i/>
          <w:iCs/>
          <w:sz w:val="22"/>
          <w:szCs w:val="22"/>
          <w:lang w:eastAsia="fr-CA"/>
        </w:rPr>
        <w:t xml:space="preserve"> </w:t>
      </w:r>
      <w:r w:rsidRPr="0099369D">
        <w:rPr>
          <w:rFonts w:cs="Arial"/>
          <w:i/>
          <w:iCs/>
          <w:sz w:val="22"/>
          <w:szCs w:val="22"/>
          <w:lang w:eastAsia="fr-CA"/>
        </w:rPr>
        <w:t>intention.</w:t>
      </w:r>
    </w:p>
    <w:p w14:paraId="03C54AC4" w14:textId="77777777" w:rsidR="00852048" w:rsidRPr="0099369D" w:rsidRDefault="00730A01" w:rsidP="00C67102">
      <w:pPr>
        <w:autoSpaceDE w:val="0"/>
        <w:autoSpaceDN w:val="0"/>
        <w:adjustRightInd w:val="0"/>
        <w:ind w:left="567"/>
        <w:rPr>
          <w:rFonts w:cs="Arial"/>
          <w:b/>
          <w:bCs/>
          <w:i/>
          <w:iCs/>
          <w:sz w:val="22"/>
          <w:szCs w:val="22"/>
          <w:lang w:eastAsia="fr-CA"/>
        </w:rPr>
      </w:pPr>
      <w:r w:rsidRPr="0099369D">
        <w:rPr>
          <w:rFonts w:cs="Arial"/>
          <w:b/>
          <w:bCs/>
          <w:i/>
          <w:iCs/>
          <w:sz w:val="22"/>
          <w:szCs w:val="22"/>
          <w:lang w:eastAsia="fr-CA"/>
        </w:rPr>
        <w:t>LA COUR</w:t>
      </w:r>
      <w:r w:rsidR="001C27F8">
        <w:rPr>
          <w:rFonts w:cs="Arial"/>
          <w:b/>
          <w:bCs/>
          <w:i/>
          <w:iCs/>
          <w:sz w:val="22"/>
          <w:szCs w:val="22"/>
          <w:lang w:eastAsia="fr-CA"/>
        </w:rPr>
        <w:t> </w:t>
      </w:r>
      <w:r w:rsidRPr="0099369D">
        <w:rPr>
          <w:rFonts w:cs="Arial"/>
          <w:b/>
          <w:bCs/>
          <w:i/>
          <w:iCs/>
          <w:sz w:val="22"/>
          <w:szCs w:val="22"/>
          <w:lang w:eastAsia="fr-CA"/>
        </w:rPr>
        <w:t>:</w:t>
      </w:r>
    </w:p>
    <w:p w14:paraId="42D20071" w14:textId="77777777" w:rsidR="00D06767" w:rsidRPr="0099369D" w:rsidRDefault="00730A01" w:rsidP="00C67102">
      <w:pPr>
        <w:autoSpaceDE w:val="0"/>
        <w:autoSpaceDN w:val="0"/>
        <w:adjustRightInd w:val="0"/>
        <w:spacing w:after="120"/>
        <w:ind w:left="567"/>
        <w:rPr>
          <w:rFonts w:cs="Arial"/>
          <w:i/>
          <w:iCs/>
          <w:sz w:val="22"/>
          <w:szCs w:val="22"/>
          <w:lang w:eastAsia="fr-CA"/>
        </w:rPr>
      </w:pPr>
      <w:r w:rsidRPr="0099369D">
        <w:rPr>
          <w:rFonts w:cs="Arial"/>
          <w:i/>
          <w:iCs/>
          <w:sz w:val="22"/>
          <w:szCs w:val="22"/>
          <w:lang w:eastAsia="fr-CA"/>
        </w:rPr>
        <w:t>O.K. On s’entend?</w:t>
      </w:r>
    </w:p>
    <w:p w14:paraId="0D67D495" w14:textId="77777777" w:rsidR="00852048" w:rsidRPr="0099369D" w:rsidRDefault="00730A01" w:rsidP="00C67102">
      <w:pPr>
        <w:autoSpaceDE w:val="0"/>
        <w:autoSpaceDN w:val="0"/>
        <w:adjustRightInd w:val="0"/>
        <w:ind w:left="567"/>
        <w:rPr>
          <w:rFonts w:cs="Arial"/>
          <w:b/>
          <w:bCs/>
          <w:i/>
          <w:iCs/>
          <w:sz w:val="22"/>
          <w:szCs w:val="22"/>
          <w:lang w:eastAsia="fr-CA"/>
        </w:rPr>
      </w:pPr>
      <w:r w:rsidRPr="0099369D">
        <w:rPr>
          <w:rFonts w:cs="Arial"/>
          <w:b/>
          <w:bCs/>
          <w:i/>
          <w:iCs/>
          <w:sz w:val="22"/>
          <w:szCs w:val="22"/>
          <w:lang w:eastAsia="fr-CA"/>
        </w:rPr>
        <w:t>M</w:t>
      </w:r>
      <w:r w:rsidRPr="001C27F8">
        <w:rPr>
          <w:rFonts w:cs="Arial"/>
          <w:b/>
          <w:bCs/>
          <w:i/>
          <w:iCs/>
          <w:sz w:val="22"/>
          <w:szCs w:val="22"/>
          <w:vertAlign w:val="superscript"/>
          <w:lang w:eastAsia="fr-CA"/>
        </w:rPr>
        <w:t>e</w:t>
      </w:r>
      <w:r w:rsidR="001C27F8">
        <w:rPr>
          <w:rFonts w:cs="Arial"/>
          <w:b/>
          <w:bCs/>
          <w:i/>
          <w:iCs/>
          <w:sz w:val="22"/>
          <w:szCs w:val="22"/>
          <w:lang w:eastAsia="fr-CA"/>
        </w:rPr>
        <w:t> </w:t>
      </w:r>
      <w:r w:rsidRPr="0099369D">
        <w:rPr>
          <w:rFonts w:cs="Arial"/>
          <w:b/>
          <w:bCs/>
          <w:i/>
          <w:iCs/>
          <w:sz w:val="22"/>
          <w:szCs w:val="22"/>
          <w:lang w:eastAsia="fr-CA"/>
        </w:rPr>
        <w:t>JOSHUA BOUZAGLOU</w:t>
      </w:r>
      <w:r w:rsidR="001C27F8">
        <w:rPr>
          <w:rFonts w:cs="Arial"/>
          <w:b/>
          <w:bCs/>
          <w:i/>
          <w:iCs/>
          <w:sz w:val="22"/>
          <w:szCs w:val="22"/>
          <w:lang w:eastAsia="fr-CA"/>
        </w:rPr>
        <w:t> </w:t>
      </w:r>
      <w:r w:rsidRPr="0099369D">
        <w:rPr>
          <w:rFonts w:cs="Arial"/>
          <w:b/>
          <w:bCs/>
          <w:i/>
          <w:iCs/>
          <w:sz w:val="22"/>
          <w:szCs w:val="22"/>
          <w:lang w:eastAsia="fr-CA"/>
        </w:rPr>
        <w:t>:</w:t>
      </w:r>
    </w:p>
    <w:p w14:paraId="63531053" w14:textId="77777777" w:rsidR="00852048" w:rsidRPr="0099369D" w:rsidRDefault="00730A01" w:rsidP="00C67102">
      <w:pPr>
        <w:autoSpaceDE w:val="0"/>
        <w:autoSpaceDN w:val="0"/>
        <w:adjustRightInd w:val="0"/>
        <w:spacing w:after="120"/>
        <w:ind w:left="567"/>
        <w:rPr>
          <w:rFonts w:cs="Arial"/>
          <w:i/>
          <w:iCs/>
          <w:sz w:val="22"/>
          <w:szCs w:val="22"/>
          <w:lang w:eastAsia="fr-CA"/>
        </w:rPr>
      </w:pPr>
      <w:r w:rsidRPr="0099369D">
        <w:rPr>
          <w:rFonts w:cs="Arial"/>
          <w:i/>
          <w:iCs/>
          <w:sz w:val="22"/>
          <w:szCs w:val="22"/>
          <w:lang w:eastAsia="fr-CA"/>
        </w:rPr>
        <w:t>On est d’accord sur le processus.</w:t>
      </w:r>
    </w:p>
    <w:p w14:paraId="04A622D6" w14:textId="77777777" w:rsidR="00852048" w:rsidRPr="0099369D" w:rsidRDefault="00730A01" w:rsidP="00C67102">
      <w:pPr>
        <w:autoSpaceDE w:val="0"/>
        <w:autoSpaceDN w:val="0"/>
        <w:adjustRightInd w:val="0"/>
        <w:spacing w:after="120"/>
        <w:ind w:left="567"/>
        <w:rPr>
          <w:rFonts w:cs="Arial"/>
          <w:i/>
          <w:iCs/>
          <w:sz w:val="22"/>
          <w:szCs w:val="22"/>
          <w:lang w:eastAsia="fr-CA"/>
        </w:rPr>
      </w:pPr>
      <w:r w:rsidRPr="0099369D">
        <w:rPr>
          <w:rFonts w:cs="Arial"/>
          <w:i/>
          <w:iCs/>
          <w:sz w:val="22"/>
          <w:szCs w:val="22"/>
          <w:lang w:eastAsia="fr-CA"/>
        </w:rPr>
        <w:t>[...]</w:t>
      </w:r>
    </w:p>
    <w:p w14:paraId="749327AF" w14:textId="77777777" w:rsidR="00852048" w:rsidRPr="0099369D" w:rsidRDefault="00730A01" w:rsidP="001C27F8">
      <w:pPr>
        <w:autoSpaceDE w:val="0"/>
        <w:autoSpaceDN w:val="0"/>
        <w:adjustRightInd w:val="0"/>
        <w:spacing w:after="120"/>
        <w:ind w:left="567"/>
        <w:contextualSpacing/>
        <w:rPr>
          <w:rFonts w:cs="Arial"/>
          <w:b/>
          <w:bCs/>
          <w:i/>
          <w:iCs/>
          <w:sz w:val="22"/>
          <w:szCs w:val="22"/>
          <w:lang w:eastAsia="fr-CA"/>
        </w:rPr>
      </w:pPr>
      <w:r w:rsidRPr="0099369D">
        <w:rPr>
          <w:rFonts w:cs="Arial"/>
          <w:b/>
          <w:bCs/>
          <w:i/>
          <w:iCs/>
          <w:sz w:val="22"/>
          <w:szCs w:val="22"/>
          <w:lang w:eastAsia="fr-CA"/>
        </w:rPr>
        <w:t>LA COUR</w:t>
      </w:r>
      <w:r w:rsidR="001C27F8">
        <w:rPr>
          <w:rFonts w:cs="Arial"/>
          <w:b/>
          <w:bCs/>
          <w:i/>
          <w:iCs/>
          <w:sz w:val="22"/>
          <w:szCs w:val="22"/>
          <w:lang w:eastAsia="fr-CA"/>
        </w:rPr>
        <w:t> </w:t>
      </w:r>
      <w:r w:rsidRPr="0099369D">
        <w:rPr>
          <w:rFonts w:cs="Arial"/>
          <w:b/>
          <w:bCs/>
          <w:i/>
          <w:iCs/>
          <w:sz w:val="22"/>
          <w:szCs w:val="22"/>
          <w:lang w:eastAsia="fr-CA"/>
        </w:rPr>
        <w:t>:</w:t>
      </w:r>
    </w:p>
    <w:p w14:paraId="4C664A67" w14:textId="77777777" w:rsidR="00852048" w:rsidRPr="0099369D"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L’entente entre les parties, le Tribunal leur donne acte de leurengagement – ou donne acte aux défendeurs de leur engagement à</w:t>
      </w:r>
      <w:r w:rsidR="001C27F8">
        <w:rPr>
          <w:rFonts w:cs="Arial"/>
          <w:i/>
          <w:iCs/>
          <w:sz w:val="22"/>
          <w:szCs w:val="22"/>
          <w:lang w:eastAsia="fr-CA"/>
        </w:rPr>
        <w:t xml:space="preserve"> </w:t>
      </w:r>
      <w:r w:rsidRPr="0099369D">
        <w:rPr>
          <w:rFonts w:cs="Arial"/>
          <w:i/>
          <w:iCs/>
          <w:sz w:val="22"/>
          <w:szCs w:val="22"/>
          <w:lang w:eastAsia="fr-CA"/>
        </w:rPr>
        <w:t>transmettre toutes les pièces additionnelles à venir au plus tard...à</w:t>
      </w:r>
      <w:r w:rsidR="001C27F8">
        <w:rPr>
          <w:rFonts w:cs="Arial"/>
          <w:i/>
          <w:iCs/>
          <w:sz w:val="22"/>
          <w:szCs w:val="22"/>
          <w:lang w:eastAsia="fr-CA"/>
        </w:rPr>
        <w:t xml:space="preserve"> </w:t>
      </w:r>
      <w:r w:rsidRPr="0099369D">
        <w:rPr>
          <w:rFonts w:cs="Arial"/>
          <w:i/>
          <w:iCs/>
          <w:sz w:val="22"/>
          <w:szCs w:val="22"/>
          <w:lang w:eastAsia="fr-CA"/>
        </w:rPr>
        <w:t>transmettre, à la partie adverse, là...</w:t>
      </w:r>
    </w:p>
    <w:p w14:paraId="0B412591" w14:textId="77777777" w:rsidR="00852048" w:rsidRPr="001C27F8" w:rsidRDefault="00730A01" w:rsidP="001C27F8">
      <w:pPr>
        <w:autoSpaceDE w:val="0"/>
        <w:autoSpaceDN w:val="0"/>
        <w:adjustRightInd w:val="0"/>
        <w:spacing w:after="120"/>
        <w:ind w:left="567"/>
        <w:contextualSpacing/>
        <w:jc w:val="both"/>
        <w:rPr>
          <w:rFonts w:cs="Arial"/>
          <w:b/>
          <w:bCs/>
          <w:i/>
          <w:iCs/>
          <w:sz w:val="22"/>
          <w:szCs w:val="22"/>
          <w:lang w:eastAsia="fr-CA"/>
        </w:rPr>
      </w:pPr>
      <w:r w:rsidRPr="001C27F8">
        <w:rPr>
          <w:rFonts w:cs="Arial"/>
          <w:b/>
          <w:bCs/>
          <w:i/>
          <w:iCs/>
          <w:sz w:val="22"/>
          <w:szCs w:val="22"/>
          <w:lang w:eastAsia="fr-CA"/>
        </w:rPr>
        <w:t>LA GREFFIÈRE</w:t>
      </w:r>
      <w:r w:rsidR="001C27F8" w:rsidRPr="001C27F8">
        <w:rPr>
          <w:rFonts w:cs="Arial"/>
          <w:b/>
          <w:bCs/>
          <w:i/>
          <w:iCs/>
          <w:sz w:val="22"/>
          <w:szCs w:val="22"/>
          <w:lang w:eastAsia="fr-CA"/>
        </w:rPr>
        <w:t> </w:t>
      </w:r>
      <w:r w:rsidRPr="001C27F8">
        <w:rPr>
          <w:rFonts w:cs="Arial"/>
          <w:b/>
          <w:bCs/>
          <w:i/>
          <w:iCs/>
          <w:sz w:val="22"/>
          <w:szCs w:val="22"/>
          <w:lang w:eastAsia="fr-CA"/>
        </w:rPr>
        <w:t>:</w:t>
      </w:r>
    </w:p>
    <w:p w14:paraId="5D4ADE7A" w14:textId="77777777" w:rsidR="00852048" w:rsidRPr="0099369D"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Au plus tard.</w:t>
      </w:r>
    </w:p>
    <w:p w14:paraId="1C45CE02" w14:textId="77777777" w:rsidR="00852048" w:rsidRPr="001C27F8" w:rsidRDefault="00730A01" w:rsidP="001C27F8">
      <w:pPr>
        <w:autoSpaceDE w:val="0"/>
        <w:autoSpaceDN w:val="0"/>
        <w:adjustRightInd w:val="0"/>
        <w:spacing w:after="120"/>
        <w:ind w:left="567"/>
        <w:contextualSpacing/>
        <w:jc w:val="both"/>
        <w:rPr>
          <w:rFonts w:cs="Arial"/>
          <w:b/>
          <w:bCs/>
          <w:i/>
          <w:iCs/>
          <w:sz w:val="22"/>
          <w:szCs w:val="22"/>
          <w:lang w:eastAsia="fr-CA"/>
        </w:rPr>
      </w:pPr>
      <w:r w:rsidRPr="001C27F8">
        <w:rPr>
          <w:rFonts w:cs="Arial"/>
          <w:b/>
          <w:bCs/>
          <w:i/>
          <w:iCs/>
          <w:sz w:val="22"/>
          <w:szCs w:val="22"/>
          <w:lang w:eastAsia="fr-CA"/>
        </w:rPr>
        <w:t>LA COUR</w:t>
      </w:r>
      <w:r w:rsidR="001C27F8" w:rsidRPr="001C27F8">
        <w:rPr>
          <w:rFonts w:cs="Arial"/>
          <w:b/>
          <w:bCs/>
          <w:i/>
          <w:iCs/>
          <w:sz w:val="22"/>
          <w:szCs w:val="22"/>
          <w:lang w:eastAsia="fr-CA"/>
        </w:rPr>
        <w:t> </w:t>
      </w:r>
      <w:r w:rsidRPr="001C27F8">
        <w:rPr>
          <w:rFonts w:cs="Arial"/>
          <w:b/>
          <w:bCs/>
          <w:i/>
          <w:iCs/>
          <w:sz w:val="22"/>
          <w:szCs w:val="22"/>
          <w:lang w:eastAsia="fr-CA"/>
        </w:rPr>
        <w:t>:</w:t>
      </w:r>
    </w:p>
    <w:p w14:paraId="3CFCD47B" w14:textId="77777777" w:rsidR="00852048" w:rsidRPr="0099369D"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 pièces additionnelles au plus tard le 31</w:t>
      </w:r>
      <w:r w:rsidR="001C27F8">
        <w:rPr>
          <w:rFonts w:cs="Arial"/>
          <w:i/>
          <w:iCs/>
          <w:sz w:val="22"/>
          <w:szCs w:val="22"/>
          <w:lang w:eastAsia="fr-CA"/>
        </w:rPr>
        <w:t> </w:t>
      </w:r>
      <w:r w:rsidRPr="0099369D">
        <w:rPr>
          <w:rFonts w:cs="Arial"/>
          <w:i/>
          <w:iCs/>
          <w:sz w:val="22"/>
          <w:szCs w:val="22"/>
          <w:lang w:eastAsia="fr-CA"/>
        </w:rPr>
        <w:t>janvier</w:t>
      </w:r>
      <w:r w:rsidR="001C27F8">
        <w:rPr>
          <w:rFonts w:cs="Arial"/>
          <w:i/>
          <w:iCs/>
          <w:sz w:val="22"/>
          <w:szCs w:val="22"/>
          <w:lang w:eastAsia="fr-CA"/>
        </w:rPr>
        <w:t> </w:t>
      </w:r>
      <w:r w:rsidRPr="0099369D">
        <w:rPr>
          <w:rFonts w:cs="Arial"/>
          <w:i/>
          <w:iCs/>
          <w:sz w:val="22"/>
          <w:szCs w:val="22"/>
          <w:lang w:eastAsia="fr-CA"/>
        </w:rPr>
        <w:t>2025, sauf</w:t>
      </w:r>
      <w:r w:rsidR="001C27F8">
        <w:rPr>
          <w:rFonts w:cs="Arial"/>
          <w:i/>
          <w:iCs/>
          <w:sz w:val="22"/>
          <w:szCs w:val="22"/>
          <w:lang w:eastAsia="fr-CA"/>
        </w:rPr>
        <w:t xml:space="preserve"> </w:t>
      </w:r>
      <w:r w:rsidRPr="0099369D">
        <w:rPr>
          <w:rFonts w:cs="Arial"/>
          <w:i/>
          <w:iCs/>
          <w:sz w:val="22"/>
          <w:szCs w:val="22"/>
          <w:lang w:eastAsia="fr-CA"/>
        </w:rPr>
        <w:t>concernant le témoin Guillaume St-Gelais, auquel cas, les pièces</w:t>
      </w:r>
      <w:r w:rsidR="001C27F8">
        <w:rPr>
          <w:rFonts w:cs="Arial"/>
          <w:i/>
          <w:iCs/>
          <w:sz w:val="22"/>
          <w:szCs w:val="22"/>
          <w:lang w:eastAsia="fr-CA"/>
        </w:rPr>
        <w:t xml:space="preserve"> </w:t>
      </w:r>
      <w:r w:rsidRPr="0099369D">
        <w:rPr>
          <w:rFonts w:cs="Arial"/>
          <w:i/>
          <w:iCs/>
          <w:sz w:val="22"/>
          <w:szCs w:val="22"/>
          <w:lang w:eastAsia="fr-CA"/>
        </w:rPr>
        <w:t>additionnelles, s’il en est, ne devront pas excéder deux et devront être</w:t>
      </w:r>
      <w:r w:rsidR="001C27F8">
        <w:rPr>
          <w:rFonts w:cs="Arial"/>
          <w:i/>
          <w:iCs/>
          <w:sz w:val="22"/>
          <w:szCs w:val="22"/>
          <w:lang w:eastAsia="fr-CA"/>
        </w:rPr>
        <w:t xml:space="preserve"> </w:t>
      </w:r>
      <w:r w:rsidRPr="0099369D">
        <w:rPr>
          <w:rFonts w:cs="Arial"/>
          <w:i/>
          <w:iCs/>
          <w:sz w:val="22"/>
          <w:szCs w:val="22"/>
          <w:lang w:eastAsia="fr-CA"/>
        </w:rPr>
        <w:t>transmises...</w:t>
      </w:r>
    </w:p>
    <w:p w14:paraId="4A703D89" w14:textId="77777777" w:rsidR="00852048" w:rsidRPr="0099369D"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w:t>
      </w:r>
    </w:p>
    <w:p w14:paraId="4EF59C37" w14:textId="77777777" w:rsidR="00852048" w:rsidRPr="001C27F8" w:rsidRDefault="00730A01" w:rsidP="001C27F8">
      <w:pPr>
        <w:autoSpaceDE w:val="0"/>
        <w:autoSpaceDN w:val="0"/>
        <w:adjustRightInd w:val="0"/>
        <w:spacing w:after="120"/>
        <w:ind w:left="567"/>
        <w:contextualSpacing/>
        <w:jc w:val="both"/>
        <w:rPr>
          <w:rFonts w:cs="Arial"/>
          <w:b/>
          <w:bCs/>
          <w:i/>
          <w:iCs/>
          <w:sz w:val="22"/>
          <w:szCs w:val="22"/>
          <w:lang w:eastAsia="fr-CA"/>
        </w:rPr>
      </w:pPr>
      <w:r w:rsidRPr="001C27F8">
        <w:rPr>
          <w:rFonts w:cs="Arial"/>
          <w:b/>
          <w:bCs/>
          <w:i/>
          <w:iCs/>
          <w:sz w:val="22"/>
          <w:szCs w:val="22"/>
          <w:lang w:eastAsia="fr-CA"/>
        </w:rPr>
        <w:t>LA COUR</w:t>
      </w:r>
      <w:r w:rsidR="001C27F8" w:rsidRPr="001C27F8">
        <w:rPr>
          <w:rFonts w:cs="Arial"/>
          <w:b/>
          <w:bCs/>
          <w:i/>
          <w:iCs/>
          <w:sz w:val="22"/>
          <w:szCs w:val="22"/>
          <w:lang w:eastAsia="fr-CA"/>
        </w:rPr>
        <w:t> </w:t>
      </w:r>
      <w:r w:rsidRPr="001C27F8">
        <w:rPr>
          <w:rFonts w:cs="Arial"/>
          <w:b/>
          <w:bCs/>
          <w:i/>
          <w:iCs/>
          <w:sz w:val="22"/>
          <w:szCs w:val="22"/>
          <w:lang w:eastAsia="fr-CA"/>
        </w:rPr>
        <w:t>:</w:t>
      </w:r>
    </w:p>
    <w:p w14:paraId="3F76D5F4" w14:textId="77777777" w:rsidR="00852048" w:rsidRPr="0099369D"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Et devront être transmises au plus tard...lundi, c’est le 26, ça va?</w:t>
      </w:r>
    </w:p>
    <w:p w14:paraId="4CFAC1AA" w14:textId="77777777" w:rsidR="00852048" w:rsidRPr="001C27F8" w:rsidRDefault="00730A01" w:rsidP="001C27F8">
      <w:pPr>
        <w:autoSpaceDE w:val="0"/>
        <w:autoSpaceDN w:val="0"/>
        <w:adjustRightInd w:val="0"/>
        <w:spacing w:after="120"/>
        <w:ind w:left="567"/>
        <w:contextualSpacing/>
        <w:jc w:val="both"/>
        <w:rPr>
          <w:rFonts w:cs="Arial"/>
          <w:b/>
          <w:bCs/>
          <w:i/>
          <w:iCs/>
          <w:sz w:val="22"/>
          <w:szCs w:val="22"/>
          <w:lang w:eastAsia="fr-CA"/>
        </w:rPr>
      </w:pPr>
      <w:r w:rsidRPr="001C27F8">
        <w:rPr>
          <w:rFonts w:cs="Arial"/>
          <w:b/>
          <w:bCs/>
          <w:i/>
          <w:iCs/>
          <w:sz w:val="22"/>
          <w:szCs w:val="22"/>
          <w:lang w:eastAsia="fr-CA"/>
        </w:rPr>
        <w:t>M</w:t>
      </w:r>
      <w:r w:rsidRPr="001C27F8">
        <w:rPr>
          <w:rFonts w:cs="Arial"/>
          <w:b/>
          <w:bCs/>
          <w:i/>
          <w:iCs/>
          <w:sz w:val="22"/>
          <w:szCs w:val="22"/>
          <w:vertAlign w:val="superscript"/>
          <w:lang w:eastAsia="fr-CA"/>
        </w:rPr>
        <w:t>e</w:t>
      </w:r>
      <w:r w:rsidR="001C27F8" w:rsidRPr="001C27F8">
        <w:rPr>
          <w:rFonts w:cs="Arial"/>
          <w:b/>
          <w:bCs/>
          <w:i/>
          <w:iCs/>
          <w:sz w:val="22"/>
          <w:szCs w:val="22"/>
          <w:lang w:eastAsia="fr-CA"/>
        </w:rPr>
        <w:t> </w:t>
      </w:r>
      <w:r w:rsidRPr="001C27F8">
        <w:rPr>
          <w:rFonts w:cs="Arial"/>
          <w:b/>
          <w:bCs/>
          <w:i/>
          <w:iCs/>
          <w:sz w:val="22"/>
          <w:szCs w:val="22"/>
          <w:lang w:eastAsia="fr-CA"/>
        </w:rPr>
        <w:t>SYLVAIN RIGAUD</w:t>
      </w:r>
      <w:r w:rsidR="001C27F8">
        <w:rPr>
          <w:rFonts w:cs="Arial"/>
          <w:b/>
          <w:bCs/>
          <w:i/>
          <w:iCs/>
          <w:sz w:val="22"/>
          <w:szCs w:val="22"/>
          <w:lang w:eastAsia="fr-CA"/>
        </w:rPr>
        <w:t> </w:t>
      </w:r>
      <w:r w:rsidRPr="001C27F8">
        <w:rPr>
          <w:rFonts w:cs="Arial"/>
          <w:b/>
          <w:bCs/>
          <w:i/>
          <w:iCs/>
          <w:sz w:val="22"/>
          <w:szCs w:val="22"/>
          <w:lang w:eastAsia="fr-CA"/>
        </w:rPr>
        <w:t>:</w:t>
      </w:r>
    </w:p>
    <w:p w14:paraId="4AE4704C" w14:textId="77777777" w:rsidR="00852048" w:rsidRPr="0099369D"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C’est le 27.</w:t>
      </w:r>
    </w:p>
    <w:p w14:paraId="38B4EFC6" w14:textId="77777777" w:rsidR="00852048" w:rsidRPr="001C27F8" w:rsidRDefault="00730A01" w:rsidP="001C27F8">
      <w:pPr>
        <w:autoSpaceDE w:val="0"/>
        <w:autoSpaceDN w:val="0"/>
        <w:adjustRightInd w:val="0"/>
        <w:spacing w:after="120"/>
        <w:ind w:left="567"/>
        <w:contextualSpacing/>
        <w:jc w:val="both"/>
        <w:rPr>
          <w:rFonts w:cs="Arial"/>
          <w:b/>
          <w:bCs/>
          <w:i/>
          <w:iCs/>
          <w:sz w:val="22"/>
          <w:szCs w:val="22"/>
          <w:lang w:eastAsia="fr-CA"/>
        </w:rPr>
      </w:pPr>
      <w:r w:rsidRPr="001C27F8">
        <w:rPr>
          <w:rFonts w:cs="Arial"/>
          <w:b/>
          <w:bCs/>
          <w:i/>
          <w:iCs/>
          <w:sz w:val="22"/>
          <w:szCs w:val="22"/>
          <w:lang w:eastAsia="fr-CA"/>
        </w:rPr>
        <w:t>LA COUR</w:t>
      </w:r>
      <w:r w:rsidR="001C27F8" w:rsidRPr="001C27F8">
        <w:rPr>
          <w:rFonts w:cs="Arial"/>
          <w:b/>
          <w:bCs/>
          <w:i/>
          <w:iCs/>
          <w:sz w:val="22"/>
          <w:szCs w:val="22"/>
          <w:lang w:eastAsia="fr-CA"/>
        </w:rPr>
        <w:t> </w:t>
      </w:r>
      <w:r w:rsidRPr="001C27F8">
        <w:rPr>
          <w:rFonts w:cs="Arial"/>
          <w:b/>
          <w:bCs/>
          <w:i/>
          <w:iCs/>
          <w:sz w:val="22"/>
          <w:szCs w:val="22"/>
          <w:lang w:eastAsia="fr-CA"/>
        </w:rPr>
        <w:t>:</w:t>
      </w:r>
    </w:p>
    <w:p w14:paraId="105F4271" w14:textId="77777777" w:rsidR="00852048" w:rsidRPr="0099369D"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Le 26, 27.</w:t>
      </w:r>
    </w:p>
    <w:p w14:paraId="3184B5C7" w14:textId="77777777" w:rsidR="00852048" w:rsidRPr="001C27F8" w:rsidRDefault="00730A01" w:rsidP="001C27F8">
      <w:pPr>
        <w:autoSpaceDE w:val="0"/>
        <w:autoSpaceDN w:val="0"/>
        <w:adjustRightInd w:val="0"/>
        <w:spacing w:after="120"/>
        <w:ind w:left="567"/>
        <w:contextualSpacing/>
        <w:jc w:val="both"/>
        <w:rPr>
          <w:rFonts w:cs="Arial"/>
          <w:b/>
          <w:bCs/>
          <w:i/>
          <w:iCs/>
          <w:sz w:val="22"/>
          <w:szCs w:val="22"/>
          <w:lang w:eastAsia="fr-CA"/>
        </w:rPr>
      </w:pPr>
      <w:r w:rsidRPr="001C27F8">
        <w:rPr>
          <w:rFonts w:cs="Arial"/>
          <w:b/>
          <w:bCs/>
          <w:i/>
          <w:iCs/>
          <w:sz w:val="22"/>
          <w:szCs w:val="22"/>
          <w:lang w:eastAsia="fr-CA"/>
        </w:rPr>
        <w:t>M</w:t>
      </w:r>
      <w:r w:rsidRPr="001C27F8">
        <w:rPr>
          <w:rFonts w:cs="Arial"/>
          <w:b/>
          <w:bCs/>
          <w:i/>
          <w:iCs/>
          <w:sz w:val="22"/>
          <w:szCs w:val="22"/>
          <w:vertAlign w:val="superscript"/>
          <w:lang w:eastAsia="fr-CA"/>
        </w:rPr>
        <w:t>e</w:t>
      </w:r>
      <w:r w:rsidR="001C27F8" w:rsidRPr="001C27F8">
        <w:rPr>
          <w:rFonts w:cs="Arial"/>
          <w:b/>
          <w:bCs/>
          <w:i/>
          <w:iCs/>
          <w:sz w:val="22"/>
          <w:szCs w:val="22"/>
          <w:lang w:eastAsia="fr-CA"/>
        </w:rPr>
        <w:t> </w:t>
      </w:r>
      <w:r w:rsidRPr="001C27F8">
        <w:rPr>
          <w:rFonts w:cs="Arial"/>
          <w:b/>
          <w:bCs/>
          <w:i/>
          <w:iCs/>
          <w:sz w:val="22"/>
          <w:szCs w:val="22"/>
          <w:lang w:eastAsia="fr-CA"/>
        </w:rPr>
        <w:t>SYLVAIN RIGAUD</w:t>
      </w:r>
      <w:r w:rsidR="001C27F8">
        <w:rPr>
          <w:rFonts w:cs="Arial"/>
          <w:b/>
          <w:bCs/>
          <w:i/>
          <w:iCs/>
          <w:sz w:val="22"/>
          <w:szCs w:val="22"/>
          <w:lang w:eastAsia="fr-CA"/>
        </w:rPr>
        <w:t> </w:t>
      </w:r>
      <w:r w:rsidRPr="001C27F8">
        <w:rPr>
          <w:rFonts w:cs="Arial"/>
          <w:b/>
          <w:bCs/>
          <w:i/>
          <w:iCs/>
          <w:sz w:val="22"/>
          <w:szCs w:val="22"/>
          <w:lang w:eastAsia="fr-CA"/>
        </w:rPr>
        <w:t>:</w:t>
      </w:r>
    </w:p>
    <w:p w14:paraId="4B3E6D22" w14:textId="77777777" w:rsidR="00852048" w:rsidRPr="0099369D" w:rsidRDefault="00730A01" w:rsidP="001C27F8">
      <w:pPr>
        <w:autoSpaceDE w:val="0"/>
        <w:autoSpaceDN w:val="0"/>
        <w:adjustRightInd w:val="0"/>
        <w:spacing w:after="120"/>
        <w:ind w:left="567"/>
        <w:jc w:val="both"/>
        <w:rPr>
          <w:rFonts w:cs="Arial"/>
          <w:i/>
          <w:iCs/>
          <w:sz w:val="22"/>
          <w:szCs w:val="22"/>
          <w:lang w:eastAsia="fr-CA"/>
        </w:rPr>
      </w:pPr>
      <w:r w:rsidRPr="0099369D">
        <w:rPr>
          <w:rFonts w:cs="Arial"/>
          <w:i/>
          <w:iCs/>
          <w:sz w:val="22"/>
          <w:szCs w:val="22"/>
          <w:lang w:eastAsia="fr-CA"/>
        </w:rPr>
        <w:t>On est le 24 aujourd’hui.</w:t>
      </w:r>
    </w:p>
    <w:p w14:paraId="34ED8306" w14:textId="77777777" w:rsidR="00852048" w:rsidRPr="001C27F8" w:rsidRDefault="00730A01" w:rsidP="001C27F8">
      <w:pPr>
        <w:autoSpaceDE w:val="0"/>
        <w:autoSpaceDN w:val="0"/>
        <w:adjustRightInd w:val="0"/>
        <w:spacing w:after="120"/>
        <w:ind w:left="567"/>
        <w:contextualSpacing/>
        <w:jc w:val="both"/>
        <w:rPr>
          <w:rFonts w:cs="Arial"/>
          <w:b/>
          <w:bCs/>
          <w:i/>
          <w:iCs/>
          <w:sz w:val="22"/>
          <w:szCs w:val="22"/>
          <w:lang w:eastAsia="fr-CA"/>
        </w:rPr>
      </w:pPr>
      <w:r w:rsidRPr="001C27F8">
        <w:rPr>
          <w:rFonts w:cs="Arial"/>
          <w:b/>
          <w:bCs/>
          <w:i/>
          <w:iCs/>
          <w:sz w:val="22"/>
          <w:szCs w:val="22"/>
          <w:lang w:eastAsia="fr-CA"/>
        </w:rPr>
        <w:t>LA COUR</w:t>
      </w:r>
      <w:r w:rsidR="001C27F8" w:rsidRPr="001C27F8">
        <w:rPr>
          <w:rFonts w:cs="Arial"/>
          <w:b/>
          <w:bCs/>
          <w:i/>
          <w:iCs/>
          <w:sz w:val="22"/>
          <w:szCs w:val="22"/>
          <w:lang w:eastAsia="fr-CA"/>
        </w:rPr>
        <w:t> </w:t>
      </w:r>
      <w:r w:rsidRPr="001C27F8">
        <w:rPr>
          <w:rFonts w:cs="Arial"/>
          <w:b/>
          <w:bCs/>
          <w:i/>
          <w:iCs/>
          <w:sz w:val="22"/>
          <w:szCs w:val="22"/>
          <w:lang w:eastAsia="fr-CA"/>
        </w:rPr>
        <w:t>:</w:t>
      </w:r>
    </w:p>
    <w:p w14:paraId="16C85692" w14:textId="77777777" w:rsidR="00852048" w:rsidRPr="0099369D" w:rsidRDefault="00730A01" w:rsidP="001C27F8">
      <w:pPr>
        <w:autoSpaceDE w:val="0"/>
        <w:autoSpaceDN w:val="0"/>
        <w:adjustRightInd w:val="0"/>
        <w:spacing w:after="240"/>
        <w:ind w:left="567"/>
        <w:jc w:val="both"/>
        <w:rPr>
          <w:rFonts w:cs="Arial"/>
          <w:i/>
          <w:iCs/>
          <w:sz w:val="22"/>
          <w:szCs w:val="22"/>
          <w:lang w:eastAsia="fr-CA"/>
        </w:rPr>
      </w:pPr>
      <w:r w:rsidRPr="0099369D">
        <w:rPr>
          <w:rFonts w:cs="Arial"/>
          <w:i/>
          <w:iCs/>
          <w:sz w:val="22"/>
          <w:szCs w:val="22"/>
          <w:lang w:eastAsia="fr-CA"/>
        </w:rPr>
        <w:t>Lundi le 27.</w:t>
      </w:r>
    </w:p>
    <w:p w14:paraId="1EADED44" w14:textId="77777777" w:rsidR="00852048" w:rsidRPr="00D06767" w:rsidRDefault="00730A01" w:rsidP="00443B59">
      <w:pPr>
        <w:pStyle w:val="Paragraphedeliste"/>
        <w:numPr>
          <w:ilvl w:val="0"/>
          <w:numId w:val="81"/>
        </w:numPr>
        <w:autoSpaceDE w:val="0"/>
        <w:autoSpaceDN w:val="0"/>
        <w:adjustRightInd w:val="0"/>
        <w:ind w:left="567" w:hanging="283"/>
        <w:jc w:val="both"/>
        <w:rPr>
          <w:rFonts w:cs="Arial"/>
          <w:szCs w:val="24"/>
          <w:lang w:eastAsia="fr-CA"/>
        </w:rPr>
      </w:pPr>
      <w:r w:rsidRPr="00D06767">
        <w:rPr>
          <w:rFonts w:cs="Arial"/>
          <w:szCs w:val="24"/>
          <w:lang w:eastAsia="fr-CA"/>
        </w:rPr>
        <w:t>Or, les Défendeurs ont, de nouveau, sciemment violé cette ordonnance le</w:t>
      </w:r>
      <w:r w:rsidR="00D06767" w:rsidRPr="00D06767">
        <w:rPr>
          <w:rFonts w:cs="Arial"/>
          <w:szCs w:val="24"/>
          <w:lang w:eastAsia="fr-CA"/>
        </w:rPr>
        <w:t xml:space="preserve"> </w:t>
      </w:r>
      <w:r w:rsidRPr="00D06767">
        <w:rPr>
          <w:rFonts w:cs="Arial"/>
          <w:szCs w:val="24"/>
          <w:lang w:eastAsia="fr-CA"/>
        </w:rPr>
        <w:t>27</w:t>
      </w:r>
      <w:r w:rsidR="00D06767" w:rsidRPr="00D06767">
        <w:rPr>
          <w:rFonts w:cs="Arial"/>
          <w:szCs w:val="24"/>
          <w:lang w:eastAsia="fr-CA"/>
        </w:rPr>
        <w:t> </w:t>
      </w:r>
      <w:r w:rsidRPr="00D06767">
        <w:rPr>
          <w:rFonts w:cs="Arial"/>
          <w:szCs w:val="24"/>
          <w:lang w:eastAsia="fr-CA"/>
        </w:rPr>
        <w:t>janvier</w:t>
      </w:r>
      <w:r w:rsidR="00D06767" w:rsidRPr="00D06767">
        <w:rPr>
          <w:rFonts w:cs="Arial"/>
          <w:szCs w:val="24"/>
          <w:lang w:eastAsia="fr-CA"/>
        </w:rPr>
        <w:t> 2</w:t>
      </w:r>
      <w:r w:rsidRPr="00D06767">
        <w:rPr>
          <w:rFonts w:cs="Arial"/>
          <w:szCs w:val="24"/>
          <w:lang w:eastAsia="fr-CA"/>
        </w:rPr>
        <w:t>025 en notifiant aux procureurs des Demandeurs neuf (9) documents</w:t>
      </w:r>
      <w:r w:rsidR="00D06767" w:rsidRPr="00D06767">
        <w:rPr>
          <w:rFonts w:cs="Arial"/>
          <w:szCs w:val="24"/>
          <w:lang w:eastAsia="fr-CA"/>
        </w:rPr>
        <w:t xml:space="preserve"> </w:t>
      </w:r>
      <w:r w:rsidRPr="00D06767">
        <w:rPr>
          <w:rFonts w:cs="Arial"/>
          <w:szCs w:val="24"/>
          <w:lang w:eastAsia="fr-CA"/>
        </w:rPr>
        <w:t>non cotés visant St-Gelais, tel qu’il appert du courriel de M</w:t>
      </w:r>
      <w:r w:rsidRPr="003B6474">
        <w:rPr>
          <w:rFonts w:cs="Arial"/>
          <w:szCs w:val="24"/>
          <w:vertAlign w:val="superscript"/>
          <w:lang w:eastAsia="fr-CA"/>
        </w:rPr>
        <w:t>e</w:t>
      </w:r>
      <w:r w:rsidR="001C27F8">
        <w:rPr>
          <w:rFonts w:cs="Arial"/>
          <w:szCs w:val="24"/>
          <w:lang w:eastAsia="fr-CA"/>
        </w:rPr>
        <w:t> </w:t>
      </w:r>
      <w:r w:rsidRPr="00D06767">
        <w:rPr>
          <w:rFonts w:cs="Arial"/>
          <w:szCs w:val="24"/>
          <w:lang w:eastAsia="fr-CA"/>
        </w:rPr>
        <w:t>Marc-Antoine Côté</w:t>
      </w:r>
      <w:r w:rsidR="00D06767" w:rsidRPr="00D06767">
        <w:rPr>
          <w:rFonts w:cs="Arial"/>
          <w:szCs w:val="24"/>
          <w:lang w:eastAsia="fr-CA"/>
        </w:rPr>
        <w:t xml:space="preserve"> </w:t>
      </w:r>
      <w:r w:rsidRPr="00D06767">
        <w:rPr>
          <w:rFonts w:cs="Arial"/>
          <w:szCs w:val="24"/>
          <w:lang w:eastAsia="fr-CA"/>
        </w:rPr>
        <w:t>daté du 27</w:t>
      </w:r>
      <w:r w:rsidR="00D06767" w:rsidRPr="00D06767">
        <w:rPr>
          <w:rFonts w:cs="Arial"/>
          <w:szCs w:val="24"/>
          <w:lang w:eastAsia="fr-CA"/>
        </w:rPr>
        <w:t> </w:t>
      </w:r>
      <w:r w:rsidRPr="00D06767">
        <w:rPr>
          <w:rFonts w:cs="Arial"/>
          <w:szCs w:val="24"/>
          <w:lang w:eastAsia="fr-CA"/>
        </w:rPr>
        <w:t>janvier</w:t>
      </w:r>
      <w:r w:rsidR="00D06767" w:rsidRPr="00D06767">
        <w:rPr>
          <w:rFonts w:cs="Arial"/>
          <w:szCs w:val="24"/>
          <w:lang w:eastAsia="fr-CA"/>
        </w:rPr>
        <w:t> </w:t>
      </w:r>
      <w:r w:rsidRPr="00D06767">
        <w:rPr>
          <w:rFonts w:cs="Arial"/>
          <w:szCs w:val="24"/>
          <w:lang w:eastAsia="fr-CA"/>
        </w:rPr>
        <w:t>2025.</w:t>
      </w:r>
    </w:p>
    <w:p w14:paraId="11741575" w14:textId="77777777" w:rsidR="00852048" w:rsidRDefault="00852048" w:rsidP="00C67102">
      <w:pPr>
        <w:autoSpaceDE w:val="0"/>
        <w:autoSpaceDN w:val="0"/>
        <w:adjustRightInd w:val="0"/>
        <w:ind w:left="567" w:hanging="283"/>
        <w:jc w:val="both"/>
        <w:rPr>
          <w:rFonts w:cs="Arial"/>
          <w:szCs w:val="24"/>
          <w:lang w:eastAsia="fr-CA"/>
        </w:rPr>
      </w:pPr>
    </w:p>
    <w:p w14:paraId="2D67F57C" w14:textId="77777777" w:rsidR="00852048" w:rsidRPr="00D06767" w:rsidRDefault="00730A01" w:rsidP="00443B59">
      <w:pPr>
        <w:pStyle w:val="Paragraphedeliste"/>
        <w:numPr>
          <w:ilvl w:val="0"/>
          <w:numId w:val="81"/>
        </w:numPr>
        <w:autoSpaceDE w:val="0"/>
        <w:autoSpaceDN w:val="0"/>
        <w:adjustRightInd w:val="0"/>
        <w:ind w:left="567" w:hanging="283"/>
        <w:jc w:val="both"/>
        <w:rPr>
          <w:rFonts w:cs="Arial"/>
          <w:szCs w:val="24"/>
          <w:lang w:eastAsia="fr-CA"/>
        </w:rPr>
      </w:pPr>
      <w:r w:rsidRPr="00D06767">
        <w:rPr>
          <w:rFonts w:cs="Arial"/>
          <w:szCs w:val="24"/>
          <w:lang w:eastAsia="fr-CA"/>
        </w:rPr>
        <w:t>De plus, parmi les pièces additionnelles qui seront communiquées le</w:t>
      </w:r>
      <w:r w:rsidR="00D06767" w:rsidRPr="00D06767">
        <w:rPr>
          <w:rFonts w:cs="Arial"/>
          <w:szCs w:val="24"/>
          <w:lang w:eastAsia="fr-CA"/>
        </w:rPr>
        <w:t xml:space="preserve"> </w:t>
      </w:r>
      <w:r w:rsidRPr="00D06767">
        <w:rPr>
          <w:rFonts w:cs="Arial"/>
          <w:szCs w:val="24"/>
          <w:lang w:eastAsia="fr-CA"/>
        </w:rPr>
        <w:t>31</w:t>
      </w:r>
      <w:r w:rsidR="00D06767" w:rsidRPr="00D06767">
        <w:rPr>
          <w:rFonts w:cs="Arial"/>
          <w:szCs w:val="24"/>
          <w:lang w:eastAsia="fr-CA"/>
        </w:rPr>
        <w:t> </w:t>
      </w:r>
      <w:r w:rsidRPr="00D06767">
        <w:rPr>
          <w:rFonts w:cs="Arial"/>
          <w:szCs w:val="24"/>
          <w:lang w:eastAsia="fr-CA"/>
        </w:rPr>
        <w:t>janvier</w:t>
      </w:r>
      <w:r w:rsidR="00D06767" w:rsidRPr="00D06767">
        <w:rPr>
          <w:rFonts w:cs="Arial"/>
          <w:szCs w:val="24"/>
          <w:lang w:eastAsia="fr-CA"/>
        </w:rPr>
        <w:t> </w:t>
      </w:r>
      <w:r w:rsidRPr="00D06767">
        <w:rPr>
          <w:rFonts w:cs="Arial"/>
          <w:szCs w:val="24"/>
          <w:lang w:eastAsia="fr-CA"/>
        </w:rPr>
        <w:t>2025, plusieurs ont été transmises en vue de la poursuite de</w:t>
      </w:r>
      <w:r w:rsidR="00D06767" w:rsidRPr="00D06767">
        <w:rPr>
          <w:rFonts w:cs="Arial"/>
          <w:szCs w:val="24"/>
          <w:lang w:eastAsia="fr-CA"/>
        </w:rPr>
        <w:t xml:space="preserve"> </w:t>
      </w:r>
      <w:r w:rsidRPr="00D06767">
        <w:rPr>
          <w:rFonts w:cs="Arial"/>
          <w:szCs w:val="24"/>
          <w:lang w:eastAsia="fr-CA"/>
        </w:rPr>
        <w:t>l’interrogatoire de St-Gelais. Soulignons que la pièce</w:t>
      </w:r>
      <w:r w:rsidR="001C27F8">
        <w:rPr>
          <w:rFonts w:cs="Arial"/>
          <w:szCs w:val="24"/>
          <w:lang w:eastAsia="fr-CA"/>
        </w:rPr>
        <w:t> </w:t>
      </w:r>
      <w:r w:rsidRPr="00D06767">
        <w:rPr>
          <w:rFonts w:cs="Arial"/>
          <w:szCs w:val="24"/>
          <w:lang w:eastAsia="fr-CA"/>
        </w:rPr>
        <w:t>D-731 (en liasse) intitulée</w:t>
      </w:r>
      <w:r w:rsidR="001C27F8">
        <w:rPr>
          <w:rFonts w:cs="Arial"/>
          <w:szCs w:val="24"/>
          <w:lang w:eastAsia="fr-CA"/>
        </w:rPr>
        <w:t xml:space="preserve"> </w:t>
      </w:r>
      <w:r w:rsidRPr="00D06767">
        <w:rPr>
          <w:rFonts w:cs="Arial"/>
          <w:i/>
          <w:iCs/>
          <w:szCs w:val="24"/>
          <w:lang w:eastAsia="fr-CA"/>
        </w:rPr>
        <w:t>Tableaux de bord de Guillaume St</w:t>
      </w:r>
      <w:r w:rsidR="00D06767" w:rsidRPr="00D06767">
        <w:rPr>
          <w:rFonts w:cs="Arial"/>
          <w:i/>
          <w:iCs/>
          <w:szCs w:val="24"/>
          <w:lang w:eastAsia="fr-CA"/>
        </w:rPr>
        <w:noBreakHyphen/>
      </w:r>
      <w:r w:rsidRPr="00D06767">
        <w:rPr>
          <w:rFonts w:cs="Arial"/>
          <w:i/>
          <w:iCs/>
          <w:szCs w:val="24"/>
          <w:lang w:eastAsia="fr-CA"/>
        </w:rPr>
        <w:t xml:space="preserve">Gelais </w:t>
      </w:r>
      <w:r w:rsidRPr="00D06767">
        <w:rPr>
          <w:rFonts w:cs="Arial"/>
          <w:szCs w:val="24"/>
          <w:lang w:eastAsia="fr-CA"/>
        </w:rPr>
        <w:t>comporte à elle seule environ trois cent</w:t>
      </w:r>
      <w:r w:rsidR="00D06767" w:rsidRPr="00D06767">
        <w:rPr>
          <w:rFonts w:cs="Arial"/>
          <w:szCs w:val="24"/>
          <w:lang w:eastAsia="fr-CA"/>
        </w:rPr>
        <w:t xml:space="preserve"> </w:t>
      </w:r>
      <w:r w:rsidRPr="00D06767">
        <w:rPr>
          <w:rFonts w:cs="Arial"/>
          <w:szCs w:val="24"/>
          <w:lang w:eastAsia="fr-CA"/>
        </w:rPr>
        <w:t>quatre-vingt-onze (391) documents additionnels.</w:t>
      </w:r>
    </w:p>
    <w:p w14:paraId="08415092" w14:textId="77777777" w:rsidR="00760EF8" w:rsidRDefault="00730A01">
      <w:pPr>
        <w:rPr>
          <w:rFonts w:cs="Arial"/>
          <w:szCs w:val="24"/>
          <w:lang w:eastAsia="fr-CA"/>
        </w:rPr>
      </w:pPr>
      <w:r>
        <w:rPr>
          <w:rFonts w:cs="Arial"/>
          <w:szCs w:val="24"/>
          <w:lang w:eastAsia="fr-CA"/>
        </w:rPr>
        <w:br w:type="page"/>
      </w:r>
    </w:p>
    <w:p w14:paraId="4CBC9F32" w14:textId="77777777" w:rsidR="00852048" w:rsidRPr="001C27F8" w:rsidRDefault="00730A01" w:rsidP="00443B59">
      <w:pPr>
        <w:pStyle w:val="Titre2"/>
        <w:numPr>
          <w:ilvl w:val="0"/>
          <w:numId w:val="124"/>
        </w:numPr>
        <w:spacing w:after="120"/>
        <w:rPr>
          <w:smallCaps/>
        </w:rPr>
      </w:pPr>
      <w:r w:rsidRPr="001C27F8">
        <w:rPr>
          <w:smallCaps/>
        </w:rPr>
        <w:t xml:space="preserve">Par rapport au jugement de la registraire </w:t>
      </w:r>
      <w:r w:rsidR="005C6BA6" w:rsidRPr="001C27F8">
        <w:rPr>
          <w:smallCaps/>
        </w:rPr>
        <w:t>M</w:t>
      </w:r>
      <w:r w:rsidR="00723464" w:rsidRPr="00940417">
        <w:rPr>
          <w:smallCaps/>
          <w:vertAlign w:val="superscript"/>
        </w:rPr>
        <w:t>e</w:t>
      </w:r>
      <w:r w:rsidR="00723464" w:rsidRPr="00940417">
        <w:rPr>
          <w:smallCaps/>
        </w:rPr>
        <w:t> </w:t>
      </w:r>
      <w:r w:rsidRPr="001C27F8">
        <w:rPr>
          <w:smallCaps/>
        </w:rPr>
        <w:t>Laurie-Anne Pelletier daté du</w:t>
      </w:r>
      <w:r w:rsidR="00D06767" w:rsidRPr="001C27F8">
        <w:rPr>
          <w:smallCaps/>
        </w:rPr>
        <w:t xml:space="preserve"> </w:t>
      </w:r>
      <w:r w:rsidRPr="001C27F8">
        <w:rPr>
          <w:smallCaps/>
        </w:rPr>
        <w:t>5 décembre</w:t>
      </w:r>
      <w:r w:rsidR="00723464">
        <w:rPr>
          <w:smallCaps/>
        </w:rPr>
        <w:t> </w:t>
      </w:r>
      <w:r w:rsidRPr="001C27F8">
        <w:rPr>
          <w:smallCaps/>
        </w:rPr>
        <w:t>2024</w:t>
      </w:r>
    </w:p>
    <w:p w14:paraId="7B3416CE" w14:textId="77777777" w:rsidR="00852048" w:rsidRPr="00723464" w:rsidRDefault="00730A01" w:rsidP="00443B59">
      <w:pPr>
        <w:pStyle w:val="Paragraphedeliste"/>
        <w:numPr>
          <w:ilvl w:val="0"/>
          <w:numId w:val="81"/>
        </w:numPr>
        <w:autoSpaceDE w:val="0"/>
        <w:autoSpaceDN w:val="0"/>
        <w:adjustRightInd w:val="0"/>
        <w:ind w:left="567" w:hanging="283"/>
        <w:jc w:val="both"/>
        <w:rPr>
          <w:rFonts w:cs="Arial"/>
          <w:sz w:val="22"/>
          <w:szCs w:val="22"/>
          <w:lang w:eastAsia="fr-CA"/>
        </w:rPr>
      </w:pPr>
      <w:r w:rsidRPr="00723464">
        <w:rPr>
          <w:rFonts w:cs="Arial"/>
          <w:sz w:val="22"/>
          <w:szCs w:val="22"/>
          <w:lang w:eastAsia="fr-CA"/>
        </w:rPr>
        <w:t>Le</w:t>
      </w:r>
      <w:r w:rsidR="00D06767" w:rsidRPr="00723464">
        <w:rPr>
          <w:rFonts w:cs="Arial"/>
          <w:sz w:val="22"/>
          <w:szCs w:val="22"/>
          <w:lang w:eastAsia="fr-CA"/>
        </w:rPr>
        <w:t xml:space="preserve"> </w:t>
      </w:r>
      <w:r w:rsidRPr="00723464">
        <w:rPr>
          <w:rFonts w:cs="Arial"/>
          <w:sz w:val="22"/>
          <w:szCs w:val="22"/>
          <w:lang w:eastAsia="fr-CA"/>
        </w:rPr>
        <w:t>5</w:t>
      </w:r>
      <w:r w:rsidR="00D06767" w:rsidRPr="00723464">
        <w:rPr>
          <w:rFonts w:cs="Arial"/>
          <w:sz w:val="22"/>
          <w:szCs w:val="22"/>
          <w:lang w:eastAsia="fr-CA"/>
        </w:rPr>
        <w:t> </w:t>
      </w:r>
      <w:r w:rsidRPr="00723464">
        <w:rPr>
          <w:rFonts w:cs="Arial"/>
          <w:sz w:val="22"/>
          <w:szCs w:val="22"/>
          <w:lang w:eastAsia="fr-CA"/>
        </w:rPr>
        <w:t>décembre</w:t>
      </w:r>
      <w:r w:rsidR="00D06767" w:rsidRPr="00723464">
        <w:rPr>
          <w:rFonts w:cs="Arial"/>
          <w:sz w:val="22"/>
          <w:szCs w:val="22"/>
          <w:lang w:eastAsia="fr-CA"/>
        </w:rPr>
        <w:t> </w:t>
      </w:r>
      <w:r w:rsidRPr="00723464">
        <w:rPr>
          <w:rFonts w:cs="Arial"/>
          <w:sz w:val="22"/>
          <w:szCs w:val="22"/>
          <w:lang w:eastAsia="fr-CA"/>
        </w:rPr>
        <w:t xml:space="preserve">2024, </w:t>
      </w:r>
      <w:r w:rsidR="00D06767" w:rsidRPr="00723464">
        <w:rPr>
          <w:rFonts w:cs="Arial"/>
          <w:sz w:val="22"/>
          <w:szCs w:val="22"/>
          <w:lang w:eastAsia="fr-CA"/>
        </w:rPr>
        <w:t>M</w:t>
      </w:r>
      <w:r w:rsidR="00D06767" w:rsidRPr="00723464">
        <w:rPr>
          <w:rFonts w:cs="Arial"/>
          <w:sz w:val="22"/>
          <w:szCs w:val="22"/>
          <w:vertAlign w:val="superscript"/>
          <w:lang w:eastAsia="fr-CA"/>
        </w:rPr>
        <w:t>e</w:t>
      </w:r>
      <w:r w:rsidR="00723464" w:rsidRPr="00723464">
        <w:rPr>
          <w:rFonts w:cs="Arial"/>
          <w:sz w:val="22"/>
          <w:szCs w:val="22"/>
          <w:lang w:eastAsia="fr-CA"/>
        </w:rPr>
        <w:t> </w:t>
      </w:r>
      <w:r w:rsidRPr="00723464">
        <w:rPr>
          <w:rFonts w:cs="Arial"/>
          <w:sz w:val="22"/>
          <w:szCs w:val="22"/>
          <w:lang w:eastAsia="fr-CA"/>
        </w:rPr>
        <w:t xml:space="preserve">Laurie-Ann Pelletier, registraire. À cette date, </w:t>
      </w:r>
      <w:r w:rsidR="00D06767" w:rsidRPr="00723464">
        <w:rPr>
          <w:rFonts w:cs="Arial"/>
          <w:sz w:val="22"/>
          <w:szCs w:val="22"/>
          <w:lang w:eastAsia="fr-CA"/>
        </w:rPr>
        <w:t>M</w:t>
      </w:r>
      <w:r w:rsidR="00D06767" w:rsidRPr="00723464">
        <w:rPr>
          <w:rFonts w:cs="Arial"/>
          <w:sz w:val="22"/>
          <w:szCs w:val="22"/>
          <w:vertAlign w:val="superscript"/>
          <w:lang w:eastAsia="fr-CA"/>
        </w:rPr>
        <w:t>e</w:t>
      </w:r>
      <w:r w:rsidR="00723464" w:rsidRPr="00723464">
        <w:rPr>
          <w:rFonts w:cs="Arial"/>
          <w:sz w:val="22"/>
          <w:szCs w:val="22"/>
          <w:lang w:eastAsia="fr-CA"/>
        </w:rPr>
        <w:t> </w:t>
      </w:r>
      <w:r w:rsidRPr="00723464">
        <w:rPr>
          <w:rFonts w:cs="Arial"/>
          <w:sz w:val="22"/>
          <w:szCs w:val="22"/>
          <w:lang w:eastAsia="fr-CA"/>
        </w:rPr>
        <w:t>Pelletier</w:t>
      </w:r>
      <w:r w:rsidR="00D06767" w:rsidRPr="00723464">
        <w:rPr>
          <w:rFonts w:cs="Arial"/>
          <w:sz w:val="22"/>
          <w:szCs w:val="22"/>
          <w:lang w:eastAsia="fr-CA"/>
        </w:rPr>
        <w:t xml:space="preserve"> </w:t>
      </w:r>
      <w:r w:rsidRPr="00723464">
        <w:rPr>
          <w:rFonts w:cs="Arial"/>
          <w:sz w:val="22"/>
          <w:szCs w:val="22"/>
          <w:lang w:eastAsia="fr-CA"/>
        </w:rPr>
        <w:t>ordonnait à EY de communiquer aux Défendeurs une copie du disque dur qui se</w:t>
      </w:r>
      <w:r w:rsidR="00D06767" w:rsidRPr="00723464">
        <w:rPr>
          <w:rFonts w:cs="Arial"/>
          <w:sz w:val="22"/>
          <w:szCs w:val="22"/>
          <w:lang w:eastAsia="fr-CA"/>
        </w:rPr>
        <w:t xml:space="preserve"> </w:t>
      </w:r>
      <w:r w:rsidRPr="00723464">
        <w:rPr>
          <w:rFonts w:cs="Arial"/>
          <w:sz w:val="22"/>
          <w:szCs w:val="22"/>
          <w:lang w:eastAsia="fr-CA"/>
        </w:rPr>
        <w:t>trouvait en leur possession</w:t>
      </w:r>
      <w:r w:rsidRPr="00723464">
        <w:rPr>
          <w:rFonts w:cs="Arial"/>
          <w:sz w:val="22"/>
          <w:szCs w:val="22"/>
          <w:vertAlign w:val="superscript"/>
          <w:lang w:eastAsia="fr-CA"/>
        </w:rPr>
        <w:t>43</w:t>
      </w:r>
      <w:r w:rsidRPr="00723464">
        <w:rPr>
          <w:rFonts w:cs="Arial"/>
          <w:sz w:val="22"/>
          <w:szCs w:val="22"/>
          <w:lang w:eastAsia="fr-CA"/>
        </w:rPr>
        <w:t>. Toutefois, cette ordonnance était accompagnée</w:t>
      </w:r>
      <w:r w:rsidR="00D06767" w:rsidRPr="00723464">
        <w:rPr>
          <w:rFonts w:cs="Arial"/>
          <w:sz w:val="22"/>
          <w:szCs w:val="22"/>
          <w:lang w:eastAsia="fr-CA"/>
        </w:rPr>
        <w:t xml:space="preserve"> </w:t>
      </w:r>
      <w:r w:rsidRPr="00723464">
        <w:rPr>
          <w:rFonts w:cs="Arial"/>
          <w:sz w:val="22"/>
          <w:szCs w:val="22"/>
          <w:lang w:eastAsia="fr-CA"/>
        </w:rPr>
        <w:t>d’une ordonnance de confidentialité permettant la communication et l’utilisation de</w:t>
      </w:r>
      <w:r w:rsidR="00D06767" w:rsidRPr="00723464">
        <w:rPr>
          <w:rFonts w:cs="Arial"/>
          <w:sz w:val="22"/>
          <w:szCs w:val="22"/>
          <w:lang w:eastAsia="fr-CA"/>
        </w:rPr>
        <w:t xml:space="preserve"> </w:t>
      </w:r>
      <w:r w:rsidRPr="00723464">
        <w:rPr>
          <w:rFonts w:cs="Arial"/>
          <w:sz w:val="22"/>
          <w:szCs w:val="22"/>
          <w:lang w:eastAsia="fr-CA"/>
        </w:rPr>
        <w:t xml:space="preserve">la documentation de ce disque dur </w:t>
      </w:r>
      <w:r w:rsidRPr="00723464">
        <w:rPr>
          <w:rFonts w:cs="Arial"/>
          <w:sz w:val="22"/>
          <w:szCs w:val="22"/>
          <w:u w:val="single"/>
          <w:lang w:eastAsia="fr-CA"/>
        </w:rPr>
        <w:t>uniquement dans le cadre des recours judiciaire</w:t>
      </w:r>
      <w:r w:rsidR="00D06767" w:rsidRPr="00723464">
        <w:rPr>
          <w:rFonts w:cs="Arial"/>
          <w:sz w:val="22"/>
          <w:szCs w:val="22"/>
          <w:u w:val="single"/>
          <w:lang w:eastAsia="fr-CA"/>
        </w:rPr>
        <w:t xml:space="preserve"> </w:t>
      </w:r>
      <w:r w:rsidRPr="00723464">
        <w:rPr>
          <w:rFonts w:cs="Arial"/>
          <w:sz w:val="22"/>
          <w:szCs w:val="22"/>
          <w:u w:val="single"/>
          <w:lang w:eastAsia="fr-CA"/>
        </w:rPr>
        <w:t>en lien avec la faillite ou l’insolvabilité de Groupe Huot inc</w:t>
      </w:r>
      <w:r w:rsidRPr="00723464">
        <w:rPr>
          <w:rFonts w:cs="Arial"/>
          <w:sz w:val="22"/>
          <w:szCs w:val="22"/>
          <w:lang w:eastAsia="fr-CA"/>
        </w:rPr>
        <w:t>.</w:t>
      </w:r>
      <w:r w:rsidR="00D06767" w:rsidRPr="00723464">
        <w:rPr>
          <w:rFonts w:cs="Arial"/>
          <w:sz w:val="22"/>
          <w:szCs w:val="22"/>
          <w:lang w:eastAsia="fr-CA"/>
        </w:rPr>
        <w:t> </w:t>
      </w:r>
      <w:r w:rsidRPr="00723464">
        <w:rPr>
          <w:rFonts w:cs="Arial"/>
          <w:sz w:val="22"/>
          <w:szCs w:val="22"/>
          <w:lang w:eastAsia="fr-CA"/>
        </w:rPr>
        <w:t>:</w:t>
      </w:r>
    </w:p>
    <w:p w14:paraId="185BCE48" w14:textId="77777777" w:rsidR="00852048" w:rsidRPr="00723464" w:rsidRDefault="00730A01" w:rsidP="00723464">
      <w:pPr>
        <w:autoSpaceDE w:val="0"/>
        <w:autoSpaceDN w:val="0"/>
        <w:adjustRightInd w:val="0"/>
        <w:spacing w:before="120" w:after="240"/>
        <w:ind w:left="568" w:hanging="284"/>
        <w:jc w:val="right"/>
        <w:rPr>
          <w:rFonts w:cs="Arial"/>
          <w:sz w:val="20"/>
          <w:lang w:eastAsia="fr-CA"/>
        </w:rPr>
      </w:pPr>
      <w:r w:rsidRPr="00723464">
        <w:rPr>
          <w:rFonts w:cs="Arial"/>
          <w:sz w:val="20"/>
          <w:lang w:eastAsia="fr-CA"/>
        </w:rPr>
        <w:t>[Nos soulignés]</w:t>
      </w:r>
    </w:p>
    <w:p w14:paraId="150553EF" w14:textId="77777777" w:rsidR="00852048" w:rsidRPr="00D06767"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Cs w:val="24"/>
          <w:lang w:eastAsia="fr-CA"/>
        </w:rPr>
      </w:pPr>
      <w:r w:rsidRPr="00D06767">
        <w:rPr>
          <w:rFonts w:cs="Arial"/>
          <w:szCs w:val="24"/>
          <w:lang w:eastAsia="fr-CA"/>
        </w:rPr>
        <w:t>Elle :</w:t>
      </w:r>
    </w:p>
    <w:p w14:paraId="0871BF03" w14:textId="77777777" w:rsidR="00852048" w:rsidRDefault="00730A01" w:rsidP="00723464">
      <w:pPr>
        <w:autoSpaceDE w:val="0"/>
        <w:autoSpaceDN w:val="0"/>
        <w:adjustRightInd w:val="0"/>
        <w:spacing w:after="120"/>
        <w:ind w:left="731" w:right="539"/>
        <w:jc w:val="both"/>
        <w:rPr>
          <w:rFonts w:cs="Arial"/>
          <w:sz w:val="22"/>
          <w:szCs w:val="22"/>
          <w:lang w:eastAsia="fr-CA"/>
        </w:rPr>
      </w:pPr>
      <w:r>
        <w:rPr>
          <w:rFonts w:cs="Arial"/>
          <w:sz w:val="22"/>
          <w:szCs w:val="22"/>
          <w:lang w:eastAsia="fr-CA"/>
        </w:rPr>
        <w:t>[12]</w:t>
      </w:r>
      <w:r w:rsidR="00723464">
        <w:rPr>
          <w:rFonts w:cs="Arial"/>
          <w:sz w:val="22"/>
          <w:szCs w:val="22"/>
          <w:lang w:eastAsia="fr-CA"/>
        </w:rPr>
        <w:t> </w:t>
      </w:r>
      <w:r>
        <w:rPr>
          <w:rFonts w:cs="Arial"/>
          <w:b/>
          <w:bCs/>
          <w:sz w:val="22"/>
          <w:szCs w:val="22"/>
          <w:lang w:eastAsia="fr-CA"/>
        </w:rPr>
        <w:t xml:space="preserve">AUTORISE </w:t>
      </w:r>
      <w:r>
        <w:rPr>
          <w:rFonts w:cs="Arial"/>
          <w:sz w:val="22"/>
          <w:szCs w:val="22"/>
          <w:lang w:eastAsia="fr-CA"/>
        </w:rPr>
        <w:t>les avocats des Créanciers-Requérantes à partager le</w:t>
      </w:r>
      <w:r w:rsidR="00D773B4">
        <w:rPr>
          <w:rFonts w:cs="Arial"/>
          <w:sz w:val="22"/>
          <w:szCs w:val="22"/>
          <w:lang w:eastAsia="fr-CA"/>
        </w:rPr>
        <w:t xml:space="preserve"> </w:t>
      </w:r>
      <w:r>
        <w:rPr>
          <w:rFonts w:cs="Arial"/>
          <w:sz w:val="22"/>
          <w:szCs w:val="22"/>
          <w:lang w:eastAsia="fr-CA"/>
        </w:rPr>
        <w:t>contenu du Disque Dur avec leurs clients et les autres professionnels et</w:t>
      </w:r>
      <w:r w:rsidR="00D773B4">
        <w:rPr>
          <w:rFonts w:cs="Arial"/>
          <w:sz w:val="22"/>
          <w:szCs w:val="22"/>
          <w:lang w:eastAsia="fr-CA"/>
        </w:rPr>
        <w:t xml:space="preserve"> </w:t>
      </w:r>
      <w:r>
        <w:rPr>
          <w:rFonts w:cs="Arial"/>
          <w:sz w:val="22"/>
          <w:szCs w:val="22"/>
          <w:lang w:eastAsia="fr-CA"/>
        </w:rPr>
        <w:t>consultants de leurs clients concernant tout recours en lien avec la faillite</w:t>
      </w:r>
      <w:r w:rsidR="00D773B4">
        <w:rPr>
          <w:rFonts w:cs="Arial"/>
          <w:sz w:val="22"/>
          <w:szCs w:val="22"/>
          <w:lang w:eastAsia="fr-CA"/>
        </w:rPr>
        <w:t xml:space="preserve"> </w:t>
      </w:r>
      <w:r>
        <w:rPr>
          <w:rFonts w:cs="Arial"/>
          <w:sz w:val="22"/>
          <w:szCs w:val="22"/>
          <w:lang w:eastAsia="fr-CA"/>
        </w:rPr>
        <w:t>ou l’insolvabilité de Groupe Huot inc., de ses sociétés affiliés et de Stéphan</w:t>
      </w:r>
      <w:r w:rsidR="00D773B4">
        <w:rPr>
          <w:rFonts w:cs="Arial"/>
          <w:sz w:val="22"/>
          <w:szCs w:val="22"/>
          <w:lang w:eastAsia="fr-CA"/>
        </w:rPr>
        <w:t xml:space="preserve"> </w:t>
      </w:r>
      <w:r>
        <w:rPr>
          <w:rFonts w:cs="Arial"/>
          <w:sz w:val="22"/>
          <w:szCs w:val="22"/>
          <w:lang w:eastAsia="fr-CA"/>
        </w:rPr>
        <w:t>Huot (collectivement, le «</w:t>
      </w:r>
      <w:r w:rsidR="00723464">
        <w:rPr>
          <w:rFonts w:cs="Arial"/>
          <w:sz w:val="22"/>
          <w:szCs w:val="22"/>
          <w:lang w:eastAsia="fr-CA"/>
        </w:rPr>
        <w:t> </w:t>
      </w:r>
      <w:r>
        <w:rPr>
          <w:rFonts w:cs="Arial"/>
          <w:sz w:val="22"/>
          <w:szCs w:val="22"/>
          <w:lang w:eastAsia="fr-CA"/>
        </w:rPr>
        <w:t>Groupe Huot</w:t>
      </w:r>
      <w:r w:rsidR="00723464">
        <w:rPr>
          <w:rFonts w:cs="Arial"/>
          <w:sz w:val="22"/>
          <w:szCs w:val="22"/>
          <w:lang w:eastAsia="fr-CA"/>
        </w:rPr>
        <w:t> </w:t>
      </w:r>
      <w:r>
        <w:rPr>
          <w:rFonts w:cs="Arial"/>
          <w:sz w:val="22"/>
          <w:szCs w:val="22"/>
          <w:lang w:eastAsia="fr-CA"/>
        </w:rPr>
        <w:t>»), incluant notamment toute</w:t>
      </w:r>
      <w:r w:rsidR="00D773B4">
        <w:rPr>
          <w:rFonts w:cs="Arial"/>
          <w:sz w:val="22"/>
          <w:szCs w:val="22"/>
          <w:lang w:eastAsia="fr-CA"/>
        </w:rPr>
        <w:t xml:space="preserve"> </w:t>
      </w:r>
      <w:r>
        <w:rPr>
          <w:rFonts w:cs="Arial"/>
          <w:sz w:val="22"/>
          <w:szCs w:val="22"/>
          <w:lang w:eastAsia="fr-CA"/>
        </w:rPr>
        <w:t>transaction révisable et/ou cotisation, sujet à ce que ces personnes</w:t>
      </w:r>
      <w:r w:rsidR="00D773B4">
        <w:rPr>
          <w:rFonts w:cs="Arial"/>
          <w:sz w:val="22"/>
          <w:szCs w:val="22"/>
          <w:lang w:eastAsia="fr-CA"/>
        </w:rPr>
        <w:t xml:space="preserve"> </w:t>
      </w:r>
      <w:r>
        <w:rPr>
          <w:rFonts w:cs="Arial"/>
          <w:sz w:val="22"/>
          <w:szCs w:val="22"/>
          <w:lang w:eastAsia="fr-CA"/>
        </w:rPr>
        <w:t>prennent connaissance des obligations de confidentialité prévues à la</w:t>
      </w:r>
      <w:r w:rsidR="00D773B4">
        <w:rPr>
          <w:rFonts w:cs="Arial"/>
          <w:sz w:val="22"/>
          <w:szCs w:val="22"/>
          <w:lang w:eastAsia="fr-CA"/>
        </w:rPr>
        <w:t xml:space="preserve"> </w:t>
      </w:r>
      <w:r>
        <w:rPr>
          <w:rFonts w:cs="Arial"/>
          <w:sz w:val="22"/>
          <w:szCs w:val="22"/>
          <w:lang w:eastAsia="fr-CA"/>
        </w:rPr>
        <w:t>présente ordonnance;</w:t>
      </w:r>
    </w:p>
    <w:p w14:paraId="0EB978A3" w14:textId="77777777" w:rsidR="00852048" w:rsidRDefault="00730A01" w:rsidP="00723464">
      <w:pPr>
        <w:autoSpaceDE w:val="0"/>
        <w:autoSpaceDN w:val="0"/>
        <w:adjustRightInd w:val="0"/>
        <w:spacing w:after="120"/>
        <w:ind w:left="731" w:right="539"/>
        <w:jc w:val="both"/>
        <w:rPr>
          <w:rFonts w:cs="Arial"/>
          <w:sz w:val="22"/>
          <w:szCs w:val="22"/>
          <w:lang w:eastAsia="fr-CA"/>
        </w:rPr>
      </w:pPr>
      <w:r>
        <w:rPr>
          <w:rFonts w:cs="Arial"/>
          <w:sz w:val="22"/>
          <w:szCs w:val="22"/>
          <w:lang w:eastAsia="fr-CA"/>
        </w:rPr>
        <w:t>[13]</w:t>
      </w:r>
      <w:r w:rsidR="00723464">
        <w:rPr>
          <w:rFonts w:cs="Arial"/>
          <w:sz w:val="22"/>
          <w:szCs w:val="22"/>
          <w:lang w:eastAsia="fr-CA"/>
        </w:rPr>
        <w:t> </w:t>
      </w:r>
      <w:r>
        <w:rPr>
          <w:rFonts w:cs="Arial"/>
          <w:b/>
          <w:bCs/>
          <w:sz w:val="22"/>
          <w:szCs w:val="22"/>
          <w:lang w:eastAsia="fr-CA"/>
        </w:rPr>
        <w:t xml:space="preserve">DÉCLARE </w:t>
      </w:r>
      <w:r>
        <w:rPr>
          <w:rFonts w:cs="Arial"/>
          <w:sz w:val="22"/>
          <w:szCs w:val="22"/>
          <w:lang w:eastAsia="fr-CA"/>
        </w:rPr>
        <w:t>que, sauf ordonnance contraire du Tribunal, le contenu du</w:t>
      </w:r>
      <w:r w:rsidR="00D773B4">
        <w:rPr>
          <w:rFonts w:cs="Arial"/>
          <w:sz w:val="22"/>
          <w:szCs w:val="22"/>
          <w:lang w:eastAsia="fr-CA"/>
        </w:rPr>
        <w:t xml:space="preserve"> </w:t>
      </w:r>
      <w:r>
        <w:rPr>
          <w:rFonts w:cs="Arial"/>
          <w:sz w:val="22"/>
          <w:szCs w:val="22"/>
          <w:lang w:eastAsia="fr-CA"/>
        </w:rPr>
        <w:t>Disque Dur obtenu par les Créancières-Requérantes sera assujetti à une</w:t>
      </w:r>
      <w:r w:rsidR="00D773B4">
        <w:rPr>
          <w:rFonts w:cs="Arial"/>
          <w:sz w:val="22"/>
          <w:szCs w:val="22"/>
          <w:lang w:eastAsia="fr-CA"/>
        </w:rPr>
        <w:t xml:space="preserve"> </w:t>
      </w:r>
      <w:r>
        <w:rPr>
          <w:rFonts w:cs="Arial"/>
          <w:sz w:val="22"/>
          <w:szCs w:val="22"/>
          <w:lang w:eastAsia="fr-CA"/>
        </w:rPr>
        <w:t>obligation implicite de confidentialité de la même nature que celle prévue</w:t>
      </w:r>
      <w:r w:rsidR="00D773B4">
        <w:rPr>
          <w:rFonts w:cs="Arial"/>
          <w:sz w:val="22"/>
          <w:szCs w:val="22"/>
          <w:lang w:eastAsia="fr-CA"/>
        </w:rPr>
        <w:t xml:space="preserve"> </w:t>
      </w:r>
      <w:r>
        <w:rPr>
          <w:rFonts w:cs="Arial"/>
          <w:sz w:val="22"/>
          <w:szCs w:val="22"/>
          <w:lang w:eastAsia="fr-CA"/>
        </w:rPr>
        <w:t xml:space="preserve">dans l’arrêt </w:t>
      </w:r>
      <w:r w:rsidRPr="00723464">
        <w:rPr>
          <w:rFonts w:cs="Arial"/>
          <w:i/>
          <w:iCs/>
          <w:sz w:val="22"/>
          <w:szCs w:val="22"/>
          <w:lang w:eastAsia="fr-CA"/>
        </w:rPr>
        <w:t>Lac d’Amiante du Québec Ltée.</w:t>
      </w:r>
      <w:r>
        <w:rPr>
          <w:rFonts w:cs="Arial"/>
          <w:sz w:val="22"/>
          <w:szCs w:val="22"/>
          <w:lang w:eastAsia="fr-CA"/>
        </w:rPr>
        <w:t xml:space="preserve"> </w:t>
      </w:r>
      <w:r w:rsidR="00D773B4">
        <w:rPr>
          <w:rFonts w:cs="Arial"/>
          <w:sz w:val="22"/>
          <w:szCs w:val="22"/>
          <w:lang w:eastAsia="fr-CA"/>
        </w:rPr>
        <w:t>c</w:t>
      </w:r>
      <w:r>
        <w:rPr>
          <w:rFonts w:cs="Arial"/>
          <w:sz w:val="22"/>
          <w:szCs w:val="22"/>
          <w:lang w:eastAsia="fr-CA"/>
        </w:rPr>
        <w:t xml:space="preserve">. </w:t>
      </w:r>
      <w:r w:rsidRPr="00723464">
        <w:rPr>
          <w:rFonts w:cs="Arial"/>
          <w:i/>
          <w:iCs/>
          <w:sz w:val="22"/>
          <w:szCs w:val="22"/>
          <w:lang w:eastAsia="fr-CA"/>
        </w:rPr>
        <w:t>2858-0702 Québec inc</w:t>
      </w:r>
      <w:r w:rsidR="00723464">
        <w:rPr>
          <w:rFonts w:cs="Arial"/>
          <w:i/>
          <w:iCs/>
          <w:sz w:val="22"/>
          <w:szCs w:val="22"/>
          <w:lang w:eastAsia="fr-CA"/>
        </w:rPr>
        <w:t>.</w:t>
      </w:r>
      <w:r w:rsidRPr="00723464">
        <w:rPr>
          <w:rFonts w:cs="Arial"/>
          <w:i/>
          <w:iCs/>
          <w:sz w:val="22"/>
          <w:szCs w:val="22"/>
          <w:lang w:eastAsia="fr-CA"/>
        </w:rPr>
        <w:t>,</w:t>
      </w:r>
      <w:r w:rsidR="00D773B4">
        <w:rPr>
          <w:rFonts w:cs="Arial"/>
          <w:sz w:val="22"/>
          <w:szCs w:val="22"/>
          <w:lang w:eastAsia="fr-CA"/>
        </w:rPr>
        <w:t xml:space="preserve"> </w:t>
      </w:r>
      <w:r>
        <w:rPr>
          <w:rFonts w:cs="Arial"/>
          <w:sz w:val="22"/>
          <w:szCs w:val="22"/>
          <w:lang w:eastAsia="fr-CA"/>
        </w:rPr>
        <w:t>2001 CSC 51, et que le dépôt en preuve de tout document du Disque Dur</w:t>
      </w:r>
      <w:r w:rsidR="00D773B4">
        <w:rPr>
          <w:rFonts w:cs="Arial"/>
          <w:sz w:val="22"/>
          <w:szCs w:val="22"/>
          <w:lang w:eastAsia="fr-CA"/>
        </w:rPr>
        <w:t xml:space="preserve"> </w:t>
      </w:r>
      <w:r>
        <w:rPr>
          <w:rFonts w:cs="Arial"/>
          <w:sz w:val="22"/>
          <w:szCs w:val="22"/>
          <w:lang w:eastAsia="fr-CA"/>
        </w:rPr>
        <w:t>sera sujet aux conditions suivantes :</w:t>
      </w:r>
    </w:p>
    <w:p w14:paraId="7C55AE92" w14:textId="77777777" w:rsidR="00852048" w:rsidRDefault="00730A01" w:rsidP="00723464">
      <w:pPr>
        <w:autoSpaceDE w:val="0"/>
        <w:autoSpaceDN w:val="0"/>
        <w:adjustRightInd w:val="0"/>
        <w:spacing w:after="120"/>
        <w:ind w:left="1276" w:right="964"/>
        <w:jc w:val="both"/>
        <w:rPr>
          <w:rFonts w:cs="Arial"/>
          <w:sz w:val="22"/>
          <w:szCs w:val="22"/>
          <w:lang w:eastAsia="fr-CA"/>
        </w:rPr>
      </w:pPr>
      <w:r>
        <w:rPr>
          <w:rFonts w:cs="Arial"/>
          <w:sz w:val="22"/>
          <w:szCs w:val="22"/>
          <w:lang w:eastAsia="fr-CA"/>
        </w:rPr>
        <w:t>i)</w:t>
      </w:r>
      <w:r w:rsidR="00723464">
        <w:rPr>
          <w:rFonts w:cs="Arial"/>
          <w:sz w:val="22"/>
          <w:szCs w:val="22"/>
          <w:lang w:eastAsia="fr-CA"/>
        </w:rPr>
        <w:t> </w:t>
      </w:r>
      <w:r>
        <w:rPr>
          <w:rFonts w:cs="Arial"/>
          <w:sz w:val="22"/>
          <w:szCs w:val="22"/>
          <w:lang w:eastAsia="fr-CA"/>
        </w:rPr>
        <w:t>seuls les documents et/ou informations pertinentes pour des</w:t>
      </w:r>
      <w:r w:rsidR="00D773B4">
        <w:rPr>
          <w:rFonts w:cs="Arial"/>
          <w:sz w:val="22"/>
          <w:szCs w:val="22"/>
          <w:lang w:eastAsia="fr-CA"/>
        </w:rPr>
        <w:t xml:space="preserve"> </w:t>
      </w:r>
      <w:r>
        <w:rPr>
          <w:rFonts w:cs="Arial"/>
          <w:sz w:val="22"/>
          <w:szCs w:val="22"/>
          <w:lang w:eastAsia="fr-CA"/>
        </w:rPr>
        <w:t>recours en lien avec la faillite ou l’insolvabilité du Groupe Huot,</w:t>
      </w:r>
      <w:r w:rsidR="00D773B4">
        <w:rPr>
          <w:rFonts w:cs="Arial"/>
          <w:sz w:val="22"/>
          <w:szCs w:val="22"/>
          <w:lang w:eastAsia="fr-CA"/>
        </w:rPr>
        <w:t xml:space="preserve"> </w:t>
      </w:r>
      <w:r>
        <w:rPr>
          <w:rFonts w:cs="Arial"/>
          <w:sz w:val="22"/>
          <w:szCs w:val="22"/>
          <w:lang w:eastAsia="fr-CA"/>
        </w:rPr>
        <w:t>incluant notamment toute transaction révisable et/ou cotisation,</w:t>
      </w:r>
      <w:r w:rsidR="00D773B4">
        <w:rPr>
          <w:rFonts w:cs="Arial"/>
          <w:sz w:val="22"/>
          <w:szCs w:val="22"/>
          <w:lang w:eastAsia="fr-CA"/>
        </w:rPr>
        <w:t xml:space="preserve"> </w:t>
      </w:r>
      <w:r>
        <w:rPr>
          <w:rFonts w:cs="Arial"/>
          <w:sz w:val="22"/>
          <w:szCs w:val="22"/>
          <w:lang w:eastAsia="fr-CA"/>
        </w:rPr>
        <w:t>pourront être utilisées et les autres informations devront demeurer</w:t>
      </w:r>
      <w:r w:rsidR="00D773B4">
        <w:rPr>
          <w:rFonts w:cs="Arial"/>
          <w:sz w:val="22"/>
          <w:szCs w:val="22"/>
          <w:lang w:eastAsia="fr-CA"/>
        </w:rPr>
        <w:t xml:space="preserve"> </w:t>
      </w:r>
      <w:r>
        <w:rPr>
          <w:rFonts w:cs="Arial"/>
          <w:sz w:val="22"/>
          <w:szCs w:val="22"/>
          <w:lang w:eastAsia="fr-CA"/>
        </w:rPr>
        <w:t>confidentielles;</w:t>
      </w:r>
    </w:p>
    <w:p w14:paraId="7E17216E" w14:textId="77777777" w:rsidR="00852048" w:rsidRDefault="00730A01" w:rsidP="00723464">
      <w:pPr>
        <w:autoSpaceDE w:val="0"/>
        <w:autoSpaceDN w:val="0"/>
        <w:adjustRightInd w:val="0"/>
        <w:spacing w:after="120"/>
        <w:ind w:left="1276" w:right="964"/>
        <w:jc w:val="both"/>
        <w:rPr>
          <w:rFonts w:cs="Arial"/>
          <w:sz w:val="22"/>
          <w:szCs w:val="22"/>
          <w:lang w:eastAsia="fr-CA"/>
        </w:rPr>
      </w:pPr>
      <w:r>
        <w:rPr>
          <w:rFonts w:cs="Arial"/>
          <w:sz w:val="22"/>
          <w:szCs w:val="22"/>
          <w:lang w:eastAsia="fr-CA"/>
        </w:rPr>
        <w:t>ii)</w:t>
      </w:r>
      <w:r w:rsidR="00723464">
        <w:rPr>
          <w:rFonts w:cs="Arial"/>
          <w:sz w:val="22"/>
          <w:szCs w:val="22"/>
          <w:lang w:eastAsia="fr-CA"/>
        </w:rPr>
        <w:t> </w:t>
      </w:r>
      <w:r>
        <w:rPr>
          <w:rFonts w:cs="Arial"/>
          <w:sz w:val="22"/>
          <w:szCs w:val="22"/>
          <w:lang w:eastAsia="fr-CA"/>
        </w:rPr>
        <w:t>les éléments d’identification et l’information généralement tenue</w:t>
      </w:r>
      <w:r w:rsidR="00D773B4">
        <w:rPr>
          <w:rFonts w:cs="Arial"/>
          <w:sz w:val="22"/>
          <w:szCs w:val="22"/>
          <w:lang w:eastAsia="fr-CA"/>
        </w:rPr>
        <w:t xml:space="preserve"> </w:t>
      </w:r>
      <w:r>
        <w:rPr>
          <w:rFonts w:cs="Arial"/>
          <w:sz w:val="22"/>
          <w:szCs w:val="22"/>
          <w:lang w:eastAsia="fr-CA"/>
        </w:rPr>
        <w:t>pour confidentiels devront être produits sous une forme propre à</w:t>
      </w:r>
      <w:r w:rsidR="00D773B4">
        <w:rPr>
          <w:rFonts w:cs="Arial"/>
          <w:sz w:val="22"/>
          <w:szCs w:val="22"/>
          <w:lang w:eastAsia="fr-CA"/>
        </w:rPr>
        <w:t xml:space="preserve"> </w:t>
      </w:r>
      <w:r>
        <w:rPr>
          <w:rFonts w:cs="Arial"/>
          <w:sz w:val="22"/>
          <w:szCs w:val="22"/>
          <w:lang w:eastAsia="fr-CA"/>
        </w:rPr>
        <w:t>assurer le caractère confidentiel de l’information, conformément à</w:t>
      </w:r>
      <w:r w:rsidR="00D773B4">
        <w:rPr>
          <w:rFonts w:cs="Arial"/>
          <w:sz w:val="22"/>
          <w:szCs w:val="22"/>
          <w:lang w:eastAsia="fr-CA"/>
        </w:rPr>
        <w:t xml:space="preserve"> </w:t>
      </w:r>
      <w:r>
        <w:rPr>
          <w:rFonts w:cs="Arial"/>
          <w:sz w:val="22"/>
          <w:szCs w:val="22"/>
          <w:lang w:eastAsia="fr-CA"/>
        </w:rPr>
        <w:t xml:space="preserve">l’article 108 du </w:t>
      </w:r>
      <w:r>
        <w:rPr>
          <w:rFonts w:cs="Arial"/>
          <w:i/>
          <w:iCs/>
          <w:sz w:val="22"/>
          <w:szCs w:val="22"/>
          <w:lang w:eastAsia="fr-CA"/>
        </w:rPr>
        <w:t>Code de procédure civile</w:t>
      </w:r>
      <w:r>
        <w:rPr>
          <w:rStyle w:val="Appelnotedebasdep"/>
          <w:rFonts w:cs="Arial"/>
          <w:sz w:val="22"/>
          <w:szCs w:val="22"/>
          <w:lang w:eastAsia="fr-CA"/>
        </w:rPr>
        <w:footnoteReference w:id="720"/>
      </w:r>
      <w:r w:rsidR="00723464">
        <w:rPr>
          <w:rFonts w:cs="Arial"/>
          <w:i/>
          <w:iCs/>
          <w:sz w:val="22"/>
          <w:szCs w:val="22"/>
          <w:lang w:eastAsia="fr-CA"/>
        </w:rPr>
        <w:t>.</w:t>
      </w:r>
    </w:p>
    <w:p w14:paraId="586A65AE" w14:textId="77777777" w:rsidR="005C6BA6" w:rsidRPr="00723464" w:rsidRDefault="00730A01" w:rsidP="00443B59">
      <w:pPr>
        <w:pStyle w:val="Paragraphedeliste"/>
        <w:numPr>
          <w:ilvl w:val="0"/>
          <w:numId w:val="81"/>
        </w:numPr>
        <w:autoSpaceDE w:val="0"/>
        <w:autoSpaceDN w:val="0"/>
        <w:adjustRightInd w:val="0"/>
        <w:ind w:left="567" w:hanging="283"/>
        <w:jc w:val="both"/>
        <w:rPr>
          <w:rFonts w:cs="Arial"/>
          <w:sz w:val="22"/>
          <w:szCs w:val="22"/>
          <w:lang w:eastAsia="fr-CA"/>
        </w:rPr>
      </w:pPr>
      <w:r w:rsidRPr="00723464">
        <w:rPr>
          <w:rFonts w:cs="Arial"/>
          <w:sz w:val="22"/>
          <w:szCs w:val="22"/>
          <w:lang w:eastAsia="fr-CA"/>
        </w:rPr>
        <w:t>Or, dans le cadre de la présente instance, sans même faire mention d’une</w:t>
      </w:r>
      <w:r w:rsidR="00D773B4" w:rsidRPr="00723464">
        <w:rPr>
          <w:rFonts w:cs="Arial"/>
          <w:sz w:val="22"/>
          <w:szCs w:val="22"/>
          <w:lang w:eastAsia="fr-CA"/>
        </w:rPr>
        <w:t xml:space="preserve"> </w:t>
      </w:r>
      <w:r w:rsidRPr="00723464">
        <w:rPr>
          <w:rFonts w:cs="Arial"/>
          <w:sz w:val="22"/>
          <w:szCs w:val="22"/>
          <w:lang w:eastAsia="fr-CA"/>
        </w:rPr>
        <w:t>quelconque obligation de confidentialité, les Défendeurs ont tenté de déposer en</w:t>
      </w:r>
      <w:r w:rsidR="00D773B4" w:rsidRPr="00723464">
        <w:rPr>
          <w:rFonts w:cs="Arial"/>
          <w:sz w:val="22"/>
          <w:szCs w:val="22"/>
          <w:lang w:eastAsia="fr-CA"/>
        </w:rPr>
        <w:t xml:space="preserve"> </w:t>
      </w:r>
      <w:r w:rsidRPr="00723464">
        <w:rPr>
          <w:rFonts w:cs="Arial"/>
          <w:sz w:val="22"/>
          <w:szCs w:val="22"/>
          <w:lang w:eastAsia="fr-CA"/>
        </w:rPr>
        <w:t>preuve plusieurs documents obtenus à partir de ce disque dur sans informer le Tribunal de l’existence de l’obligation de confidentialité existante. Ce sont plutôt les Demandeurs qui ont fait part de ladite obligation au Tribunal</w:t>
      </w:r>
      <w:r>
        <w:rPr>
          <w:sz w:val="22"/>
          <w:szCs w:val="22"/>
          <w:vertAlign w:val="superscript"/>
        </w:rPr>
        <w:footnoteReference w:id="721"/>
      </w:r>
      <w:r w:rsidRPr="00723464">
        <w:rPr>
          <w:rFonts w:cs="Arial"/>
          <w:sz w:val="22"/>
          <w:szCs w:val="22"/>
          <w:lang w:eastAsia="fr-CA"/>
        </w:rPr>
        <w:t>.</w:t>
      </w:r>
    </w:p>
    <w:p w14:paraId="04CBB3A2" w14:textId="77777777" w:rsidR="005C6BA6" w:rsidRPr="005E02C7" w:rsidRDefault="005C6BA6" w:rsidP="00C67102">
      <w:pPr>
        <w:pStyle w:val="Paragraphedeliste"/>
        <w:autoSpaceDE w:val="0"/>
        <w:autoSpaceDN w:val="0"/>
        <w:adjustRightInd w:val="0"/>
        <w:ind w:left="567" w:hanging="283"/>
        <w:jc w:val="both"/>
        <w:rPr>
          <w:rFonts w:cs="Arial"/>
          <w:szCs w:val="24"/>
          <w:lang w:eastAsia="fr-CA"/>
        </w:rPr>
      </w:pPr>
    </w:p>
    <w:p w14:paraId="15B70527" w14:textId="77777777" w:rsidR="005C6BA6" w:rsidRPr="00723464"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 w:val="22"/>
          <w:szCs w:val="22"/>
          <w:lang w:eastAsia="fr-CA"/>
        </w:rPr>
      </w:pPr>
      <w:r w:rsidRPr="00723464">
        <w:rPr>
          <w:rFonts w:cs="Arial"/>
          <w:sz w:val="22"/>
          <w:szCs w:val="22"/>
          <w:lang w:eastAsia="fr-CA"/>
        </w:rPr>
        <w:t>Les Défendeurs ont même choisi de procéder à un interrogatoire au préalable</w:t>
      </w:r>
      <w:r w:rsidR="00D773B4" w:rsidRPr="00723464">
        <w:rPr>
          <w:rFonts w:cs="Arial"/>
          <w:sz w:val="22"/>
          <w:szCs w:val="22"/>
          <w:lang w:eastAsia="fr-CA"/>
        </w:rPr>
        <w:t xml:space="preserve"> </w:t>
      </w:r>
      <w:r w:rsidRPr="00723464">
        <w:rPr>
          <w:rFonts w:cs="Arial"/>
          <w:sz w:val="22"/>
          <w:szCs w:val="22"/>
          <w:lang w:eastAsia="fr-CA"/>
        </w:rPr>
        <w:t>additionnel de M</w:t>
      </w:r>
      <w:r w:rsidRPr="00723464">
        <w:rPr>
          <w:rFonts w:cs="Arial"/>
          <w:sz w:val="22"/>
          <w:szCs w:val="22"/>
          <w:vertAlign w:val="superscript"/>
          <w:lang w:eastAsia="fr-CA"/>
        </w:rPr>
        <w:t>me</w:t>
      </w:r>
      <w:r w:rsidR="00723464">
        <w:rPr>
          <w:rFonts w:cs="Arial"/>
          <w:sz w:val="22"/>
          <w:szCs w:val="22"/>
          <w:lang w:eastAsia="fr-CA"/>
        </w:rPr>
        <w:t> </w:t>
      </w:r>
      <w:r w:rsidRPr="00723464">
        <w:rPr>
          <w:rFonts w:cs="Arial"/>
          <w:sz w:val="22"/>
          <w:szCs w:val="22"/>
          <w:lang w:eastAsia="fr-CA"/>
        </w:rPr>
        <w:t>Sophie Larochelle dans le dossier de faillite de Huot, cet</w:t>
      </w:r>
      <w:r w:rsidR="00D773B4" w:rsidRPr="00723464">
        <w:rPr>
          <w:rFonts w:cs="Arial"/>
          <w:sz w:val="22"/>
          <w:szCs w:val="22"/>
          <w:lang w:eastAsia="fr-CA"/>
        </w:rPr>
        <w:t xml:space="preserve"> </w:t>
      </w:r>
      <w:r w:rsidRPr="00723464">
        <w:rPr>
          <w:rFonts w:cs="Arial"/>
          <w:sz w:val="22"/>
          <w:szCs w:val="22"/>
          <w:lang w:eastAsia="fr-CA"/>
        </w:rPr>
        <w:t>interrogatoire visant essentiellement à revoir certaines pièces provenant du disque</w:t>
      </w:r>
      <w:r w:rsidR="00D773B4" w:rsidRPr="00723464">
        <w:rPr>
          <w:rFonts w:cs="Arial"/>
          <w:sz w:val="22"/>
          <w:szCs w:val="22"/>
          <w:lang w:eastAsia="fr-CA"/>
        </w:rPr>
        <w:t xml:space="preserve"> </w:t>
      </w:r>
      <w:r w:rsidRPr="00723464">
        <w:rPr>
          <w:rFonts w:cs="Arial"/>
          <w:sz w:val="22"/>
          <w:szCs w:val="22"/>
          <w:lang w:eastAsia="fr-CA"/>
        </w:rPr>
        <w:t>dur avec le témoin, pour ensuite tenter d’introduire cet interrogatoire dans le</w:t>
      </w:r>
      <w:r w:rsidR="00D773B4" w:rsidRPr="00723464">
        <w:rPr>
          <w:rFonts w:cs="Arial"/>
          <w:sz w:val="22"/>
          <w:szCs w:val="22"/>
          <w:lang w:eastAsia="fr-CA"/>
        </w:rPr>
        <w:t xml:space="preserve"> </w:t>
      </w:r>
      <w:r w:rsidRPr="00723464">
        <w:rPr>
          <w:rFonts w:cs="Arial"/>
          <w:sz w:val="22"/>
          <w:szCs w:val="22"/>
          <w:lang w:eastAsia="fr-CA"/>
        </w:rPr>
        <w:t>présent dossier civil.</w:t>
      </w:r>
    </w:p>
    <w:p w14:paraId="294D5E98" w14:textId="77777777" w:rsidR="005C6BA6" w:rsidRPr="00723464"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 w:val="22"/>
          <w:szCs w:val="22"/>
          <w:lang w:eastAsia="fr-CA"/>
        </w:rPr>
      </w:pPr>
      <w:r w:rsidRPr="00723464">
        <w:rPr>
          <w:rFonts w:cs="Arial"/>
          <w:sz w:val="22"/>
          <w:szCs w:val="22"/>
          <w:lang w:eastAsia="fr-CA"/>
        </w:rPr>
        <w:t>Outre le non-respect de l’ordonnance en soi, l’absence de préoccupation des</w:t>
      </w:r>
      <w:r w:rsidR="00D773B4" w:rsidRPr="00723464">
        <w:rPr>
          <w:rFonts w:cs="Arial"/>
          <w:sz w:val="22"/>
          <w:szCs w:val="22"/>
          <w:lang w:eastAsia="fr-CA"/>
        </w:rPr>
        <w:t xml:space="preserve"> </w:t>
      </w:r>
      <w:r w:rsidRPr="00723464">
        <w:rPr>
          <w:rFonts w:cs="Arial"/>
          <w:sz w:val="22"/>
          <w:szCs w:val="22"/>
          <w:lang w:eastAsia="fr-CA"/>
        </w:rPr>
        <w:t>Défendeurs quant à la possibilité de déposer sous scellés cette documentation</w:t>
      </w:r>
      <w:r w:rsidR="00D773B4" w:rsidRPr="00723464">
        <w:rPr>
          <w:rFonts w:cs="Arial"/>
          <w:sz w:val="22"/>
          <w:szCs w:val="22"/>
          <w:lang w:eastAsia="fr-CA"/>
        </w:rPr>
        <w:t xml:space="preserve"> </w:t>
      </w:r>
      <w:r w:rsidRPr="00723464">
        <w:rPr>
          <w:rFonts w:cs="Arial"/>
          <w:sz w:val="22"/>
          <w:szCs w:val="22"/>
          <w:lang w:eastAsia="fr-CA"/>
        </w:rPr>
        <w:t>provenant du disque dur et d’informer adéquatement le Tribunal de l’ordonnance</w:t>
      </w:r>
      <w:r w:rsidR="00D773B4" w:rsidRPr="00723464">
        <w:rPr>
          <w:rFonts w:cs="Arial"/>
          <w:sz w:val="22"/>
          <w:szCs w:val="22"/>
          <w:lang w:eastAsia="fr-CA"/>
        </w:rPr>
        <w:t xml:space="preserve"> </w:t>
      </w:r>
      <w:r w:rsidRPr="00723464">
        <w:rPr>
          <w:rFonts w:cs="Arial"/>
          <w:sz w:val="22"/>
          <w:szCs w:val="22"/>
          <w:lang w:eastAsia="fr-CA"/>
        </w:rPr>
        <w:t>applicable témoignent de leur insouciance à respecter celle-ci.</w:t>
      </w:r>
    </w:p>
    <w:p w14:paraId="1832B441" w14:textId="77777777" w:rsidR="005C6BA6" w:rsidRPr="00723464" w:rsidRDefault="00730A01" w:rsidP="00443B59">
      <w:pPr>
        <w:pStyle w:val="Paragraphedeliste"/>
        <w:numPr>
          <w:ilvl w:val="0"/>
          <w:numId w:val="81"/>
        </w:numPr>
        <w:autoSpaceDE w:val="0"/>
        <w:autoSpaceDN w:val="0"/>
        <w:adjustRightInd w:val="0"/>
        <w:spacing w:after="120"/>
        <w:ind w:left="568" w:hanging="284"/>
        <w:contextualSpacing w:val="0"/>
        <w:jc w:val="both"/>
        <w:rPr>
          <w:rFonts w:cs="Arial"/>
          <w:sz w:val="22"/>
          <w:szCs w:val="22"/>
          <w:lang w:eastAsia="fr-CA"/>
        </w:rPr>
      </w:pPr>
      <w:r w:rsidRPr="00723464">
        <w:rPr>
          <w:rFonts w:cs="Arial"/>
          <w:sz w:val="22"/>
          <w:szCs w:val="22"/>
          <w:lang w:eastAsia="fr-CA"/>
        </w:rPr>
        <w:t>Autrement dit, le comportement des Défendeurs permet de conclure à un certain mépris de l’ordonnance rendue.</w:t>
      </w:r>
    </w:p>
    <w:p w14:paraId="6C39DC94" w14:textId="77777777" w:rsidR="00852048" w:rsidRPr="00723464" w:rsidRDefault="00730A01" w:rsidP="00443B59">
      <w:pPr>
        <w:pStyle w:val="Paragraphedeliste"/>
        <w:numPr>
          <w:ilvl w:val="0"/>
          <w:numId w:val="81"/>
        </w:numPr>
        <w:autoSpaceDE w:val="0"/>
        <w:autoSpaceDN w:val="0"/>
        <w:adjustRightInd w:val="0"/>
        <w:spacing w:after="120"/>
        <w:ind w:left="567" w:hanging="283"/>
        <w:jc w:val="both"/>
        <w:rPr>
          <w:rFonts w:cs="Arial"/>
          <w:sz w:val="22"/>
          <w:szCs w:val="22"/>
          <w:lang w:eastAsia="fr-CA"/>
        </w:rPr>
      </w:pPr>
      <w:r w:rsidRPr="00723464">
        <w:rPr>
          <w:rFonts w:cs="Arial"/>
          <w:sz w:val="22"/>
          <w:szCs w:val="22"/>
          <w:lang w:eastAsia="fr-CA"/>
        </w:rPr>
        <w:t>Défier les ordonnances du Tribunal comme l’ont fait à maintes reprises les</w:t>
      </w:r>
      <w:r w:rsidR="005C6BA6" w:rsidRPr="00723464">
        <w:rPr>
          <w:rFonts w:cs="Arial"/>
          <w:sz w:val="22"/>
          <w:szCs w:val="22"/>
          <w:lang w:eastAsia="fr-CA"/>
        </w:rPr>
        <w:t xml:space="preserve"> </w:t>
      </w:r>
      <w:r w:rsidRPr="00723464">
        <w:rPr>
          <w:rFonts w:cs="Arial"/>
          <w:sz w:val="22"/>
          <w:szCs w:val="22"/>
          <w:lang w:eastAsia="fr-CA"/>
        </w:rPr>
        <w:t>Défendeurs constitue manifestement un manquement important au sens de</w:t>
      </w:r>
      <w:r w:rsidR="005C6BA6" w:rsidRPr="00723464">
        <w:rPr>
          <w:rFonts w:cs="Arial"/>
          <w:sz w:val="22"/>
          <w:szCs w:val="22"/>
          <w:lang w:eastAsia="fr-CA"/>
        </w:rPr>
        <w:t xml:space="preserve"> </w:t>
      </w:r>
      <w:r w:rsidRPr="00723464">
        <w:rPr>
          <w:rFonts w:cs="Arial"/>
          <w:sz w:val="22"/>
          <w:szCs w:val="22"/>
          <w:lang w:eastAsia="fr-CA"/>
        </w:rPr>
        <w:t>l’article 342 du C.p.c.</w:t>
      </w:r>
      <w:r>
        <w:rPr>
          <w:sz w:val="22"/>
          <w:szCs w:val="22"/>
          <w:vertAlign w:val="superscript"/>
        </w:rPr>
        <w:footnoteReference w:id="722"/>
      </w:r>
      <w:r w:rsidRPr="00723464">
        <w:rPr>
          <w:rFonts w:cs="Arial"/>
          <w:sz w:val="22"/>
          <w:szCs w:val="22"/>
          <w:lang w:eastAsia="fr-CA"/>
        </w:rPr>
        <w:t xml:space="preserve"> </w:t>
      </w:r>
    </w:p>
    <w:p w14:paraId="02D01819" w14:textId="77777777" w:rsidR="00852048" w:rsidRDefault="00730A01" w:rsidP="00723464">
      <w:pPr>
        <w:autoSpaceDE w:val="0"/>
        <w:autoSpaceDN w:val="0"/>
        <w:adjustRightInd w:val="0"/>
        <w:spacing w:after="120"/>
        <w:ind w:left="1276" w:right="822" w:firstLine="1"/>
        <w:jc w:val="both"/>
        <w:rPr>
          <w:rFonts w:cs="Arial"/>
          <w:sz w:val="22"/>
          <w:szCs w:val="22"/>
          <w:lang w:eastAsia="fr-CA"/>
        </w:rPr>
      </w:pPr>
      <w:r>
        <w:rPr>
          <w:rFonts w:cs="Arial"/>
          <w:sz w:val="22"/>
          <w:szCs w:val="22"/>
          <w:lang w:eastAsia="fr-CA"/>
        </w:rPr>
        <w:t>[83]</w:t>
      </w:r>
      <w:r w:rsidR="00723464">
        <w:rPr>
          <w:rFonts w:cs="Arial"/>
          <w:sz w:val="22"/>
          <w:szCs w:val="22"/>
          <w:lang w:eastAsia="fr-CA"/>
        </w:rPr>
        <w:t> </w:t>
      </w:r>
      <w:r>
        <w:rPr>
          <w:rFonts w:cs="Arial"/>
          <w:sz w:val="22"/>
          <w:szCs w:val="22"/>
          <w:lang w:eastAsia="fr-CA"/>
        </w:rPr>
        <w:t>Un manquement important se situe entre un manquement anodin et</w:t>
      </w:r>
      <w:r w:rsidR="005C6BA6">
        <w:rPr>
          <w:rFonts w:cs="Arial"/>
          <w:sz w:val="22"/>
          <w:szCs w:val="22"/>
          <w:lang w:eastAsia="fr-CA"/>
        </w:rPr>
        <w:t xml:space="preserve"> </w:t>
      </w:r>
      <w:r>
        <w:rPr>
          <w:rFonts w:cs="Arial"/>
          <w:sz w:val="22"/>
          <w:szCs w:val="22"/>
          <w:lang w:eastAsia="fr-CA"/>
        </w:rPr>
        <w:t>un manquement grave. Les erreurs et négligences mineures qui peuvent</w:t>
      </w:r>
      <w:r w:rsidR="005C6BA6">
        <w:rPr>
          <w:rFonts w:cs="Arial"/>
          <w:sz w:val="22"/>
          <w:szCs w:val="22"/>
          <w:lang w:eastAsia="fr-CA"/>
        </w:rPr>
        <w:t xml:space="preserve"> </w:t>
      </w:r>
      <w:r>
        <w:rPr>
          <w:rFonts w:cs="Arial"/>
          <w:sz w:val="22"/>
          <w:szCs w:val="22"/>
          <w:lang w:eastAsia="fr-CA"/>
        </w:rPr>
        <w:t>survenir dans un recours judiciaire sont écartées. En revanche, tarder à</w:t>
      </w:r>
      <w:r w:rsidR="005C6BA6">
        <w:rPr>
          <w:rFonts w:cs="Arial"/>
          <w:sz w:val="22"/>
          <w:szCs w:val="22"/>
          <w:lang w:eastAsia="fr-CA"/>
        </w:rPr>
        <w:t xml:space="preserve"> </w:t>
      </w:r>
      <w:r>
        <w:rPr>
          <w:rFonts w:cs="Arial"/>
          <w:sz w:val="22"/>
          <w:szCs w:val="22"/>
          <w:lang w:eastAsia="fr-CA"/>
        </w:rPr>
        <w:t>répétition de tenir ses engagements et défier les ordonnances des</w:t>
      </w:r>
      <w:r w:rsidR="005C6BA6">
        <w:rPr>
          <w:rFonts w:cs="Arial"/>
          <w:sz w:val="22"/>
          <w:szCs w:val="22"/>
          <w:lang w:eastAsia="fr-CA"/>
        </w:rPr>
        <w:t xml:space="preserve"> </w:t>
      </w:r>
      <w:r>
        <w:rPr>
          <w:rFonts w:cs="Arial"/>
          <w:sz w:val="22"/>
          <w:szCs w:val="22"/>
          <w:lang w:eastAsia="fr-CA"/>
        </w:rPr>
        <w:t>tribunaux constituent des manquements importants, tout comme</w:t>
      </w:r>
      <w:r w:rsidR="005C6BA6">
        <w:rPr>
          <w:rFonts w:cs="Arial"/>
          <w:sz w:val="22"/>
          <w:szCs w:val="22"/>
          <w:lang w:eastAsia="fr-CA"/>
        </w:rPr>
        <w:t xml:space="preserve"> </w:t>
      </w:r>
      <w:r>
        <w:rPr>
          <w:rFonts w:cs="Arial"/>
          <w:sz w:val="22"/>
          <w:szCs w:val="22"/>
          <w:lang w:eastAsia="fr-CA"/>
        </w:rPr>
        <w:t>la persistance à ne pas respecter les délais.</w:t>
      </w:r>
    </w:p>
    <w:p w14:paraId="04393427" w14:textId="77777777" w:rsidR="00852048" w:rsidRPr="003A5FC4" w:rsidRDefault="00730A01" w:rsidP="00443B59">
      <w:pPr>
        <w:pStyle w:val="Paragraphedeliste"/>
        <w:numPr>
          <w:ilvl w:val="0"/>
          <w:numId w:val="81"/>
        </w:numPr>
        <w:autoSpaceDE w:val="0"/>
        <w:autoSpaceDN w:val="0"/>
        <w:adjustRightInd w:val="0"/>
        <w:spacing w:after="120"/>
        <w:ind w:left="567" w:hanging="283"/>
        <w:jc w:val="both"/>
        <w:rPr>
          <w:rFonts w:cs="Arial"/>
          <w:szCs w:val="24"/>
          <w:lang w:eastAsia="fr-CA"/>
        </w:rPr>
      </w:pPr>
      <w:r w:rsidRPr="00537FBA">
        <w:rPr>
          <w:rFonts w:cs="Arial"/>
          <w:szCs w:val="24"/>
          <w:lang w:eastAsia="fr-CA"/>
        </w:rPr>
        <w:t>De la même manière, le non-respect des ordonnances constitue un abus de</w:t>
      </w:r>
      <w:r w:rsidR="00537FBA">
        <w:rPr>
          <w:rFonts w:cs="Arial"/>
          <w:szCs w:val="24"/>
          <w:lang w:eastAsia="fr-CA"/>
        </w:rPr>
        <w:t xml:space="preserve"> </w:t>
      </w:r>
      <w:r w:rsidRPr="00537FBA">
        <w:rPr>
          <w:rFonts w:cs="Arial"/>
          <w:szCs w:val="24"/>
          <w:lang w:eastAsia="fr-CA"/>
        </w:rPr>
        <w:t>procédure puisqu’il discrédite l’administration de la justice</w:t>
      </w:r>
      <w:r>
        <w:rPr>
          <w:rStyle w:val="Appelnotedebasdep"/>
          <w:rFonts w:cs="Arial"/>
          <w:szCs w:val="24"/>
          <w:lang w:eastAsia="fr-CA"/>
        </w:rPr>
        <w:footnoteReference w:id="723"/>
      </w:r>
      <w:r w:rsidR="00537FBA">
        <w:rPr>
          <w:rFonts w:cs="Arial"/>
          <w:sz w:val="16"/>
          <w:szCs w:val="16"/>
          <w:lang w:eastAsia="fr-CA"/>
        </w:rPr>
        <w:t>.</w:t>
      </w:r>
    </w:p>
    <w:p w14:paraId="21927112" w14:textId="77777777" w:rsidR="003A5FC4" w:rsidRPr="003A5FC4" w:rsidRDefault="003A5FC4" w:rsidP="003A5FC4">
      <w:pPr>
        <w:pStyle w:val="Paragraphedeliste"/>
        <w:autoSpaceDE w:val="0"/>
        <w:autoSpaceDN w:val="0"/>
        <w:adjustRightInd w:val="0"/>
        <w:spacing w:after="120"/>
        <w:ind w:left="567"/>
        <w:jc w:val="both"/>
        <w:rPr>
          <w:rFonts w:cs="Arial"/>
          <w:szCs w:val="24"/>
          <w:lang w:eastAsia="fr-CA"/>
        </w:rPr>
      </w:pPr>
    </w:p>
    <w:p w14:paraId="0A089327" w14:textId="77777777" w:rsidR="003A5FC4" w:rsidRPr="00890850" w:rsidRDefault="00730A01" w:rsidP="003A5FC4">
      <w:pPr>
        <w:pStyle w:val="Listenumros"/>
        <w:numPr>
          <w:ilvl w:val="0"/>
          <w:numId w:val="0"/>
        </w:numPr>
        <w:tabs>
          <w:tab w:val="left" w:pos="3686"/>
        </w:tabs>
        <w:ind w:left="1004"/>
        <w:jc w:val="both"/>
        <w:rPr>
          <w:sz w:val="24"/>
          <w:szCs w:val="24"/>
          <w:lang w:val="fr-CA"/>
        </w:rPr>
      </w:pPr>
      <w:r>
        <w:rPr>
          <w:sz w:val="24"/>
          <w:szCs w:val="24"/>
          <w:lang w:val="fr-CA"/>
        </w:rPr>
        <w:tab/>
        <w:t>* * *</w:t>
      </w:r>
    </w:p>
    <w:p w14:paraId="0601FEAC" w14:textId="77777777" w:rsidR="009C221E" w:rsidRDefault="00730A01">
      <w:pPr>
        <w:rPr>
          <w:rFonts w:cs="Arial"/>
          <w:sz w:val="16"/>
          <w:szCs w:val="16"/>
          <w:lang w:eastAsia="fr-CA"/>
        </w:rPr>
      </w:pPr>
      <w:r>
        <w:rPr>
          <w:rFonts w:cs="Arial"/>
          <w:sz w:val="16"/>
          <w:szCs w:val="16"/>
          <w:lang w:eastAsia="fr-CA"/>
        </w:rPr>
        <w:br w:type="page"/>
      </w:r>
    </w:p>
    <w:p w14:paraId="1593D0DC" w14:textId="77777777" w:rsidR="009C221E" w:rsidRPr="00E10600" w:rsidRDefault="00730A01" w:rsidP="00420D97">
      <w:pPr>
        <w:keepNext/>
        <w:keepLines/>
        <w:spacing w:after="120" w:line="276" w:lineRule="auto"/>
        <w:contextualSpacing/>
        <w:jc w:val="center"/>
        <w:outlineLvl w:val="0"/>
        <w:rPr>
          <w:rFonts w:ascii="Calibri" w:eastAsia="MS Gothic" w:hAnsi="Calibri"/>
          <w:b/>
          <w:bCs/>
          <w:sz w:val="32"/>
          <w:szCs w:val="32"/>
          <w:lang w:eastAsia="en-US"/>
        </w:rPr>
      </w:pPr>
      <w:r w:rsidRPr="00E10600">
        <w:rPr>
          <w:rFonts w:ascii="Calibri" w:eastAsia="MS Gothic" w:hAnsi="Calibri"/>
          <w:b/>
          <w:bCs/>
          <w:sz w:val="32"/>
          <w:szCs w:val="32"/>
          <w:lang w:eastAsia="en-US"/>
        </w:rPr>
        <w:t>TABLE DES MATIÈRES DES ANNEXES</w:t>
      </w:r>
    </w:p>
    <w:p w14:paraId="62C044E0" w14:textId="77777777" w:rsidR="00C55ADC" w:rsidRPr="00C55ADC" w:rsidRDefault="00730A01" w:rsidP="00445ECD">
      <w:pPr>
        <w:tabs>
          <w:tab w:val="left" w:pos="284"/>
        </w:tabs>
        <w:spacing w:after="120" w:line="276" w:lineRule="auto"/>
        <w:jc w:val="center"/>
        <w:rPr>
          <w:rFonts w:ascii="Cambria" w:eastAsia="MS Mincho" w:hAnsi="Cambria"/>
          <w:b/>
          <w:bCs/>
          <w:sz w:val="28"/>
          <w:szCs w:val="28"/>
          <w:lang w:eastAsia="en-US"/>
        </w:rPr>
      </w:pPr>
      <w:r>
        <w:rPr>
          <w:rFonts w:ascii="Cambria" w:eastAsia="MS Mincho" w:hAnsi="Cambria"/>
          <w:b/>
          <w:bCs/>
          <w:sz w:val="28"/>
          <w:szCs w:val="28"/>
          <w:lang w:eastAsia="en-US"/>
        </w:rPr>
        <w:t>ANNEXE</w:t>
      </w:r>
      <w:r w:rsidRPr="00C55ADC">
        <w:rPr>
          <w:rFonts w:ascii="Cambria" w:eastAsia="MS Mincho" w:hAnsi="Cambria"/>
          <w:b/>
          <w:bCs/>
          <w:sz w:val="28"/>
          <w:szCs w:val="28"/>
          <w:lang w:eastAsia="en-US"/>
        </w:rPr>
        <w:t xml:space="preserve"> A</w:t>
      </w:r>
    </w:p>
    <w:p w14:paraId="051F295F" w14:textId="77777777" w:rsidR="009C221E" w:rsidRPr="00992C8A" w:rsidRDefault="00730A01" w:rsidP="00124AA4">
      <w:pPr>
        <w:tabs>
          <w:tab w:val="left" w:pos="284"/>
        </w:tabs>
        <w:spacing w:after="120"/>
        <w:rPr>
          <w:rFonts w:ascii="Cambria" w:eastAsia="MS Mincho" w:hAnsi="Cambria"/>
          <w:sz w:val="22"/>
          <w:szCs w:val="22"/>
          <w:lang w:eastAsia="en-US"/>
        </w:rPr>
      </w:pPr>
      <w:r w:rsidRPr="001B0EBE">
        <w:rPr>
          <w:rFonts w:ascii="Cambria" w:eastAsia="MS Mincho" w:hAnsi="Cambria"/>
          <w:b/>
          <w:bCs/>
          <w:sz w:val="22"/>
          <w:szCs w:val="22"/>
          <w:lang w:eastAsia="en-US"/>
        </w:rPr>
        <w:t>A</w:t>
      </w:r>
      <w:r w:rsidR="00E10600">
        <w:rPr>
          <w:rFonts w:ascii="Cambria" w:eastAsia="MS Mincho" w:hAnsi="Cambria"/>
          <w:b/>
          <w:bCs/>
          <w:sz w:val="22"/>
          <w:szCs w:val="22"/>
          <w:lang w:eastAsia="en-US"/>
        </w:rPr>
        <w:t>)</w:t>
      </w:r>
      <w:r w:rsidR="00840141">
        <w:rPr>
          <w:rFonts w:ascii="Cambria" w:eastAsia="MS Mincho" w:hAnsi="Cambria"/>
          <w:b/>
          <w:bCs/>
          <w:sz w:val="22"/>
          <w:szCs w:val="22"/>
          <w:lang w:eastAsia="en-US"/>
        </w:rPr>
        <w:tab/>
      </w:r>
      <w:r w:rsidRPr="001B0EBE">
        <w:rPr>
          <w:rFonts w:ascii="Cambria" w:eastAsia="MS Mincho" w:hAnsi="Cambria"/>
          <w:b/>
          <w:bCs/>
          <w:sz w:val="22"/>
          <w:szCs w:val="22"/>
          <w:lang w:eastAsia="en-US"/>
        </w:rPr>
        <w:t>L</w:t>
      </w:r>
      <w:r>
        <w:rPr>
          <w:rFonts w:ascii="Cambria" w:eastAsia="MS Mincho" w:hAnsi="Cambria"/>
          <w:b/>
          <w:bCs/>
          <w:sz w:val="22"/>
          <w:szCs w:val="22"/>
          <w:lang w:eastAsia="en-US"/>
        </w:rPr>
        <w:t>E</w:t>
      </w:r>
      <w:r w:rsidRPr="001B0EBE">
        <w:rPr>
          <w:rFonts w:ascii="Cambria" w:eastAsia="MS Mincho" w:hAnsi="Cambria"/>
          <w:b/>
          <w:bCs/>
          <w:sz w:val="22"/>
          <w:szCs w:val="22"/>
          <w:lang w:eastAsia="en-US"/>
        </w:rPr>
        <w:t xml:space="preserve"> MANQUE DE CRÉDIBILITÉ DE GIROUX</w:t>
      </w:r>
      <w:r w:rsidRPr="00992C8A">
        <w:rPr>
          <w:rFonts w:ascii="Cambria" w:eastAsia="MS Mincho" w:hAnsi="Cambria"/>
          <w:b/>
          <w:bCs/>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00124AA4"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992C8A">
        <w:rPr>
          <w:rFonts w:ascii="Cambria" w:eastAsia="MS Mincho" w:hAnsi="Cambria"/>
          <w:b/>
          <w:bCs/>
          <w:sz w:val="22"/>
          <w:szCs w:val="22"/>
          <w:lang w:eastAsia="en-US"/>
        </w:rPr>
        <w:t>13</w:t>
      </w:r>
      <w:r w:rsidR="00D53896">
        <w:rPr>
          <w:rFonts w:ascii="Cambria" w:eastAsia="MS Mincho" w:hAnsi="Cambria"/>
          <w:b/>
          <w:bCs/>
          <w:sz w:val="22"/>
          <w:szCs w:val="22"/>
          <w:lang w:eastAsia="en-US"/>
        </w:rPr>
        <w:t>7</w:t>
      </w:r>
    </w:p>
    <w:p w14:paraId="1782D12B" w14:textId="77777777" w:rsidR="009C221E" w:rsidRPr="008D1B40" w:rsidRDefault="00730A01" w:rsidP="00443B59">
      <w:pPr>
        <w:pStyle w:val="Paragraphedeliste"/>
        <w:numPr>
          <w:ilvl w:val="0"/>
          <w:numId w:val="116"/>
        </w:numPr>
        <w:tabs>
          <w:tab w:val="left" w:pos="284"/>
        </w:tabs>
        <w:rPr>
          <w:rFonts w:ascii="Cambria" w:eastAsia="MS Mincho" w:hAnsi="Cambria"/>
          <w:sz w:val="22"/>
          <w:szCs w:val="22"/>
          <w:lang w:eastAsia="en-US"/>
        </w:rPr>
      </w:pPr>
      <w:r w:rsidRPr="008D1B40">
        <w:rPr>
          <w:rFonts w:ascii="Cambria" w:eastAsia="MS Mincho" w:hAnsi="Cambria"/>
          <w:sz w:val="22"/>
          <w:szCs w:val="22"/>
          <w:lang w:eastAsia="en-US"/>
        </w:rPr>
        <w:t>Les déclarations trompeuses quant au respect des engagements du Groupe Huot</w:t>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13</w:t>
      </w:r>
      <w:r w:rsidR="00D53896">
        <w:rPr>
          <w:rFonts w:ascii="Cambria" w:eastAsia="MS Mincho" w:hAnsi="Cambria"/>
          <w:sz w:val="22"/>
          <w:szCs w:val="22"/>
          <w:lang w:eastAsia="en-US"/>
        </w:rPr>
        <w:t>7</w:t>
      </w:r>
    </w:p>
    <w:p w14:paraId="109F262E" w14:textId="77777777" w:rsidR="009C221E" w:rsidRPr="008D1B40" w:rsidRDefault="00730A01" w:rsidP="00443B59">
      <w:pPr>
        <w:pStyle w:val="Paragraphedeliste"/>
        <w:numPr>
          <w:ilvl w:val="0"/>
          <w:numId w:val="116"/>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 xml:space="preserve">Les déclarations trompeuses quant à l’ignorance que le Groupe Huot était en défaut </w:t>
      </w:r>
    </w:p>
    <w:p w14:paraId="44887818" w14:textId="77777777" w:rsidR="009C221E" w:rsidRPr="008D1B40" w:rsidRDefault="00730A01" w:rsidP="00124AA4">
      <w:pPr>
        <w:pStyle w:val="Paragraphedeliste"/>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de payer ses taxes foncières à l’été</w:t>
      </w:r>
      <w:r>
        <w:rPr>
          <w:rFonts w:ascii="Cambria" w:eastAsia="MS Mincho" w:hAnsi="Cambria"/>
          <w:sz w:val="22"/>
          <w:szCs w:val="22"/>
          <w:lang w:eastAsia="en-US"/>
        </w:rPr>
        <w:t> </w:t>
      </w:r>
      <w:r w:rsidRPr="008D1B40">
        <w:rPr>
          <w:rFonts w:ascii="Cambria" w:eastAsia="MS Mincho" w:hAnsi="Cambria"/>
          <w:sz w:val="22"/>
          <w:szCs w:val="22"/>
          <w:lang w:eastAsia="en-US"/>
        </w:rPr>
        <w:t xml:space="preserve">2022 </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13</w:t>
      </w:r>
      <w:r w:rsidR="00D53896">
        <w:rPr>
          <w:rFonts w:ascii="Cambria" w:eastAsia="MS Mincho" w:hAnsi="Cambria"/>
          <w:sz w:val="22"/>
          <w:szCs w:val="22"/>
          <w:lang w:eastAsia="en-US"/>
        </w:rPr>
        <w:t>8</w:t>
      </w:r>
    </w:p>
    <w:p w14:paraId="42741233" w14:textId="77777777" w:rsidR="009C221E" w:rsidRPr="008D1B40" w:rsidRDefault="00730A01" w:rsidP="00443B59">
      <w:pPr>
        <w:pStyle w:val="Paragraphedeliste"/>
        <w:numPr>
          <w:ilvl w:val="0"/>
          <w:numId w:val="116"/>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Les déclarations trompeuses quant à la suffisance et à la valeur des garanties avant</w:t>
      </w:r>
    </w:p>
    <w:p w14:paraId="79EB146D" w14:textId="77777777" w:rsidR="009C221E" w:rsidRPr="008D1B40" w:rsidRDefault="00730A01" w:rsidP="00124AA4">
      <w:pPr>
        <w:pStyle w:val="Paragraphedeliste"/>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la débâcle de février</w:t>
      </w:r>
      <w:r>
        <w:rPr>
          <w:rFonts w:ascii="Cambria" w:eastAsia="MS Mincho" w:hAnsi="Cambria"/>
          <w:sz w:val="22"/>
          <w:szCs w:val="22"/>
          <w:lang w:eastAsia="en-US"/>
        </w:rPr>
        <w:t> </w:t>
      </w:r>
      <w:r w:rsidRPr="008D1B40">
        <w:rPr>
          <w:rFonts w:ascii="Cambria" w:eastAsia="MS Mincho" w:hAnsi="Cambria"/>
          <w:sz w:val="22"/>
          <w:szCs w:val="22"/>
          <w:lang w:eastAsia="en-US"/>
        </w:rPr>
        <w:t xml:space="preserve">2023 </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w:t>
      </w:r>
      <w:r w:rsidR="00D53896">
        <w:rPr>
          <w:rFonts w:ascii="Cambria" w:eastAsia="MS Mincho" w:hAnsi="Cambria"/>
          <w:sz w:val="22"/>
          <w:szCs w:val="22"/>
          <w:lang w:eastAsia="en-US"/>
        </w:rPr>
        <w:t>39</w:t>
      </w:r>
    </w:p>
    <w:p w14:paraId="4A7B9B00" w14:textId="77777777" w:rsidR="009C221E" w:rsidRPr="001B0EBE" w:rsidRDefault="00730A01" w:rsidP="00124AA4">
      <w:pPr>
        <w:tabs>
          <w:tab w:val="left" w:pos="284"/>
        </w:tabs>
        <w:spacing w:after="120" w:line="276" w:lineRule="auto"/>
        <w:rPr>
          <w:rFonts w:ascii="Cambria" w:eastAsia="MS Mincho" w:hAnsi="Cambria"/>
          <w:sz w:val="22"/>
          <w:szCs w:val="22"/>
          <w:lang w:eastAsia="en-US"/>
        </w:rPr>
      </w:pPr>
      <w:r w:rsidRPr="001B0EBE">
        <w:rPr>
          <w:rFonts w:ascii="Cambria" w:eastAsia="MS Mincho" w:hAnsi="Cambria"/>
          <w:b/>
          <w:bCs/>
          <w:sz w:val="22"/>
          <w:szCs w:val="22"/>
          <w:lang w:eastAsia="en-US"/>
        </w:rPr>
        <w:t>B</w:t>
      </w:r>
      <w:r w:rsidR="00E10600">
        <w:rPr>
          <w:rFonts w:ascii="Cambria" w:eastAsia="MS Mincho" w:hAnsi="Cambria"/>
          <w:b/>
          <w:bCs/>
          <w:sz w:val="22"/>
          <w:szCs w:val="22"/>
          <w:lang w:eastAsia="en-US"/>
        </w:rPr>
        <w:t>) </w:t>
      </w:r>
      <w:r w:rsidRPr="001B0EBE">
        <w:rPr>
          <w:rFonts w:ascii="Cambria" w:eastAsia="MS Mincho" w:hAnsi="Cambria"/>
          <w:b/>
          <w:bCs/>
          <w:sz w:val="22"/>
          <w:szCs w:val="22"/>
          <w:lang w:eastAsia="en-US"/>
        </w:rPr>
        <w:t>LA PRODUCTION À LA COUR DE BILANS TRONQUÉS</w:t>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992C8A">
        <w:rPr>
          <w:rFonts w:ascii="Cambria" w:eastAsia="MS Mincho" w:hAnsi="Cambria"/>
          <w:b/>
          <w:bCs/>
          <w:sz w:val="22"/>
          <w:szCs w:val="22"/>
          <w:lang w:eastAsia="en-US"/>
        </w:rPr>
        <w:t>1</w:t>
      </w:r>
      <w:r w:rsidR="00D53896">
        <w:rPr>
          <w:rFonts w:ascii="Cambria" w:eastAsia="MS Mincho" w:hAnsi="Cambria"/>
          <w:b/>
          <w:bCs/>
          <w:sz w:val="22"/>
          <w:szCs w:val="22"/>
          <w:lang w:eastAsia="en-US"/>
        </w:rPr>
        <w:t>40</w:t>
      </w:r>
    </w:p>
    <w:p w14:paraId="02F61D27" w14:textId="77777777" w:rsidR="009C221E" w:rsidRPr="008D1B40" w:rsidRDefault="00730A01" w:rsidP="00443B59">
      <w:pPr>
        <w:pStyle w:val="Paragraphedeliste"/>
        <w:numPr>
          <w:ilvl w:val="0"/>
          <w:numId w:val="117"/>
        </w:numPr>
        <w:tabs>
          <w:tab w:val="left" w:pos="284"/>
        </w:tabs>
        <w:spacing w:after="200"/>
        <w:ind w:left="714" w:hanging="357"/>
        <w:rPr>
          <w:rFonts w:ascii="Cambria" w:eastAsia="MS Mincho" w:hAnsi="Cambria"/>
          <w:sz w:val="22"/>
          <w:szCs w:val="22"/>
          <w:lang w:eastAsia="en-US"/>
        </w:rPr>
      </w:pPr>
      <w:r w:rsidRPr="008D1B40">
        <w:rPr>
          <w:rFonts w:ascii="Cambria" w:eastAsia="MS Mincho" w:hAnsi="Cambria"/>
          <w:sz w:val="22"/>
          <w:szCs w:val="22"/>
          <w:lang w:eastAsia="en-US"/>
        </w:rPr>
        <w:t>Les déclarations trompeuses quant à son bilan</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00D53896">
        <w:rPr>
          <w:rFonts w:ascii="Cambria" w:eastAsia="MS Mincho" w:hAnsi="Cambria"/>
          <w:sz w:val="22"/>
          <w:szCs w:val="22"/>
          <w:lang w:eastAsia="en-US"/>
        </w:rPr>
        <w:t>140</w:t>
      </w:r>
    </w:p>
    <w:p w14:paraId="36C925F4" w14:textId="77777777" w:rsidR="009C221E" w:rsidRPr="008D1B40" w:rsidRDefault="00730A01" w:rsidP="00443B59">
      <w:pPr>
        <w:pStyle w:val="Paragraphedeliste"/>
        <w:numPr>
          <w:ilvl w:val="0"/>
          <w:numId w:val="117"/>
        </w:numPr>
        <w:tabs>
          <w:tab w:val="left" w:pos="284"/>
        </w:tabs>
        <w:spacing w:after="200"/>
        <w:ind w:left="714" w:hanging="357"/>
        <w:rPr>
          <w:rFonts w:ascii="Cambria" w:eastAsia="MS Mincho" w:hAnsi="Cambria"/>
          <w:sz w:val="22"/>
          <w:szCs w:val="22"/>
          <w:lang w:eastAsia="en-US"/>
        </w:rPr>
      </w:pPr>
      <w:r w:rsidRPr="008D1B40">
        <w:rPr>
          <w:rFonts w:ascii="Cambria" w:eastAsia="MS Mincho" w:hAnsi="Cambria"/>
          <w:sz w:val="22"/>
          <w:szCs w:val="22"/>
          <w:lang w:eastAsia="en-US"/>
        </w:rPr>
        <w:t xml:space="preserve">Les déclarations trompeuses quant à certains actifs </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00D53896">
        <w:rPr>
          <w:rFonts w:ascii="Cambria" w:eastAsia="MS Mincho" w:hAnsi="Cambria"/>
          <w:sz w:val="22"/>
          <w:szCs w:val="22"/>
          <w:lang w:eastAsia="en-US"/>
        </w:rPr>
        <w:t>140</w:t>
      </w:r>
    </w:p>
    <w:p w14:paraId="5DC1D1BD" w14:textId="77777777" w:rsidR="009C221E" w:rsidRPr="008D1B40" w:rsidRDefault="00730A01" w:rsidP="00443B59">
      <w:pPr>
        <w:pStyle w:val="Paragraphedeliste"/>
        <w:numPr>
          <w:ilvl w:val="0"/>
          <w:numId w:val="117"/>
        </w:numPr>
        <w:tabs>
          <w:tab w:val="left" w:pos="284"/>
        </w:tabs>
        <w:spacing w:after="200"/>
        <w:ind w:left="714" w:hanging="357"/>
        <w:rPr>
          <w:rFonts w:ascii="Cambria" w:eastAsia="MS Mincho" w:hAnsi="Cambria"/>
          <w:sz w:val="22"/>
          <w:szCs w:val="22"/>
          <w:lang w:eastAsia="en-US"/>
        </w:rPr>
      </w:pPr>
      <w:r w:rsidRPr="008D1B40">
        <w:rPr>
          <w:rFonts w:ascii="Cambria" w:eastAsia="MS Mincho" w:hAnsi="Cambria"/>
          <w:sz w:val="22"/>
          <w:szCs w:val="22"/>
          <w:lang w:eastAsia="en-US"/>
        </w:rPr>
        <w:t>Les déclarations trompeuses quant à l’ignorance de ses soldes bancaires</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w:t>
      </w:r>
      <w:r w:rsidR="00D53896">
        <w:rPr>
          <w:rFonts w:ascii="Cambria" w:eastAsia="MS Mincho" w:hAnsi="Cambria"/>
          <w:sz w:val="22"/>
          <w:szCs w:val="22"/>
          <w:lang w:eastAsia="en-US"/>
        </w:rPr>
        <w:t>40</w:t>
      </w:r>
    </w:p>
    <w:p w14:paraId="6F98372B" w14:textId="77777777" w:rsidR="009C221E" w:rsidRDefault="00730A01" w:rsidP="009C221E">
      <w:pPr>
        <w:tabs>
          <w:tab w:val="left" w:pos="284"/>
        </w:tabs>
        <w:spacing w:after="200" w:line="276" w:lineRule="auto"/>
        <w:contextualSpacing/>
        <w:rPr>
          <w:rFonts w:ascii="Cambria" w:eastAsia="MS Mincho" w:hAnsi="Cambria"/>
          <w:b/>
          <w:bCs/>
          <w:sz w:val="22"/>
          <w:szCs w:val="22"/>
          <w:lang w:eastAsia="en-US"/>
        </w:rPr>
      </w:pPr>
      <w:r w:rsidRPr="001B0EBE">
        <w:rPr>
          <w:rFonts w:ascii="Cambria" w:eastAsia="MS Mincho" w:hAnsi="Cambria"/>
          <w:b/>
          <w:bCs/>
          <w:sz w:val="22"/>
          <w:szCs w:val="22"/>
          <w:lang w:eastAsia="en-US"/>
        </w:rPr>
        <w:t>C</w:t>
      </w:r>
      <w:r w:rsidR="00E10600">
        <w:rPr>
          <w:rFonts w:ascii="Cambria" w:eastAsia="MS Mincho" w:hAnsi="Cambria"/>
          <w:b/>
          <w:bCs/>
          <w:sz w:val="22"/>
          <w:szCs w:val="22"/>
          <w:lang w:eastAsia="en-US"/>
        </w:rPr>
        <w:t>) </w:t>
      </w:r>
      <w:r w:rsidRPr="001B0EBE">
        <w:rPr>
          <w:rFonts w:ascii="Cambria" w:eastAsia="MS Mincho" w:hAnsi="Cambria"/>
          <w:b/>
          <w:bCs/>
          <w:sz w:val="22"/>
          <w:szCs w:val="22"/>
          <w:lang w:eastAsia="en-US"/>
        </w:rPr>
        <w:t>LES PRÊTS À TAUX USURAIRES ACCORDÉS AU GROUPE HUOT PAR GIROUX</w:t>
      </w:r>
    </w:p>
    <w:p w14:paraId="3D8961F6" w14:textId="77777777" w:rsidR="009C221E" w:rsidRPr="00992C8A" w:rsidRDefault="00730A01" w:rsidP="00C55ADC">
      <w:pPr>
        <w:tabs>
          <w:tab w:val="left" w:pos="284"/>
        </w:tabs>
        <w:spacing w:after="120" w:line="276" w:lineRule="auto"/>
        <w:contextualSpacing/>
        <w:rPr>
          <w:rFonts w:ascii="Cambria" w:eastAsia="MS Mincho" w:hAnsi="Cambria"/>
          <w:sz w:val="22"/>
          <w:szCs w:val="22"/>
          <w:lang w:eastAsia="en-US"/>
        </w:rPr>
      </w:pPr>
      <w:r w:rsidRPr="001B0EBE">
        <w:rPr>
          <w:rFonts w:ascii="Cambria" w:eastAsia="MS Mincho" w:hAnsi="Cambria"/>
          <w:b/>
          <w:bCs/>
          <w:sz w:val="22"/>
          <w:szCs w:val="22"/>
          <w:lang w:eastAsia="en-US"/>
        </w:rPr>
        <w:t>ET NIÉS PAR LU</w:t>
      </w:r>
      <w:r>
        <w:rPr>
          <w:rFonts w:ascii="Cambria" w:eastAsia="MS Mincho" w:hAnsi="Cambria"/>
          <w:b/>
          <w:bCs/>
          <w:szCs w:val="24"/>
          <w:lang w:eastAsia="en-US"/>
        </w:rPr>
        <w:t>I</w:t>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b/>
          <w:bCs/>
          <w:sz w:val="22"/>
          <w:szCs w:val="22"/>
          <w:lang w:eastAsia="en-US"/>
        </w:rPr>
        <w:t>1</w:t>
      </w:r>
      <w:r w:rsidR="00D53896">
        <w:rPr>
          <w:rFonts w:ascii="Cambria" w:eastAsia="MS Mincho" w:hAnsi="Cambria"/>
          <w:b/>
          <w:bCs/>
          <w:sz w:val="22"/>
          <w:szCs w:val="22"/>
          <w:lang w:eastAsia="en-US"/>
        </w:rPr>
        <w:t>42</w:t>
      </w:r>
    </w:p>
    <w:p w14:paraId="5A7FDF3A" w14:textId="77777777" w:rsidR="009C221E" w:rsidRDefault="00730A01" w:rsidP="00443B59">
      <w:pPr>
        <w:pStyle w:val="Paragraphedeliste"/>
        <w:numPr>
          <w:ilvl w:val="0"/>
          <w:numId w:val="118"/>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 xml:space="preserve">Les déclarations trompeuses de Giroux quant à l’inexistence de prêts </w:t>
      </w:r>
    </w:p>
    <w:p w14:paraId="76A38B22" w14:textId="77777777" w:rsidR="009C221E" w:rsidRPr="008D1B40" w:rsidRDefault="00730A01" w:rsidP="00823028">
      <w:pPr>
        <w:pStyle w:val="Paragraphedeliste"/>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à taux usuraires</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w:t>
      </w:r>
      <w:r w:rsidR="00D53896">
        <w:rPr>
          <w:rFonts w:ascii="Cambria" w:eastAsia="MS Mincho" w:hAnsi="Cambria"/>
          <w:sz w:val="22"/>
          <w:szCs w:val="22"/>
          <w:lang w:eastAsia="en-US"/>
        </w:rPr>
        <w:t>42</w:t>
      </w:r>
    </w:p>
    <w:p w14:paraId="7B1D9A19" w14:textId="77777777" w:rsidR="009C221E" w:rsidRPr="00992C8A" w:rsidRDefault="00730A01" w:rsidP="00C55ADC">
      <w:pPr>
        <w:tabs>
          <w:tab w:val="left" w:pos="284"/>
        </w:tabs>
        <w:spacing w:after="120" w:line="276" w:lineRule="auto"/>
        <w:contextualSpacing/>
        <w:rPr>
          <w:rFonts w:ascii="Cambria" w:eastAsia="MS Mincho" w:hAnsi="Cambria"/>
          <w:b/>
          <w:bCs/>
          <w:sz w:val="22"/>
          <w:szCs w:val="22"/>
          <w:lang w:eastAsia="en-US"/>
        </w:rPr>
      </w:pPr>
      <w:r w:rsidRPr="001B0EBE">
        <w:rPr>
          <w:rFonts w:ascii="Cambria" w:eastAsia="MS Mincho" w:hAnsi="Cambria"/>
          <w:b/>
          <w:bCs/>
          <w:sz w:val="22"/>
          <w:szCs w:val="22"/>
          <w:lang w:eastAsia="en-US"/>
        </w:rPr>
        <w:t>D</w:t>
      </w:r>
      <w:r w:rsidR="00E10600">
        <w:rPr>
          <w:rFonts w:ascii="Cambria" w:eastAsia="MS Mincho" w:hAnsi="Cambria"/>
          <w:b/>
          <w:bCs/>
          <w:sz w:val="22"/>
          <w:szCs w:val="22"/>
          <w:lang w:eastAsia="en-US"/>
        </w:rPr>
        <w:t>) </w:t>
      </w:r>
      <w:r w:rsidRPr="001B0EBE">
        <w:rPr>
          <w:rFonts w:ascii="Cambria" w:eastAsia="MS Mincho" w:hAnsi="Cambria"/>
          <w:b/>
          <w:bCs/>
          <w:sz w:val="22"/>
          <w:szCs w:val="22"/>
          <w:lang w:eastAsia="en-US"/>
        </w:rPr>
        <w:t>LES TRANSACTIONS PONZI ET LES PAIEMENTS PRÉFÉRENTIELS</w:t>
      </w:r>
      <w:r>
        <w:rPr>
          <w:rFonts w:ascii="Cambria" w:eastAsia="MS Mincho" w:hAnsi="Cambria"/>
          <w:b/>
          <w:bCs/>
          <w:sz w:val="22"/>
          <w:szCs w:val="22"/>
          <w:lang w:eastAsia="en-US"/>
        </w:rPr>
        <w:t xml:space="preserve"> </w:t>
      </w:r>
      <w:r w:rsidRPr="001B0EBE">
        <w:rPr>
          <w:rFonts w:ascii="Cambria" w:eastAsia="MS Mincho" w:hAnsi="Cambria"/>
          <w:b/>
          <w:bCs/>
          <w:sz w:val="22"/>
          <w:szCs w:val="22"/>
          <w:lang w:eastAsia="en-US"/>
        </w:rPr>
        <w:t>NIÉS PAR GIROUX</w:t>
      </w:r>
      <w:r w:rsidRPr="003A5FC4">
        <w:rPr>
          <w:rFonts w:ascii="Cambria" w:eastAsia="MS Mincho" w:hAnsi="Cambria"/>
          <w:sz w:val="22"/>
          <w:szCs w:val="22"/>
          <w:u w:val="single"/>
          <w:lang w:eastAsia="en-US"/>
        </w:rPr>
        <w:tab/>
      </w:r>
      <w:r w:rsidRPr="00992C8A">
        <w:rPr>
          <w:rFonts w:ascii="Cambria" w:eastAsia="MS Mincho" w:hAnsi="Cambria"/>
          <w:b/>
          <w:bCs/>
          <w:sz w:val="22"/>
          <w:szCs w:val="22"/>
          <w:lang w:eastAsia="en-US"/>
        </w:rPr>
        <w:t>14</w:t>
      </w:r>
      <w:r w:rsidR="00D53896">
        <w:rPr>
          <w:rFonts w:ascii="Cambria" w:eastAsia="MS Mincho" w:hAnsi="Cambria"/>
          <w:b/>
          <w:bCs/>
          <w:sz w:val="22"/>
          <w:szCs w:val="22"/>
          <w:lang w:eastAsia="en-US"/>
        </w:rPr>
        <w:t>3</w:t>
      </w:r>
    </w:p>
    <w:p w14:paraId="39ADAFF0" w14:textId="77777777" w:rsidR="009C221E" w:rsidRDefault="00730A01" w:rsidP="00443B59">
      <w:pPr>
        <w:pStyle w:val="Paragraphedeliste"/>
        <w:numPr>
          <w:ilvl w:val="0"/>
          <w:numId w:val="119"/>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 xml:space="preserve">Les déclarations trompeuses quant à l’existence du remboursement par Q-12 </w:t>
      </w:r>
    </w:p>
    <w:p w14:paraId="57435198" w14:textId="77777777" w:rsidR="009C221E" w:rsidRPr="008D1B40" w:rsidRDefault="00730A01" w:rsidP="00124AA4">
      <w:pPr>
        <w:pStyle w:val="Paragraphedeliste"/>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du prêt de 1 M$ et qu’il avait consenti au Groupe Huot</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14</w:t>
      </w:r>
      <w:r w:rsidR="00D53896">
        <w:rPr>
          <w:rFonts w:ascii="Cambria" w:eastAsia="MS Mincho" w:hAnsi="Cambria"/>
          <w:sz w:val="22"/>
          <w:szCs w:val="22"/>
          <w:lang w:eastAsia="en-US"/>
        </w:rPr>
        <w:t>3</w:t>
      </w:r>
    </w:p>
    <w:p w14:paraId="4C9E1207" w14:textId="77777777" w:rsidR="009C221E" w:rsidRDefault="00730A01" w:rsidP="00443B59">
      <w:pPr>
        <w:pStyle w:val="Paragraphedeliste"/>
        <w:numPr>
          <w:ilvl w:val="0"/>
          <w:numId w:val="119"/>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Les déclarations trompeuses quant au fait que 6646 n’aurait jamais touché</w:t>
      </w:r>
      <w:r>
        <w:rPr>
          <w:rFonts w:ascii="Cambria" w:eastAsia="MS Mincho" w:hAnsi="Cambria"/>
          <w:sz w:val="22"/>
          <w:szCs w:val="22"/>
          <w:lang w:eastAsia="en-US"/>
        </w:rPr>
        <w:t xml:space="preserve"> </w:t>
      </w:r>
    </w:p>
    <w:p w14:paraId="67268044" w14:textId="77777777" w:rsidR="009C221E" w:rsidRPr="008D1B40" w:rsidRDefault="00730A01" w:rsidP="00124AA4">
      <w:pPr>
        <w:pStyle w:val="Paragraphedeliste"/>
        <w:tabs>
          <w:tab w:val="left" w:pos="284"/>
        </w:tabs>
        <w:spacing w:after="200"/>
        <w:rPr>
          <w:rFonts w:ascii="Cambria" w:eastAsia="MS Mincho" w:hAnsi="Cambria"/>
          <w:sz w:val="22"/>
          <w:szCs w:val="22"/>
          <w:lang w:eastAsia="en-US"/>
        </w:rPr>
      </w:pPr>
      <w:r>
        <w:rPr>
          <w:rFonts w:ascii="Cambria" w:eastAsia="MS Mincho" w:hAnsi="Cambria"/>
          <w:sz w:val="22"/>
          <w:szCs w:val="22"/>
          <w:lang w:eastAsia="en-US"/>
        </w:rPr>
        <w:t>d’</w:t>
      </w:r>
      <w:r w:rsidRPr="008D1B40">
        <w:rPr>
          <w:rFonts w:ascii="Cambria" w:eastAsia="MS Mincho" w:hAnsi="Cambria"/>
          <w:sz w:val="22"/>
          <w:szCs w:val="22"/>
          <w:lang w:eastAsia="en-US"/>
        </w:rPr>
        <w:t>honoraires ou de frais en lien avec les prêts Q-12</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14</w:t>
      </w:r>
      <w:r w:rsidR="00D53896">
        <w:rPr>
          <w:rFonts w:ascii="Cambria" w:eastAsia="MS Mincho" w:hAnsi="Cambria"/>
          <w:sz w:val="22"/>
          <w:szCs w:val="22"/>
          <w:lang w:eastAsia="en-US"/>
        </w:rPr>
        <w:t>3</w:t>
      </w:r>
    </w:p>
    <w:p w14:paraId="4B1395DB" w14:textId="77777777" w:rsidR="009C221E" w:rsidRDefault="00730A01" w:rsidP="00443B59">
      <w:pPr>
        <w:pStyle w:val="Paragraphedeliste"/>
        <w:numPr>
          <w:ilvl w:val="0"/>
          <w:numId w:val="119"/>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 xml:space="preserve">Les déclarations trompeuses quant au fait de ne jamais avoir remboursé </w:t>
      </w:r>
    </w:p>
    <w:p w14:paraId="4968D4A4" w14:textId="77777777" w:rsidR="009C221E" w:rsidRPr="008D1B40" w:rsidRDefault="00730A01" w:rsidP="00124AA4">
      <w:pPr>
        <w:pStyle w:val="Paragraphedeliste"/>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les prêts de Q-12 avec les mises de fonds des investisseurs</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14</w:t>
      </w:r>
      <w:r w:rsidR="00D53896">
        <w:rPr>
          <w:rFonts w:ascii="Cambria" w:eastAsia="MS Mincho" w:hAnsi="Cambria"/>
          <w:sz w:val="22"/>
          <w:szCs w:val="22"/>
          <w:lang w:eastAsia="en-US"/>
        </w:rPr>
        <w:t>3</w:t>
      </w:r>
    </w:p>
    <w:p w14:paraId="55B26880" w14:textId="77777777" w:rsidR="009C221E" w:rsidRDefault="00730A01" w:rsidP="00443B59">
      <w:pPr>
        <w:pStyle w:val="Paragraphedeliste"/>
        <w:numPr>
          <w:ilvl w:val="0"/>
          <w:numId w:val="119"/>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 xml:space="preserve">Les déclarations trompeuses quant au fait de ne jamais avoir imposé au </w:t>
      </w:r>
    </w:p>
    <w:p w14:paraId="385FD6EF" w14:textId="77777777" w:rsidR="009C221E" w:rsidRPr="008D1B40" w:rsidRDefault="00730A01" w:rsidP="00124AA4">
      <w:pPr>
        <w:pStyle w:val="Paragraphedeliste"/>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GroupeHuot de payer Giroux en priorité</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14</w:t>
      </w:r>
      <w:r w:rsidR="00D53896">
        <w:rPr>
          <w:rFonts w:ascii="Cambria" w:eastAsia="MS Mincho" w:hAnsi="Cambria"/>
          <w:sz w:val="22"/>
          <w:szCs w:val="22"/>
          <w:lang w:eastAsia="en-US"/>
        </w:rPr>
        <w:t>3</w:t>
      </w:r>
    </w:p>
    <w:p w14:paraId="4FC55FE5" w14:textId="77777777" w:rsidR="009C221E" w:rsidRPr="00992C8A" w:rsidRDefault="00730A01" w:rsidP="00C55ADC">
      <w:pPr>
        <w:tabs>
          <w:tab w:val="left" w:pos="284"/>
        </w:tabs>
        <w:spacing w:after="120" w:line="276" w:lineRule="auto"/>
        <w:rPr>
          <w:rFonts w:ascii="Cambria" w:eastAsia="MS Mincho" w:hAnsi="Cambria"/>
          <w:b/>
          <w:bCs/>
          <w:sz w:val="22"/>
          <w:szCs w:val="22"/>
          <w:lang w:eastAsia="en-US"/>
        </w:rPr>
      </w:pPr>
      <w:r w:rsidRPr="001B0EBE">
        <w:rPr>
          <w:rFonts w:ascii="Cambria" w:eastAsia="MS Mincho" w:hAnsi="Cambria"/>
          <w:b/>
          <w:bCs/>
          <w:sz w:val="22"/>
          <w:szCs w:val="22"/>
          <w:lang w:eastAsia="en-US"/>
        </w:rPr>
        <w:t>E</w:t>
      </w:r>
      <w:r w:rsidR="00E10600">
        <w:rPr>
          <w:rFonts w:ascii="Cambria" w:eastAsia="MS Mincho" w:hAnsi="Cambria"/>
          <w:b/>
          <w:bCs/>
          <w:sz w:val="22"/>
          <w:szCs w:val="22"/>
          <w:lang w:eastAsia="en-US"/>
        </w:rPr>
        <w:t>) </w:t>
      </w:r>
      <w:r w:rsidRPr="001B0EBE">
        <w:rPr>
          <w:rFonts w:ascii="Cambria" w:eastAsia="MS Mincho" w:hAnsi="Cambria"/>
          <w:b/>
          <w:bCs/>
          <w:sz w:val="22"/>
          <w:szCs w:val="22"/>
          <w:lang w:eastAsia="en-US"/>
        </w:rPr>
        <w:t>LES INFORMATIONS CACHÉES AUX COMMANDITAIRES ET NIÉES PAR GIROUX</w:t>
      </w:r>
      <w:r>
        <w:rPr>
          <w:rFonts w:ascii="Cambria" w:eastAsia="MS Mincho" w:hAnsi="Cambria"/>
          <w:sz w:val="22"/>
          <w:szCs w:val="22"/>
          <w:u w:val="single"/>
          <w:lang w:eastAsia="en-US"/>
        </w:rPr>
        <w:tab/>
      </w:r>
      <w:r w:rsidRPr="00100317">
        <w:rPr>
          <w:rFonts w:ascii="Cambria" w:eastAsia="MS Mincho" w:hAnsi="Cambria"/>
          <w:b/>
          <w:bCs/>
          <w:sz w:val="22"/>
          <w:szCs w:val="22"/>
          <w:u w:val="single"/>
          <w:lang w:eastAsia="en-US"/>
        </w:rPr>
        <w:tab/>
      </w:r>
      <w:r w:rsidRPr="00992C8A">
        <w:rPr>
          <w:rFonts w:ascii="Cambria" w:eastAsia="MS Mincho" w:hAnsi="Cambria"/>
          <w:b/>
          <w:bCs/>
          <w:sz w:val="22"/>
          <w:szCs w:val="22"/>
          <w:lang w:eastAsia="en-US"/>
        </w:rPr>
        <w:t>14</w:t>
      </w:r>
      <w:r w:rsidR="003A5FC4">
        <w:rPr>
          <w:rFonts w:ascii="Cambria" w:eastAsia="MS Mincho" w:hAnsi="Cambria"/>
          <w:b/>
          <w:bCs/>
          <w:sz w:val="22"/>
          <w:szCs w:val="22"/>
          <w:lang w:eastAsia="en-US"/>
        </w:rPr>
        <w:t>4</w:t>
      </w:r>
    </w:p>
    <w:p w14:paraId="61FCC28F" w14:textId="77777777" w:rsidR="009C221E" w:rsidRDefault="00730A01" w:rsidP="00443B59">
      <w:pPr>
        <w:pStyle w:val="Paragraphedeliste"/>
        <w:numPr>
          <w:ilvl w:val="0"/>
          <w:numId w:val="120"/>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 xml:space="preserve">Les déclarations trompeuses quant au fait d’avoir avisé les commanditaires de FIISH </w:t>
      </w:r>
    </w:p>
    <w:p w14:paraId="38C0D725" w14:textId="77777777" w:rsidR="009C221E" w:rsidRPr="008D1B40" w:rsidRDefault="00730A01" w:rsidP="00124AA4">
      <w:pPr>
        <w:pStyle w:val="Paragraphedeliste"/>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que leurs intérêts seraient payés par Q-12 (Ponzi)</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14</w:t>
      </w:r>
      <w:r w:rsidR="00D53896">
        <w:rPr>
          <w:rFonts w:ascii="Cambria" w:eastAsia="MS Mincho" w:hAnsi="Cambria"/>
          <w:sz w:val="22"/>
          <w:szCs w:val="22"/>
          <w:lang w:eastAsia="en-US"/>
        </w:rPr>
        <w:t>4</w:t>
      </w:r>
    </w:p>
    <w:p w14:paraId="590A6F32" w14:textId="77777777" w:rsidR="009C221E" w:rsidRDefault="00730A01" w:rsidP="00443B59">
      <w:pPr>
        <w:pStyle w:val="Paragraphedeliste"/>
        <w:numPr>
          <w:ilvl w:val="0"/>
          <w:numId w:val="120"/>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 xml:space="preserve">Les déclarations trompeuses quant au fait que tous les commanditaires de FIISH </w:t>
      </w:r>
    </w:p>
    <w:p w14:paraId="0058B952" w14:textId="77777777" w:rsidR="009C221E" w:rsidRDefault="00730A01" w:rsidP="00124AA4">
      <w:pPr>
        <w:pStyle w:val="Paragraphedeliste"/>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ont été avisés en mars</w:t>
      </w:r>
      <w:r w:rsidR="00445ECD">
        <w:rPr>
          <w:rFonts w:ascii="Cambria" w:eastAsia="MS Mincho" w:hAnsi="Cambria"/>
          <w:sz w:val="22"/>
          <w:szCs w:val="22"/>
          <w:lang w:eastAsia="en-US"/>
        </w:rPr>
        <w:t> </w:t>
      </w:r>
      <w:r w:rsidRPr="008D1B40">
        <w:rPr>
          <w:rFonts w:ascii="Cambria" w:eastAsia="MS Mincho" w:hAnsi="Cambria"/>
          <w:sz w:val="22"/>
          <w:szCs w:val="22"/>
          <w:lang w:eastAsia="en-US"/>
        </w:rPr>
        <w:t xml:space="preserve">2022 que FIISH consentirait un nouveau prêt au Groupe Huot </w:t>
      </w:r>
    </w:p>
    <w:p w14:paraId="66CA1E55" w14:textId="77777777" w:rsidR="009C221E" w:rsidRPr="008D1B40" w:rsidRDefault="00730A01" w:rsidP="00124AA4">
      <w:pPr>
        <w:pStyle w:val="Paragraphedeliste"/>
        <w:tabs>
          <w:tab w:val="left" w:pos="284"/>
        </w:tabs>
        <w:spacing w:after="200"/>
        <w:rPr>
          <w:rFonts w:ascii="Cambria" w:eastAsia="MS Mincho" w:hAnsi="Cambria"/>
          <w:sz w:val="22"/>
          <w:szCs w:val="22"/>
          <w:lang w:eastAsia="en-US"/>
        </w:rPr>
      </w:pPr>
      <w:r>
        <w:rPr>
          <w:rFonts w:ascii="Cambria" w:eastAsia="MS Mincho" w:hAnsi="Cambria"/>
          <w:sz w:val="22"/>
          <w:szCs w:val="22"/>
          <w:lang w:eastAsia="en-US"/>
        </w:rPr>
        <w:t>p</w:t>
      </w:r>
      <w:r w:rsidRPr="008D1B40">
        <w:rPr>
          <w:rFonts w:ascii="Cambria" w:eastAsia="MS Mincho" w:hAnsi="Cambria"/>
          <w:sz w:val="22"/>
          <w:szCs w:val="22"/>
          <w:lang w:eastAsia="en-US"/>
        </w:rPr>
        <w:t>our payer les intérêts en défaut (Ponzi)</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14</w:t>
      </w:r>
      <w:r w:rsidR="00D53896">
        <w:rPr>
          <w:rFonts w:ascii="Cambria" w:eastAsia="MS Mincho" w:hAnsi="Cambria"/>
          <w:sz w:val="22"/>
          <w:szCs w:val="22"/>
          <w:lang w:eastAsia="en-US"/>
        </w:rPr>
        <w:t>5</w:t>
      </w:r>
    </w:p>
    <w:p w14:paraId="72FA8EC6" w14:textId="77777777" w:rsidR="009C221E" w:rsidRPr="00100317" w:rsidRDefault="00730A01" w:rsidP="00443B59">
      <w:pPr>
        <w:pStyle w:val="Paragraphedeliste"/>
        <w:numPr>
          <w:ilvl w:val="0"/>
          <w:numId w:val="120"/>
        </w:numPr>
        <w:tabs>
          <w:tab w:val="left" w:pos="284"/>
        </w:tabs>
        <w:spacing w:after="200"/>
        <w:rPr>
          <w:rFonts w:ascii="Cambria" w:eastAsia="MS Mincho" w:hAnsi="Cambria"/>
          <w:sz w:val="22"/>
          <w:szCs w:val="22"/>
          <w:lang w:eastAsia="en-US"/>
        </w:rPr>
      </w:pPr>
      <w:r w:rsidRPr="00100317">
        <w:rPr>
          <w:rFonts w:ascii="Cambria" w:eastAsia="MS Mincho" w:hAnsi="Cambria"/>
          <w:sz w:val="22"/>
          <w:szCs w:val="22"/>
          <w:lang w:eastAsia="en-US"/>
        </w:rPr>
        <w:t>Les contradictions de Giroux sur la faillite annoncée de Huot</w:t>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lang w:eastAsia="en-US"/>
        </w:rPr>
        <w:t>14</w:t>
      </w:r>
      <w:r w:rsidR="00D53896">
        <w:rPr>
          <w:rFonts w:ascii="Cambria" w:eastAsia="MS Mincho" w:hAnsi="Cambria"/>
          <w:sz w:val="22"/>
          <w:szCs w:val="22"/>
          <w:lang w:eastAsia="en-US"/>
        </w:rPr>
        <w:t>5</w:t>
      </w:r>
    </w:p>
    <w:p w14:paraId="11443FBD" w14:textId="77777777" w:rsidR="009C221E" w:rsidRDefault="00730A01" w:rsidP="00443B59">
      <w:pPr>
        <w:pStyle w:val="Paragraphedeliste"/>
        <w:numPr>
          <w:ilvl w:val="0"/>
          <w:numId w:val="120"/>
        </w:numPr>
        <w:tabs>
          <w:tab w:val="left" w:pos="284"/>
        </w:tabs>
        <w:spacing w:after="200"/>
        <w:rPr>
          <w:rFonts w:ascii="Cambria" w:eastAsia="MS Mincho" w:hAnsi="Cambria"/>
          <w:sz w:val="22"/>
          <w:szCs w:val="22"/>
          <w:lang w:eastAsia="en-US"/>
        </w:rPr>
      </w:pPr>
      <w:r w:rsidRPr="005C7D76">
        <w:rPr>
          <w:rFonts w:ascii="Cambria" w:eastAsia="MS Mincho" w:hAnsi="Cambria"/>
          <w:sz w:val="22"/>
          <w:szCs w:val="22"/>
          <w:lang w:eastAsia="en-US"/>
        </w:rPr>
        <w:t xml:space="preserve">Les contradictions relatives à Denis St-Cyr et aux mises de fonds pour </w:t>
      </w:r>
    </w:p>
    <w:p w14:paraId="024DE83E" w14:textId="77777777" w:rsidR="009C221E" w:rsidRPr="005C7D76" w:rsidRDefault="00730A01" w:rsidP="00124AA4">
      <w:pPr>
        <w:pStyle w:val="Paragraphedeliste"/>
        <w:tabs>
          <w:tab w:val="left" w:pos="284"/>
        </w:tabs>
        <w:spacing w:after="200"/>
        <w:rPr>
          <w:rFonts w:ascii="Cambria" w:eastAsia="MS Mincho" w:hAnsi="Cambria"/>
          <w:sz w:val="22"/>
          <w:szCs w:val="22"/>
          <w:lang w:eastAsia="en-US"/>
        </w:rPr>
      </w:pPr>
      <w:r w:rsidRPr="005C7D76">
        <w:rPr>
          <w:rFonts w:ascii="Cambria" w:eastAsia="MS Mincho" w:hAnsi="Cambria"/>
          <w:sz w:val="22"/>
          <w:szCs w:val="22"/>
          <w:lang w:eastAsia="en-US"/>
        </w:rPr>
        <w:t>payer les intérêts</w:t>
      </w:r>
      <w:r w:rsidRPr="005C7D76">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sidRPr="005C7D76">
        <w:rPr>
          <w:rFonts w:ascii="Cambria" w:eastAsia="MS Mincho" w:hAnsi="Cambria"/>
          <w:sz w:val="22"/>
          <w:szCs w:val="22"/>
          <w:lang w:eastAsia="en-US"/>
        </w:rPr>
        <w:t>14</w:t>
      </w:r>
      <w:r w:rsidR="00D53896">
        <w:rPr>
          <w:rFonts w:ascii="Cambria" w:eastAsia="MS Mincho" w:hAnsi="Cambria"/>
          <w:sz w:val="22"/>
          <w:szCs w:val="22"/>
          <w:lang w:eastAsia="en-US"/>
        </w:rPr>
        <w:t>6</w:t>
      </w:r>
    </w:p>
    <w:p w14:paraId="01D336F1" w14:textId="77777777" w:rsidR="00823028" w:rsidRDefault="00730A01" w:rsidP="00443B59">
      <w:pPr>
        <w:pStyle w:val="Paragraphedeliste"/>
        <w:numPr>
          <w:ilvl w:val="0"/>
          <w:numId w:val="120"/>
        </w:numPr>
        <w:tabs>
          <w:tab w:val="left" w:pos="284"/>
        </w:tabs>
        <w:spacing w:after="200"/>
        <w:rPr>
          <w:rFonts w:ascii="Cambria" w:eastAsia="MS Mincho" w:hAnsi="Cambria"/>
          <w:sz w:val="22"/>
          <w:szCs w:val="22"/>
          <w:lang w:eastAsia="en-US"/>
        </w:rPr>
      </w:pPr>
      <w:r w:rsidRPr="008D1B40">
        <w:rPr>
          <w:rFonts w:ascii="Cambria" w:eastAsia="MS Mincho" w:hAnsi="Cambria"/>
          <w:sz w:val="22"/>
          <w:szCs w:val="22"/>
          <w:lang w:eastAsia="en-US"/>
        </w:rPr>
        <w:t xml:space="preserve">Les prétentions de Giroux incompatibles avec ses autres affirmations </w:t>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u w:val="single"/>
          <w:lang w:eastAsia="en-US"/>
        </w:rPr>
        <w:tab/>
      </w:r>
      <w:r w:rsidRPr="008D1B40">
        <w:rPr>
          <w:rFonts w:ascii="Cambria" w:eastAsia="MS Mincho" w:hAnsi="Cambria"/>
          <w:sz w:val="22"/>
          <w:szCs w:val="22"/>
          <w:lang w:eastAsia="en-US"/>
        </w:rPr>
        <w:t>14</w:t>
      </w:r>
      <w:r w:rsidR="00D53896">
        <w:rPr>
          <w:rFonts w:ascii="Cambria" w:eastAsia="MS Mincho" w:hAnsi="Cambria"/>
          <w:sz w:val="22"/>
          <w:szCs w:val="22"/>
          <w:lang w:eastAsia="en-US"/>
        </w:rPr>
        <w:t>7</w:t>
      </w:r>
    </w:p>
    <w:p w14:paraId="1EEF79AC" w14:textId="77777777" w:rsidR="00823028" w:rsidRDefault="00730A01">
      <w:pPr>
        <w:rPr>
          <w:rFonts w:ascii="Cambria" w:eastAsia="MS Mincho" w:hAnsi="Cambria"/>
          <w:sz w:val="22"/>
          <w:szCs w:val="22"/>
          <w:lang w:eastAsia="en-US"/>
        </w:rPr>
      </w:pPr>
      <w:r>
        <w:rPr>
          <w:rFonts w:ascii="Cambria" w:eastAsia="MS Mincho" w:hAnsi="Cambria"/>
          <w:sz w:val="22"/>
          <w:szCs w:val="22"/>
          <w:lang w:eastAsia="en-US"/>
        </w:rPr>
        <w:br w:type="page"/>
      </w:r>
    </w:p>
    <w:p w14:paraId="641B75D9" w14:textId="77777777" w:rsidR="009C221E" w:rsidRPr="00992C8A" w:rsidRDefault="00730A01" w:rsidP="000B6B69">
      <w:pPr>
        <w:tabs>
          <w:tab w:val="left" w:pos="284"/>
        </w:tabs>
        <w:spacing w:after="120" w:line="276" w:lineRule="auto"/>
        <w:rPr>
          <w:rFonts w:ascii="Cambria" w:eastAsia="MS Mincho" w:hAnsi="Cambria"/>
          <w:b/>
          <w:bCs/>
          <w:sz w:val="22"/>
          <w:szCs w:val="22"/>
          <w:lang w:eastAsia="en-US"/>
        </w:rPr>
      </w:pPr>
      <w:r w:rsidRPr="001B0EBE">
        <w:rPr>
          <w:rFonts w:ascii="Cambria" w:eastAsia="MS Mincho" w:hAnsi="Cambria"/>
          <w:b/>
          <w:bCs/>
          <w:sz w:val="22"/>
          <w:szCs w:val="22"/>
          <w:lang w:eastAsia="en-US"/>
        </w:rPr>
        <w:t>F</w:t>
      </w:r>
      <w:r w:rsidR="00E10600">
        <w:rPr>
          <w:rFonts w:ascii="Cambria" w:eastAsia="MS Mincho" w:hAnsi="Cambria"/>
          <w:b/>
          <w:bCs/>
          <w:sz w:val="22"/>
          <w:szCs w:val="22"/>
          <w:lang w:eastAsia="en-US"/>
        </w:rPr>
        <w:t>) </w:t>
      </w:r>
      <w:r w:rsidRPr="001B0EBE">
        <w:rPr>
          <w:rFonts w:ascii="Cambria" w:eastAsia="MS Mincho" w:hAnsi="Cambria"/>
          <w:b/>
          <w:bCs/>
          <w:sz w:val="22"/>
          <w:szCs w:val="22"/>
          <w:lang w:eastAsia="en-US"/>
        </w:rPr>
        <w:t>LES NOMBREUSES CONTRADICTIONS, CHANGEMENTS DE THÈSES ET AUTRES DÉCLARATIONS TROMPEUSES DE GIROUX</w:t>
      </w:r>
      <w:r w:rsidRPr="00100317">
        <w:rPr>
          <w:rFonts w:ascii="Cambria" w:eastAsia="MS Mincho" w:hAnsi="Cambria"/>
          <w:b/>
          <w:bCs/>
          <w:sz w:val="22"/>
          <w:szCs w:val="22"/>
          <w:u w:val="single"/>
          <w:lang w:eastAsia="en-US"/>
        </w:rPr>
        <w:tab/>
      </w:r>
      <w:r w:rsidRPr="00100317">
        <w:rPr>
          <w:rFonts w:ascii="Cambria" w:eastAsia="MS Mincho" w:hAnsi="Cambria"/>
          <w:b/>
          <w:bCs/>
          <w:sz w:val="22"/>
          <w:szCs w:val="22"/>
          <w:u w:val="single"/>
          <w:lang w:eastAsia="en-US"/>
        </w:rPr>
        <w:tab/>
      </w:r>
      <w:r w:rsidRPr="00100317">
        <w:rPr>
          <w:rFonts w:ascii="Cambria" w:eastAsia="MS Mincho" w:hAnsi="Cambria"/>
          <w:b/>
          <w:bCs/>
          <w:sz w:val="22"/>
          <w:szCs w:val="22"/>
          <w:u w:val="single"/>
          <w:lang w:eastAsia="en-US"/>
        </w:rPr>
        <w:tab/>
      </w:r>
      <w:r w:rsidRPr="00100317">
        <w:rPr>
          <w:rFonts w:ascii="Cambria" w:eastAsia="MS Mincho" w:hAnsi="Cambria"/>
          <w:b/>
          <w:bCs/>
          <w:sz w:val="22"/>
          <w:szCs w:val="22"/>
          <w:u w:val="single"/>
          <w:lang w:eastAsia="en-US"/>
        </w:rPr>
        <w:tab/>
      </w:r>
      <w:r w:rsidRPr="00100317">
        <w:rPr>
          <w:rFonts w:ascii="Cambria" w:eastAsia="MS Mincho" w:hAnsi="Cambria"/>
          <w:b/>
          <w:bCs/>
          <w:sz w:val="22"/>
          <w:szCs w:val="22"/>
          <w:u w:val="single"/>
          <w:lang w:eastAsia="en-US"/>
        </w:rPr>
        <w:tab/>
      </w:r>
      <w:r w:rsidRPr="00100317">
        <w:rPr>
          <w:rFonts w:ascii="Cambria" w:eastAsia="MS Mincho" w:hAnsi="Cambria"/>
          <w:b/>
          <w:bCs/>
          <w:sz w:val="22"/>
          <w:szCs w:val="22"/>
          <w:u w:val="single"/>
          <w:lang w:eastAsia="en-US"/>
        </w:rPr>
        <w:tab/>
      </w:r>
      <w:r w:rsidRPr="00100317">
        <w:rPr>
          <w:rFonts w:ascii="Cambria" w:eastAsia="MS Mincho" w:hAnsi="Cambria"/>
          <w:b/>
          <w:bCs/>
          <w:sz w:val="22"/>
          <w:szCs w:val="22"/>
          <w:u w:val="single"/>
          <w:lang w:eastAsia="en-US"/>
        </w:rPr>
        <w:tab/>
      </w:r>
      <w:r w:rsidRPr="00992C8A">
        <w:rPr>
          <w:rFonts w:ascii="Cambria" w:eastAsia="MS Mincho" w:hAnsi="Cambria"/>
          <w:b/>
          <w:bCs/>
          <w:sz w:val="22"/>
          <w:szCs w:val="22"/>
          <w:lang w:eastAsia="en-US"/>
        </w:rPr>
        <w:t>14</w:t>
      </w:r>
      <w:r w:rsidR="00947185">
        <w:rPr>
          <w:rFonts w:ascii="Cambria" w:eastAsia="MS Mincho" w:hAnsi="Cambria"/>
          <w:b/>
          <w:bCs/>
          <w:sz w:val="22"/>
          <w:szCs w:val="22"/>
          <w:lang w:eastAsia="en-US"/>
        </w:rPr>
        <w:t>8</w:t>
      </w:r>
    </w:p>
    <w:p w14:paraId="0C84EB23" w14:textId="77777777" w:rsidR="009C221E" w:rsidRPr="00D53896" w:rsidRDefault="00730A01" w:rsidP="00443B59">
      <w:pPr>
        <w:pStyle w:val="Paragraphedeliste"/>
        <w:numPr>
          <w:ilvl w:val="0"/>
          <w:numId w:val="115"/>
        </w:numPr>
        <w:tabs>
          <w:tab w:val="left" w:pos="284"/>
        </w:tabs>
        <w:spacing w:after="200"/>
        <w:ind w:left="714" w:hanging="357"/>
        <w:rPr>
          <w:rFonts w:ascii="Cambria" w:eastAsia="MS Mincho" w:hAnsi="Cambria"/>
          <w:sz w:val="22"/>
          <w:szCs w:val="22"/>
          <w:lang w:eastAsia="en-US"/>
        </w:rPr>
      </w:pPr>
      <w:r w:rsidRPr="00D53896">
        <w:rPr>
          <w:rFonts w:ascii="Cambria" w:eastAsia="MS Mincho" w:hAnsi="Cambria"/>
          <w:sz w:val="22"/>
          <w:szCs w:val="22"/>
          <w:lang w:eastAsia="en-US"/>
        </w:rPr>
        <w:t>Les contradictions quant au caractère temporaire du prêt FIIS</w:t>
      </w:r>
      <w:r w:rsidR="00D53896">
        <w:rPr>
          <w:rFonts w:ascii="Cambria" w:eastAsia="MS Mincho" w:hAnsi="Cambria"/>
          <w:sz w:val="22"/>
          <w:szCs w:val="22"/>
          <w:lang w:eastAsia="en-US"/>
        </w:rPr>
        <w:t>h</w:t>
      </w:r>
      <w:r w:rsidRPr="00D53896">
        <w:rPr>
          <w:rFonts w:ascii="Cambria" w:eastAsia="MS Mincho" w:hAnsi="Cambria"/>
          <w:sz w:val="22"/>
          <w:szCs w:val="22"/>
          <w:u w:val="single"/>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lang w:eastAsia="en-US"/>
        </w:rPr>
        <w:t>14</w:t>
      </w:r>
      <w:r w:rsidR="00947185">
        <w:rPr>
          <w:rFonts w:ascii="Cambria" w:eastAsia="MS Mincho" w:hAnsi="Cambria"/>
          <w:sz w:val="22"/>
          <w:szCs w:val="22"/>
          <w:lang w:eastAsia="en-US"/>
        </w:rPr>
        <w:t>8</w:t>
      </w:r>
    </w:p>
    <w:p w14:paraId="623D675E" w14:textId="77777777" w:rsidR="009C221E" w:rsidRPr="00D53896" w:rsidRDefault="00730A01" w:rsidP="00443B59">
      <w:pPr>
        <w:pStyle w:val="Paragraphedeliste"/>
        <w:numPr>
          <w:ilvl w:val="0"/>
          <w:numId w:val="115"/>
        </w:numPr>
        <w:tabs>
          <w:tab w:val="left" w:pos="284"/>
        </w:tabs>
        <w:spacing w:after="200"/>
        <w:ind w:left="714" w:hanging="357"/>
        <w:rPr>
          <w:rFonts w:ascii="Cambria" w:eastAsia="MS Mincho" w:hAnsi="Cambria"/>
          <w:sz w:val="22"/>
          <w:szCs w:val="22"/>
          <w:lang w:eastAsia="en-US"/>
        </w:rPr>
      </w:pPr>
      <w:r w:rsidRPr="00D53896">
        <w:rPr>
          <w:rFonts w:ascii="Cambria" w:eastAsia="MS Mincho" w:hAnsi="Cambria"/>
          <w:sz w:val="22"/>
          <w:szCs w:val="22"/>
          <w:lang w:eastAsia="en-US"/>
        </w:rPr>
        <w:t>Les déclarations trompeuses quant au remboursement offert en avril 2020</w:t>
      </w:r>
      <w:r w:rsidRPr="00D53896">
        <w:rPr>
          <w:rFonts w:ascii="Cambria" w:eastAsia="MS Mincho" w:hAnsi="Cambria"/>
          <w:sz w:val="22"/>
          <w:szCs w:val="22"/>
          <w:u w:val="single"/>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lang w:eastAsia="en-US"/>
        </w:rPr>
        <w:t>14</w:t>
      </w:r>
      <w:r w:rsidR="00947185">
        <w:rPr>
          <w:rFonts w:ascii="Cambria" w:eastAsia="MS Mincho" w:hAnsi="Cambria"/>
          <w:sz w:val="22"/>
          <w:szCs w:val="22"/>
          <w:lang w:eastAsia="en-US"/>
        </w:rPr>
        <w:t>8</w:t>
      </w:r>
    </w:p>
    <w:p w14:paraId="68B37031" w14:textId="77777777" w:rsidR="009C221E" w:rsidRPr="00D53896" w:rsidRDefault="00730A01" w:rsidP="00443B59">
      <w:pPr>
        <w:pStyle w:val="Paragraphedeliste"/>
        <w:numPr>
          <w:ilvl w:val="0"/>
          <w:numId w:val="115"/>
        </w:numPr>
        <w:tabs>
          <w:tab w:val="left" w:pos="284"/>
        </w:tabs>
        <w:spacing w:after="200"/>
        <w:ind w:left="714" w:hanging="357"/>
        <w:rPr>
          <w:rFonts w:ascii="Cambria" w:eastAsia="MS Mincho" w:hAnsi="Cambria"/>
          <w:sz w:val="22"/>
          <w:szCs w:val="22"/>
          <w:lang w:eastAsia="en-US"/>
        </w:rPr>
      </w:pPr>
      <w:r w:rsidRPr="00D53896">
        <w:rPr>
          <w:rFonts w:ascii="Cambria" w:eastAsia="MS Mincho" w:hAnsi="Cambria"/>
          <w:sz w:val="22"/>
          <w:szCs w:val="22"/>
          <w:lang w:eastAsia="en-US"/>
        </w:rPr>
        <w:t>Les déclarations trompeuses sur le projet Marvel</w:t>
      </w:r>
      <w:r w:rsidRPr="00D53896">
        <w:rPr>
          <w:rFonts w:ascii="Cambria" w:eastAsia="MS Mincho" w:hAnsi="Cambria"/>
          <w:sz w:val="22"/>
          <w:szCs w:val="22"/>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lang w:eastAsia="en-US"/>
        </w:rPr>
        <w:t>14</w:t>
      </w:r>
      <w:r w:rsidR="00947185">
        <w:rPr>
          <w:rFonts w:ascii="Cambria" w:eastAsia="MS Mincho" w:hAnsi="Cambria"/>
          <w:sz w:val="22"/>
          <w:szCs w:val="22"/>
          <w:lang w:eastAsia="en-US"/>
        </w:rPr>
        <w:t>8</w:t>
      </w:r>
    </w:p>
    <w:p w14:paraId="46E3E8FC" w14:textId="77777777" w:rsidR="009C221E" w:rsidRPr="00D53896" w:rsidRDefault="00730A01" w:rsidP="00443B59">
      <w:pPr>
        <w:pStyle w:val="Paragraphedeliste"/>
        <w:numPr>
          <w:ilvl w:val="0"/>
          <w:numId w:val="115"/>
        </w:numPr>
        <w:tabs>
          <w:tab w:val="left" w:pos="284"/>
        </w:tabs>
        <w:spacing w:after="200"/>
        <w:ind w:left="714" w:hanging="357"/>
        <w:rPr>
          <w:rFonts w:ascii="Cambria" w:eastAsia="MS Mincho" w:hAnsi="Cambria"/>
          <w:sz w:val="22"/>
          <w:szCs w:val="22"/>
          <w:lang w:eastAsia="en-US"/>
        </w:rPr>
      </w:pPr>
      <w:r w:rsidRPr="00D53896">
        <w:rPr>
          <w:rFonts w:ascii="Cambria" w:eastAsia="MS Mincho" w:hAnsi="Cambria"/>
          <w:sz w:val="22"/>
          <w:szCs w:val="22"/>
          <w:lang w:eastAsia="en-US"/>
        </w:rPr>
        <w:t>Les contradictions quant à l’existence de déficits mensuels</w:t>
      </w:r>
      <w:r w:rsidRPr="00D53896">
        <w:rPr>
          <w:rFonts w:ascii="Cambria" w:eastAsia="MS Mincho" w:hAnsi="Cambria"/>
          <w:sz w:val="22"/>
          <w:szCs w:val="22"/>
          <w:u w:val="single"/>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u w:val="single"/>
          <w:lang w:eastAsia="en-US"/>
        </w:rPr>
        <w:tab/>
      </w:r>
      <w:r w:rsidRPr="00D53896">
        <w:rPr>
          <w:rFonts w:ascii="Cambria" w:eastAsia="MS Mincho" w:hAnsi="Cambria"/>
          <w:sz w:val="22"/>
          <w:szCs w:val="22"/>
          <w:lang w:eastAsia="en-US"/>
        </w:rPr>
        <w:t>14</w:t>
      </w:r>
      <w:r w:rsidR="00947185">
        <w:rPr>
          <w:rFonts w:ascii="Cambria" w:eastAsia="MS Mincho" w:hAnsi="Cambria"/>
          <w:sz w:val="22"/>
          <w:szCs w:val="22"/>
          <w:lang w:eastAsia="en-US"/>
        </w:rPr>
        <w:t>9</w:t>
      </w:r>
    </w:p>
    <w:p w14:paraId="306DD594" w14:textId="77777777" w:rsidR="009C221E" w:rsidRPr="00D53896" w:rsidRDefault="00730A01" w:rsidP="00443B59">
      <w:pPr>
        <w:pStyle w:val="Paragraphedeliste"/>
        <w:numPr>
          <w:ilvl w:val="0"/>
          <w:numId w:val="115"/>
        </w:numPr>
        <w:tabs>
          <w:tab w:val="left" w:pos="284"/>
        </w:tabs>
        <w:spacing w:before="100" w:beforeAutospacing="1" w:after="100" w:afterAutospacing="1"/>
        <w:ind w:left="714" w:hanging="357"/>
        <w:rPr>
          <w:rFonts w:ascii="Cambria" w:hAnsi="Cambria"/>
          <w:sz w:val="22"/>
          <w:szCs w:val="22"/>
          <w:lang w:eastAsia="fr-CA"/>
        </w:rPr>
      </w:pPr>
      <w:r w:rsidRPr="00D53896">
        <w:rPr>
          <w:rFonts w:ascii="Cambria" w:hAnsi="Cambria"/>
          <w:sz w:val="22"/>
          <w:szCs w:val="22"/>
          <w:lang w:eastAsia="fr-CA"/>
        </w:rPr>
        <w:t>Les déclarations trompeuses sur l’importance de la capacité de payer de l’emprunteur</w:t>
      </w:r>
      <w:r w:rsidRPr="00D53896">
        <w:rPr>
          <w:rFonts w:ascii="Cambria" w:hAnsi="Cambria"/>
          <w:sz w:val="22"/>
          <w:szCs w:val="22"/>
          <w:u w:val="single"/>
          <w:lang w:eastAsia="fr-CA"/>
        </w:rPr>
        <w:tab/>
      </w:r>
      <w:r w:rsidRPr="00D53896">
        <w:rPr>
          <w:rFonts w:ascii="Cambria" w:hAnsi="Cambria"/>
          <w:sz w:val="22"/>
          <w:szCs w:val="22"/>
          <w:lang w:eastAsia="fr-CA"/>
        </w:rPr>
        <w:t>14</w:t>
      </w:r>
      <w:r w:rsidR="00947185">
        <w:rPr>
          <w:rFonts w:ascii="Cambria" w:hAnsi="Cambria"/>
          <w:sz w:val="22"/>
          <w:szCs w:val="22"/>
          <w:lang w:eastAsia="fr-CA"/>
        </w:rPr>
        <w:t>9</w:t>
      </w:r>
    </w:p>
    <w:p w14:paraId="00A753EE" w14:textId="77777777" w:rsidR="009C221E" w:rsidRPr="00D53896" w:rsidRDefault="00730A01" w:rsidP="00443B59">
      <w:pPr>
        <w:pStyle w:val="Paragraphedeliste"/>
        <w:numPr>
          <w:ilvl w:val="0"/>
          <w:numId w:val="115"/>
        </w:numPr>
        <w:tabs>
          <w:tab w:val="left" w:pos="284"/>
        </w:tabs>
        <w:spacing w:after="200"/>
        <w:ind w:left="714" w:hanging="357"/>
        <w:rPr>
          <w:rFonts w:ascii="Cambria" w:hAnsi="Cambria"/>
          <w:sz w:val="22"/>
          <w:szCs w:val="22"/>
          <w:lang w:eastAsia="fr-CA"/>
        </w:rPr>
      </w:pPr>
      <w:r w:rsidRPr="00D53896">
        <w:rPr>
          <w:rFonts w:ascii="Cambria" w:hAnsi="Cambria"/>
          <w:sz w:val="22"/>
          <w:szCs w:val="22"/>
          <w:lang w:eastAsia="fr-CA"/>
        </w:rPr>
        <w:t>Le</w:t>
      </w:r>
      <w:r w:rsidRPr="00D53896">
        <w:rPr>
          <w:rFonts w:ascii="Cambria" w:hAnsi="Cambria"/>
          <w:szCs w:val="24"/>
          <w:lang w:eastAsia="fr-CA"/>
        </w:rPr>
        <w:t>s déclarations trompeuses quant aux sommes retenues sur les prêts suivant les instructions de Huot pour payer les intérêts des commanditaires</w:t>
      </w:r>
      <w:r w:rsidRPr="00D53896">
        <w:rPr>
          <w:rFonts w:ascii="Cambria" w:hAnsi="Cambria"/>
          <w:b/>
          <w:bCs/>
          <w:szCs w:val="24"/>
          <w:lang w:eastAsia="fr-CA"/>
        </w:rPr>
        <w:t xml:space="preserve"> </w:t>
      </w:r>
      <w:r w:rsidRPr="00D53896">
        <w:rPr>
          <w:rFonts w:ascii="Cambria" w:hAnsi="Cambria"/>
          <w:sz w:val="22"/>
          <w:szCs w:val="22"/>
          <w:u w:val="single"/>
          <w:lang w:eastAsia="fr-CA"/>
        </w:rPr>
        <w:tab/>
      </w:r>
      <w:r w:rsidRPr="00D53896">
        <w:rPr>
          <w:rFonts w:ascii="Cambria" w:hAnsi="Cambria"/>
          <w:sz w:val="22"/>
          <w:szCs w:val="22"/>
          <w:u w:val="single"/>
          <w:lang w:eastAsia="fr-CA"/>
        </w:rPr>
        <w:tab/>
      </w:r>
      <w:r w:rsidRPr="00D53896">
        <w:rPr>
          <w:rFonts w:ascii="Cambria" w:hAnsi="Cambria"/>
          <w:sz w:val="22"/>
          <w:szCs w:val="22"/>
          <w:lang w:eastAsia="fr-CA"/>
        </w:rPr>
        <w:t>14</w:t>
      </w:r>
      <w:r w:rsidR="00D53896" w:rsidRPr="00D53896">
        <w:rPr>
          <w:rFonts w:ascii="Cambria" w:hAnsi="Cambria"/>
          <w:sz w:val="22"/>
          <w:szCs w:val="22"/>
          <w:lang w:eastAsia="fr-CA"/>
        </w:rPr>
        <w:t>8</w:t>
      </w:r>
    </w:p>
    <w:p w14:paraId="2E4B77AD" w14:textId="77777777" w:rsidR="009C221E" w:rsidRPr="00992C8A" w:rsidRDefault="00730A01" w:rsidP="000B6B69">
      <w:pPr>
        <w:tabs>
          <w:tab w:val="left" w:pos="284"/>
        </w:tabs>
        <w:spacing w:after="120" w:line="276" w:lineRule="auto"/>
        <w:rPr>
          <w:rFonts w:ascii="Cambria" w:eastAsia="MS Mincho" w:hAnsi="Cambria"/>
          <w:b/>
          <w:bCs/>
          <w:sz w:val="22"/>
          <w:szCs w:val="22"/>
          <w:lang w:eastAsia="en-US"/>
        </w:rPr>
      </w:pPr>
      <w:r w:rsidRPr="001B0EBE">
        <w:rPr>
          <w:rFonts w:ascii="Cambria" w:eastAsia="MS Mincho" w:hAnsi="Cambria"/>
          <w:b/>
          <w:bCs/>
          <w:sz w:val="22"/>
          <w:szCs w:val="22"/>
          <w:lang w:eastAsia="en-US"/>
        </w:rPr>
        <w:t>G</w:t>
      </w:r>
      <w:r w:rsidR="00E10600">
        <w:rPr>
          <w:rFonts w:ascii="Cambria" w:eastAsia="MS Mincho" w:hAnsi="Cambria"/>
          <w:b/>
          <w:bCs/>
          <w:sz w:val="22"/>
          <w:szCs w:val="22"/>
          <w:lang w:eastAsia="en-US"/>
        </w:rPr>
        <w:t>) </w:t>
      </w:r>
      <w:r>
        <w:rPr>
          <w:rFonts w:ascii="Cambria" w:eastAsia="MS Mincho" w:hAnsi="Cambria"/>
          <w:b/>
          <w:bCs/>
          <w:sz w:val="22"/>
          <w:szCs w:val="22"/>
          <w:lang w:eastAsia="en-US"/>
        </w:rPr>
        <w:tab/>
      </w:r>
      <w:r w:rsidRPr="001B0EBE">
        <w:rPr>
          <w:rFonts w:ascii="Cambria" w:eastAsia="MS Mincho" w:hAnsi="Cambria"/>
          <w:b/>
          <w:bCs/>
          <w:sz w:val="22"/>
          <w:szCs w:val="22"/>
          <w:lang w:eastAsia="en-US"/>
        </w:rPr>
        <w:t>GIROUX SE POSE VICTIME ET MET LA RESPONSABILITÉ SUR LES AUTRES</w:t>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992C8A">
        <w:rPr>
          <w:rFonts w:ascii="Cambria" w:eastAsia="MS Mincho" w:hAnsi="Cambria"/>
          <w:b/>
          <w:bCs/>
          <w:sz w:val="22"/>
          <w:szCs w:val="22"/>
          <w:lang w:eastAsia="en-US"/>
        </w:rPr>
        <w:t>1</w:t>
      </w:r>
      <w:r w:rsidR="00D53896">
        <w:rPr>
          <w:rFonts w:ascii="Cambria" w:eastAsia="MS Mincho" w:hAnsi="Cambria"/>
          <w:b/>
          <w:bCs/>
          <w:sz w:val="22"/>
          <w:szCs w:val="22"/>
          <w:lang w:eastAsia="en-US"/>
        </w:rPr>
        <w:t>5</w:t>
      </w:r>
      <w:r w:rsidR="00947185">
        <w:rPr>
          <w:rFonts w:ascii="Cambria" w:eastAsia="MS Mincho" w:hAnsi="Cambria"/>
          <w:b/>
          <w:bCs/>
          <w:sz w:val="22"/>
          <w:szCs w:val="22"/>
          <w:lang w:eastAsia="en-US"/>
        </w:rPr>
        <w:t>1</w:t>
      </w:r>
    </w:p>
    <w:p w14:paraId="203AF3C1" w14:textId="77777777" w:rsidR="009C221E" w:rsidRPr="001B0EBE" w:rsidRDefault="00730A01" w:rsidP="00443B59">
      <w:pPr>
        <w:pStyle w:val="Paragraphedeliste"/>
        <w:numPr>
          <w:ilvl w:val="0"/>
          <w:numId w:val="112"/>
        </w:numPr>
        <w:tabs>
          <w:tab w:val="left" w:pos="284"/>
        </w:tabs>
        <w:spacing w:after="200"/>
        <w:rPr>
          <w:rFonts w:ascii="Cambria" w:eastAsia="MS Mincho" w:hAnsi="Cambria"/>
          <w:sz w:val="22"/>
          <w:szCs w:val="22"/>
          <w:lang w:eastAsia="en-US"/>
        </w:rPr>
      </w:pPr>
      <w:r w:rsidRPr="001B0EBE">
        <w:rPr>
          <w:rFonts w:ascii="Cambria" w:eastAsia="MS Mincho" w:hAnsi="Cambria"/>
          <w:sz w:val="22"/>
          <w:szCs w:val="22"/>
          <w:lang w:eastAsia="en-US"/>
        </w:rPr>
        <w:t>Les déclarations trompeuses quant au fait que Lehoux et St-Gelais auraient eu la responsabilité d’analyser les prêts consentis par Q-12 en faveur du Groupe Huot</w:t>
      </w:r>
      <w:r w:rsidRPr="00876C8D">
        <w:rPr>
          <w:rFonts w:ascii="Cambria" w:eastAsia="MS Mincho" w:hAnsi="Cambria"/>
          <w:sz w:val="22"/>
          <w:szCs w:val="22"/>
          <w:u w:val="single"/>
          <w:lang w:eastAsia="en-US"/>
        </w:rPr>
        <w:tab/>
      </w:r>
      <w:r w:rsidRPr="001B0EBE">
        <w:rPr>
          <w:rFonts w:ascii="Cambria" w:eastAsia="MS Mincho" w:hAnsi="Cambria"/>
          <w:sz w:val="22"/>
          <w:szCs w:val="22"/>
          <w:lang w:eastAsia="en-US"/>
        </w:rPr>
        <w:t>1</w:t>
      </w:r>
      <w:r w:rsidR="00D53896">
        <w:rPr>
          <w:rFonts w:ascii="Cambria" w:eastAsia="MS Mincho" w:hAnsi="Cambria"/>
          <w:sz w:val="22"/>
          <w:szCs w:val="22"/>
          <w:lang w:eastAsia="en-US"/>
        </w:rPr>
        <w:t>5</w:t>
      </w:r>
      <w:r w:rsidR="00947185">
        <w:rPr>
          <w:rFonts w:ascii="Cambria" w:eastAsia="MS Mincho" w:hAnsi="Cambria"/>
          <w:sz w:val="22"/>
          <w:szCs w:val="22"/>
          <w:lang w:eastAsia="en-US"/>
        </w:rPr>
        <w:t>1</w:t>
      </w:r>
    </w:p>
    <w:p w14:paraId="10A5F22B" w14:textId="77777777" w:rsidR="009C221E" w:rsidRPr="001B0EBE" w:rsidRDefault="00730A01" w:rsidP="00443B59">
      <w:pPr>
        <w:pStyle w:val="Paragraphedeliste"/>
        <w:numPr>
          <w:ilvl w:val="0"/>
          <w:numId w:val="112"/>
        </w:numPr>
        <w:tabs>
          <w:tab w:val="left" w:pos="284"/>
        </w:tabs>
        <w:spacing w:after="200"/>
        <w:rPr>
          <w:rFonts w:ascii="Cambria" w:eastAsia="MS Mincho" w:hAnsi="Cambria"/>
          <w:sz w:val="22"/>
          <w:szCs w:val="22"/>
          <w:lang w:eastAsia="en-US"/>
        </w:rPr>
      </w:pPr>
      <w:r>
        <w:rPr>
          <w:rFonts w:ascii="Cambria" w:eastAsia="MS Mincho" w:hAnsi="Cambria"/>
          <w:sz w:val="22"/>
          <w:szCs w:val="22"/>
          <w:lang w:eastAsia="en-US"/>
        </w:rPr>
        <w:tab/>
      </w:r>
      <w:r w:rsidRPr="001B0EBE">
        <w:rPr>
          <w:rFonts w:ascii="Cambria" w:eastAsia="MS Mincho" w:hAnsi="Cambria"/>
          <w:sz w:val="22"/>
          <w:szCs w:val="22"/>
          <w:lang w:eastAsia="en-US"/>
        </w:rPr>
        <w:t xml:space="preserve">Les déclarations trompeuses quant au mandat et au rôle de St-Gelais : validation de la situation financière du Groupe Huot et des tableaux de bord </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1B0EBE">
        <w:rPr>
          <w:rFonts w:ascii="Cambria" w:eastAsia="MS Mincho" w:hAnsi="Cambria"/>
          <w:sz w:val="22"/>
          <w:szCs w:val="22"/>
          <w:lang w:eastAsia="en-US"/>
        </w:rPr>
        <w:t>1</w:t>
      </w:r>
      <w:r w:rsidR="00D53896">
        <w:rPr>
          <w:rFonts w:ascii="Cambria" w:eastAsia="MS Mincho" w:hAnsi="Cambria"/>
          <w:sz w:val="22"/>
          <w:szCs w:val="22"/>
          <w:lang w:eastAsia="en-US"/>
        </w:rPr>
        <w:t>5</w:t>
      </w:r>
      <w:r w:rsidR="00947185">
        <w:rPr>
          <w:rFonts w:ascii="Cambria" w:eastAsia="MS Mincho" w:hAnsi="Cambria"/>
          <w:sz w:val="22"/>
          <w:szCs w:val="22"/>
          <w:lang w:eastAsia="en-US"/>
        </w:rPr>
        <w:t>1</w:t>
      </w:r>
    </w:p>
    <w:p w14:paraId="49481C8C" w14:textId="77777777" w:rsidR="009C221E" w:rsidRDefault="00730A01" w:rsidP="00443B59">
      <w:pPr>
        <w:pStyle w:val="Paragraphedeliste"/>
        <w:numPr>
          <w:ilvl w:val="0"/>
          <w:numId w:val="112"/>
        </w:numPr>
        <w:tabs>
          <w:tab w:val="left" w:pos="284"/>
        </w:tabs>
        <w:spacing w:after="200"/>
        <w:rPr>
          <w:rFonts w:ascii="Cambria" w:eastAsia="MS Mincho" w:hAnsi="Cambria"/>
          <w:sz w:val="22"/>
          <w:szCs w:val="22"/>
          <w:lang w:eastAsia="en-US"/>
        </w:rPr>
      </w:pPr>
      <w:r>
        <w:rPr>
          <w:rFonts w:ascii="Cambria" w:eastAsia="MS Mincho" w:hAnsi="Cambria"/>
          <w:sz w:val="22"/>
          <w:szCs w:val="22"/>
          <w:lang w:eastAsia="en-US"/>
        </w:rPr>
        <w:tab/>
      </w:r>
      <w:r w:rsidRPr="001B0EBE">
        <w:rPr>
          <w:rFonts w:ascii="Cambria" w:eastAsia="MS Mincho" w:hAnsi="Cambria"/>
          <w:sz w:val="22"/>
          <w:szCs w:val="22"/>
          <w:lang w:eastAsia="en-US"/>
        </w:rPr>
        <w:t>Les déclarations trompeuses quant au prétendu refus des Demandeurs relativement</w:t>
      </w:r>
      <w:r>
        <w:rPr>
          <w:rFonts w:ascii="Cambria" w:eastAsia="MS Mincho" w:hAnsi="Cambria"/>
          <w:sz w:val="22"/>
          <w:szCs w:val="22"/>
          <w:lang w:eastAsia="en-US"/>
        </w:rPr>
        <w:t xml:space="preserve"> </w:t>
      </w:r>
    </w:p>
    <w:p w14:paraId="6E7BFC8A" w14:textId="77777777" w:rsidR="009C221E" w:rsidRDefault="00730A01" w:rsidP="00124AA4">
      <w:pPr>
        <w:pStyle w:val="Paragraphedeliste"/>
        <w:tabs>
          <w:tab w:val="left" w:pos="284"/>
        </w:tabs>
        <w:spacing w:after="200"/>
        <w:rPr>
          <w:rFonts w:ascii="Cambria" w:eastAsia="MS Mincho" w:hAnsi="Cambria"/>
          <w:sz w:val="22"/>
          <w:szCs w:val="22"/>
          <w:lang w:eastAsia="en-US"/>
        </w:rPr>
      </w:pPr>
      <w:r w:rsidRPr="001B0EBE">
        <w:rPr>
          <w:rFonts w:ascii="Cambria" w:eastAsia="MS Mincho" w:hAnsi="Cambria"/>
          <w:sz w:val="22"/>
          <w:szCs w:val="22"/>
          <w:lang w:eastAsia="en-US"/>
        </w:rPr>
        <w:t xml:space="preserve">à la nomination d’un consultant ou contrôleur pour analyser de l’interne les affaires </w:t>
      </w:r>
    </w:p>
    <w:p w14:paraId="25941BD7" w14:textId="77777777" w:rsidR="009C221E" w:rsidRPr="001B0EBE" w:rsidRDefault="00730A01" w:rsidP="00124AA4">
      <w:pPr>
        <w:pStyle w:val="Paragraphedeliste"/>
        <w:tabs>
          <w:tab w:val="left" w:pos="284"/>
        </w:tabs>
        <w:spacing w:after="200"/>
        <w:rPr>
          <w:rFonts w:ascii="Cambria" w:eastAsia="MS Mincho" w:hAnsi="Cambria"/>
          <w:sz w:val="22"/>
          <w:szCs w:val="22"/>
          <w:lang w:eastAsia="en-US"/>
        </w:rPr>
      </w:pPr>
      <w:r w:rsidRPr="001B0EBE">
        <w:rPr>
          <w:rFonts w:ascii="Cambria" w:eastAsia="MS Mincho" w:hAnsi="Cambria"/>
          <w:sz w:val="22"/>
          <w:szCs w:val="22"/>
          <w:lang w:eastAsia="en-US"/>
        </w:rPr>
        <w:t xml:space="preserve">du Groupe Huot </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1B0EBE">
        <w:rPr>
          <w:rFonts w:ascii="Cambria" w:eastAsia="MS Mincho" w:hAnsi="Cambria"/>
          <w:sz w:val="22"/>
          <w:szCs w:val="22"/>
          <w:lang w:eastAsia="en-US"/>
        </w:rPr>
        <w:t>1</w:t>
      </w:r>
      <w:r w:rsidR="00D53896">
        <w:rPr>
          <w:rFonts w:ascii="Cambria" w:eastAsia="MS Mincho" w:hAnsi="Cambria"/>
          <w:sz w:val="22"/>
          <w:szCs w:val="22"/>
          <w:lang w:eastAsia="en-US"/>
        </w:rPr>
        <w:t>5</w:t>
      </w:r>
      <w:r w:rsidR="00947185">
        <w:rPr>
          <w:rFonts w:ascii="Cambria" w:eastAsia="MS Mincho" w:hAnsi="Cambria"/>
          <w:sz w:val="22"/>
          <w:szCs w:val="22"/>
          <w:lang w:eastAsia="en-US"/>
        </w:rPr>
        <w:t>1</w:t>
      </w:r>
    </w:p>
    <w:p w14:paraId="3DFCDB8D" w14:textId="77777777" w:rsidR="009C221E" w:rsidRPr="00992C8A" w:rsidRDefault="00730A01" w:rsidP="000B6B69">
      <w:pPr>
        <w:tabs>
          <w:tab w:val="left" w:pos="284"/>
        </w:tabs>
        <w:spacing w:after="120" w:line="276" w:lineRule="auto"/>
        <w:rPr>
          <w:rFonts w:ascii="Cambria" w:eastAsia="MS Mincho" w:hAnsi="Cambria"/>
          <w:b/>
          <w:bCs/>
          <w:sz w:val="22"/>
          <w:szCs w:val="22"/>
          <w:lang w:eastAsia="en-US"/>
        </w:rPr>
      </w:pPr>
      <w:r w:rsidRPr="001B0EBE">
        <w:rPr>
          <w:rFonts w:ascii="Cambria" w:eastAsia="MS Mincho" w:hAnsi="Cambria"/>
          <w:b/>
          <w:bCs/>
          <w:sz w:val="22"/>
          <w:szCs w:val="22"/>
          <w:lang w:eastAsia="en-US"/>
        </w:rPr>
        <w:t>H</w:t>
      </w:r>
      <w:r w:rsidR="00E10600">
        <w:rPr>
          <w:rFonts w:ascii="Cambria" w:eastAsia="MS Mincho" w:hAnsi="Cambria"/>
          <w:b/>
          <w:bCs/>
          <w:sz w:val="22"/>
          <w:szCs w:val="22"/>
          <w:lang w:eastAsia="en-US"/>
        </w:rPr>
        <w:t>) </w:t>
      </w:r>
      <w:r w:rsidRPr="001B0EBE">
        <w:rPr>
          <w:rFonts w:ascii="Cambria" w:eastAsia="MS Mincho" w:hAnsi="Cambria"/>
          <w:b/>
          <w:bCs/>
          <w:sz w:val="22"/>
          <w:szCs w:val="22"/>
          <w:lang w:eastAsia="en-US"/>
        </w:rPr>
        <w:t>LA DEMANDE RECONVENTIONNELLE DE X2</w:t>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992C8A">
        <w:rPr>
          <w:rFonts w:ascii="Cambria" w:eastAsia="MS Mincho" w:hAnsi="Cambria"/>
          <w:b/>
          <w:bCs/>
          <w:sz w:val="22"/>
          <w:szCs w:val="22"/>
          <w:lang w:eastAsia="en-US"/>
        </w:rPr>
        <w:t>1</w:t>
      </w:r>
      <w:r w:rsidR="00D53896">
        <w:rPr>
          <w:rFonts w:ascii="Cambria" w:eastAsia="MS Mincho" w:hAnsi="Cambria"/>
          <w:b/>
          <w:bCs/>
          <w:sz w:val="22"/>
          <w:szCs w:val="22"/>
          <w:lang w:eastAsia="en-US"/>
        </w:rPr>
        <w:t>5</w:t>
      </w:r>
      <w:r w:rsidR="00947185">
        <w:rPr>
          <w:rFonts w:ascii="Cambria" w:eastAsia="MS Mincho" w:hAnsi="Cambria"/>
          <w:b/>
          <w:bCs/>
          <w:sz w:val="22"/>
          <w:szCs w:val="22"/>
          <w:lang w:eastAsia="en-US"/>
        </w:rPr>
        <w:t>2</w:t>
      </w:r>
    </w:p>
    <w:p w14:paraId="287F7EE6" w14:textId="77777777" w:rsidR="009C221E" w:rsidRPr="00876C8D" w:rsidRDefault="00730A01" w:rsidP="00443B59">
      <w:pPr>
        <w:pStyle w:val="Paragraphedeliste"/>
        <w:numPr>
          <w:ilvl w:val="0"/>
          <w:numId w:val="113"/>
        </w:numPr>
        <w:tabs>
          <w:tab w:val="left" w:pos="284"/>
        </w:tabs>
        <w:spacing w:after="200"/>
        <w:ind w:left="714" w:hanging="357"/>
        <w:rPr>
          <w:rFonts w:ascii="Cambria" w:eastAsia="MS Mincho" w:hAnsi="Cambria"/>
          <w:sz w:val="22"/>
          <w:szCs w:val="22"/>
          <w:lang w:eastAsia="en-US"/>
        </w:rPr>
      </w:pPr>
      <w:r w:rsidRPr="00876C8D">
        <w:rPr>
          <w:rFonts w:ascii="Cambria" w:eastAsia="MS Mincho" w:hAnsi="Cambria"/>
          <w:sz w:val="22"/>
          <w:szCs w:val="22"/>
          <w:lang w:eastAsia="en-US"/>
        </w:rPr>
        <w:t>Les déclarations trompeuses quant au fait que X2 aurait continué l’exploitation de son entreprise après la débâcle de février</w:t>
      </w:r>
      <w:r w:rsidR="00367F4A">
        <w:rPr>
          <w:rFonts w:ascii="Cambria" w:eastAsia="MS Mincho" w:hAnsi="Cambria"/>
          <w:sz w:val="22"/>
          <w:szCs w:val="22"/>
          <w:lang w:eastAsia="en-US"/>
        </w:rPr>
        <w:t> </w:t>
      </w:r>
      <w:r w:rsidRPr="00876C8D">
        <w:rPr>
          <w:rFonts w:ascii="Cambria" w:eastAsia="MS Mincho" w:hAnsi="Cambria"/>
          <w:sz w:val="22"/>
          <w:szCs w:val="22"/>
          <w:lang w:eastAsia="en-US"/>
        </w:rPr>
        <w:t xml:space="preserve">2023 </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lang w:eastAsia="en-US"/>
        </w:rPr>
        <w:t>1</w:t>
      </w:r>
      <w:r w:rsidR="00D53896">
        <w:rPr>
          <w:rFonts w:ascii="Cambria" w:eastAsia="MS Mincho" w:hAnsi="Cambria"/>
          <w:sz w:val="22"/>
          <w:szCs w:val="22"/>
          <w:lang w:eastAsia="en-US"/>
        </w:rPr>
        <w:t>5</w:t>
      </w:r>
      <w:r w:rsidR="00947185">
        <w:rPr>
          <w:rFonts w:ascii="Cambria" w:eastAsia="MS Mincho" w:hAnsi="Cambria"/>
          <w:sz w:val="22"/>
          <w:szCs w:val="22"/>
          <w:lang w:eastAsia="en-US"/>
        </w:rPr>
        <w:t>2</w:t>
      </w:r>
    </w:p>
    <w:p w14:paraId="3E340CC1" w14:textId="77777777" w:rsidR="009C221E" w:rsidRPr="00992C8A" w:rsidRDefault="00730A01" w:rsidP="000B6B69">
      <w:pPr>
        <w:tabs>
          <w:tab w:val="left" w:pos="284"/>
        </w:tabs>
        <w:spacing w:after="120" w:line="276" w:lineRule="auto"/>
        <w:rPr>
          <w:rFonts w:ascii="Cambria" w:eastAsia="MS Mincho" w:hAnsi="Cambria"/>
          <w:b/>
          <w:bCs/>
          <w:sz w:val="22"/>
          <w:szCs w:val="22"/>
          <w:lang w:eastAsia="en-US"/>
        </w:rPr>
      </w:pPr>
      <w:r w:rsidRPr="001B0EBE">
        <w:rPr>
          <w:rFonts w:ascii="Cambria" w:eastAsia="MS Mincho" w:hAnsi="Cambria"/>
          <w:b/>
          <w:bCs/>
          <w:sz w:val="22"/>
          <w:szCs w:val="22"/>
          <w:lang w:eastAsia="en-US"/>
        </w:rPr>
        <w:t>I</w:t>
      </w:r>
      <w:r w:rsidR="00E10600">
        <w:rPr>
          <w:rFonts w:ascii="Cambria" w:eastAsia="MS Mincho" w:hAnsi="Cambria"/>
          <w:b/>
          <w:bCs/>
          <w:sz w:val="22"/>
          <w:szCs w:val="22"/>
          <w:lang w:eastAsia="en-US"/>
        </w:rPr>
        <w:t>) </w:t>
      </w:r>
      <w:r w:rsidRPr="001B0EBE">
        <w:rPr>
          <w:rFonts w:ascii="Cambria" w:eastAsia="MS Mincho" w:hAnsi="Cambria"/>
          <w:b/>
          <w:bCs/>
          <w:sz w:val="22"/>
          <w:szCs w:val="22"/>
          <w:lang w:eastAsia="en-US"/>
        </w:rPr>
        <w:t>LA DOCUMENTATION TRONQUÉE PAR GIROUX ET LES AUTRES FAUSSETÉS</w:t>
      </w:r>
      <w:r w:rsidRPr="00100317">
        <w:rPr>
          <w:rFonts w:ascii="Cambria" w:eastAsia="MS Mincho" w:hAnsi="Cambria"/>
          <w:b/>
          <w:bCs/>
          <w:sz w:val="22"/>
          <w:szCs w:val="22"/>
          <w:u w:val="single"/>
          <w:lang w:eastAsia="en-US"/>
        </w:rPr>
        <w:tab/>
      </w:r>
      <w:r w:rsidRPr="00100317">
        <w:rPr>
          <w:rFonts w:ascii="Cambria" w:eastAsia="MS Mincho" w:hAnsi="Cambria"/>
          <w:b/>
          <w:bCs/>
          <w:sz w:val="22"/>
          <w:szCs w:val="22"/>
          <w:u w:val="single"/>
          <w:lang w:eastAsia="en-US"/>
        </w:rPr>
        <w:tab/>
      </w:r>
      <w:r w:rsidRPr="00992C8A">
        <w:rPr>
          <w:rFonts w:ascii="Cambria" w:eastAsia="MS Mincho" w:hAnsi="Cambria"/>
          <w:b/>
          <w:bCs/>
          <w:sz w:val="22"/>
          <w:szCs w:val="22"/>
          <w:lang w:eastAsia="en-US"/>
        </w:rPr>
        <w:t>1</w:t>
      </w:r>
      <w:r w:rsidR="00D53896">
        <w:rPr>
          <w:rFonts w:ascii="Cambria" w:eastAsia="MS Mincho" w:hAnsi="Cambria"/>
          <w:b/>
          <w:bCs/>
          <w:sz w:val="22"/>
          <w:szCs w:val="22"/>
          <w:lang w:eastAsia="en-US"/>
        </w:rPr>
        <w:t>5</w:t>
      </w:r>
      <w:r w:rsidR="00947185">
        <w:rPr>
          <w:rFonts w:ascii="Cambria" w:eastAsia="MS Mincho" w:hAnsi="Cambria"/>
          <w:b/>
          <w:bCs/>
          <w:sz w:val="22"/>
          <w:szCs w:val="22"/>
          <w:lang w:eastAsia="en-US"/>
        </w:rPr>
        <w:t>3</w:t>
      </w:r>
    </w:p>
    <w:p w14:paraId="6DDA21BA" w14:textId="77777777" w:rsidR="009C221E" w:rsidRPr="00876C8D" w:rsidRDefault="00730A01" w:rsidP="00443B59">
      <w:pPr>
        <w:pStyle w:val="Paragraphedeliste"/>
        <w:numPr>
          <w:ilvl w:val="0"/>
          <w:numId w:val="114"/>
        </w:numPr>
        <w:tabs>
          <w:tab w:val="left" w:pos="284"/>
        </w:tabs>
        <w:spacing w:after="200" w:line="276" w:lineRule="auto"/>
        <w:rPr>
          <w:rFonts w:ascii="Cambria" w:eastAsia="MS Mincho" w:hAnsi="Cambria"/>
          <w:sz w:val="22"/>
          <w:szCs w:val="22"/>
          <w:lang w:eastAsia="en-US"/>
        </w:rPr>
      </w:pPr>
      <w:r w:rsidRPr="00876C8D">
        <w:rPr>
          <w:rFonts w:ascii="Cambria" w:eastAsia="MS Mincho" w:hAnsi="Cambria"/>
          <w:sz w:val="22"/>
          <w:szCs w:val="22"/>
          <w:lang w:eastAsia="en-US"/>
        </w:rPr>
        <w:t xml:space="preserve">Présentation d’un tableau de cash-flows tronqué </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lang w:eastAsia="en-US"/>
        </w:rPr>
        <w:t>1</w:t>
      </w:r>
      <w:r w:rsidR="00D53896">
        <w:rPr>
          <w:rFonts w:ascii="Cambria" w:eastAsia="MS Mincho" w:hAnsi="Cambria"/>
          <w:sz w:val="22"/>
          <w:szCs w:val="22"/>
          <w:lang w:eastAsia="en-US"/>
        </w:rPr>
        <w:t>5</w:t>
      </w:r>
      <w:r w:rsidR="00947185">
        <w:rPr>
          <w:rFonts w:ascii="Cambria" w:eastAsia="MS Mincho" w:hAnsi="Cambria"/>
          <w:sz w:val="22"/>
          <w:szCs w:val="22"/>
          <w:lang w:eastAsia="en-US"/>
        </w:rPr>
        <w:t>3</w:t>
      </w:r>
    </w:p>
    <w:p w14:paraId="644CBFB3" w14:textId="77777777" w:rsidR="009C221E" w:rsidRPr="00876C8D" w:rsidRDefault="00730A01" w:rsidP="00443B59">
      <w:pPr>
        <w:pStyle w:val="Paragraphedeliste"/>
        <w:numPr>
          <w:ilvl w:val="0"/>
          <w:numId w:val="114"/>
        </w:numPr>
        <w:tabs>
          <w:tab w:val="left" w:pos="284"/>
        </w:tabs>
        <w:spacing w:after="200" w:line="276" w:lineRule="auto"/>
        <w:rPr>
          <w:rFonts w:ascii="Cambria" w:eastAsia="MS Mincho" w:hAnsi="Cambria"/>
          <w:sz w:val="22"/>
          <w:szCs w:val="22"/>
          <w:lang w:eastAsia="en-US"/>
        </w:rPr>
      </w:pPr>
      <w:r w:rsidRPr="00876C8D">
        <w:rPr>
          <w:rFonts w:ascii="Cambria" w:eastAsia="MS Mincho" w:hAnsi="Cambria"/>
          <w:sz w:val="22"/>
          <w:szCs w:val="22"/>
          <w:lang w:eastAsia="en-US"/>
        </w:rPr>
        <w:t xml:space="preserve">Déclaration non conforme sur le rôle de sa conjointe dans 6646 </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lang w:eastAsia="en-US"/>
        </w:rPr>
        <w:t>1</w:t>
      </w:r>
      <w:r w:rsidR="00D53896">
        <w:rPr>
          <w:rFonts w:ascii="Cambria" w:eastAsia="MS Mincho" w:hAnsi="Cambria"/>
          <w:sz w:val="22"/>
          <w:szCs w:val="22"/>
          <w:lang w:eastAsia="en-US"/>
        </w:rPr>
        <w:t>5</w:t>
      </w:r>
      <w:r w:rsidR="00947185">
        <w:rPr>
          <w:rFonts w:ascii="Cambria" w:eastAsia="MS Mincho" w:hAnsi="Cambria"/>
          <w:sz w:val="22"/>
          <w:szCs w:val="22"/>
          <w:lang w:eastAsia="en-US"/>
        </w:rPr>
        <w:t>3</w:t>
      </w:r>
    </w:p>
    <w:p w14:paraId="6F631BDA" w14:textId="77777777" w:rsidR="009C221E" w:rsidRDefault="00730A01" w:rsidP="00443B59">
      <w:pPr>
        <w:pStyle w:val="Paragraphedeliste"/>
        <w:numPr>
          <w:ilvl w:val="0"/>
          <w:numId w:val="114"/>
        </w:numPr>
        <w:tabs>
          <w:tab w:val="left" w:pos="284"/>
        </w:tabs>
        <w:spacing w:after="240" w:line="276" w:lineRule="auto"/>
        <w:ind w:left="714" w:hanging="357"/>
        <w:contextualSpacing w:val="0"/>
        <w:rPr>
          <w:rFonts w:ascii="Cambria" w:eastAsia="MS Mincho" w:hAnsi="Cambria"/>
          <w:sz w:val="22"/>
          <w:szCs w:val="22"/>
          <w:lang w:eastAsia="en-US"/>
        </w:rPr>
      </w:pPr>
      <w:r w:rsidRPr="00876C8D">
        <w:rPr>
          <w:rFonts w:ascii="Cambria" w:eastAsia="MS Mincho" w:hAnsi="Cambria"/>
          <w:sz w:val="22"/>
          <w:szCs w:val="22"/>
          <w:lang w:eastAsia="en-US"/>
        </w:rPr>
        <w:t>Défaut d’informer un acheteur potentiel (Cogir) de la dette de 120 M$ de FIISH</w:t>
      </w:r>
      <w:r w:rsidRPr="00876C8D">
        <w:rPr>
          <w:rFonts w:ascii="Cambria" w:eastAsia="MS Mincho" w:hAnsi="Cambria"/>
          <w:sz w:val="22"/>
          <w:szCs w:val="22"/>
          <w:u w:val="single"/>
          <w:lang w:eastAsia="en-US"/>
        </w:rPr>
        <w:tab/>
      </w:r>
      <w:r w:rsidRPr="00876C8D">
        <w:rPr>
          <w:rFonts w:ascii="Cambria" w:eastAsia="MS Mincho" w:hAnsi="Cambria"/>
          <w:sz w:val="22"/>
          <w:szCs w:val="22"/>
          <w:lang w:eastAsia="en-US"/>
        </w:rPr>
        <w:t>15</w:t>
      </w:r>
      <w:r w:rsidR="00947185">
        <w:rPr>
          <w:rFonts w:ascii="Cambria" w:eastAsia="MS Mincho" w:hAnsi="Cambria"/>
          <w:sz w:val="22"/>
          <w:szCs w:val="22"/>
          <w:lang w:eastAsia="en-US"/>
        </w:rPr>
        <w:t>4</w:t>
      </w:r>
    </w:p>
    <w:p w14:paraId="483074A1" w14:textId="77777777" w:rsidR="009C221E" w:rsidRPr="001B0EBE" w:rsidRDefault="00730A01" w:rsidP="00124AA4">
      <w:pPr>
        <w:tabs>
          <w:tab w:val="left" w:pos="284"/>
        </w:tabs>
        <w:spacing w:after="120" w:line="276" w:lineRule="auto"/>
        <w:jc w:val="center"/>
        <w:rPr>
          <w:rFonts w:ascii="Cambria" w:eastAsia="MS Mincho" w:hAnsi="Cambria"/>
          <w:b/>
          <w:bCs/>
          <w:sz w:val="28"/>
          <w:szCs w:val="28"/>
          <w:lang w:eastAsia="en-US"/>
        </w:rPr>
      </w:pPr>
      <w:r w:rsidRPr="001B0EBE">
        <w:rPr>
          <w:rFonts w:ascii="Cambria" w:eastAsia="MS Mincho" w:hAnsi="Cambria"/>
          <w:b/>
          <w:bCs/>
          <w:sz w:val="28"/>
          <w:szCs w:val="28"/>
          <w:lang w:eastAsia="en-US"/>
        </w:rPr>
        <w:t>ANNEXE B</w:t>
      </w:r>
    </w:p>
    <w:p w14:paraId="05F716D7" w14:textId="77777777" w:rsidR="009C221E" w:rsidRPr="00992C8A" w:rsidRDefault="00730A01" w:rsidP="009C221E">
      <w:pPr>
        <w:tabs>
          <w:tab w:val="left" w:pos="0"/>
        </w:tabs>
        <w:spacing w:after="200" w:line="276" w:lineRule="auto"/>
        <w:rPr>
          <w:rFonts w:ascii="Cambria" w:eastAsia="MS Mincho" w:hAnsi="Cambria"/>
          <w:b/>
          <w:bCs/>
          <w:sz w:val="22"/>
          <w:szCs w:val="22"/>
          <w:lang w:eastAsia="en-US"/>
        </w:rPr>
      </w:pPr>
      <w:r w:rsidRPr="001B0EBE">
        <w:rPr>
          <w:rFonts w:ascii="Cambria" w:eastAsia="MS Mincho" w:hAnsi="Cambria"/>
          <w:b/>
          <w:bCs/>
          <w:sz w:val="22"/>
          <w:szCs w:val="22"/>
          <w:lang w:eastAsia="en-US"/>
        </w:rPr>
        <w:t>LES FINANCEMENTS EFFECTUÉS PAR FIISH ET LES MANQUEMENTS EN LIEN AVEC CES FINANCEMENT</w:t>
      </w:r>
      <w:r w:rsidRPr="001B0EBE">
        <w:rPr>
          <w:rFonts w:ascii="Cambria" w:eastAsia="MS Mincho" w:hAnsi="Cambria"/>
          <w:sz w:val="22"/>
          <w:szCs w:val="22"/>
          <w:lang w:eastAsia="en-US"/>
        </w:rPr>
        <w:t xml:space="preserve">S </w:t>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3A5FC4">
        <w:rPr>
          <w:rFonts w:ascii="Cambria" w:eastAsia="MS Mincho" w:hAnsi="Cambria"/>
          <w:sz w:val="22"/>
          <w:szCs w:val="22"/>
          <w:u w:val="single"/>
          <w:lang w:eastAsia="en-US"/>
        </w:rPr>
        <w:tab/>
      </w:r>
      <w:r w:rsidRPr="00992C8A">
        <w:rPr>
          <w:rFonts w:ascii="Cambria" w:eastAsia="MS Mincho" w:hAnsi="Cambria"/>
          <w:b/>
          <w:bCs/>
          <w:sz w:val="22"/>
          <w:szCs w:val="22"/>
          <w:lang w:eastAsia="en-US"/>
        </w:rPr>
        <w:t>15</w:t>
      </w:r>
      <w:r w:rsidR="00947185">
        <w:rPr>
          <w:rFonts w:ascii="Cambria" w:eastAsia="MS Mincho" w:hAnsi="Cambria"/>
          <w:b/>
          <w:bCs/>
          <w:sz w:val="22"/>
          <w:szCs w:val="22"/>
          <w:lang w:eastAsia="en-US"/>
        </w:rPr>
        <w:t>6</w:t>
      </w:r>
    </w:p>
    <w:p w14:paraId="7333DB1E" w14:textId="77777777" w:rsidR="009C221E" w:rsidRPr="00E10600" w:rsidRDefault="00730A01" w:rsidP="00443B59">
      <w:pPr>
        <w:pStyle w:val="Paragraphedeliste"/>
        <w:numPr>
          <w:ilvl w:val="0"/>
          <w:numId w:val="122"/>
        </w:numPr>
        <w:tabs>
          <w:tab w:val="left" w:pos="284"/>
          <w:tab w:val="left" w:pos="454"/>
        </w:tabs>
        <w:spacing w:after="120" w:line="276" w:lineRule="auto"/>
        <w:ind w:left="992" w:hanging="992"/>
        <w:contextualSpacing w:val="0"/>
        <w:rPr>
          <w:rFonts w:ascii="Cambria" w:eastAsia="MS Mincho" w:hAnsi="Cambria"/>
          <w:b/>
          <w:bCs/>
          <w:sz w:val="22"/>
          <w:szCs w:val="22"/>
          <w:lang w:eastAsia="en-US"/>
        </w:rPr>
      </w:pPr>
      <w:r w:rsidRPr="00E10600">
        <w:rPr>
          <w:rFonts w:ascii="Cambria" w:eastAsia="MS Mincho" w:hAnsi="Cambria"/>
          <w:b/>
          <w:bCs/>
          <w:smallCaps/>
          <w:sz w:val="22"/>
          <w:szCs w:val="22"/>
          <w:lang w:eastAsia="en-US"/>
        </w:rPr>
        <w:t>La convention de prêt FIISH 2017 et la convention de prêt additionnelle 2019</w:t>
      </w:r>
      <w:r w:rsidRPr="00E10600">
        <w:rPr>
          <w:rFonts w:ascii="Cambria" w:eastAsia="MS Mincho" w:hAnsi="Cambria"/>
          <w:b/>
          <w:bCs/>
          <w:sz w:val="22"/>
          <w:szCs w:val="22"/>
          <w:u w:val="single"/>
          <w:lang w:eastAsia="en-US"/>
        </w:rPr>
        <w:tab/>
      </w:r>
      <w:r w:rsidRPr="003A5FC4">
        <w:rPr>
          <w:rFonts w:ascii="Cambria" w:eastAsia="MS Mincho" w:hAnsi="Cambria"/>
          <w:sz w:val="22"/>
          <w:szCs w:val="22"/>
          <w:u w:val="single"/>
          <w:lang w:eastAsia="en-US"/>
        </w:rPr>
        <w:tab/>
      </w:r>
      <w:r w:rsidRPr="00E10600">
        <w:rPr>
          <w:rFonts w:ascii="Cambria" w:eastAsia="MS Mincho" w:hAnsi="Cambria"/>
          <w:b/>
          <w:bCs/>
          <w:sz w:val="22"/>
          <w:szCs w:val="22"/>
          <w:lang w:eastAsia="en-US"/>
        </w:rPr>
        <w:t>15</w:t>
      </w:r>
      <w:r w:rsidR="00947185">
        <w:rPr>
          <w:rFonts w:ascii="Cambria" w:eastAsia="MS Mincho" w:hAnsi="Cambria"/>
          <w:b/>
          <w:bCs/>
          <w:sz w:val="22"/>
          <w:szCs w:val="22"/>
          <w:lang w:eastAsia="en-US"/>
        </w:rPr>
        <w:t>6</w:t>
      </w:r>
    </w:p>
    <w:p w14:paraId="276A03C3" w14:textId="77777777" w:rsidR="009C221E" w:rsidRPr="001B0EBE" w:rsidRDefault="00730A01" w:rsidP="00443B59">
      <w:pPr>
        <w:pStyle w:val="Paragraphedeliste"/>
        <w:numPr>
          <w:ilvl w:val="0"/>
          <w:numId w:val="125"/>
        </w:numPr>
        <w:tabs>
          <w:tab w:val="left" w:pos="284"/>
        </w:tabs>
        <w:spacing w:after="200" w:line="276" w:lineRule="auto"/>
        <w:rPr>
          <w:rFonts w:ascii="Cambria" w:eastAsia="MS Mincho" w:hAnsi="Cambria"/>
          <w:sz w:val="22"/>
          <w:szCs w:val="22"/>
          <w:lang w:eastAsia="en-US"/>
        </w:rPr>
      </w:pPr>
      <w:r w:rsidRPr="001B0EBE">
        <w:rPr>
          <w:rFonts w:ascii="Cambria" w:eastAsia="MS Mincho" w:hAnsi="Cambria"/>
          <w:sz w:val="22"/>
          <w:szCs w:val="22"/>
          <w:lang w:eastAsia="en-US"/>
        </w:rPr>
        <w:t>Les défauts de respecter la convention de société en commandite.</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1B0EBE">
        <w:rPr>
          <w:rFonts w:ascii="Cambria" w:eastAsia="MS Mincho" w:hAnsi="Cambria"/>
          <w:sz w:val="22"/>
          <w:szCs w:val="22"/>
          <w:lang w:eastAsia="en-US"/>
        </w:rPr>
        <w:t>15</w:t>
      </w:r>
      <w:r w:rsidR="00947185">
        <w:rPr>
          <w:rFonts w:ascii="Cambria" w:eastAsia="MS Mincho" w:hAnsi="Cambria"/>
          <w:sz w:val="22"/>
          <w:szCs w:val="22"/>
          <w:lang w:eastAsia="en-US"/>
        </w:rPr>
        <w:t>7</w:t>
      </w:r>
    </w:p>
    <w:p w14:paraId="291F1F0A" w14:textId="77777777" w:rsidR="009C221E" w:rsidRPr="00E10600" w:rsidRDefault="00730A01" w:rsidP="00443B59">
      <w:pPr>
        <w:pStyle w:val="Paragraphedeliste"/>
        <w:numPr>
          <w:ilvl w:val="0"/>
          <w:numId w:val="125"/>
        </w:numPr>
        <w:tabs>
          <w:tab w:val="left" w:pos="284"/>
        </w:tabs>
        <w:spacing w:after="200" w:line="276" w:lineRule="auto"/>
        <w:rPr>
          <w:rFonts w:ascii="Cambria" w:eastAsia="MS Mincho" w:hAnsi="Cambria"/>
          <w:sz w:val="22"/>
          <w:szCs w:val="22"/>
          <w:lang w:eastAsia="en-US"/>
        </w:rPr>
      </w:pPr>
      <w:r w:rsidRPr="001B0EBE">
        <w:rPr>
          <w:rFonts w:ascii="Cambria" w:eastAsia="MS Mincho" w:hAnsi="Cambria"/>
          <w:sz w:val="22"/>
          <w:szCs w:val="22"/>
          <w:lang w:eastAsia="en-US"/>
        </w:rPr>
        <w:t>Les défauts de respecter la convention de prêt</w:t>
      </w:r>
      <w:r w:rsidR="00445ECD">
        <w:rPr>
          <w:rFonts w:ascii="Cambria" w:eastAsia="MS Mincho" w:hAnsi="Cambria"/>
          <w:sz w:val="22"/>
          <w:szCs w:val="22"/>
          <w:lang w:eastAsia="en-US"/>
        </w:rPr>
        <w:t> </w:t>
      </w:r>
      <w:r w:rsidRPr="001B0EBE">
        <w:rPr>
          <w:rFonts w:ascii="Cambria" w:eastAsia="MS Mincho" w:hAnsi="Cambria"/>
          <w:sz w:val="22"/>
          <w:szCs w:val="22"/>
          <w:lang w:eastAsia="en-US"/>
        </w:rPr>
        <w:t>2017 et la convention de prêt</w:t>
      </w:r>
      <w:r w:rsidR="00E10600">
        <w:rPr>
          <w:rFonts w:ascii="Cambria" w:eastAsia="MS Mincho" w:hAnsi="Cambria"/>
          <w:sz w:val="22"/>
          <w:szCs w:val="22"/>
          <w:lang w:eastAsia="en-US"/>
        </w:rPr>
        <w:t xml:space="preserve"> </w:t>
      </w:r>
      <w:r w:rsidRPr="00E10600">
        <w:rPr>
          <w:rFonts w:ascii="Cambria" w:eastAsia="MS Mincho" w:hAnsi="Cambria"/>
          <w:sz w:val="22"/>
          <w:szCs w:val="22"/>
          <w:lang w:eastAsia="en-US"/>
        </w:rPr>
        <w:t xml:space="preserve">additionnel 2019 </w:t>
      </w:r>
      <w:r w:rsidRPr="00E10600">
        <w:rPr>
          <w:rFonts w:ascii="Cambria" w:eastAsia="MS Mincho" w:hAnsi="Cambria"/>
          <w:sz w:val="22"/>
          <w:szCs w:val="22"/>
          <w:u w:val="single"/>
          <w:lang w:eastAsia="en-US"/>
        </w:rPr>
        <w:tab/>
      </w:r>
      <w:r w:rsidRPr="00E10600">
        <w:rPr>
          <w:rFonts w:ascii="Cambria" w:eastAsia="MS Mincho" w:hAnsi="Cambria"/>
          <w:sz w:val="22"/>
          <w:szCs w:val="22"/>
          <w:u w:val="single"/>
          <w:lang w:eastAsia="en-US"/>
        </w:rPr>
        <w:tab/>
      </w:r>
      <w:r w:rsidRPr="00E10600">
        <w:rPr>
          <w:rFonts w:ascii="Cambria" w:eastAsia="MS Mincho" w:hAnsi="Cambria"/>
          <w:sz w:val="22"/>
          <w:szCs w:val="22"/>
          <w:u w:val="single"/>
          <w:lang w:eastAsia="en-US"/>
        </w:rPr>
        <w:tab/>
      </w:r>
      <w:r w:rsidRPr="00E10600">
        <w:rPr>
          <w:rFonts w:ascii="Cambria" w:eastAsia="MS Mincho" w:hAnsi="Cambria"/>
          <w:sz w:val="22"/>
          <w:szCs w:val="22"/>
          <w:u w:val="single"/>
          <w:lang w:eastAsia="en-US"/>
        </w:rPr>
        <w:tab/>
      </w:r>
      <w:r w:rsidRPr="00E10600">
        <w:rPr>
          <w:rFonts w:ascii="Cambria" w:eastAsia="MS Mincho" w:hAnsi="Cambria"/>
          <w:sz w:val="22"/>
          <w:szCs w:val="22"/>
          <w:u w:val="single"/>
          <w:lang w:eastAsia="en-US"/>
        </w:rPr>
        <w:tab/>
      </w:r>
      <w:r w:rsidRPr="00E10600">
        <w:rPr>
          <w:rFonts w:ascii="Cambria" w:eastAsia="MS Mincho" w:hAnsi="Cambria"/>
          <w:sz w:val="22"/>
          <w:szCs w:val="22"/>
          <w:u w:val="single"/>
          <w:lang w:eastAsia="en-US"/>
        </w:rPr>
        <w:tab/>
      </w:r>
      <w:r w:rsidRPr="00E10600">
        <w:rPr>
          <w:rFonts w:ascii="Cambria" w:eastAsia="MS Mincho" w:hAnsi="Cambria"/>
          <w:sz w:val="22"/>
          <w:szCs w:val="22"/>
          <w:u w:val="single"/>
          <w:lang w:eastAsia="en-US"/>
        </w:rPr>
        <w:tab/>
      </w:r>
      <w:r w:rsidRPr="00E10600">
        <w:rPr>
          <w:rFonts w:ascii="Cambria" w:eastAsia="MS Mincho" w:hAnsi="Cambria"/>
          <w:sz w:val="22"/>
          <w:szCs w:val="22"/>
          <w:u w:val="single"/>
          <w:lang w:eastAsia="en-US"/>
        </w:rPr>
        <w:tab/>
      </w:r>
      <w:r w:rsidRPr="00E10600">
        <w:rPr>
          <w:rFonts w:ascii="Cambria" w:eastAsia="MS Mincho" w:hAnsi="Cambria"/>
          <w:sz w:val="22"/>
          <w:szCs w:val="22"/>
          <w:u w:val="single"/>
          <w:lang w:eastAsia="en-US"/>
        </w:rPr>
        <w:tab/>
      </w:r>
      <w:r w:rsidRPr="00E10600">
        <w:rPr>
          <w:rFonts w:ascii="Cambria" w:eastAsia="MS Mincho" w:hAnsi="Cambria"/>
          <w:sz w:val="22"/>
          <w:szCs w:val="22"/>
          <w:lang w:eastAsia="en-US"/>
        </w:rPr>
        <w:t>15</w:t>
      </w:r>
      <w:r w:rsidR="00947185">
        <w:rPr>
          <w:rFonts w:ascii="Cambria" w:eastAsia="MS Mincho" w:hAnsi="Cambria"/>
          <w:sz w:val="22"/>
          <w:szCs w:val="22"/>
          <w:lang w:eastAsia="en-US"/>
        </w:rPr>
        <w:t>8</w:t>
      </w:r>
    </w:p>
    <w:p w14:paraId="29F69C40" w14:textId="77777777" w:rsidR="009C221E" w:rsidRDefault="00730A01" w:rsidP="00443B59">
      <w:pPr>
        <w:pStyle w:val="Paragraphedeliste"/>
        <w:numPr>
          <w:ilvl w:val="0"/>
          <w:numId w:val="125"/>
        </w:numPr>
        <w:tabs>
          <w:tab w:val="left" w:pos="284"/>
        </w:tabs>
        <w:spacing w:after="120" w:line="276" w:lineRule="auto"/>
        <w:ind w:left="714" w:hanging="357"/>
        <w:contextualSpacing w:val="0"/>
        <w:rPr>
          <w:rFonts w:ascii="Cambria" w:eastAsia="MS Mincho" w:hAnsi="Cambria"/>
          <w:sz w:val="22"/>
          <w:szCs w:val="22"/>
          <w:lang w:eastAsia="en-US"/>
        </w:rPr>
      </w:pPr>
      <w:r>
        <w:rPr>
          <w:rFonts w:ascii="Cambria" w:eastAsia="MS Mincho" w:hAnsi="Cambria"/>
          <w:sz w:val="22"/>
          <w:szCs w:val="22"/>
          <w:lang w:eastAsia="en-US"/>
        </w:rPr>
        <w:tab/>
      </w:r>
      <w:r w:rsidRPr="001B0EBE">
        <w:rPr>
          <w:rFonts w:ascii="Cambria" w:eastAsia="MS Mincho" w:hAnsi="Cambria"/>
          <w:sz w:val="22"/>
          <w:szCs w:val="22"/>
          <w:lang w:eastAsia="en-US"/>
        </w:rPr>
        <w:t xml:space="preserve">Autres manquements </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1B0EBE">
        <w:rPr>
          <w:rFonts w:ascii="Cambria" w:eastAsia="MS Mincho" w:hAnsi="Cambria"/>
          <w:sz w:val="22"/>
          <w:szCs w:val="22"/>
          <w:lang w:eastAsia="en-US"/>
        </w:rPr>
        <w:t>15</w:t>
      </w:r>
      <w:r w:rsidR="00947185">
        <w:rPr>
          <w:rFonts w:ascii="Cambria" w:eastAsia="MS Mincho" w:hAnsi="Cambria"/>
          <w:sz w:val="22"/>
          <w:szCs w:val="22"/>
          <w:lang w:eastAsia="en-US"/>
        </w:rPr>
        <w:t>9</w:t>
      </w:r>
    </w:p>
    <w:p w14:paraId="74D50004" w14:textId="77777777" w:rsidR="009C221E" w:rsidRPr="00E10600" w:rsidRDefault="00730A01" w:rsidP="00443B59">
      <w:pPr>
        <w:pStyle w:val="Paragraphedeliste"/>
        <w:numPr>
          <w:ilvl w:val="0"/>
          <w:numId w:val="122"/>
        </w:numPr>
        <w:tabs>
          <w:tab w:val="left" w:pos="284"/>
          <w:tab w:val="left" w:pos="454"/>
        </w:tabs>
        <w:spacing w:after="120" w:line="276" w:lineRule="auto"/>
        <w:ind w:left="992" w:hanging="992"/>
        <w:contextualSpacing w:val="0"/>
        <w:rPr>
          <w:rFonts w:ascii="Cambria" w:eastAsia="MS Mincho" w:hAnsi="Cambria"/>
          <w:b/>
          <w:bCs/>
          <w:smallCaps/>
          <w:sz w:val="22"/>
          <w:szCs w:val="22"/>
          <w:lang w:eastAsia="en-US"/>
        </w:rPr>
      </w:pPr>
      <w:r>
        <w:rPr>
          <w:rFonts w:ascii="Cambria" w:eastAsia="MS Mincho" w:hAnsi="Cambria"/>
          <w:b/>
          <w:bCs/>
          <w:smallCaps/>
          <w:sz w:val="22"/>
          <w:szCs w:val="22"/>
          <w:lang w:eastAsia="en-US"/>
        </w:rPr>
        <w:t xml:space="preserve">La convention de prêt FIISH en 2020 </w:t>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E10600">
        <w:rPr>
          <w:rFonts w:ascii="Cambria" w:eastAsia="MS Mincho" w:hAnsi="Cambria"/>
          <w:b/>
          <w:bCs/>
          <w:smallCaps/>
          <w:sz w:val="22"/>
          <w:szCs w:val="22"/>
          <w:lang w:eastAsia="en-US"/>
        </w:rPr>
        <w:t>1</w:t>
      </w:r>
      <w:r w:rsidR="00D53896">
        <w:rPr>
          <w:rFonts w:ascii="Cambria" w:eastAsia="MS Mincho" w:hAnsi="Cambria"/>
          <w:b/>
          <w:bCs/>
          <w:smallCaps/>
          <w:sz w:val="22"/>
          <w:szCs w:val="22"/>
          <w:lang w:eastAsia="en-US"/>
        </w:rPr>
        <w:t>6</w:t>
      </w:r>
      <w:r w:rsidR="00947185">
        <w:rPr>
          <w:rFonts w:ascii="Cambria" w:eastAsia="MS Mincho" w:hAnsi="Cambria"/>
          <w:b/>
          <w:bCs/>
          <w:smallCaps/>
          <w:sz w:val="22"/>
          <w:szCs w:val="22"/>
          <w:lang w:eastAsia="en-US"/>
        </w:rPr>
        <w:t>2</w:t>
      </w:r>
    </w:p>
    <w:p w14:paraId="2A6E7F35" w14:textId="77777777" w:rsidR="009C221E" w:rsidRPr="00876C8D" w:rsidRDefault="00730A01" w:rsidP="00443B59">
      <w:pPr>
        <w:pStyle w:val="Paragraphedeliste"/>
        <w:numPr>
          <w:ilvl w:val="0"/>
          <w:numId w:val="126"/>
        </w:numPr>
        <w:tabs>
          <w:tab w:val="left" w:pos="284"/>
        </w:tabs>
        <w:spacing w:after="200" w:line="276" w:lineRule="auto"/>
        <w:rPr>
          <w:rFonts w:ascii="Cambria" w:eastAsia="MS Mincho" w:hAnsi="Cambria"/>
          <w:sz w:val="22"/>
          <w:szCs w:val="22"/>
          <w:lang w:eastAsia="en-US"/>
        </w:rPr>
      </w:pPr>
      <w:r w:rsidRPr="00876C8D">
        <w:rPr>
          <w:rFonts w:ascii="Cambria" w:eastAsia="MS Mincho" w:hAnsi="Cambria"/>
          <w:sz w:val="22"/>
          <w:szCs w:val="22"/>
          <w:lang w:eastAsia="en-US"/>
        </w:rPr>
        <w:t>Contraventions à la convention de société en commandite.</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lang w:eastAsia="en-US"/>
        </w:rPr>
        <w:t>1</w:t>
      </w:r>
      <w:r w:rsidR="00D53896">
        <w:rPr>
          <w:rFonts w:ascii="Cambria" w:eastAsia="MS Mincho" w:hAnsi="Cambria"/>
          <w:sz w:val="22"/>
          <w:szCs w:val="22"/>
          <w:lang w:eastAsia="en-US"/>
        </w:rPr>
        <w:t>6</w:t>
      </w:r>
      <w:r w:rsidR="00947185">
        <w:rPr>
          <w:rFonts w:ascii="Cambria" w:eastAsia="MS Mincho" w:hAnsi="Cambria"/>
          <w:sz w:val="22"/>
          <w:szCs w:val="22"/>
          <w:lang w:eastAsia="en-US"/>
        </w:rPr>
        <w:t>2</w:t>
      </w:r>
    </w:p>
    <w:p w14:paraId="6C12E181" w14:textId="77777777" w:rsidR="009C221E" w:rsidRPr="00876C8D" w:rsidRDefault="00730A01" w:rsidP="00443B59">
      <w:pPr>
        <w:pStyle w:val="Paragraphedeliste"/>
        <w:numPr>
          <w:ilvl w:val="0"/>
          <w:numId w:val="126"/>
        </w:numPr>
        <w:tabs>
          <w:tab w:val="left" w:pos="284"/>
        </w:tabs>
        <w:spacing w:after="200" w:line="276" w:lineRule="auto"/>
        <w:rPr>
          <w:rFonts w:ascii="Cambria" w:eastAsia="MS Mincho" w:hAnsi="Cambria"/>
          <w:sz w:val="22"/>
          <w:szCs w:val="22"/>
          <w:lang w:eastAsia="en-US"/>
        </w:rPr>
      </w:pPr>
      <w:r w:rsidRPr="00876C8D">
        <w:rPr>
          <w:rFonts w:ascii="Cambria" w:eastAsia="MS Mincho" w:hAnsi="Cambria"/>
          <w:sz w:val="22"/>
          <w:szCs w:val="22"/>
          <w:lang w:eastAsia="en-US"/>
        </w:rPr>
        <w:t>Contraventions à la convention de prêt</w:t>
      </w:r>
      <w:r w:rsidR="00367F4A">
        <w:rPr>
          <w:rFonts w:ascii="Cambria" w:eastAsia="MS Mincho" w:hAnsi="Cambria"/>
          <w:sz w:val="22"/>
          <w:szCs w:val="22"/>
          <w:lang w:eastAsia="en-US"/>
        </w:rPr>
        <w:t> </w:t>
      </w:r>
      <w:r w:rsidRPr="00876C8D">
        <w:rPr>
          <w:rFonts w:ascii="Cambria" w:eastAsia="MS Mincho" w:hAnsi="Cambria"/>
          <w:sz w:val="22"/>
          <w:szCs w:val="22"/>
          <w:lang w:eastAsia="en-US"/>
        </w:rPr>
        <w:t>2020</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lang w:eastAsia="en-US"/>
        </w:rPr>
        <w:t>1</w:t>
      </w:r>
      <w:r w:rsidR="00D53896">
        <w:rPr>
          <w:rFonts w:ascii="Cambria" w:eastAsia="MS Mincho" w:hAnsi="Cambria"/>
          <w:sz w:val="22"/>
          <w:szCs w:val="22"/>
          <w:lang w:eastAsia="en-US"/>
        </w:rPr>
        <w:t>6</w:t>
      </w:r>
      <w:r w:rsidR="00947185">
        <w:rPr>
          <w:rFonts w:ascii="Cambria" w:eastAsia="MS Mincho" w:hAnsi="Cambria"/>
          <w:sz w:val="22"/>
          <w:szCs w:val="22"/>
          <w:lang w:eastAsia="en-US"/>
        </w:rPr>
        <w:t>2</w:t>
      </w:r>
    </w:p>
    <w:p w14:paraId="2B61F61E" w14:textId="77777777" w:rsidR="009C221E" w:rsidRPr="00876C8D" w:rsidRDefault="00730A01" w:rsidP="00443B59">
      <w:pPr>
        <w:pStyle w:val="Paragraphedeliste"/>
        <w:numPr>
          <w:ilvl w:val="0"/>
          <w:numId w:val="126"/>
        </w:numPr>
        <w:tabs>
          <w:tab w:val="left" w:pos="284"/>
        </w:tabs>
        <w:spacing w:after="120" w:line="276" w:lineRule="auto"/>
        <w:ind w:left="714" w:hanging="357"/>
        <w:contextualSpacing w:val="0"/>
        <w:rPr>
          <w:rFonts w:ascii="Cambria" w:eastAsia="MS Mincho" w:hAnsi="Cambria"/>
          <w:sz w:val="22"/>
          <w:szCs w:val="22"/>
          <w:lang w:eastAsia="en-US"/>
        </w:rPr>
      </w:pPr>
      <w:r w:rsidRPr="00876C8D">
        <w:rPr>
          <w:rFonts w:ascii="Cambria" w:eastAsia="MS Mincho" w:hAnsi="Cambria"/>
          <w:sz w:val="22"/>
          <w:szCs w:val="22"/>
          <w:lang w:eastAsia="en-US"/>
        </w:rPr>
        <w:t>Autres manquements</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lang w:eastAsia="en-US"/>
        </w:rPr>
        <w:t>1</w:t>
      </w:r>
      <w:r w:rsidR="00D53896">
        <w:rPr>
          <w:rFonts w:ascii="Cambria" w:eastAsia="MS Mincho" w:hAnsi="Cambria"/>
          <w:sz w:val="22"/>
          <w:szCs w:val="22"/>
          <w:lang w:eastAsia="en-US"/>
        </w:rPr>
        <w:t>6</w:t>
      </w:r>
      <w:r w:rsidR="00947185">
        <w:rPr>
          <w:rFonts w:ascii="Cambria" w:eastAsia="MS Mincho" w:hAnsi="Cambria"/>
          <w:sz w:val="22"/>
          <w:szCs w:val="22"/>
          <w:lang w:eastAsia="en-US"/>
        </w:rPr>
        <w:t>4</w:t>
      </w:r>
    </w:p>
    <w:p w14:paraId="682BB83C" w14:textId="77777777" w:rsidR="00E10600" w:rsidRDefault="00730A01" w:rsidP="00443B59">
      <w:pPr>
        <w:pStyle w:val="Paragraphedeliste"/>
        <w:numPr>
          <w:ilvl w:val="0"/>
          <w:numId w:val="122"/>
        </w:numPr>
        <w:tabs>
          <w:tab w:val="left" w:pos="284"/>
          <w:tab w:val="left" w:pos="454"/>
        </w:tabs>
        <w:spacing w:line="276" w:lineRule="auto"/>
        <w:ind w:left="992" w:hanging="992"/>
        <w:rPr>
          <w:rFonts w:ascii="Cambria" w:eastAsia="MS Mincho" w:hAnsi="Cambria"/>
          <w:b/>
          <w:bCs/>
          <w:smallCaps/>
          <w:sz w:val="22"/>
          <w:szCs w:val="22"/>
          <w:lang w:eastAsia="en-US"/>
        </w:rPr>
      </w:pPr>
      <w:r w:rsidRPr="00E10600">
        <w:rPr>
          <w:rFonts w:ascii="Cambria" w:eastAsia="MS Mincho" w:hAnsi="Cambria"/>
          <w:b/>
          <w:bCs/>
          <w:smallCaps/>
          <w:sz w:val="22"/>
          <w:szCs w:val="22"/>
          <w:lang w:eastAsia="en-US"/>
        </w:rPr>
        <w:t>Les amendements de</w:t>
      </w:r>
      <w:r w:rsidR="00367F4A" w:rsidRPr="00E10600">
        <w:rPr>
          <w:rFonts w:ascii="Cambria" w:eastAsia="MS Mincho" w:hAnsi="Cambria"/>
          <w:b/>
          <w:bCs/>
          <w:smallCaps/>
          <w:sz w:val="22"/>
          <w:szCs w:val="22"/>
          <w:lang w:eastAsia="en-US"/>
        </w:rPr>
        <w:t> </w:t>
      </w:r>
      <w:r w:rsidRPr="00E10600">
        <w:rPr>
          <w:rFonts w:ascii="Cambria" w:eastAsia="MS Mincho" w:hAnsi="Cambria"/>
          <w:b/>
          <w:bCs/>
          <w:smallCaps/>
          <w:sz w:val="22"/>
          <w:szCs w:val="22"/>
          <w:lang w:eastAsia="en-US"/>
        </w:rPr>
        <w:t>2021 à la convention de prêt FIISH</w:t>
      </w:r>
      <w:r>
        <w:rPr>
          <w:rFonts w:ascii="Cambria" w:eastAsia="MS Mincho" w:hAnsi="Cambria"/>
          <w:b/>
          <w:bCs/>
          <w:smallCaps/>
          <w:sz w:val="22"/>
          <w:szCs w:val="22"/>
          <w:lang w:eastAsia="en-US"/>
        </w:rPr>
        <w:t xml:space="preserve"> </w:t>
      </w:r>
    </w:p>
    <w:p w14:paraId="7047BFBE" w14:textId="77777777" w:rsidR="009C221E" w:rsidRPr="00E10600" w:rsidRDefault="00730A01" w:rsidP="00124AA4">
      <w:pPr>
        <w:tabs>
          <w:tab w:val="left" w:pos="284"/>
          <w:tab w:val="left" w:pos="454"/>
        </w:tabs>
        <w:spacing w:after="120" w:line="276" w:lineRule="auto"/>
        <w:rPr>
          <w:rFonts w:ascii="Cambria" w:eastAsia="MS Mincho" w:hAnsi="Cambria"/>
          <w:b/>
          <w:bCs/>
          <w:smallCaps/>
          <w:sz w:val="22"/>
          <w:szCs w:val="22"/>
          <w:lang w:eastAsia="en-US"/>
        </w:rPr>
      </w:pPr>
      <w:r w:rsidRPr="00E10600">
        <w:rPr>
          <w:rFonts w:ascii="Cambria" w:eastAsia="MS Mincho" w:hAnsi="Cambria"/>
          <w:b/>
          <w:bCs/>
          <w:smallCaps/>
          <w:sz w:val="22"/>
          <w:szCs w:val="22"/>
          <w:lang w:eastAsia="en-US"/>
        </w:rPr>
        <w:t xml:space="preserve">(amendements #1 et #2) </w:t>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E10600">
        <w:rPr>
          <w:rFonts w:ascii="Cambria" w:eastAsia="MS Mincho" w:hAnsi="Cambria"/>
          <w:b/>
          <w:bCs/>
          <w:smallCaps/>
          <w:sz w:val="22"/>
          <w:szCs w:val="22"/>
          <w:lang w:eastAsia="en-US"/>
        </w:rPr>
        <w:t>16</w:t>
      </w:r>
      <w:r w:rsidR="00947185">
        <w:rPr>
          <w:rFonts w:ascii="Cambria" w:eastAsia="MS Mincho" w:hAnsi="Cambria"/>
          <w:b/>
          <w:bCs/>
          <w:smallCaps/>
          <w:sz w:val="22"/>
          <w:szCs w:val="22"/>
          <w:lang w:eastAsia="en-US"/>
        </w:rPr>
        <w:t>5</w:t>
      </w:r>
    </w:p>
    <w:p w14:paraId="0B93D616" w14:textId="77777777" w:rsidR="009C221E" w:rsidRPr="00C523E4" w:rsidRDefault="00730A01" w:rsidP="00443B59">
      <w:pPr>
        <w:pStyle w:val="Paragraphedeliste"/>
        <w:numPr>
          <w:ilvl w:val="0"/>
          <w:numId w:val="127"/>
        </w:numPr>
        <w:tabs>
          <w:tab w:val="left" w:pos="284"/>
        </w:tabs>
        <w:spacing w:after="200" w:line="276" w:lineRule="auto"/>
        <w:rPr>
          <w:rFonts w:ascii="Cambria" w:eastAsia="MS Mincho" w:hAnsi="Cambria"/>
          <w:sz w:val="22"/>
          <w:szCs w:val="22"/>
          <w:lang w:eastAsia="en-US"/>
        </w:rPr>
      </w:pPr>
      <w:r w:rsidRPr="00C523E4">
        <w:rPr>
          <w:rFonts w:ascii="Cambria" w:eastAsia="MS Mincho" w:hAnsi="Cambria"/>
          <w:sz w:val="22"/>
          <w:szCs w:val="22"/>
          <w:lang w:eastAsia="en-US"/>
        </w:rPr>
        <w:t>Contraventions à la convention de société en commandite (PSH-8)</w:t>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lang w:eastAsia="en-US"/>
        </w:rPr>
        <w:t>16</w:t>
      </w:r>
      <w:r w:rsidR="00947185">
        <w:rPr>
          <w:rFonts w:ascii="Cambria" w:eastAsia="MS Mincho" w:hAnsi="Cambria"/>
          <w:sz w:val="22"/>
          <w:szCs w:val="22"/>
          <w:lang w:eastAsia="en-US"/>
        </w:rPr>
        <w:t>5</w:t>
      </w:r>
    </w:p>
    <w:p w14:paraId="4188B96C" w14:textId="77777777" w:rsidR="009C221E" w:rsidRPr="00C523E4" w:rsidRDefault="00730A01" w:rsidP="00443B59">
      <w:pPr>
        <w:pStyle w:val="Paragraphedeliste"/>
        <w:numPr>
          <w:ilvl w:val="0"/>
          <w:numId w:val="127"/>
        </w:numPr>
        <w:tabs>
          <w:tab w:val="left" w:pos="284"/>
        </w:tabs>
        <w:spacing w:after="200" w:line="276" w:lineRule="auto"/>
        <w:rPr>
          <w:rFonts w:ascii="Cambria" w:eastAsia="MS Mincho" w:hAnsi="Cambria"/>
          <w:sz w:val="22"/>
          <w:szCs w:val="22"/>
          <w:lang w:eastAsia="en-US"/>
        </w:rPr>
      </w:pPr>
      <w:r w:rsidRPr="00C523E4">
        <w:rPr>
          <w:rFonts w:ascii="Cambria" w:eastAsia="MS Mincho" w:hAnsi="Cambria"/>
          <w:sz w:val="22"/>
          <w:szCs w:val="22"/>
          <w:lang w:eastAsia="en-US"/>
        </w:rPr>
        <w:t>Contraventions à la convention de prêt</w:t>
      </w:r>
      <w:r w:rsidR="00367F4A">
        <w:rPr>
          <w:rFonts w:ascii="Cambria" w:eastAsia="MS Mincho" w:hAnsi="Cambria"/>
          <w:sz w:val="22"/>
          <w:szCs w:val="22"/>
          <w:lang w:eastAsia="en-US"/>
        </w:rPr>
        <w:t> </w:t>
      </w:r>
      <w:r w:rsidRPr="00C523E4">
        <w:rPr>
          <w:rFonts w:ascii="Cambria" w:eastAsia="MS Mincho" w:hAnsi="Cambria"/>
          <w:sz w:val="22"/>
          <w:szCs w:val="22"/>
          <w:lang w:eastAsia="en-US"/>
        </w:rPr>
        <w:t>2020 (PSH-12).</w:t>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lang w:eastAsia="en-US"/>
        </w:rPr>
        <w:t>16</w:t>
      </w:r>
      <w:r w:rsidR="00947185">
        <w:rPr>
          <w:rFonts w:ascii="Cambria" w:eastAsia="MS Mincho" w:hAnsi="Cambria"/>
          <w:sz w:val="22"/>
          <w:szCs w:val="22"/>
          <w:lang w:eastAsia="en-US"/>
        </w:rPr>
        <w:t>6</w:t>
      </w:r>
    </w:p>
    <w:p w14:paraId="353E3D40" w14:textId="77777777" w:rsidR="009C221E" w:rsidRPr="00C523E4" w:rsidRDefault="00730A01" w:rsidP="00443B59">
      <w:pPr>
        <w:pStyle w:val="Paragraphedeliste"/>
        <w:numPr>
          <w:ilvl w:val="0"/>
          <w:numId w:val="127"/>
        </w:numPr>
        <w:tabs>
          <w:tab w:val="left" w:pos="284"/>
        </w:tabs>
        <w:spacing w:after="120" w:line="276" w:lineRule="auto"/>
        <w:ind w:left="714" w:hanging="357"/>
        <w:contextualSpacing w:val="0"/>
        <w:rPr>
          <w:rFonts w:ascii="Cambria" w:eastAsia="MS Mincho" w:hAnsi="Cambria"/>
          <w:sz w:val="22"/>
          <w:szCs w:val="22"/>
          <w:lang w:eastAsia="en-US"/>
        </w:rPr>
      </w:pPr>
      <w:r w:rsidRPr="00C523E4">
        <w:rPr>
          <w:rFonts w:ascii="Cambria" w:eastAsia="MS Mincho" w:hAnsi="Cambria"/>
          <w:sz w:val="22"/>
          <w:szCs w:val="22"/>
          <w:lang w:eastAsia="en-US"/>
        </w:rPr>
        <w:t>Autres manquements</w:t>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u w:val="single"/>
          <w:lang w:eastAsia="en-US"/>
        </w:rPr>
        <w:tab/>
      </w:r>
      <w:r w:rsidRPr="00C523E4">
        <w:rPr>
          <w:rFonts w:ascii="Cambria" w:eastAsia="MS Mincho" w:hAnsi="Cambria"/>
          <w:sz w:val="22"/>
          <w:szCs w:val="22"/>
          <w:lang w:eastAsia="en-US"/>
        </w:rPr>
        <w:t>16</w:t>
      </w:r>
      <w:r w:rsidR="00947185">
        <w:rPr>
          <w:rFonts w:ascii="Cambria" w:eastAsia="MS Mincho" w:hAnsi="Cambria"/>
          <w:sz w:val="22"/>
          <w:szCs w:val="22"/>
          <w:lang w:eastAsia="en-US"/>
        </w:rPr>
        <w:t>8</w:t>
      </w:r>
    </w:p>
    <w:p w14:paraId="2FC09200" w14:textId="77777777" w:rsidR="00E10600" w:rsidRDefault="00730A01" w:rsidP="00443B59">
      <w:pPr>
        <w:pStyle w:val="Paragraphedeliste"/>
        <w:numPr>
          <w:ilvl w:val="0"/>
          <w:numId w:val="122"/>
        </w:numPr>
        <w:tabs>
          <w:tab w:val="left" w:pos="284"/>
          <w:tab w:val="left" w:pos="454"/>
        </w:tabs>
        <w:spacing w:line="276" w:lineRule="auto"/>
        <w:ind w:left="992" w:hanging="992"/>
        <w:rPr>
          <w:rFonts w:ascii="Cambria" w:eastAsia="MS Mincho" w:hAnsi="Cambria"/>
          <w:b/>
          <w:bCs/>
          <w:smallCaps/>
          <w:sz w:val="22"/>
          <w:szCs w:val="22"/>
          <w:lang w:eastAsia="en-US"/>
        </w:rPr>
      </w:pPr>
      <w:r w:rsidRPr="00E10600">
        <w:rPr>
          <w:rFonts w:ascii="Cambria" w:eastAsia="MS Mincho" w:hAnsi="Cambria"/>
          <w:b/>
          <w:bCs/>
          <w:smallCaps/>
          <w:sz w:val="22"/>
          <w:szCs w:val="22"/>
          <w:lang w:eastAsia="en-US"/>
        </w:rPr>
        <w:t>Les amendements de</w:t>
      </w:r>
      <w:r w:rsidR="00445ECD" w:rsidRPr="00E10600">
        <w:rPr>
          <w:rFonts w:ascii="Cambria" w:eastAsia="MS Mincho" w:hAnsi="Cambria"/>
          <w:b/>
          <w:bCs/>
          <w:smallCaps/>
          <w:sz w:val="22"/>
          <w:szCs w:val="22"/>
          <w:lang w:eastAsia="en-US"/>
        </w:rPr>
        <w:t> </w:t>
      </w:r>
      <w:r w:rsidRPr="00E10600">
        <w:rPr>
          <w:rFonts w:ascii="Cambria" w:eastAsia="MS Mincho" w:hAnsi="Cambria"/>
          <w:b/>
          <w:bCs/>
          <w:smallCaps/>
          <w:sz w:val="22"/>
          <w:szCs w:val="22"/>
          <w:lang w:eastAsia="en-US"/>
        </w:rPr>
        <w:t>2022 à la convention de prêt FIISH</w:t>
      </w:r>
    </w:p>
    <w:p w14:paraId="09ADC400" w14:textId="77777777" w:rsidR="009C221E" w:rsidRPr="00E10600" w:rsidRDefault="00730A01" w:rsidP="00124AA4">
      <w:pPr>
        <w:tabs>
          <w:tab w:val="left" w:pos="284"/>
          <w:tab w:val="left" w:pos="454"/>
        </w:tabs>
        <w:spacing w:after="120" w:line="276" w:lineRule="auto"/>
        <w:contextualSpacing/>
        <w:rPr>
          <w:rFonts w:ascii="Cambria" w:eastAsia="MS Mincho" w:hAnsi="Cambria"/>
          <w:b/>
          <w:bCs/>
          <w:smallCaps/>
          <w:sz w:val="22"/>
          <w:szCs w:val="22"/>
          <w:lang w:eastAsia="en-US"/>
        </w:rPr>
      </w:pPr>
      <w:r w:rsidRPr="00E10600">
        <w:rPr>
          <w:rFonts w:ascii="Cambria" w:eastAsia="MS Mincho" w:hAnsi="Cambria"/>
          <w:b/>
          <w:bCs/>
          <w:smallCaps/>
          <w:sz w:val="22"/>
          <w:szCs w:val="22"/>
          <w:lang w:eastAsia="en-US"/>
        </w:rPr>
        <w:t>(Amendements</w:t>
      </w:r>
      <w:r w:rsidR="00445ECD" w:rsidRPr="00E10600">
        <w:rPr>
          <w:rFonts w:ascii="Cambria" w:eastAsia="MS Mincho" w:hAnsi="Cambria"/>
          <w:b/>
          <w:bCs/>
          <w:smallCaps/>
          <w:sz w:val="22"/>
          <w:szCs w:val="22"/>
          <w:lang w:eastAsia="en-US"/>
        </w:rPr>
        <w:t> </w:t>
      </w:r>
      <w:r w:rsidRPr="00E10600">
        <w:rPr>
          <w:rFonts w:ascii="Cambria" w:eastAsia="MS Mincho" w:hAnsi="Cambria"/>
          <w:b/>
          <w:bCs/>
          <w:smallCaps/>
          <w:sz w:val="22"/>
          <w:szCs w:val="22"/>
          <w:lang w:eastAsia="en-US"/>
        </w:rPr>
        <w:t xml:space="preserve">#3, #4 et #5) </w:t>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00E10600" w:rsidRPr="003A5FC4">
        <w:rPr>
          <w:rFonts w:ascii="Cambria" w:eastAsia="MS Mincho" w:hAnsi="Cambria"/>
          <w:smallCaps/>
          <w:sz w:val="22"/>
          <w:szCs w:val="22"/>
          <w:u w:val="single"/>
          <w:lang w:eastAsia="en-US"/>
        </w:rPr>
        <w:tab/>
      </w:r>
      <w:r w:rsidRPr="003A5FC4">
        <w:rPr>
          <w:rFonts w:ascii="Cambria" w:eastAsia="MS Mincho" w:hAnsi="Cambria"/>
          <w:smallCaps/>
          <w:sz w:val="22"/>
          <w:szCs w:val="22"/>
          <w:u w:val="single"/>
          <w:lang w:eastAsia="en-US"/>
        </w:rPr>
        <w:tab/>
      </w:r>
      <w:r w:rsidRPr="00E10600">
        <w:rPr>
          <w:rFonts w:ascii="Cambria" w:eastAsia="MS Mincho" w:hAnsi="Cambria"/>
          <w:b/>
          <w:bCs/>
          <w:smallCaps/>
          <w:sz w:val="22"/>
          <w:szCs w:val="22"/>
          <w:lang w:eastAsia="en-US"/>
        </w:rPr>
        <w:t>16</w:t>
      </w:r>
      <w:r w:rsidR="00947185">
        <w:rPr>
          <w:rFonts w:ascii="Cambria" w:eastAsia="MS Mincho" w:hAnsi="Cambria"/>
          <w:b/>
          <w:bCs/>
          <w:smallCaps/>
          <w:sz w:val="22"/>
          <w:szCs w:val="22"/>
          <w:lang w:eastAsia="en-US"/>
        </w:rPr>
        <w:t>9</w:t>
      </w:r>
    </w:p>
    <w:p w14:paraId="6A44D7BD" w14:textId="77777777" w:rsidR="009C221E" w:rsidRPr="00C523E4" w:rsidRDefault="00730A01" w:rsidP="00443B59">
      <w:pPr>
        <w:pStyle w:val="Paragraphedeliste"/>
        <w:numPr>
          <w:ilvl w:val="0"/>
          <w:numId w:val="128"/>
        </w:numPr>
        <w:tabs>
          <w:tab w:val="left" w:pos="284"/>
        </w:tabs>
        <w:spacing w:after="200" w:line="276" w:lineRule="auto"/>
        <w:rPr>
          <w:rFonts w:ascii="Cambria" w:eastAsia="MS Mincho" w:hAnsi="Cambria"/>
          <w:sz w:val="22"/>
          <w:szCs w:val="22"/>
          <w:lang w:eastAsia="en-US"/>
        </w:rPr>
      </w:pPr>
      <w:r w:rsidRPr="00C523E4">
        <w:rPr>
          <w:rFonts w:ascii="Cambria" w:eastAsia="MS Mincho" w:hAnsi="Cambria"/>
          <w:sz w:val="22"/>
          <w:szCs w:val="22"/>
          <w:lang w:eastAsia="en-US"/>
        </w:rPr>
        <w:t>Contraventions à la convention de société en commandite (PSH-8)</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C523E4">
        <w:rPr>
          <w:rFonts w:ascii="Cambria" w:eastAsia="MS Mincho" w:hAnsi="Cambria"/>
          <w:sz w:val="22"/>
          <w:szCs w:val="22"/>
          <w:lang w:eastAsia="en-US"/>
        </w:rPr>
        <w:t>16</w:t>
      </w:r>
      <w:r w:rsidR="00947185">
        <w:rPr>
          <w:rFonts w:ascii="Cambria" w:eastAsia="MS Mincho" w:hAnsi="Cambria"/>
          <w:sz w:val="22"/>
          <w:szCs w:val="22"/>
          <w:lang w:eastAsia="en-US"/>
        </w:rPr>
        <w:t>9</w:t>
      </w:r>
    </w:p>
    <w:p w14:paraId="6E156026" w14:textId="77777777" w:rsidR="009C221E" w:rsidRPr="00C523E4" w:rsidRDefault="00730A01" w:rsidP="00443B59">
      <w:pPr>
        <w:pStyle w:val="Paragraphedeliste"/>
        <w:numPr>
          <w:ilvl w:val="0"/>
          <w:numId w:val="128"/>
        </w:numPr>
        <w:tabs>
          <w:tab w:val="left" w:pos="284"/>
        </w:tabs>
        <w:spacing w:after="200" w:line="276" w:lineRule="auto"/>
        <w:rPr>
          <w:rFonts w:ascii="Cambria" w:eastAsia="MS Mincho" w:hAnsi="Cambria"/>
          <w:sz w:val="22"/>
          <w:szCs w:val="22"/>
          <w:lang w:eastAsia="en-US"/>
        </w:rPr>
      </w:pPr>
      <w:r w:rsidRPr="00C523E4">
        <w:rPr>
          <w:rFonts w:ascii="Cambria" w:eastAsia="MS Mincho" w:hAnsi="Cambria"/>
          <w:sz w:val="22"/>
          <w:szCs w:val="22"/>
          <w:lang w:eastAsia="en-US"/>
        </w:rPr>
        <w:t>Contraventions à la convention de prêt</w:t>
      </w:r>
      <w:r w:rsidR="00445ECD">
        <w:rPr>
          <w:rFonts w:ascii="Cambria" w:eastAsia="MS Mincho" w:hAnsi="Cambria"/>
          <w:sz w:val="22"/>
          <w:szCs w:val="22"/>
          <w:lang w:eastAsia="en-US"/>
        </w:rPr>
        <w:t> </w:t>
      </w:r>
      <w:r w:rsidRPr="00C523E4">
        <w:rPr>
          <w:rFonts w:ascii="Cambria" w:eastAsia="MS Mincho" w:hAnsi="Cambria"/>
          <w:sz w:val="22"/>
          <w:szCs w:val="22"/>
          <w:lang w:eastAsia="en-US"/>
        </w:rPr>
        <w:t>2020 (PSH-12)</w:t>
      </w:r>
      <w:r w:rsidRPr="00C523E4">
        <w:rPr>
          <w:rFonts w:ascii="Cambria" w:eastAsia="MS Mincho" w:hAnsi="Cambria"/>
          <w:sz w:val="22"/>
          <w:szCs w:val="22"/>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C523E4">
        <w:rPr>
          <w:rFonts w:ascii="Cambria" w:eastAsia="MS Mincho" w:hAnsi="Cambria"/>
          <w:sz w:val="22"/>
          <w:szCs w:val="22"/>
          <w:lang w:eastAsia="en-US"/>
        </w:rPr>
        <w:t>1</w:t>
      </w:r>
      <w:r w:rsidR="00947185">
        <w:rPr>
          <w:rFonts w:ascii="Cambria" w:eastAsia="MS Mincho" w:hAnsi="Cambria"/>
          <w:sz w:val="22"/>
          <w:szCs w:val="22"/>
          <w:lang w:eastAsia="en-US"/>
        </w:rPr>
        <w:t>70</w:t>
      </w:r>
    </w:p>
    <w:p w14:paraId="451680A0" w14:textId="77777777" w:rsidR="00C55ADC" w:rsidRDefault="00730A01" w:rsidP="00443B59">
      <w:pPr>
        <w:pStyle w:val="Paragraphedeliste"/>
        <w:numPr>
          <w:ilvl w:val="0"/>
          <w:numId w:val="128"/>
        </w:numPr>
        <w:tabs>
          <w:tab w:val="left" w:pos="284"/>
        </w:tabs>
        <w:spacing w:after="240" w:line="276" w:lineRule="auto"/>
        <w:ind w:left="714" w:hanging="357"/>
        <w:rPr>
          <w:rFonts w:ascii="Cambria" w:eastAsia="MS Mincho" w:hAnsi="Cambria"/>
          <w:sz w:val="22"/>
          <w:szCs w:val="22"/>
          <w:lang w:eastAsia="en-US"/>
        </w:rPr>
      </w:pPr>
      <w:r w:rsidRPr="00C523E4">
        <w:rPr>
          <w:rFonts w:ascii="Cambria" w:eastAsia="MS Mincho" w:hAnsi="Cambria"/>
          <w:sz w:val="22"/>
          <w:szCs w:val="22"/>
          <w:lang w:eastAsia="en-US"/>
        </w:rPr>
        <w:t>Autres manquements</w:t>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876C8D">
        <w:rPr>
          <w:rFonts w:ascii="Cambria" w:eastAsia="MS Mincho" w:hAnsi="Cambria"/>
          <w:sz w:val="22"/>
          <w:szCs w:val="22"/>
          <w:u w:val="single"/>
          <w:lang w:eastAsia="en-US"/>
        </w:rPr>
        <w:tab/>
      </w:r>
      <w:r w:rsidRPr="00C523E4">
        <w:rPr>
          <w:rFonts w:ascii="Cambria" w:eastAsia="MS Mincho" w:hAnsi="Cambria"/>
          <w:sz w:val="22"/>
          <w:szCs w:val="22"/>
          <w:lang w:eastAsia="en-US"/>
        </w:rPr>
        <w:t>1</w:t>
      </w:r>
      <w:r w:rsidR="00036F26">
        <w:rPr>
          <w:rFonts w:ascii="Cambria" w:eastAsia="MS Mincho" w:hAnsi="Cambria"/>
          <w:sz w:val="22"/>
          <w:szCs w:val="22"/>
          <w:lang w:eastAsia="en-US"/>
        </w:rPr>
        <w:t>7</w:t>
      </w:r>
      <w:r w:rsidR="00947185">
        <w:rPr>
          <w:rFonts w:ascii="Cambria" w:eastAsia="MS Mincho" w:hAnsi="Cambria"/>
          <w:sz w:val="22"/>
          <w:szCs w:val="22"/>
          <w:lang w:eastAsia="en-US"/>
        </w:rPr>
        <w:t>2</w:t>
      </w:r>
    </w:p>
    <w:p w14:paraId="0B51467B" w14:textId="77777777" w:rsidR="009C221E" w:rsidRPr="001B0EBE" w:rsidRDefault="00730A01" w:rsidP="00420D97">
      <w:pPr>
        <w:tabs>
          <w:tab w:val="left" w:pos="284"/>
        </w:tabs>
        <w:spacing w:after="100" w:afterAutospacing="1" w:line="276" w:lineRule="auto"/>
        <w:jc w:val="center"/>
        <w:rPr>
          <w:rFonts w:ascii="Cambria" w:eastAsia="MS Mincho" w:hAnsi="Cambria"/>
          <w:b/>
          <w:bCs/>
          <w:sz w:val="28"/>
          <w:szCs w:val="28"/>
          <w:lang w:eastAsia="en-US"/>
        </w:rPr>
      </w:pPr>
      <w:r w:rsidRPr="001B0EBE">
        <w:rPr>
          <w:rFonts w:ascii="Cambria" w:eastAsia="MS Mincho" w:hAnsi="Cambria"/>
          <w:b/>
          <w:bCs/>
          <w:sz w:val="28"/>
          <w:szCs w:val="28"/>
          <w:lang w:eastAsia="en-US"/>
        </w:rPr>
        <w:t>ANNEXE C</w:t>
      </w:r>
    </w:p>
    <w:p w14:paraId="480993AE" w14:textId="77777777" w:rsidR="00C55ADC" w:rsidRDefault="00730A01" w:rsidP="00C55ADC">
      <w:pPr>
        <w:tabs>
          <w:tab w:val="left" w:pos="284"/>
        </w:tabs>
        <w:spacing w:line="276" w:lineRule="auto"/>
        <w:contextualSpacing/>
        <w:rPr>
          <w:rFonts w:ascii="Cambria" w:eastAsia="MS Mincho" w:hAnsi="Cambria"/>
          <w:b/>
          <w:bCs/>
          <w:caps/>
          <w:sz w:val="22"/>
          <w:szCs w:val="22"/>
          <w:lang w:eastAsia="en-US"/>
        </w:rPr>
      </w:pPr>
      <w:r w:rsidRPr="00723464">
        <w:rPr>
          <w:rFonts w:ascii="Cambria" w:eastAsia="MS Mincho" w:hAnsi="Cambria"/>
          <w:b/>
          <w:bCs/>
          <w:caps/>
          <w:sz w:val="22"/>
          <w:szCs w:val="22"/>
          <w:lang w:eastAsia="en-US"/>
        </w:rPr>
        <w:t xml:space="preserve">Les projets du Groupe Huot financés par Q-12 et les manquements </w:t>
      </w:r>
    </w:p>
    <w:p w14:paraId="3273607D" w14:textId="77777777" w:rsidR="009C221E" w:rsidRPr="00723464" w:rsidRDefault="00730A01" w:rsidP="00124AA4">
      <w:pPr>
        <w:tabs>
          <w:tab w:val="left" w:pos="284"/>
        </w:tabs>
        <w:spacing w:after="120" w:line="276" w:lineRule="auto"/>
        <w:rPr>
          <w:rFonts w:ascii="Cambria" w:eastAsia="MS Mincho" w:hAnsi="Cambria"/>
          <w:b/>
          <w:bCs/>
          <w:caps/>
          <w:sz w:val="28"/>
          <w:szCs w:val="28"/>
          <w:lang w:eastAsia="en-US"/>
        </w:rPr>
      </w:pPr>
      <w:r w:rsidRPr="00723464">
        <w:rPr>
          <w:rFonts w:ascii="Cambria" w:eastAsia="MS Mincho" w:hAnsi="Cambria"/>
          <w:b/>
          <w:bCs/>
          <w:caps/>
          <w:sz w:val="22"/>
          <w:szCs w:val="22"/>
          <w:lang w:eastAsia="en-US"/>
        </w:rPr>
        <w:t xml:space="preserve">reprochés </w:t>
      </w:r>
      <w:r w:rsidRPr="00723464">
        <w:rPr>
          <w:rFonts w:ascii="Cambria" w:eastAsia="MS Mincho" w:hAnsi="Cambria"/>
          <w:b/>
          <w:bCs/>
          <w:caps/>
          <w:sz w:val="22"/>
          <w:szCs w:val="22"/>
          <w:u w:val="single"/>
          <w:lang w:eastAsia="en-US"/>
        </w:rPr>
        <w:tab/>
      </w:r>
      <w:r w:rsidRPr="00723464">
        <w:rPr>
          <w:rFonts w:ascii="Cambria" w:eastAsia="MS Mincho" w:hAnsi="Cambria"/>
          <w:b/>
          <w:bCs/>
          <w:caps/>
          <w:sz w:val="22"/>
          <w:szCs w:val="22"/>
          <w:u w:val="single"/>
          <w:lang w:eastAsia="en-US"/>
        </w:rPr>
        <w:tab/>
      </w:r>
      <w:r w:rsidR="00C55ADC">
        <w:rPr>
          <w:rFonts w:ascii="Cambria" w:eastAsia="MS Mincho" w:hAnsi="Cambria"/>
          <w:b/>
          <w:bCs/>
          <w:caps/>
          <w:sz w:val="22"/>
          <w:szCs w:val="22"/>
          <w:u w:val="single"/>
          <w:lang w:eastAsia="en-US"/>
        </w:rPr>
        <w:tab/>
      </w:r>
      <w:r w:rsidR="00C55ADC">
        <w:rPr>
          <w:rFonts w:ascii="Cambria" w:eastAsia="MS Mincho" w:hAnsi="Cambria"/>
          <w:b/>
          <w:bCs/>
          <w:caps/>
          <w:sz w:val="22"/>
          <w:szCs w:val="22"/>
          <w:u w:val="single"/>
          <w:lang w:eastAsia="en-US"/>
        </w:rPr>
        <w:tab/>
      </w:r>
      <w:r w:rsidR="00C55ADC">
        <w:rPr>
          <w:rFonts w:ascii="Cambria" w:eastAsia="MS Mincho" w:hAnsi="Cambria"/>
          <w:b/>
          <w:bCs/>
          <w:caps/>
          <w:sz w:val="22"/>
          <w:szCs w:val="22"/>
          <w:u w:val="single"/>
          <w:lang w:eastAsia="en-US"/>
        </w:rPr>
        <w:tab/>
      </w:r>
      <w:r w:rsidR="00C55ADC">
        <w:rPr>
          <w:rFonts w:ascii="Cambria" w:eastAsia="MS Mincho" w:hAnsi="Cambria"/>
          <w:b/>
          <w:bCs/>
          <w:caps/>
          <w:sz w:val="22"/>
          <w:szCs w:val="22"/>
          <w:u w:val="single"/>
          <w:lang w:eastAsia="en-US"/>
        </w:rPr>
        <w:tab/>
      </w:r>
      <w:r w:rsidR="00C55ADC">
        <w:rPr>
          <w:rFonts w:ascii="Cambria" w:eastAsia="MS Mincho" w:hAnsi="Cambria"/>
          <w:b/>
          <w:bCs/>
          <w:caps/>
          <w:sz w:val="22"/>
          <w:szCs w:val="22"/>
          <w:u w:val="single"/>
          <w:lang w:eastAsia="en-US"/>
        </w:rPr>
        <w:tab/>
      </w:r>
      <w:r w:rsidR="00C55ADC">
        <w:rPr>
          <w:rFonts w:ascii="Cambria" w:eastAsia="MS Mincho" w:hAnsi="Cambria"/>
          <w:b/>
          <w:bCs/>
          <w:caps/>
          <w:sz w:val="22"/>
          <w:szCs w:val="22"/>
          <w:u w:val="single"/>
          <w:lang w:eastAsia="en-US"/>
        </w:rPr>
        <w:tab/>
      </w:r>
      <w:r w:rsidR="00C55ADC">
        <w:rPr>
          <w:rFonts w:ascii="Cambria" w:eastAsia="MS Mincho" w:hAnsi="Cambria"/>
          <w:b/>
          <w:bCs/>
          <w:caps/>
          <w:sz w:val="22"/>
          <w:szCs w:val="22"/>
          <w:u w:val="single"/>
          <w:lang w:eastAsia="en-US"/>
        </w:rPr>
        <w:tab/>
      </w:r>
      <w:r w:rsidR="00C55ADC">
        <w:rPr>
          <w:rFonts w:ascii="Cambria" w:eastAsia="MS Mincho" w:hAnsi="Cambria"/>
          <w:b/>
          <w:bCs/>
          <w:caps/>
          <w:sz w:val="22"/>
          <w:szCs w:val="22"/>
          <w:u w:val="single"/>
          <w:lang w:eastAsia="en-US"/>
        </w:rPr>
        <w:tab/>
      </w:r>
      <w:r w:rsidR="00C55ADC">
        <w:rPr>
          <w:rFonts w:ascii="Cambria" w:eastAsia="MS Mincho" w:hAnsi="Cambria"/>
          <w:b/>
          <w:bCs/>
          <w:caps/>
          <w:sz w:val="22"/>
          <w:szCs w:val="22"/>
          <w:u w:val="single"/>
          <w:lang w:eastAsia="en-US"/>
        </w:rPr>
        <w:tab/>
      </w:r>
      <w:r w:rsidRPr="00723464">
        <w:rPr>
          <w:rFonts w:ascii="Cambria" w:eastAsia="MS Mincho" w:hAnsi="Cambria"/>
          <w:b/>
          <w:bCs/>
          <w:caps/>
          <w:sz w:val="22"/>
          <w:szCs w:val="22"/>
          <w:lang w:eastAsia="en-US"/>
        </w:rPr>
        <w:t>17</w:t>
      </w:r>
      <w:r w:rsidR="00947185">
        <w:rPr>
          <w:rFonts w:ascii="Cambria" w:eastAsia="MS Mincho" w:hAnsi="Cambria"/>
          <w:b/>
          <w:bCs/>
          <w:caps/>
          <w:sz w:val="22"/>
          <w:szCs w:val="22"/>
          <w:lang w:eastAsia="en-US"/>
        </w:rPr>
        <w:t>6</w:t>
      </w:r>
    </w:p>
    <w:p w14:paraId="0F4972EE" w14:textId="77777777" w:rsidR="009C221E" w:rsidRPr="005C7D76"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sz w:val="22"/>
          <w:szCs w:val="22"/>
          <w:lang w:eastAsia="en-US"/>
        </w:rPr>
      </w:pPr>
      <w:r w:rsidRPr="005C7D76">
        <w:rPr>
          <w:rFonts w:ascii="Cambria" w:eastAsia="MS Mincho" w:hAnsi="Cambria"/>
          <w:b/>
          <w:bCs/>
          <w:sz w:val="22"/>
          <w:szCs w:val="22"/>
          <w:lang w:eastAsia="en-US"/>
        </w:rPr>
        <w:t xml:space="preserve">Le projet Arrow </w:t>
      </w:r>
      <w:r w:rsidRPr="00C07010">
        <w:rPr>
          <w:rFonts w:ascii="Cambria" w:eastAsia="MS Mincho" w:hAnsi="Cambria"/>
          <w:sz w:val="22"/>
          <w:szCs w:val="22"/>
          <w:lang w:eastAsia="en-US"/>
        </w:rPr>
        <w:t>(P021)</w:t>
      </w:r>
      <w:r w:rsidRPr="005C7D76">
        <w:rPr>
          <w:rFonts w:ascii="Cambria" w:eastAsia="MS Mincho" w:hAnsi="Cambria"/>
          <w:b/>
          <w:bCs/>
          <w:sz w:val="22"/>
          <w:szCs w:val="22"/>
          <w:lang w:eastAsia="en-US"/>
        </w:rPr>
        <w:t xml:space="preserve"> </w:t>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5C7D76">
        <w:rPr>
          <w:rFonts w:ascii="Cambria" w:eastAsia="MS Mincho" w:hAnsi="Cambria"/>
          <w:sz w:val="22"/>
          <w:szCs w:val="22"/>
          <w:lang w:eastAsia="en-US"/>
        </w:rPr>
        <w:t>17</w:t>
      </w:r>
      <w:r w:rsidR="00947185">
        <w:rPr>
          <w:rFonts w:ascii="Cambria" w:eastAsia="MS Mincho" w:hAnsi="Cambria"/>
          <w:sz w:val="22"/>
          <w:szCs w:val="22"/>
          <w:lang w:eastAsia="en-US"/>
        </w:rPr>
        <w:t>6</w:t>
      </w:r>
    </w:p>
    <w:p w14:paraId="0FCACDEF" w14:textId="77777777" w:rsidR="009C221E" w:rsidRPr="005C7D76" w:rsidRDefault="00730A01" w:rsidP="00443B59">
      <w:pPr>
        <w:pStyle w:val="Paragraphedeliste"/>
        <w:numPr>
          <w:ilvl w:val="0"/>
          <w:numId w:val="129"/>
        </w:numPr>
        <w:tabs>
          <w:tab w:val="left" w:pos="284"/>
        </w:tabs>
        <w:spacing w:after="200" w:line="276" w:lineRule="auto"/>
        <w:rPr>
          <w:rFonts w:ascii="Cambria" w:eastAsia="MS Mincho" w:hAnsi="Cambria"/>
          <w:sz w:val="22"/>
          <w:szCs w:val="22"/>
          <w:lang w:eastAsia="en-US"/>
        </w:rPr>
      </w:pPr>
      <w:r w:rsidRPr="005C7D76">
        <w:rPr>
          <w:rFonts w:ascii="Cambria" w:eastAsia="MS Mincho" w:hAnsi="Cambria"/>
          <w:sz w:val="22"/>
          <w:szCs w:val="22"/>
          <w:lang w:eastAsia="en-US"/>
        </w:rPr>
        <w:t>Les manquements reproché</w:t>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lang w:eastAsia="en-US"/>
        </w:rPr>
        <w:t>17</w:t>
      </w:r>
      <w:r w:rsidR="00947185">
        <w:rPr>
          <w:rFonts w:ascii="Cambria" w:eastAsia="MS Mincho" w:hAnsi="Cambria"/>
          <w:sz w:val="22"/>
          <w:szCs w:val="22"/>
          <w:lang w:eastAsia="en-US"/>
        </w:rPr>
        <w:t>6</w:t>
      </w:r>
    </w:p>
    <w:p w14:paraId="724B0983" w14:textId="77777777" w:rsidR="009C221E" w:rsidRPr="005C7D76" w:rsidRDefault="00730A01" w:rsidP="00443B59">
      <w:pPr>
        <w:pStyle w:val="Paragraphedeliste"/>
        <w:numPr>
          <w:ilvl w:val="0"/>
          <w:numId w:val="129"/>
        </w:numPr>
        <w:tabs>
          <w:tab w:val="left" w:pos="284"/>
        </w:tabs>
        <w:spacing w:after="120" w:line="276" w:lineRule="auto"/>
        <w:ind w:left="1225" w:hanging="357"/>
        <w:contextualSpacing w:val="0"/>
        <w:rPr>
          <w:rFonts w:ascii="Cambria" w:eastAsia="MS Mincho" w:hAnsi="Cambria"/>
          <w:sz w:val="22"/>
          <w:szCs w:val="22"/>
          <w:lang w:eastAsia="en-US"/>
        </w:rPr>
      </w:pPr>
      <w:r w:rsidRPr="005C7D76">
        <w:rPr>
          <w:rFonts w:ascii="Cambria" w:eastAsia="MS Mincho" w:hAnsi="Cambria"/>
          <w:sz w:val="22"/>
          <w:szCs w:val="22"/>
          <w:lang w:eastAsia="en-US"/>
        </w:rPr>
        <w:t>Les pertes en lien avec ce prêt</w:t>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lang w:eastAsia="en-US"/>
        </w:rPr>
        <w:t>17</w:t>
      </w:r>
      <w:r w:rsidR="00947185">
        <w:rPr>
          <w:rFonts w:ascii="Cambria" w:eastAsia="MS Mincho" w:hAnsi="Cambria"/>
          <w:sz w:val="22"/>
          <w:szCs w:val="22"/>
          <w:lang w:eastAsia="en-US"/>
        </w:rPr>
        <w:t>7</w:t>
      </w:r>
    </w:p>
    <w:p w14:paraId="43B8CF91" w14:textId="77777777" w:rsidR="009C221E" w:rsidRPr="005C7D76"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b/>
          <w:bCs/>
          <w:sz w:val="22"/>
          <w:szCs w:val="22"/>
          <w:lang w:eastAsia="en-US"/>
        </w:rPr>
      </w:pPr>
      <w:r w:rsidRPr="001B0EBE">
        <w:rPr>
          <w:rFonts w:ascii="Cambria" w:eastAsia="MS Mincho" w:hAnsi="Cambria"/>
          <w:b/>
          <w:bCs/>
          <w:sz w:val="22"/>
          <w:szCs w:val="22"/>
          <w:lang w:eastAsia="en-US"/>
        </w:rPr>
        <w:t>Le projet Hangar Saint-Hubert</w:t>
      </w:r>
      <w:r w:rsidRPr="005C7D76">
        <w:rPr>
          <w:rFonts w:ascii="Cambria" w:eastAsia="MS Mincho" w:hAnsi="Cambria"/>
          <w:b/>
          <w:bCs/>
          <w:sz w:val="22"/>
          <w:szCs w:val="22"/>
          <w:lang w:eastAsia="en-US"/>
        </w:rPr>
        <w:t xml:space="preserve"> </w:t>
      </w:r>
      <w:r w:rsidRPr="00C07010">
        <w:rPr>
          <w:rFonts w:ascii="Cambria" w:eastAsia="MS Mincho" w:hAnsi="Cambria"/>
          <w:sz w:val="22"/>
          <w:szCs w:val="22"/>
          <w:lang w:eastAsia="en-US"/>
        </w:rPr>
        <w:t>(P074).</w:t>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992C8A">
        <w:rPr>
          <w:rFonts w:ascii="Cambria" w:eastAsia="MS Mincho" w:hAnsi="Cambria"/>
          <w:sz w:val="22"/>
          <w:szCs w:val="22"/>
          <w:lang w:eastAsia="en-US"/>
        </w:rPr>
        <w:t>17</w:t>
      </w:r>
      <w:r w:rsidR="00947185">
        <w:rPr>
          <w:rFonts w:ascii="Cambria" w:eastAsia="MS Mincho" w:hAnsi="Cambria"/>
          <w:sz w:val="22"/>
          <w:szCs w:val="22"/>
          <w:lang w:eastAsia="en-US"/>
        </w:rPr>
        <w:t>7</w:t>
      </w:r>
    </w:p>
    <w:p w14:paraId="23FFB396" w14:textId="77777777" w:rsidR="009C221E" w:rsidRPr="00F42302" w:rsidRDefault="00730A01" w:rsidP="00443B59">
      <w:pPr>
        <w:pStyle w:val="Paragraphedeliste"/>
        <w:numPr>
          <w:ilvl w:val="0"/>
          <w:numId w:val="130"/>
        </w:numPr>
        <w:tabs>
          <w:tab w:val="left" w:pos="284"/>
        </w:tabs>
        <w:spacing w:after="200" w:line="276" w:lineRule="auto"/>
        <w:rPr>
          <w:rFonts w:ascii="Cambria" w:eastAsia="MS Mincho" w:hAnsi="Cambria"/>
          <w:sz w:val="22"/>
          <w:szCs w:val="22"/>
          <w:lang w:eastAsia="en-US"/>
        </w:rPr>
      </w:pPr>
      <w:r w:rsidRPr="00F42302">
        <w:rPr>
          <w:rFonts w:ascii="Cambria" w:eastAsia="MS Mincho" w:hAnsi="Cambria"/>
          <w:sz w:val="22"/>
          <w:szCs w:val="22"/>
          <w:lang w:eastAsia="en-US"/>
        </w:rPr>
        <w:t>Les manquements reprochés</w:t>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lang w:eastAsia="en-US"/>
        </w:rPr>
        <w:t>17</w:t>
      </w:r>
      <w:r w:rsidR="00947185">
        <w:rPr>
          <w:rFonts w:ascii="Cambria" w:eastAsia="MS Mincho" w:hAnsi="Cambria"/>
          <w:sz w:val="22"/>
          <w:szCs w:val="22"/>
          <w:lang w:eastAsia="en-US"/>
        </w:rPr>
        <w:t>7</w:t>
      </w:r>
    </w:p>
    <w:p w14:paraId="23994707" w14:textId="77777777" w:rsidR="009C221E" w:rsidRPr="00F42302" w:rsidRDefault="00730A01" w:rsidP="00443B59">
      <w:pPr>
        <w:pStyle w:val="Paragraphedeliste"/>
        <w:numPr>
          <w:ilvl w:val="0"/>
          <w:numId w:val="130"/>
        </w:numPr>
        <w:tabs>
          <w:tab w:val="left" w:pos="284"/>
        </w:tabs>
        <w:spacing w:after="120" w:line="276" w:lineRule="auto"/>
        <w:ind w:left="1225" w:hanging="357"/>
        <w:contextualSpacing w:val="0"/>
        <w:rPr>
          <w:rFonts w:ascii="Cambria" w:eastAsia="MS Mincho" w:hAnsi="Cambria"/>
          <w:sz w:val="22"/>
          <w:szCs w:val="22"/>
          <w:lang w:eastAsia="en-US"/>
        </w:rPr>
      </w:pPr>
      <w:r w:rsidRPr="00F42302">
        <w:rPr>
          <w:rFonts w:ascii="Cambria" w:eastAsia="MS Mincho" w:hAnsi="Cambria"/>
          <w:sz w:val="22"/>
          <w:szCs w:val="22"/>
          <w:lang w:eastAsia="en-US"/>
        </w:rPr>
        <w:t>Les pertes en lien avec ce prêt</w:t>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lang w:eastAsia="en-US"/>
        </w:rPr>
        <w:t>17</w:t>
      </w:r>
      <w:r w:rsidR="00947185">
        <w:rPr>
          <w:rFonts w:ascii="Cambria" w:eastAsia="MS Mincho" w:hAnsi="Cambria"/>
          <w:sz w:val="22"/>
          <w:szCs w:val="22"/>
          <w:lang w:eastAsia="en-US"/>
        </w:rPr>
        <w:t>7</w:t>
      </w:r>
    </w:p>
    <w:p w14:paraId="4A46A099" w14:textId="77777777" w:rsidR="009C221E" w:rsidRPr="005C7D76"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b/>
          <w:bCs/>
          <w:sz w:val="22"/>
          <w:szCs w:val="22"/>
          <w:lang w:eastAsia="en-US"/>
        </w:rPr>
      </w:pPr>
      <w:r w:rsidRPr="001B0EBE">
        <w:rPr>
          <w:rFonts w:ascii="Cambria" w:eastAsia="MS Mincho" w:hAnsi="Cambria"/>
          <w:b/>
          <w:bCs/>
          <w:sz w:val="22"/>
          <w:szCs w:val="22"/>
          <w:lang w:eastAsia="en-US"/>
        </w:rPr>
        <w:t>Le projet Louis XIV</w:t>
      </w:r>
      <w:r w:rsidRPr="005C7D76">
        <w:rPr>
          <w:rFonts w:ascii="Cambria" w:eastAsia="MS Mincho" w:hAnsi="Cambria"/>
          <w:b/>
          <w:bCs/>
          <w:sz w:val="22"/>
          <w:szCs w:val="22"/>
          <w:lang w:eastAsia="en-US"/>
        </w:rPr>
        <w:t xml:space="preserve"> </w:t>
      </w:r>
      <w:r w:rsidRPr="00C07010">
        <w:rPr>
          <w:rFonts w:ascii="Cambria" w:eastAsia="MS Mincho" w:hAnsi="Cambria"/>
          <w:sz w:val="22"/>
          <w:szCs w:val="22"/>
          <w:lang w:eastAsia="en-US"/>
        </w:rPr>
        <w:t>(P034)</w:t>
      </w:r>
      <w:r w:rsidRPr="005C7D76">
        <w:rPr>
          <w:rFonts w:ascii="Cambria" w:eastAsia="MS Mincho" w:hAnsi="Cambria"/>
          <w:b/>
          <w:bCs/>
          <w:sz w:val="22"/>
          <w:szCs w:val="22"/>
          <w:lang w:eastAsia="en-US"/>
        </w:rPr>
        <w:t xml:space="preserve"> </w:t>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992C8A">
        <w:rPr>
          <w:rFonts w:ascii="Cambria" w:eastAsia="MS Mincho" w:hAnsi="Cambria"/>
          <w:sz w:val="22"/>
          <w:szCs w:val="22"/>
          <w:lang w:eastAsia="en-US"/>
        </w:rPr>
        <w:t>17</w:t>
      </w:r>
      <w:r w:rsidR="00947185">
        <w:rPr>
          <w:rFonts w:ascii="Cambria" w:eastAsia="MS Mincho" w:hAnsi="Cambria"/>
          <w:sz w:val="22"/>
          <w:szCs w:val="22"/>
          <w:lang w:eastAsia="en-US"/>
        </w:rPr>
        <w:t>8</w:t>
      </w:r>
    </w:p>
    <w:p w14:paraId="128BEB3F" w14:textId="77777777" w:rsidR="009C221E" w:rsidRPr="00F42302" w:rsidRDefault="00730A01" w:rsidP="00443B59">
      <w:pPr>
        <w:pStyle w:val="Paragraphedeliste"/>
        <w:numPr>
          <w:ilvl w:val="0"/>
          <w:numId w:val="131"/>
        </w:numPr>
        <w:tabs>
          <w:tab w:val="left" w:pos="284"/>
        </w:tabs>
        <w:spacing w:after="200" w:line="276" w:lineRule="auto"/>
        <w:rPr>
          <w:rFonts w:ascii="Cambria" w:eastAsia="MS Mincho" w:hAnsi="Cambria"/>
          <w:sz w:val="22"/>
          <w:szCs w:val="22"/>
          <w:lang w:eastAsia="en-US"/>
        </w:rPr>
      </w:pPr>
      <w:r w:rsidRPr="00F42302">
        <w:rPr>
          <w:rFonts w:ascii="Cambria" w:eastAsia="MS Mincho" w:hAnsi="Cambria"/>
          <w:sz w:val="22"/>
          <w:szCs w:val="22"/>
          <w:lang w:eastAsia="en-US"/>
        </w:rPr>
        <w:t>Les manquements reprochés</w:t>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lang w:eastAsia="en-US"/>
        </w:rPr>
        <w:t>17</w:t>
      </w:r>
      <w:r w:rsidR="00947185">
        <w:rPr>
          <w:rFonts w:ascii="Cambria" w:eastAsia="MS Mincho" w:hAnsi="Cambria"/>
          <w:sz w:val="22"/>
          <w:szCs w:val="22"/>
          <w:lang w:eastAsia="en-US"/>
        </w:rPr>
        <w:t>8</w:t>
      </w:r>
    </w:p>
    <w:p w14:paraId="1CCC8550" w14:textId="77777777" w:rsidR="009C221E" w:rsidRPr="00F42302" w:rsidRDefault="00730A01" w:rsidP="00443B59">
      <w:pPr>
        <w:pStyle w:val="Paragraphedeliste"/>
        <w:numPr>
          <w:ilvl w:val="0"/>
          <w:numId w:val="131"/>
        </w:numPr>
        <w:tabs>
          <w:tab w:val="left" w:pos="284"/>
        </w:tabs>
        <w:spacing w:after="120" w:line="276" w:lineRule="auto"/>
        <w:ind w:left="1225" w:hanging="357"/>
        <w:contextualSpacing w:val="0"/>
        <w:rPr>
          <w:rFonts w:ascii="Cambria" w:eastAsia="MS Mincho" w:hAnsi="Cambria"/>
          <w:sz w:val="22"/>
          <w:szCs w:val="22"/>
          <w:lang w:eastAsia="en-US"/>
        </w:rPr>
      </w:pPr>
      <w:r w:rsidRPr="00F42302">
        <w:rPr>
          <w:rFonts w:ascii="Cambria" w:eastAsia="MS Mincho" w:hAnsi="Cambria"/>
          <w:sz w:val="22"/>
          <w:szCs w:val="22"/>
          <w:lang w:eastAsia="en-US"/>
        </w:rPr>
        <w:t>Les pertes en lien avec ce prêt</w:t>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lang w:eastAsia="en-US"/>
        </w:rPr>
        <w:t>17</w:t>
      </w:r>
      <w:r w:rsidR="00947185">
        <w:rPr>
          <w:rFonts w:ascii="Cambria" w:eastAsia="MS Mincho" w:hAnsi="Cambria"/>
          <w:sz w:val="22"/>
          <w:szCs w:val="22"/>
          <w:lang w:eastAsia="en-US"/>
        </w:rPr>
        <w:t>8</w:t>
      </w:r>
    </w:p>
    <w:p w14:paraId="6D231518" w14:textId="77777777" w:rsidR="009C221E" w:rsidRPr="005C7D76"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b/>
          <w:bCs/>
          <w:sz w:val="22"/>
          <w:szCs w:val="22"/>
          <w:lang w:eastAsia="en-US"/>
        </w:rPr>
      </w:pPr>
      <w:r w:rsidRPr="001B0EBE">
        <w:rPr>
          <w:rFonts w:ascii="Cambria" w:eastAsia="MS Mincho" w:hAnsi="Cambria"/>
          <w:b/>
          <w:bCs/>
          <w:sz w:val="22"/>
          <w:szCs w:val="22"/>
          <w:lang w:eastAsia="en-US"/>
        </w:rPr>
        <w:t>Le projet Kepler</w:t>
      </w:r>
      <w:r w:rsidRPr="005C7D76">
        <w:rPr>
          <w:rFonts w:ascii="Cambria" w:eastAsia="MS Mincho" w:hAnsi="Cambria"/>
          <w:b/>
          <w:bCs/>
          <w:sz w:val="22"/>
          <w:szCs w:val="22"/>
          <w:lang w:eastAsia="en-US"/>
        </w:rPr>
        <w:t xml:space="preserve"> </w:t>
      </w:r>
      <w:r w:rsidRPr="00C07010">
        <w:rPr>
          <w:rFonts w:ascii="Cambria" w:eastAsia="MS Mincho" w:hAnsi="Cambria"/>
          <w:sz w:val="22"/>
          <w:szCs w:val="22"/>
          <w:lang w:eastAsia="en-US"/>
        </w:rPr>
        <w:t>(P064)</w:t>
      </w:r>
      <w:r w:rsidRPr="005C7D76">
        <w:rPr>
          <w:rFonts w:ascii="Cambria" w:eastAsia="MS Mincho" w:hAnsi="Cambria"/>
          <w:b/>
          <w:bCs/>
          <w:sz w:val="22"/>
          <w:szCs w:val="22"/>
          <w:lang w:eastAsia="en-US"/>
        </w:rPr>
        <w:t xml:space="preserve"> </w:t>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C07010">
        <w:rPr>
          <w:rFonts w:ascii="Cambria" w:eastAsia="MS Mincho" w:hAnsi="Cambria"/>
          <w:sz w:val="22"/>
          <w:szCs w:val="22"/>
          <w:u w:val="single"/>
          <w:lang w:eastAsia="en-US"/>
        </w:rPr>
        <w:tab/>
      </w:r>
      <w:r w:rsidRPr="00C07010">
        <w:rPr>
          <w:rFonts w:ascii="Cambria" w:eastAsia="MS Mincho" w:hAnsi="Cambria"/>
          <w:sz w:val="22"/>
          <w:szCs w:val="22"/>
          <w:u w:val="single"/>
          <w:lang w:eastAsia="en-US"/>
        </w:rPr>
        <w:tab/>
      </w:r>
      <w:r w:rsidRPr="00C07010">
        <w:rPr>
          <w:rFonts w:ascii="Cambria" w:eastAsia="MS Mincho" w:hAnsi="Cambria"/>
          <w:sz w:val="22"/>
          <w:szCs w:val="22"/>
          <w:u w:val="single"/>
          <w:lang w:eastAsia="en-US"/>
        </w:rPr>
        <w:tab/>
      </w:r>
      <w:r w:rsidRPr="00C07010">
        <w:rPr>
          <w:rFonts w:ascii="Cambria" w:eastAsia="MS Mincho" w:hAnsi="Cambria"/>
          <w:sz w:val="22"/>
          <w:szCs w:val="22"/>
          <w:u w:val="single"/>
          <w:lang w:eastAsia="en-US"/>
        </w:rPr>
        <w:tab/>
      </w:r>
      <w:r w:rsidRPr="00992C8A">
        <w:rPr>
          <w:rFonts w:ascii="Cambria" w:eastAsia="MS Mincho" w:hAnsi="Cambria"/>
          <w:sz w:val="22"/>
          <w:szCs w:val="22"/>
          <w:lang w:eastAsia="en-US"/>
        </w:rPr>
        <w:t>17</w:t>
      </w:r>
      <w:r w:rsidR="00947185">
        <w:rPr>
          <w:rFonts w:ascii="Cambria" w:eastAsia="MS Mincho" w:hAnsi="Cambria"/>
          <w:sz w:val="22"/>
          <w:szCs w:val="22"/>
          <w:lang w:eastAsia="en-US"/>
        </w:rPr>
        <w:t>9</w:t>
      </w:r>
    </w:p>
    <w:p w14:paraId="75ED1B0C" w14:textId="77777777" w:rsidR="009C221E" w:rsidRPr="00F42302" w:rsidRDefault="00730A01" w:rsidP="00443B59">
      <w:pPr>
        <w:pStyle w:val="Paragraphedeliste"/>
        <w:numPr>
          <w:ilvl w:val="0"/>
          <w:numId w:val="132"/>
        </w:numPr>
        <w:tabs>
          <w:tab w:val="left" w:pos="284"/>
        </w:tabs>
        <w:spacing w:after="200" w:line="276" w:lineRule="auto"/>
        <w:rPr>
          <w:rFonts w:ascii="Cambria" w:eastAsia="MS Mincho" w:hAnsi="Cambria"/>
          <w:sz w:val="22"/>
          <w:szCs w:val="22"/>
          <w:lang w:eastAsia="en-US"/>
        </w:rPr>
      </w:pPr>
      <w:r w:rsidRPr="00F42302">
        <w:rPr>
          <w:rFonts w:ascii="Cambria" w:eastAsia="MS Mincho" w:hAnsi="Cambria"/>
          <w:sz w:val="22"/>
          <w:szCs w:val="22"/>
          <w:lang w:eastAsia="en-US"/>
        </w:rPr>
        <w:t>Les manquements reprochés</w:t>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lang w:eastAsia="en-US"/>
        </w:rPr>
        <w:t>17</w:t>
      </w:r>
      <w:r w:rsidR="00947185">
        <w:rPr>
          <w:rFonts w:ascii="Cambria" w:eastAsia="MS Mincho" w:hAnsi="Cambria"/>
          <w:sz w:val="22"/>
          <w:szCs w:val="22"/>
          <w:lang w:eastAsia="en-US"/>
        </w:rPr>
        <w:t>9</w:t>
      </w:r>
    </w:p>
    <w:p w14:paraId="243399C4" w14:textId="77777777" w:rsidR="009C221E" w:rsidRDefault="00730A01" w:rsidP="00443B59">
      <w:pPr>
        <w:pStyle w:val="Paragraphedeliste"/>
        <w:numPr>
          <w:ilvl w:val="0"/>
          <w:numId w:val="132"/>
        </w:numPr>
        <w:tabs>
          <w:tab w:val="left" w:pos="284"/>
        </w:tabs>
        <w:spacing w:after="120" w:line="276" w:lineRule="auto"/>
        <w:ind w:left="1225" w:hanging="357"/>
        <w:contextualSpacing w:val="0"/>
        <w:rPr>
          <w:rFonts w:ascii="Cambria" w:eastAsia="MS Mincho" w:hAnsi="Cambria"/>
          <w:sz w:val="22"/>
          <w:szCs w:val="22"/>
          <w:lang w:eastAsia="en-US"/>
        </w:rPr>
      </w:pPr>
      <w:r w:rsidRPr="00F42302">
        <w:rPr>
          <w:rFonts w:ascii="Cambria" w:eastAsia="MS Mincho" w:hAnsi="Cambria"/>
          <w:sz w:val="22"/>
          <w:szCs w:val="22"/>
          <w:lang w:eastAsia="en-US"/>
        </w:rPr>
        <w:t>Les pertes en lien avec ce prêt</w:t>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u w:val="single"/>
          <w:lang w:eastAsia="en-US"/>
        </w:rPr>
        <w:tab/>
      </w:r>
      <w:r w:rsidRPr="00F42302">
        <w:rPr>
          <w:rFonts w:ascii="Cambria" w:eastAsia="MS Mincho" w:hAnsi="Cambria"/>
          <w:sz w:val="22"/>
          <w:szCs w:val="22"/>
          <w:lang w:eastAsia="en-US"/>
        </w:rPr>
        <w:t>1</w:t>
      </w:r>
      <w:r w:rsidR="00947185">
        <w:rPr>
          <w:rFonts w:ascii="Cambria" w:eastAsia="MS Mincho" w:hAnsi="Cambria"/>
          <w:sz w:val="22"/>
          <w:szCs w:val="22"/>
          <w:lang w:eastAsia="en-US"/>
        </w:rPr>
        <w:t>80</w:t>
      </w:r>
    </w:p>
    <w:p w14:paraId="6A9EB829" w14:textId="77777777" w:rsidR="009C221E" w:rsidRPr="005C7D76"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b/>
          <w:bCs/>
          <w:sz w:val="22"/>
          <w:szCs w:val="22"/>
          <w:lang w:eastAsia="en-US"/>
        </w:rPr>
      </w:pPr>
      <w:r w:rsidRPr="001B0EBE">
        <w:rPr>
          <w:rFonts w:ascii="Cambria" w:eastAsia="MS Mincho" w:hAnsi="Cambria"/>
          <w:b/>
          <w:bCs/>
          <w:sz w:val="22"/>
          <w:szCs w:val="22"/>
          <w:lang w:eastAsia="en-US"/>
        </w:rPr>
        <w:t>Le projet Transrapide</w:t>
      </w:r>
      <w:r w:rsidRPr="005C7D76">
        <w:rPr>
          <w:rFonts w:ascii="Cambria" w:eastAsia="MS Mincho" w:hAnsi="Cambria"/>
          <w:b/>
          <w:bCs/>
          <w:sz w:val="22"/>
          <w:szCs w:val="22"/>
          <w:lang w:eastAsia="en-US"/>
        </w:rPr>
        <w:t xml:space="preserve"> </w:t>
      </w:r>
      <w:r w:rsidRPr="00C07010">
        <w:rPr>
          <w:rFonts w:ascii="Cambria" w:eastAsia="MS Mincho" w:hAnsi="Cambria"/>
          <w:sz w:val="22"/>
          <w:szCs w:val="22"/>
          <w:lang w:eastAsia="en-US"/>
        </w:rPr>
        <w:t>(P069, P079, P082, P084)</w:t>
      </w:r>
      <w:r w:rsidRPr="005C7D76">
        <w:rPr>
          <w:rFonts w:ascii="Cambria" w:eastAsia="MS Mincho" w:hAnsi="Cambria"/>
          <w:b/>
          <w:bCs/>
          <w:sz w:val="22"/>
          <w:szCs w:val="22"/>
          <w:lang w:eastAsia="en-US"/>
        </w:rPr>
        <w:t xml:space="preserve"> </w:t>
      </w:r>
      <w:r w:rsidRPr="00C07010">
        <w:rPr>
          <w:rFonts w:ascii="Cambria" w:eastAsia="MS Mincho" w:hAnsi="Cambria"/>
          <w:sz w:val="22"/>
          <w:szCs w:val="22"/>
          <w:u w:val="single"/>
          <w:lang w:eastAsia="en-US"/>
        </w:rPr>
        <w:tab/>
      </w:r>
      <w:r w:rsidRPr="00C07010">
        <w:rPr>
          <w:rFonts w:ascii="Cambria" w:eastAsia="MS Mincho" w:hAnsi="Cambria"/>
          <w:sz w:val="22"/>
          <w:szCs w:val="22"/>
          <w:u w:val="single"/>
          <w:lang w:eastAsia="en-US"/>
        </w:rPr>
        <w:tab/>
      </w:r>
      <w:r w:rsidRPr="00C07010">
        <w:rPr>
          <w:rFonts w:ascii="Cambria" w:eastAsia="MS Mincho" w:hAnsi="Cambria"/>
          <w:sz w:val="22"/>
          <w:szCs w:val="22"/>
          <w:u w:val="single"/>
          <w:lang w:eastAsia="en-US"/>
        </w:rPr>
        <w:tab/>
      </w:r>
      <w:r w:rsidRPr="00C07010">
        <w:rPr>
          <w:rFonts w:ascii="Cambria" w:eastAsia="MS Mincho" w:hAnsi="Cambria"/>
          <w:sz w:val="22"/>
          <w:szCs w:val="22"/>
          <w:u w:val="single"/>
          <w:lang w:eastAsia="en-US"/>
        </w:rPr>
        <w:tab/>
      </w:r>
      <w:r w:rsidRPr="00C07010">
        <w:rPr>
          <w:rFonts w:ascii="Cambria" w:eastAsia="MS Mincho" w:hAnsi="Cambria"/>
          <w:sz w:val="22"/>
          <w:szCs w:val="22"/>
          <w:u w:val="single"/>
          <w:lang w:eastAsia="en-US"/>
        </w:rPr>
        <w:tab/>
      </w:r>
      <w:r w:rsidRPr="00992C8A">
        <w:rPr>
          <w:rFonts w:ascii="Cambria" w:eastAsia="MS Mincho" w:hAnsi="Cambria"/>
          <w:sz w:val="22"/>
          <w:szCs w:val="22"/>
          <w:lang w:eastAsia="en-US"/>
        </w:rPr>
        <w:t>1</w:t>
      </w:r>
      <w:r w:rsidR="00947185">
        <w:rPr>
          <w:rFonts w:ascii="Cambria" w:eastAsia="MS Mincho" w:hAnsi="Cambria"/>
          <w:sz w:val="22"/>
          <w:szCs w:val="22"/>
          <w:lang w:eastAsia="en-US"/>
        </w:rPr>
        <w:t>80</w:t>
      </w:r>
    </w:p>
    <w:p w14:paraId="660BF36E" w14:textId="77777777" w:rsidR="009C221E" w:rsidRPr="00100317" w:rsidRDefault="00730A01" w:rsidP="00443B59">
      <w:pPr>
        <w:pStyle w:val="Paragraphedeliste"/>
        <w:numPr>
          <w:ilvl w:val="0"/>
          <w:numId w:val="133"/>
        </w:numPr>
        <w:tabs>
          <w:tab w:val="left" w:pos="284"/>
        </w:tabs>
        <w:spacing w:after="200" w:line="276" w:lineRule="auto"/>
        <w:rPr>
          <w:rFonts w:ascii="Cambria" w:eastAsia="MS Mincho" w:hAnsi="Cambria"/>
          <w:sz w:val="22"/>
          <w:szCs w:val="22"/>
          <w:lang w:eastAsia="en-US"/>
        </w:rPr>
      </w:pPr>
      <w:r w:rsidRPr="00100317">
        <w:rPr>
          <w:rFonts w:ascii="Cambria" w:eastAsia="MS Mincho" w:hAnsi="Cambria"/>
          <w:sz w:val="22"/>
          <w:szCs w:val="22"/>
          <w:lang w:eastAsia="en-US"/>
        </w:rPr>
        <w:t>Les manquements reprochés</w:t>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lang w:eastAsia="en-US"/>
        </w:rPr>
        <w:t>1</w:t>
      </w:r>
      <w:r w:rsidR="00947185">
        <w:rPr>
          <w:rFonts w:ascii="Cambria" w:eastAsia="MS Mincho" w:hAnsi="Cambria"/>
          <w:sz w:val="22"/>
          <w:szCs w:val="22"/>
          <w:lang w:eastAsia="en-US"/>
        </w:rPr>
        <w:t>80</w:t>
      </w:r>
    </w:p>
    <w:p w14:paraId="7386AA6F" w14:textId="77777777" w:rsidR="009C221E" w:rsidRPr="00100317" w:rsidRDefault="00730A01" w:rsidP="00443B59">
      <w:pPr>
        <w:pStyle w:val="Paragraphedeliste"/>
        <w:numPr>
          <w:ilvl w:val="0"/>
          <w:numId w:val="133"/>
        </w:numPr>
        <w:tabs>
          <w:tab w:val="left" w:pos="284"/>
        </w:tabs>
        <w:spacing w:after="120" w:line="276" w:lineRule="auto"/>
        <w:ind w:left="1225" w:hanging="357"/>
        <w:contextualSpacing w:val="0"/>
        <w:rPr>
          <w:rFonts w:ascii="Cambria" w:eastAsia="MS Mincho" w:hAnsi="Cambria"/>
          <w:sz w:val="22"/>
          <w:szCs w:val="22"/>
          <w:lang w:eastAsia="en-US"/>
        </w:rPr>
      </w:pPr>
      <w:r w:rsidRPr="00100317">
        <w:rPr>
          <w:rFonts w:ascii="Cambria" w:eastAsia="MS Mincho" w:hAnsi="Cambria"/>
          <w:sz w:val="22"/>
          <w:szCs w:val="22"/>
          <w:lang w:eastAsia="en-US"/>
        </w:rPr>
        <w:t>Les pertes en lien avec ce prêt</w:t>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1</w:t>
      </w:r>
    </w:p>
    <w:p w14:paraId="10455E9C" w14:textId="77777777" w:rsidR="009C221E" w:rsidRPr="00100317"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sz w:val="22"/>
          <w:szCs w:val="22"/>
          <w:lang w:eastAsia="en-US"/>
        </w:rPr>
      </w:pPr>
      <w:r w:rsidRPr="001B0EBE">
        <w:rPr>
          <w:rFonts w:ascii="Cambria" w:eastAsia="MS Mincho" w:hAnsi="Cambria"/>
          <w:b/>
          <w:bCs/>
          <w:sz w:val="22"/>
          <w:szCs w:val="22"/>
          <w:lang w:eastAsia="en-US"/>
        </w:rPr>
        <w:t>Le projet Hangar Blanc-Sablon</w:t>
      </w:r>
      <w:r w:rsidRPr="005C7D76">
        <w:rPr>
          <w:rFonts w:ascii="Cambria" w:eastAsia="MS Mincho" w:hAnsi="Cambria"/>
          <w:b/>
          <w:bCs/>
          <w:sz w:val="22"/>
          <w:szCs w:val="22"/>
          <w:lang w:eastAsia="en-US"/>
        </w:rPr>
        <w:t xml:space="preserve"> </w:t>
      </w:r>
      <w:r w:rsidRPr="00992C8A">
        <w:rPr>
          <w:rFonts w:ascii="Cambria" w:eastAsia="MS Mincho" w:hAnsi="Cambria"/>
          <w:sz w:val="22"/>
          <w:szCs w:val="22"/>
          <w:lang w:eastAsia="en-US"/>
        </w:rPr>
        <w:t>(P067)</w:t>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1</w:t>
      </w:r>
    </w:p>
    <w:p w14:paraId="504B4AEE" w14:textId="77777777" w:rsidR="009C221E" w:rsidRPr="005C7D76"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b/>
          <w:bCs/>
          <w:sz w:val="22"/>
          <w:szCs w:val="22"/>
          <w:lang w:eastAsia="en-US"/>
        </w:rPr>
      </w:pPr>
      <w:r w:rsidRPr="001B0EBE">
        <w:rPr>
          <w:rFonts w:ascii="Cambria" w:eastAsia="MS Mincho" w:hAnsi="Cambria"/>
          <w:b/>
          <w:bCs/>
          <w:sz w:val="22"/>
          <w:szCs w:val="22"/>
          <w:lang w:eastAsia="en-US"/>
        </w:rPr>
        <w:t>Le projet Père-Lelièvre/Riviera</w:t>
      </w:r>
      <w:r w:rsidRPr="005C7D76">
        <w:rPr>
          <w:rFonts w:ascii="Cambria" w:eastAsia="MS Mincho" w:hAnsi="Cambria"/>
          <w:b/>
          <w:bCs/>
          <w:sz w:val="22"/>
          <w:szCs w:val="22"/>
          <w:lang w:eastAsia="en-US"/>
        </w:rPr>
        <w:t xml:space="preserve"> </w:t>
      </w:r>
      <w:r w:rsidRPr="00992C8A">
        <w:rPr>
          <w:rFonts w:ascii="Cambria" w:eastAsia="MS Mincho" w:hAnsi="Cambria"/>
          <w:sz w:val="22"/>
          <w:szCs w:val="22"/>
          <w:lang w:eastAsia="en-US"/>
        </w:rPr>
        <w:t>(P072)</w:t>
      </w:r>
      <w:r w:rsidRPr="005C7D76">
        <w:rPr>
          <w:rFonts w:ascii="Cambria" w:eastAsia="MS Mincho" w:hAnsi="Cambria"/>
          <w:b/>
          <w:bCs/>
          <w:sz w:val="22"/>
          <w:szCs w:val="22"/>
          <w:lang w:eastAsia="en-US"/>
        </w:rPr>
        <w:t xml:space="preserve"> </w:t>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1</w:t>
      </w:r>
    </w:p>
    <w:p w14:paraId="73867881" w14:textId="77777777" w:rsidR="009C221E" w:rsidRPr="00100317" w:rsidRDefault="00730A01" w:rsidP="00443B59">
      <w:pPr>
        <w:pStyle w:val="Paragraphedeliste"/>
        <w:numPr>
          <w:ilvl w:val="0"/>
          <w:numId w:val="134"/>
        </w:numPr>
        <w:tabs>
          <w:tab w:val="left" w:pos="284"/>
        </w:tabs>
        <w:spacing w:after="200" w:line="276" w:lineRule="auto"/>
        <w:rPr>
          <w:rFonts w:ascii="Cambria" w:eastAsia="MS Mincho" w:hAnsi="Cambria"/>
          <w:sz w:val="22"/>
          <w:szCs w:val="22"/>
          <w:lang w:eastAsia="en-US"/>
        </w:rPr>
      </w:pPr>
      <w:r w:rsidRPr="00100317">
        <w:rPr>
          <w:rFonts w:ascii="Cambria" w:eastAsia="MS Mincho" w:hAnsi="Cambria"/>
          <w:sz w:val="22"/>
          <w:szCs w:val="22"/>
          <w:lang w:eastAsia="en-US"/>
        </w:rPr>
        <w:t>Les manquements reprochés</w:t>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1</w:t>
      </w:r>
    </w:p>
    <w:p w14:paraId="08C9EA39" w14:textId="77777777" w:rsidR="00823028" w:rsidRDefault="00730A01" w:rsidP="00443B59">
      <w:pPr>
        <w:pStyle w:val="Paragraphedeliste"/>
        <w:numPr>
          <w:ilvl w:val="0"/>
          <w:numId w:val="134"/>
        </w:numPr>
        <w:tabs>
          <w:tab w:val="left" w:pos="284"/>
        </w:tabs>
        <w:spacing w:after="120" w:line="276" w:lineRule="auto"/>
        <w:ind w:left="1225" w:hanging="357"/>
        <w:contextualSpacing w:val="0"/>
        <w:rPr>
          <w:rFonts w:ascii="Cambria" w:eastAsia="MS Mincho" w:hAnsi="Cambria"/>
          <w:sz w:val="22"/>
          <w:szCs w:val="22"/>
          <w:lang w:eastAsia="en-US"/>
        </w:rPr>
      </w:pPr>
      <w:r w:rsidRPr="00100317">
        <w:rPr>
          <w:rFonts w:ascii="Cambria" w:eastAsia="MS Mincho" w:hAnsi="Cambria"/>
          <w:sz w:val="22"/>
          <w:szCs w:val="22"/>
          <w:lang w:eastAsia="en-US"/>
        </w:rPr>
        <w:t>Les pertes en lien avec ce prêt</w:t>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2</w:t>
      </w:r>
    </w:p>
    <w:p w14:paraId="452B3BD6" w14:textId="77777777" w:rsidR="00823028" w:rsidRDefault="00730A01">
      <w:pPr>
        <w:rPr>
          <w:rFonts w:ascii="Cambria" w:eastAsia="MS Mincho" w:hAnsi="Cambria"/>
          <w:sz w:val="22"/>
          <w:szCs w:val="22"/>
          <w:lang w:eastAsia="en-US"/>
        </w:rPr>
      </w:pPr>
      <w:r>
        <w:rPr>
          <w:rFonts w:ascii="Cambria" w:eastAsia="MS Mincho" w:hAnsi="Cambria"/>
          <w:sz w:val="22"/>
          <w:szCs w:val="22"/>
          <w:lang w:eastAsia="en-US"/>
        </w:rPr>
        <w:br w:type="page"/>
      </w:r>
    </w:p>
    <w:p w14:paraId="26A36440" w14:textId="77777777" w:rsidR="009C221E" w:rsidRPr="005C7D76"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b/>
          <w:bCs/>
          <w:sz w:val="22"/>
          <w:szCs w:val="22"/>
          <w:lang w:eastAsia="en-US"/>
        </w:rPr>
      </w:pPr>
      <w:r w:rsidRPr="002A2FF3">
        <w:rPr>
          <w:rFonts w:ascii="Cambria" w:eastAsia="MS Mincho" w:hAnsi="Cambria"/>
          <w:b/>
          <w:bCs/>
          <w:sz w:val="22"/>
          <w:szCs w:val="22"/>
          <w:lang w:eastAsia="en-US"/>
        </w:rPr>
        <w:t xml:space="preserve">La créance « Diplomates » </w:t>
      </w:r>
      <w:r w:rsidRPr="00036F26">
        <w:rPr>
          <w:rFonts w:ascii="Cambria" w:eastAsia="MS Mincho" w:hAnsi="Cambria"/>
          <w:b/>
          <w:bCs/>
          <w:sz w:val="22"/>
          <w:szCs w:val="22"/>
          <w:u w:val="single"/>
          <w:lang w:eastAsia="en-US"/>
        </w:rPr>
        <w:tab/>
      </w:r>
      <w:r w:rsidRPr="00036F26">
        <w:rPr>
          <w:rFonts w:ascii="Cambria" w:eastAsia="MS Mincho" w:hAnsi="Cambria"/>
          <w:b/>
          <w:bCs/>
          <w:sz w:val="22"/>
          <w:szCs w:val="22"/>
          <w:u w:val="single"/>
          <w:lang w:eastAsia="en-US"/>
        </w:rPr>
        <w:tab/>
      </w:r>
      <w:r w:rsidRPr="00036F26">
        <w:rPr>
          <w:rFonts w:ascii="Cambria" w:eastAsia="MS Mincho" w:hAnsi="Cambria"/>
          <w:b/>
          <w:bCs/>
          <w:sz w:val="22"/>
          <w:szCs w:val="22"/>
          <w:u w:val="single"/>
          <w:lang w:eastAsia="en-US"/>
        </w:rPr>
        <w:tab/>
      </w:r>
      <w:r w:rsidRPr="00036F26">
        <w:rPr>
          <w:rFonts w:ascii="Cambria" w:eastAsia="MS Mincho" w:hAnsi="Cambria"/>
          <w:b/>
          <w:bCs/>
          <w:sz w:val="22"/>
          <w:szCs w:val="22"/>
          <w:u w:val="single"/>
          <w:lang w:eastAsia="en-US"/>
        </w:rPr>
        <w:tab/>
      </w:r>
      <w:r w:rsidRPr="00036F26">
        <w:rPr>
          <w:rFonts w:ascii="Cambria" w:eastAsia="MS Mincho" w:hAnsi="Cambria"/>
          <w:sz w:val="22"/>
          <w:szCs w:val="22"/>
          <w:u w:val="single"/>
          <w:lang w:eastAsia="en-US"/>
        </w:rPr>
        <w:tab/>
      </w:r>
      <w:r w:rsidRPr="00036F26">
        <w:rPr>
          <w:rFonts w:ascii="Cambria" w:eastAsia="MS Mincho" w:hAnsi="Cambria"/>
          <w:sz w:val="22"/>
          <w:szCs w:val="22"/>
          <w:u w:val="single"/>
          <w:lang w:eastAsia="en-US"/>
        </w:rPr>
        <w:tab/>
      </w:r>
      <w:r w:rsidRPr="00036F26">
        <w:rPr>
          <w:rFonts w:ascii="Cambria" w:eastAsia="MS Mincho" w:hAnsi="Cambria"/>
          <w:sz w:val="22"/>
          <w:szCs w:val="22"/>
          <w:u w:val="single"/>
          <w:lang w:eastAsia="en-US"/>
        </w:rPr>
        <w:tab/>
      </w:r>
      <w:r w:rsidRPr="00036F26">
        <w:rPr>
          <w:rFonts w:ascii="Cambria" w:eastAsia="MS Mincho" w:hAnsi="Cambria"/>
          <w:sz w:val="22"/>
          <w:szCs w:val="22"/>
          <w:u w:val="single"/>
          <w:lang w:eastAsia="en-US"/>
        </w:rPr>
        <w:tab/>
      </w:r>
      <w:r w:rsidRPr="00100317">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2</w:t>
      </w:r>
    </w:p>
    <w:p w14:paraId="6549A71E" w14:textId="77777777" w:rsidR="009C221E" w:rsidRPr="00100317" w:rsidRDefault="00730A01" w:rsidP="00443B59">
      <w:pPr>
        <w:pStyle w:val="Paragraphedeliste"/>
        <w:numPr>
          <w:ilvl w:val="0"/>
          <w:numId w:val="135"/>
        </w:numPr>
        <w:tabs>
          <w:tab w:val="left" w:pos="284"/>
        </w:tabs>
        <w:spacing w:after="120" w:line="276" w:lineRule="auto"/>
        <w:contextualSpacing w:val="0"/>
        <w:rPr>
          <w:rFonts w:ascii="Cambria" w:eastAsia="MS Mincho" w:hAnsi="Cambria"/>
          <w:sz w:val="22"/>
          <w:szCs w:val="22"/>
          <w:lang w:eastAsia="en-US"/>
        </w:rPr>
      </w:pPr>
      <w:r w:rsidRPr="002A2FF3">
        <w:rPr>
          <w:rFonts w:ascii="Cambria" w:eastAsia="MS Mincho" w:hAnsi="Cambria"/>
          <w:sz w:val="22"/>
          <w:szCs w:val="22"/>
          <w:lang w:eastAsia="en-US"/>
        </w:rPr>
        <w:t>Les manquements reprochés</w:t>
      </w:r>
      <w:r w:rsidRPr="002A2FF3">
        <w:rPr>
          <w:rFonts w:ascii="Cambria" w:eastAsia="MS Mincho" w:hAnsi="Cambria"/>
          <w:sz w:val="22"/>
          <w:szCs w:val="22"/>
          <w:u w:val="single"/>
          <w:lang w:eastAsia="en-US"/>
        </w:rPr>
        <w:tab/>
      </w:r>
      <w:r w:rsidRPr="002A2FF3">
        <w:rPr>
          <w:rFonts w:ascii="Cambria" w:eastAsia="MS Mincho" w:hAnsi="Cambria"/>
          <w:sz w:val="22"/>
          <w:szCs w:val="22"/>
          <w:u w:val="single"/>
          <w:lang w:eastAsia="en-US"/>
        </w:rPr>
        <w:tab/>
      </w:r>
      <w:r w:rsidRPr="002A2FF3">
        <w:rPr>
          <w:rFonts w:ascii="Cambria" w:eastAsia="MS Mincho" w:hAnsi="Cambria"/>
          <w:sz w:val="22"/>
          <w:szCs w:val="22"/>
          <w:u w:val="single"/>
          <w:lang w:eastAsia="en-US"/>
        </w:rPr>
        <w:tab/>
      </w:r>
      <w:r w:rsidRPr="002A2FF3">
        <w:rPr>
          <w:rFonts w:ascii="Cambria" w:eastAsia="MS Mincho" w:hAnsi="Cambria"/>
          <w:sz w:val="22"/>
          <w:szCs w:val="22"/>
          <w:u w:val="single"/>
          <w:lang w:eastAsia="en-US"/>
        </w:rPr>
        <w:tab/>
      </w:r>
      <w:r w:rsidRPr="002A2FF3">
        <w:rPr>
          <w:rFonts w:ascii="Cambria" w:eastAsia="MS Mincho" w:hAnsi="Cambria"/>
          <w:sz w:val="22"/>
          <w:szCs w:val="22"/>
          <w:u w:val="single"/>
          <w:lang w:eastAsia="en-US"/>
        </w:rPr>
        <w:tab/>
      </w:r>
      <w:r>
        <w:rPr>
          <w:rFonts w:ascii="Cambria" w:eastAsia="MS Mincho" w:hAnsi="Cambria"/>
          <w:sz w:val="22"/>
          <w:szCs w:val="22"/>
          <w:u w:val="single"/>
          <w:lang w:eastAsia="en-US"/>
        </w:rPr>
        <w:tab/>
      </w:r>
      <w:r w:rsidRPr="002A2FF3">
        <w:rPr>
          <w:rFonts w:ascii="Cambria" w:eastAsia="MS Mincho" w:hAnsi="Cambria"/>
          <w:sz w:val="22"/>
          <w:szCs w:val="22"/>
          <w:u w:val="single"/>
          <w:lang w:eastAsia="en-US"/>
        </w:rPr>
        <w:tab/>
      </w:r>
      <w:r w:rsidRPr="002A2FF3">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2</w:t>
      </w:r>
    </w:p>
    <w:p w14:paraId="559D08C2" w14:textId="77777777" w:rsidR="009C221E" w:rsidRPr="005C7D76"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b/>
          <w:bCs/>
          <w:sz w:val="22"/>
          <w:szCs w:val="22"/>
          <w:lang w:eastAsia="en-US"/>
        </w:rPr>
      </w:pPr>
      <w:r w:rsidRPr="002A2FF3">
        <w:rPr>
          <w:rFonts w:ascii="Cambria" w:eastAsia="MS Mincho" w:hAnsi="Cambria"/>
          <w:b/>
          <w:bCs/>
          <w:sz w:val="22"/>
          <w:szCs w:val="22"/>
          <w:lang w:eastAsia="en-US"/>
        </w:rPr>
        <w:t>Le projet Ariela</w:t>
      </w:r>
      <w:r w:rsidRPr="005C7D76">
        <w:rPr>
          <w:rFonts w:ascii="Cambria" w:eastAsia="MS Mincho" w:hAnsi="Cambria"/>
          <w:b/>
          <w:bCs/>
          <w:sz w:val="22"/>
          <w:szCs w:val="22"/>
          <w:lang w:eastAsia="en-US"/>
        </w:rPr>
        <w:t xml:space="preserve"> </w:t>
      </w:r>
      <w:r w:rsidRPr="00992C8A">
        <w:rPr>
          <w:rFonts w:ascii="Cambria" w:eastAsia="MS Mincho" w:hAnsi="Cambria"/>
          <w:sz w:val="22"/>
          <w:szCs w:val="22"/>
          <w:lang w:eastAsia="en-US"/>
        </w:rPr>
        <w:t>(Prêt P090)</w:t>
      </w:r>
      <w:r w:rsidRPr="005C7D76">
        <w:rPr>
          <w:rFonts w:ascii="Cambria" w:eastAsia="MS Mincho" w:hAnsi="Cambria"/>
          <w:b/>
          <w:bCs/>
          <w:sz w:val="22"/>
          <w:szCs w:val="22"/>
          <w:lang w:eastAsia="en-US"/>
        </w:rPr>
        <w:t xml:space="preserve"> </w:t>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u w:val="single"/>
          <w:lang w:eastAsia="en-US"/>
        </w:rPr>
        <w:tab/>
      </w:r>
      <w:r w:rsidRPr="00100317">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2</w:t>
      </w:r>
    </w:p>
    <w:p w14:paraId="0465D2AC" w14:textId="77777777" w:rsidR="009C221E" w:rsidRDefault="00730A01" w:rsidP="00443B59">
      <w:pPr>
        <w:pStyle w:val="Paragraphedeliste"/>
        <w:numPr>
          <w:ilvl w:val="0"/>
          <w:numId w:val="136"/>
        </w:numPr>
        <w:tabs>
          <w:tab w:val="left" w:pos="284"/>
        </w:tabs>
        <w:spacing w:after="120" w:line="276" w:lineRule="auto"/>
        <w:ind w:left="1219" w:hanging="357"/>
        <w:rPr>
          <w:rFonts w:ascii="Cambria" w:eastAsia="MS Mincho" w:hAnsi="Cambria"/>
          <w:sz w:val="22"/>
          <w:szCs w:val="22"/>
          <w:lang w:eastAsia="en-US"/>
        </w:rPr>
      </w:pPr>
      <w:r w:rsidRPr="002A2FF3">
        <w:rPr>
          <w:rFonts w:ascii="Cambria" w:eastAsia="MS Mincho" w:hAnsi="Cambria"/>
          <w:sz w:val="22"/>
          <w:szCs w:val="22"/>
          <w:lang w:eastAsia="en-US"/>
        </w:rPr>
        <w:t>Les manquements reprochés</w:t>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sidRPr="002A2FF3">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3</w:t>
      </w:r>
    </w:p>
    <w:p w14:paraId="514FBBF1" w14:textId="77777777" w:rsidR="009C221E" w:rsidRDefault="00730A01" w:rsidP="00443B59">
      <w:pPr>
        <w:pStyle w:val="Paragraphedeliste"/>
        <w:numPr>
          <w:ilvl w:val="0"/>
          <w:numId w:val="136"/>
        </w:numPr>
        <w:tabs>
          <w:tab w:val="left" w:pos="284"/>
        </w:tabs>
        <w:spacing w:after="120" w:line="276" w:lineRule="auto"/>
        <w:contextualSpacing w:val="0"/>
        <w:rPr>
          <w:rFonts w:ascii="Cambria" w:eastAsia="MS Mincho" w:hAnsi="Cambria"/>
          <w:sz w:val="22"/>
          <w:szCs w:val="22"/>
          <w:lang w:eastAsia="en-US"/>
        </w:rPr>
      </w:pPr>
      <w:r w:rsidRPr="002A2FF3">
        <w:rPr>
          <w:rFonts w:ascii="Cambria" w:eastAsia="MS Mincho" w:hAnsi="Cambria"/>
          <w:sz w:val="22"/>
          <w:szCs w:val="22"/>
          <w:lang w:eastAsia="en-US"/>
        </w:rPr>
        <w:t>Les pertes en lien avec</w:t>
      </w:r>
      <w:r w:rsidRPr="002A2FF3">
        <w:rPr>
          <w:b/>
          <w:bCs/>
          <w:sz w:val="20"/>
          <w:lang w:eastAsia="en-US"/>
        </w:rPr>
        <w:t xml:space="preserve"> </w:t>
      </w:r>
      <w:r w:rsidRPr="002A2FF3">
        <w:rPr>
          <w:sz w:val="20"/>
          <w:lang w:eastAsia="en-US"/>
        </w:rPr>
        <w:t>ce</w:t>
      </w:r>
      <w:r w:rsidRPr="002A2FF3">
        <w:rPr>
          <w:rFonts w:ascii="Cambria" w:eastAsia="MS Mincho" w:hAnsi="Cambria"/>
          <w:sz w:val="22"/>
          <w:szCs w:val="22"/>
          <w:lang w:eastAsia="en-US"/>
        </w:rPr>
        <w:t xml:space="preserve"> prêt</w:t>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sidRPr="002A2FF3">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3</w:t>
      </w:r>
    </w:p>
    <w:p w14:paraId="7AE9F3E0" w14:textId="77777777" w:rsidR="009C221E" w:rsidRPr="005C7D76" w:rsidRDefault="00730A01" w:rsidP="00443B59">
      <w:pPr>
        <w:pStyle w:val="Paragraphedeliste"/>
        <w:numPr>
          <w:ilvl w:val="0"/>
          <w:numId w:val="121"/>
        </w:numPr>
        <w:tabs>
          <w:tab w:val="left" w:pos="284"/>
        </w:tabs>
        <w:spacing w:after="120" w:line="276" w:lineRule="auto"/>
        <w:ind w:left="641" w:hanging="357"/>
        <w:contextualSpacing w:val="0"/>
        <w:rPr>
          <w:rFonts w:ascii="Cambria" w:eastAsia="MS Mincho" w:hAnsi="Cambria"/>
          <w:b/>
          <w:bCs/>
          <w:sz w:val="22"/>
          <w:szCs w:val="22"/>
          <w:lang w:eastAsia="en-US"/>
        </w:rPr>
      </w:pPr>
      <w:r w:rsidRPr="005C7D76">
        <w:rPr>
          <w:rFonts w:ascii="Cambria" w:eastAsia="MS Mincho" w:hAnsi="Cambria"/>
          <w:b/>
          <w:bCs/>
          <w:sz w:val="22"/>
          <w:szCs w:val="22"/>
          <w:lang w:eastAsia="en-US"/>
        </w:rPr>
        <w:t xml:space="preserve"> </w:t>
      </w:r>
      <w:r w:rsidRPr="001B0EBE">
        <w:rPr>
          <w:rFonts w:ascii="Cambria" w:eastAsia="MS Mincho" w:hAnsi="Cambria"/>
          <w:b/>
          <w:bCs/>
          <w:sz w:val="22"/>
          <w:szCs w:val="22"/>
          <w:lang w:eastAsia="en-US"/>
        </w:rPr>
        <w:t>Le projet DMI3</w:t>
      </w:r>
      <w:r w:rsidRPr="005C7D76">
        <w:rPr>
          <w:rFonts w:ascii="Cambria" w:eastAsia="MS Mincho" w:hAnsi="Cambria"/>
          <w:b/>
          <w:bCs/>
          <w:sz w:val="22"/>
          <w:szCs w:val="22"/>
          <w:lang w:eastAsia="en-US"/>
        </w:rPr>
        <w:t xml:space="preserve"> </w:t>
      </w:r>
      <w:r w:rsidRPr="00992C8A">
        <w:rPr>
          <w:rFonts w:ascii="Cambria" w:eastAsia="MS Mincho" w:hAnsi="Cambria"/>
          <w:sz w:val="22"/>
          <w:szCs w:val="22"/>
          <w:lang w:eastAsia="en-US"/>
        </w:rPr>
        <w:t>(P043 et P063)</w:t>
      </w:r>
      <w:r w:rsidRPr="005C7D76">
        <w:rPr>
          <w:rFonts w:ascii="Cambria" w:eastAsia="MS Mincho" w:hAnsi="Cambria"/>
          <w:b/>
          <w:bCs/>
          <w:sz w:val="22"/>
          <w:szCs w:val="22"/>
          <w:lang w:eastAsia="en-US"/>
        </w:rPr>
        <w:t xml:space="preserve"> </w:t>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3</w:t>
      </w:r>
    </w:p>
    <w:p w14:paraId="7C3DC4B8" w14:textId="77777777" w:rsidR="009C221E" w:rsidRPr="00367D06" w:rsidRDefault="00730A01" w:rsidP="00443B59">
      <w:pPr>
        <w:pStyle w:val="Paragraphedeliste"/>
        <w:numPr>
          <w:ilvl w:val="0"/>
          <w:numId w:val="137"/>
        </w:numPr>
        <w:tabs>
          <w:tab w:val="left" w:pos="284"/>
        </w:tabs>
        <w:spacing w:after="120" w:line="276" w:lineRule="auto"/>
        <w:ind w:left="1219" w:hanging="357"/>
        <w:rPr>
          <w:rFonts w:ascii="Cambria" w:eastAsia="MS Mincho" w:hAnsi="Cambria"/>
          <w:sz w:val="22"/>
          <w:szCs w:val="22"/>
          <w:lang w:eastAsia="en-US"/>
        </w:rPr>
      </w:pPr>
      <w:r w:rsidRPr="00367D06">
        <w:rPr>
          <w:rFonts w:ascii="Cambria" w:eastAsia="MS Mincho" w:hAnsi="Cambria"/>
          <w:sz w:val="22"/>
          <w:szCs w:val="22"/>
          <w:lang w:eastAsia="en-US"/>
        </w:rPr>
        <w:t>Les manquements reprochés</w:t>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367D06">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4</w:t>
      </w:r>
    </w:p>
    <w:p w14:paraId="68B0B9DB" w14:textId="77777777" w:rsidR="009C221E" w:rsidRDefault="00730A01" w:rsidP="00443B59">
      <w:pPr>
        <w:pStyle w:val="Paragraphedeliste"/>
        <w:numPr>
          <w:ilvl w:val="0"/>
          <w:numId w:val="137"/>
        </w:numPr>
        <w:tabs>
          <w:tab w:val="left" w:pos="284"/>
        </w:tabs>
        <w:spacing w:after="120" w:line="276" w:lineRule="auto"/>
        <w:contextualSpacing w:val="0"/>
        <w:rPr>
          <w:rFonts w:ascii="Cambria" w:eastAsia="MS Mincho" w:hAnsi="Cambria"/>
          <w:sz w:val="22"/>
          <w:szCs w:val="22"/>
          <w:lang w:eastAsia="en-US"/>
        </w:rPr>
      </w:pPr>
      <w:r w:rsidRPr="002A2FF3">
        <w:rPr>
          <w:rFonts w:ascii="Cambria" w:eastAsia="MS Mincho" w:hAnsi="Cambria"/>
          <w:sz w:val="22"/>
          <w:szCs w:val="22"/>
          <w:lang w:eastAsia="en-US"/>
        </w:rPr>
        <w:t>Les pertes en lien avec ce prêt</w:t>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Pr>
          <w:rFonts w:ascii="Cambria" w:eastAsia="MS Mincho" w:hAnsi="Cambria"/>
          <w:sz w:val="22"/>
          <w:szCs w:val="22"/>
          <w:u w:val="single"/>
          <w:lang w:eastAsia="en-US"/>
        </w:rPr>
        <w:tab/>
      </w:r>
      <w:r w:rsidRPr="002A2FF3">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4</w:t>
      </w:r>
    </w:p>
    <w:p w14:paraId="5ED6FFDE" w14:textId="77777777" w:rsidR="00C55ADC" w:rsidRDefault="00730A01" w:rsidP="00443B59">
      <w:pPr>
        <w:pStyle w:val="Paragraphedeliste"/>
        <w:numPr>
          <w:ilvl w:val="0"/>
          <w:numId w:val="121"/>
        </w:numPr>
        <w:tabs>
          <w:tab w:val="left" w:pos="284"/>
        </w:tabs>
        <w:spacing w:after="240" w:line="276" w:lineRule="auto"/>
        <w:ind w:left="641" w:hanging="357"/>
        <w:contextualSpacing w:val="0"/>
        <w:rPr>
          <w:rFonts w:ascii="Cambria" w:eastAsia="MS Mincho" w:hAnsi="Cambria"/>
          <w:sz w:val="22"/>
          <w:szCs w:val="22"/>
          <w:lang w:eastAsia="en-US"/>
        </w:rPr>
      </w:pPr>
      <w:r w:rsidRPr="00367D06">
        <w:rPr>
          <w:rFonts w:ascii="Cambria" w:eastAsia="MS Mincho" w:hAnsi="Cambria"/>
          <w:b/>
          <w:bCs/>
          <w:sz w:val="22"/>
          <w:szCs w:val="22"/>
          <w:lang w:eastAsia="en-US"/>
        </w:rPr>
        <w:t>Le prêt direct à Huot</w:t>
      </w:r>
      <w:r w:rsidRPr="005C7D76">
        <w:rPr>
          <w:rFonts w:ascii="Cambria" w:eastAsia="MS Mincho" w:hAnsi="Cambria"/>
          <w:b/>
          <w:bCs/>
          <w:sz w:val="22"/>
          <w:szCs w:val="22"/>
          <w:lang w:eastAsia="en-US"/>
        </w:rPr>
        <w:t xml:space="preserve"> </w:t>
      </w:r>
      <w:r w:rsidRPr="00992C8A">
        <w:rPr>
          <w:rFonts w:ascii="Cambria" w:eastAsia="MS Mincho" w:hAnsi="Cambria"/>
          <w:sz w:val="22"/>
          <w:szCs w:val="22"/>
          <w:lang w:eastAsia="en-US"/>
        </w:rPr>
        <w:t xml:space="preserve">(P093) </w:t>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u w:val="single"/>
          <w:lang w:eastAsia="en-US"/>
        </w:rPr>
        <w:tab/>
      </w:r>
      <w:r w:rsidRPr="00992C8A">
        <w:rPr>
          <w:rFonts w:ascii="Cambria" w:eastAsia="MS Mincho" w:hAnsi="Cambria"/>
          <w:sz w:val="22"/>
          <w:szCs w:val="22"/>
          <w:lang w:eastAsia="en-US"/>
        </w:rPr>
        <w:t>1</w:t>
      </w:r>
      <w:r w:rsidR="00036F26">
        <w:rPr>
          <w:rFonts w:ascii="Cambria" w:eastAsia="MS Mincho" w:hAnsi="Cambria"/>
          <w:sz w:val="22"/>
          <w:szCs w:val="22"/>
          <w:lang w:eastAsia="en-US"/>
        </w:rPr>
        <w:t>8</w:t>
      </w:r>
      <w:r w:rsidR="00947185">
        <w:rPr>
          <w:rFonts w:ascii="Cambria" w:eastAsia="MS Mincho" w:hAnsi="Cambria"/>
          <w:sz w:val="22"/>
          <w:szCs w:val="22"/>
          <w:lang w:eastAsia="en-US"/>
        </w:rPr>
        <w:t>4</w:t>
      </w:r>
    </w:p>
    <w:p w14:paraId="7922C468" w14:textId="77777777" w:rsidR="009C221E" w:rsidRDefault="00730A01" w:rsidP="00C55ADC">
      <w:pPr>
        <w:tabs>
          <w:tab w:val="left" w:pos="284"/>
        </w:tabs>
        <w:spacing w:after="120" w:line="276" w:lineRule="auto"/>
        <w:jc w:val="center"/>
        <w:rPr>
          <w:rFonts w:ascii="Cambria" w:eastAsia="MS Mincho" w:hAnsi="Cambria"/>
          <w:b/>
          <w:bCs/>
          <w:sz w:val="28"/>
          <w:szCs w:val="28"/>
          <w:lang w:eastAsia="en-US"/>
        </w:rPr>
      </w:pPr>
      <w:r w:rsidRPr="001B0EBE">
        <w:rPr>
          <w:rFonts w:ascii="Cambria" w:eastAsia="MS Mincho" w:hAnsi="Cambria"/>
          <w:b/>
          <w:bCs/>
          <w:sz w:val="28"/>
          <w:szCs w:val="28"/>
          <w:lang w:eastAsia="en-US"/>
        </w:rPr>
        <w:t>ANNEXE D</w:t>
      </w:r>
    </w:p>
    <w:p w14:paraId="45D5C50A" w14:textId="77777777" w:rsidR="009C221E" w:rsidRPr="00992C8A" w:rsidRDefault="00730A01" w:rsidP="00036F26">
      <w:pPr>
        <w:tabs>
          <w:tab w:val="left" w:pos="284"/>
        </w:tabs>
        <w:spacing w:after="240" w:line="276" w:lineRule="auto"/>
        <w:rPr>
          <w:rFonts w:ascii="Cambria" w:eastAsia="MS Mincho" w:hAnsi="Cambria"/>
          <w:b/>
          <w:bCs/>
          <w:sz w:val="22"/>
          <w:szCs w:val="22"/>
          <w:lang w:eastAsia="en-US"/>
        </w:rPr>
      </w:pPr>
      <w:r w:rsidRPr="00C55ADC">
        <w:rPr>
          <w:rFonts w:ascii="Cambria" w:eastAsia="MS Mincho" w:hAnsi="Cambria"/>
          <w:b/>
          <w:bCs/>
          <w:caps/>
          <w:sz w:val="22"/>
          <w:szCs w:val="22"/>
          <w:lang w:eastAsia="en-US"/>
        </w:rPr>
        <w:t>Dépôt de milliers de pièces additionnelles</w:t>
      </w:r>
      <w:r w:rsidRPr="001B0EBE">
        <w:rPr>
          <w:rFonts w:ascii="Cambria" w:eastAsia="MS Mincho" w:hAnsi="Cambria"/>
          <w:sz w:val="22"/>
          <w:szCs w:val="22"/>
          <w:lang w:eastAsia="en-US"/>
        </w:rPr>
        <w:t xml:space="preserve"> </w:t>
      </w:r>
      <w:r w:rsidRPr="00992C8A">
        <w:rPr>
          <w:rFonts w:ascii="Cambria" w:eastAsia="MS Mincho" w:hAnsi="Cambria"/>
          <w:b/>
          <w:bCs/>
          <w:sz w:val="22"/>
          <w:szCs w:val="22"/>
          <w:u w:val="single"/>
          <w:lang w:eastAsia="en-US"/>
        </w:rPr>
        <w:tab/>
      </w:r>
      <w:r w:rsidRPr="004B5CF0">
        <w:rPr>
          <w:rFonts w:ascii="Cambria" w:eastAsia="MS Mincho" w:hAnsi="Cambria"/>
          <w:sz w:val="22"/>
          <w:szCs w:val="22"/>
          <w:u w:val="single"/>
          <w:lang w:eastAsia="en-US"/>
        </w:rPr>
        <w:tab/>
      </w:r>
      <w:r w:rsidRPr="004B5CF0">
        <w:rPr>
          <w:rFonts w:ascii="Cambria" w:eastAsia="MS Mincho" w:hAnsi="Cambria"/>
          <w:sz w:val="22"/>
          <w:szCs w:val="22"/>
          <w:u w:val="single"/>
          <w:lang w:eastAsia="en-US"/>
        </w:rPr>
        <w:tab/>
      </w:r>
      <w:r w:rsidRPr="004B5CF0">
        <w:rPr>
          <w:rFonts w:ascii="Cambria" w:eastAsia="MS Mincho" w:hAnsi="Cambria"/>
          <w:sz w:val="22"/>
          <w:szCs w:val="22"/>
          <w:u w:val="single"/>
          <w:lang w:eastAsia="en-US"/>
        </w:rPr>
        <w:tab/>
      </w:r>
      <w:r w:rsidRPr="004B5CF0">
        <w:rPr>
          <w:rFonts w:ascii="Cambria" w:eastAsia="MS Mincho" w:hAnsi="Cambria"/>
          <w:sz w:val="22"/>
          <w:szCs w:val="22"/>
          <w:u w:val="single"/>
          <w:lang w:eastAsia="en-US"/>
        </w:rPr>
        <w:tab/>
      </w:r>
      <w:r w:rsidRPr="004B5CF0">
        <w:rPr>
          <w:rFonts w:ascii="Cambria" w:eastAsia="MS Mincho" w:hAnsi="Cambria"/>
          <w:sz w:val="22"/>
          <w:szCs w:val="22"/>
          <w:u w:val="single"/>
          <w:lang w:eastAsia="en-US"/>
        </w:rPr>
        <w:tab/>
      </w:r>
      <w:r w:rsidRPr="00992C8A">
        <w:rPr>
          <w:rFonts w:ascii="Cambria" w:eastAsia="MS Mincho" w:hAnsi="Cambria"/>
          <w:b/>
          <w:bCs/>
          <w:sz w:val="22"/>
          <w:szCs w:val="22"/>
          <w:lang w:eastAsia="en-US"/>
        </w:rPr>
        <w:t>18</w:t>
      </w:r>
      <w:r w:rsidR="00947185">
        <w:rPr>
          <w:rFonts w:ascii="Cambria" w:eastAsia="MS Mincho" w:hAnsi="Cambria"/>
          <w:b/>
          <w:bCs/>
          <w:sz w:val="22"/>
          <w:szCs w:val="22"/>
          <w:lang w:eastAsia="en-US"/>
        </w:rPr>
        <w:t>6</w:t>
      </w:r>
    </w:p>
    <w:p w14:paraId="34F4E2D5" w14:textId="77777777" w:rsidR="009C221E" w:rsidRPr="001B0EBE" w:rsidRDefault="00730A01" w:rsidP="00445ECD">
      <w:pPr>
        <w:tabs>
          <w:tab w:val="left" w:pos="284"/>
        </w:tabs>
        <w:spacing w:after="120" w:line="276" w:lineRule="auto"/>
        <w:jc w:val="center"/>
        <w:rPr>
          <w:rFonts w:ascii="Cambria" w:eastAsia="MS Mincho" w:hAnsi="Cambria"/>
          <w:b/>
          <w:bCs/>
          <w:sz w:val="28"/>
          <w:szCs w:val="28"/>
          <w:lang w:eastAsia="en-US"/>
        </w:rPr>
      </w:pPr>
      <w:r w:rsidRPr="001B0EBE">
        <w:rPr>
          <w:rFonts w:ascii="Cambria" w:eastAsia="MS Mincho" w:hAnsi="Cambria"/>
          <w:b/>
          <w:bCs/>
          <w:sz w:val="28"/>
          <w:szCs w:val="28"/>
          <w:lang w:eastAsia="en-US"/>
        </w:rPr>
        <w:t>ANNEXE E</w:t>
      </w:r>
    </w:p>
    <w:p w14:paraId="31AEC2D2" w14:textId="77777777" w:rsidR="00C55ADC" w:rsidRDefault="00730A01" w:rsidP="00C55ADC">
      <w:pPr>
        <w:tabs>
          <w:tab w:val="left" w:pos="284"/>
        </w:tabs>
        <w:spacing w:line="276" w:lineRule="auto"/>
        <w:contextualSpacing/>
        <w:rPr>
          <w:rFonts w:ascii="Cambria" w:eastAsia="MS Mincho" w:hAnsi="Cambria"/>
          <w:b/>
          <w:bCs/>
          <w:caps/>
          <w:sz w:val="22"/>
          <w:szCs w:val="22"/>
          <w:lang w:eastAsia="en-US"/>
        </w:rPr>
      </w:pPr>
      <w:r w:rsidRPr="00C55ADC">
        <w:rPr>
          <w:rFonts w:ascii="Cambria" w:eastAsia="MS Mincho" w:hAnsi="Cambria"/>
          <w:b/>
          <w:bCs/>
          <w:caps/>
          <w:sz w:val="22"/>
          <w:szCs w:val="22"/>
          <w:lang w:eastAsia="en-US"/>
        </w:rPr>
        <w:t xml:space="preserve">La désinvolture des Défendeurs face aux diverses ordonnances </w:t>
      </w:r>
    </w:p>
    <w:p w14:paraId="1874CA08" w14:textId="77777777" w:rsidR="009C221E" w:rsidRPr="00992C8A" w:rsidRDefault="00730A01" w:rsidP="009C221E">
      <w:pPr>
        <w:tabs>
          <w:tab w:val="left" w:pos="284"/>
        </w:tabs>
        <w:spacing w:after="200" w:line="276" w:lineRule="auto"/>
        <w:rPr>
          <w:rFonts w:ascii="Cambria" w:eastAsia="MS Mincho" w:hAnsi="Cambria"/>
          <w:b/>
          <w:bCs/>
          <w:sz w:val="22"/>
          <w:szCs w:val="22"/>
          <w:lang w:eastAsia="en-US"/>
        </w:rPr>
      </w:pPr>
      <w:r w:rsidRPr="00C55ADC">
        <w:rPr>
          <w:rFonts w:ascii="Cambria" w:eastAsia="MS Mincho" w:hAnsi="Cambria"/>
          <w:b/>
          <w:bCs/>
          <w:caps/>
          <w:sz w:val="22"/>
          <w:szCs w:val="22"/>
          <w:lang w:eastAsia="en-US"/>
        </w:rPr>
        <w:t>du Tribunal</w:t>
      </w:r>
      <w:r w:rsidRPr="001B0EBE">
        <w:rPr>
          <w:rFonts w:ascii="Cambria" w:eastAsia="MS Mincho" w:hAnsi="Cambria"/>
          <w:sz w:val="22"/>
          <w:szCs w:val="22"/>
          <w:lang w:eastAsia="en-US"/>
        </w:rPr>
        <w:t xml:space="preserve"> </w:t>
      </w:r>
      <w:r w:rsidRPr="004B5CF0">
        <w:rPr>
          <w:rFonts w:ascii="Cambria" w:eastAsia="MS Mincho" w:hAnsi="Cambria"/>
          <w:sz w:val="22"/>
          <w:szCs w:val="22"/>
          <w:u w:val="single"/>
          <w:lang w:eastAsia="en-US"/>
        </w:rPr>
        <w:tab/>
      </w:r>
      <w:r w:rsidRPr="004B5CF0">
        <w:rPr>
          <w:rFonts w:ascii="Cambria" w:eastAsia="MS Mincho" w:hAnsi="Cambria"/>
          <w:sz w:val="22"/>
          <w:szCs w:val="22"/>
          <w:u w:val="single"/>
          <w:lang w:eastAsia="en-US"/>
        </w:rPr>
        <w:tab/>
      </w:r>
      <w:r w:rsidR="00C55ADC" w:rsidRPr="004B5CF0">
        <w:rPr>
          <w:rFonts w:ascii="Cambria" w:eastAsia="MS Mincho" w:hAnsi="Cambria"/>
          <w:sz w:val="22"/>
          <w:szCs w:val="22"/>
          <w:u w:val="single"/>
          <w:lang w:eastAsia="en-US"/>
        </w:rPr>
        <w:tab/>
      </w:r>
      <w:r w:rsidR="00C55ADC" w:rsidRPr="004B5CF0">
        <w:rPr>
          <w:rFonts w:ascii="Cambria" w:eastAsia="MS Mincho" w:hAnsi="Cambria"/>
          <w:sz w:val="22"/>
          <w:szCs w:val="22"/>
          <w:u w:val="single"/>
          <w:lang w:eastAsia="en-US"/>
        </w:rPr>
        <w:tab/>
      </w:r>
      <w:r w:rsidR="00C55ADC" w:rsidRPr="004B5CF0">
        <w:rPr>
          <w:rFonts w:ascii="Cambria" w:eastAsia="MS Mincho" w:hAnsi="Cambria"/>
          <w:sz w:val="22"/>
          <w:szCs w:val="22"/>
          <w:u w:val="single"/>
          <w:lang w:eastAsia="en-US"/>
        </w:rPr>
        <w:tab/>
      </w:r>
      <w:r w:rsidR="00C55ADC" w:rsidRPr="004B5CF0">
        <w:rPr>
          <w:rFonts w:ascii="Cambria" w:eastAsia="MS Mincho" w:hAnsi="Cambria"/>
          <w:sz w:val="22"/>
          <w:szCs w:val="22"/>
          <w:u w:val="single"/>
          <w:lang w:eastAsia="en-US"/>
        </w:rPr>
        <w:tab/>
      </w:r>
      <w:r w:rsidR="00C55ADC" w:rsidRPr="004B5CF0">
        <w:rPr>
          <w:rFonts w:ascii="Cambria" w:eastAsia="MS Mincho" w:hAnsi="Cambria"/>
          <w:sz w:val="22"/>
          <w:szCs w:val="22"/>
          <w:u w:val="single"/>
          <w:lang w:eastAsia="en-US"/>
        </w:rPr>
        <w:tab/>
      </w:r>
      <w:r w:rsidR="00C55ADC" w:rsidRPr="004B5CF0">
        <w:rPr>
          <w:rFonts w:ascii="Cambria" w:eastAsia="MS Mincho" w:hAnsi="Cambria"/>
          <w:sz w:val="22"/>
          <w:szCs w:val="22"/>
          <w:u w:val="single"/>
          <w:lang w:eastAsia="en-US"/>
        </w:rPr>
        <w:tab/>
      </w:r>
      <w:r w:rsidR="00C55ADC" w:rsidRPr="004B5CF0">
        <w:rPr>
          <w:rFonts w:ascii="Cambria" w:eastAsia="MS Mincho" w:hAnsi="Cambria"/>
          <w:sz w:val="22"/>
          <w:szCs w:val="22"/>
          <w:u w:val="single"/>
          <w:lang w:eastAsia="en-US"/>
        </w:rPr>
        <w:tab/>
      </w:r>
      <w:r w:rsidR="00C55ADC" w:rsidRPr="004B5CF0">
        <w:rPr>
          <w:rFonts w:ascii="Cambria" w:eastAsia="MS Mincho" w:hAnsi="Cambria"/>
          <w:sz w:val="22"/>
          <w:szCs w:val="22"/>
          <w:u w:val="single"/>
          <w:lang w:eastAsia="en-US"/>
        </w:rPr>
        <w:tab/>
      </w:r>
      <w:r w:rsidRPr="00992C8A">
        <w:rPr>
          <w:rFonts w:ascii="Cambria" w:eastAsia="MS Mincho" w:hAnsi="Cambria"/>
          <w:b/>
          <w:bCs/>
          <w:sz w:val="22"/>
          <w:szCs w:val="22"/>
          <w:lang w:eastAsia="en-US"/>
        </w:rPr>
        <w:t>18</w:t>
      </w:r>
      <w:r w:rsidR="00947185">
        <w:rPr>
          <w:rFonts w:ascii="Cambria" w:eastAsia="MS Mincho" w:hAnsi="Cambria"/>
          <w:b/>
          <w:bCs/>
          <w:sz w:val="22"/>
          <w:szCs w:val="22"/>
          <w:lang w:eastAsia="en-US"/>
        </w:rPr>
        <w:t>9</w:t>
      </w:r>
    </w:p>
    <w:p w14:paraId="53776348" w14:textId="77777777" w:rsidR="009C221E" w:rsidRPr="005C7D76" w:rsidRDefault="00730A01" w:rsidP="00443B59">
      <w:pPr>
        <w:pStyle w:val="Paragraphedeliste"/>
        <w:numPr>
          <w:ilvl w:val="0"/>
          <w:numId w:val="138"/>
        </w:numPr>
        <w:tabs>
          <w:tab w:val="left" w:pos="284"/>
        </w:tabs>
        <w:spacing w:after="120"/>
        <w:ind w:left="714" w:hanging="357"/>
        <w:contextualSpacing w:val="0"/>
        <w:rPr>
          <w:rFonts w:ascii="Cambria" w:eastAsia="MS Mincho" w:hAnsi="Cambria"/>
          <w:sz w:val="22"/>
          <w:szCs w:val="22"/>
          <w:lang w:eastAsia="en-US"/>
        </w:rPr>
      </w:pPr>
      <w:r w:rsidRPr="005C7D76">
        <w:rPr>
          <w:rFonts w:ascii="Cambria" w:eastAsia="MS Mincho" w:hAnsi="Cambria"/>
          <w:sz w:val="22"/>
          <w:szCs w:val="22"/>
          <w:lang w:eastAsia="en-US"/>
        </w:rPr>
        <w:t xml:space="preserve">Défier l’ordonnance du 21 mars 2024 quant au dépôt des notes sténographiques des interrogatoires préalables </w:t>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lang w:eastAsia="en-US"/>
        </w:rPr>
        <w:t>18</w:t>
      </w:r>
      <w:r w:rsidR="00947185">
        <w:rPr>
          <w:rFonts w:ascii="Cambria" w:eastAsia="MS Mincho" w:hAnsi="Cambria"/>
          <w:sz w:val="22"/>
          <w:szCs w:val="22"/>
          <w:lang w:eastAsia="en-US"/>
        </w:rPr>
        <w:t>9</w:t>
      </w:r>
    </w:p>
    <w:p w14:paraId="26289AD9" w14:textId="77777777" w:rsidR="009C221E" w:rsidRPr="005C7D76" w:rsidRDefault="00730A01" w:rsidP="00443B59">
      <w:pPr>
        <w:pStyle w:val="Paragraphedeliste"/>
        <w:numPr>
          <w:ilvl w:val="0"/>
          <w:numId w:val="138"/>
        </w:numPr>
        <w:tabs>
          <w:tab w:val="left" w:pos="284"/>
        </w:tabs>
        <w:ind w:left="714" w:hanging="357"/>
        <w:rPr>
          <w:rFonts w:ascii="Cambria" w:eastAsia="MS Mincho" w:hAnsi="Cambria"/>
          <w:sz w:val="22"/>
          <w:szCs w:val="22"/>
          <w:lang w:eastAsia="en-US"/>
        </w:rPr>
      </w:pPr>
      <w:r w:rsidRPr="005C7D76">
        <w:rPr>
          <w:rFonts w:ascii="Cambria" w:eastAsia="MS Mincho" w:hAnsi="Cambria"/>
          <w:sz w:val="22"/>
          <w:szCs w:val="22"/>
          <w:lang w:eastAsia="en-US"/>
        </w:rPr>
        <w:t xml:space="preserve">Défier les ordonnances en lien avec la communication du calendrier de procès </w:t>
      </w:r>
    </w:p>
    <w:p w14:paraId="7EC93A90" w14:textId="77777777" w:rsidR="009C221E" w:rsidRPr="0042740E" w:rsidRDefault="00730A01" w:rsidP="00124AA4">
      <w:pPr>
        <w:tabs>
          <w:tab w:val="left" w:pos="284"/>
        </w:tabs>
        <w:spacing w:after="120" w:line="276" w:lineRule="auto"/>
        <w:contextualSpacing/>
        <w:rPr>
          <w:rFonts w:ascii="Cambria" w:eastAsia="MS Mincho" w:hAnsi="Cambria"/>
          <w:sz w:val="22"/>
          <w:szCs w:val="22"/>
          <w:lang w:eastAsia="en-US"/>
        </w:rPr>
      </w:pPr>
      <w:r>
        <w:rPr>
          <w:rFonts w:ascii="Cambria" w:eastAsia="MS Mincho" w:hAnsi="Cambria"/>
          <w:sz w:val="22"/>
          <w:szCs w:val="22"/>
          <w:lang w:eastAsia="en-US"/>
        </w:rPr>
        <w:tab/>
      </w:r>
      <w:r>
        <w:rPr>
          <w:rFonts w:ascii="Cambria" w:eastAsia="MS Mincho" w:hAnsi="Cambria"/>
          <w:sz w:val="22"/>
          <w:szCs w:val="22"/>
          <w:lang w:eastAsia="en-US"/>
        </w:rPr>
        <w:tab/>
      </w:r>
      <w:r w:rsidRPr="0042740E">
        <w:rPr>
          <w:rFonts w:ascii="Cambria" w:eastAsia="MS Mincho" w:hAnsi="Cambria"/>
          <w:sz w:val="22"/>
          <w:szCs w:val="22"/>
          <w:lang w:eastAsia="en-US"/>
        </w:rPr>
        <w:t xml:space="preserve">des Défendeurs </w:t>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lang w:eastAsia="en-US"/>
        </w:rPr>
        <w:t>18</w:t>
      </w:r>
      <w:r w:rsidR="00947185">
        <w:rPr>
          <w:rFonts w:ascii="Cambria" w:eastAsia="MS Mincho" w:hAnsi="Cambria"/>
          <w:sz w:val="22"/>
          <w:szCs w:val="22"/>
          <w:lang w:eastAsia="en-US"/>
        </w:rPr>
        <w:t>9</w:t>
      </w:r>
    </w:p>
    <w:p w14:paraId="08D8AE50" w14:textId="77777777" w:rsidR="009C221E" w:rsidRPr="005C7D76" w:rsidRDefault="00730A01" w:rsidP="00443B59">
      <w:pPr>
        <w:pStyle w:val="Paragraphedeliste"/>
        <w:numPr>
          <w:ilvl w:val="0"/>
          <w:numId w:val="138"/>
        </w:numPr>
        <w:tabs>
          <w:tab w:val="left" w:pos="284"/>
        </w:tabs>
        <w:spacing w:after="120" w:line="276" w:lineRule="auto"/>
        <w:rPr>
          <w:rFonts w:ascii="Cambria" w:eastAsia="MS Mincho" w:hAnsi="Cambria"/>
          <w:sz w:val="22"/>
          <w:szCs w:val="22"/>
          <w:lang w:eastAsia="en-US"/>
        </w:rPr>
      </w:pPr>
      <w:r w:rsidRPr="005C7D76">
        <w:rPr>
          <w:rFonts w:ascii="Cambria" w:eastAsia="MS Mincho" w:hAnsi="Cambria"/>
          <w:sz w:val="22"/>
          <w:szCs w:val="22"/>
          <w:lang w:eastAsia="en-US"/>
        </w:rPr>
        <w:t>Défier les ordonnances émises le 24 janvier 2025</w:t>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u w:val="single"/>
          <w:lang w:eastAsia="en-US"/>
        </w:rPr>
        <w:tab/>
      </w:r>
      <w:r w:rsidRPr="005C7D76">
        <w:rPr>
          <w:rFonts w:ascii="Cambria" w:eastAsia="MS Mincho" w:hAnsi="Cambria"/>
          <w:sz w:val="22"/>
          <w:szCs w:val="22"/>
          <w:lang w:eastAsia="en-US"/>
        </w:rPr>
        <w:t>1</w:t>
      </w:r>
      <w:r w:rsidR="00036F26">
        <w:rPr>
          <w:rFonts w:ascii="Cambria" w:eastAsia="MS Mincho" w:hAnsi="Cambria"/>
          <w:sz w:val="22"/>
          <w:szCs w:val="22"/>
          <w:lang w:eastAsia="en-US"/>
        </w:rPr>
        <w:t>9</w:t>
      </w:r>
      <w:r w:rsidR="00947185">
        <w:rPr>
          <w:rFonts w:ascii="Cambria" w:eastAsia="MS Mincho" w:hAnsi="Cambria"/>
          <w:sz w:val="22"/>
          <w:szCs w:val="22"/>
          <w:lang w:eastAsia="en-US"/>
        </w:rPr>
        <w:t>1</w:t>
      </w:r>
    </w:p>
    <w:p w14:paraId="7BA3DA3F" w14:textId="77777777" w:rsidR="009C221E" w:rsidRDefault="00730A01" w:rsidP="00443B59">
      <w:pPr>
        <w:pStyle w:val="Notedebasdepage"/>
        <w:numPr>
          <w:ilvl w:val="0"/>
          <w:numId w:val="138"/>
        </w:numPr>
        <w:tabs>
          <w:tab w:val="left" w:pos="284"/>
        </w:tabs>
        <w:spacing w:after="120"/>
        <w:contextualSpacing/>
        <w:jc w:val="left"/>
      </w:pPr>
      <w:r w:rsidRPr="0042740E">
        <w:rPr>
          <w:rFonts w:ascii="Cambria" w:eastAsia="MS Mincho" w:hAnsi="Cambria"/>
          <w:sz w:val="22"/>
          <w:szCs w:val="22"/>
          <w:lang w:eastAsia="en-US"/>
        </w:rPr>
        <w:t>Par rapport au jugement de la registraire M</w:t>
      </w:r>
      <w:r w:rsidRPr="0042740E">
        <w:rPr>
          <w:rFonts w:ascii="Cambria" w:eastAsia="MS Mincho" w:hAnsi="Cambria"/>
          <w:sz w:val="22"/>
          <w:szCs w:val="22"/>
          <w:vertAlign w:val="superscript"/>
          <w:lang w:eastAsia="en-US"/>
        </w:rPr>
        <w:t>e</w:t>
      </w:r>
      <w:r w:rsidR="00420D97" w:rsidRPr="0042740E">
        <w:rPr>
          <w:rFonts w:ascii="Cambria" w:eastAsia="MS Mincho" w:hAnsi="Cambria"/>
          <w:sz w:val="22"/>
          <w:szCs w:val="22"/>
          <w:lang w:eastAsia="en-US"/>
        </w:rPr>
        <w:t> </w:t>
      </w:r>
      <w:r w:rsidRPr="0042740E">
        <w:rPr>
          <w:rFonts w:ascii="Cambria" w:eastAsia="MS Mincho" w:hAnsi="Cambria"/>
          <w:sz w:val="22"/>
          <w:szCs w:val="22"/>
          <w:lang w:eastAsia="en-US"/>
        </w:rPr>
        <w:t>Laurie-Anne Pelletier</w:t>
      </w:r>
      <w:r w:rsidR="00420D97" w:rsidRPr="0042740E">
        <w:rPr>
          <w:rFonts w:ascii="Cambria" w:eastAsia="MS Mincho" w:hAnsi="Cambria"/>
          <w:sz w:val="22"/>
          <w:szCs w:val="22"/>
          <w:lang w:eastAsia="en-US"/>
        </w:rPr>
        <w:t>,</w:t>
      </w:r>
      <w:r w:rsidRPr="0042740E">
        <w:rPr>
          <w:rFonts w:ascii="Cambria" w:eastAsia="MS Mincho" w:hAnsi="Cambria"/>
          <w:sz w:val="22"/>
          <w:szCs w:val="22"/>
          <w:lang w:eastAsia="en-US"/>
        </w:rPr>
        <w:t xml:space="preserve"> daté du 5 décembre 2024</w:t>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0042740E">
        <w:rPr>
          <w:rFonts w:ascii="Cambria" w:eastAsia="MS Mincho" w:hAnsi="Cambria"/>
          <w:sz w:val="22"/>
          <w:szCs w:val="22"/>
          <w:u w:val="single"/>
          <w:lang w:eastAsia="en-US"/>
        </w:rPr>
        <w:tab/>
      </w:r>
      <w:r w:rsidRPr="0042740E">
        <w:rPr>
          <w:rFonts w:ascii="Cambria" w:eastAsia="MS Mincho" w:hAnsi="Cambria"/>
          <w:sz w:val="22"/>
          <w:szCs w:val="22"/>
          <w:u w:val="single"/>
          <w:lang w:eastAsia="en-US"/>
        </w:rPr>
        <w:tab/>
      </w:r>
      <w:r w:rsidR="00036F26">
        <w:rPr>
          <w:rFonts w:ascii="Cambria" w:eastAsia="MS Mincho" w:hAnsi="Cambria"/>
          <w:sz w:val="22"/>
          <w:szCs w:val="22"/>
          <w:lang w:eastAsia="en-US"/>
        </w:rPr>
        <w:t>19</w:t>
      </w:r>
      <w:r w:rsidR="00947185">
        <w:rPr>
          <w:rFonts w:ascii="Cambria" w:eastAsia="MS Mincho" w:hAnsi="Cambria"/>
          <w:sz w:val="22"/>
          <w:szCs w:val="22"/>
          <w:lang w:eastAsia="en-US"/>
        </w:rPr>
        <w:t>3</w:t>
      </w:r>
    </w:p>
    <w:sectPr w:rsidR="009C221E" w:rsidSect="00566EF7">
      <w:headerReference w:type="default" r:id="rId12"/>
      <w:footerReference w:type="even" r:id="rId13"/>
      <w:footnotePr>
        <w:numRestart w:val="eachSect"/>
      </w:footnotePr>
      <w:pgSz w:w="12242" w:h="15842" w:code="1"/>
      <w:pgMar w:top="1440" w:right="1185" w:bottom="1440" w:left="1871" w:header="1304" w:footer="794"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A93C2" w14:textId="77777777" w:rsidR="00730A01" w:rsidRDefault="00730A01">
      <w:r>
        <w:separator/>
      </w:r>
    </w:p>
  </w:endnote>
  <w:endnote w:type="continuationSeparator" w:id="0">
    <w:p w14:paraId="4F187B65" w14:textId="77777777" w:rsidR="00730A01" w:rsidRDefault="00730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Nanum Brush Script"/>
    <w:panose1 w:val="00000000000000000000"/>
    <w:charset w:val="00"/>
    <w:family w:val="auto"/>
    <w:notTrueType/>
    <w:pitch w:val="default"/>
    <w:sig w:usb0="00000003" w:usb1="00000000" w:usb2="00000000" w:usb3="00000000" w:csb0="00000001" w:csb1="00000000"/>
  </w:font>
  <w:font w:name="Courier">
    <w:panose1 w:val="02070409020205020404"/>
    <w:charset w:val="00"/>
    <w:family w:val="auto"/>
    <w:pitch w:val="variable"/>
    <w:sig w:usb0="00000003" w:usb1="00000000" w:usb2="00000000" w:usb3="00000000" w:csb0="00000001" w:csb1="00000000"/>
  </w:font>
  <w:font w:name="Wingdings-Regular">
    <w:altName w:val="PMingLiU"/>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8EAE1" w14:textId="77777777" w:rsidR="00847638" w:rsidRDefault="00730A01">
    <w:pPr>
      <w:framePr w:wrap="around" w:vAnchor="text" w:hAnchor="margin" w:xAlign="right" w:y="1"/>
    </w:pPr>
    <w:r>
      <w:fldChar w:fldCharType="begin"/>
    </w:r>
    <w:r>
      <w:instrText xml:space="preserve">PAGE  </w:instrText>
    </w:r>
    <w:r>
      <w:fldChar w:fldCharType="separate"/>
    </w:r>
    <w:r>
      <w:fldChar w:fldCharType="end"/>
    </w:r>
  </w:p>
  <w:p w14:paraId="3D87A9AE" w14:textId="77777777" w:rsidR="00847638" w:rsidRDefault="00847638">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ED1855" w14:textId="77777777" w:rsidR="0083432D" w:rsidRDefault="00730A01">
      <w:r>
        <w:separator/>
      </w:r>
    </w:p>
  </w:footnote>
  <w:footnote w:type="continuationSeparator" w:id="0">
    <w:p w14:paraId="42A085A3" w14:textId="77777777" w:rsidR="0083432D" w:rsidRDefault="00730A01">
      <w:r>
        <w:continuationSeparator/>
      </w:r>
    </w:p>
  </w:footnote>
  <w:footnote w:id="1">
    <w:p w14:paraId="3197FD17" w14:textId="77777777" w:rsidR="00802EBA" w:rsidRDefault="00730A01">
      <w:pPr>
        <w:pStyle w:val="Notedebasdepage"/>
      </w:pPr>
      <w:r>
        <w:rPr>
          <w:rStyle w:val="Appelnotedebasdep"/>
        </w:rPr>
        <w:footnoteRef/>
      </w:r>
      <w:r>
        <w:t xml:space="preserve"> </w:t>
      </w:r>
      <w:r>
        <w:tab/>
        <w:t>Le 21</w:t>
      </w:r>
      <w:r w:rsidR="00EC09F7">
        <w:t> </w:t>
      </w:r>
      <w:r>
        <w:t>mars</w:t>
      </w:r>
      <w:r w:rsidR="00EC09F7">
        <w:t> </w:t>
      </w:r>
      <w:r>
        <w:t>2024, le Tribunal a ordonné la jonction de ces deux dossiers</w:t>
      </w:r>
      <w:r w:rsidR="005D5922">
        <w:t xml:space="preserve"> (voir pv </w:t>
      </w:r>
      <w:r>
        <w:t>du 21</w:t>
      </w:r>
      <w:r w:rsidR="005D5922">
        <w:t> </w:t>
      </w:r>
      <w:r>
        <w:t>mars</w:t>
      </w:r>
      <w:r w:rsidR="005D5922">
        <w:t> </w:t>
      </w:r>
      <w:r>
        <w:t>2024, 14</w:t>
      </w:r>
      <w:r w:rsidR="00EC09F7">
        <w:t> </w:t>
      </w:r>
      <w:r>
        <w:t>h</w:t>
      </w:r>
      <w:r w:rsidR="00EC09F7">
        <w:t> </w:t>
      </w:r>
      <w:r>
        <w:t>56.</w:t>
      </w:r>
    </w:p>
  </w:footnote>
  <w:footnote w:id="2">
    <w:p w14:paraId="2ED524C9" w14:textId="77777777" w:rsidR="00163511" w:rsidRPr="00163511" w:rsidRDefault="00730A01">
      <w:pPr>
        <w:pStyle w:val="Notedebasdepage"/>
      </w:pPr>
      <w:r>
        <w:rPr>
          <w:rStyle w:val="Appelnotedebasdep"/>
        </w:rPr>
        <w:footnoteRef/>
      </w:r>
      <w:r w:rsidRPr="00163511">
        <w:t xml:space="preserve"> </w:t>
      </w:r>
      <w:r w:rsidRPr="00163511">
        <w:tab/>
      </w:r>
      <w:r w:rsidR="00CC3226">
        <w:t xml:space="preserve">Termes utilisés par les Défendeurs dans leur plan de </w:t>
      </w:r>
      <w:r w:rsidRPr="00163511">
        <w:t>plaidoirie</w:t>
      </w:r>
      <w:r>
        <w:t xml:space="preserve">, 30 avril 2025, p. </w:t>
      </w:r>
      <w:r w:rsidRPr="00CC3226">
        <w:t>196-200</w:t>
      </w:r>
      <w:r>
        <w:t>.</w:t>
      </w:r>
    </w:p>
  </w:footnote>
  <w:footnote w:id="3">
    <w:p w14:paraId="41F10D29" w14:textId="77777777" w:rsidR="00762DC6" w:rsidRPr="00611349" w:rsidRDefault="00730A01">
      <w:pPr>
        <w:pStyle w:val="Notedebasdepage"/>
      </w:pPr>
      <w:r>
        <w:rPr>
          <w:rStyle w:val="Appelnotedebasdep"/>
        </w:rPr>
        <w:footnoteRef/>
      </w:r>
      <w:r w:rsidRPr="00611349">
        <w:t xml:space="preserve"> </w:t>
      </w:r>
      <w:r w:rsidRPr="00611349">
        <w:tab/>
      </w:r>
      <w:r w:rsidR="000A7CB6" w:rsidRPr="00611349">
        <w:t xml:space="preserve">NS, </w:t>
      </w:r>
      <w:r w:rsidRPr="00611349">
        <w:t xml:space="preserve">Bianca Freeman, </w:t>
      </w:r>
      <w:r w:rsidR="000A7CB6" w:rsidRPr="00611349">
        <w:t>29</w:t>
      </w:r>
      <w:r w:rsidR="00EC09F7">
        <w:t> </w:t>
      </w:r>
      <w:r w:rsidR="000A7CB6" w:rsidRPr="00611349">
        <w:t>mai</w:t>
      </w:r>
      <w:r w:rsidR="00EC09F7">
        <w:t> </w:t>
      </w:r>
      <w:r w:rsidR="000A7CB6" w:rsidRPr="00611349">
        <w:t>2024, p. 929 1.18-22 9h52.</w:t>
      </w:r>
    </w:p>
  </w:footnote>
  <w:footnote w:id="4">
    <w:p w14:paraId="5792A513" w14:textId="77777777" w:rsidR="00E73602" w:rsidRDefault="00730A01">
      <w:pPr>
        <w:pStyle w:val="Notedebasdepage"/>
      </w:pPr>
      <w:r>
        <w:rPr>
          <w:rStyle w:val="Appelnotedebasdep"/>
        </w:rPr>
        <w:footnoteRef/>
      </w:r>
      <w:r>
        <w:t xml:space="preserve"> </w:t>
      </w:r>
      <w:r>
        <w:tab/>
        <w:t>Éta</w:t>
      </w:r>
      <w:r w:rsidR="00762DC6">
        <w:t>t d</w:t>
      </w:r>
      <w:r>
        <w:t>es renseignements d’une société des personnes au Registre des entreprises, pièce PQ-1.</w:t>
      </w:r>
    </w:p>
  </w:footnote>
  <w:footnote w:id="5">
    <w:p w14:paraId="2FD3B92C" w14:textId="77777777" w:rsidR="009F4E55" w:rsidRDefault="00730A01" w:rsidP="00CC3226">
      <w:pPr>
        <w:pStyle w:val="Notedebasdepage"/>
      </w:pPr>
      <w:r>
        <w:rPr>
          <w:rStyle w:val="Appelnotedebasdep"/>
        </w:rPr>
        <w:footnoteRef/>
      </w:r>
      <w:r>
        <w:t xml:space="preserve"> </w:t>
      </w:r>
      <w:r>
        <w:tab/>
        <w:t>État des renseignements d’une société des personnes au Registre des entreprises, pièce PSH-1.</w:t>
      </w:r>
    </w:p>
  </w:footnote>
  <w:footnote w:id="6">
    <w:p w14:paraId="68739CB5" w14:textId="77777777" w:rsidR="004339FD" w:rsidRDefault="00730A01" w:rsidP="004339FD">
      <w:pPr>
        <w:pStyle w:val="Notedebasdepage"/>
      </w:pPr>
      <w:r>
        <w:rPr>
          <w:rStyle w:val="Appelnotedebasdep"/>
        </w:rPr>
        <w:footnoteRef/>
      </w:r>
      <w:r>
        <w:t xml:space="preserve"> </w:t>
      </w:r>
      <w:r>
        <w:tab/>
        <w:t>Éta</w:t>
      </w:r>
      <w:r w:rsidR="00762DC6">
        <w:t>t</w:t>
      </w:r>
      <w:r>
        <w:t xml:space="preserve"> des renseignements d’une personne morale au Registre des entreprises, pièce PQ-3.</w:t>
      </w:r>
    </w:p>
  </w:footnote>
  <w:footnote w:id="7">
    <w:p w14:paraId="364FAFC9" w14:textId="77777777" w:rsidR="004339FD" w:rsidRDefault="00730A01">
      <w:pPr>
        <w:pStyle w:val="Notedebasdepage"/>
      </w:pPr>
      <w:r>
        <w:rPr>
          <w:rStyle w:val="Appelnotedebasdep"/>
        </w:rPr>
        <w:footnoteRef/>
      </w:r>
      <w:r>
        <w:t xml:space="preserve"> </w:t>
      </w:r>
      <w:r>
        <w:tab/>
        <w:t>Éta</w:t>
      </w:r>
      <w:r w:rsidR="00762DC6">
        <w:t xml:space="preserve">t </w:t>
      </w:r>
      <w:r>
        <w:t>des renseignements d’une personne morale au Registre des entreprises, pièce PSH-3.</w:t>
      </w:r>
    </w:p>
  </w:footnote>
  <w:footnote w:id="8">
    <w:p w14:paraId="2A17784E" w14:textId="77777777" w:rsidR="00DB07B5" w:rsidRDefault="00730A01" w:rsidP="00DB07B5">
      <w:pPr>
        <w:pStyle w:val="Notedebasdepage"/>
      </w:pPr>
      <w:r>
        <w:rPr>
          <w:rStyle w:val="Appelnotedebasdep"/>
        </w:rPr>
        <w:footnoteRef/>
      </w:r>
      <w:r>
        <w:t xml:space="preserve"> </w:t>
      </w:r>
      <w:r>
        <w:tab/>
        <w:t>État des renseignements d’une personne morale au Registre des entreprises, pièce PSH-7.</w:t>
      </w:r>
    </w:p>
  </w:footnote>
  <w:footnote w:id="9">
    <w:p w14:paraId="616F0A59" w14:textId="77777777" w:rsidR="00DB07B5" w:rsidRDefault="00730A01">
      <w:pPr>
        <w:pStyle w:val="Notedebasdepage"/>
      </w:pPr>
      <w:r>
        <w:rPr>
          <w:rStyle w:val="Appelnotedebasdep"/>
        </w:rPr>
        <w:footnoteRef/>
      </w:r>
      <w:r>
        <w:t xml:space="preserve"> </w:t>
      </w:r>
      <w:r>
        <w:tab/>
        <w:t>État des renseignements d’une personne morale au Registre des entreprises, pièce PQ-4.</w:t>
      </w:r>
    </w:p>
  </w:footnote>
  <w:footnote w:id="10">
    <w:p w14:paraId="7BECD324" w14:textId="77777777" w:rsidR="004339FD" w:rsidRDefault="00730A01">
      <w:pPr>
        <w:pStyle w:val="Notedebasdepage"/>
      </w:pPr>
      <w:r>
        <w:rPr>
          <w:rStyle w:val="Appelnotedebasdep"/>
        </w:rPr>
        <w:footnoteRef/>
      </w:r>
      <w:r>
        <w:t xml:space="preserve"> </w:t>
      </w:r>
      <w:r>
        <w:tab/>
      </w:r>
      <w:r w:rsidR="00762DC6">
        <w:t xml:space="preserve">État </w:t>
      </w:r>
      <w:r>
        <w:t>des renseignements d’une personne morale au Registre des entreprises, pièce PQ-6.</w:t>
      </w:r>
    </w:p>
  </w:footnote>
  <w:footnote w:id="11">
    <w:p w14:paraId="476D11FA" w14:textId="77777777" w:rsidR="000A4DF0" w:rsidRPr="00611349" w:rsidRDefault="00730A01">
      <w:pPr>
        <w:pStyle w:val="Notedebasdepage"/>
        <w:rPr>
          <w:lang w:val="en-CA"/>
        </w:rPr>
      </w:pPr>
      <w:r>
        <w:rPr>
          <w:rStyle w:val="Appelnotedebasdep"/>
        </w:rPr>
        <w:footnoteRef/>
      </w:r>
      <w:r w:rsidRPr="00611349">
        <w:rPr>
          <w:lang w:val="en-CA"/>
        </w:rPr>
        <w:t xml:space="preserve"> </w:t>
      </w:r>
      <w:r w:rsidRPr="00611349">
        <w:rPr>
          <w:lang w:val="en-CA"/>
        </w:rPr>
        <w:tab/>
        <w:t>Pièce PQ-16.</w:t>
      </w:r>
    </w:p>
  </w:footnote>
  <w:footnote w:id="12">
    <w:p w14:paraId="3E576E13" w14:textId="77777777" w:rsidR="000A7CB6" w:rsidRPr="00163511" w:rsidRDefault="00730A01">
      <w:pPr>
        <w:pStyle w:val="Notedebasdepage"/>
        <w:rPr>
          <w:lang w:val="en-CA"/>
        </w:rPr>
      </w:pPr>
      <w:r>
        <w:rPr>
          <w:rStyle w:val="Appelnotedebasdep"/>
        </w:rPr>
        <w:footnoteRef/>
      </w:r>
      <w:r w:rsidRPr="00163511">
        <w:rPr>
          <w:lang w:val="en-CA"/>
        </w:rPr>
        <w:t xml:space="preserve"> </w:t>
      </w:r>
      <w:r w:rsidRPr="00163511">
        <w:rPr>
          <w:lang w:val="en-CA"/>
        </w:rPr>
        <w:tab/>
      </w:r>
      <w:r w:rsidR="00163511" w:rsidRPr="00163511">
        <w:rPr>
          <w:lang w:val="en-CA"/>
        </w:rPr>
        <w:t xml:space="preserve">Doctrine : </w:t>
      </w:r>
      <w:r w:rsidR="00163511" w:rsidRPr="00D97738">
        <w:rPr>
          <w:lang w:val="en-CA"/>
        </w:rPr>
        <w:t>Ne</w:t>
      </w:r>
      <w:r w:rsidR="00A81C70" w:rsidRPr="00D97738">
        <w:rPr>
          <w:lang w:val="en-CA"/>
        </w:rPr>
        <w:t>a</w:t>
      </w:r>
      <w:r w:rsidR="00163511" w:rsidRPr="00D97738">
        <w:rPr>
          <w:lang w:val="en-CA"/>
        </w:rPr>
        <w:t>rdWalletCanada.com/ca/p/article/mortgages/</w:t>
      </w:r>
      <w:r w:rsidR="00A81C70">
        <w:rPr>
          <w:lang w:val="en-CA"/>
        </w:rPr>
        <w:t>what-is-bridge-loan.</w:t>
      </w:r>
    </w:p>
  </w:footnote>
  <w:footnote w:id="13">
    <w:p w14:paraId="3B26A8F7" w14:textId="77777777" w:rsidR="007A6C58" w:rsidRPr="00A56B2E" w:rsidRDefault="00730A01" w:rsidP="007A6C58">
      <w:pPr>
        <w:pStyle w:val="Notedebasdepage"/>
      </w:pPr>
      <w:r>
        <w:rPr>
          <w:rStyle w:val="Appelnotedebasdep"/>
        </w:rPr>
        <w:footnoteRef/>
      </w:r>
      <w:r>
        <w:t xml:space="preserve"> </w:t>
      </w:r>
      <w:r w:rsidRPr="00A56B2E">
        <w:tab/>
        <w:t>Pièce PSH-8.</w:t>
      </w:r>
    </w:p>
  </w:footnote>
  <w:footnote w:id="14">
    <w:p w14:paraId="552CF24E" w14:textId="77777777" w:rsidR="007A6C58" w:rsidRPr="00A56B2E" w:rsidRDefault="00730A01" w:rsidP="007A6C58">
      <w:pPr>
        <w:pStyle w:val="Notedebasdepage"/>
      </w:pPr>
      <w:r>
        <w:rPr>
          <w:rStyle w:val="Appelnotedebasdep"/>
        </w:rPr>
        <w:footnoteRef/>
      </w:r>
      <w:r>
        <w:t xml:space="preserve"> </w:t>
      </w:r>
      <w:r w:rsidRPr="00A56B2E">
        <w:tab/>
        <w:t>Pièce PSH-8, p. 176.</w:t>
      </w:r>
    </w:p>
  </w:footnote>
  <w:footnote w:id="15">
    <w:p w14:paraId="38588DBA" w14:textId="77777777" w:rsidR="007A6C58" w:rsidRPr="00216C0E" w:rsidRDefault="00730A01" w:rsidP="007A6C58">
      <w:pPr>
        <w:pStyle w:val="Notedebasdepage"/>
      </w:pPr>
      <w:r>
        <w:rPr>
          <w:rStyle w:val="Appelnotedebasdep"/>
        </w:rPr>
        <w:footnoteRef/>
      </w:r>
      <w:r>
        <w:t xml:space="preserve"> </w:t>
      </w:r>
      <w:r w:rsidRPr="00216C0E">
        <w:tab/>
        <w:t>Extrait du site Internet de X</w:t>
      </w:r>
      <w:r>
        <w:t>2, pièce P</w:t>
      </w:r>
      <w:r w:rsidR="005E2D1F">
        <w:t>S</w:t>
      </w:r>
      <w:r>
        <w:t>H-9.</w:t>
      </w:r>
    </w:p>
  </w:footnote>
  <w:footnote w:id="16">
    <w:p w14:paraId="3841E7EC" w14:textId="77777777" w:rsidR="007A6C58" w:rsidRPr="00A56B2E" w:rsidRDefault="00730A01" w:rsidP="007A6C58">
      <w:pPr>
        <w:pStyle w:val="Notedebasdepage"/>
      </w:pPr>
      <w:r>
        <w:rPr>
          <w:rStyle w:val="Appelnotedebasdep"/>
        </w:rPr>
        <w:footnoteRef/>
      </w:r>
      <w:r>
        <w:t xml:space="preserve"> </w:t>
      </w:r>
      <w:r w:rsidRPr="00A56B2E">
        <w:tab/>
        <w:t>Pièce PQ-7.</w:t>
      </w:r>
    </w:p>
  </w:footnote>
  <w:footnote w:id="17">
    <w:p w14:paraId="536B09EC" w14:textId="77777777" w:rsidR="007A6C58" w:rsidRPr="00A56B2E" w:rsidRDefault="00730A01" w:rsidP="007A6C58">
      <w:pPr>
        <w:pStyle w:val="Notedebasdepage"/>
      </w:pPr>
      <w:r>
        <w:rPr>
          <w:rStyle w:val="Appelnotedebasdep"/>
        </w:rPr>
        <w:footnoteRef/>
      </w:r>
      <w:r>
        <w:t xml:space="preserve"> </w:t>
      </w:r>
      <w:r w:rsidRPr="00A56B2E">
        <w:tab/>
        <w:t>Pièce PQ-7, Annexe A.</w:t>
      </w:r>
    </w:p>
  </w:footnote>
  <w:footnote w:id="18">
    <w:p w14:paraId="4C687D9F" w14:textId="77777777" w:rsidR="007A6C58" w:rsidRPr="00A56B2E" w:rsidRDefault="00730A01" w:rsidP="007A6C58">
      <w:pPr>
        <w:pStyle w:val="Notedebasdepage"/>
      </w:pPr>
      <w:r>
        <w:rPr>
          <w:rStyle w:val="Appelnotedebasdep"/>
        </w:rPr>
        <w:footnoteRef/>
      </w:r>
      <w:r>
        <w:t xml:space="preserve"> </w:t>
      </w:r>
      <w:r w:rsidRPr="00A56B2E">
        <w:tab/>
        <w:t>Pièce PQ-7, art. 9.11.1.</w:t>
      </w:r>
    </w:p>
  </w:footnote>
  <w:footnote w:id="19">
    <w:p w14:paraId="5FA82343" w14:textId="77777777" w:rsidR="00503F2A" w:rsidRDefault="00730A01">
      <w:pPr>
        <w:pStyle w:val="Notedebasdepage"/>
      </w:pPr>
      <w:r>
        <w:rPr>
          <w:rStyle w:val="Appelnotedebasdep"/>
        </w:rPr>
        <w:footnoteRef/>
      </w:r>
      <w:r>
        <w:t xml:space="preserve"> </w:t>
      </w:r>
      <w:r>
        <w:tab/>
        <w:t>Témoignage de l’expert François Filion, 13 juin 2024, p. 5263.</w:t>
      </w:r>
    </w:p>
  </w:footnote>
  <w:footnote w:id="20">
    <w:p w14:paraId="505DADC3" w14:textId="77777777" w:rsidR="003447F9" w:rsidRPr="00FA0B4F" w:rsidRDefault="00730A01" w:rsidP="003447F9">
      <w:pPr>
        <w:pStyle w:val="Notedebasdepage"/>
      </w:pPr>
      <w:r>
        <w:rPr>
          <w:rStyle w:val="Appelnotedebasdep"/>
        </w:rPr>
        <w:footnoteRef/>
      </w:r>
      <w:r>
        <w:t xml:space="preserve"> </w:t>
      </w:r>
      <w:r w:rsidRPr="00FA0B4F">
        <w:tab/>
        <w:t>Notes sténographiques, 3 juin 2024, Giroux p.</w:t>
      </w:r>
      <w:r>
        <w:t xml:space="preserve"> 1601-1602.</w:t>
      </w:r>
    </w:p>
  </w:footnote>
  <w:footnote w:id="21">
    <w:p w14:paraId="34DFE550" w14:textId="77777777" w:rsidR="00540E24" w:rsidRDefault="00730A01">
      <w:pPr>
        <w:pStyle w:val="Notedebasdepage"/>
      </w:pPr>
      <w:r>
        <w:rPr>
          <w:rStyle w:val="Appelnotedebasdep"/>
        </w:rPr>
        <w:footnoteRef/>
      </w:r>
      <w:r>
        <w:t xml:space="preserve"> </w:t>
      </w:r>
      <w:r>
        <w:tab/>
      </w:r>
      <w:r w:rsidR="003D0910">
        <w:t>Collaborateur de Giroux, C.F.A. « Chartered Financial Analyst », principalement affecté au Fonds SH.</w:t>
      </w:r>
    </w:p>
  </w:footnote>
  <w:footnote w:id="22">
    <w:p w14:paraId="0C6CEEE1" w14:textId="77777777" w:rsidR="00540E24" w:rsidRDefault="00730A01">
      <w:pPr>
        <w:pStyle w:val="Notedebasdepage"/>
      </w:pPr>
      <w:r>
        <w:rPr>
          <w:rStyle w:val="Appelnotedebasdep"/>
        </w:rPr>
        <w:footnoteRef/>
      </w:r>
      <w:r>
        <w:t xml:space="preserve"> </w:t>
      </w:r>
      <w:r>
        <w:tab/>
      </w:r>
      <w:r w:rsidR="00D34BC8">
        <w:t>Employée du Groupe Giroux à titre de vice-président</w:t>
      </w:r>
      <w:r w:rsidR="003D0910">
        <w:t>e</w:t>
      </w:r>
      <w:r w:rsidR="00D34BC8">
        <w:t>, conformité et gestion des risques chez X2 jusqu’en mai 2023.</w:t>
      </w:r>
    </w:p>
  </w:footnote>
  <w:footnote w:id="23">
    <w:p w14:paraId="4A14E5C9" w14:textId="77777777" w:rsidR="00D34BC8" w:rsidRDefault="00730A01">
      <w:pPr>
        <w:pStyle w:val="Notedebasdepage"/>
      </w:pPr>
      <w:r>
        <w:rPr>
          <w:rStyle w:val="Appelnotedebasdep"/>
        </w:rPr>
        <w:footnoteRef/>
      </w:r>
      <w:r>
        <w:t xml:space="preserve"> </w:t>
      </w:r>
      <w:r>
        <w:tab/>
        <w:t>Employée du Groupe Giroux à titre de vice-présidente exécutive, financement et investissement chez X2 jusqu’en mai 2023.</w:t>
      </w:r>
    </w:p>
  </w:footnote>
  <w:footnote w:id="24">
    <w:p w14:paraId="1EC024C4" w14:textId="77777777" w:rsidR="0095103D" w:rsidRDefault="00730A01">
      <w:pPr>
        <w:pStyle w:val="Notedebasdepage"/>
      </w:pPr>
      <w:r>
        <w:rPr>
          <w:rStyle w:val="Appelnotedebasdep"/>
        </w:rPr>
        <w:footnoteRef/>
      </w:r>
      <w:r>
        <w:t xml:space="preserve"> </w:t>
      </w:r>
      <w:r>
        <w:tab/>
        <w:t>Cette rencontre du 2 mars 2022 sera traitée au début de la Partie 2, par. 45 et ss.</w:t>
      </w:r>
    </w:p>
  </w:footnote>
  <w:footnote w:id="25">
    <w:p w14:paraId="4C4F3763" w14:textId="77777777" w:rsidR="00F923AF" w:rsidRDefault="00730A01" w:rsidP="00F923AF">
      <w:pPr>
        <w:pStyle w:val="Notedebasdepage"/>
      </w:pPr>
      <w:r>
        <w:rPr>
          <w:rStyle w:val="Appelnotedebasdep"/>
        </w:rPr>
        <w:footnoteRef/>
      </w:r>
      <w:r>
        <w:t xml:space="preserve"> </w:t>
      </w:r>
      <w:r>
        <w:tab/>
        <w:t>[1990] 3 R.C.S. 122.</w:t>
      </w:r>
    </w:p>
  </w:footnote>
  <w:footnote w:id="26">
    <w:p w14:paraId="160CB60C" w14:textId="77777777" w:rsidR="00F923AF" w:rsidRPr="0084799F" w:rsidRDefault="00730A01" w:rsidP="00F923AF">
      <w:pPr>
        <w:pStyle w:val="Notedebasdepage"/>
        <w:rPr>
          <w:i/>
          <w:iCs/>
        </w:rPr>
      </w:pPr>
      <w:r>
        <w:rPr>
          <w:rStyle w:val="Appelnotedebasdep"/>
        </w:rPr>
        <w:footnoteRef/>
      </w:r>
      <w:r w:rsidRPr="0084799F">
        <w:t xml:space="preserve"> </w:t>
      </w:r>
      <w:r w:rsidRPr="0084799F">
        <w:tab/>
      </w:r>
      <w:r w:rsidRPr="0084799F">
        <w:rPr>
          <w:i/>
          <w:iCs/>
        </w:rPr>
        <w:t xml:space="preserve">Bell </w:t>
      </w:r>
      <w:r w:rsidRPr="0084799F">
        <w:t xml:space="preserve">c. </w:t>
      </w:r>
      <w:r w:rsidRPr="0084799F">
        <w:rPr>
          <w:i/>
          <w:iCs/>
        </w:rPr>
        <w:t>Molson</w:t>
      </w:r>
      <w:r w:rsidRPr="0084799F">
        <w:t xml:space="preserve">, C.A. 2015; </w:t>
      </w:r>
      <w:r w:rsidRPr="0084799F">
        <w:rPr>
          <w:i/>
          <w:iCs/>
        </w:rPr>
        <w:t>Levasseur</w:t>
      </w:r>
      <w:r>
        <w:rPr>
          <w:i/>
          <w:iCs/>
        </w:rPr>
        <w:t xml:space="preserve"> </w:t>
      </w:r>
      <w:r>
        <w:t xml:space="preserve">c. </w:t>
      </w:r>
      <w:r>
        <w:rPr>
          <w:i/>
          <w:iCs/>
        </w:rPr>
        <w:t>9095-9206 Québec inc.</w:t>
      </w:r>
      <w:r>
        <w:t>, 2012 QCCA 45; Madeleine CANTIN CUMYN et Pierre-Gabriel JOBIN (dir.), L’administration du bien d’autrui, 2</w:t>
      </w:r>
      <w:r w:rsidRPr="0084799F">
        <w:rPr>
          <w:vertAlign w:val="superscript"/>
        </w:rPr>
        <w:t>e</w:t>
      </w:r>
      <w:r>
        <w:t xml:space="preserve"> éd., Montréal, Éditions Yvon Blais, 2016, p. 23-24.</w:t>
      </w:r>
    </w:p>
  </w:footnote>
  <w:footnote w:id="27">
    <w:p w14:paraId="00B09F1D" w14:textId="77777777" w:rsidR="00F923AF" w:rsidRPr="0084799F" w:rsidRDefault="00730A01" w:rsidP="00F923AF">
      <w:pPr>
        <w:pStyle w:val="Notedebasdepage"/>
      </w:pPr>
      <w:r>
        <w:rPr>
          <w:rStyle w:val="Appelnotedebasdep"/>
        </w:rPr>
        <w:footnoteRef/>
      </w:r>
      <w:r>
        <w:t xml:space="preserve"> </w:t>
      </w:r>
      <w:r>
        <w:tab/>
        <w:t>Article 143, al. 2 C.p.c.</w:t>
      </w:r>
    </w:p>
  </w:footnote>
  <w:footnote w:id="28">
    <w:p w14:paraId="12D4CA38" w14:textId="77777777" w:rsidR="00D05FA3" w:rsidRPr="00D05FA3" w:rsidRDefault="00730A01">
      <w:pPr>
        <w:pStyle w:val="Notedebasdepage"/>
      </w:pPr>
      <w:r>
        <w:rPr>
          <w:rStyle w:val="Appelnotedebasdep"/>
        </w:rPr>
        <w:footnoteRef/>
      </w:r>
      <w:r w:rsidRPr="00D05FA3">
        <w:t xml:space="preserve"> </w:t>
      </w:r>
      <w:r w:rsidRPr="00D05FA3">
        <w:tab/>
        <w:t>C</w:t>
      </w:r>
      <w:r w:rsidR="003D0910">
        <w:t>elui-ci témoigne que ses fonctions consistent principalement à</w:t>
      </w:r>
      <w:r>
        <w:t xml:space="preserve"> assurer le suivi de l’information financière préparé par le Groupe Huot</w:t>
      </w:r>
      <w:r w:rsidR="00D97738">
        <w:t> :</w:t>
      </w:r>
      <w:r>
        <w:t xml:space="preserve"> NS, St-Gelais, 22 janvier 2025, p. 230.</w:t>
      </w:r>
    </w:p>
  </w:footnote>
  <w:footnote w:id="29">
    <w:p w14:paraId="085E800B" w14:textId="77777777" w:rsidR="006F36BC" w:rsidRDefault="00730A01">
      <w:pPr>
        <w:pStyle w:val="Notedebasdepage"/>
      </w:pPr>
      <w:r>
        <w:rPr>
          <w:rStyle w:val="Appelnotedebasdep"/>
        </w:rPr>
        <w:footnoteRef/>
      </w:r>
      <w:r>
        <w:t xml:space="preserve"> </w:t>
      </w:r>
      <w:r>
        <w:tab/>
        <w:t>Le Tribunal ignore si les autres participants à la réunion étaient au courant de cet enregistrement.</w:t>
      </w:r>
    </w:p>
  </w:footnote>
  <w:footnote w:id="30">
    <w:p w14:paraId="2C62DFBB" w14:textId="77777777" w:rsidR="006F36BC" w:rsidRDefault="00730A01" w:rsidP="006F36BC">
      <w:pPr>
        <w:pStyle w:val="Notedebasdepage"/>
      </w:pPr>
      <w:r>
        <w:rPr>
          <w:rStyle w:val="Appelnotedebasdep"/>
        </w:rPr>
        <w:footnoteRef/>
      </w:r>
      <w:r>
        <w:t xml:space="preserve"> </w:t>
      </w:r>
      <w:r>
        <w:tab/>
        <w:t>Pièce PQ-103, p. 21, 22-25.</w:t>
      </w:r>
    </w:p>
  </w:footnote>
  <w:footnote w:id="31">
    <w:p w14:paraId="682DCDD4" w14:textId="77777777" w:rsidR="00782DBA" w:rsidRDefault="00730A01" w:rsidP="00782DBA">
      <w:pPr>
        <w:pStyle w:val="Notedebasdepage"/>
      </w:pPr>
      <w:r>
        <w:rPr>
          <w:rStyle w:val="Appelnotedebasdep"/>
        </w:rPr>
        <w:footnoteRef/>
      </w:r>
      <w:r>
        <w:t xml:space="preserve"> </w:t>
      </w:r>
      <w:r>
        <w:tab/>
        <w:t>Pièce PQ-103, p. 170.</w:t>
      </w:r>
    </w:p>
  </w:footnote>
  <w:footnote w:id="32">
    <w:p w14:paraId="403E2BC0" w14:textId="77777777" w:rsidR="00782DBA" w:rsidRDefault="00730A01" w:rsidP="00782DBA">
      <w:pPr>
        <w:pStyle w:val="Notedebasdepage"/>
      </w:pPr>
      <w:r>
        <w:rPr>
          <w:rStyle w:val="Appelnotedebasdep"/>
        </w:rPr>
        <w:footnoteRef/>
      </w:r>
      <w:r>
        <w:t xml:space="preserve"> </w:t>
      </w:r>
      <w:r>
        <w:tab/>
        <w:t>Pièce PQ-103, p. 220-221.</w:t>
      </w:r>
    </w:p>
  </w:footnote>
  <w:footnote w:id="33">
    <w:p w14:paraId="2C212BEF" w14:textId="77777777" w:rsidR="00782DBA" w:rsidRDefault="00730A01" w:rsidP="00782DBA">
      <w:pPr>
        <w:pStyle w:val="Notedebasdepage"/>
      </w:pPr>
      <w:r>
        <w:rPr>
          <w:rStyle w:val="Appelnotedebasdep"/>
        </w:rPr>
        <w:footnoteRef/>
      </w:r>
      <w:r>
        <w:t xml:space="preserve"> </w:t>
      </w:r>
      <w:r>
        <w:tab/>
        <w:t>Pièce PQ-103, p. 238-239.</w:t>
      </w:r>
    </w:p>
  </w:footnote>
  <w:footnote w:id="34">
    <w:p w14:paraId="0F9F38BC" w14:textId="77777777" w:rsidR="00782DBA" w:rsidRDefault="00730A01" w:rsidP="00782DBA">
      <w:pPr>
        <w:pStyle w:val="Notedebasdepage"/>
      </w:pPr>
      <w:r>
        <w:rPr>
          <w:rStyle w:val="Appelnotedebasdep"/>
        </w:rPr>
        <w:footnoteRef/>
      </w:r>
      <w:r>
        <w:t xml:space="preserve"> </w:t>
      </w:r>
      <w:r>
        <w:tab/>
        <w:t>Pièce PQ-103, p. 250.</w:t>
      </w:r>
    </w:p>
  </w:footnote>
  <w:footnote w:id="35">
    <w:p w14:paraId="6A502DA8" w14:textId="77777777" w:rsidR="00782DBA" w:rsidRDefault="00730A01" w:rsidP="00782DBA">
      <w:pPr>
        <w:pStyle w:val="Notedebasdepage"/>
      </w:pPr>
      <w:r>
        <w:rPr>
          <w:rStyle w:val="Appelnotedebasdep"/>
        </w:rPr>
        <w:footnoteRef/>
      </w:r>
      <w:r>
        <w:t xml:space="preserve"> </w:t>
      </w:r>
      <w:r>
        <w:tab/>
        <w:t>Pièce PQ-103, p. 347.</w:t>
      </w:r>
    </w:p>
  </w:footnote>
  <w:footnote w:id="36">
    <w:p w14:paraId="20F46A10" w14:textId="77777777" w:rsidR="00782DBA" w:rsidRDefault="00730A01" w:rsidP="00782DBA">
      <w:pPr>
        <w:pStyle w:val="Notedebasdepage"/>
      </w:pPr>
      <w:r>
        <w:rPr>
          <w:rStyle w:val="Appelnotedebasdep"/>
        </w:rPr>
        <w:footnoteRef/>
      </w:r>
      <w:r>
        <w:t xml:space="preserve"> </w:t>
      </w:r>
      <w:r>
        <w:tab/>
        <w:t>Pièce PQ-103, p. 349 et 349.</w:t>
      </w:r>
    </w:p>
  </w:footnote>
  <w:footnote w:id="37">
    <w:p w14:paraId="5B95AE18" w14:textId="77777777" w:rsidR="00782DBA" w:rsidRDefault="00730A01" w:rsidP="00782DBA">
      <w:pPr>
        <w:pStyle w:val="Notedebasdepage"/>
      </w:pPr>
      <w:r>
        <w:rPr>
          <w:rStyle w:val="Appelnotedebasdep"/>
        </w:rPr>
        <w:footnoteRef/>
      </w:r>
      <w:r>
        <w:t xml:space="preserve"> </w:t>
      </w:r>
      <w:r>
        <w:tab/>
        <w:t>Pièce PQ-103, p. 349-350.</w:t>
      </w:r>
    </w:p>
  </w:footnote>
  <w:footnote w:id="38">
    <w:p w14:paraId="1844B719" w14:textId="77777777" w:rsidR="00782DBA" w:rsidRDefault="00730A01" w:rsidP="00782DBA">
      <w:pPr>
        <w:pStyle w:val="Notedebasdepage"/>
      </w:pPr>
      <w:r>
        <w:rPr>
          <w:rStyle w:val="Appelnotedebasdep"/>
        </w:rPr>
        <w:footnoteRef/>
      </w:r>
      <w:r>
        <w:t xml:space="preserve"> </w:t>
      </w:r>
      <w:r>
        <w:tab/>
      </w:r>
      <w:r w:rsidRPr="00310D12">
        <w:t>Pièce PQ-103, p. 187</w:t>
      </w:r>
      <w:r w:rsidR="00D97738" w:rsidRPr="00310D12">
        <w:t>.</w:t>
      </w:r>
    </w:p>
  </w:footnote>
  <w:footnote w:id="39">
    <w:p w14:paraId="1F30EE89" w14:textId="77777777" w:rsidR="00782DBA" w:rsidRDefault="00730A01" w:rsidP="00782DBA">
      <w:pPr>
        <w:pStyle w:val="Notedebasdepage"/>
      </w:pPr>
      <w:r>
        <w:rPr>
          <w:rStyle w:val="Appelnotedebasdep"/>
        </w:rPr>
        <w:footnoteRef/>
      </w:r>
      <w:r>
        <w:t xml:space="preserve"> </w:t>
      </w:r>
      <w:r>
        <w:tab/>
        <w:t>Pièce PQ-103, p. 188.</w:t>
      </w:r>
    </w:p>
  </w:footnote>
  <w:footnote w:id="40">
    <w:p w14:paraId="333BB6F1" w14:textId="77777777" w:rsidR="00782DBA" w:rsidRDefault="00730A01" w:rsidP="00782DBA">
      <w:pPr>
        <w:pStyle w:val="Notedebasdepage"/>
      </w:pPr>
      <w:r>
        <w:rPr>
          <w:rStyle w:val="Appelnotedebasdep"/>
        </w:rPr>
        <w:footnoteRef/>
      </w:r>
      <w:r>
        <w:t xml:space="preserve"> </w:t>
      </w:r>
      <w:r>
        <w:tab/>
        <w:t>Pièce PQ-103, p. 191.</w:t>
      </w:r>
    </w:p>
  </w:footnote>
  <w:footnote w:id="41">
    <w:p w14:paraId="14E605BC" w14:textId="77777777" w:rsidR="00DF570F" w:rsidRDefault="00730A01">
      <w:pPr>
        <w:pStyle w:val="Notedebasdepage"/>
      </w:pPr>
      <w:r>
        <w:rPr>
          <w:rStyle w:val="Appelnotedebasdep"/>
        </w:rPr>
        <w:footnoteRef/>
      </w:r>
      <w:r>
        <w:t xml:space="preserve"> </w:t>
      </w:r>
      <w:r>
        <w:tab/>
        <w:t>Pièce PQ-103, p. 200.</w:t>
      </w:r>
    </w:p>
  </w:footnote>
  <w:footnote w:id="42">
    <w:p w14:paraId="5776AA07" w14:textId="77777777" w:rsidR="00DF570F" w:rsidRPr="00DF570F" w:rsidRDefault="00730A01">
      <w:pPr>
        <w:pStyle w:val="Notedebasdepage"/>
        <w:rPr>
          <w:i/>
          <w:iCs/>
        </w:rPr>
      </w:pPr>
      <w:r>
        <w:rPr>
          <w:rStyle w:val="Appelnotedebasdep"/>
        </w:rPr>
        <w:footnoteRef/>
      </w:r>
      <w:r>
        <w:t xml:space="preserve"> </w:t>
      </w:r>
      <w:r>
        <w:tab/>
      </w:r>
      <w:r>
        <w:rPr>
          <w:i/>
          <w:iCs/>
        </w:rPr>
        <w:t>Id.</w:t>
      </w:r>
    </w:p>
  </w:footnote>
  <w:footnote w:id="43">
    <w:p w14:paraId="7E65B93D" w14:textId="77777777" w:rsidR="00DF570F" w:rsidRDefault="00730A01">
      <w:pPr>
        <w:pStyle w:val="Notedebasdepage"/>
      </w:pPr>
      <w:r>
        <w:rPr>
          <w:rStyle w:val="Appelnotedebasdep"/>
        </w:rPr>
        <w:footnoteRef/>
      </w:r>
      <w:r>
        <w:t xml:space="preserve"> </w:t>
      </w:r>
      <w:r>
        <w:tab/>
        <w:t>Pièce PQ-103, p. 207.</w:t>
      </w:r>
    </w:p>
  </w:footnote>
  <w:footnote w:id="44">
    <w:p w14:paraId="1F804C2D" w14:textId="77777777" w:rsidR="00DF570F" w:rsidRDefault="00730A01">
      <w:pPr>
        <w:pStyle w:val="Notedebasdepage"/>
      </w:pPr>
      <w:r>
        <w:rPr>
          <w:rStyle w:val="Appelnotedebasdep"/>
        </w:rPr>
        <w:footnoteRef/>
      </w:r>
      <w:r>
        <w:t xml:space="preserve"> </w:t>
      </w:r>
      <w:r>
        <w:tab/>
        <w:t>Pièce PQ-103, p. 210.</w:t>
      </w:r>
    </w:p>
  </w:footnote>
  <w:footnote w:id="45">
    <w:p w14:paraId="17F72D4C" w14:textId="77777777" w:rsidR="00DF570F" w:rsidRDefault="00730A01">
      <w:pPr>
        <w:pStyle w:val="Notedebasdepage"/>
      </w:pPr>
      <w:r>
        <w:rPr>
          <w:rStyle w:val="Appelnotedebasdep"/>
        </w:rPr>
        <w:footnoteRef/>
      </w:r>
      <w:r>
        <w:t xml:space="preserve"> </w:t>
      </w:r>
      <w:r>
        <w:tab/>
        <w:t>Pièce PQ-103, p. 211.</w:t>
      </w:r>
    </w:p>
  </w:footnote>
  <w:footnote w:id="46">
    <w:p w14:paraId="00917303" w14:textId="77777777" w:rsidR="00DF570F" w:rsidRDefault="00730A01">
      <w:pPr>
        <w:pStyle w:val="Notedebasdepage"/>
      </w:pPr>
      <w:r>
        <w:rPr>
          <w:rStyle w:val="Appelnotedebasdep"/>
        </w:rPr>
        <w:footnoteRef/>
      </w:r>
      <w:r>
        <w:t xml:space="preserve"> </w:t>
      </w:r>
      <w:r>
        <w:tab/>
        <w:t>Pièce PQ-103, p. 213.</w:t>
      </w:r>
    </w:p>
  </w:footnote>
  <w:footnote w:id="47">
    <w:p w14:paraId="66F5E89E" w14:textId="77777777" w:rsidR="00DF570F" w:rsidRDefault="00730A01">
      <w:pPr>
        <w:pStyle w:val="Notedebasdepage"/>
      </w:pPr>
      <w:r>
        <w:rPr>
          <w:rStyle w:val="Appelnotedebasdep"/>
        </w:rPr>
        <w:footnoteRef/>
      </w:r>
      <w:r>
        <w:t xml:space="preserve"> </w:t>
      </w:r>
      <w:r>
        <w:tab/>
        <w:t>Pièce PQ-103, p. 221.</w:t>
      </w:r>
    </w:p>
  </w:footnote>
  <w:footnote w:id="48">
    <w:p w14:paraId="02E9EDE3" w14:textId="77777777" w:rsidR="00DF570F" w:rsidRDefault="00730A01">
      <w:pPr>
        <w:pStyle w:val="Notedebasdepage"/>
      </w:pPr>
      <w:r>
        <w:rPr>
          <w:rStyle w:val="Appelnotedebasdep"/>
        </w:rPr>
        <w:footnoteRef/>
      </w:r>
      <w:r>
        <w:t xml:space="preserve"> </w:t>
      </w:r>
      <w:r>
        <w:tab/>
        <w:t>Pièce PQ-103, p. 268.</w:t>
      </w:r>
    </w:p>
  </w:footnote>
  <w:footnote w:id="49">
    <w:p w14:paraId="6357DF66" w14:textId="77777777" w:rsidR="00DF570F" w:rsidRDefault="00730A01">
      <w:pPr>
        <w:pStyle w:val="Notedebasdepage"/>
      </w:pPr>
      <w:r>
        <w:rPr>
          <w:rStyle w:val="Appelnotedebasdep"/>
        </w:rPr>
        <w:footnoteRef/>
      </w:r>
      <w:r>
        <w:t xml:space="preserve"> </w:t>
      </w:r>
      <w:r>
        <w:tab/>
        <w:t>Pièce PQ-103, p. 319.</w:t>
      </w:r>
    </w:p>
  </w:footnote>
  <w:footnote w:id="50">
    <w:p w14:paraId="3D224644" w14:textId="77777777" w:rsidR="00DF570F" w:rsidRDefault="00730A01">
      <w:pPr>
        <w:pStyle w:val="Notedebasdepage"/>
      </w:pPr>
      <w:r>
        <w:rPr>
          <w:rStyle w:val="Appelnotedebasdep"/>
        </w:rPr>
        <w:footnoteRef/>
      </w:r>
      <w:r>
        <w:t xml:space="preserve"> </w:t>
      </w:r>
      <w:r>
        <w:tab/>
        <w:t>Pièce PQ-103, p. 330-332.</w:t>
      </w:r>
    </w:p>
  </w:footnote>
  <w:footnote w:id="51">
    <w:p w14:paraId="66EE72FF" w14:textId="77777777" w:rsidR="00DF570F" w:rsidRDefault="00730A01">
      <w:pPr>
        <w:pStyle w:val="Notedebasdepage"/>
      </w:pPr>
      <w:r>
        <w:rPr>
          <w:rStyle w:val="Appelnotedebasdep"/>
        </w:rPr>
        <w:footnoteRef/>
      </w:r>
      <w:r>
        <w:t xml:space="preserve"> </w:t>
      </w:r>
      <w:r>
        <w:tab/>
        <w:t>Pièce PQ-103, p. 332.</w:t>
      </w:r>
    </w:p>
  </w:footnote>
  <w:footnote w:id="52">
    <w:p w14:paraId="64BE87BC" w14:textId="77777777" w:rsidR="00BD7188" w:rsidRPr="005B1029" w:rsidRDefault="00730A01" w:rsidP="00BD7188">
      <w:pPr>
        <w:pStyle w:val="Notedebasdepage"/>
      </w:pPr>
      <w:r>
        <w:rPr>
          <w:rStyle w:val="Appelnotedebasdep"/>
        </w:rPr>
        <w:footnoteRef/>
      </w:r>
      <w:r>
        <w:t xml:space="preserve"> </w:t>
      </w:r>
      <w:r>
        <w:tab/>
      </w:r>
      <w:r w:rsidRPr="00BA3A08">
        <w:t xml:space="preserve">NS, </w:t>
      </w:r>
      <w:r w:rsidR="00BA3A08" w:rsidRPr="00BA3A08">
        <w:t>Giroux, 4 juin 2024,</w:t>
      </w:r>
      <w:r w:rsidRPr="00BA3A08">
        <w:t xml:space="preserve"> p. 2024</w:t>
      </w:r>
      <w:r w:rsidR="00BA3A08" w:rsidRPr="00BA3A08">
        <w:t>.</w:t>
      </w:r>
    </w:p>
  </w:footnote>
  <w:footnote w:id="53">
    <w:p w14:paraId="7C6A3519" w14:textId="77777777" w:rsidR="00BD7188" w:rsidRPr="005B1029" w:rsidRDefault="00730A01" w:rsidP="00BD7188">
      <w:pPr>
        <w:pStyle w:val="Notedebasdepage"/>
        <w:rPr>
          <w:i/>
          <w:iCs/>
        </w:rPr>
      </w:pPr>
      <w:r>
        <w:rPr>
          <w:rStyle w:val="Appelnotedebasdep"/>
        </w:rPr>
        <w:footnoteRef/>
      </w:r>
      <w:r>
        <w:t xml:space="preserve"> </w:t>
      </w:r>
      <w:r>
        <w:tab/>
      </w:r>
      <w:r w:rsidR="00BA3A08">
        <w:t xml:space="preserve">NS, </w:t>
      </w:r>
      <w:r w:rsidR="00BA3A08" w:rsidRPr="00BA3A08">
        <w:t>Giroux, 4 juin 2024,</w:t>
      </w:r>
      <w:r w:rsidRPr="005B1029">
        <w:t xml:space="preserve"> p. 20</w:t>
      </w:r>
      <w:r>
        <w:t>2</w:t>
      </w:r>
      <w:r w:rsidRPr="005B1029">
        <w:t>6.</w:t>
      </w:r>
    </w:p>
  </w:footnote>
  <w:footnote w:id="54">
    <w:p w14:paraId="1183FF50" w14:textId="77777777" w:rsidR="00BA3A08" w:rsidRDefault="00730A01">
      <w:pPr>
        <w:pStyle w:val="Notedebasdepage"/>
      </w:pPr>
      <w:r>
        <w:rPr>
          <w:rStyle w:val="Appelnotedebasdep"/>
        </w:rPr>
        <w:footnoteRef/>
      </w:r>
      <w:r>
        <w:t xml:space="preserve"> </w:t>
      </w:r>
      <w:r>
        <w:tab/>
        <w:t>NS, Filion, 13 juin 2024, p. 525 et ss.</w:t>
      </w:r>
    </w:p>
  </w:footnote>
  <w:footnote w:id="55">
    <w:p w14:paraId="0FE66407" w14:textId="77777777" w:rsidR="00D56A53" w:rsidRDefault="00730A01">
      <w:pPr>
        <w:pStyle w:val="Notedebasdepage"/>
      </w:pPr>
      <w:r>
        <w:rPr>
          <w:rStyle w:val="Appelnotedebasdep"/>
        </w:rPr>
        <w:footnoteRef/>
      </w:r>
      <w:r>
        <w:t xml:space="preserve"> </w:t>
      </w:r>
      <w:r>
        <w:tab/>
        <w:t>NS, Interrogatoire préalable de Giroux, 16 février 2024, p</w:t>
      </w:r>
      <w:r w:rsidRPr="00802EBA">
        <w:t>. 29</w:t>
      </w:r>
      <w:r>
        <w:t>, pièce PQ-536</w:t>
      </w:r>
      <w:r w:rsidRPr="00802EBA">
        <w:t>. p. 9.</w:t>
      </w:r>
    </w:p>
  </w:footnote>
  <w:footnote w:id="56">
    <w:p w14:paraId="14980A5B" w14:textId="77777777" w:rsidR="00D56A53" w:rsidRPr="00D56A53" w:rsidRDefault="00730A01" w:rsidP="00D56A53">
      <w:pPr>
        <w:pStyle w:val="Notedebasdepage"/>
      </w:pPr>
      <w:r>
        <w:rPr>
          <w:rStyle w:val="Appelnotedebasdep"/>
        </w:rPr>
        <w:footnoteRef/>
      </w:r>
      <w:r w:rsidRPr="00D56A53">
        <w:t xml:space="preserve"> </w:t>
      </w:r>
      <w:r w:rsidRPr="00D56A53">
        <w:tab/>
        <w:t xml:space="preserve">NS, </w:t>
      </w:r>
      <w:r>
        <w:t>Giroux, 11 février 2025, p. 186.</w:t>
      </w:r>
      <w:r w:rsidRPr="00D56A53">
        <w:t xml:space="preserve"> </w:t>
      </w:r>
    </w:p>
  </w:footnote>
  <w:footnote w:id="57">
    <w:p w14:paraId="27D2062C" w14:textId="77777777" w:rsidR="00BD7188" w:rsidRPr="003B4B38" w:rsidRDefault="00730A01" w:rsidP="00BD7188">
      <w:pPr>
        <w:pStyle w:val="Notedebasdepage"/>
      </w:pPr>
      <w:r>
        <w:rPr>
          <w:rStyle w:val="Appelnotedebasdep"/>
        </w:rPr>
        <w:footnoteRef/>
      </w:r>
      <w:r w:rsidRPr="003B4B38">
        <w:t xml:space="preserve"> </w:t>
      </w:r>
      <w:r w:rsidRPr="003B4B38">
        <w:tab/>
        <w:t>NS, Giroux, 3 juin 2024, p. 1569-1570.</w:t>
      </w:r>
    </w:p>
  </w:footnote>
  <w:footnote w:id="58">
    <w:p w14:paraId="3F4399E8" w14:textId="77777777" w:rsidR="00BD7188" w:rsidRDefault="00730A01" w:rsidP="00BD7188">
      <w:pPr>
        <w:pStyle w:val="Notedebasdepage"/>
      </w:pPr>
      <w:r>
        <w:rPr>
          <w:rStyle w:val="Appelnotedebasdep"/>
        </w:rPr>
        <w:footnoteRef/>
      </w:r>
      <w:r>
        <w:t xml:space="preserve"> </w:t>
      </w:r>
      <w:r>
        <w:tab/>
        <w:t>Réunion du 2 mars 2022.</w:t>
      </w:r>
    </w:p>
  </w:footnote>
  <w:footnote w:id="59">
    <w:p w14:paraId="1F741D8B" w14:textId="77777777" w:rsidR="00BA3A08" w:rsidRDefault="00730A01">
      <w:pPr>
        <w:pStyle w:val="Notedebasdepage"/>
      </w:pPr>
      <w:r>
        <w:rPr>
          <w:rStyle w:val="Appelnotedebasdep"/>
        </w:rPr>
        <w:footnoteRef/>
      </w:r>
      <w:r>
        <w:t xml:space="preserve"> </w:t>
      </w:r>
      <w:r>
        <w:tab/>
        <w:t>NS, 11 février 2025, p. 186.</w:t>
      </w:r>
    </w:p>
  </w:footnote>
  <w:footnote w:id="60">
    <w:p w14:paraId="449E232E" w14:textId="77777777" w:rsidR="00D56A53" w:rsidRDefault="00730A01">
      <w:pPr>
        <w:pStyle w:val="Notedebasdepage"/>
      </w:pPr>
      <w:r>
        <w:rPr>
          <w:rStyle w:val="Appelnotedebasdep"/>
        </w:rPr>
        <w:footnoteRef/>
      </w:r>
      <w:r>
        <w:t xml:space="preserve"> </w:t>
      </w:r>
      <w:r>
        <w:tab/>
        <w:t>Pièces PQ-102, PQ-103, PQ-103.1.</w:t>
      </w:r>
    </w:p>
  </w:footnote>
  <w:footnote w:id="61">
    <w:p w14:paraId="01B872B5" w14:textId="77777777" w:rsidR="00BD7188" w:rsidRDefault="00730A01" w:rsidP="00BD7188">
      <w:pPr>
        <w:pStyle w:val="Notedebasdepage"/>
      </w:pPr>
      <w:r>
        <w:rPr>
          <w:rStyle w:val="Appelnotedebasdep"/>
        </w:rPr>
        <w:footnoteRef/>
      </w:r>
      <w:r>
        <w:t xml:space="preserve"> </w:t>
      </w:r>
      <w:r>
        <w:tab/>
        <w:t>NS, 4 juin 2024, p. 2162-2164.</w:t>
      </w:r>
    </w:p>
  </w:footnote>
  <w:footnote w:id="62">
    <w:p w14:paraId="1C1538D0" w14:textId="77777777" w:rsidR="00BD7188" w:rsidRDefault="00730A01" w:rsidP="00BD7188">
      <w:pPr>
        <w:pStyle w:val="Notedebasdepage"/>
      </w:pPr>
      <w:r>
        <w:rPr>
          <w:rStyle w:val="Appelnotedebasdep"/>
        </w:rPr>
        <w:footnoteRef/>
      </w:r>
      <w:r>
        <w:t xml:space="preserve"> </w:t>
      </w:r>
      <w:r>
        <w:tab/>
        <w:t>NS, 1 septembre 2023, p. 88.</w:t>
      </w:r>
    </w:p>
  </w:footnote>
  <w:footnote w:id="63">
    <w:p w14:paraId="753139BC" w14:textId="77777777" w:rsidR="00BA3A08" w:rsidRDefault="00730A01">
      <w:pPr>
        <w:pStyle w:val="Notedebasdepage"/>
      </w:pPr>
      <w:r>
        <w:rPr>
          <w:rStyle w:val="Appelnotedebasdep"/>
        </w:rPr>
        <w:footnoteRef/>
      </w:r>
      <w:r>
        <w:t xml:space="preserve"> </w:t>
      </w:r>
      <w:r>
        <w:tab/>
        <w:t>NS, 12 février 2025, p. 238-239.</w:t>
      </w:r>
    </w:p>
  </w:footnote>
  <w:footnote w:id="64">
    <w:p w14:paraId="7C80DEA6" w14:textId="77777777" w:rsidR="00DB562A" w:rsidRDefault="00730A01" w:rsidP="00DB562A">
      <w:pPr>
        <w:pStyle w:val="Notedebasdepage"/>
      </w:pPr>
      <w:r>
        <w:rPr>
          <w:rStyle w:val="Appelnotedebasdep"/>
        </w:rPr>
        <w:footnoteRef/>
      </w:r>
      <w:r>
        <w:t xml:space="preserve"> </w:t>
      </w:r>
      <w:r>
        <w:tab/>
        <w:t>NS, 12 février 2025, p. 72-73.</w:t>
      </w:r>
    </w:p>
  </w:footnote>
  <w:footnote w:id="65">
    <w:p w14:paraId="76EA8228" w14:textId="77777777" w:rsidR="00DB562A" w:rsidRDefault="00730A01" w:rsidP="00DB562A">
      <w:pPr>
        <w:pStyle w:val="Notedebasdepage"/>
      </w:pPr>
      <w:r>
        <w:rPr>
          <w:rStyle w:val="Appelnotedebasdep"/>
        </w:rPr>
        <w:footnoteRef/>
      </w:r>
      <w:r>
        <w:t xml:space="preserve"> </w:t>
      </w:r>
      <w:r>
        <w:tab/>
        <w:t>NS, 10 février 2025, p. 91-92.</w:t>
      </w:r>
    </w:p>
  </w:footnote>
  <w:footnote w:id="66">
    <w:p w14:paraId="1D90427A" w14:textId="77777777" w:rsidR="002D617F" w:rsidRDefault="00730A01">
      <w:pPr>
        <w:pStyle w:val="Notedebasdepage"/>
      </w:pPr>
      <w:r>
        <w:rPr>
          <w:rStyle w:val="Appelnotedebasdep"/>
        </w:rPr>
        <w:footnoteRef/>
      </w:r>
      <w:r>
        <w:t xml:space="preserve"> </w:t>
      </w:r>
      <w:r>
        <w:tab/>
        <w:t>NS, 3 juin 2024, p. 112.</w:t>
      </w:r>
    </w:p>
  </w:footnote>
  <w:footnote w:id="67">
    <w:p w14:paraId="4253053B" w14:textId="77777777" w:rsidR="00BD7188" w:rsidRDefault="00730A01" w:rsidP="00BD7188">
      <w:pPr>
        <w:pStyle w:val="Notedebasdepage"/>
      </w:pPr>
      <w:r>
        <w:rPr>
          <w:rStyle w:val="Appelnotedebasdep"/>
        </w:rPr>
        <w:footnoteRef/>
      </w:r>
      <w:r>
        <w:t xml:space="preserve"> </w:t>
      </w:r>
      <w:r>
        <w:tab/>
        <w:t>NS, 17 février 2025, p. 293.</w:t>
      </w:r>
    </w:p>
  </w:footnote>
  <w:footnote w:id="68">
    <w:p w14:paraId="05FC8A25" w14:textId="77777777" w:rsidR="00BD7188" w:rsidRPr="006A47B5" w:rsidRDefault="00730A01" w:rsidP="00BD7188">
      <w:pPr>
        <w:pStyle w:val="Notedebasdepage"/>
      </w:pPr>
      <w:r>
        <w:rPr>
          <w:rStyle w:val="Appelnotedebasdep"/>
        </w:rPr>
        <w:footnoteRef/>
      </w:r>
      <w:r>
        <w:t xml:space="preserve"> </w:t>
      </w:r>
      <w:r>
        <w:tab/>
      </w:r>
      <w:r w:rsidR="00AF253F">
        <w:t>NS, 17 février 2025</w:t>
      </w:r>
      <w:r>
        <w:t>, p. 345.</w:t>
      </w:r>
    </w:p>
  </w:footnote>
  <w:footnote w:id="69">
    <w:p w14:paraId="444C5B86" w14:textId="77777777" w:rsidR="00BD7188" w:rsidRDefault="00730A01" w:rsidP="00BD7188">
      <w:pPr>
        <w:pStyle w:val="Notedebasdepage"/>
      </w:pPr>
      <w:r>
        <w:rPr>
          <w:rStyle w:val="Appelnotedebasdep"/>
        </w:rPr>
        <w:footnoteRef/>
      </w:r>
      <w:r>
        <w:t xml:space="preserve"> </w:t>
      </w:r>
      <w:r>
        <w:tab/>
        <w:t>Pièces PQ-97.3.1.</w:t>
      </w:r>
    </w:p>
  </w:footnote>
  <w:footnote w:id="70">
    <w:p w14:paraId="405FF25B" w14:textId="77777777" w:rsidR="00BD7188" w:rsidRDefault="00730A01" w:rsidP="00BD7188">
      <w:pPr>
        <w:pStyle w:val="Notedebasdepage"/>
      </w:pPr>
      <w:r>
        <w:rPr>
          <w:rStyle w:val="Appelnotedebasdep"/>
        </w:rPr>
        <w:footnoteRef/>
      </w:r>
      <w:r>
        <w:t xml:space="preserve"> </w:t>
      </w:r>
      <w:r>
        <w:tab/>
        <w:t>Pièce EP-1</w:t>
      </w:r>
      <w:r w:rsidR="004C5FB0">
        <w:t xml:space="preserve"> (Rapport KPMG du 13 novembre 2023), </w:t>
      </w:r>
      <w:r>
        <w:t>p. 258, 259, 263 et 264.</w:t>
      </w:r>
    </w:p>
  </w:footnote>
  <w:footnote w:id="71">
    <w:p w14:paraId="3BE15C42" w14:textId="77777777" w:rsidR="00BD7188" w:rsidRDefault="00730A01" w:rsidP="00BD7188">
      <w:pPr>
        <w:pStyle w:val="Notedebasdepage"/>
      </w:pPr>
      <w:r>
        <w:rPr>
          <w:rStyle w:val="Appelnotedebasdep"/>
        </w:rPr>
        <w:footnoteRef/>
      </w:r>
      <w:r>
        <w:t xml:space="preserve"> </w:t>
      </w:r>
      <w:r>
        <w:tab/>
        <w:t>NS, 13 février 2025, p. 217.</w:t>
      </w:r>
    </w:p>
  </w:footnote>
  <w:footnote w:id="72">
    <w:p w14:paraId="4F9D2997" w14:textId="77777777" w:rsidR="00BD7188" w:rsidRPr="00860157" w:rsidRDefault="00730A01" w:rsidP="00BD7188">
      <w:pPr>
        <w:pStyle w:val="Notedebasdepage"/>
      </w:pPr>
      <w:r>
        <w:rPr>
          <w:rStyle w:val="Appelnotedebasdep"/>
        </w:rPr>
        <w:footnoteRef/>
      </w:r>
      <w:r>
        <w:t xml:space="preserve"> </w:t>
      </w:r>
      <w:r>
        <w:tab/>
      </w:r>
      <w:r w:rsidR="007A1DCB">
        <w:t>NS, 13 février 2025,</w:t>
      </w:r>
      <w:r>
        <w:t xml:space="preserve"> p. 212.</w:t>
      </w:r>
    </w:p>
  </w:footnote>
  <w:footnote w:id="73">
    <w:p w14:paraId="5B5168FC" w14:textId="77777777" w:rsidR="00802EBA" w:rsidRDefault="00730A01" w:rsidP="00802EBA">
      <w:pPr>
        <w:pStyle w:val="Notedebasdepage"/>
      </w:pPr>
      <w:r>
        <w:rPr>
          <w:rStyle w:val="Appelnotedebasdep"/>
        </w:rPr>
        <w:footnoteRef/>
      </w:r>
      <w:r>
        <w:t xml:space="preserve"> </w:t>
      </w:r>
      <w:r>
        <w:tab/>
        <w:t>Confirmé par le témoignage de Céline Carbonneau, NS, 17 février 2025, p. 348-350.</w:t>
      </w:r>
    </w:p>
  </w:footnote>
  <w:footnote w:id="74">
    <w:p w14:paraId="5D35714C" w14:textId="77777777" w:rsidR="00BD7188" w:rsidRPr="00641478" w:rsidRDefault="00730A01" w:rsidP="00BD7188">
      <w:pPr>
        <w:pStyle w:val="Notedebasdepage"/>
      </w:pPr>
      <w:r>
        <w:rPr>
          <w:rStyle w:val="Appelnotedebasdep"/>
        </w:rPr>
        <w:footnoteRef/>
      </w:r>
      <w:r>
        <w:t xml:space="preserve"> </w:t>
      </w:r>
      <w:r>
        <w:tab/>
        <w:t xml:space="preserve">Voir notamment </w:t>
      </w:r>
      <w:r w:rsidRPr="00641478">
        <w:rPr>
          <w:i/>
          <w:iCs/>
          <w:lang w:eastAsia="fr-CA"/>
        </w:rPr>
        <w:t>Burberry Limited</w:t>
      </w:r>
      <w:r w:rsidRPr="00641478">
        <w:rPr>
          <w:lang w:eastAsia="fr-CA"/>
        </w:rPr>
        <w:t xml:space="preserve"> c. </w:t>
      </w:r>
      <w:r w:rsidRPr="00641478">
        <w:rPr>
          <w:i/>
          <w:iCs/>
          <w:lang w:eastAsia="fr-CA"/>
        </w:rPr>
        <w:t>Ramjaun (Laguna Trading)</w:t>
      </w:r>
      <w:r>
        <w:rPr>
          <w:lang w:eastAsia="fr-CA"/>
        </w:rPr>
        <w:t>,</w:t>
      </w:r>
      <w:r w:rsidRPr="00641478">
        <w:rPr>
          <w:lang w:eastAsia="fr-CA"/>
        </w:rPr>
        <w:t xml:space="preserve"> </w:t>
      </w:r>
      <w:r>
        <w:t>2016 CF 1188, par.</w:t>
      </w:r>
      <w:r w:rsidR="00FF6A85">
        <w:t> </w:t>
      </w:r>
      <w:r>
        <w:t xml:space="preserve">24 à 29 </w:t>
      </w:r>
      <w:r w:rsidRPr="00641478">
        <w:rPr>
          <w:lang w:eastAsia="fr-CA"/>
        </w:rPr>
        <w:t xml:space="preserve">et </w:t>
      </w:r>
      <w:r w:rsidRPr="00641478">
        <w:rPr>
          <w:i/>
          <w:iCs/>
          <w:lang w:eastAsia="fr-CA"/>
        </w:rPr>
        <w:t>Banque Canadienne Impériale de Commerce (CIBC)</w:t>
      </w:r>
      <w:r w:rsidRPr="00641478">
        <w:rPr>
          <w:lang w:eastAsia="fr-CA"/>
        </w:rPr>
        <w:t xml:space="preserve"> c. </w:t>
      </w:r>
      <w:r w:rsidRPr="00641478">
        <w:rPr>
          <w:i/>
          <w:iCs/>
          <w:lang w:eastAsia="fr-CA"/>
        </w:rPr>
        <w:t>Samson</w:t>
      </w:r>
      <w:r>
        <w:rPr>
          <w:lang w:eastAsia="fr-CA"/>
        </w:rPr>
        <w:t xml:space="preserve">, </w:t>
      </w:r>
      <w:r>
        <w:t>2010 QCCS 2848, par. 17, 18 et</w:t>
      </w:r>
      <w:r w:rsidR="00FF6A85">
        <w:t> </w:t>
      </w:r>
      <w:r>
        <w:t>30.</w:t>
      </w:r>
    </w:p>
  </w:footnote>
  <w:footnote w:id="75">
    <w:p w14:paraId="66486412" w14:textId="77777777" w:rsidR="00802EBA" w:rsidRDefault="00730A01">
      <w:pPr>
        <w:pStyle w:val="Notedebasdepage"/>
      </w:pPr>
      <w:r>
        <w:rPr>
          <w:rStyle w:val="Appelnotedebasdep"/>
        </w:rPr>
        <w:footnoteRef/>
      </w:r>
      <w:r>
        <w:t xml:space="preserve"> </w:t>
      </w:r>
      <w:r>
        <w:tab/>
      </w:r>
      <w:r w:rsidR="005170D4">
        <w:t>NS, 4 juin 2024, p. 2121.</w:t>
      </w:r>
    </w:p>
  </w:footnote>
  <w:footnote w:id="76">
    <w:p w14:paraId="02340339" w14:textId="77777777" w:rsidR="00AF253F" w:rsidRDefault="00730A01">
      <w:pPr>
        <w:pStyle w:val="Notedebasdepage"/>
      </w:pPr>
      <w:r>
        <w:rPr>
          <w:rStyle w:val="Appelnotedebasdep"/>
        </w:rPr>
        <w:footnoteRef/>
      </w:r>
      <w:r>
        <w:t xml:space="preserve"> </w:t>
      </w:r>
      <w:r>
        <w:tab/>
        <w:t xml:space="preserve">Selon les dictionnaires </w:t>
      </w:r>
      <w:r w:rsidRPr="005170D4">
        <w:rPr>
          <w:i/>
          <w:iCs/>
        </w:rPr>
        <w:t>Larousse</w:t>
      </w:r>
      <w:r>
        <w:t xml:space="preserve"> et </w:t>
      </w:r>
      <w:r w:rsidR="005170D4" w:rsidRPr="005170D4">
        <w:rPr>
          <w:i/>
          <w:iCs/>
        </w:rPr>
        <w:t>L</w:t>
      </w:r>
      <w:r w:rsidRPr="005170D4">
        <w:rPr>
          <w:i/>
          <w:iCs/>
        </w:rPr>
        <w:t>e Petit Robert</w:t>
      </w:r>
      <w:r>
        <w:t>.</w:t>
      </w:r>
    </w:p>
  </w:footnote>
  <w:footnote w:id="77">
    <w:p w14:paraId="206C5EC7" w14:textId="77777777" w:rsidR="001835B8" w:rsidRDefault="00730A01" w:rsidP="00F82F93">
      <w:pPr>
        <w:pStyle w:val="Notedebasdepage"/>
        <w:rPr>
          <w:rFonts w:cs="Arial"/>
          <w:lang w:eastAsia="fr-CA"/>
        </w:rPr>
      </w:pPr>
      <w:r w:rsidRPr="0051339F">
        <w:rPr>
          <w:rStyle w:val="Appelnotedebasdep"/>
        </w:rPr>
        <w:footnoteRef/>
      </w:r>
      <w:r w:rsidRPr="0051339F">
        <w:t xml:space="preserve"> </w:t>
      </w:r>
      <w:r w:rsidRPr="0051339F">
        <w:tab/>
      </w:r>
      <w:r w:rsidRPr="0051339F">
        <w:rPr>
          <w:rFonts w:cs="Arial"/>
          <w:i/>
          <w:iCs/>
          <w:lang w:eastAsia="fr-CA"/>
        </w:rPr>
        <w:t xml:space="preserve">Bédard </w:t>
      </w:r>
      <w:r w:rsidRPr="0051339F">
        <w:rPr>
          <w:rFonts w:cs="Arial"/>
          <w:lang w:eastAsia="fr-CA"/>
        </w:rPr>
        <w:t>c</w:t>
      </w:r>
      <w:r w:rsidRPr="0051339F">
        <w:rPr>
          <w:rFonts w:cs="Arial"/>
          <w:i/>
          <w:iCs/>
          <w:lang w:eastAsia="fr-CA"/>
        </w:rPr>
        <w:t>. Giroux</w:t>
      </w:r>
      <w:r w:rsidRPr="0051339F">
        <w:rPr>
          <w:rFonts w:cs="Arial"/>
          <w:lang w:eastAsia="fr-CA"/>
        </w:rPr>
        <w:t xml:space="preserve">, C.S., 30 juillet 1999, SOQUIJ AZ-99026532, B.E. 99BE-1165, pièce PQ-253, </w:t>
      </w:r>
    </w:p>
    <w:p w14:paraId="787CAD31" w14:textId="77777777" w:rsidR="00F82F93" w:rsidRPr="0051339F" w:rsidRDefault="00730A01" w:rsidP="00F82F93">
      <w:pPr>
        <w:pStyle w:val="Notedebasdepage"/>
      </w:pPr>
      <w:r>
        <w:rPr>
          <w:rFonts w:cs="Arial"/>
          <w:lang w:eastAsia="fr-CA"/>
        </w:rPr>
        <w:tab/>
      </w:r>
      <w:r w:rsidRPr="0051339F">
        <w:rPr>
          <w:rFonts w:cs="Arial"/>
          <w:lang w:eastAsia="fr-CA"/>
        </w:rPr>
        <w:t>p.</w:t>
      </w:r>
      <w:r>
        <w:rPr>
          <w:rFonts w:cs="Arial"/>
          <w:lang w:eastAsia="fr-CA"/>
        </w:rPr>
        <w:t> </w:t>
      </w:r>
      <w:r w:rsidRPr="0051339F">
        <w:rPr>
          <w:rFonts w:cs="Arial"/>
          <w:lang w:eastAsia="fr-CA"/>
        </w:rPr>
        <w:t>4-5.</w:t>
      </w:r>
    </w:p>
  </w:footnote>
  <w:footnote w:id="78">
    <w:p w14:paraId="620D2AC8" w14:textId="77777777" w:rsidR="00F82F93" w:rsidRDefault="00730A01" w:rsidP="00F82F93">
      <w:pPr>
        <w:pStyle w:val="Notedebasdepage"/>
      </w:pPr>
      <w:r>
        <w:rPr>
          <w:rStyle w:val="Appelnotedebasdep"/>
        </w:rPr>
        <w:footnoteRef/>
      </w:r>
      <w:r>
        <w:t xml:space="preserve"> </w:t>
      </w:r>
      <w:r>
        <w:tab/>
        <w:t>NS, 3 juin 2024, p. 1505.</w:t>
      </w:r>
    </w:p>
  </w:footnote>
  <w:footnote w:id="79">
    <w:p w14:paraId="2E2F2FC5" w14:textId="77777777" w:rsidR="00F82F93" w:rsidRPr="003200B0" w:rsidRDefault="00730A01" w:rsidP="00F82F93">
      <w:pPr>
        <w:pStyle w:val="Notedebasdepage"/>
      </w:pPr>
      <w:r>
        <w:rPr>
          <w:rStyle w:val="Appelnotedebasdep"/>
        </w:rPr>
        <w:footnoteRef/>
      </w:r>
      <w:r>
        <w:t xml:space="preserve"> </w:t>
      </w:r>
      <w:r>
        <w:tab/>
      </w:r>
      <w:r w:rsidRPr="003200B0">
        <w:rPr>
          <w:rFonts w:cs="Arial"/>
          <w:i/>
          <w:iCs/>
          <w:lang w:eastAsia="fr-CA"/>
        </w:rPr>
        <w:t>OAGQ</w:t>
      </w:r>
      <w:r w:rsidRPr="003200B0">
        <w:rPr>
          <w:rFonts w:cs="Arial"/>
          <w:lang w:eastAsia="fr-CA"/>
        </w:rPr>
        <w:t xml:space="preserve"> c. </w:t>
      </w:r>
      <w:r w:rsidRPr="003200B0">
        <w:rPr>
          <w:rFonts w:cs="Arial"/>
          <w:i/>
          <w:iCs/>
          <w:lang w:eastAsia="fr-CA"/>
        </w:rPr>
        <w:t>Giroux</w:t>
      </w:r>
      <w:r w:rsidR="00FA0E34">
        <w:rPr>
          <w:rFonts w:cs="Arial"/>
          <w:lang w:eastAsia="fr-CA"/>
        </w:rPr>
        <w:t>, d</w:t>
      </w:r>
      <w:r w:rsidRPr="003200B0">
        <w:rPr>
          <w:rFonts w:cs="Arial"/>
          <w:lang w:eastAsia="fr-CA"/>
        </w:rPr>
        <w:t xml:space="preserve">écision du </w:t>
      </w:r>
      <w:r w:rsidR="006D6CC4">
        <w:rPr>
          <w:rFonts w:cs="Arial"/>
          <w:lang w:eastAsia="fr-CA"/>
        </w:rPr>
        <w:t>23 janvier 1998</w:t>
      </w:r>
      <w:r w:rsidR="00FA0E34">
        <w:rPr>
          <w:rFonts w:cs="Arial"/>
          <w:lang w:eastAsia="fr-CA"/>
        </w:rPr>
        <w:t>,</w:t>
      </w:r>
      <w:r w:rsidRPr="003200B0">
        <w:rPr>
          <w:rFonts w:cs="Arial"/>
          <w:lang w:eastAsia="fr-CA"/>
        </w:rPr>
        <w:t xml:space="preserve"> </w:t>
      </w:r>
      <w:r w:rsidRPr="00FA0E34">
        <w:rPr>
          <w:rFonts w:cs="Arial"/>
          <w:lang w:eastAsia="fr-CA"/>
        </w:rPr>
        <w:t xml:space="preserve">04-97-000159, </w:t>
      </w:r>
      <w:r w:rsidR="00FA0E34" w:rsidRPr="00FA0E34">
        <w:rPr>
          <w:rFonts w:cs="Arial"/>
          <w:lang w:eastAsia="fr-CA"/>
        </w:rPr>
        <w:t>p</w:t>
      </w:r>
      <w:r w:rsidRPr="00FA0E34">
        <w:rPr>
          <w:rFonts w:cs="Arial"/>
          <w:lang w:eastAsia="fr-CA"/>
        </w:rPr>
        <w:t>ièce PQ-24</w:t>
      </w:r>
      <w:r w:rsidR="006D6CC4">
        <w:rPr>
          <w:rFonts w:cs="Arial"/>
          <w:lang w:eastAsia="fr-CA"/>
        </w:rPr>
        <w:t>6</w:t>
      </w:r>
      <w:r w:rsidR="00FA0E34">
        <w:rPr>
          <w:rFonts w:cs="Arial"/>
          <w:lang w:eastAsia="fr-CA"/>
        </w:rPr>
        <w:t>, p. 22-23</w:t>
      </w:r>
      <w:r>
        <w:rPr>
          <w:rFonts w:cs="Arial"/>
          <w:lang w:eastAsia="fr-CA"/>
        </w:rPr>
        <w:t>.</w:t>
      </w:r>
    </w:p>
  </w:footnote>
  <w:footnote w:id="80">
    <w:p w14:paraId="63486EBB" w14:textId="77777777" w:rsidR="006D6CC4" w:rsidRDefault="00730A01" w:rsidP="006D6CC4">
      <w:pPr>
        <w:pStyle w:val="Notedebasdepage"/>
      </w:pPr>
      <w:r>
        <w:rPr>
          <w:rStyle w:val="Appelnotedebasdep"/>
        </w:rPr>
        <w:footnoteRef/>
      </w:r>
      <w:r>
        <w:t xml:space="preserve"> </w:t>
      </w:r>
      <w:r>
        <w:tab/>
      </w:r>
      <w:r w:rsidRPr="00FA0E34">
        <w:rPr>
          <w:i/>
          <w:iCs/>
        </w:rPr>
        <w:t>OAG</w:t>
      </w:r>
      <w:r>
        <w:rPr>
          <w:i/>
          <w:iCs/>
        </w:rPr>
        <w:t>Q</w:t>
      </w:r>
      <w:r>
        <w:t xml:space="preserve"> c. </w:t>
      </w:r>
      <w:r w:rsidRPr="00FA0E34">
        <w:rPr>
          <w:i/>
          <w:iCs/>
        </w:rPr>
        <w:t>Giroux</w:t>
      </w:r>
      <w:r>
        <w:t>, décision du 16 avril</w:t>
      </w:r>
      <w:r w:rsidR="00D50712">
        <w:t xml:space="preserve"> 1998,</w:t>
      </w:r>
      <w:r>
        <w:t xml:space="preserve"> pièce PQ-247, p. 12-13.</w:t>
      </w:r>
    </w:p>
  </w:footnote>
  <w:footnote w:id="81">
    <w:p w14:paraId="6CCCF7CA" w14:textId="77777777" w:rsidR="001835B8" w:rsidRDefault="00730A01" w:rsidP="00F82F93">
      <w:pPr>
        <w:pStyle w:val="Notedebasdepage"/>
      </w:pPr>
      <w:r>
        <w:rPr>
          <w:rStyle w:val="Appelnotedebasdep"/>
        </w:rPr>
        <w:footnoteRef/>
      </w:r>
      <w:r>
        <w:t xml:space="preserve"> </w:t>
      </w:r>
      <w:r>
        <w:tab/>
      </w:r>
      <w:r w:rsidRPr="00FA0E34">
        <w:t xml:space="preserve">NS, </w:t>
      </w:r>
      <w:r w:rsidR="00FA0E34" w:rsidRPr="00FA0E34">
        <w:t>3 juin 2024, p. 1505 et ss</w:t>
      </w:r>
      <w:r w:rsidR="007535EA">
        <w:t xml:space="preserve">; </w:t>
      </w:r>
      <w:r w:rsidR="007535EA" w:rsidRPr="007535EA">
        <w:rPr>
          <w:i/>
          <w:iCs/>
        </w:rPr>
        <w:t>OACQ</w:t>
      </w:r>
      <w:r w:rsidR="007535EA">
        <w:t xml:space="preserve"> c. </w:t>
      </w:r>
      <w:r w:rsidR="007535EA" w:rsidRPr="007535EA">
        <w:rPr>
          <w:i/>
          <w:iCs/>
        </w:rPr>
        <w:t>Giroux</w:t>
      </w:r>
      <w:r w:rsidR="007535EA">
        <w:t xml:space="preserve">, 04-92-00093, pièce PQ-248; </w:t>
      </w:r>
      <w:r w:rsidR="00192E75">
        <w:rPr>
          <w:i/>
          <w:iCs/>
        </w:rPr>
        <w:t>Lalanne</w:t>
      </w:r>
      <w:r w:rsidR="00192E75">
        <w:t xml:space="preserve"> c. </w:t>
      </w:r>
      <w:r w:rsidR="00192E75">
        <w:rPr>
          <w:i/>
          <w:iCs/>
        </w:rPr>
        <w:t>Giroux</w:t>
      </w:r>
      <w:r w:rsidR="00192E75">
        <w:t xml:space="preserve">, </w:t>
      </w:r>
    </w:p>
    <w:p w14:paraId="0E4AE3E4" w14:textId="77777777" w:rsidR="00F82F93" w:rsidRPr="00192E75" w:rsidRDefault="00730A01" w:rsidP="00F82F93">
      <w:pPr>
        <w:pStyle w:val="Notedebasdepage"/>
      </w:pPr>
      <w:r>
        <w:t xml:space="preserve">04-2007-000383, pièce PQ-249 et </w:t>
      </w:r>
      <w:r>
        <w:rPr>
          <w:i/>
          <w:iCs/>
        </w:rPr>
        <w:t xml:space="preserve">Lalanne </w:t>
      </w:r>
      <w:r>
        <w:t xml:space="preserve">c. </w:t>
      </w:r>
      <w:r>
        <w:rPr>
          <w:i/>
          <w:iCs/>
        </w:rPr>
        <w:t>Giroux</w:t>
      </w:r>
      <w:r>
        <w:t>, 04-2007-379, pièce PQ-250.</w:t>
      </w:r>
    </w:p>
  </w:footnote>
  <w:footnote w:id="82">
    <w:p w14:paraId="6A155DB2" w14:textId="77777777" w:rsidR="00D1596E" w:rsidRDefault="00730A01">
      <w:pPr>
        <w:pStyle w:val="Notedebasdepage"/>
      </w:pPr>
      <w:r>
        <w:rPr>
          <w:rStyle w:val="Appelnotedebasdep"/>
        </w:rPr>
        <w:footnoteRef/>
      </w:r>
      <w:r>
        <w:t xml:space="preserve"> </w:t>
      </w:r>
      <w:r>
        <w:tab/>
        <w:t xml:space="preserve">NS, </w:t>
      </w:r>
      <w:r w:rsidRPr="00D1596E">
        <w:rPr>
          <w:rFonts w:cs="Arial"/>
          <w:lang w:eastAsia="fr-CA"/>
        </w:rPr>
        <w:t>St-Gelais, 10 et 11 février 2025, p. 89-90, 166-170, 205-209, 218-220 ainsi que du 24</w:t>
      </w:r>
      <w:r w:rsidR="001835B8">
        <w:rPr>
          <w:rFonts w:cs="Arial"/>
          <w:lang w:eastAsia="fr-CA"/>
        </w:rPr>
        <w:t> </w:t>
      </w:r>
      <w:r w:rsidRPr="00D1596E">
        <w:rPr>
          <w:rFonts w:cs="Arial"/>
          <w:lang w:eastAsia="fr-CA"/>
        </w:rPr>
        <w:t>janvier</w:t>
      </w:r>
      <w:r w:rsidR="001835B8">
        <w:rPr>
          <w:rFonts w:cs="Arial"/>
          <w:lang w:eastAsia="fr-CA"/>
        </w:rPr>
        <w:t> </w:t>
      </w:r>
      <w:r w:rsidRPr="00D1596E">
        <w:rPr>
          <w:rFonts w:cs="Arial"/>
          <w:lang w:eastAsia="fr-CA"/>
        </w:rPr>
        <w:t>2025, p. 57.</w:t>
      </w:r>
    </w:p>
  </w:footnote>
  <w:footnote w:id="83">
    <w:p w14:paraId="50B85486" w14:textId="77777777" w:rsidR="008159E9" w:rsidRDefault="00730A01" w:rsidP="008159E9">
      <w:pPr>
        <w:pStyle w:val="Notedebasdepage"/>
      </w:pPr>
      <w:r>
        <w:rPr>
          <w:rStyle w:val="Appelnotedebasdep"/>
        </w:rPr>
        <w:footnoteRef/>
      </w:r>
      <w:r>
        <w:t xml:space="preserve"> </w:t>
      </w:r>
      <w:r>
        <w:tab/>
        <w:t>NS, St-Gelais, 10 février 2025, p. 114-116.</w:t>
      </w:r>
    </w:p>
  </w:footnote>
  <w:footnote w:id="84">
    <w:p w14:paraId="4A8F70DF" w14:textId="77777777" w:rsidR="00C94DB2" w:rsidRDefault="00730A01">
      <w:pPr>
        <w:pStyle w:val="Notedebasdepage"/>
      </w:pPr>
      <w:r w:rsidRPr="00C94DB2">
        <w:rPr>
          <w:rStyle w:val="Appelnotedebasdep"/>
        </w:rPr>
        <w:footnoteRef/>
      </w:r>
      <w:r w:rsidRPr="00C94DB2">
        <w:t xml:space="preserve"> </w:t>
      </w:r>
      <w:r w:rsidRPr="00C94DB2">
        <w:tab/>
        <w:t xml:space="preserve">NS, Lehoux, </w:t>
      </w:r>
      <w:r w:rsidRPr="00C94DB2">
        <w:rPr>
          <w:rFonts w:cs="Arial"/>
          <w:lang w:eastAsia="fr-CA"/>
        </w:rPr>
        <w:t>20 janvier 2025, p. 144-145.</w:t>
      </w:r>
    </w:p>
  </w:footnote>
  <w:footnote w:id="85">
    <w:p w14:paraId="7BE9ECD5" w14:textId="77777777" w:rsidR="00C94DB2" w:rsidRPr="00C94DB2" w:rsidRDefault="00730A01">
      <w:pPr>
        <w:pStyle w:val="Notedebasdepage"/>
      </w:pPr>
      <w:r>
        <w:rPr>
          <w:rStyle w:val="Appelnotedebasdep"/>
        </w:rPr>
        <w:footnoteRef/>
      </w:r>
      <w:r>
        <w:t xml:space="preserve"> </w:t>
      </w:r>
      <w:r>
        <w:tab/>
        <w:t xml:space="preserve">Pièce </w:t>
      </w:r>
      <w:r w:rsidRPr="00C94DB2">
        <w:rPr>
          <w:rStyle w:val="lev"/>
          <w:rFonts w:cs="Arial"/>
          <w:b w:val="0"/>
          <w:bCs w:val="0"/>
        </w:rPr>
        <w:t>D-537.14</w:t>
      </w:r>
      <w:r>
        <w:rPr>
          <w:rStyle w:val="lev"/>
          <w:rFonts w:cs="Arial"/>
          <w:b w:val="0"/>
          <w:bCs w:val="0"/>
        </w:rPr>
        <w:t xml:space="preserve">, </w:t>
      </w:r>
      <w:r w:rsidRPr="00C94DB2">
        <w:rPr>
          <w:rStyle w:val="lev"/>
          <w:rFonts w:cs="Arial"/>
          <w:b w:val="0"/>
          <w:bCs w:val="0"/>
        </w:rPr>
        <w:t>p. 29</w:t>
      </w:r>
      <w:r w:rsidRPr="00C94DB2">
        <w:rPr>
          <w:rFonts w:cs="Arial"/>
          <w:b/>
          <w:bCs/>
        </w:rPr>
        <w:t>.</w:t>
      </w:r>
    </w:p>
  </w:footnote>
  <w:footnote w:id="86">
    <w:p w14:paraId="582F8EB4" w14:textId="77777777" w:rsidR="008159E9" w:rsidRDefault="00730A01" w:rsidP="008159E9">
      <w:pPr>
        <w:pStyle w:val="Notedebasdepage"/>
      </w:pPr>
      <w:r>
        <w:rPr>
          <w:rStyle w:val="Appelnotedebasdep"/>
        </w:rPr>
        <w:footnoteRef/>
      </w:r>
      <w:r>
        <w:t xml:space="preserve"> </w:t>
      </w:r>
      <w:r>
        <w:tab/>
        <w:t>DSS Lehoux, 17 mai 2024, par. 17-18.</w:t>
      </w:r>
    </w:p>
  </w:footnote>
  <w:footnote w:id="87">
    <w:p w14:paraId="33827BD0" w14:textId="77777777" w:rsidR="008159E9" w:rsidRDefault="00730A01" w:rsidP="008159E9">
      <w:pPr>
        <w:pStyle w:val="Notedebasdepage"/>
      </w:pPr>
      <w:r>
        <w:rPr>
          <w:rStyle w:val="Appelnotedebasdep"/>
        </w:rPr>
        <w:footnoteRef/>
      </w:r>
      <w:r>
        <w:t xml:space="preserve"> </w:t>
      </w:r>
      <w:r>
        <w:tab/>
        <w:t>DSS Lehoux, 17 mai 2024, par. 22-23.</w:t>
      </w:r>
    </w:p>
  </w:footnote>
  <w:footnote w:id="88">
    <w:p w14:paraId="2FD4AE09" w14:textId="77777777" w:rsidR="00AF2995" w:rsidRPr="00082666" w:rsidRDefault="00730A01" w:rsidP="00082666">
      <w:pPr>
        <w:pStyle w:val="Notedebasdepage"/>
      </w:pPr>
      <w:r>
        <w:rPr>
          <w:rStyle w:val="Appelnotedebasdep"/>
        </w:rPr>
        <w:footnoteRef/>
      </w:r>
      <w:r w:rsidRPr="00082666">
        <w:t xml:space="preserve"> </w:t>
      </w:r>
      <w:r w:rsidRPr="00082666">
        <w:tab/>
      </w:r>
      <w:r w:rsidRPr="00910E90">
        <w:t>NS, 27 mai 2024</w:t>
      </w:r>
      <w:r w:rsidR="00006436" w:rsidRPr="00910E90">
        <w:t> :</w:t>
      </w:r>
      <w:r w:rsidRPr="00910E90">
        <w:t xml:space="preserve"> </w:t>
      </w:r>
      <w:r w:rsidR="00006436" w:rsidRPr="00910E90">
        <w:t>Paul Tardif</w:t>
      </w:r>
      <w:r w:rsidR="00006541" w:rsidRPr="00910E90">
        <w:t>,</w:t>
      </w:r>
      <w:r w:rsidR="0051775E" w:rsidRPr="00910E90">
        <w:t xml:space="preserve"> </w:t>
      </w:r>
      <w:r w:rsidR="0028343F" w:rsidRPr="00910E90">
        <w:t>p.</w:t>
      </w:r>
      <w:r w:rsidRPr="00910E90">
        <w:t xml:space="preserve"> 30-31, 96</w:t>
      </w:r>
      <w:r w:rsidR="00006541" w:rsidRPr="00910E90">
        <w:t xml:space="preserve"> et DSS par 7</w:t>
      </w:r>
      <w:r w:rsidRPr="00910E90">
        <w:t xml:space="preserve">; </w:t>
      </w:r>
      <w:r w:rsidR="00006541" w:rsidRPr="00910E90">
        <w:t xml:space="preserve">Alain Guay, </w:t>
      </w:r>
      <w:r w:rsidR="0028343F" w:rsidRPr="00910E90">
        <w:t>p.</w:t>
      </w:r>
      <w:r w:rsidR="00006541" w:rsidRPr="00910E90">
        <w:t xml:space="preserve"> 48-49; </w:t>
      </w:r>
      <w:r w:rsidRPr="00910E90">
        <w:t>Denis St-Cyr</w:t>
      </w:r>
      <w:r w:rsidR="00006541" w:rsidRPr="00910E90">
        <w:t>,</w:t>
      </w:r>
      <w:r w:rsidR="00006436" w:rsidRPr="00910E90">
        <w:t xml:space="preserve"> p</w:t>
      </w:r>
      <w:r w:rsidR="0051775E" w:rsidRPr="00910E90">
        <w:t>. </w:t>
      </w:r>
      <w:r w:rsidR="00006436" w:rsidRPr="00910E90">
        <w:t>197</w:t>
      </w:r>
      <w:r w:rsidR="00D870ED" w:rsidRPr="00910E90">
        <w:t>;</w:t>
      </w:r>
      <w:r w:rsidR="00082666" w:rsidRPr="00910E90">
        <w:t xml:space="preserve"> </w:t>
      </w:r>
      <w:r w:rsidR="00006436" w:rsidRPr="00910E90">
        <w:t>NS, 30 mai 2024</w:t>
      </w:r>
      <w:r w:rsidR="0051775E" w:rsidRPr="00910E90">
        <w:t xml:space="preserve"> : </w:t>
      </w:r>
      <w:r w:rsidR="00006436" w:rsidRPr="00910E90">
        <w:t>Pierre Breton</w:t>
      </w:r>
      <w:r w:rsidR="0051775E" w:rsidRPr="00910E90">
        <w:t>,</w:t>
      </w:r>
      <w:r w:rsidRPr="00910E90">
        <w:t xml:space="preserve"> </w:t>
      </w:r>
      <w:r w:rsidR="0028343F" w:rsidRPr="00910E90">
        <w:t>p.</w:t>
      </w:r>
      <w:r w:rsidRPr="00910E90">
        <w:t xml:space="preserve"> </w:t>
      </w:r>
      <w:r w:rsidR="00006436" w:rsidRPr="00910E90">
        <w:t>1405-1406 et 1416</w:t>
      </w:r>
      <w:r w:rsidRPr="00910E90">
        <w:t xml:space="preserve">; </w:t>
      </w:r>
      <w:r w:rsidR="00006436" w:rsidRPr="00910E90">
        <w:t xml:space="preserve">NS 7 juin 2024 : Frankie Lafontaine, p. 3548; </w:t>
      </w:r>
      <w:r w:rsidRPr="00910E90">
        <w:t>Daniel Borde</w:t>
      </w:r>
      <w:r w:rsidR="00D870ED" w:rsidRPr="00910E90">
        <w:t>le</w:t>
      </w:r>
      <w:r w:rsidRPr="00910E90">
        <w:t xml:space="preserve">au : </w:t>
      </w:r>
      <w:r w:rsidR="0028343F" w:rsidRPr="00910E90">
        <w:t>p.</w:t>
      </w:r>
      <w:r w:rsidR="0051775E" w:rsidRPr="00910E90">
        <w:t> </w:t>
      </w:r>
      <w:r w:rsidR="00006436" w:rsidRPr="00910E90">
        <w:t>3623 et 3652</w:t>
      </w:r>
      <w:r w:rsidR="00006541" w:rsidRPr="00910E90">
        <w:t xml:space="preserve"> et DSS par</w:t>
      </w:r>
      <w:r w:rsidR="0051775E" w:rsidRPr="00910E90">
        <w:t xml:space="preserve">. </w:t>
      </w:r>
      <w:r w:rsidR="00006541" w:rsidRPr="00910E90">
        <w:t xml:space="preserve">8; </w:t>
      </w:r>
      <w:r w:rsidR="00006436" w:rsidRPr="00910E90">
        <w:t>NS, 14 juin 2024 : Réal Bourdeau</w:t>
      </w:r>
      <w:r w:rsidR="00D870ED" w:rsidRPr="00910E90">
        <w:t>,</w:t>
      </w:r>
      <w:r w:rsidR="00006436" w:rsidRPr="00910E90">
        <w:t xml:space="preserve"> </w:t>
      </w:r>
      <w:r w:rsidR="0028343F" w:rsidRPr="00910E90">
        <w:t>p.</w:t>
      </w:r>
      <w:r w:rsidR="0051775E" w:rsidRPr="00910E90">
        <w:t> </w:t>
      </w:r>
      <w:r w:rsidR="00006436" w:rsidRPr="00910E90">
        <w:t xml:space="preserve">6066 et 6075-6077; Alain Lemay, </w:t>
      </w:r>
      <w:r w:rsidR="00006541" w:rsidRPr="00910E90">
        <w:t>p.</w:t>
      </w:r>
      <w:r w:rsidR="0051775E" w:rsidRPr="00910E90">
        <w:t> </w:t>
      </w:r>
      <w:r w:rsidR="00006541" w:rsidRPr="00910E90">
        <w:t>6140; NS, 17 juin 2024</w:t>
      </w:r>
      <w:r w:rsidR="0051775E" w:rsidRPr="00910E90">
        <w:t xml:space="preserve"> : </w:t>
      </w:r>
      <w:r w:rsidR="00006541" w:rsidRPr="00910E90">
        <w:t>Daniel Samson p. 6241; NS 21 janvier 2025</w:t>
      </w:r>
      <w:r w:rsidR="0051775E" w:rsidRPr="00910E90">
        <w:t xml:space="preserve"> : </w:t>
      </w:r>
      <w:r w:rsidR="00006541" w:rsidRPr="00910E90">
        <w:t xml:space="preserve">Bertrand Roberge </w:t>
      </w:r>
      <w:r w:rsidR="0028343F" w:rsidRPr="00910E90">
        <w:t>p.</w:t>
      </w:r>
      <w:r w:rsidR="00006541" w:rsidRPr="00910E90">
        <w:t xml:space="preserve">64-65; Alain-Jacques Simard, </w:t>
      </w:r>
      <w:r w:rsidR="0028343F" w:rsidRPr="00910E90">
        <w:t>p.</w:t>
      </w:r>
      <w:r w:rsidR="00006541" w:rsidRPr="00910E90">
        <w:t xml:space="preserve">93-94; </w:t>
      </w:r>
      <w:r w:rsidRPr="00910E90">
        <w:t>André Blais</w:t>
      </w:r>
      <w:r w:rsidR="00006541" w:rsidRPr="00910E90">
        <w:t>, DSS</w:t>
      </w:r>
      <w:r w:rsidRPr="00910E90">
        <w:t xml:space="preserve"> par.</w:t>
      </w:r>
      <w:r w:rsidR="0051775E" w:rsidRPr="00910E90">
        <w:t> </w:t>
      </w:r>
      <w:r w:rsidRPr="00910E90">
        <w:t>16;</w:t>
      </w:r>
      <w:r w:rsidR="00006541" w:rsidRPr="00910E90">
        <w:t xml:space="preserve"> Daniel Arguin DSS par</w:t>
      </w:r>
      <w:r w:rsidR="0051775E" w:rsidRPr="00910E90">
        <w:t>. </w:t>
      </w:r>
      <w:r w:rsidR="00006541" w:rsidRPr="00910E90">
        <w:t>7;</w:t>
      </w:r>
      <w:r w:rsidRPr="00910E90">
        <w:t xml:space="preserve"> Alix Muller </w:t>
      </w:r>
      <w:r w:rsidR="00006541" w:rsidRPr="00910E90">
        <w:t>DSS par</w:t>
      </w:r>
      <w:r w:rsidR="0051775E" w:rsidRPr="00910E90">
        <w:t>.</w:t>
      </w:r>
      <w:r w:rsidR="00006541" w:rsidRPr="00910E90">
        <w:t xml:space="preserve"> 8; </w:t>
      </w:r>
      <w:r w:rsidR="008C3CD8" w:rsidRPr="00910E90">
        <w:rPr>
          <w:rFonts w:cs="Arial"/>
          <w:szCs w:val="24"/>
          <w:lang w:eastAsia="fr-CA"/>
        </w:rPr>
        <w:t>Ronald Godbout</w:t>
      </w:r>
      <w:r w:rsidR="008C3CD8" w:rsidRPr="00910E90">
        <w:rPr>
          <w:rFonts w:ascii="Times New Roman" w:hAnsi="Times New Roman"/>
          <w:szCs w:val="24"/>
          <w:lang w:eastAsia="fr-CA"/>
        </w:rPr>
        <w:t xml:space="preserve"> </w:t>
      </w:r>
      <w:r w:rsidR="008C3CD8" w:rsidRPr="00910E90">
        <w:rPr>
          <w:rFonts w:cs="Arial"/>
          <w:szCs w:val="24"/>
          <w:lang w:eastAsia="fr-CA"/>
        </w:rPr>
        <w:t>Interrogatoire préalable, 26 janvier 2024, p. 18</w:t>
      </w:r>
      <w:r w:rsidR="0051775E" w:rsidRPr="00910E90">
        <w:rPr>
          <w:rFonts w:cs="Arial"/>
          <w:szCs w:val="24"/>
          <w:lang w:eastAsia="fr-CA"/>
        </w:rPr>
        <w:t>.</w:t>
      </w:r>
      <w:r w:rsidR="008C3CD8" w:rsidRPr="00A86847">
        <w:rPr>
          <w:rFonts w:ascii="Times New Roman" w:hAnsi="Times New Roman"/>
          <w:szCs w:val="24"/>
          <w:lang w:eastAsia="fr-CA"/>
        </w:rPr>
        <w:t xml:space="preserve"> </w:t>
      </w:r>
    </w:p>
  </w:footnote>
  <w:footnote w:id="89">
    <w:p w14:paraId="0D255016" w14:textId="77777777" w:rsidR="0051775E" w:rsidRDefault="00730A01">
      <w:pPr>
        <w:pStyle w:val="Notedebasdepage"/>
      </w:pPr>
      <w:r>
        <w:rPr>
          <w:rStyle w:val="Appelnotedebasdep"/>
        </w:rPr>
        <w:footnoteRef/>
      </w:r>
      <w:r>
        <w:t xml:space="preserve"> </w:t>
      </w:r>
      <w:r>
        <w:tab/>
        <w:t xml:space="preserve">NS, 4 juin 2025, </w:t>
      </w:r>
      <w:r w:rsidR="0028343F">
        <w:t>p.</w:t>
      </w:r>
      <w:r>
        <w:t xml:space="preserve"> 1973-1976; Déclaration sous serment du 7 juillet 2023, par. 36.</w:t>
      </w:r>
    </w:p>
  </w:footnote>
  <w:footnote w:id="90">
    <w:p w14:paraId="6B7E1409" w14:textId="77777777" w:rsidR="0051775E" w:rsidRDefault="00730A01">
      <w:pPr>
        <w:pStyle w:val="Notedebasdepage"/>
      </w:pPr>
      <w:r>
        <w:rPr>
          <w:rStyle w:val="Appelnotedebasdep"/>
        </w:rPr>
        <w:footnoteRef/>
      </w:r>
      <w:r>
        <w:t xml:space="preserve"> </w:t>
      </w:r>
      <w:r>
        <w:tab/>
        <w:t>Pièce PQ-256, p. 166</w:t>
      </w:r>
      <w:r w:rsidR="007702BD">
        <w:t xml:space="preserve"> – </w:t>
      </w:r>
      <w:r>
        <w:t>Récapitulatif des difficultés financières de Huot et transactions irrégulières de 2017 à 2022.</w:t>
      </w:r>
    </w:p>
  </w:footnote>
  <w:footnote w:id="91">
    <w:p w14:paraId="5ED39860" w14:textId="77777777" w:rsidR="0074274A" w:rsidRDefault="00730A01" w:rsidP="0074274A">
      <w:pPr>
        <w:pStyle w:val="Notedebasdepage"/>
      </w:pPr>
      <w:r>
        <w:rPr>
          <w:rStyle w:val="Appelnotedebasdep"/>
        </w:rPr>
        <w:footnoteRef/>
      </w:r>
      <w:r>
        <w:t xml:space="preserve"> </w:t>
      </w:r>
      <w:r>
        <w:tab/>
      </w:r>
      <w:r w:rsidRPr="007E098C">
        <w:t>NS, Giroux</w:t>
      </w:r>
      <w:r>
        <w:t xml:space="preserve">, </w:t>
      </w:r>
      <w:r w:rsidRPr="007E098C">
        <w:t>3 juin 2024, p. 1601-1602</w:t>
      </w:r>
      <w:r>
        <w:t>.</w:t>
      </w:r>
    </w:p>
  </w:footnote>
  <w:footnote w:id="92">
    <w:p w14:paraId="7689857F" w14:textId="77777777" w:rsidR="0074274A" w:rsidRDefault="00730A01" w:rsidP="0074274A">
      <w:pPr>
        <w:pStyle w:val="Notedebasdepage"/>
      </w:pPr>
      <w:r>
        <w:rPr>
          <w:rStyle w:val="Appelnotedebasdep"/>
        </w:rPr>
        <w:footnoteRef/>
      </w:r>
      <w:r>
        <w:t xml:space="preserve"> </w:t>
      </w:r>
      <w:r>
        <w:tab/>
        <w:t>Déclaration sous serment (ci-après « DSS ») de Thabet, 30 avril 2024, par. 19, 24; DSS de G. Denis, 30</w:t>
      </w:r>
      <w:r w:rsidR="001835B8">
        <w:t> </w:t>
      </w:r>
      <w:r>
        <w:t>avril</w:t>
      </w:r>
      <w:r w:rsidR="001835B8">
        <w:t> </w:t>
      </w:r>
      <w:r>
        <w:t>2024, par. 22.</w:t>
      </w:r>
    </w:p>
  </w:footnote>
  <w:footnote w:id="93">
    <w:p w14:paraId="14D34530" w14:textId="77777777" w:rsidR="0074274A" w:rsidRPr="007702BD" w:rsidRDefault="00730A01" w:rsidP="0074274A">
      <w:pPr>
        <w:pStyle w:val="Notedebasdepage"/>
        <w:rPr>
          <w:rFonts w:cs="Arial"/>
        </w:rPr>
      </w:pPr>
      <w:r>
        <w:rPr>
          <w:rStyle w:val="Appelnotedebasdep"/>
        </w:rPr>
        <w:footnoteRef/>
      </w:r>
      <w:r>
        <w:t xml:space="preserve"> </w:t>
      </w:r>
      <w:r>
        <w:tab/>
        <w:t>Témoignages divers : Rapport KPMG (pièce EP-1, par. 828); Pièces PQ-256, p. 18-20;</w:t>
      </w:r>
      <w:r w:rsidRPr="008C3CD8">
        <w:rPr>
          <w:rFonts w:ascii="Times New Roman" w:hAnsi="Times New Roman"/>
          <w:szCs w:val="24"/>
          <w:lang w:eastAsia="fr-CA"/>
        </w:rPr>
        <w:t xml:space="preserve"> </w:t>
      </w:r>
      <w:r w:rsidRPr="007702BD">
        <w:rPr>
          <w:rFonts w:cs="Arial"/>
          <w:szCs w:val="24"/>
          <w:lang w:eastAsia="fr-CA"/>
        </w:rPr>
        <w:t>EP-1.7A</w:t>
      </w:r>
      <w:r>
        <w:rPr>
          <w:rFonts w:cs="Arial"/>
          <w:szCs w:val="24"/>
          <w:lang w:eastAsia="fr-CA"/>
        </w:rPr>
        <w:t xml:space="preserve">; </w:t>
      </w:r>
      <w:r w:rsidRPr="007702BD">
        <w:rPr>
          <w:rFonts w:cs="Arial"/>
          <w:szCs w:val="24"/>
          <w:lang w:eastAsia="fr-CA"/>
        </w:rPr>
        <w:t xml:space="preserve">PQ-179, PQ-4 modifiée, </w:t>
      </w:r>
      <w:r>
        <w:rPr>
          <w:rFonts w:cs="Arial"/>
          <w:szCs w:val="24"/>
          <w:lang w:eastAsia="fr-CA"/>
        </w:rPr>
        <w:t>(</w:t>
      </w:r>
      <w:r w:rsidRPr="007702BD">
        <w:rPr>
          <w:rFonts w:cs="Arial"/>
          <w:szCs w:val="24"/>
          <w:lang w:eastAsia="fr-CA"/>
        </w:rPr>
        <w:t>D</w:t>
      </w:r>
      <w:r>
        <w:rPr>
          <w:rFonts w:cs="Arial"/>
          <w:szCs w:val="24"/>
          <w:lang w:eastAsia="fr-CA"/>
        </w:rPr>
        <w:noBreakHyphen/>
      </w:r>
      <w:r w:rsidRPr="007702BD">
        <w:rPr>
          <w:rFonts w:cs="Arial"/>
          <w:szCs w:val="24"/>
          <w:lang w:eastAsia="fr-CA"/>
        </w:rPr>
        <w:t>536.10, D-751, D-714)</w:t>
      </w:r>
      <w:r>
        <w:rPr>
          <w:rFonts w:cs="Arial"/>
          <w:szCs w:val="24"/>
          <w:lang w:eastAsia="fr-CA"/>
        </w:rPr>
        <w:t>;</w:t>
      </w:r>
      <w:r w:rsidRPr="007702BD">
        <w:rPr>
          <w:rFonts w:cs="Arial"/>
        </w:rPr>
        <w:t xml:space="preserve"> NS, 20 février 2025, Larochelle, </w:t>
      </w:r>
      <w:r>
        <w:rPr>
          <w:rFonts w:cs="Arial"/>
        </w:rPr>
        <w:t>p.</w:t>
      </w:r>
      <w:r w:rsidRPr="007702BD">
        <w:rPr>
          <w:rFonts w:cs="Arial"/>
        </w:rPr>
        <w:t xml:space="preserve"> 84-85; EP-1.7A, p. 67, art. 2.1; PQ</w:t>
      </w:r>
      <w:r>
        <w:rPr>
          <w:rFonts w:cs="Arial"/>
        </w:rPr>
        <w:noBreakHyphen/>
      </w:r>
      <w:r w:rsidRPr="007702BD">
        <w:rPr>
          <w:rFonts w:cs="Arial"/>
        </w:rPr>
        <w:t>179, p. 12</w:t>
      </w:r>
      <w:r w:rsidRPr="00910E90">
        <w:rPr>
          <w:rFonts w:cs="Arial"/>
        </w:rPr>
        <w:t xml:space="preserve">; </w:t>
      </w:r>
      <w:r w:rsidRPr="008F4D92">
        <w:rPr>
          <w:rFonts w:cs="Arial"/>
          <w:szCs w:val="24"/>
          <w:lang w:eastAsia="fr-CA"/>
        </w:rPr>
        <w:t>PQ-4 modifiée</w:t>
      </w:r>
      <w:r w:rsidRPr="00910E90">
        <w:rPr>
          <w:rFonts w:cs="Arial"/>
          <w:szCs w:val="24"/>
          <w:lang w:eastAsia="fr-CA"/>
        </w:rPr>
        <w:t xml:space="preserve">, p. 11; </w:t>
      </w:r>
      <w:r w:rsidRPr="008F4D92">
        <w:rPr>
          <w:rFonts w:cs="Arial"/>
          <w:szCs w:val="24"/>
          <w:lang w:eastAsia="fr-CA"/>
        </w:rPr>
        <w:t>NS</w:t>
      </w:r>
      <w:r w:rsidR="008F4D92">
        <w:rPr>
          <w:rFonts w:cs="Arial"/>
          <w:szCs w:val="24"/>
          <w:lang w:eastAsia="fr-CA"/>
        </w:rPr>
        <w:t xml:space="preserve">, </w:t>
      </w:r>
      <w:r w:rsidRPr="008F4D92">
        <w:rPr>
          <w:rFonts w:cs="Arial"/>
          <w:szCs w:val="24"/>
          <w:lang w:eastAsia="fr-CA"/>
        </w:rPr>
        <w:t>Jocelyn Giguère</w:t>
      </w:r>
      <w:r w:rsidRPr="00910E90">
        <w:rPr>
          <w:rFonts w:cs="Arial"/>
          <w:szCs w:val="24"/>
          <w:lang w:eastAsia="fr-CA"/>
        </w:rPr>
        <w:t>, procès (contre-interrogatoire), 28 mai 2024, p. 601 l. 14 à 605 l. 19; NS</w:t>
      </w:r>
      <w:r w:rsidR="008F4D92">
        <w:rPr>
          <w:rFonts w:cs="Arial"/>
          <w:szCs w:val="24"/>
          <w:lang w:eastAsia="fr-CA"/>
        </w:rPr>
        <w:t xml:space="preserve">, </w:t>
      </w:r>
      <w:r w:rsidRPr="00910E90">
        <w:rPr>
          <w:rFonts w:cs="Arial"/>
          <w:szCs w:val="24"/>
          <w:lang w:eastAsia="fr-CA"/>
        </w:rPr>
        <w:t>Alain Roy, procès (contre-interrogatoire), 5</w:t>
      </w:r>
      <w:r w:rsidR="001835B8">
        <w:rPr>
          <w:rFonts w:cs="Arial"/>
          <w:szCs w:val="24"/>
          <w:lang w:eastAsia="fr-CA"/>
        </w:rPr>
        <w:t> </w:t>
      </w:r>
      <w:r w:rsidRPr="00910E90">
        <w:rPr>
          <w:rFonts w:cs="Arial"/>
          <w:szCs w:val="24"/>
          <w:lang w:eastAsia="fr-CA"/>
        </w:rPr>
        <w:t xml:space="preserve">juin 2024, p. 2538 l. 25 à 2539 l.4; p. 2572 l.8 à 2573 l.16; p. 2580 l.7-11; </w:t>
      </w:r>
      <w:r w:rsidRPr="008F4D92">
        <w:rPr>
          <w:rFonts w:cs="Arial"/>
          <w:szCs w:val="24"/>
          <w:lang w:eastAsia="fr-CA"/>
        </w:rPr>
        <w:t>NS</w:t>
      </w:r>
      <w:r w:rsidR="008F4D92">
        <w:rPr>
          <w:rFonts w:cs="Arial"/>
          <w:szCs w:val="24"/>
          <w:lang w:eastAsia="fr-CA"/>
        </w:rPr>
        <w:t>,</w:t>
      </w:r>
      <w:r w:rsidRPr="00910E90">
        <w:rPr>
          <w:rFonts w:cs="Arial"/>
          <w:b/>
          <w:bCs/>
          <w:szCs w:val="24"/>
          <w:lang w:eastAsia="fr-CA"/>
        </w:rPr>
        <w:t xml:space="preserve"> </w:t>
      </w:r>
      <w:r w:rsidRPr="008F4D92">
        <w:rPr>
          <w:rFonts w:cs="Arial"/>
          <w:szCs w:val="24"/>
          <w:lang w:eastAsia="fr-CA"/>
        </w:rPr>
        <w:t>Daniel Arguin</w:t>
      </w:r>
      <w:r w:rsidRPr="00910E90">
        <w:rPr>
          <w:rFonts w:cs="Arial"/>
          <w:szCs w:val="24"/>
          <w:lang w:eastAsia="fr-CA"/>
        </w:rPr>
        <w:t xml:space="preserve">, procès (contre-interrogatoire), 17 juin 2024, p. 6412 l. 2 à p. 6413 l. 14; </w:t>
      </w:r>
      <w:r w:rsidRPr="008F4D92">
        <w:rPr>
          <w:rFonts w:cs="Arial"/>
          <w:szCs w:val="24"/>
          <w:lang w:eastAsia="fr-CA"/>
        </w:rPr>
        <w:t>NS</w:t>
      </w:r>
      <w:r w:rsidR="008F4D92">
        <w:rPr>
          <w:rFonts w:cs="Arial"/>
          <w:szCs w:val="24"/>
          <w:lang w:eastAsia="fr-CA"/>
        </w:rPr>
        <w:t>,</w:t>
      </w:r>
      <w:r w:rsidRPr="00910E90">
        <w:rPr>
          <w:rFonts w:cs="Arial"/>
          <w:b/>
          <w:bCs/>
          <w:szCs w:val="24"/>
          <w:lang w:eastAsia="fr-CA"/>
        </w:rPr>
        <w:t xml:space="preserve"> </w:t>
      </w:r>
      <w:r w:rsidRPr="008F4D92">
        <w:rPr>
          <w:rFonts w:cs="Arial"/>
          <w:szCs w:val="24"/>
          <w:lang w:eastAsia="fr-CA"/>
        </w:rPr>
        <w:t>Pierre Couture</w:t>
      </w:r>
      <w:r w:rsidRPr="00910E90">
        <w:rPr>
          <w:rFonts w:cs="Arial"/>
          <w:szCs w:val="24"/>
          <w:lang w:eastAsia="fr-CA"/>
        </w:rPr>
        <w:t>, procès, 17</w:t>
      </w:r>
      <w:r w:rsidR="001835B8">
        <w:rPr>
          <w:rFonts w:cs="Arial"/>
          <w:szCs w:val="24"/>
          <w:lang w:eastAsia="fr-CA"/>
        </w:rPr>
        <w:t> </w:t>
      </w:r>
      <w:r w:rsidRPr="00910E90">
        <w:rPr>
          <w:rFonts w:cs="Arial"/>
          <w:szCs w:val="24"/>
          <w:lang w:eastAsia="fr-CA"/>
        </w:rPr>
        <w:t>juin</w:t>
      </w:r>
      <w:r w:rsidR="001835B8">
        <w:rPr>
          <w:rFonts w:cs="Arial"/>
          <w:szCs w:val="24"/>
          <w:lang w:eastAsia="fr-CA"/>
        </w:rPr>
        <w:t> </w:t>
      </w:r>
      <w:r w:rsidRPr="00910E90">
        <w:rPr>
          <w:rFonts w:cs="Arial"/>
          <w:szCs w:val="24"/>
          <w:lang w:eastAsia="fr-CA"/>
        </w:rPr>
        <w:t xml:space="preserve">2024, p. 6371-6372; </w:t>
      </w:r>
      <w:r w:rsidR="008F4D92" w:rsidRPr="00910E90">
        <w:rPr>
          <w:rFonts w:cs="Arial"/>
          <w:szCs w:val="24"/>
          <w:lang w:eastAsia="fr-CA"/>
        </w:rPr>
        <w:t>NS</w:t>
      </w:r>
      <w:r w:rsidR="008F4D92">
        <w:rPr>
          <w:rFonts w:cs="Arial"/>
          <w:szCs w:val="24"/>
          <w:lang w:eastAsia="fr-CA"/>
        </w:rPr>
        <w:t>,</w:t>
      </w:r>
      <w:r w:rsidR="008F4D92" w:rsidRPr="008F4D92">
        <w:rPr>
          <w:rFonts w:cs="Arial"/>
          <w:szCs w:val="24"/>
          <w:lang w:eastAsia="fr-CA"/>
        </w:rPr>
        <w:t xml:space="preserve"> </w:t>
      </w:r>
      <w:r w:rsidRPr="008F4D92">
        <w:rPr>
          <w:rFonts w:cs="Arial"/>
          <w:szCs w:val="24"/>
          <w:lang w:eastAsia="fr-CA"/>
        </w:rPr>
        <w:t>Alain Roy</w:t>
      </w:r>
      <w:r w:rsidRPr="00910E90">
        <w:rPr>
          <w:rFonts w:cs="Arial"/>
          <w:szCs w:val="24"/>
          <w:lang w:eastAsia="fr-CA"/>
        </w:rPr>
        <w:t>, procès (contre-interrogatoire), 5 juin 2024, p.</w:t>
      </w:r>
      <w:r w:rsidR="008F4D92">
        <w:rPr>
          <w:rFonts w:cs="Arial"/>
          <w:szCs w:val="24"/>
          <w:lang w:eastAsia="fr-CA"/>
        </w:rPr>
        <w:t> </w:t>
      </w:r>
      <w:r w:rsidRPr="00910E90">
        <w:rPr>
          <w:rFonts w:cs="Arial"/>
          <w:szCs w:val="24"/>
          <w:lang w:eastAsia="fr-CA"/>
        </w:rPr>
        <w:t>2538 l. 25 à 2539 l. 4, p. 2572 l. 8 à 2573 l. 16, p. 2580 l. 7-11;</w:t>
      </w:r>
      <w:r w:rsidRPr="00DB2B7A">
        <w:rPr>
          <w:rFonts w:cs="Arial"/>
          <w:szCs w:val="24"/>
          <w:lang w:eastAsia="fr-CA"/>
        </w:rPr>
        <w:t xml:space="preserve"> Denis St-Cyr, témoignage cité en lien avec les assurances de Giroux; Gaston Ouellet, interrogatoire préalable, 6 février 2024, </w:t>
      </w:r>
      <w:r>
        <w:rPr>
          <w:rFonts w:cs="Arial"/>
          <w:szCs w:val="24"/>
          <w:lang w:eastAsia="fr-CA"/>
        </w:rPr>
        <w:t>p.</w:t>
      </w:r>
      <w:r w:rsidR="008F4D92">
        <w:rPr>
          <w:rFonts w:cs="Arial"/>
          <w:szCs w:val="24"/>
          <w:lang w:eastAsia="fr-CA"/>
        </w:rPr>
        <w:t> </w:t>
      </w:r>
      <w:r w:rsidRPr="00DB2B7A">
        <w:rPr>
          <w:rFonts w:cs="Arial"/>
          <w:szCs w:val="24"/>
          <w:lang w:eastAsia="fr-CA"/>
        </w:rPr>
        <w:t xml:space="preserve">57 et 65; déclare avoir fait confiance à Giroux pour gérer Q-12 professionnellement et conformément aux représentations; </w:t>
      </w:r>
      <w:r w:rsidRPr="00910E90">
        <w:rPr>
          <w:rFonts w:cs="Arial"/>
          <w:szCs w:val="24"/>
          <w:lang w:eastAsia="fr-CA"/>
        </w:rPr>
        <w:t>Ronald Godbout, interrogatoire préalable, 26 janvier 2024, p 18 : affirme a</w:t>
      </w:r>
      <w:r w:rsidRPr="00DB2B7A">
        <w:rPr>
          <w:rFonts w:cs="Arial"/>
          <w:szCs w:val="24"/>
          <w:lang w:eastAsia="fr-CA"/>
        </w:rPr>
        <w:t xml:space="preserve">voir investi parce qu’il faisait confiance à Giroux; </w:t>
      </w:r>
      <w:r w:rsidR="008F4D92">
        <w:rPr>
          <w:rFonts w:cs="Arial"/>
          <w:szCs w:val="24"/>
          <w:lang w:eastAsia="fr-CA"/>
        </w:rPr>
        <w:t xml:space="preserve">NS, </w:t>
      </w:r>
      <w:r w:rsidRPr="00DB2B7A">
        <w:rPr>
          <w:rFonts w:cs="Arial"/>
          <w:szCs w:val="24"/>
          <w:lang w:eastAsia="fr-CA"/>
        </w:rPr>
        <w:t xml:space="preserve">Sophie Larochelle, 20 février 2025, </w:t>
      </w:r>
      <w:r>
        <w:rPr>
          <w:rFonts w:cs="Arial"/>
          <w:szCs w:val="24"/>
          <w:lang w:eastAsia="fr-CA"/>
        </w:rPr>
        <w:t>p.</w:t>
      </w:r>
      <w:r w:rsidRPr="00DB2B7A">
        <w:rPr>
          <w:rFonts w:cs="Arial"/>
          <w:szCs w:val="24"/>
          <w:lang w:eastAsia="fr-CA"/>
        </w:rPr>
        <w:t xml:space="preserve"> 96 16 à 97 9;</w:t>
      </w:r>
    </w:p>
  </w:footnote>
  <w:footnote w:id="94">
    <w:p w14:paraId="0811F338" w14:textId="77777777" w:rsidR="0074274A" w:rsidRDefault="00730A01" w:rsidP="0074274A">
      <w:pPr>
        <w:pStyle w:val="Notedebasdepage"/>
      </w:pPr>
      <w:r>
        <w:rPr>
          <w:rStyle w:val="Appelnotedebasdep"/>
        </w:rPr>
        <w:footnoteRef/>
      </w:r>
      <w:r>
        <w:t xml:space="preserve"> </w:t>
      </w:r>
      <w:r>
        <w:tab/>
        <w:t>Pièce IBF-2.</w:t>
      </w:r>
    </w:p>
  </w:footnote>
  <w:footnote w:id="95">
    <w:p w14:paraId="33AC6856" w14:textId="77777777" w:rsidR="0074274A" w:rsidRDefault="00730A01" w:rsidP="0074274A">
      <w:pPr>
        <w:pStyle w:val="Notedebasdepage"/>
      </w:pPr>
      <w:r>
        <w:rPr>
          <w:rStyle w:val="Appelnotedebasdep"/>
        </w:rPr>
        <w:footnoteRef/>
      </w:r>
      <w:r>
        <w:t xml:space="preserve"> </w:t>
      </w:r>
      <w:r>
        <w:tab/>
      </w:r>
      <w:r w:rsidRPr="00910E90">
        <w:t>Préc., note 2.</w:t>
      </w:r>
    </w:p>
  </w:footnote>
  <w:footnote w:id="96">
    <w:p w14:paraId="782B7F89" w14:textId="77777777" w:rsidR="00EA3DDC" w:rsidRDefault="00730A01" w:rsidP="00EA3DDC">
      <w:pPr>
        <w:pStyle w:val="Notedebasdepage"/>
      </w:pPr>
      <w:r>
        <w:rPr>
          <w:rStyle w:val="Appelnotedebasdep"/>
        </w:rPr>
        <w:footnoteRef/>
      </w:r>
      <w:r>
        <w:t xml:space="preserve"> </w:t>
      </w:r>
      <w:r>
        <w:tab/>
        <w:t>Pièce PQ-7 p. 16 FIISH.</w:t>
      </w:r>
    </w:p>
  </w:footnote>
  <w:footnote w:id="97">
    <w:p w14:paraId="37C891DF" w14:textId="77777777" w:rsidR="00EA3DDC" w:rsidRDefault="00730A01" w:rsidP="00EA3DDC">
      <w:pPr>
        <w:pStyle w:val="Notedebasdepage"/>
      </w:pPr>
      <w:r>
        <w:rPr>
          <w:rStyle w:val="Appelnotedebasdep"/>
        </w:rPr>
        <w:footnoteRef/>
      </w:r>
      <w:r>
        <w:t xml:space="preserve"> </w:t>
      </w:r>
      <w:r>
        <w:tab/>
        <w:t>NS, Giroux, 12 février 2025, p. 72-73; NS, St-Gelais, 10 février 2025, p. 91-92.</w:t>
      </w:r>
    </w:p>
  </w:footnote>
  <w:footnote w:id="98">
    <w:p w14:paraId="2490EF74" w14:textId="77777777" w:rsidR="00EA3DDC" w:rsidRDefault="00730A01" w:rsidP="00EA3DDC">
      <w:pPr>
        <w:pStyle w:val="Notedebasdepage"/>
      </w:pPr>
      <w:r>
        <w:rPr>
          <w:rStyle w:val="Appelnotedebasdep"/>
        </w:rPr>
        <w:footnoteRef/>
      </w:r>
      <w:r>
        <w:t xml:space="preserve"> </w:t>
      </w:r>
      <w:r>
        <w:tab/>
        <w:t xml:space="preserve">NS, Simard, 21 janvier 2025 p. 97-98, 101, 141-143, 151-159; NS, Cadrin, 19 février 2025, p. 147-148; NS, Pouliot, 17 juin 2024, p. 6295; NS, Couture, 17 juin 2024, p. 6330; NS, Foley, 17 juin 2024, p. 6497-6498; DSSVT, Bernardo, 9 novembre 2023, par. 37-38; DSSVT, Bourdeau, 9 novembre 2023, par. 22-23; NS, Bourdeau, 14 juin 2024, p. 6058; NS, </w:t>
      </w:r>
      <w:r w:rsidRPr="00954570">
        <w:rPr>
          <w:rFonts w:cs="Arial"/>
          <w:szCs w:val="24"/>
          <w:lang w:eastAsia="fr-CA"/>
        </w:rPr>
        <w:t>Tardif, 24 mai 2024, p. 35</w:t>
      </w:r>
      <w:r>
        <w:rPr>
          <w:rFonts w:cs="Arial"/>
          <w:szCs w:val="24"/>
          <w:lang w:eastAsia="fr-CA"/>
        </w:rPr>
        <w:t>-</w:t>
      </w:r>
      <w:r w:rsidRPr="00954570">
        <w:rPr>
          <w:rFonts w:cs="Arial"/>
          <w:szCs w:val="24"/>
          <w:lang w:eastAsia="fr-CA"/>
        </w:rPr>
        <w:t>36;</w:t>
      </w:r>
      <w:r>
        <w:rPr>
          <w:rFonts w:cs="Arial"/>
          <w:szCs w:val="24"/>
          <w:lang w:eastAsia="fr-CA"/>
        </w:rPr>
        <w:t xml:space="preserve"> </w:t>
      </w:r>
      <w:r w:rsidRPr="00954570">
        <w:rPr>
          <w:rFonts w:cs="Arial"/>
          <w:szCs w:val="24"/>
          <w:lang w:eastAsia="fr-CA"/>
        </w:rPr>
        <w:t>NS,</w:t>
      </w:r>
      <w:r>
        <w:rPr>
          <w:rFonts w:cs="Arial"/>
          <w:szCs w:val="24"/>
          <w:lang w:eastAsia="fr-CA"/>
        </w:rPr>
        <w:t xml:space="preserve"> Prémont, 28 mai </w:t>
      </w:r>
      <w:r w:rsidRPr="00954570">
        <w:rPr>
          <w:rFonts w:cs="Arial"/>
          <w:szCs w:val="24"/>
          <w:lang w:eastAsia="fr-CA"/>
        </w:rPr>
        <w:t>2024, p. 569</w:t>
      </w:r>
      <w:r>
        <w:rPr>
          <w:rFonts w:cs="Arial"/>
          <w:szCs w:val="24"/>
          <w:lang w:eastAsia="fr-CA"/>
        </w:rPr>
        <w:t xml:space="preserve">; NS, Freeman, </w:t>
      </w:r>
      <w:r w:rsidRPr="00954570">
        <w:rPr>
          <w:rFonts w:cs="Arial"/>
          <w:szCs w:val="24"/>
          <w:lang w:eastAsia="fr-CA"/>
        </w:rPr>
        <w:t xml:space="preserve">29 mai 2024, p. </w:t>
      </w:r>
      <w:r>
        <w:rPr>
          <w:rFonts w:cs="Arial"/>
          <w:szCs w:val="24"/>
          <w:lang w:eastAsia="fr-CA"/>
        </w:rPr>
        <w:t xml:space="preserve">881 et </w:t>
      </w:r>
      <w:r w:rsidRPr="00954570">
        <w:rPr>
          <w:rFonts w:cs="Arial"/>
          <w:szCs w:val="24"/>
          <w:lang w:eastAsia="fr-CA"/>
        </w:rPr>
        <w:t>888</w:t>
      </w:r>
      <w:r>
        <w:rPr>
          <w:rFonts w:cs="Arial"/>
          <w:szCs w:val="24"/>
          <w:lang w:eastAsia="fr-CA"/>
        </w:rPr>
        <w:t>; NS corrigées, É. Tremblay</w:t>
      </w:r>
      <w:r w:rsidRPr="00954570">
        <w:rPr>
          <w:rFonts w:cs="Arial"/>
          <w:szCs w:val="24"/>
          <w:lang w:eastAsia="fr-CA"/>
        </w:rPr>
        <w:t>, 29 mai 2024, p. 1151</w:t>
      </w:r>
      <w:r>
        <w:rPr>
          <w:rFonts w:cs="Arial"/>
          <w:szCs w:val="24"/>
          <w:lang w:eastAsia="fr-CA"/>
        </w:rPr>
        <w:t xml:space="preserve">; </w:t>
      </w:r>
      <w:r w:rsidRPr="00954570">
        <w:rPr>
          <w:rFonts w:cs="Arial"/>
          <w:szCs w:val="24"/>
          <w:lang w:eastAsia="fr-CA"/>
        </w:rPr>
        <w:t>NS,</w:t>
      </w:r>
      <w:r>
        <w:rPr>
          <w:rFonts w:cs="Arial"/>
          <w:szCs w:val="24"/>
          <w:lang w:eastAsia="fr-CA"/>
        </w:rPr>
        <w:t xml:space="preserve"> Bélanger,</w:t>
      </w:r>
      <w:r w:rsidRPr="00954570">
        <w:rPr>
          <w:rFonts w:cs="Arial"/>
          <w:szCs w:val="24"/>
          <w:lang w:eastAsia="fr-CA"/>
        </w:rPr>
        <w:t xml:space="preserve"> 5 juin 2024, p. 2855</w:t>
      </w:r>
      <w:r>
        <w:rPr>
          <w:rFonts w:cs="Arial"/>
          <w:szCs w:val="24"/>
          <w:lang w:eastAsia="fr-CA"/>
        </w:rPr>
        <w:t xml:space="preserve">; NS, S. Tremblay, </w:t>
      </w:r>
      <w:r w:rsidRPr="00954570">
        <w:rPr>
          <w:rFonts w:cs="Arial"/>
          <w:szCs w:val="24"/>
          <w:lang w:eastAsia="fr-CA"/>
        </w:rPr>
        <w:t>6 juin 2024, p. 3</w:t>
      </w:r>
      <w:r>
        <w:rPr>
          <w:rFonts w:cs="Arial"/>
          <w:szCs w:val="24"/>
          <w:lang w:eastAsia="fr-CA"/>
        </w:rPr>
        <w:t>044, 3</w:t>
      </w:r>
      <w:r w:rsidRPr="00954570">
        <w:rPr>
          <w:rFonts w:cs="Arial"/>
          <w:szCs w:val="24"/>
          <w:lang w:eastAsia="fr-CA"/>
        </w:rPr>
        <w:t>060</w:t>
      </w:r>
      <w:r>
        <w:rPr>
          <w:rFonts w:cs="Arial"/>
          <w:szCs w:val="24"/>
          <w:lang w:eastAsia="fr-CA"/>
        </w:rPr>
        <w:t>-</w:t>
      </w:r>
      <w:r w:rsidRPr="00954570">
        <w:rPr>
          <w:rFonts w:cs="Arial"/>
          <w:szCs w:val="24"/>
          <w:lang w:eastAsia="fr-CA"/>
        </w:rPr>
        <w:t>3061</w:t>
      </w:r>
      <w:r>
        <w:rPr>
          <w:rFonts w:cs="Arial"/>
          <w:szCs w:val="24"/>
          <w:lang w:eastAsia="fr-CA"/>
        </w:rPr>
        <w:t xml:space="preserve"> et 3105; NS, Bernardo, </w:t>
      </w:r>
      <w:r w:rsidRPr="00954570">
        <w:rPr>
          <w:rFonts w:cs="Arial"/>
          <w:szCs w:val="24"/>
          <w:lang w:eastAsia="fr-CA"/>
        </w:rPr>
        <w:t xml:space="preserve">6 juin 2024, p. </w:t>
      </w:r>
      <w:r>
        <w:rPr>
          <w:rFonts w:cs="Arial"/>
          <w:szCs w:val="24"/>
          <w:lang w:eastAsia="fr-CA"/>
        </w:rPr>
        <w:t xml:space="preserve">3313, </w:t>
      </w:r>
      <w:r w:rsidRPr="00954570">
        <w:rPr>
          <w:rFonts w:cs="Arial"/>
          <w:szCs w:val="24"/>
          <w:lang w:eastAsia="fr-CA"/>
        </w:rPr>
        <w:t>3331</w:t>
      </w:r>
      <w:r>
        <w:rPr>
          <w:rFonts w:cs="Arial"/>
          <w:szCs w:val="24"/>
          <w:lang w:eastAsia="fr-CA"/>
        </w:rPr>
        <w:t>-</w:t>
      </w:r>
      <w:r w:rsidRPr="00954570">
        <w:rPr>
          <w:rFonts w:cs="Arial"/>
          <w:szCs w:val="24"/>
          <w:lang w:eastAsia="fr-CA"/>
        </w:rPr>
        <w:t>3332</w:t>
      </w:r>
      <w:r>
        <w:rPr>
          <w:rFonts w:cs="Arial"/>
          <w:szCs w:val="24"/>
          <w:lang w:eastAsia="fr-CA"/>
        </w:rPr>
        <w:t xml:space="preserve"> et 3483; NS, Bordeau, </w:t>
      </w:r>
      <w:r w:rsidRPr="008B4E5B">
        <w:rPr>
          <w:rFonts w:cs="Arial"/>
          <w:szCs w:val="24"/>
          <w:lang w:eastAsia="fr-CA"/>
        </w:rPr>
        <w:t>7</w:t>
      </w:r>
      <w:r w:rsidR="001835B8">
        <w:rPr>
          <w:rFonts w:cs="Arial"/>
          <w:szCs w:val="24"/>
          <w:lang w:eastAsia="fr-CA"/>
        </w:rPr>
        <w:t> </w:t>
      </w:r>
      <w:r w:rsidRPr="008B4E5B">
        <w:rPr>
          <w:rFonts w:cs="Arial"/>
          <w:szCs w:val="24"/>
          <w:lang w:eastAsia="fr-CA"/>
        </w:rPr>
        <w:t>juin</w:t>
      </w:r>
      <w:r w:rsidR="001835B8">
        <w:rPr>
          <w:rFonts w:cs="Arial"/>
          <w:szCs w:val="24"/>
          <w:lang w:eastAsia="fr-CA"/>
        </w:rPr>
        <w:t> </w:t>
      </w:r>
      <w:r w:rsidRPr="008B4E5B">
        <w:rPr>
          <w:rFonts w:cs="Arial"/>
          <w:szCs w:val="24"/>
          <w:lang w:eastAsia="fr-CA"/>
        </w:rPr>
        <w:t>2024, p. 3652</w:t>
      </w:r>
      <w:r>
        <w:rPr>
          <w:rFonts w:cs="Arial"/>
          <w:szCs w:val="24"/>
          <w:lang w:eastAsia="fr-CA"/>
        </w:rPr>
        <w:t xml:space="preserve"> et 3655; NS, Blais, </w:t>
      </w:r>
      <w:r w:rsidRPr="008B4E5B">
        <w:rPr>
          <w:rFonts w:cs="Arial"/>
          <w:szCs w:val="24"/>
          <w:lang w:eastAsia="fr-CA"/>
        </w:rPr>
        <w:t>7 juin 2024, p. 3696</w:t>
      </w:r>
      <w:r>
        <w:rPr>
          <w:rFonts w:cs="Arial"/>
          <w:szCs w:val="24"/>
          <w:lang w:eastAsia="fr-CA"/>
        </w:rPr>
        <w:t xml:space="preserve">; NS, Volpato, </w:t>
      </w:r>
      <w:r w:rsidRPr="008B4E5B">
        <w:rPr>
          <w:rFonts w:cs="Arial"/>
          <w:szCs w:val="24"/>
          <w:lang w:eastAsia="fr-CA"/>
        </w:rPr>
        <w:t>7 juin 2024, p. 3793</w:t>
      </w:r>
      <w:r>
        <w:rPr>
          <w:rFonts w:cs="Arial"/>
          <w:szCs w:val="24"/>
          <w:lang w:eastAsia="fr-CA"/>
        </w:rPr>
        <w:t xml:space="preserve">; NS, Bourdeau, </w:t>
      </w:r>
      <w:r w:rsidRPr="008B4E5B">
        <w:rPr>
          <w:rFonts w:cs="Arial"/>
          <w:szCs w:val="24"/>
          <w:lang w:eastAsia="fr-CA"/>
        </w:rPr>
        <w:t>14 juin 2024, p. 6066</w:t>
      </w:r>
      <w:r>
        <w:rPr>
          <w:rFonts w:cs="Arial"/>
          <w:szCs w:val="24"/>
          <w:lang w:eastAsia="fr-CA"/>
        </w:rPr>
        <w:t xml:space="preserve">; NS, Renaud, </w:t>
      </w:r>
      <w:r w:rsidRPr="008B4E5B">
        <w:rPr>
          <w:rFonts w:cs="Arial"/>
          <w:szCs w:val="24"/>
          <w:lang w:eastAsia="fr-CA"/>
        </w:rPr>
        <w:t>17 juin 2024, p. 6569</w:t>
      </w:r>
      <w:r>
        <w:rPr>
          <w:rFonts w:cs="Arial"/>
          <w:szCs w:val="24"/>
          <w:lang w:eastAsia="fr-CA"/>
        </w:rPr>
        <w:t xml:space="preserve">; NS, Simard, </w:t>
      </w:r>
      <w:r w:rsidRPr="008B4E5B">
        <w:rPr>
          <w:rFonts w:cs="Arial"/>
          <w:szCs w:val="24"/>
          <w:lang w:eastAsia="fr-CA"/>
        </w:rPr>
        <w:t>21 janvier 2025, p.110.</w:t>
      </w:r>
    </w:p>
  </w:footnote>
  <w:footnote w:id="99">
    <w:p w14:paraId="673F0E01" w14:textId="77777777" w:rsidR="00E142C0" w:rsidRDefault="00730A01">
      <w:pPr>
        <w:pStyle w:val="Notedebasdepage"/>
      </w:pPr>
      <w:r>
        <w:rPr>
          <w:rStyle w:val="Appelnotedebasdep"/>
        </w:rPr>
        <w:footnoteRef/>
      </w:r>
      <w:r>
        <w:t xml:space="preserve"> </w:t>
      </w:r>
      <w:r>
        <w:tab/>
        <w:t>Pièces PQ-102, PQ-103 et PQ-103.1.</w:t>
      </w:r>
    </w:p>
  </w:footnote>
  <w:footnote w:id="100">
    <w:p w14:paraId="79092689" w14:textId="77777777" w:rsidR="007E60ED" w:rsidRDefault="00730A01" w:rsidP="007E60ED">
      <w:pPr>
        <w:pStyle w:val="Notedebasdepage"/>
      </w:pPr>
      <w:r>
        <w:rPr>
          <w:rStyle w:val="Appelnotedebasdep"/>
        </w:rPr>
        <w:footnoteRef/>
      </w:r>
      <w:r>
        <w:t xml:space="preserve"> </w:t>
      </w:r>
      <w:r>
        <w:tab/>
        <w:t xml:space="preserve">NS, </w:t>
      </w:r>
      <w:r w:rsidR="0078381A">
        <w:t xml:space="preserve">St-Cyr, </w:t>
      </w:r>
      <w:r>
        <w:t>27 mai 2024, p. 233, 234, 252, 256 à 259.</w:t>
      </w:r>
    </w:p>
  </w:footnote>
  <w:footnote w:id="101">
    <w:p w14:paraId="6F183E5E" w14:textId="77777777" w:rsidR="007E60ED" w:rsidRPr="00E26B9D" w:rsidRDefault="00730A01">
      <w:pPr>
        <w:pStyle w:val="Notedebasdepage"/>
      </w:pPr>
      <w:r>
        <w:rPr>
          <w:rStyle w:val="Appelnotedebasdep"/>
        </w:rPr>
        <w:footnoteRef/>
      </w:r>
      <w:r>
        <w:tab/>
      </w:r>
      <w:r w:rsidRPr="00E26B9D">
        <w:rPr>
          <w:rFonts w:cs="Arial"/>
          <w:szCs w:val="24"/>
          <w:lang w:eastAsia="fr-CA"/>
        </w:rPr>
        <w:t>NS</w:t>
      </w:r>
      <w:r w:rsidR="0078381A" w:rsidRPr="00E26B9D">
        <w:rPr>
          <w:rFonts w:cs="Arial"/>
          <w:szCs w:val="24"/>
          <w:lang w:eastAsia="fr-CA"/>
        </w:rPr>
        <w:t>, Prémont,</w:t>
      </w:r>
      <w:r w:rsidRPr="00E26B9D">
        <w:rPr>
          <w:rFonts w:cs="Arial"/>
          <w:szCs w:val="24"/>
          <w:lang w:eastAsia="fr-CA"/>
        </w:rPr>
        <w:t xml:space="preserve"> 28 mai 2024, p. 518.</w:t>
      </w:r>
    </w:p>
  </w:footnote>
  <w:footnote w:id="102">
    <w:p w14:paraId="101D8BDF" w14:textId="77777777" w:rsidR="007E60ED" w:rsidRPr="00E26B9D" w:rsidRDefault="00730A01" w:rsidP="007E60ED">
      <w:pPr>
        <w:pStyle w:val="Notedebasdepage"/>
      </w:pPr>
      <w:r w:rsidRPr="00E26B9D">
        <w:rPr>
          <w:rStyle w:val="Appelnotedebasdep"/>
        </w:rPr>
        <w:footnoteRef/>
      </w:r>
      <w:r w:rsidRPr="00E26B9D">
        <w:t xml:space="preserve"> </w:t>
      </w:r>
      <w:r w:rsidRPr="00E26B9D">
        <w:tab/>
      </w:r>
      <w:r w:rsidRPr="00E26B9D">
        <w:rPr>
          <w:rFonts w:cs="Arial"/>
          <w:szCs w:val="24"/>
          <w:lang w:eastAsia="fr-CA"/>
        </w:rPr>
        <w:t xml:space="preserve">NS, </w:t>
      </w:r>
      <w:r w:rsidR="0078381A" w:rsidRPr="00E26B9D">
        <w:rPr>
          <w:rFonts w:cs="Arial"/>
          <w:szCs w:val="24"/>
          <w:lang w:eastAsia="fr-CA"/>
        </w:rPr>
        <w:t xml:space="preserve">Giguère, </w:t>
      </w:r>
      <w:r w:rsidRPr="00E26B9D">
        <w:rPr>
          <w:rFonts w:cs="Arial"/>
          <w:szCs w:val="24"/>
          <w:lang w:eastAsia="fr-CA"/>
        </w:rPr>
        <w:t>28 mai 2024, p. 578-579.</w:t>
      </w:r>
    </w:p>
  </w:footnote>
  <w:footnote w:id="103">
    <w:p w14:paraId="588B96E5" w14:textId="77777777" w:rsidR="007E60ED" w:rsidRPr="00E26B9D" w:rsidRDefault="00730A01">
      <w:pPr>
        <w:pStyle w:val="Notedebasdepage"/>
      </w:pPr>
      <w:r w:rsidRPr="00E26B9D">
        <w:rPr>
          <w:rStyle w:val="Appelnotedebasdep"/>
        </w:rPr>
        <w:footnoteRef/>
      </w:r>
      <w:r w:rsidRPr="00E26B9D">
        <w:t xml:space="preserve"> </w:t>
      </w:r>
      <w:r w:rsidRPr="00E26B9D">
        <w:tab/>
      </w:r>
      <w:r w:rsidRPr="00E26B9D">
        <w:rPr>
          <w:rFonts w:cs="Arial"/>
          <w:szCs w:val="24"/>
          <w:lang w:eastAsia="fr-CA"/>
        </w:rPr>
        <w:t xml:space="preserve">NS, </w:t>
      </w:r>
      <w:r w:rsidR="0078381A" w:rsidRPr="00E26B9D">
        <w:rPr>
          <w:rFonts w:cs="Arial"/>
          <w:szCs w:val="24"/>
          <w:lang w:eastAsia="fr-CA"/>
        </w:rPr>
        <w:t xml:space="preserve">Ferland, </w:t>
      </w:r>
      <w:r w:rsidRPr="00E26B9D">
        <w:rPr>
          <w:rFonts w:cs="Arial"/>
          <w:szCs w:val="24"/>
          <w:lang w:eastAsia="fr-CA"/>
        </w:rPr>
        <w:t>28 mai 2024, p. 722</w:t>
      </w:r>
      <w:r w:rsidR="00E26B9D" w:rsidRPr="00E26B9D">
        <w:rPr>
          <w:rFonts w:cs="Arial"/>
          <w:szCs w:val="24"/>
          <w:lang w:eastAsia="fr-CA"/>
        </w:rPr>
        <w:t>-</w:t>
      </w:r>
      <w:r w:rsidRPr="00E26B9D">
        <w:rPr>
          <w:rFonts w:cs="Arial"/>
          <w:szCs w:val="24"/>
          <w:lang w:eastAsia="fr-CA"/>
        </w:rPr>
        <w:t>724.</w:t>
      </w:r>
    </w:p>
  </w:footnote>
  <w:footnote w:id="104">
    <w:p w14:paraId="7E28A176" w14:textId="77777777" w:rsidR="007E60ED" w:rsidRPr="00E26B9D" w:rsidRDefault="00730A01">
      <w:pPr>
        <w:pStyle w:val="Notedebasdepage"/>
      </w:pPr>
      <w:r w:rsidRPr="00E26B9D">
        <w:rPr>
          <w:rStyle w:val="Appelnotedebasdep"/>
        </w:rPr>
        <w:footnoteRef/>
      </w:r>
      <w:r w:rsidRPr="00E26B9D">
        <w:t xml:space="preserve"> </w:t>
      </w:r>
      <w:r w:rsidRPr="00E26B9D">
        <w:tab/>
      </w:r>
      <w:r w:rsidRPr="00E26B9D">
        <w:rPr>
          <w:rFonts w:cs="Arial"/>
          <w:szCs w:val="24"/>
          <w:lang w:eastAsia="fr-CA"/>
        </w:rPr>
        <w:t xml:space="preserve">NS, </w:t>
      </w:r>
      <w:r w:rsidR="0078381A" w:rsidRPr="00E26B9D">
        <w:rPr>
          <w:rFonts w:cs="Arial"/>
          <w:szCs w:val="24"/>
          <w:lang w:eastAsia="fr-CA"/>
        </w:rPr>
        <w:t xml:space="preserve">Brière, </w:t>
      </w:r>
      <w:r w:rsidRPr="00E26B9D">
        <w:rPr>
          <w:rFonts w:cs="Arial"/>
          <w:szCs w:val="24"/>
          <w:lang w:eastAsia="fr-CA"/>
        </w:rPr>
        <w:t>28 mai 2024, p. 777-778.</w:t>
      </w:r>
    </w:p>
  </w:footnote>
  <w:footnote w:id="105">
    <w:p w14:paraId="77C716A3" w14:textId="77777777" w:rsidR="007E60ED" w:rsidRPr="00E26B9D" w:rsidRDefault="00730A01">
      <w:pPr>
        <w:pStyle w:val="Notedebasdepage"/>
      </w:pPr>
      <w:r w:rsidRPr="00E26B9D">
        <w:rPr>
          <w:rStyle w:val="Appelnotedebasdep"/>
        </w:rPr>
        <w:footnoteRef/>
      </w:r>
      <w:r w:rsidRPr="00E26B9D">
        <w:t xml:space="preserve"> </w:t>
      </w:r>
      <w:r w:rsidRPr="00E26B9D">
        <w:tab/>
      </w:r>
      <w:r w:rsidRPr="00E26B9D">
        <w:rPr>
          <w:rFonts w:cs="Arial"/>
          <w:szCs w:val="24"/>
          <w:lang w:eastAsia="fr-CA"/>
        </w:rPr>
        <w:t xml:space="preserve">NS, </w:t>
      </w:r>
      <w:r w:rsidR="0078381A" w:rsidRPr="00E26B9D">
        <w:rPr>
          <w:rFonts w:cs="Arial"/>
          <w:szCs w:val="24"/>
          <w:lang w:eastAsia="fr-CA"/>
        </w:rPr>
        <w:t xml:space="preserve">Tremblay, </w:t>
      </w:r>
      <w:r w:rsidRPr="00E26B9D">
        <w:rPr>
          <w:rFonts w:cs="Arial"/>
          <w:szCs w:val="24"/>
          <w:lang w:eastAsia="fr-CA"/>
        </w:rPr>
        <w:t>29 mai 2024, p. 1136.</w:t>
      </w:r>
    </w:p>
  </w:footnote>
  <w:footnote w:id="106">
    <w:p w14:paraId="2BBC6546" w14:textId="77777777" w:rsidR="007E60ED" w:rsidRPr="00E26B9D" w:rsidRDefault="00730A01">
      <w:pPr>
        <w:pStyle w:val="Notedebasdepage"/>
      </w:pPr>
      <w:r w:rsidRPr="00E26B9D">
        <w:rPr>
          <w:rStyle w:val="Appelnotedebasdep"/>
        </w:rPr>
        <w:footnoteRef/>
      </w:r>
      <w:r w:rsidRPr="00E26B9D">
        <w:t xml:space="preserve"> </w:t>
      </w:r>
      <w:r w:rsidRPr="00E26B9D">
        <w:tab/>
      </w:r>
      <w:r w:rsidRPr="00E26B9D">
        <w:rPr>
          <w:rFonts w:cs="Arial"/>
          <w:szCs w:val="24"/>
          <w:lang w:eastAsia="fr-CA"/>
        </w:rPr>
        <w:t xml:space="preserve">NS, </w:t>
      </w:r>
      <w:r w:rsidR="008C58EB" w:rsidRPr="00E26B9D">
        <w:rPr>
          <w:rFonts w:cs="Arial"/>
          <w:szCs w:val="24"/>
          <w:lang w:eastAsia="fr-CA"/>
        </w:rPr>
        <w:t xml:space="preserve">Robitaille, </w:t>
      </w:r>
      <w:r w:rsidR="00E26B9D" w:rsidRPr="00E26B9D">
        <w:rPr>
          <w:rFonts w:cs="Arial"/>
          <w:szCs w:val="24"/>
          <w:lang w:eastAsia="fr-CA"/>
        </w:rPr>
        <w:t>2</w:t>
      </w:r>
      <w:r w:rsidRPr="00E26B9D">
        <w:rPr>
          <w:rFonts w:cs="Arial"/>
          <w:szCs w:val="24"/>
          <w:lang w:eastAsia="fr-CA"/>
        </w:rPr>
        <w:t>9 mai 2024, p. 1195-1196.</w:t>
      </w:r>
    </w:p>
  </w:footnote>
  <w:footnote w:id="107">
    <w:p w14:paraId="75860438" w14:textId="77777777" w:rsidR="007E60ED" w:rsidRDefault="00730A01">
      <w:pPr>
        <w:pStyle w:val="Notedebasdepage"/>
      </w:pPr>
      <w:r w:rsidRPr="00E26B9D">
        <w:rPr>
          <w:rStyle w:val="Appelnotedebasdep"/>
        </w:rPr>
        <w:footnoteRef/>
      </w:r>
      <w:r w:rsidRPr="00E26B9D">
        <w:t xml:space="preserve"> </w:t>
      </w:r>
      <w:r w:rsidRPr="00E26B9D">
        <w:tab/>
      </w:r>
      <w:r w:rsidRPr="00E26B9D">
        <w:rPr>
          <w:rFonts w:cs="Arial"/>
          <w:szCs w:val="24"/>
          <w:lang w:eastAsia="fr-CA"/>
        </w:rPr>
        <w:t xml:space="preserve">NS, </w:t>
      </w:r>
      <w:r w:rsidR="008C58EB" w:rsidRPr="00E26B9D">
        <w:rPr>
          <w:rFonts w:cs="Arial"/>
          <w:szCs w:val="24"/>
          <w:lang w:eastAsia="fr-CA"/>
        </w:rPr>
        <w:t>Breton, 3</w:t>
      </w:r>
      <w:r w:rsidRPr="00E26B9D">
        <w:rPr>
          <w:rFonts w:cs="Arial"/>
          <w:szCs w:val="24"/>
          <w:lang w:eastAsia="fr-CA"/>
        </w:rPr>
        <w:t>0 mai 2024, p. 1401-1402.</w:t>
      </w:r>
    </w:p>
  </w:footnote>
  <w:footnote w:id="108">
    <w:p w14:paraId="315CD7B9" w14:textId="77777777" w:rsidR="008C58EB" w:rsidRDefault="00730A01">
      <w:pPr>
        <w:pStyle w:val="Notedebasdepage"/>
      </w:pPr>
      <w:r>
        <w:rPr>
          <w:rStyle w:val="Appelnotedebasdep"/>
        </w:rPr>
        <w:footnoteRef/>
      </w:r>
      <w:r>
        <w:t xml:space="preserve"> </w:t>
      </w:r>
      <w:r>
        <w:tab/>
        <w:t xml:space="preserve">NS, Roy, 5 juin 2024, </w:t>
      </w:r>
      <w:r w:rsidR="0028343F">
        <w:t>p.</w:t>
      </w:r>
      <w:r>
        <w:t xml:space="preserve"> 2541-2542, 2553-2554.</w:t>
      </w:r>
    </w:p>
  </w:footnote>
  <w:footnote w:id="109">
    <w:p w14:paraId="51CCA5F4" w14:textId="77777777" w:rsidR="008C58EB" w:rsidRDefault="00730A01">
      <w:pPr>
        <w:pStyle w:val="Notedebasdepage"/>
      </w:pPr>
      <w:r>
        <w:rPr>
          <w:rStyle w:val="Appelnotedebasdep"/>
        </w:rPr>
        <w:footnoteRef/>
      </w:r>
      <w:r>
        <w:t xml:space="preserve"> </w:t>
      </w:r>
      <w:r>
        <w:tab/>
        <w:t xml:space="preserve">NS, Pouliot, 5 juin 2024, </w:t>
      </w:r>
      <w:r w:rsidR="0028343F">
        <w:t>p.</w:t>
      </w:r>
      <w:r>
        <w:t xml:space="preserve"> 2687-2688.</w:t>
      </w:r>
    </w:p>
  </w:footnote>
  <w:footnote w:id="110">
    <w:p w14:paraId="33076200" w14:textId="77777777" w:rsidR="008C58EB" w:rsidRDefault="00730A01">
      <w:pPr>
        <w:pStyle w:val="Notedebasdepage"/>
      </w:pPr>
      <w:r>
        <w:rPr>
          <w:rStyle w:val="Appelnotedebasdep"/>
        </w:rPr>
        <w:footnoteRef/>
      </w:r>
      <w:r>
        <w:t xml:space="preserve"> </w:t>
      </w:r>
      <w:r>
        <w:tab/>
        <w:t xml:space="preserve">NS, Tremblay, 6 juin 2024, </w:t>
      </w:r>
      <w:r w:rsidR="0028343F">
        <w:t>p.</w:t>
      </w:r>
      <w:r>
        <w:t xml:space="preserve"> 3094-3096.</w:t>
      </w:r>
    </w:p>
  </w:footnote>
  <w:footnote w:id="111">
    <w:p w14:paraId="3D47641B" w14:textId="77777777" w:rsidR="008C58EB" w:rsidRDefault="00730A01">
      <w:pPr>
        <w:pStyle w:val="Notedebasdepage"/>
      </w:pPr>
      <w:r>
        <w:rPr>
          <w:rStyle w:val="Appelnotedebasdep"/>
        </w:rPr>
        <w:footnoteRef/>
      </w:r>
      <w:r>
        <w:t xml:space="preserve"> </w:t>
      </w:r>
      <w:r>
        <w:tab/>
        <w:t xml:space="preserve">NS, Bernardo, 6 juin 2024, p. </w:t>
      </w:r>
      <w:r w:rsidR="00E26B9D">
        <w:t>3336-3337</w:t>
      </w:r>
      <w:r>
        <w:t>.</w:t>
      </w:r>
    </w:p>
  </w:footnote>
  <w:footnote w:id="112">
    <w:p w14:paraId="76D82BEF" w14:textId="77777777" w:rsidR="00CA738C" w:rsidRDefault="00730A01">
      <w:pPr>
        <w:pStyle w:val="Notedebasdepage"/>
      </w:pPr>
      <w:r>
        <w:rPr>
          <w:rStyle w:val="Appelnotedebasdep"/>
        </w:rPr>
        <w:footnoteRef/>
      </w:r>
      <w:r>
        <w:t xml:space="preserve"> </w:t>
      </w:r>
      <w:r>
        <w:tab/>
        <w:t xml:space="preserve">NS, Lafontaine, 7 juin 2024, </w:t>
      </w:r>
      <w:r w:rsidR="0028343F">
        <w:t>p.</w:t>
      </w:r>
      <w:r>
        <w:t xml:space="preserve"> 3542-3543.</w:t>
      </w:r>
    </w:p>
  </w:footnote>
  <w:footnote w:id="113">
    <w:p w14:paraId="5E1A5EA4" w14:textId="77777777" w:rsidR="00CA738C" w:rsidRDefault="00730A01">
      <w:pPr>
        <w:pStyle w:val="Notedebasdepage"/>
      </w:pPr>
      <w:r>
        <w:rPr>
          <w:rStyle w:val="Appelnotedebasdep"/>
        </w:rPr>
        <w:footnoteRef/>
      </w:r>
      <w:r>
        <w:t xml:space="preserve"> </w:t>
      </w:r>
      <w:r>
        <w:tab/>
        <w:t xml:space="preserve">NS, Volpato, 7 juin 2024, </w:t>
      </w:r>
      <w:r w:rsidR="0028343F">
        <w:t>p.</w:t>
      </w:r>
      <w:r>
        <w:t xml:space="preserve"> 3822-3823,</w:t>
      </w:r>
    </w:p>
  </w:footnote>
  <w:footnote w:id="114">
    <w:p w14:paraId="34ADAC4B" w14:textId="77777777" w:rsidR="00E26B9D" w:rsidRDefault="00730A01">
      <w:pPr>
        <w:pStyle w:val="Notedebasdepage"/>
      </w:pPr>
      <w:r>
        <w:rPr>
          <w:rStyle w:val="Appelnotedebasdep"/>
        </w:rPr>
        <w:footnoteRef/>
      </w:r>
      <w:r>
        <w:t xml:space="preserve"> </w:t>
      </w:r>
      <w:r>
        <w:tab/>
        <w:t>NS, Lortie, 14 juin 2024, p. 6010.</w:t>
      </w:r>
    </w:p>
  </w:footnote>
  <w:footnote w:id="115">
    <w:p w14:paraId="05B7969C" w14:textId="77777777" w:rsidR="00E26B9D" w:rsidRDefault="00730A01">
      <w:pPr>
        <w:pStyle w:val="Notedebasdepage"/>
      </w:pPr>
      <w:r>
        <w:rPr>
          <w:rStyle w:val="Appelnotedebasdep"/>
        </w:rPr>
        <w:footnoteRef/>
      </w:r>
      <w:r>
        <w:t xml:space="preserve"> </w:t>
      </w:r>
      <w:r>
        <w:tab/>
        <w:t>NS, Lemay, 14 juin 2024, p. 6135.</w:t>
      </w:r>
    </w:p>
  </w:footnote>
  <w:footnote w:id="116">
    <w:p w14:paraId="6F199E95" w14:textId="77777777" w:rsidR="00E26B9D" w:rsidRDefault="00730A01">
      <w:pPr>
        <w:pStyle w:val="Notedebasdepage"/>
      </w:pPr>
      <w:r>
        <w:rPr>
          <w:rStyle w:val="Appelnotedebasdep"/>
        </w:rPr>
        <w:footnoteRef/>
      </w:r>
      <w:r>
        <w:t xml:space="preserve"> </w:t>
      </w:r>
      <w:r>
        <w:tab/>
        <w:t>NS, Samson, 17 juin 2024, p. 6224.</w:t>
      </w:r>
    </w:p>
  </w:footnote>
  <w:footnote w:id="117">
    <w:p w14:paraId="44E5B802" w14:textId="77777777" w:rsidR="00E26B9D" w:rsidRDefault="00730A01">
      <w:pPr>
        <w:pStyle w:val="Notedebasdepage"/>
      </w:pPr>
      <w:r>
        <w:rPr>
          <w:rStyle w:val="Appelnotedebasdep"/>
        </w:rPr>
        <w:footnoteRef/>
      </w:r>
      <w:r>
        <w:t xml:space="preserve"> </w:t>
      </w:r>
      <w:r>
        <w:tab/>
        <w:t xml:space="preserve">NS, Pouliot, 17 juin 2024, </w:t>
      </w:r>
      <w:r w:rsidR="0028343F">
        <w:t>p.</w:t>
      </w:r>
      <w:r>
        <w:t xml:space="preserve"> 6267-6288.</w:t>
      </w:r>
    </w:p>
  </w:footnote>
  <w:footnote w:id="118">
    <w:p w14:paraId="3BD1048F" w14:textId="77777777" w:rsidR="00E26B9D" w:rsidRDefault="00730A01">
      <w:pPr>
        <w:pStyle w:val="Notedebasdepage"/>
      </w:pPr>
      <w:r>
        <w:rPr>
          <w:rStyle w:val="Appelnotedebasdep"/>
        </w:rPr>
        <w:footnoteRef/>
      </w:r>
      <w:r>
        <w:t xml:space="preserve"> </w:t>
      </w:r>
      <w:r>
        <w:tab/>
        <w:t xml:space="preserve">NS, Arguin, 17 juin 2024, </w:t>
      </w:r>
      <w:r w:rsidR="0028343F">
        <w:t>p.</w:t>
      </w:r>
      <w:r>
        <w:t xml:space="preserve"> 6398-6399.</w:t>
      </w:r>
    </w:p>
  </w:footnote>
  <w:footnote w:id="119">
    <w:p w14:paraId="5CA8C800" w14:textId="77777777" w:rsidR="00E26B9D" w:rsidRDefault="00730A01">
      <w:pPr>
        <w:pStyle w:val="Notedebasdepage"/>
      </w:pPr>
      <w:r>
        <w:rPr>
          <w:rStyle w:val="Appelnotedebasdep"/>
        </w:rPr>
        <w:footnoteRef/>
      </w:r>
      <w:r>
        <w:t xml:space="preserve"> </w:t>
      </w:r>
      <w:r>
        <w:tab/>
        <w:t>NS, Foley, 17 juin 2024, p. 6487.</w:t>
      </w:r>
    </w:p>
  </w:footnote>
  <w:footnote w:id="120">
    <w:p w14:paraId="520D90F9" w14:textId="77777777" w:rsidR="00E26B9D" w:rsidRDefault="00730A01">
      <w:pPr>
        <w:pStyle w:val="Notedebasdepage"/>
      </w:pPr>
      <w:r>
        <w:rPr>
          <w:rStyle w:val="Appelnotedebasdep"/>
        </w:rPr>
        <w:footnoteRef/>
      </w:r>
      <w:r>
        <w:t xml:space="preserve"> </w:t>
      </w:r>
      <w:r>
        <w:tab/>
        <w:t>NS, Roberge, 21 janvier 2025, p. 52.</w:t>
      </w:r>
    </w:p>
  </w:footnote>
  <w:footnote w:id="121">
    <w:p w14:paraId="6D7F8CA7" w14:textId="77777777" w:rsidR="00E26B9D" w:rsidRDefault="00730A01">
      <w:pPr>
        <w:pStyle w:val="Notedebasdepage"/>
      </w:pPr>
      <w:r>
        <w:rPr>
          <w:rStyle w:val="Appelnotedebasdep"/>
        </w:rPr>
        <w:footnoteRef/>
      </w:r>
      <w:r>
        <w:t xml:space="preserve"> </w:t>
      </w:r>
      <w:r>
        <w:tab/>
        <w:t xml:space="preserve">NS, Simard, 21 janvier 2025, </w:t>
      </w:r>
      <w:r w:rsidR="0028343F">
        <w:t>p.</w:t>
      </w:r>
      <w:r>
        <w:t xml:space="preserve"> 97-98, 101, 151.</w:t>
      </w:r>
    </w:p>
  </w:footnote>
  <w:footnote w:id="122">
    <w:p w14:paraId="5143C798" w14:textId="77777777" w:rsidR="00F20AF9" w:rsidRDefault="00730A01">
      <w:pPr>
        <w:pStyle w:val="Notedebasdepage"/>
      </w:pPr>
      <w:r>
        <w:rPr>
          <w:rStyle w:val="Appelnotedebasdep"/>
        </w:rPr>
        <w:footnoteRef/>
      </w:r>
      <w:r>
        <w:t xml:space="preserve"> </w:t>
      </w:r>
      <w:r>
        <w:tab/>
        <w:t>NS, Volpato, 7 juin 2024, p. 3822-3824 et 2828; NS, Simard, 21 janvier 2025, p. 140, 225-230; NS, Tardif, 27 mai 2024, p. 34-35 et 76-77, NS, Prémont, 28 mai 2024, p. 543; NS, Giguère, 28 mai 2024, p.</w:t>
      </w:r>
      <w:r w:rsidR="001835B8">
        <w:t> </w:t>
      </w:r>
      <w:r>
        <w:t>601 et 578-579; NS, Bélanger, 5 juin 2024, p. 2856-2857; NS, Bernardo, 6 juin 2024, p. 3329-3330; NS, Lafontaine, 7 juin 2024; NS, Gagné, 21 janvier 2025, p. 101-102, 151, 161; NS, Cadrin, 19</w:t>
      </w:r>
      <w:r w:rsidR="001835B8">
        <w:t> </w:t>
      </w:r>
      <w:r>
        <w:t>février</w:t>
      </w:r>
      <w:r w:rsidR="001835B8">
        <w:t> </w:t>
      </w:r>
      <w:r>
        <w:t>2025, p. 143-147.</w:t>
      </w:r>
    </w:p>
  </w:footnote>
  <w:footnote w:id="123">
    <w:p w14:paraId="304D05D6" w14:textId="77777777" w:rsidR="005856C5" w:rsidRDefault="00730A01">
      <w:pPr>
        <w:pStyle w:val="Notedebasdepage"/>
      </w:pPr>
      <w:r>
        <w:rPr>
          <w:rStyle w:val="Appelnotedebasdep"/>
        </w:rPr>
        <w:footnoteRef/>
      </w:r>
      <w:r>
        <w:t xml:space="preserve"> </w:t>
      </w:r>
      <w:r>
        <w:tab/>
        <w:t>[1941] R.C.S. 1.</w:t>
      </w:r>
    </w:p>
  </w:footnote>
  <w:footnote w:id="124">
    <w:p w14:paraId="15E5A0A3" w14:textId="77777777" w:rsidR="006753D1" w:rsidRDefault="00730A01">
      <w:pPr>
        <w:pStyle w:val="Notedebasdepage"/>
      </w:pPr>
      <w:r>
        <w:rPr>
          <w:rStyle w:val="Appelnotedebasdep"/>
        </w:rPr>
        <w:footnoteRef/>
      </w:r>
      <w:r>
        <w:t xml:space="preserve"> </w:t>
      </w:r>
      <w:r>
        <w:tab/>
      </w:r>
      <w:r w:rsidRPr="003A287A">
        <w:rPr>
          <w:rFonts w:cs="Arial"/>
          <w:lang w:eastAsia="fr-CA"/>
        </w:rPr>
        <w:t xml:space="preserve">NS interrogatoire préalable de Larochelle du 14 décembre 2023 p. 29-30; </w:t>
      </w:r>
      <w:r w:rsidRPr="00012F36">
        <w:rPr>
          <w:rFonts w:cs="Arial"/>
          <w:lang w:eastAsia="fr-CA"/>
        </w:rPr>
        <w:t>Rapport de KPMG du 12</w:t>
      </w:r>
      <w:r w:rsidR="001835B8">
        <w:rPr>
          <w:rFonts w:cs="Arial"/>
          <w:lang w:eastAsia="fr-CA"/>
        </w:rPr>
        <w:t> </w:t>
      </w:r>
      <w:r w:rsidRPr="00012F36">
        <w:rPr>
          <w:rFonts w:cs="Arial"/>
          <w:lang w:eastAsia="fr-CA"/>
        </w:rPr>
        <w:t>novembre</w:t>
      </w:r>
      <w:r w:rsidR="001835B8">
        <w:rPr>
          <w:rFonts w:cs="Arial"/>
          <w:lang w:eastAsia="fr-CA"/>
        </w:rPr>
        <w:t> </w:t>
      </w:r>
      <w:r w:rsidRPr="00012F36">
        <w:rPr>
          <w:rFonts w:cs="Arial"/>
          <w:lang w:eastAsia="fr-CA"/>
        </w:rPr>
        <w:t xml:space="preserve">2023, pièce EP-1, par. 819; </w:t>
      </w:r>
      <w:r w:rsidRPr="00F51C39">
        <w:rPr>
          <w:rFonts w:cs="Arial"/>
          <w:lang w:eastAsia="fr-CA"/>
        </w:rPr>
        <w:t>Pièce PQ-256, p. 13-21</w:t>
      </w:r>
      <w:r w:rsidRPr="00012F36">
        <w:rPr>
          <w:rFonts w:cs="Arial"/>
          <w:lang w:eastAsia="fr-CA"/>
        </w:rPr>
        <w:t>.</w:t>
      </w:r>
      <w:r w:rsidRPr="00E963DD">
        <w:rPr>
          <w:lang w:eastAsia="fr-CA"/>
        </w:rPr>
        <w:t xml:space="preserve">  </w:t>
      </w:r>
    </w:p>
  </w:footnote>
  <w:footnote w:id="125">
    <w:p w14:paraId="2550420B" w14:textId="77777777" w:rsidR="00EA3DDC" w:rsidRDefault="00730A01">
      <w:pPr>
        <w:pStyle w:val="Notedebasdepage"/>
      </w:pPr>
      <w:r>
        <w:rPr>
          <w:rStyle w:val="Appelnotedebasdep"/>
        </w:rPr>
        <w:footnoteRef/>
      </w:r>
      <w:r>
        <w:t xml:space="preserve"> </w:t>
      </w:r>
      <w:r>
        <w:tab/>
        <w:t xml:space="preserve">Rapport KPMG du 12 novembre 2023, pièce EP-1, par. 819; </w:t>
      </w:r>
      <w:r w:rsidRPr="00F51C39">
        <w:t>Pièce PQ-256, p. 13-21</w:t>
      </w:r>
      <w:r>
        <w:t>; NS, 20</w:t>
      </w:r>
      <w:r w:rsidR="001835B8">
        <w:t> </w:t>
      </w:r>
      <w:r>
        <w:t>février</w:t>
      </w:r>
      <w:r w:rsidR="001835B8">
        <w:t> </w:t>
      </w:r>
      <w:r>
        <w:t>2025, Larochelle, p. 83-89.</w:t>
      </w:r>
    </w:p>
  </w:footnote>
  <w:footnote w:id="126">
    <w:p w14:paraId="130255A6" w14:textId="77777777" w:rsidR="00FC0CAA" w:rsidRDefault="00730A01">
      <w:pPr>
        <w:pStyle w:val="Notedebasdepage"/>
      </w:pPr>
      <w:r>
        <w:rPr>
          <w:rStyle w:val="Appelnotedebasdep"/>
        </w:rPr>
        <w:footnoteRef/>
      </w:r>
      <w:r>
        <w:t xml:space="preserve"> </w:t>
      </w:r>
      <w:r>
        <w:tab/>
      </w:r>
      <w:r w:rsidR="00EA3DDC">
        <w:t>Pièce PQ-256, p. 16-20.</w:t>
      </w:r>
    </w:p>
  </w:footnote>
  <w:footnote w:id="127">
    <w:p w14:paraId="5B9C76E1" w14:textId="77777777" w:rsidR="00274020" w:rsidRDefault="00730A01">
      <w:pPr>
        <w:pStyle w:val="Notedebasdepage"/>
      </w:pPr>
      <w:r>
        <w:rPr>
          <w:rStyle w:val="Appelnotedebasdep"/>
        </w:rPr>
        <w:footnoteRef/>
      </w:r>
      <w:r>
        <w:t xml:space="preserve"> </w:t>
      </w:r>
      <w:r>
        <w:tab/>
      </w:r>
      <w:r w:rsidR="00012F36">
        <w:t xml:space="preserve">NS, St-Gelais, 11 février 2025, </w:t>
      </w:r>
      <w:r w:rsidR="0028343F">
        <w:t>p.</w:t>
      </w:r>
      <w:r w:rsidR="00012F36">
        <w:t xml:space="preserve"> 14-15</w:t>
      </w:r>
      <w:r>
        <w:t>.</w:t>
      </w:r>
    </w:p>
  </w:footnote>
  <w:footnote w:id="128">
    <w:p w14:paraId="1C896AB6" w14:textId="77777777" w:rsidR="00F51C39" w:rsidRDefault="00730A01">
      <w:pPr>
        <w:pStyle w:val="Notedebasdepage"/>
      </w:pPr>
      <w:r>
        <w:rPr>
          <w:rStyle w:val="Appelnotedebasdep"/>
        </w:rPr>
        <w:footnoteRef/>
      </w:r>
      <w:r>
        <w:t xml:space="preserve"> </w:t>
      </w:r>
      <w:r>
        <w:tab/>
        <w:t>NS, Larochelle, 20 février 2025, p. 84-86.</w:t>
      </w:r>
    </w:p>
  </w:footnote>
  <w:footnote w:id="129">
    <w:p w14:paraId="5ECF7AD8" w14:textId="77777777" w:rsidR="00D14D92" w:rsidRDefault="00730A01">
      <w:pPr>
        <w:pStyle w:val="Notedebasdepage"/>
      </w:pPr>
      <w:r>
        <w:rPr>
          <w:rStyle w:val="Appelnotedebasdep"/>
        </w:rPr>
        <w:footnoteRef/>
      </w:r>
      <w:r>
        <w:t xml:space="preserve"> </w:t>
      </w:r>
      <w:r>
        <w:tab/>
        <w:t>Pièce EP-1, p. 185-186.</w:t>
      </w:r>
    </w:p>
  </w:footnote>
  <w:footnote w:id="130">
    <w:p w14:paraId="58A8892F" w14:textId="77777777" w:rsidR="000D7D73" w:rsidRPr="000D7D73" w:rsidRDefault="00730A01">
      <w:pPr>
        <w:pStyle w:val="Notedebasdepage"/>
      </w:pPr>
      <w:r>
        <w:rPr>
          <w:rStyle w:val="Appelnotedebasdep"/>
        </w:rPr>
        <w:footnoteRef/>
      </w:r>
      <w:r w:rsidRPr="000D7D73">
        <w:t xml:space="preserve"> </w:t>
      </w:r>
      <w:r w:rsidRPr="000D7D73">
        <w:tab/>
        <w:t>Rapport KPMG, Annexe 1.02, p. 2.</w:t>
      </w:r>
    </w:p>
  </w:footnote>
  <w:footnote w:id="131">
    <w:p w14:paraId="54A3AC4F" w14:textId="77777777" w:rsidR="000D7D73" w:rsidRDefault="00730A01">
      <w:pPr>
        <w:pStyle w:val="Notedebasdepage"/>
      </w:pPr>
      <w:r>
        <w:rPr>
          <w:rStyle w:val="Appelnotedebasdep"/>
        </w:rPr>
        <w:footnoteRef/>
      </w:r>
      <w:r>
        <w:t xml:space="preserve"> </w:t>
      </w:r>
      <w:r>
        <w:tab/>
        <w:t>Rap</w:t>
      </w:r>
      <w:r w:rsidR="003244F1">
        <w:t>p</w:t>
      </w:r>
      <w:r>
        <w:t>ort KPMG, p. 21 et 235 (voir Annexe 15.02 pour le tableau des paiements à risque de défaut).</w:t>
      </w:r>
    </w:p>
  </w:footnote>
  <w:footnote w:id="132">
    <w:p w14:paraId="2616438B" w14:textId="77777777" w:rsidR="000D7D73" w:rsidRPr="00E838AC" w:rsidRDefault="00730A01">
      <w:pPr>
        <w:pStyle w:val="Notedebasdepage"/>
      </w:pPr>
      <w:r>
        <w:rPr>
          <w:rStyle w:val="Appelnotedebasdep"/>
        </w:rPr>
        <w:footnoteRef/>
      </w:r>
      <w:r w:rsidRPr="00E838AC">
        <w:t xml:space="preserve"> </w:t>
      </w:r>
      <w:r w:rsidRPr="00E838AC">
        <w:tab/>
        <w:t>Rapport KPMG, p. 20 (section 1.9).</w:t>
      </w:r>
    </w:p>
  </w:footnote>
  <w:footnote w:id="133">
    <w:p w14:paraId="3F29F41A" w14:textId="77777777" w:rsidR="00E838AC" w:rsidRDefault="00730A01">
      <w:pPr>
        <w:pStyle w:val="Notedebasdepage"/>
      </w:pPr>
      <w:r>
        <w:rPr>
          <w:rStyle w:val="Appelnotedebasdep"/>
        </w:rPr>
        <w:footnoteRef/>
      </w:r>
      <w:r>
        <w:t xml:space="preserve"> </w:t>
      </w:r>
      <w:r>
        <w:tab/>
        <w:t xml:space="preserve">Pièces PQ-19, p. 15 </w:t>
      </w:r>
      <w:r w:rsidRPr="00E838AC">
        <w:t xml:space="preserve">et </w:t>
      </w:r>
      <w:r w:rsidRPr="00E838AC">
        <w:rPr>
          <w:rStyle w:val="lev"/>
          <w:b w:val="0"/>
          <w:bCs w:val="0"/>
        </w:rPr>
        <w:t>EP-1, par. 280 ii</w:t>
      </w:r>
      <w:r>
        <w:rPr>
          <w:rStyle w:val="lev"/>
          <w:b w:val="0"/>
          <w:bCs w:val="0"/>
        </w:rPr>
        <w:t xml:space="preserve">); </w:t>
      </w:r>
      <w:r w:rsidR="008A33E7" w:rsidRPr="008A33E7">
        <w:rPr>
          <w:rStyle w:val="lev"/>
          <w:b w:val="0"/>
          <w:bCs w:val="0"/>
        </w:rPr>
        <w:t>et par. 141 n) de la Défense.</w:t>
      </w:r>
    </w:p>
  </w:footnote>
  <w:footnote w:id="134">
    <w:p w14:paraId="478663A9" w14:textId="77777777" w:rsidR="008A33E7" w:rsidRDefault="00730A01">
      <w:pPr>
        <w:pStyle w:val="Notedebasdepage"/>
      </w:pPr>
      <w:r>
        <w:rPr>
          <w:rStyle w:val="Appelnotedebasdep"/>
        </w:rPr>
        <w:footnoteRef/>
      </w:r>
      <w:r>
        <w:t xml:space="preserve"> </w:t>
      </w:r>
      <w:r>
        <w:tab/>
        <w:t>Pièce PQ-110, courriel de Me Tassé à Giroux du 15 février 2022.</w:t>
      </w:r>
    </w:p>
  </w:footnote>
  <w:footnote w:id="135">
    <w:p w14:paraId="09AA188C" w14:textId="77777777" w:rsidR="008A33E7" w:rsidRDefault="00730A01">
      <w:pPr>
        <w:pStyle w:val="Notedebasdepage"/>
      </w:pPr>
      <w:r>
        <w:rPr>
          <w:rStyle w:val="Appelnotedebasdep"/>
        </w:rPr>
        <w:footnoteRef/>
      </w:r>
      <w:r>
        <w:t xml:space="preserve"> </w:t>
      </w:r>
      <w:r>
        <w:tab/>
        <w:t>DSS Lehoux du 17 mai 2024, par. 38-39.</w:t>
      </w:r>
    </w:p>
  </w:footnote>
  <w:footnote w:id="136">
    <w:p w14:paraId="5D7C77A4" w14:textId="77777777" w:rsidR="008A33E7" w:rsidRDefault="00730A01">
      <w:pPr>
        <w:pStyle w:val="Notedebasdepage"/>
      </w:pPr>
      <w:r>
        <w:rPr>
          <w:rStyle w:val="Appelnotedebasdep"/>
        </w:rPr>
        <w:footnoteRef/>
      </w:r>
      <w:r>
        <w:t xml:space="preserve"> </w:t>
      </w:r>
      <w:r>
        <w:tab/>
        <w:t>Pièce PQ-256, p. 25.</w:t>
      </w:r>
    </w:p>
  </w:footnote>
  <w:footnote w:id="137">
    <w:p w14:paraId="0B06C50B" w14:textId="77777777" w:rsidR="008A33E7" w:rsidRDefault="00730A01">
      <w:pPr>
        <w:pStyle w:val="Notedebasdepage"/>
      </w:pPr>
      <w:r>
        <w:rPr>
          <w:rStyle w:val="Appelnotedebasdep"/>
        </w:rPr>
        <w:footnoteRef/>
      </w:r>
      <w:r>
        <w:t xml:space="preserve"> </w:t>
      </w:r>
      <w:r>
        <w:tab/>
        <w:t>NS, Filion, 13 juin 2024, p. 5263.</w:t>
      </w:r>
    </w:p>
  </w:footnote>
  <w:footnote w:id="138">
    <w:p w14:paraId="1DC1F125" w14:textId="77777777" w:rsidR="00E86233" w:rsidRDefault="00730A01">
      <w:pPr>
        <w:pStyle w:val="Notedebasdepage"/>
      </w:pPr>
      <w:r>
        <w:rPr>
          <w:rStyle w:val="Appelnotedebasdep"/>
        </w:rPr>
        <w:footnoteRef/>
      </w:r>
      <w:r>
        <w:t xml:space="preserve"> </w:t>
      </w:r>
      <w:r>
        <w:tab/>
        <w:t>Rapport KPMG, pièce PQ-82 et pièce PQ-256</w:t>
      </w:r>
      <w:r w:rsidR="00E72CC3">
        <w:t>, p. 86 et ss</w:t>
      </w:r>
      <w:r>
        <w:t>.</w:t>
      </w:r>
    </w:p>
  </w:footnote>
  <w:footnote w:id="139">
    <w:p w14:paraId="344CCA1F" w14:textId="77777777" w:rsidR="000D7D73" w:rsidRDefault="00730A01">
      <w:pPr>
        <w:pStyle w:val="Notedebasdepage"/>
      </w:pPr>
      <w:r>
        <w:rPr>
          <w:rStyle w:val="Appelnotedebasdep"/>
        </w:rPr>
        <w:footnoteRef/>
      </w:r>
      <w:r>
        <w:t xml:space="preserve"> </w:t>
      </w:r>
      <w:r>
        <w:tab/>
        <w:t>Pièces PQ-103, PQ-103.1, PQ-240 et NS, Giroux, 3 juin 2024, p. 1447-1452.</w:t>
      </w:r>
    </w:p>
  </w:footnote>
  <w:footnote w:id="140">
    <w:p w14:paraId="00F2CB27" w14:textId="77777777" w:rsidR="00DA0F29" w:rsidRDefault="00730A01">
      <w:pPr>
        <w:pStyle w:val="Notedebasdepage"/>
      </w:pPr>
      <w:r>
        <w:rPr>
          <w:rStyle w:val="Appelnotedebasdep"/>
        </w:rPr>
        <w:footnoteRef/>
      </w:r>
      <w:r>
        <w:t xml:space="preserve"> </w:t>
      </w:r>
      <w:r>
        <w:tab/>
        <w:t>Pièces PQ-103, PQ-76, PQ-266 et D-140.</w:t>
      </w:r>
    </w:p>
  </w:footnote>
  <w:footnote w:id="141">
    <w:p w14:paraId="7D683A02" w14:textId="77777777" w:rsidR="00AC4D5F" w:rsidRDefault="00730A01" w:rsidP="00AC4D5F">
      <w:pPr>
        <w:pStyle w:val="Notedebasdepage"/>
      </w:pPr>
      <w:r>
        <w:rPr>
          <w:rStyle w:val="Appelnotedebasdep"/>
        </w:rPr>
        <w:footnoteRef/>
      </w:r>
      <w:r>
        <w:t xml:space="preserve"> </w:t>
      </w:r>
      <w:r>
        <w:tab/>
      </w:r>
      <w:r w:rsidRPr="00391387">
        <w:t xml:space="preserve">NS, </w:t>
      </w:r>
      <w:r w:rsidR="00DA0F29" w:rsidRPr="00391387">
        <w:t xml:space="preserve">Robitaille, </w:t>
      </w:r>
      <w:r w:rsidRPr="00391387">
        <w:t xml:space="preserve">29 mai 2024, p. 1169; NS, </w:t>
      </w:r>
      <w:r w:rsidR="00DA0F29" w:rsidRPr="00391387">
        <w:t xml:space="preserve">Simard, </w:t>
      </w:r>
      <w:r w:rsidRPr="00391387">
        <w:t>21 janvier 2025, p. 214-215; PQ-256 (rapport KPMG).</w:t>
      </w:r>
    </w:p>
  </w:footnote>
  <w:footnote w:id="142">
    <w:p w14:paraId="22864A54" w14:textId="77777777" w:rsidR="00DA0F29" w:rsidRDefault="00730A01">
      <w:pPr>
        <w:pStyle w:val="Notedebasdepage"/>
      </w:pPr>
      <w:r>
        <w:rPr>
          <w:rStyle w:val="Appelnotedebasdep"/>
        </w:rPr>
        <w:footnoteRef/>
      </w:r>
      <w:r>
        <w:t xml:space="preserve"> </w:t>
      </w:r>
      <w:r>
        <w:tab/>
        <w:t>Pièces PQ-76, PQ-83, PQ-87, PQ-90; NS, St-Gelais, 23 janvier 2025, p. 235; 24 janvier 2025, p. 57; 10 février 2025, p. 62-63, 89-90, 166-170, 205-209, 218-220, 256-259 et NS, interrogatoire préalable de Larochelle, 14 décembre 2023, p. 29-30 et NS, 20 février 2025, p. 96-97.</w:t>
      </w:r>
    </w:p>
  </w:footnote>
  <w:footnote w:id="143">
    <w:p w14:paraId="14DE313D" w14:textId="77777777" w:rsidR="00AC4D5F" w:rsidRDefault="00730A01" w:rsidP="00AC4D5F">
      <w:pPr>
        <w:pStyle w:val="Notedebasdepage"/>
      </w:pPr>
      <w:r>
        <w:rPr>
          <w:rStyle w:val="Appelnotedebasdep"/>
        </w:rPr>
        <w:footnoteRef/>
      </w:r>
      <w:r>
        <w:t xml:space="preserve"> </w:t>
      </w:r>
      <w:r>
        <w:tab/>
        <w:t>Pièce PQ-97.3.1 (DSS sur actifs de Giroux; NS, Giroux, 13 février 2025, p. 185</w:t>
      </w:r>
      <w:r w:rsidRPr="00FF1BD9">
        <w:t>4</w:t>
      </w:r>
      <w:r>
        <w:t>.</w:t>
      </w:r>
    </w:p>
  </w:footnote>
  <w:footnote w:id="144">
    <w:p w14:paraId="2B13B7E5" w14:textId="77777777" w:rsidR="00AC4D5F" w:rsidRDefault="00730A01" w:rsidP="00AC4D5F">
      <w:pPr>
        <w:pStyle w:val="Notedebasdepage"/>
      </w:pPr>
      <w:r>
        <w:rPr>
          <w:rStyle w:val="Appelnotedebasdep"/>
        </w:rPr>
        <w:footnoteRef/>
      </w:r>
      <w:r>
        <w:t xml:space="preserve"> </w:t>
      </w:r>
      <w:r>
        <w:tab/>
      </w:r>
      <w:r w:rsidRPr="008568D1">
        <w:t>NS, Robitaille, 29 mai 2024, p. 1169; NS, Simard, 21 janvier 2025, p. 214</w:t>
      </w:r>
      <w:r w:rsidR="008568D1" w:rsidRPr="008568D1">
        <w:t>-</w:t>
      </w:r>
      <w:r w:rsidRPr="008568D1">
        <w:t>215</w:t>
      </w:r>
      <w:r w:rsidR="008568D1">
        <w:t>; Pièce PQ-256 (Rapport KPMG).</w:t>
      </w:r>
    </w:p>
  </w:footnote>
  <w:footnote w:id="145">
    <w:p w14:paraId="2E8291A7" w14:textId="77777777" w:rsidR="0018452B" w:rsidRDefault="00730A01">
      <w:pPr>
        <w:pStyle w:val="Notedebasdepage"/>
      </w:pPr>
      <w:r>
        <w:rPr>
          <w:rStyle w:val="Appelnotedebasdep"/>
        </w:rPr>
        <w:footnoteRef/>
      </w:r>
      <w:r>
        <w:t xml:space="preserve"> </w:t>
      </w:r>
      <w:r>
        <w:tab/>
        <w:t>Rapport KPMG_Q-12_FIISH.pdf, p. 119-124.</w:t>
      </w:r>
    </w:p>
  </w:footnote>
  <w:footnote w:id="146">
    <w:p w14:paraId="621A75C1" w14:textId="77777777" w:rsidR="008568D1" w:rsidRDefault="00730A01">
      <w:pPr>
        <w:pStyle w:val="Notedebasdepage"/>
      </w:pPr>
      <w:r>
        <w:rPr>
          <w:rStyle w:val="Appelnotedebasdep"/>
        </w:rPr>
        <w:footnoteRef/>
      </w:r>
      <w:r>
        <w:t xml:space="preserve"> </w:t>
      </w:r>
      <w:r>
        <w:tab/>
        <w:t>Annexe A-4, par. 2.</w:t>
      </w:r>
    </w:p>
  </w:footnote>
  <w:footnote w:id="147">
    <w:p w14:paraId="2C244EE5" w14:textId="77777777" w:rsidR="0018452B" w:rsidRDefault="00730A01">
      <w:pPr>
        <w:pStyle w:val="Notedebasdepage"/>
      </w:pPr>
      <w:r>
        <w:rPr>
          <w:rStyle w:val="Appelnotedebasdep"/>
        </w:rPr>
        <w:footnoteRef/>
      </w:r>
      <w:r>
        <w:t xml:space="preserve"> </w:t>
      </w:r>
      <w:r>
        <w:tab/>
        <w:t>Rapport KPMG_Q-12_FIISH.pdf, p. 177-179.</w:t>
      </w:r>
    </w:p>
  </w:footnote>
  <w:footnote w:id="148">
    <w:p w14:paraId="07F3829C" w14:textId="77777777" w:rsidR="0018452B" w:rsidRDefault="00730A01">
      <w:pPr>
        <w:pStyle w:val="Notedebasdepage"/>
      </w:pPr>
      <w:r>
        <w:rPr>
          <w:rStyle w:val="Appelnotedebasdep"/>
        </w:rPr>
        <w:footnoteRef/>
      </w:r>
      <w:r>
        <w:t xml:space="preserve"> </w:t>
      </w:r>
      <w:r>
        <w:tab/>
        <w:t>Rapport KPMG_Q-12_FIISH.pdf, p. 177-179.</w:t>
      </w:r>
    </w:p>
  </w:footnote>
  <w:footnote w:id="149">
    <w:p w14:paraId="23E63EDD" w14:textId="77777777" w:rsidR="0018452B" w:rsidRDefault="00730A01">
      <w:pPr>
        <w:pStyle w:val="Notedebasdepage"/>
      </w:pPr>
      <w:r>
        <w:rPr>
          <w:rStyle w:val="Appelnotedebasdep"/>
        </w:rPr>
        <w:footnoteRef/>
      </w:r>
      <w:r>
        <w:t xml:space="preserve"> </w:t>
      </w:r>
      <w:r>
        <w:tab/>
        <w:t>Rapport KPMG_Q-12_FIISH.pdf, p. 119-124.</w:t>
      </w:r>
    </w:p>
  </w:footnote>
  <w:footnote w:id="150">
    <w:p w14:paraId="530673DC" w14:textId="77777777" w:rsidR="00C54E3F" w:rsidRDefault="00730A01">
      <w:pPr>
        <w:pStyle w:val="Notedebasdepage"/>
      </w:pPr>
      <w:r>
        <w:rPr>
          <w:rStyle w:val="Appelnotedebasdep"/>
        </w:rPr>
        <w:footnoteRef/>
      </w:r>
      <w:r>
        <w:t xml:space="preserve"> </w:t>
      </w:r>
      <w:r>
        <w:tab/>
        <w:t xml:space="preserve">Rapport KPMG_Q-12_FIISH.pdf, p. </w:t>
      </w:r>
      <w:r w:rsidRPr="00C54E3F">
        <w:rPr>
          <w:rFonts w:cs="Arial"/>
        </w:rPr>
        <w:t>122-124 et p. 176-179.</w:t>
      </w:r>
    </w:p>
  </w:footnote>
  <w:footnote w:id="151">
    <w:p w14:paraId="39979504" w14:textId="77777777" w:rsidR="00DA0F29" w:rsidRDefault="00730A01">
      <w:pPr>
        <w:pStyle w:val="Notedebasdepage"/>
      </w:pPr>
      <w:r>
        <w:rPr>
          <w:rStyle w:val="Appelnotedebasdep"/>
        </w:rPr>
        <w:footnoteRef/>
      </w:r>
      <w:r>
        <w:t xml:space="preserve"> </w:t>
      </w:r>
      <w:r>
        <w:tab/>
        <w:t>Pièce PQ-256, p. 116 et 166.</w:t>
      </w:r>
    </w:p>
  </w:footnote>
  <w:footnote w:id="152">
    <w:p w14:paraId="073C88FB" w14:textId="77777777" w:rsidR="00C54E3F" w:rsidRDefault="00730A01">
      <w:pPr>
        <w:pStyle w:val="Notedebasdepage"/>
      </w:pPr>
      <w:r>
        <w:rPr>
          <w:rStyle w:val="Appelnotedebasdep"/>
        </w:rPr>
        <w:footnoteRef/>
      </w:r>
      <w:r>
        <w:t xml:space="preserve"> </w:t>
      </w:r>
      <w:r>
        <w:tab/>
        <w:t xml:space="preserve">Rapport KPMG_Q-12_FIISH.pdf, p. </w:t>
      </w:r>
      <w:r w:rsidRPr="00C54E3F">
        <w:rPr>
          <w:rFonts w:cs="Arial"/>
        </w:rPr>
        <w:t>122-124 et p. 119-124.</w:t>
      </w:r>
    </w:p>
  </w:footnote>
  <w:footnote w:id="153">
    <w:p w14:paraId="385FC672" w14:textId="77777777" w:rsidR="00C54E3F" w:rsidRDefault="00730A01">
      <w:pPr>
        <w:pStyle w:val="Notedebasdepage"/>
      </w:pPr>
      <w:r>
        <w:rPr>
          <w:rStyle w:val="Appelnotedebasdep"/>
        </w:rPr>
        <w:footnoteRef/>
      </w:r>
      <w:r>
        <w:t xml:space="preserve"> </w:t>
      </w:r>
      <w:r>
        <w:tab/>
        <w:t>Rapport KPMG_Q-12_FIISH.pdf, p. 119-124 et p. 129-1.</w:t>
      </w:r>
    </w:p>
  </w:footnote>
  <w:footnote w:id="154">
    <w:p w14:paraId="4D4CE545" w14:textId="77777777" w:rsidR="00C54E3F" w:rsidRDefault="00730A01">
      <w:pPr>
        <w:pStyle w:val="Notedebasdepage"/>
      </w:pPr>
      <w:r>
        <w:rPr>
          <w:rStyle w:val="Appelnotedebasdep"/>
        </w:rPr>
        <w:footnoteRef/>
      </w:r>
      <w:r>
        <w:t xml:space="preserve"> </w:t>
      </w:r>
      <w:r>
        <w:tab/>
        <w:t>Rapport KPMG, par. 20.</w:t>
      </w:r>
    </w:p>
  </w:footnote>
  <w:footnote w:id="155">
    <w:p w14:paraId="1A046A73" w14:textId="77777777" w:rsidR="0076467D" w:rsidRDefault="00730A01">
      <w:pPr>
        <w:pStyle w:val="Notedebasdepage"/>
      </w:pPr>
      <w:r>
        <w:rPr>
          <w:rStyle w:val="Appelnotedebasdep"/>
        </w:rPr>
        <w:footnoteRef/>
      </w:r>
      <w:r>
        <w:t xml:space="preserve"> </w:t>
      </w:r>
      <w:r>
        <w:tab/>
        <w:t>Rapport KPMG, par. 21.</w:t>
      </w:r>
    </w:p>
  </w:footnote>
  <w:footnote w:id="156">
    <w:p w14:paraId="36748436" w14:textId="77777777" w:rsidR="0076467D" w:rsidRDefault="00730A01">
      <w:pPr>
        <w:pStyle w:val="Notedebasdepage"/>
      </w:pPr>
      <w:r>
        <w:rPr>
          <w:rStyle w:val="Appelnotedebasdep"/>
        </w:rPr>
        <w:footnoteRef/>
      </w:r>
      <w:r>
        <w:t xml:space="preserve"> </w:t>
      </w:r>
      <w:r>
        <w:tab/>
        <w:t>Rapport KPMG, par. 22 et Section 1.2.2.</w:t>
      </w:r>
    </w:p>
  </w:footnote>
  <w:footnote w:id="157">
    <w:p w14:paraId="2F00DB91" w14:textId="77777777" w:rsidR="0076467D" w:rsidRDefault="00730A01">
      <w:pPr>
        <w:pStyle w:val="Notedebasdepage"/>
      </w:pPr>
      <w:r>
        <w:rPr>
          <w:rStyle w:val="Appelnotedebasdep"/>
        </w:rPr>
        <w:footnoteRef/>
      </w:r>
      <w:r>
        <w:t xml:space="preserve"> </w:t>
      </w:r>
      <w:r>
        <w:tab/>
        <w:t>Annexe 1.03, par. 32 du Rapport KPMG.</w:t>
      </w:r>
    </w:p>
  </w:footnote>
  <w:footnote w:id="158">
    <w:p w14:paraId="4EF41C3F" w14:textId="77777777" w:rsidR="0076467D" w:rsidRDefault="00730A01">
      <w:pPr>
        <w:pStyle w:val="Notedebasdepage"/>
      </w:pPr>
      <w:r>
        <w:rPr>
          <w:rStyle w:val="Appelnotedebasdep"/>
        </w:rPr>
        <w:footnoteRef/>
      </w:r>
      <w:r>
        <w:t xml:space="preserve"> </w:t>
      </w:r>
      <w:r>
        <w:tab/>
        <w:t>Pièce PQ-256, par. 2 à 25.</w:t>
      </w:r>
    </w:p>
  </w:footnote>
  <w:footnote w:id="159">
    <w:p w14:paraId="05EC7D2C" w14:textId="77777777" w:rsidR="007F6B37" w:rsidRDefault="00730A01">
      <w:pPr>
        <w:pStyle w:val="Notedebasdepage"/>
      </w:pPr>
      <w:r>
        <w:rPr>
          <w:rStyle w:val="Appelnotedebasdep"/>
        </w:rPr>
        <w:footnoteRef/>
      </w:r>
      <w:r>
        <w:t xml:space="preserve"> </w:t>
      </w:r>
      <w:r>
        <w:tab/>
        <w:t>Rapport KPMG, p. 2, Tableau 1.1.</w:t>
      </w:r>
    </w:p>
  </w:footnote>
  <w:footnote w:id="160">
    <w:p w14:paraId="5C8AC41E" w14:textId="77777777" w:rsidR="007F6B37" w:rsidRPr="007F6B37" w:rsidRDefault="00730A01">
      <w:pPr>
        <w:pStyle w:val="Notedebasdepage"/>
        <w:rPr>
          <w:i/>
          <w:iCs/>
        </w:rPr>
      </w:pPr>
      <w:r>
        <w:rPr>
          <w:rStyle w:val="Appelnotedebasdep"/>
        </w:rPr>
        <w:footnoteRef/>
      </w:r>
      <w:r>
        <w:t xml:space="preserve"> </w:t>
      </w:r>
      <w:r>
        <w:tab/>
      </w:r>
      <w:r w:rsidRPr="00490964">
        <w:rPr>
          <w:i/>
          <w:iCs/>
        </w:rPr>
        <w:t>Id.</w:t>
      </w:r>
    </w:p>
  </w:footnote>
  <w:footnote w:id="161">
    <w:p w14:paraId="5292A982" w14:textId="77777777" w:rsidR="00646861" w:rsidRDefault="00730A01">
      <w:pPr>
        <w:pStyle w:val="Notedebasdepage"/>
      </w:pPr>
      <w:r>
        <w:rPr>
          <w:rStyle w:val="Appelnotedebasdep"/>
        </w:rPr>
        <w:footnoteRef/>
      </w:r>
      <w:r>
        <w:t xml:space="preserve"> </w:t>
      </w:r>
      <w:r>
        <w:tab/>
        <w:t>Rapport KPMG, p. 51-53.</w:t>
      </w:r>
    </w:p>
  </w:footnote>
  <w:footnote w:id="162">
    <w:p w14:paraId="5F7DCEAB" w14:textId="77777777" w:rsidR="00646861" w:rsidRDefault="00730A01">
      <w:pPr>
        <w:pStyle w:val="Notedebasdepage"/>
      </w:pPr>
      <w:r>
        <w:rPr>
          <w:rStyle w:val="Appelnotedebasdep"/>
        </w:rPr>
        <w:footnoteRef/>
      </w:r>
      <w:r>
        <w:t xml:space="preserve"> </w:t>
      </w:r>
      <w:r>
        <w:tab/>
        <w:t>Rapport KPMG, p. 53-</w:t>
      </w:r>
      <w:r w:rsidR="009B0380">
        <w:t>55.</w:t>
      </w:r>
    </w:p>
  </w:footnote>
  <w:footnote w:id="163">
    <w:p w14:paraId="786E6C48" w14:textId="77777777" w:rsidR="00646861" w:rsidRDefault="00730A01">
      <w:pPr>
        <w:pStyle w:val="Notedebasdepage"/>
      </w:pPr>
      <w:r>
        <w:rPr>
          <w:rStyle w:val="Appelnotedebasdep"/>
        </w:rPr>
        <w:footnoteRef/>
      </w:r>
      <w:r>
        <w:t xml:space="preserve"> </w:t>
      </w:r>
      <w:r>
        <w:tab/>
        <w:t>Rapport KPMG, p.3 et 62.</w:t>
      </w:r>
    </w:p>
  </w:footnote>
  <w:footnote w:id="164">
    <w:p w14:paraId="3F3CF127" w14:textId="77777777" w:rsidR="00646861" w:rsidRDefault="00730A01">
      <w:pPr>
        <w:pStyle w:val="Notedebasdepage"/>
      </w:pPr>
      <w:r>
        <w:rPr>
          <w:rStyle w:val="Appelnotedebasdep"/>
        </w:rPr>
        <w:footnoteRef/>
      </w:r>
      <w:r>
        <w:t xml:space="preserve"> </w:t>
      </w:r>
      <w:r>
        <w:tab/>
        <w:t>Rapport KPMG, p. 3 et 239-241.</w:t>
      </w:r>
    </w:p>
  </w:footnote>
  <w:footnote w:id="165">
    <w:p w14:paraId="1FFC4DB2" w14:textId="77777777" w:rsidR="00646861" w:rsidRDefault="00730A01">
      <w:pPr>
        <w:pStyle w:val="Notedebasdepage"/>
      </w:pPr>
      <w:r>
        <w:rPr>
          <w:rStyle w:val="Appelnotedebasdep"/>
        </w:rPr>
        <w:footnoteRef/>
      </w:r>
      <w:r>
        <w:t xml:space="preserve"> </w:t>
      </w:r>
      <w:r>
        <w:tab/>
        <w:t>Rapport KPMG, p. 3 et 68-69.</w:t>
      </w:r>
    </w:p>
  </w:footnote>
  <w:footnote w:id="166">
    <w:p w14:paraId="2D3D680D" w14:textId="77777777" w:rsidR="00646861" w:rsidRDefault="00730A01">
      <w:pPr>
        <w:pStyle w:val="Notedebasdepage"/>
      </w:pPr>
      <w:r>
        <w:rPr>
          <w:rStyle w:val="Appelnotedebasdep"/>
        </w:rPr>
        <w:footnoteRef/>
      </w:r>
      <w:r>
        <w:t xml:space="preserve"> </w:t>
      </w:r>
      <w:r>
        <w:tab/>
        <w:t>Rapport KPMG, p. 3 71-73, 231 et 246.</w:t>
      </w:r>
    </w:p>
  </w:footnote>
  <w:footnote w:id="167">
    <w:p w14:paraId="27CD9204" w14:textId="77777777" w:rsidR="00646861" w:rsidRDefault="00730A01">
      <w:pPr>
        <w:pStyle w:val="Notedebasdepage"/>
      </w:pPr>
      <w:r>
        <w:rPr>
          <w:rStyle w:val="Appelnotedebasdep"/>
        </w:rPr>
        <w:footnoteRef/>
      </w:r>
      <w:r>
        <w:t xml:space="preserve"> </w:t>
      </w:r>
      <w:r>
        <w:tab/>
        <w:t>Rapport KPMG, p. 3, 77-78, et 246.</w:t>
      </w:r>
    </w:p>
  </w:footnote>
  <w:footnote w:id="168">
    <w:p w14:paraId="14676E62" w14:textId="77777777" w:rsidR="00EF06C8" w:rsidRDefault="00730A01" w:rsidP="00EF06C8">
      <w:pPr>
        <w:pStyle w:val="Notedebasdepage"/>
      </w:pPr>
      <w:r>
        <w:rPr>
          <w:rStyle w:val="Appelnotedebasdep"/>
        </w:rPr>
        <w:footnoteRef/>
      </w:r>
      <w:r>
        <w:t xml:space="preserve"> </w:t>
      </w:r>
      <w:r>
        <w:tab/>
        <w:t>Rapport KPMG, p. 4-5 et 80-96.</w:t>
      </w:r>
    </w:p>
  </w:footnote>
  <w:footnote w:id="169">
    <w:p w14:paraId="5F0271A7" w14:textId="77777777" w:rsidR="00EF06C8" w:rsidRDefault="00730A01" w:rsidP="00EF06C8">
      <w:pPr>
        <w:pStyle w:val="Notedebasdepage"/>
      </w:pPr>
      <w:r>
        <w:rPr>
          <w:rStyle w:val="Appelnotedebasdep"/>
        </w:rPr>
        <w:footnoteRef/>
      </w:r>
      <w:r>
        <w:t xml:space="preserve"> </w:t>
      </w:r>
      <w:r>
        <w:tab/>
        <w:t xml:space="preserve">Banque </w:t>
      </w:r>
      <w:r w:rsidRPr="00782542">
        <w:t>Canadienne Impériale de Commerce</w:t>
      </w:r>
      <w:r>
        <w:t>.</w:t>
      </w:r>
    </w:p>
  </w:footnote>
  <w:footnote w:id="170">
    <w:p w14:paraId="7BCEFB84" w14:textId="77777777" w:rsidR="00EF06C8" w:rsidRDefault="00730A01" w:rsidP="00EF06C8">
      <w:pPr>
        <w:pStyle w:val="Notedebasdepage"/>
      </w:pPr>
      <w:r>
        <w:rPr>
          <w:rStyle w:val="Appelnotedebasdep"/>
        </w:rPr>
        <w:footnoteRef/>
      </w:r>
      <w:r>
        <w:t xml:space="preserve"> </w:t>
      </w:r>
      <w:r>
        <w:tab/>
        <w:t>Rapport KPMG, p. 5-6 et 89.</w:t>
      </w:r>
    </w:p>
  </w:footnote>
  <w:footnote w:id="171">
    <w:p w14:paraId="4E93EDB7" w14:textId="77777777" w:rsidR="00EF06C8" w:rsidRDefault="00730A01" w:rsidP="00EF06C8">
      <w:pPr>
        <w:pStyle w:val="Notedebasdepage"/>
      </w:pPr>
      <w:r>
        <w:rPr>
          <w:rStyle w:val="Appelnotedebasdep"/>
        </w:rPr>
        <w:footnoteRef/>
      </w:r>
      <w:r>
        <w:t xml:space="preserve"> </w:t>
      </w:r>
      <w:r>
        <w:tab/>
        <w:t>Rapport KPMG, p. 5-6, 90-91 et 175.</w:t>
      </w:r>
    </w:p>
  </w:footnote>
  <w:footnote w:id="172">
    <w:p w14:paraId="1C135B93" w14:textId="77777777" w:rsidR="00EF06C8" w:rsidRDefault="00730A01" w:rsidP="00EF06C8">
      <w:pPr>
        <w:pStyle w:val="Notedebasdepage"/>
      </w:pPr>
      <w:r>
        <w:rPr>
          <w:rStyle w:val="Appelnotedebasdep"/>
        </w:rPr>
        <w:footnoteRef/>
      </w:r>
      <w:r>
        <w:t xml:space="preserve"> </w:t>
      </w:r>
      <w:r>
        <w:tab/>
        <w:t>Rapport KPMG, p. 5-6 et 90-92.</w:t>
      </w:r>
    </w:p>
  </w:footnote>
  <w:footnote w:id="173">
    <w:p w14:paraId="2DACE4EE" w14:textId="77777777" w:rsidR="00EF06C8" w:rsidRDefault="00730A01" w:rsidP="00EF06C8">
      <w:pPr>
        <w:pStyle w:val="Notedebasdepage"/>
      </w:pPr>
      <w:r>
        <w:rPr>
          <w:rStyle w:val="Appelnotedebasdep"/>
        </w:rPr>
        <w:footnoteRef/>
      </w:r>
      <w:r>
        <w:t xml:space="preserve"> </w:t>
      </w:r>
      <w:r>
        <w:tab/>
        <w:t>Rapport KPMG, p. 94-96.</w:t>
      </w:r>
    </w:p>
  </w:footnote>
  <w:footnote w:id="174">
    <w:p w14:paraId="5CD73FB9" w14:textId="77777777" w:rsidR="00EF06C8" w:rsidRDefault="00730A01" w:rsidP="00EF06C8">
      <w:pPr>
        <w:pStyle w:val="Notedebasdepage"/>
      </w:pPr>
      <w:r>
        <w:rPr>
          <w:rStyle w:val="Appelnotedebasdep"/>
        </w:rPr>
        <w:footnoteRef/>
      </w:r>
      <w:r>
        <w:t xml:space="preserve"> </w:t>
      </w:r>
      <w:r>
        <w:tab/>
        <w:t>Voir graphique du sommaire de ces transactions, p. 6 du Rapport PQ-256.</w:t>
      </w:r>
    </w:p>
  </w:footnote>
  <w:footnote w:id="175">
    <w:p w14:paraId="48B47E10" w14:textId="77777777" w:rsidR="00FA64C6" w:rsidRDefault="00730A01" w:rsidP="00FA64C6">
      <w:pPr>
        <w:pStyle w:val="Notedebasdepage"/>
      </w:pPr>
      <w:r>
        <w:rPr>
          <w:rStyle w:val="Appelnotedebasdep"/>
        </w:rPr>
        <w:footnoteRef/>
      </w:r>
      <w:r>
        <w:t xml:space="preserve"> </w:t>
      </w:r>
      <w:r>
        <w:tab/>
        <w:t>Voir notamment NS, St-Cyr, 27 mai 2024, p. 267-268 et NS, Simard, 21 février 2025, p. 118-122, 125-126, 167-168; Larochelle a par ailleurs confirmé qu’aucun bilan ni état financier n’était demandé en lien avec les prêts Q-12 (voir notamment NS, Larochelle, 20 février 2025, p. 86-88, 119; Défense, par. 100.23-100.25.</w:t>
      </w:r>
    </w:p>
  </w:footnote>
  <w:footnote w:id="176">
    <w:p w14:paraId="4F550E31" w14:textId="77777777" w:rsidR="00FA64C6" w:rsidRPr="00930AF6" w:rsidRDefault="00730A01" w:rsidP="00FA64C6">
      <w:pPr>
        <w:pStyle w:val="Notedebasdepage"/>
      </w:pPr>
      <w:r>
        <w:rPr>
          <w:rStyle w:val="Appelnotedebasdep"/>
        </w:rPr>
        <w:footnoteRef/>
      </w:r>
      <w:r>
        <w:t xml:space="preserve"> </w:t>
      </w:r>
      <w:r>
        <w:tab/>
      </w:r>
      <w:r>
        <w:rPr>
          <w:rFonts w:cs="Arial"/>
        </w:rPr>
        <w:t>DSS, Lehoux, 17 mai 2024, par. 17-18.</w:t>
      </w:r>
    </w:p>
  </w:footnote>
  <w:footnote w:id="177">
    <w:p w14:paraId="0D0E5A9A" w14:textId="77777777" w:rsidR="00FA64C6" w:rsidRDefault="00730A01" w:rsidP="00FA64C6">
      <w:pPr>
        <w:pStyle w:val="Notedebasdepage"/>
      </w:pPr>
      <w:r w:rsidRPr="00930AF6">
        <w:rPr>
          <w:rStyle w:val="Appelnotedebasdep"/>
        </w:rPr>
        <w:footnoteRef/>
      </w:r>
      <w:r w:rsidRPr="00930AF6">
        <w:t xml:space="preserve"> </w:t>
      </w:r>
      <w:r w:rsidRPr="00930AF6">
        <w:tab/>
      </w:r>
      <w:r>
        <w:rPr>
          <w:rFonts w:cs="Arial"/>
        </w:rPr>
        <w:t>Pièce PQ-7, NS, St-Gelais, 10 février 2025, p. 90-94.</w:t>
      </w:r>
    </w:p>
  </w:footnote>
  <w:footnote w:id="178">
    <w:p w14:paraId="7AB66F87" w14:textId="77777777" w:rsidR="00FA64C6" w:rsidRPr="005D2C4A" w:rsidRDefault="00730A01" w:rsidP="00FA64C6">
      <w:pPr>
        <w:pStyle w:val="Notedebasdepage"/>
      </w:pPr>
      <w:r>
        <w:rPr>
          <w:rStyle w:val="Appelnotedebasdep"/>
        </w:rPr>
        <w:footnoteRef/>
      </w:r>
      <w:r w:rsidRPr="00F51C39">
        <w:t xml:space="preserve"> </w:t>
      </w:r>
      <w:r w:rsidRPr="00F51C39">
        <w:tab/>
        <w:t>Pièce PQ-76, p.439</w:t>
      </w:r>
      <w:r w:rsidRPr="005D2C4A">
        <w:t>.</w:t>
      </w:r>
    </w:p>
  </w:footnote>
  <w:footnote w:id="179">
    <w:p w14:paraId="43E186FA" w14:textId="77777777" w:rsidR="00FA64C6" w:rsidRPr="00F51C39" w:rsidRDefault="00730A01" w:rsidP="00FA64C6">
      <w:pPr>
        <w:pStyle w:val="Notedebasdepage"/>
      </w:pPr>
      <w:r w:rsidRPr="005D2C4A">
        <w:rPr>
          <w:rStyle w:val="Appelnotedebasdep"/>
        </w:rPr>
        <w:footnoteRef/>
      </w:r>
      <w:r w:rsidRPr="005D2C4A">
        <w:t xml:space="preserve"> </w:t>
      </w:r>
      <w:r w:rsidRPr="005D2C4A">
        <w:tab/>
      </w:r>
      <w:r>
        <w:t>Pièce PQ-7 – art. 9.5, 11.1; PQ-76, PQ-31, PQ-103 p. 238 et 350.</w:t>
      </w:r>
    </w:p>
  </w:footnote>
  <w:footnote w:id="180">
    <w:p w14:paraId="3E040541" w14:textId="77777777" w:rsidR="00FA64C6" w:rsidRDefault="00730A01" w:rsidP="00FA64C6">
      <w:pPr>
        <w:pStyle w:val="Notedebasdepage"/>
      </w:pPr>
      <w:r>
        <w:rPr>
          <w:rStyle w:val="Appelnotedebasdep"/>
        </w:rPr>
        <w:footnoteRef/>
      </w:r>
      <w:r>
        <w:t xml:space="preserve"> </w:t>
      </w:r>
      <w:r>
        <w:tab/>
        <w:t>Par. 197, p. 68; EP-2, p. 21.</w:t>
      </w:r>
    </w:p>
  </w:footnote>
  <w:footnote w:id="181">
    <w:p w14:paraId="3B4A5FB0" w14:textId="77777777" w:rsidR="00FA64C6" w:rsidRDefault="00730A01" w:rsidP="00FA64C6">
      <w:pPr>
        <w:pStyle w:val="Notedebasdepage"/>
      </w:pPr>
      <w:r>
        <w:rPr>
          <w:rStyle w:val="Appelnotedebasdep"/>
        </w:rPr>
        <w:footnoteRef/>
      </w:r>
      <w:r>
        <w:t xml:space="preserve"> </w:t>
      </w:r>
      <w:r>
        <w:tab/>
        <w:t>Par. 198, p. 68.</w:t>
      </w:r>
    </w:p>
  </w:footnote>
  <w:footnote w:id="182">
    <w:p w14:paraId="2F45AAF2" w14:textId="77777777" w:rsidR="00FA64C6" w:rsidRDefault="00730A01" w:rsidP="00FA64C6">
      <w:pPr>
        <w:pStyle w:val="Notedebasdepage"/>
      </w:pPr>
      <w:r>
        <w:rPr>
          <w:rStyle w:val="Appelnotedebasdep"/>
        </w:rPr>
        <w:footnoteRef/>
      </w:r>
      <w:r>
        <w:t xml:space="preserve"> </w:t>
      </w:r>
      <w:r>
        <w:tab/>
        <w:t>NS, 27 février 2025, Marcil, p. 193, 212.</w:t>
      </w:r>
    </w:p>
  </w:footnote>
  <w:footnote w:id="183">
    <w:p w14:paraId="1EBBCEBF" w14:textId="77777777" w:rsidR="00FA64C6" w:rsidRDefault="00730A01" w:rsidP="00FA64C6">
      <w:pPr>
        <w:pStyle w:val="Notedebasdepage"/>
      </w:pPr>
      <w:r>
        <w:rPr>
          <w:rStyle w:val="Appelnotedebasdep"/>
        </w:rPr>
        <w:footnoteRef/>
      </w:r>
      <w:r>
        <w:t xml:space="preserve"> </w:t>
      </w:r>
      <w:r>
        <w:tab/>
        <w:t>NS, 26 février 2025, Marcil, p. 308-309.</w:t>
      </w:r>
    </w:p>
  </w:footnote>
  <w:footnote w:id="184">
    <w:p w14:paraId="25F73E25" w14:textId="77777777" w:rsidR="00FA64C6" w:rsidRPr="00533C92" w:rsidRDefault="00730A01" w:rsidP="00FA64C6">
      <w:pPr>
        <w:pStyle w:val="Notedebasdepage"/>
      </w:pPr>
      <w:r>
        <w:rPr>
          <w:rStyle w:val="Appelnotedebasdep"/>
        </w:rPr>
        <w:footnoteRef/>
      </w:r>
      <w:r>
        <w:t xml:space="preserve"> </w:t>
      </w:r>
      <w:r>
        <w:tab/>
      </w:r>
      <w:r>
        <w:rPr>
          <w:rFonts w:cs="Arial"/>
        </w:rPr>
        <w:t>Préc., note 42; NS interrogatoire préalable de Giroux du 3 avril 2024 par Me Valin, p. 43-46, 59-60; NS, 20 février 2025, Larochelle, p. 106</w:t>
      </w:r>
      <w:r w:rsidRPr="00533C92">
        <w:rPr>
          <w:rFonts w:cs="Arial"/>
        </w:rPr>
        <w:t>.</w:t>
      </w:r>
    </w:p>
  </w:footnote>
  <w:footnote w:id="185">
    <w:p w14:paraId="1917D33B" w14:textId="77777777" w:rsidR="00FA64C6" w:rsidRDefault="00730A01" w:rsidP="00FA64C6">
      <w:pPr>
        <w:pStyle w:val="Notedebasdepage"/>
      </w:pPr>
      <w:r>
        <w:rPr>
          <w:rStyle w:val="Appelnotedebasdep"/>
        </w:rPr>
        <w:footnoteRef/>
      </w:r>
      <w:r>
        <w:t xml:space="preserve"> </w:t>
      </w:r>
      <w:r>
        <w:tab/>
      </w:r>
      <w:r w:rsidRPr="005856C5">
        <w:rPr>
          <w:rStyle w:val="lev"/>
          <w:b w:val="0"/>
          <w:bCs w:val="0"/>
          <w:i/>
          <w:iCs/>
        </w:rPr>
        <w:t xml:space="preserve">Savard </w:t>
      </w:r>
      <w:r w:rsidRPr="005856C5">
        <w:rPr>
          <w:rStyle w:val="lev"/>
          <w:b w:val="0"/>
          <w:bCs w:val="0"/>
        </w:rPr>
        <w:t>c.</w:t>
      </w:r>
      <w:r w:rsidRPr="005856C5">
        <w:rPr>
          <w:rStyle w:val="lev"/>
          <w:b w:val="0"/>
          <w:bCs w:val="0"/>
          <w:i/>
          <w:iCs/>
        </w:rPr>
        <w:t xml:space="preserve"> 2329-1297 Québec inc</w:t>
      </w:r>
      <w:r w:rsidRPr="005856C5">
        <w:rPr>
          <w:rStyle w:val="lev"/>
          <w:b w:val="0"/>
          <w:bCs w:val="0"/>
        </w:rPr>
        <w:t>.</w:t>
      </w:r>
      <w:r w:rsidRPr="005856C5">
        <w:rPr>
          <w:b/>
          <w:bCs/>
        </w:rPr>
        <w:t>,</w:t>
      </w:r>
      <w:r w:rsidRPr="005856C5">
        <w:t xml:space="preserve"> 2003 CanLII 4455 (QC CS), confirmé par 2005 QCCA 705</w:t>
      </w:r>
      <w:r>
        <w:t>.</w:t>
      </w:r>
    </w:p>
  </w:footnote>
  <w:footnote w:id="186">
    <w:p w14:paraId="420F4458" w14:textId="77777777" w:rsidR="00FA64C6" w:rsidRDefault="00730A01" w:rsidP="00FA64C6">
      <w:pPr>
        <w:pStyle w:val="Notedebasdepage"/>
      </w:pPr>
      <w:r>
        <w:rPr>
          <w:rStyle w:val="Appelnotedebasdep"/>
        </w:rPr>
        <w:footnoteRef/>
      </w:r>
      <w:r>
        <w:t xml:space="preserve"> </w:t>
      </w:r>
      <w:r>
        <w:tab/>
        <w:t>Pièce PQ-103, p. 199, 238, 245, 348.</w:t>
      </w:r>
    </w:p>
  </w:footnote>
  <w:footnote w:id="187">
    <w:p w14:paraId="5EBDA980" w14:textId="77777777" w:rsidR="00FA64C6" w:rsidRDefault="00730A01" w:rsidP="00FA64C6">
      <w:pPr>
        <w:pStyle w:val="Notedebasdepage"/>
      </w:pPr>
      <w:r>
        <w:rPr>
          <w:rStyle w:val="Appelnotedebasdep"/>
        </w:rPr>
        <w:footnoteRef/>
      </w:r>
      <w:r>
        <w:t xml:space="preserve"> </w:t>
      </w:r>
      <w:r>
        <w:tab/>
        <w:t>Pièce PQ-256, p. 122.</w:t>
      </w:r>
    </w:p>
  </w:footnote>
  <w:footnote w:id="188">
    <w:p w14:paraId="2D1C82EB" w14:textId="77777777" w:rsidR="00FA64C6" w:rsidRDefault="00730A01" w:rsidP="00FA64C6">
      <w:pPr>
        <w:pStyle w:val="Notedebasdepage"/>
      </w:pPr>
      <w:r>
        <w:rPr>
          <w:rStyle w:val="Appelnotedebasdep"/>
        </w:rPr>
        <w:footnoteRef/>
      </w:r>
      <w:r>
        <w:t xml:space="preserve"> </w:t>
      </w:r>
      <w:r>
        <w:tab/>
        <w:t>Pièce PQ-256, p. 23.</w:t>
      </w:r>
    </w:p>
  </w:footnote>
  <w:footnote w:id="189">
    <w:p w14:paraId="39D74F08" w14:textId="77777777" w:rsidR="00FA64C6" w:rsidRDefault="00730A01" w:rsidP="00FA64C6">
      <w:pPr>
        <w:pStyle w:val="Notedebasdepage"/>
      </w:pPr>
      <w:r>
        <w:rPr>
          <w:rStyle w:val="Appelnotedebasdep"/>
        </w:rPr>
        <w:footnoteRef/>
      </w:r>
      <w:r>
        <w:t xml:space="preserve"> </w:t>
      </w:r>
      <w:r>
        <w:tab/>
        <w:t>Pièce PQ-256, p. 116.</w:t>
      </w:r>
    </w:p>
  </w:footnote>
  <w:footnote w:id="190">
    <w:p w14:paraId="13FFC1B2" w14:textId="77777777" w:rsidR="00FA64C6" w:rsidRDefault="00730A01" w:rsidP="00FA64C6">
      <w:pPr>
        <w:pStyle w:val="Notedebasdepage"/>
      </w:pPr>
      <w:r>
        <w:rPr>
          <w:rStyle w:val="Appelnotedebasdep"/>
        </w:rPr>
        <w:footnoteRef/>
      </w:r>
      <w:r>
        <w:t xml:space="preserve"> </w:t>
      </w:r>
      <w:r>
        <w:tab/>
        <w:t>Pièce PQ-256, p. 166.</w:t>
      </w:r>
    </w:p>
  </w:footnote>
  <w:footnote w:id="191">
    <w:p w14:paraId="55B690B2" w14:textId="77777777" w:rsidR="00FA64C6" w:rsidRDefault="00730A01" w:rsidP="00FA64C6">
      <w:pPr>
        <w:pStyle w:val="Notedebasdepage"/>
      </w:pPr>
      <w:r>
        <w:rPr>
          <w:rStyle w:val="Appelnotedebasdep"/>
        </w:rPr>
        <w:footnoteRef/>
      </w:r>
      <w:r>
        <w:t xml:space="preserve"> </w:t>
      </w:r>
      <w:r>
        <w:tab/>
        <w:t xml:space="preserve">Pièce PQ-256, </w:t>
      </w:r>
      <w:r w:rsidRPr="00711187">
        <w:t>p.23, 116-166.</w:t>
      </w:r>
    </w:p>
  </w:footnote>
  <w:footnote w:id="192">
    <w:p w14:paraId="57D9DDFF" w14:textId="77777777" w:rsidR="00FA64C6" w:rsidRDefault="00730A01" w:rsidP="00FA64C6">
      <w:pPr>
        <w:pStyle w:val="Notedebasdepage"/>
      </w:pPr>
      <w:r>
        <w:rPr>
          <w:rStyle w:val="Appelnotedebasdep"/>
        </w:rPr>
        <w:footnoteRef/>
      </w:r>
      <w:r>
        <w:t xml:space="preserve"> </w:t>
      </w:r>
      <w:r>
        <w:tab/>
      </w:r>
      <w:r w:rsidRPr="00711187">
        <w:t>2012 QCCS 5498, confirmé en partie par 2015 QCCA 583</w:t>
      </w:r>
      <w:r>
        <w:t>.</w:t>
      </w:r>
    </w:p>
  </w:footnote>
  <w:footnote w:id="193">
    <w:p w14:paraId="5C26579A" w14:textId="77777777" w:rsidR="00FA64C6" w:rsidRPr="002D7C18" w:rsidRDefault="00730A01" w:rsidP="00FA64C6">
      <w:pPr>
        <w:pStyle w:val="Notedebasdepage"/>
      </w:pPr>
      <w:r>
        <w:rPr>
          <w:rStyle w:val="Appelnotedebasdep"/>
        </w:rPr>
        <w:footnoteRef/>
      </w:r>
      <w:r>
        <w:t xml:space="preserve"> </w:t>
      </w:r>
      <w:r>
        <w:tab/>
      </w:r>
      <w:r>
        <w:rPr>
          <w:rFonts w:eastAsia="ArialMT" w:cs="Arial"/>
          <w:lang w:eastAsia="fr-CA"/>
        </w:rPr>
        <w:t xml:space="preserve">Pièce PQ-8.1, AMF, </w:t>
      </w:r>
      <w:r>
        <w:rPr>
          <w:rFonts w:eastAsia="ArialMT" w:cs="Arial"/>
          <w:i/>
          <w:iCs/>
          <w:lang w:eastAsia="fr-CA"/>
        </w:rPr>
        <w:t xml:space="preserve">Fraude à la </w:t>
      </w:r>
      <w:r w:rsidRPr="00BD1B60">
        <w:rPr>
          <w:rFonts w:eastAsia="ArialMT" w:cs="Arial"/>
          <w:lang w:eastAsia="fr-CA"/>
        </w:rPr>
        <w:t>Ponzi</w:t>
      </w:r>
      <w:r>
        <w:rPr>
          <w:rFonts w:eastAsia="ArialMT" w:cs="Arial"/>
          <w:lang w:eastAsia="fr-CA"/>
        </w:rPr>
        <w:t> : </w:t>
      </w:r>
      <w:r w:rsidRPr="00BD1B60">
        <w:rPr>
          <w:rFonts w:eastAsia="ArialMT" w:cs="Arial"/>
          <w:lang w:eastAsia="fr-CA"/>
        </w:rPr>
        <w:t>https</w:t>
      </w:r>
      <w:r>
        <w:rPr>
          <w:rFonts w:eastAsia="ArialMT" w:cs="Arial"/>
          <w:lang w:eastAsia="fr-CA"/>
        </w:rPr>
        <w:t>://lautorite.qc.ca/grandpublic/types-de-fraude/la-fraude-a-la-Ponzi la-vente-pyramidale.</w:t>
      </w:r>
    </w:p>
  </w:footnote>
  <w:footnote w:id="194">
    <w:p w14:paraId="45FB923A" w14:textId="77777777" w:rsidR="00FA64C6" w:rsidRPr="00F82CA7" w:rsidRDefault="00730A01" w:rsidP="00FA64C6">
      <w:pPr>
        <w:pStyle w:val="Notedebasdepage"/>
      </w:pPr>
      <w:r>
        <w:rPr>
          <w:rStyle w:val="Appelnotedebasdep"/>
        </w:rPr>
        <w:footnoteRef/>
      </w:r>
      <w:r>
        <w:t xml:space="preserve"> </w:t>
      </w:r>
      <w:r>
        <w:tab/>
        <w:t xml:space="preserve">Pièce Q-8.1, Autorité des marchés financiers, </w:t>
      </w:r>
      <w:r>
        <w:rPr>
          <w:i/>
          <w:iCs/>
        </w:rPr>
        <w:t>La fraude à la Ponzi et la vente pyramidale</w:t>
      </w:r>
      <w:r>
        <w:t>.</w:t>
      </w:r>
    </w:p>
  </w:footnote>
  <w:footnote w:id="195">
    <w:p w14:paraId="5F258865" w14:textId="77777777" w:rsidR="00FA64C6" w:rsidRDefault="00730A01" w:rsidP="00FA64C6">
      <w:pPr>
        <w:pStyle w:val="Notedebasdepage"/>
      </w:pPr>
      <w:r>
        <w:rPr>
          <w:rStyle w:val="Appelnotedebasdep"/>
        </w:rPr>
        <w:footnoteRef/>
      </w:r>
      <w:r>
        <w:t xml:space="preserve"> </w:t>
      </w:r>
      <w:r>
        <w:tab/>
      </w:r>
      <w:r w:rsidRPr="00DA06B2">
        <w:rPr>
          <w:rStyle w:val="Accentuation"/>
          <w:rFonts w:cs="Arial"/>
        </w:rPr>
        <w:t xml:space="preserve">Planigestec inc. </w:t>
      </w:r>
      <w:r w:rsidRPr="00DA06B2">
        <w:rPr>
          <w:rStyle w:val="Accentuation"/>
          <w:rFonts w:cs="Arial"/>
          <w:i w:val="0"/>
          <w:iCs w:val="0"/>
        </w:rPr>
        <w:t>c.</w:t>
      </w:r>
      <w:r w:rsidRPr="00DA06B2">
        <w:rPr>
          <w:rStyle w:val="Accentuation"/>
          <w:rFonts w:cs="Arial"/>
        </w:rPr>
        <w:t xml:space="preserve"> Corporatek inc.</w:t>
      </w:r>
      <w:r w:rsidRPr="00DA06B2">
        <w:rPr>
          <w:rFonts w:cs="Arial"/>
        </w:rPr>
        <w:t xml:space="preserve">, 2024 QCCS 642141 (C.S., j. Silvana Conte); </w:t>
      </w:r>
      <w:r w:rsidRPr="00DA06B2">
        <w:rPr>
          <w:rStyle w:val="Accentuation"/>
          <w:rFonts w:cs="Arial"/>
        </w:rPr>
        <w:t xml:space="preserve">R. </w:t>
      </w:r>
      <w:r w:rsidRPr="00DA06B2">
        <w:rPr>
          <w:rStyle w:val="Accentuation"/>
          <w:rFonts w:cs="Arial"/>
          <w:i w:val="0"/>
          <w:iCs w:val="0"/>
        </w:rPr>
        <w:t>v.</w:t>
      </w:r>
      <w:r w:rsidRPr="00DA06B2">
        <w:rPr>
          <w:rStyle w:val="Accentuation"/>
          <w:rFonts w:cs="Arial"/>
        </w:rPr>
        <w:t xml:space="preserve"> Fast</w:t>
      </w:r>
      <w:r w:rsidRPr="00DA06B2">
        <w:rPr>
          <w:rFonts w:cs="Arial"/>
        </w:rPr>
        <w:t xml:space="preserve">, 2014 SKQB 84 (Cour du Banc de la Reine de la Saskatchewan); </w:t>
      </w:r>
      <w:r w:rsidRPr="00DA06B2">
        <w:rPr>
          <w:rStyle w:val="lev"/>
          <w:rFonts w:cs="Arial"/>
          <w:b w:val="0"/>
          <w:bCs w:val="0"/>
          <w:i/>
          <w:iCs/>
        </w:rPr>
        <w:t>Ponce</w:t>
      </w:r>
      <w:r w:rsidRPr="00DA06B2">
        <w:rPr>
          <w:rStyle w:val="lev"/>
          <w:rFonts w:cs="Arial"/>
          <w:b w:val="0"/>
          <w:bCs w:val="0"/>
        </w:rPr>
        <w:t xml:space="preserve"> c. </w:t>
      </w:r>
      <w:r w:rsidRPr="00DA06B2">
        <w:rPr>
          <w:rStyle w:val="lev"/>
          <w:rFonts w:cs="Arial"/>
          <w:b w:val="0"/>
          <w:bCs w:val="0"/>
          <w:i/>
          <w:iCs/>
        </w:rPr>
        <w:t>Société d’investissement MGP</w:t>
      </w:r>
      <w:r w:rsidRPr="00DA06B2">
        <w:rPr>
          <w:rStyle w:val="lev"/>
          <w:rFonts w:cs="Arial"/>
          <w:b w:val="0"/>
          <w:bCs w:val="0"/>
        </w:rPr>
        <w:t xml:space="preserve">, 2012 QCCA 1823 </w:t>
      </w:r>
      <w:r w:rsidRPr="00DA06B2">
        <w:rPr>
          <w:rFonts w:cs="Arial"/>
        </w:rPr>
        <w:t>(Cour d’appel du Québec, 2012).</w:t>
      </w:r>
    </w:p>
  </w:footnote>
  <w:footnote w:id="196">
    <w:p w14:paraId="3DEE75EA" w14:textId="77777777" w:rsidR="00FA64C6" w:rsidRPr="00DA06B2" w:rsidRDefault="00730A01" w:rsidP="00FA64C6">
      <w:pPr>
        <w:pStyle w:val="Notedebasdepage"/>
      </w:pPr>
      <w:r>
        <w:rPr>
          <w:rStyle w:val="Appelnotedebasdep"/>
        </w:rPr>
        <w:footnoteRef/>
      </w:r>
      <w:r>
        <w:t xml:space="preserve"> </w:t>
      </w:r>
      <w:r>
        <w:tab/>
      </w:r>
      <w:r w:rsidRPr="00B70743">
        <w:rPr>
          <w:i/>
          <w:iCs/>
        </w:rPr>
        <w:t>Autorité des marchés financiers</w:t>
      </w:r>
      <w:r>
        <w:t xml:space="preserve"> c. </w:t>
      </w:r>
      <w:r w:rsidRPr="00B70743">
        <w:rPr>
          <w:i/>
          <w:iCs/>
        </w:rPr>
        <w:t>Lacroix</w:t>
      </w:r>
      <w:r>
        <w:t xml:space="preserve">, 2009 QCCA 1559; Voir aussi </w:t>
      </w:r>
      <w:r>
        <w:rPr>
          <w:i/>
          <w:iCs/>
        </w:rPr>
        <w:t>R.</w:t>
      </w:r>
      <w:r>
        <w:t xml:space="preserve"> c. </w:t>
      </w:r>
      <w:r>
        <w:rPr>
          <w:i/>
          <w:iCs/>
        </w:rPr>
        <w:t>Thérou</w:t>
      </w:r>
      <w:r w:rsidRPr="00DA06B2">
        <w:rPr>
          <w:i/>
          <w:iCs/>
        </w:rPr>
        <w:t>x</w:t>
      </w:r>
      <w:r w:rsidRPr="00DA06B2">
        <w:t xml:space="preserve">, </w:t>
      </w:r>
      <w:r w:rsidRPr="00DA06B2">
        <w:rPr>
          <w:rStyle w:val="lev"/>
          <w:rFonts w:cs="Arial"/>
          <w:b w:val="0"/>
          <w:bCs w:val="0"/>
        </w:rPr>
        <w:t>[1993] 2</w:t>
      </w:r>
      <w:r>
        <w:rPr>
          <w:rStyle w:val="lev"/>
          <w:rFonts w:cs="Arial"/>
          <w:b w:val="0"/>
          <w:bCs w:val="0"/>
        </w:rPr>
        <w:t> </w:t>
      </w:r>
      <w:r w:rsidRPr="00DA06B2">
        <w:rPr>
          <w:rStyle w:val="lev"/>
          <w:rFonts w:cs="Arial"/>
          <w:b w:val="0"/>
          <w:bCs w:val="0"/>
        </w:rPr>
        <w:t xml:space="preserve">R.C.S. 5 </w:t>
      </w:r>
      <w:r w:rsidRPr="00DA06B2">
        <w:rPr>
          <w:rFonts w:cs="Arial"/>
        </w:rPr>
        <w:t>(Cour suprême du Canada, 1993)</w:t>
      </w:r>
      <w:r>
        <w:rPr>
          <w:rFonts w:cs="Arial"/>
        </w:rPr>
        <w:t xml:space="preserve"> qui définit les éléments constitutifs de la fraude</w:t>
      </w:r>
      <w:r>
        <w:rPr>
          <w:i/>
          <w:iCs/>
        </w:rPr>
        <w:t>.</w:t>
      </w:r>
    </w:p>
  </w:footnote>
  <w:footnote w:id="197">
    <w:p w14:paraId="002E6914" w14:textId="77777777" w:rsidR="00FA64C6" w:rsidRDefault="00730A01" w:rsidP="00FA64C6">
      <w:pPr>
        <w:pStyle w:val="Notedebasdepage"/>
      </w:pPr>
      <w:r>
        <w:rPr>
          <w:rStyle w:val="Appelnotedebasdep"/>
        </w:rPr>
        <w:footnoteRef/>
      </w:r>
      <w:r>
        <w:t xml:space="preserve"> </w:t>
      </w:r>
      <w:r>
        <w:tab/>
        <w:t>Pièce PQ-256.</w:t>
      </w:r>
    </w:p>
  </w:footnote>
  <w:footnote w:id="198">
    <w:p w14:paraId="0F81DA4B" w14:textId="77777777" w:rsidR="00FA64C6" w:rsidRDefault="00730A01" w:rsidP="00FA64C6">
      <w:pPr>
        <w:pStyle w:val="Notedebasdepage"/>
      </w:pPr>
      <w:r>
        <w:rPr>
          <w:rStyle w:val="Appelnotedebasdep"/>
        </w:rPr>
        <w:footnoteRef/>
      </w:r>
      <w:r>
        <w:t xml:space="preserve"> </w:t>
      </w:r>
      <w:r>
        <w:tab/>
        <w:t>Pièce PQ-256, p. 95.</w:t>
      </w:r>
    </w:p>
  </w:footnote>
  <w:footnote w:id="199">
    <w:p w14:paraId="03A0214E" w14:textId="77777777" w:rsidR="00FA64C6" w:rsidRDefault="00730A01" w:rsidP="00FA64C6">
      <w:pPr>
        <w:pStyle w:val="Notedebasdepage"/>
      </w:pPr>
      <w:r>
        <w:rPr>
          <w:rStyle w:val="Appelnotedebasdep"/>
        </w:rPr>
        <w:footnoteRef/>
      </w:r>
      <w:r>
        <w:t xml:space="preserve"> </w:t>
      </w:r>
      <w:r>
        <w:tab/>
        <w:t>Pièce PQ-256, p. 95-96.</w:t>
      </w:r>
    </w:p>
  </w:footnote>
  <w:footnote w:id="200">
    <w:p w14:paraId="312A55B4" w14:textId="77777777" w:rsidR="00FA64C6" w:rsidRDefault="00730A01" w:rsidP="00FA64C6">
      <w:pPr>
        <w:pStyle w:val="Notedebasdepage"/>
      </w:pPr>
      <w:r>
        <w:rPr>
          <w:rStyle w:val="Appelnotedebasdep"/>
        </w:rPr>
        <w:footnoteRef/>
      </w:r>
      <w:r>
        <w:t xml:space="preserve"> </w:t>
      </w:r>
      <w:r>
        <w:tab/>
        <w:t>Pièce PQ-256, p. 97.</w:t>
      </w:r>
    </w:p>
  </w:footnote>
  <w:footnote w:id="201">
    <w:p w14:paraId="4026B868" w14:textId="77777777" w:rsidR="00FA64C6" w:rsidRDefault="00730A01" w:rsidP="00FA64C6">
      <w:pPr>
        <w:pStyle w:val="Notedebasdepage"/>
      </w:pPr>
      <w:r>
        <w:rPr>
          <w:rStyle w:val="Appelnotedebasdep"/>
        </w:rPr>
        <w:footnoteRef/>
      </w:r>
      <w:r>
        <w:t xml:space="preserve"> </w:t>
      </w:r>
      <w:r>
        <w:tab/>
        <w:t>Pièce PQ-256, p. 100-102.</w:t>
      </w:r>
    </w:p>
  </w:footnote>
  <w:footnote w:id="202">
    <w:p w14:paraId="287D4DEA" w14:textId="77777777" w:rsidR="00FA64C6" w:rsidRDefault="00730A01" w:rsidP="00FA64C6">
      <w:pPr>
        <w:pStyle w:val="Notedebasdepage"/>
      </w:pPr>
      <w:r>
        <w:rPr>
          <w:rStyle w:val="Appelnotedebasdep"/>
        </w:rPr>
        <w:footnoteRef/>
      </w:r>
      <w:r>
        <w:t xml:space="preserve"> </w:t>
      </w:r>
      <w:r>
        <w:tab/>
        <w:t>Pièce PQ-256, p. 95-101.</w:t>
      </w:r>
    </w:p>
  </w:footnote>
  <w:footnote w:id="203">
    <w:p w14:paraId="6A22E591" w14:textId="77777777" w:rsidR="00FA64C6" w:rsidRDefault="00730A01" w:rsidP="00FA64C6">
      <w:pPr>
        <w:pStyle w:val="Notedebasdepage"/>
      </w:pPr>
      <w:r>
        <w:rPr>
          <w:rStyle w:val="Appelnotedebasdep"/>
        </w:rPr>
        <w:footnoteRef/>
      </w:r>
      <w:r>
        <w:t xml:space="preserve"> </w:t>
      </w:r>
      <w:r>
        <w:tab/>
        <w:t>Pièces PQ-15.1 et PQ-256, p. 99.</w:t>
      </w:r>
    </w:p>
  </w:footnote>
  <w:footnote w:id="204">
    <w:p w14:paraId="57CDEA87" w14:textId="77777777" w:rsidR="00FA64C6" w:rsidRDefault="00730A01" w:rsidP="00FA64C6">
      <w:pPr>
        <w:pStyle w:val="Notedebasdepage"/>
      </w:pPr>
      <w:r>
        <w:rPr>
          <w:rStyle w:val="Appelnotedebasdep"/>
        </w:rPr>
        <w:footnoteRef/>
      </w:r>
      <w:r>
        <w:t xml:space="preserve"> </w:t>
      </w:r>
      <w:r>
        <w:tab/>
        <w:t>Pièce PQ-256, p. 98.</w:t>
      </w:r>
    </w:p>
  </w:footnote>
  <w:footnote w:id="205">
    <w:p w14:paraId="11AB2ABE" w14:textId="77777777" w:rsidR="00FA64C6" w:rsidRDefault="00730A01" w:rsidP="00FA64C6">
      <w:pPr>
        <w:pStyle w:val="Notedebasdepage"/>
      </w:pPr>
      <w:r>
        <w:rPr>
          <w:rStyle w:val="Appelnotedebasdep"/>
        </w:rPr>
        <w:footnoteRef/>
      </w:r>
      <w:r>
        <w:t xml:space="preserve"> </w:t>
      </w:r>
      <w:r>
        <w:tab/>
        <w:t>Pièce PQ-256, p. 95-98.</w:t>
      </w:r>
    </w:p>
  </w:footnote>
  <w:footnote w:id="206">
    <w:p w14:paraId="6E936B80" w14:textId="77777777" w:rsidR="00FA64C6" w:rsidRDefault="00730A01" w:rsidP="00FA64C6">
      <w:pPr>
        <w:pStyle w:val="Notedebasdepage"/>
      </w:pPr>
      <w:r>
        <w:rPr>
          <w:rStyle w:val="Appelnotedebasdep"/>
        </w:rPr>
        <w:footnoteRef/>
      </w:r>
      <w:r>
        <w:t xml:space="preserve"> </w:t>
      </w:r>
      <w:r>
        <w:tab/>
        <w:t>Voir la Défense, par. 133-151.</w:t>
      </w:r>
    </w:p>
  </w:footnote>
  <w:footnote w:id="207">
    <w:p w14:paraId="288FFB59" w14:textId="77777777" w:rsidR="00FA64C6" w:rsidRPr="00F35A67" w:rsidRDefault="00730A01" w:rsidP="00FA64C6">
      <w:pPr>
        <w:pStyle w:val="Notedebasdepage"/>
      </w:pPr>
      <w:r>
        <w:rPr>
          <w:rStyle w:val="Appelnotedebasdep"/>
        </w:rPr>
        <w:footnoteRef/>
      </w:r>
      <w:r>
        <w:t xml:space="preserve"> </w:t>
      </w:r>
      <w:r>
        <w:tab/>
        <w:t xml:space="preserve">Arnaud TELLIER-MARCIL, « Bonne foi : principe et application », dans </w:t>
      </w:r>
      <w:r>
        <w:rPr>
          <w:i/>
          <w:iCs/>
        </w:rPr>
        <w:t>JurisClasseur Québec</w:t>
      </w:r>
      <w:r>
        <w:t>, coll. « Droit civil », Obligations, fasc. 5, Montréal, LexisNexis Canada, à jour au 30 avril 2023.</w:t>
      </w:r>
    </w:p>
  </w:footnote>
  <w:footnote w:id="208">
    <w:p w14:paraId="36AA43E6" w14:textId="77777777" w:rsidR="00FA64C6" w:rsidRDefault="00730A01" w:rsidP="00FA64C6">
      <w:pPr>
        <w:pStyle w:val="Notedebasdepage"/>
      </w:pPr>
      <w:r>
        <w:rPr>
          <w:rStyle w:val="Appelnotedebasdep"/>
        </w:rPr>
        <w:footnoteRef/>
      </w:r>
      <w:r>
        <w:t xml:space="preserve"> </w:t>
      </w:r>
      <w:r>
        <w:tab/>
      </w:r>
      <w:r w:rsidRPr="00F35A67">
        <w:rPr>
          <w:rFonts w:cs="Arial"/>
          <w:i/>
          <w:iCs/>
        </w:rPr>
        <w:t>Perrier</w:t>
      </w:r>
      <w:r w:rsidRPr="00F35A67">
        <w:rPr>
          <w:rFonts w:cs="Arial"/>
        </w:rPr>
        <w:t xml:space="preserve"> c. </w:t>
      </w:r>
      <w:r w:rsidRPr="00F35A67">
        <w:rPr>
          <w:rFonts w:cs="Arial"/>
          <w:i/>
          <w:iCs/>
        </w:rPr>
        <w:t>Lauriston</w:t>
      </w:r>
      <w:r w:rsidRPr="00F35A67">
        <w:rPr>
          <w:rFonts w:cs="Arial"/>
        </w:rPr>
        <w:t>, 2018 QCCS 1974 par.140.</w:t>
      </w:r>
    </w:p>
  </w:footnote>
  <w:footnote w:id="209">
    <w:p w14:paraId="3CFB9BBB" w14:textId="77777777" w:rsidR="00FA64C6" w:rsidRPr="00F35A67" w:rsidRDefault="00730A01" w:rsidP="00FA64C6">
      <w:pPr>
        <w:pStyle w:val="Notedebasdepage"/>
      </w:pPr>
      <w:r>
        <w:rPr>
          <w:rStyle w:val="Appelnotedebasdep"/>
        </w:rPr>
        <w:footnoteRef/>
      </w:r>
      <w:r w:rsidRPr="00F35A67">
        <w:t xml:space="preserve"> </w:t>
      </w:r>
      <w:r w:rsidRPr="00F35A67">
        <w:tab/>
      </w:r>
      <w:r w:rsidRPr="00F35A67">
        <w:rPr>
          <w:i/>
          <w:iCs/>
        </w:rPr>
        <w:t>Churchill Falls (Labrador) Corporation Ltd</w:t>
      </w:r>
      <w:r w:rsidRPr="00F35A67">
        <w:t xml:space="preserve">. c. </w:t>
      </w:r>
      <w:r w:rsidRPr="00F35A67">
        <w:rPr>
          <w:i/>
          <w:iCs/>
        </w:rPr>
        <w:t>Hydro-Québec</w:t>
      </w:r>
      <w:r w:rsidRPr="00F35A67">
        <w:t>, 2016 QCCA 1229</w:t>
      </w:r>
      <w:r>
        <w:t>,</w:t>
      </w:r>
      <w:r w:rsidRPr="00F35A67">
        <w:t xml:space="preserve"> par. 149</w:t>
      </w:r>
      <w:r>
        <w:t>;</w:t>
      </w:r>
      <w:r w:rsidRPr="00F35A67">
        <w:t xml:space="preserve"> Pourvoi à la</w:t>
      </w:r>
      <w:r>
        <w:t xml:space="preserve"> Cour suprême rejetée, 2018 CSC 46.</w:t>
      </w:r>
    </w:p>
  </w:footnote>
  <w:footnote w:id="210">
    <w:p w14:paraId="1B923239" w14:textId="77777777" w:rsidR="00FA64C6" w:rsidRDefault="00730A01" w:rsidP="00FA64C6">
      <w:pPr>
        <w:pStyle w:val="Notedebasdepage"/>
      </w:pPr>
      <w:r>
        <w:rPr>
          <w:rStyle w:val="Appelnotedebasdep"/>
        </w:rPr>
        <w:footnoteRef/>
      </w:r>
      <w:r>
        <w:t xml:space="preserve"> </w:t>
      </w:r>
      <w:r>
        <w:tab/>
        <w:t>Pièce PQ-25, Factures d’honoraires en liasse.</w:t>
      </w:r>
    </w:p>
  </w:footnote>
  <w:footnote w:id="211">
    <w:p w14:paraId="529D6DA7" w14:textId="77777777" w:rsidR="00FA64C6" w:rsidRDefault="00730A01" w:rsidP="00FA64C6">
      <w:pPr>
        <w:pStyle w:val="Notedebasdepage"/>
      </w:pPr>
      <w:r>
        <w:rPr>
          <w:rStyle w:val="Appelnotedebasdep"/>
        </w:rPr>
        <w:footnoteRef/>
      </w:r>
      <w:r>
        <w:t xml:space="preserve"> </w:t>
      </w:r>
      <w:r>
        <w:tab/>
        <w:t>Pièce PQ-256, Chapitre 5.3, 5.5, 6.4, 6.5 et 13.5.</w:t>
      </w:r>
    </w:p>
  </w:footnote>
  <w:footnote w:id="212">
    <w:p w14:paraId="7C847B4D" w14:textId="77777777" w:rsidR="00FA64C6" w:rsidRDefault="00730A01" w:rsidP="00FA64C6">
      <w:pPr>
        <w:pStyle w:val="Notedebasdepage"/>
      </w:pPr>
      <w:r>
        <w:rPr>
          <w:rStyle w:val="Appelnotedebasdep"/>
        </w:rPr>
        <w:footnoteRef/>
      </w:r>
      <w:r>
        <w:t xml:space="preserve"> </w:t>
      </w:r>
      <w:r>
        <w:tab/>
        <w:t>Pièce PQ-25.</w:t>
      </w:r>
    </w:p>
  </w:footnote>
  <w:footnote w:id="213">
    <w:p w14:paraId="017B3ECC" w14:textId="77777777" w:rsidR="00FA64C6" w:rsidRDefault="00730A01" w:rsidP="00FA64C6">
      <w:pPr>
        <w:pStyle w:val="Notedebasdepage"/>
      </w:pPr>
      <w:r>
        <w:rPr>
          <w:rStyle w:val="Appelnotedebasdep"/>
        </w:rPr>
        <w:footnoteRef/>
      </w:r>
      <w:r>
        <w:t xml:space="preserve"> </w:t>
      </w:r>
      <w:r>
        <w:tab/>
        <w:t>Pièce EP-1.1, p. 132 (Annexe 18.06) et Pièce PQ-256, p. 147, section 4.5.3.</w:t>
      </w:r>
    </w:p>
  </w:footnote>
  <w:footnote w:id="214">
    <w:p w14:paraId="7024DB78" w14:textId="77777777" w:rsidR="00FA64C6" w:rsidRPr="00CC3226" w:rsidRDefault="00730A01" w:rsidP="00FA64C6">
      <w:pPr>
        <w:pStyle w:val="Notedebasdepage"/>
      </w:pPr>
      <w:r>
        <w:rPr>
          <w:rStyle w:val="Appelnotedebasdep"/>
        </w:rPr>
        <w:footnoteRef/>
      </w:r>
      <w:r>
        <w:t xml:space="preserve"> </w:t>
      </w:r>
      <w:r>
        <w:tab/>
        <w:t xml:space="preserve">La situation aurait pu être différente si Giroux avait agi de bonne foi, sans tenter d’induire en erreur les commanditaires, sans camoufler l’information pertinente et taire les informations obtenues </w:t>
      </w:r>
      <w:r w:rsidRPr="00CC3226">
        <w:rPr>
          <w:lang w:eastAsia="fr-CA"/>
        </w:rPr>
        <w:t>quant aux difficultés du Groupe Huot,</w:t>
      </w:r>
      <w:r>
        <w:rPr>
          <w:lang w:eastAsia="fr-CA"/>
        </w:rPr>
        <w:t xml:space="preserve"> comme ce fut le cas de l’affaire </w:t>
      </w:r>
      <w:r>
        <w:rPr>
          <w:i/>
          <w:iCs/>
          <w:lang w:eastAsia="fr-CA"/>
        </w:rPr>
        <w:t>Fayolle</w:t>
      </w:r>
      <w:r>
        <w:rPr>
          <w:lang w:eastAsia="fr-CA"/>
        </w:rPr>
        <w:t xml:space="preserve"> c. </w:t>
      </w:r>
      <w:r>
        <w:rPr>
          <w:i/>
          <w:iCs/>
          <w:lang w:eastAsia="fr-CA"/>
        </w:rPr>
        <w:t>Placements F.G. ltée</w:t>
      </w:r>
      <w:r>
        <w:rPr>
          <w:lang w:eastAsia="fr-CA"/>
        </w:rPr>
        <w:t>, 2022 QCCA 1136, par. 45-46.</w:t>
      </w:r>
    </w:p>
  </w:footnote>
  <w:footnote w:id="215">
    <w:p w14:paraId="51046FBF" w14:textId="77777777" w:rsidR="008F21B2" w:rsidRDefault="00730A01" w:rsidP="008F21B2">
      <w:pPr>
        <w:pStyle w:val="Notedebasdepage"/>
      </w:pPr>
      <w:r>
        <w:rPr>
          <w:rStyle w:val="Appelnotedebasdep"/>
        </w:rPr>
        <w:footnoteRef/>
      </w:r>
      <w:r>
        <w:t xml:space="preserve"> </w:t>
      </w:r>
      <w:r>
        <w:tab/>
        <w:t>Pièces EP-1.7A, courriels D-646, D-648, D-660, D-661, D-662 et PQ-256, p. 13 et 166.</w:t>
      </w:r>
    </w:p>
  </w:footnote>
  <w:footnote w:id="216">
    <w:p w14:paraId="323FE002" w14:textId="77777777" w:rsidR="0027260B" w:rsidRPr="0027260B" w:rsidRDefault="00730A01" w:rsidP="008F21B2">
      <w:pPr>
        <w:pStyle w:val="Notedebasdepage"/>
        <w:rPr>
          <w:rFonts w:eastAsia="MS Mincho" w:cs="Arial"/>
          <w:lang w:eastAsia="en-US"/>
        </w:rPr>
      </w:pPr>
      <w:r>
        <w:rPr>
          <w:rStyle w:val="Appelnotedebasdep"/>
        </w:rPr>
        <w:footnoteRef/>
      </w:r>
      <w:r w:rsidRPr="003B4B38">
        <w:t xml:space="preserve"> </w:t>
      </w:r>
      <w:r w:rsidRPr="003B4B38">
        <w:tab/>
      </w:r>
      <w:r w:rsidRPr="0027260B">
        <w:t xml:space="preserve">NS, St-Cyr, 27 mai 2024, p. 203 et 290; NS, </w:t>
      </w:r>
      <w:r w:rsidRPr="0027260B">
        <w:rPr>
          <w:rFonts w:eastAsia="MS Mincho" w:cs="Arial"/>
          <w:lang w:eastAsia="en-US"/>
        </w:rPr>
        <w:t xml:space="preserve">Tremblay, 6 juin 2024, p. 3294-3295; </w:t>
      </w:r>
    </w:p>
    <w:p w14:paraId="57817C99" w14:textId="77777777" w:rsidR="008F21B2" w:rsidRPr="0027260B" w:rsidRDefault="00730A01" w:rsidP="008F21B2">
      <w:pPr>
        <w:pStyle w:val="Notedebasdepage"/>
      </w:pPr>
      <w:r w:rsidRPr="0027260B">
        <w:rPr>
          <w:rFonts w:eastAsia="MS Mincho" w:cs="Arial"/>
          <w:lang w:eastAsia="en-US"/>
        </w:rPr>
        <w:tab/>
        <w:t>NS, Bordeleau, 7 juin 2024, p. 3679; NS, Couture,17 juin 2024, p. 6352-6353.</w:t>
      </w:r>
    </w:p>
  </w:footnote>
  <w:footnote w:id="217">
    <w:p w14:paraId="1D95EB8D" w14:textId="77777777" w:rsidR="008F21B2" w:rsidRPr="004D0652" w:rsidRDefault="00730A01" w:rsidP="008F21B2">
      <w:pPr>
        <w:pStyle w:val="Notedebasdepage"/>
      </w:pPr>
      <w:r>
        <w:rPr>
          <w:rStyle w:val="Appelnotedebasdep"/>
        </w:rPr>
        <w:footnoteRef/>
      </w:r>
      <w:r w:rsidRPr="004D0652">
        <w:t xml:space="preserve"> </w:t>
      </w:r>
      <w:r w:rsidRPr="004D0652">
        <w:tab/>
      </w:r>
      <w:r w:rsidRPr="004D0652">
        <w:rPr>
          <w:i/>
          <w:iCs/>
        </w:rPr>
        <w:t xml:space="preserve">Bell </w:t>
      </w:r>
      <w:r w:rsidRPr="004D0652">
        <w:t xml:space="preserve">c. Molson, préc. </w:t>
      </w:r>
      <w:r w:rsidRPr="005D2C4A">
        <w:t>note 136</w:t>
      </w:r>
      <w:r w:rsidRPr="004D0652">
        <w:t>.</w:t>
      </w:r>
    </w:p>
  </w:footnote>
  <w:footnote w:id="218">
    <w:p w14:paraId="1B7A3E44" w14:textId="77777777" w:rsidR="00BA0714" w:rsidRDefault="00730A01" w:rsidP="00BA0714">
      <w:pPr>
        <w:pStyle w:val="Notedebasdepage"/>
      </w:pPr>
      <w:r>
        <w:rPr>
          <w:rStyle w:val="Appelnotedebasdep"/>
        </w:rPr>
        <w:footnoteRef/>
      </w:r>
      <w:r>
        <w:t xml:space="preserve"> </w:t>
      </w:r>
      <w:r>
        <w:tab/>
      </w:r>
      <w:r w:rsidRPr="00CA27B6">
        <w:rPr>
          <w:rFonts w:eastAsia="MS Mincho" w:cs="Arial"/>
          <w:lang w:eastAsia="en-US"/>
        </w:rPr>
        <w:t>Défense, par. 156 j.</w:t>
      </w:r>
    </w:p>
  </w:footnote>
  <w:footnote w:id="219">
    <w:p w14:paraId="3BB37977" w14:textId="77777777" w:rsidR="00BA0714" w:rsidRPr="00CA27B6" w:rsidRDefault="00730A01" w:rsidP="00BA0714">
      <w:pPr>
        <w:pStyle w:val="Notedebasdepage"/>
        <w:rPr>
          <w:rFonts w:cs="Arial"/>
        </w:rPr>
      </w:pPr>
      <w:r>
        <w:rPr>
          <w:rStyle w:val="Appelnotedebasdep"/>
        </w:rPr>
        <w:footnoteRef/>
      </w:r>
      <w:r>
        <w:t xml:space="preserve"> </w:t>
      </w:r>
      <w:r>
        <w:tab/>
      </w:r>
      <w:r w:rsidRPr="00CA27B6">
        <w:rPr>
          <w:rFonts w:eastAsia="MS Mincho" w:cs="Arial"/>
          <w:lang w:eastAsia="en-US"/>
        </w:rPr>
        <w:t>NS, interrogatoire préalable de Larochelle du 14 décembre 2023 par Me Valin, p. 50.</w:t>
      </w:r>
    </w:p>
  </w:footnote>
  <w:footnote w:id="220">
    <w:p w14:paraId="6F479DFF" w14:textId="77777777" w:rsidR="00BA0714" w:rsidRPr="00CA27B6" w:rsidRDefault="00730A01" w:rsidP="00BA0714">
      <w:pPr>
        <w:pStyle w:val="Notedebasdepage"/>
        <w:rPr>
          <w:rFonts w:cs="Arial"/>
        </w:rPr>
      </w:pPr>
      <w:r>
        <w:rPr>
          <w:rStyle w:val="Appelnotedebasdep"/>
        </w:rPr>
        <w:footnoteRef/>
      </w:r>
      <w:r>
        <w:tab/>
        <w:t xml:space="preserve">NS, </w:t>
      </w:r>
      <w:r w:rsidRPr="00CA27B6">
        <w:rPr>
          <w:rFonts w:eastAsia="MS Mincho" w:cs="Arial"/>
          <w:lang w:eastAsia="en-US"/>
        </w:rPr>
        <w:t>interrogatoire préalable de Huot du 29 août 2023 par Me Valin, pièce PQ-9.2, p. 48.</w:t>
      </w:r>
    </w:p>
  </w:footnote>
  <w:footnote w:id="221">
    <w:p w14:paraId="298542B0" w14:textId="77777777" w:rsidR="00BA0714" w:rsidRDefault="00730A01" w:rsidP="00BA0714">
      <w:pPr>
        <w:pStyle w:val="Notedebasdepage"/>
      </w:pPr>
      <w:r>
        <w:rPr>
          <w:rStyle w:val="Appelnotedebasdep"/>
        </w:rPr>
        <w:footnoteRef/>
      </w:r>
      <w:r>
        <w:t xml:space="preserve"> </w:t>
      </w:r>
      <w:r>
        <w:tab/>
        <w:t>DSS de Giroux du 25 août 2023, pièce PQ-9.5, par. 46 et Défense, par. 97.77.</w:t>
      </w:r>
    </w:p>
  </w:footnote>
  <w:footnote w:id="222">
    <w:p w14:paraId="785C27EF" w14:textId="77777777" w:rsidR="00BA0714" w:rsidRDefault="00730A01" w:rsidP="00BA0714">
      <w:pPr>
        <w:pStyle w:val="Notedebasdepage"/>
      </w:pPr>
      <w:r>
        <w:rPr>
          <w:rStyle w:val="Appelnotedebasdep"/>
        </w:rPr>
        <w:footnoteRef/>
      </w:r>
      <w:r>
        <w:t xml:space="preserve"> </w:t>
      </w:r>
      <w:r>
        <w:tab/>
        <w:t xml:space="preserve">NS, </w:t>
      </w:r>
      <w:r w:rsidRPr="00CA27B6">
        <w:rPr>
          <w:rFonts w:eastAsia="MS Mincho" w:cs="Arial"/>
          <w:lang w:eastAsia="en-US"/>
        </w:rPr>
        <w:t>interrogatoire préalable de Huot du 29 août 2023 par Me Valin, pièce PQ-9.2, p. 155-156.</w:t>
      </w:r>
    </w:p>
  </w:footnote>
  <w:footnote w:id="223">
    <w:p w14:paraId="0274FF67" w14:textId="77777777" w:rsidR="00BA0714" w:rsidRDefault="00730A01" w:rsidP="00BA0714">
      <w:pPr>
        <w:pStyle w:val="Notedebasdepage"/>
      </w:pPr>
      <w:r>
        <w:rPr>
          <w:rStyle w:val="Appelnotedebasdep"/>
        </w:rPr>
        <w:footnoteRef/>
      </w:r>
      <w:r>
        <w:t xml:space="preserve"> </w:t>
      </w:r>
      <w:r>
        <w:tab/>
        <w:t>Pièces D-149, D-151, D-153, D-155 (promesses d’achat 2021-2022).</w:t>
      </w:r>
    </w:p>
  </w:footnote>
  <w:footnote w:id="224">
    <w:p w14:paraId="5D76C465" w14:textId="77777777" w:rsidR="00BA0714" w:rsidRDefault="00730A01" w:rsidP="00BA0714">
      <w:pPr>
        <w:pStyle w:val="Notedebasdepage"/>
      </w:pPr>
      <w:r>
        <w:rPr>
          <w:rStyle w:val="Appelnotedebasdep"/>
        </w:rPr>
        <w:footnoteRef/>
      </w:r>
      <w:r>
        <w:t xml:space="preserve"> </w:t>
      </w:r>
      <w:r>
        <w:tab/>
        <w:t xml:space="preserve">NS, </w:t>
      </w:r>
      <w:r w:rsidR="00900B65">
        <w:t xml:space="preserve">De Rico, </w:t>
      </w:r>
      <w:r>
        <w:t>10 juin 2024, p. 4451-4455.</w:t>
      </w:r>
    </w:p>
  </w:footnote>
  <w:footnote w:id="225">
    <w:p w14:paraId="30593674" w14:textId="77777777" w:rsidR="00BA0714" w:rsidRPr="006C7B15" w:rsidRDefault="00730A01" w:rsidP="00BA0714">
      <w:pPr>
        <w:pStyle w:val="Notedebasdepage"/>
      </w:pPr>
      <w:r>
        <w:rPr>
          <w:rStyle w:val="Appelnotedebasdep"/>
        </w:rPr>
        <w:footnoteRef/>
      </w:r>
      <w:r>
        <w:t xml:space="preserve"> </w:t>
      </w:r>
      <w:r>
        <w:tab/>
        <w:t xml:space="preserve">Pièce PSH-40; </w:t>
      </w:r>
      <w:r w:rsidRPr="006C7B15">
        <w:rPr>
          <w:rFonts w:eastAsia="MS Mincho" w:cs="Arial"/>
          <w:lang w:eastAsia="en-US"/>
        </w:rPr>
        <w:t>NS, interrogatoire préalable de Huot du 29</w:t>
      </w:r>
      <w:r w:rsidR="0027260B">
        <w:rPr>
          <w:rFonts w:eastAsia="MS Mincho" w:cs="Arial"/>
          <w:lang w:eastAsia="en-US"/>
        </w:rPr>
        <w:t> </w:t>
      </w:r>
      <w:r w:rsidRPr="006C7B15">
        <w:rPr>
          <w:rFonts w:eastAsia="MS Mincho" w:cs="Arial"/>
          <w:lang w:eastAsia="en-US"/>
        </w:rPr>
        <w:t>août</w:t>
      </w:r>
      <w:r w:rsidR="0027260B">
        <w:rPr>
          <w:rFonts w:eastAsia="MS Mincho" w:cs="Arial"/>
          <w:lang w:eastAsia="en-US"/>
        </w:rPr>
        <w:t> </w:t>
      </w:r>
      <w:r w:rsidRPr="006C7B15">
        <w:rPr>
          <w:rFonts w:eastAsia="MS Mincho" w:cs="Arial"/>
          <w:lang w:eastAsia="en-US"/>
        </w:rPr>
        <w:t>2023 par Me Rigaud, p.</w:t>
      </w:r>
      <w:r w:rsidR="0027260B">
        <w:rPr>
          <w:rFonts w:eastAsia="MS Mincho" w:cs="Arial"/>
          <w:lang w:eastAsia="en-US"/>
        </w:rPr>
        <w:t> </w:t>
      </w:r>
      <w:r w:rsidRPr="006C7B15">
        <w:rPr>
          <w:rFonts w:eastAsia="MS Mincho" w:cs="Arial"/>
          <w:lang w:eastAsia="en-US"/>
        </w:rPr>
        <w:t>125-126</w:t>
      </w:r>
      <w:r>
        <w:rPr>
          <w:rFonts w:eastAsia="MS Mincho" w:cs="Arial"/>
          <w:lang w:eastAsia="en-US"/>
        </w:rPr>
        <w:t xml:space="preserve">; </w:t>
      </w:r>
      <w:r w:rsidRPr="006C7B15">
        <w:rPr>
          <w:rFonts w:eastAsia="MS Mincho" w:cs="Arial"/>
          <w:lang w:eastAsia="en-US"/>
        </w:rPr>
        <w:t>NS int</w:t>
      </w:r>
      <w:r>
        <w:rPr>
          <w:rFonts w:eastAsia="MS Mincho" w:cs="Arial"/>
          <w:lang w:eastAsia="en-US"/>
        </w:rPr>
        <w:t xml:space="preserve">errogatoire </w:t>
      </w:r>
      <w:r w:rsidRPr="006C7B15">
        <w:rPr>
          <w:rFonts w:eastAsia="MS Mincho" w:cs="Arial"/>
          <w:lang w:eastAsia="en-US"/>
        </w:rPr>
        <w:t>préalable de Larochelle du 14</w:t>
      </w:r>
      <w:r w:rsidR="0027260B">
        <w:rPr>
          <w:rFonts w:eastAsia="MS Mincho" w:cs="Arial"/>
          <w:lang w:eastAsia="en-US"/>
        </w:rPr>
        <w:t> </w:t>
      </w:r>
      <w:r w:rsidRPr="006C7B15">
        <w:rPr>
          <w:rFonts w:eastAsia="MS Mincho" w:cs="Arial"/>
          <w:lang w:eastAsia="en-US"/>
        </w:rPr>
        <w:t>décembre</w:t>
      </w:r>
      <w:r w:rsidR="0027260B">
        <w:rPr>
          <w:rFonts w:eastAsia="MS Mincho" w:cs="Arial"/>
          <w:lang w:eastAsia="en-US"/>
        </w:rPr>
        <w:t> </w:t>
      </w:r>
      <w:r w:rsidRPr="006C7B15">
        <w:rPr>
          <w:rFonts w:eastAsia="MS Mincho" w:cs="Arial"/>
          <w:lang w:eastAsia="en-US"/>
        </w:rPr>
        <w:t>2023 par M</w:t>
      </w:r>
      <w:r w:rsidRPr="0027260B">
        <w:rPr>
          <w:rFonts w:eastAsia="MS Mincho" w:cs="Arial"/>
          <w:vertAlign w:val="superscript"/>
          <w:lang w:eastAsia="en-US"/>
        </w:rPr>
        <w:t>e</w:t>
      </w:r>
      <w:r w:rsidRPr="006C7B15">
        <w:rPr>
          <w:rFonts w:eastAsia="MS Mincho" w:cs="Arial"/>
          <w:lang w:eastAsia="en-US"/>
        </w:rPr>
        <w:t xml:space="preserve"> Rigaud, p.</w:t>
      </w:r>
      <w:r w:rsidR="0027260B">
        <w:rPr>
          <w:rFonts w:eastAsia="MS Mincho" w:cs="Arial"/>
          <w:lang w:eastAsia="en-US"/>
        </w:rPr>
        <w:t> </w:t>
      </w:r>
      <w:r w:rsidRPr="006C7B15">
        <w:rPr>
          <w:rFonts w:eastAsia="MS Mincho" w:cs="Arial"/>
          <w:lang w:eastAsia="en-US"/>
        </w:rPr>
        <w:t>1680169; PQ-175</w:t>
      </w:r>
      <w:r>
        <w:rPr>
          <w:rFonts w:eastAsia="MS Mincho" w:cs="Arial"/>
          <w:lang w:eastAsia="en-US"/>
        </w:rPr>
        <w:t>.</w:t>
      </w:r>
    </w:p>
  </w:footnote>
  <w:footnote w:id="226">
    <w:p w14:paraId="698ACFDD" w14:textId="77777777" w:rsidR="00BA0714" w:rsidRDefault="00730A01" w:rsidP="00BA0714">
      <w:pPr>
        <w:pStyle w:val="Notedebasdepage"/>
      </w:pPr>
      <w:r>
        <w:rPr>
          <w:rStyle w:val="Appelnotedebasdep"/>
        </w:rPr>
        <w:footnoteRef/>
      </w:r>
      <w:r>
        <w:t xml:space="preserve"> </w:t>
      </w:r>
      <w:r>
        <w:tab/>
        <w:t xml:space="preserve">NS, </w:t>
      </w:r>
      <w:r w:rsidR="00900B65">
        <w:t xml:space="preserve">Giroux, </w:t>
      </w:r>
      <w:r>
        <w:t>17</w:t>
      </w:r>
      <w:r w:rsidR="0027260B">
        <w:t> </w:t>
      </w:r>
      <w:r>
        <w:t>février</w:t>
      </w:r>
      <w:r w:rsidR="0027260B">
        <w:t> </w:t>
      </w:r>
      <w:r>
        <w:t>2025, p.</w:t>
      </w:r>
      <w:r w:rsidR="0027260B">
        <w:t> </w:t>
      </w:r>
      <w:r>
        <w:t>47 et s</w:t>
      </w:r>
      <w:r w:rsidRPr="00391387">
        <w:t>. Estimation que même après vente, un montant minimal de 62 M$ serait demeuré dû</w:t>
      </w:r>
      <w:r>
        <w:t xml:space="preserve">. </w:t>
      </w:r>
      <w:r w:rsidRPr="00794B5D">
        <w:rPr>
          <w:kern w:val="28"/>
        </w:rPr>
        <w:t>Questionné à ce sujet à l’audience, Giroux a indiqué qu’il n’était pas en mesure de répondre aux questions à ce sujet et qu’il ne connaissait pas le détail de l’équité générée par les ventes potentielles</w:t>
      </w:r>
      <w:r w:rsidR="00391387">
        <w:rPr>
          <w:kern w:val="28"/>
        </w:rPr>
        <w:t>,</w:t>
      </w:r>
      <w:r w:rsidRPr="00794B5D">
        <w:rPr>
          <w:kern w:val="28"/>
        </w:rPr>
        <w:t xml:space="preserve"> </w:t>
      </w:r>
      <w:r w:rsidRPr="00391387">
        <w:rPr>
          <w:kern w:val="28"/>
        </w:rPr>
        <w:t>NS, 17</w:t>
      </w:r>
      <w:r w:rsidR="0027260B">
        <w:rPr>
          <w:kern w:val="28"/>
        </w:rPr>
        <w:t> </w:t>
      </w:r>
      <w:r w:rsidRPr="00391387">
        <w:rPr>
          <w:kern w:val="28"/>
        </w:rPr>
        <w:t>février</w:t>
      </w:r>
      <w:r w:rsidR="0027260B">
        <w:rPr>
          <w:kern w:val="28"/>
        </w:rPr>
        <w:t> </w:t>
      </w:r>
      <w:r w:rsidRPr="00391387">
        <w:rPr>
          <w:kern w:val="28"/>
        </w:rPr>
        <w:t>2025, Giroux, p.</w:t>
      </w:r>
      <w:r w:rsidR="0027260B">
        <w:rPr>
          <w:kern w:val="28"/>
        </w:rPr>
        <w:t> </w:t>
      </w:r>
      <w:r w:rsidRPr="00391387">
        <w:rPr>
          <w:kern w:val="28"/>
        </w:rPr>
        <w:t>47 et s</w:t>
      </w:r>
      <w:r w:rsidR="00391387">
        <w:rPr>
          <w:kern w:val="28"/>
        </w:rPr>
        <w:t>s</w:t>
      </w:r>
      <w:r w:rsidRPr="00391387">
        <w:rPr>
          <w:kern w:val="28"/>
        </w:rPr>
        <w:t xml:space="preserve">. </w:t>
      </w:r>
    </w:p>
  </w:footnote>
  <w:footnote w:id="227">
    <w:p w14:paraId="0D553551" w14:textId="77777777" w:rsidR="00BA0714" w:rsidRDefault="00730A01" w:rsidP="00BA0714">
      <w:pPr>
        <w:pStyle w:val="Notedebasdepage"/>
      </w:pPr>
      <w:r>
        <w:rPr>
          <w:rStyle w:val="Appelnotedebasdep"/>
        </w:rPr>
        <w:footnoteRef/>
      </w:r>
      <w:r>
        <w:t xml:space="preserve"> </w:t>
      </w:r>
      <w:r>
        <w:tab/>
      </w:r>
      <w:r w:rsidRPr="00BB0465">
        <w:rPr>
          <w:kern w:val="28"/>
        </w:rPr>
        <w:t xml:space="preserve">Les données statistiques démontrent que la situation en 2023 demeurait nettement meilleure que celle des années antérieures: voir l’Annexe 8 – </w:t>
      </w:r>
      <w:r w:rsidRPr="00BB0465">
        <w:rPr>
          <w:i/>
          <w:iCs/>
          <w:kern w:val="28"/>
        </w:rPr>
        <w:t>Statistiques sur l’insolvabilité</w:t>
      </w:r>
      <w:r w:rsidRPr="00BB0465">
        <w:rPr>
          <w:kern w:val="28"/>
        </w:rPr>
        <w:t>.</w:t>
      </w:r>
    </w:p>
  </w:footnote>
  <w:footnote w:id="228">
    <w:p w14:paraId="18EB2AB6" w14:textId="77777777" w:rsidR="001F1DA4" w:rsidRDefault="00730A01">
      <w:pPr>
        <w:pStyle w:val="Notedebasdepage"/>
      </w:pPr>
      <w:r>
        <w:rPr>
          <w:rStyle w:val="Appelnotedebasdep"/>
        </w:rPr>
        <w:footnoteRef/>
      </w:r>
      <w:r>
        <w:t xml:space="preserve"> </w:t>
      </w:r>
      <w:r w:rsidR="00485898">
        <w:tab/>
        <w:t xml:space="preserve">Pièce D-9; Pièce PQ-106; Pièce PQ-104; Pièce PQ-107; Pièce PQ-254; Pièce D-541.39; </w:t>
      </w:r>
      <w:r w:rsidR="00A15CF0" w:rsidRPr="00A15CF0">
        <w:t xml:space="preserve">DSSVT d’André Blais du 31 octobre 2023, par. 14 ; DSSVT de Daniel Bordeleau du 2 novembre 2023, par. 9; DSSVT de Pierre Gagné du 2 novembre 2023, par. 7; DSSVT de Serge Ferland du 6 novembre 2023, par. 11; DSSVT de Gaston Ouellet du 7 novembre 2023, par. 13; DSSVT de Tardif du 9 novembre 2023, par. 16; DSSVT de Robert Robitaille du 9 novembre 2023, par. 12; DSSVT de Sylvain Tremblay du 9 novembre 2023, par. 18; DSSVT de Bianca Freeman du 10 novembre 2023, par 6; DSSVT de Mario Landry du 10 novembre 2023, par. 7; DSSVT de Nathalie Roussin du 10 novembre 2023, par. </w:t>
      </w:r>
      <w:r w:rsidR="006D6CC4">
        <w:t>14</w:t>
      </w:r>
      <w:r w:rsidR="00A15CF0" w:rsidRPr="00A15CF0">
        <w:t>; DSSVT de Francis Pomerleau du 10 novembre 2023, par. 12; DSSVT de Paul</w:t>
      </w:r>
      <w:r w:rsidR="00EE5970">
        <w:noBreakHyphen/>
      </w:r>
      <w:r w:rsidR="00A15CF0" w:rsidRPr="00A15CF0">
        <w:t>François Pouliot du 13 novembre 2023, par. 10; DSSVT d’André Bélanger du 13 novembre 2023, par. 8; DSS de Nadine Lehoux du 17 mai 2024, par. 56-58; NS, St-Cyr, 27 mai 2024, p. 277; NS, Simard, 21 janvier 2025, p. 141</w:t>
      </w:r>
      <w:r w:rsidR="00A15CF0" w:rsidRPr="00A15CF0">
        <w:noBreakHyphen/>
        <w:t>143.</w:t>
      </w:r>
    </w:p>
  </w:footnote>
  <w:footnote w:id="229">
    <w:p w14:paraId="10D24A22" w14:textId="77777777" w:rsidR="00BA0714" w:rsidRDefault="00730A01" w:rsidP="00BA0714">
      <w:pPr>
        <w:pStyle w:val="Notedebasdepage"/>
      </w:pPr>
      <w:r>
        <w:rPr>
          <w:rStyle w:val="Appelnotedebasdep"/>
        </w:rPr>
        <w:footnoteRef/>
      </w:r>
      <w:r>
        <w:t xml:space="preserve"> </w:t>
      </w:r>
      <w:r>
        <w:tab/>
        <w:t>Défense, par. 73.</w:t>
      </w:r>
    </w:p>
  </w:footnote>
  <w:footnote w:id="230">
    <w:p w14:paraId="6E72AECD" w14:textId="77777777" w:rsidR="00BA0714" w:rsidRDefault="00730A01" w:rsidP="00BA0714">
      <w:pPr>
        <w:pStyle w:val="Notedebasdepage"/>
      </w:pPr>
      <w:r>
        <w:rPr>
          <w:rStyle w:val="Appelnotedebasdep"/>
        </w:rPr>
        <w:footnoteRef/>
      </w:r>
      <w:r>
        <w:t xml:space="preserve"> </w:t>
      </w:r>
      <w:r>
        <w:tab/>
      </w:r>
      <w:r w:rsidRPr="0017084D">
        <w:t>Rapport de LMD du 17 mars 2024, par. 146 -149.</w:t>
      </w:r>
    </w:p>
  </w:footnote>
  <w:footnote w:id="231">
    <w:p w14:paraId="40A8CE02" w14:textId="77777777" w:rsidR="00CA6079" w:rsidRDefault="00730A01">
      <w:pPr>
        <w:pStyle w:val="Notedebasdepage"/>
      </w:pPr>
      <w:r>
        <w:rPr>
          <w:rStyle w:val="Appelnotedebasdep"/>
        </w:rPr>
        <w:footnoteRef/>
      </w:r>
      <w:r>
        <w:t xml:space="preserve"> </w:t>
      </w:r>
      <w:r>
        <w:tab/>
      </w:r>
      <w:r w:rsidR="00B428E8">
        <w:t>P</w:t>
      </w:r>
      <w:r w:rsidR="00A15CF0">
        <w:t xml:space="preserve">réc. note </w:t>
      </w:r>
      <w:r w:rsidR="0007286F">
        <w:t>3</w:t>
      </w:r>
      <w:r w:rsidR="00A15CF0">
        <w:t>.</w:t>
      </w:r>
    </w:p>
  </w:footnote>
  <w:footnote w:id="232">
    <w:p w14:paraId="26F3ECFB" w14:textId="77777777" w:rsidR="00FB295A" w:rsidRDefault="00730A01">
      <w:pPr>
        <w:pStyle w:val="Notedebasdepage"/>
      </w:pPr>
      <w:r>
        <w:rPr>
          <w:rStyle w:val="Appelnotedebasdep"/>
        </w:rPr>
        <w:footnoteRef/>
      </w:r>
      <w:r>
        <w:t xml:space="preserve"> </w:t>
      </w:r>
      <w:r>
        <w:tab/>
        <w:t>DSSVT : Ferland, par. 9; Bernardo, par. 14; Prémont, par. 12, Bordeleau, par. 12 et 23; Roy, par. 7; Blais, par. 18; Volpato, par. 13 et 15; Dallaire, par. 7; É. Tremblay, par. 7; Guay, par. 8; St-Cyr, par. 22; Godbout, par. 16; S. Tremblay, par. 15; Lortie, par. 18; Roussin, par. 11-12; Breton, par. 11; Couture, par. 8; Renaud, par. 6; Bourdeau, par. 7; Simard, par. 20-21; Muller, par. 22.</w:t>
      </w:r>
    </w:p>
  </w:footnote>
  <w:footnote w:id="233">
    <w:p w14:paraId="76D7333F" w14:textId="77777777" w:rsidR="00845511" w:rsidRDefault="00730A01">
      <w:pPr>
        <w:pStyle w:val="Notedebasdepage"/>
      </w:pPr>
      <w:r>
        <w:rPr>
          <w:rStyle w:val="Appelnotedebasdep"/>
        </w:rPr>
        <w:footnoteRef/>
      </w:r>
      <w:r>
        <w:t xml:space="preserve"> </w:t>
      </w:r>
      <w:r>
        <w:tab/>
        <w:t>Voir les DSSVT des Demandeurs</w:t>
      </w:r>
      <w:r w:rsidR="00DA225C">
        <w:t>.</w:t>
      </w:r>
      <w:r w:rsidR="00FB295A">
        <w:t xml:space="preserve"> </w:t>
      </w:r>
    </w:p>
  </w:footnote>
  <w:footnote w:id="234">
    <w:p w14:paraId="38D5DE77" w14:textId="77777777" w:rsidR="00845511" w:rsidRDefault="00730A01" w:rsidP="002C163C">
      <w:pPr>
        <w:pStyle w:val="Notedebasdepage"/>
      </w:pPr>
      <w:r>
        <w:rPr>
          <w:rStyle w:val="Appelnotedebasdep"/>
        </w:rPr>
        <w:footnoteRef/>
      </w:r>
      <w:r>
        <w:t xml:space="preserve"> </w:t>
      </w:r>
      <w:r>
        <w:tab/>
      </w:r>
      <w:r w:rsidR="002C163C" w:rsidRPr="002C163C">
        <w:t>NS, Larochelle</w:t>
      </w:r>
      <w:r w:rsidR="002C163C">
        <w:t xml:space="preserve">, </w:t>
      </w:r>
      <w:r w:rsidR="002C163C" w:rsidRPr="002C163C">
        <w:t>20 février 2025</w:t>
      </w:r>
      <w:r w:rsidR="002C163C">
        <w:t xml:space="preserve">, </w:t>
      </w:r>
      <w:r w:rsidR="002C163C" w:rsidRPr="002C163C">
        <w:t xml:space="preserve">p. 84-85; Pièce D-657; NS, </w:t>
      </w:r>
      <w:r w:rsidR="002C163C">
        <w:t xml:space="preserve">St-Gelais, </w:t>
      </w:r>
      <w:r w:rsidR="002C163C" w:rsidRPr="002C163C">
        <w:t>10 février 2025, p.</w:t>
      </w:r>
      <w:r w:rsidR="002C163C">
        <w:t> </w:t>
      </w:r>
      <w:r w:rsidR="002C163C" w:rsidRPr="002C163C">
        <w:t>172-174</w:t>
      </w:r>
      <w:r w:rsidR="002C163C">
        <w:t xml:space="preserve">; </w:t>
      </w:r>
      <w:r w:rsidR="002C163C" w:rsidRPr="002C163C">
        <w:t>Pièce PQ-277; NS, St-Gelais, 11 février 2025, p. 14-15 et NS, Larochelle, 20 février 2025, p. 84</w:t>
      </w:r>
      <w:r w:rsidR="002C163C">
        <w:t xml:space="preserve">; </w:t>
      </w:r>
      <w:r w:rsidR="002C163C" w:rsidRPr="002C163C">
        <w:t>NS interrogatoire préalable de Larochelle du 14 décembre 2023 par Me Valin, p. 29-30. En ce qui</w:t>
      </w:r>
      <w:r w:rsidR="002C163C">
        <w:t xml:space="preserve"> </w:t>
      </w:r>
      <w:r w:rsidR="002C163C" w:rsidRPr="002C163C">
        <w:t>concerne le témoignage des commanditaires, voir l</w:t>
      </w:r>
      <w:r w:rsidR="002C163C" w:rsidRPr="002C163C">
        <w:rPr>
          <w:rFonts w:hint="eastAsia"/>
        </w:rPr>
        <w:t>’</w:t>
      </w:r>
      <w:r w:rsidR="002C163C" w:rsidRPr="002C163C">
        <w:t xml:space="preserve">Annexe 1 </w:t>
      </w:r>
      <w:r w:rsidR="002C163C" w:rsidRPr="002C163C">
        <w:rPr>
          <w:rFonts w:hint="eastAsia"/>
        </w:rPr>
        <w:t>–</w:t>
      </w:r>
      <w:r w:rsidR="002C163C" w:rsidRPr="002C163C">
        <w:t xml:space="preserve"> </w:t>
      </w:r>
      <w:r w:rsidR="002C163C" w:rsidRPr="002C163C">
        <w:rPr>
          <w:i/>
          <w:iCs/>
        </w:rPr>
        <w:t>la preuve testimoniale des commanditaires</w:t>
      </w:r>
      <w:r w:rsidR="002C163C" w:rsidRPr="002C163C">
        <w:t>.</w:t>
      </w:r>
    </w:p>
  </w:footnote>
  <w:footnote w:id="235">
    <w:p w14:paraId="7FC44854" w14:textId="77777777" w:rsidR="002C163C" w:rsidRDefault="00730A01" w:rsidP="0003635E">
      <w:pPr>
        <w:pStyle w:val="Notedebasdepage"/>
      </w:pPr>
      <w:r>
        <w:rPr>
          <w:rStyle w:val="Appelnotedebasdep"/>
        </w:rPr>
        <w:footnoteRef/>
      </w:r>
      <w:r>
        <w:t xml:space="preserve"> </w:t>
      </w:r>
      <w:r>
        <w:tab/>
        <w:t xml:space="preserve">DSSVT : Lortie, par. 24, 26 et 27; Bélanger, par. 18 à 22 et 28 à 30; Roussin, par. 22, 24, et 25; Breton, par. 17, 19 et 20; Couture, par. 18 à 20, 27 et 30; </w:t>
      </w:r>
      <w:r w:rsidR="0003635E">
        <w:t xml:space="preserve">Roberge, par. </w:t>
      </w:r>
      <w:r w:rsidR="0003635E" w:rsidRPr="0003635E">
        <w:t>17 à 19, 22 et 23</w:t>
      </w:r>
      <w:r w:rsidR="0003635E">
        <w:t xml:space="preserve">; Perron, </w:t>
      </w:r>
      <w:r w:rsidR="0003635E" w:rsidRPr="0003635E">
        <w:t>par. 15 et</w:t>
      </w:r>
      <w:r w:rsidR="0003635E">
        <w:t xml:space="preserve"> </w:t>
      </w:r>
      <w:r w:rsidR="0003635E" w:rsidRPr="0003635E">
        <w:t>16, 20 et 21</w:t>
      </w:r>
      <w:r w:rsidR="0003635E">
        <w:t xml:space="preserve">; Renaud, </w:t>
      </w:r>
      <w:r w:rsidR="0003635E" w:rsidRPr="0003635E">
        <w:t>par. 12, 14 et 15</w:t>
      </w:r>
      <w:r w:rsidR="0003635E">
        <w:t xml:space="preserve">; Foley, </w:t>
      </w:r>
      <w:r w:rsidR="0003635E" w:rsidRPr="0003635E">
        <w:t>par. 23, 25 et 26</w:t>
      </w:r>
      <w:r w:rsidR="0003635E">
        <w:t xml:space="preserve">; Bourdeau, </w:t>
      </w:r>
      <w:r w:rsidR="0003635E" w:rsidRPr="0003635E">
        <w:t>par. 17, 28, 30 et 31</w:t>
      </w:r>
      <w:r w:rsidR="0003635E">
        <w:t xml:space="preserve">; Brière, par. 16 à 18; Soligo, </w:t>
      </w:r>
      <w:r w:rsidR="0003635E" w:rsidRPr="0003635E">
        <w:t>par. 17, 19 et 20</w:t>
      </w:r>
      <w:r w:rsidR="0003635E">
        <w:t xml:space="preserve">; Laroche, </w:t>
      </w:r>
      <w:r w:rsidR="0003635E" w:rsidRPr="0003635E">
        <w:t>par. 21, 23 et 24</w:t>
      </w:r>
      <w:r w:rsidR="0003635E">
        <w:t xml:space="preserve">; Simard, </w:t>
      </w:r>
      <w:r w:rsidR="0003635E" w:rsidRPr="0003635E">
        <w:t>par. 26 à 29, 42 et 44.</w:t>
      </w:r>
    </w:p>
  </w:footnote>
  <w:footnote w:id="236">
    <w:p w14:paraId="2817BB33" w14:textId="77777777" w:rsidR="001402CD" w:rsidRDefault="00730A01">
      <w:pPr>
        <w:pStyle w:val="Notedebasdepage"/>
      </w:pPr>
      <w:r>
        <w:rPr>
          <w:rStyle w:val="Appelnotedebasdep"/>
        </w:rPr>
        <w:footnoteRef/>
      </w:r>
      <w:r>
        <w:t xml:space="preserve"> </w:t>
      </w:r>
      <w:r>
        <w:tab/>
        <w:t>NS, Germain, 30 mai 2024, p. 1265.</w:t>
      </w:r>
    </w:p>
  </w:footnote>
  <w:footnote w:id="237">
    <w:p w14:paraId="31755098" w14:textId="77777777" w:rsidR="003F1885" w:rsidRDefault="00730A01">
      <w:pPr>
        <w:pStyle w:val="Notedebasdepage"/>
      </w:pPr>
      <w:r>
        <w:rPr>
          <w:rStyle w:val="Appelnotedebasdep"/>
        </w:rPr>
        <w:footnoteRef/>
      </w:r>
      <w:r>
        <w:t xml:space="preserve"> </w:t>
      </w:r>
      <w:r>
        <w:tab/>
        <w:t>DSS, Lehoux, du 17 mai 2024, par. 12 et 13</w:t>
      </w:r>
      <w:r w:rsidR="0003635E">
        <w:t>;</w:t>
      </w:r>
      <w:r>
        <w:t xml:space="preserve"> Pièce PQ-97.3.</w:t>
      </w:r>
      <w:r w:rsidR="0003635E">
        <w:t>1.</w:t>
      </w:r>
    </w:p>
  </w:footnote>
  <w:footnote w:id="238">
    <w:p w14:paraId="7CA1B27A" w14:textId="77777777" w:rsidR="003F1885" w:rsidRDefault="00730A01" w:rsidP="00100C6C">
      <w:pPr>
        <w:pStyle w:val="Notedebasdepage"/>
      </w:pPr>
      <w:r>
        <w:rPr>
          <w:rStyle w:val="Appelnotedebasdep"/>
        </w:rPr>
        <w:footnoteRef/>
      </w:r>
      <w:r>
        <w:t xml:space="preserve"> </w:t>
      </w:r>
      <w:r>
        <w:tab/>
      </w:r>
      <w:r w:rsidR="0003635E" w:rsidRPr="0003635E">
        <w:t>NS,</w:t>
      </w:r>
      <w:r w:rsidR="0003635E">
        <w:t xml:space="preserve"> </w:t>
      </w:r>
      <w:r w:rsidR="0003635E" w:rsidRPr="0003635E">
        <w:t xml:space="preserve">St-Cyr, 27 mai 2025, p. 227-230; </w:t>
      </w:r>
      <w:r w:rsidR="00100C6C">
        <w:t>DSSVT de St</w:t>
      </w:r>
      <w:r w:rsidR="0003635E" w:rsidRPr="0003635E">
        <w:t>-Cyr du 6 novembre 2023, par. 14-19</w:t>
      </w:r>
      <w:r w:rsidR="00100C6C">
        <w:t xml:space="preserve">; </w:t>
      </w:r>
      <w:r w:rsidR="00100C6C" w:rsidRPr="00100C6C">
        <w:t>DSSVT de Réal Bourdeau du 9 novembre 2023, par. 21-22; DSSVT de Mario Bernardo du</w:t>
      </w:r>
      <w:r w:rsidR="00100C6C">
        <w:t xml:space="preserve"> </w:t>
      </w:r>
      <w:r w:rsidR="00100C6C" w:rsidRPr="00100C6C">
        <w:t>9 novembre 2023, par.</w:t>
      </w:r>
      <w:r w:rsidR="00100C6C">
        <w:t> </w:t>
      </w:r>
      <w:r w:rsidR="00100C6C" w:rsidRPr="00100C6C">
        <w:t>37-38; DSSVT, Serge Ferland du 6 novembre 2023, par. 17-19</w:t>
      </w:r>
      <w:r w:rsidR="00100C6C">
        <w:t xml:space="preserve">; </w:t>
      </w:r>
      <w:r w:rsidR="00100C6C" w:rsidRPr="00100C6C">
        <w:t>DSS de Lehoux du 17 mai 2024, par.</w:t>
      </w:r>
      <w:r w:rsidR="00100C6C">
        <w:t> </w:t>
      </w:r>
      <w:r w:rsidR="00100C6C" w:rsidRPr="00100C6C">
        <w:t>47</w:t>
      </w:r>
      <w:r w:rsidR="00100C6C">
        <w:t>;</w:t>
      </w:r>
      <w:r>
        <w:t xml:space="preserve"> pièce PQ-9.5.1 p. 4.</w:t>
      </w:r>
    </w:p>
  </w:footnote>
  <w:footnote w:id="239">
    <w:p w14:paraId="6248FBA9" w14:textId="77777777" w:rsidR="00100C6C" w:rsidRPr="00100C6C" w:rsidRDefault="00730A01" w:rsidP="00342A09">
      <w:pPr>
        <w:pStyle w:val="Notedebasdepage"/>
      </w:pPr>
      <w:r>
        <w:rPr>
          <w:rStyle w:val="Appelnotedebasdep"/>
        </w:rPr>
        <w:footnoteRef/>
      </w:r>
      <w:r>
        <w:t xml:space="preserve"> </w:t>
      </w:r>
      <w:r>
        <w:tab/>
      </w:r>
      <w:r w:rsidRPr="00100C6C">
        <w:t>Voir les DSSVT des Demandeurs de même que l</w:t>
      </w:r>
      <w:r w:rsidRPr="00100C6C">
        <w:rPr>
          <w:rFonts w:hint="eastAsia"/>
        </w:rPr>
        <w:t>’</w:t>
      </w:r>
      <w:r w:rsidRPr="00100C6C">
        <w:t xml:space="preserve">Annexe 1 </w:t>
      </w:r>
      <w:r w:rsidRPr="00100C6C">
        <w:rPr>
          <w:rFonts w:hint="eastAsia"/>
        </w:rPr>
        <w:t>–</w:t>
      </w:r>
      <w:r w:rsidRPr="00100C6C">
        <w:t xml:space="preserve"> </w:t>
      </w:r>
      <w:r w:rsidRPr="00100C6C">
        <w:rPr>
          <w:i/>
          <w:iCs/>
        </w:rPr>
        <w:t>la preuve testimoniale des commanditaires</w:t>
      </w:r>
      <w:r>
        <w:rPr>
          <w:i/>
          <w:iCs/>
        </w:rPr>
        <w:t xml:space="preserve">; </w:t>
      </w:r>
      <w:r w:rsidRPr="00100C6C">
        <w:t>Rapport de KPMG du 12 novembre 2023, pièce EP-1, par. 828; Pièce PQ-256, p.</w:t>
      </w:r>
      <w:r w:rsidR="00342A09">
        <w:t> </w:t>
      </w:r>
      <w:r w:rsidRPr="00100C6C">
        <w:t>18</w:t>
      </w:r>
      <w:r w:rsidR="00342A09">
        <w:noBreakHyphen/>
      </w:r>
      <w:r w:rsidRPr="00100C6C">
        <w:t>20</w:t>
      </w:r>
      <w:r>
        <w:t>;</w:t>
      </w:r>
      <w:r w:rsidR="0007286F">
        <w:t xml:space="preserve"> </w:t>
      </w:r>
      <w:r w:rsidRPr="00100C6C">
        <w:t>Pièce D-657; NS, St-Gelais, 10 février 2025, p.</w:t>
      </w:r>
      <w:r w:rsidR="00B428E8">
        <w:t> </w:t>
      </w:r>
      <w:r w:rsidRPr="00100C6C">
        <w:t>172</w:t>
      </w:r>
      <w:r w:rsidR="00B428E8">
        <w:noBreakHyphen/>
      </w:r>
      <w:r w:rsidRPr="00100C6C">
        <w:t>174</w:t>
      </w:r>
      <w:r>
        <w:t xml:space="preserve">; </w:t>
      </w:r>
      <w:r w:rsidRPr="00100C6C">
        <w:t>Pièce PQ-277; NS, St-Gelais, 11 février 2025, p. 14-15 et NS, Larochelle, 20 février 2025, p. 84</w:t>
      </w:r>
      <w:r>
        <w:t xml:space="preserve">; </w:t>
      </w:r>
      <w:r w:rsidRPr="00100C6C">
        <w:t>NS interrogatoire préalable de Larochelle du 14 décembre 2023 par Me Valin, p. 29-30. En ce qui</w:t>
      </w:r>
      <w:r>
        <w:t xml:space="preserve"> </w:t>
      </w:r>
      <w:r w:rsidRPr="00100C6C">
        <w:t>concerne le témoignage des commanditaires, voir l</w:t>
      </w:r>
      <w:r w:rsidRPr="00100C6C">
        <w:rPr>
          <w:rFonts w:hint="eastAsia"/>
        </w:rPr>
        <w:t>’</w:t>
      </w:r>
      <w:r w:rsidRPr="00100C6C">
        <w:t xml:space="preserve">Annexe 1 </w:t>
      </w:r>
      <w:r w:rsidRPr="00100C6C">
        <w:rPr>
          <w:rFonts w:hint="eastAsia"/>
        </w:rPr>
        <w:t>–</w:t>
      </w:r>
      <w:r w:rsidRPr="00100C6C">
        <w:t xml:space="preserve"> </w:t>
      </w:r>
      <w:r w:rsidRPr="00100C6C">
        <w:rPr>
          <w:i/>
          <w:iCs/>
        </w:rPr>
        <w:t>la preuve testimoniale des commanditaires</w:t>
      </w:r>
      <w:r>
        <w:t xml:space="preserve">; </w:t>
      </w:r>
      <w:r w:rsidRPr="00100C6C">
        <w:t>Rapport de KPMG du 12 novembre 2023, pièce EP-1, par. 819; Pièce PQ-256, p.</w:t>
      </w:r>
      <w:r w:rsidR="001E47A1">
        <w:t> </w:t>
      </w:r>
      <w:r w:rsidRPr="00100C6C">
        <w:t>13</w:t>
      </w:r>
      <w:r w:rsidR="001E47A1">
        <w:noBreakHyphen/>
      </w:r>
      <w:r w:rsidRPr="00100C6C">
        <w:t>21</w:t>
      </w:r>
      <w:r>
        <w:t>;</w:t>
      </w:r>
      <w:r w:rsidR="001E47A1">
        <w:t xml:space="preserve"> </w:t>
      </w:r>
      <w:r w:rsidR="0007286F">
        <w:t>NS</w:t>
      </w:r>
      <w:r w:rsidR="001E47A1">
        <w:t>, Giroux, 30 mai 2024, p. 1265</w:t>
      </w:r>
      <w:r w:rsidR="0007286F">
        <w:t>;</w:t>
      </w:r>
      <w:r>
        <w:t xml:space="preserve"> </w:t>
      </w:r>
      <w:r w:rsidRPr="0007286F">
        <w:t xml:space="preserve">NS, Larochelle, 20 février 2025, p. 83-89; NS, Giroux, </w:t>
      </w:r>
      <w:r w:rsidRPr="00EE5970">
        <w:t>4</w:t>
      </w:r>
      <w:r w:rsidRPr="0007286F">
        <w:t xml:space="preserve"> juin 2024, p. 2045 et 2377-2</w:t>
      </w:r>
      <w:r w:rsidR="00627342" w:rsidRPr="0007286F">
        <w:t>378</w:t>
      </w:r>
      <w:r w:rsidR="00FB03EF" w:rsidRPr="0007286F">
        <w:t>; Pièce PQ</w:t>
      </w:r>
      <w:r w:rsidR="00342A09" w:rsidRPr="0007286F">
        <w:noBreakHyphen/>
      </w:r>
      <w:r w:rsidR="00FB03EF" w:rsidRPr="0007286F">
        <w:t>256, p. 166</w:t>
      </w:r>
      <w:r w:rsidR="00342A09" w:rsidRPr="0007286F">
        <w:t xml:space="preserve">; </w:t>
      </w:r>
      <w:r w:rsidR="00FB03EF" w:rsidRPr="0007286F">
        <w:t>Pièce PQ-103</w:t>
      </w:r>
      <w:r w:rsidR="00342A09" w:rsidRPr="0007286F">
        <w:t xml:space="preserve">; </w:t>
      </w:r>
      <w:r w:rsidR="00FB03EF" w:rsidRPr="0007286F">
        <w:t>Sur les transactions de type Ponzi, voir le sommaire à la page 92 du PowerPoint (pièce PQ-256, p. 92)</w:t>
      </w:r>
      <w:r w:rsidR="00342A09" w:rsidRPr="0007286F">
        <w:t xml:space="preserve">; </w:t>
      </w:r>
      <w:r w:rsidR="00FB03EF" w:rsidRPr="0007286F">
        <w:t>NS,</w:t>
      </w:r>
      <w:r w:rsidR="00342A09" w:rsidRPr="0007286F">
        <w:t xml:space="preserve"> St-Cyr, </w:t>
      </w:r>
      <w:r w:rsidR="00FB03EF" w:rsidRPr="0007286F">
        <w:t>27 mai 2024, p. 200</w:t>
      </w:r>
      <w:r w:rsidR="00342A09" w:rsidRPr="0007286F">
        <w:t xml:space="preserve"> et </w:t>
      </w:r>
      <w:r w:rsidR="00FB03EF" w:rsidRPr="0007286F">
        <w:t xml:space="preserve">214; NS, </w:t>
      </w:r>
      <w:r w:rsidR="00342A09" w:rsidRPr="0007286F">
        <w:t xml:space="preserve">Bourdeau, </w:t>
      </w:r>
      <w:r w:rsidR="00FB03EF" w:rsidRPr="0007286F">
        <w:t>14 juin 2024, p. 6066-6067</w:t>
      </w:r>
      <w:r w:rsidR="00342A09" w:rsidRPr="0007286F">
        <w:t xml:space="preserve">; </w:t>
      </w:r>
      <w:r w:rsidR="00FB03EF" w:rsidRPr="0007286F">
        <w:t>DSSVT de</w:t>
      </w:r>
      <w:r w:rsidR="005758D4">
        <w:t xml:space="preserve">s commanditaires demandeurs, leurs témoignages livrés au procès (notamment NS, Simard, 21 janvier 2025, p. 97-98, 101, 151-159) ainsi que les NS, Cadrin, 19 février 2025, p. 147-148; Voir notamment la </w:t>
      </w:r>
      <w:r w:rsidR="005758D4" w:rsidRPr="00EE5970">
        <w:t>DSSVT de St-Cyr du 6 novembre 2023, par. 16</w:t>
      </w:r>
      <w:r w:rsidR="00EE5970">
        <w:t xml:space="preserve"> et 26</w:t>
      </w:r>
      <w:r w:rsidR="005758D4">
        <w:t>;</w:t>
      </w:r>
      <w:r w:rsidR="005758D4">
        <w:rPr>
          <w:i/>
          <w:iCs/>
        </w:rPr>
        <w:t xml:space="preserve"> </w:t>
      </w:r>
      <w:r w:rsidR="005758D4">
        <w:t xml:space="preserve">DSSVT de </w:t>
      </w:r>
      <w:r w:rsidR="00FB03EF" w:rsidRPr="0007286F">
        <w:t>Réal Bourdeau du 9 novembre 2023, par. 21-22; DSSVT de Mario Bernardo du</w:t>
      </w:r>
      <w:r w:rsidR="00342A09" w:rsidRPr="0007286F">
        <w:t xml:space="preserve"> </w:t>
      </w:r>
      <w:r w:rsidR="00FB03EF" w:rsidRPr="0007286F">
        <w:t>9 novembre 2023, par. 37-38; DSSVT, Serge Ferland du 6 novembre 2023, par. 17-19</w:t>
      </w:r>
      <w:r w:rsidR="00342A09" w:rsidRPr="00EE5970">
        <w:t xml:space="preserve">; </w:t>
      </w:r>
      <w:r w:rsidR="00FB03EF" w:rsidRPr="005758D4">
        <w:t>DSS de Lehoux du 17 mai 2024, par.</w:t>
      </w:r>
      <w:r w:rsidR="002F6648">
        <w:t> </w:t>
      </w:r>
      <w:r w:rsidR="00FB03EF" w:rsidRPr="005758D4">
        <w:t>47</w:t>
      </w:r>
      <w:r w:rsidR="00342A09" w:rsidRPr="005758D4">
        <w:t>.</w:t>
      </w:r>
    </w:p>
  </w:footnote>
  <w:footnote w:id="240">
    <w:p w14:paraId="24EB80A7" w14:textId="77777777" w:rsidR="002F198F" w:rsidRDefault="00730A01">
      <w:pPr>
        <w:pStyle w:val="Notedebasdepage"/>
      </w:pPr>
      <w:r>
        <w:rPr>
          <w:rStyle w:val="Appelnotedebasdep"/>
        </w:rPr>
        <w:footnoteRef/>
      </w:r>
      <w:r>
        <w:t xml:space="preserve"> </w:t>
      </w:r>
      <w:r>
        <w:tab/>
        <w:t xml:space="preserve">Défense, par. 6.4; </w:t>
      </w:r>
      <w:r w:rsidRPr="002F198F">
        <w:t>Rapport LMD du 17 mars 2024, par. 160-177 (sur les revenus d’intérêts gagnés par les commanditaires) et 178-212 (sur les pertes des Défendeurs).</w:t>
      </w:r>
    </w:p>
  </w:footnote>
  <w:footnote w:id="241">
    <w:p w14:paraId="79B33C9D" w14:textId="77777777" w:rsidR="009E7F9B" w:rsidRDefault="00730A01">
      <w:pPr>
        <w:pStyle w:val="Notedebasdepage"/>
      </w:pPr>
      <w:r>
        <w:rPr>
          <w:rStyle w:val="Appelnotedebasdep"/>
        </w:rPr>
        <w:footnoteRef/>
      </w:r>
      <w:r>
        <w:t xml:space="preserve"> </w:t>
      </w:r>
      <w:r>
        <w:tab/>
        <w:t>Pièce EP-1, par. 1170.</w:t>
      </w:r>
    </w:p>
  </w:footnote>
  <w:footnote w:id="242">
    <w:p w14:paraId="6C294AD8" w14:textId="77777777" w:rsidR="009E7F9B" w:rsidRDefault="00730A01">
      <w:pPr>
        <w:pStyle w:val="Notedebasdepage"/>
      </w:pPr>
      <w:r>
        <w:rPr>
          <w:rStyle w:val="Appelnotedebasdep"/>
        </w:rPr>
        <w:footnoteRef/>
      </w:r>
      <w:r>
        <w:t xml:space="preserve"> </w:t>
      </w:r>
      <w:r>
        <w:tab/>
        <w:t>Pièce EP-1, tableau 19.9, par. 1156.</w:t>
      </w:r>
    </w:p>
  </w:footnote>
  <w:footnote w:id="243">
    <w:p w14:paraId="07292B65" w14:textId="77777777" w:rsidR="009E7F9B" w:rsidRDefault="00730A01">
      <w:pPr>
        <w:pStyle w:val="Notedebasdepage"/>
      </w:pPr>
      <w:r>
        <w:rPr>
          <w:rStyle w:val="Appelnotedebasdep"/>
        </w:rPr>
        <w:footnoteRef/>
      </w:r>
      <w:r>
        <w:t xml:space="preserve"> </w:t>
      </w:r>
      <w:r>
        <w:tab/>
        <w:t>Pièce EP-1, par. 1137.</w:t>
      </w:r>
    </w:p>
  </w:footnote>
  <w:footnote w:id="244">
    <w:p w14:paraId="51727CF5" w14:textId="77777777" w:rsidR="006B2FDD" w:rsidRDefault="00730A01">
      <w:pPr>
        <w:pStyle w:val="Notedebasdepage"/>
      </w:pPr>
      <w:r>
        <w:rPr>
          <w:rStyle w:val="Appelnotedebasdep"/>
        </w:rPr>
        <w:footnoteRef/>
      </w:r>
      <w:r>
        <w:t xml:space="preserve"> </w:t>
      </w:r>
      <w:r>
        <w:tab/>
        <w:t xml:space="preserve">Pièce </w:t>
      </w:r>
      <w:r w:rsidRPr="006B2FDD">
        <w:t>EP-1, tableau 19.9, par. 1156</w:t>
      </w:r>
      <w:r>
        <w:t>.</w:t>
      </w:r>
    </w:p>
  </w:footnote>
  <w:footnote w:id="245">
    <w:p w14:paraId="3030B6D8" w14:textId="77777777" w:rsidR="006B2FDD" w:rsidRDefault="00730A01">
      <w:pPr>
        <w:pStyle w:val="Notedebasdepage"/>
      </w:pPr>
      <w:r>
        <w:rPr>
          <w:rStyle w:val="Appelnotedebasdep"/>
        </w:rPr>
        <w:footnoteRef/>
      </w:r>
      <w:r>
        <w:t xml:space="preserve"> </w:t>
      </w:r>
      <w:r>
        <w:tab/>
        <w:t xml:space="preserve">Pièce EP-1, </w:t>
      </w:r>
      <w:r w:rsidRPr="006B2FDD">
        <w:t>tableau 20.01, par. 1169</w:t>
      </w:r>
      <w:r>
        <w:t>.</w:t>
      </w:r>
    </w:p>
  </w:footnote>
  <w:footnote w:id="246">
    <w:p w14:paraId="57E34F43" w14:textId="77777777" w:rsidR="00796B0D" w:rsidRDefault="00730A01">
      <w:pPr>
        <w:pStyle w:val="Notedebasdepage"/>
      </w:pPr>
      <w:r>
        <w:rPr>
          <w:rStyle w:val="Appelnotedebasdep"/>
        </w:rPr>
        <w:footnoteRef/>
      </w:r>
      <w:r>
        <w:t xml:space="preserve"> </w:t>
      </w:r>
      <w:r>
        <w:tab/>
        <w:t>Pièce PSH-8, p.20.</w:t>
      </w:r>
    </w:p>
  </w:footnote>
  <w:footnote w:id="247">
    <w:p w14:paraId="4664B287" w14:textId="77777777" w:rsidR="00796B0D" w:rsidRDefault="00730A01">
      <w:pPr>
        <w:pStyle w:val="Notedebasdepage"/>
      </w:pPr>
      <w:r>
        <w:rPr>
          <w:rStyle w:val="Appelnotedebasdep"/>
        </w:rPr>
        <w:footnoteRef/>
      </w:r>
      <w:r>
        <w:t xml:space="preserve"> </w:t>
      </w:r>
      <w:r>
        <w:tab/>
        <w:t xml:space="preserve">Pièce </w:t>
      </w:r>
      <w:r w:rsidRPr="00796B0D">
        <w:t>PQ-7 modifiée, p.78.</w:t>
      </w:r>
    </w:p>
  </w:footnote>
  <w:footnote w:id="248">
    <w:p w14:paraId="2021C22E" w14:textId="77777777" w:rsidR="00B119A9" w:rsidRDefault="00730A01" w:rsidP="00B119A9">
      <w:pPr>
        <w:pStyle w:val="Notedebasdepage"/>
      </w:pPr>
      <w:r>
        <w:rPr>
          <w:rStyle w:val="Appelnotedebasdep"/>
        </w:rPr>
        <w:footnoteRef/>
      </w:r>
      <w:r>
        <w:t xml:space="preserve"> </w:t>
      </w:r>
      <w:r>
        <w:tab/>
        <w:t>Article 1474 C.c.Q.</w:t>
      </w:r>
    </w:p>
  </w:footnote>
  <w:footnote w:id="249">
    <w:p w14:paraId="4A233015" w14:textId="77777777" w:rsidR="003F1885" w:rsidRDefault="00730A01">
      <w:pPr>
        <w:pStyle w:val="Notedebasdepage"/>
      </w:pPr>
      <w:r>
        <w:rPr>
          <w:rStyle w:val="Appelnotedebasdep"/>
        </w:rPr>
        <w:footnoteRef/>
      </w:r>
      <w:r>
        <w:t xml:space="preserve"> </w:t>
      </w:r>
      <w:r>
        <w:tab/>
      </w:r>
      <w:r w:rsidR="00443B12">
        <w:t xml:space="preserve">Voir à cet effet </w:t>
      </w:r>
      <w:r>
        <w:t xml:space="preserve">Jean-Louis BAUDOUIN et Pierre-Gabriel JOBIN avec la collab. de Nathalie VÉZINA, </w:t>
      </w:r>
      <w:r>
        <w:rPr>
          <w:i/>
          <w:iCs/>
        </w:rPr>
        <w:t xml:space="preserve">Les obligations, </w:t>
      </w:r>
      <w:r>
        <w:t>7</w:t>
      </w:r>
      <w:r>
        <w:rPr>
          <w:vertAlign w:val="superscript"/>
        </w:rPr>
        <w:t xml:space="preserve">e </w:t>
      </w:r>
      <w:r>
        <w:t xml:space="preserve">éd., Cowansville, Éd. Yvon Blais, 2013, p. 578. </w:t>
      </w:r>
    </w:p>
  </w:footnote>
  <w:footnote w:id="250">
    <w:p w14:paraId="42F87982" w14:textId="77777777" w:rsidR="00451EF9" w:rsidRPr="00611349" w:rsidRDefault="00730A01">
      <w:pPr>
        <w:pStyle w:val="Notedebasdepage"/>
      </w:pPr>
      <w:r>
        <w:rPr>
          <w:rStyle w:val="Appelnotedebasdep"/>
        </w:rPr>
        <w:footnoteRef/>
      </w:r>
      <w:r w:rsidRPr="00611349">
        <w:t xml:space="preserve"> </w:t>
      </w:r>
      <w:r w:rsidRPr="00611349">
        <w:tab/>
      </w:r>
      <w:r w:rsidRPr="00611349">
        <w:rPr>
          <w:i/>
          <w:iCs/>
        </w:rPr>
        <w:t>6362222 Canada inc</w:t>
      </w:r>
      <w:r w:rsidRPr="00611349">
        <w:t xml:space="preserve">. c. </w:t>
      </w:r>
      <w:r w:rsidRPr="00611349">
        <w:rPr>
          <w:i/>
          <w:iCs/>
        </w:rPr>
        <w:t>Prelco</w:t>
      </w:r>
      <w:r w:rsidRPr="00611349">
        <w:t xml:space="preserve">, 2021 CSC 39; </w:t>
      </w:r>
      <w:r w:rsidRPr="00611349">
        <w:rPr>
          <w:i/>
          <w:iCs/>
        </w:rPr>
        <w:t>Bell</w:t>
      </w:r>
      <w:r w:rsidRPr="00611349">
        <w:t xml:space="preserve"> c. </w:t>
      </w:r>
      <w:r w:rsidRPr="00611349">
        <w:rPr>
          <w:i/>
          <w:iCs/>
        </w:rPr>
        <w:t>Molson</w:t>
      </w:r>
      <w:r w:rsidRPr="00611349">
        <w:t xml:space="preserve">, 2015 QCCA 583. </w:t>
      </w:r>
    </w:p>
  </w:footnote>
  <w:footnote w:id="251">
    <w:p w14:paraId="515A4EEF" w14:textId="77777777" w:rsidR="007B2F1A" w:rsidRDefault="00730A01">
      <w:pPr>
        <w:pStyle w:val="Notedebasdepage"/>
      </w:pPr>
      <w:r>
        <w:rPr>
          <w:rStyle w:val="Appelnotedebasdep"/>
        </w:rPr>
        <w:footnoteRef/>
      </w:r>
      <w:r>
        <w:t xml:space="preserve"> </w:t>
      </w:r>
      <w:r>
        <w:tab/>
        <w:t xml:space="preserve">Voir plus amplement les paragraphes 400 et s. ci-dessus à propos des abus de droit commis par les Défendeurs ainsi que le témoignage de Simard au procès qui explique les raisons pour lesquelles chacune des sociétés défenderesses est poursuivie : NS, Simard, 21 janvier 2025, </w:t>
      </w:r>
      <w:r w:rsidR="0028343F">
        <w:t>p.</w:t>
      </w:r>
      <w:r>
        <w:t xml:space="preserve"> 214-215; </w:t>
      </w:r>
      <w:r w:rsidR="00631BAA">
        <w:t xml:space="preserve">Preuves : Robitaille (NS, </w:t>
      </w:r>
      <w:r w:rsidR="00631BAA" w:rsidRPr="00631BAA">
        <w:t>29 mai 2024, p. 1169)</w:t>
      </w:r>
      <w:r w:rsidR="00631BAA">
        <w:t xml:space="preserve">; </w:t>
      </w:r>
      <w:r w:rsidR="00631BAA" w:rsidRPr="00631BAA">
        <w:t>PQ-256 (rapport KPMG).</w:t>
      </w:r>
    </w:p>
  </w:footnote>
  <w:footnote w:id="252">
    <w:p w14:paraId="10931772" w14:textId="77777777" w:rsidR="00767348" w:rsidRDefault="00730A01">
      <w:pPr>
        <w:pStyle w:val="Notedebasdepage"/>
      </w:pPr>
      <w:r w:rsidRPr="00BA0714">
        <w:rPr>
          <w:rStyle w:val="Appelnotedebasdep"/>
        </w:rPr>
        <w:footnoteRef/>
      </w:r>
      <w:r>
        <w:t xml:space="preserve"> </w:t>
      </w:r>
      <w:r>
        <w:tab/>
      </w:r>
      <w:r w:rsidRPr="00767348">
        <w:rPr>
          <w:i/>
          <w:iCs/>
          <w:lang w:eastAsia="fr-CA"/>
        </w:rPr>
        <w:t>Droit de la famille – 123456</w:t>
      </w:r>
      <w:r w:rsidRPr="00767348">
        <w:rPr>
          <w:lang w:eastAsia="fr-CA"/>
        </w:rPr>
        <w:t xml:space="preserve">, 2017 QCCA 1234 et </w:t>
      </w:r>
      <w:r w:rsidRPr="00767348">
        <w:rPr>
          <w:i/>
          <w:iCs/>
          <w:lang w:eastAsia="fr-CA"/>
        </w:rPr>
        <w:t>Succession de Blanchette</w:t>
      </w:r>
      <w:r w:rsidRPr="00767348">
        <w:rPr>
          <w:lang w:eastAsia="fr-CA"/>
        </w:rPr>
        <w:t>, 2023 QCCA 678</w:t>
      </w:r>
      <w:r>
        <w:rPr>
          <w:lang w:eastAsia="fr-CA"/>
        </w:rPr>
        <w:t xml:space="preserve">, </w:t>
      </w:r>
      <w:r w:rsidRPr="00767348">
        <w:rPr>
          <w:lang w:eastAsia="fr-CA"/>
        </w:rPr>
        <w:t>p</w:t>
      </w:r>
      <w:r>
        <w:rPr>
          <w:lang w:eastAsia="fr-CA"/>
        </w:rPr>
        <w:t>. </w:t>
      </w:r>
      <w:r w:rsidRPr="00767348">
        <w:rPr>
          <w:lang w:eastAsia="fr-CA"/>
        </w:rPr>
        <w:t>219 du Plan d’argumentation</w:t>
      </w:r>
      <w:r>
        <w:rPr>
          <w:lang w:eastAsia="fr-CA"/>
        </w:rPr>
        <w:t>.</w:t>
      </w:r>
    </w:p>
  </w:footnote>
  <w:footnote w:id="253">
    <w:p w14:paraId="75F7241D" w14:textId="77777777" w:rsidR="00C81F53" w:rsidRDefault="00730A01">
      <w:pPr>
        <w:pStyle w:val="Notedebasdepage"/>
      </w:pPr>
      <w:r>
        <w:rPr>
          <w:rStyle w:val="Appelnotedebasdep"/>
        </w:rPr>
        <w:footnoteRef/>
      </w:r>
      <w:r>
        <w:t xml:space="preserve"> </w:t>
      </w:r>
      <w:r>
        <w:tab/>
        <w:t>Voir notamment la Défense par. 78 à 80 et pièce PQ-197 où Giroux offre la pleine collaboration de 8096 et X2 en échange de sa conservation d’une position minoritaire dans un nouveau commandité.</w:t>
      </w:r>
    </w:p>
  </w:footnote>
  <w:footnote w:id="254">
    <w:p w14:paraId="2531531D" w14:textId="77777777" w:rsidR="00C81F53" w:rsidRDefault="00730A01">
      <w:pPr>
        <w:pStyle w:val="Notedebasdepage"/>
      </w:pPr>
      <w:r>
        <w:rPr>
          <w:rStyle w:val="Appelnotedebasdep"/>
        </w:rPr>
        <w:footnoteRef/>
      </w:r>
      <w:r>
        <w:t xml:space="preserve"> </w:t>
      </w:r>
      <w:r>
        <w:tab/>
        <w:t>Pièce PQ-97.3.1 qui démontre que la majorité des actifs des Défendeurs sont détenus par 6646 et Rapport LMD par. 406, DSS Lehoux, 17 mai 2024, par. 12-13.</w:t>
      </w:r>
    </w:p>
  </w:footnote>
  <w:footnote w:id="255">
    <w:p w14:paraId="704E4CA2" w14:textId="77777777" w:rsidR="007637E1" w:rsidRDefault="00730A01">
      <w:pPr>
        <w:pStyle w:val="Notedebasdepage"/>
      </w:pPr>
      <w:r>
        <w:rPr>
          <w:rStyle w:val="Appelnotedebasdep"/>
        </w:rPr>
        <w:footnoteRef/>
      </w:r>
      <w:r>
        <w:t xml:space="preserve"> </w:t>
      </w:r>
      <w:r>
        <w:tab/>
        <w:t>Pièce PQ-97.3.1, p. 5, 7 et 8.</w:t>
      </w:r>
    </w:p>
  </w:footnote>
  <w:footnote w:id="256">
    <w:p w14:paraId="06DEDF89" w14:textId="77777777" w:rsidR="00C81F53" w:rsidRDefault="00730A01">
      <w:pPr>
        <w:pStyle w:val="Notedebasdepage"/>
      </w:pPr>
      <w:r>
        <w:rPr>
          <w:rStyle w:val="Appelnotedebasdep"/>
        </w:rPr>
        <w:footnoteRef/>
      </w:r>
      <w:r>
        <w:t xml:space="preserve"> </w:t>
      </w:r>
      <w:r>
        <w:tab/>
      </w:r>
      <w:r w:rsidR="007637E1">
        <w:t>Rapport KPMG, pièce EP-1, par. 1126-1133; Défense par. 8 et 78 à 80, NS, Giroux, 13 février 2025, p. 185.</w:t>
      </w:r>
    </w:p>
  </w:footnote>
  <w:footnote w:id="257">
    <w:p w14:paraId="2F3247D6" w14:textId="77777777" w:rsidR="007637E1" w:rsidRDefault="00730A01">
      <w:pPr>
        <w:pStyle w:val="Notedebasdepage"/>
      </w:pPr>
      <w:r>
        <w:rPr>
          <w:rStyle w:val="Appelnotedebasdep"/>
        </w:rPr>
        <w:footnoteRef/>
      </w:r>
      <w:r>
        <w:t xml:space="preserve"> </w:t>
      </w:r>
      <w:r>
        <w:tab/>
        <w:t xml:space="preserve">Voir notamment les </w:t>
      </w:r>
      <w:r w:rsidR="005905E4">
        <w:t>paragraphe</w:t>
      </w:r>
      <w:r w:rsidR="00EE5970">
        <w:t>s</w:t>
      </w:r>
      <w:r w:rsidR="005905E4">
        <w:t xml:space="preserve"> </w:t>
      </w:r>
      <w:r w:rsidR="005905E4" w:rsidRPr="00EE5970">
        <w:t>99 à 200 et 2</w:t>
      </w:r>
      <w:r w:rsidR="00EE5970" w:rsidRPr="00EE5970">
        <w:t>14</w:t>
      </w:r>
      <w:r w:rsidR="005905E4" w:rsidRPr="00EE5970">
        <w:t xml:space="preserve"> à 236</w:t>
      </w:r>
      <w:r>
        <w:t xml:space="preserve"> ci-avant.</w:t>
      </w:r>
    </w:p>
  </w:footnote>
  <w:footnote w:id="258">
    <w:p w14:paraId="36FAB801" w14:textId="77777777" w:rsidR="00611349" w:rsidRDefault="00730A01" w:rsidP="007637E1">
      <w:pPr>
        <w:pStyle w:val="Notedebasdepage"/>
      </w:pPr>
      <w:r>
        <w:rPr>
          <w:rStyle w:val="Appelnotedebasdep"/>
        </w:rPr>
        <w:footnoteRef/>
      </w:r>
      <w:r>
        <w:t xml:space="preserve"> </w:t>
      </w:r>
      <w:r w:rsidR="007637E1">
        <w:tab/>
      </w:r>
      <w:r w:rsidR="007637E1" w:rsidRPr="007637E1">
        <w:t>Voir notamment la Défense, par. 78 à 80. Voir également la pièce PQ-101, o</w:t>
      </w:r>
      <w:r w:rsidR="007637E1" w:rsidRPr="007637E1">
        <w:rPr>
          <w:rFonts w:hint="eastAsia"/>
        </w:rPr>
        <w:t>ù</w:t>
      </w:r>
      <w:r w:rsidR="007637E1" w:rsidRPr="007637E1">
        <w:t xml:space="preserve"> Giroux d</w:t>
      </w:r>
      <w:r w:rsidR="007637E1" w:rsidRPr="007637E1">
        <w:rPr>
          <w:rFonts w:hint="eastAsia"/>
        </w:rPr>
        <w:t>é</w:t>
      </w:r>
      <w:r w:rsidR="007637E1" w:rsidRPr="007637E1">
        <w:t>signe l</w:t>
      </w:r>
      <w:r w:rsidR="007637E1" w:rsidRPr="007637E1">
        <w:rPr>
          <w:rFonts w:hint="eastAsia"/>
        </w:rPr>
        <w:t>’</w:t>
      </w:r>
      <w:r w:rsidR="007637E1" w:rsidRPr="007637E1">
        <w:t>ensemble</w:t>
      </w:r>
      <w:r w:rsidR="007637E1">
        <w:t xml:space="preserve"> </w:t>
      </w:r>
      <w:r w:rsidR="007637E1" w:rsidRPr="007637E1">
        <w:t>de ses entités comme les « Parties Giroux » et propose la collaboration de celles-ci en l</w:t>
      </w:r>
      <w:r w:rsidR="007637E1" w:rsidRPr="007637E1">
        <w:rPr>
          <w:rFonts w:hint="eastAsia"/>
        </w:rPr>
        <w:t>’é</w:t>
      </w:r>
      <w:r w:rsidR="007637E1" w:rsidRPr="007637E1">
        <w:t>change d</w:t>
      </w:r>
      <w:r w:rsidR="007637E1" w:rsidRPr="007637E1">
        <w:rPr>
          <w:rFonts w:hint="eastAsia"/>
        </w:rPr>
        <w:t>’</w:t>
      </w:r>
      <w:r w:rsidR="007637E1" w:rsidRPr="007637E1">
        <w:t>un</w:t>
      </w:r>
      <w:r w:rsidR="007637E1">
        <w:t xml:space="preserve"> </w:t>
      </w:r>
      <w:r w:rsidR="007637E1" w:rsidRPr="007637E1">
        <w:t>sursis des procédures judiciaires et autres plaintes à son endroit. Voir également la pièce PQ-197, où</w:t>
      </w:r>
      <w:r w:rsidR="007637E1">
        <w:t xml:space="preserve"> </w:t>
      </w:r>
      <w:r w:rsidR="007637E1" w:rsidRPr="007637E1">
        <w:t xml:space="preserve">Giroux offre </w:t>
      </w:r>
      <w:r w:rsidR="007637E1" w:rsidRPr="007637E1">
        <w:rPr>
          <w:rFonts w:hint="eastAsia"/>
        </w:rPr>
        <w:t>à</w:t>
      </w:r>
      <w:r w:rsidR="007637E1" w:rsidRPr="007637E1">
        <w:t xml:space="preserve"> B</w:t>
      </w:r>
      <w:r w:rsidR="007637E1" w:rsidRPr="007637E1">
        <w:rPr>
          <w:rFonts w:hint="eastAsia"/>
        </w:rPr>
        <w:t>é</w:t>
      </w:r>
      <w:r w:rsidR="007637E1" w:rsidRPr="007637E1">
        <w:t xml:space="preserve">langer la pleine collaboration de 8096 et de X2 en </w:t>
      </w:r>
      <w:r w:rsidR="007637E1" w:rsidRPr="007637E1">
        <w:rPr>
          <w:rFonts w:hint="eastAsia"/>
        </w:rPr>
        <w:t>é</w:t>
      </w:r>
      <w:r w:rsidR="007637E1" w:rsidRPr="007637E1">
        <w:t>change de la conclusion d</w:t>
      </w:r>
      <w:r w:rsidR="007637E1" w:rsidRPr="007637E1">
        <w:rPr>
          <w:rFonts w:hint="eastAsia"/>
        </w:rPr>
        <w:t>’</w:t>
      </w:r>
      <w:r w:rsidR="007637E1" w:rsidRPr="007637E1">
        <w:t>un pacte</w:t>
      </w:r>
      <w:r w:rsidR="007637E1">
        <w:t xml:space="preserve"> </w:t>
      </w:r>
      <w:r w:rsidR="007637E1" w:rsidRPr="007637E1">
        <w:t>de non-agression et de sa conservation d</w:t>
      </w:r>
      <w:r w:rsidR="007637E1" w:rsidRPr="007637E1">
        <w:rPr>
          <w:rFonts w:hint="eastAsia"/>
        </w:rPr>
        <w:t>’</w:t>
      </w:r>
      <w:r w:rsidR="007637E1" w:rsidRPr="007637E1">
        <w:t>une position minoritaire dans un nouveau commandit</w:t>
      </w:r>
      <w:r w:rsidR="007637E1" w:rsidRPr="007637E1">
        <w:rPr>
          <w:rFonts w:hint="eastAsia"/>
        </w:rPr>
        <w:t>é</w:t>
      </w:r>
      <w:r w:rsidR="007637E1" w:rsidRPr="007637E1">
        <w:t>.</w:t>
      </w:r>
    </w:p>
  </w:footnote>
  <w:footnote w:id="259">
    <w:p w14:paraId="4B71E158" w14:textId="77777777" w:rsidR="00366C40" w:rsidRDefault="00730A01">
      <w:pPr>
        <w:pStyle w:val="Notedebasdepage"/>
      </w:pPr>
      <w:r>
        <w:rPr>
          <w:rStyle w:val="Appelnotedebasdep"/>
        </w:rPr>
        <w:footnoteRef/>
      </w:r>
      <w:r>
        <w:t xml:space="preserve"> </w:t>
      </w:r>
      <w:r>
        <w:tab/>
        <w:t xml:space="preserve">Rapport </w:t>
      </w:r>
      <w:r w:rsidRPr="00366C40">
        <w:t xml:space="preserve">LMD </w:t>
      </w:r>
      <w:r w:rsidRPr="00366C40">
        <w:rPr>
          <w:rFonts w:cs="Arial"/>
        </w:rPr>
        <w:t>du 17 mars 2024, par. 406</w:t>
      </w:r>
      <w:r>
        <w:rPr>
          <w:rFonts w:cs="Arial"/>
        </w:rPr>
        <w:t>.</w:t>
      </w:r>
    </w:p>
  </w:footnote>
  <w:footnote w:id="260">
    <w:p w14:paraId="6ADEC4C8" w14:textId="77777777" w:rsidR="00366C40" w:rsidRDefault="00730A01">
      <w:pPr>
        <w:pStyle w:val="Notedebasdepage"/>
      </w:pPr>
      <w:r>
        <w:rPr>
          <w:rStyle w:val="Appelnotedebasdep"/>
        </w:rPr>
        <w:footnoteRef/>
      </w:r>
      <w:r>
        <w:t xml:space="preserve"> </w:t>
      </w:r>
      <w:r>
        <w:tab/>
        <w:t>DSS, Lehoux, 17 mai 2024.</w:t>
      </w:r>
    </w:p>
  </w:footnote>
  <w:footnote w:id="261">
    <w:p w14:paraId="7F30285C" w14:textId="77777777" w:rsidR="00366C40" w:rsidRDefault="00730A01">
      <w:pPr>
        <w:pStyle w:val="Notedebasdepage"/>
      </w:pPr>
      <w:r>
        <w:rPr>
          <w:rStyle w:val="Appelnotedebasdep"/>
        </w:rPr>
        <w:footnoteRef/>
      </w:r>
      <w:r>
        <w:t xml:space="preserve"> </w:t>
      </w:r>
      <w:r>
        <w:tab/>
        <w:t>Pièce PQ-</w:t>
      </w:r>
      <w:r w:rsidRPr="00366C40">
        <w:rPr>
          <w:rFonts w:cs="Arial"/>
        </w:rPr>
        <w:t>97.3.1.</w:t>
      </w:r>
    </w:p>
  </w:footnote>
  <w:footnote w:id="262">
    <w:p w14:paraId="75894D6D" w14:textId="77777777" w:rsidR="00366C40" w:rsidRDefault="00730A01">
      <w:pPr>
        <w:pStyle w:val="Notedebasdepage"/>
      </w:pPr>
      <w:r>
        <w:rPr>
          <w:rStyle w:val="Appelnotedebasdep"/>
        </w:rPr>
        <w:footnoteRef/>
      </w:r>
      <w:r>
        <w:t xml:space="preserve"> </w:t>
      </w:r>
      <w:r>
        <w:tab/>
        <w:t>Pièce PQ-3.</w:t>
      </w:r>
    </w:p>
  </w:footnote>
  <w:footnote w:id="263">
    <w:p w14:paraId="2F6C401E" w14:textId="77777777" w:rsidR="00366C40" w:rsidRDefault="00730A01">
      <w:pPr>
        <w:pStyle w:val="Notedebasdepage"/>
      </w:pPr>
      <w:r>
        <w:rPr>
          <w:rStyle w:val="Appelnotedebasdep"/>
        </w:rPr>
        <w:footnoteRef/>
      </w:r>
      <w:r>
        <w:t xml:space="preserve"> </w:t>
      </w:r>
      <w:r>
        <w:tab/>
        <w:t>Pièce PSH-7.</w:t>
      </w:r>
    </w:p>
  </w:footnote>
  <w:footnote w:id="264">
    <w:p w14:paraId="66E47991" w14:textId="77777777" w:rsidR="00366C40" w:rsidRDefault="00730A01">
      <w:pPr>
        <w:pStyle w:val="Notedebasdepage"/>
      </w:pPr>
      <w:r>
        <w:rPr>
          <w:rStyle w:val="Appelnotedebasdep"/>
        </w:rPr>
        <w:footnoteRef/>
      </w:r>
      <w:r>
        <w:t xml:space="preserve"> </w:t>
      </w:r>
      <w:r>
        <w:tab/>
        <w:t>Pièces PQ-7 et PSH-6.</w:t>
      </w:r>
    </w:p>
  </w:footnote>
  <w:footnote w:id="265">
    <w:p w14:paraId="66189221" w14:textId="77777777" w:rsidR="00DD45A5" w:rsidRDefault="00730A01">
      <w:pPr>
        <w:pStyle w:val="Notedebasdepage"/>
      </w:pPr>
      <w:r>
        <w:rPr>
          <w:rStyle w:val="Appelnotedebasdep"/>
        </w:rPr>
        <w:footnoteRef/>
      </w:r>
      <w:r>
        <w:t xml:space="preserve"> </w:t>
      </w:r>
      <w:r>
        <w:tab/>
        <w:t>Pièce PQ-97.3.1.</w:t>
      </w:r>
    </w:p>
  </w:footnote>
  <w:footnote w:id="266">
    <w:p w14:paraId="57AAEFC0" w14:textId="77777777" w:rsidR="00DD45A5" w:rsidRDefault="00730A01">
      <w:pPr>
        <w:pStyle w:val="Notedebasdepage"/>
      </w:pPr>
      <w:r>
        <w:rPr>
          <w:rStyle w:val="Appelnotedebasdep"/>
        </w:rPr>
        <w:footnoteRef/>
      </w:r>
      <w:r>
        <w:t xml:space="preserve"> </w:t>
      </w:r>
      <w:r>
        <w:tab/>
      </w:r>
      <w:r w:rsidRPr="00DD45A5">
        <w:rPr>
          <w:rFonts w:cs="Arial"/>
          <w:lang w:eastAsia="fr-CA"/>
        </w:rPr>
        <w:t>NS, Giroux, 13 février 2025, p. 185</w:t>
      </w:r>
      <w:r>
        <w:rPr>
          <w:rFonts w:cs="Arial"/>
          <w:lang w:eastAsia="fr-CA"/>
        </w:rPr>
        <w:t>.</w:t>
      </w:r>
    </w:p>
  </w:footnote>
  <w:footnote w:id="267">
    <w:p w14:paraId="53BC8AF1" w14:textId="77777777" w:rsidR="00DD45A5" w:rsidRDefault="00730A01">
      <w:pPr>
        <w:pStyle w:val="Notedebasdepage"/>
      </w:pPr>
      <w:r>
        <w:rPr>
          <w:rStyle w:val="Appelnotedebasdep"/>
        </w:rPr>
        <w:footnoteRef/>
      </w:r>
      <w:r>
        <w:t xml:space="preserve"> </w:t>
      </w:r>
      <w:r>
        <w:tab/>
        <w:t>Pièce PSH-03.</w:t>
      </w:r>
    </w:p>
  </w:footnote>
  <w:footnote w:id="268">
    <w:p w14:paraId="032B1280" w14:textId="77777777" w:rsidR="00DD45A5" w:rsidRDefault="00730A01" w:rsidP="00D13EE6">
      <w:pPr>
        <w:pStyle w:val="Notedebasdepage"/>
      </w:pPr>
      <w:r>
        <w:rPr>
          <w:rStyle w:val="Appelnotedebasdep"/>
        </w:rPr>
        <w:footnoteRef/>
      </w:r>
      <w:r>
        <w:t xml:space="preserve"> </w:t>
      </w:r>
      <w:r w:rsidR="00D13EE6">
        <w:tab/>
      </w:r>
      <w:r w:rsidRPr="00D13EE6">
        <w:rPr>
          <w:rFonts w:cs="Arial"/>
          <w:lang w:eastAsia="fr-CA"/>
        </w:rPr>
        <w:t>Défense, par. 78-80</w:t>
      </w:r>
      <w:r w:rsidR="00D13EE6" w:rsidRPr="00D13EE6">
        <w:rPr>
          <w:rFonts w:cs="Arial"/>
          <w:lang w:eastAsia="fr-CA"/>
        </w:rPr>
        <w:t>; Le par. 8</w:t>
      </w:r>
      <w:r w:rsidR="00D13EE6">
        <w:rPr>
          <w:rFonts w:cs="Arial"/>
          <w:lang w:eastAsia="fr-CA"/>
        </w:rPr>
        <w:t xml:space="preserve"> de la </w:t>
      </w:r>
      <w:r w:rsidR="00D13EE6">
        <w:rPr>
          <w:rFonts w:cs="Arial"/>
          <w:i/>
          <w:iCs/>
          <w:lang w:eastAsia="fr-CA"/>
        </w:rPr>
        <w:t xml:space="preserve">Défense et demande reconventionnelle </w:t>
      </w:r>
      <w:r w:rsidR="00D13EE6">
        <w:rPr>
          <w:rFonts w:cs="Arial"/>
          <w:lang w:eastAsia="fr-CA"/>
        </w:rPr>
        <w:t>du 22 octobre 2023 indique en effet : « (...) les commandités et Défenderesses 9416-1395 Québec inc. et 9355-9797 Québec inc. sociétés contrôlées par le Défendeur M. Robert Giroux ». Suivant la modification de la Défense, cette allégation a été modifiée comme suit : « (...) 1395 et 9797 [...] sociétés contrôlées au fil des années par [...] M. Giroux et M. St-Gelais, plus tard consultant via 0587 ».</w:t>
      </w:r>
    </w:p>
  </w:footnote>
  <w:footnote w:id="269">
    <w:p w14:paraId="26716EE6" w14:textId="77777777" w:rsidR="00DD45A5" w:rsidRDefault="00730A01" w:rsidP="00D13EE6">
      <w:pPr>
        <w:pStyle w:val="Notedebasdepage"/>
        <w:ind w:left="357" w:hanging="357"/>
      </w:pPr>
      <w:r>
        <w:rPr>
          <w:rStyle w:val="Appelnotedebasdep"/>
        </w:rPr>
        <w:footnoteRef/>
      </w:r>
      <w:r>
        <w:t xml:space="preserve"> </w:t>
      </w:r>
      <w:r>
        <w:tab/>
      </w:r>
      <w:r w:rsidRPr="00D13EE6">
        <w:rPr>
          <w:rFonts w:cs="Arial"/>
          <w:lang w:eastAsia="fr-CA"/>
        </w:rPr>
        <w:t>NS, St-Gelais, 21 février 2025, p. 84</w:t>
      </w:r>
      <w:r w:rsidR="00D13EE6" w:rsidRPr="00D13EE6">
        <w:rPr>
          <w:rFonts w:cs="Arial"/>
          <w:lang w:eastAsia="fr-CA"/>
        </w:rPr>
        <w:t xml:space="preserve">; En effet, même si la société 9184-0587 Québec inc. (St-Gelais) est également actionnaire de 1395, la </w:t>
      </w:r>
      <w:r w:rsidR="00D13EE6" w:rsidRPr="00D13EE6">
        <w:rPr>
          <w:rFonts w:eastAsia="ArialMT" w:cs="Arial"/>
          <w:lang w:eastAsia="fr-CA"/>
        </w:rPr>
        <w:t>preuve révèle que cette structure n’a été mise en place qu’à des fins fiscales (</w:t>
      </w:r>
      <w:r w:rsidR="00D13EE6" w:rsidRPr="00D13EE6">
        <w:rPr>
          <w:rFonts w:cs="Arial"/>
          <w:lang w:eastAsia="fr-CA"/>
        </w:rPr>
        <w:t>pièce PQ-9.3, NS interrogatoire préalable de St-Gelais du 31 août 2023 par M</w:t>
      </w:r>
      <w:r w:rsidR="00D13EE6" w:rsidRPr="009C5D0A">
        <w:rPr>
          <w:rFonts w:cs="Arial"/>
          <w:vertAlign w:val="superscript"/>
          <w:lang w:eastAsia="fr-CA"/>
        </w:rPr>
        <w:t>e</w:t>
      </w:r>
      <w:r w:rsidR="009C5D0A">
        <w:rPr>
          <w:rFonts w:cs="Arial"/>
          <w:lang w:eastAsia="fr-CA"/>
        </w:rPr>
        <w:t> </w:t>
      </w:r>
      <w:r w:rsidR="00D13EE6" w:rsidRPr="00D13EE6">
        <w:rPr>
          <w:rFonts w:cs="Arial"/>
          <w:lang w:eastAsia="fr-CA"/>
        </w:rPr>
        <w:t>Valin, pièce PQ-9.3, p. 15-16) et que ni 9184-0587 Québec inc. ni St-</w:t>
      </w:r>
      <w:r w:rsidR="00D13EE6" w:rsidRPr="00D13EE6">
        <w:rPr>
          <w:rFonts w:eastAsia="ArialMT" w:cs="Arial"/>
          <w:lang w:eastAsia="fr-CA"/>
        </w:rPr>
        <w:t>Gelais n’exerçaient un contrôle quelconque sur les affaires de 1395 ou de FIISH</w:t>
      </w:r>
      <w:r w:rsidR="00D13EE6" w:rsidRPr="002D48C0">
        <w:rPr>
          <w:rFonts w:eastAsia="ArialMT"/>
          <w:lang w:eastAsia="fr-CA"/>
        </w:rPr>
        <w:t>.</w:t>
      </w:r>
    </w:p>
  </w:footnote>
  <w:footnote w:id="270">
    <w:p w14:paraId="68B84273" w14:textId="77777777" w:rsidR="00DD45A5" w:rsidRDefault="00730A01">
      <w:pPr>
        <w:pStyle w:val="Notedebasdepage"/>
      </w:pPr>
      <w:r>
        <w:rPr>
          <w:rStyle w:val="Appelnotedebasdep"/>
        </w:rPr>
        <w:footnoteRef/>
      </w:r>
      <w:r>
        <w:t xml:space="preserve"> </w:t>
      </w:r>
      <w:r>
        <w:tab/>
        <w:t xml:space="preserve">Pièce PQ-4 modifiée, p. 10-11. </w:t>
      </w:r>
    </w:p>
  </w:footnote>
  <w:footnote w:id="271">
    <w:p w14:paraId="7FDA1EE6" w14:textId="77777777" w:rsidR="00DD45A5" w:rsidRDefault="00730A01">
      <w:pPr>
        <w:pStyle w:val="Notedebasdepage"/>
      </w:pPr>
      <w:r>
        <w:rPr>
          <w:rStyle w:val="Appelnotedebasdep"/>
        </w:rPr>
        <w:footnoteRef/>
      </w:r>
      <w:r>
        <w:t xml:space="preserve"> </w:t>
      </w:r>
      <w:r w:rsidR="00D13EE6">
        <w:tab/>
      </w:r>
      <w:r w:rsidRPr="00D13EE6">
        <w:rPr>
          <w:rFonts w:cs="Arial"/>
          <w:lang w:eastAsia="fr-CA"/>
        </w:rPr>
        <w:t>Pièce PQ-240</w:t>
      </w:r>
      <w:r w:rsidR="00D13EE6" w:rsidRPr="00D13EE6">
        <w:rPr>
          <w:rFonts w:cs="Arial"/>
          <w:lang w:eastAsia="fr-CA"/>
        </w:rPr>
        <w:t>;</w:t>
      </w:r>
      <w:r w:rsidR="00D13EE6">
        <w:rPr>
          <w:rFonts w:cs="Arial"/>
          <w:lang w:eastAsia="fr-CA"/>
        </w:rPr>
        <w:t xml:space="preserve"> </w:t>
      </w:r>
      <w:r w:rsidR="00D13EE6" w:rsidRPr="00D13EE6">
        <w:rPr>
          <w:rFonts w:eastAsia="ArialMT" w:cs="Arial"/>
        </w:rPr>
        <w:t xml:space="preserve">L’enregistrement audio de la signification des procédures daté du 30 </w:t>
      </w:r>
      <w:r w:rsidR="00D13EE6" w:rsidRPr="00D13EE6">
        <w:rPr>
          <w:rFonts w:cs="Arial"/>
        </w:rPr>
        <w:t>juin</w:t>
      </w:r>
      <w:r w:rsidR="00D13EE6" w:rsidRPr="00D13EE6">
        <w:rPr>
          <w:rFonts w:cs="Arial"/>
          <w:lang w:eastAsia="fr-CA"/>
        </w:rPr>
        <w:t xml:space="preserve"> 2023 est produit par les</w:t>
      </w:r>
      <w:r w:rsidR="00D13EE6">
        <w:rPr>
          <w:rFonts w:cs="Arial"/>
          <w:lang w:eastAsia="fr-CA"/>
        </w:rPr>
        <w:t xml:space="preserve"> </w:t>
      </w:r>
      <w:r w:rsidR="00D13EE6" w:rsidRPr="00D13EE6">
        <w:rPr>
          <w:rFonts w:cs="Arial"/>
          <w:lang w:eastAsia="fr-CA"/>
        </w:rPr>
        <w:t>Défendeurs sous la pièce D-517</w:t>
      </w:r>
      <w:r w:rsidR="00D13EE6">
        <w:rPr>
          <w:rFonts w:cs="Arial"/>
          <w:lang w:eastAsia="fr-CA"/>
        </w:rPr>
        <w:t>.</w:t>
      </w:r>
    </w:p>
  </w:footnote>
  <w:footnote w:id="272">
    <w:p w14:paraId="6DE057AF" w14:textId="77777777" w:rsidR="00DD45A5" w:rsidRDefault="00730A01">
      <w:pPr>
        <w:pStyle w:val="Notedebasdepage"/>
      </w:pPr>
      <w:r>
        <w:rPr>
          <w:rStyle w:val="Appelnotedebasdep"/>
        </w:rPr>
        <w:footnoteRef/>
      </w:r>
      <w:r>
        <w:t xml:space="preserve"> </w:t>
      </w:r>
      <w:r>
        <w:tab/>
      </w:r>
      <w:r w:rsidRPr="00DD45A5">
        <w:rPr>
          <w:rFonts w:cs="Arial"/>
          <w:lang w:eastAsia="fr-CA"/>
        </w:rPr>
        <w:t>Pièce PQ-241</w:t>
      </w:r>
      <w:r w:rsidR="00D13EE6">
        <w:rPr>
          <w:rFonts w:cs="Arial"/>
          <w:lang w:eastAsia="fr-CA"/>
        </w:rPr>
        <w:t xml:space="preserve">; </w:t>
      </w:r>
      <w:r w:rsidR="00353687">
        <w:rPr>
          <w:rFonts w:cs="Arial"/>
          <w:lang w:eastAsia="fr-CA"/>
        </w:rPr>
        <w:t>Pièces PQ-4 modifiée, p. 11 et PQ-195, p. 2, point « IRG-4 ».</w:t>
      </w:r>
    </w:p>
  </w:footnote>
  <w:footnote w:id="273">
    <w:p w14:paraId="5290D7C6" w14:textId="77777777" w:rsidR="00DD45A5" w:rsidRDefault="00730A01">
      <w:pPr>
        <w:pStyle w:val="Notedebasdepage"/>
      </w:pPr>
      <w:r>
        <w:rPr>
          <w:rStyle w:val="Appelnotedebasdep"/>
        </w:rPr>
        <w:footnoteRef/>
      </w:r>
      <w:r>
        <w:t xml:space="preserve"> </w:t>
      </w:r>
      <w:r>
        <w:tab/>
        <w:t>Pièce PQ-4 modifiée, p. 9 et PQ-97.3.1.</w:t>
      </w:r>
    </w:p>
  </w:footnote>
  <w:footnote w:id="274">
    <w:p w14:paraId="19B2A2DF" w14:textId="77777777" w:rsidR="008743D0" w:rsidRDefault="00730A01">
      <w:pPr>
        <w:pStyle w:val="Notedebasdepage"/>
      </w:pPr>
      <w:r>
        <w:rPr>
          <w:rStyle w:val="Appelnotedebasdep"/>
        </w:rPr>
        <w:footnoteRef/>
      </w:r>
      <w:r>
        <w:t xml:space="preserve"> </w:t>
      </w:r>
      <w:r>
        <w:tab/>
        <w:t>Pièce PQ-97.3.1, p. 4-5.</w:t>
      </w:r>
    </w:p>
  </w:footnote>
  <w:footnote w:id="275">
    <w:p w14:paraId="751EF39D" w14:textId="77777777" w:rsidR="008743D0" w:rsidRDefault="00730A01">
      <w:pPr>
        <w:pStyle w:val="Notedebasdepage"/>
      </w:pPr>
      <w:r>
        <w:rPr>
          <w:rStyle w:val="Appelnotedebasdep"/>
        </w:rPr>
        <w:footnoteRef/>
      </w:r>
      <w:r>
        <w:t xml:space="preserve"> </w:t>
      </w:r>
      <w:r>
        <w:tab/>
        <w:t>Pièce PQ-97.3.1, p. 1.</w:t>
      </w:r>
    </w:p>
  </w:footnote>
  <w:footnote w:id="276">
    <w:p w14:paraId="3F74CD7D" w14:textId="77777777" w:rsidR="008743D0" w:rsidRDefault="00730A01">
      <w:pPr>
        <w:pStyle w:val="Notedebasdepage"/>
      </w:pPr>
      <w:r>
        <w:rPr>
          <w:rStyle w:val="Appelnotedebasdep"/>
        </w:rPr>
        <w:footnoteRef/>
      </w:r>
      <w:r>
        <w:t xml:space="preserve"> </w:t>
      </w:r>
      <w:r>
        <w:tab/>
        <w:t>Pièce PQ-97, p. 1-2, 5.</w:t>
      </w:r>
    </w:p>
  </w:footnote>
  <w:footnote w:id="277">
    <w:p w14:paraId="7EFC0D32" w14:textId="77777777" w:rsidR="008743D0" w:rsidRDefault="00730A01">
      <w:pPr>
        <w:pStyle w:val="Notedebasdepage"/>
      </w:pPr>
      <w:r>
        <w:rPr>
          <w:rStyle w:val="Appelnotedebasdep"/>
        </w:rPr>
        <w:footnoteRef/>
      </w:r>
      <w:r>
        <w:t xml:space="preserve"> </w:t>
      </w:r>
      <w:r>
        <w:tab/>
        <w:t>Pièce PQ-97.3.1, p. 3.</w:t>
      </w:r>
    </w:p>
  </w:footnote>
  <w:footnote w:id="278">
    <w:p w14:paraId="269340BC" w14:textId="77777777" w:rsidR="00510C58" w:rsidRDefault="00730A01" w:rsidP="00510C58">
      <w:pPr>
        <w:pStyle w:val="Notedebasdepage"/>
      </w:pPr>
      <w:r>
        <w:rPr>
          <w:rStyle w:val="Appelnotedebasdep"/>
        </w:rPr>
        <w:footnoteRef/>
      </w:r>
      <w:r>
        <w:t xml:space="preserve"> </w:t>
      </w:r>
      <w:r>
        <w:tab/>
        <w:t xml:space="preserve">Pièce </w:t>
      </w:r>
      <w:r w:rsidRPr="00D15EEA">
        <w:rPr>
          <w:rFonts w:cs="Arial"/>
          <w:lang w:eastAsia="fr-CA"/>
        </w:rPr>
        <w:t>PQ</w:t>
      </w:r>
      <w:r w:rsidRPr="00467FA7">
        <w:rPr>
          <w:rFonts w:cs="Arial"/>
          <w:lang w:eastAsia="fr-CA"/>
        </w:rPr>
        <w:t>-9.3,</w:t>
      </w:r>
      <w:r w:rsidRPr="00D15EEA">
        <w:rPr>
          <w:rFonts w:cs="Arial"/>
          <w:lang w:eastAsia="fr-CA"/>
        </w:rPr>
        <w:t xml:space="preserve"> NS interrogatoire préalable de St-Gelais du 31 août 2023 par Me Valin, pièce PQ-9.3, p. 15-16</w:t>
      </w:r>
      <w:r>
        <w:rPr>
          <w:rFonts w:cs="Arial"/>
          <w:lang w:eastAsia="fr-CA"/>
        </w:rPr>
        <w:t>.</w:t>
      </w:r>
    </w:p>
  </w:footnote>
  <w:footnote w:id="279">
    <w:p w14:paraId="7A2732A7" w14:textId="77777777" w:rsidR="005279FC" w:rsidRDefault="00730A01" w:rsidP="005279FC">
      <w:pPr>
        <w:pStyle w:val="Notedebasdepage"/>
      </w:pPr>
      <w:r>
        <w:rPr>
          <w:rStyle w:val="Appelnotedebasdep"/>
        </w:rPr>
        <w:footnoteRef/>
      </w:r>
      <w:r>
        <w:t xml:space="preserve"> </w:t>
      </w:r>
      <w:r>
        <w:tab/>
        <w:t xml:space="preserve">Pièce PQ-97.3.1, p. 5. </w:t>
      </w:r>
      <w:r w:rsidRPr="005279FC">
        <w:t xml:space="preserve">Il est </w:t>
      </w:r>
      <w:r w:rsidRPr="005279FC">
        <w:rPr>
          <w:rFonts w:hint="eastAsia"/>
        </w:rPr>
        <w:t>à</w:t>
      </w:r>
      <w:r w:rsidRPr="005279FC">
        <w:t xml:space="preserve"> noter qu</w:t>
      </w:r>
      <w:r w:rsidRPr="005279FC">
        <w:rPr>
          <w:rFonts w:hint="eastAsia"/>
        </w:rPr>
        <w:t>’</w:t>
      </w:r>
      <w:r w:rsidRPr="005279FC">
        <w:t xml:space="preserve">aucune avance </w:t>
      </w:r>
      <w:r w:rsidRPr="005279FC">
        <w:rPr>
          <w:rFonts w:hint="eastAsia"/>
        </w:rPr>
        <w:t>à</w:t>
      </w:r>
      <w:r w:rsidRPr="005279FC">
        <w:t xml:space="preserve"> Diane Jobin n</w:t>
      </w:r>
      <w:r w:rsidRPr="005279FC">
        <w:rPr>
          <w:rFonts w:hint="eastAsia"/>
        </w:rPr>
        <w:t>’</w:t>
      </w:r>
      <w:r w:rsidRPr="005279FC">
        <w:t xml:space="preserve">a </w:t>
      </w:r>
      <w:r w:rsidRPr="005279FC">
        <w:rPr>
          <w:rFonts w:hint="eastAsia"/>
        </w:rPr>
        <w:t>é</w:t>
      </w:r>
      <w:r w:rsidRPr="005279FC">
        <w:t>t</w:t>
      </w:r>
      <w:r w:rsidRPr="005279FC">
        <w:rPr>
          <w:rFonts w:hint="eastAsia"/>
        </w:rPr>
        <w:t>é</w:t>
      </w:r>
      <w:r w:rsidRPr="005279FC">
        <w:t xml:space="preserve"> r</w:t>
      </w:r>
      <w:r w:rsidRPr="005279FC">
        <w:rPr>
          <w:rFonts w:hint="eastAsia"/>
        </w:rPr>
        <w:t>é</w:t>
      </w:r>
      <w:r w:rsidRPr="005279FC">
        <w:t>pertori</w:t>
      </w:r>
      <w:r w:rsidRPr="005279FC">
        <w:rPr>
          <w:rFonts w:hint="eastAsia"/>
        </w:rPr>
        <w:t>é</w:t>
      </w:r>
      <w:r w:rsidRPr="005279FC">
        <w:t>e, ce qui illustre d</w:t>
      </w:r>
      <w:r w:rsidRPr="005279FC">
        <w:rPr>
          <w:rFonts w:hint="eastAsia"/>
        </w:rPr>
        <w:t>’</w:t>
      </w:r>
      <w:r w:rsidRPr="005279FC">
        <w:t>autant plus l</w:t>
      </w:r>
      <w:r w:rsidRPr="005279FC">
        <w:rPr>
          <w:rFonts w:hint="eastAsia"/>
        </w:rPr>
        <w:t>’</w:t>
      </w:r>
      <w:r w:rsidRPr="005279FC">
        <w:t>absence</w:t>
      </w:r>
      <w:r>
        <w:t xml:space="preserve"> </w:t>
      </w:r>
      <w:r w:rsidRPr="005279FC">
        <w:t>de contrôle de celle-ci sur cette soci</w:t>
      </w:r>
      <w:r w:rsidRPr="005279FC">
        <w:rPr>
          <w:rFonts w:hint="eastAsia"/>
        </w:rPr>
        <w:t>é</w:t>
      </w:r>
      <w:r w:rsidRPr="005279FC">
        <w:t>t</w:t>
      </w:r>
      <w:r w:rsidRPr="005279FC">
        <w:rPr>
          <w:rFonts w:hint="eastAsia"/>
        </w:rPr>
        <w:t>é</w:t>
      </w:r>
      <w:r w:rsidRPr="005279FC">
        <w:t xml:space="preserve"> malgr</w:t>
      </w:r>
      <w:r w:rsidRPr="005279FC">
        <w:rPr>
          <w:rFonts w:hint="eastAsia"/>
        </w:rPr>
        <w:t>é</w:t>
      </w:r>
      <w:r w:rsidRPr="005279FC">
        <w:t xml:space="preserve"> son r</w:t>
      </w:r>
      <w:r w:rsidRPr="005279FC">
        <w:rPr>
          <w:rFonts w:hint="eastAsia"/>
        </w:rPr>
        <w:t>ô</w:t>
      </w:r>
      <w:r w:rsidRPr="005279FC">
        <w:t xml:space="preserve">le </w:t>
      </w:r>
      <w:r w:rsidRPr="005279FC">
        <w:rPr>
          <w:rFonts w:hint="eastAsia"/>
        </w:rPr>
        <w:t>à</w:t>
      </w:r>
      <w:r w:rsidRPr="005279FC">
        <w:t xml:space="preserve"> titre d</w:t>
      </w:r>
      <w:r w:rsidRPr="005279FC">
        <w:rPr>
          <w:rFonts w:hint="eastAsia"/>
        </w:rPr>
        <w:t>’</w:t>
      </w:r>
      <w:r w:rsidRPr="005279FC">
        <w:t>actionnaire et d</w:t>
      </w:r>
      <w:r w:rsidRPr="005279FC">
        <w:rPr>
          <w:rFonts w:hint="eastAsia"/>
        </w:rPr>
        <w:t>’</w:t>
      </w:r>
      <w:r w:rsidRPr="005279FC">
        <w:t>ancienne administratrice.</w:t>
      </w:r>
    </w:p>
  </w:footnote>
  <w:footnote w:id="280">
    <w:p w14:paraId="4CCF2003" w14:textId="77777777" w:rsidR="005279FC" w:rsidRDefault="00730A01">
      <w:pPr>
        <w:pStyle w:val="Notedebasdepage"/>
      </w:pPr>
      <w:r>
        <w:rPr>
          <w:rStyle w:val="Appelnotedebasdep"/>
        </w:rPr>
        <w:footnoteRef/>
      </w:r>
      <w:r>
        <w:t xml:space="preserve"> </w:t>
      </w:r>
      <w:r>
        <w:tab/>
        <w:t>Pièce PQ-97.3.1, p. 5.</w:t>
      </w:r>
    </w:p>
  </w:footnote>
  <w:footnote w:id="281">
    <w:p w14:paraId="410BE9EF" w14:textId="77777777" w:rsidR="005279FC" w:rsidRPr="005279FC" w:rsidRDefault="00730A01">
      <w:pPr>
        <w:pStyle w:val="Notedebasdepage"/>
        <w:rPr>
          <w:i/>
          <w:iCs/>
        </w:rPr>
      </w:pPr>
      <w:r>
        <w:rPr>
          <w:rStyle w:val="Appelnotedebasdep"/>
        </w:rPr>
        <w:footnoteRef/>
      </w:r>
      <w:r>
        <w:t xml:space="preserve"> </w:t>
      </w:r>
      <w:r>
        <w:tab/>
      </w:r>
      <w:r>
        <w:rPr>
          <w:i/>
          <w:iCs/>
        </w:rPr>
        <w:t>Id.</w:t>
      </w:r>
    </w:p>
  </w:footnote>
  <w:footnote w:id="282">
    <w:p w14:paraId="011A3D4F" w14:textId="77777777" w:rsidR="005279FC" w:rsidRDefault="00730A01">
      <w:pPr>
        <w:pStyle w:val="Notedebasdepage"/>
      </w:pPr>
      <w:r>
        <w:rPr>
          <w:rStyle w:val="Appelnotedebasdep"/>
        </w:rPr>
        <w:footnoteRef/>
      </w:r>
      <w:r>
        <w:t xml:space="preserve"> </w:t>
      </w:r>
      <w:r>
        <w:tab/>
        <w:t>Pièce PQ-</w:t>
      </w:r>
      <w:r w:rsidRPr="005279FC">
        <w:rPr>
          <w:rFonts w:cs="Arial"/>
          <w:szCs w:val="24"/>
          <w:lang w:eastAsia="fr-CA"/>
        </w:rPr>
        <w:t xml:space="preserve"> PQ-179, p. 13, ERG-30</w:t>
      </w:r>
      <w:r>
        <w:rPr>
          <w:rFonts w:cs="Arial"/>
          <w:szCs w:val="24"/>
          <w:lang w:eastAsia="fr-CA"/>
        </w:rPr>
        <w:t>.</w:t>
      </w:r>
    </w:p>
  </w:footnote>
  <w:footnote w:id="283">
    <w:p w14:paraId="66AEBE1D" w14:textId="77777777" w:rsidR="00F66E70" w:rsidRDefault="00730A01">
      <w:pPr>
        <w:pStyle w:val="Notedebasdepage"/>
      </w:pPr>
      <w:r>
        <w:rPr>
          <w:rStyle w:val="Appelnotedebasdep"/>
        </w:rPr>
        <w:footnoteRef/>
      </w:r>
      <w:r>
        <w:t xml:space="preserve"> </w:t>
      </w:r>
      <w:r>
        <w:tab/>
        <w:t>Pièce PQ-97.3.1, p. 5.</w:t>
      </w:r>
    </w:p>
  </w:footnote>
  <w:footnote w:id="284">
    <w:p w14:paraId="58C04423" w14:textId="77777777" w:rsidR="00F66E70" w:rsidRPr="00F66E70" w:rsidRDefault="00730A01">
      <w:pPr>
        <w:pStyle w:val="Notedebasdepage"/>
        <w:rPr>
          <w:i/>
          <w:iCs/>
        </w:rPr>
      </w:pPr>
      <w:r>
        <w:rPr>
          <w:rStyle w:val="Appelnotedebasdep"/>
        </w:rPr>
        <w:footnoteRef/>
      </w:r>
      <w:r>
        <w:t xml:space="preserve"> </w:t>
      </w:r>
      <w:r>
        <w:tab/>
      </w:r>
      <w:r>
        <w:rPr>
          <w:i/>
          <w:iCs/>
        </w:rPr>
        <w:t>Id.</w:t>
      </w:r>
    </w:p>
  </w:footnote>
  <w:footnote w:id="285">
    <w:p w14:paraId="6302E3B4" w14:textId="77777777" w:rsidR="00F66E70" w:rsidRDefault="00730A01">
      <w:pPr>
        <w:pStyle w:val="Notedebasdepage"/>
      </w:pPr>
      <w:r>
        <w:rPr>
          <w:rStyle w:val="Appelnotedebasdep"/>
        </w:rPr>
        <w:footnoteRef/>
      </w:r>
      <w:r>
        <w:t xml:space="preserve"> </w:t>
      </w:r>
      <w:r>
        <w:tab/>
        <w:t>Pièce PQ-97.3.1, p. 7.</w:t>
      </w:r>
    </w:p>
  </w:footnote>
  <w:footnote w:id="286">
    <w:p w14:paraId="00E66D4D" w14:textId="77777777" w:rsidR="00F66E70" w:rsidRPr="003B4B38" w:rsidRDefault="00730A01">
      <w:pPr>
        <w:pStyle w:val="Notedebasdepage"/>
        <w:rPr>
          <w:i/>
          <w:iCs/>
          <w:lang w:val="en-CA"/>
        </w:rPr>
      </w:pPr>
      <w:r>
        <w:rPr>
          <w:rStyle w:val="Appelnotedebasdep"/>
        </w:rPr>
        <w:footnoteRef/>
      </w:r>
      <w:r w:rsidRPr="003B4B38">
        <w:rPr>
          <w:lang w:val="en-CA"/>
        </w:rPr>
        <w:t xml:space="preserve"> </w:t>
      </w:r>
      <w:r w:rsidRPr="003B4B38">
        <w:rPr>
          <w:lang w:val="en-CA"/>
        </w:rPr>
        <w:tab/>
      </w:r>
      <w:r w:rsidRPr="003B4B38">
        <w:rPr>
          <w:i/>
          <w:iCs/>
          <w:lang w:val="en-CA"/>
        </w:rPr>
        <w:t>Id.</w:t>
      </w:r>
    </w:p>
  </w:footnote>
  <w:footnote w:id="287">
    <w:p w14:paraId="22FBCE95" w14:textId="77777777" w:rsidR="00F66E70" w:rsidRPr="003B4B38" w:rsidRDefault="00730A01">
      <w:pPr>
        <w:pStyle w:val="Notedebasdepage"/>
        <w:rPr>
          <w:i/>
          <w:iCs/>
          <w:lang w:val="en-CA"/>
        </w:rPr>
      </w:pPr>
      <w:r>
        <w:rPr>
          <w:rStyle w:val="Appelnotedebasdep"/>
        </w:rPr>
        <w:footnoteRef/>
      </w:r>
      <w:r w:rsidRPr="003B4B38">
        <w:rPr>
          <w:lang w:val="en-CA"/>
        </w:rPr>
        <w:t xml:space="preserve"> </w:t>
      </w:r>
      <w:r w:rsidRPr="003B4B38">
        <w:rPr>
          <w:lang w:val="en-CA"/>
        </w:rPr>
        <w:tab/>
      </w:r>
      <w:r w:rsidRPr="003B4B38">
        <w:rPr>
          <w:i/>
          <w:iCs/>
          <w:lang w:val="en-CA"/>
        </w:rPr>
        <w:t>Id.</w:t>
      </w:r>
    </w:p>
  </w:footnote>
  <w:footnote w:id="288">
    <w:p w14:paraId="3130F908" w14:textId="77777777" w:rsidR="00F66E70" w:rsidRPr="003B4B38" w:rsidRDefault="00730A01">
      <w:pPr>
        <w:pStyle w:val="Notedebasdepage"/>
        <w:rPr>
          <w:i/>
          <w:iCs/>
          <w:lang w:val="en-CA"/>
        </w:rPr>
      </w:pPr>
      <w:r>
        <w:rPr>
          <w:rStyle w:val="Appelnotedebasdep"/>
        </w:rPr>
        <w:footnoteRef/>
      </w:r>
      <w:r w:rsidRPr="003B4B38">
        <w:rPr>
          <w:lang w:val="en-CA"/>
        </w:rPr>
        <w:t xml:space="preserve"> </w:t>
      </w:r>
      <w:r w:rsidRPr="003B4B38">
        <w:rPr>
          <w:lang w:val="en-CA"/>
        </w:rPr>
        <w:tab/>
      </w:r>
      <w:r w:rsidRPr="003B4B38">
        <w:rPr>
          <w:i/>
          <w:iCs/>
          <w:lang w:val="en-CA"/>
        </w:rPr>
        <w:t>Id.</w:t>
      </w:r>
    </w:p>
  </w:footnote>
  <w:footnote w:id="289">
    <w:p w14:paraId="3ECE7126" w14:textId="77777777" w:rsidR="00F66E70" w:rsidRPr="003B4B38" w:rsidRDefault="00730A01">
      <w:pPr>
        <w:pStyle w:val="Notedebasdepage"/>
        <w:rPr>
          <w:i/>
          <w:iCs/>
          <w:lang w:val="en-CA"/>
        </w:rPr>
      </w:pPr>
      <w:r>
        <w:rPr>
          <w:rStyle w:val="Appelnotedebasdep"/>
        </w:rPr>
        <w:footnoteRef/>
      </w:r>
      <w:r w:rsidRPr="003B4B38">
        <w:rPr>
          <w:lang w:val="en-CA"/>
        </w:rPr>
        <w:t xml:space="preserve"> </w:t>
      </w:r>
      <w:r w:rsidRPr="003B4B38">
        <w:rPr>
          <w:lang w:val="en-CA"/>
        </w:rPr>
        <w:tab/>
      </w:r>
      <w:r w:rsidRPr="003B4B38">
        <w:rPr>
          <w:i/>
          <w:iCs/>
          <w:lang w:val="en-CA"/>
        </w:rPr>
        <w:t>Id.</w:t>
      </w:r>
    </w:p>
  </w:footnote>
  <w:footnote w:id="290">
    <w:p w14:paraId="10D79AB5" w14:textId="77777777" w:rsidR="00F66E70" w:rsidRPr="003B4B38" w:rsidRDefault="00730A01">
      <w:pPr>
        <w:pStyle w:val="Notedebasdepage"/>
        <w:rPr>
          <w:i/>
          <w:iCs/>
          <w:lang w:val="en-CA"/>
        </w:rPr>
      </w:pPr>
      <w:r>
        <w:rPr>
          <w:rStyle w:val="Appelnotedebasdep"/>
        </w:rPr>
        <w:footnoteRef/>
      </w:r>
      <w:r w:rsidRPr="003B4B38">
        <w:rPr>
          <w:lang w:val="en-CA"/>
        </w:rPr>
        <w:t xml:space="preserve"> </w:t>
      </w:r>
      <w:r w:rsidRPr="003B4B38">
        <w:rPr>
          <w:lang w:val="en-CA"/>
        </w:rPr>
        <w:tab/>
      </w:r>
      <w:r w:rsidRPr="003B4B38">
        <w:rPr>
          <w:i/>
          <w:iCs/>
          <w:lang w:val="en-CA"/>
        </w:rPr>
        <w:t>Id.</w:t>
      </w:r>
    </w:p>
  </w:footnote>
  <w:footnote w:id="291">
    <w:p w14:paraId="3A56D018" w14:textId="77777777" w:rsidR="00F66E70" w:rsidRPr="00F66E70" w:rsidRDefault="00730A01">
      <w:pPr>
        <w:pStyle w:val="Notedebasdepage"/>
        <w:rPr>
          <w:i/>
          <w:iCs/>
        </w:rPr>
      </w:pPr>
      <w:r>
        <w:rPr>
          <w:rStyle w:val="Appelnotedebasdep"/>
        </w:rPr>
        <w:footnoteRef/>
      </w:r>
      <w:r>
        <w:t xml:space="preserve"> </w:t>
      </w:r>
      <w:r>
        <w:tab/>
      </w:r>
      <w:r>
        <w:rPr>
          <w:i/>
          <w:iCs/>
        </w:rPr>
        <w:t>Id.</w:t>
      </w:r>
    </w:p>
  </w:footnote>
  <w:footnote w:id="292">
    <w:p w14:paraId="2F7A075B" w14:textId="77777777" w:rsidR="00F66E70" w:rsidRDefault="00730A01">
      <w:pPr>
        <w:pStyle w:val="Notedebasdepage"/>
      </w:pPr>
      <w:r>
        <w:rPr>
          <w:rStyle w:val="Appelnotedebasdep"/>
        </w:rPr>
        <w:footnoteRef/>
      </w:r>
      <w:r>
        <w:t xml:space="preserve"> </w:t>
      </w:r>
      <w:r>
        <w:tab/>
        <w:t>Pièce PQ-97.3.1, p. 8.</w:t>
      </w:r>
    </w:p>
  </w:footnote>
  <w:footnote w:id="293">
    <w:p w14:paraId="7778F157" w14:textId="77777777" w:rsidR="001339B7" w:rsidRPr="001339B7" w:rsidRDefault="00730A01">
      <w:pPr>
        <w:pStyle w:val="Notedebasdepage"/>
        <w:rPr>
          <w:i/>
          <w:iCs/>
        </w:rPr>
      </w:pPr>
      <w:r>
        <w:rPr>
          <w:rStyle w:val="Appelnotedebasdep"/>
        </w:rPr>
        <w:footnoteRef/>
      </w:r>
      <w:r>
        <w:t xml:space="preserve"> </w:t>
      </w:r>
      <w:r>
        <w:tab/>
      </w:r>
      <w:r>
        <w:rPr>
          <w:i/>
          <w:iCs/>
        </w:rPr>
        <w:t>Id.</w:t>
      </w:r>
    </w:p>
  </w:footnote>
  <w:footnote w:id="294">
    <w:p w14:paraId="75CF9B27" w14:textId="77777777" w:rsidR="001339B7" w:rsidRPr="001339B7" w:rsidRDefault="00730A01">
      <w:pPr>
        <w:pStyle w:val="Notedebasdepage"/>
        <w:rPr>
          <w:i/>
          <w:iCs/>
        </w:rPr>
      </w:pPr>
      <w:r>
        <w:rPr>
          <w:rStyle w:val="Appelnotedebasdep"/>
        </w:rPr>
        <w:footnoteRef/>
      </w:r>
      <w:r>
        <w:t xml:space="preserve"> </w:t>
      </w:r>
      <w:r>
        <w:tab/>
      </w:r>
      <w:r>
        <w:rPr>
          <w:i/>
          <w:iCs/>
        </w:rPr>
        <w:t>Id.</w:t>
      </w:r>
    </w:p>
  </w:footnote>
  <w:footnote w:id="295">
    <w:p w14:paraId="38800D72" w14:textId="77777777" w:rsidR="001339B7" w:rsidRPr="001339B7" w:rsidRDefault="00730A01">
      <w:pPr>
        <w:pStyle w:val="Notedebasdepage"/>
        <w:rPr>
          <w:i/>
          <w:iCs/>
        </w:rPr>
      </w:pPr>
      <w:r>
        <w:rPr>
          <w:rStyle w:val="Appelnotedebasdep"/>
        </w:rPr>
        <w:footnoteRef/>
      </w:r>
      <w:r>
        <w:t xml:space="preserve"> </w:t>
      </w:r>
      <w:r>
        <w:tab/>
      </w:r>
      <w:r>
        <w:rPr>
          <w:i/>
          <w:iCs/>
        </w:rPr>
        <w:t>Id.</w:t>
      </w:r>
    </w:p>
  </w:footnote>
  <w:footnote w:id="296">
    <w:p w14:paraId="2390A602" w14:textId="77777777" w:rsidR="001339B7" w:rsidRPr="001339B7" w:rsidRDefault="00730A01">
      <w:pPr>
        <w:pStyle w:val="Notedebasdepage"/>
        <w:rPr>
          <w:i/>
          <w:iCs/>
        </w:rPr>
      </w:pPr>
      <w:r>
        <w:rPr>
          <w:rStyle w:val="Appelnotedebasdep"/>
        </w:rPr>
        <w:footnoteRef/>
      </w:r>
      <w:r>
        <w:t xml:space="preserve"> </w:t>
      </w:r>
      <w:r>
        <w:tab/>
      </w:r>
      <w:r>
        <w:rPr>
          <w:i/>
          <w:iCs/>
        </w:rPr>
        <w:t>Id.</w:t>
      </w:r>
    </w:p>
  </w:footnote>
  <w:footnote w:id="297">
    <w:p w14:paraId="7F3D5B29" w14:textId="77777777" w:rsidR="0039336D" w:rsidRDefault="00730A01">
      <w:pPr>
        <w:pStyle w:val="Notedebasdepage"/>
      </w:pPr>
      <w:r>
        <w:rPr>
          <w:rStyle w:val="Appelnotedebasdep"/>
        </w:rPr>
        <w:footnoteRef/>
      </w:r>
      <w:r>
        <w:t xml:space="preserve"> </w:t>
      </w:r>
      <w:r>
        <w:tab/>
        <w:t>Pièce PQ-97.3.1, p. 9.</w:t>
      </w:r>
    </w:p>
  </w:footnote>
  <w:footnote w:id="298">
    <w:p w14:paraId="6FDF3C30" w14:textId="77777777" w:rsidR="0039336D" w:rsidRPr="0039336D" w:rsidRDefault="00730A01">
      <w:pPr>
        <w:pStyle w:val="Notedebasdepage"/>
        <w:rPr>
          <w:i/>
          <w:iCs/>
        </w:rPr>
      </w:pPr>
      <w:r>
        <w:rPr>
          <w:rStyle w:val="Appelnotedebasdep"/>
        </w:rPr>
        <w:footnoteRef/>
      </w:r>
      <w:r>
        <w:t xml:space="preserve"> </w:t>
      </w:r>
      <w:r>
        <w:tab/>
      </w:r>
      <w:r>
        <w:rPr>
          <w:i/>
          <w:iCs/>
        </w:rPr>
        <w:t>Id.</w:t>
      </w:r>
    </w:p>
  </w:footnote>
  <w:footnote w:id="299">
    <w:p w14:paraId="6214E6DC" w14:textId="77777777" w:rsidR="0039336D" w:rsidRPr="0039336D" w:rsidRDefault="00730A01">
      <w:pPr>
        <w:pStyle w:val="Notedebasdepage"/>
        <w:rPr>
          <w:i/>
          <w:iCs/>
        </w:rPr>
      </w:pPr>
      <w:r>
        <w:rPr>
          <w:rStyle w:val="Appelnotedebasdep"/>
        </w:rPr>
        <w:footnoteRef/>
      </w:r>
      <w:r>
        <w:t xml:space="preserve"> </w:t>
      </w:r>
      <w:r>
        <w:tab/>
      </w:r>
      <w:r>
        <w:rPr>
          <w:i/>
          <w:iCs/>
        </w:rPr>
        <w:t>Id.</w:t>
      </w:r>
    </w:p>
  </w:footnote>
  <w:footnote w:id="300">
    <w:p w14:paraId="56E975A4" w14:textId="77777777" w:rsidR="0039336D" w:rsidRPr="0039336D" w:rsidRDefault="00730A01">
      <w:pPr>
        <w:pStyle w:val="Notedebasdepage"/>
        <w:rPr>
          <w:i/>
          <w:iCs/>
        </w:rPr>
      </w:pPr>
      <w:r>
        <w:rPr>
          <w:rStyle w:val="Appelnotedebasdep"/>
        </w:rPr>
        <w:footnoteRef/>
      </w:r>
      <w:r>
        <w:t xml:space="preserve"> </w:t>
      </w:r>
      <w:r>
        <w:tab/>
      </w:r>
      <w:r>
        <w:rPr>
          <w:i/>
          <w:iCs/>
        </w:rPr>
        <w:t>Id.</w:t>
      </w:r>
    </w:p>
  </w:footnote>
  <w:footnote w:id="301">
    <w:p w14:paraId="5552E7BF" w14:textId="77777777" w:rsidR="0039336D" w:rsidRPr="0039336D" w:rsidRDefault="00730A01">
      <w:pPr>
        <w:pStyle w:val="Notedebasdepage"/>
        <w:rPr>
          <w:i/>
          <w:iCs/>
        </w:rPr>
      </w:pPr>
      <w:r>
        <w:rPr>
          <w:rStyle w:val="Appelnotedebasdep"/>
        </w:rPr>
        <w:footnoteRef/>
      </w:r>
      <w:r>
        <w:t xml:space="preserve"> </w:t>
      </w:r>
      <w:r>
        <w:tab/>
      </w:r>
      <w:r>
        <w:rPr>
          <w:i/>
          <w:iCs/>
        </w:rPr>
        <w:t>Id.</w:t>
      </w:r>
    </w:p>
  </w:footnote>
  <w:footnote w:id="302">
    <w:p w14:paraId="68917C0D" w14:textId="77777777" w:rsidR="001339B7" w:rsidRDefault="00730A01">
      <w:pPr>
        <w:pStyle w:val="Notedebasdepage"/>
      </w:pPr>
      <w:r>
        <w:rPr>
          <w:rStyle w:val="Appelnotedebasdep"/>
        </w:rPr>
        <w:footnoteRef/>
      </w:r>
      <w:r>
        <w:t xml:space="preserve"> </w:t>
      </w:r>
      <w:r>
        <w:tab/>
      </w:r>
      <w:r w:rsidR="00F7576A" w:rsidRPr="00F7576A">
        <w:t xml:space="preserve">Voir </w:t>
      </w:r>
      <w:r w:rsidR="00F7576A" w:rsidRPr="00F7576A">
        <w:rPr>
          <w:rFonts w:hint="eastAsia"/>
        </w:rPr>
        <w:t>é</w:t>
      </w:r>
      <w:r w:rsidR="00F7576A" w:rsidRPr="00F7576A">
        <w:t>galement l</w:t>
      </w:r>
      <w:r w:rsidR="00F7576A" w:rsidRPr="00F7576A">
        <w:rPr>
          <w:rFonts w:hint="eastAsia"/>
        </w:rPr>
        <w:t>’</w:t>
      </w:r>
      <w:r w:rsidR="00F7576A" w:rsidRPr="00F7576A">
        <w:t>analyse r</w:t>
      </w:r>
      <w:r w:rsidR="00F7576A" w:rsidRPr="00F7576A">
        <w:rPr>
          <w:rFonts w:hint="eastAsia"/>
        </w:rPr>
        <w:t>é</w:t>
      </w:r>
      <w:r w:rsidR="00F7576A" w:rsidRPr="00F7576A">
        <w:t>alis</w:t>
      </w:r>
      <w:r w:rsidR="00F7576A" w:rsidRPr="00F7576A">
        <w:rPr>
          <w:rFonts w:hint="eastAsia"/>
        </w:rPr>
        <w:t>é</w:t>
      </w:r>
      <w:r w:rsidR="00F7576A" w:rsidRPr="00F7576A">
        <w:t xml:space="preserve">e par KPMG </w:t>
      </w:r>
      <w:r w:rsidR="00F7576A" w:rsidRPr="00F7576A">
        <w:rPr>
          <w:rFonts w:hint="eastAsia"/>
        </w:rPr>
        <w:t>à</w:t>
      </w:r>
      <w:r w:rsidR="00F7576A" w:rsidRPr="00F7576A">
        <w:t xml:space="preserve"> la pi</w:t>
      </w:r>
      <w:r w:rsidR="00F7576A" w:rsidRPr="00F7576A">
        <w:rPr>
          <w:rFonts w:hint="eastAsia"/>
        </w:rPr>
        <w:t>è</w:t>
      </w:r>
      <w:r w:rsidR="00F7576A" w:rsidRPr="00F7576A">
        <w:t>ce EP-1, par. 1126-1133.</w:t>
      </w:r>
    </w:p>
  </w:footnote>
  <w:footnote w:id="303">
    <w:p w14:paraId="3050ED9E" w14:textId="77777777" w:rsidR="004B05B7" w:rsidRDefault="00730A01">
      <w:pPr>
        <w:pStyle w:val="Notedebasdepage"/>
      </w:pPr>
      <w:r>
        <w:rPr>
          <w:rStyle w:val="Appelnotedebasdep"/>
        </w:rPr>
        <w:footnoteRef/>
      </w:r>
      <w:r>
        <w:t xml:space="preserve"> </w:t>
      </w:r>
      <w:r>
        <w:tab/>
      </w:r>
      <w:r>
        <w:rPr>
          <w:lang w:eastAsia="fr-CA"/>
        </w:rPr>
        <w:t>P</w:t>
      </w:r>
      <w:r w:rsidRPr="00451EF9">
        <w:rPr>
          <w:lang w:eastAsia="fr-CA"/>
        </w:rPr>
        <w:t>ièces PQ-180, p. 6 et PQ-185</w:t>
      </w:r>
      <w:r>
        <w:rPr>
          <w:lang w:eastAsia="fr-CA"/>
        </w:rPr>
        <w:t>.</w:t>
      </w:r>
    </w:p>
  </w:footnote>
  <w:footnote w:id="304">
    <w:p w14:paraId="2BB899A5" w14:textId="77777777" w:rsidR="004B05B7" w:rsidRDefault="00730A01">
      <w:pPr>
        <w:pStyle w:val="Notedebasdepage"/>
      </w:pPr>
      <w:r>
        <w:rPr>
          <w:rStyle w:val="Appelnotedebasdep"/>
        </w:rPr>
        <w:footnoteRef/>
      </w:r>
      <w:r>
        <w:t xml:space="preserve"> </w:t>
      </w:r>
      <w:r>
        <w:tab/>
      </w:r>
      <w:r>
        <w:rPr>
          <w:lang w:eastAsia="fr-CA"/>
        </w:rPr>
        <w:t>P</w:t>
      </w:r>
      <w:r w:rsidRPr="00451EF9">
        <w:rPr>
          <w:lang w:eastAsia="fr-CA"/>
        </w:rPr>
        <w:t>ièce PQ-185, p. 1, frais</w:t>
      </w:r>
      <w:r>
        <w:rPr>
          <w:lang w:eastAsia="fr-CA"/>
        </w:rPr>
        <w:t xml:space="preserve"> </w:t>
      </w:r>
      <w:r w:rsidRPr="00451EF9">
        <w:rPr>
          <w:rFonts w:eastAsia="ArialMT"/>
        </w:rPr>
        <w:t>d’exploitation</w:t>
      </w:r>
    </w:p>
  </w:footnote>
  <w:footnote w:id="305">
    <w:p w14:paraId="63EB2136" w14:textId="77777777" w:rsidR="004B05B7" w:rsidRDefault="00730A01">
      <w:pPr>
        <w:pStyle w:val="Notedebasdepage"/>
      </w:pPr>
      <w:r>
        <w:rPr>
          <w:rStyle w:val="Appelnotedebasdep"/>
        </w:rPr>
        <w:footnoteRef/>
      </w:r>
      <w:r>
        <w:t xml:space="preserve"> </w:t>
      </w:r>
      <w:r>
        <w:tab/>
      </w:r>
      <w:r>
        <w:rPr>
          <w:lang w:eastAsia="fr-CA"/>
        </w:rPr>
        <w:t>P</w:t>
      </w:r>
      <w:r w:rsidRPr="00451EF9">
        <w:rPr>
          <w:lang w:eastAsia="fr-CA"/>
        </w:rPr>
        <w:t>ièce PQ-185, p. 3, actif</w:t>
      </w:r>
      <w:r>
        <w:rPr>
          <w:lang w:eastAsia="fr-CA"/>
        </w:rPr>
        <w:t>.</w:t>
      </w:r>
    </w:p>
  </w:footnote>
  <w:footnote w:id="306">
    <w:p w14:paraId="4E65FF64" w14:textId="77777777" w:rsidR="004B05B7" w:rsidRDefault="00730A01">
      <w:pPr>
        <w:pStyle w:val="Notedebasdepage"/>
      </w:pPr>
      <w:r>
        <w:rPr>
          <w:rStyle w:val="Appelnotedebasdep"/>
        </w:rPr>
        <w:footnoteRef/>
      </w:r>
      <w:r>
        <w:t xml:space="preserve"> </w:t>
      </w:r>
      <w:r>
        <w:tab/>
        <w:t>Pièce PQ-181.</w:t>
      </w:r>
    </w:p>
  </w:footnote>
  <w:footnote w:id="307">
    <w:p w14:paraId="3A0372F3" w14:textId="77777777" w:rsidR="004B05B7" w:rsidRDefault="00730A01">
      <w:pPr>
        <w:pStyle w:val="Notedebasdepage"/>
      </w:pPr>
      <w:r>
        <w:rPr>
          <w:rStyle w:val="Appelnotedebasdep"/>
        </w:rPr>
        <w:footnoteRef/>
      </w:r>
      <w:r>
        <w:t xml:space="preserve"> </w:t>
      </w:r>
      <w:r>
        <w:tab/>
        <w:t xml:space="preserve">Pièces </w:t>
      </w:r>
      <w:r w:rsidRPr="00451EF9">
        <w:rPr>
          <w:lang w:eastAsia="fr-CA"/>
        </w:rPr>
        <w:t>PQ-182, p. 3 et PQ-186</w:t>
      </w:r>
      <w:r>
        <w:rPr>
          <w:lang w:eastAsia="fr-CA"/>
        </w:rPr>
        <w:t>.</w:t>
      </w:r>
    </w:p>
  </w:footnote>
  <w:footnote w:id="308">
    <w:p w14:paraId="315DA307" w14:textId="77777777" w:rsidR="004B05B7" w:rsidRDefault="00730A01">
      <w:pPr>
        <w:pStyle w:val="Notedebasdepage"/>
      </w:pPr>
      <w:r>
        <w:rPr>
          <w:rStyle w:val="Appelnotedebasdep"/>
        </w:rPr>
        <w:footnoteRef/>
      </w:r>
      <w:r>
        <w:t xml:space="preserve"> </w:t>
      </w:r>
      <w:r>
        <w:tab/>
        <w:t>P</w:t>
      </w:r>
      <w:r w:rsidRPr="00451EF9">
        <w:rPr>
          <w:lang w:eastAsia="fr-CA"/>
        </w:rPr>
        <w:t>ièce PQ-182, p. 6</w:t>
      </w:r>
      <w:r>
        <w:rPr>
          <w:lang w:eastAsia="fr-CA"/>
        </w:rPr>
        <w:t>.</w:t>
      </w:r>
    </w:p>
  </w:footnote>
  <w:footnote w:id="309">
    <w:p w14:paraId="704419B5" w14:textId="77777777" w:rsidR="004B05B7" w:rsidRDefault="00730A01">
      <w:pPr>
        <w:pStyle w:val="Notedebasdepage"/>
      </w:pPr>
      <w:r>
        <w:rPr>
          <w:rStyle w:val="Appelnotedebasdep"/>
        </w:rPr>
        <w:footnoteRef/>
      </w:r>
      <w:r>
        <w:t xml:space="preserve"> </w:t>
      </w:r>
      <w:r>
        <w:tab/>
        <w:t>Pièce PQ-</w:t>
      </w:r>
      <w:r w:rsidRPr="00451EF9">
        <w:rPr>
          <w:lang w:eastAsia="fr-CA"/>
        </w:rPr>
        <w:t>183, p. 3</w:t>
      </w:r>
      <w:r>
        <w:rPr>
          <w:lang w:eastAsia="fr-CA"/>
        </w:rPr>
        <w:t xml:space="preserve"> </w:t>
      </w:r>
      <w:r w:rsidRPr="00451EF9">
        <w:rPr>
          <w:lang w:eastAsia="fr-CA"/>
        </w:rPr>
        <w:t>et PQ-187</w:t>
      </w:r>
      <w:r>
        <w:rPr>
          <w:lang w:eastAsia="fr-CA"/>
        </w:rPr>
        <w:t>.</w:t>
      </w:r>
    </w:p>
  </w:footnote>
  <w:footnote w:id="310">
    <w:p w14:paraId="7F9B309B" w14:textId="77777777" w:rsidR="004B05B7" w:rsidRDefault="00730A01">
      <w:pPr>
        <w:pStyle w:val="Notedebasdepage"/>
      </w:pPr>
      <w:r>
        <w:rPr>
          <w:rStyle w:val="Appelnotedebasdep"/>
        </w:rPr>
        <w:footnoteRef/>
      </w:r>
      <w:r>
        <w:t xml:space="preserve"> </w:t>
      </w:r>
      <w:r>
        <w:tab/>
        <w:t>Cette somme semble avoir été révisée au montant de 8 675 175,07 $ dans la DSS sur actifs de Giroux</w:t>
      </w:r>
      <w:r w:rsidR="00722451">
        <w:t xml:space="preserve"> (p</w:t>
      </w:r>
      <w:r>
        <w:t>ièce PQ-97.3.1.</w:t>
      </w:r>
      <w:r w:rsidR="00722451">
        <w:t>).</w:t>
      </w:r>
    </w:p>
  </w:footnote>
  <w:footnote w:id="311">
    <w:p w14:paraId="7FA4B43F" w14:textId="77777777" w:rsidR="00722451" w:rsidRDefault="00730A01">
      <w:pPr>
        <w:pStyle w:val="Notedebasdepage"/>
      </w:pPr>
      <w:r>
        <w:rPr>
          <w:rStyle w:val="Appelnotedebasdep"/>
        </w:rPr>
        <w:footnoteRef/>
      </w:r>
      <w:r>
        <w:t xml:space="preserve"> </w:t>
      </w:r>
      <w:r>
        <w:tab/>
        <w:t>Pièces PQ-</w:t>
      </w:r>
      <w:r w:rsidRPr="00451EF9">
        <w:rPr>
          <w:lang w:eastAsia="fr-CA"/>
        </w:rPr>
        <w:t>184, p. 5 et PQ-188</w:t>
      </w:r>
      <w:r>
        <w:rPr>
          <w:lang w:eastAsia="fr-CA"/>
        </w:rPr>
        <w:t>,</w:t>
      </w:r>
    </w:p>
  </w:footnote>
  <w:footnote w:id="312">
    <w:p w14:paraId="6CA3E486" w14:textId="77777777" w:rsidR="00722451" w:rsidRDefault="00730A01">
      <w:pPr>
        <w:pStyle w:val="Notedebasdepage"/>
      </w:pPr>
      <w:r>
        <w:rPr>
          <w:rStyle w:val="Appelnotedebasdep"/>
        </w:rPr>
        <w:footnoteRef/>
      </w:r>
      <w:r>
        <w:t xml:space="preserve"> </w:t>
      </w:r>
      <w:r>
        <w:tab/>
        <w:t>Pièce PQ-179.</w:t>
      </w:r>
    </w:p>
  </w:footnote>
  <w:footnote w:id="313">
    <w:p w14:paraId="6682CA76" w14:textId="77777777" w:rsidR="00722451" w:rsidRDefault="00730A01">
      <w:pPr>
        <w:pStyle w:val="Notedebasdepage"/>
      </w:pPr>
      <w:r>
        <w:rPr>
          <w:rStyle w:val="Appelnotedebasdep"/>
        </w:rPr>
        <w:footnoteRef/>
      </w:r>
      <w:r>
        <w:t xml:space="preserve"> </w:t>
      </w:r>
      <w:r>
        <w:tab/>
        <w:t xml:space="preserve">La DSS </w:t>
      </w:r>
      <w:r w:rsidRPr="00451EF9">
        <w:rPr>
          <w:rFonts w:cs="Arial"/>
          <w:szCs w:val="24"/>
          <w:lang w:eastAsia="fr-CA"/>
        </w:rPr>
        <w:t>sur actifs de Giroux indique que celui-ci est propriétaire à titre personnel de sa résidence</w:t>
      </w:r>
      <w:r>
        <w:rPr>
          <w:rFonts w:cs="Arial"/>
          <w:szCs w:val="24"/>
          <w:lang w:eastAsia="fr-CA"/>
        </w:rPr>
        <w:t xml:space="preserve"> </w:t>
      </w:r>
      <w:r w:rsidRPr="00451EF9">
        <w:rPr>
          <w:rFonts w:cs="Arial"/>
          <w:szCs w:val="24"/>
          <w:lang w:eastAsia="fr-CA"/>
        </w:rPr>
        <w:t>principale, de sa copropriété divise en Floride et de son chalet (pièce PQ-97.3.1, p. 2).</w:t>
      </w:r>
    </w:p>
  </w:footnote>
  <w:footnote w:id="314">
    <w:p w14:paraId="429DEC5B" w14:textId="77777777" w:rsidR="00722451" w:rsidRPr="00722451" w:rsidRDefault="00730A01">
      <w:pPr>
        <w:pStyle w:val="Notedebasdepage"/>
      </w:pPr>
      <w:r>
        <w:rPr>
          <w:rStyle w:val="Appelnotedebasdep"/>
        </w:rPr>
        <w:footnoteRef/>
      </w:r>
      <w:r>
        <w:t xml:space="preserve"> </w:t>
      </w:r>
      <w:r>
        <w:tab/>
        <w:t>Pièce PQ-179.</w:t>
      </w:r>
    </w:p>
  </w:footnote>
  <w:footnote w:id="315">
    <w:p w14:paraId="3F813095" w14:textId="77777777" w:rsidR="0039336D" w:rsidRDefault="00730A01">
      <w:pPr>
        <w:pStyle w:val="Notedebasdepage"/>
      </w:pPr>
      <w:r>
        <w:rPr>
          <w:rStyle w:val="Appelnotedebasdep"/>
        </w:rPr>
        <w:footnoteRef/>
      </w:r>
      <w:r>
        <w:t xml:space="preserve"> </w:t>
      </w:r>
      <w:r>
        <w:tab/>
        <w:t xml:space="preserve">La dépense indique </w:t>
      </w:r>
      <w:r w:rsidR="00D801F5" w:rsidRPr="0039336D">
        <w:rPr>
          <w:rFonts w:cs="Arial"/>
          <w:szCs w:val="24"/>
          <w:lang w:eastAsia="fr-CA"/>
        </w:rPr>
        <w:t>«</w:t>
      </w:r>
      <w:r w:rsidR="00D801F5">
        <w:rPr>
          <w:rFonts w:cs="Arial"/>
          <w:szCs w:val="24"/>
          <w:lang w:eastAsia="fr-CA"/>
        </w:rPr>
        <w:t> </w:t>
      </w:r>
      <w:r w:rsidR="00D801F5" w:rsidRPr="0039336D">
        <w:rPr>
          <w:rFonts w:cs="Arial"/>
          <w:szCs w:val="24"/>
          <w:lang w:eastAsia="fr-CA"/>
        </w:rPr>
        <w:t>Chomedy (sic) Nissan</w:t>
      </w:r>
      <w:r w:rsidR="00D801F5">
        <w:rPr>
          <w:rFonts w:cs="Arial"/>
          <w:szCs w:val="24"/>
          <w:lang w:eastAsia="fr-CA"/>
        </w:rPr>
        <w:t> </w:t>
      </w:r>
      <w:r w:rsidR="00D801F5" w:rsidRPr="0039336D">
        <w:rPr>
          <w:rFonts w:eastAsia="ArialMT" w:cs="Arial"/>
          <w:szCs w:val="24"/>
          <w:lang w:eastAsia="fr-CA"/>
        </w:rPr>
        <w:t xml:space="preserve">», alors qu’aucune automobile de marque Nissan n’apparaît </w:t>
      </w:r>
      <w:r w:rsidR="00D801F5" w:rsidRPr="0039336D">
        <w:rPr>
          <w:rFonts w:cs="Arial"/>
          <w:szCs w:val="24"/>
          <w:lang w:eastAsia="fr-CA"/>
        </w:rPr>
        <w:t>aux états financiers de 6646 pour la période correspondante (pièce PQ-180) ni à la DSS sur actifs (pièce PQ-97.3.1).</w:t>
      </w:r>
    </w:p>
  </w:footnote>
  <w:footnote w:id="316">
    <w:p w14:paraId="5A318F95" w14:textId="77777777" w:rsidR="00D801F5" w:rsidRDefault="00730A01">
      <w:pPr>
        <w:pStyle w:val="Notedebasdepage"/>
      </w:pPr>
      <w:r>
        <w:rPr>
          <w:rStyle w:val="Appelnotedebasdep"/>
        </w:rPr>
        <w:footnoteRef/>
      </w:r>
      <w:r>
        <w:t xml:space="preserve"> </w:t>
      </w:r>
      <w:r>
        <w:tab/>
        <w:t xml:space="preserve">Le bateau apparaît sur la DSS sur actifs </w:t>
      </w:r>
      <w:r w:rsidRPr="00D801F5">
        <w:rPr>
          <w:rFonts w:eastAsia="ArialMT" w:cs="Arial"/>
          <w:szCs w:val="24"/>
          <w:lang w:eastAsia="fr-CA"/>
        </w:rPr>
        <w:t>de Giroux à titre d’actif détenu</w:t>
      </w:r>
      <w:r>
        <w:rPr>
          <w:rFonts w:eastAsia="ArialMT" w:cs="Arial"/>
          <w:szCs w:val="24"/>
          <w:lang w:eastAsia="fr-CA"/>
        </w:rPr>
        <w:t xml:space="preserve"> </w:t>
      </w:r>
      <w:r w:rsidRPr="00D801F5">
        <w:rPr>
          <w:rFonts w:eastAsia="ArialMT" w:cs="Arial"/>
          <w:szCs w:val="24"/>
          <w:lang w:eastAsia="fr-CA"/>
        </w:rPr>
        <w:t>personnellement (</w:t>
      </w:r>
      <w:r w:rsidRPr="00D801F5">
        <w:rPr>
          <w:rFonts w:cs="Arial"/>
          <w:szCs w:val="24"/>
          <w:lang w:eastAsia="fr-CA"/>
        </w:rPr>
        <w:t>pièce</w:t>
      </w:r>
      <w:r>
        <w:rPr>
          <w:rFonts w:cs="Arial"/>
          <w:szCs w:val="24"/>
          <w:lang w:eastAsia="fr-CA"/>
        </w:rPr>
        <w:t xml:space="preserve"> </w:t>
      </w:r>
      <w:r w:rsidRPr="00D801F5">
        <w:rPr>
          <w:rFonts w:cs="Arial"/>
          <w:szCs w:val="24"/>
          <w:lang w:eastAsia="fr-CA"/>
        </w:rPr>
        <w:t>PQ</w:t>
      </w:r>
      <w:r>
        <w:rPr>
          <w:rFonts w:cs="Arial"/>
          <w:szCs w:val="24"/>
          <w:lang w:eastAsia="fr-CA"/>
        </w:rPr>
        <w:noBreakHyphen/>
      </w:r>
      <w:r w:rsidRPr="00D801F5">
        <w:rPr>
          <w:rFonts w:cs="Arial"/>
          <w:szCs w:val="24"/>
          <w:lang w:eastAsia="fr-CA"/>
        </w:rPr>
        <w:t>97.3.1, p. 2).</w:t>
      </w:r>
    </w:p>
  </w:footnote>
  <w:footnote w:id="317">
    <w:p w14:paraId="3A5E1D99" w14:textId="77777777" w:rsidR="007C1B64" w:rsidRDefault="00730A01">
      <w:pPr>
        <w:pStyle w:val="Notedebasdepage"/>
      </w:pPr>
      <w:r>
        <w:rPr>
          <w:rStyle w:val="Appelnotedebasdep"/>
        </w:rPr>
        <w:footnoteRef/>
      </w:r>
      <w:r>
        <w:t xml:space="preserve"> </w:t>
      </w:r>
      <w:r>
        <w:tab/>
        <w:t>Pièce PQ-179.</w:t>
      </w:r>
    </w:p>
  </w:footnote>
  <w:footnote w:id="318">
    <w:p w14:paraId="47A24196" w14:textId="77777777" w:rsidR="007C1B64" w:rsidRDefault="00730A01">
      <w:pPr>
        <w:pStyle w:val="Notedebasdepage"/>
      </w:pPr>
      <w:r>
        <w:rPr>
          <w:rStyle w:val="Appelnotedebasdep"/>
        </w:rPr>
        <w:footnoteRef/>
      </w:r>
      <w:r>
        <w:t xml:space="preserve"> </w:t>
      </w:r>
      <w:r>
        <w:tab/>
        <w:t>Pièce PQ-179.</w:t>
      </w:r>
    </w:p>
  </w:footnote>
  <w:footnote w:id="319">
    <w:p w14:paraId="36BAEA83" w14:textId="77777777" w:rsidR="007C1B64" w:rsidRDefault="00730A01">
      <w:pPr>
        <w:pStyle w:val="Notedebasdepage"/>
      </w:pPr>
      <w:r>
        <w:rPr>
          <w:rStyle w:val="Appelnotedebasdep"/>
        </w:rPr>
        <w:footnoteRef/>
      </w:r>
      <w:r>
        <w:t xml:space="preserve"> </w:t>
      </w:r>
      <w:r>
        <w:tab/>
        <w:t xml:space="preserve">La DSS de Giroux </w:t>
      </w:r>
      <w:r w:rsidRPr="007C1B64">
        <w:rPr>
          <w:rFonts w:cs="Arial"/>
          <w:szCs w:val="24"/>
          <w:lang w:eastAsia="fr-CA"/>
        </w:rPr>
        <w:t>du 25 août 2023 indique quant à elle que ce transfert a été effectué pour permettre le paiement des impôts dus par X2 (pièce PQ-9.5, par. 96).</w:t>
      </w:r>
    </w:p>
  </w:footnote>
  <w:footnote w:id="320">
    <w:p w14:paraId="3BC38752" w14:textId="77777777" w:rsidR="00E8523A" w:rsidRDefault="00730A01">
      <w:pPr>
        <w:pStyle w:val="Notedebasdepage"/>
      </w:pPr>
      <w:r>
        <w:rPr>
          <w:rStyle w:val="Appelnotedebasdep"/>
        </w:rPr>
        <w:footnoteRef/>
      </w:r>
      <w:r>
        <w:t xml:space="preserve"> </w:t>
      </w:r>
      <w:r>
        <w:tab/>
        <w:t>Pièce PQ-179.</w:t>
      </w:r>
    </w:p>
  </w:footnote>
  <w:footnote w:id="321">
    <w:p w14:paraId="572B2590" w14:textId="77777777" w:rsidR="007C1B64" w:rsidRDefault="00730A01" w:rsidP="007C1B64">
      <w:pPr>
        <w:pStyle w:val="Notedebasdepage"/>
      </w:pPr>
      <w:r>
        <w:rPr>
          <w:rStyle w:val="Appelnotedebasdep"/>
        </w:rPr>
        <w:footnoteRef/>
      </w:r>
      <w:r>
        <w:t xml:space="preserve"> </w:t>
      </w:r>
      <w:r>
        <w:tab/>
      </w:r>
      <w:r w:rsidRPr="007C1B64">
        <w:t xml:space="preserve">Ce document a </w:t>
      </w:r>
      <w:r w:rsidRPr="007C1B64">
        <w:rPr>
          <w:rFonts w:hint="eastAsia"/>
        </w:rPr>
        <w:t>é</w:t>
      </w:r>
      <w:r w:rsidRPr="007C1B64">
        <w:t>t</w:t>
      </w:r>
      <w:r w:rsidRPr="007C1B64">
        <w:rPr>
          <w:rFonts w:hint="eastAsia"/>
        </w:rPr>
        <w:t>é</w:t>
      </w:r>
      <w:r w:rsidRPr="007C1B64">
        <w:t xml:space="preserve"> fourni par Giroux suivant la demande d</w:t>
      </w:r>
      <w:r w:rsidRPr="007C1B64">
        <w:rPr>
          <w:rFonts w:hint="eastAsia"/>
        </w:rPr>
        <w:t>’</w:t>
      </w:r>
      <w:r w:rsidRPr="007C1B64">
        <w:t xml:space="preserve">engagement suivante : « </w:t>
      </w:r>
      <w:r w:rsidRPr="007C1B64">
        <w:rPr>
          <w:i/>
          <w:iCs/>
        </w:rPr>
        <w:t>Fournir le bilan/état</w:t>
      </w:r>
      <w:r>
        <w:rPr>
          <w:i/>
          <w:iCs/>
        </w:rPr>
        <w:t xml:space="preserve"> </w:t>
      </w:r>
      <w:r w:rsidRPr="007C1B64">
        <w:rPr>
          <w:i/>
          <w:iCs/>
        </w:rPr>
        <w:t xml:space="preserve">des résultats de Giroux Arpentage </w:t>
      </w:r>
      <w:r w:rsidRPr="007C1B64">
        <w:rPr>
          <w:rFonts w:hint="eastAsia"/>
        </w:rPr>
        <w:t>»</w:t>
      </w:r>
      <w:r w:rsidRPr="007C1B64">
        <w:t>, tel qu</w:t>
      </w:r>
      <w:r w:rsidRPr="007C1B64">
        <w:rPr>
          <w:rFonts w:hint="eastAsia"/>
        </w:rPr>
        <w:t>’</w:t>
      </w:r>
      <w:r w:rsidRPr="007C1B64">
        <w:t>il appert de la note vue au bas de la pièce PQ</w:t>
      </w:r>
      <w:r w:rsidR="00D90D4F">
        <w:noBreakHyphen/>
      </w:r>
      <w:r w:rsidRPr="007C1B64">
        <w:t>194 ainsi que de</w:t>
      </w:r>
      <w:r>
        <w:t xml:space="preserve"> </w:t>
      </w:r>
      <w:r w:rsidRPr="007C1B64">
        <w:t>la lettre de transmission d</w:t>
      </w:r>
      <w:r w:rsidRPr="007C1B64">
        <w:rPr>
          <w:rFonts w:hint="eastAsia"/>
        </w:rPr>
        <w:t>’</w:t>
      </w:r>
      <w:r w:rsidRPr="007C1B64">
        <w:t>engagements, pièce PQ-179.</w:t>
      </w:r>
    </w:p>
  </w:footnote>
  <w:footnote w:id="322">
    <w:p w14:paraId="2D4CD7CF" w14:textId="77777777" w:rsidR="007C1B64" w:rsidRDefault="00730A01" w:rsidP="007C1B64">
      <w:pPr>
        <w:pStyle w:val="Notedebasdepage"/>
      </w:pPr>
      <w:r>
        <w:rPr>
          <w:rStyle w:val="Appelnotedebasdep"/>
        </w:rPr>
        <w:footnoteRef/>
      </w:r>
      <w:r>
        <w:t xml:space="preserve"> </w:t>
      </w:r>
      <w:r>
        <w:tab/>
      </w:r>
      <w:r w:rsidRPr="007C1B64">
        <w:t>En effet, l</w:t>
      </w:r>
      <w:r w:rsidRPr="007C1B64">
        <w:rPr>
          <w:rFonts w:hint="eastAsia"/>
        </w:rPr>
        <w:t>’é</w:t>
      </w:r>
      <w:r w:rsidRPr="007C1B64">
        <w:t>tat de renseignements d</w:t>
      </w:r>
      <w:r w:rsidRPr="007C1B64">
        <w:rPr>
          <w:rFonts w:hint="eastAsia"/>
        </w:rPr>
        <w:t>’</w:t>
      </w:r>
      <w:r w:rsidRPr="007C1B64">
        <w:t>une personne morale au registre des entreprises de Giroux</w:t>
      </w:r>
      <w:r>
        <w:t xml:space="preserve"> </w:t>
      </w:r>
      <w:r w:rsidRPr="007C1B64">
        <w:t>Arpentage fait état du fait que les seuls actionnaires sont Giroux personnellement et 6646 (pièce PQ</w:t>
      </w:r>
      <w:r>
        <w:noBreakHyphen/>
      </w:r>
      <w:r w:rsidRPr="007C1B64">
        <w:t>16).</w:t>
      </w:r>
    </w:p>
  </w:footnote>
  <w:footnote w:id="323">
    <w:p w14:paraId="77FFF983" w14:textId="77777777" w:rsidR="007C1B64" w:rsidRDefault="00730A01" w:rsidP="007C1B64">
      <w:pPr>
        <w:pStyle w:val="Notedebasdepage"/>
      </w:pPr>
      <w:r>
        <w:rPr>
          <w:rStyle w:val="Appelnotedebasdep"/>
        </w:rPr>
        <w:footnoteRef/>
      </w:r>
      <w:r>
        <w:t xml:space="preserve"> </w:t>
      </w:r>
      <w:r>
        <w:tab/>
      </w:r>
      <w:r w:rsidRPr="007C1B64">
        <w:t>9797 et 1395 étant les commandités de Q-12 et de FIISH, leur collaboration était essentielle. Quant à</w:t>
      </w:r>
      <w:r>
        <w:t xml:space="preserve"> </w:t>
      </w:r>
      <w:r w:rsidRPr="007C1B64">
        <w:t>X2, celle-ci avait le mandat d</w:t>
      </w:r>
      <w:r w:rsidRPr="007C1B64">
        <w:rPr>
          <w:rFonts w:hint="eastAsia"/>
        </w:rPr>
        <w:t>’</w:t>
      </w:r>
      <w:r w:rsidRPr="007C1B64">
        <w:t>effectuer la gestion et le suivi des paiements, des intérêts et voir à obtenir le</w:t>
      </w:r>
      <w:r>
        <w:t xml:space="preserve"> </w:t>
      </w:r>
      <w:r w:rsidRPr="007C1B64">
        <w:t>remboursement à échéance ou au renouvellement (Défense, par. 37, 37.2, 37.3, 163.b., 163.f. et 165.e.).</w:t>
      </w:r>
      <w:r>
        <w:t xml:space="preserve"> </w:t>
      </w:r>
      <w:r w:rsidRPr="007C1B64">
        <w:t>Quant à 6646 et 8096, leurs interventions dans la chaîne de transactions ont été essentielles à la création</w:t>
      </w:r>
      <w:r>
        <w:t xml:space="preserve"> </w:t>
      </w:r>
      <w:r w:rsidRPr="007C1B64">
        <w:t>de ces deux remboursements.</w:t>
      </w:r>
    </w:p>
  </w:footnote>
  <w:footnote w:id="324">
    <w:p w14:paraId="32140436" w14:textId="77777777" w:rsidR="0085388E" w:rsidRDefault="00730A01">
      <w:pPr>
        <w:pStyle w:val="Notedebasdepage"/>
      </w:pPr>
      <w:r>
        <w:rPr>
          <w:rStyle w:val="Appelnotedebasdep"/>
        </w:rPr>
        <w:footnoteRef/>
      </w:r>
      <w:r>
        <w:t xml:space="preserve"> </w:t>
      </w:r>
      <w:r>
        <w:tab/>
        <w:t>Pièce PQ-256, p. 151.</w:t>
      </w:r>
    </w:p>
  </w:footnote>
  <w:footnote w:id="325">
    <w:p w14:paraId="44F25B91" w14:textId="77777777" w:rsidR="00882A93" w:rsidRDefault="00730A01">
      <w:pPr>
        <w:pStyle w:val="Notedebasdepage"/>
      </w:pPr>
      <w:r>
        <w:rPr>
          <w:rStyle w:val="Appelnotedebasdep"/>
        </w:rPr>
        <w:footnoteRef/>
      </w:r>
      <w:r>
        <w:t xml:space="preserve"> </w:t>
      </w:r>
      <w:r>
        <w:tab/>
        <w:t>Le prêt P093, consenti le 22 décembre 2022, a servi à paye les intérêts dus par Huot à FIISH (854 071 $) ainsi qu’à 8096 (647 306 $), plutôt qu’à financer un projet réel.</w:t>
      </w:r>
    </w:p>
  </w:footnote>
  <w:footnote w:id="326">
    <w:p w14:paraId="20AF9C40" w14:textId="77777777" w:rsidR="00882A93" w:rsidRPr="00882A93" w:rsidRDefault="00730A01">
      <w:pPr>
        <w:pStyle w:val="Notedebasdepage"/>
      </w:pPr>
      <w:r>
        <w:rPr>
          <w:rStyle w:val="Appelnotedebasdep"/>
        </w:rPr>
        <w:footnoteRef/>
      </w:r>
      <w:r>
        <w:t xml:space="preserve"> </w:t>
      </w:r>
      <w:r>
        <w:tab/>
        <w:t xml:space="preserve">Rapport KPMG, pièce PQ-256.1, p. 215 (section 11.5.6 : </w:t>
      </w:r>
      <w:r>
        <w:rPr>
          <w:i/>
          <w:iCs/>
        </w:rPr>
        <w:t>Conclusion sur la quantification du préjudice financier des actifs inclus dans la transaction de Mach</w:t>
      </w:r>
      <w:r>
        <w:t>) par. 967 à 970.</w:t>
      </w:r>
    </w:p>
  </w:footnote>
  <w:footnote w:id="327">
    <w:p w14:paraId="0C09FD2C" w14:textId="77777777" w:rsidR="0085388E" w:rsidRDefault="00730A01">
      <w:pPr>
        <w:pStyle w:val="Notedebasdepage"/>
      </w:pPr>
      <w:r>
        <w:rPr>
          <w:rStyle w:val="Appelnotedebasdep"/>
        </w:rPr>
        <w:footnoteRef/>
      </w:r>
      <w:r>
        <w:t xml:space="preserve"> </w:t>
      </w:r>
      <w:r>
        <w:tab/>
        <w:t>Pièce EP-1, p. 205.</w:t>
      </w:r>
    </w:p>
  </w:footnote>
  <w:footnote w:id="328">
    <w:p w14:paraId="7642441E" w14:textId="77777777" w:rsidR="000048AF" w:rsidRDefault="00730A01" w:rsidP="000048AF">
      <w:pPr>
        <w:pStyle w:val="Notedebasdepage"/>
      </w:pPr>
      <w:r>
        <w:rPr>
          <w:rStyle w:val="Appelnotedebasdep"/>
        </w:rPr>
        <w:footnoteRef/>
      </w:r>
      <w:r>
        <w:t xml:space="preserve"> </w:t>
      </w:r>
      <w:r>
        <w:tab/>
        <w:t>Pièce EP-1.1, p. 8 et Pièce PQ-256, p. 151.</w:t>
      </w:r>
    </w:p>
  </w:footnote>
  <w:footnote w:id="329">
    <w:p w14:paraId="673C2982" w14:textId="77777777" w:rsidR="0085388E" w:rsidRDefault="00730A01">
      <w:pPr>
        <w:pStyle w:val="Notedebasdepage"/>
      </w:pPr>
      <w:r>
        <w:rPr>
          <w:rStyle w:val="Appelnotedebasdep"/>
        </w:rPr>
        <w:footnoteRef/>
      </w:r>
      <w:r>
        <w:t xml:space="preserve"> </w:t>
      </w:r>
      <w:r>
        <w:tab/>
        <w:t>Pièce PQ-256, p. 151.</w:t>
      </w:r>
    </w:p>
  </w:footnote>
  <w:footnote w:id="330">
    <w:p w14:paraId="0A114EC0" w14:textId="77777777" w:rsidR="0085388E" w:rsidRDefault="00730A01">
      <w:pPr>
        <w:pStyle w:val="Notedebasdepage"/>
      </w:pPr>
      <w:r>
        <w:rPr>
          <w:rStyle w:val="Appelnotedebasdep"/>
        </w:rPr>
        <w:footnoteRef/>
      </w:r>
      <w:r>
        <w:t xml:space="preserve"> </w:t>
      </w:r>
      <w:r>
        <w:tab/>
        <w:t>Pièce EP-1.1, p. 8.</w:t>
      </w:r>
    </w:p>
  </w:footnote>
  <w:footnote w:id="331">
    <w:p w14:paraId="5506CC27" w14:textId="77777777" w:rsidR="0099595A" w:rsidRPr="0099595A" w:rsidRDefault="00730A01">
      <w:pPr>
        <w:pStyle w:val="Notedebasdepage"/>
      </w:pPr>
      <w:r>
        <w:rPr>
          <w:rStyle w:val="Appelnotedebasdep"/>
        </w:rPr>
        <w:footnoteRef/>
      </w:r>
      <w:r>
        <w:t xml:space="preserve"> </w:t>
      </w:r>
      <w:r>
        <w:tab/>
      </w:r>
      <w:r>
        <w:rPr>
          <w:i/>
          <w:iCs/>
        </w:rPr>
        <w:t>Ponce</w:t>
      </w:r>
      <w:r>
        <w:t xml:space="preserve"> c. </w:t>
      </w:r>
      <w:r>
        <w:rPr>
          <w:i/>
          <w:iCs/>
        </w:rPr>
        <w:t>Société d’investissements Rhéaume ltée</w:t>
      </w:r>
      <w:r>
        <w:t>, 2023 CSC 25.</w:t>
      </w:r>
    </w:p>
  </w:footnote>
  <w:footnote w:id="332">
    <w:p w14:paraId="00D2DB0C" w14:textId="77777777" w:rsidR="009325FD" w:rsidRDefault="00730A01">
      <w:pPr>
        <w:pStyle w:val="Notedebasdepage"/>
      </w:pPr>
      <w:r>
        <w:rPr>
          <w:rStyle w:val="Appelnotedebasdep"/>
        </w:rPr>
        <w:footnoteRef/>
      </w:r>
      <w:r>
        <w:t xml:space="preserve"> </w:t>
      </w:r>
      <w:r w:rsidR="004C7363">
        <w:tab/>
        <w:t>Pièces EP-1.6 A, p. 508 et PQ-58.1.</w:t>
      </w:r>
    </w:p>
  </w:footnote>
  <w:footnote w:id="333">
    <w:p w14:paraId="342A1DE6" w14:textId="77777777" w:rsidR="009325FD" w:rsidRDefault="00730A01">
      <w:pPr>
        <w:pStyle w:val="Notedebasdepage"/>
      </w:pPr>
      <w:r>
        <w:rPr>
          <w:rStyle w:val="Appelnotedebasdep"/>
        </w:rPr>
        <w:footnoteRef/>
      </w:r>
      <w:r>
        <w:t xml:space="preserve"> </w:t>
      </w:r>
      <w:r w:rsidR="004C7363">
        <w:tab/>
        <w:t>NS, Simard, 21 janvier 2025, p. 117, 163; voir également Pièce EP-1, par. 565-568.</w:t>
      </w:r>
    </w:p>
  </w:footnote>
  <w:footnote w:id="334">
    <w:p w14:paraId="4EC9BF6C" w14:textId="77777777" w:rsidR="009325FD" w:rsidRDefault="00730A01">
      <w:pPr>
        <w:pStyle w:val="Notedebasdepage"/>
      </w:pPr>
      <w:r>
        <w:rPr>
          <w:rStyle w:val="Appelnotedebasdep"/>
        </w:rPr>
        <w:footnoteRef/>
      </w:r>
      <w:r>
        <w:t xml:space="preserve"> </w:t>
      </w:r>
      <w:r w:rsidR="004C7363">
        <w:tab/>
        <w:t>Rapport LMD 17 mars 2024, par. 183, 185, 188, 192.</w:t>
      </w:r>
    </w:p>
  </w:footnote>
  <w:footnote w:id="335">
    <w:p w14:paraId="2CC1606C" w14:textId="77777777" w:rsidR="009325FD" w:rsidRDefault="00730A01">
      <w:pPr>
        <w:pStyle w:val="Notedebasdepage"/>
      </w:pPr>
      <w:r>
        <w:rPr>
          <w:rStyle w:val="Appelnotedebasdep"/>
        </w:rPr>
        <w:footnoteRef/>
      </w:r>
      <w:r>
        <w:t xml:space="preserve"> </w:t>
      </w:r>
      <w:r>
        <w:tab/>
      </w:r>
      <w:r w:rsidR="004C7363">
        <w:t>Pièce PQ-283 et NS, Simard, 21 janvier 2025, p. 161, 215.</w:t>
      </w:r>
    </w:p>
  </w:footnote>
  <w:footnote w:id="336">
    <w:p w14:paraId="119CEAA6" w14:textId="77777777" w:rsidR="009325FD" w:rsidRPr="005905E4" w:rsidRDefault="00730A01">
      <w:pPr>
        <w:pStyle w:val="Notedebasdepage"/>
      </w:pPr>
      <w:r>
        <w:rPr>
          <w:rStyle w:val="Appelnotedebasdep"/>
        </w:rPr>
        <w:footnoteRef/>
      </w:r>
      <w:r w:rsidRPr="005905E4">
        <w:t xml:space="preserve"> </w:t>
      </w:r>
      <w:r w:rsidRPr="005905E4">
        <w:tab/>
        <w:t>C.c.Q. art. 1611</w:t>
      </w:r>
      <w:r w:rsidR="005905E4" w:rsidRPr="005905E4">
        <w:t xml:space="preserve">; </w:t>
      </w:r>
      <w:r w:rsidR="005905E4" w:rsidRPr="005905E4">
        <w:rPr>
          <w:i/>
          <w:iCs/>
        </w:rPr>
        <w:t xml:space="preserve">Ratté </w:t>
      </w:r>
      <w:r w:rsidR="005905E4" w:rsidRPr="005905E4">
        <w:t xml:space="preserve">c. </w:t>
      </w:r>
      <w:r w:rsidR="005905E4" w:rsidRPr="005905E4">
        <w:rPr>
          <w:i/>
          <w:iCs/>
        </w:rPr>
        <w:t>Édifice 1135 inc.</w:t>
      </w:r>
      <w:r w:rsidR="005905E4" w:rsidRPr="005905E4">
        <w:t>, 2014 Q</w:t>
      </w:r>
      <w:r w:rsidR="005905E4">
        <w:t>CCS 3299.</w:t>
      </w:r>
    </w:p>
  </w:footnote>
  <w:footnote w:id="337">
    <w:p w14:paraId="4BE2ACDC" w14:textId="77777777" w:rsidR="008F4710" w:rsidRDefault="00730A01">
      <w:pPr>
        <w:pStyle w:val="Notedebasdepage"/>
      </w:pPr>
      <w:r>
        <w:rPr>
          <w:rStyle w:val="Appelnotedebasdep"/>
        </w:rPr>
        <w:footnoteRef/>
      </w:r>
      <w:r>
        <w:t xml:space="preserve"> </w:t>
      </w:r>
      <w:r>
        <w:tab/>
        <w:t>Date de la dernière Déclaration introductive d’instance amendée des Demandeurs.</w:t>
      </w:r>
    </w:p>
  </w:footnote>
  <w:footnote w:id="338">
    <w:p w14:paraId="520E437F" w14:textId="77777777" w:rsidR="00D50712" w:rsidRDefault="00730A01">
      <w:pPr>
        <w:pStyle w:val="Notedebasdepage"/>
      </w:pPr>
      <w:r>
        <w:rPr>
          <w:rStyle w:val="Appelnotedebasdep"/>
        </w:rPr>
        <w:footnoteRef/>
      </w:r>
      <w:r>
        <w:t xml:space="preserve"> </w:t>
      </w:r>
      <w:r>
        <w:tab/>
        <w:t>Voir les paragraphes [319] et ss.</w:t>
      </w:r>
    </w:p>
  </w:footnote>
  <w:footnote w:id="339">
    <w:p w14:paraId="0840353C" w14:textId="77777777" w:rsidR="004659C9" w:rsidRPr="004D0652" w:rsidRDefault="00730A01" w:rsidP="004659C9">
      <w:pPr>
        <w:pStyle w:val="Notedebasdepage"/>
      </w:pPr>
      <w:r>
        <w:rPr>
          <w:rStyle w:val="Appelnotedebasdep"/>
        </w:rPr>
        <w:footnoteRef/>
      </w:r>
      <w:r w:rsidRPr="004D0652">
        <w:t xml:space="preserve"> </w:t>
      </w:r>
      <w:r w:rsidRPr="004D0652">
        <w:tab/>
        <w:t>Rapport KPMG, Chap. 7.</w:t>
      </w:r>
    </w:p>
  </w:footnote>
  <w:footnote w:id="340">
    <w:p w14:paraId="2246E6F6" w14:textId="77777777" w:rsidR="004659C9" w:rsidRDefault="00730A01">
      <w:pPr>
        <w:pStyle w:val="Notedebasdepage"/>
      </w:pPr>
      <w:r>
        <w:rPr>
          <w:rStyle w:val="Appelnotedebasdep"/>
        </w:rPr>
        <w:footnoteRef/>
      </w:r>
      <w:r>
        <w:t xml:space="preserve"> </w:t>
      </w:r>
      <w:r>
        <w:tab/>
        <w:t>Pièce PQ-256.2, p. 137.</w:t>
      </w:r>
    </w:p>
  </w:footnote>
  <w:footnote w:id="341">
    <w:p w14:paraId="15172CA2" w14:textId="77777777" w:rsidR="008314FF" w:rsidRDefault="00730A01">
      <w:pPr>
        <w:pStyle w:val="Notedebasdepage"/>
      </w:pPr>
      <w:r>
        <w:rPr>
          <w:rStyle w:val="Appelnotedebasdep"/>
        </w:rPr>
        <w:footnoteRef/>
      </w:r>
      <w:r>
        <w:t xml:space="preserve"> </w:t>
      </w:r>
      <w:r>
        <w:tab/>
        <w:t>Pièce PQ-256.2, p. 137.</w:t>
      </w:r>
    </w:p>
  </w:footnote>
  <w:footnote w:id="342">
    <w:p w14:paraId="3517FE58" w14:textId="77777777" w:rsidR="008314FF" w:rsidRDefault="00730A01">
      <w:pPr>
        <w:pStyle w:val="Notedebasdepage"/>
      </w:pPr>
      <w:r>
        <w:rPr>
          <w:rStyle w:val="Appelnotedebasdep"/>
        </w:rPr>
        <w:footnoteRef/>
      </w:r>
      <w:r>
        <w:t xml:space="preserve"> </w:t>
      </w:r>
      <w:r>
        <w:tab/>
        <w:t>Pièce PQ-256.1.</w:t>
      </w:r>
    </w:p>
  </w:footnote>
  <w:footnote w:id="343">
    <w:p w14:paraId="74855859" w14:textId="77777777" w:rsidR="008E7205" w:rsidRDefault="00730A01">
      <w:pPr>
        <w:pStyle w:val="Notedebasdepage"/>
      </w:pPr>
      <w:r>
        <w:rPr>
          <w:rStyle w:val="Appelnotedebasdep"/>
        </w:rPr>
        <w:footnoteRef/>
      </w:r>
      <w:r>
        <w:t xml:space="preserve"> </w:t>
      </w:r>
      <w:r>
        <w:tab/>
        <w:t>Pièce PQ-293 en liasse.</w:t>
      </w:r>
    </w:p>
  </w:footnote>
  <w:footnote w:id="344">
    <w:p w14:paraId="3A9B3B21" w14:textId="77777777" w:rsidR="008E7205" w:rsidRDefault="00730A01">
      <w:pPr>
        <w:pStyle w:val="Notedebasdepage"/>
      </w:pPr>
      <w:r>
        <w:rPr>
          <w:rStyle w:val="Appelnotedebasdep"/>
        </w:rPr>
        <w:footnoteRef/>
      </w:r>
      <w:r>
        <w:t xml:space="preserve"> </w:t>
      </w:r>
      <w:r>
        <w:tab/>
        <w:t>Courriel de Sylvain Rigaud du 1</w:t>
      </w:r>
      <w:r w:rsidRPr="008E7205">
        <w:rPr>
          <w:vertAlign w:val="superscript"/>
        </w:rPr>
        <w:t>er</w:t>
      </w:r>
      <w:r>
        <w:t xml:space="preserve"> octobre 2025.</w:t>
      </w:r>
    </w:p>
  </w:footnote>
  <w:footnote w:id="345">
    <w:p w14:paraId="703830EF" w14:textId="77777777" w:rsidR="008E7205" w:rsidRDefault="00730A01">
      <w:pPr>
        <w:pStyle w:val="Notedebasdepage"/>
      </w:pPr>
      <w:r>
        <w:rPr>
          <w:rStyle w:val="Appelnotedebasdep"/>
        </w:rPr>
        <w:footnoteRef/>
      </w:r>
      <w:r>
        <w:t xml:space="preserve"> </w:t>
      </w:r>
      <w:r>
        <w:tab/>
        <w:t>Pièce PQ-256.2.</w:t>
      </w:r>
    </w:p>
  </w:footnote>
  <w:footnote w:id="346">
    <w:p w14:paraId="36BA39C2" w14:textId="77777777" w:rsidR="004659C9" w:rsidRDefault="00730A01">
      <w:pPr>
        <w:pStyle w:val="Notedebasdepage"/>
      </w:pPr>
      <w:r>
        <w:rPr>
          <w:rStyle w:val="Appelnotedebasdep"/>
        </w:rPr>
        <w:footnoteRef/>
      </w:r>
      <w:r>
        <w:t xml:space="preserve"> </w:t>
      </w:r>
      <w:r>
        <w:tab/>
        <w:t>Pièce PQ-256.2, p. 137.</w:t>
      </w:r>
    </w:p>
  </w:footnote>
  <w:footnote w:id="347">
    <w:p w14:paraId="2146A7E9" w14:textId="77777777" w:rsidR="00145191" w:rsidRDefault="00730A01" w:rsidP="00145191">
      <w:pPr>
        <w:pStyle w:val="Notedebasdepage"/>
      </w:pPr>
      <w:r>
        <w:rPr>
          <w:rStyle w:val="Appelnotedebasdep"/>
        </w:rPr>
        <w:footnoteRef/>
      </w:r>
      <w:r>
        <w:t xml:space="preserve"> </w:t>
      </w:r>
      <w:r>
        <w:tab/>
      </w:r>
      <w:r>
        <w:rPr>
          <w:i/>
          <w:iCs/>
        </w:rPr>
        <w:t xml:space="preserve">Prévost-Masson </w:t>
      </w:r>
      <w:r>
        <w:t xml:space="preserve">c. </w:t>
      </w:r>
      <w:r>
        <w:rPr>
          <w:i/>
          <w:iCs/>
        </w:rPr>
        <w:t>Trust Général du Canada</w:t>
      </w:r>
      <w:r w:rsidRPr="00145191">
        <w:t>,</w:t>
      </w:r>
      <w:r>
        <w:t xml:space="preserve"> 2001 CSC 87.</w:t>
      </w:r>
    </w:p>
  </w:footnote>
  <w:footnote w:id="348">
    <w:p w14:paraId="2EA466B8" w14:textId="77777777" w:rsidR="0022767D" w:rsidRDefault="00730A01">
      <w:pPr>
        <w:pStyle w:val="Notedebasdepage"/>
      </w:pPr>
      <w:r>
        <w:rPr>
          <w:rStyle w:val="Appelnotedebasdep"/>
        </w:rPr>
        <w:footnoteRef/>
      </w:r>
      <w:r>
        <w:t xml:space="preserve"> </w:t>
      </w:r>
      <w:r>
        <w:tab/>
      </w:r>
      <w:r w:rsidRPr="0022767D">
        <w:rPr>
          <w:i/>
          <w:iCs/>
        </w:rPr>
        <w:t>Bourque</w:t>
      </w:r>
      <w:r>
        <w:t xml:space="preserve"> c. </w:t>
      </w:r>
      <w:r w:rsidRPr="0022767D">
        <w:rPr>
          <w:i/>
          <w:iCs/>
        </w:rPr>
        <w:t>Poudrier</w:t>
      </w:r>
      <w:r>
        <w:t>, 2013 QCCA, 1663, par. 27.</w:t>
      </w:r>
    </w:p>
  </w:footnote>
  <w:footnote w:id="349">
    <w:p w14:paraId="740568D9" w14:textId="77777777" w:rsidR="00756AD6" w:rsidRDefault="00730A01">
      <w:pPr>
        <w:pStyle w:val="Notedebasdepage"/>
      </w:pPr>
      <w:r>
        <w:rPr>
          <w:rStyle w:val="Appelnotedebasdep"/>
        </w:rPr>
        <w:footnoteRef/>
      </w:r>
      <w:r>
        <w:t xml:space="preserve"> </w:t>
      </w:r>
      <w:r>
        <w:tab/>
        <w:t xml:space="preserve">Voir les paragraphes </w:t>
      </w:r>
      <w:r>
        <w:rPr>
          <w:rFonts w:cs="Arial"/>
        </w:rPr>
        <w:t>[</w:t>
      </w:r>
      <w:r>
        <w:t>53</w:t>
      </w:r>
      <w:r>
        <w:rPr>
          <w:rFonts w:cs="Arial"/>
        </w:rPr>
        <w:t>]</w:t>
      </w:r>
      <w:r>
        <w:t xml:space="preserve"> et </w:t>
      </w:r>
      <w:r>
        <w:rPr>
          <w:rFonts w:cs="Arial"/>
        </w:rPr>
        <w:t>[</w:t>
      </w:r>
      <w:r>
        <w:t>54</w:t>
      </w:r>
      <w:r>
        <w:rPr>
          <w:rFonts w:cs="Arial"/>
        </w:rPr>
        <w:t>]</w:t>
      </w:r>
      <w:r>
        <w:t xml:space="preserve"> à cet effet.</w:t>
      </w:r>
    </w:p>
  </w:footnote>
  <w:footnote w:id="350">
    <w:p w14:paraId="0E943C07" w14:textId="77777777" w:rsidR="00883DBA" w:rsidRPr="00883DBA" w:rsidRDefault="00730A01">
      <w:pPr>
        <w:pStyle w:val="Notedebasdepage"/>
      </w:pPr>
      <w:r>
        <w:rPr>
          <w:rStyle w:val="Appelnotedebasdep"/>
        </w:rPr>
        <w:footnoteRef/>
      </w:r>
      <w:r w:rsidRPr="00883DBA">
        <w:t xml:space="preserve"> </w:t>
      </w:r>
      <w:r w:rsidRPr="00883DBA">
        <w:tab/>
        <w:t>Art. 1523 C.c.Q. – Obligation sol</w:t>
      </w:r>
      <w:r>
        <w:t>idaire.</w:t>
      </w:r>
    </w:p>
  </w:footnote>
  <w:footnote w:id="351">
    <w:p w14:paraId="67CFA14C" w14:textId="77777777" w:rsidR="00883DBA" w:rsidRDefault="00730A01">
      <w:pPr>
        <w:pStyle w:val="Notedebasdepage"/>
      </w:pPr>
      <w:r>
        <w:rPr>
          <w:rStyle w:val="Appelnotedebasdep"/>
        </w:rPr>
        <w:footnoteRef/>
      </w:r>
      <w:r>
        <w:t xml:space="preserve"> </w:t>
      </w:r>
      <w:r>
        <w:tab/>
        <w:t>2021 QCCA 695.</w:t>
      </w:r>
    </w:p>
  </w:footnote>
  <w:footnote w:id="352">
    <w:p w14:paraId="236BC8C3" w14:textId="77777777" w:rsidR="00883DBA" w:rsidRDefault="00730A01">
      <w:pPr>
        <w:pStyle w:val="Notedebasdepage"/>
      </w:pPr>
      <w:r>
        <w:rPr>
          <w:rStyle w:val="Appelnotedebasdep"/>
        </w:rPr>
        <w:footnoteRef/>
      </w:r>
      <w:r>
        <w:t xml:space="preserve"> </w:t>
      </w:r>
      <w:r>
        <w:tab/>
        <w:t>2010  QCCS 4204.</w:t>
      </w:r>
    </w:p>
  </w:footnote>
  <w:footnote w:id="353">
    <w:p w14:paraId="7901A6BF" w14:textId="77777777" w:rsidR="00700971" w:rsidRDefault="00730A01">
      <w:pPr>
        <w:pStyle w:val="Notedebasdepage"/>
      </w:pPr>
      <w:r>
        <w:rPr>
          <w:rStyle w:val="Appelnotedebasdep"/>
        </w:rPr>
        <w:footnoteRef/>
      </w:r>
      <w:r>
        <w:t xml:space="preserve"> </w:t>
      </w:r>
      <w:r>
        <w:tab/>
        <w:t>Dont le rapport KPMG, Pièces EP-1 et PQ-256.</w:t>
      </w:r>
    </w:p>
  </w:footnote>
  <w:footnote w:id="354">
    <w:p w14:paraId="4F66D948" w14:textId="77777777" w:rsidR="004E40D3" w:rsidRPr="00CD40C6" w:rsidRDefault="00730A01" w:rsidP="004E40D3">
      <w:pPr>
        <w:pStyle w:val="Notedebasdepage"/>
      </w:pPr>
      <w:r>
        <w:rPr>
          <w:rStyle w:val="Appelnotedebasdep"/>
        </w:rPr>
        <w:footnoteRef/>
      </w:r>
      <w:r>
        <w:t xml:space="preserve"> </w:t>
      </w:r>
      <w:r>
        <w:tab/>
      </w:r>
      <w:r>
        <w:rPr>
          <w:i/>
          <w:iCs/>
        </w:rPr>
        <w:t>Ville de Lorraine</w:t>
      </w:r>
      <w:r>
        <w:t xml:space="preserve"> c. </w:t>
      </w:r>
      <w:r>
        <w:rPr>
          <w:i/>
          <w:iCs/>
        </w:rPr>
        <w:t>Axa Assurances inc.</w:t>
      </w:r>
      <w:r>
        <w:t>, 2020 QCCA 1086, par. 107-108.</w:t>
      </w:r>
    </w:p>
  </w:footnote>
  <w:footnote w:id="355">
    <w:p w14:paraId="37AA8E93" w14:textId="77777777" w:rsidR="004E40D3" w:rsidRDefault="00730A01" w:rsidP="004E40D3">
      <w:pPr>
        <w:pStyle w:val="Notedebasdepage"/>
      </w:pPr>
      <w:r>
        <w:rPr>
          <w:rStyle w:val="Appelnotedebasdep"/>
        </w:rPr>
        <w:footnoteRef/>
      </w:r>
      <w:r>
        <w:t xml:space="preserve"> </w:t>
      </w:r>
      <w:r>
        <w:tab/>
        <w:t>2013, QCCA 1606.</w:t>
      </w:r>
    </w:p>
  </w:footnote>
  <w:footnote w:id="356">
    <w:p w14:paraId="252C7B11" w14:textId="77777777" w:rsidR="004E40D3" w:rsidRDefault="00730A01" w:rsidP="004E40D3">
      <w:pPr>
        <w:pStyle w:val="Notedebasdepage"/>
      </w:pPr>
      <w:r>
        <w:rPr>
          <w:rStyle w:val="Appelnotedebasdep"/>
        </w:rPr>
        <w:footnoteRef/>
      </w:r>
      <w:r>
        <w:t xml:space="preserve"> </w:t>
      </w:r>
      <w:r>
        <w:tab/>
      </w:r>
      <w:r w:rsidRPr="00CD40C6">
        <w:rPr>
          <w:rStyle w:val="Accentuation"/>
          <w:rFonts w:cs="Arial"/>
        </w:rPr>
        <w:t>Ville de Lorraine</w:t>
      </w:r>
      <w:r w:rsidRPr="00CD40C6">
        <w:rPr>
          <w:rStyle w:val="Accentuation"/>
          <w:rFonts w:cs="Arial"/>
          <w:i w:val="0"/>
          <w:iCs w:val="0"/>
        </w:rPr>
        <w:t xml:space="preserve"> c. </w:t>
      </w:r>
      <w:r w:rsidRPr="00CD40C6">
        <w:rPr>
          <w:rStyle w:val="Accentuation"/>
          <w:rFonts w:cs="Arial"/>
        </w:rPr>
        <w:t>Axa Assurances inc</w:t>
      </w:r>
      <w:r w:rsidRPr="00CD40C6">
        <w:rPr>
          <w:rStyle w:val="Accentuation"/>
          <w:rFonts w:cs="Arial"/>
          <w:i w:val="0"/>
          <w:iCs w:val="0"/>
        </w:rPr>
        <w:t>., 2017 QCCA 1126, par. 61-62.</w:t>
      </w:r>
    </w:p>
  </w:footnote>
  <w:footnote w:id="357">
    <w:p w14:paraId="3679F09A" w14:textId="77777777" w:rsidR="004E40D3" w:rsidRDefault="00730A01" w:rsidP="004E40D3">
      <w:pPr>
        <w:pStyle w:val="Notedebasdepage"/>
      </w:pPr>
      <w:r>
        <w:rPr>
          <w:rStyle w:val="Appelnotedebasdep"/>
        </w:rPr>
        <w:footnoteRef/>
      </w:r>
      <w:r>
        <w:t xml:space="preserve"> </w:t>
      </w:r>
      <w:r>
        <w:tab/>
        <w:t xml:space="preserve">BAUDOIN, DESLAURIERS et MOORE, </w:t>
      </w:r>
      <w:r w:rsidRPr="00776A48">
        <w:rPr>
          <w:rStyle w:val="Accentuation"/>
          <w:rFonts w:cs="Arial"/>
        </w:rPr>
        <w:t>La responsabilité civile</w:t>
      </w:r>
      <w:r w:rsidRPr="00776A48">
        <w:rPr>
          <w:rStyle w:val="Accentuation"/>
          <w:rFonts w:cs="Arial"/>
          <w:i w:val="0"/>
          <w:iCs w:val="0"/>
        </w:rPr>
        <w:t>, 9</w:t>
      </w:r>
      <w:r w:rsidRPr="00776A48">
        <w:rPr>
          <w:rStyle w:val="Accentuation"/>
          <w:rFonts w:cs="Arial"/>
          <w:i w:val="0"/>
          <w:iCs w:val="0"/>
          <w:vertAlign w:val="superscript"/>
        </w:rPr>
        <w:t>e</w:t>
      </w:r>
      <w:r w:rsidRPr="00776A48">
        <w:rPr>
          <w:rStyle w:val="Accentuation"/>
          <w:rFonts w:cs="Arial"/>
          <w:i w:val="0"/>
          <w:iCs w:val="0"/>
        </w:rPr>
        <w:t xml:space="preserve"> éd., vol. I, no 1-272.</w:t>
      </w:r>
    </w:p>
  </w:footnote>
  <w:footnote w:id="358">
    <w:p w14:paraId="7F100AF9" w14:textId="77777777" w:rsidR="00700971" w:rsidRDefault="00730A01">
      <w:pPr>
        <w:pStyle w:val="Notedebasdepage"/>
      </w:pPr>
      <w:r>
        <w:rPr>
          <w:rStyle w:val="Appelnotedebasdep"/>
        </w:rPr>
        <w:footnoteRef/>
      </w:r>
      <w:r>
        <w:t xml:space="preserve"> </w:t>
      </w:r>
      <w:r>
        <w:tab/>
        <w:t>Groupe Mach inc. est un important promoteur immobilier privé.</w:t>
      </w:r>
    </w:p>
  </w:footnote>
  <w:footnote w:id="359">
    <w:p w14:paraId="2581FA27" w14:textId="77777777" w:rsidR="004E40D3" w:rsidRDefault="00730A01" w:rsidP="004E40D3">
      <w:pPr>
        <w:pStyle w:val="Notedebasdepage"/>
      </w:pPr>
      <w:r>
        <w:rPr>
          <w:rStyle w:val="Appelnotedebasdep"/>
        </w:rPr>
        <w:footnoteRef/>
      </w:r>
      <w:r>
        <w:t xml:space="preserve"> </w:t>
      </w:r>
      <w:r>
        <w:tab/>
        <w:t>NS, Dionne-Legendre, 18 février 2025, p. 537.</w:t>
      </w:r>
    </w:p>
  </w:footnote>
  <w:footnote w:id="360">
    <w:p w14:paraId="06668236" w14:textId="77777777" w:rsidR="004E40D3" w:rsidRDefault="00730A01" w:rsidP="004E40D3">
      <w:pPr>
        <w:pStyle w:val="Notedebasdepage"/>
      </w:pPr>
      <w:r>
        <w:rPr>
          <w:rStyle w:val="Appelnotedebasdep"/>
        </w:rPr>
        <w:footnoteRef/>
      </w:r>
      <w:r>
        <w:t xml:space="preserve"> </w:t>
      </w:r>
      <w:r>
        <w:tab/>
      </w:r>
      <w:r w:rsidR="00D57362" w:rsidRPr="00D57362">
        <w:t xml:space="preserve">NS, </w:t>
      </w:r>
      <w:r w:rsidR="00D57362">
        <w:t xml:space="preserve">Dionne-Legendre, </w:t>
      </w:r>
      <w:r w:rsidR="00D57362" w:rsidRPr="00D57362">
        <w:t>18 février 2025, p. 38-39.</w:t>
      </w:r>
    </w:p>
  </w:footnote>
  <w:footnote w:id="361">
    <w:p w14:paraId="259E1581" w14:textId="77777777" w:rsidR="004E40D3" w:rsidRDefault="00730A01" w:rsidP="004E40D3">
      <w:pPr>
        <w:pStyle w:val="Notedebasdepage"/>
      </w:pPr>
      <w:r>
        <w:rPr>
          <w:rStyle w:val="Appelnotedebasdep"/>
        </w:rPr>
        <w:footnoteRef/>
      </w:r>
      <w:r>
        <w:t xml:space="preserve"> </w:t>
      </w:r>
      <w:r w:rsidR="00D57362">
        <w:tab/>
      </w:r>
      <w:r w:rsidR="00D57362" w:rsidRPr="00D57362">
        <w:t xml:space="preserve">NS, </w:t>
      </w:r>
      <w:r w:rsidR="00D57362">
        <w:t xml:space="preserve">Simard, </w:t>
      </w:r>
      <w:r w:rsidR="00D57362" w:rsidRPr="00D57362">
        <w:t>21 janvier 2025, p. 178.</w:t>
      </w:r>
    </w:p>
  </w:footnote>
  <w:footnote w:id="362">
    <w:p w14:paraId="3CABBF12" w14:textId="77777777" w:rsidR="004E40D3" w:rsidRDefault="00730A01" w:rsidP="004E40D3">
      <w:pPr>
        <w:pStyle w:val="Notedebasdepage"/>
      </w:pPr>
      <w:r>
        <w:rPr>
          <w:rStyle w:val="Appelnotedebasdep"/>
        </w:rPr>
        <w:footnoteRef/>
      </w:r>
      <w:r>
        <w:t xml:space="preserve"> </w:t>
      </w:r>
      <w:r w:rsidR="00D57362">
        <w:tab/>
      </w:r>
      <w:r w:rsidR="00D57362" w:rsidRPr="00D57362">
        <w:t xml:space="preserve">NS, </w:t>
      </w:r>
      <w:r w:rsidR="00D57362">
        <w:t xml:space="preserve">Simard, </w:t>
      </w:r>
      <w:r w:rsidR="00D57362" w:rsidRPr="00D57362">
        <w:t>22 février 2025, p. 44.</w:t>
      </w:r>
    </w:p>
  </w:footnote>
  <w:footnote w:id="363">
    <w:p w14:paraId="23CDDAC6" w14:textId="77777777" w:rsidR="004E40D3" w:rsidRDefault="00730A01" w:rsidP="004E40D3">
      <w:pPr>
        <w:pStyle w:val="Notedebasdepage"/>
      </w:pPr>
      <w:r>
        <w:rPr>
          <w:rStyle w:val="Appelnotedebasdep"/>
        </w:rPr>
        <w:footnoteRef/>
      </w:r>
      <w:r>
        <w:t xml:space="preserve"> </w:t>
      </w:r>
      <w:r>
        <w:tab/>
        <w:t>Pièces PQ-273 et PQ-274.</w:t>
      </w:r>
    </w:p>
  </w:footnote>
  <w:footnote w:id="364">
    <w:p w14:paraId="2B4EB17A" w14:textId="77777777" w:rsidR="004E40D3" w:rsidRDefault="00730A01" w:rsidP="004E40D3">
      <w:pPr>
        <w:pStyle w:val="Notedebasdepage"/>
      </w:pPr>
      <w:r>
        <w:rPr>
          <w:rStyle w:val="Appelnotedebasdep"/>
        </w:rPr>
        <w:footnoteRef/>
      </w:r>
      <w:r>
        <w:t xml:space="preserve"> </w:t>
      </w:r>
      <w:r>
        <w:tab/>
      </w:r>
      <w:r w:rsidR="00D57362" w:rsidRPr="00D57362">
        <w:t>Pièces PQ-123 et PQ-124.</w:t>
      </w:r>
    </w:p>
  </w:footnote>
  <w:footnote w:id="365">
    <w:p w14:paraId="04FB5D1B" w14:textId="77777777" w:rsidR="004E40D3" w:rsidRDefault="00730A01" w:rsidP="004E40D3">
      <w:pPr>
        <w:pStyle w:val="Notedebasdepage"/>
      </w:pPr>
      <w:r>
        <w:rPr>
          <w:rStyle w:val="Appelnotedebasdep"/>
        </w:rPr>
        <w:footnoteRef/>
      </w:r>
      <w:r>
        <w:t xml:space="preserve"> </w:t>
      </w:r>
      <w:r>
        <w:tab/>
      </w:r>
      <w:r w:rsidR="00D57362" w:rsidRPr="00D57362">
        <w:t>Voir les conventions PQ-123 et PQ-124.</w:t>
      </w:r>
    </w:p>
  </w:footnote>
  <w:footnote w:id="366">
    <w:p w14:paraId="3A2F88BC" w14:textId="77777777" w:rsidR="004E40D3" w:rsidRDefault="00730A01" w:rsidP="004E40D3">
      <w:pPr>
        <w:pStyle w:val="Notedebasdepage"/>
      </w:pPr>
      <w:r>
        <w:rPr>
          <w:rStyle w:val="Appelnotedebasdep"/>
        </w:rPr>
        <w:footnoteRef/>
      </w:r>
      <w:r>
        <w:t xml:space="preserve"> </w:t>
      </w:r>
      <w:r>
        <w:tab/>
      </w:r>
      <w:r w:rsidR="00D57362" w:rsidRPr="00D57362">
        <w:t>NS, 19 février 2025, Cadrin, p. 114-115.</w:t>
      </w:r>
    </w:p>
  </w:footnote>
  <w:footnote w:id="367">
    <w:p w14:paraId="4C9D696A" w14:textId="77777777" w:rsidR="004E40D3" w:rsidRDefault="00730A01" w:rsidP="004E40D3">
      <w:pPr>
        <w:pStyle w:val="Notedebasdepage"/>
      </w:pPr>
      <w:r>
        <w:rPr>
          <w:rStyle w:val="Appelnotedebasdep"/>
        </w:rPr>
        <w:footnoteRef/>
      </w:r>
      <w:r>
        <w:t xml:space="preserve"> </w:t>
      </w:r>
      <w:r>
        <w:tab/>
        <w:t>Pièce PQ-264.</w:t>
      </w:r>
    </w:p>
  </w:footnote>
  <w:footnote w:id="368">
    <w:p w14:paraId="4DE1EE89" w14:textId="77777777" w:rsidR="004E40D3" w:rsidRDefault="00730A01" w:rsidP="004E40D3">
      <w:pPr>
        <w:pStyle w:val="Notedebasdepage"/>
      </w:pPr>
      <w:r>
        <w:rPr>
          <w:rStyle w:val="Appelnotedebasdep"/>
        </w:rPr>
        <w:footnoteRef/>
      </w:r>
      <w:r>
        <w:t xml:space="preserve"> </w:t>
      </w:r>
      <w:r>
        <w:tab/>
        <w:t>Pièce D-591.</w:t>
      </w:r>
    </w:p>
  </w:footnote>
  <w:footnote w:id="369">
    <w:p w14:paraId="6F88CE3D" w14:textId="77777777" w:rsidR="004E40D3" w:rsidRDefault="00730A01" w:rsidP="004E40D3">
      <w:pPr>
        <w:pStyle w:val="Notedebasdepage"/>
      </w:pPr>
      <w:r>
        <w:rPr>
          <w:rStyle w:val="Appelnotedebasdep"/>
        </w:rPr>
        <w:footnoteRef/>
      </w:r>
      <w:r>
        <w:t xml:space="preserve"> </w:t>
      </w:r>
      <w:r>
        <w:tab/>
      </w:r>
      <w:r w:rsidR="00D57362" w:rsidRPr="00D57362">
        <w:t>Défense, par. 6.9.</w:t>
      </w:r>
    </w:p>
  </w:footnote>
  <w:footnote w:id="370">
    <w:p w14:paraId="6E5CFD82" w14:textId="77777777" w:rsidR="004E40D3" w:rsidRDefault="00730A01" w:rsidP="004E40D3">
      <w:pPr>
        <w:pStyle w:val="Notedebasdepage"/>
      </w:pPr>
      <w:r>
        <w:rPr>
          <w:rStyle w:val="Appelnotedebasdep"/>
        </w:rPr>
        <w:footnoteRef/>
      </w:r>
      <w:r>
        <w:t xml:space="preserve"> </w:t>
      </w:r>
      <w:r>
        <w:tab/>
        <w:t>Pièce PQ-238.</w:t>
      </w:r>
    </w:p>
  </w:footnote>
  <w:footnote w:id="371">
    <w:p w14:paraId="00764E1B" w14:textId="77777777" w:rsidR="00153EAA" w:rsidRDefault="00730A01" w:rsidP="00153EAA">
      <w:pPr>
        <w:pStyle w:val="Notedebasdepage"/>
      </w:pPr>
      <w:r>
        <w:rPr>
          <w:rStyle w:val="Appelnotedebasdep"/>
        </w:rPr>
        <w:footnoteRef/>
      </w:r>
      <w:r>
        <w:t xml:space="preserve"> </w:t>
      </w:r>
      <w:r>
        <w:tab/>
        <w:t>Notamment PQ-17, EP-1, PSH-24; NS, 4 juin 2024, p. 1985-1986.</w:t>
      </w:r>
    </w:p>
  </w:footnote>
  <w:footnote w:id="372">
    <w:p w14:paraId="559F083F" w14:textId="77777777" w:rsidR="00153EAA" w:rsidRDefault="00730A01" w:rsidP="00153EAA">
      <w:pPr>
        <w:pStyle w:val="Notedebasdepage"/>
      </w:pPr>
      <w:r>
        <w:rPr>
          <w:rStyle w:val="Appelnotedebasdep"/>
        </w:rPr>
        <w:footnoteRef/>
      </w:r>
      <w:r>
        <w:t xml:space="preserve"> </w:t>
      </w:r>
      <w:r>
        <w:tab/>
        <w:t>NS, A.J. Simard, 3 juin 2024, p. 1504.</w:t>
      </w:r>
    </w:p>
  </w:footnote>
  <w:footnote w:id="373">
    <w:p w14:paraId="510C39B2" w14:textId="77777777" w:rsidR="00D57362" w:rsidRDefault="00730A01">
      <w:pPr>
        <w:pStyle w:val="Notedebasdepage"/>
      </w:pPr>
      <w:r>
        <w:rPr>
          <w:rStyle w:val="Appelnotedebasdep"/>
        </w:rPr>
        <w:footnoteRef/>
      </w:r>
      <w:r>
        <w:t xml:space="preserve"> </w:t>
      </w:r>
      <w:r>
        <w:tab/>
      </w:r>
      <w:r w:rsidR="005C2BC5" w:rsidRPr="0012738A">
        <w:rPr>
          <w:i/>
          <w:iCs/>
        </w:rPr>
        <w:t xml:space="preserve">Laval </w:t>
      </w:r>
      <w:r w:rsidR="005C2BC5" w:rsidRPr="0012738A">
        <w:rPr>
          <w:i/>
          <w:iCs/>
          <w:lang w:eastAsia="fr-CA"/>
        </w:rPr>
        <w:t>(Ville de)</w:t>
      </w:r>
      <w:r w:rsidR="005C2BC5" w:rsidRPr="0012738A">
        <w:rPr>
          <w:lang w:eastAsia="fr-CA"/>
        </w:rPr>
        <w:t xml:space="preserve"> c. </w:t>
      </w:r>
      <w:r w:rsidR="005C2BC5" w:rsidRPr="0012738A">
        <w:rPr>
          <w:i/>
          <w:iCs/>
          <w:lang w:eastAsia="fr-CA"/>
        </w:rPr>
        <w:t>Ducharme</w:t>
      </w:r>
      <w:r w:rsidR="005C2BC5" w:rsidRPr="0012738A">
        <w:rPr>
          <w:lang w:eastAsia="fr-CA"/>
        </w:rPr>
        <w:t xml:space="preserve">, 2012 QCCA 2122; Jean-Louis </w:t>
      </w:r>
      <w:r w:rsidR="005C2BC5">
        <w:rPr>
          <w:lang w:eastAsia="fr-CA"/>
        </w:rPr>
        <w:t>BAUDOIN</w:t>
      </w:r>
      <w:r w:rsidR="005C2BC5" w:rsidRPr="0012738A">
        <w:rPr>
          <w:lang w:eastAsia="fr-CA"/>
        </w:rPr>
        <w:t>, Patrice D</w:t>
      </w:r>
      <w:r w:rsidR="005C2BC5">
        <w:rPr>
          <w:lang w:eastAsia="fr-CA"/>
        </w:rPr>
        <w:t>ESLAURIERS</w:t>
      </w:r>
      <w:r w:rsidR="005C2BC5" w:rsidRPr="0012738A">
        <w:rPr>
          <w:lang w:eastAsia="fr-CA"/>
        </w:rPr>
        <w:t xml:space="preserve"> et Benoît M</w:t>
      </w:r>
      <w:r w:rsidR="005C2BC5">
        <w:rPr>
          <w:lang w:eastAsia="fr-CA"/>
        </w:rPr>
        <w:t>OORE</w:t>
      </w:r>
      <w:r w:rsidR="005C2BC5" w:rsidRPr="0012738A">
        <w:rPr>
          <w:lang w:eastAsia="fr-CA"/>
        </w:rPr>
        <w:t xml:space="preserve">, </w:t>
      </w:r>
      <w:r w:rsidR="005C2BC5" w:rsidRPr="0012738A">
        <w:rPr>
          <w:i/>
          <w:iCs/>
          <w:lang w:eastAsia="fr-CA"/>
        </w:rPr>
        <w:t>La responsabilité civile</w:t>
      </w:r>
      <w:r w:rsidR="005C2BC5" w:rsidRPr="0012738A">
        <w:rPr>
          <w:lang w:eastAsia="fr-CA"/>
        </w:rPr>
        <w:t xml:space="preserve">, 9e éd., vol. 2, </w:t>
      </w:r>
      <w:r w:rsidR="005C2BC5">
        <w:rPr>
          <w:lang w:eastAsia="fr-CA"/>
        </w:rPr>
        <w:t>Montréal, Éditions Yvon Blais, 2020, nos</w:t>
      </w:r>
      <w:r w:rsidR="00107936">
        <w:rPr>
          <w:lang w:eastAsia="fr-CA"/>
        </w:rPr>
        <w:t> </w:t>
      </w:r>
      <w:r w:rsidR="005C2BC5">
        <w:rPr>
          <w:lang w:eastAsia="fr-CA"/>
        </w:rPr>
        <w:t>1</w:t>
      </w:r>
      <w:r w:rsidR="00107936">
        <w:rPr>
          <w:lang w:eastAsia="fr-CA"/>
        </w:rPr>
        <w:noBreakHyphen/>
      </w:r>
      <w:r w:rsidR="005C2BC5">
        <w:rPr>
          <w:lang w:eastAsia="fr-CA"/>
        </w:rPr>
        <w:t xml:space="preserve">691 à </w:t>
      </w:r>
      <w:r w:rsidR="005C2BC5" w:rsidRPr="0012738A">
        <w:rPr>
          <w:lang w:eastAsia="fr-CA"/>
        </w:rPr>
        <w:t xml:space="preserve">1-692, </w:t>
      </w:r>
      <w:r w:rsidR="005C2BC5">
        <w:rPr>
          <w:lang w:eastAsia="fr-CA"/>
        </w:rPr>
        <w:t>p.</w:t>
      </w:r>
      <w:r w:rsidR="005C2BC5" w:rsidRPr="0012738A">
        <w:rPr>
          <w:lang w:eastAsia="fr-CA"/>
        </w:rPr>
        <w:t xml:space="preserve"> 291-292</w:t>
      </w:r>
      <w:r w:rsidR="005C2BC5">
        <w:rPr>
          <w:lang w:eastAsia="fr-CA"/>
        </w:rPr>
        <w:t>, notes 103-104.</w:t>
      </w:r>
    </w:p>
  </w:footnote>
  <w:footnote w:id="374">
    <w:p w14:paraId="5D0E3AAD" w14:textId="77777777" w:rsidR="0012738A" w:rsidRDefault="00730A01">
      <w:pPr>
        <w:pStyle w:val="Notedebasdepage"/>
      </w:pPr>
      <w:r>
        <w:rPr>
          <w:rStyle w:val="Appelnotedebasdep"/>
        </w:rPr>
        <w:footnoteRef/>
      </w:r>
      <w:r>
        <w:t xml:space="preserve"> </w:t>
      </w:r>
      <w:r>
        <w:tab/>
        <w:t>2021 QCCA1363.</w:t>
      </w:r>
    </w:p>
  </w:footnote>
  <w:footnote w:id="375">
    <w:p w14:paraId="05EDF6F6" w14:textId="77777777" w:rsidR="0012738A" w:rsidRDefault="00730A01">
      <w:pPr>
        <w:pStyle w:val="Notedebasdepage"/>
      </w:pPr>
      <w:r>
        <w:rPr>
          <w:rStyle w:val="Appelnotedebasdep"/>
        </w:rPr>
        <w:footnoteRef/>
      </w:r>
      <w:r>
        <w:t xml:space="preserve"> </w:t>
      </w:r>
      <w:r>
        <w:tab/>
        <w:t>2024 QCCS 642.</w:t>
      </w:r>
    </w:p>
  </w:footnote>
  <w:footnote w:id="376">
    <w:p w14:paraId="1527F55D" w14:textId="77777777" w:rsidR="00190918" w:rsidRDefault="00730A01">
      <w:pPr>
        <w:pStyle w:val="Notedebasdepage"/>
      </w:pPr>
      <w:r>
        <w:rPr>
          <w:rStyle w:val="Appelnotedebasdep"/>
        </w:rPr>
        <w:footnoteRef/>
      </w:r>
      <w:r>
        <w:t xml:space="preserve"> </w:t>
      </w:r>
      <w:r>
        <w:tab/>
      </w:r>
      <w:r w:rsidRPr="00190918">
        <w:rPr>
          <w:lang w:eastAsia="fr-CA"/>
        </w:rPr>
        <w:t xml:space="preserve">NS, 6 juin 2024, Bernardo, p. </w:t>
      </w:r>
      <w:r w:rsidRPr="00B47A45">
        <w:rPr>
          <w:lang w:eastAsia="fr-CA"/>
        </w:rPr>
        <w:t>3302;10 à 3310;10, p. 3475;10 à 3482;11</w:t>
      </w:r>
      <w:r>
        <w:rPr>
          <w:lang w:eastAsia="fr-CA"/>
        </w:rPr>
        <w:t>.</w:t>
      </w:r>
    </w:p>
  </w:footnote>
  <w:footnote w:id="377">
    <w:p w14:paraId="38FCBAE4" w14:textId="77777777" w:rsidR="00190918" w:rsidRDefault="00730A01">
      <w:pPr>
        <w:pStyle w:val="Notedebasdepage"/>
      </w:pPr>
      <w:r>
        <w:rPr>
          <w:rStyle w:val="Appelnotedebasdep"/>
        </w:rPr>
        <w:footnoteRef/>
      </w:r>
      <w:r>
        <w:t xml:space="preserve"> </w:t>
      </w:r>
      <w:r>
        <w:tab/>
      </w:r>
      <w:r w:rsidRPr="00D50712">
        <w:rPr>
          <w:lang w:eastAsia="fr-CA"/>
        </w:rPr>
        <w:t xml:space="preserve">NS, 27 mai </w:t>
      </w:r>
      <w:r w:rsidR="00B47A45" w:rsidRPr="00D50712">
        <w:rPr>
          <w:lang w:eastAsia="fr-CA"/>
        </w:rPr>
        <w:t>2024</w:t>
      </w:r>
      <w:r w:rsidRPr="00D50712">
        <w:rPr>
          <w:lang w:eastAsia="fr-CA"/>
        </w:rPr>
        <w:t xml:space="preserve"> au 22 janvier 2025.</w:t>
      </w:r>
    </w:p>
  </w:footnote>
  <w:footnote w:id="378">
    <w:p w14:paraId="529A88F4" w14:textId="77777777" w:rsidR="00190918" w:rsidRDefault="00730A01">
      <w:pPr>
        <w:pStyle w:val="Notedebasdepage"/>
      </w:pPr>
      <w:r>
        <w:rPr>
          <w:rStyle w:val="Appelnotedebasdep"/>
        </w:rPr>
        <w:footnoteRef/>
      </w:r>
      <w:r>
        <w:t xml:space="preserve"> </w:t>
      </w:r>
      <w:r>
        <w:tab/>
      </w:r>
      <w:r w:rsidR="00D50712">
        <w:rPr>
          <w:lang w:eastAsia="fr-CA"/>
        </w:rPr>
        <w:t>Pièce EP-1, rapport KPMG du 12 novembre 2023 qui inclut 7 000 pages de documents et annexes</w:t>
      </w:r>
      <w:r w:rsidR="003F67E0">
        <w:rPr>
          <w:lang w:eastAsia="fr-CA"/>
        </w:rPr>
        <w:t>; Pièces EP-1.1, 1.2 et 1.3, NS, Filion, 11 juin 2024, p. 4703</w:t>
      </w:r>
      <w:r>
        <w:rPr>
          <w:lang w:eastAsia="fr-CA"/>
        </w:rPr>
        <w:t>.</w:t>
      </w:r>
    </w:p>
  </w:footnote>
  <w:footnote w:id="379">
    <w:p w14:paraId="0D84E777" w14:textId="77777777" w:rsidR="006A1B5A" w:rsidRPr="006A1B5A" w:rsidRDefault="00730A01">
      <w:pPr>
        <w:pStyle w:val="Notedebasdepage"/>
      </w:pPr>
      <w:r>
        <w:rPr>
          <w:rStyle w:val="Appelnotedebasdep"/>
        </w:rPr>
        <w:footnoteRef/>
      </w:r>
      <w:r>
        <w:t xml:space="preserve"> </w:t>
      </w:r>
      <w:r>
        <w:tab/>
      </w:r>
      <w:r w:rsidRPr="006A1B5A">
        <w:rPr>
          <w:rFonts w:cs="Arial"/>
          <w:i/>
          <w:iCs/>
          <w:lang w:eastAsia="fr-CA"/>
        </w:rPr>
        <w:t>Savard</w:t>
      </w:r>
      <w:r w:rsidRPr="006A1B5A">
        <w:rPr>
          <w:rFonts w:cs="Arial"/>
          <w:lang w:eastAsia="fr-CA"/>
        </w:rPr>
        <w:t xml:space="preserve"> c. </w:t>
      </w:r>
      <w:r w:rsidRPr="006A1B5A">
        <w:rPr>
          <w:rFonts w:cs="Arial"/>
          <w:i/>
          <w:iCs/>
          <w:lang w:eastAsia="fr-CA"/>
        </w:rPr>
        <w:t>2329-1297 Québec</w:t>
      </w:r>
      <w:r w:rsidRPr="006A1B5A">
        <w:rPr>
          <w:rFonts w:cs="Arial"/>
          <w:lang w:eastAsia="fr-CA"/>
        </w:rPr>
        <w:t xml:space="preserve"> </w:t>
      </w:r>
      <w:r w:rsidRPr="006A1B5A">
        <w:rPr>
          <w:rFonts w:cs="Arial"/>
          <w:i/>
          <w:iCs/>
          <w:lang w:eastAsia="fr-CA"/>
        </w:rPr>
        <w:t>inc</w:t>
      </w:r>
      <w:r w:rsidRPr="006A1B5A">
        <w:rPr>
          <w:rFonts w:cs="Arial"/>
          <w:b/>
          <w:bCs/>
          <w:i/>
          <w:iCs/>
          <w:lang w:eastAsia="fr-CA"/>
        </w:rPr>
        <w:t>.</w:t>
      </w:r>
      <w:r w:rsidRPr="006A1B5A">
        <w:rPr>
          <w:rFonts w:cs="Arial"/>
          <w:lang w:eastAsia="fr-CA"/>
        </w:rPr>
        <w:t>, 2003 CanLII 4455 (QC CS), par. 220, conf. par 2005 QCCA 705</w:t>
      </w:r>
      <w:r>
        <w:rPr>
          <w:rFonts w:cs="Arial"/>
          <w:lang w:eastAsia="fr-CA"/>
        </w:rPr>
        <w:t xml:space="preserve">; </w:t>
      </w:r>
      <w:r>
        <w:rPr>
          <w:rFonts w:cs="Arial"/>
          <w:i/>
          <w:iCs/>
          <w:lang w:eastAsia="fr-CA"/>
        </w:rPr>
        <w:t xml:space="preserve">Bell </w:t>
      </w:r>
      <w:r>
        <w:rPr>
          <w:rFonts w:cs="Arial"/>
          <w:lang w:eastAsia="fr-CA"/>
        </w:rPr>
        <w:t xml:space="preserve">c. </w:t>
      </w:r>
      <w:r w:rsidRPr="00FE09F5">
        <w:rPr>
          <w:rFonts w:cs="Arial"/>
          <w:i/>
          <w:iCs/>
          <w:lang w:eastAsia="fr-CA"/>
        </w:rPr>
        <w:t>Molson</w:t>
      </w:r>
      <w:r w:rsidRPr="00FE09F5">
        <w:rPr>
          <w:rFonts w:cs="Arial"/>
          <w:lang w:eastAsia="fr-CA"/>
        </w:rPr>
        <w:t>, 2012 QCCS 5498, par. 164, inf. en partie par 2015 QCCA 583</w:t>
      </w:r>
      <w:r w:rsidR="00FE09F5">
        <w:rPr>
          <w:rFonts w:cs="Arial"/>
          <w:lang w:eastAsia="fr-CA"/>
        </w:rPr>
        <w:t xml:space="preserve">; </w:t>
      </w:r>
      <w:r w:rsidRPr="00FE09F5">
        <w:rPr>
          <w:rFonts w:cs="Arial"/>
          <w:i/>
          <w:iCs/>
          <w:lang w:eastAsia="fr-CA"/>
        </w:rPr>
        <w:t xml:space="preserve">Business Development Bank of Canada </w:t>
      </w:r>
      <w:r w:rsidRPr="00FE09F5">
        <w:rPr>
          <w:rFonts w:cs="Arial"/>
          <w:lang w:eastAsia="fr-CA"/>
        </w:rPr>
        <w:t xml:space="preserve">c. </w:t>
      </w:r>
      <w:r w:rsidRPr="00FE09F5">
        <w:rPr>
          <w:rFonts w:cs="Arial"/>
          <w:i/>
          <w:iCs/>
          <w:lang w:eastAsia="fr-CA"/>
        </w:rPr>
        <w:t>Pfeiffer</w:t>
      </w:r>
      <w:r w:rsidRPr="00FE09F5">
        <w:rPr>
          <w:rFonts w:cs="Arial"/>
          <w:lang w:eastAsia="fr-CA"/>
        </w:rPr>
        <w:t>, 2009 QCCS</w:t>
      </w:r>
      <w:r w:rsidR="00FE09F5">
        <w:rPr>
          <w:rFonts w:cs="Arial"/>
          <w:lang w:eastAsia="fr-CA"/>
        </w:rPr>
        <w:t>.</w:t>
      </w:r>
    </w:p>
  </w:footnote>
  <w:footnote w:id="380">
    <w:p w14:paraId="3EB06625" w14:textId="77777777" w:rsidR="00FE09F5" w:rsidRDefault="00730A01">
      <w:pPr>
        <w:pStyle w:val="Notedebasdepage"/>
      </w:pPr>
      <w:r>
        <w:rPr>
          <w:rStyle w:val="Appelnotedebasdep"/>
        </w:rPr>
        <w:footnoteRef/>
      </w:r>
      <w:r>
        <w:t xml:space="preserve"> </w:t>
      </w:r>
      <w:r>
        <w:tab/>
        <w:t xml:space="preserve">NS, 13 juin 2024, </w:t>
      </w:r>
      <w:r w:rsidR="0028343F">
        <w:t>p.</w:t>
      </w:r>
      <w:r>
        <w:t xml:space="preserve"> 5527-5536.</w:t>
      </w:r>
    </w:p>
  </w:footnote>
  <w:footnote w:id="381">
    <w:p w14:paraId="104B6FD6" w14:textId="77777777" w:rsidR="00FE09F5" w:rsidRPr="00FE09F5" w:rsidRDefault="00730A01">
      <w:pPr>
        <w:pStyle w:val="Notedebasdepage"/>
      </w:pPr>
      <w:r>
        <w:rPr>
          <w:rStyle w:val="Appelnotedebasdep"/>
        </w:rPr>
        <w:footnoteRef/>
      </w:r>
      <w:r>
        <w:t xml:space="preserve"> </w:t>
      </w:r>
      <w:r>
        <w:tab/>
      </w:r>
      <w:r>
        <w:rPr>
          <w:i/>
          <w:iCs/>
        </w:rPr>
        <w:t>Maranda</w:t>
      </w:r>
      <w:r>
        <w:t xml:space="preserve"> c. </w:t>
      </w:r>
      <w:r>
        <w:rPr>
          <w:i/>
          <w:iCs/>
        </w:rPr>
        <w:t>Richer</w:t>
      </w:r>
      <w:r>
        <w:t>, 2003 CSC 67, par. 33.</w:t>
      </w:r>
    </w:p>
  </w:footnote>
  <w:footnote w:id="382">
    <w:p w14:paraId="390E28C7" w14:textId="77777777" w:rsidR="00DC1C52" w:rsidRDefault="00730A01">
      <w:pPr>
        <w:pStyle w:val="Notedebasdepage"/>
      </w:pPr>
      <w:r>
        <w:rPr>
          <w:rStyle w:val="Appelnotedebasdep"/>
        </w:rPr>
        <w:footnoteRef/>
      </w:r>
      <w:r>
        <w:t xml:space="preserve"> </w:t>
      </w:r>
      <w:r>
        <w:tab/>
        <w:t>2014 QCCS 1216, par. 21 à 23.</w:t>
      </w:r>
    </w:p>
  </w:footnote>
  <w:footnote w:id="383">
    <w:p w14:paraId="6F3F316F" w14:textId="77777777" w:rsidR="00DC1C52" w:rsidRPr="00DC1C52" w:rsidRDefault="00730A01">
      <w:pPr>
        <w:pStyle w:val="Notedebasdepage"/>
      </w:pPr>
      <w:r>
        <w:rPr>
          <w:rStyle w:val="Appelnotedebasdep"/>
        </w:rPr>
        <w:footnoteRef/>
      </w:r>
      <w:r>
        <w:t xml:space="preserve"> </w:t>
      </w:r>
      <w:r>
        <w:tab/>
      </w:r>
      <w:r>
        <w:rPr>
          <w:i/>
          <w:iCs/>
        </w:rPr>
        <w:t>Id.</w:t>
      </w:r>
      <w:r>
        <w:t>, par. 24.</w:t>
      </w:r>
    </w:p>
  </w:footnote>
  <w:footnote w:id="384">
    <w:p w14:paraId="665852AD" w14:textId="77777777" w:rsidR="00B24756" w:rsidRDefault="00730A01">
      <w:pPr>
        <w:pStyle w:val="Notedebasdepage"/>
      </w:pPr>
      <w:r>
        <w:rPr>
          <w:rStyle w:val="Appelnotedebasdep"/>
        </w:rPr>
        <w:footnoteRef/>
      </w:r>
      <w:r>
        <w:t xml:space="preserve"> </w:t>
      </w:r>
      <w:r>
        <w:tab/>
        <w:t>Plan d’argumentation conjoint des Demandeurs sur les incidents principaux, p. 60.</w:t>
      </w:r>
    </w:p>
  </w:footnote>
  <w:footnote w:id="385">
    <w:p w14:paraId="6568B1A7" w14:textId="77777777" w:rsidR="00703D10" w:rsidRDefault="00730A01">
      <w:pPr>
        <w:pStyle w:val="Notedebasdepage"/>
      </w:pPr>
      <w:r>
        <w:rPr>
          <w:rStyle w:val="Appelnotedebasdep"/>
        </w:rPr>
        <w:footnoteRef/>
      </w:r>
      <w:r>
        <w:t xml:space="preserve"> </w:t>
      </w:r>
      <w:r>
        <w:tab/>
        <w:t xml:space="preserve">NS, 13 juin 2024, </w:t>
      </w:r>
      <w:r w:rsidR="0028343F">
        <w:t>p.</w:t>
      </w:r>
      <w:r>
        <w:t xml:space="preserve"> 5536-5537.</w:t>
      </w:r>
    </w:p>
  </w:footnote>
  <w:footnote w:id="386">
    <w:p w14:paraId="7C7448B4" w14:textId="77777777" w:rsidR="00703D10" w:rsidRDefault="00730A01">
      <w:pPr>
        <w:pStyle w:val="Notedebasdepage"/>
      </w:pPr>
      <w:r>
        <w:rPr>
          <w:rStyle w:val="Appelnotedebasdep"/>
        </w:rPr>
        <w:footnoteRef/>
      </w:r>
      <w:r>
        <w:t xml:space="preserve"> </w:t>
      </w:r>
      <w:r>
        <w:tab/>
        <w:t xml:space="preserve">NS, 17 février 2025, </w:t>
      </w:r>
      <w:r w:rsidR="0028343F">
        <w:t>p.</w:t>
      </w:r>
      <w:r>
        <w:t xml:space="preserve"> 306-307 et 20 février 2025, </w:t>
      </w:r>
      <w:r w:rsidR="0028343F">
        <w:t>p.</w:t>
      </w:r>
      <w:r>
        <w:t xml:space="preserve"> 7-8</w:t>
      </w:r>
      <w:r w:rsidR="00B24756">
        <w:t>.</w:t>
      </w:r>
    </w:p>
  </w:footnote>
  <w:footnote w:id="387">
    <w:p w14:paraId="141616F5" w14:textId="77777777" w:rsidR="007C5C6F" w:rsidRPr="00533C92" w:rsidRDefault="00730A01" w:rsidP="007C5C6F">
      <w:pPr>
        <w:pStyle w:val="Notedebasdepage"/>
      </w:pPr>
      <w:r>
        <w:rPr>
          <w:rStyle w:val="Appelnotedebasdep"/>
        </w:rPr>
        <w:footnoteRef/>
      </w:r>
      <w:r w:rsidRPr="00533C92">
        <w:t xml:space="preserve"> </w:t>
      </w:r>
      <w:r w:rsidRPr="00533C92">
        <w:tab/>
      </w:r>
      <w:r w:rsidRPr="00533C92">
        <w:rPr>
          <w:i/>
          <w:iCs/>
        </w:rPr>
        <w:t xml:space="preserve">Govan </w:t>
      </w:r>
      <w:r w:rsidRPr="00533C92">
        <w:t xml:space="preserve">c. </w:t>
      </w:r>
      <w:r w:rsidRPr="00533C92">
        <w:rPr>
          <w:i/>
          <w:iCs/>
        </w:rPr>
        <w:t>Loblaw Companies Limited</w:t>
      </w:r>
      <w:r w:rsidRPr="00533C92">
        <w:t>, 2023 QCCS 4278, par. 24-28.</w:t>
      </w:r>
    </w:p>
  </w:footnote>
  <w:footnote w:id="388">
    <w:p w14:paraId="2E7B6855" w14:textId="77777777" w:rsidR="00703D10" w:rsidRDefault="00730A01">
      <w:pPr>
        <w:pStyle w:val="Notedebasdepage"/>
      </w:pPr>
      <w:r>
        <w:rPr>
          <w:rStyle w:val="Appelnotedebasdep"/>
        </w:rPr>
        <w:footnoteRef/>
      </w:r>
      <w:r>
        <w:t xml:space="preserve"> </w:t>
      </w:r>
      <w:r>
        <w:tab/>
        <w:t xml:space="preserve">NS, 29 mai 2024, </w:t>
      </w:r>
      <w:r w:rsidR="0028343F">
        <w:t>p.</w:t>
      </w:r>
      <w:r>
        <w:t xml:space="preserve"> 957-960.</w:t>
      </w:r>
    </w:p>
  </w:footnote>
  <w:footnote w:id="389">
    <w:p w14:paraId="4F5E489D" w14:textId="77777777" w:rsidR="00703D10" w:rsidRDefault="00730A01">
      <w:pPr>
        <w:pStyle w:val="Notedebasdepage"/>
      </w:pPr>
      <w:r>
        <w:rPr>
          <w:rStyle w:val="Appelnotedebasdep"/>
        </w:rPr>
        <w:footnoteRef/>
      </w:r>
      <w:r>
        <w:t xml:space="preserve"> </w:t>
      </w:r>
      <w:r>
        <w:tab/>
        <w:t>NS, 7 juin 2024, p. 2353-2357.</w:t>
      </w:r>
    </w:p>
  </w:footnote>
  <w:footnote w:id="390">
    <w:p w14:paraId="6F1490AA" w14:textId="77777777" w:rsidR="007C5C6F" w:rsidRDefault="00730A01">
      <w:pPr>
        <w:pStyle w:val="Notedebasdepage"/>
      </w:pPr>
      <w:r>
        <w:rPr>
          <w:rStyle w:val="Appelnotedebasdep"/>
        </w:rPr>
        <w:footnoteRef/>
      </w:r>
      <w:r>
        <w:t xml:space="preserve"> </w:t>
      </w:r>
      <w:r>
        <w:tab/>
        <w:t>NS, 21 janvier 2025, p. 224-226.</w:t>
      </w:r>
    </w:p>
  </w:footnote>
  <w:footnote w:id="391">
    <w:p w14:paraId="02FEBD9A" w14:textId="77777777" w:rsidR="007C5C6F" w:rsidRDefault="00730A01">
      <w:pPr>
        <w:pStyle w:val="Notedebasdepage"/>
      </w:pPr>
      <w:r>
        <w:rPr>
          <w:rStyle w:val="Appelnotedebasdep"/>
        </w:rPr>
        <w:footnoteRef/>
      </w:r>
      <w:r>
        <w:t xml:space="preserve"> </w:t>
      </w:r>
      <w:r>
        <w:tab/>
        <w:t>NS, 27 février 2025, p. 58-62.</w:t>
      </w:r>
    </w:p>
  </w:footnote>
  <w:footnote w:id="392">
    <w:p w14:paraId="01BC6988" w14:textId="77777777" w:rsidR="000D1323" w:rsidRDefault="00730A01">
      <w:pPr>
        <w:pStyle w:val="Notedebasdepage"/>
      </w:pPr>
      <w:r>
        <w:rPr>
          <w:rStyle w:val="Appelnotedebasdep"/>
        </w:rPr>
        <w:footnoteRef/>
      </w:r>
      <w:r>
        <w:t xml:space="preserve"> </w:t>
      </w:r>
      <w:r>
        <w:tab/>
        <w:t>NS, 27 février 2025, p. 133-135.</w:t>
      </w:r>
    </w:p>
  </w:footnote>
  <w:footnote w:id="393">
    <w:p w14:paraId="34293CCF" w14:textId="77777777" w:rsidR="00143184" w:rsidRDefault="00730A01">
      <w:pPr>
        <w:pStyle w:val="Notedebasdepage"/>
      </w:pPr>
      <w:r>
        <w:rPr>
          <w:rStyle w:val="Appelnotedebasdep"/>
        </w:rPr>
        <w:footnoteRef/>
      </w:r>
      <w:r>
        <w:t xml:space="preserve"> </w:t>
      </w:r>
      <w:r>
        <w:tab/>
        <w:t>Pièce D-810, Présentation PowerPoint de Marcil.</w:t>
      </w:r>
    </w:p>
  </w:footnote>
  <w:footnote w:id="394">
    <w:p w14:paraId="2D0E96BB" w14:textId="77777777" w:rsidR="000E1032" w:rsidRDefault="00730A01">
      <w:pPr>
        <w:pStyle w:val="Notedebasdepage"/>
      </w:pPr>
      <w:r>
        <w:rPr>
          <w:rStyle w:val="Appelnotedebasdep"/>
        </w:rPr>
        <w:footnoteRef/>
      </w:r>
      <w:r>
        <w:t xml:space="preserve"> </w:t>
      </w:r>
      <w:r>
        <w:tab/>
        <w:t xml:space="preserve">NS, 18 mars 2025, </w:t>
      </w:r>
      <w:r w:rsidR="0028343F">
        <w:t>p.</w:t>
      </w:r>
      <w:r>
        <w:t xml:space="preserve"> 248-249.</w:t>
      </w:r>
    </w:p>
  </w:footnote>
  <w:footnote w:id="395">
    <w:p w14:paraId="23B94559" w14:textId="77777777" w:rsidR="000D1323" w:rsidRDefault="00730A01">
      <w:pPr>
        <w:pStyle w:val="Notedebasdepage"/>
      </w:pPr>
      <w:r>
        <w:rPr>
          <w:rStyle w:val="Appelnotedebasdep"/>
        </w:rPr>
        <w:footnoteRef/>
      </w:r>
      <w:r>
        <w:t xml:space="preserve"> </w:t>
      </w:r>
      <w:r>
        <w:tab/>
        <w:t xml:space="preserve">Avis de </w:t>
      </w:r>
      <w:r w:rsidRPr="000D1323">
        <w:t xml:space="preserve">communication </w:t>
      </w:r>
      <w:r w:rsidRPr="000D1323">
        <w:rPr>
          <w:lang w:eastAsia="fr-CA"/>
        </w:rPr>
        <w:t>d’un rapport d’un témoin expert daté du 12 novembre 2023</w:t>
      </w:r>
      <w:r>
        <w:rPr>
          <w:lang w:eastAsia="fr-CA"/>
        </w:rPr>
        <w:t>.</w:t>
      </w:r>
    </w:p>
  </w:footnote>
  <w:footnote w:id="396">
    <w:p w14:paraId="15A630C4" w14:textId="77777777" w:rsidR="00115985" w:rsidRDefault="00730A01">
      <w:pPr>
        <w:pStyle w:val="Notedebasdepage"/>
      </w:pPr>
      <w:r>
        <w:rPr>
          <w:rStyle w:val="Appelnotedebasdep"/>
        </w:rPr>
        <w:footnoteRef/>
      </w:r>
      <w:r>
        <w:t xml:space="preserve"> </w:t>
      </w:r>
      <w:r>
        <w:tab/>
        <w:t>Pièce R-03.</w:t>
      </w:r>
    </w:p>
  </w:footnote>
  <w:footnote w:id="397">
    <w:p w14:paraId="23A982FB" w14:textId="77777777" w:rsidR="00115985" w:rsidRPr="00115985" w:rsidRDefault="00730A01">
      <w:pPr>
        <w:pStyle w:val="Notedebasdepage"/>
        <w:rPr>
          <w:i/>
          <w:iCs/>
        </w:rPr>
      </w:pPr>
      <w:r>
        <w:rPr>
          <w:rStyle w:val="Appelnotedebasdep"/>
        </w:rPr>
        <w:footnoteRef/>
      </w:r>
      <w:r>
        <w:t xml:space="preserve"> </w:t>
      </w:r>
      <w:r>
        <w:tab/>
      </w:r>
      <w:r w:rsidRPr="00115985">
        <w:rPr>
          <w:i/>
          <w:iCs/>
          <w:lang w:eastAsia="fr-CA"/>
        </w:rPr>
        <w:t xml:space="preserve">Elmaraghi </w:t>
      </w:r>
      <w:r w:rsidRPr="00115985">
        <w:rPr>
          <w:lang w:eastAsia="fr-CA"/>
        </w:rPr>
        <w:t xml:space="preserve">c. </w:t>
      </w:r>
      <w:r w:rsidRPr="00115985">
        <w:rPr>
          <w:i/>
          <w:iCs/>
          <w:lang w:eastAsia="fr-CA"/>
        </w:rPr>
        <w:t>Nadeau</w:t>
      </w:r>
      <w:r w:rsidRPr="00115985">
        <w:rPr>
          <w:lang w:eastAsia="fr-CA"/>
        </w:rPr>
        <w:t>, 2017 QCCS 4156 (requête pour permission d’appeler rejetée, 2017 QCCA</w:t>
      </w:r>
      <w:r w:rsidR="00801FFE">
        <w:rPr>
          <w:lang w:eastAsia="fr-CA"/>
        </w:rPr>
        <w:t> </w:t>
      </w:r>
      <w:r w:rsidRPr="00115985">
        <w:rPr>
          <w:lang w:eastAsia="fr-CA"/>
        </w:rPr>
        <w:t>1915).</w:t>
      </w:r>
    </w:p>
  </w:footnote>
  <w:footnote w:id="398">
    <w:p w14:paraId="39129E5E" w14:textId="77777777" w:rsidR="00115985" w:rsidRPr="006230E9" w:rsidRDefault="00730A01">
      <w:pPr>
        <w:pStyle w:val="Notedebasdepage"/>
        <w:rPr>
          <w:lang w:val="en-CA"/>
        </w:rPr>
      </w:pPr>
      <w:r>
        <w:rPr>
          <w:rStyle w:val="Appelnotedebasdep"/>
        </w:rPr>
        <w:footnoteRef/>
      </w:r>
      <w:r w:rsidRPr="006230E9">
        <w:rPr>
          <w:lang w:val="en-CA"/>
        </w:rPr>
        <w:t xml:space="preserve"> </w:t>
      </w:r>
      <w:r w:rsidRPr="006230E9">
        <w:rPr>
          <w:lang w:val="en-CA"/>
        </w:rPr>
        <w:tab/>
        <w:t>2018 QCCS 1655.</w:t>
      </w:r>
    </w:p>
  </w:footnote>
  <w:footnote w:id="399">
    <w:p w14:paraId="1A52450E" w14:textId="77777777" w:rsidR="00BE6958" w:rsidRPr="006230E9" w:rsidRDefault="00730A01">
      <w:pPr>
        <w:pStyle w:val="Notedebasdepage"/>
        <w:rPr>
          <w:lang w:val="en-CA"/>
        </w:rPr>
      </w:pPr>
      <w:r>
        <w:rPr>
          <w:rStyle w:val="Appelnotedebasdep"/>
        </w:rPr>
        <w:footnoteRef/>
      </w:r>
      <w:r w:rsidRPr="006230E9">
        <w:rPr>
          <w:lang w:val="en-CA"/>
        </w:rPr>
        <w:t xml:space="preserve"> </w:t>
      </w:r>
      <w:r w:rsidRPr="006230E9">
        <w:rPr>
          <w:lang w:val="en-CA"/>
        </w:rPr>
        <w:tab/>
        <w:t>2018 QCCA 1357.</w:t>
      </w:r>
    </w:p>
  </w:footnote>
  <w:footnote w:id="400">
    <w:p w14:paraId="612FF9CF" w14:textId="77777777" w:rsidR="00BE6958" w:rsidRPr="00BE6958" w:rsidRDefault="00730A01">
      <w:pPr>
        <w:pStyle w:val="Notedebasdepage"/>
        <w:rPr>
          <w:lang w:val="en-CA"/>
        </w:rPr>
      </w:pPr>
      <w:r>
        <w:rPr>
          <w:rStyle w:val="Appelnotedebasdep"/>
        </w:rPr>
        <w:footnoteRef/>
      </w:r>
      <w:r w:rsidRPr="00BE6958">
        <w:rPr>
          <w:lang w:val="en-CA"/>
        </w:rPr>
        <w:t xml:space="preserve"> </w:t>
      </w:r>
      <w:r w:rsidRPr="00BE6958">
        <w:rPr>
          <w:lang w:val="en-CA"/>
        </w:rPr>
        <w:tab/>
      </w:r>
      <w:r w:rsidRPr="00BE6958">
        <w:rPr>
          <w:i/>
          <w:iCs/>
          <w:lang w:val="en-CA"/>
        </w:rPr>
        <w:t xml:space="preserve">White Burgess Langille Inma </w:t>
      </w:r>
      <w:r w:rsidRPr="00BE6958">
        <w:rPr>
          <w:lang w:val="en-CA"/>
        </w:rPr>
        <w:t>v.</w:t>
      </w:r>
      <w:r>
        <w:rPr>
          <w:lang w:val="en-CA"/>
        </w:rPr>
        <w:t xml:space="preserve"> </w:t>
      </w:r>
      <w:r>
        <w:rPr>
          <w:i/>
          <w:iCs/>
          <w:lang w:val="en-CA"/>
        </w:rPr>
        <w:t>Abbot and Halliburton Co.</w:t>
      </w:r>
      <w:r>
        <w:rPr>
          <w:lang w:val="en-CA"/>
        </w:rPr>
        <w:t>, 2015 SCC 23.</w:t>
      </w:r>
    </w:p>
  </w:footnote>
  <w:footnote w:id="401">
    <w:p w14:paraId="088F5E3B" w14:textId="77777777" w:rsidR="00BE6958" w:rsidRDefault="00730A01">
      <w:pPr>
        <w:pStyle w:val="Notedebasdepage"/>
      </w:pPr>
      <w:r>
        <w:rPr>
          <w:rStyle w:val="Appelnotedebasdep"/>
        </w:rPr>
        <w:footnoteRef/>
      </w:r>
      <w:r>
        <w:t xml:space="preserve"> </w:t>
      </w:r>
      <w:r>
        <w:tab/>
      </w:r>
      <w:r w:rsidRPr="00BE6958">
        <w:rPr>
          <w:i/>
          <w:iCs/>
          <w:lang w:eastAsia="fr-CA"/>
        </w:rPr>
        <w:t>Loi sur les comptables professionnels agrées</w:t>
      </w:r>
      <w:r w:rsidRPr="00BE6958">
        <w:rPr>
          <w:lang w:eastAsia="fr-CA"/>
        </w:rPr>
        <w:t xml:space="preserve"> RLRQ, c. C-48.1, Art.</w:t>
      </w:r>
      <w:r>
        <w:rPr>
          <w:lang w:eastAsia="fr-CA"/>
        </w:rPr>
        <w:t xml:space="preserve"> </w:t>
      </w:r>
      <w:r w:rsidRPr="00BE6958">
        <w:rPr>
          <w:lang w:eastAsia="fr-CA"/>
        </w:rPr>
        <w:t>4</w:t>
      </w:r>
      <w:r>
        <w:rPr>
          <w:lang w:eastAsia="fr-CA"/>
        </w:rPr>
        <w:t>.</w:t>
      </w:r>
    </w:p>
  </w:footnote>
  <w:footnote w:id="402">
    <w:p w14:paraId="7F1EC3B6" w14:textId="77777777" w:rsidR="00BE6958" w:rsidRPr="00BE6958" w:rsidRDefault="00730A01">
      <w:pPr>
        <w:pStyle w:val="Notedebasdepage"/>
      </w:pPr>
      <w:r>
        <w:rPr>
          <w:rStyle w:val="Appelnotedebasdep"/>
        </w:rPr>
        <w:footnoteRef/>
      </w:r>
      <w:r w:rsidRPr="00BE6958">
        <w:t xml:space="preserve"> </w:t>
      </w:r>
      <w:r w:rsidRPr="00BE6958">
        <w:tab/>
      </w:r>
      <w:r w:rsidRPr="00BE6958">
        <w:rPr>
          <w:i/>
          <w:iCs/>
        </w:rPr>
        <w:t xml:space="preserve">R. </w:t>
      </w:r>
      <w:r w:rsidRPr="00BE6958">
        <w:t xml:space="preserve">c. </w:t>
      </w:r>
      <w:r w:rsidRPr="00BE6958">
        <w:rPr>
          <w:i/>
          <w:iCs/>
        </w:rPr>
        <w:t>Dancause</w:t>
      </w:r>
      <w:r w:rsidRPr="00BE6958">
        <w:t xml:space="preserve">, 2018 QCCS 1979; </w:t>
      </w:r>
      <w:r w:rsidRPr="00BE6958">
        <w:rPr>
          <w:i/>
          <w:iCs/>
        </w:rPr>
        <w:t xml:space="preserve">R. </w:t>
      </w:r>
      <w:r w:rsidRPr="00BE6958">
        <w:t xml:space="preserve">c. </w:t>
      </w:r>
      <w:r w:rsidRPr="00BE6958">
        <w:rPr>
          <w:i/>
          <w:iCs/>
        </w:rPr>
        <w:t>Thiboutot</w:t>
      </w:r>
      <w:r w:rsidRPr="00BE6958">
        <w:t xml:space="preserve">, 2016 QCCQ 9176; </w:t>
      </w:r>
      <w:r w:rsidRPr="000D1323">
        <w:t>Arrangement relatif à Aldo Group inc., 2022 QDCCS 2181, Requête pour permission d’appeler rejetée 2022 QCCA 938</w:t>
      </w:r>
      <w:r>
        <w:t>.</w:t>
      </w:r>
    </w:p>
  </w:footnote>
  <w:footnote w:id="403">
    <w:p w14:paraId="5A472BDB" w14:textId="77777777" w:rsidR="00BE6958" w:rsidRDefault="00730A01">
      <w:pPr>
        <w:pStyle w:val="Notedebasdepage"/>
      </w:pPr>
      <w:r>
        <w:rPr>
          <w:rStyle w:val="Appelnotedebasdep"/>
        </w:rPr>
        <w:footnoteRef/>
      </w:r>
      <w:r>
        <w:t xml:space="preserve"> </w:t>
      </w:r>
      <w:r>
        <w:tab/>
        <w:t>1990 CanLII 3408 (QC CA).</w:t>
      </w:r>
    </w:p>
  </w:footnote>
  <w:footnote w:id="404">
    <w:p w14:paraId="776A4B72" w14:textId="77777777" w:rsidR="00BE6958" w:rsidRPr="00BE6958" w:rsidRDefault="00730A01">
      <w:pPr>
        <w:pStyle w:val="Notedebasdepage"/>
        <w:rPr>
          <w:i/>
          <w:iCs/>
        </w:rPr>
      </w:pPr>
      <w:r>
        <w:rPr>
          <w:rStyle w:val="Appelnotedebasdep"/>
        </w:rPr>
        <w:footnoteRef/>
      </w:r>
      <w:r>
        <w:t xml:space="preserve"> </w:t>
      </w:r>
      <w:r>
        <w:tab/>
      </w:r>
      <w:r w:rsidRPr="000D1323">
        <w:rPr>
          <w:i/>
          <w:iCs/>
        </w:rPr>
        <w:t xml:space="preserve">Magil Construction Corporation inc. </w:t>
      </w:r>
      <w:r w:rsidRPr="000D1323">
        <w:t xml:space="preserve">c. </w:t>
      </w:r>
      <w:r w:rsidRPr="000D1323">
        <w:rPr>
          <w:rStyle w:val="lev"/>
          <w:rFonts w:cs="Arial"/>
          <w:b w:val="0"/>
          <w:bCs w:val="0"/>
        </w:rPr>
        <w:t>7162936 Canada inc</w:t>
      </w:r>
      <w:r w:rsidR="000D1323" w:rsidRPr="000D1323">
        <w:rPr>
          <w:rStyle w:val="lev"/>
          <w:rFonts w:cs="Arial"/>
          <w:b w:val="0"/>
          <w:bCs w:val="0"/>
          <w:i/>
          <w:iCs/>
        </w:rPr>
        <w:t>.</w:t>
      </w:r>
      <w:r w:rsidR="000D1323" w:rsidRPr="000D1323">
        <w:rPr>
          <w:rStyle w:val="lev"/>
          <w:rFonts w:cs="Arial"/>
          <w:b w:val="0"/>
          <w:bCs w:val="0"/>
        </w:rPr>
        <w:t xml:space="preserve">, QCCS </w:t>
      </w:r>
      <w:r w:rsidRPr="000D1323">
        <w:rPr>
          <w:rStyle w:val="lev"/>
          <w:rFonts w:cs="Arial"/>
          <w:b w:val="0"/>
          <w:bCs w:val="0"/>
        </w:rPr>
        <w:t>2017</w:t>
      </w:r>
      <w:r w:rsidRPr="000D1323">
        <w:rPr>
          <w:rStyle w:val="lev"/>
          <w:rFonts w:cs="Arial"/>
          <w:b w:val="0"/>
          <w:bCs w:val="0"/>
          <w:i/>
          <w:iCs/>
        </w:rPr>
        <w:t xml:space="preserve"> </w:t>
      </w:r>
      <w:r w:rsidRPr="000D1323">
        <w:rPr>
          <w:lang w:eastAsia="fr-CA"/>
        </w:rPr>
        <w:t>3768</w:t>
      </w:r>
      <w:r>
        <w:rPr>
          <w:lang w:eastAsia="fr-CA"/>
        </w:rPr>
        <w:t>.</w:t>
      </w:r>
    </w:p>
  </w:footnote>
  <w:footnote w:id="405">
    <w:p w14:paraId="43DD3AEB" w14:textId="77777777" w:rsidR="005C503E" w:rsidRDefault="00730A01">
      <w:pPr>
        <w:pStyle w:val="Notedebasdepage"/>
      </w:pPr>
      <w:r>
        <w:rPr>
          <w:rStyle w:val="Appelnotedebasdep"/>
        </w:rPr>
        <w:footnoteRef/>
      </w:r>
      <w:r>
        <w:t xml:space="preserve"> </w:t>
      </w:r>
      <w:r>
        <w:tab/>
      </w:r>
      <w:r w:rsidRPr="00BE6958">
        <w:rPr>
          <w:lang w:eastAsia="fr-CA"/>
        </w:rPr>
        <w:t>2015 CSC 16</w:t>
      </w:r>
      <w:r>
        <w:rPr>
          <w:lang w:eastAsia="fr-CA"/>
        </w:rPr>
        <w:t>.</w:t>
      </w:r>
    </w:p>
  </w:footnote>
  <w:footnote w:id="406">
    <w:p w14:paraId="192A0F6F" w14:textId="77777777" w:rsidR="005C503E" w:rsidRPr="005C503E" w:rsidRDefault="00730A01">
      <w:pPr>
        <w:pStyle w:val="Notedebasdepage"/>
      </w:pPr>
      <w:r>
        <w:rPr>
          <w:rStyle w:val="Appelnotedebasdep"/>
        </w:rPr>
        <w:footnoteRef/>
      </w:r>
      <w:r>
        <w:t xml:space="preserve"> </w:t>
      </w:r>
      <w:r>
        <w:tab/>
      </w:r>
      <w:r>
        <w:rPr>
          <w:i/>
          <w:iCs/>
        </w:rPr>
        <w:t>Emballage 2M inc.</w:t>
      </w:r>
      <w:r>
        <w:t xml:space="preserve"> c. </w:t>
      </w:r>
      <w:r>
        <w:rPr>
          <w:i/>
          <w:iCs/>
        </w:rPr>
        <w:t>Multi-Portions inc.</w:t>
      </w:r>
      <w:r>
        <w:t xml:space="preserve">, 2018 QCCS 3029, par. 96-1000; </w:t>
      </w:r>
      <w:r>
        <w:rPr>
          <w:i/>
          <w:iCs/>
        </w:rPr>
        <w:t>9168-2823 Québec inc.</w:t>
      </w:r>
      <w:r>
        <w:t xml:space="preserve"> c. </w:t>
      </w:r>
      <w:r>
        <w:rPr>
          <w:i/>
          <w:iCs/>
        </w:rPr>
        <w:t xml:space="preserve">La Capitale, Assurances générales, </w:t>
      </w:r>
      <w:r>
        <w:t xml:space="preserve">2017 QCCS 6396, par. 30-34; </w:t>
      </w:r>
      <w:r>
        <w:rPr>
          <w:i/>
          <w:iCs/>
        </w:rPr>
        <w:t xml:space="preserve">Kabeya </w:t>
      </w:r>
      <w:r>
        <w:t xml:space="preserve">c. </w:t>
      </w:r>
      <w:r>
        <w:rPr>
          <w:i/>
          <w:iCs/>
        </w:rPr>
        <w:t>Compagnie d’assurance-vie RBC</w:t>
      </w:r>
      <w:r>
        <w:t>, 2022 QCCS 1035, par. 95-96.</w:t>
      </w:r>
    </w:p>
  </w:footnote>
  <w:footnote w:id="407">
    <w:p w14:paraId="7D9EC26D" w14:textId="77777777" w:rsidR="0099104E" w:rsidRPr="0099104E" w:rsidRDefault="00730A01">
      <w:pPr>
        <w:pStyle w:val="Notedebasdepage"/>
        <w:rPr>
          <w:lang w:val="en-CA"/>
        </w:rPr>
      </w:pPr>
      <w:r>
        <w:rPr>
          <w:rStyle w:val="Appelnotedebasdep"/>
        </w:rPr>
        <w:footnoteRef/>
      </w:r>
      <w:r w:rsidRPr="0099104E">
        <w:rPr>
          <w:lang w:val="en-CA"/>
        </w:rPr>
        <w:t xml:space="preserve"> </w:t>
      </w:r>
      <w:r w:rsidRPr="0099104E">
        <w:rPr>
          <w:lang w:val="en-CA"/>
        </w:rPr>
        <w:tab/>
      </w:r>
      <w:r w:rsidRPr="0099104E">
        <w:rPr>
          <w:i/>
          <w:iCs/>
          <w:lang w:val="en-CA"/>
        </w:rPr>
        <w:t>Amusements Extra inc.</w:t>
      </w:r>
      <w:r w:rsidRPr="0099104E">
        <w:rPr>
          <w:lang w:val="en-CA"/>
        </w:rPr>
        <w:t xml:space="preserve"> c. </w:t>
      </w:r>
      <w:r w:rsidRPr="0099104E">
        <w:rPr>
          <w:i/>
          <w:iCs/>
          <w:lang w:val="en-CA"/>
        </w:rPr>
        <w:t>DEQ S</w:t>
      </w:r>
      <w:r>
        <w:rPr>
          <w:i/>
          <w:iCs/>
          <w:lang w:val="en-CA"/>
        </w:rPr>
        <w:t>ystems Corp</w:t>
      </w:r>
      <w:r>
        <w:rPr>
          <w:lang w:val="en-CA"/>
        </w:rPr>
        <w:t>., 2018 QCCS 3197.</w:t>
      </w:r>
    </w:p>
  </w:footnote>
  <w:footnote w:id="408">
    <w:p w14:paraId="4E95DD23" w14:textId="77777777" w:rsidR="006910BB" w:rsidRPr="006910BB" w:rsidRDefault="00730A01">
      <w:pPr>
        <w:pStyle w:val="Notedebasdepage"/>
      </w:pPr>
      <w:r>
        <w:rPr>
          <w:rStyle w:val="Appelnotedebasdep"/>
        </w:rPr>
        <w:footnoteRef/>
      </w:r>
      <w:r w:rsidRPr="006910BB">
        <w:t xml:space="preserve"> </w:t>
      </w:r>
      <w:r w:rsidRPr="006910BB">
        <w:tab/>
      </w:r>
      <w:r w:rsidRPr="006910BB">
        <w:rPr>
          <w:i/>
          <w:iCs/>
        </w:rPr>
        <w:t>Amusements Extra inc.</w:t>
      </w:r>
      <w:r w:rsidRPr="006910BB">
        <w:t xml:space="preserve"> c. </w:t>
      </w:r>
      <w:r w:rsidRPr="006910BB">
        <w:rPr>
          <w:i/>
          <w:iCs/>
        </w:rPr>
        <w:t>DEQ Systems Corp.</w:t>
      </w:r>
      <w:r w:rsidRPr="006910BB">
        <w:t>, 2018 QCCS 391, par.</w:t>
      </w:r>
      <w:r>
        <w:t xml:space="preserve"> 104.</w:t>
      </w:r>
    </w:p>
  </w:footnote>
  <w:footnote w:id="409">
    <w:p w14:paraId="66516633" w14:textId="77777777" w:rsidR="006910BB" w:rsidRDefault="00730A01">
      <w:pPr>
        <w:pStyle w:val="Notedebasdepage"/>
      </w:pPr>
      <w:r>
        <w:rPr>
          <w:rStyle w:val="Appelnotedebasdep"/>
        </w:rPr>
        <w:footnoteRef/>
      </w:r>
      <w:r>
        <w:t xml:space="preserve"> </w:t>
      </w:r>
      <w:r>
        <w:tab/>
      </w:r>
      <w:r w:rsidRPr="006910BB">
        <w:rPr>
          <w:rFonts w:cs="Arial"/>
          <w:color w:val="000016"/>
          <w:spacing w:val="2"/>
          <w:szCs w:val="24"/>
          <w:shd w:val="clear" w:color="auto" w:fill="FFFFFF"/>
        </w:rPr>
        <w:t>Denis FERLAND et Benoît ÉMERY, </w:t>
      </w:r>
      <w:r w:rsidRPr="006910BB">
        <w:rPr>
          <w:rFonts w:cs="Arial"/>
          <w:i/>
          <w:iCs/>
          <w:color w:val="000016"/>
          <w:spacing w:val="2"/>
          <w:szCs w:val="24"/>
          <w:shd w:val="clear" w:color="auto" w:fill="FFFFFF"/>
        </w:rPr>
        <w:t>Précis de procédure civile du Québec</w:t>
      </w:r>
      <w:r w:rsidRPr="006910BB">
        <w:rPr>
          <w:rFonts w:cs="Arial"/>
          <w:color w:val="000016"/>
          <w:spacing w:val="2"/>
          <w:szCs w:val="24"/>
          <w:shd w:val="clear" w:color="auto" w:fill="FFFFFF"/>
        </w:rPr>
        <w:t>, vol. 1, 5</w:t>
      </w:r>
      <w:r w:rsidRPr="006910BB">
        <w:rPr>
          <w:rFonts w:cs="Arial"/>
          <w:color w:val="000016"/>
          <w:spacing w:val="2"/>
          <w:szCs w:val="24"/>
          <w:shd w:val="clear" w:color="auto" w:fill="FFFFFF"/>
          <w:vertAlign w:val="superscript"/>
        </w:rPr>
        <w:t>e</w:t>
      </w:r>
      <w:r w:rsidRPr="006910BB">
        <w:rPr>
          <w:rFonts w:cs="Arial"/>
          <w:color w:val="000016"/>
          <w:spacing w:val="2"/>
          <w:szCs w:val="24"/>
          <w:shd w:val="clear" w:color="auto" w:fill="FFFFFF"/>
        </w:rPr>
        <w:t> édition, Montréal, Éditions Yvon Blais, 2015, par. 1-1806.</w:t>
      </w:r>
    </w:p>
  </w:footnote>
  <w:footnote w:id="410">
    <w:p w14:paraId="5BCA8E3D" w14:textId="77777777" w:rsidR="00230FBE" w:rsidRDefault="00730A01">
      <w:pPr>
        <w:pStyle w:val="Notedebasdepage"/>
      </w:pPr>
      <w:r>
        <w:rPr>
          <w:rStyle w:val="Appelnotedebasdep"/>
        </w:rPr>
        <w:footnoteRef/>
      </w:r>
      <w:r>
        <w:t xml:space="preserve"> </w:t>
      </w:r>
      <w:r>
        <w:tab/>
        <w:t>NS, 13 juin 2024, p. 5501 I.24-25; p. 5502 I.19 à 21; p. 5510 I.13-14.</w:t>
      </w:r>
    </w:p>
  </w:footnote>
  <w:footnote w:id="411">
    <w:p w14:paraId="04BFA097" w14:textId="77777777" w:rsidR="00230FBE" w:rsidRDefault="00730A01">
      <w:pPr>
        <w:pStyle w:val="Notedebasdepage"/>
      </w:pPr>
      <w:r>
        <w:rPr>
          <w:rStyle w:val="Appelnotedebasdep"/>
        </w:rPr>
        <w:footnoteRef/>
      </w:r>
      <w:r>
        <w:t xml:space="preserve"> </w:t>
      </w:r>
      <w:r>
        <w:tab/>
        <w:t>Pièce PQ-289, p. 23-25, Rapport LMD du 17 mars 2024, par. 661.</w:t>
      </w:r>
    </w:p>
  </w:footnote>
  <w:footnote w:id="412">
    <w:p w14:paraId="46807FF2" w14:textId="77777777" w:rsidR="00E045C7" w:rsidRDefault="00730A01">
      <w:pPr>
        <w:pStyle w:val="Notedebasdepage"/>
      </w:pPr>
      <w:r>
        <w:rPr>
          <w:rStyle w:val="Appelnotedebasdep"/>
        </w:rPr>
        <w:footnoteRef/>
      </w:r>
      <w:r>
        <w:t xml:space="preserve"> </w:t>
      </w:r>
      <w:r>
        <w:tab/>
        <w:t>Rapport LMD, notamment chap. 6.5.1, 7.1, 7.2, 7.3, 8.2, 9.4 et chap. 1.</w:t>
      </w:r>
    </w:p>
  </w:footnote>
  <w:footnote w:id="413">
    <w:p w14:paraId="4AB93E81" w14:textId="77777777" w:rsidR="00E045C7" w:rsidRDefault="00730A01">
      <w:pPr>
        <w:pStyle w:val="Notedebasdepage"/>
      </w:pPr>
      <w:r>
        <w:rPr>
          <w:rStyle w:val="Appelnotedebasdep"/>
        </w:rPr>
        <w:footnoteRef/>
      </w:r>
      <w:r>
        <w:t xml:space="preserve"> </w:t>
      </w:r>
      <w:r>
        <w:tab/>
      </w:r>
      <w:r w:rsidRPr="00E045C7">
        <w:rPr>
          <w:rFonts w:cs="Arial"/>
          <w:lang w:eastAsia="fr-CA"/>
        </w:rPr>
        <w:t>Rapport LMD du 22 décembre 2023, par. 185.</w:t>
      </w:r>
    </w:p>
  </w:footnote>
  <w:footnote w:id="414">
    <w:p w14:paraId="3F9FC1AA" w14:textId="77777777" w:rsidR="00E045C7" w:rsidRDefault="00730A01">
      <w:pPr>
        <w:pStyle w:val="Notedebasdepage"/>
      </w:pPr>
      <w:r>
        <w:rPr>
          <w:rStyle w:val="Appelnotedebasdep"/>
        </w:rPr>
        <w:footnoteRef/>
      </w:r>
      <w:r>
        <w:t xml:space="preserve"> </w:t>
      </w:r>
      <w:r>
        <w:tab/>
        <w:t>NS, David, 21 février 2025, p.156.</w:t>
      </w:r>
    </w:p>
  </w:footnote>
  <w:footnote w:id="415">
    <w:p w14:paraId="6ED578B0" w14:textId="77777777" w:rsidR="00E045C7" w:rsidRDefault="00730A01">
      <w:pPr>
        <w:pStyle w:val="Notedebasdepage"/>
      </w:pPr>
      <w:r>
        <w:rPr>
          <w:rStyle w:val="Appelnotedebasdep"/>
        </w:rPr>
        <w:footnoteRef/>
      </w:r>
      <w:r>
        <w:t xml:space="preserve"> </w:t>
      </w:r>
      <w:r>
        <w:tab/>
        <w:t>Rapport LMD, 22 décembre 2023, par. 190.</w:t>
      </w:r>
    </w:p>
  </w:footnote>
  <w:footnote w:id="416">
    <w:p w14:paraId="0E83E14A" w14:textId="77777777" w:rsidR="00E045C7" w:rsidRPr="00E045C7" w:rsidRDefault="00730A01">
      <w:pPr>
        <w:pStyle w:val="Notedebasdepage"/>
      </w:pPr>
      <w:r>
        <w:rPr>
          <w:rStyle w:val="Appelnotedebasdep"/>
        </w:rPr>
        <w:footnoteRef/>
      </w:r>
      <w:r>
        <w:t xml:space="preserve"> </w:t>
      </w:r>
      <w:r>
        <w:tab/>
        <w:t xml:space="preserve">Pièce PQ-282, </w:t>
      </w:r>
      <w:r w:rsidRPr="00E045C7">
        <w:rPr>
          <w:rFonts w:cs="Arial"/>
          <w:i/>
          <w:iCs/>
        </w:rPr>
        <w:t>R</w:t>
      </w:r>
      <w:r w:rsidRPr="00E045C7">
        <w:rPr>
          <w:rStyle w:val="Accentuation"/>
          <w:rFonts w:cs="Arial"/>
          <w:i w:val="0"/>
          <w:iCs w:val="0"/>
        </w:rPr>
        <w:t>estaurant Loupy’s inc.</w:t>
      </w:r>
      <w:r w:rsidRPr="00E045C7">
        <w:rPr>
          <w:rStyle w:val="Accentuation"/>
          <w:rFonts w:cs="Arial"/>
        </w:rPr>
        <w:t xml:space="preserve"> </w:t>
      </w:r>
      <w:r w:rsidRPr="00E045C7">
        <w:rPr>
          <w:rStyle w:val="Accentuation"/>
          <w:rFonts w:cs="Arial"/>
          <w:i w:val="0"/>
          <w:iCs w:val="0"/>
        </w:rPr>
        <w:t>c.</w:t>
      </w:r>
      <w:r w:rsidRPr="00E045C7">
        <w:rPr>
          <w:rStyle w:val="Accentuation"/>
          <w:rFonts w:cs="Arial"/>
        </w:rPr>
        <w:t xml:space="preserve"> Broccolini</w:t>
      </w:r>
      <w:r w:rsidRPr="00E045C7">
        <w:rPr>
          <w:rFonts w:cs="Arial"/>
        </w:rPr>
        <w:t>, 2016 QCCS 6338, où l’approche de David fut jugée «</w:t>
      </w:r>
      <w:r w:rsidR="00123354">
        <w:rPr>
          <w:rFonts w:cs="Arial"/>
        </w:rPr>
        <w:t> </w:t>
      </w:r>
      <w:r w:rsidRPr="00E045C7">
        <w:rPr>
          <w:rFonts w:cs="Arial"/>
        </w:rPr>
        <w:t>peu crédible</w:t>
      </w:r>
      <w:r w:rsidR="00123354">
        <w:rPr>
          <w:rFonts w:cs="Arial"/>
        </w:rPr>
        <w:t> </w:t>
      </w:r>
      <w:r w:rsidRPr="00E045C7">
        <w:rPr>
          <w:rFonts w:cs="Arial"/>
        </w:rPr>
        <w:t>».</w:t>
      </w:r>
    </w:p>
  </w:footnote>
  <w:footnote w:id="417">
    <w:p w14:paraId="74669657" w14:textId="77777777" w:rsidR="00E045C7" w:rsidRDefault="00730A01">
      <w:pPr>
        <w:pStyle w:val="Notedebasdepage"/>
      </w:pPr>
      <w:r>
        <w:rPr>
          <w:rStyle w:val="Appelnotedebasdep"/>
        </w:rPr>
        <w:footnoteRef/>
      </w:r>
      <w:r>
        <w:t xml:space="preserve"> </w:t>
      </w:r>
      <w:r>
        <w:tab/>
        <w:t>Rapport LMD du 17 mars 2024, par. 658-659 (articles 400.01 et 400.10).</w:t>
      </w:r>
    </w:p>
  </w:footnote>
  <w:footnote w:id="418">
    <w:p w14:paraId="1EA28C3B" w14:textId="77777777" w:rsidR="00E045C7" w:rsidRDefault="00730A01">
      <w:pPr>
        <w:pStyle w:val="Notedebasdepage"/>
      </w:pPr>
      <w:r>
        <w:rPr>
          <w:rStyle w:val="Appelnotedebasdep"/>
        </w:rPr>
        <w:footnoteRef/>
      </w:r>
      <w:r>
        <w:t xml:space="preserve"> </w:t>
      </w:r>
      <w:r>
        <w:tab/>
        <w:t>C.p.c., art. 235.</w:t>
      </w:r>
    </w:p>
  </w:footnote>
  <w:footnote w:id="419">
    <w:p w14:paraId="5CEA7A64" w14:textId="77777777" w:rsidR="00AA1032" w:rsidRDefault="00730A01">
      <w:pPr>
        <w:pStyle w:val="Notedebasdepage"/>
      </w:pPr>
      <w:r>
        <w:rPr>
          <w:rStyle w:val="Appelnotedebasdep"/>
        </w:rPr>
        <w:footnoteRef/>
      </w:r>
      <w:r>
        <w:t xml:space="preserve"> </w:t>
      </w:r>
      <w:r>
        <w:tab/>
        <w:t>Pièce PQ-256.1.</w:t>
      </w:r>
    </w:p>
  </w:footnote>
  <w:footnote w:id="420">
    <w:p w14:paraId="2A6628B1" w14:textId="77777777" w:rsidR="00AB3FAB" w:rsidRDefault="00730A01">
      <w:pPr>
        <w:pStyle w:val="Notedebasdepage"/>
      </w:pPr>
      <w:r>
        <w:rPr>
          <w:rStyle w:val="Appelnotedebasdep"/>
        </w:rPr>
        <w:footnoteRef/>
      </w:r>
      <w:r>
        <w:t xml:space="preserve"> </w:t>
      </w:r>
      <w:r>
        <w:tab/>
        <w:t>NS, David, 26 février 2025, p. 54-55 et 71.</w:t>
      </w:r>
    </w:p>
  </w:footnote>
  <w:footnote w:id="421">
    <w:p w14:paraId="2C33EA64" w14:textId="77777777" w:rsidR="00AB3FAB" w:rsidRDefault="00730A01">
      <w:pPr>
        <w:pStyle w:val="Notedebasdepage"/>
      </w:pPr>
      <w:r>
        <w:rPr>
          <w:rStyle w:val="Appelnotedebasdep"/>
        </w:rPr>
        <w:footnoteRef/>
      </w:r>
      <w:r>
        <w:t xml:space="preserve"> </w:t>
      </w:r>
      <w:r>
        <w:tab/>
        <w:t>NS, Marcil, 26 février 2025, p. 185.</w:t>
      </w:r>
    </w:p>
  </w:footnote>
  <w:footnote w:id="422">
    <w:p w14:paraId="5EB3BADE" w14:textId="77777777" w:rsidR="00AB3FAB" w:rsidRDefault="00730A01">
      <w:pPr>
        <w:pStyle w:val="Notedebasdepage"/>
      </w:pPr>
      <w:r>
        <w:rPr>
          <w:rStyle w:val="Appelnotedebasdep"/>
        </w:rPr>
        <w:footnoteRef/>
      </w:r>
      <w:r>
        <w:t xml:space="preserve"> </w:t>
      </w:r>
      <w:r>
        <w:tab/>
        <w:t>NS, Marcil, 26 février 2025, p. 186.</w:t>
      </w:r>
    </w:p>
  </w:footnote>
  <w:footnote w:id="423">
    <w:p w14:paraId="3014CDDC" w14:textId="77777777" w:rsidR="00DB1947" w:rsidRDefault="00730A01" w:rsidP="00DB1947">
      <w:pPr>
        <w:pStyle w:val="Notedebasdepage"/>
      </w:pPr>
      <w:r>
        <w:rPr>
          <w:rStyle w:val="Appelnotedebasdep"/>
        </w:rPr>
        <w:footnoteRef/>
      </w:r>
      <w:r>
        <w:t xml:space="preserve"> </w:t>
      </w:r>
      <w:r>
        <w:tab/>
        <w:t>NS, David, 26 février 2025, p. 45-51 et 107, et Marcil, p. 119 et 202.</w:t>
      </w:r>
    </w:p>
  </w:footnote>
  <w:footnote w:id="424">
    <w:p w14:paraId="292A4A63" w14:textId="77777777" w:rsidR="00DB1947" w:rsidRDefault="00730A01" w:rsidP="00DB1947">
      <w:pPr>
        <w:pStyle w:val="Notedebasdepage"/>
      </w:pPr>
      <w:r>
        <w:rPr>
          <w:rStyle w:val="Appelnotedebasdep"/>
        </w:rPr>
        <w:footnoteRef/>
      </w:r>
      <w:r>
        <w:t xml:space="preserve"> </w:t>
      </w:r>
      <w:r>
        <w:tab/>
        <w:t xml:space="preserve">NS, David, 26 février 2025, p. 11, 16, 19, </w:t>
      </w:r>
      <w:r w:rsidRPr="00EF0BC6">
        <w:t>45</w:t>
      </w:r>
      <w:r w:rsidR="00EF0BC6">
        <w:t>,</w:t>
      </w:r>
      <w:r w:rsidRPr="00EF0BC6">
        <w:t>145</w:t>
      </w:r>
      <w:r w:rsidR="00EF0BC6">
        <w:t xml:space="preserve">; </w:t>
      </w:r>
      <w:r>
        <w:t>Marcil p. 227, 232, 263, 264.</w:t>
      </w:r>
    </w:p>
  </w:footnote>
  <w:footnote w:id="425">
    <w:p w14:paraId="56748D28" w14:textId="77777777" w:rsidR="00DB1947" w:rsidRDefault="00730A01" w:rsidP="00DB1947">
      <w:pPr>
        <w:pStyle w:val="Notedebasdepage"/>
      </w:pPr>
      <w:r>
        <w:rPr>
          <w:rStyle w:val="Appelnotedebasdep"/>
        </w:rPr>
        <w:footnoteRef/>
      </w:r>
      <w:r>
        <w:t xml:space="preserve"> </w:t>
      </w:r>
      <w:r>
        <w:tab/>
        <w:t>NS, Marcil, 26 février 2025, p. 203 et 210.</w:t>
      </w:r>
    </w:p>
  </w:footnote>
  <w:footnote w:id="426">
    <w:p w14:paraId="50582586" w14:textId="77777777" w:rsidR="00DB1947" w:rsidRDefault="00730A01">
      <w:pPr>
        <w:pStyle w:val="Notedebasdepage"/>
      </w:pPr>
      <w:r>
        <w:rPr>
          <w:rStyle w:val="Appelnotedebasdep"/>
        </w:rPr>
        <w:footnoteRef/>
      </w:r>
      <w:r>
        <w:t xml:space="preserve"> </w:t>
      </w:r>
      <w:r>
        <w:tab/>
        <w:t>NS, Marcil, 27 février 2025, p. 188-192.</w:t>
      </w:r>
    </w:p>
  </w:footnote>
  <w:footnote w:id="427">
    <w:p w14:paraId="60A47865" w14:textId="77777777" w:rsidR="00DB1947" w:rsidRDefault="00730A01">
      <w:pPr>
        <w:pStyle w:val="Notedebasdepage"/>
      </w:pPr>
      <w:r>
        <w:rPr>
          <w:rStyle w:val="Appelnotedebasdep"/>
        </w:rPr>
        <w:footnoteRef/>
      </w:r>
      <w:r>
        <w:t xml:space="preserve"> </w:t>
      </w:r>
      <w:r>
        <w:tab/>
        <w:t>Pièce D-810, p. 76 ainsi que PQ-286 et PQ-286.1 sous scellés.</w:t>
      </w:r>
    </w:p>
  </w:footnote>
  <w:footnote w:id="428">
    <w:p w14:paraId="20AB980E" w14:textId="77777777" w:rsidR="00DB1947" w:rsidRDefault="00730A01">
      <w:pPr>
        <w:pStyle w:val="Notedebasdepage"/>
      </w:pPr>
      <w:r>
        <w:rPr>
          <w:rStyle w:val="Appelnotedebasdep"/>
        </w:rPr>
        <w:footnoteRef/>
      </w:r>
      <w:r>
        <w:t xml:space="preserve"> </w:t>
      </w:r>
      <w:r>
        <w:tab/>
        <w:t>2016 QCCS 6338.</w:t>
      </w:r>
    </w:p>
  </w:footnote>
  <w:footnote w:id="429">
    <w:p w14:paraId="71F510FF" w14:textId="77777777" w:rsidR="00DB1947" w:rsidRDefault="00730A01">
      <w:pPr>
        <w:pStyle w:val="Notedebasdepage"/>
      </w:pPr>
      <w:r>
        <w:rPr>
          <w:rStyle w:val="Appelnotedebasdep"/>
        </w:rPr>
        <w:footnoteRef/>
      </w:r>
      <w:r>
        <w:t xml:space="preserve"> </w:t>
      </w:r>
      <w:r>
        <w:tab/>
      </w:r>
      <w:r w:rsidRPr="00DB1947">
        <w:rPr>
          <w:lang w:eastAsia="fr-CA"/>
        </w:rPr>
        <w:t>2014 QCCS 1091.</w:t>
      </w:r>
    </w:p>
  </w:footnote>
  <w:footnote w:id="430">
    <w:p w14:paraId="619A0484" w14:textId="77777777" w:rsidR="00DB1947" w:rsidRDefault="00730A01">
      <w:pPr>
        <w:pStyle w:val="Notedebasdepage"/>
      </w:pPr>
      <w:r>
        <w:rPr>
          <w:rStyle w:val="Appelnotedebasdep"/>
        </w:rPr>
        <w:footnoteRef/>
      </w:r>
      <w:r>
        <w:t xml:space="preserve"> </w:t>
      </w:r>
      <w:r>
        <w:tab/>
        <w:t>NS, Marcil et David, février 2025 et PQ-256, PQ-282, PQ-286, D-810.</w:t>
      </w:r>
    </w:p>
  </w:footnote>
  <w:footnote w:id="431">
    <w:p w14:paraId="6CAC1BC9" w14:textId="77777777" w:rsidR="00F739E2" w:rsidRPr="00F739E2" w:rsidRDefault="00730A01">
      <w:pPr>
        <w:pStyle w:val="Notedebasdepage"/>
      </w:pPr>
      <w:r>
        <w:rPr>
          <w:rStyle w:val="Appelnotedebasdep"/>
        </w:rPr>
        <w:footnoteRef/>
      </w:r>
      <w:r w:rsidRPr="00F739E2">
        <w:t xml:space="preserve"> </w:t>
      </w:r>
      <w:r w:rsidRPr="00F739E2">
        <w:tab/>
        <w:t>Voir notamment NS, Filion, 11 j</w:t>
      </w:r>
      <w:r>
        <w:t>uin 2024, p. 4760.</w:t>
      </w:r>
    </w:p>
  </w:footnote>
  <w:footnote w:id="432">
    <w:p w14:paraId="21B2D413" w14:textId="77777777" w:rsidR="00F739E2" w:rsidRDefault="00730A01">
      <w:pPr>
        <w:pStyle w:val="Notedebasdepage"/>
      </w:pPr>
      <w:r>
        <w:rPr>
          <w:rStyle w:val="Appelnotedebasdep"/>
        </w:rPr>
        <w:footnoteRef/>
      </w:r>
      <w:r>
        <w:t xml:space="preserve"> </w:t>
      </w:r>
      <w:r>
        <w:tab/>
        <w:t>Pièce PQ-256, p. 92; NS, David, 26 février 2025, p. 11, 16 et 19.</w:t>
      </w:r>
    </w:p>
  </w:footnote>
  <w:footnote w:id="433">
    <w:p w14:paraId="647E9FA9" w14:textId="77777777" w:rsidR="00EF0BC6" w:rsidRDefault="00730A01">
      <w:pPr>
        <w:pStyle w:val="Notedebasdepage"/>
      </w:pPr>
      <w:r>
        <w:rPr>
          <w:rStyle w:val="Appelnotedebasdep"/>
        </w:rPr>
        <w:footnoteRef/>
      </w:r>
      <w:r>
        <w:t xml:space="preserve"> </w:t>
      </w:r>
      <w:r>
        <w:tab/>
        <w:t>Voir notamment les paragraphes 119 et ss.</w:t>
      </w:r>
    </w:p>
  </w:footnote>
  <w:footnote w:id="434">
    <w:p w14:paraId="68C01087" w14:textId="77777777" w:rsidR="00CB46A7" w:rsidRPr="00CB46A7" w:rsidRDefault="00730A01">
      <w:pPr>
        <w:pStyle w:val="Notedebasdepage"/>
      </w:pPr>
      <w:r>
        <w:rPr>
          <w:rStyle w:val="Appelnotedebasdep"/>
        </w:rPr>
        <w:footnoteRef/>
      </w:r>
      <w:r>
        <w:t xml:space="preserve"> </w:t>
      </w:r>
      <w:r>
        <w:tab/>
        <w:t>Voir l’</w:t>
      </w:r>
      <w:r>
        <w:rPr>
          <w:i/>
          <w:iCs/>
        </w:rPr>
        <w:t>Annexe E</w:t>
      </w:r>
      <w:r>
        <w:t xml:space="preserve"> – La désinvolture des Défendeurs face aux diverses ordonnances du Tribunal.</w:t>
      </w:r>
    </w:p>
  </w:footnote>
  <w:footnote w:id="435">
    <w:p w14:paraId="2B46E7BB" w14:textId="77777777" w:rsidR="00CC3D3E" w:rsidRPr="003057F3" w:rsidRDefault="00730A01" w:rsidP="00CC3D3E">
      <w:pPr>
        <w:pStyle w:val="Notedebasdepage"/>
      </w:pPr>
      <w:r>
        <w:rPr>
          <w:rStyle w:val="Appelnotedebasdep"/>
        </w:rPr>
        <w:footnoteRef/>
      </w:r>
      <w:r w:rsidRPr="003057F3">
        <w:t xml:space="preserve"> </w:t>
      </w:r>
      <w:r w:rsidRPr="003057F3">
        <w:tab/>
        <w:t>Voir l’Annexe 1 – la preuve testimoniale des commanditaires</w:t>
      </w:r>
      <w:r>
        <w:t>.</w:t>
      </w:r>
    </w:p>
  </w:footnote>
  <w:footnote w:id="436">
    <w:p w14:paraId="5A34BEDC" w14:textId="77777777" w:rsidR="00CC3D3E" w:rsidRDefault="00730A01" w:rsidP="00CC3D3E">
      <w:pPr>
        <w:pStyle w:val="Notedebasdepage"/>
      </w:pPr>
      <w:r>
        <w:rPr>
          <w:rStyle w:val="Appelnotedebasdep"/>
        </w:rPr>
        <w:footnoteRef/>
      </w:r>
      <w:r>
        <w:t xml:space="preserve"> </w:t>
      </w:r>
      <w:r>
        <w:tab/>
      </w:r>
      <w:r w:rsidRPr="003057F3">
        <w:t>Pièces PQ-267 et PQ-268.</w:t>
      </w:r>
    </w:p>
  </w:footnote>
  <w:footnote w:id="437">
    <w:p w14:paraId="348AD42A" w14:textId="77777777" w:rsidR="00CC3D3E" w:rsidRPr="004D0652" w:rsidRDefault="00730A01" w:rsidP="00CC3D3E">
      <w:pPr>
        <w:pStyle w:val="Notedebasdepage"/>
      </w:pPr>
      <w:r>
        <w:rPr>
          <w:rStyle w:val="Appelnotedebasdep"/>
        </w:rPr>
        <w:footnoteRef/>
      </w:r>
      <w:r w:rsidRPr="004D0652">
        <w:t xml:space="preserve"> </w:t>
      </w:r>
      <w:r w:rsidRPr="004D0652">
        <w:tab/>
        <w:t>NS, Giroux, 4 juin 2024, p. 2356.</w:t>
      </w:r>
    </w:p>
  </w:footnote>
  <w:footnote w:id="438">
    <w:p w14:paraId="4CFA2BB8" w14:textId="77777777" w:rsidR="00CC3D3E" w:rsidRPr="004D0652" w:rsidRDefault="00730A01" w:rsidP="00CC3D3E">
      <w:pPr>
        <w:pStyle w:val="Notedebasdepage"/>
      </w:pPr>
      <w:r>
        <w:rPr>
          <w:rStyle w:val="Appelnotedebasdep"/>
        </w:rPr>
        <w:footnoteRef/>
      </w:r>
      <w:r w:rsidRPr="004D0652">
        <w:t xml:space="preserve"> </w:t>
      </w:r>
      <w:r w:rsidRPr="004D0652">
        <w:tab/>
        <w:t>NS, Giroux, 4 juin 2024, p. 2356-2360.</w:t>
      </w:r>
    </w:p>
  </w:footnote>
  <w:footnote w:id="439">
    <w:p w14:paraId="346C113A" w14:textId="77777777" w:rsidR="00CB46A7" w:rsidRPr="003057F3" w:rsidRDefault="00730A01" w:rsidP="00CB46A7">
      <w:pPr>
        <w:pStyle w:val="Notedebasdepage"/>
      </w:pPr>
      <w:r>
        <w:rPr>
          <w:rStyle w:val="Appelnotedebasdep"/>
        </w:rPr>
        <w:footnoteRef/>
      </w:r>
      <w:r w:rsidRPr="003057F3">
        <w:t xml:space="preserve"> </w:t>
      </w:r>
      <w:r w:rsidRPr="003057F3">
        <w:tab/>
        <w:t>NS, M. Denis, 18 février 2025, p. 196-197</w:t>
      </w:r>
      <w:r w:rsidR="00FD5289">
        <w:t>.</w:t>
      </w:r>
    </w:p>
  </w:footnote>
  <w:footnote w:id="440">
    <w:p w14:paraId="30DDC0AD" w14:textId="77777777" w:rsidR="00900362" w:rsidRPr="00900362" w:rsidRDefault="00730A01">
      <w:pPr>
        <w:pStyle w:val="Notedebasdepage"/>
      </w:pPr>
      <w:r>
        <w:rPr>
          <w:rStyle w:val="Appelnotedebasdep"/>
        </w:rPr>
        <w:footnoteRef/>
      </w:r>
      <w:r w:rsidRPr="00900362">
        <w:t xml:space="preserve"> </w:t>
      </w:r>
      <w:r w:rsidRPr="00900362">
        <w:tab/>
        <w:t>NS, interrogatoire de Giroux, 19 j</w:t>
      </w:r>
      <w:r>
        <w:t>uillet 2023, p. 28-29.</w:t>
      </w:r>
    </w:p>
  </w:footnote>
  <w:footnote w:id="441">
    <w:p w14:paraId="4635882F" w14:textId="77777777" w:rsidR="003057F3" w:rsidRDefault="00730A01">
      <w:pPr>
        <w:pStyle w:val="Notedebasdepage"/>
      </w:pPr>
      <w:r>
        <w:rPr>
          <w:rStyle w:val="Appelnotedebasdep"/>
        </w:rPr>
        <w:footnoteRef/>
      </w:r>
      <w:r>
        <w:t xml:space="preserve"> </w:t>
      </w:r>
      <w:r>
        <w:tab/>
        <w:t xml:space="preserve">Jugement du </w:t>
      </w:r>
      <w:r w:rsidRPr="003057F3">
        <w:t>5 septembre 2023 (</w:t>
      </w:r>
      <w:r w:rsidR="00FD5289">
        <w:t>H</w:t>
      </w:r>
      <w:r w:rsidRPr="003057F3">
        <w:t>onorable Jacques G. Bouchard, j.c.s.).</w:t>
      </w:r>
    </w:p>
  </w:footnote>
  <w:footnote w:id="442">
    <w:p w14:paraId="0EB65D07" w14:textId="77777777" w:rsidR="00597B25" w:rsidRPr="00E65648" w:rsidRDefault="00730A01">
      <w:pPr>
        <w:pStyle w:val="Notedebasdepage"/>
        <w:rPr>
          <w:lang w:val="en-CA"/>
        </w:rPr>
      </w:pPr>
      <w:r>
        <w:rPr>
          <w:rStyle w:val="Appelnotedebasdep"/>
        </w:rPr>
        <w:footnoteRef/>
      </w:r>
      <w:r w:rsidRPr="00E65648">
        <w:rPr>
          <w:lang w:val="en-CA"/>
        </w:rPr>
        <w:t xml:space="preserve"> </w:t>
      </w:r>
      <w:r w:rsidRPr="00E65648">
        <w:rPr>
          <w:lang w:val="en-CA"/>
        </w:rPr>
        <w:tab/>
        <w:t>[2016] O.J. No. 59</w:t>
      </w:r>
      <w:r w:rsidR="00E65648" w:rsidRPr="00E65648">
        <w:rPr>
          <w:lang w:val="en-CA"/>
        </w:rPr>
        <w:t>, ONSC</w:t>
      </w:r>
      <w:r w:rsidR="00E65648">
        <w:rPr>
          <w:lang w:val="en-CA"/>
        </w:rPr>
        <w:t xml:space="preserve"> 170.</w:t>
      </w:r>
    </w:p>
  </w:footnote>
  <w:footnote w:id="443">
    <w:p w14:paraId="051B82E1" w14:textId="77777777" w:rsidR="00597B25" w:rsidRPr="00E65648" w:rsidRDefault="00730A01">
      <w:pPr>
        <w:pStyle w:val="Notedebasdepage"/>
        <w:rPr>
          <w:lang w:val="en-CA"/>
        </w:rPr>
      </w:pPr>
      <w:r>
        <w:rPr>
          <w:rStyle w:val="Appelnotedebasdep"/>
        </w:rPr>
        <w:footnoteRef/>
      </w:r>
      <w:r w:rsidRPr="00E65648">
        <w:rPr>
          <w:lang w:val="en-CA"/>
        </w:rPr>
        <w:t xml:space="preserve"> </w:t>
      </w:r>
      <w:r w:rsidRPr="00E65648">
        <w:rPr>
          <w:lang w:val="en-CA"/>
        </w:rPr>
        <w:tab/>
      </w:r>
      <w:r w:rsidRPr="00E65648">
        <w:rPr>
          <w:i/>
          <w:iCs/>
          <w:lang w:val="en-CA"/>
        </w:rPr>
        <w:t>Id.</w:t>
      </w:r>
    </w:p>
  </w:footnote>
  <w:footnote w:id="444">
    <w:p w14:paraId="0B78A119" w14:textId="77777777" w:rsidR="00CB46A7" w:rsidRPr="00CB46A7" w:rsidRDefault="00730A01">
      <w:pPr>
        <w:pStyle w:val="Notedebasdepage"/>
      </w:pPr>
      <w:r>
        <w:rPr>
          <w:rStyle w:val="Appelnotedebasdep"/>
        </w:rPr>
        <w:footnoteRef/>
      </w:r>
      <w:r>
        <w:t xml:space="preserve"> </w:t>
      </w:r>
      <w:r>
        <w:tab/>
      </w:r>
      <w:r>
        <w:rPr>
          <w:i/>
          <w:iCs/>
        </w:rPr>
        <w:t xml:space="preserve">Aliments Ultima inc. </w:t>
      </w:r>
      <w:r>
        <w:t xml:space="preserve">c. </w:t>
      </w:r>
      <w:r>
        <w:rPr>
          <w:i/>
          <w:iCs/>
        </w:rPr>
        <w:t>Vergers Leahy inc.</w:t>
      </w:r>
      <w:r>
        <w:t xml:space="preserve">, 2020 QCCS 4542 – critère du « préjudice sérieux »; Adoption – 094, 2009 QCCA 62 (avec renvoi à </w:t>
      </w:r>
      <w:r>
        <w:rPr>
          <w:i/>
          <w:iCs/>
        </w:rPr>
        <w:t>Lebeuf</w:t>
      </w:r>
      <w:r>
        <w:t xml:space="preserve"> c. </w:t>
      </w:r>
      <w:r>
        <w:rPr>
          <w:i/>
          <w:iCs/>
        </w:rPr>
        <w:t>Groupe SNC-Lavalin inc.</w:t>
      </w:r>
      <w:r>
        <w:t>, 1995 CanLII 5310 (QC CA)) – « raison suffisante » et portée de l’art. 661 C.p.c.; Droit de la famille – 21226, 2021 QCCA</w:t>
      </w:r>
      <w:r w:rsidR="00FD5289">
        <w:t> </w:t>
      </w:r>
      <w:r>
        <w:t xml:space="preserve">332 – équilibre des intérêts; possibilité d’exécution partielle; </w:t>
      </w:r>
      <w:r>
        <w:rPr>
          <w:i/>
          <w:iCs/>
        </w:rPr>
        <w:t>Van Den Bulcke</w:t>
      </w:r>
      <w:r>
        <w:t xml:space="preserve"> c. </w:t>
      </w:r>
      <w:r>
        <w:rPr>
          <w:i/>
          <w:iCs/>
        </w:rPr>
        <w:t>Far-Wic Systèmes ltée</w:t>
      </w:r>
      <w:r>
        <w:t>, 2010 QCCS 6654 – exécution provisoire partielle.</w:t>
      </w:r>
    </w:p>
  </w:footnote>
  <w:footnote w:id="445">
    <w:p w14:paraId="2DC8E7C4" w14:textId="77777777" w:rsidR="00CB46A7" w:rsidRPr="00CB46A7" w:rsidRDefault="00730A01">
      <w:pPr>
        <w:pStyle w:val="Notedebasdepage"/>
      </w:pPr>
      <w:r>
        <w:rPr>
          <w:rStyle w:val="Appelnotedebasdep"/>
        </w:rPr>
        <w:footnoteRef/>
      </w:r>
      <w:r>
        <w:t xml:space="preserve"> </w:t>
      </w:r>
      <w:r>
        <w:tab/>
        <w:t xml:space="preserve">Ferland &amp; Emery, </w:t>
      </w:r>
      <w:r>
        <w:rPr>
          <w:i/>
          <w:iCs/>
        </w:rPr>
        <w:t>Précis de procédure civile du Québec</w:t>
      </w:r>
      <w:r>
        <w:t>, vol. 2, 6</w:t>
      </w:r>
      <w:r w:rsidRPr="00CB46A7">
        <w:rPr>
          <w:vertAlign w:val="superscript"/>
        </w:rPr>
        <w:t>e</w:t>
      </w:r>
      <w:r>
        <w:t xml:space="preserve"> éd. Yvon Blais, 2020 – rappel du cadre de l’art. 661 C.p.c. et de la large discrétion du juge.</w:t>
      </w:r>
    </w:p>
  </w:footnote>
  <w:footnote w:id="446">
    <w:p w14:paraId="0F702013" w14:textId="77777777" w:rsidR="009D48AD" w:rsidRPr="009D48AD" w:rsidRDefault="00730A01">
      <w:pPr>
        <w:pStyle w:val="Notedebasdepage"/>
      </w:pPr>
      <w:r>
        <w:rPr>
          <w:rStyle w:val="Appelnotedebasdep"/>
        </w:rPr>
        <w:footnoteRef/>
      </w:r>
      <w:r>
        <w:t xml:space="preserve"> </w:t>
      </w:r>
      <w:r>
        <w:tab/>
      </w:r>
      <w:r>
        <w:rPr>
          <w:i/>
          <w:iCs/>
        </w:rPr>
        <w:t>CTI Capital valeurs mobilières inc.</w:t>
      </w:r>
      <w:r>
        <w:t xml:space="preserve"> c. </w:t>
      </w:r>
      <w:r>
        <w:rPr>
          <w:i/>
          <w:iCs/>
        </w:rPr>
        <w:t>Nassif</w:t>
      </w:r>
      <w:r>
        <w:t>, 2020 QCCA 1997, par. 12.</w:t>
      </w:r>
    </w:p>
  </w:footnote>
  <w:footnote w:id="447">
    <w:p w14:paraId="5B8B3285" w14:textId="77777777" w:rsidR="00597B25" w:rsidRPr="00CB46A7" w:rsidRDefault="00730A01">
      <w:pPr>
        <w:pStyle w:val="Notedebasdepage"/>
      </w:pPr>
      <w:r>
        <w:rPr>
          <w:rStyle w:val="Appelnotedebasdep"/>
        </w:rPr>
        <w:footnoteRef/>
      </w:r>
      <w:r w:rsidRPr="00CB46A7">
        <w:t xml:space="preserve"> </w:t>
      </w:r>
      <w:r w:rsidRPr="00CB46A7">
        <w:tab/>
        <w:t>[1990] 3 R.C.S. 1220.</w:t>
      </w:r>
    </w:p>
  </w:footnote>
  <w:footnote w:id="448">
    <w:p w14:paraId="061E0C4F" w14:textId="77777777" w:rsidR="00597B25" w:rsidRPr="0098012F" w:rsidRDefault="00730A01">
      <w:pPr>
        <w:pStyle w:val="Notedebasdepage"/>
      </w:pPr>
      <w:r>
        <w:rPr>
          <w:rStyle w:val="Appelnotedebasdep"/>
        </w:rPr>
        <w:footnoteRef/>
      </w:r>
      <w:r w:rsidRPr="0098012F">
        <w:t xml:space="preserve"> </w:t>
      </w:r>
      <w:r w:rsidRPr="0098012F">
        <w:tab/>
        <w:t>2002 CanLII 11364 (C.A.).</w:t>
      </w:r>
    </w:p>
  </w:footnote>
  <w:footnote w:id="449">
    <w:p w14:paraId="49CAED11" w14:textId="77777777" w:rsidR="00597B25" w:rsidRPr="0098012F" w:rsidRDefault="00730A01">
      <w:pPr>
        <w:pStyle w:val="Notedebasdepage"/>
      </w:pPr>
      <w:r>
        <w:rPr>
          <w:rStyle w:val="Appelnotedebasdep"/>
        </w:rPr>
        <w:footnoteRef/>
      </w:r>
      <w:r w:rsidRPr="0098012F">
        <w:t xml:space="preserve"> </w:t>
      </w:r>
      <w:r w:rsidRPr="0098012F">
        <w:tab/>
        <w:t>[1995] R.J.Q. 2889 (C.A.).</w:t>
      </w:r>
    </w:p>
  </w:footnote>
  <w:footnote w:id="450">
    <w:p w14:paraId="08F59220" w14:textId="77777777" w:rsidR="00100DBC" w:rsidRDefault="00730A01">
      <w:pPr>
        <w:pStyle w:val="Notedebasdepage"/>
      </w:pPr>
      <w:r>
        <w:rPr>
          <w:rStyle w:val="Appelnotedebasdep"/>
        </w:rPr>
        <w:footnoteRef/>
      </w:r>
      <w:r>
        <w:t xml:space="preserve"> </w:t>
      </w:r>
      <w:r>
        <w:tab/>
        <w:t xml:space="preserve">Voir Annexe </w:t>
      </w:r>
      <w:r w:rsidR="00E65648">
        <w:t>D</w:t>
      </w:r>
      <w:r>
        <w:t>.</w:t>
      </w:r>
    </w:p>
  </w:footnote>
  <w:footnote w:id="451">
    <w:p w14:paraId="4FF38D25" w14:textId="77777777" w:rsidR="00485898" w:rsidRPr="00912B9B" w:rsidRDefault="00730A01">
      <w:pPr>
        <w:pStyle w:val="Notedebasdepage"/>
      </w:pPr>
      <w:r>
        <w:rPr>
          <w:rStyle w:val="Appelnotedebasdep"/>
        </w:rPr>
        <w:footnoteRef/>
      </w:r>
      <w:r>
        <w:t xml:space="preserve"> </w:t>
      </w:r>
      <w:r>
        <w:tab/>
      </w:r>
      <w:r w:rsidRPr="00485898">
        <w:rPr>
          <w:i/>
          <w:iCs/>
          <w:lang w:eastAsia="fr-CA"/>
        </w:rPr>
        <w:t>Dupuis</w:t>
      </w:r>
      <w:r w:rsidRPr="00485898">
        <w:rPr>
          <w:lang w:eastAsia="fr-CA"/>
        </w:rPr>
        <w:t xml:space="preserve"> c. </w:t>
      </w:r>
      <w:r w:rsidRPr="00485898">
        <w:rPr>
          <w:i/>
          <w:iCs/>
          <w:lang w:eastAsia="fr-CA"/>
        </w:rPr>
        <w:t>Caisse Desjardins du Lac-Memphrémagog</w:t>
      </w:r>
      <w:r w:rsidRPr="00485898">
        <w:rPr>
          <w:lang w:eastAsia="fr-CA"/>
        </w:rPr>
        <w:t>, 2016 QCCS 441</w:t>
      </w:r>
      <w:r w:rsidR="00912B9B">
        <w:rPr>
          <w:lang w:eastAsia="fr-CA"/>
        </w:rPr>
        <w:t>; Voir aussi l’</w:t>
      </w:r>
      <w:r w:rsidR="00912B9B">
        <w:rPr>
          <w:i/>
          <w:iCs/>
          <w:lang w:eastAsia="fr-CA"/>
        </w:rPr>
        <w:t>Annexe E</w:t>
      </w:r>
      <w:r w:rsidR="00912B9B">
        <w:rPr>
          <w:lang w:eastAsia="fr-CA"/>
        </w:rPr>
        <w:t xml:space="preserve"> – La</w:t>
      </w:r>
      <w:r w:rsidR="00DE0031">
        <w:rPr>
          <w:lang w:eastAsia="fr-CA"/>
        </w:rPr>
        <w:t> </w:t>
      </w:r>
      <w:r w:rsidR="00912B9B">
        <w:rPr>
          <w:lang w:eastAsia="fr-CA"/>
        </w:rPr>
        <w:t>désinvolture des Défendeurs face aux diverses ordonnances du Tribunal.</w:t>
      </w:r>
    </w:p>
  </w:footnote>
  <w:footnote w:id="452">
    <w:p w14:paraId="4D7AB522" w14:textId="77777777" w:rsidR="00485898" w:rsidRDefault="00730A01">
      <w:pPr>
        <w:pStyle w:val="Notedebasdepage"/>
      </w:pPr>
      <w:r>
        <w:rPr>
          <w:rStyle w:val="Appelnotedebasdep"/>
        </w:rPr>
        <w:footnoteRef/>
      </w:r>
      <w:r>
        <w:t xml:space="preserve"> </w:t>
      </w:r>
      <w:r>
        <w:tab/>
        <w:t>Droit de la famille – 24467, 2024 QCCS 1268, par. 8.</w:t>
      </w:r>
    </w:p>
  </w:footnote>
  <w:footnote w:id="453">
    <w:p w14:paraId="7783BA61" w14:textId="77777777" w:rsidR="00033007" w:rsidRDefault="00730A01" w:rsidP="00033007">
      <w:pPr>
        <w:pStyle w:val="Notedebasdepage"/>
      </w:pPr>
      <w:r>
        <w:rPr>
          <w:rStyle w:val="Appelnotedebasdep"/>
        </w:rPr>
        <w:footnoteRef/>
      </w:r>
      <w:r>
        <w:t xml:space="preserve"> </w:t>
      </w:r>
      <w:r>
        <w:tab/>
        <w:t>2022 QCCS 2271.</w:t>
      </w:r>
    </w:p>
  </w:footnote>
  <w:footnote w:id="454">
    <w:p w14:paraId="1392240F" w14:textId="77777777" w:rsidR="00033007" w:rsidRDefault="00730A01" w:rsidP="00033007">
      <w:pPr>
        <w:pStyle w:val="Notedebasdepage"/>
      </w:pPr>
      <w:r>
        <w:rPr>
          <w:rStyle w:val="Appelnotedebasdep"/>
        </w:rPr>
        <w:footnoteRef/>
      </w:r>
      <w:r>
        <w:t xml:space="preserve"> </w:t>
      </w:r>
      <w:r>
        <w:tab/>
        <w:t>2019 QCCS 4045.</w:t>
      </w:r>
    </w:p>
  </w:footnote>
  <w:footnote w:id="455">
    <w:p w14:paraId="687E20FF" w14:textId="77777777" w:rsidR="000C19A2" w:rsidRDefault="00730A01">
      <w:pPr>
        <w:pStyle w:val="Notedebasdepage"/>
      </w:pPr>
      <w:r>
        <w:rPr>
          <w:rStyle w:val="Appelnotedebasdep"/>
        </w:rPr>
        <w:footnoteRef/>
      </w:r>
      <w:r>
        <w:t xml:space="preserve"> </w:t>
      </w:r>
      <w:r>
        <w:tab/>
        <w:t>Pièce PQ-103, p. 237-239, 244-245, 346-347, 348-350 (transcription de l’enregistrement de la rencontre du 2 mars 2022).</w:t>
      </w:r>
    </w:p>
  </w:footnote>
  <w:footnote w:id="456">
    <w:p w14:paraId="49C4D6C4" w14:textId="77777777" w:rsidR="00786414" w:rsidRDefault="00730A01">
      <w:pPr>
        <w:pStyle w:val="Notedebasdepage"/>
      </w:pPr>
      <w:r>
        <w:rPr>
          <w:rStyle w:val="Appelnotedebasdep"/>
        </w:rPr>
        <w:footnoteRef/>
      </w:r>
      <w:r>
        <w:t xml:space="preserve"> </w:t>
      </w:r>
      <w:r>
        <w:tab/>
        <w:t>Pièce PQ-</w:t>
      </w:r>
      <w:r w:rsidRPr="000C19A2">
        <w:rPr>
          <w:rFonts w:cs="Arial"/>
          <w:szCs w:val="24"/>
        </w:rPr>
        <w:t>9.2, p. 40-41. Pièce EP-1, par. 716-737.</w:t>
      </w:r>
    </w:p>
  </w:footnote>
  <w:footnote w:id="457">
    <w:p w14:paraId="1F6FE7E9" w14:textId="77777777" w:rsidR="00786414" w:rsidRDefault="00730A01">
      <w:pPr>
        <w:pStyle w:val="Notedebasdepage"/>
      </w:pPr>
      <w:r>
        <w:rPr>
          <w:rStyle w:val="Appelnotedebasdep"/>
        </w:rPr>
        <w:footnoteRef/>
      </w:r>
      <w:r>
        <w:t xml:space="preserve"> </w:t>
      </w:r>
      <w:r>
        <w:tab/>
        <w:t xml:space="preserve">Interrogatoire au préalable </w:t>
      </w:r>
      <w:r w:rsidRPr="00786414">
        <w:rPr>
          <w:rFonts w:cs="Arial"/>
        </w:rPr>
        <w:t>de</w:t>
      </w:r>
      <w:r w:rsidRPr="004A039A">
        <w:rPr>
          <w:rFonts w:cs="Arial"/>
          <w:sz w:val="24"/>
          <w:szCs w:val="24"/>
        </w:rPr>
        <w:t xml:space="preserve"> </w:t>
      </w:r>
      <w:r w:rsidRPr="00786414">
        <w:rPr>
          <w:rFonts w:cs="Arial"/>
        </w:rPr>
        <w:t>Robert Giroux du 3 avril 2024 par M</w:t>
      </w:r>
      <w:r w:rsidRPr="0005621D">
        <w:rPr>
          <w:rFonts w:cs="Arial"/>
          <w:vertAlign w:val="superscript"/>
        </w:rPr>
        <w:t>e</w:t>
      </w:r>
      <w:r w:rsidRPr="00786414">
        <w:rPr>
          <w:rFonts w:cs="Arial"/>
        </w:rPr>
        <w:t xml:space="preserve"> François Valin, p. 313</w:t>
      </w:r>
      <w:r>
        <w:rPr>
          <w:rFonts w:cs="Arial"/>
        </w:rPr>
        <w:t>.</w:t>
      </w:r>
    </w:p>
  </w:footnote>
  <w:footnote w:id="458">
    <w:p w14:paraId="23208CCB" w14:textId="77777777" w:rsidR="00786414" w:rsidRDefault="00730A01">
      <w:pPr>
        <w:pStyle w:val="Notedebasdepage"/>
      </w:pPr>
      <w:r>
        <w:rPr>
          <w:rStyle w:val="Appelnotedebasdep"/>
        </w:rPr>
        <w:footnoteRef/>
      </w:r>
      <w:r>
        <w:t xml:space="preserve"> </w:t>
      </w:r>
      <w:r>
        <w:tab/>
        <w:t>NS</w:t>
      </w:r>
      <w:r w:rsidR="00C568DF">
        <w:t xml:space="preserve">, </w:t>
      </w:r>
      <w:r>
        <w:t xml:space="preserve">Giroux, </w:t>
      </w:r>
      <w:r w:rsidRPr="00786414">
        <w:rPr>
          <w:rFonts w:cs="Arial"/>
        </w:rPr>
        <w:t>3 juin 2024, p. 1811 et 1824</w:t>
      </w:r>
      <w:r>
        <w:rPr>
          <w:rFonts w:cs="Arial"/>
        </w:rPr>
        <w:t>.</w:t>
      </w:r>
    </w:p>
  </w:footnote>
  <w:footnote w:id="459">
    <w:p w14:paraId="32C61599" w14:textId="77777777" w:rsidR="00786414" w:rsidRDefault="00730A01">
      <w:pPr>
        <w:pStyle w:val="Notedebasdepage"/>
      </w:pPr>
      <w:r>
        <w:rPr>
          <w:rStyle w:val="Appelnotedebasdep"/>
        </w:rPr>
        <w:footnoteRef/>
      </w:r>
      <w:r>
        <w:t xml:space="preserve"> </w:t>
      </w:r>
      <w:r>
        <w:tab/>
        <w:t>DSS, Lehoux, 17 mai 2024, par. 49-50.</w:t>
      </w:r>
    </w:p>
  </w:footnote>
  <w:footnote w:id="460">
    <w:p w14:paraId="74375DDA" w14:textId="77777777" w:rsidR="00A632D6" w:rsidRDefault="00730A01">
      <w:pPr>
        <w:pStyle w:val="Notedebasdepage"/>
      </w:pPr>
      <w:r>
        <w:rPr>
          <w:rStyle w:val="Appelnotedebasdep"/>
        </w:rPr>
        <w:footnoteRef/>
      </w:r>
      <w:r>
        <w:t xml:space="preserve"> </w:t>
      </w:r>
      <w:r>
        <w:tab/>
        <w:t xml:space="preserve">NS, Giroux, </w:t>
      </w:r>
      <w:r w:rsidRPr="00A632D6">
        <w:rPr>
          <w:rFonts w:cs="Arial"/>
        </w:rPr>
        <w:t>17 février 2025, p. 135-136</w:t>
      </w:r>
      <w:r>
        <w:rPr>
          <w:rFonts w:cs="Arial"/>
          <w:i/>
          <w:iCs/>
        </w:rPr>
        <w:t>.</w:t>
      </w:r>
    </w:p>
  </w:footnote>
  <w:footnote w:id="461">
    <w:p w14:paraId="0B187B25" w14:textId="77777777" w:rsidR="00C568DF" w:rsidRDefault="00730A01">
      <w:pPr>
        <w:pStyle w:val="Notedebasdepage"/>
      </w:pPr>
      <w:r>
        <w:rPr>
          <w:rStyle w:val="Appelnotedebasdep"/>
        </w:rPr>
        <w:footnoteRef/>
      </w:r>
      <w:r>
        <w:t xml:space="preserve"> </w:t>
      </w:r>
      <w:r>
        <w:tab/>
        <w:t>DSS, Giroux, 25 août 2023, par. 54.</w:t>
      </w:r>
    </w:p>
  </w:footnote>
  <w:footnote w:id="462">
    <w:p w14:paraId="4538F32A" w14:textId="77777777" w:rsidR="0078454F" w:rsidRDefault="00730A01">
      <w:pPr>
        <w:pStyle w:val="Notedebasdepage"/>
      </w:pPr>
      <w:r>
        <w:rPr>
          <w:rStyle w:val="Appelnotedebasdep"/>
        </w:rPr>
        <w:footnoteRef/>
      </w:r>
      <w:r>
        <w:t xml:space="preserve"> </w:t>
      </w:r>
      <w:r>
        <w:tab/>
        <w:t>Pièce PQ-97.2.</w:t>
      </w:r>
    </w:p>
  </w:footnote>
  <w:footnote w:id="463">
    <w:p w14:paraId="34D558FE" w14:textId="77777777" w:rsidR="0078454F" w:rsidRDefault="00730A01">
      <w:pPr>
        <w:pStyle w:val="Notedebasdepage"/>
      </w:pPr>
      <w:r>
        <w:rPr>
          <w:rStyle w:val="Appelnotedebasdep"/>
        </w:rPr>
        <w:footnoteRef/>
      </w:r>
      <w:r>
        <w:t xml:space="preserve"> </w:t>
      </w:r>
      <w:r>
        <w:tab/>
        <w:t>Pièce PQ-97.2.</w:t>
      </w:r>
    </w:p>
  </w:footnote>
  <w:footnote w:id="464">
    <w:p w14:paraId="77C3CDBB" w14:textId="77777777" w:rsidR="0078454F" w:rsidRDefault="00730A01">
      <w:pPr>
        <w:pStyle w:val="Notedebasdepage"/>
      </w:pPr>
      <w:r>
        <w:rPr>
          <w:rStyle w:val="Appelnotedebasdep"/>
        </w:rPr>
        <w:footnoteRef/>
      </w:r>
      <w:r>
        <w:t xml:space="preserve"> </w:t>
      </w:r>
      <w:r>
        <w:tab/>
        <w:t>Pièce PQ-97.3.1.</w:t>
      </w:r>
    </w:p>
  </w:footnote>
  <w:footnote w:id="465">
    <w:p w14:paraId="2DB86763" w14:textId="77777777" w:rsidR="00D96D4B" w:rsidRDefault="00730A01">
      <w:pPr>
        <w:pStyle w:val="Notedebasdepage"/>
      </w:pPr>
      <w:r>
        <w:rPr>
          <w:rStyle w:val="Appelnotedebasdep"/>
        </w:rPr>
        <w:footnoteRef/>
      </w:r>
      <w:r>
        <w:t xml:space="preserve"> </w:t>
      </w:r>
      <w:r>
        <w:tab/>
        <w:t>Pièce EP-1, Rapport de KPMG, 12 novembre 2023</w:t>
      </w:r>
      <w:r w:rsidR="001666B1">
        <w:t>, p. 258-259, 263-264</w:t>
      </w:r>
      <w:r>
        <w:t>.</w:t>
      </w:r>
    </w:p>
  </w:footnote>
  <w:footnote w:id="466">
    <w:p w14:paraId="1662FC89" w14:textId="77777777" w:rsidR="00D96D4B" w:rsidRDefault="00730A01">
      <w:pPr>
        <w:pStyle w:val="Notedebasdepage"/>
      </w:pPr>
      <w:r>
        <w:rPr>
          <w:rStyle w:val="Appelnotedebasdep"/>
        </w:rPr>
        <w:footnoteRef/>
      </w:r>
      <w:r>
        <w:t xml:space="preserve"> </w:t>
      </w:r>
      <w:r>
        <w:tab/>
        <w:t>NS, Giroux, 13 février 2025, p. 217.</w:t>
      </w:r>
    </w:p>
  </w:footnote>
  <w:footnote w:id="467">
    <w:p w14:paraId="6E7ED6C1" w14:textId="77777777" w:rsidR="001666B1" w:rsidRDefault="00730A01">
      <w:pPr>
        <w:pStyle w:val="Notedebasdepage"/>
      </w:pPr>
      <w:r>
        <w:rPr>
          <w:rStyle w:val="Appelnotedebasdep"/>
        </w:rPr>
        <w:footnoteRef/>
      </w:r>
      <w:r>
        <w:t xml:space="preserve"> </w:t>
      </w:r>
      <w:r>
        <w:tab/>
        <w:t>NS, Giroux, 13 février 2025, p. 212.</w:t>
      </w:r>
    </w:p>
  </w:footnote>
  <w:footnote w:id="468">
    <w:p w14:paraId="130192CB" w14:textId="77777777" w:rsidR="001666B1" w:rsidRDefault="00730A01">
      <w:pPr>
        <w:pStyle w:val="Notedebasdepage"/>
      </w:pPr>
      <w:r>
        <w:rPr>
          <w:rStyle w:val="Appelnotedebasdep"/>
        </w:rPr>
        <w:footnoteRef/>
      </w:r>
      <w:r>
        <w:t xml:space="preserve"> </w:t>
      </w:r>
      <w:r>
        <w:tab/>
        <w:t>NS, Céline Carbonneau, 17 février 2025, p. 348-350.</w:t>
      </w:r>
    </w:p>
  </w:footnote>
  <w:footnote w:id="469">
    <w:p w14:paraId="3E691FC8" w14:textId="77777777" w:rsidR="001666B1" w:rsidRDefault="00730A01">
      <w:pPr>
        <w:pStyle w:val="Notedebasdepage"/>
      </w:pPr>
      <w:r>
        <w:rPr>
          <w:rStyle w:val="Appelnotedebasdep"/>
        </w:rPr>
        <w:footnoteRef/>
      </w:r>
      <w:r>
        <w:t xml:space="preserve"> </w:t>
      </w:r>
      <w:r>
        <w:tab/>
        <w:t>NS, Giroux, 17 février 2025, p. 293.</w:t>
      </w:r>
    </w:p>
  </w:footnote>
  <w:footnote w:id="470">
    <w:p w14:paraId="61F511AC" w14:textId="77777777" w:rsidR="001666B1" w:rsidRDefault="00730A01">
      <w:pPr>
        <w:pStyle w:val="Notedebasdepage"/>
      </w:pPr>
      <w:r>
        <w:rPr>
          <w:rStyle w:val="Appelnotedebasdep"/>
        </w:rPr>
        <w:footnoteRef/>
      </w:r>
      <w:r>
        <w:t xml:space="preserve"> </w:t>
      </w:r>
      <w:r>
        <w:tab/>
        <w:t>NS, Céline Carbonneau, 17 février 2025, p. 345.</w:t>
      </w:r>
    </w:p>
  </w:footnote>
  <w:footnote w:id="471">
    <w:p w14:paraId="11B3E168" w14:textId="77777777" w:rsidR="005470AD" w:rsidRDefault="00730A01" w:rsidP="005470AD">
      <w:pPr>
        <w:pStyle w:val="Notedebasdepage"/>
      </w:pPr>
      <w:r>
        <w:rPr>
          <w:rStyle w:val="Appelnotedebasdep"/>
        </w:rPr>
        <w:footnoteRef/>
      </w:r>
      <w:r>
        <w:t xml:space="preserve"> </w:t>
      </w:r>
      <w:r>
        <w:tab/>
        <w:t>Pièce PQ-110, courriel de Me Sylvain Tassé, 15 février 2022; voir également Pièces EP-1.3A, p. 2479 (Prêt P-100, 5 octobre 2022) et EP-1.1, Annexe 13.01, p. 94.</w:t>
      </w:r>
    </w:p>
  </w:footnote>
  <w:footnote w:id="472">
    <w:p w14:paraId="3CDB182A" w14:textId="77777777" w:rsidR="005470AD" w:rsidRDefault="00730A01">
      <w:pPr>
        <w:pStyle w:val="Notedebasdepage"/>
      </w:pPr>
      <w:r>
        <w:rPr>
          <w:rStyle w:val="Appelnotedebasdep"/>
        </w:rPr>
        <w:footnoteRef/>
      </w:r>
      <w:r>
        <w:t xml:space="preserve"> </w:t>
      </w:r>
      <w:r>
        <w:tab/>
        <w:t>NS, Giroux, 17 février 2025, p. 36-38.</w:t>
      </w:r>
    </w:p>
  </w:footnote>
  <w:footnote w:id="473">
    <w:p w14:paraId="3C3AE4BD" w14:textId="77777777" w:rsidR="005470AD" w:rsidRDefault="00730A01">
      <w:pPr>
        <w:pStyle w:val="Notedebasdepage"/>
      </w:pPr>
      <w:r>
        <w:rPr>
          <w:rStyle w:val="Appelnotedebasdep"/>
        </w:rPr>
        <w:footnoteRef/>
      </w:r>
      <w:r>
        <w:t xml:space="preserve"> </w:t>
      </w:r>
      <w:r>
        <w:tab/>
      </w:r>
      <w:r w:rsidRPr="005470AD">
        <w:rPr>
          <w:rFonts w:cs="Arial"/>
          <w:sz w:val="22"/>
          <w:szCs w:val="22"/>
        </w:rPr>
        <w:t>Pièce EP-1.3A, p. 2464 : billet à terme de Millénum Construction inc. à 9180-6646 Québec</w:t>
      </w:r>
      <w:r w:rsidR="00FD2F69">
        <w:rPr>
          <w:rFonts w:cs="Arial"/>
          <w:sz w:val="22"/>
          <w:szCs w:val="22"/>
        </w:rPr>
        <w:t> </w:t>
      </w:r>
      <w:r w:rsidRPr="005470AD">
        <w:rPr>
          <w:rFonts w:cs="Arial"/>
          <w:sz w:val="22"/>
          <w:szCs w:val="22"/>
        </w:rPr>
        <w:t>inc., 17 février 2022</w:t>
      </w:r>
      <w:r>
        <w:rPr>
          <w:rFonts w:cs="Arial"/>
          <w:sz w:val="22"/>
          <w:szCs w:val="22"/>
        </w:rPr>
        <w:t>.</w:t>
      </w:r>
    </w:p>
  </w:footnote>
  <w:footnote w:id="474">
    <w:p w14:paraId="3A660C90" w14:textId="77777777" w:rsidR="005470AD" w:rsidRDefault="00730A01">
      <w:pPr>
        <w:pStyle w:val="Notedebasdepage"/>
      </w:pPr>
      <w:r>
        <w:rPr>
          <w:rStyle w:val="Appelnotedebasdep"/>
        </w:rPr>
        <w:footnoteRef/>
      </w:r>
      <w:r>
        <w:t xml:space="preserve"> </w:t>
      </w:r>
      <w:r>
        <w:tab/>
        <w:t xml:space="preserve">Pièce PQ-79 : </w:t>
      </w:r>
      <w:r w:rsidRPr="005470AD">
        <w:rPr>
          <w:rFonts w:cs="Arial"/>
          <w:sz w:val="22"/>
          <w:szCs w:val="22"/>
        </w:rPr>
        <w:t>Convention de prêt du 10 mars 2022 entre Q-12 et SSPACE S.E.C. (Entreposage) – P069).</w:t>
      </w:r>
    </w:p>
  </w:footnote>
  <w:footnote w:id="475">
    <w:p w14:paraId="77FCCB59" w14:textId="77777777" w:rsidR="00953C72" w:rsidRDefault="00730A01">
      <w:pPr>
        <w:pStyle w:val="Notedebasdepage"/>
      </w:pPr>
      <w:r>
        <w:rPr>
          <w:rStyle w:val="Appelnotedebasdep"/>
        </w:rPr>
        <w:footnoteRef/>
      </w:r>
      <w:r>
        <w:t xml:space="preserve"> </w:t>
      </w:r>
      <w:r>
        <w:tab/>
      </w:r>
      <w:r w:rsidRPr="00953C72">
        <w:rPr>
          <w:rFonts w:cs="Arial"/>
          <w:sz w:val="22"/>
          <w:szCs w:val="22"/>
        </w:rPr>
        <w:t>Interrogatoire préalable de Robert Giroux, 3 avril 2024, M</w:t>
      </w:r>
      <w:r w:rsidRPr="00FD2F69">
        <w:rPr>
          <w:rFonts w:cs="Arial"/>
          <w:sz w:val="22"/>
          <w:szCs w:val="22"/>
          <w:vertAlign w:val="superscript"/>
        </w:rPr>
        <w:t>e</w:t>
      </w:r>
      <w:r w:rsidRPr="00953C72">
        <w:rPr>
          <w:rFonts w:cs="Arial"/>
          <w:sz w:val="22"/>
          <w:szCs w:val="22"/>
        </w:rPr>
        <w:t xml:space="preserve"> François Valin, p. 49</w:t>
      </w:r>
      <w:r>
        <w:rPr>
          <w:rFonts w:cs="Arial"/>
          <w:sz w:val="22"/>
          <w:szCs w:val="22"/>
        </w:rPr>
        <w:t>.</w:t>
      </w:r>
    </w:p>
  </w:footnote>
  <w:footnote w:id="476">
    <w:p w14:paraId="381209C5" w14:textId="77777777" w:rsidR="00953C72" w:rsidRDefault="00730A01">
      <w:pPr>
        <w:pStyle w:val="Notedebasdepage"/>
      </w:pPr>
      <w:r>
        <w:rPr>
          <w:rStyle w:val="Appelnotedebasdep"/>
        </w:rPr>
        <w:footnoteRef/>
      </w:r>
      <w:r>
        <w:t xml:space="preserve"> </w:t>
      </w:r>
      <w:r>
        <w:tab/>
        <w:t>NS, Giroux, 12 février 2025, p. 179.</w:t>
      </w:r>
    </w:p>
  </w:footnote>
  <w:footnote w:id="477">
    <w:p w14:paraId="270DAEE6" w14:textId="77777777" w:rsidR="00953C72" w:rsidRDefault="00730A01">
      <w:pPr>
        <w:pStyle w:val="Notedebasdepage"/>
      </w:pPr>
      <w:r>
        <w:rPr>
          <w:rStyle w:val="Appelnotedebasdep"/>
        </w:rPr>
        <w:footnoteRef/>
      </w:r>
      <w:r>
        <w:t xml:space="preserve"> </w:t>
      </w:r>
      <w:r>
        <w:tab/>
        <w:t>NS, Giroux, 14 février 2025, p. 221.</w:t>
      </w:r>
    </w:p>
  </w:footnote>
  <w:footnote w:id="478">
    <w:p w14:paraId="52FB6959" w14:textId="77777777" w:rsidR="00953C72" w:rsidRDefault="00730A01">
      <w:pPr>
        <w:pStyle w:val="Notedebasdepage"/>
      </w:pPr>
      <w:r>
        <w:rPr>
          <w:rStyle w:val="Appelnotedebasdep"/>
        </w:rPr>
        <w:footnoteRef/>
      </w:r>
      <w:r>
        <w:t xml:space="preserve"> </w:t>
      </w:r>
      <w:r>
        <w:tab/>
      </w:r>
      <w:r w:rsidRPr="00953C72">
        <w:t xml:space="preserve">PQ-256, </w:t>
      </w:r>
      <w:r w:rsidRPr="00953C72">
        <w:rPr>
          <w:rFonts w:cs="Arial"/>
        </w:rPr>
        <w:t>p. 96 : remboursement des prêts P04-05-09-27 – Morille (2,45</w:t>
      </w:r>
      <w:r w:rsidR="00FD2F69">
        <w:rPr>
          <w:rFonts w:cs="Arial"/>
        </w:rPr>
        <w:t> </w:t>
      </w:r>
      <w:r w:rsidRPr="00953C72">
        <w:rPr>
          <w:rFonts w:cs="Arial"/>
        </w:rPr>
        <w:t>M$), 16 juillet 2021</w:t>
      </w:r>
      <w:r>
        <w:rPr>
          <w:rFonts w:cs="Arial"/>
        </w:rPr>
        <w:t xml:space="preserve"> et </w:t>
      </w:r>
      <w:r w:rsidRPr="00953C72">
        <w:rPr>
          <w:rFonts w:cs="Arial"/>
        </w:rPr>
        <w:t>Pièce PQ-256, p. 101 : idem pour le prêt P040 – Aventura IX (3,8</w:t>
      </w:r>
      <w:r w:rsidR="00FD2F69">
        <w:rPr>
          <w:rFonts w:cs="Arial"/>
        </w:rPr>
        <w:t> </w:t>
      </w:r>
      <w:r w:rsidRPr="00953C72">
        <w:rPr>
          <w:rFonts w:cs="Arial"/>
        </w:rPr>
        <w:t xml:space="preserve">M$), juillet 2021. </w:t>
      </w:r>
    </w:p>
  </w:footnote>
  <w:footnote w:id="479">
    <w:p w14:paraId="1205533A" w14:textId="77777777" w:rsidR="00953C72" w:rsidRDefault="00730A01">
      <w:pPr>
        <w:pStyle w:val="Notedebasdepage"/>
      </w:pPr>
      <w:r>
        <w:rPr>
          <w:rStyle w:val="Appelnotedebasdep"/>
        </w:rPr>
        <w:footnoteRef/>
      </w:r>
      <w:r>
        <w:t xml:space="preserve"> </w:t>
      </w:r>
      <w:r>
        <w:tab/>
        <w:t>NS, Giroux, 4 juin 2024, p. 2023-2024.</w:t>
      </w:r>
    </w:p>
  </w:footnote>
  <w:footnote w:id="480">
    <w:p w14:paraId="71568E04" w14:textId="77777777" w:rsidR="00953C72" w:rsidRDefault="00730A01">
      <w:pPr>
        <w:pStyle w:val="Notedebasdepage"/>
      </w:pPr>
      <w:r>
        <w:rPr>
          <w:rStyle w:val="Appelnotedebasdep"/>
        </w:rPr>
        <w:footnoteRef/>
      </w:r>
      <w:r>
        <w:t xml:space="preserve"> </w:t>
      </w:r>
      <w:r>
        <w:tab/>
        <w:t>NS, Giroux, 4 juin 2024, p. 2026.</w:t>
      </w:r>
    </w:p>
  </w:footnote>
  <w:footnote w:id="481">
    <w:p w14:paraId="20932744" w14:textId="77777777" w:rsidR="00953C72" w:rsidRDefault="00730A01">
      <w:pPr>
        <w:pStyle w:val="Notedebasdepage"/>
      </w:pPr>
      <w:r>
        <w:rPr>
          <w:rStyle w:val="Appelnotedebasdep"/>
        </w:rPr>
        <w:footnoteRef/>
      </w:r>
      <w:r>
        <w:t xml:space="preserve"> </w:t>
      </w:r>
      <w:r>
        <w:tab/>
        <w:t>NS, Giroux, 3 juin 2024, p. 1562-1563.</w:t>
      </w:r>
    </w:p>
  </w:footnote>
  <w:footnote w:id="482">
    <w:p w14:paraId="48562043" w14:textId="77777777" w:rsidR="000A34ED" w:rsidRDefault="00730A01">
      <w:pPr>
        <w:pStyle w:val="Notedebasdepage"/>
      </w:pPr>
      <w:r>
        <w:rPr>
          <w:rStyle w:val="Appelnotedebasdep"/>
        </w:rPr>
        <w:footnoteRef/>
      </w:r>
      <w:r>
        <w:t xml:space="preserve"> </w:t>
      </w:r>
      <w:r>
        <w:tab/>
        <w:t xml:space="preserve">NS, Giroux, </w:t>
      </w:r>
      <w:r w:rsidRPr="000A34ED">
        <w:rPr>
          <w:rFonts w:cs="Arial"/>
        </w:rPr>
        <w:t>3 juin 2024, p. 1569-157</w:t>
      </w:r>
      <w:r>
        <w:rPr>
          <w:rFonts w:cs="Arial"/>
        </w:rPr>
        <w:t>0</w:t>
      </w:r>
      <w:r w:rsidRPr="000A34ED">
        <w:rPr>
          <w:rFonts w:cs="Arial"/>
        </w:rPr>
        <w:t>.</w:t>
      </w:r>
    </w:p>
  </w:footnote>
  <w:footnote w:id="483">
    <w:p w14:paraId="2B208BE6" w14:textId="77777777" w:rsidR="000A34ED" w:rsidRDefault="00730A01">
      <w:pPr>
        <w:pStyle w:val="Notedebasdepage"/>
      </w:pPr>
      <w:r>
        <w:rPr>
          <w:rStyle w:val="Appelnotedebasdep"/>
        </w:rPr>
        <w:footnoteRef/>
      </w:r>
      <w:r>
        <w:t xml:space="preserve"> </w:t>
      </w:r>
      <w:r>
        <w:tab/>
        <w:t>NS, Giroux, 16 février 2024</w:t>
      </w:r>
      <w:r w:rsidR="00C365A0">
        <w:t>, p. 29.</w:t>
      </w:r>
    </w:p>
  </w:footnote>
  <w:footnote w:id="484">
    <w:p w14:paraId="1AA3BD11" w14:textId="77777777" w:rsidR="000A34ED" w:rsidRDefault="00730A01">
      <w:pPr>
        <w:pStyle w:val="Notedebasdepage"/>
      </w:pPr>
      <w:r>
        <w:rPr>
          <w:rStyle w:val="Appelnotedebasdep"/>
        </w:rPr>
        <w:footnoteRef/>
      </w:r>
      <w:r>
        <w:t xml:space="preserve"> </w:t>
      </w:r>
      <w:r>
        <w:tab/>
        <w:t>NS, Giroux, 11 février 2025, p. 186.</w:t>
      </w:r>
    </w:p>
  </w:footnote>
  <w:footnote w:id="485">
    <w:p w14:paraId="1698E5BB" w14:textId="77777777" w:rsidR="00C365A0" w:rsidRDefault="00730A01">
      <w:pPr>
        <w:pStyle w:val="Notedebasdepage"/>
      </w:pPr>
      <w:r>
        <w:rPr>
          <w:rStyle w:val="Appelnotedebasdep"/>
        </w:rPr>
        <w:footnoteRef/>
      </w:r>
      <w:r>
        <w:t xml:space="preserve"> </w:t>
      </w:r>
      <w:r>
        <w:tab/>
        <w:t xml:space="preserve">NS, Giroux, </w:t>
      </w:r>
      <w:r w:rsidRPr="00C365A0">
        <w:rPr>
          <w:rFonts w:cs="Arial"/>
        </w:rPr>
        <w:t>13 février 2025, p. 62 et 65</w:t>
      </w:r>
      <w:r>
        <w:rPr>
          <w:rFonts w:cs="Arial"/>
        </w:rPr>
        <w:t>.</w:t>
      </w:r>
    </w:p>
  </w:footnote>
  <w:footnote w:id="486">
    <w:p w14:paraId="02B20563" w14:textId="77777777" w:rsidR="00C365A0" w:rsidRDefault="00730A01">
      <w:pPr>
        <w:pStyle w:val="Notedebasdepage"/>
      </w:pPr>
      <w:r>
        <w:rPr>
          <w:rStyle w:val="Appelnotedebasdep"/>
        </w:rPr>
        <w:footnoteRef/>
      </w:r>
      <w:r>
        <w:t xml:space="preserve"> </w:t>
      </w:r>
      <w:r>
        <w:tab/>
        <w:t>NS, Giroux, 13 février 2025, p. 21 et 17 février 2025, p. 46.</w:t>
      </w:r>
    </w:p>
  </w:footnote>
  <w:footnote w:id="487">
    <w:p w14:paraId="02856143" w14:textId="77777777" w:rsidR="00C365A0" w:rsidRDefault="00730A01">
      <w:pPr>
        <w:pStyle w:val="Notedebasdepage"/>
      </w:pPr>
      <w:r>
        <w:rPr>
          <w:rStyle w:val="Appelnotedebasdep"/>
        </w:rPr>
        <w:footnoteRef/>
      </w:r>
      <w:r>
        <w:t xml:space="preserve"> </w:t>
      </w:r>
      <w:r>
        <w:tab/>
        <w:t xml:space="preserve">NS, Giroux, </w:t>
      </w:r>
      <w:r w:rsidRPr="00C365A0">
        <w:rPr>
          <w:rFonts w:cs="Arial"/>
        </w:rPr>
        <w:t>au procès, p. 87; interrogatoire préalable du 16 février 2024, p. 840</w:t>
      </w:r>
      <w:r>
        <w:rPr>
          <w:rFonts w:cs="Arial"/>
        </w:rPr>
        <w:t>.</w:t>
      </w:r>
    </w:p>
  </w:footnote>
  <w:footnote w:id="488">
    <w:p w14:paraId="51F106F5" w14:textId="77777777" w:rsidR="00CD6FEB" w:rsidRDefault="00730A01" w:rsidP="00CD6FEB">
      <w:pPr>
        <w:pStyle w:val="Notedebasdepage"/>
      </w:pPr>
      <w:r>
        <w:rPr>
          <w:rStyle w:val="Appelnotedebasdep"/>
        </w:rPr>
        <w:footnoteRef/>
      </w:r>
      <w:r>
        <w:t xml:space="preserve"> </w:t>
      </w:r>
      <w:r>
        <w:tab/>
        <w:t>Interrogatoire préalable, 16 février 2024, p. 84.</w:t>
      </w:r>
    </w:p>
  </w:footnote>
  <w:footnote w:id="489">
    <w:p w14:paraId="26A4B7A6" w14:textId="77777777" w:rsidR="00644806" w:rsidRDefault="00730A01">
      <w:pPr>
        <w:pStyle w:val="Notedebasdepage"/>
      </w:pPr>
      <w:r>
        <w:rPr>
          <w:rStyle w:val="Appelnotedebasdep"/>
        </w:rPr>
        <w:footnoteRef/>
      </w:r>
      <w:r>
        <w:t xml:space="preserve"> </w:t>
      </w:r>
      <w:r>
        <w:tab/>
        <w:t>NS, Giroux, 13 février 2025, p. 90 et 4 juin 2024, p. 2381-2393 : les commanditaires appelaient si les intérêts n’étaient pas appelés à temps; NS, Giroux, 4 juin 2024, p. 2381-2393 : Giroux admet qu’il n’a pas à informer les investisseurs lorsque les intérêts sont payés à même leurs propres fonds.</w:t>
      </w:r>
    </w:p>
  </w:footnote>
  <w:footnote w:id="490">
    <w:p w14:paraId="1826148D" w14:textId="77777777" w:rsidR="00644806" w:rsidRDefault="00730A01">
      <w:pPr>
        <w:pStyle w:val="Notedebasdepage"/>
      </w:pPr>
      <w:r>
        <w:rPr>
          <w:rStyle w:val="Appelnotedebasdep"/>
        </w:rPr>
        <w:footnoteRef/>
      </w:r>
      <w:r>
        <w:t xml:space="preserve"> </w:t>
      </w:r>
      <w:r>
        <w:tab/>
        <w:t>NS, Giroux, p. 238-239.</w:t>
      </w:r>
    </w:p>
  </w:footnote>
  <w:footnote w:id="491">
    <w:p w14:paraId="07EF3660" w14:textId="77777777" w:rsidR="00644806" w:rsidRDefault="00730A01">
      <w:pPr>
        <w:pStyle w:val="Notedebasdepage"/>
      </w:pPr>
      <w:r>
        <w:rPr>
          <w:rStyle w:val="Appelnotedebasdep"/>
        </w:rPr>
        <w:footnoteRef/>
      </w:r>
      <w:r>
        <w:t xml:space="preserve"> </w:t>
      </w:r>
      <w:r>
        <w:tab/>
        <w:t>Interrogatoire préalable, 1</w:t>
      </w:r>
      <w:r w:rsidRPr="00644806">
        <w:rPr>
          <w:vertAlign w:val="superscript"/>
        </w:rPr>
        <w:t>er</w:t>
      </w:r>
      <w:r>
        <w:t xml:space="preserve"> septembre 2023, p. 88.</w:t>
      </w:r>
    </w:p>
  </w:footnote>
  <w:footnote w:id="492">
    <w:p w14:paraId="7F05A97C" w14:textId="77777777" w:rsidR="00E10BEF" w:rsidRDefault="00730A01" w:rsidP="00E10BEF">
      <w:pPr>
        <w:pStyle w:val="Notedebasdepage"/>
      </w:pPr>
      <w:r>
        <w:rPr>
          <w:rStyle w:val="Appelnotedebasdep"/>
        </w:rPr>
        <w:footnoteRef/>
      </w:r>
      <w:r>
        <w:t xml:space="preserve"> </w:t>
      </w:r>
      <w:r>
        <w:tab/>
        <w:t>NS, Giroux, 12 février 2025, p. 76-77.</w:t>
      </w:r>
    </w:p>
  </w:footnote>
  <w:footnote w:id="493">
    <w:p w14:paraId="1743E51F" w14:textId="77777777" w:rsidR="00E10BEF" w:rsidRDefault="00730A01">
      <w:pPr>
        <w:pStyle w:val="Notedebasdepage"/>
      </w:pPr>
      <w:r>
        <w:rPr>
          <w:rStyle w:val="Appelnotedebasdep"/>
        </w:rPr>
        <w:footnoteRef/>
      </w:r>
      <w:r>
        <w:t xml:space="preserve"> </w:t>
      </w:r>
      <w:r>
        <w:tab/>
        <w:t>NS, Giroux, 14 février 2025, p. 151-152.</w:t>
      </w:r>
    </w:p>
  </w:footnote>
  <w:footnote w:id="494">
    <w:p w14:paraId="22B99F78" w14:textId="77777777" w:rsidR="00C2054E" w:rsidRDefault="00730A01" w:rsidP="00C2054E">
      <w:pPr>
        <w:pStyle w:val="Notedebasdepage"/>
      </w:pPr>
      <w:r>
        <w:rPr>
          <w:rStyle w:val="Appelnotedebasdep"/>
        </w:rPr>
        <w:footnoteRef/>
      </w:r>
      <w:r>
        <w:t xml:space="preserve"> </w:t>
      </w:r>
      <w:r>
        <w:tab/>
        <w:t>NS, Giroux, 17 février 2025, p. 201-202.</w:t>
      </w:r>
    </w:p>
  </w:footnote>
  <w:footnote w:id="495">
    <w:p w14:paraId="462783D4" w14:textId="77777777" w:rsidR="00C2054E" w:rsidRDefault="00730A01" w:rsidP="00C2054E">
      <w:pPr>
        <w:pStyle w:val="Notedebasdepage"/>
      </w:pPr>
      <w:r>
        <w:rPr>
          <w:rStyle w:val="Appelnotedebasdep"/>
        </w:rPr>
        <w:footnoteRef/>
      </w:r>
      <w:r>
        <w:t xml:space="preserve"> </w:t>
      </w:r>
      <w:r>
        <w:tab/>
        <w:t>NS, Giroux, 12 février 2025, p. 146-147; Pièce PQ-209 : textos du 31 octobre 2022 entre St-Gelais, Lehoux et Giroux.</w:t>
      </w:r>
    </w:p>
  </w:footnote>
  <w:footnote w:id="496">
    <w:p w14:paraId="74F92F8F" w14:textId="77777777" w:rsidR="00C2054E" w:rsidRDefault="00730A01">
      <w:pPr>
        <w:pStyle w:val="Notedebasdepage"/>
      </w:pPr>
      <w:r>
        <w:rPr>
          <w:rStyle w:val="Appelnotedebasdep"/>
        </w:rPr>
        <w:footnoteRef/>
      </w:r>
      <w:r>
        <w:t xml:space="preserve"> </w:t>
      </w:r>
      <w:r>
        <w:tab/>
      </w:r>
      <w:r w:rsidRPr="00C2054E">
        <w:rPr>
          <w:rFonts w:cs="Arial"/>
        </w:rPr>
        <w:t>Interrogatoire préalable, 3 avril 2024, p. 253-254</w:t>
      </w:r>
      <w:r>
        <w:rPr>
          <w:rFonts w:cs="Arial"/>
        </w:rPr>
        <w:t>.</w:t>
      </w:r>
    </w:p>
  </w:footnote>
  <w:footnote w:id="497">
    <w:p w14:paraId="16A26F19" w14:textId="77777777" w:rsidR="00C2054E" w:rsidRDefault="00730A01">
      <w:pPr>
        <w:pStyle w:val="Notedebasdepage"/>
      </w:pPr>
      <w:r>
        <w:rPr>
          <w:rStyle w:val="Appelnotedebasdep"/>
        </w:rPr>
        <w:footnoteRef/>
      </w:r>
      <w:r>
        <w:t xml:space="preserve"> </w:t>
      </w:r>
      <w:r>
        <w:tab/>
        <w:t xml:space="preserve">NS, Giroux, </w:t>
      </w:r>
      <w:r w:rsidRPr="00C2054E">
        <w:rPr>
          <w:rFonts w:cs="Arial"/>
        </w:rPr>
        <w:t>14 février 2025, p. 52-53</w:t>
      </w:r>
      <w:r>
        <w:rPr>
          <w:rFonts w:cs="Arial"/>
        </w:rPr>
        <w:t>.</w:t>
      </w:r>
    </w:p>
  </w:footnote>
  <w:footnote w:id="498">
    <w:p w14:paraId="708CC628" w14:textId="77777777" w:rsidR="00C2054E" w:rsidRDefault="00730A01">
      <w:pPr>
        <w:pStyle w:val="Notedebasdepage"/>
      </w:pPr>
      <w:r>
        <w:rPr>
          <w:rStyle w:val="Appelnotedebasdep"/>
        </w:rPr>
        <w:footnoteRef/>
      </w:r>
      <w:r>
        <w:t xml:space="preserve"> </w:t>
      </w:r>
      <w:r>
        <w:tab/>
        <w:t>Interrogatoire préalable, 3 avril 2024, p. 254.</w:t>
      </w:r>
    </w:p>
  </w:footnote>
  <w:footnote w:id="499">
    <w:p w14:paraId="639ACF96" w14:textId="77777777" w:rsidR="00C2054E" w:rsidRDefault="00730A01">
      <w:pPr>
        <w:pStyle w:val="Notedebasdepage"/>
      </w:pPr>
      <w:r>
        <w:rPr>
          <w:rStyle w:val="Appelnotedebasdep"/>
        </w:rPr>
        <w:footnoteRef/>
      </w:r>
      <w:r>
        <w:t xml:space="preserve"> </w:t>
      </w:r>
      <w:r>
        <w:tab/>
        <w:t>NS, Giroux, 14 février 2025, p. 100-106.</w:t>
      </w:r>
    </w:p>
  </w:footnote>
  <w:footnote w:id="500">
    <w:p w14:paraId="451A8C6D" w14:textId="77777777" w:rsidR="00C2054E" w:rsidRDefault="00730A01">
      <w:pPr>
        <w:pStyle w:val="Notedebasdepage"/>
      </w:pPr>
      <w:r>
        <w:rPr>
          <w:rStyle w:val="Appelnotedebasdep"/>
        </w:rPr>
        <w:footnoteRef/>
      </w:r>
      <w:r>
        <w:t xml:space="preserve"> </w:t>
      </w:r>
      <w:r>
        <w:tab/>
        <w:t>NS, Giroux, 14 février 2025, p. 120-123.</w:t>
      </w:r>
    </w:p>
  </w:footnote>
  <w:footnote w:id="501">
    <w:p w14:paraId="268A10C2" w14:textId="77777777" w:rsidR="008522EF" w:rsidRDefault="00730A01">
      <w:pPr>
        <w:pStyle w:val="Notedebasdepage"/>
      </w:pPr>
      <w:r>
        <w:rPr>
          <w:rStyle w:val="Appelnotedebasdep"/>
        </w:rPr>
        <w:footnoteRef/>
      </w:r>
      <w:r>
        <w:t xml:space="preserve"> </w:t>
      </w:r>
      <w:r>
        <w:tab/>
        <w:t>NS, Giroux, 3 juin 2024, p. 1497.</w:t>
      </w:r>
    </w:p>
  </w:footnote>
  <w:footnote w:id="502">
    <w:p w14:paraId="19B1B02E" w14:textId="77777777" w:rsidR="008522EF" w:rsidRDefault="00730A01">
      <w:pPr>
        <w:pStyle w:val="Notedebasdepage"/>
      </w:pPr>
      <w:r>
        <w:rPr>
          <w:rStyle w:val="Appelnotedebasdep"/>
        </w:rPr>
        <w:footnoteRef/>
      </w:r>
      <w:r>
        <w:t xml:space="preserve"> </w:t>
      </w:r>
      <w:r>
        <w:tab/>
        <w:t>NS, Giroux, 11 février 2025, p. 189-190.</w:t>
      </w:r>
    </w:p>
  </w:footnote>
  <w:footnote w:id="503">
    <w:p w14:paraId="50C0960C" w14:textId="77777777" w:rsidR="008522EF" w:rsidRDefault="00730A01">
      <w:pPr>
        <w:pStyle w:val="Notedebasdepage"/>
      </w:pPr>
      <w:r>
        <w:rPr>
          <w:rStyle w:val="Appelnotedebasdep"/>
        </w:rPr>
        <w:footnoteRef/>
      </w:r>
      <w:r>
        <w:t xml:space="preserve"> </w:t>
      </w:r>
      <w:r>
        <w:tab/>
        <w:t>Textos du 4 mars 2022, pièce PQ-207.</w:t>
      </w:r>
    </w:p>
  </w:footnote>
  <w:footnote w:id="504">
    <w:p w14:paraId="07493330" w14:textId="77777777" w:rsidR="000C2D59" w:rsidRDefault="00730A01">
      <w:pPr>
        <w:pStyle w:val="Notedebasdepage"/>
      </w:pPr>
      <w:r>
        <w:rPr>
          <w:rStyle w:val="Appelnotedebasdep"/>
        </w:rPr>
        <w:footnoteRef/>
      </w:r>
      <w:r>
        <w:t xml:space="preserve"> </w:t>
      </w:r>
      <w:r>
        <w:tab/>
      </w:r>
      <w:r w:rsidR="00194CEA" w:rsidRPr="00194CEA">
        <w:rPr>
          <w:rFonts w:cs="Arial"/>
        </w:rPr>
        <w:t>Défense et demande reconventionnelle modifiée du 26 avril 2024, p. 31 : par. 45.16, 100.24, 163 d), 165 b) etc.).</w:t>
      </w:r>
    </w:p>
  </w:footnote>
  <w:footnote w:id="505">
    <w:p w14:paraId="1E3D7056" w14:textId="77777777" w:rsidR="00696EF4" w:rsidRDefault="00730A01">
      <w:pPr>
        <w:pStyle w:val="Notedebasdepage"/>
      </w:pPr>
      <w:r>
        <w:rPr>
          <w:rStyle w:val="Appelnotedebasdep"/>
        </w:rPr>
        <w:footnoteRef/>
      </w:r>
      <w:r>
        <w:t xml:space="preserve"> </w:t>
      </w:r>
      <w:r>
        <w:tab/>
        <w:t>DSS, Lehoux, 17 mai 2024, par. 22-25; NS, Lehoux, 20 janvier 2025, p. 12-13; NS, St-Gelais, 10 février 2025, p. 81; DSS, Germain, 13 mai 2024, par 15-30; NS, Larochelle, 20 février 2025, p. 86.</w:t>
      </w:r>
    </w:p>
  </w:footnote>
  <w:footnote w:id="506">
    <w:p w14:paraId="360B5A0D" w14:textId="77777777" w:rsidR="00696EF4" w:rsidRDefault="00730A01">
      <w:pPr>
        <w:pStyle w:val="Notedebasdepage"/>
      </w:pPr>
      <w:r>
        <w:rPr>
          <w:rStyle w:val="Appelnotedebasdep"/>
        </w:rPr>
        <w:footnoteRef/>
      </w:r>
      <w:r>
        <w:t xml:space="preserve"> </w:t>
      </w:r>
      <w:r>
        <w:tab/>
        <w:t xml:space="preserve">NS, </w:t>
      </w:r>
      <w:r w:rsidRPr="00696EF4">
        <w:rPr>
          <w:rFonts w:cs="Arial"/>
        </w:rPr>
        <w:t>Giroux, 12 février 2025, p. 32, 182-183 et 13 février 2025, p. 19.</w:t>
      </w:r>
    </w:p>
  </w:footnote>
  <w:footnote w:id="507">
    <w:p w14:paraId="6C8A7126" w14:textId="77777777" w:rsidR="00696EF4" w:rsidRDefault="00730A01">
      <w:pPr>
        <w:pStyle w:val="Notedebasdepage"/>
      </w:pPr>
      <w:r>
        <w:rPr>
          <w:rStyle w:val="Appelnotedebasdep"/>
        </w:rPr>
        <w:footnoteRef/>
      </w:r>
      <w:r>
        <w:t xml:space="preserve"> </w:t>
      </w:r>
      <w:r>
        <w:tab/>
        <w:t xml:space="preserve">NS, St-Gelais, </w:t>
      </w:r>
      <w:r w:rsidRPr="00696EF4">
        <w:rPr>
          <w:rFonts w:cs="Arial"/>
        </w:rPr>
        <w:t>10 février 2025, p. 89-90, 166-170, 205-209 et 218-220.</w:t>
      </w:r>
    </w:p>
  </w:footnote>
  <w:footnote w:id="508">
    <w:p w14:paraId="1623A323" w14:textId="77777777" w:rsidR="00696EF4" w:rsidRDefault="00730A01">
      <w:pPr>
        <w:pStyle w:val="Notedebasdepage"/>
      </w:pPr>
      <w:r>
        <w:rPr>
          <w:rStyle w:val="Appelnotedebasdep"/>
        </w:rPr>
        <w:footnoteRef/>
      </w:r>
      <w:r>
        <w:t xml:space="preserve"> </w:t>
      </w:r>
      <w:r>
        <w:tab/>
        <w:t>NS, Giroux, 12 février 2025, p. 72-73.</w:t>
      </w:r>
    </w:p>
  </w:footnote>
  <w:footnote w:id="509">
    <w:p w14:paraId="70363194" w14:textId="77777777" w:rsidR="00696EF4" w:rsidRDefault="00730A01">
      <w:pPr>
        <w:pStyle w:val="Notedebasdepage"/>
      </w:pPr>
      <w:r>
        <w:rPr>
          <w:rStyle w:val="Appelnotedebasdep"/>
        </w:rPr>
        <w:footnoteRef/>
      </w:r>
      <w:r>
        <w:t xml:space="preserve"> </w:t>
      </w:r>
      <w:r>
        <w:tab/>
        <w:t>NS, St-Gelais, 10 février 2025.</w:t>
      </w:r>
    </w:p>
  </w:footnote>
  <w:footnote w:id="510">
    <w:p w14:paraId="6A18FFFC" w14:textId="77777777" w:rsidR="00696EF4" w:rsidRDefault="00730A01">
      <w:pPr>
        <w:pStyle w:val="Notedebasdepage"/>
      </w:pPr>
      <w:r>
        <w:rPr>
          <w:rStyle w:val="Appelnotedebasdep"/>
        </w:rPr>
        <w:footnoteRef/>
      </w:r>
      <w:r>
        <w:t xml:space="preserve"> </w:t>
      </w:r>
      <w:r>
        <w:tab/>
        <w:t>NS, Giroux, 13 février 2025, p. 169.</w:t>
      </w:r>
    </w:p>
  </w:footnote>
  <w:footnote w:id="511">
    <w:p w14:paraId="5C216540" w14:textId="77777777" w:rsidR="004030A3" w:rsidRDefault="00730A01">
      <w:pPr>
        <w:pStyle w:val="Notedebasdepage"/>
      </w:pPr>
      <w:r>
        <w:rPr>
          <w:rStyle w:val="Appelnotedebasdep"/>
        </w:rPr>
        <w:footnoteRef/>
      </w:r>
      <w:r>
        <w:t xml:space="preserve"> </w:t>
      </w:r>
      <w:r>
        <w:tab/>
      </w:r>
      <w:r w:rsidR="00913D4D" w:rsidRPr="00913D4D">
        <w:rPr>
          <w:rFonts w:cs="Arial"/>
        </w:rPr>
        <w:t>Tableau tronqué : Pièce ISL-2 exhibée par Me Sylvain Rigaud à Mme Sophie Larochelle lors de son interrogatoire préalable du 14 décembre 2023 (pièce PQ-258, p. 3</w:t>
      </w:r>
      <w:r w:rsidR="00913D4D">
        <w:rPr>
          <w:rFonts w:cs="Arial"/>
        </w:rPr>
        <w:t>).</w:t>
      </w:r>
    </w:p>
  </w:footnote>
  <w:footnote w:id="512">
    <w:p w14:paraId="08362803" w14:textId="77777777" w:rsidR="00913D4D" w:rsidRDefault="00730A01">
      <w:pPr>
        <w:pStyle w:val="Notedebasdepage"/>
      </w:pPr>
      <w:r>
        <w:rPr>
          <w:rStyle w:val="Appelnotedebasdep"/>
        </w:rPr>
        <w:footnoteRef/>
      </w:r>
      <w:r>
        <w:t xml:space="preserve"> </w:t>
      </w:r>
      <w:r>
        <w:tab/>
      </w:r>
      <w:r w:rsidRPr="00913D4D">
        <w:rPr>
          <w:rFonts w:cs="Arial"/>
        </w:rPr>
        <w:t>Tableau original : Pièce ISL-2.1 (pièce PQ-258, p. 7)</w:t>
      </w:r>
      <w:r>
        <w:rPr>
          <w:rFonts w:cs="Arial"/>
        </w:rPr>
        <w:t>.</w:t>
      </w:r>
    </w:p>
  </w:footnote>
  <w:footnote w:id="513">
    <w:p w14:paraId="20A9B3D0" w14:textId="77777777" w:rsidR="00913D4D" w:rsidRDefault="00730A01">
      <w:pPr>
        <w:pStyle w:val="Notedebasdepage"/>
      </w:pPr>
      <w:r>
        <w:rPr>
          <w:rStyle w:val="Appelnotedebasdep"/>
        </w:rPr>
        <w:footnoteRef/>
      </w:r>
      <w:r>
        <w:t xml:space="preserve"> </w:t>
      </w:r>
      <w:r>
        <w:tab/>
        <w:t>Interrogatoire au préalable de Giroux par Me François Valin du 1</w:t>
      </w:r>
      <w:r w:rsidRPr="00913D4D">
        <w:rPr>
          <w:vertAlign w:val="superscript"/>
        </w:rPr>
        <w:t>er</w:t>
      </w:r>
      <w:r>
        <w:t xml:space="preserve"> septembre 2023, p. 28-29.</w:t>
      </w:r>
    </w:p>
  </w:footnote>
  <w:footnote w:id="514">
    <w:p w14:paraId="2963F94C" w14:textId="77777777" w:rsidR="00913D4D" w:rsidRDefault="00730A01" w:rsidP="00913D4D">
      <w:pPr>
        <w:pStyle w:val="Notedebasdepage"/>
      </w:pPr>
      <w:r>
        <w:rPr>
          <w:rStyle w:val="Appelnotedebasdep"/>
        </w:rPr>
        <w:footnoteRef/>
      </w:r>
      <w:r>
        <w:t xml:space="preserve"> </w:t>
      </w:r>
      <w:r>
        <w:tab/>
        <w:t>Pièce PQ-4 modifiée.</w:t>
      </w:r>
    </w:p>
  </w:footnote>
  <w:footnote w:id="515">
    <w:p w14:paraId="7B5F9E11" w14:textId="77777777" w:rsidR="00913D4D" w:rsidRDefault="00730A01">
      <w:pPr>
        <w:pStyle w:val="Notedebasdepage"/>
      </w:pPr>
      <w:r>
        <w:rPr>
          <w:rStyle w:val="Appelnotedebasdep"/>
        </w:rPr>
        <w:footnoteRef/>
      </w:r>
      <w:r>
        <w:t xml:space="preserve"> </w:t>
      </w:r>
      <w:r>
        <w:tab/>
        <w:t xml:space="preserve">NS, Giroux, </w:t>
      </w:r>
      <w:r w:rsidR="0099369D">
        <w:t>12 février 2025, p. 136-137.</w:t>
      </w:r>
    </w:p>
  </w:footnote>
  <w:footnote w:id="516">
    <w:p w14:paraId="1E3FDAA1" w14:textId="77777777" w:rsidR="0099369D" w:rsidRDefault="00730A01">
      <w:pPr>
        <w:pStyle w:val="Notedebasdepage"/>
      </w:pPr>
      <w:r>
        <w:rPr>
          <w:rStyle w:val="Appelnotedebasdep"/>
        </w:rPr>
        <w:footnoteRef/>
      </w:r>
      <w:r>
        <w:t xml:space="preserve"> </w:t>
      </w:r>
      <w:r>
        <w:tab/>
      </w:r>
      <w:r w:rsidRPr="0099369D">
        <w:rPr>
          <w:rFonts w:cs="Arial"/>
        </w:rPr>
        <w:t>Mathieu Duguay, 23 janvier 2025, p. 56</w:t>
      </w:r>
      <w:r>
        <w:rPr>
          <w:rFonts w:cs="Arial"/>
        </w:rPr>
        <w:t>.</w:t>
      </w:r>
    </w:p>
  </w:footnote>
  <w:footnote w:id="517">
    <w:p w14:paraId="12B30E0F" w14:textId="77777777" w:rsidR="008900D7" w:rsidRPr="0080681D" w:rsidRDefault="00730A01" w:rsidP="008900D7">
      <w:pPr>
        <w:pStyle w:val="Notedebasdepage"/>
        <w:rPr>
          <w:i/>
          <w:iCs/>
        </w:rPr>
      </w:pPr>
      <w:r>
        <w:rPr>
          <w:rStyle w:val="Appelnotedebasdep"/>
        </w:rPr>
        <w:footnoteRef/>
      </w:r>
      <w:r>
        <w:tab/>
      </w:r>
      <w:r w:rsidRPr="0080681D">
        <w:rPr>
          <w:rStyle w:val="Accentuation"/>
          <w:rFonts w:cs="Arial"/>
          <w:i w:val="0"/>
          <w:iCs w:val="0"/>
        </w:rPr>
        <w:t>Convention de prêt</w:t>
      </w:r>
      <w:r>
        <w:rPr>
          <w:rStyle w:val="Accentuation"/>
          <w:rFonts w:cs="Arial"/>
          <w:i w:val="0"/>
          <w:iCs w:val="0"/>
        </w:rPr>
        <w:t xml:space="preserve"> (</w:t>
      </w:r>
      <w:r w:rsidRPr="0080681D">
        <w:rPr>
          <w:rStyle w:val="Accentuation"/>
          <w:rFonts w:cs="Arial"/>
          <w:i w:val="0"/>
          <w:iCs w:val="0"/>
        </w:rPr>
        <w:t>pièce EP-1.7A, p. 1, pièce 8.01, art. 13.4</w:t>
      </w:r>
      <w:r>
        <w:rPr>
          <w:rStyle w:val="Accentuation"/>
          <w:rFonts w:cs="Arial"/>
          <w:i w:val="0"/>
          <w:iCs w:val="0"/>
        </w:rPr>
        <w:t>)</w:t>
      </w:r>
      <w:r w:rsidRPr="0080681D">
        <w:rPr>
          <w:rStyle w:val="Accentuation"/>
          <w:rFonts w:cs="Arial"/>
          <w:i w:val="0"/>
          <w:iCs w:val="0"/>
        </w:rPr>
        <w:t xml:space="preserve">; Convention de prêt additionnel </w:t>
      </w:r>
      <w:r>
        <w:rPr>
          <w:rStyle w:val="Accentuation"/>
          <w:rFonts w:cs="Arial"/>
          <w:i w:val="0"/>
          <w:iCs w:val="0"/>
        </w:rPr>
        <w:t>(</w:t>
      </w:r>
      <w:r w:rsidRPr="0080681D">
        <w:rPr>
          <w:rStyle w:val="Accentuation"/>
          <w:rFonts w:cs="Arial"/>
          <w:i w:val="0"/>
          <w:iCs w:val="0"/>
        </w:rPr>
        <w:t>pièce EP-1.7A, p. 26, pièce 8.02, art. 13.4</w:t>
      </w:r>
      <w:r>
        <w:rPr>
          <w:rStyle w:val="Accentuation"/>
          <w:rFonts w:cs="Arial"/>
          <w:i w:val="0"/>
          <w:iCs w:val="0"/>
        </w:rPr>
        <w:t>).</w:t>
      </w:r>
    </w:p>
  </w:footnote>
  <w:footnote w:id="518">
    <w:p w14:paraId="7A2F186F" w14:textId="77777777" w:rsidR="008900D7" w:rsidRDefault="00730A01" w:rsidP="008900D7">
      <w:pPr>
        <w:pStyle w:val="Notedebasdepage"/>
      </w:pPr>
      <w:r>
        <w:rPr>
          <w:rStyle w:val="Appelnotedebasdep"/>
        </w:rPr>
        <w:footnoteRef/>
      </w:r>
      <w:r>
        <w:t xml:space="preserve"> </w:t>
      </w:r>
      <w:r>
        <w:tab/>
        <w:t>Pièce PSH-8, p. 176.</w:t>
      </w:r>
    </w:p>
  </w:footnote>
  <w:footnote w:id="519">
    <w:p w14:paraId="7BC942FF" w14:textId="77777777" w:rsidR="008900D7" w:rsidRDefault="00730A01" w:rsidP="008900D7">
      <w:pPr>
        <w:pStyle w:val="Notedebasdepage"/>
      </w:pPr>
      <w:r>
        <w:rPr>
          <w:rStyle w:val="Appelnotedebasdep"/>
        </w:rPr>
        <w:footnoteRef/>
      </w:r>
      <w:r>
        <w:t xml:space="preserve"> </w:t>
      </w:r>
      <w:r>
        <w:tab/>
      </w:r>
      <w:r>
        <w:rPr>
          <w:rFonts w:cs="Arial"/>
        </w:rPr>
        <w:t>P</w:t>
      </w:r>
      <w:r w:rsidRPr="0080681D">
        <w:rPr>
          <w:rFonts w:cs="Arial"/>
        </w:rPr>
        <w:t>ièce EP-1.7A, pièce 8.01, p. 5, art. 5.1</w:t>
      </w:r>
      <w:r>
        <w:rPr>
          <w:rFonts w:cs="Arial"/>
        </w:rPr>
        <w:t>.</w:t>
      </w:r>
    </w:p>
  </w:footnote>
  <w:footnote w:id="520">
    <w:p w14:paraId="731C2765" w14:textId="77777777" w:rsidR="008900D7" w:rsidRDefault="00730A01" w:rsidP="008900D7">
      <w:pPr>
        <w:pStyle w:val="Notedebasdepage"/>
      </w:pPr>
      <w:r>
        <w:rPr>
          <w:rStyle w:val="Appelnotedebasdep"/>
        </w:rPr>
        <w:footnoteRef/>
      </w:r>
      <w:r>
        <w:t xml:space="preserve"> </w:t>
      </w:r>
      <w:r>
        <w:tab/>
        <w:t>Pièce EP-1.7A, pièce 8.02, p. 26.</w:t>
      </w:r>
    </w:p>
  </w:footnote>
  <w:footnote w:id="521">
    <w:p w14:paraId="1A204A26" w14:textId="77777777" w:rsidR="008900D7" w:rsidRDefault="00730A01" w:rsidP="008900D7">
      <w:pPr>
        <w:pStyle w:val="Notedebasdepage"/>
      </w:pPr>
      <w:r>
        <w:rPr>
          <w:rStyle w:val="Appelnotedebasdep"/>
        </w:rPr>
        <w:footnoteRef/>
      </w:r>
      <w:r>
        <w:t xml:space="preserve"> </w:t>
      </w:r>
      <w:r>
        <w:tab/>
        <w:t>Pièce D-646, courriel du 22 août 2016</w:t>
      </w:r>
    </w:p>
  </w:footnote>
  <w:footnote w:id="522">
    <w:p w14:paraId="63C96267" w14:textId="77777777" w:rsidR="008900D7" w:rsidRDefault="00730A01" w:rsidP="008900D7">
      <w:pPr>
        <w:pStyle w:val="Notedebasdepage"/>
      </w:pPr>
      <w:r>
        <w:rPr>
          <w:rStyle w:val="Appelnotedebasdep"/>
        </w:rPr>
        <w:footnoteRef/>
      </w:r>
      <w:r>
        <w:t xml:space="preserve"> </w:t>
      </w:r>
      <w:r>
        <w:tab/>
        <w:t>Pièce D-648, courriel du 11 décembre 2017.</w:t>
      </w:r>
    </w:p>
  </w:footnote>
  <w:footnote w:id="523">
    <w:p w14:paraId="3FD0F803" w14:textId="77777777" w:rsidR="008900D7" w:rsidRDefault="00730A01" w:rsidP="008900D7">
      <w:pPr>
        <w:pStyle w:val="Notedebasdepage"/>
      </w:pPr>
      <w:r>
        <w:rPr>
          <w:rStyle w:val="Appelnotedebasdep"/>
        </w:rPr>
        <w:footnoteRef/>
      </w:r>
      <w:r>
        <w:t xml:space="preserve"> </w:t>
      </w:r>
      <w:r>
        <w:tab/>
        <w:t>Pièce D-660, courriel du 1</w:t>
      </w:r>
      <w:r w:rsidRPr="0080681D">
        <w:rPr>
          <w:vertAlign w:val="superscript"/>
        </w:rPr>
        <w:t>er</w:t>
      </w:r>
      <w:r>
        <w:t xml:space="preserve"> juin 2018.</w:t>
      </w:r>
    </w:p>
  </w:footnote>
  <w:footnote w:id="524">
    <w:p w14:paraId="4EC768D3" w14:textId="77777777" w:rsidR="008900D7" w:rsidRDefault="00730A01" w:rsidP="008900D7">
      <w:pPr>
        <w:pStyle w:val="Notedebasdepage"/>
      </w:pPr>
      <w:r>
        <w:rPr>
          <w:rStyle w:val="Appelnotedebasdep"/>
        </w:rPr>
        <w:footnoteRef/>
      </w:r>
      <w:r>
        <w:t xml:space="preserve"> </w:t>
      </w:r>
      <w:r>
        <w:tab/>
        <w:t>Pièce D-661, courriel du 1</w:t>
      </w:r>
      <w:r w:rsidRPr="0080681D">
        <w:rPr>
          <w:vertAlign w:val="superscript"/>
        </w:rPr>
        <w:t>er</w:t>
      </w:r>
      <w:r>
        <w:t xml:space="preserve"> juin 2018.</w:t>
      </w:r>
    </w:p>
  </w:footnote>
  <w:footnote w:id="525">
    <w:p w14:paraId="530D4968" w14:textId="77777777" w:rsidR="008900D7" w:rsidRDefault="00730A01" w:rsidP="008900D7">
      <w:pPr>
        <w:pStyle w:val="Notedebasdepage"/>
      </w:pPr>
      <w:r>
        <w:rPr>
          <w:rStyle w:val="Appelnotedebasdep"/>
        </w:rPr>
        <w:footnoteRef/>
      </w:r>
      <w:r>
        <w:t xml:space="preserve"> </w:t>
      </w:r>
      <w:r>
        <w:tab/>
        <w:t>Pièce D-662, courriel du 22 novembre 2018.</w:t>
      </w:r>
    </w:p>
  </w:footnote>
  <w:footnote w:id="526">
    <w:p w14:paraId="3FC6040E" w14:textId="77777777" w:rsidR="008900D7" w:rsidRDefault="00730A01" w:rsidP="008900D7">
      <w:pPr>
        <w:pStyle w:val="Notedebasdepage"/>
      </w:pPr>
      <w:r>
        <w:rPr>
          <w:rStyle w:val="Appelnotedebasdep"/>
        </w:rPr>
        <w:footnoteRef/>
      </w:r>
      <w:r>
        <w:t xml:space="preserve"> </w:t>
      </w:r>
      <w:r>
        <w:tab/>
        <w:t>Pièce D-463, courriel du 11 septembre 2019.</w:t>
      </w:r>
    </w:p>
  </w:footnote>
  <w:footnote w:id="527">
    <w:p w14:paraId="2A966ECB" w14:textId="77777777" w:rsidR="008900D7" w:rsidRDefault="00730A01" w:rsidP="008900D7">
      <w:pPr>
        <w:pStyle w:val="Notedebasdepage"/>
      </w:pPr>
      <w:r>
        <w:rPr>
          <w:rStyle w:val="Appelnotedebasdep"/>
        </w:rPr>
        <w:footnoteRef/>
      </w:r>
      <w:r>
        <w:t xml:space="preserve"> </w:t>
      </w:r>
      <w:r>
        <w:tab/>
        <w:t>La stratégie de prêts est partie intégrante de la convention de société en commandite (pièce PSH-8, art.</w:t>
      </w:r>
      <w:r w:rsidR="00AD4803">
        <w:t> </w:t>
      </w:r>
      <w:r>
        <w:t>1.4). L’objet de la société en commandite FIISH est de consentir un prêt à Stéphan Huot conformément à la stratégie de prêts (pièce PSH-8, art.</w:t>
      </w:r>
      <w:r w:rsidR="00AD4803">
        <w:t> </w:t>
      </w:r>
      <w:r>
        <w:t>2.5.1.</w:t>
      </w:r>
    </w:p>
  </w:footnote>
  <w:footnote w:id="528">
    <w:p w14:paraId="68253630" w14:textId="77777777" w:rsidR="008900D7" w:rsidRDefault="00730A01" w:rsidP="008900D7">
      <w:pPr>
        <w:pStyle w:val="Notedebasdepage"/>
      </w:pPr>
      <w:r>
        <w:rPr>
          <w:rStyle w:val="Appelnotedebasdep"/>
        </w:rPr>
        <w:footnoteRef/>
      </w:r>
      <w:r>
        <w:t xml:space="preserve"> </w:t>
      </w:r>
      <w:r>
        <w:tab/>
        <w:t>Pièce EP-1, par. 878 et 879); Les commanditaires n’ont été informés du dépassement du ratio d’équité qu’après le fait (pièce D-463).</w:t>
      </w:r>
    </w:p>
  </w:footnote>
  <w:footnote w:id="529">
    <w:p w14:paraId="769CC479" w14:textId="77777777" w:rsidR="008900D7" w:rsidRDefault="00730A01" w:rsidP="008900D7">
      <w:pPr>
        <w:pStyle w:val="Notedebasdepage"/>
      </w:pPr>
      <w:r>
        <w:rPr>
          <w:rStyle w:val="Appelnotedebasdep"/>
        </w:rPr>
        <w:footnoteRef/>
      </w:r>
      <w:r>
        <w:t xml:space="preserve"> </w:t>
      </w:r>
      <w:r>
        <w:tab/>
        <w:t>Pièce EP-1, par. 880.</w:t>
      </w:r>
    </w:p>
  </w:footnote>
  <w:footnote w:id="530">
    <w:p w14:paraId="772A4B84" w14:textId="77777777" w:rsidR="008900D7" w:rsidRPr="00681E05" w:rsidRDefault="00730A01" w:rsidP="008900D7">
      <w:pPr>
        <w:pStyle w:val="Notedebasdepage"/>
        <w:rPr>
          <w:i/>
          <w:iCs/>
        </w:rPr>
      </w:pPr>
      <w:r>
        <w:rPr>
          <w:rStyle w:val="Appelnotedebasdep"/>
        </w:rPr>
        <w:footnoteRef/>
      </w:r>
      <w:r>
        <w:t xml:space="preserve"> </w:t>
      </w:r>
      <w:r>
        <w:tab/>
      </w:r>
      <w:r w:rsidRPr="00681E05">
        <w:t>Pièce EP-1, par. 820</w:t>
      </w:r>
      <w:r w:rsidRPr="00681E05">
        <w:rPr>
          <w:i/>
          <w:iCs/>
        </w:rPr>
        <w:t>.</w:t>
      </w:r>
    </w:p>
  </w:footnote>
  <w:footnote w:id="531">
    <w:p w14:paraId="2CA00702" w14:textId="77777777" w:rsidR="008900D7" w:rsidRPr="00681E05" w:rsidRDefault="00730A01" w:rsidP="008900D7">
      <w:pPr>
        <w:pStyle w:val="Notedebasdepage"/>
        <w:rPr>
          <w:i/>
          <w:iCs/>
        </w:rPr>
      </w:pPr>
      <w:r w:rsidRPr="00681E05">
        <w:rPr>
          <w:rStyle w:val="Appelnotedebasdep"/>
          <w:i/>
          <w:iCs/>
        </w:rPr>
        <w:footnoteRef/>
      </w:r>
      <w:r w:rsidRPr="00681E05">
        <w:rPr>
          <w:i/>
          <w:iCs/>
        </w:rPr>
        <w:t xml:space="preserve"> </w:t>
      </w:r>
      <w:r w:rsidRPr="00681E05">
        <w:rPr>
          <w:i/>
          <w:iCs/>
        </w:rPr>
        <w:tab/>
      </w:r>
      <w:r w:rsidRPr="00681E05">
        <w:t>Pièce EP-1, par. 824</w:t>
      </w:r>
      <w:r w:rsidRPr="00681E05">
        <w:rPr>
          <w:i/>
          <w:iCs/>
        </w:rPr>
        <w:t>.</w:t>
      </w:r>
    </w:p>
  </w:footnote>
  <w:footnote w:id="532">
    <w:p w14:paraId="12399B8A" w14:textId="77777777" w:rsidR="008900D7" w:rsidRPr="00681E05" w:rsidRDefault="00730A01" w:rsidP="008900D7">
      <w:pPr>
        <w:pStyle w:val="Notedebasdepage"/>
      </w:pPr>
      <w:r w:rsidRPr="00681E05">
        <w:rPr>
          <w:rStyle w:val="Appelnotedebasdep"/>
          <w:i/>
          <w:iCs/>
        </w:rPr>
        <w:footnoteRef/>
      </w:r>
      <w:r w:rsidRPr="00681E05">
        <w:rPr>
          <w:i/>
          <w:iCs/>
        </w:rPr>
        <w:t xml:space="preserve"> </w:t>
      </w:r>
      <w:r w:rsidRPr="00681E05">
        <w:rPr>
          <w:i/>
          <w:iCs/>
        </w:rPr>
        <w:tab/>
      </w:r>
      <w:r w:rsidRPr="00681E05">
        <w:t>Pièces EP-1.7A, p. 1, pièce 8.07.</w:t>
      </w:r>
    </w:p>
  </w:footnote>
  <w:footnote w:id="533">
    <w:p w14:paraId="4710BF5F" w14:textId="77777777" w:rsidR="008900D7" w:rsidRPr="00681E05" w:rsidRDefault="00730A01" w:rsidP="008900D7">
      <w:pPr>
        <w:pStyle w:val="Notedebasdepage"/>
      </w:pPr>
      <w:r w:rsidRPr="00681E05">
        <w:rPr>
          <w:rStyle w:val="Appelnotedebasdep"/>
        </w:rPr>
        <w:footnoteRef/>
      </w:r>
      <w:r w:rsidRPr="00681E05">
        <w:t xml:space="preserve"> </w:t>
      </w:r>
      <w:r w:rsidRPr="00681E05">
        <w:tab/>
        <w:t>Pièce EP-1.7A, p. 26, pièce 8.02.</w:t>
      </w:r>
    </w:p>
  </w:footnote>
  <w:footnote w:id="534">
    <w:p w14:paraId="688A68DD" w14:textId="77777777" w:rsidR="008900D7" w:rsidRPr="009B6C47" w:rsidRDefault="00730A01" w:rsidP="008900D7">
      <w:pPr>
        <w:pStyle w:val="Notedebasdepage"/>
        <w:rPr>
          <w:i/>
          <w:iCs/>
        </w:rPr>
      </w:pPr>
      <w:r w:rsidRPr="00681E05">
        <w:rPr>
          <w:rStyle w:val="Appelnotedebasdep"/>
        </w:rPr>
        <w:footnoteRef/>
      </w:r>
      <w:r w:rsidRPr="00681E05">
        <w:t xml:space="preserve"> </w:t>
      </w:r>
      <w:r w:rsidRPr="00681E05">
        <w:tab/>
        <w:t>Pièce EP-1.7A, p. 26, pièce 8.02</w:t>
      </w:r>
      <w:r>
        <w:t xml:space="preserve">. </w:t>
      </w:r>
    </w:p>
  </w:footnote>
  <w:footnote w:id="535">
    <w:p w14:paraId="20E5DFD2" w14:textId="77777777" w:rsidR="008900D7" w:rsidRDefault="00730A01" w:rsidP="008900D7">
      <w:pPr>
        <w:pStyle w:val="Notedebasdepage"/>
      </w:pPr>
      <w:r>
        <w:rPr>
          <w:rStyle w:val="Appelnotedebasdep"/>
        </w:rPr>
        <w:footnoteRef/>
      </w:r>
      <w:r>
        <w:t xml:space="preserve"> </w:t>
      </w:r>
      <w:r>
        <w:tab/>
        <w:t>Pièces PQ-256, p. 47 et 48; EP-1, par. 711à 715.</w:t>
      </w:r>
    </w:p>
  </w:footnote>
  <w:footnote w:id="536">
    <w:p w14:paraId="2DC84698" w14:textId="77777777" w:rsidR="008900D7" w:rsidRDefault="00730A01" w:rsidP="008900D7">
      <w:pPr>
        <w:pStyle w:val="Notedebasdepage"/>
      </w:pPr>
      <w:r>
        <w:rPr>
          <w:rStyle w:val="Appelnotedebasdep"/>
        </w:rPr>
        <w:footnoteRef/>
      </w:r>
      <w:r>
        <w:t xml:space="preserve"> </w:t>
      </w:r>
      <w:r>
        <w:tab/>
        <w:t>Pièce EP-1.7A, p. 1, pièce 8.01, art. 14.7.</w:t>
      </w:r>
    </w:p>
  </w:footnote>
  <w:footnote w:id="537">
    <w:p w14:paraId="7748FDBF" w14:textId="77777777" w:rsidR="008900D7" w:rsidRDefault="00730A01" w:rsidP="008900D7">
      <w:pPr>
        <w:pStyle w:val="Notedebasdepage"/>
      </w:pPr>
      <w:r>
        <w:rPr>
          <w:rStyle w:val="Appelnotedebasdep"/>
        </w:rPr>
        <w:footnoteRef/>
      </w:r>
      <w:r>
        <w:t xml:space="preserve"> </w:t>
      </w:r>
      <w:r>
        <w:tab/>
        <w:t>Pièces EP-1.7A, p. 1, pièce 8.01, art. 17.5; EP-1.7A, p. 26, pièce 8.02, art. 1</w:t>
      </w:r>
      <w:r w:rsidRPr="00587A62">
        <w:t>7</w:t>
      </w:r>
      <w:r>
        <w:t>.1.4.</w:t>
      </w:r>
    </w:p>
  </w:footnote>
  <w:footnote w:id="538">
    <w:p w14:paraId="463B81FF" w14:textId="77777777" w:rsidR="008900D7" w:rsidRDefault="00730A01" w:rsidP="008900D7">
      <w:pPr>
        <w:pStyle w:val="Notedebasdepage"/>
      </w:pPr>
      <w:r>
        <w:rPr>
          <w:rStyle w:val="Appelnotedebasdep"/>
        </w:rPr>
        <w:footnoteRef/>
      </w:r>
      <w:r>
        <w:t xml:space="preserve"> </w:t>
      </w:r>
      <w:r>
        <w:tab/>
        <w:t>Pièces EP-1.7A, p. 1, pièce 8.01, art. 13.4; EP-1.7A, p. 26, pièce 8.02, art. 13.1.4.</w:t>
      </w:r>
    </w:p>
  </w:footnote>
  <w:footnote w:id="539">
    <w:p w14:paraId="73F6E5FB" w14:textId="77777777" w:rsidR="008900D7" w:rsidRDefault="00730A01" w:rsidP="008900D7">
      <w:pPr>
        <w:pStyle w:val="Notedebasdepage"/>
      </w:pPr>
      <w:r>
        <w:rPr>
          <w:rStyle w:val="Appelnotedebasdep"/>
        </w:rPr>
        <w:footnoteRef/>
      </w:r>
      <w:r>
        <w:t xml:space="preserve"> </w:t>
      </w:r>
      <w:r>
        <w:tab/>
        <w:t>Pièces EP-1.7A, p. 1, pièce 8,01, art. 20; EP-1.7A, p. 26, pièce 8.02, art. 20.</w:t>
      </w:r>
    </w:p>
  </w:footnote>
  <w:footnote w:id="540">
    <w:p w14:paraId="61E1BFEC" w14:textId="77777777" w:rsidR="008900D7" w:rsidRDefault="00730A01" w:rsidP="008900D7">
      <w:pPr>
        <w:pStyle w:val="Notedebasdepage"/>
      </w:pPr>
      <w:r>
        <w:rPr>
          <w:rStyle w:val="Appelnotedebasdep"/>
        </w:rPr>
        <w:footnoteRef/>
      </w:r>
      <w:r>
        <w:t xml:space="preserve"> </w:t>
      </w:r>
      <w:r>
        <w:tab/>
        <w:t>Pièces EP-1.7A, p. 1, pièce 8.01, art. 17.1; EP-1.7A, p. 26, pièce 8.02, art. 17.1.1.</w:t>
      </w:r>
    </w:p>
  </w:footnote>
  <w:footnote w:id="541">
    <w:p w14:paraId="2C8CB6BF" w14:textId="77777777" w:rsidR="008900D7" w:rsidRDefault="00730A01" w:rsidP="008900D7">
      <w:pPr>
        <w:pStyle w:val="Notedebasdepage"/>
      </w:pPr>
      <w:r>
        <w:rPr>
          <w:rStyle w:val="Appelnotedebasdep"/>
        </w:rPr>
        <w:footnoteRef/>
      </w:r>
      <w:r>
        <w:t xml:space="preserve"> </w:t>
      </w:r>
      <w:r>
        <w:tab/>
        <w:t>Pièce EP-1.7A, p. 1, pièce 8.01.</w:t>
      </w:r>
    </w:p>
  </w:footnote>
  <w:footnote w:id="542">
    <w:p w14:paraId="2D4B9A73" w14:textId="77777777" w:rsidR="008900D7" w:rsidRDefault="00730A01" w:rsidP="008900D7">
      <w:pPr>
        <w:pStyle w:val="Notedebasdepage"/>
      </w:pPr>
      <w:r>
        <w:rPr>
          <w:rStyle w:val="Appelnotedebasdep"/>
        </w:rPr>
        <w:footnoteRef/>
      </w:r>
      <w:r>
        <w:t xml:space="preserve"> </w:t>
      </w:r>
      <w:r>
        <w:tab/>
        <w:t>EP-1.7A, p. 26, pièce 8.02, préambule et art. 3.2; NS, ST-Gelais, 24 janvier 2025, p. 109-110.</w:t>
      </w:r>
    </w:p>
  </w:footnote>
  <w:footnote w:id="543">
    <w:p w14:paraId="4870F82E" w14:textId="77777777" w:rsidR="008900D7" w:rsidRDefault="00730A01" w:rsidP="008900D7">
      <w:pPr>
        <w:pStyle w:val="Notedebasdepage"/>
      </w:pPr>
      <w:r>
        <w:rPr>
          <w:rStyle w:val="Appelnotedebasdep"/>
        </w:rPr>
        <w:footnoteRef/>
      </w:r>
      <w:r>
        <w:t xml:space="preserve"> </w:t>
      </w:r>
      <w:r>
        <w:tab/>
        <w:t>Pièce EP-1.7A, p. 1, pièce 8.01.</w:t>
      </w:r>
    </w:p>
  </w:footnote>
  <w:footnote w:id="544">
    <w:p w14:paraId="30EDE4B6" w14:textId="77777777" w:rsidR="008900D7" w:rsidRPr="00A94507" w:rsidRDefault="00730A01" w:rsidP="008900D7">
      <w:pPr>
        <w:pStyle w:val="Notedebasdepage"/>
      </w:pPr>
      <w:r>
        <w:rPr>
          <w:rStyle w:val="Appelnotedebasdep"/>
        </w:rPr>
        <w:footnoteRef/>
      </w:r>
      <w:r>
        <w:t xml:space="preserve"> </w:t>
      </w:r>
      <w:r>
        <w:tab/>
      </w:r>
      <w:r w:rsidRPr="00A94507">
        <w:t>Pièce EP-1.7A, p. 26, pièce 8.02, préambule et art. 3.2; NS, St-Gelais, 24 janvier 2025, p. 109-110.</w:t>
      </w:r>
    </w:p>
  </w:footnote>
  <w:footnote w:id="545">
    <w:p w14:paraId="316BF874" w14:textId="77777777" w:rsidR="008900D7" w:rsidRPr="00A94507" w:rsidRDefault="00730A01" w:rsidP="008900D7">
      <w:pPr>
        <w:pStyle w:val="Notedebasdepage"/>
      </w:pPr>
      <w:r w:rsidRPr="00A94507">
        <w:rPr>
          <w:rStyle w:val="Appelnotedebasdep"/>
        </w:rPr>
        <w:footnoteRef/>
      </w:r>
      <w:r w:rsidRPr="00A94507">
        <w:t xml:space="preserve"> </w:t>
      </w:r>
      <w:r w:rsidRPr="00A94507">
        <w:tab/>
        <w:t>Pièce EP-1.7A, p. 1, pièce 8.01.</w:t>
      </w:r>
    </w:p>
  </w:footnote>
  <w:footnote w:id="546">
    <w:p w14:paraId="162747EB" w14:textId="77777777" w:rsidR="008900D7" w:rsidRPr="00A94507" w:rsidRDefault="00730A01" w:rsidP="008900D7">
      <w:pPr>
        <w:pStyle w:val="Notedebasdepage"/>
      </w:pPr>
      <w:r w:rsidRPr="00A94507">
        <w:rPr>
          <w:rStyle w:val="Appelnotedebasdep"/>
        </w:rPr>
        <w:footnoteRef/>
      </w:r>
      <w:r w:rsidRPr="00A94507">
        <w:t xml:space="preserve"> </w:t>
      </w:r>
      <w:r w:rsidRPr="00A94507">
        <w:tab/>
        <w:t>Pièce EP-1.7A, p. 1, pièce 8.01.</w:t>
      </w:r>
    </w:p>
  </w:footnote>
  <w:footnote w:id="547">
    <w:p w14:paraId="7BFECAAC" w14:textId="77777777" w:rsidR="008900D7" w:rsidRPr="001B4A45" w:rsidRDefault="00730A01" w:rsidP="008900D7">
      <w:pPr>
        <w:pStyle w:val="Notedebasdepage"/>
      </w:pPr>
      <w:r>
        <w:rPr>
          <w:rStyle w:val="Appelnotedebasdep"/>
        </w:rPr>
        <w:footnoteRef/>
      </w:r>
      <w:r w:rsidRPr="001B4A45">
        <w:t xml:space="preserve"> </w:t>
      </w:r>
      <w:r w:rsidRPr="001B4A45">
        <w:tab/>
        <w:t>Pièce</w:t>
      </w:r>
      <w:r>
        <w:t>s</w:t>
      </w:r>
      <w:r w:rsidRPr="001B4A45">
        <w:t xml:space="preserve"> EP-1.7A, p. 1, pièce 8.01, art. 17.5; EP-1.7A, p. 26, pièce 8.02, art. 17.1.4; NS, St-Gelais, 10</w:t>
      </w:r>
      <w:r>
        <w:t> </w:t>
      </w:r>
      <w:r w:rsidRPr="001B4A45">
        <w:t>févrie</w:t>
      </w:r>
      <w:r>
        <w:t>r 2025, p. 153.</w:t>
      </w:r>
    </w:p>
  </w:footnote>
  <w:footnote w:id="548">
    <w:p w14:paraId="78B2338C" w14:textId="77777777" w:rsidR="008900D7" w:rsidRDefault="00730A01" w:rsidP="008900D7">
      <w:pPr>
        <w:pStyle w:val="Notedebasdepage"/>
      </w:pPr>
      <w:r>
        <w:rPr>
          <w:rStyle w:val="Appelnotedebasdep"/>
        </w:rPr>
        <w:footnoteRef/>
      </w:r>
      <w:r>
        <w:t xml:space="preserve"> </w:t>
      </w:r>
      <w:r>
        <w:tab/>
        <w:t xml:space="preserve">Pièces EP-1.7A, p. 1, pièce 8.01, art. 13.6; EP-1.7A, p. 26, pièce 8.02, art. 13.6; </w:t>
      </w:r>
      <w:r w:rsidRPr="001B4A45">
        <w:t>NS, St-Gelais, 10</w:t>
      </w:r>
      <w:r>
        <w:t> </w:t>
      </w:r>
      <w:r w:rsidRPr="001B4A45">
        <w:t>févrie</w:t>
      </w:r>
      <w:r>
        <w:t>r 2025, p. 89-97 et 124-127.</w:t>
      </w:r>
    </w:p>
  </w:footnote>
  <w:footnote w:id="549">
    <w:p w14:paraId="677086DB" w14:textId="77777777" w:rsidR="008900D7" w:rsidRDefault="00730A01" w:rsidP="008900D7">
      <w:pPr>
        <w:pStyle w:val="Notedebasdepage"/>
      </w:pPr>
      <w:r>
        <w:rPr>
          <w:rStyle w:val="Appelnotedebasdep"/>
        </w:rPr>
        <w:footnoteRef/>
      </w:r>
      <w:r>
        <w:t xml:space="preserve"> </w:t>
      </w:r>
      <w:r>
        <w:tab/>
        <w:t>Pièce EP-1.7A, pièce 8.02, p. 26, art. 11.1.10.</w:t>
      </w:r>
    </w:p>
  </w:footnote>
  <w:footnote w:id="550">
    <w:p w14:paraId="62F26948" w14:textId="77777777" w:rsidR="008900D7" w:rsidRDefault="00730A01" w:rsidP="008900D7">
      <w:pPr>
        <w:pStyle w:val="Notedebasdepage"/>
      </w:pPr>
      <w:r>
        <w:rPr>
          <w:rStyle w:val="Appelnotedebasdep"/>
        </w:rPr>
        <w:footnoteRef/>
      </w:r>
      <w:r>
        <w:t xml:space="preserve"> </w:t>
      </w:r>
      <w:r>
        <w:tab/>
        <w:t xml:space="preserve">Pièce EP-1.7A, p. 26, pièce 8.02, art. 12.3; </w:t>
      </w:r>
      <w:r w:rsidRPr="001B4A45">
        <w:t>NS, St-Gelais, 10</w:t>
      </w:r>
      <w:r>
        <w:t> </w:t>
      </w:r>
      <w:r w:rsidRPr="001B4A45">
        <w:t>févrie</w:t>
      </w:r>
      <w:r>
        <w:t>r</w:t>
      </w:r>
      <w:r w:rsidR="00CA4A83">
        <w:t> </w:t>
      </w:r>
      <w:r>
        <w:t>2025, p. 93 et 125-127.</w:t>
      </w:r>
    </w:p>
  </w:footnote>
  <w:footnote w:id="551">
    <w:p w14:paraId="08BDD450" w14:textId="77777777" w:rsidR="008900D7" w:rsidRDefault="00730A01" w:rsidP="008900D7">
      <w:pPr>
        <w:pStyle w:val="Notedebasdepage"/>
      </w:pPr>
      <w:r>
        <w:rPr>
          <w:rStyle w:val="Appelnotedebasdep"/>
        </w:rPr>
        <w:footnoteRef/>
      </w:r>
      <w:r>
        <w:t xml:space="preserve"> </w:t>
      </w:r>
      <w:r>
        <w:tab/>
        <w:t xml:space="preserve">Pièce EP-1.7A, p. 26, pièce 8.02, art. 5.1; </w:t>
      </w:r>
      <w:r w:rsidRPr="001B4A45">
        <w:t>NS, St-Gelais, 1</w:t>
      </w:r>
      <w:r>
        <w:t>1 </w:t>
      </w:r>
      <w:r w:rsidRPr="001B4A45">
        <w:t>févrie</w:t>
      </w:r>
      <w:r>
        <w:t>r</w:t>
      </w:r>
      <w:r w:rsidR="00CA4A83">
        <w:t> </w:t>
      </w:r>
      <w:r>
        <w:t>2025, p. 59.</w:t>
      </w:r>
    </w:p>
  </w:footnote>
  <w:footnote w:id="552">
    <w:p w14:paraId="7586BCC7" w14:textId="77777777" w:rsidR="008900D7" w:rsidRDefault="00730A01" w:rsidP="008900D7">
      <w:pPr>
        <w:pStyle w:val="Notedebasdepage"/>
      </w:pPr>
      <w:r>
        <w:rPr>
          <w:rStyle w:val="Appelnotedebasdep"/>
        </w:rPr>
        <w:footnoteRef/>
      </w:r>
      <w:r>
        <w:t xml:space="preserve"> </w:t>
      </w:r>
      <w:r>
        <w:tab/>
        <w:t>Les informations annuelles présentées sont indiquées sur une base annuelle de calendrier (janvier à décembre).</w:t>
      </w:r>
    </w:p>
  </w:footnote>
  <w:footnote w:id="553">
    <w:p w14:paraId="4D051594" w14:textId="77777777" w:rsidR="008900D7" w:rsidRDefault="00730A01" w:rsidP="008900D7">
      <w:pPr>
        <w:pStyle w:val="Notedebasdepage"/>
      </w:pPr>
      <w:r>
        <w:rPr>
          <w:rStyle w:val="Appelnotedebasdep"/>
        </w:rPr>
        <w:footnoteRef/>
      </w:r>
      <w:r>
        <w:t xml:space="preserve"> </w:t>
      </w:r>
      <w:r>
        <w:tab/>
        <w:t>La preuve au dossier démontre clairement que le Groupe Huot n’était pas en mesure de rencontrer ses obligations au fur et à mesure de leur échéance, et ce, dès 2017. Voir notamment le témoignage de Larochelle au procès, qui mentionne qu’il a été porté à la connaissance de Giroux, depuis le tout début du fonds FIISH, que cela n’était pas viable, mais que Giroux et Huot ont néanmoins fait à leur tête et mis à l’eau leur « bateau troué » : NS, Larochelle, 20 février 2025, p. 83-86. Voir également la pièce PQ-256, p.13.</w:t>
      </w:r>
    </w:p>
  </w:footnote>
  <w:footnote w:id="554">
    <w:p w14:paraId="5719AF32" w14:textId="77777777" w:rsidR="008900D7" w:rsidRPr="005F1B75" w:rsidRDefault="00730A01" w:rsidP="008900D7">
      <w:pPr>
        <w:pStyle w:val="Notedebasdepage"/>
      </w:pPr>
      <w:r>
        <w:rPr>
          <w:rStyle w:val="Appelnotedebasdep"/>
        </w:rPr>
        <w:footnoteRef/>
      </w:r>
      <w:r>
        <w:t xml:space="preserve"> </w:t>
      </w:r>
      <w:r>
        <w:tab/>
        <w:t xml:space="preserve">Pièce PQ-256, p. 13 et 166. Voir notamment l’Annexe I – </w:t>
      </w:r>
      <w:r>
        <w:rPr>
          <w:i/>
          <w:iCs/>
        </w:rPr>
        <w:t xml:space="preserve">La preuve testimoniale des commanditaires. </w:t>
      </w:r>
      <w:r>
        <w:t>Voir également la DSS de Thabet, par. 17-19 et la DSS de G. Denis, par. 20-22.</w:t>
      </w:r>
    </w:p>
  </w:footnote>
  <w:footnote w:id="555">
    <w:p w14:paraId="0F63089A" w14:textId="77777777" w:rsidR="008900D7" w:rsidRDefault="00730A01" w:rsidP="008900D7">
      <w:pPr>
        <w:pStyle w:val="Notedebasdepage"/>
      </w:pPr>
      <w:r>
        <w:rPr>
          <w:rStyle w:val="Appelnotedebasdep"/>
        </w:rPr>
        <w:footnoteRef/>
      </w:r>
      <w:r>
        <w:t xml:space="preserve"> </w:t>
      </w:r>
      <w:r>
        <w:tab/>
        <w:t>Pièce PQ-256, p. 24 et 166.</w:t>
      </w:r>
    </w:p>
  </w:footnote>
  <w:footnote w:id="556">
    <w:p w14:paraId="654DC3F3" w14:textId="77777777" w:rsidR="008900D7" w:rsidRDefault="00730A01" w:rsidP="008900D7">
      <w:pPr>
        <w:pStyle w:val="Notedebasdepage"/>
      </w:pPr>
      <w:r>
        <w:rPr>
          <w:rStyle w:val="Appelnotedebasdep"/>
        </w:rPr>
        <w:footnoteRef/>
      </w:r>
      <w:r>
        <w:t xml:space="preserve"> </w:t>
      </w:r>
      <w:r>
        <w:tab/>
        <w:t>Pièce PQ-256, p. 166.</w:t>
      </w:r>
    </w:p>
  </w:footnote>
  <w:footnote w:id="557">
    <w:p w14:paraId="73633078" w14:textId="77777777" w:rsidR="008900D7" w:rsidRDefault="00730A01" w:rsidP="008900D7">
      <w:pPr>
        <w:pStyle w:val="Notedebasdepage"/>
      </w:pPr>
      <w:r>
        <w:rPr>
          <w:rStyle w:val="Appelnotedebasdep"/>
        </w:rPr>
        <w:footnoteRef/>
      </w:r>
      <w:r>
        <w:t xml:space="preserve"> </w:t>
      </w:r>
      <w:r>
        <w:tab/>
        <w:t>Pièce PQ-256, p. 13 et 166.</w:t>
      </w:r>
    </w:p>
  </w:footnote>
  <w:footnote w:id="558">
    <w:p w14:paraId="3F475AB6" w14:textId="77777777" w:rsidR="008900D7" w:rsidRDefault="00730A01" w:rsidP="008900D7">
      <w:pPr>
        <w:pStyle w:val="Notedebasdepage"/>
      </w:pPr>
      <w:r>
        <w:rPr>
          <w:rStyle w:val="Appelnotedebasdep"/>
        </w:rPr>
        <w:footnoteRef/>
      </w:r>
      <w:r>
        <w:t xml:space="preserve"> </w:t>
      </w:r>
      <w:r>
        <w:tab/>
        <w:t>Pièce PQ-256, p. 24 et 166.</w:t>
      </w:r>
    </w:p>
  </w:footnote>
  <w:footnote w:id="559">
    <w:p w14:paraId="2F6FE058" w14:textId="77777777" w:rsidR="008900D7" w:rsidRDefault="00730A01" w:rsidP="008900D7">
      <w:pPr>
        <w:pStyle w:val="Notedebasdepage"/>
      </w:pPr>
      <w:r>
        <w:rPr>
          <w:rStyle w:val="Appelnotedebasdep"/>
        </w:rPr>
        <w:footnoteRef/>
      </w:r>
      <w:r>
        <w:t xml:space="preserve"> </w:t>
      </w:r>
      <w:r>
        <w:tab/>
        <w:t>Pièce PQ-256, p. 166.</w:t>
      </w:r>
    </w:p>
  </w:footnote>
  <w:footnote w:id="560">
    <w:p w14:paraId="71FE5CD8" w14:textId="77777777" w:rsidR="008900D7" w:rsidRDefault="00730A01" w:rsidP="008900D7">
      <w:pPr>
        <w:pStyle w:val="Notedebasdepage"/>
      </w:pPr>
      <w:r>
        <w:rPr>
          <w:rStyle w:val="Appelnotedebasdep"/>
        </w:rPr>
        <w:footnoteRef/>
      </w:r>
      <w:r>
        <w:t xml:space="preserve"> </w:t>
      </w:r>
      <w:r>
        <w:tab/>
        <w:t>Pièce PQ-256, p. 13 et 166.</w:t>
      </w:r>
    </w:p>
  </w:footnote>
  <w:footnote w:id="561">
    <w:p w14:paraId="463CB23F" w14:textId="77777777" w:rsidR="008900D7" w:rsidRDefault="00730A01" w:rsidP="008900D7">
      <w:pPr>
        <w:pStyle w:val="Notedebasdepage"/>
      </w:pPr>
      <w:r>
        <w:rPr>
          <w:rStyle w:val="Appelnotedebasdep"/>
        </w:rPr>
        <w:footnoteRef/>
      </w:r>
      <w:r>
        <w:t xml:space="preserve"> </w:t>
      </w:r>
      <w:r>
        <w:tab/>
        <w:t>Pièce PQ-256, p. 112.</w:t>
      </w:r>
    </w:p>
  </w:footnote>
  <w:footnote w:id="562">
    <w:p w14:paraId="218EE465" w14:textId="77777777" w:rsidR="008900D7" w:rsidRDefault="00730A01" w:rsidP="008900D7">
      <w:pPr>
        <w:pStyle w:val="Notedebasdepage"/>
      </w:pPr>
      <w:r>
        <w:rPr>
          <w:rStyle w:val="Appelnotedebasdep"/>
        </w:rPr>
        <w:footnoteRef/>
      </w:r>
      <w:r>
        <w:t xml:space="preserve"> </w:t>
      </w:r>
      <w:r>
        <w:tab/>
        <w:t>Pièce PQ-256, p. 24 et 166.</w:t>
      </w:r>
    </w:p>
  </w:footnote>
  <w:footnote w:id="563">
    <w:p w14:paraId="01DCB170" w14:textId="77777777" w:rsidR="008900D7" w:rsidRDefault="00730A01" w:rsidP="008900D7">
      <w:pPr>
        <w:pStyle w:val="Notedebasdepage"/>
      </w:pPr>
      <w:r>
        <w:rPr>
          <w:rStyle w:val="Appelnotedebasdep"/>
        </w:rPr>
        <w:footnoteRef/>
      </w:r>
      <w:r>
        <w:t xml:space="preserve"> </w:t>
      </w:r>
      <w:r>
        <w:tab/>
        <w:t>Pièce PQ-256, p. 166.</w:t>
      </w:r>
    </w:p>
  </w:footnote>
  <w:footnote w:id="564">
    <w:p w14:paraId="0A8FD8C0" w14:textId="77777777" w:rsidR="008900D7" w:rsidRDefault="00730A01" w:rsidP="008900D7">
      <w:pPr>
        <w:pStyle w:val="Notedebasdepage"/>
      </w:pPr>
      <w:r>
        <w:rPr>
          <w:rStyle w:val="Appelnotedebasdep"/>
        </w:rPr>
        <w:footnoteRef/>
      </w:r>
      <w:r>
        <w:t xml:space="preserve"> </w:t>
      </w:r>
      <w:r>
        <w:tab/>
        <w:t>Pièce PQ-256, p. 16.</w:t>
      </w:r>
    </w:p>
  </w:footnote>
  <w:footnote w:id="565">
    <w:p w14:paraId="4B7B0708" w14:textId="77777777" w:rsidR="008900D7" w:rsidRDefault="00730A01" w:rsidP="008900D7">
      <w:pPr>
        <w:pStyle w:val="Notedebasdepage"/>
      </w:pPr>
      <w:r>
        <w:rPr>
          <w:rStyle w:val="Appelnotedebasdep"/>
        </w:rPr>
        <w:footnoteRef/>
      </w:r>
      <w:r>
        <w:t xml:space="preserve"> </w:t>
      </w:r>
      <w:r>
        <w:tab/>
        <w:t>En effet, pour la période de 2017 à 202, les intérêts et frais de dossier des prêts personnels effectués par 6646 à Huot n’étaient pas inclus : voir la pièce PQ-256, p. 21. De plus, pour la période postérieure au renouvellement du prêt FIISH, le prêt de 7 M$ consenti par 8096 à Huot au mois d’avril</w:t>
      </w:r>
      <w:r w:rsidR="00AD4803">
        <w:t> </w:t>
      </w:r>
      <w:r>
        <w:t>2020 représentait une charge d’intérêts et frais de 1,26 M$ à lui seul, laquelle n’est toutefois par reflétée aux tableaux de bord transmis aux commanditaires : voir la pièce PQ-256, p. 21.</w:t>
      </w:r>
    </w:p>
  </w:footnote>
  <w:footnote w:id="566">
    <w:p w14:paraId="49C9A11A" w14:textId="77777777" w:rsidR="008900D7" w:rsidRDefault="00730A01" w:rsidP="008900D7">
      <w:pPr>
        <w:pStyle w:val="Notedebasdepage"/>
      </w:pPr>
      <w:r>
        <w:rPr>
          <w:rStyle w:val="Appelnotedebasdep"/>
        </w:rPr>
        <w:footnoteRef/>
      </w:r>
      <w:r>
        <w:t xml:space="preserve"> </w:t>
      </w:r>
      <w:r>
        <w:tab/>
        <w:t>Pièce EP-1, par. 840, 841 et 846; NS, St-Gelais, 10 février 2025, p. 90, 166-168, 209-211 et 219-220; NS, St-Gelais, 11 février 2025, p. 21.</w:t>
      </w:r>
    </w:p>
  </w:footnote>
  <w:footnote w:id="567">
    <w:p w14:paraId="57363FE1" w14:textId="77777777" w:rsidR="008900D7" w:rsidRDefault="00730A01" w:rsidP="008900D7">
      <w:pPr>
        <w:pStyle w:val="Notedebasdepage"/>
      </w:pPr>
      <w:r>
        <w:rPr>
          <w:rStyle w:val="Appelnotedebasdep"/>
        </w:rPr>
        <w:footnoteRef/>
      </w:r>
      <w:r>
        <w:t xml:space="preserve"> </w:t>
      </w:r>
      <w:r>
        <w:tab/>
      </w:r>
      <w:r w:rsidRPr="0008009B">
        <w:t>Pièce</w:t>
      </w:r>
      <w:r>
        <w:t xml:space="preserve"> </w:t>
      </w:r>
      <w:r w:rsidRPr="00F05F07">
        <w:rPr>
          <w:rFonts w:cs="Arial"/>
          <w:bCs/>
        </w:rPr>
        <w:t>PSH-12, art. 4.1.</w:t>
      </w:r>
    </w:p>
  </w:footnote>
  <w:footnote w:id="568">
    <w:p w14:paraId="573D87FC" w14:textId="77777777" w:rsidR="008900D7" w:rsidRDefault="00730A01" w:rsidP="008900D7">
      <w:pPr>
        <w:pStyle w:val="Notedebasdepage"/>
      </w:pPr>
      <w:r>
        <w:rPr>
          <w:rStyle w:val="Appelnotedebasdep"/>
        </w:rPr>
        <w:footnoteRef/>
      </w:r>
      <w:r>
        <w:t xml:space="preserve"> </w:t>
      </w:r>
      <w:r>
        <w:tab/>
        <w:t>Pièce PSH-8.</w:t>
      </w:r>
    </w:p>
  </w:footnote>
  <w:footnote w:id="569">
    <w:p w14:paraId="6E96A1F1" w14:textId="77777777" w:rsidR="008900D7" w:rsidRDefault="00730A01" w:rsidP="008900D7">
      <w:pPr>
        <w:pStyle w:val="Notedebasdepage"/>
      </w:pPr>
      <w:r>
        <w:rPr>
          <w:rStyle w:val="Appelnotedebasdep"/>
        </w:rPr>
        <w:footnoteRef/>
      </w:r>
      <w:r>
        <w:t xml:space="preserve"> </w:t>
      </w:r>
      <w:r>
        <w:tab/>
        <w:t>Pièce PSH-12, art. 12.1.5.</w:t>
      </w:r>
    </w:p>
  </w:footnote>
  <w:footnote w:id="570">
    <w:p w14:paraId="23CF7AC3" w14:textId="77777777" w:rsidR="008900D7" w:rsidRDefault="00730A01" w:rsidP="008900D7">
      <w:pPr>
        <w:pStyle w:val="Notedebasdepage"/>
      </w:pPr>
      <w:r>
        <w:rPr>
          <w:rStyle w:val="Appelnotedebasdep"/>
        </w:rPr>
        <w:footnoteRef/>
      </w:r>
      <w:r>
        <w:t xml:space="preserve"> </w:t>
      </w:r>
      <w:r>
        <w:tab/>
        <w:t>Pièce EP-1, par. 819 et 822.</w:t>
      </w:r>
    </w:p>
  </w:footnote>
  <w:footnote w:id="571">
    <w:p w14:paraId="69A54701" w14:textId="77777777" w:rsidR="00890850" w:rsidRDefault="00730A01" w:rsidP="00890850">
      <w:pPr>
        <w:pStyle w:val="Notedebasdepage"/>
      </w:pPr>
      <w:r>
        <w:rPr>
          <w:rStyle w:val="Appelnotedebasdep"/>
        </w:rPr>
        <w:footnoteRef/>
      </w:r>
      <w:r>
        <w:t xml:space="preserve"> </w:t>
      </w:r>
      <w:r>
        <w:tab/>
        <w:t>Pièce EP-1, par. 824.</w:t>
      </w:r>
    </w:p>
  </w:footnote>
  <w:footnote w:id="572">
    <w:p w14:paraId="04A1EC1A" w14:textId="77777777" w:rsidR="008900D7" w:rsidRDefault="00730A01" w:rsidP="008900D7">
      <w:pPr>
        <w:pStyle w:val="Notedebasdepage"/>
      </w:pPr>
      <w:r>
        <w:rPr>
          <w:rStyle w:val="Appelnotedebasdep"/>
        </w:rPr>
        <w:footnoteRef/>
      </w:r>
      <w:r>
        <w:t xml:space="preserve"> </w:t>
      </w:r>
      <w:r>
        <w:tab/>
        <w:t>Pièce PSH-12.</w:t>
      </w:r>
    </w:p>
  </w:footnote>
  <w:footnote w:id="573">
    <w:p w14:paraId="52EB42CA" w14:textId="77777777" w:rsidR="008900D7" w:rsidRDefault="00730A01" w:rsidP="008900D7">
      <w:pPr>
        <w:pStyle w:val="Notedebasdepage"/>
      </w:pPr>
      <w:r>
        <w:rPr>
          <w:rStyle w:val="Appelnotedebasdep"/>
        </w:rPr>
        <w:footnoteRef/>
      </w:r>
      <w:r>
        <w:t xml:space="preserve"> </w:t>
      </w:r>
      <w:r>
        <w:tab/>
        <w:t>Pièce EP-1, par. 725 et 726.</w:t>
      </w:r>
    </w:p>
  </w:footnote>
  <w:footnote w:id="574">
    <w:p w14:paraId="266E12B4" w14:textId="77777777" w:rsidR="008900D7" w:rsidRDefault="00730A01" w:rsidP="008900D7">
      <w:pPr>
        <w:pStyle w:val="Notedebasdepage"/>
      </w:pPr>
      <w:r>
        <w:rPr>
          <w:rStyle w:val="Appelnotedebasdep"/>
        </w:rPr>
        <w:footnoteRef/>
      </w:r>
      <w:r>
        <w:t xml:space="preserve"> </w:t>
      </w:r>
      <w:r>
        <w:tab/>
        <w:t>Pièce EP-1, par. 719 à 724.</w:t>
      </w:r>
    </w:p>
  </w:footnote>
  <w:footnote w:id="575">
    <w:p w14:paraId="67D05CA1" w14:textId="77777777" w:rsidR="008900D7" w:rsidRDefault="00730A01" w:rsidP="008900D7">
      <w:pPr>
        <w:pStyle w:val="Notedebasdepage"/>
      </w:pPr>
      <w:r>
        <w:rPr>
          <w:rStyle w:val="Appelnotedebasdep"/>
        </w:rPr>
        <w:footnoteRef/>
      </w:r>
      <w:r>
        <w:t xml:space="preserve"> </w:t>
      </w:r>
      <w:r>
        <w:tab/>
        <w:t>Pièce EP-1, par. 727 à 734.</w:t>
      </w:r>
    </w:p>
  </w:footnote>
  <w:footnote w:id="576">
    <w:p w14:paraId="3F7E7324" w14:textId="77777777" w:rsidR="008900D7" w:rsidRDefault="00730A01" w:rsidP="008900D7">
      <w:pPr>
        <w:pStyle w:val="Notedebasdepage"/>
      </w:pPr>
      <w:r>
        <w:rPr>
          <w:rStyle w:val="Appelnotedebasdep"/>
        </w:rPr>
        <w:footnoteRef/>
      </w:r>
      <w:r>
        <w:t xml:space="preserve"> </w:t>
      </w:r>
      <w:r>
        <w:tab/>
        <w:t>NS, St-Gelais, 10 février 2025, p. 169.</w:t>
      </w:r>
    </w:p>
  </w:footnote>
  <w:footnote w:id="577">
    <w:p w14:paraId="71140012" w14:textId="77777777" w:rsidR="008900D7" w:rsidRDefault="00730A01" w:rsidP="008900D7">
      <w:pPr>
        <w:pStyle w:val="Notedebasdepage"/>
      </w:pPr>
      <w:r>
        <w:rPr>
          <w:rStyle w:val="Appelnotedebasdep"/>
        </w:rPr>
        <w:footnoteRef/>
      </w:r>
      <w:r>
        <w:t xml:space="preserve"> </w:t>
      </w:r>
      <w:r>
        <w:tab/>
        <w:t>NS, St-Gelais, 24 janvier 2025, p. 53-54, 10 février 2025, p. 239 et 11 février 2025 p. 100-104.</w:t>
      </w:r>
    </w:p>
  </w:footnote>
  <w:footnote w:id="578">
    <w:p w14:paraId="2753A422" w14:textId="77777777" w:rsidR="008900D7" w:rsidRDefault="00730A01" w:rsidP="008900D7">
      <w:pPr>
        <w:pStyle w:val="Notedebasdepage"/>
      </w:pPr>
      <w:r>
        <w:rPr>
          <w:rStyle w:val="Appelnotedebasdep"/>
        </w:rPr>
        <w:footnoteRef/>
      </w:r>
      <w:r>
        <w:t xml:space="preserve"> </w:t>
      </w:r>
      <w:r>
        <w:tab/>
        <w:t>Pièce PQ-256, p. 116 et 166.</w:t>
      </w:r>
    </w:p>
  </w:footnote>
  <w:footnote w:id="579">
    <w:p w14:paraId="4ECC6DEA" w14:textId="77777777" w:rsidR="008900D7" w:rsidRDefault="00730A01" w:rsidP="008900D7">
      <w:pPr>
        <w:pStyle w:val="Notedebasdepage"/>
      </w:pPr>
      <w:r>
        <w:rPr>
          <w:rStyle w:val="Appelnotedebasdep"/>
        </w:rPr>
        <w:footnoteRef/>
      </w:r>
      <w:r>
        <w:t xml:space="preserve"> </w:t>
      </w:r>
      <w:r>
        <w:tab/>
        <w:t>NS, St-Gelais, 10 février 2025, p. 211-212.</w:t>
      </w:r>
    </w:p>
  </w:footnote>
  <w:footnote w:id="580">
    <w:p w14:paraId="13A18161" w14:textId="77777777" w:rsidR="008900D7" w:rsidRDefault="00730A01" w:rsidP="008900D7">
      <w:pPr>
        <w:pStyle w:val="Notedebasdepage"/>
      </w:pPr>
      <w:r>
        <w:rPr>
          <w:rStyle w:val="Appelnotedebasdep"/>
        </w:rPr>
        <w:footnoteRef/>
      </w:r>
      <w:r>
        <w:t xml:space="preserve"> </w:t>
      </w:r>
      <w:r>
        <w:tab/>
        <w:t>NS, St-Gelais, 10 février 2025, p.153,</w:t>
      </w:r>
    </w:p>
  </w:footnote>
  <w:footnote w:id="581">
    <w:p w14:paraId="35ED11C6" w14:textId="77777777" w:rsidR="008900D7" w:rsidRDefault="00730A01" w:rsidP="008900D7">
      <w:pPr>
        <w:pStyle w:val="Notedebasdepage"/>
      </w:pPr>
      <w:r>
        <w:rPr>
          <w:rStyle w:val="Appelnotedebasdep"/>
        </w:rPr>
        <w:footnoteRef/>
      </w:r>
      <w:r>
        <w:t xml:space="preserve"> </w:t>
      </w:r>
      <w:r>
        <w:tab/>
        <w:t>NS, St-Gelais, 10 février 2025, p. 89-97 et 124-127.</w:t>
      </w:r>
    </w:p>
  </w:footnote>
  <w:footnote w:id="582">
    <w:p w14:paraId="62CFA0DC" w14:textId="77777777" w:rsidR="008900D7" w:rsidRDefault="00730A01" w:rsidP="008900D7">
      <w:pPr>
        <w:pStyle w:val="Notedebasdepage"/>
      </w:pPr>
      <w:r>
        <w:rPr>
          <w:rStyle w:val="Appelnotedebasdep"/>
        </w:rPr>
        <w:footnoteRef/>
      </w:r>
      <w:r>
        <w:t xml:space="preserve"> </w:t>
      </w:r>
      <w:r>
        <w:tab/>
        <w:t>Pièce EP-1, par. 814.</w:t>
      </w:r>
    </w:p>
  </w:footnote>
  <w:footnote w:id="583">
    <w:p w14:paraId="525B0025" w14:textId="77777777" w:rsidR="008900D7" w:rsidRDefault="00730A01" w:rsidP="008900D7">
      <w:pPr>
        <w:pStyle w:val="Notedebasdepage"/>
      </w:pPr>
      <w:r>
        <w:rPr>
          <w:rStyle w:val="Appelnotedebasdep"/>
        </w:rPr>
        <w:footnoteRef/>
      </w:r>
      <w:r>
        <w:t xml:space="preserve"> </w:t>
      </w:r>
      <w:r>
        <w:tab/>
        <w:t>Pièce EP-1, par. 820.</w:t>
      </w:r>
    </w:p>
  </w:footnote>
  <w:footnote w:id="584">
    <w:p w14:paraId="08217EAF" w14:textId="77777777" w:rsidR="008900D7" w:rsidRDefault="00730A01" w:rsidP="008900D7">
      <w:pPr>
        <w:pStyle w:val="Notedebasdepage"/>
      </w:pPr>
      <w:r>
        <w:rPr>
          <w:rStyle w:val="Appelnotedebasdep"/>
        </w:rPr>
        <w:footnoteRef/>
      </w:r>
      <w:r>
        <w:t xml:space="preserve"> </w:t>
      </w:r>
      <w:r>
        <w:tab/>
        <w:t>Pièce PQ-256, p. 13 et 166.</w:t>
      </w:r>
    </w:p>
  </w:footnote>
  <w:footnote w:id="585">
    <w:p w14:paraId="0805C0FE" w14:textId="77777777" w:rsidR="008900D7" w:rsidRDefault="00730A01" w:rsidP="008900D7">
      <w:pPr>
        <w:pStyle w:val="Notedebasdepage"/>
      </w:pPr>
      <w:r>
        <w:rPr>
          <w:rStyle w:val="Appelnotedebasdep"/>
        </w:rPr>
        <w:footnoteRef/>
      </w:r>
      <w:r>
        <w:t xml:space="preserve"> </w:t>
      </w:r>
      <w:r>
        <w:tab/>
        <w:t>Pièce PQ-256, p. 24 et 166.</w:t>
      </w:r>
    </w:p>
  </w:footnote>
  <w:footnote w:id="586">
    <w:p w14:paraId="5FC97357" w14:textId="77777777" w:rsidR="008900D7" w:rsidRDefault="00730A01" w:rsidP="008900D7">
      <w:pPr>
        <w:pStyle w:val="Notedebasdepage"/>
      </w:pPr>
      <w:r>
        <w:rPr>
          <w:rStyle w:val="Appelnotedebasdep"/>
        </w:rPr>
        <w:footnoteRef/>
      </w:r>
      <w:r>
        <w:t xml:space="preserve"> </w:t>
      </w:r>
      <w:r>
        <w:tab/>
        <w:t>Pièce PQ-256, p. 23, 24 et 166.</w:t>
      </w:r>
    </w:p>
  </w:footnote>
  <w:footnote w:id="587">
    <w:p w14:paraId="4E5AAABE" w14:textId="77777777" w:rsidR="008900D7" w:rsidRDefault="00730A01" w:rsidP="008900D7">
      <w:pPr>
        <w:pStyle w:val="Notedebasdepage"/>
      </w:pPr>
      <w:r>
        <w:rPr>
          <w:rStyle w:val="Appelnotedebasdep"/>
        </w:rPr>
        <w:footnoteRef/>
      </w:r>
      <w:r>
        <w:t xml:space="preserve"> </w:t>
      </w:r>
      <w:r>
        <w:tab/>
        <w:t>Pièce PQ-256, p. 23 et 166.</w:t>
      </w:r>
    </w:p>
  </w:footnote>
  <w:footnote w:id="588">
    <w:p w14:paraId="07552893" w14:textId="77777777" w:rsidR="008900D7" w:rsidRDefault="00730A01" w:rsidP="008900D7">
      <w:pPr>
        <w:pStyle w:val="Notedebasdepage"/>
      </w:pPr>
      <w:r>
        <w:rPr>
          <w:rStyle w:val="Appelnotedebasdep"/>
        </w:rPr>
        <w:footnoteRef/>
      </w:r>
      <w:r>
        <w:t xml:space="preserve"> </w:t>
      </w:r>
      <w:r>
        <w:tab/>
        <w:t>Pièce PQ-256, p. 113.</w:t>
      </w:r>
    </w:p>
  </w:footnote>
  <w:footnote w:id="589">
    <w:p w14:paraId="690231F1" w14:textId="77777777" w:rsidR="008900D7" w:rsidRDefault="00730A01" w:rsidP="008900D7">
      <w:pPr>
        <w:pStyle w:val="Notedebasdepage"/>
      </w:pPr>
      <w:r>
        <w:rPr>
          <w:rStyle w:val="Appelnotedebasdep"/>
        </w:rPr>
        <w:footnoteRef/>
      </w:r>
      <w:r>
        <w:t xml:space="preserve"> </w:t>
      </w:r>
      <w:r>
        <w:tab/>
        <w:t>Pièces PSH-16 et PSH-20.</w:t>
      </w:r>
    </w:p>
  </w:footnote>
  <w:footnote w:id="590">
    <w:p w14:paraId="1442E0A4" w14:textId="77777777" w:rsidR="008900D7" w:rsidRDefault="00730A01" w:rsidP="008900D7">
      <w:pPr>
        <w:pStyle w:val="Notedebasdepage"/>
      </w:pPr>
      <w:r>
        <w:rPr>
          <w:rStyle w:val="Appelnotedebasdep"/>
        </w:rPr>
        <w:footnoteRef/>
      </w:r>
      <w:r>
        <w:tab/>
        <w:t>La stratégie de prêts est partie intégrante de la convention de société en commandite (pièce PSH-8, art.</w:t>
      </w:r>
      <w:r w:rsidR="00A07B0C">
        <w:t> </w:t>
      </w:r>
      <w:r>
        <w:t>1.4). L’objet de la société en commandite FIISH est de consentir un prêt à Stéphan Huot conformément à la stratégie de prêts (pièce PSH-8, art.</w:t>
      </w:r>
      <w:r w:rsidR="00A07B0C">
        <w:t> </w:t>
      </w:r>
      <w:r>
        <w:t>2.5.1).</w:t>
      </w:r>
    </w:p>
  </w:footnote>
  <w:footnote w:id="591">
    <w:p w14:paraId="64B0B13E" w14:textId="77777777" w:rsidR="00B93B39" w:rsidRDefault="00730A01" w:rsidP="00B93B39">
      <w:pPr>
        <w:pStyle w:val="Notedebasdepage"/>
      </w:pPr>
      <w:r>
        <w:rPr>
          <w:rStyle w:val="Appelnotedebasdep"/>
        </w:rPr>
        <w:footnoteRef/>
      </w:r>
      <w:r>
        <w:t xml:space="preserve"> </w:t>
      </w:r>
      <w:r>
        <w:tab/>
        <w:t>Pièce PSH-8.</w:t>
      </w:r>
    </w:p>
  </w:footnote>
  <w:footnote w:id="592">
    <w:p w14:paraId="698C842B" w14:textId="77777777" w:rsidR="00B93B39" w:rsidRDefault="00730A01" w:rsidP="00B93B39">
      <w:pPr>
        <w:pStyle w:val="Notedebasdepage"/>
      </w:pPr>
      <w:r>
        <w:rPr>
          <w:rStyle w:val="Appelnotedebasdep"/>
        </w:rPr>
        <w:footnoteRef/>
      </w:r>
      <w:r>
        <w:t xml:space="preserve"> </w:t>
      </w:r>
      <w:r>
        <w:tab/>
        <w:t>Art. 3 et Stratégie de prêt Annexe A-3.</w:t>
      </w:r>
    </w:p>
  </w:footnote>
  <w:footnote w:id="593">
    <w:p w14:paraId="4EB74DFF" w14:textId="77777777" w:rsidR="00B93B39" w:rsidRDefault="00730A01" w:rsidP="00B93B39">
      <w:pPr>
        <w:pStyle w:val="Notedebasdepage"/>
      </w:pPr>
      <w:r>
        <w:rPr>
          <w:rStyle w:val="Appelnotedebasdep"/>
        </w:rPr>
        <w:footnoteRef/>
      </w:r>
      <w:r>
        <w:t xml:space="preserve"> </w:t>
      </w:r>
      <w:r>
        <w:tab/>
        <w:t>Annexe A-3, par. 2.</w:t>
      </w:r>
    </w:p>
  </w:footnote>
  <w:footnote w:id="594">
    <w:p w14:paraId="69380A73" w14:textId="77777777" w:rsidR="00B93B39" w:rsidRDefault="00730A01" w:rsidP="00B93B39">
      <w:pPr>
        <w:pStyle w:val="Notedebasdepage"/>
      </w:pPr>
      <w:r>
        <w:rPr>
          <w:rStyle w:val="Appelnotedebasdep"/>
        </w:rPr>
        <w:footnoteRef/>
      </w:r>
      <w:r>
        <w:t xml:space="preserve"> </w:t>
      </w:r>
      <w:r>
        <w:tab/>
        <w:t>Pièce EP-1, par. 819 et 822.</w:t>
      </w:r>
    </w:p>
  </w:footnote>
  <w:footnote w:id="595">
    <w:p w14:paraId="25F5BD50" w14:textId="77777777" w:rsidR="00B93B39" w:rsidRDefault="00730A01" w:rsidP="00B93B39">
      <w:pPr>
        <w:pStyle w:val="Notedebasdepage"/>
      </w:pPr>
      <w:r>
        <w:rPr>
          <w:rStyle w:val="Appelnotedebasdep"/>
        </w:rPr>
        <w:footnoteRef/>
      </w:r>
      <w:r>
        <w:t xml:space="preserve"> </w:t>
      </w:r>
      <w:r>
        <w:tab/>
        <w:t>Pièce EP-1, par. 824.</w:t>
      </w:r>
    </w:p>
  </w:footnote>
  <w:footnote w:id="596">
    <w:p w14:paraId="5F6C703D" w14:textId="77777777" w:rsidR="008900D7" w:rsidRPr="007B0349" w:rsidRDefault="00730A01" w:rsidP="008900D7">
      <w:pPr>
        <w:pStyle w:val="Notedebasdepage"/>
      </w:pPr>
      <w:r>
        <w:rPr>
          <w:rStyle w:val="Appelnotedebasdep"/>
        </w:rPr>
        <w:footnoteRef/>
      </w:r>
      <w:r w:rsidRPr="007B0349">
        <w:t xml:space="preserve"> </w:t>
      </w:r>
      <w:r w:rsidRPr="007B0349">
        <w:tab/>
        <w:t>Pièce PSH-12, art. 11.6; NS, St-Gelais, 10 févri</w:t>
      </w:r>
      <w:r>
        <w:t>er 2025, p. 169.</w:t>
      </w:r>
    </w:p>
  </w:footnote>
  <w:footnote w:id="597">
    <w:p w14:paraId="5E1ACD9E" w14:textId="77777777" w:rsidR="008900D7" w:rsidRPr="007B0349" w:rsidRDefault="00730A01" w:rsidP="008900D7">
      <w:pPr>
        <w:pStyle w:val="Notedebasdepage"/>
      </w:pPr>
      <w:r>
        <w:rPr>
          <w:rStyle w:val="Appelnotedebasdep"/>
        </w:rPr>
        <w:footnoteRef/>
      </w:r>
      <w:r w:rsidRPr="007B0349">
        <w:t xml:space="preserve"> </w:t>
      </w:r>
      <w:r w:rsidRPr="007B0349">
        <w:tab/>
        <w:t>Pièce PSH-1</w:t>
      </w:r>
      <w:r>
        <w:t>2</w:t>
      </w:r>
      <w:r w:rsidRPr="007B0349">
        <w:t>, art. 11.1</w:t>
      </w:r>
      <w:r>
        <w:t>0.</w:t>
      </w:r>
    </w:p>
  </w:footnote>
  <w:footnote w:id="598">
    <w:p w14:paraId="454F1119" w14:textId="77777777" w:rsidR="008900D7" w:rsidRDefault="00730A01" w:rsidP="008900D7">
      <w:pPr>
        <w:pStyle w:val="Notedebasdepage"/>
      </w:pPr>
      <w:r>
        <w:rPr>
          <w:rStyle w:val="Appelnotedebasdep"/>
        </w:rPr>
        <w:footnoteRef/>
      </w:r>
      <w:r>
        <w:t xml:space="preserve"> </w:t>
      </w:r>
      <w:r>
        <w:tab/>
      </w:r>
      <w:r w:rsidRPr="007B0349">
        <w:t>Pièce PSH-1</w:t>
      </w:r>
      <w:r>
        <w:t>2</w:t>
      </w:r>
      <w:r w:rsidRPr="007B0349">
        <w:t>, art. 11.11; NS, St-Gelais, 10 févri</w:t>
      </w:r>
      <w:r>
        <w:t>er 2025, p. 211-212.</w:t>
      </w:r>
    </w:p>
  </w:footnote>
  <w:footnote w:id="599">
    <w:p w14:paraId="054FB8BD" w14:textId="77777777" w:rsidR="008900D7" w:rsidRDefault="00730A01" w:rsidP="008900D7">
      <w:pPr>
        <w:pStyle w:val="Notedebasdepage"/>
      </w:pPr>
      <w:r>
        <w:rPr>
          <w:rStyle w:val="Appelnotedebasdep"/>
        </w:rPr>
        <w:footnoteRef/>
      </w:r>
      <w:r>
        <w:t xml:space="preserve"> </w:t>
      </w:r>
      <w:r>
        <w:tab/>
        <w:t xml:space="preserve">Pièce PSH-12, art. 12.1.8; NS, </w:t>
      </w:r>
      <w:r w:rsidRPr="007B0349">
        <w:t>St-Gelais, 10 févri</w:t>
      </w:r>
      <w:r>
        <w:t>er 2025, p. 89-97 et 124-127.</w:t>
      </w:r>
    </w:p>
  </w:footnote>
  <w:footnote w:id="600">
    <w:p w14:paraId="5E6ED72B" w14:textId="77777777" w:rsidR="008900D7" w:rsidRPr="00A84CD1" w:rsidRDefault="00730A01" w:rsidP="008900D7">
      <w:pPr>
        <w:pStyle w:val="Notedebasdepage"/>
      </w:pPr>
      <w:r>
        <w:rPr>
          <w:rStyle w:val="Appelnotedebasdep"/>
        </w:rPr>
        <w:footnoteRef/>
      </w:r>
      <w:r w:rsidRPr="00A84CD1">
        <w:t xml:space="preserve"> </w:t>
      </w:r>
      <w:r w:rsidRPr="00A84CD1">
        <w:tab/>
        <w:t>Pièce PSH-12, art. 14.1.2; NS, St-Gelais, 24 janvie</w:t>
      </w:r>
      <w:r>
        <w:t>r 2025, p. 53-54; NS, St-Gelais, 10 février 2025, p. 239; NS, St-Gelais, 11 février 2025, p. 100-104.</w:t>
      </w:r>
    </w:p>
  </w:footnote>
  <w:footnote w:id="601">
    <w:p w14:paraId="5D41626A" w14:textId="77777777" w:rsidR="008900D7" w:rsidRDefault="00730A01" w:rsidP="008900D7">
      <w:pPr>
        <w:pStyle w:val="Notedebasdepage"/>
      </w:pPr>
      <w:r>
        <w:rPr>
          <w:rStyle w:val="Appelnotedebasdep"/>
        </w:rPr>
        <w:footnoteRef/>
      </w:r>
      <w:r>
        <w:t xml:space="preserve"> </w:t>
      </w:r>
      <w:r>
        <w:tab/>
        <w:t>Pièce PQ-256, p. 116 et 166.</w:t>
      </w:r>
    </w:p>
  </w:footnote>
  <w:footnote w:id="602">
    <w:p w14:paraId="30695586" w14:textId="77777777" w:rsidR="008900D7" w:rsidRDefault="00730A01" w:rsidP="008900D7">
      <w:pPr>
        <w:pStyle w:val="Notedebasdepage"/>
      </w:pPr>
      <w:r>
        <w:rPr>
          <w:rStyle w:val="Appelnotedebasdep"/>
        </w:rPr>
        <w:footnoteRef/>
      </w:r>
      <w:r>
        <w:t xml:space="preserve"> </w:t>
      </w:r>
      <w:r>
        <w:tab/>
        <w:t>Pièces PQ-256, p. 41; EP-1, par. 769.</w:t>
      </w:r>
    </w:p>
  </w:footnote>
  <w:footnote w:id="603">
    <w:p w14:paraId="5402C76D" w14:textId="77777777" w:rsidR="008900D7" w:rsidRDefault="00730A01" w:rsidP="008900D7">
      <w:pPr>
        <w:pStyle w:val="Notedebasdepage"/>
      </w:pPr>
      <w:r>
        <w:rPr>
          <w:rStyle w:val="Appelnotedebasdep"/>
        </w:rPr>
        <w:footnoteRef/>
      </w:r>
      <w:r>
        <w:t xml:space="preserve"> </w:t>
      </w:r>
      <w:r>
        <w:tab/>
        <w:t>Pièces PQ-256, p. 41; EP-1, par. 769.</w:t>
      </w:r>
    </w:p>
  </w:footnote>
  <w:footnote w:id="604">
    <w:p w14:paraId="09A980F6" w14:textId="77777777" w:rsidR="008900D7" w:rsidRDefault="00730A01" w:rsidP="008900D7">
      <w:pPr>
        <w:pStyle w:val="Notedebasdepage"/>
      </w:pPr>
      <w:r>
        <w:rPr>
          <w:rStyle w:val="Appelnotedebasdep"/>
        </w:rPr>
        <w:footnoteRef/>
      </w:r>
      <w:r>
        <w:t xml:space="preserve"> </w:t>
      </w:r>
      <w:r>
        <w:tab/>
        <w:t>Pièces PQ-256, p. 41; EP-1, par. 769.</w:t>
      </w:r>
    </w:p>
  </w:footnote>
  <w:footnote w:id="605">
    <w:p w14:paraId="46C5011C" w14:textId="77777777" w:rsidR="008900D7" w:rsidRDefault="00730A01" w:rsidP="008900D7">
      <w:pPr>
        <w:pStyle w:val="Notedebasdepage"/>
      </w:pPr>
      <w:r>
        <w:rPr>
          <w:rStyle w:val="Appelnotedebasdep"/>
        </w:rPr>
        <w:footnoteRef/>
      </w:r>
      <w:r>
        <w:t xml:space="preserve"> </w:t>
      </w:r>
      <w:r>
        <w:tab/>
        <w:t>Pièces PQ-256, p. 41; EP-1, par. 769.</w:t>
      </w:r>
    </w:p>
  </w:footnote>
  <w:footnote w:id="606">
    <w:p w14:paraId="0EC85B4D" w14:textId="77777777" w:rsidR="008900D7" w:rsidRDefault="00730A01" w:rsidP="008900D7">
      <w:pPr>
        <w:pStyle w:val="Notedebasdepage"/>
      </w:pPr>
      <w:r>
        <w:rPr>
          <w:rStyle w:val="Appelnotedebasdep"/>
        </w:rPr>
        <w:footnoteRef/>
      </w:r>
      <w:r>
        <w:t xml:space="preserve"> </w:t>
      </w:r>
      <w:r>
        <w:tab/>
        <w:t>Pièce EP-1, par. 888.</w:t>
      </w:r>
    </w:p>
  </w:footnote>
  <w:footnote w:id="607">
    <w:p w14:paraId="3763616E" w14:textId="77777777" w:rsidR="008900D7" w:rsidRDefault="00730A01" w:rsidP="008900D7">
      <w:pPr>
        <w:pStyle w:val="Notedebasdepage"/>
      </w:pPr>
      <w:r>
        <w:rPr>
          <w:rStyle w:val="Appelnotedebasdep"/>
        </w:rPr>
        <w:footnoteRef/>
      </w:r>
      <w:r>
        <w:t xml:space="preserve"> </w:t>
      </w:r>
      <w:r>
        <w:tab/>
        <w:t>NS, St-Gelais, 11 février 2025, p. 36-47.</w:t>
      </w:r>
    </w:p>
  </w:footnote>
  <w:footnote w:id="608">
    <w:p w14:paraId="7A9D853C" w14:textId="77777777" w:rsidR="008900D7" w:rsidRDefault="00730A01" w:rsidP="008900D7">
      <w:pPr>
        <w:pStyle w:val="Notedebasdepage"/>
      </w:pPr>
      <w:r>
        <w:rPr>
          <w:rStyle w:val="Appelnotedebasdep"/>
        </w:rPr>
        <w:footnoteRef/>
      </w:r>
      <w:r>
        <w:t xml:space="preserve"> </w:t>
      </w:r>
      <w:r>
        <w:tab/>
        <w:t>Pièce EP-1, par. 799.</w:t>
      </w:r>
    </w:p>
  </w:footnote>
  <w:footnote w:id="609">
    <w:p w14:paraId="080D4B8E" w14:textId="77777777" w:rsidR="008900D7" w:rsidRDefault="00730A01" w:rsidP="008900D7">
      <w:pPr>
        <w:pStyle w:val="Notedebasdepage"/>
      </w:pPr>
      <w:r>
        <w:rPr>
          <w:rStyle w:val="Appelnotedebasdep"/>
        </w:rPr>
        <w:footnoteRef/>
      </w:r>
      <w:r>
        <w:t xml:space="preserve"> </w:t>
      </w:r>
      <w:r>
        <w:tab/>
        <w:t>DSS Lehoux, 17 mai 2024, par. 49; NS, St-Gelais, 10 février 2025, p. 236-238; NS, St-Gelais, 11 février 2025, p. 101-102.</w:t>
      </w:r>
    </w:p>
  </w:footnote>
  <w:footnote w:id="610">
    <w:p w14:paraId="01184AB3" w14:textId="77777777" w:rsidR="008900D7" w:rsidRDefault="00730A01" w:rsidP="008900D7">
      <w:pPr>
        <w:pStyle w:val="Notedebasdepage"/>
      </w:pPr>
      <w:r>
        <w:rPr>
          <w:rStyle w:val="Appelnotedebasdep"/>
        </w:rPr>
        <w:footnoteRef/>
      </w:r>
      <w:r>
        <w:t xml:space="preserve"> </w:t>
      </w:r>
      <w:r>
        <w:tab/>
        <w:t>NS, St-Gelais, 10 février 2025, p. 169.</w:t>
      </w:r>
    </w:p>
  </w:footnote>
  <w:footnote w:id="611">
    <w:p w14:paraId="1BF66CC7" w14:textId="77777777" w:rsidR="008900D7" w:rsidRDefault="00730A01" w:rsidP="008900D7">
      <w:pPr>
        <w:pStyle w:val="Notedebasdepage"/>
      </w:pPr>
      <w:r>
        <w:rPr>
          <w:rStyle w:val="Appelnotedebasdep"/>
        </w:rPr>
        <w:footnoteRef/>
      </w:r>
      <w:r>
        <w:t xml:space="preserve"> </w:t>
      </w:r>
      <w:r>
        <w:tab/>
        <w:t>NS, St-Gelais, 24 janvier 2025, p. 53-54; NS, St-Gelais, 10 février 2025, p. 239; NS, St-Gelais, 11 février 2025, p. 100-104.</w:t>
      </w:r>
    </w:p>
  </w:footnote>
  <w:footnote w:id="612">
    <w:p w14:paraId="57B7C72A" w14:textId="77777777" w:rsidR="008900D7" w:rsidRDefault="00730A01" w:rsidP="008900D7">
      <w:pPr>
        <w:pStyle w:val="Notedebasdepage"/>
      </w:pPr>
      <w:r>
        <w:rPr>
          <w:rStyle w:val="Appelnotedebasdep"/>
        </w:rPr>
        <w:footnoteRef/>
      </w:r>
      <w:r>
        <w:t xml:space="preserve"> </w:t>
      </w:r>
      <w:r>
        <w:tab/>
        <w:t>Pièce PQ-256, p. 116 et 166.</w:t>
      </w:r>
    </w:p>
  </w:footnote>
  <w:footnote w:id="613">
    <w:p w14:paraId="4060766E" w14:textId="77777777" w:rsidR="008900D7" w:rsidRDefault="00730A01" w:rsidP="008900D7">
      <w:pPr>
        <w:pStyle w:val="Notedebasdepage"/>
      </w:pPr>
      <w:r>
        <w:rPr>
          <w:rStyle w:val="Appelnotedebasdep"/>
        </w:rPr>
        <w:footnoteRef/>
      </w:r>
      <w:r>
        <w:t xml:space="preserve"> </w:t>
      </w:r>
      <w:r>
        <w:tab/>
        <w:t>Pièce PQ-256, p. 13 et 166.</w:t>
      </w:r>
    </w:p>
  </w:footnote>
  <w:footnote w:id="614">
    <w:p w14:paraId="4FAC25CA" w14:textId="77777777" w:rsidR="008900D7" w:rsidRDefault="00730A01" w:rsidP="008900D7">
      <w:pPr>
        <w:pStyle w:val="Notedebasdepage"/>
      </w:pPr>
      <w:r>
        <w:rPr>
          <w:rStyle w:val="Appelnotedebasdep"/>
        </w:rPr>
        <w:footnoteRef/>
      </w:r>
      <w:r>
        <w:t xml:space="preserve"> </w:t>
      </w:r>
      <w:r>
        <w:tab/>
        <w:t>Pièce PQ-256, p. 95 et 166.</w:t>
      </w:r>
    </w:p>
  </w:footnote>
  <w:footnote w:id="615">
    <w:p w14:paraId="1A328955" w14:textId="77777777" w:rsidR="008900D7" w:rsidRDefault="00730A01" w:rsidP="008900D7">
      <w:pPr>
        <w:pStyle w:val="Notedebasdepage"/>
      </w:pPr>
      <w:r>
        <w:rPr>
          <w:rStyle w:val="Appelnotedebasdep"/>
        </w:rPr>
        <w:footnoteRef/>
      </w:r>
      <w:r>
        <w:t xml:space="preserve"> </w:t>
      </w:r>
      <w:r>
        <w:tab/>
        <w:t>Pièce PQ-256, p. 100 et 166.</w:t>
      </w:r>
    </w:p>
  </w:footnote>
  <w:footnote w:id="616">
    <w:p w14:paraId="1FCB3847" w14:textId="77777777" w:rsidR="008900D7" w:rsidRDefault="00730A01" w:rsidP="008900D7">
      <w:pPr>
        <w:pStyle w:val="Notedebasdepage"/>
      </w:pPr>
      <w:r>
        <w:rPr>
          <w:rStyle w:val="Appelnotedebasdep"/>
        </w:rPr>
        <w:footnoteRef/>
      </w:r>
      <w:r>
        <w:t xml:space="preserve"> </w:t>
      </w:r>
      <w:r>
        <w:tab/>
        <w:t>Pièce PQ-256, p. 23 et 166.</w:t>
      </w:r>
    </w:p>
  </w:footnote>
  <w:footnote w:id="617">
    <w:p w14:paraId="523AD0B0" w14:textId="77777777" w:rsidR="008900D7" w:rsidRDefault="00730A01" w:rsidP="008900D7">
      <w:pPr>
        <w:pStyle w:val="Notedebasdepage"/>
      </w:pPr>
      <w:r>
        <w:rPr>
          <w:rStyle w:val="Appelnotedebasdep"/>
        </w:rPr>
        <w:footnoteRef/>
      </w:r>
      <w:r>
        <w:t xml:space="preserve"> </w:t>
      </w:r>
      <w:r>
        <w:tab/>
        <w:t>Pièce PQ-256, p. 100-101 – Transaction Ponzi.</w:t>
      </w:r>
    </w:p>
  </w:footnote>
  <w:footnote w:id="618">
    <w:p w14:paraId="3564C20F" w14:textId="77777777" w:rsidR="008900D7" w:rsidRDefault="00730A01" w:rsidP="008900D7">
      <w:pPr>
        <w:pStyle w:val="Notedebasdepage"/>
      </w:pPr>
      <w:r>
        <w:rPr>
          <w:rStyle w:val="Appelnotedebasdep"/>
        </w:rPr>
        <w:footnoteRef/>
      </w:r>
      <w:r>
        <w:t xml:space="preserve"> </w:t>
      </w:r>
      <w:r>
        <w:tab/>
        <w:t>Pièce PQ-256, p. 114 et 166.</w:t>
      </w:r>
    </w:p>
  </w:footnote>
  <w:footnote w:id="619">
    <w:p w14:paraId="75759648" w14:textId="77777777" w:rsidR="008900D7" w:rsidRDefault="00730A01" w:rsidP="008900D7">
      <w:pPr>
        <w:pStyle w:val="Notedebasdepage"/>
      </w:pPr>
      <w:r>
        <w:rPr>
          <w:rStyle w:val="Appelnotedebasdep"/>
        </w:rPr>
        <w:footnoteRef/>
      </w:r>
      <w:r>
        <w:t xml:space="preserve"> </w:t>
      </w:r>
      <w:r>
        <w:tab/>
        <w:t>Pièce PQ-256, p. 114.</w:t>
      </w:r>
    </w:p>
  </w:footnote>
  <w:footnote w:id="620">
    <w:p w14:paraId="3B134A62" w14:textId="77777777" w:rsidR="008900D7" w:rsidRDefault="00730A01" w:rsidP="008900D7">
      <w:pPr>
        <w:pStyle w:val="Notedebasdepage"/>
      </w:pPr>
      <w:r>
        <w:rPr>
          <w:rStyle w:val="Appelnotedebasdep"/>
        </w:rPr>
        <w:footnoteRef/>
      </w:r>
      <w:r>
        <w:t xml:space="preserve"> </w:t>
      </w:r>
      <w:r>
        <w:tab/>
        <w:t xml:space="preserve">Pièces </w:t>
      </w:r>
      <w:r w:rsidRPr="00C95F54">
        <w:rPr>
          <w:rFonts w:cs="Arial"/>
          <w:bCs/>
          <w:szCs w:val="24"/>
        </w:rPr>
        <w:t>PSH-22, PSH-223 et PSH 24</w:t>
      </w:r>
      <w:r>
        <w:rPr>
          <w:rFonts w:cs="Arial"/>
          <w:bCs/>
          <w:szCs w:val="24"/>
        </w:rPr>
        <w:t>.</w:t>
      </w:r>
    </w:p>
  </w:footnote>
  <w:footnote w:id="621">
    <w:p w14:paraId="6E195FC0" w14:textId="77777777" w:rsidR="008900D7" w:rsidRDefault="00730A01" w:rsidP="008900D7">
      <w:pPr>
        <w:pStyle w:val="Notedebasdepage"/>
      </w:pPr>
      <w:r>
        <w:rPr>
          <w:rStyle w:val="Appelnotedebasdep"/>
        </w:rPr>
        <w:footnoteRef/>
      </w:r>
      <w:r>
        <w:t xml:space="preserve"> </w:t>
      </w:r>
      <w:r>
        <w:tab/>
        <w:t>Pièce PSH-8.</w:t>
      </w:r>
    </w:p>
  </w:footnote>
  <w:footnote w:id="622">
    <w:p w14:paraId="5E7B33E5" w14:textId="77777777" w:rsidR="008900D7" w:rsidRDefault="00730A01" w:rsidP="008900D7">
      <w:pPr>
        <w:pStyle w:val="Notedebasdepage"/>
      </w:pPr>
      <w:r>
        <w:rPr>
          <w:rStyle w:val="Appelnotedebasdep"/>
        </w:rPr>
        <w:footnoteRef/>
      </w:r>
      <w:r>
        <w:t xml:space="preserve"> </w:t>
      </w:r>
      <w:r>
        <w:tab/>
        <w:t>Pièce PSH-8, p. 168.</w:t>
      </w:r>
    </w:p>
  </w:footnote>
  <w:footnote w:id="623">
    <w:p w14:paraId="3782CECE" w14:textId="77777777" w:rsidR="008900D7" w:rsidRDefault="00730A01" w:rsidP="008900D7">
      <w:pPr>
        <w:pStyle w:val="Notedebasdepage"/>
      </w:pPr>
      <w:r>
        <w:rPr>
          <w:rStyle w:val="Appelnotedebasdep"/>
        </w:rPr>
        <w:footnoteRef/>
      </w:r>
      <w:r>
        <w:t xml:space="preserve"> </w:t>
      </w:r>
      <w:r>
        <w:tab/>
      </w:r>
      <w:r>
        <w:rPr>
          <w:rFonts w:cs="Arial"/>
          <w:bCs/>
          <w:szCs w:val="24"/>
        </w:rPr>
        <w:t>Art. 3 et Stratégie de prêt Annexe A-4.</w:t>
      </w:r>
    </w:p>
  </w:footnote>
  <w:footnote w:id="624">
    <w:p w14:paraId="30447CEB" w14:textId="77777777" w:rsidR="008900D7" w:rsidRDefault="00730A01" w:rsidP="008900D7">
      <w:pPr>
        <w:pStyle w:val="Notedebasdepage"/>
      </w:pPr>
      <w:r>
        <w:rPr>
          <w:rStyle w:val="Appelnotedebasdep"/>
        </w:rPr>
        <w:footnoteRef/>
      </w:r>
      <w:r>
        <w:t xml:space="preserve"> </w:t>
      </w:r>
      <w:r>
        <w:tab/>
        <w:t>Annexe A-4, par. 2.</w:t>
      </w:r>
    </w:p>
  </w:footnote>
  <w:footnote w:id="625">
    <w:p w14:paraId="4E79132B" w14:textId="77777777" w:rsidR="008900D7" w:rsidRDefault="00730A01" w:rsidP="008900D7">
      <w:pPr>
        <w:pStyle w:val="Notedebasdepage"/>
      </w:pPr>
      <w:r>
        <w:rPr>
          <w:rStyle w:val="Appelnotedebasdep"/>
        </w:rPr>
        <w:footnoteRef/>
      </w:r>
      <w:r>
        <w:t xml:space="preserve"> </w:t>
      </w:r>
      <w:r>
        <w:tab/>
        <w:t>Pièce EP-1, par. 819 et 822.</w:t>
      </w:r>
    </w:p>
  </w:footnote>
  <w:footnote w:id="626">
    <w:p w14:paraId="15E1439F" w14:textId="77777777" w:rsidR="008900D7" w:rsidRDefault="00730A01" w:rsidP="008900D7">
      <w:pPr>
        <w:pStyle w:val="Notedebasdepage"/>
      </w:pPr>
      <w:r>
        <w:rPr>
          <w:rStyle w:val="Appelnotedebasdep"/>
        </w:rPr>
        <w:footnoteRef/>
      </w:r>
      <w:r>
        <w:t xml:space="preserve"> </w:t>
      </w:r>
      <w:r>
        <w:tab/>
        <w:t>Pièce EP-1, par. 824.</w:t>
      </w:r>
    </w:p>
  </w:footnote>
  <w:footnote w:id="627">
    <w:p w14:paraId="7DEBECEC" w14:textId="77777777" w:rsidR="008900D7" w:rsidRPr="005F20FA" w:rsidRDefault="00730A01" w:rsidP="008900D7">
      <w:pPr>
        <w:pStyle w:val="Notedebasdepage"/>
      </w:pPr>
      <w:r>
        <w:rPr>
          <w:rStyle w:val="Appelnotedebasdep"/>
        </w:rPr>
        <w:footnoteRef/>
      </w:r>
      <w:r w:rsidRPr="005F20FA">
        <w:t xml:space="preserve"> </w:t>
      </w:r>
      <w:r w:rsidRPr="005F20FA">
        <w:tab/>
        <w:t>Pièce PSH-8, p. 16, art. 7.5n. Voi</w:t>
      </w:r>
      <w:r>
        <w:t>r l’aveu de Giroux au procès quant à l’inexistence d’une telle résolution : NS, Giroux, 4 juin 2024, p. 2155.</w:t>
      </w:r>
    </w:p>
  </w:footnote>
  <w:footnote w:id="628">
    <w:p w14:paraId="5EED027C" w14:textId="77777777" w:rsidR="008900D7" w:rsidRDefault="00730A01" w:rsidP="008900D7">
      <w:pPr>
        <w:pStyle w:val="Notedebasdepage"/>
      </w:pPr>
      <w:r>
        <w:rPr>
          <w:rStyle w:val="Appelnotedebasdep"/>
        </w:rPr>
        <w:footnoteRef/>
      </w:r>
      <w:r>
        <w:t xml:space="preserve"> </w:t>
      </w:r>
      <w:r>
        <w:tab/>
        <w:t>Pièce PSH-12.</w:t>
      </w:r>
    </w:p>
  </w:footnote>
  <w:footnote w:id="629">
    <w:p w14:paraId="4585267D" w14:textId="77777777" w:rsidR="008900D7" w:rsidRDefault="00730A01" w:rsidP="008900D7">
      <w:pPr>
        <w:pStyle w:val="Notedebasdepage"/>
      </w:pPr>
      <w:r>
        <w:rPr>
          <w:rStyle w:val="Appelnotedebasdep"/>
        </w:rPr>
        <w:footnoteRef/>
      </w:r>
      <w:r>
        <w:t xml:space="preserve"> </w:t>
      </w:r>
      <w:r>
        <w:tab/>
        <w:t>Pièce PSH-22, attendu et art. 4.1.</w:t>
      </w:r>
    </w:p>
  </w:footnote>
  <w:footnote w:id="630">
    <w:p w14:paraId="20226247" w14:textId="77777777" w:rsidR="008900D7" w:rsidRDefault="00730A01" w:rsidP="008900D7">
      <w:pPr>
        <w:pStyle w:val="Notedebasdepage"/>
      </w:pPr>
      <w:r>
        <w:rPr>
          <w:rStyle w:val="Appelnotedebasdep"/>
        </w:rPr>
        <w:footnoteRef/>
      </w:r>
      <w:r>
        <w:t xml:space="preserve"> </w:t>
      </w:r>
      <w:r>
        <w:tab/>
        <w:t>Pièce PSH-22, art. 6.</w:t>
      </w:r>
    </w:p>
  </w:footnote>
  <w:footnote w:id="631">
    <w:p w14:paraId="6221019A" w14:textId="77777777" w:rsidR="008900D7" w:rsidRDefault="00730A01" w:rsidP="008900D7">
      <w:pPr>
        <w:pStyle w:val="Notedebasdepage"/>
      </w:pPr>
      <w:r>
        <w:rPr>
          <w:rStyle w:val="Appelnotedebasdep"/>
        </w:rPr>
        <w:footnoteRef/>
      </w:r>
      <w:r>
        <w:t xml:space="preserve"> </w:t>
      </w:r>
      <w:r>
        <w:tab/>
        <w:t>Pièce EP-1, par. 781.</w:t>
      </w:r>
    </w:p>
  </w:footnote>
  <w:footnote w:id="632">
    <w:p w14:paraId="2747598C" w14:textId="77777777" w:rsidR="008900D7" w:rsidRDefault="00730A01" w:rsidP="008900D7">
      <w:pPr>
        <w:pStyle w:val="Notedebasdepage"/>
      </w:pPr>
      <w:r>
        <w:rPr>
          <w:rStyle w:val="Appelnotedebasdep"/>
        </w:rPr>
        <w:footnoteRef/>
      </w:r>
      <w:r>
        <w:t xml:space="preserve"> </w:t>
      </w:r>
      <w:r>
        <w:tab/>
        <w:t>Pièce EP-1, par. 781.</w:t>
      </w:r>
    </w:p>
  </w:footnote>
  <w:footnote w:id="633">
    <w:p w14:paraId="77431936" w14:textId="77777777" w:rsidR="008900D7" w:rsidRDefault="00730A01" w:rsidP="008900D7">
      <w:pPr>
        <w:pStyle w:val="Notedebasdepage"/>
      </w:pPr>
      <w:r>
        <w:rPr>
          <w:rStyle w:val="Appelnotedebasdep"/>
        </w:rPr>
        <w:footnoteRef/>
      </w:r>
      <w:r>
        <w:t xml:space="preserve"> </w:t>
      </w:r>
      <w:r>
        <w:tab/>
        <w:t>Pièce EP-1, par. 781.</w:t>
      </w:r>
    </w:p>
  </w:footnote>
  <w:footnote w:id="634">
    <w:p w14:paraId="642B2626" w14:textId="77777777" w:rsidR="008900D7" w:rsidRDefault="00730A01" w:rsidP="008900D7">
      <w:pPr>
        <w:pStyle w:val="Notedebasdepage"/>
      </w:pPr>
      <w:r>
        <w:rPr>
          <w:rStyle w:val="Appelnotedebasdep"/>
        </w:rPr>
        <w:footnoteRef/>
      </w:r>
      <w:r>
        <w:t xml:space="preserve"> </w:t>
      </w:r>
      <w:r>
        <w:tab/>
        <w:t>Pièce EP-1, par. 781.</w:t>
      </w:r>
    </w:p>
  </w:footnote>
  <w:footnote w:id="635">
    <w:p w14:paraId="6663719E" w14:textId="77777777" w:rsidR="008900D7" w:rsidRDefault="00730A01" w:rsidP="008900D7">
      <w:pPr>
        <w:pStyle w:val="Notedebasdepage"/>
      </w:pPr>
      <w:r>
        <w:rPr>
          <w:rStyle w:val="Appelnotedebasdep"/>
        </w:rPr>
        <w:footnoteRef/>
      </w:r>
      <w:r>
        <w:t xml:space="preserve"> </w:t>
      </w:r>
      <w:r>
        <w:tab/>
        <w:t>Pièce EP-1, par. 783.</w:t>
      </w:r>
    </w:p>
  </w:footnote>
  <w:footnote w:id="636">
    <w:p w14:paraId="100AB73B" w14:textId="77777777" w:rsidR="008900D7" w:rsidRDefault="00730A01" w:rsidP="008900D7">
      <w:pPr>
        <w:pStyle w:val="Notedebasdepage"/>
      </w:pPr>
      <w:r>
        <w:rPr>
          <w:rStyle w:val="Appelnotedebasdep"/>
        </w:rPr>
        <w:footnoteRef/>
      </w:r>
      <w:r>
        <w:t xml:space="preserve"> </w:t>
      </w:r>
      <w:r>
        <w:tab/>
        <w:t>Pièce EP-1, par. 777 et 784.</w:t>
      </w:r>
    </w:p>
  </w:footnote>
  <w:footnote w:id="637">
    <w:p w14:paraId="06241D71" w14:textId="77777777" w:rsidR="008900D7" w:rsidRDefault="00730A01" w:rsidP="008900D7">
      <w:pPr>
        <w:pStyle w:val="Notedebasdepage"/>
      </w:pPr>
      <w:r>
        <w:rPr>
          <w:rStyle w:val="Appelnotedebasdep"/>
        </w:rPr>
        <w:footnoteRef/>
      </w:r>
      <w:r>
        <w:t xml:space="preserve"> </w:t>
      </w:r>
      <w:r>
        <w:tab/>
        <w:t>Pièce EP-1, par. 888; NS, St-Gelais, 11 février 2025, p. 36-47.</w:t>
      </w:r>
    </w:p>
  </w:footnote>
  <w:footnote w:id="638">
    <w:p w14:paraId="328A24B6" w14:textId="77777777" w:rsidR="008900D7" w:rsidRDefault="00730A01" w:rsidP="008900D7">
      <w:pPr>
        <w:pStyle w:val="Notedebasdepage"/>
      </w:pPr>
      <w:r>
        <w:rPr>
          <w:rStyle w:val="Appelnotedebasdep"/>
        </w:rPr>
        <w:footnoteRef/>
      </w:r>
      <w:r>
        <w:tab/>
        <w:t>NS, St-Gelais, 10 février 2025, p. 169.</w:t>
      </w:r>
    </w:p>
  </w:footnote>
  <w:footnote w:id="639">
    <w:p w14:paraId="78AF177B" w14:textId="77777777" w:rsidR="008900D7" w:rsidRDefault="00730A01" w:rsidP="008900D7">
      <w:pPr>
        <w:pStyle w:val="Notedebasdepage"/>
      </w:pPr>
      <w:r>
        <w:rPr>
          <w:rStyle w:val="Appelnotedebasdep"/>
        </w:rPr>
        <w:footnoteRef/>
      </w:r>
      <w:r>
        <w:t xml:space="preserve"> </w:t>
      </w:r>
      <w:r>
        <w:tab/>
        <w:t>NS, St-Gelais, 24 janvier 2025, p. 53-54; 10 février 2025, p. 232; 11 février 2025, p. 100-104.</w:t>
      </w:r>
    </w:p>
  </w:footnote>
  <w:footnote w:id="640">
    <w:p w14:paraId="7024C0D1" w14:textId="77777777" w:rsidR="008900D7" w:rsidRDefault="00730A01" w:rsidP="008900D7">
      <w:pPr>
        <w:pStyle w:val="Notedebasdepage"/>
      </w:pPr>
      <w:r>
        <w:rPr>
          <w:rStyle w:val="Appelnotedebasdep"/>
        </w:rPr>
        <w:footnoteRef/>
      </w:r>
      <w:r>
        <w:t xml:space="preserve"> </w:t>
      </w:r>
      <w:r>
        <w:tab/>
        <w:t>Pièce PQ-256, p. 116 et 166.</w:t>
      </w:r>
    </w:p>
  </w:footnote>
  <w:footnote w:id="641">
    <w:p w14:paraId="4D060AEF" w14:textId="77777777" w:rsidR="008900D7" w:rsidRDefault="00730A01" w:rsidP="008900D7">
      <w:pPr>
        <w:pStyle w:val="Notedebasdepage"/>
      </w:pPr>
      <w:r>
        <w:rPr>
          <w:rStyle w:val="Appelnotedebasdep"/>
        </w:rPr>
        <w:footnoteRef/>
      </w:r>
      <w:r>
        <w:t xml:space="preserve"> </w:t>
      </w:r>
      <w:r>
        <w:tab/>
        <w:t>Pièce EP-1, par. 891 et 892.</w:t>
      </w:r>
    </w:p>
  </w:footnote>
  <w:footnote w:id="642">
    <w:p w14:paraId="7BDE5A26" w14:textId="77777777" w:rsidR="008900D7" w:rsidRDefault="00730A01" w:rsidP="008900D7">
      <w:pPr>
        <w:pStyle w:val="Notedebasdepage"/>
      </w:pPr>
      <w:r>
        <w:rPr>
          <w:rStyle w:val="Appelnotedebasdep"/>
        </w:rPr>
        <w:footnoteRef/>
      </w:r>
      <w:r>
        <w:t xml:space="preserve"> </w:t>
      </w:r>
      <w:r>
        <w:tab/>
        <w:t>Pièce PSH-22.</w:t>
      </w:r>
    </w:p>
  </w:footnote>
  <w:footnote w:id="643">
    <w:p w14:paraId="1C355027" w14:textId="77777777" w:rsidR="008900D7" w:rsidRDefault="00730A01" w:rsidP="008900D7">
      <w:pPr>
        <w:pStyle w:val="Notedebasdepage"/>
      </w:pPr>
      <w:r>
        <w:rPr>
          <w:rStyle w:val="Appelnotedebasdep"/>
        </w:rPr>
        <w:footnoteRef/>
      </w:r>
      <w:r>
        <w:t xml:space="preserve"> </w:t>
      </w:r>
      <w:r>
        <w:tab/>
        <w:t>Pièce PSH-24, art. 9.</w:t>
      </w:r>
    </w:p>
  </w:footnote>
  <w:footnote w:id="644">
    <w:p w14:paraId="4450B4D2" w14:textId="77777777" w:rsidR="008900D7" w:rsidRDefault="00730A01" w:rsidP="008900D7">
      <w:pPr>
        <w:pStyle w:val="Notedebasdepage"/>
      </w:pPr>
      <w:r>
        <w:rPr>
          <w:rStyle w:val="Appelnotedebasdep"/>
        </w:rPr>
        <w:footnoteRef/>
      </w:r>
      <w:r>
        <w:t xml:space="preserve"> </w:t>
      </w:r>
      <w:r>
        <w:tab/>
        <w:t>Pièce PQ-256, p. 13 et 166.</w:t>
      </w:r>
    </w:p>
  </w:footnote>
  <w:footnote w:id="645">
    <w:p w14:paraId="6735AF28" w14:textId="77777777" w:rsidR="008900D7" w:rsidRDefault="00730A01" w:rsidP="008900D7">
      <w:pPr>
        <w:pStyle w:val="Notedebasdepage"/>
      </w:pPr>
      <w:r>
        <w:rPr>
          <w:rStyle w:val="Appelnotedebasdep"/>
        </w:rPr>
        <w:footnoteRef/>
      </w:r>
      <w:r>
        <w:t xml:space="preserve"> </w:t>
      </w:r>
      <w:r>
        <w:tab/>
        <w:t>Voir Annexe sur le témoignage des commanditaires.</w:t>
      </w:r>
    </w:p>
  </w:footnote>
  <w:footnote w:id="646">
    <w:p w14:paraId="118D8DB1" w14:textId="77777777" w:rsidR="008900D7" w:rsidRDefault="00730A01" w:rsidP="008900D7">
      <w:pPr>
        <w:pStyle w:val="Notedebasdepage"/>
      </w:pPr>
      <w:r>
        <w:rPr>
          <w:rStyle w:val="Appelnotedebasdep"/>
        </w:rPr>
        <w:footnoteRef/>
      </w:r>
      <w:r>
        <w:t xml:space="preserve"> </w:t>
      </w:r>
      <w:r>
        <w:tab/>
        <w:t>Pièces PQ-256, p. 166 et EP-1, par. 1056.</w:t>
      </w:r>
    </w:p>
  </w:footnote>
  <w:footnote w:id="647">
    <w:p w14:paraId="7E8171F3" w14:textId="77777777" w:rsidR="008900D7" w:rsidRDefault="00730A01" w:rsidP="008900D7">
      <w:pPr>
        <w:pStyle w:val="Notedebasdepage"/>
      </w:pPr>
      <w:r>
        <w:rPr>
          <w:rStyle w:val="Appelnotedebasdep"/>
        </w:rPr>
        <w:footnoteRef/>
      </w:r>
      <w:r>
        <w:t xml:space="preserve"> </w:t>
      </w:r>
      <w:r>
        <w:tab/>
        <w:t>Pièce EP-1, par. 840, 841 et 846; NS, St-Gelais, 10 février 2020, p. 90, 166-168, 209-211 et 219-220 et 11 février 2025, p. 21.</w:t>
      </w:r>
    </w:p>
  </w:footnote>
  <w:footnote w:id="648">
    <w:p w14:paraId="46FD6F63" w14:textId="77777777" w:rsidR="008900D7" w:rsidRDefault="00730A01" w:rsidP="008900D7">
      <w:pPr>
        <w:pStyle w:val="Notedebasdepage"/>
      </w:pPr>
      <w:r>
        <w:rPr>
          <w:rStyle w:val="Appelnotedebasdep"/>
        </w:rPr>
        <w:footnoteRef/>
      </w:r>
      <w:r>
        <w:t xml:space="preserve"> </w:t>
      </w:r>
      <w:r>
        <w:tab/>
        <w:t>Pièce PQ-256, p. 21. À titre d’exemple, le prêt de 7 M$ consenti par 8096 à Huot au mois d’avril 2020 représentait une charge d’intérêts et frais annuelle de 1,26 M$ à lui seul, laquelle n’est toutefois pas reflétée aux tableaux de bord transmis aux commanditaires.</w:t>
      </w:r>
    </w:p>
  </w:footnote>
  <w:footnote w:id="649">
    <w:p w14:paraId="03A70967" w14:textId="77777777" w:rsidR="008900D7" w:rsidRDefault="00730A01" w:rsidP="008900D7">
      <w:pPr>
        <w:pStyle w:val="Notedebasdepage"/>
      </w:pPr>
      <w:r>
        <w:rPr>
          <w:rStyle w:val="Appelnotedebasdep"/>
        </w:rPr>
        <w:footnoteRef/>
      </w:r>
      <w:r>
        <w:t xml:space="preserve"> </w:t>
      </w:r>
      <w:r>
        <w:tab/>
        <w:t>Pièce PQ-256, p. 13 et 166.</w:t>
      </w:r>
    </w:p>
  </w:footnote>
  <w:footnote w:id="650">
    <w:p w14:paraId="3A205F21" w14:textId="77777777" w:rsidR="008900D7" w:rsidRDefault="00730A01" w:rsidP="008900D7">
      <w:pPr>
        <w:pStyle w:val="Notedebasdepage"/>
      </w:pPr>
      <w:r>
        <w:rPr>
          <w:rStyle w:val="Appelnotedebasdep"/>
        </w:rPr>
        <w:footnoteRef/>
      </w:r>
      <w:r>
        <w:t xml:space="preserve"> </w:t>
      </w:r>
      <w:r>
        <w:tab/>
        <w:t>Pièce PQ-256, p. 23 et 166.</w:t>
      </w:r>
    </w:p>
  </w:footnote>
  <w:footnote w:id="651">
    <w:p w14:paraId="06EE3D00" w14:textId="77777777" w:rsidR="008900D7" w:rsidRDefault="00730A01" w:rsidP="008900D7">
      <w:pPr>
        <w:pStyle w:val="Notedebasdepage"/>
      </w:pPr>
      <w:r>
        <w:rPr>
          <w:rStyle w:val="Appelnotedebasdep"/>
        </w:rPr>
        <w:footnoteRef/>
      </w:r>
      <w:r>
        <w:t xml:space="preserve"> </w:t>
      </w:r>
      <w:r>
        <w:tab/>
        <w:t>Pièce PQ-256, p. 117 et 166.</w:t>
      </w:r>
    </w:p>
  </w:footnote>
  <w:footnote w:id="652">
    <w:p w14:paraId="7CA6CB77" w14:textId="77777777" w:rsidR="008900D7" w:rsidRDefault="00730A01" w:rsidP="008900D7">
      <w:pPr>
        <w:pStyle w:val="Notedebasdepage"/>
      </w:pPr>
      <w:r>
        <w:rPr>
          <w:rStyle w:val="Appelnotedebasdep"/>
        </w:rPr>
        <w:footnoteRef/>
      </w:r>
      <w:r>
        <w:t xml:space="preserve"> </w:t>
      </w:r>
      <w:r>
        <w:tab/>
        <w:t xml:space="preserve">Pièce PQ-256, p. 117 </w:t>
      </w:r>
      <w:r w:rsidRPr="003B6474">
        <w:t>à</w:t>
      </w:r>
      <w:r>
        <w:t xml:space="preserve"> 166.</w:t>
      </w:r>
    </w:p>
  </w:footnote>
  <w:footnote w:id="653">
    <w:p w14:paraId="25D8835A" w14:textId="77777777" w:rsidR="008900D7" w:rsidRDefault="00730A01" w:rsidP="008900D7">
      <w:pPr>
        <w:pStyle w:val="Notedebasdepage"/>
      </w:pPr>
      <w:r>
        <w:rPr>
          <w:rStyle w:val="Appelnotedebasdep"/>
        </w:rPr>
        <w:footnoteRef/>
      </w:r>
      <w:r>
        <w:t xml:space="preserve"> </w:t>
      </w:r>
      <w:r>
        <w:tab/>
        <w:t>Pièce EP-1, par. 840, 841 et 846; NS, St-Gelais, 10 février 2020, p. 90, 166-168, 209-211 et 219-220 et 11 février 2025, p. 21.</w:t>
      </w:r>
    </w:p>
  </w:footnote>
  <w:footnote w:id="654">
    <w:p w14:paraId="7E33D58E" w14:textId="77777777" w:rsidR="008900D7" w:rsidRDefault="00730A01" w:rsidP="008900D7">
      <w:pPr>
        <w:pStyle w:val="Notedebasdepage"/>
      </w:pPr>
      <w:r>
        <w:rPr>
          <w:rStyle w:val="Appelnotedebasdep"/>
        </w:rPr>
        <w:footnoteRef/>
      </w:r>
      <w:r>
        <w:t xml:space="preserve"> </w:t>
      </w:r>
      <w:r>
        <w:tab/>
        <w:t>Pièce PQ-256, p. 21. À titre d’exemple, le prêt de 7 M$ consenti par 8096 à Huot au mois d’avril 2020 représentait une charge d’intérêts et frais annuelle de 1,26 M$ à lui seul, laquelle n’est toutefois pas reflétée aux tableaux de bord transmis aux commanditaires.</w:t>
      </w:r>
    </w:p>
  </w:footnote>
  <w:footnote w:id="655">
    <w:p w14:paraId="25949BD4" w14:textId="77777777" w:rsidR="008900D7" w:rsidRDefault="00730A01" w:rsidP="008900D7">
      <w:pPr>
        <w:pStyle w:val="Notedebasdepage"/>
      </w:pPr>
      <w:r>
        <w:rPr>
          <w:rStyle w:val="Appelnotedebasdep"/>
        </w:rPr>
        <w:footnoteRef/>
      </w:r>
      <w:r>
        <w:t xml:space="preserve"> </w:t>
      </w:r>
      <w:r>
        <w:tab/>
        <w:t>Pièce PQ-256, p. 13 et 166.</w:t>
      </w:r>
    </w:p>
  </w:footnote>
  <w:footnote w:id="656">
    <w:p w14:paraId="512AD594" w14:textId="77777777" w:rsidR="008900D7" w:rsidRDefault="00730A01" w:rsidP="008900D7">
      <w:pPr>
        <w:pStyle w:val="Notedebasdepage"/>
      </w:pPr>
      <w:r>
        <w:rPr>
          <w:rStyle w:val="Appelnotedebasdep"/>
        </w:rPr>
        <w:footnoteRef/>
      </w:r>
      <w:r>
        <w:t xml:space="preserve"> </w:t>
      </w:r>
      <w:r>
        <w:tab/>
        <w:t>Pièce PSH-24.</w:t>
      </w:r>
    </w:p>
  </w:footnote>
  <w:footnote w:id="657">
    <w:p w14:paraId="73506621" w14:textId="77777777" w:rsidR="008900D7" w:rsidRDefault="00730A01" w:rsidP="008900D7">
      <w:pPr>
        <w:pStyle w:val="Notedebasdepage"/>
      </w:pPr>
      <w:r>
        <w:rPr>
          <w:rStyle w:val="Appelnotedebasdep"/>
        </w:rPr>
        <w:footnoteRef/>
      </w:r>
      <w:r>
        <w:t xml:space="preserve"> </w:t>
      </w:r>
      <w:r>
        <w:tab/>
        <w:t>Pièce D-84, p. 23 : Annexe D au protocole d’entente Transrapide.</w:t>
      </w:r>
    </w:p>
  </w:footnote>
  <w:footnote w:id="658">
    <w:p w14:paraId="6E6AF83F" w14:textId="77777777" w:rsidR="008900D7" w:rsidRDefault="00730A01" w:rsidP="008900D7">
      <w:pPr>
        <w:pStyle w:val="Notedebasdepage"/>
      </w:pPr>
      <w:r>
        <w:rPr>
          <w:rStyle w:val="Appelnotedebasdep"/>
        </w:rPr>
        <w:footnoteRef/>
      </w:r>
      <w:r>
        <w:t xml:space="preserve"> </w:t>
      </w:r>
      <w:r>
        <w:tab/>
        <w:t>Pièce PQ-18/PSH-30, p. 5.</w:t>
      </w:r>
    </w:p>
  </w:footnote>
  <w:footnote w:id="659">
    <w:p w14:paraId="18C27742" w14:textId="77777777" w:rsidR="008900D7" w:rsidRDefault="00730A01" w:rsidP="008900D7">
      <w:pPr>
        <w:pStyle w:val="Notedebasdepage"/>
      </w:pPr>
      <w:r>
        <w:rPr>
          <w:rStyle w:val="Appelnotedebasdep"/>
        </w:rPr>
        <w:footnoteRef/>
      </w:r>
      <w:r>
        <w:t xml:space="preserve"> </w:t>
      </w:r>
      <w:r>
        <w:tab/>
        <w:t>Pièce EP-1, par. 855.</w:t>
      </w:r>
    </w:p>
  </w:footnote>
  <w:footnote w:id="660">
    <w:p w14:paraId="7765E7E1" w14:textId="77777777" w:rsidR="008900D7" w:rsidRDefault="00730A01" w:rsidP="008900D7">
      <w:pPr>
        <w:pStyle w:val="Notedebasdepage"/>
      </w:pPr>
      <w:r>
        <w:rPr>
          <w:rStyle w:val="Appelnotedebasdep"/>
        </w:rPr>
        <w:footnoteRef/>
      </w:r>
      <w:r>
        <w:t xml:space="preserve"> </w:t>
      </w:r>
      <w:r>
        <w:tab/>
        <w:t>Pièce EP-1, par. 867.</w:t>
      </w:r>
    </w:p>
  </w:footnote>
  <w:footnote w:id="661">
    <w:p w14:paraId="1B7D98D4" w14:textId="77777777" w:rsidR="008900D7" w:rsidRDefault="00730A01" w:rsidP="008900D7">
      <w:pPr>
        <w:pStyle w:val="Notedebasdepage"/>
      </w:pPr>
      <w:r>
        <w:rPr>
          <w:rStyle w:val="Appelnotedebasdep"/>
        </w:rPr>
        <w:footnoteRef/>
      </w:r>
      <w:r>
        <w:t xml:space="preserve"> </w:t>
      </w:r>
      <w:r>
        <w:tab/>
        <w:t>Pièce EP-1, par. 840, 841 et 846; NS, St-Gelais, 10 février 2020, p. 90, 166-168, 209-211 et 219-220 et 11 février 2025, p. 21.</w:t>
      </w:r>
    </w:p>
  </w:footnote>
  <w:footnote w:id="662">
    <w:p w14:paraId="3C5CBAAF" w14:textId="77777777" w:rsidR="008900D7" w:rsidRDefault="00730A01" w:rsidP="008900D7">
      <w:pPr>
        <w:pStyle w:val="Notedebasdepage"/>
      </w:pPr>
      <w:r>
        <w:rPr>
          <w:rStyle w:val="Appelnotedebasdep"/>
        </w:rPr>
        <w:footnoteRef/>
      </w:r>
      <w:r>
        <w:t xml:space="preserve"> </w:t>
      </w:r>
      <w:r>
        <w:tab/>
        <w:t>Pièce PQ-256, p. 21. À titre d’exemple, le prêt de 7 M$ consenti par 8096 à Huot au mois d’avril 2020 représentait une charge d’intérêts et frais annuelle de 1,26 M$ à lui seul, laquelle n’est toutefois pas reflétée aux tableaux de bord transmis aux commanditaires.</w:t>
      </w:r>
    </w:p>
  </w:footnote>
  <w:footnote w:id="663">
    <w:p w14:paraId="4C7291DB" w14:textId="77777777" w:rsidR="00D81BE7" w:rsidRDefault="00730A01" w:rsidP="00D81BE7">
      <w:pPr>
        <w:pStyle w:val="Notedebasdepage"/>
      </w:pPr>
      <w:r>
        <w:rPr>
          <w:rStyle w:val="Appelnotedebasdep"/>
        </w:rPr>
        <w:footnoteRef/>
      </w:r>
      <w:r>
        <w:t xml:space="preserve"> </w:t>
      </w:r>
      <w:r>
        <w:tab/>
        <w:t>Pièce PQ-21.</w:t>
      </w:r>
    </w:p>
  </w:footnote>
  <w:footnote w:id="664">
    <w:p w14:paraId="625266EF" w14:textId="77777777" w:rsidR="00D81BE7" w:rsidRDefault="00730A01" w:rsidP="00D81BE7">
      <w:pPr>
        <w:pStyle w:val="Notedebasdepage"/>
      </w:pPr>
      <w:r>
        <w:rPr>
          <w:rStyle w:val="Appelnotedebasdep"/>
        </w:rPr>
        <w:footnoteRef/>
      </w:r>
      <w:r>
        <w:t xml:space="preserve"> </w:t>
      </w:r>
      <w:r>
        <w:tab/>
        <w:t>Pièce PQ-24.</w:t>
      </w:r>
    </w:p>
  </w:footnote>
  <w:footnote w:id="665">
    <w:p w14:paraId="0E43B9A4" w14:textId="77777777" w:rsidR="00D81BE7" w:rsidRDefault="00730A01" w:rsidP="00D81BE7">
      <w:pPr>
        <w:pStyle w:val="Notedebasdepage"/>
      </w:pPr>
      <w:r>
        <w:rPr>
          <w:rStyle w:val="Appelnotedebasdep"/>
        </w:rPr>
        <w:footnoteRef/>
      </w:r>
      <w:r>
        <w:t xml:space="preserve"> </w:t>
      </w:r>
      <w:r>
        <w:tab/>
        <w:t>Pièce EP-1, par. 237.</w:t>
      </w:r>
    </w:p>
  </w:footnote>
  <w:footnote w:id="666">
    <w:p w14:paraId="573581BF" w14:textId="77777777" w:rsidR="00F56955" w:rsidRDefault="00730A01">
      <w:pPr>
        <w:pStyle w:val="Notedebasdepage"/>
      </w:pPr>
      <w:r>
        <w:rPr>
          <w:rStyle w:val="Appelnotedebasdep"/>
        </w:rPr>
        <w:footnoteRef/>
      </w:r>
      <w:r>
        <w:t xml:space="preserve"> </w:t>
      </w:r>
      <w:r>
        <w:tab/>
        <w:t>D-541.22 et D-541.31 : transmission et préparation expéditive des documents du prêt; PQ-103 : aveu de Huot du 2 mars 2022 sur les difficultés financières; PQ-33 et PQ-266, p. 8 : ratio prêt/valeur de 0 %; PQ-62 : retrait des garanties sans remplacement; NS, Nadine Lehoux, 20 janvier 2025, p. 144-145 : aucune décision sans Giroux; PQ-131, PQ-132, EP-1.5A p. 102 : états financiers déficitaires.</w:t>
      </w:r>
    </w:p>
  </w:footnote>
  <w:footnote w:id="667">
    <w:p w14:paraId="3ABF6CEE" w14:textId="77777777" w:rsidR="00D81BE7" w:rsidRDefault="00730A01" w:rsidP="00D81BE7">
      <w:pPr>
        <w:pStyle w:val="Notedebasdepage"/>
      </w:pPr>
      <w:r>
        <w:rPr>
          <w:rStyle w:val="Appelnotedebasdep"/>
        </w:rPr>
        <w:footnoteRef/>
      </w:r>
      <w:r>
        <w:t xml:space="preserve"> </w:t>
      </w:r>
      <w:r>
        <w:tab/>
        <w:t>Pièce D-536.23, par. 21.</w:t>
      </w:r>
    </w:p>
  </w:footnote>
  <w:footnote w:id="668">
    <w:p w14:paraId="5CC2B98E" w14:textId="77777777" w:rsidR="00D81BE7" w:rsidRDefault="00730A01" w:rsidP="00D81BE7">
      <w:pPr>
        <w:pStyle w:val="Notedebasdepage"/>
      </w:pPr>
      <w:r>
        <w:rPr>
          <w:rStyle w:val="Appelnotedebasdep"/>
        </w:rPr>
        <w:footnoteRef/>
      </w:r>
      <w:r>
        <w:t xml:space="preserve"> </w:t>
      </w:r>
      <w:r>
        <w:tab/>
        <w:t>Pièce EP-1.</w:t>
      </w:r>
    </w:p>
  </w:footnote>
  <w:footnote w:id="669">
    <w:p w14:paraId="35556749" w14:textId="77777777" w:rsidR="00D81BE7" w:rsidRDefault="00730A01" w:rsidP="00D81BE7">
      <w:pPr>
        <w:pStyle w:val="Notedebasdepage"/>
      </w:pPr>
      <w:r>
        <w:rPr>
          <w:rStyle w:val="Appelnotedebasdep"/>
        </w:rPr>
        <w:footnoteRef/>
      </w:r>
      <w:r>
        <w:t xml:space="preserve"> </w:t>
      </w:r>
      <w:r>
        <w:tab/>
        <w:t>Pièces D-536.12 et D-536.13.</w:t>
      </w:r>
    </w:p>
  </w:footnote>
  <w:footnote w:id="670">
    <w:p w14:paraId="2868282C" w14:textId="77777777" w:rsidR="00D81BE7" w:rsidRDefault="00730A01" w:rsidP="00D81BE7">
      <w:pPr>
        <w:pStyle w:val="Notedebasdepage"/>
      </w:pPr>
      <w:r>
        <w:rPr>
          <w:rStyle w:val="Appelnotedebasdep"/>
        </w:rPr>
        <w:footnoteRef/>
      </w:r>
      <w:r>
        <w:t xml:space="preserve"> </w:t>
      </w:r>
      <w:r>
        <w:tab/>
      </w:r>
      <w:r w:rsidRPr="00BB2431">
        <w:rPr>
          <w:kern w:val="24"/>
        </w:rPr>
        <w:t>P</w:t>
      </w:r>
      <w:r w:rsidRPr="00BB2431">
        <w:rPr>
          <w:rStyle w:val="lev"/>
          <w:rFonts w:cs="Arial"/>
          <w:b w:val="0"/>
          <w:bCs w:val="0"/>
          <w:kern w:val="24"/>
        </w:rPr>
        <w:t>ièces PQ-215, PQ-217 et PQ-218</w:t>
      </w:r>
      <w:r w:rsidRPr="00BB2431">
        <w:rPr>
          <w:b/>
          <w:bCs/>
          <w:kern w:val="24"/>
        </w:rPr>
        <w:t xml:space="preserve"> </w:t>
      </w:r>
      <w:r w:rsidRPr="00BB2431">
        <w:rPr>
          <w:kern w:val="24"/>
        </w:rPr>
        <w:t>(états financiers 2019, 2020, 2021);</w:t>
      </w:r>
      <w:r w:rsidRPr="00BB2431">
        <w:rPr>
          <w:b/>
          <w:bCs/>
          <w:kern w:val="24"/>
        </w:rPr>
        <w:t xml:space="preserve"> </w:t>
      </w:r>
      <w:r w:rsidRPr="00BB2431">
        <w:rPr>
          <w:rStyle w:val="lev"/>
          <w:rFonts w:cs="Arial"/>
          <w:b w:val="0"/>
          <w:bCs w:val="0"/>
          <w:kern w:val="24"/>
        </w:rPr>
        <w:t>EP-1, par. 228</w:t>
      </w:r>
      <w:r w:rsidRPr="00BB2431">
        <w:rPr>
          <w:b/>
          <w:bCs/>
          <w:kern w:val="24"/>
        </w:rPr>
        <w:t xml:space="preserve">; </w:t>
      </w:r>
      <w:r w:rsidRPr="00BB2431">
        <w:rPr>
          <w:rStyle w:val="lev"/>
          <w:rFonts w:cs="Arial"/>
          <w:b w:val="0"/>
          <w:bCs w:val="0"/>
          <w:kern w:val="24"/>
        </w:rPr>
        <w:t>EP-1.3 A</w:t>
      </w:r>
      <w:r w:rsidR="00435086">
        <w:rPr>
          <w:rStyle w:val="lev"/>
          <w:rFonts w:cs="Arial"/>
          <w:b w:val="0"/>
          <w:bCs w:val="0"/>
          <w:kern w:val="24"/>
        </w:rPr>
        <w:t>.</w:t>
      </w:r>
    </w:p>
  </w:footnote>
  <w:footnote w:id="671">
    <w:p w14:paraId="3ED9F2DB" w14:textId="77777777" w:rsidR="00D81BE7" w:rsidRDefault="00730A01" w:rsidP="00D81BE7">
      <w:pPr>
        <w:pStyle w:val="Notedebasdepage"/>
      </w:pPr>
      <w:r>
        <w:rPr>
          <w:rStyle w:val="Appelnotedebasdep"/>
        </w:rPr>
        <w:footnoteRef/>
      </w:r>
      <w:r>
        <w:t xml:space="preserve"> </w:t>
      </w:r>
      <w:r>
        <w:tab/>
        <w:t>Pièce PQ-256.1, p. 1 et 3.</w:t>
      </w:r>
    </w:p>
  </w:footnote>
  <w:footnote w:id="672">
    <w:p w14:paraId="4A46915A" w14:textId="77777777" w:rsidR="00F56955" w:rsidRDefault="00730A01" w:rsidP="00F56955">
      <w:pPr>
        <w:pStyle w:val="Notedebasdepage"/>
      </w:pPr>
      <w:r>
        <w:rPr>
          <w:rStyle w:val="Appelnotedebasdep"/>
        </w:rPr>
        <w:footnoteRef/>
      </w:r>
      <w:r>
        <w:t xml:space="preserve"> </w:t>
      </w:r>
      <w:r>
        <w:tab/>
        <w:t>Pièce PQ-264.</w:t>
      </w:r>
    </w:p>
  </w:footnote>
  <w:footnote w:id="673">
    <w:p w14:paraId="104302B7" w14:textId="77777777" w:rsidR="00BE37B9" w:rsidRDefault="00730A01">
      <w:pPr>
        <w:pStyle w:val="Notedebasdepage"/>
      </w:pPr>
      <w:r>
        <w:rPr>
          <w:rStyle w:val="Appelnotedebasdep"/>
        </w:rPr>
        <w:footnoteRef/>
      </w:r>
      <w:r>
        <w:t xml:space="preserve"> </w:t>
      </w:r>
      <w:r>
        <w:tab/>
        <w:t>À noter que Giroux a chargé des frais pour visite de chantier alors qu’il n’y avait pas de chantier.</w:t>
      </w:r>
    </w:p>
  </w:footnote>
  <w:footnote w:id="674">
    <w:p w14:paraId="75CBD1DC" w14:textId="77777777" w:rsidR="00BE37B9" w:rsidRDefault="00730A01">
      <w:pPr>
        <w:pStyle w:val="Notedebasdepage"/>
      </w:pPr>
      <w:r>
        <w:rPr>
          <w:rStyle w:val="Appelnotedebasdep"/>
        </w:rPr>
        <w:footnoteRef/>
      </w:r>
      <w:r>
        <w:t xml:space="preserve"> </w:t>
      </w:r>
      <w:r>
        <w:tab/>
        <w:t>PQ-33, p. 9 : tableau de X2 Capital indiquant un ratio prêt/valeur de 0 %; PQ-131, PQ=132, EP-1.5</w:t>
      </w:r>
      <w:r w:rsidR="00435086">
        <w:t xml:space="preserve"> </w:t>
      </w:r>
      <w:r>
        <w:t>A</w:t>
      </w:r>
      <w:r w:rsidR="00435086">
        <w:t>,</w:t>
      </w:r>
      <w:r>
        <w:t xml:space="preserve"> p. 102 : états financiers 2020-2022 montrant pertes et déficits; Témoignage de Giroux (NS, 3</w:t>
      </w:r>
      <w:r w:rsidR="00435086">
        <w:t> </w:t>
      </w:r>
      <w:r>
        <w:t>juin</w:t>
      </w:r>
      <w:r w:rsidR="00435086">
        <w:t> </w:t>
      </w:r>
      <w:r>
        <w:t>2024, p. 1942-1945) : admettant que le prêt Saint-Hubert fut un « véritable désastre ».</w:t>
      </w:r>
    </w:p>
  </w:footnote>
  <w:footnote w:id="675">
    <w:p w14:paraId="273EEBA5" w14:textId="77777777" w:rsidR="00B07B6F" w:rsidRDefault="00730A01">
      <w:pPr>
        <w:pStyle w:val="Notedebasdepage"/>
      </w:pPr>
      <w:r>
        <w:rPr>
          <w:rStyle w:val="Appelnotedebasdep"/>
        </w:rPr>
        <w:footnoteRef/>
      </w:r>
      <w:r>
        <w:t xml:space="preserve"> </w:t>
      </w:r>
      <w:r w:rsidR="004F6FDC">
        <w:tab/>
        <w:t>D-537.19 : courriel du 15 juin 2020 présentant le projet aux commanditaires et pièce PQ-28.</w:t>
      </w:r>
    </w:p>
  </w:footnote>
  <w:footnote w:id="676">
    <w:p w14:paraId="33E2E332" w14:textId="77777777" w:rsidR="00B07B6F" w:rsidRDefault="00730A01">
      <w:pPr>
        <w:pStyle w:val="Notedebasdepage"/>
      </w:pPr>
      <w:r>
        <w:rPr>
          <w:rStyle w:val="Appelnotedebasdep"/>
        </w:rPr>
        <w:footnoteRef/>
      </w:r>
      <w:r>
        <w:t xml:space="preserve"> </w:t>
      </w:r>
      <w:r>
        <w:tab/>
        <w:t>Pièce EP-5.</w:t>
      </w:r>
    </w:p>
  </w:footnote>
  <w:footnote w:id="677">
    <w:p w14:paraId="2232CF3B" w14:textId="77777777" w:rsidR="00B07B6F" w:rsidRDefault="00730A01">
      <w:pPr>
        <w:pStyle w:val="Notedebasdepage"/>
      </w:pPr>
      <w:r>
        <w:rPr>
          <w:rStyle w:val="Appelnotedebasdep"/>
        </w:rPr>
        <w:footnoteRef/>
      </w:r>
      <w:r>
        <w:t xml:space="preserve"> </w:t>
      </w:r>
      <w:r>
        <w:tab/>
        <w:t>Pièce PQ-256.2, p.1.</w:t>
      </w:r>
    </w:p>
  </w:footnote>
  <w:footnote w:id="678">
    <w:p w14:paraId="1244CAA6" w14:textId="77777777" w:rsidR="008F1BD9" w:rsidRDefault="00730A01">
      <w:pPr>
        <w:pStyle w:val="Notedebasdepage"/>
      </w:pPr>
      <w:r>
        <w:rPr>
          <w:rStyle w:val="Appelnotedebasdep"/>
        </w:rPr>
        <w:footnoteRef/>
      </w:r>
      <w:r>
        <w:t xml:space="preserve"> </w:t>
      </w:r>
      <w:r>
        <w:tab/>
        <w:t>Pièce PQ-292.</w:t>
      </w:r>
    </w:p>
  </w:footnote>
  <w:footnote w:id="679">
    <w:p w14:paraId="741F0F54" w14:textId="77777777" w:rsidR="0024458E" w:rsidRDefault="00730A01">
      <w:pPr>
        <w:pStyle w:val="Notedebasdepage"/>
      </w:pPr>
      <w:r>
        <w:rPr>
          <w:rStyle w:val="Appelnotedebasdep"/>
        </w:rPr>
        <w:footnoteRef/>
      </w:r>
      <w:r>
        <w:t xml:space="preserve"> </w:t>
      </w:r>
      <w:r>
        <w:tab/>
        <w:t>Pièce PQ-293.</w:t>
      </w:r>
    </w:p>
  </w:footnote>
  <w:footnote w:id="680">
    <w:p w14:paraId="669BFF3A" w14:textId="77777777" w:rsidR="0024458E" w:rsidRDefault="00730A01">
      <w:pPr>
        <w:pStyle w:val="Notedebasdepage"/>
      </w:pPr>
      <w:r>
        <w:rPr>
          <w:rStyle w:val="Appelnotedebasdep"/>
        </w:rPr>
        <w:footnoteRef/>
      </w:r>
      <w:r>
        <w:t xml:space="preserve"> </w:t>
      </w:r>
      <w:r>
        <w:tab/>
        <w:t>DII modifiée le 1 octobre 2025.</w:t>
      </w:r>
    </w:p>
  </w:footnote>
  <w:footnote w:id="681">
    <w:p w14:paraId="099B3BB3" w14:textId="77777777" w:rsidR="00F76DE9" w:rsidRDefault="00730A01">
      <w:pPr>
        <w:pStyle w:val="Notedebasdepage"/>
      </w:pPr>
      <w:r>
        <w:rPr>
          <w:rStyle w:val="Appelnotedebasdep"/>
        </w:rPr>
        <w:footnoteRef/>
      </w:r>
      <w:r>
        <w:t xml:space="preserve"> </w:t>
      </w:r>
      <w:r>
        <w:tab/>
        <w:t>Pièce PQ-39.</w:t>
      </w:r>
    </w:p>
  </w:footnote>
  <w:footnote w:id="682">
    <w:p w14:paraId="234DFD86" w14:textId="77777777" w:rsidR="007D272E" w:rsidRDefault="00730A01">
      <w:pPr>
        <w:pStyle w:val="Notedebasdepage"/>
      </w:pPr>
      <w:r>
        <w:rPr>
          <w:rStyle w:val="Appelnotedebasdep"/>
        </w:rPr>
        <w:footnoteRef/>
      </w:r>
      <w:r>
        <w:t xml:space="preserve"> </w:t>
      </w:r>
      <w:r>
        <w:tab/>
        <w:t>Pièce PQ-41.</w:t>
      </w:r>
    </w:p>
  </w:footnote>
  <w:footnote w:id="683">
    <w:p w14:paraId="0203B9B4" w14:textId="77777777" w:rsidR="007D272E" w:rsidRDefault="00730A01">
      <w:pPr>
        <w:pStyle w:val="Notedebasdepage"/>
      </w:pPr>
      <w:r>
        <w:rPr>
          <w:rStyle w:val="Appelnotedebasdep"/>
        </w:rPr>
        <w:footnoteRef/>
      </w:r>
      <w:r>
        <w:t xml:space="preserve"> </w:t>
      </w:r>
      <w:r>
        <w:tab/>
        <w:t>Pièce EP-1, p. 110-113.</w:t>
      </w:r>
    </w:p>
  </w:footnote>
  <w:footnote w:id="684">
    <w:p w14:paraId="63F7CE75" w14:textId="77777777" w:rsidR="008F1BD9" w:rsidRDefault="00730A01">
      <w:pPr>
        <w:pStyle w:val="Notedebasdepage"/>
      </w:pPr>
      <w:r>
        <w:rPr>
          <w:rStyle w:val="Appelnotedebasdep"/>
        </w:rPr>
        <w:footnoteRef/>
      </w:r>
      <w:r>
        <w:t xml:space="preserve"> </w:t>
      </w:r>
      <w:r>
        <w:tab/>
        <w:t>Pièce PQ-44.</w:t>
      </w:r>
    </w:p>
  </w:footnote>
  <w:footnote w:id="685">
    <w:p w14:paraId="34B854D2" w14:textId="77777777" w:rsidR="008F1BD9" w:rsidRDefault="00730A01">
      <w:pPr>
        <w:pStyle w:val="Notedebasdepage"/>
      </w:pPr>
      <w:r>
        <w:rPr>
          <w:rStyle w:val="Appelnotedebasdep"/>
        </w:rPr>
        <w:footnoteRef/>
      </w:r>
      <w:r>
        <w:t xml:space="preserve"> </w:t>
      </w:r>
      <w:r>
        <w:tab/>
        <w:t>Pièce PQ-45.</w:t>
      </w:r>
    </w:p>
  </w:footnote>
  <w:footnote w:id="686">
    <w:p w14:paraId="1E9ABF81" w14:textId="77777777" w:rsidR="008F1BD9" w:rsidRDefault="00730A01">
      <w:pPr>
        <w:pStyle w:val="Notedebasdepage"/>
      </w:pPr>
      <w:r>
        <w:rPr>
          <w:rStyle w:val="Appelnotedebasdep"/>
        </w:rPr>
        <w:footnoteRef/>
      </w:r>
      <w:r>
        <w:t xml:space="preserve"> </w:t>
      </w:r>
      <w:r>
        <w:tab/>
        <w:t>Pièce PQ-46.</w:t>
      </w:r>
    </w:p>
  </w:footnote>
  <w:footnote w:id="687">
    <w:p w14:paraId="31B168B8" w14:textId="77777777" w:rsidR="00893685" w:rsidRDefault="00730A01">
      <w:pPr>
        <w:pStyle w:val="Notedebasdepage"/>
      </w:pPr>
      <w:r>
        <w:rPr>
          <w:rStyle w:val="Appelnotedebasdep"/>
        </w:rPr>
        <w:footnoteRef/>
      </w:r>
      <w:r>
        <w:t xml:space="preserve"> </w:t>
      </w:r>
      <w:r>
        <w:tab/>
        <w:t>Pièce PQ-78.</w:t>
      </w:r>
    </w:p>
  </w:footnote>
  <w:footnote w:id="688">
    <w:p w14:paraId="7E0B1ECD" w14:textId="77777777" w:rsidR="00893685" w:rsidRDefault="00730A01">
      <w:pPr>
        <w:pStyle w:val="Notedebasdepage"/>
      </w:pPr>
      <w:r>
        <w:rPr>
          <w:rStyle w:val="Appelnotedebasdep"/>
        </w:rPr>
        <w:footnoteRef/>
      </w:r>
      <w:r>
        <w:t xml:space="preserve"> </w:t>
      </w:r>
      <w:r>
        <w:tab/>
        <w:t>Pièces PQ-33 et PQ-256 p. 7-8.</w:t>
      </w:r>
    </w:p>
  </w:footnote>
  <w:footnote w:id="689">
    <w:p w14:paraId="0BA99503" w14:textId="77777777" w:rsidR="00893685" w:rsidRDefault="00730A01">
      <w:pPr>
        <w:pStyle w:val="Notedebasdepage"/>
      </w:pPr>
      <w:r>
        <w:rPr>
          <w:rStyle w:val="Appelnotedebasdep"/>
        </w:rPr>
        <w:footnoteRef/>
      </w:r>
      <w:r>
        <w:t xml:space="preserve"> </w:t>
      </w:r>
      <w:r>
        <w:tab/>
        <w:t>Pièces PQ-96 et EP-1.</w:t>
      </w:r>
    </w:p>
  </w:footnote>
  <w:footnote w:id="690">
    <w:p w14:paraId="03C6555B" w14:textId="77777777" w:rsidR="00893685" w:rsidRDefault="00730A01">
      <w:pPr>
        <w:pStyle w:val="Notedebasdepage"/>
      </w:pPr>
      <w:r>
        <w:rPr>
          <w:rStyle w:val="Appelnotedebasdep"/>
        </w:rPr>
        <w:footnoteRef/>
      </w:r>
      <w:r>
        <w:t xml:space="preserve"> </w:t>
      </w:r>
      <w:r>
        <w:tab/>
        <w:t>Pièce PQ-95.</w:t>
      </w:r>
    </w:p>
  </w:footnote>
  <w:footnote w:id="691">
    <w:p w14:paraId="6AC53F8D" w14:textId="77777777" w:rsidR="00893685" w:rsidRDefault="00730A01">
      <w:pPr>
        <w:pStyle w:val="Notedebasdepage"/>
      </w:pPr>
      <w:r>
        <w:rPr>
          <w:rStyle w:val="Appelnotedebasdep"/>
        </w:rPr>
        <w:footnoteRef/>
      </w:r>
      <w:r>
        <w:t xml:space="preserve"> </w:t>
      </w:r>
      <w:r>
        <w:tab/>
        <w:t>Pièce EP-1 p. 101-109.</w:t>
      </w:r>
    </w:p>
  </w:footnote>
  <w:footnote w:id="692">
    <w:p w14:paraId="2C23E69B" w14:textId="77777777" w:rsidR="00EE647D" w:rsidRDefault="00730A01">
      <w:pPr>
        <w:pStyle w:val="Notedebasdepage"/>
      </w:pPr>
      <w:r>
        <w:rPr>
          <w:rStyle w:val="Appelnotedebasdep"/>
        </w:rPr>
        <w:footnoteRef/>
      </w:r>
      <w:r>
        <w:t xml:space="preserve"> </w:t>
      </w:r>
      <w:r>
        <w:tab/>
        <w:t xml:space="preserve">Pièces </w:t>
      </w:r>
      <w:r w:rsidRPr="00EE647D">
        <w:rPr>
          <w:rFonts w:cs="Arial"/>
        </w:rPr>
        <w:t>PQ-82, PQ-256</w:t>
      </w:r>
      <w:r>
        <w:rPr>
          <w:rFonts w:cs="Arial"/>
        </w:rPr>
        <w:t xml:space="preserve"> et</w:t>
      </w:r>
      <w:r w:rsidRPr="00EE647D">
        <w:rPr>
          <w:rFonts w:cs="Arial"/>
        </w:rPr>
        <w:t xml:space="preserve"> E</w:t>
      </w:r>
      <w:r>
        <w:rPr>
          <w:rFonts w:cs="Arial"/>
        </w:rPr>
        <w:t>P</w:t>
      </w:r>
      <w:r w:rsidRPr="00EE647D">
        <w:rPr>
          <w:rFonts w:cs="Arial"/>
        </w:rPr>
        <w:t>-1 par. 280 i</w:t>
      </w:r>
      <w:r>
        <w:rPr>
          <w:rFonts w:cs="Arial"/>
        </w:rPr>
        <w:t>).</w:t>
      </w:r>
    </w:p>
  </w:footnote>
  <w:footnote w:id="693">
    <w:p w14:paraId="78528ED0" w14:textId="77777777" w:rsidR="003B6474" w:rsidRDefault="00730A01">
      <w:pPr>
        <w:pStyle w:val="Notedebasdepage"/>
      </w:pPr>
      <w:r>
        <w:rPr>
          <w:rStyle w:val="Appelnotedebasdep"/>
        </w:rPr>
        <w:footnoteRef/>
      </w:r>
      <w:r>
        <w:t xml:space="preserve"> </w:t>
      </w:r>
      <w:r>
        <w:tab/>
        <w:t>D-540 et Compendium de M</w:t>
      </w:r>
      <w:r w:rsidRPr="003B6474">
        <w:rPr>
          <w:vertAlign w:val="superscript"/>
        </w:rPr>
        <w:t>e</w:t>
      </w:r>
      <w:r>
        <w:t xml:space="preserve"> Côté, p. 205-206,</w:t>
      </w:r>
    </w:p>
  </w:footnote>
  <w:footnote w:id="694">
    <w:p w14:paraId="123DBED9" w14:textId="77777777" w:rsidR="00EA68E3" w:rsidRDefault="00730A01">
      <w:pPr>
        <w:pStyle w:val="Notedebasdepage"/>
      </w:pPr>
      <w:r>
        <w:rPr>
          <w:rStyle w:val="Appelnotedebasdep"/>
        </w:rPr>
        <w:footnoteRef/>
      </w:r>
      <w:r>
        <w:t xml:space="preserve"> </w:t>
      </w:r>
      <w:r>
        <w:tab/>
        <w:t>Pièce PQ-29.1.</w:t>
      </w:r>
    </w:p>
  </w:footnote>
  <w:footnote w:id="695">
    <w:p w14:paraId="65CF32EB" w14:textId="77777777" w:rsidR="00EA68E3" w:rsidRDefault="00730A01">
      <w:pPr>
        <w:pStyle w:val="Notedebasdepage"/>
      </w:pPr>
      <w:r>
        <w:rPr>
          <w:rStyle w:val="Appelnotedebasdep"/>
        </w:rPr>
        <w:footnoteRef/>
      </w:r>
      <w:r>
        <w:t xml:space="preserve"> </w:t>
      </w:r>
      <w:r>
        <w:tab/>
        <w:t xml:space="preserve">Pièce </w:t>
      </w:r>
      <w:r w:rsidRPr="00EA68E3">
        <w:rPr>
          <w:rFonts w:cs="Arial"/>
          <w:lang w:eastAsia="fr-CA"/>
        </w:rPr>
        <w:t>D-537.19</w:t>
      </w:r>
      <w:r>
        <w:rPr>
          <w:rFonts w:cs="Arial"/>
          <w:lang w:eastAsia="fr-CA"/>
        </w:rPr>
        <w:t>.</w:t>
      </w:r>
    </w:p>
  </w:footnote>
  <w:footnote w:id="696">
    <w:p w14:paraId="58E14207" w14:textId="77777777" w:rsidR="00EA68E3" w:rsidRDefault="00730A01">
      <w:pPr>
        <w:pStyle w:val="Notedebasdepage"/>
      </w:pPr>
      <w:r>
        <w:rPr>
          <w:rStyle w:val="Appelnotedebasdep"/>
        </w:rPr>
        <w:footnoteRef/>
      </w:r>
      <w:r>
        <w:t xml:space="preserve"> </w:t>
      </w:r>
      <w:r>
        <w:tab/>
        <w:t>Pièce D-537.15.</w:t>
      </w:r>
    </w:p>
  </w:footnote>
  <w:footnote w:id="697">
    <w:p w14:paraId="54AEEC85" w14:textId="77777777" w:rsidR="00EA68E3" w:rsidRDefault="00730A01">
      <w:pPr>
        <w:pStyle w:val="Notedebasdepage"/>
      </w:pPr>
      <w:r>
        <w:rPr>
          <w:rStyle w:val="Appelnotedebasdep"/>
        </w:rPr>
        <w:footnoteRef/>
      </w:r>
      <w:r>
        <w:t xml:space="preserve"> </w:t>
      </w:r>
      <w:r>
        <w:tab/>
        <w:t>Pièce D-537.15.</w:t>
      </w:r>
    </w:p>
  </w:footnote>
  <w:footnote w:id="698">
    <w:p w14:paraId="55B48C52" w14:textId="77777777" w:rsidR="00EA68E3" w:rsidRDefault="00730A01">
      <w:pPr>
        <w:pStyle w:val="Notedebasdepage"/>
      </w:pPr>
      <w:r>
        <w:rPr>
          <w:rStyle w:val="Appelnotedebasdep"/>
        </w:rPr>
        <w:footnoteRef/>
      </w:r>
      <w:r>
        <w:t xml:space="preserve"> </w:t>
      </w:r>
      <w:r>
        <w:tab/>
        <w:t>Clause 3, Convention de prêt D-642.</w:t>
      </w:r>
    </w:p>
  </w:footnote>
  <w:footnote w:id="699">
    <w:p w14:paraId="0A78161C" w14:textId="77777777" w:rsidR="006F0F5A" w:rsidRDefault="00730A01">
      <w:pPr>
        <w:pStyle w:val="Notedebasdepage"/>
      </w:pPr>
      <w:r>
        <w:rPr>
          <w:rStyle w:val="Appelnotedebasdep"/>
        </w:rPr>
        <w:footnoteRef/>
      </w:r>
      <w:r>
        <w:t xml:space="preserve"> </w:t>
      </w:r>
      <w:r>
        <w:tab/>
        <w:t>Témoignage de Sylvain Tremblay du 6 juin 2024.</w:t>
      </w:r>
    </w:p>
  </w:footnote>
  <w:footnote w:id="700">
    <w:p w14:paraId="3BF4EE5D" w14:textId="77777777" w:rsidR="006F0F5A" w:rsidRDefault="00730A01">
      <w:pPr>
        <w:pStyle w:val="Notedebasdepage"/>
      </w:pPr>
      <w:r>
        <w:rPr>
          <w:rStyle w:val="Appelnotedebasdep"/>
        </w:rPr>
        <w:footnoteRef/>
      </w:r>
      <w:r>
        <w:t xml:space="preserve"> </w:t>
      </w:r>
      <w:r>
        <w:tab/>
        <w:t>Offre d’achat du 7 juillet 2024, pièce D-296.</w:t>
      </w:r>
    </w:p>
  </w:footnote>
  <w:footnote w:id="701">
    <w:p w14:paraId="3E69367C" w14:textId="77777777" w:rsidR="00261048" w:rsidRDefault="00730A01">
      <w:pPr>
        <w:pStyle w:val="Notedebasdepage"/>
      </w:pPr>
      <w:r>
        <w:rPr>
          <w:rStyle w:val="Appelnotedebasdep"/>
        </w:rPr>
        <w:footnoteRef/>
      </w:r>
      <w:r>
        <w:t xml:space="preserve"> </w:t>
      </w:r>
      <w:r>
        <w:tab/>
        <w:t>Pièce D-535.62.</w:t>
      </w:r>
    </w:p>
  </w:footnote>
  <w:footnote w:id="702">
    <w:p w14:paraId="655BFE93" w14:textId="77777777" w:rsidR="006F0F5A" w:rsidRDefault="00730A01">
      <w:pPr>
        <w:pStyle w:val="Notedebasdepage"/>
      </w:pPr>
      <w:r>
        <w:rPr>
          <w:rStyle w:val="Appelnotedebasdep"/>
        </w:rPr>
        <w:footnoteRef/>
      </w:r>
      <w:r>
        <w:t xml:space="preserve"> </w:t>
      </w:r>
      <w:r>
        <w:tab/>
        <w:t>Pièce PQ-75.</w:t>
      </w:r>
    </w:p>
  </w:footnote>
  <w:footnote w:id="703">
    <w:p w14:paraId="15422AD7" w14:textId="77777777" w:rsidR="00EA68E3" w:rsidRDefault="00730A01">
      <w:pPr>
        <w:pStyle w:val="Notedebasdepage"/>
      </w:pPr>
      <w:r>
        <w:rPr>
          <w:rStyle w:val="Appelnotedebasdep"/>
        </w:rPr>
        <w:footnoteRef/>
      </w:r>
      <w:r>
        <w:t xml:space="preserve"> </w:t>
      </w:r>
      <w:r>
        <w:tab/>
        <w:t>Pièce D-537.19.</w:t>
      </w:r>
    </w:p>
  </w:footnote>
  <w:footnote w:id="704">
    <w:p w14:paraId="267240FD" w14:textId="77777777" w:rsidR="00EA68E3" w:rsidRDefault="00730A01">
      <w:pPr>
        <w:pStyle w:val="Notedebasdepage"/>
      </w:pPr>
      <w:r>
        <w:rPr>
          <w:rStyle w:val="Appelnotedebasdep"/>
        </w:rPr>
        <w:footnoteRef/>
      </w:r>
      <w:r>
        <w:t xml:space="preserve"> </w:t>
      </w:r>
      <w:r>
        <w:tab/>
        <w:t>Q12P026, 1,5 M$; pièce PQ-29.1</w:t>
      </w:r>
    </w:p>
  </w:footnote>
  <w:footnote w:id="705">
    <w:p w14:paraId="0833FD4F" w14:textId="77777777" w:rsidR="00EA68E3" w:rsidRDefault="00730A01">
      <w:pPr>
        <w:pStyle w:val="Notedebasdepage"/>
      </w:pPr>
      <w:r>
        <w:rPr>
          <w:rStyle w:val="Appelnotedebasdep"/>
        </w:rPr>
        <w:footnoteRef/>
      </w:r>
      <w:r>
        <w:t xml:space="preserve"> </w:t>
      </w:r>
      <w:r>
        <w:tab/>
        <w:t>Pièce D-537.15.</w:t>
      </w:r>
    </w:p>
  </w:footnote>
  <w:footnote w:id="706">
    <w:p w14:paraId="4D89798B" w14:textId="77777777" w:rsidR="00EA68E3" w:rsidRDefault="00730A01">
      <w:pPr>
        <w:pStyle w:val="Notedebasdepage"/>
      </w:pPr>
      <w:r>
        <w:rPr>
          <w:rStyle w:val="Appelnotedebasdep"/>
        </w:rPr>
        <w:footnoteRef/>
      </w:r>
      <w:r>
        <w:t xml:space="preserve"> </w:t>
      </w:r>
      <w:r>
        <w:tab/>
        <w:t>Pièce D-537.15.</w:t>
      </w:r>
    </w:p>
  </w:footnote>
  <w:footnote w:id="707">
    <w:p w14:paraId="2E08AC07" w14:textId="77777777" w:rsidR="00EA68E3" w:rsidRDefault="00730A01">
      <w:pPr>
        <w:pStyle w:val="Notedebasdepage"/>
      </w:pPr>
      <w:r>
        <w:rPr>
          <w:rStyle w:val="Appelnotedebasdep"/>
        </w:rPr>
        <w:footnoteRef/>
      </w:r>
      <w:r>
        <w:t xml:space="preserve"> </w:t>
      </w:r>
      <w:r>
        <w:tab/>
        <w:t xml:space="preserve">Pièces </w:t>
      </w:r>
      <w:r w:rsidRPr="00EA68E3">
        <w:rPr>
          <w:rFonts w:cs="Arial"/>
          <w:szCs w:val="24"/>
          <w:lang w:eastAsia="fr-CA"/>
        </w:rPr>
        <w:t>D-535.60 et D-535.61</w:t>
      </w:r>
      <w:r>
        <w:rPr>
          <w:rFonts w:cs="Arial"/>
          <w:szCs w:val="24"/>
          <w:lang w:eastAsia="fr-CA"/>
        </w:rPr>
        <w:t>.</w:t>
      </w:r>
    </w:p>
  </w:footnote>
  <w:footnote w:id="708">
    <w:p w14:paraId="1DBC5CEA" w14:textId="77777777" w:rsidR="0009445D" w:rsidRDefault="00730A01" w:rsidP="0009445D">
      <w:pPr>
        <w:pStyle w:val="Notedebasdepage"/>
      </w:pPr>
      <w:r>
        <w:rPr>
          <w:rStyle w:val="Appelnotedebasdep"/>
        </w:rPr>
        <w:footnoteRef/>
      </w:r>
      <w:r>
        <w:t xml:space="preserve"> </w:t>
      </w:r>
      <w:r>
        <w:tab/>
        <w:t xml:space="preserve">9348 est une société de gestion liée à Stéphan Huot (administrateur et premier actionnaire via SPH). Elle ne détient essentiellement qu’une participation de 50 % </w:t>
      </w:r>
      <w:r w:rsidRPr="00D03518">
        <w:t xml:space="preserve">dans </w:t>
      </w:r>
      <w:r w:rsidRPr="00D03518">
        <w:rPr>
          <w:rStyle w:val="lev"/>
          <w:b w:val="0"/>
          <w:bCs w:val="0"/>
        </w:rPr>
        <w:t>9307-2825 Québec inc.</w:t>
      </w:r>
      <w:r>
        <w:rPr>
          <w:rStyle w:val="lev"/>
          <w:b w:val="0"/>
          <w:bCs w:val="0"/>
        </w:rPr>
        <w:t xml:space="preserve"> (« 2825 ») </w:t>
      </w:r>
      <w:r w:rsidRPr="00D03518">
        <w:t>laquelle possède à 100</w:t>
      </w:r>
      <w:r>
        <w:t> </w:t>
      </w:r>
      <w:r w:rsidRPr="00D03518">
        <w:t>% les sociétés immobilières propriétaires du complexe «</w:t>
      </w:r>
      <w:r>
        <w:t> </w:t>
      </w:r>
      <w:r w:rsidRPr="00D03518">
        <w:t>Les 7 Éléments</w:t>
      </w:r>
      <w:r>
        <w:t> </w:t>
      </w:r>
      <w:r w:rsidRPr="00D03518">
        <w:t>».</w:t>
      </w:r>
    </w:p>
  </w:footnote>
  <w:footnote w:id="709">
    <w:p w14:paraId="5E4544B6" w14:textId="77777777" w:rsidR="0009445D" w:rsidRPr="00D03518" w:rsidRDefault="00730A01" w:rsidP="0009445D">
      <w:pPr>
        <w:pStyle w:val="Notedebasdepage"/>
      </w:pPr>
      <w:r>
        <w:rPr>
          <w:rStyle w:val="Appelnotedebasdep"/>
        </w:rPr>
        <w:footnoteRef/>
      </w:r>
      <w:r>
        <w:t xml:space="preserve"> </w:t>
      </w:r>
      <w:r>
        <w:tab/>
        <w:t xml:space="preserve">Fiera FP : </w:t>
      </w:r>
      <w:r>
        <w:rPr>
          <w:i/>
          <w:iCs/>
        </w:rPr>
        <w:t xml:space="preserve">Fonds de financement immobilier Fiera FP, S.E.C., </w:t>
      </w:r>
      <w:r w:rsidRPr="00D03518">
        <w:rPr>
          <w:rFonts w:cs="Arial"/>
          <w:color w:val="001D35"/>
          <w:shd w:val="clear" w:color="auto" w:fill="FFFFFF"/>
        </w:rPr>
        <w:t>une société en commandite qui offre du financement privé de courte durée pour des projets de développement et de redéveloppement immobilier. Elle fait partie de l'écosystème de gestion d'actifs de </w:t>
      </w:r>
      <w:r w:rsidRPr="00D03518">
        <w:rPr>
          <w:rStyle w:val="Hyperlien"/>
          <w:color w:val="auto"/>
          <w:u w:val="none"/>
          <w:shd w:val="clear" w:color="auto" w:fill="FFFFFF"/>
        </w:rPr>
        <w:t>Fiera Capital</w:t>
      </w:r>
      <w:r w:rsidRPr="00D03518">
        <w:rPr>
          <w:rStyle w:val="m5tqyf"/>
          <w:rFonts w:cs="Arial"/>
          <w:color w:val="001D35"/>
          <w:shd w:val="clear" w:color="auto" w:fill="FFFFFF"/>
        </w:rPr>
        <w:t>,</w:t>
      </w:r>
      <w:r w:rsidRPr="00D03518">
        <w:rPr>
          <w:rFonts w:cs="Arial"/>
          <w:color w:val="001D35"/>
          <w:shd w:val="clear" w:color="auto" w:fill="FFFFFF"/>
        </w:rPr>
        <w:t> une firme plus large proposant diverses stratégies de placement, notamment en immobilier commercial et dette privée</w:t>
      </w:r>
      <w:r>
        <w:rPr>
          <w:rFonts w:cs="Arial"/>
          <w:color w:val="001D35"/>
          <w:shd w:val="clear" w:color="auto" w:fill="FFFFFF"/>
        </w:rPr>
        <w:t>.</w:t>
      </w:r>
    </w:p>
  </w:footnote>
  <w:footnote w:id="710">
    <w:p w14:paraId="2269F3CE" w14:textId="77777777" w:rsidR="0009445D" w:rsidRDefault="00730A01" w:rsidP="0009445D">
      <w:pPr>
        <w:pStyle w:val="Notedebasdepage"/>
      </w:pPr>
      <w:r>
        <w:rPr>
          <w:rStyle w:val="Appelnotedebasdep"/>
        </w:rPr>
        <w:footnoteRef/>
      </w:r>
      <w:r>
        <w:t xml:space="preserve"> </w:t>
      </w:r>
      <w:r>
        <w:tab/>
        <w:t xml:space="preserve">Il s’agit d’un autre développement immobilier </w:t>
      </w:r>
      <w:r w:rsidRPr="00D03518">
        <w:rPr>
          <w:rStyle w:val="lev"/>
          <w:b w:val="0"/>
          <w:bCs w:val="0"/>
        </w:rPr>
        <w:t>figurant parmi les sociétés-projets</w:t>
      </w:r>
      <w:r w:rsidRPr="00D03518">
        <w:t xml:space="preserve"> du Groupe Huot</w:t>
      </w:r>
      <w:r>
        <w:t>.</w:t>
      </w:r>
    </w:p>
  </w:footnote>
  <w:footnote w:id="711">
    <w:p w14:paraId="55BAD8B6" w14:textId="77777777" w:rsidR="0009445D" w:rsidRDefault="00730A01" w:rsidP="0009445D">
      <w:pPr>
        <w:pStyle w:val="Notedebasdepage"/>
      </w:pPr>
      <w:r>
        <w:rPr>
          <w:rStyle w:val="Appelnotedebasdep"/>
        </w:rPr>
        <w:footnoteRef/>
      </w:r>
      <w:r>
        <w:t xml:space="preserve"> </w:t>
      </w:r>
      <w:r>
        <w:tab/>
        <w:t>Q12</w:t>
      </w:r>
      <w:r w:rsidRPr="00646B1D">
        <w:rPr>
          <w:rFonts w:cs="Arial"/>
        </w:rPr>
        <w:t>-P004-5 et Q12-P021</w:t>
      </w:r>
      <w:r>
        <w:rPr>
          <w:rFonts w:cs="Arial"/>
        </w:rPr>
        <w:t>.</w:t>
      </w:r>
    </w:p>
  </w:footnote>
  <w:footnote w:id="712">
    <w:p w14:paraId="7C18A4C4" w14:textId="77777777" w:rsidR="003F0859" w:rsidRDefault="00730A01">
      <w:pPr>
        <w:pStyle w:val="Notedebasdepage"/>
      </w:pPr>
      <w:r>
        <w:rPr>
          <w:rStyle w:val="Appelnotedebasdep"/>
        </w:rPr>
        <w:footnoteRef/>
      </w:r>
      <w:r>
        <w:t xml:space="preserve"> </w:t>
      </w:r>
      <w:r>
        <w:tab/>
        <w:t>Pièce PQ-256, p. 71.</w:t>
      </w:r>
    </w:p>
  </w:footnote>
  <w:footnote w:id="713">
    <w:p w14:paraId="5875ED8F" w14:textId="77777777" w:rsidR="005E02C7" w:rsidRDefault="00730A01">
      <w:pPr>
        <w:pStyle w:val="Notedebasdepage"/>
      </w:pPr>
      <w:r>
        <w:rPr>
          <w:rStyle w:val="Appelnotedebasdep"/>
        </w:rPr>
        <w:footnoteRef/>
      </w:r>
      <w:r>
        <w:t xml:space="preserve"> </w:t>
      </w:r>
      <w:r>
        <w:tab/>
        <w:t>Voir par. [319] et ss.</w:t>
      </w:r>
    </w:p>
  </w:footnote>
  <w:footnote w:id="714">
    <w:p w14:paraId="3F27789E" w14:textId="77777777" w:rsidR="005E02C7" w:rsidRDefault="00730A01">
      <w:pPr>
        <w:pStyle w:val="Notedebasdepage"/>
      </w:pPr>
      <w:r>
        <w:rPr>
          <w:rStyle w:val="Appelnotedebasdep"/>
        </w:rPr>
        <w:footnoteRef/>
      </w:r>
      <w:r>
        <w:t xml:space="preserve"> </w:t>
      </w:r>
      <w:r>
        <w:tab/>
        <w:t>Il s’agit en fait de plus de 44 000 pages additionnelles.</w:t>
      </w:r>
    </w:p>
  </w:footnote>
  <w:footnote w:id="715">
    <w:p w14:paraId="684B0DED" w14:textId="77777777" w:rsidR="0009445D" w:rsidRDefault="00730A01">
      <w:pPr>
        <w:pStyle w:val="Notedebasdepage"/>
      </w:pPr>
      <w:r>
        <w:rPr>
          <w:rStyle w:val="Appelnotedebasdep"/>
        </w:rPr>
        <w:footnoteRef/>
      </w:r>
      <w:r>
        <w:t xml:space="preserve"> </w:t>
      </w:r>
      <w:r>
        <w:tab/>
        <w:t>Procès-verbal du 21 mars 2024.</w:t>
      </w:r>
    </w:p>
  </w:footnote>
  <w:footnote w:id="716">
    <w:p w14:paraId="226236B5" w14:textId="77777777" w:rsidR="0009445D" w:rsidRDefault="00730A01">
      <w:pPr>
        <w:pStyle w:val="Notedebasdepage"/>
      </w:pPr>
      <w:r>
        <w:rPr>
          <w:rStyle w:val="Appelnotedebasdep"/>
        </w:rPr>
        <w:footnoteRef/>
      </w:r>
      <w:r>
        <w:t xml:space="preserve"> </w:t>
      </w:r>
      <w:r>
        <w:tab/>
        <w:t>Procès-verbal de gestion du 16 mai 2024.</w:t>
      </w:r>
    </w:p>
  </w:footnote>
  <w:footnote w:id="717">
    <w:p w14:paraId="2CD99007" w14:textId="77777777" w:rsidR="007E2540" w:rsidRDefault="00730A01">
      <w:pPr>
        <w:pStyle w:val="Notedebasdepage"/>
      </w:pPr>
      <w:r>
        <w:rPr>
          <w:rStyle w:val="Appelnotedebasdep"/>
        </w:rPr>
        <w:footnoteRef/>
      </w:r>
      <w:r>
        <w:t xml:space="preserve"> </w:t>
      </w:r>
      <w:r>
        <w:tab/>
        <w:t>Procès-verbal de gestion du 18 novembre 2024.</w:t>
      </w:r>
    </w:p>
  </w:footnote>
  <w:footnote w:id="718">
    <w:p w14:paraId="317720F4" w14:textId="77777777" w:rsidR="00B92A3B" w:rsidRPr="00B92A3B" w:rsidRDefault="00730A01">
      <w:pPr>
        <w:pStyle w:val="Notedebasdepage"/>
      </w:pPr>
      <w:r>
        <w:rPr>
          <w:rStyle w:val="Appelnotedebasdep"/>
        </w:rPr>
        <w:footnoteRef/>
      </w:r>
      <w:r>
        <w:t xml:space="preserve"> </w:t>
      </w:r>
      <w:r>
        <w:tab/>
      </w:r>
      <w:r>
        <w:rPr>
          <w:i/>
          <w:iCs/>
        </w:rPr>
        <w:t>AE Services et technologies inc.</w:t>
      </w:r>
      <w:r>
        <w:t xml:space="preserve"> c. </w:t>
      </w:r>
      <w:r>
        <w:rPr>
          <w:i/>
          <w:iCs/>
        </w:rPr>
        <w:t>Foraction inc.</w:t>
      </w:r>
      <w:r w:rsidRPr="00B92A3B">
        <w:t>,</w:t>
      </w:r>
      <w:r>
        <w:rPr>
          <w:i/>
          <w:iCs/>
        </w:rPr>
        <w:t xml:space="preserve"> </w:t>
      </w:r>
      <w:r>
        <w:t>2024 QCCS 242.</w:t>
      </w:r>
    </w:p>
  </w:footnote>
  <w:footnote w:id="719">
    <w:p w14:paraId="42380443" w14:textId="77777777" w:rsidR="00D06767" w:rsidRDefault="00730A01">
      <w:pPr>
        <w:pStyle w:val="Notedebasdepage"/>
      </w:pPr>
      <w:r>
        <w:rPr>
          <w:rStyle w:val="Appelnotedebasdep"/>
        </w:rPr>
        <w:footnoteRef/>
      </w:r>
      <w:r>
        <w:t xml:space="preserve"> </w:t>
      </w:r>
      <w:r>
        <w:tab/>
        <w:t>NS, 24 janvier 2025, p. 254-256.</w:t>
      </w:r>
    </w:p>
  </w:footnote>
  <w:footnote w:id="720">
    <w:p w14:paraId="7A084D16" w14:textId="77777777" w:rsidR="007E2540" w:rsidRPr="007E2540" w:rsidRDefault="00730A01">
      <w:pPr>
        <w:pStyle w:val="Notedebasdepage"/>
      </w:pPr>
      <w:r>
        <w:rPr>
          <w:rStyle w:val="Appelnotedebasdep"/>
        </w:rPr>
        <w:footnoteRef/>
      </w:r>
      <w:r>
        <w:t xml:space="preserve"> </w:t>
      </w:r>
      <w:r>
        <w:tab/>
        <w:t>Jugement de M</w:t>
      </w:r>
      <w:r w:rsidRPr="00723464">
        <w:rPr>
          <w:vertAlign w:val="superscript"/>
        </w:rPr>
        <w:t>e</w:t>
      </w:r>
      <w:r w:rsidR="00723464">
        <w:rPr>
          <w:vertAlign w:val="superscript"/>
        </w:rPr>
        <w:t> </w:t>
      </w:r>
      <w:r>
        <w:t>Laurie-Ann Pelletier du 5 décembre 2024, p. 3.</w:t>
      </w:r>
    </w:p>
  </w:footnote>
  <w:footnote w:id="721">
    <w:p w14:paraId="2B824186" w14:textId="77777777" w:rsidR="00322EDD" w:rsidRDefault="00322EDD">
      <w:pPr>
        <w:pStyle w:val="Notedebasdepage"/>
      </w:pPr>
    </w:p>
    <w:p w14:paraId="3F188753" w14:textId="77777777" w:rsidR="00D773B4" w:rsidRPr="00673D2C" w:rsidRDefault="00730A01">
      <w:pPr>
        <w:pStyle w:val="Notedebasdepage"/>
      </w:pPr>
      <w:r w:rsidRPr="00673D2C">
        <w:rPr>
          <w:rStyle w:val="Appelnotedebasdep"/>
        </w:rPr>
        <w:footnoteRef/>
      </w:r>
      <w:r w:rsidRPr="00322EDD">
        <w:rPr>
          <w:sz w:val="18"/>
          <w:szCs w:val="18"/>
        </w:rPr>
        <w:t xml:space="preserve"> </w:t>
      </w:r>
      <w:r w:rsidRPr="00322EDD">
        <w:rPr>
          <w:sz w:val="18"/>
          <w:szCs w:val="18"/>
        </w:rPr>
        <w:tab/>
      </w:r>
      <w:r w:rsidR="005C6BA6" w:rsidRPr="00673D2C">
        <w:rPr>
          <w:rFonts w:cs="Arial"/>
          <w:lang w:eastAsia="fr-CA"/>
        </w:rPr>
        <w:t>À titre d’exemple, dans le cadre du dépôt en pièce des premiers documents provenant du disque dur, M</w:t>
      </w:r>
      <w:r w:rsidR="005C6BA6" w:rsidRPr="00723464">
        <w:rPr>
          <w:rFonts w:cs="Arial"/>
          <w:vertAlign w:val="superscript"/>
          <w:lang w:eastAsia="fr-CA"/>
        </w:rPr>
        <w:t>e</w:t>
      </w:r>
      <w:r w:rsidR="00723464">
        <w:rPr>
          <w:rFonts w:cs="Arial"/>
          <w:lang w:eastAsia="fr-CA"/>
        </w:rPr>
        <w:t> </w:t>
      </w:r>
      <w:r w:rsidR="005C6BA6" w:rsidRPr="00673D2C">
        <w:rPr>
          <w:rFonts w:cs="Arial"/>
          <w:lang w:eastAsia="fr-CA"/>
        </w:rPr>
        <w:t>Valin a été contraint de demander qu’il soit confirmé que ces documents provenaient du disque dur. En réponse à cette demande, M</w:t>
      </w:r>
      <w:r w:rsidR="005C6BA6" w:rsidRPr="00673D2C">
        <w:rPr>
          <w:rFonts w:cs="Arial"/>
          <w:vertAlign w:val="superscript"/>
          <w:lang w:eastAsia="fr-CA"/>
        </w:rPr>
        <w:t>e</w:t>
      </w:r>
      <w:r w:rsidR="00723464">
        <w:rPr>
          <w:rFonts w:cs="Arial"/>
          <w:lang w:eastAsia="fr-CA"/>
        </w:rPr>
        <w:t> </w:t>
      </w:r>
      <w:r w:rsidR="005C6BA6" w:rsidRPr="00673D2C">
        <w:rPr>
          <w:rFonts w:cs="Arial"/>
          <w:lang w:eastAsia="fr-CA"/>
        </w:rPr>
        <w:t>Côté souhaitait ne pas divulguer la source de la provenance de cette documentation. Voir NS, 20 janvier 2025, p. 51-56. Aussi, en déposant d’autres pièces additionnelles, à nouveau, les Demandeurs étaient contraints de préciser qu’il s’agissait de documents provenant du disque dur. Voir notamment les NS, 22 janvier 2025, p. 134-135, 146-147 et 173-174.</w:t>
      </w:r>
    </w:p>
  </w:footnote>
  <w:footnote w:id="722">
    <w:p w14:paraId="2B0C463B" w14:textId="77777777" w:rsidR="005C6BA6" w:rsidRPr="00322EDD" w:rsidRDefault="00730A01">
      <w:pPr>
        <w:pStyle w:val="Notedebasdepage"/>
        <w:rPr>
          <w:sz w:val="18"/>
          <w:szCs w:val="18"/>
        </w:rPr>
      </w:pPr>
      <w:r w:rsidRPr="00673D2C">
        <w:rPr>
          <w:rStyle w:val="Appelnotedebasdep"/>
        </w:rPr>
        <w:footnoteRef/>
      </w:r>
      <w:r w:rsidRPr="00673D2C">
        <w:t xml:space="preserve"> </w:t>
      </w:r>
      <w:r w:rsidRPr="00673D2C">
        <w:tab/>
        <w:t>Droit de la famille – 24467, 2024 QCCS 1268</w:t>
      </w:r>
      <w:r w:rsidR="007E2540" w:rsidRPr="00673D2C">
        <w:t>; Voir aussi Droit de la famille – 20111, 2020 QCCS</w:t>
      </w:r>
      <w:r w:rsidR="00723464">
        <w:t> </w:t>
      </w:r>
      <w:r w:rsidR="007E2540" w:rsidRPr="00673D2C">
        <w:t>265.</w:t>
      </w:r>
    </w:p>
  </w:footnote>
  <w:footnote w:id="723">
    <w:p w14:paraId="10EF1F6D" w14:textId="77777777" w:rsidR="00537FBA" w:rsidRPr="00673D2C" w:rsidRDefault="00730A01">
      <w:pPr>
        <w:pStyle w:val="Notedebasdepage"/>
      </w:pPr>
      <w:r w:rsidRPr="00673D2C">
        <w:rPr>
          <w:rStyle w:val="Appelnotedebasdep"/>
        </w:rPr>
        <w:footnoteRef/>
      </w:r>
      <w:r w:rsidRPr="00673D2C">
        <w:t xml:space="preserve"> </w:t>
      </w:r>
      <w:r w:rsidRPr="00673D2C">
        <w:tab/>
      </w:r>
      <w:r w:rsidRPr="00673D2C">
        <w:rPr>
          <w:i/>
          <w:iCs/>
        </w:rPr>
        <w:t xml:space="preserve">Dupuis </w:t>
      </w:r>
      <w:r w:rsidRPr="00673D2C">
        <w:t xml:space="preserve">c. </w:t>
      </w:r>
      <w:r w:rsidRPr="00673D2C">
        <w:rPr>
          <w:i/>
          <w:iCs/>
        </w:rPr>
        <w:t>Caisse Desjardins du Lac-Memphrémagog</w:t>
      </w:r>
      <w:r w:rsidRPr="00673D2C">
        <w:t>, 2016 QCCS 4418.</w:t>
      </w:r>
    </w:p>
    <w:p w14:paraId="409551D8" w14:textId="77777777" w:rsidR="001B0EBE" w:rsidRPr="00537FBA" w:rsidRDefault="001B0EBE">
      <w:pPr>
        <w:pStyle w:val="Notedebasdepag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4531E" w14:textId="77777777" w:rsidR="00AA03FB" w:rsidRDefault="00730A01">
    <w:pPr>
      <w:tabs>
        <w:tab w:val="center" w:pos="4709"/>
        <w:tab w:val="right" w:pos="9360"/>
      </w:tabs>
      <w:ind w:right="524"/>
    </w:pPr>
    <w:r>
      <w:t>2</w:t>
    </w:r>
    <w:r w:rsidR="00904986">
      <w:t>00-</w:t>
    </w:r>
    <w:r w:rsidR="00F33355">
      <w:t>17-03496</w:t>
    </w:r>
    <w:r>
      <w:t>7-232</w:t>
    </w:r>
  </w:p>
  <w:p w14:paraId="741553AD" w14:textId="77777777" w:rsidR="00847638" w:rsidRDefault="00730A01" w:rsidP="00A74E5C">
    <w:pPr>
      <w:tabs>
        <w:tab w:val="center" w:pos="4709"/>
        <w:tab w:val="right" w:pos="9360"/>
      </w:tabs>
      <w:ind w:right="524"/>
      <w:rPr>
        <w:szCs w:val="24"/>
      </w:rPr>
    </w:pPr>
    <w:r>
      <w:t>200-17-034968-230</w:t>
    </w:r>
    <w:r w:rsidRPr="009057A0">
      <w:rPr>
        <w:szCs w:val="24"/>
      </w:rPr>
      <w:tab/>
    </w:r>
    <w:r w:rsidRPr="009057A0">
      <w:rPr>
        <w:szCs w:val="24"/>
      </w:rPr>
      <w:tab/>
      <w:t xml:space="preserve">PAGE : </w:t>
    </w:r>
    <w:r w:rsidRPr="009057A0">
      <w:rPr>
        <w:szCs w:val="24"/>
      </w:rPr>
      <w:fldChar w:fldCharType="begin"/>
    </w:r>
    <w:r w:rsidRPr="009057A0">
      <w:rPr>
        <w:szCs w:val="24"/>
      </w:rPr>
      <w:instrText xml:space="preserve"> PAGE </w:instrText>
    </w:r>
    <w:r w:rsidRPr="009057A0">
      <w:rPr>
        <w:szCs w:val="24"/>
      </w:rPr>
      <w:fldChar w:fldCharType="separate"/>
    </w:r>
    <w:r w:rsidRPr="009057A0">
      <w:rPr>
        <w:szCs w:val="24"/>
      </w:rPr>
      <w:t>198</w:t>
    </w:r>
    <w:r w:rsidRPr="009057A0">
      <w:rPr>
        <w:szCs w:val="24"/>
      </w:rPr>
      <w:fldChar w:fldCharType="end"/>
    </w:r>
  </w:p>
  <w:p w14:paraId="7138135F" w14:textId="77777777" w:rsidR="008D74F0" w:rsidRPr="00A74E5C" w:rsidRDefault="008D74F0" w:rsidP="00A74E5C">
    <w:pPr>
      <w:tabs>
        <w:tab w:val="center" w:pos="4709"/>
        <w:tab w:val="right" w:pos="9360"/>
      </w:tabs>
      <w:ind w:right="524"/>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C1F09CE6"/>
    <w:lvl w:ilvl="0">
      <w:start w:val="1"/>
      <w:numFmt w:val="decimal"/>
      <w:pStyle w:val="Listenumros"/>
      <w:lvlText w:val="%1."/>
      <w:lvlJc w:val="left"/>
      <w:pPr>
        <w:tabs>
          <w:tab w:val="num" w:pos="8133"/>
        </w:tabs>
        <w:ind w:left="8133" w:hanging="360"/>
      </w:pPr>
      <w:rPr>
        <w:rFonts w:ascii="Arial" w:hAnsi="Arial" w:cs="Arial" w:hint="default"/>
        <w:sz w:val="24"/>
        <w:szCs w:val="24"/>
      </w:rPr>
    </w:lvl>
  </w:abstractNum>
  <w:abstractNum w:abstractNumId="1" w15:restartNumberingAfterBreak="0">
    <w:nsid w:val="00480979"/>
    <w:multiLevelType w:val="hybridMultilevel"/>
    <w:tmpl w:val="151AE9A6"/>
    <w:lvl w:ilvl="0" w:tplc="16981992">
      <w:start w:val="1"/>
      <w:numFmt w:val="lowerLetter"/>
      <w:lvlText w:val="%1)"/>
      <w:lvlJc w:val="left"/>
      <w:pPr>
        <w:ind w:left="720" w:hanging="360"/>
      </w:pPr>
      <w:rPr>
        <w:rFonts w:hint="default"/>
      </w:rPr>
    </w:lvl>
    <w:lvl w:ilvl="1" w:tplc="749AD212" w:tentative="1">
      <w:start w:val="1"/>
      <w:numFmt w:val="lowerLetter"/>
      <w:lvlText w:val="%2."/>
      <w:lvlJc w:val="left"/>
      <w:pPr>
        <w:ind w:left="1440" w:hanging="360"/>
      </w:pPr>
    </w:lvl>
    <w:lvl w:ilvl="2" w:tplc="93021BD8" w:tentative="1">
      <w:start w:val="1"/>
      <w:numFmt w:val="lowerRoman"/>
      <w:lvlText w:val="%3."/>
      <w:lvlJc w:val="right"/>
      <w:pPr>
        <w:ind w:left="2160" w:hanging="180"/>
      </w:pPr>
    </w:lvl>
    <w:lvl w:ilvl="3" w:tplc="907C4D6E" w:tentative="1">
      <w:start w:val="1"/>
      <w:numFmt w:val="decimal"/>
      <w:lvlText w:val="%4."/>
      <w:lvlJc w:val="left"/>
      <w:pPr>
        <w:ind w:left="2880" w:hanging="360"/>
      </w:pPr>
    </w:lvl>
    <w:lvl w:ilvl="4" w:tplc="E36AFFF0" w:tentative="1">
      <w:start w:val="1"/>
      <w:numFmt w:val="lowerLetter"/>
      <w:lvlText w:val="%5."/>
      <w:lvlJc w:val="left"/>
      <w:pPr>
        <w:ind w:left="3600" w:hanging="360"/>
      </w:pPr>
    </w:lvl>
    <w:lvl w:ilvl="5" w:tplc="2EC80B3C" w:tentative="1">
      <w:start w:val="1"/>
      <w:numFmt w:val="lowerRoman"/>
      <w:lvlText w:val="%6."/>
      <w:lvlJc w:val="right"/>
      <w:pPr>
        <w:ind w:left="4320" w:hanging="180"/>
      </w:pPr>
    </w:lvl>
    <w:lvl w:ilvl="6" w:tplc="4C8AA748" w:tentative="1">
      <w:start w:val="1"/>
      <w:numFmt w:val="decimal"/>
      <w:lvlText w:val="%7."/>
      <w:lvlJc w:val="left"/>
      <w:pPr>
        <w:ind w:left="5040" w:hanging="360"/>
      </w:pPr>
    </w:lvl>
    <w:lvl w:ilvl="7" w:tplc="2948323A" w:tentative="1">
      <w:start w:val="1"/>
      <w:numFmt w:val="lowerLetter"/>
      <w:lvlText w:val="%8."/>
      <w:lvlJc w:val="left"/>
      <w:pPr>
        <w:ind w:left="5760" w:hanging="360"/>
      </w:pPr>
    </w:lvl>
    <w:lvl w:ilvl="8" w:tplc="22821BFA" w:tentative="1">
      <w:start w:val="1"/>
      <w:numFmt w:val="lowerRoman"/>
      <w:lvlText w:val="%9."/>
      <w:lvlJc w:val="right"/>
      <w:pPr>
        <w:ind w:left="6480" w:hanging="180"/>
      </w:pPr>
    </w:lvl>
  </w:abstractNum>
  <w:abstractNum w:abstractNumId="2" w15:restartNumberingAfterBreak="0">
    <w:nsid w:val="010C617E"/>
    <w:multiLevelType w:val="multilevel"/>
    <w:tmpl w:val="C3A2AC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1861B58"/>
    <w:multiLevelType w:val="hybridMultilevel"/>
    <w:tmpl w:val="5D7CC58C"/>
    <w:lvl w:ilvl="0" w:tplc="84005EE8">
      <w:start w:val="1"/>
      <w:numFmt w:val="lowerRoman"/>
      <w:lvlText w:val="%1)"/>
      <w:lvlJc w:val="left"/>
      <w:pPr>
        <w:ind w:left="720" w:hanging="360"/>
      </w:pPr>
      <w:rPr>
        <w:rFonts w:ascii="Arial" w:eastAsia="Times New Roman" w:hAnsi="Arial" w:cs="Times New Roman"/>
      </w:rPr>
    </w:lvl>
    <w:lvl w:ilvl="1" w:tplc="6A36222A" w:tentative="1">
      <w:start w:val="1"/>
      <w:numFmt w:val="lowerLetter"/>
      <w:lvlText w:val="%2."/>
      <w:lvlJc w:val="left"/>
      <w:pPr>
        <w:ind w:left="1440" w:hanging="360"/>
      </w:pPr>
    </w:lvl>
    <w:lvl w:ilvl="2" w:tplc="F664FFC0" w:tentative="1">
      <w:start w:val="1"/>
      <w:numFmt w:val="lowerRoman"/>
      <w:lvlText w:val="%3."/>
      <w:lvlJc w:val="right"/>
      <w:pPr>
        <w:ind w:left="2160" w:hanging="180"/>
      </w:pPr>
    </w:lvl>
    <w:lvl w:ilvl="3" w:tplc="F8348DAE" w:tentative="1">
      <w:start w:val="1"/>
      <w:numFmt w:val="decimal"/>
      <w:lvlText w:val="%4."/>
      <w:lvlJc w:val="left"/>
      <w:pPr>
        <w:ind w:left="2880" w:hanging="360"/>
      </w:pPr>
    </w:lvl>
    <w:lvl w:ilvl="4" w:tplc="E47CE726" w:tentative="1">
      <w:start w:val="1"/>
      <w:numFmt w:val="lowerLetter"/>
      <w:lvlText w:val="%5."/>
      <w:lvlJc w:val="left"/>
      <w:pPr>
        <w:ind w:left="3600" w:hanging="360"/>
      </w:pPr>
    </w:lvl>
    <w:lvl w:ilvl="5" w:tplc="50683386" w:tentative="1">
      <w:start w:val="1"/>
      <w:numFmt w:val="lowerRoman"/>
      <w:lvlText w:val="%6."/>
      <w:lvlJc w:val="right"/>
      <w:pPr>
        <w:ind w:left="4320" w:hanging="180"/>
      </w:pPr>
    </w:lvl>
    <w:lvl w:ilvl="6" w:tplc="E52C6F2C" w:tentative="1">
      <w:start w:val="1"/>
      <w:numFmt w:val="decimal"/>
      <w:lvlText w:val="%7."/>
      <w:lvlJc w:val="left"/>
      <w:pPr>
        <w:ind w:left="5040" w:hanging="360"/>
      </w:pPr>
    </w:lvl>
    <w:lvl w:ilvl="7" w:tplc="8482E088" w:tentative="1">
      <w:start w:val="1"/>
      <w:numFmt w:val="lowerLetter"/>
      <w:lvlText w:val="%8."/>
      <w:lvlJc w:val="left"/>
      <w:pPr>
        <w:ind w:left="5760" w:hanging="360"/>
      </w:pPr>
    </w:lvl>
    <w:lvl w:ilvl="8" w:tplc="4558A880" w:tentative="1">
      <w:start w:val="1"/>
      <w:numFmt w:val="lowerRoman"/>
      <w:lvlText w:val="%9."/>
      <w:lvlJc w:val="right"/>
      <w:pPr>
        <w:ind w:left="6480" w:hanging="180"/>
      </w:pPr>
    </w:lvl>
  </w:abstractNum>
  <w:abstractNum w:abstractNumId="4" w15:restartNumberingAfterBreak="0">
    <w:nsid w:val="03934ED3"/>
    <w:multiLevelType w:val="multilevel"/>
    <w:tmpl w:val="5E543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C7292C"/>
    <w:multiLevelType w:val="hybridMultilevel"/>
    <w:tmpl w:val="D4EA9EF6"/>
    <w:lvl w:ilvl="0" w:tplc="806C123C">
      <w:start w:val="1"/>
      <w:numFmt w:val="lowerRoman"/>
      <w:lvlText w:val="%1)"/>
      <w:lvlJc w:val="left"/>
      <w:pPr>
        <w:ind w:left="1080" w:hanging="720"/>
      </w:pPr>
      <w:rPr>
        <w:rFonts w:hint="default"/>
      </w:rPr>
    </w:lvl>
    <w:lvl w:ilvl="1" w:tplc="D438168E" w:tentative="1">
      <w:start w:val="1"/>
      <w:numFmt w:val="lowerLetter"/>
      <w:lvlText w:val="%2."/>
      <w:lvlJc w:val="left"/>
      <w:pPr>
        <w:ind w:left="1440" w:hanging="360"/>
      </w:pPr>
    </w:lvl>
    <w:lvl w:ilvl="2" w:tplc="84AEAD32" w:tentative="1">
      <w:start w:val="1"/>
      <w:numFmt w:val="lowerRoman"/>
      <w:lvlText w:val="%3."/>
      <w:lvlJc w:val="right"/>
      <w:pPr>
        <w:ind w:left="2160" w:hanging="180"/>
      </w:pPr>
    </w:lvl>
    <w:lvl w:ilvl="3" w:tplc="080AA718" w:tentative="1">
      <w:start w:val="1"/>
      <w:numFmt w:val="decimal"/>
      <w:lvlText w:val="%4."/>
      <w:lvlJc w:val="left"/>
      <w:pPr>
        <w:ind w:left="2880" w:hanging="360"/>
      </w:pPr>
    </w:lvl>
    <w:lvl w:ilvl="4" w:tplc="DA8A983C" w:tentative="1">
      <w:start w:val="1"/>
      <w:numFmt w:val="lowerLetter"/>
      <w:lvlText w:val="%5."/>
      <w:lvlJc w:val="left"/>
      <w:pPr>
        <w:ind w:left="3600" w:hanging="360"/>
      </w:pPr>
    </w:lvl>
    <w:lvl w:ilvl="5" w:tplc="DE4EEA98" w:tentative="1">
      <w:start w:val="1"/>
      <w:numFmt w:val="lowerRoman"/>
      <w:lvlText w:val="%6."/>
      <w:lvlJc w:val="right"/>
      <w:pPr>
        <w:ind w:left="4320" w:hanging="180"/>
      </w:pPr>
    </w:lvl>
    <w:lvl w:ilvl="6" w:tplc="60B2F0EC" w:tentative="1">
      <w:start w:val="1"/>
      <w:numFmt w:val="decimal"/>
      <w:lvlText w:val="%7."/>
      <w:lvlJc w:val="left"/>
      <w:pPr>
        <w:ind w:left="5040" w:hanging="360"/>
      </w:pPr>
    </w:lvl>
    <w:lvl w:ilvl="7" w:tplc="4B8E0028" w:tentative="1">
      <w:start w:val="1"/>
      <w:numFmt w:val="lowerLetter"/>
      <w:lvlText w:val="%8."/>
      <w:lvlJc w:val="left"/>
      <w:pPr>
        <w:ind w:left="5760" w:hanging="360"/>
      </w:pPr>
    </w:lvl>
    <w:lvl w:ilvl="8" w:tplc="4648962A" w:tentative="1">
      <w:start w:val="1"/>
      <w:numFmt w:val="lowerRoman"/>
      <w:lvlText w:val="%9."/>
      <w:lvlJc w:val="right"/>
      <w:pPr>
        <w:ind w:left="6480" w:hanging="180"/>
      </w:pPr>
    </w:lvl>
  </w:abstractNum>
  <w:abstractNum w:abstractNumId="6" w15:restartNumberingAfterBreak="0">
    <w:nsid w:val="03F62E37"/>
    <w:multiLevelType w:val="multilevel"/>
    <w:tmpl w:val="C0FE4798"/>
    <w:lvl w:ilvl="0">
      <w:start w:val="1"/>
      <w:numFmt w:val="bullet"/>
      <w:lvlText w:val=""/>
      <w:lvlJc w:val="left"/>
      <w:pPr>
        <w:tabs>
          <w:tab w:val="num" w:pos="720"/>
        </w:tabs>
        <w:ind w:left="720" w:hanging="360"/>
      </w:pPr>
      <w:rPr>
        <w:rFonts w:ascii="Symbol" w:hAnsi="Symbol" w:hint="default"/>
        <w:b/>
        <w:bCs/>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5C03F3E"/>
    <w:multiLevelType w:val="multilevel"/>
    <w:tmpl w:val="DD663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60E7F32"/>
    <w:multiLevelType w:val="multilevel"/>
    <w:tmpl w:val="5CFCC3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start w:val="1"/>
      <w:numFmt w:val="lowerLetter"/>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6AB0615"/>
    <w:multiLevelType w:val="hybridMultilevel"/>
    <w:tmpl w:val="D5CA6812"/>
    <w:lvl w:ilvl="0" w:tplc="0FA81870">
      <w:start w:val="1"/>
      <w:numFmt w:val="bullet"/>
      <w:lvlText w:val="-"/>
      <w:lvlJc w:val="left"/>
      <w:pPr>
        <w:ind w:left="1146" w:hanging="360"/>
      </w:pPr>
      <w:rPr>
        <w:rFonts w:ascii="Times New Roman" w:eastAsia="Times New Roman" w:hAnsi="Times New Roman" w:cs="Times New Roman" w:hint="default"/>
      </w:rPr>
    </w:lvl>
    <w:lvl w:ilvl="1" w:tplc="DCB24A7E" w:tentative="1">
      <w:start w:val="1"/>
      <w:numFmt w:val="bullet"/>
      <w:lvlText w:val="o"/>
      <w:lvlJc w:val="left"/>
      <w:pPr>
        <w:ind w:left="1866" w:hanging="360"/>
      </w:pPr>
      <w:rPr>
        <w:rFonts w:ascii="Courier New" w:hAnsi="Courier New" w:cs="Courier New" w:hint="default"/>
      </w:rPr>
    </w:lvl>
    <w:lvl w:ilvl="2" w:tplc="37449CD6" w:tentative="1">
      <w:start w:val="1"/>
      <w:numFmt w:val="bullet"/>
      <w:lvlText w:val=""/>
      <w:lvlJc w:val="left"/>
      <w:pPr>
        <w:ind w:left="2586" w:hanging="360"/>
      </w:pPr>
      <w:rPr>
        <w:rFonts w:ascii="Wingdings" w:hAnsi="Wingdings" w:hint="default"/>
      </w:rPr>
    </w:lvl>
    <w:lvl w:ilvl="3" w:tplc="604A8754" w:tentative="1">
      <w:start w:val="1"/>
      <w:numFmt w:val="bullet"/>
      <w:lvlText w:val=""/>
      <w:lvlJc w:val="left"/>
      <w:pPr>
        <w:ind w:left="3306" w:hanging="360"/>
      </w:pPr>
      <w:rPr>
        <w:rFonts w:ascii="Symbol" w:hAnsi="Symbol" w:hint="default"/>
      </w:rPr>
    </w:lvl>
    <w:lvl w:ilvl="4" w:tplc="1430BC10" w:tentative="1">
      <w:start w:val="1"/>
      <w:numFmt w:val="bullet"/>
      <w:lvlText w:val="o"/>
      <w:lvlJc w:val="left"/>
      <w:pPr>
        <w:ind w:left="4026" w:hanging="360"/>
      </w:pPr>
      <w:rPr>
        <w:rFonts w:ascii="Courier New" w:hAnsi="Courier New" w:cs="Courier New" w:hint="default"/>
      </w:rPr>
    </w:lvl>
    <w:lvl w:ilvl="5" w:tplc="3C4201BA" w:tentative="1">
      <w:start w:val="1"/>
      <w:numFmt w:val="bullet"/>
      <w:lvlText w:val=""/>
      <w:lvlJc w:val="left"/>
      <w:pPr>
        <w:ind w:left="4746" w:hanging="360"/>
      </w:pPr>
      <w:rPr>
        <w:rFonts w:ascii="Wingdings" w:hAnsi="Wingdings" w:hint="default"/>
      </w:rPr>
    </w:lvl>
    <w:lvl w:ilvl="6" w:tplc="910056CC" w:tentative="1">
      <w:start w:val="1"/>
      <w:numFmt w:val="bullet"/>
      <w:lvlText w:val=""/>
      <w:lvlJc w:val="left"/>
      <w:pPr>
        <w:ind w:left="5466" w:hanging="360"/>
      </w:pPr>
      <w:rPr>
        <w:rFonts w:ascii="Symbol" w:hAnsi="Symbol" w:hint="default"/>
      </w:rPr>
    </w:lvl>
    <w:lvl w:ilvl="7" w:tplc="3BA22A92" w:tentative="1">
      <w:start w:val="1"/>
      <w:numFmt w:val="bullet"/>
      <w:lvlText w:val="o"/>
      <w:lvlJc w:val="left"/>
      <w:pPr>
        <w:ind w:left="6186" w:hanging="360"/>
      </w:pPr>
      <w:rPr>
        <w:rFonts w:ascii="Courier New" w:hAnsi="Courier New" w:cs="Courier New" w:hint="default"/>
      </w:rPr>
    </w:lvl>
    <w:lvl w:ilvl="8" w:tplc="7D72E9BA" w:tentative="1">
      <w:start w:val="1"/>
      <w:numFmt w:val="bullet"/>
      <w:lvlText w:val=""/>
      <w:lvlJc w:val="left"/>
      <w:pPr>
        <w:ind w:left="6906" w:hanging="360"/>
      </w:pPr>
      <w:rPr>
        <w:rFonts w:ascii="Wingdings" w:hAnsi="Wingdings" w:hint="default"/>
      </w:rPr>
    </w:lvl>
  </w:abstractNum>
  <w:abstractNum w:abstractNumId="10" w15:restartNumberingAfterBreak="0">
    <w:nsid w:val="06D24A08"/>
    <w:multiLevelType w:val="multilevel"/>
    <w:tmpl w:val="D646BF4C"/>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start w:val="1"/>
      <w:numFmt w:val="upperLetter"/>
      <w:lvlText w:val="%3)"/>
      <w:lvlJc w:val="left"/>
      <w:pPr>
        <w:ind w:left="2160" w:hanging="360"/>
      </w:pPr>
      <w:rPr>
        <w:rFonts w:hint="default"/>
        <w:b/>
        <w:bCs w:val="0"/>
      </w:rPr>
    </w:lvl>
    <w:lvl w:ilvl="3">
      <w:start w:val="1"/>
      <w:numFmt w:val="lowerLetter"/>
      <w:lvlText w:val="%4."/>
      <w:lvlJc w:val="left"/>
      <w:pPr>
        <w:ind w:left="2880" w:hanging="360"/>
      </w:pPr>
      <w:rPr>
        <w:rFonts w:hint="default"/>
      </w:rPr>
    </w:lvl>
    <w:lvl w:ilvl="4">
      <w:start w:val="1"/>
      <w:numFmt w:val="upperLetter"/>
      <w:lvlText w:val="%5."/>
      <w:lvlJc w:val="left"/>
      <w:pPr>
        <w:ind w:left="3600" w:hanging="360"/>
      </w:pPr>
      <w:rPr>
        <w:rFonts w:hint="default"/>
        <w:b/>
        <w:bCs/>
      </w:rPr>
    </w:lvl>
    <w:lvl w:ilvl="5">
      <w:start w:val="1"/>
      <w:numFmt w:val="decimal"/>
      <w:lvlText w:val="%6."/>
      <w:lvlJc w:val="left"/>
      <w:pPr>
        <w:ind w:left="4320" w:hanging="360"/>
      </w:pPr>
      <w:rPr>
        <w:rFonts w:hint="default"/>
        <w:b/>
        <w:bCs w:val="0"/>
        <w:i w:val="0"/>
        <w:iCs/>
        <w:color w:val="000000" w:themeColor="text1"/>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6F067F2"/>
    <w:multiLevelType w:val="hybridMultilevel"/>
    <w:tmpl w:val="70504B16"/>
    <w:lvl w:ilvl="0" w:tplc="29CC0246">
      <w:start w:val="1"/>
      <w:numFmt w:val="decimal"/>
      <w:lvlText w:val="%1."/>
      <w:lvlJc w:val="left"/>
      <w:pPr>
        <w:ind w:left="720" w:hanging="360"/>
      </w:pPr>
      <w:rPr>
        <w:rFonts w:hint="default"/>
        <w:b/>
        <w:bCs w:val="0"/>
        <w:i w:val="0"/>
        <w:iCs/>
      </w:rPr>
    </w:lvl>
    <w:lvl w:ilvl="1" w:tplc="9CEEEF1A">
      <w:start w:val="1"/>
      <w:numFmt w:val="lowerLetter"/>
      <w:lvlText w:val="%2."/>
      <w:lvlJc w:val="left"/>
      <w:pPr>
        <w:ind w:left="1440" w:hanging="360"/>
      </w:pPr>
    </w:lvl>
    <w:lvl w:ilvl="2" w:tplc="50F06A94" w:tentative="1">
      <w:start w:val="1"/>
      <w:numFmt w:val="lowerRoman"/>
      <w:lvlText w:val="%3."/>
      <w:lvlJc w:val="right"/>
      <w:pPr>
        <w:ind w:left="2160" w:hanging="180"/>
      </w:pPr>
    </w:lvl>
    <w:lvl w:ilvl="3" w:tplc="0EE23184" w:tentative="1">
      <w:start w:val="1"/>
      <w:numFmt w:val="decimal"/>
      <w:lvlText w:val="%4."/>
      <w:lvlJc w:val="left"/>
      <w:pPr>
        <w:ind w:left="2880" w:hanging="360"/>
      </w:pPr>
    </w:lvl>
    <w:lvl w:ilvl="4" w:tplc="F8EAE928" w:tentative="1">
      <w:start w:val="1"/>
      <w:numFmt w:val="lowerLetter"/>
      <w:lvlText w:val="%5."/>
      <w:lvlJc w:val="left"/>
      <w:pPr>
        <w:ind w:left="3600" w:hanging="360"/>
      </w:pPr>
    </w:lvl>
    <w:lvl w:ilvl="5" w:tplc="3C96A6C6" w:tentative="1">
      <w:start w:val="1"/>
      <w:numFmt w:val="lowerRoman"/>
      <w:lvlText w:val="%6."/>
      <w:lvlJc w:val="right"/>
      <w:pPr>
        <w:ind w:left="4320" w:hanging="180"/>
      </w:pPr>
    </w:lvl>
    <w:lvl w:ilvl="6" w:tplc="8CAAF5BE" w:tentative="1">
      <w:start w:val="1"/>
      <w:numFmt w:val="decimal"/>
      <w:lvlText w:val="%7."/>
      <w:lvlJc w:val="left"/>
      <w:pPr>
        <w:ind w:left="5040" w:hanging="360"/>
      </w:pPr>
    </w:lvl>
    <w:lvl w:ilvl="7" w:tplc="0E727A90" w:tentative="1">
      <w:start w:val="1"/>
      <w:numFmt w:val="lowerLetter"/>
      <w:lvlText w:val="%8."/>
      <w:lvlJc w:val="left"/>
      <w:pPr>
        <w:ind w:left="5760" w:hanging="360"/>
      </w:pPr>
    </w:lvl>
    <w:lvl w:ilvl="8" w:tplc="67D03634" w:tentative="1">
      <w:start w:val="1"/>
      <w:numFmt w:val="lowerRoman"/>
      <w:lvlText w:val="%9."/>
      <w:lvlJc w:val="right"/>
      <w:pPr>
        <w:ind w:left="6480" w:hanging="180"/>
      </w:pPr>
    </w:lvl>
  </w:abstractNum>
  <w:abstractNum w:abstractNumId="12" w15:restartNumberingAfterBreak="0">
    <w:nsid w:val="07310BB1"/>
    <w:multiLevelType w:val="hybridMultilevel"/>
    <w:tmpl w:val="EC3AF844"/>
    <w:lvl w:ilvl="0" w:tplc="FE8872FA">
      <w:start w:val="1"/>
      <w:numFmt w:val="bullet"/>
      <w:lvlText w:val="-"/>
      <w:lvlJc w:val="left"/>
      <w:pPr>
        <w:ind w:left="1440" w:hanging="360"/>
      </w:pPr>
      <w:rPr>
        <w:rFonts w:ascii="Times New Roman" w:eastAsia="Times New Roman" w:hAnsi="Times New Roman" w:cs="Times New Roman" w:hint="default"/>
      </w:rPr>
    </w:lvl>
    <w:lvl w:ilvl="1" w:tplc="5616E298" w:tentative="1">
      <w:start w:val="1"/>
      <w:numFmt w:val="bullet"/>
      <w:lvlText w:val="o"/>
      <w:lvlJc w:val="left"/>
      <w:pPr>
        <w:ind w:left="2160" w:hanging="360"/>
      </w:pPr>
      <w:rPr>
        <w:rFonts w:ascii="Courier New" w:hAnsi="Courier New" w:cs="Courier New" w:hint="default"/>
      </w:rPr>
    </w:lvl>
    <w:lvl w:ilvl="2" w:tplc="9704ED4A" w:tentative="1">
      <w:start w:val="1"/>
      <w:numFmt w:val="bullet"/>
      <w:lvlText w:val=""/>
      <w:lvlJc w:val="left"/>
      <w:pPr>
        <w:ind w:left="2880" w:hanging="360"/>
      </w:pPr>
      <w:rPr>
        <w:rFonts w:ascii="Wingdings" w:hAnsi="Wingdings" w:hint="default"/>
      </w:rPr>
    </w:lvl>
    <w:lvl w:ilvl="3" w:tplc="B04602A2" w:tentative="1">
      <w:start w:val="1"/>
      <w:numFmt w:val="bullet"/>
      <w:lvlText w:val=""/>
      <w:lvlJc w:val="left"/>
      <w:pPr>
        <w:ind w:left="3600" w:hanging="360"/>
      </w:pPr>
      <w:rPr>
        <w:rFonts w:ascii="Symbol" w:hAnsi="Symbol" w:hint="default"/>
      </w:rPr>
    </w:lvl>
    <w:lvl w:ilvl="4" w:tplc="527E2AEE" w:tentative="1">
      <w:start w:val="1"/>
      <w:numFmt w:val="bullet"/>
      <w:lvlText w:val="o"/>
      <w:lvlJc w:val="left"/>
      <w:pPr>
        <w:ind w:left="4320" w:hanging="360"/>
      </w:pPr>
      <w:rPr>
        <w:rFonts w:ascii="Courier New" w:hAnsi="Courier New" w:cs="Courier New" w:hint="default"/>
      </w:rPr>
    </w:lvl>
    <w:lvl w:ilvl="5" w:tplc="6C48601A" w:tentative="1">
      <w:start w:val="1"/>
      <w:numFmt w:val="bullet"/>
      <w:lvlText w:val=""/>
      <w:lvlJc w:val="left"/>
      <w:pPr>
        <w:ind w:left="5040" w:hanging="360"/>
      </w:pPr>
      <w:rPr>
        <w:rFonts w:ascii="Wingdings" w:hAnsi="Wingdings" w:hint="default"/>
      </w:rPr>
    </w:lvl>
    <w:lvl w:ilvl="6" w:tplc="22128AEE" w:tentative="1">
      <w:start w:val="1"/>
      <w:numFmt w:val="bullet"/>
      <w:lvlText w:val=""/>
      <w:lvlJc w:val="left"/>
      <w:pPr>
        <w:ind w:left="5760" w:hanging="360"/>
      </w:pPr>
      <w:rPr>
        <w:rFonts w:ascii="Symbol" w:hAnsi="Symbol" w:hint="default"/>
      </w:rPr>
    </w:lvl>
    <w:lvl w:ilvl="7" w:tplc="4DA42596" w:tentative="1">
      <w:start w:val="1"/>
      <w:numFmt w:val="bullet"/>
      <w:lvlText w:val="o"/>
      <w:lvlJc w:val="left"/>
      <w:pPr>
        <w:ind w:left="6480" w:hanging="360"/>
      </w:pPr>
      <w:rPr>
        <w:rFonts w:ascii="Courier New" w:hAnsi="Courier New" w:cs="Courier New" w:hint="default"/>
      </w:rPr>
    </w:lvl>
    <w:lvl w:ilvl="8" w:tplc="30C698A8" w:tentative="1">
      <w:start w:val="1"/>
      <w:numFmt w:val="bullet"/>
      <w:lvlText w:val=""/>
      <w:lvlJc w:val="left"/>
      <w:pPr>
        <w:ind w:left="7200" w:hanging="360"/>
      </w:pPr>
      <w:rPr>
        <w:rFonts w:ascii="Wingdings" w:hAnsi="Wingdings" w:hint="default"/>
      </w:rPr>
    </w:lvl>
  </w:abstractNum>
  <w:abstractNum w:abstractNumId="13" w15:restartNumberingAfterBreak="0">
    <w:nsid w:val="07C9583D"/>
    <w:multiLevelType w:val="multilevel"/>
    <w:tmpl w:val="BB08A8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A285095"/>
    <w:multiLevelType w:val="hybridMultilevel"/>
    <w:tmpl w:val="6E9E30B4"/>
    <w:lvl w:ilvl="0" w:tplc="58785260">
      <w:start w:val="1"/>
      <w:numFmt w:val="bullet"/>
      <w:lvlText w:val="-"/>
      <w:lvlJc w:val="left"/>
      <w:pPr>
        <w:ind w:left="1571" w:hanging="360"/>
      </w:pPr>
      <w:rPr>
        <w:rFonts w:ascii="Times New Roman" w:eastAsia="Times New Roman" w:hAnsi="Times New Roman" w:cs="Times New Roman" w:hint="default"/>
      </w:rPr>
    </w:lvl>
    <w:lvl w:ilvl="1" w:tplc="C81A465E" w:tentative="1">
      <w:start w:val="1"/>
      <w:numFmt w:val="bullet"/>
      <w:lvlText w:val="o"/>
      <w:lvlJc w:val="left"/>
      <w:pPr>
        <w:ind w:left="2291" w:hanging="360"/>
      </w:pPr>
      <w:rPr>
        <w:rFonts w:ascii="Courier New" w:hAnsi="Courier New" w:cs="Courier New" w:hint="default"/>
      </w:rPr>
    </w:lvl>
    <w:lvl w:ilvl="2" w:tplc="11728A86" w:tentative="1">
      <w:start w:val="1"/>
      <w:numFmt w:val="bullet"/>
      <w:lvlText w:val=""/>
      <w:lvlJc w:val="left"/>
      <w:pPr>
        <w:ind w:left="3011" w:hanging="360"/>
      </w:pPr>
      <w:rPr>
        <w:rFonts w:ascii="Wingdings" w:hAnsi="Wingdings" w:hint="default"/>
      </w:rPr>
    </w:lvl>
    <w:lvl w:ilvl="3" w:tplc="AFD4CC48" w:tentative="1">
      <w:start w:val="1"/>
      <w:numFmt w:val="bullet"/>
      <w:lvlText w:val=""/>
      <w:lvlJc w:val="left"/>
      <w:pPr>
        <w:ind w:left="3731" w:hanging="360"/>
      </w:pPr>
      <w:rPr>
        <w:rFonts w:ascii="Symbol" w:hAnsi="Symbol" w:hint="default"/>
      </w:rPr>
    </w:lvl>
    <w:lvl w:ilvl="4" w:tplc="66DEDA6C" w:tentative="1">
      <w:start w:val="1"/>
      <w:numFmt w:val="bullet"/>
      <w:lvlText w:val="o"/>
      <w:lvlJc w:val="left"/>
      <w:pPr>
        <w:ind w:left="4451" w:hanging="360"/>
      </w:pPr>
      <w:rPr>
        <w:rFonts w:ascii="Courier New" w:hAnsi="Courier New" w:cs="Courier New" w:hint="default"/>
      </w:rPr>
    </w:lvl>
    <w:lvl w:ilvl="5" w:tplc="0BF863BA" w:tentative="1">
      <w:start w:val="1"/>
      <w:numFmt w:val="bullet"/>
      <w:lvlText w:val=""/>
      <w:lvlJc w:val="left"/>
      <w:pPr>
        <w:ind w:left="5171" w:hanging="360"/>
      </w:pPr>
      <w:rPr>
        <w:rFonts w:ascii="Wingdings" w:hAnsi="Wingdings" w:hint="default"/>
      </w:rPr>
    </w:lvl>
    <w:lvl w:ilvl="6" w:tplc="4FF4DB52" w:tentative="1">
      <w:start w:val="1"/>
      <w:numFmt w:val="bullet"/>
      <w:lvlText w:val=""/>
      <w:lvlJc w:val="left"/>
      <w:pPr>
        <w:ind w:left="5891" w:hanging="360"/>
      </w:pPr>
      <w:rPr>
        <w:rFonts w:ascii="Symbol" w:hAnsi="Symbol" w:hint="default"/>
      </w:rPr>
    </w:lvl>
    <w:lvl w:ilvl="7" w:tplc="5D38BD24" w:tentative="1">
      <w:start w:val="1"/>
      <w:numFmt w:val="bullet"/>
      <w:lvlText w:val="o"/>
      <w:lvlJc w:val="left"/>
      <w:pPr>
        <w:ind w:left="6611" w:hanging="360"/>
      </w:pPr>
      <w:rPr>
        <w:rFonts w:ascii="Courier New" w:hAnsi="Courier New" w:cs="Courier New" w:hint="default"/>
      </w:rPr>
    </w:lvl>
    <w:lvl w:ilvl="8" w:tplc="AEEE8E2C" w:tentative="1">
      <w:start w:val="1"/>
      <w:numFmt w:val="bullet"/>
      <w:lvlText w:val=""/>
      <w:lvlJc w:val="left"/>
      <w:pPr>
        <w:ind w:left="7331" w:hanging="360"/>
      </w:pPr>
      <w:rPr>
        <w:rFonts w:ascii="Wingdings" w:hAnsi="Wingdings" w:hint="default"/>
      </w:rPr>
    </w:lvl>
  </w:abstractNum>
  <w:abstractNum w:abstractNumId="15" w15:restartNumberingAfterBreak="0">
    <w:nsid w:val="0A4F396F"/>
    <w:multiLevelType w:val="hybridMultilevel"/>
    <w:tmpl w:val="1E4EFDA0"/>
    <w:lvl w:ilvl="0" w:tplc="BAECA9DA">
      <w:start w:val="1"/>
      <w:numFmt w:val="bullet"/>
      <w:lvlText w:val="-"/>
      <w:lvlJc w:val="left"/>
      <w:pPr>
        <w:ind w:left="1287" w:hanging="360"/>
      </w:pPr>
      <w:rPr>
        <w:rFonts w:ascii="Times New Roman" w:eastAsia="Times New Roman" w:hAnsi="Times New Roman" w:cs="Times New Roman" w:hint="default"/>
      </w:rPr>
    </w:lvl>
    <w:lvl w:ilvl="1" w:tplc="91563DB4" w:tentative="1">
      <w:start w:val="1"/>
      <w:numFmt w:val="bullet"/>
      <w:lvlText w:val="o"/>
      <w:lvlJc w:val="left"/>
      <w:pPr>
        <w:ind w:left="2007" w:hanging="360"/>
      </w:pPr>
      <w:rPr>
        <w:rFonts w:ascii="Courier New" w:hAnsi="Courier New" w:cs="Courier New" w:hint="default"/>
      </w:rPr>
    </w:lvl>
    <w:lvl w:ilvl="2" w:tplc="9B1019A0" w:tentative="1">
      <w:start w:val="1"/>
      <w:numFmt w:val="bullet"/>
      <w:lvlText w:val=""/>
      <w:lvlJc w:val="left"/>
      <w:pPr>
        <w:ind w:left="2727" w:hanging="360"/>
      </w:pPr>
      <w:rPr>
        <w:rFonts w:ascii="Wingdings" w:hAnsi="Wingdings" w:hint="default"/>
      </w:rPr>
    </w:lvl>
    <w:lvl w:ilvl="3" w:tplc="56F2DD76" w:tentative="1">
      <w:start w:val="1"/>
      <w:numFmt w:val="bullet"/>
      <w:lvlText w:val=""/>
      <w:lvlJc w:val="left"/>
      <w:pPr>
        <w:ind w:left="3447" w:hanging="360"/>
      </w:pPr>
      <w:rPr>
        <w:rFonts w:ascii="Symbol" w:hAnsi="Symbol" w:hint="default"/>
      </w:rPr>
    </w:lvl>
    <w:lvl w:ilvl="4" w:tplc="BAF864EA" w:tentative="1">
      <w:start w:val="1"/>
      <w:numFmt w:val="bullet"/>
      <w:lvlText w:val="o"/>
      <w:lvlJc w:val="left"/>
      <w:pPr>
        <w:ind w:left="4167" w:hanging="360"/>
      </w:pPr>
      <w:rPr>
        <w:rFonts w:ascii="Courier New" w:hAnsi="Courier New" w:cs="Courier New" w:hint="default"/>
      </w:rPr>
    </w:lvl>
    <w:lvl w:ilvl="5" w:tplc="CC7C5936" w:tentative="1">
      <w:start w:val="1"/>
      <w:numFmt w:val="bullet"/>
      <w:lvlText w:val=""/>
      <w:lvlJc w:val="left"/>
      <w:pPr>
        <w:ind w:left="4887" w:hanging="360"/>
      </w:pPr>
      <w:rPr>
        <w:rFonts w:ascii="Wingdings" w:hAnsi="Wingdings" w:hint="default"/>
      </w:rPr>
    </w:lvl>
    <w:lvl w:ilvl="6" w:tplc="E6563234" w:tentative="1">
      <w:start w:val="1"/>
      <w:numFmt w:val="bullet"/>
      <w:lvlText w:val=""/>
      <w:lvlJc w:val="left"/>
      <w:pPr>
        <w:ind w:left="5607" w:hanging="360"/>
      </w:pPr>
      <w:rPr>
        <w:rFonts w:ascii="Symbol" w:hAnsi="Symbol" w:hint="default"/>
      </w:rPr>
    </w:lvl>
    <w:lvl w:ilvl="7" w:tplc="6E16D8FC" w:tentative="1">
      <w:start w:val="1"/>
      <w:numFmt w:val="bullet"/>
      <w:lvlText w:val="o"/>
      <w:lvlJc w:val="left"/>
      <w:pPr>
        <w:ind w:left="6327" w:hanging="360"/>
      </w:pPr>
      <w:rPr>
        <w:rFonts w:ascii="Courier New" w:hAnsi="Courier New" w:cs="Courier New" w:hint="default"/>
      </w:rPr>
    </w:lvl>
    <w:lvl w:ilvl="8" w:tplc="C4EACD40" w:tentative="1">
      <w:start w:val="1"/>
      <w:numFmt w:val="bullet"/>
      <w:lvlText w:val=""/>
      <w:lvlJc w:val="left"/>
      <w:pPr>
        <w:ind w:left="7047" w:hanging="360"/>
      </w:pPr>
      <w:rPr>
        <w:rFonts w:ascii="Wingdings" w:hAnsi="Wingdings" w:hint="default"/>
      </w:rPr>
    </w:lvl>
  </w:abstractNum>
  <w:abstractNum w:abstractNumId="16" w15:restartNumberingAfterBreak="0">
    <w:nsid w:val="0AFC1516"/>
    <w:multiLevelType w:val="hybridMultilevel"/>
    <w:tmpl w:val="1924EEBC"/>
    <w:lvl w:ilvl="0" w:tplc="378EAB50">
      <w:start w:val="1"/>
      <w:numFmt w:val="lowerRoman"/>
      <w:lvlText w:val="%1)"/>
      <w:lvlJc w:val="left"/>
      <w:pPr>
        <w:ind w:left="720" w:hanging="360"/>
      </w:pPr>
      <w:rPr>
        <w:rFonts w:ascii="Arial" w:eastAsia="Times New Roman" w:hAnsi="Arial" w:cs="Times New Roman"/>
      </w:rPr>
    </w:lvl>
    <w:lvl w:ilvl="1" w:tplc="AA32D100" w:tentative="1">
      <w:start w:val="1"/>
      <w:numFmt w:val="lowerLetter"/>
      <w:lvlText w:val="%2."/>
      <w:lvlJc w:val="left"/>
      <w:pPr>
        <w:ind w:left="1440" w:hanging="360"/>
      </w:pPr>
    </w:lvl>
    <w:lvl w:ilvl="2" w:tplc="A4189C78" w:tentative="1">
      <w:start w:val="1"/>
      <w:numFmt w:val="lowerRoman"/>
      <w:lvlText w:val="%3."/>
      <w:lvlJc w:val="right"/>
      <w:pPr>
        <w:ind w:left="2160" w:hanging="180"/>
      </w:pPr>
    </w:lvl>
    <w:lvl w:ilvl="3" w:tplc="19B6C290" w:tentative="1">
      <w:start w:val="1"/>
      <w:numFmt w:val="decimal"/>
      <w:lvlText w:val="%4."/>
      <w:lvlJc w:val="left"/>
      <w:pPr>
        <w:ind w:left="2880" w:hanging="360"/>
      </w:pPr>
    </w:lvl>
    <w:lvl w:ilvl="4" w:tplc="B9EC08BE" w:tentative="1">
      <w:start w:val="1"/>
      <w:numFmt w:val="lowerLetter"/>
      <w:lvlText w:val="%5."/>
      <w:lvlJc w:val="left"/>
      <w:pPr>
        <w:ind w:left="3600" w:hanging="360"/>
      </w:pPr>
    </w:lvl>
    <w:lvl w:ilvl="5" w:tplc="B254DEE2" w:tentative="1">
      <w:start w:val="1"/>
      <w:numFmt w:val="lowerRoman"/>
      <w:lvlText w:val="%6."/>
      <w:lvlJc w:val="right"/>
      <w:pPr>
        <w:ind w:left="4320" w:hanging="180"/>
      </w:pPr>
    </w:lvl>
    <w:lvl w:ilvl="6" w:tplc="0520FC72" w:tentative="1">
      <w:start w:val="1"/>
      <w:numFmt w:val="decimal"/>
      <w:lvlText w:val="%7."/>
      <w:lvlJc w:val="left"/>
      <w:pPr>
        <w:ind w:left="5040" w:hanging="360"/>
      </w:pPr>
    </w:lvl>
    <w:lvl w:ilvl="7" w:tplc="5E160992" w:tentative="1">
      <w:start w:val="1"/>
      <w:numFmt w:val="lowerLetter"/>
      <w:lvlText w:val="%8."/>
      <w:lvlJc w:val="left"/>
      <w:pPr>
        <w:ind w:left="5760" w:hanging="360"/>
      </w:pPr>
    </w:lvl>
    <w:lvl w:ilvl="8" w:tplc="78360B24" w:tentative="1">
      <w:start w:val="1"/>
      <w:numFmt w:val="lowerRoman"/>
      <w:lvlText w:val="%9."/>
      <w:lvlJc w:val="right"/>
      <w:pPr>
        <w:ind w:left="6480" w:hanging="180"/>
      </w:pPr>
    </w:lvl>
  </w:abstractNum>
  <w:abstractNum w:abstractNumId="17" w15:restartNumberingAfterBreak="0">
    <w:nsid w:val="0C3C793F"/>
    <w:multiLevelType w:val="multilevel"/>
    <w:tmpl w:val="3C2A658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0CEC7089"/>
    <w:multiLevelType w:val="hybridMultilevel"/>
    <w:tmpl w:val="A2FAC256"/>
    <w:lvl w:ilvl="0" w:tplc="BCF8FA8E">
      <w:start w:val="1"/>
      <w:numFmt w:val="lowerLetter"/>
      <w:lvlText w:val="%1)"/>
      <w:lvlJc w:val="left"/>
      <w:pPr>
        <w:ind w:left="720" w:hanging="360"/>
      </w:pPr>
      <w:rPr>
        <w:rFonts w:hint="default"/>
      </w:rPr>
    </w:lvl>
    <w:lvl w:ilvl="1" w:tplc="A9F0E6A2" w:tentative="1">
      <w:start w:val="1"/>
      <w:numFmt w:val="lowerLetter"/>
      <w:lvlText w:val="%2."/>
      <w:lvlJc w:val="left"/>
      <w:pPr>
        <w:ind w:left="1440" w:hanging="360"/>
      </w:pPr>
    </w:lvl>
    <w:lvl w:ilvl="2" w:tplc="9C226DA4" w:tentative="1">
      <w:start w:val="1"/>
      <w:numFmt w:val="lowerRoman"/>
      <w:lvlText w:val="%3."/>
      <w:lvlJc w:val="right"/>
      <w:pPr>
        <w:ind w:left="2160" w:hanging="180"/>
      </w:pPr>
    </w:lvl>
    <w:lvl w:ilvl="3" w:tplc="8736B602" w:tentative="1">
      <w:start w:val="1"/>
      <w:numFmt w:val="decimal"/>
      <w:lvlText w:val="%4."/>
      <w:lvlJc w:val="left"/>
      <w:pPr>
        <w:ind w:left="2880" w:hanging="360"/>
      </w:pPr>
    </w:lvl>
    <w:lvl w:ilvl="4" w:tplc="E4BA47AC" w:tentative="1">
      <w:start w:val="1"/>
      <w:numFmt w:val="lowerLetter"/>
      <w:lvlText w:val="%5."/>
      <w:lvlJc w:val="left"/>
      <w:pPr>
        <w:ind w:left="3600" w:hanging="360"/>
      </w:pPr>
    </w:lvl>
    <w:lvl w:ilvl="5" w:tplc="00F86B72" w:tentative="1">
      <w:start w:val="1"/>
      <w:numFmt w:val="lowerRoman"/>
      <w:lvlText w:val="%6."/>
      <w:lvlJc w:val="right"/>
      <w:pPr>
        <w:ind w:left="4320" w:hanging="180"/>
      </w:pPr>
    </w:lvl>
    <w:lvl w:ilvl="6" w:tplc="4B0EBA1C" w:tentative="1">
      <w:start w:val="1"/>
      <w:numFmt w:val="decimal"/>
      <w:lvlText w:val="%7."/>
      <w:lvlJc w:val="left"/>
      <w:pPr>
        <w:ind w:left="5040" w:hanging="360"/>
      </w:pPr>
    </w:lvl>
    <w:lvl w:ilvl="7" w:tplc="526C6F54" w:tentative="1">
      <w:start w:val="1"/>
      <w:numFmt w:val="lowerLetter"/>
      <w:lvlText w:val="%8."/>
      <w:lvlJc w:val="left"/>
      <w:pPr>
        <w:ind w:left="5760" w:hanging="360"/>
      </w:pPr>
    </w:lvl>
    <w:lvl w:ilvl="8" w:tplc="77509578" w:tentative="1">
      <w:start w:val="1"/>
      <w:numFmt w:val="lowerRoman"/>
      <w:lvlText w:val="%9."/>
      <w:lvlJc w:val="right"/>
      <w:pPr>
        <w:ind w:left="6480" w:hanging="180"/>
      </w:pPr>
    </w:lvl>
  </w:abstractNum>
  <w:abstractNum w:abstractNumId="19" w15:restartNumberingAfterBreak="0">
    <w:nsid w:val="0CF70B51"/>
    <w:multiLevelType w:val="hybridMultilevel"/>
    <w:tmpl w:val="FC68EC08"/>
    <w:lvl w:ilvl="0" w:tplc="D62C1708">
      <w:start w:val="1"/>
      <w:numFmt w:val="decimal"/>
      <w:lvlText w:val="%1."/>
      <w:lvlJc w:val="left"/>
      <w:pPr>
        <w:ind w:left="720" w:hanging="360"/>
      </w:pPr>
      <w:rPr>
        <w:rFonts w:hint="default"/>
      </w:rPr>
    </w:lvl>
    <w:lvl w:ilvl="1" w:tplc="099046C8" w:tentative="1">
      <w:start w:val="1"/>
      <w:numFmt w:val="lowerLetter"/>
      <w:lvlText w:val="%2."/>
      <w:lvlJc w:val="left"/>
      <w:pPr>
        <w:ind w:left="1440" w:hanging="360"/>
      </w:pPr>
    </w:lvl>
    <w:lvl w:ilvl="2" w:tplc="DC80D11A" w:tentative="1">
      <w:start w:val="1"/>
      <w:numFmt w:val="lowerRoman"/>
      <w:lvlText w:val="%3."/>
      <w:lvlJc w:val="right"/>
      <w:pPr>
        <w:ind w:left="2160" w:hanging="180"/>
      </w:pPr>
    </w:lvl>
    <w:lvl w:ilvl="3" w:tplc="5B1E0D9A" w:tentative="1">
      <w:start w:val="1"/>
      <w:numFmt w:val="decimal"/>
      <w:lvlText w:val="%4."/>
      <w:lvlJc w:val="left"/>
      <w:pPr>
        <w:ind w:left="2880" w:hanging="360"/>
      </w:pPr>
    </w:lvl>
    <w:lvl w:ilvl="4" w:tplc="22B4AA00" w:tentative="1">
      <w:start w:val="1"/>
      <w:numFmt w:val="lowerLetter"/>
      <w:lvlText w:val="%5."/>
      <w:lvlJc w:val="left"/>
      <w:pPr>
        <w:ind w:left="3600" w:hanging="360"/>
      </w:pPr>
    </w:lvl>
    <w:lvl w:ilvl="5" w:tplc="6362395E" w:tentative="1">
      <w:start w:val="1"/>
      <w:numFmt w:val="lowerRoman"/>
      <w:lvlText w:val="%6."/>
      <w:lvlJc w:val="right"/>
      <w:pPr>
        <w:ind w:left="4320" w:hanging="180"/>
      </w:pPr>
    </w:lvl>
    <w:lvl w:ilvl="6" w:tplc="5A480EAA" w:tentative="1">
      <w:start w:val="1"/>
      <w:numFmt w:val="decimal"/>
      <w:lvlText w:val="%7."/>
      <w:lvlJc w:val="left"/>
      <w:pPr>
        <w:ind w:left="5040" w:hanging="360"/>
      </w:pPr>
    </w:lvl>
    <w:lvl w:ilvl="7" w:tplc="066A6A20" w:tentative="1">
      <w:start w:val="1"/>
      <w:numFmt w:val="lowerLetter"/>
      <w:lvlText w:val="%8."/>
      <w:lvlJc w:val="left"/>
      <w:pPr>
        <w:ind w:left="5760" w:hanging="360"/>
      </w:pPr>
    </w:lvl>
    <w:lvl w:ilvl="8" w:tplc="F03CF75A" w:tentative="1">
      <w:start w:val="1"/>
      <w:numFmt w:val="lowerRoman"/>
      <w:lvlText w:val="%9."/>
      <w:lvlJc w:val="right"/>
      <w:pPr>
        <w:ind w:left="6480" w:hanging="180"/>
      </w:pPr>
    </w:lvl>
  </w:abstractNum>
  <w:abstractNum w:abstractNumId="20" w15:restartNumberingAfterBreak="0">
    <w:nsid w:val="0EA20FA9"/>
    <w:multiLevelType w:val="hybridMultilevel"/>
    <w:tmpl w:val="FBA44C28"/>
    <w:lvl w:ilvl="0" w:tplc="DA8476EA">
      <w:start w:val="4"/>
      <w:numFmt w:val="lowerRoman"/>
      <w:lvlText w:val="%1)"/>
      <w:lvlJc w:val="left"/>
      <w:pPr>
        <w:ind w:left="1003" w:hanging="720"/>
      </w:pPr>
      <w:rPr>
        <w:rFonts w:hint="default"/>
        <w:b/>
        <w:bCs w:val="0"/>
        <w:i/>
      </w:rPr>
    </w:lvl>
    <w:lvl w:ilvl="1" w:tplc="6A363200" w:tentative="1">
      <w:start w:val="1"/>
      <w:numFmt w:val="lowerLetter"/>
      <w:lvlText w:val="%2."/>
      <w:lvlJc w:val="left"/>
      <w:pPr>
        <w:ind w:left="1363" w:hanging="360"/>
      </w:pPr>
    </w:lvl>
    <w:lvl w:ilvl="2" w:tplc="846A51A4" w:tentative="1">
      <w:start w:val="1"/>
      <w:numFmt w:val="lowerRoman"/>
      <w:lvlText w:val="%3."/>
      <w:lvlJc w:val="right"/>
      <w:pPr>
        <w:ind w:left="2083" w:hanging="180"/>
      </w:pPr>
    </w:lvl>
    <w:lvl w:ilvl="3" w:tplc="7A78D5A4" w:tentative="1">
      <w:start w:val="1"/>
      <w:numFmt w:val="decimal"/>
      <w:lvlText w:val="%4."/>
      <w:lvlJc w:val="left"/>
      <w:pPr>
        <w:ind w:left="2803" w:hanging="360"/>
      </w:pPr>
    </w:lvl>
    <w:lvl w:ilvl="4" w:tplc="8F065D32" w:tentative="1">
      <w:start w:val="1"/>
      <w:numFmt w:val="lowerLetter"/>
      <w:lvlText w:val="%5."/>
      <w:lvlJc w:val="left"/>
      <w:pPr>
        <w:ind w:left="3523" w:hanging="360"/>
      </w:pPr>
    </w:lvl>
    <w:lvl w:ilvl="5" w:tplc="C458E012" w:tentative="1">
      <w:start w:val="1"/>
      <w:numFmt w:val="lowerRoman"/>
      <w:lvlText w:val="%6."/>
      <w:lvlJc w:val="right"/>
      <w:pPr>
        <w:ind w:left="4243" w:hanging="180"/>
      </w:pPr>
    </w:lvl>
    <w:lvl w:ilvl="6" w:tplc="D3505302" w:tentative="1">
      <w:start w:val="1"/>
      <w:numFmt w:val="decimal"/>
      <w:lvlText w:val="%7."/>
      <w:lvlJc w:val="left"/>
      <w:pPr>
        <w:ind w:left="4963" w:hanging="360"/>
      </w:pPr>
    </w:lvl>
    <w:lvl w:ilvl="7" w:tplc="FE7205A4" w:tentative="1">
      <w:start w:val="1"/>
      <w:numFmt w:val="lowerLetter"/>
      <w:lvlText w:val="%8."/>
      <w:lvlJc w:val="left"/>
      <w:pPr>
        <w:ind w:left="5683" w:hanging="360"/>
      </w:pPr>
    </w:lvl>
    <w:lvl w:ilvl="8" w:tplc="DD70A150" w:tentative="1">
      <w:start w:val="1"/>
      <w:numFmt w:val="lowerRoman"/>
      <w:lvlText w:val="%9."/>
      <w:lvlJc w:val="right"/>
      <w:pPr>
        <w:ind w:left="6403" w:hanging="180"/>
      </w:pPr>
    </w:lvl>
  </w:abstractNum>
  <w:abstractNum w:abstractNumId="21" w15:restartNumberingAfterBreak="0">
    <w:nsid w:val="0F78204B"/>
    <w:multiLevelType w:val="hybridMultilevel"/>
    <w:tmpl w:val="C9EE465E"/>
    <w:lvl w:ilvl="0" w:tplc="877C13D0">
      <w:start w:val="1"/>
      <w:numFmt w:val="decimal"/>
      <w:lvlText w:val="%1."/>
      <w:lvlJc w:val="left"/>
      <w:pPr>
        <w:ind w:left="720" w:hanging="360"/>
      </w:pPr>
      <w:rPr>
        <w:rFonts w:hint="default"/>
      </w:rPr>
    </w:lvl>
    <w:lvl w:ilvl="1" w:tplc="5A1C58BE" w:tentative="1">
      <w:start w:val="1"/>
      <w:numFmt w:val="lowerLetter"/>
      <w:lvlText w:val="%2."/>
      <w:lvlJc w:val="left"/>
      <w:pPr>
        <w:ind w:left="1440" w:hanging="360"/>
      </w:pPr>
    </w:lvl>
    <w:lvl w:ilvl="2" w:tplc="F8707E5C" w:tentative="1">
      <w:start w:val="1"/>
      <w:numFmt w:val="lowerRoman"/>
      <w:lvlText w:val="%3."/>
      <w:lvlJc w:val="right"/>
      <w:pPr>
        <w:ind w:left="2160" w:hanging="180"/>
      </w:pPr>
    </w:lvl>
    <w:lvl w:ilvl="3" w:tplc="088C629E" w:tentative="1">
      <w:start w:val="1"/>
      <w:numFmt w:val="decimal"/>
      <w:lvlText w:val="%4."/>
      <w:lvlJc w:val="left"/>
      <w:pPr>
        <w:ind w:left="2880" w:hanging="360"/>
      </w:pPr>
    </w:lvl>
    <w:lvl w:ilvl="4" w:tplc="D51C1C5E" w:tentative="1">
      <w:start w:val="1"/>
      <w:numFmt w:val="lowerLetter"/>
      <w:lvlText w:val="%5."/>
      <w:lvlJc w:val="left"/>
      <w:pPr>
        <w:ind w:left="3600" w:hanging="360"/>
      </w:pPr>
    </w:lvl>
    <w:lvl w:ilvl="5" w:tplc="AC920FC6" w:tentative="1">
      <w:start w:val="1"/>
      <w:numFmt w:val="lowerRoman"/>
      <w:lvlText w:val="%6."/>
      <w:lvlJc w:val="right"/>
      <w:pPr>
        <w:ind w:left="4320" w:hanging="180"/>
      </w:pPr>
    </w:lvl>
    <w:lvl w:ilvl="6" w:tplc="93D263CC" w:tentative="1">
      <w:start w:val="1"/>
      <w:numFmt w:val="decimal"/>
      <w:lvlText w:val="%7."/>
      <w:lvlJc w:val="left"/>
      <w:pPr>
        <w:ind w:left="5040" w:hanging="360"/>
      </w:pPr>
    </w:lvl>
    <w:lvl w:ilvl="7" w:tplc="FAA2C6C8" w:tentative="1">
      <w:start w:val="1"/>
      <w:numFmt w:val="lowerLetter"/>
      <w:lvlText w:val="%8."/>
      <w:lvlJc w:val="left"/>
      <w:pPr>
        <w:ind w:left="5760" w:hanging="360"/>
      </w:pPr>
    </w:lvl>
    <w:lvl w:ilvl="8" w:tplc="8F96E3F6" w:tentative="1">
      <w:start w:val="1"/>
      <w:numFmt w:val="lowerRoman"/>
      <w:lvlText w:val="%9."/>
      <w:lvlJc w:val="right"/>
      <w:pPr>
        <w:ind w:left="6480" w:hanging="180"/>
      </w:pPr>
    </w:lvl>
  </w:abstractNum>
  <w:abstractNum w:abstractNumId="22" w15:restartNumberingAfterBreak="0">
    <w:nsid w:val="0FA13438"/>
    <w:multiLevelType w:val="hybridMultilevel"/>
    <w:tmpl w:val="132C0302"/>
    <w:lvl w:ilvl="0" w:tplc="12BCF21E">
      <w:start w:val="1"/>
      <w:numFmt w:val="bullet"/>
      <w:lvlText w:val="-"/>
      <w:lvlJc w:val="left"/>
      <w:pPr>
        <w:ind w:left="720" w:hanging="360"/>
      </w:pPr>
      <w:rPr>
        <w:rFonts w:ascii="Times New Roman" w:eastAsia="Times New Roman" w:hAnsi="Times New Roman" w:cs="Times New Roman" w:hint="default"/>
      </w:rPr>
    </w:lvl>
    <w:lvl w:ilvl="1" w:tplc="EF5E88D6" w:tentative="1">
      <w:start w:val="1"/>
      <w:numFmt w:val="bullet"/>
      <w:lvlText w:val="o"/>
      <w:lvlJc w:val="left"/>
      <w:pPr>
        <w:ind w:left="1440" w:hanging="360"/>
      </w:pPr>
      <w:rPr>
        <w:rFonts w:ascii="Courier New" w:hAnsi="Courier New" w:cs="Courier New" w:hint="default"/>
      </w:rPr>
    </w:lvl>
    <w:lvl w:ilvl="2" w:tplc="D9FC3554" w:tentative="1">
      <w:start w:val="1"/>
      <w:numFmt w:val="bullet"/>
      <w:lvlText w:val=""/>
      <w:lvlJc w:val="left"/>
      <w:pPr>
        <w:ind w:left="2160" w:hanging="360"/>
      </w:pPr>
      <w:rPr>
        <w:rFonts w:ascii="Wingdings" w:hAnsi="Wingdings" w:hint="default"/>
      </w:rPr>
    </w:lvl>
    <w:lvl w:ilvl="3" w:tplc="236C6864" w:tentative="1">
      <w:start w:val="1"/>
      <w:numFmt w:val="bullet"/>
      <w:lvlText w:val=""/>
      <w:lvlJc w:val="left"/>
      <w:pPr>
        <w:ind w:left="2880" w:hanging="360"/>
      </w:pPr>
      <w:rPr>
        <w:rFonts w:ascii="Symbol" w:hAnsi="Symbol" w:hint="default"/>
      </w:rPr>
    </w:lvl>
    <w:lvl w:ilvl="4" w:tplc="52923C7A" w:tentative="1">
      <w:start w:val="1"/>
      <w:numFmt w:val="bullet"/>
      <w:lvlText w:val="o"/>
      <w:lvlJc w:val="left"/>
      <w:pPr>
        <w:ind w:left="3600" w:hanging="360"/>
      </w:pPr>
      <w:rPr>
        <w:rFonts w:ascii="Courier New" w:hAnsi="Courier New" w:cs="Courier New" w:hint="default"/>
      </w:rPr>
    </w:lvl>
    <w:lvl w:ilvl="5" w:tplc="A1082D38" w:tentative="1">
      <w:start w:val="1"/>
      <w:numFmt w:val="bullet"/>
      <w:lvlText w:val=""/>
      <w:lvlJc w:val="left"/>
      <w:pPr>
        <w:ind w:left="4320" w:hanging="360"/>
      </w:pPr>
      <w:rPr>
        <w:rFonts w:ascii="Wingdings" w:hAnsi="Wingdings" w:hint="default"/>
      </w:rPr>
    </w:lvl>
    <w:lvl w:ilvl="6" w:tplc="238884E2" w:tentative="1">
      <w:start w:val="1"/>
      <w:numFmt w:val="bullet"/>
      <w:lvlText w:val=""/>
      <w:lvlJc w:val="left"/>
      <w:pPr>
        <w:ind w:left="5040" w:hanging="360"/>
      </w:pPr>
      <w:rPr>
        <w:rFonts w:ascii="Symbol" w:hAnsi="Symbol" w:hint="default"/>
      </w:rPr>
    </w:lvl>
    <w:lvl w:ilvl="7" w:tplc="392E195C" w:tentative="1">
      <w:start w:val="1"/>
      <w:numFmt w:val="bullet"/>
      <w:lvlText w:val="o"/>
      <w:lvlJc w:val="left"/>
      <w:pPr>
        <w:ind w:left="5760" w:hanging="360"/>
      </w:pPr>
      <w:rPr>
        <w:rFonts w:ascii="Courier New" w:hAnsi="Courier New" w:cs="Courier New" w:hint="default"/>
      </w:rPr>
    </w:lvl>
    <w:lvl w:ilvl="8" w:tplc="2362E07C" w:tentative="1">
      <w:start w:val="1"/>
      <w:numFmt w:val="bullet"/>
      <w:lvlText w:val=""/>
      <w:lvlJc w:val="left"/>
      <w:pPr>
        <w:ind w:left="6480" w:hanging="360"/>
      </w:pPr>
      <w:rPr>
        <w:rFonts w:ascii="Wingdings" w:hAnsi="Wingdings" w:hint="default"/>
      </w:rPr>
    </w:lvl>
  </w:abstractNum>
  <w:abstractNum w:abstractNumId="23" w15:restartNumberingAfterBreak="0">
    <w:nsid w:val="100F40E7"/>
    <w:multiLevelType w:val="hybridMultilevel"/>
    <w:tmpl w:val="F14A5118"/>
    <w:lvl w:ilvl="0" w:tplc="D898F8FA">
      <w:start w:val="3"/>
      <w:numFmt w:val="decimal"/>
      <w:lvlText w:val="%1."/>
      <w:lvlJc w:val="left"/>
      <w:pPr>
        <w:ind w:left="720" w:hanging="360"/>
      </w:pPr>
      <w:rPr>
        <w:rFonts w:hint="default"/>
        <w:b/>
        <w:bCs w:val="0"/>
        <w:i w:val="0"/>
        <w:iCs/>
      </w:rPr>
    </w:lvl>
    <w:lvl w:ilvl="1" w:tplc="4522BFCA" w:tentative="1">
      <w:start w:val="1"/>
      <w:numFmt w:val="lowerLetter"/>
      <w:lvlText w:val="%2."/>
      <w:lvlJc w:val="left"/>
      <w:pPr>
        <w:ind w:left="1440" w:hanging="360"/>
      </w:pPr>
    </w:lvl>
    <w:lvl w:ilvl="2" w:tplc="5C0EE498" w:tentative="1">
      <w:start w:val="1"/>
      <w:numFmt w:val="lowerRoman"/>
      <w:lvlText w:val="%3."/>
      <w:lvlJc w:val="right"/>
      <w:pPr>
        <w:ind w:left="2160" w:hanging="180"/>
      </w:pPr>
    </w:lvl>
    <w:lvl w:ilvl="3" w:tplc="3B76B004" w:tentative="1">
      <w:start w:val="1"/>
      <w:numFmt w:val="decimal"/>
      <w:lvlText w:val="%4."/>
      <w:lvlJc w:val="left"/>
      <w:pPr>
        <w:ind w:left="2880" w:hanging="360"/>
      </w:pPr>
    </w:lvl>
    <w:lvl w:ilvl="4" w:tplc="361074FE" w:tentative="1">
      <w:start w:val="1"/>
      <w:numFmt w:val="lowerLetter"/>
      <w:lvlText w:val="%5."/>
      <w:lvlJc w:val="left"/>
      <w:pPr>
        <w:ind w:left="3600" w:hanging="360"/>
      </w:pPr>
    </w:lvl>
    <w:lvl w:ilvl="5" w:tplc="A6A82684" w:tentative="1">
      <w:start w:val="1"/>
      <w:numFmt w:val="lowerRoman"/>
      <w:lvlText w:val="%6."/>
      <w:lvlJc w:val="right"/>
      <w:pPr>
        <w:ind w:left="4320" w:hanging="180"/>
      </w:pPr>
    </w:lvl>
    <w:lvl w:ilvl="6" w:tplc="1DF0EB4E" w:tentative="1">
      <w:start w:val="1"/>
      <w:numFmt w:val="decimal"/>
      <w:lvlText w:val="%7."/>
      <w:lvlJc w:val="left"/>
      <w:pPr>
        <w:ind w:left="5040" w:hanging="360"/>
      </w:pPr>
    </w:lvl>
    <w:lvl w:ilvl="7" w:tplc="D64A7E10" w:tentative="1">
      <w:start w:val="1"/>
      <w:numFmt w:val="lowerLetter"/>
      <w:lvlText w:val="%8."/>
      <w:lvlJc w:val="left"/>
      <w:pPr>
        <w:ind w:left="5760" w:hanging="360"/>
      </w:pPr>
    </w:lvl>
    <w:lvl w:ilvl="8" w:tplc="992479CE" w:tentative="1">
      <w:start w:val="1"/>
      <w:numFmt w:val="lowerRoman"/>
      <w:lvlText w:val="%9."/>
      <w:lvlJc w:val="right"/>
      <w:pPr>
        <w:ind w:left="6480" w:hanging="180"/>
      </w:pPr>
    </w:lvl>
  </w:abstractNum>
  <w:abstractNum w:abstractNumId="24" w15:restartNumberingAfterBreak="0">
    <w:nsid w:val="10DF5FE9"/>
    <w:multiLevelType w:val="hybridMultilevel"/>
    <w:tmpl w:val="8CBEDFCC"/>
    <w:lvl w:ilvl="0" w:tplc="2BFCB050">
      <w:start w:val="1"/>
      <w:numFmt w:val="decimal"/>
      <w:lvlText w:val="%1."/>
      <w:lvlJc w:val="left"/>
      <w:pPr>
        <w:ind w:left="720" w:hanging="360"/>
      </w:pPr>
      <w:rPr>
        <w:rFonts w:hint="default"/>
      </w:rPr>
    </w:lvl>
    <w:lvl w:ilvl="1" w:tplc="71843FA4" w:tentative="1">
      <w:start w:val="1"/>
      <w:numFmt w:val="lowerLetter"/>
      <w:lvlText w:val="%2."/>
      <w:lvlJc w:val="left"/>
      <w:pPr>
        <w:ind w:left="1440" w:hanging="360"/>
      </w:pPr>
    </w:lvl>
    <w:lvl w:ilvl="2" w:tplc="CD1E6DF4" w:tentative="1">
      <w:start w:val="1"/>
      <w:numFmt w:val="lowerRoman"/>
      <w:lvlText w:val="%3."/>
      <w:lvlJc w:val="right"/>
      <w:pPr>
        <w:ind w:left="2160" w:hanging="180"/>
      </w:pPr>
    </w:lvl>
    <w:lvl w:ilvl="3" w:tplc="8D208514" w:tentative="1">
      <w:start w:val="1"/>
      <w:numFmt w:val="decimal"/>
      <w:lvlText w:val="%4."/>
      <w:lvlJc w:val="left"/>
      <w:pPr>
        <w:ind w:left="2880" w:hanging="360"/>
      </w:pPr>
    </w:lvl>
    <w:lvl w:ilvl="4" w:tplc="DD50EE0A" w:tentative="1">
      <w:start w:val="1"/>
      <w:numFmt w:val="lowerLetter"/>
      <w:lvlText w:val="%5."/>
      <w:lvlJc w:val="left"/>
      <w:pPr>
        <w:ind w:left="3600" w:hanging="360"/>
      </w:pPr>
    </w:lvl>
    <w:lvl w:ilvl="5" w:tplc="AE162728" w:tentative="1">
      <w:start w:val="1"/>
      <w:numFmt w:val="lowerRoman"/>
      <w:lvlText w:val="%6."/>
      <w:lvlJc w:val="right"/>
      <w:pPr>
        <w:ind w:left="4320" w:hanging="180"/>
      </w:pPr>
    </w:lvl>
    <w:lvl w:ilvl="6" w:tplc="A35C76F4" w:tentative="1">
      <w:start w:val="1"/>
      <w:numFmt w:val="decimal"/>
      <w:lvlText w:val="%7."/>
      <w:lvlJc w:val="left"/>
      <w:pPr>
        <w:ind w:left="5040" w:hanging="360"/>
      </w:pPr>
    </w:lvl>
    <w:lvl w:ilvl="7" w:tplc="D5746B0E" w:tentative="1">
      <w:start w:val="1"/>
      <w:numFmt w:val="lowerLetter"/>
      <w:lvlText w:val="%8."/>
      <w:lvlJc w:val="left"/>
      <w:pPr>
        <w:ind w:left="5760" w:hanging="360"/>
      </w:pPr>
    </w:lvl>
    <w:lvl w:ilvl="8" w:tplc="9580D178" w:tentative="1">
      <w:start w:val="1"/>
      <w:numFmt w:val="lowerRoman"/>
      <w:lvlText w:val="%9."/>
      <w:lvlJc w:val="right"/>
      <w:pPr>
        <w:ind w:left="6480" w:hanging="180"/>
      </w:pPr>
    </w:lvl>
  </w:abstractNum>
  <w:abstractNum w:abstractNumId="25" w15:restartNumberingAfterBreak="0">
    <w:nsid w:val="148B54B3"/>
    <w:multiLevelType w:val="hybridMultilevel"/>
    <w:tmpl w:val="5428E470"/>
    <w:lvl w:ilvl="0" w:tplc="E690D4AE">
      <w:start w:val="1"/>
      <w:numFmt w:val="lowerRoman"/>
      <w:lvlText w:val="%1)"/>
      <w:lvlJc w:val="left"/>
      <w:pPr>
        <w:ind w:left="1440" w:hanging="360"/>
      </w:pPr>
      <w:rPr>
        <w:rFonts w:hint="default"/>
      </w:rPr>
    </w:lvl>
    <w:lvl w:ilvl="1" w:tplc="C17670C0" w:tentative="1">
      <w:start w:val="1"/>
      <w:numFmt w:val="lowerLetter"/>
      <w:lvlText w:val="%2."/>
      <w:lvlJc w:val="left"/>
      <w:pPr>
        <w:ind w:left="2160" w:hanging="360"/>
      </w:pPr>
    </w:lvl>
    <w:lvl w:ilvl="2" w:tplc="E542B152" w:tentative="1">
      <w:start w:val="1"/>
      <w:numFmt w:val="lowerRoman"/>
      <w:lvlText w:val="%3."/>
      <w:lvlJc w:val="right"/>
      <w:pPr>
        <w:ind w:left="2880" w:hanging="180"/>
      </w:pPr>
    </w:lvl>
    <w:lvl w:ilvl="3" w:tplc="3C12D240" w:tentative="1">
      <w:start w:val="1"/>
      <w:numFmt w:val="decimal"/>
      <w:lvlText w:val="%4."/>
      <w:lvlJc w:val="left"/>
      <w:pPr>
        <w:ind w:left="3600" w:hanging="360"/>
      </w:pPr>
    </w:lvl>
    <w:lvl w:ilvl="4" w:tplc="A200643A" w:tentative="1">
      <w:start w:val="1"/>
      <w:numFmt w:val="lowerLetter"/>
      <w:lvlText w:val="%5."/>
      <w:lvlJc w:val="left"/>
      <w:pPr>
        <w:ind w:left="4320" w:hanging="360"/>
      </w:pPr>
    </w:lvl>
    <w:lvl w:ilvl="5" w:tplc="734A4A4A" w:tentative="1">
      <w:start w:val="1"/>
      <w:numFmt w:val="lowerRoman"/>
      <w:lvlText w:val="%6."/>
      <w:lvlJc w:val="right"/>
      <w:pPr>
        <w:ind w:left="5040" w:hanging="180"/>
      </w:pPr>
    </w:lvl>
    <w:lvl w:ilvl="6" w:tplc="5A782624" w:tentative="1">
      <w:start w:val="1"/>
      <w:numFmt w:val="decimal"/>
      <w:lvlText w:val="%7."/>
      <w:lvlJc w:val="left"/>
      <w:pPr>
        <w:ind w:left="5760" w:hanging="360"/>
      </w:pPr>
    </w:lvl>
    <w:lvl w:ilvl="7" w:tplc="B43834E2" w:tentative="1">
      <w:start w:val="1"/>
      <w:numFmt w:val="lowerLetter"/>
      <w:lvlText w:val="%8."/>
      <w:lvlJc w:val="left"/>
      <w:pPr>
        <w:ind w:left="6480" w:hanging="360"/>
      </w:pPr>
    </w:lvl>
    <w:lvl w:ilvl="8" w:tplc="2E26DA6C" w:tentative="1">
      <w:start w:val="1"/>
      <w:numFmt w:val="lowerRoman"/>
      <w:lvlText w:val="%9."/>
      <w:lvlJc w:val="right"/>
      <w:pPr>
        <w:ind w:left="7200" w:hanging="180"/>
      </w:pPr>
    </w:lvl>
  </w:abstractNum>
  <w:abstractNum w:abstractNumId="26" w15:restartNumberingAfterBreak="0">
    <w:nsid w:val="14E727D1"/>
    <w:multiLevelType w:val="multilevel"/>
    <w:tmpl w:val="42DA1F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59B1398"/>
    <w:multiLevelType w:val="hybridMultilevel"/>
    <w:tmpl w:val="A3C06C84"/>
    <w:lvl w:ilvl="0" w:tplc="76E6D3C2">
      <w:start w:val="1"/>
      <w:numFmt w:val="lowerLetter"/>
      <w:lvlText w:val="%1)"/>
      <w:lvlJc w:val="left"/>
      <w:pPr>
        <w:ind w:left="1440" w:hanging="360"/>
      </w:pPr>
      <w:rPr>
        <w:rFonts w:ascii="Arial" w:eastAsia="Times New Roman" w:hAnsi="Arial" w:cs="Arial" w:hint="default"/>
      </w:rPr>
    </w:lvl>
    <w:lvl w:ilvl="1" w:tplc="5E16D19A" w:tentative="1">
      <w:start w:val="1"/>
      <w:numFmt w:val="lowerLetter"/>
      <w:lvlText w:val="%2."/>
      <w:lvlJc w:val="left"/>
      <w:pPr>
        <w:ind w:left="2160" w:hanging="360"/>
      </w:pPr>
    </w:lvl>
    <w:lvl w:ilvl="2" w:tplc="950C561A" w:tentative="1">
      <w:start w:val="1"/>
      <w:numFmt w:val="lowerRoman"/>
      <w:lvlText w:val="%3."/>
      <w:lvlJc w:val="right"/>
      <w:pPr>
        <w:ind w:left="2880" w:hanging="180"/>
      </w:pPr>
    </w:lvl>
    <w:lvl w:ilvl="3" w:tplc="96C23684" w:tentative="1">
      <w:start w:val="1"/>
      <w:numFmt w:val="decimal"/>
      <w:lvlText w:val="%4."/>
      <w:lvlJc w:val="left"/>
      <w:pPr>
        <w:ind w:left="3600" w:hanging="360"/>
      </w:pPr>
    </w:lvl>
    <w:lvl w:ilvl="4" w:tplc="F5EAB3EE" w:tentative="1">
      <w:start w:val="1"/>
      <w:numFmt w:val="lowerLetter"/>
      <w:lvlText w:val="%5."/>
      <w:lvlJc w:val="left"/>
      <w:pPr>
        <w:ind w:left="4320" w:hanging="360"/>
      </w:pPr>
    </w:lvl>
    <w:lvl w:ilvl="5" w:tplc="241C9C1C" w:tentative="1">
      <w:start w:val="1"/>
      <w:numFmt w:val="lowerRoman"/>
      <w:lvlText w:val="%6."/>
      <w:lvlJc w:val="right"/>
      <w:pPr>
        <w:ind w:left="5040" w:hanging="180"/>
      </w:pPr>
    </w:lvl>
    <w:lvl w:ilvl="6" w:tplc="5BD8D906" w:tentative="1">
      <w:start w:val="1"/>
      <w:numFmt w:val="decimal"/>
      <w:lvlText w:val="%7."/>
      <w:lvlJc w:val="left"/>
      <w:pPr>
        <w:ind w:left="5760" w:hanging="360"/>
      </w:pPr>
    </w:lvl>
    <w:lvl w:ilvl="7" w:tplc="7CB0F5CC" w:tentative="1">
      <w:start w:val="1"/>
      <w:numFmt w:val="lowerLetter"/>
      <w:lvlText w:val="%8."/>
      <w:lvlJc w:val="left"/>
      <w:pPr>
        <w:ind w:left="6480" w:hanging="360"/>
      </w:pPr>
    </w:lvl>
    <w:lvl w:ilvl="8" w:tplc="1B2E2CCA" w:tentative="1">
      <w:start w:val="1"/>
      <w:numFmt w:val="lowerRoman"/>
      <w:lvlText w:val="%9."/>
      <w:lvlJc w:val="right"/>
      <w:pPr>
        <w:ind w:left="7200" w:hanging="180"/>
      </w:pPr>
    </w:lvl>
  </w:abstractNum>
  <w:abstractNum w:abstractNumId="28" w15:restartNumberingAfterBreak="0">
    <w:nsid w:val="16834D10"/>
    <w:multiLevelType w:val="multilevel"/>
    <w:tmpl w:val="49AC9B14"/>
    <w:lvl w:ilvl="0">
      <w:start w:val="1"/>
      <w:numFmt w:val="decimal"/>
      <w:lvlText w:val="%1."/>
      <w:lvlJc w:val="left"/>
      <w:pPr>
        <w:tabs>
          <w:tab w:val="num" w:pos="786"/>
        </w:tabs>
        <w:ind w:left="426" w:firstLine="0"/>
      </w:pPr>
      <w:rPr>
        <w:rFonts w:hint="default"/>
        <w:b w:val="0"/>
        <w:bCs w:val="0"/>
        <w:i w:val="0"/>
        <w:sz w:val="24"/>
      </w:rPr>
    </w:lvl>
    <w:lvl w:ilvl="1">
      <w:start w:val="1"/>
      <w:numFmt w:val="decimal"/>
      <w:lvlText w:val="%1.%2."/>
      <w:lvlJc w:val="left"/>
      <w:pPr>
        <w:tabs>
          <w:tab w:val="num" w:pos="651"/>
        </w:tabs>
        <w:ind w:left="651" w:hanging="432"/>
      </w:pPr>
    </w:lvl>
    <w:lvl w:ilvl="2">
      <w:start w:val="1"/>
      <w:numFmt w:val="decimal"/>
      <w:lvlText w:val="%1.%2.%3."/>
      <w:lvlJc w:val="left"/>
      <w:pPr>
        <w:tabs>
          <w:tab w:val="num" w:pos="1299"/>
        </w:tabs>
        <w:ind w:left="1083" w:hanging="504"/>
      </w:pPr>
    </w:lvl>
    <w:lvl w:ilvl="3">
      <w:start w:val="1"/>
      <w:numFmt w:val="decimal"/>
      <w:lvlText w:val="%1.%2.%3.%4."/>
      <w:lvlJc w:val="left"/>
      <w:pPr>
        <w:tabs>
          <w:tab w:val="num" w:pos="1587"/>
        </w:tabs>
        <w:ind w:left="1587" w:hanging="648"/>
      </w:pPr>
    </w:lvl>
    <w:lvl w:ilvl="4">
      <w:start w:val="1"/>
      <w:numFmt w:val="decimal"/>
      <w:lvlText w:val="%1.%2.%3.%4.%5."/>
      <w:lvlJc w:val="left"/>
      <w:pPr>
        <w:tabs>
          <w:tab w:val="num" w:pos="2379"/>
        </w:tabs>
        <w:ind w:left="2091" w:hanging="792"/>
      </w:pPr>
    </w:lvl>
    <w:lvl w:ilvl="5">
      <w:start w:val="1"/>
      <w:numFmt w:val="decimal"/>
      <w:lvlText w:val="%1.%2.%3.%4.%5.%6."/>
      <w:lvlJc w:val="left"/>
      <w:pPr>
        <w:tabs>
          <w:tab w:val="num" w:pos="3099"/>
        </w:tabs>
        <w:ind w:left="2595" w:hanging="936"/>
      </w:pPr>
    </w:lvl>
    <w:lvl w:ilvl="6">
      <w:start w:val="1"/>
      <w:numFmt w:val="decimal"/>
      <w:lvlText w:val="%1.%2.%3.%4.%5.%6.%7."/>
      <w:lvlJc w:val="left"/>
      <w:pPr>
        <w:tabs>
          <w:tab w:val="num" w:pos="3459"/>
        </w:tabs>
        <w:ind w:left="3099" w:hanging="1080"/>
      </w:pPr>
    </w:lvl>
    <w:lvl w:ilvl="7">
      <w:start w:val="1"/>
      <w:numFmt w:val="decimal"/>
      <w:lvlText w:val="%1.%2.%3.%4.%5.%6.%7.%8."/>
      <w:lvlJc w:val="left"/>
      <w:pPr>
        <w:tabs>
          <w:tab w:val="num" w:pos="4179"/>
        </w:tabs>
        <w:ind w:left="3603" w:hanging="1224"/>
      </w:pPr>
    </w:lvl>
    <w:lvl w:ilvl="8">
      <w:start w:val="1"/>
      <w:numFmt w:val="decimal"/>
      <w:lvlText w:val="%1.%2.%3.%4.%5.%6.%7.%8.%9."/>
      <w:lvlJc w:val="left"/>
      <w:pPr>
        <w:tabs>
          <w:tab w:val="num" w:pos="4899"/>
        </w:tabs>
        <w:ind w:left="4179" w:hanging="1440"/>
      </w:pPr>
    </w:lvl>
  </w:abstractNum>
  <w:abstractNum w:abstractNumId="29" w15:restartNumberingAfterBreak="0">
    <w:nsid w:val="16B72459"/>
    <w:multiLevelType w:val="hybridMultilevel"/>
    <w:tmpl w:val="C0A28F7C"/>
    <w:lvl w:ilvl="0" w:tplc="B85638CC">
      <w:start w:val="1"/>
      <w:numFmt w:val="lowerLetter"/>
      <w:lvlText w:val="%1)"/>
      <w:lvlJc w:val="left"/>
      <w:pPr>
        <w:ind w:left="1230" w:hanging="360"/>
      </w:pPr>
      <w:rPr>
        <w:rFonts w:hint="default"/>
      </w:rPr>
    </w:lvl>
    <w:lvl w:ilvl="1" w:tplc="3CD06872" w:tentative="1">
      <w:start w:val="1"/>
      <w:numFmt w:val="lowerLetter"/>
      <w:lvlText w:val="%2."/>
      <w:lvlJc w:val="left"/>
      <w:pPr>
        <w:ind w:left="1950" w:hanging="360"/>
      </w:pPr>
    </w:lvl>
    <w:lvl w:ilvl="2" w:tplc="50A2A7BE" w:tentative="1">
      <w:start w:val="1"/>
      <w:numFmt w:val="lowerRoman"/>
      <w:lvlText w:val="%3."/>
      <w:lvlJc w:val="right"/>
      <w:pPr>
        <w:ind w:left="2670" w:hanging="180"/>
      </w:pPr>
    </w:lvl>
    <w:lvl w:ilvl="3" w:tplc="8DD0FB7C" w:tentative="1">
      <w:start w:val="1"/>
      <w:numFmt w:val="decimal"/>
      <w:lvlText w:val="%4."/>
      <w:lvlJc w:val="left"/>
      <w:pPr>
        <w:ind w:left="3390" w:hanging="360"/>
      </w:pPr>
    </w:lvl>
    <w:lvl w:ilvl="4" w:tplc="50702E60" w:tentative="1">
      <w:start w:val="1"/>
      <w:numFmt w:val="lowerLetter"/>
      <w:lvlText w:val="%5."/>
      <w:lvlJc w:val="left"/>
      <w:pPr>
        <w:ind w:left="4110" w:hanging="360"/>
      </w:pPr>
    </w:lvl>
    <w:lvl w:ilvl="5" w:tplc="94C026F8" w:tentative="1">
      <w:start w:val="1"/>
      <w:numFmt w:val="lowerRoman"/>
      <w:lvlText w:val="%6."/>
      <w:lvlJc w:val="right"/>
      <w:pPr>
        <w:ind w:left="4830" w:hanging="180"/>
      </w:pPr>
    </w:lvl>
    <w:lvl w:ilvl="6" w:tplc="58B200B6" w:tentative="1">
      <w:start w:val="1"/>
      <w:numFmt w:val="decimal"/>
      <w:lvlText w:val="%7."/>
      <w:lvlJc w:val="left"/>
      <w:pPr>
        <w:ind w:left="5550" w:hanging="360"/>
      </w:pPr>
    </w:lvl>
    <w:lvl w:ilvl="7" w:tplc="8D127410" w:tentative="1">
      <w:start w:val="1"/>
      <w:numFmt w:val="lowerLetter"/>
      <w:lvlText w:val="%8."/>
      <w:lvlJc w:val="left"/>
      <w:pPr>
        <w:ind w:left="6270" w:hanging="360"/>
      </w:pPr>
    </w:lvl>
    <w:lvl w:ilvl="8" w:tplc="2C38CE9A" w:tentative="1">
      <w:start w:val="1"/>
      <w:numFmt w:val="lowerRoman"/>
      <w:lvlText w:val="%9."/>
      <w:lvlJc w:val="right"/>
      <w:pPr>
        <w:ind w:left="6990" w:hanging="180"/>
      </w:pPr>
    </w:lvl>
  </w:abstractNum>
  <w:abstractNum w:abstractNumId="30" w15:restartNumberingAfterBreak="0">
    <w:nsid w:val="17166ABE"/>
    <w:multiLevelType w:val="multilevel"/>
    <w:tmpl w:val="85383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7333CFD"/>
    <w:multiLevelType w:val="hybridMultilevel"/>
    <w:tmpl w:val="1DEAFB7A"/>
    <w:lvl w:ilvl="0" w:tplc="DC183A88">
      <w:start w:val="1"/>
      <w:numFmt w:val="lowerRoman"/>
      <w:lvlText w:val="%1)"/>
      <w:lvlJc w:val="left"/>
      <w:pPr>
        <w:ind w:left="928" w:hanging="360"/>
      </w:pPr>
      <w:rPr>
        <w:rFonts w:ascii="Arial" w:eastAsia="Times New Roman" w:hAnsi="Arial" w:cs="Times New Roman"/>
      </w:rPr>
    </w:lvl>
    <w:lvl w:ilvl="1" w:tplc="ECDC7A14" w:tentative="1">
      <w:start w:val="1"/>
      <w:numFmt w:val="lowerLetter"/>
      <w:lvlText w:val="%2."/>
      <w:lvlJc w:val="left"/>
      <w:pPr>
        <w:ind w:left="1648" w:hanging="360"/>
      </w:pPr>
    </w:lvl>
    <w:lvl w:ilvl="2" w:tplc="D9309DFA" w:tentative="1">
      <w:start w:val="1"/>
      <w:numFmt w:val="lowerRoman"/>
      <w:lvlText w:val="%3."/>
      <w:lvlJc w:val="right"/>
      <w:pPr>
        <w:ind w:left="2368" w:hanging="180"/>
      </w:pPr>
    </w:lvl>
    <w:lvl w:ilvl="3" w:tplc="08285814" w:tentative="1">
      <w:start w:val="1"/>
      <w:numFmt w:val="decimal"/>
      <w:lvlText w:val="%4."/>
      <w:lvlJc w:val="left"/>
      <w:pPr>
        <w:ind w:left="3088" w:hanging="360"/>
      </w:pPr>
    </w:lvl>
    <w:lvl w:ilvl="4" w:tplc="76285F80" w:tentative="1">
      <w:start w:val="1"/>
      <w:numFmt w:val="lowerLetter"/>
      <w:lvlText w:val="%5."/>
      <w:lvlJc w:val="left"/>
      <w:pPr>
        <w:ind w:left="3808" w:hanging="360"/>
      </w:pPr>
    </w:lvl>
    <w:lvl w:ilvl="5" w:tplc="370647DC" w:tentative="1">
      <w:start w:val="1"/>
      <w:numFmt w:val="lowerRoman"/>
      <w:lvlText w:val="%6."/>
      <w:lvlJc w:val="right"/>
      <w:pPr>
        <w:ind w:left="4528" w:hanging="180"/>
      </w:pPr>
    </w:lvl>
    <w:lvl w:ilvl="6" w:tplc="49B2C29A" w:tentative="1">
      <w:start w:val="1"/>
      <w:numFmt w:val="decimal"/>
      <w:lvlText w:val="%7."/>
      <w:lvlJc w:val="left"/>
      <w:pPr>
        <w:ind w:left="5248" w:hanging="360"/>
      </w:pPr>
    </w:lvl>
    <w:lvl w:ilvl="7" w:tplc="45D452C0" w:tentative="1">
      <w:start w:val="1"/>
      <w:numFmt w:val="lowerLetter"/>
      <w:lvlText w:val="%8."/>
      <w:lvlJc w:val="left"/>
      <w:pPr>
        <w:ind w:left="5968" w:hanging="360"/>
      </w:pPr>
    </w:lvl>
    <w:lvl w:ilvl="8" w:tplc="28CA3FFA" w:tentative="1">
      <w:start w:val="1"/>
      <w:numFmt w:val="lowerRoman"/>
      <w:lvlText w:val="%9."/>
      <w:lvlJc w:val="right"/>
      <w:pPr>
        <w:ind w:left="6688" w:hanging="180"/>
      </w:pPr>
    </w:lvl>
  </w:abstractNum>
  <w:abstractNum w:abstractNumId="32" w15:restartNumberingAfterBreak="0">
    <w:nsid w:val="1CE5327E"/>
    <w:multiLevelType w:val="hybridMultilevel"/>
    <w:tmpl w:val="FBF0CD98"/>
    <w:lvl w:ilvl="0" w:tplc="ACE2DBA2">
      <w:start w:val="1"/>
      <w:numFmt w:val="lowerLetter"/>
      <w:pStyle w:val="Style4"/>
      <w:lvlText w:val="%1)"/>
      <w:lvlJc w:val="left"/>
      <w:pPr>
        <w:ind w:left="1080" w:hanging="360"/>
      </w:pPr>
      <w:rPr>
        <w:rFonts w:hint="default"/>
      </w:rPr>
    </w:lvl>
    <w:lvl w:ilvl="1" w:tplc="7E26E262" w:tentative="1">
      <w:start w:val="1"/>
      <w:numFmt w:val="lowerLetter"/>
      <w:lvlText w:val="%2."/>
      <w:lvlJc w:val="left"/>
      <w:pPr>
        <w:ind w:left="1800" w:hanging="360"/>
      </w:pPr>
    </w:lvl>
    <w:lvl w:ilvl="2" w:tplc="8A7C252E" w:tentative="1">
      <w:start w:val="1"/>
      <w:numFmt w:val="lowerRoman"/>
      <w:lvlText w:val="%3."/>
      <w:lvlJc w:val="right"/>
      <w:pPr>
        <w:ind w:left="2520" w:hanging="180"/>
      </w:pPr>
    </w:lvl>
    <w:lvl w:ilvl="3" w:tplc="970E788C" w:tentative="1">
      <w:start w:val="1"/>
      <w:numFmt w:val="decimal"/>
      <w:lvlText w:val="%4."/>
      <w:lvlJc w:val="left"/>
      <w:pPr>
        <w:ind w:left="3240" w:hanging="360"/>
      </w:pPr>
    </w:lvl>
    <w:lvl w:ilvl="4" w:tplc="2A3824B4" w:tentative="1">
      <w:start w:val="1"/>
      <w:numFmt w:val="lowerLetter"/>
      <w:lvlText w:val="%5."/>
      <w:lvlJc w:val="left"/>
      <w:pPr>
        <w:ind w:left="3960" w:hanging="360"/>
      </w:pPr>
    </w:lvl>
    <w:lvl w:ilvl="5" w:tplc="8C1CA40E" w:tentative="1">
      <w:start w:val="1"/>
      <w:numFmt w:val="lowerRoman"/>
      <w:lvlText w:val="%6."/>
      <w:lvlJc w:val="right"/>
      <w:pPr>
        <w:ind w:left="4680" w:hanging="180"/>
      </w:pPr>
    </w:lvl>
    <w:lvl w:ilvl="6" w:tplc="2C94AD4A" w:tentative="1">
      <w:start w:val="1"/>
      <w:numFmt w:val="decimal"/>
      <w:lvlText w:val="%7."/>
      <w:lvlJc w:val="left"/>
      <w:pPr>
        <w:ind w:left="5400" w:hanging="360"/>
      </w:pPr>
    </w:lvl>
    <w:lvl w:ilvl="7" w:tplc="85941C58" w:tentative="1">
      <w:start w:val="1"/>
      <w:numFmt w:val="lowerLetter"/>
      <w:lvlText w:val="%8."/>
      <w:lvlJc w:val="left"/>
      <w:pPr>
        <w:ind w:left="6120" w:hanging="360"/>
      </w:pPr>
    </w:lvl>
    <w:lvl w:ilvl="8" w:tplc="9C26D36E" w:tentative="1">
      <w:start w:val="1"/>
      <w:numFmt w:val="lowerRoman"/>
      <w:lvlText w:val="%9."/>
      <w:lvlJc w:val="right"/>
      <w:pPr>
        <w:ind w:left="6840" w:hanging="180"/>
      </w:pPr>
    </w:lvl>
  </w:abstractNum>
  <w:abstractNum w:abstractNumId="33" w15:restartNumberingAfterBreak="0">
    <w:nsid w:val="1CF75D1D"/>
    <w:multiLevelType w:val="hybridMultilevel"/>
    <w:tmpl w:val="D75A2F78"/>
    <w:lvl w:ilvl="0" w:tplc="19F6724A">
      <w:start w:val="1"/>
      <w:numFmt w:val="bullet"/>
      <w:lvlText w:val="-"/>
      <w:lvlJc w:val="left"/>
      <w:pPr>
        <w:ind w:left="1854" w:hanging="360"/>
      </w:pPr>
      <w:rPr>
        <w:rFonts w:ascii="Times New Roman" w:eastAsia="Times New Roman" w:hAnsi="Times New Roman" w:cs="Times New Roman" w:hint="default"/>
      </w:rPr>
    </w:lvl>
    <w:lvl w:ilvl="1" w:tplc="EB12CEC2" w:tentative="1">
      <w:start w:val="1"/>
      <w:numFmt w:val="bullet"/>
      <w:lvlText w:val="o"/>
      <w:lvlJc w:val="left"/>
      <w:pPr>
        <w:ind w:left="2574" w:hanging="360"/>
      </w:pPr>
      <w:rPr>
        <w:rFonts w:ascii="Courier New" w:hAnsi="Courier New" w:cs="Courier New" w:hint="default"/>
      </w:rPr>
    </w:lvl>
    <w:lvl w:ilvl="2" w:tplc="7D8284DA" w:tentative="1">
      <w:start w:val="1"/>
      <w:numFmt w:val="bullet"/>
      <w:lvlText w:val=""/>
      <w:lvlJc w:val="left"/>
      <w:pPr>
        <w:ind w:left="3294" w:hanging="360"/>
      </w:pPr>
      <w:rPr>
        <w:rFonts w:ascii="Wingdings" w:hAnsi="Wingdings" w:hint="default"/>
      </w:rPr>
    </w:lvl>
    <w:lvl w:ilvl="3" w:tplc="2D521726" w:tentative="1">
      <w:start w:val="1"/>
      <w:numFmt w:val="bullet"/>
      <w:lvlText w:val=""/>
      <w:lvlJc w:val="left"/>
      <w:pPr>
        <w:ind w:left="4014" w:hanging="360"/>
      </w:pPr>
      <w:rPr>
        <w:rFonts w:ascii="Symbol" w:hAnsi="Symbol" w:hint="default"/>
      </w:rPr>
    </w:lvl>
    <w:lvl w:ilvl="4" w:tplc="768A04F2" w:tentative="1">
      <w:start w:val="1"/>
      <w:numFmt w:val="bullet"/>
      <w:lvlText w:val="o"/>
      <w:lvlJc w:val="left"/>
      <w:pPr>
        <w:ind w:left="4734" w:hanging="360"/>
      </w:pPr>
      <w:rPr>
        <w:rFonts w:ascii="Courier New" w:hAnsi="Courier New" w:cs="Courier New" w:hint="default"/>
      </w:rPr>
    </w:lvl>
    <w:lvl w:ilvl="5" w:tplc="3B6C321E" w:tentative="1">
      <w:start w:val="1"/>
      <w:numFmt w:val="bullet"/>
      <w:lvlText w:val=""/>
      <w:lvlJc w:val="left"/>
      <w:pPr>
        <w:ind w:left="5454" w:hanging="360"/>
      </w:pPr>
      <w:rPr>
        <w:rFonts w:ascii="Wingdings" w:hAnsi="Wingdings" w:hint="default"/>
      </w:rPr>
    </w:lvl>
    <w:lvl w:ilvl="6" w:tplc="32BEF3AC" w:tentative="1">
      <w:start w:val="1"/>
      <w:numFmt w:val="bullet"/>
      <w:lvlText w:val=""/>
      <w:lvlJc w:val="left"/>
      <w:pPr>
        <w:ind w:left="6174" w:hanging="360"/>
      </w:pPr>
      <w:rPr>
        <w:rFonts w:ascii="Symbol" w:hAnsi="Symbol" w:hint="default"/>
      </w:rPr>
    </w:lvl>
    <w:lvl w:ilvl="7" w:tplc="9F66848A" w:tentative="1">
      <w:start w:val="1"/>
      <w:numFmt w:val="bullet"/>
      <w:lvlText w:val="o"/>
      <w:lvlJc w:val="left"/>
      <w:pPr>
        <w:ind w:left="6894" w:hanging="360"/>
      </w:pPr>
      <w:rPr>
        <w:rFonts w:ascii="Courier New" w:hAnsi="Courier New" w:cs="Courier New" w:hint="default"/>
      </w:rPr>
    </w:lvl>
    <w:lvl w:ilvl="8" w:tplc="2C6EF5E8" w:tentative="1">
      <w:start w:val="1"/>
      <w:numFmt w:val="bullet"/>
      <w:lvlText w:val=""/>
      <w:lvlJc w:val="left"/>
      <w:pPr>
        <w:ind w:left="7614" w:hanging="360"/>
      </w:pPr>
      <w:rPr>
        <w:rFonts w:ascii="Wingdings" w:hAnsi="Wingdings" w:hint="default"/>
      </w:rPr>
    </w:lvl>
  </w:abstractNum>
  <w:abstractNum w:abstractNumId="34" w15:restartNumberingAfterBreak="0">
    <w:nsid w:val="1E7E0BBB"/>
    <w:multiLevelType w:val="hybridMultilevel"/>
    <w:tmpl w:val="7D78D2CC"/>
    <w:lvl w:ilvl="0" w:tplc="C6B0DE72">
      <w:start w:val="1"/>
      <w:numFmt w:val="bullet"/>
      <w:lvlText w:val="-"/>
      <w:lvlJc w:val="left"/>
      <w:pPr>
        <w:ind w:left="1855" w:hanging="360"/>
      </w:pPr>
      <w:rPr>
        <w:rFonts w:ascii="Times New Roman" w:eastAsia="Times New Roman" w:hAnsi="Times New Roman" w:cs="Times New Roman" w:hint="default"/>
      </w:rPr>
    </w:lvl>
    <w:lvl w:ilvl="1" w:tplc="710E8488" w:tentative="1">
      <w:start w:val="1"/>
      <w:numFmt w:val="bullet"/>
      <w:lvlText w:val="o"/>
      <w:lvlJc w:val="left"/>
      <w:pPr>
        <w:ind w:left="2575" w:hanging="360"/>
      </w:pPr>
      <w:rPr>
        <w:rFonts w:ascii="Courier New" w:hAnsi="Courier New" w:cs="Courier New" w:hint="default"/>
      </w:rPr>
    </w:lvl>
    <w:lvl w:ilvl="2" w:tplc="FB4C4040" w:tentative="1">
      <w:start w:val="1"/>
      <w:numFmt w:val="bullet"/>
      <w:lvlText w:val=""/>
      <w:lvlJc w:val="left"/>
      <w:pPr>
        <w:ind w:left="3295" w:hanging="360"/>
      </w:pPr>
      <w:rPr>
        <w:rFonts w:ascii="Wingdings" w:hAnsi="Wingdings" w:hint="default"/>
      </w:rPr>
    </w:lvl>
    <w:lvl w:ilvl="3" w:tplc="49525630" w:tentative="1">
      <w:start w:val="1"/>
      <w:numFmt w:val="bullet"/>
      <w:lvlText w:val=""/>
      <w:lvlJc w:val="left"/>
      <w:pPr>
        <w:ind w:left="4015" w:hanging="360"/>
      </w:pPr>
      <w:rPr>
        <w:rFonts w:ascii="Symbol" w:hAnsi="Symbol" w:hint="default"/>
      </w:rPr>
    </w:lvl>
    <w:lvl w:ilvl="4" w:tplc="E272AB5C" w:tentative="1">
      <w:start w:val="1"/>
      <w:numFmt w:val="bullet"/>
      <w:lvlText w:val="o"/>
      <w:lvlJc w:val="left"/>
      <w:pPr>
        <w:ind w:left="4735" w:hanging="360"/>
      </w:pPr>
      <w:rPr>
        <w:rFonts w:ascii="Courier New" w:hAnsi="Courier New" w:cs="Courier New" w:hint="default"/>
      </w:rPr>
    </w:lvl>
    <w:lvl w:ilvl="5" w:tplc="52DA0486" w:tentative="1">
      <w:start w:val="1"/>
      <w:numFmt w:val="bullet"/>
      <w:lvlText w:val=""/>
      <w:lvlJc w:val="left"/>
      <w:pPr>
        <w:ind w:left="5455" w:hanging="360"/>
      </w:pPr>
      <w:rPr>
        <w:rFonts w:ascii="Wingdings" w:hAnsi="Wingdings" w:hint="default"/>
      </w:rPr>
    </w:lvl>
    <w:lvl w:ilvl="6" w:tplc="02FCBC2A" w:tentative="1">
      <w:start w:val="1"/>
      <w:numFmt w:val="bullet"/>
      <w:lvlText w:val=""/>
      <w:lvlJc w:val="left"/>
      <w:pPr>
        <w:ind w:left="6175" w:hanging="360"/>
      </w:pPr>
      <w:rPr>
        <w:rFonts w:ascii="Symbol" w:hAnsi="Symbol" w:hint="default"/>
      </w:rPr>
    </w:lvl>
    <w:lvl w:ilvl="7" w:tplc="2BE2E27C" w:tentative="1">
      <w:start w:val="1"/>
      <w:numFmt w:val="bullet"/>
      <w:lvlText w:val="o"/>
      <w:lvlJc w:val="left"/>
      <w:pPr>
        <w:ind w:left="6895" w:hanging="360"/>
      </w:pPr>
      <w:rPr>
        <w:rFonts w:ascii="Courier New" w:hAnsi="Courier New" w:cs="Courier New" w:hint="default"/>
      </w:rPr>
    </w:lvl>
    <w:lvl w:ilvl="8" w:tplc="625E421A" w:tentative="1">
      <w:start w:val="1"/>
      <w:numFmt w:val="bullet"/>
      <w:lvlText w:val=""/>
      <w:lvlJc w:val="left"/>
      <w:pPr>
        <w:ind w:left="7615" w:hanging="360"/>
      </w:pPr>
      <w:rPr>
        <w:rFonts w:ascii="Wingdings" w:hAnsi="Wingdings" w:hint="default"/>
      </w:rPr>
    </w:lvl>
  </w:abstractNum>
  <w:abstractNum w:abstractNumId="35" w15:restartNumberingAfterBreak="0">
    <w:nsid w:val="1E943F94"/>
    <w:multiLevelType w:val="multilevel"/>
    <w:tmpl w:val="96B295A8"/>
    <w:lvl w:ilvl="0">
      <w:start w:val="1"/>
      <w:numFmt w:val="bullet"/>
      <w:lvlText w:val=""/>
      <w:lvlJc w:val="left"/>
      <w:pPr>
        <w:tabs>
          <w:tab w:val="num" w:pos="720"/>
        </w:tabs>
        <w:ind w:left="720" w:hanging="360"/>
      </w:pPr>
      <w:rPr>
        <w:rFonts w:ascii="Symbol" w:hAnsi="Symbol" w:hint="default"/>
        <w:sz w:val="20"/>
      </w:rPr>
    </w:lvl>
    <w:lvl w:ilvl="1">
      <w:start w:val="1"/>
      <w:numFmt w:val="upperRoman"/>
      <w:lvlText w:val="%2)"/>
      <w:lvlJc w:val="left"/>
      <w:pPr>
        <w:ind w:left="1800" w:hanging="72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1ED761A9"/>
    <w:multiLevelType w:val="hybridMultilevel"/>
    <w:tmpl w:val="DADCE2EA"/>
    <w:lvl w:ilvl="0" w:tplc="7C24ED8A">
      <w:start w:val="1"/>
      <w:numFmt w:val="decimal"/>
      <w:lvlText w:val="%1."/>
      <w:lvlJc w:val="left"/>
      <w:pPr>
        <w:ind w:left="720" w:hanging="360"/>
      </w:pPr>
      <w:rPr>
        <w:rFonts w:hint="default"/>
        <w:b w:val="0"/>
        <w:bCs/>
      </w:rPr>
    </w:lvl>
    <w:lvl w:ilvl="1" w:tplc="7F58B8CA" w:tentative="1">
      <w:start w:val="1"/>
      <w:numFmt w:val="lowerLetter"/>
      <w:lvlText w:val="%2."/>
      <w:lvlJc w:val="left"/>
      <w:pPr>
        <w:ind w:left="1440" w:hanging="360"/>
      </w:pPr>
    </w:lvl>
    <w:lvl w:ilvl="2" w:tplc="D500FC5A" w:tentative="1">
      <w:start w:val="1"/>
      <w:numFmt w:val="lowerRoman"/>
      <w:lvlText w:val="%3."/>
      <w:lvlJc w:val="right"/>
      <w:pPr>
        <w:ind w:left="2160" w:hanging="180"/>
      </w:pPr>
    </w:lvl>
    <w:lvl w:ilvl="3" w:tplc="AAF28B14" w:tentative="1">
      <w:start w:val="1"/>
      <w:numFmt w:val="decimal"/>
      <w:lvlText w:val="%4."/>
      <w:lvlJc w:val="left"/>
      <w:pPr>
        <w:ind w:left="2880" w:hanging="360"/>
      </w:pPr>
    </w:lvl>
    <w:lvl w:ilvl="4" w:tplc="14BA9C9C" w:tentative="1">
      <w:start w:val="1"/>
      <w:numFmt w:val="lowerLetter"/>
      <w:lvlText w:val="%5."/>
      <w:lvlJc w:val="left"/>
      <w:pPr>
        <w:ind w:left="3600" w:hanging="360"/>
      </w:pPr>
    </w:lvl>
    <w:lvl w:ilvl="5" w:tplc="80968862" w:tentative="1">
      <w:start w:val="1"/>
      <w:numFmt w:val="lowerRoman"/>
      <w:lvlText w:val="%6."/>
      <w:lvlJc w:val="right"/>
      <w:pPr>
        <w:ind w:left="4320" w:hanging="180"/>
      </w:pPr>
    </w:lvl>
    <w:lvl w:ilvl="6" w:tplc="BC04719E" w:tentative="1">
      <w:start w:val="1"/>
      <w:numFmt w:val="decimal"/>
      <w:lvlText w:val="%7."/>
      <w:lvlJc w:val="left"/>
      <w:pPr>
        <w:ind w:left="5040" w:hanging="360"/>
      </w:pPr>
    </w:lvl>
    <w:lvl w:ilvl="7" w:tplc="503C755E" w:tentative="1">
      <w:start w:val="1"/>
      <w:numFmt w:val="lowerLetter"/>
      <w:lvlText w:val="%8."/>
      <w:lvlJc w:val="left"/>
      <w:pPr>
        <w:ind w:left="5760" w:hanging="360"/>
      </w:pPr>
    </w:lvl>
    <w:lvl w:ilvl="8" w:tplc="F5C88BB6" w:tentative="1">
      <w:start w:val="1"/>
      <w:numFmt w:val="lowerRoman"/>
      <w:lvlText w:val="%9."/>
      <w:lvlJc w:val="right"/>
      <w:pPr>
        <w:ind w:left="6480" w:hanging="180"/>
      </w:pPr>
    </w:lvl>
  </w:abstractNum>
  <w:abstractNum w:abstractNumId="37" w15:restartNumberingAfterBreak="0">
    <w:nsid w:val="1EE56838"/>
    <w:multiLevelType w:val="multilevel"/>
    <w:tmpl w:val="5E101FA8"/>
    <w:lvl w:ilvl="0">
      <w:start w:val="5"/>
      <w:numFmt w:val="bullet"/>
      <w:lvlText w:val="-"/>
      <w:lvlJc w:val="left"/>
      <w:pPr>
        <w:tabs>
          <w:tab w:val="num" w:pos="720"/>
        </w:tabs>
        <w:ind w:left="720" w:hanging="360"/>
      </w:pPr>
      <w:rPr>
        <w:rFonts w:ascii="Times New Roman" w:eastAsia="Times New Roman" w:hAnsi="Times New Roman" w:cs="Times New Roman" w:hint="default"/>
        <w:sz w:val="20"/>
      </w:rPr>
    </w:lvl>
    <w:lvl w:ilvl="1">
      <w:start w:val="30"/>
      <w:numFmt w:val="bullet"/>
      <w:lvlText w:val="-"/>
      <w:lvlJc w:val="left"/>
      <w:pPr>
        <w:ind w:left="1440" w:hanging="360"/>
      </w:pPr>
      <w:rPr>
        <w:rFonts w:ascii="Arial" w:eastAsia="Times New Roman" w:hAnsi="Arial" w:cs="Arial" w:hint="default"/>
        <w:b w:val="0"/>
        <w:bCs w:val="0"/>
      </w:rPr>
    </w:lvl>
    <w:lvl w:ilvl="2">
      <w:start w:val="1"/>
      <w:numFmt w:val="decimal"/>
      <w:lvlText w:val="%3."/>
      <w:lvlJc w:val="left"/>
      <w:pPr>
        <w:ind w:left="3621" w:hanging="36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b/>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1FD90A8E"/>
    <w:multiLevelType w:val="hybridMultilevel"/>
    <w:tmpl w:val="A5900A0A"/>
    <w:lvl w:ilvl="0" w:tplc="AEBA9182">
      <w:start w:val="1"/>
      <w:numFmt w:val="bullet"/>
      <w:lvlText w:val="-"/>
      <w:lvlJc w:val="left"/>
      <w:pPr>
        <w:ind w:left="2280" w:hanging="360"/>
      </w:pPr>
      <w:rPr>
        <w:rFonts w:ascii="Times New Roman" w:eastAsia="Times New Roman" w:hAnsi="Times New Roman" w:cs="Times New Roman" w:hint="default"/>
      </w:rPr>
    </w:lvl>
    <w:lvl w:ilvl="1" w:tplc="C3505A40" w:tentative="1">
      <w:start w:val="1"/>
      <w:numFmt w:val="bullet"/>
      <w:lvlText w:val="o"/>
      <w:lvlJc w:val="left"/>
      <w:pPr>
        <w:ind w:left="3000" w:hanging="360"/>
      </w:pPr>
      <w:rPr>
        <w:rFonts w:ascii="Courier New" w:hAnsi="Courier New" w:cs="Courier New" w:hint="default"/>
      </w:rPr>
    </w:lvl>
    <w:lvl w:ilvl="2" w:tplc="D368F2EA" w:tentative="1">
      <w:start w:val="1"/>
      <w:numFmt w:val="bullet"/>
      <w:lvlText w:val=""/>
      <w:lvlJc w:val="left"/>
      <w:pPr>
        <w:ind w:left="3720" w:hanging="360"/>
      </w:pPr>
      <w:rPr>
        <w:rFonts w:ascii="Wingdings" w:hAnsi="Wingdings" w:hint="default"/>
      </w:rPr>
    </w:lvl>
    <w:lvl w:ilvl="3" w:tplc="7DC0BD42" w:tentative="1">
      <w:start w:val="1"/>
      <w:numFmt w:val="bullet"/>
      <w:lvlText w:val=""/>
      <w:lvlJc w:val="left"/>
      <w:pPr>
        <w:ind w:left="4440" w:hanging="360"/>
      </w:pPr>
      <w:rPr>
        <w:rFonts w:ascii="Symbol" w:hAnsi="Symbol" w:hint="default"/>
      </w:rPr>
    </w:lvl>
    <w:lvl w:ilvl="4" w:tplc="3E9C6742" w:tentative="1">
      <w:start w:val="1"/>
      <w:numFmt w:val="bullet"/>
      <w:lvlText w:val="o"/>
      <w:lvlJc w:val="left"/>
      <w:pPr>
        <w:ind w:left="5160" w:hanging="360"/>
      </w:pPr>
      <w:rPr>
        <w:rFonts w:ascii="Courier New" w:hAnsi="Courier New" w:cs="Courier New" w:hint="default"/>
      </w:rPr>
    </w:lvl>
    <w:lvl w:ilvl="5" w:tplc="B4F81C20" w:tentative="1">
      <w:start w:val="1"/>
      <w:numFmt w:val="bullet"/>
      <w:lvlText w:val=""/>
      <w:lvlJc w:val="left"/>
      <w:pPr>
        <w:ind w:left="5880" w:hanging="360"/>
      </w:pPr>
      <w:rPr>
        <w:rFonts w:ascii="Wingdings" w:hAnsi="Wingdings" w:hint="default"/>
      </w:rPr>
    </w:lvl>
    <w:lvl w:ilvl="6" w:tplc="39E42A06" w:tentative="1">
      <w:start w:val="1"/>
      <w:numFmt w:val="bullet"/>
      <w:lvlText w:val=""/>
      <w:lvlJc w:val="left"/>
      <w:pPr>
        <w:ind w:left="6600" w:hanging="360"/>
      </w:pPr>
      <w:rPr>
        <w:rFonts w:ascii="Symbol" w:hAnsi="Symbol" w:hint="default"/>
      </w:rPr>
    </w:lvl>
    <w:lvl w:ilvl="7" w:tplc="7DD03592" w:tentative="1">
      <w:start w:val="1"/>
      <w:numFmt w:val="bullet"/>
      <w:lvlText w:val="o"/>
      <w:lvlJc w:val="left"/>
      <w:pPr>
        <w:ind w:left="7320" w:hanging="360"/>
      </w:pPr>
      <w:rPr>
        <w:rFonts w:ascii="Courier New" w:hAnsi="Courier New" w:cs="Courier New" w:hint="default"/>
      </w:rPr>
    </w:lvl>
    <w:lvl w:ilvl="8" w:tplc="7BE0B300" w:tentative="1">
      <w:start w:val="1"/>
      <w:numFmt w:val="bullet"/>
      <w:lvlText w:val=""/>
      <w:lvlJc w:val="left"/>
      <w:pPr>
        <w:ind w:left="8040" w:hanging="360"/>
      </w:pPr>
      <w:rPr>
        <w:rFonts w:ascii="Wingdings" w:hAnsi="Wingdings" w:hint="default"/>
      </w:rPr>
    </w:lvl>
  </w:abstractNum>
  <w:abstractNum w:abstractNumId="39" w15:restartNumberingAfterBreak="0">
    <w:nsid w:val="208B378C"/>
    <w:multiLevelType w:val="hybridMultilevel"/>
    <w:tmpl w:val="80E096AE"/>
    <w:lvl w:ilvl="0" w:tplc="AAE0D76E">
      <w:start w:val="1"/>
      <w:numFmt w:val="bullet"/>
      <w:lvlText w:val="-"/>
      <w:lvlJc w:val="left"/>
      <w:pPr>
        <w:ind w:left="1287" w:hanging="360"/>
      </w:pPr>
      <w:rPr>
        <w:rFonts w:ascii="Times New Roman" w:eastAsia="Times New Roman" w:hAnsi="Times New Roman" w:cs="Times New Roman" w:hint="default"/>
      </w:rPr>
    </w:lvl>
    <w:lvl w:ilvl="1" w:tplc="12C69740" w:tentative="1">
      <w:start w:val="1"/>
      <w:numFmt w:val="bullet"/>
      <w:lvlText w:val="o"/>
      <w:lvlJc w:val="left"/>
      <w:pPr>
        <w:ind w:left="2007" w:hanging="360"/>
      </w:pPr>
      <w:rPr>
        <w:rFonts w:ascii="Courier New" w:hAnsi="Courier New" w:cs="Courier New" w:hint="default"/>
      </w:rPr>
    </w:lvl>
    <w:lvl w:ilvl="2" w:tplc="DED0624E" w:tentative="1">
      <w:start w:val="1"/>
      <w:numFmt w:val="bullet"/>
      <w:lvlText w:val=""/>
      <w:lvlJc w:val="left"/>
      <w:pPr>
        <w:ind w:left="2727" w:hanging="360"/>
      </w:pPr>
      <w:rPr>
        <w:rFonts w:ascii="Wingdings" w:hAnsi="Wingdings" w:hint="default"/>
      </w:rPr>
    </w:lvl>
    <w:lvl w:ilvl="3" w:tplc="E30CD176" w:tentative="1">
      <w:start w:val="1"/>
      <w:numFmt w:val="bullet"/>
      <w:lvlText w:val=""/>
      <w:lvlJc w:val="left"/>
      <w:pPr>
        <w:ind w:left="3447" w:hanging="360"/>
      </w:pPr>
      <w:rPr>
        <w:rFonts w:ascii="Symbol" w:hAnsi="Symbol" w:hint="default"/>
      </w:rPr>
    </w:lvl>
    <w:lvl w:ilvl="4" w:tplc="3B186514" w:tentative="1">
      <w:start w:val="1"/>
      <w:numFmt w:val="bullet"/>
      <w:lvlText w:val="o"/>
      <w:lvlJc w:val="left"/>
      <w:pPr>
        <w:ind w:left="4167" w:hanging="360"/>
      </w:pPr>
      <w:rPr>
        <w:rFonts w:ascii="Courier New" w:hAnsi="Courier New" w:cs="Courier New" w:hint="default"/>
      </w:rPr>
    </w:lvl>
    <w:lvl w:ilvl="5" w:tplc="1EE23AA4" w:tentative="1">
      <w:start w:val="1"/>
      <w:numFmt w:val="bullet"/>
      <w:lvlText w:val=""/>
      <w:lvlJc w:val="left"/>
      <w:pPr>
        <w:ind w:left="4887" w:hanging="360"/>
      </w:pPr>
      <w:rPr>
        <w:rFonts w:ascii="Wingdings" w:hAnsi="Wingdings" w:hint="default"/>
      </w:rPr>
    </w:lvl>
    <w:lvl w:ilvl="6" w:tplc="2D3CE4A4" w:tentative="1">
      <w:start w:val="1"/>
      <w:numFmt w:val="bullet"/>
      <w:lvlText w:val=""/>
      <w:lvlJc w:val="left"/>
      <w:pPr>
        <w:ind w:left="5607" w:hanging="360"/>
      </w:pPr>
      <w:rPr>
        <w:rFonts w:ascii="Symbol" w:hAnsi="Symbol" w:hint="default"/>
      </w:rPr>
    </w:lvl>
    <w:lvl w:ilvl="7" w:tplc="0EC03B58" w:tentative="1">
      <w:start w:val="1"/>
      <w:numFmt w:val="bullet"/>
      <w:lvlText w:val="o"/>
      <w:lvlJc w:val="left"/>
      <w:pPr>
        <w:ind w:left="6327" w:hanging="360"/>
      </w:pPr>
      <w:rPr>
        <w:rFonts w:ascii="Courier New" w:hAnsi="Courier New" w:cs="Courier New" w:hint="default"/>
      </w:rPr>
    </w:lvl>
    <w:lvl w:ilvl="8" w:tplc="0310DE6A" w:tentative="1">
      <w:start w:val="1"/>
      <w:numFmt w:val="bullet"/>
      <w:lvlText w:val=""/>
      <w:lvlJc w:val="left"/>
      <w:pPr>
        <w:ind w:left="7047" w:hanging="360"/>
      </w:pPr>
      <w:rPr>
        <w:rFonts w:ascii="Wingdings" w:hAnsi="Wingdings" w:hint="default"/>
      </w:rPr>
    </w:lvl>
  </w:abstractNum>
  <w:abstractNum w:abstractNumId="40" w15:restartNumberingAfterBreak="0">
    <w:nsid w:val="21711708"/>
    <w:multiLevelType w:val="hybridMultilevel"/>
    <w:tmpl w:val="6B10D1BC"/>
    <w:lvl w:ilvl="0" w:tplc="EA3449C4">
      <w:start w:val="1"/>
      <w:numFmt w:val="lowerLetter"/>
      <w:pStyle w:val="Style1"/>
      <w:lvlText w:val="%1)"/>
      <w:lvlJc w:val="left"/>
      <w:pPr>
        <w:ind w:left="720" w:hanging="360"/>
      </w:pPr>
    </w:lvl>
    <w:lvl w:ilvl="1" w:tplc="62B4FEA4" w:tentative="1">
      <w:start w:val="1"/>
      <w:numFmt w:val="lowerLetter"/>
      <w:lvlText w:val="%2."/>
      <w:lvlJc w:val="left"/>
      <w:pPr>
        <w:ind w:left="1440" w:hanging="360"/>
      </w:pPr>
    </w:lvl>
    <w:lvl w:ilvl="2" w:tplc="8BD88688" w:tentative="1">
      <w:start w:val="1"/>
      <w:numFmt w:val="lowerRoman"/>
      <w:lvlText w:val="%3."/>
      <w:lvlJc w:val="right"/>
      <w:pPr>
        <w:ind w:left="2160" w:hanging="180"/>
      </w:pPr>
    </w:lvl>
    <w:lvl w:ilvl="3" w:tplc="6E6EEEBA" w:tentative="1">
      <w:start w:val="1"/>
      <w:numFmt w:val="decimal"/>
      <w:lvlText w:val="%4."/>
      <w:lvlJc w:val="left"/>
      <w:pPr>
        <w:ind w:left="2880" w:hanging="360"/>
      </w:pPr>
    </w:lvl>
    <w:lvl w:ilvl="4" w:tplc="E2B831BC" w:tentative="1">
      <w:start w:val="1"/>
      <w:numFmt w:val="lowerLetter"/>
      <w:lvlText w:val="%5."/>
      <w:lvlJc w:val="left"/>
      <w:pPr>
        <w:ind w:left="3600" w:hanging="360"/>
      </w:pPr>
    </w:lvl>
    <w:lvl w:ilvl="5" w:tplc="501815AA" w:tentative="1">
      <w:start w:val="1"/>
      <w:numFmt w:val="lowerRoman"/>
      <w:lvlText w:val="%6."/>
      <w:lvlJc w:val="right"/>
      <w:pPr>
        <w:ind w:left="4320" w:hanging="180"/>
      </w:pPr>
    </w:lvl>
    <w:lvl w:ilvl="6" w:tplc="57AA78B4" w:tentative="1">
      <w:start w:val="1"/>
      <w:numFmt w:val="decimal"/>
      <w:lvlText w:val="%7."/>
      <w:lvlJc w:val="left"/>
      <w:pPr>
        <w:ind w:left="5040" w:hanging="360"/>
      </w:pPr>
    </w:lvl>
    <w:lvl w:ilvl="7" w:tplc="136A0A4E" w:tentative="1">
      <w:start w:val="1"/>
      <w:numFmt w:val="lowerLetter"/>
      <w:lvlText w:val="%8."/>
      <w:lvlJc w:val="left"/>
      <w:pPr>
        <w:ind w:left="5760" w:hanging="360"/>
      </w:pPr>
    </w:lvl>
    <w:lvl w:ilvl="8" w:tplc="BA48CA2C" w:tentative="1">
      <w:start w:val="1"/>
      <w:numFmt w:val="lowerRoman"/>
      <w:lvlText w:val="%9."/>
      <w:lvlJc w:val="right"/>
      <w:pPr>
        <w:ind w:left="6480" w:hanging="180"/>
      </w:pPr>
    </w:lvl>
  </w:abstractNum>
  <w:abstractNum w:abstractNumId="41" w15:restartNumberingAfterBreak="0">
    <w:nsid w:val="21713391"/>
    <w:multiLevelType w:val="multilevel"/>
    <w:tmpl w:val="03F2A8B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2" w15:restartNumberingAfterBreak="0">
    <w:nsid w:val="2254245E"/>
    <w:multiLevelType w:val="hybridMultilevel"/>
    <w:tmpl w:val="C76AAC68"/>
    <w:lvl w:ilvl="0" w:tplc="9BF6AC74">
      <w:start w:val="1"/>
      <w:numFmt w:val="decimal"/>
      <w:lvlText w:val="%1."/>
      <w:lvlJc w:val="left"/>
      <w:pPr>
        <w:ind w:left="720" w:hanging="360"/>
      </w:pPr>
      <w:rPr>
        <w:rFonts w:hint="default"/>
      </w:rPr>
    </w:lvl>
    <w:lvl w:ilvl="1" w:tplc="849E26D8" w:tentative="1">
      <w:start w:val="1"/>
      <w:numFmt w:val="lowerLetter"/>
      <w:lvlText w:val="%2."/>
      <w:lvlJc w:val="left"/>
      <w:pPr>
        <w:ind w:left="1440" w:hanging="360"/>
      </w:pPr>
    </w:lvl>
    <w:lvl w:ilvl="2" w:tplc="7E4A454C" w:tentative="1">
      <w:start w:val="1"/>
      <w:numFmt w:val="lowerRoman"/>
      <w:lvlText w:val="%3."/>
      <w:lvlJc w:val="right"/>
      <w:pPr>
        <w:ind w:left="2160" w:hanging="180"/>
      </w:pPr>
    </w:lvl>
    <w:lvl w:ilvl="3" w:tplc="DC8A5330" w:tentative="1">
      <w:start w:val="1"/>
      <w:numFmt w:val="decimal"/>
      <w:lvlText w:val="%4."/>
      <w:lvlJc w:val="left"/>
      <w:pPr>
        <w:ind w:left="2880" w:hanging="360"/>
      </w:pPr>
    </w:lvl>
    <w:lvl w:ilvl="4" w:tplc="DCB222DC" w:tentative="1">
      <w:start w:val="1"/>
      <w:numFmt w:val="lowerLetter"/>
      <w:lvlText w:val="%5."/>
      <w:lvlJc w:val="left"/>
      <w:pPr>
        <w:ind w:left="3600" w:hanging="360"/>
      </w:pPr>
    </w:lvl>
    <w:lvl w:ilvl="5" w:tplc="A3F0D71E" w:tentative="1">
      <w:start w:val="1"/>
      <w:numFmt w:val="lowerRoman"/>
      <w:lvlText w:val="%6."/>
      <w:lvlJc w:val="right"/>
      <w:pPr>
        <w:ind w:left="4320" w:hanging="180"/>
      </w:pPr>
    </w:lvl>
    <w:lvl w:ilvl="6" w:tplc="206E8B8C" w:tentative="1">
      <w:start w:val="1"/>
      <w:numFmt w:val="decimal"/>
      <w:lvlText w:val="%7."/>
      <w:lvlJc w:val="left"/>
      <w:pPr>
        <w:ind w:left="5040" w:hanging="360"/>
      </w:pPr>
    </w:lvl>
    <w:lvl w:ilvl="7" w:tplc="F8B26290" w:tentative="1">
      <w:start w:val="1"/>
      <w:numFmt w:val="lowerLetter"/>
      <w:lvlText w:val="%8."/>
      <w:lvlJc w:val="left"/>
      <w:pPr>
        <w:ind w:left="5760" w:hanging="360"/>
      </w:pPr>
    </w:lvl>
    <w:lvl w:ilvl="8" w:tplc="BB983F08" w:tentative="1">
      <w:start w:val="1"/>
      <w:numFmt w:val="lowerRoman"/>
      <w:lvlText w:val="%9."/>
      <w:lvlJc w:val="right"/>
      <w:pPr>
        <w:ind w:left="6480" w:hanging="180"/>
      </w:pPr>
    </w:lvl>
  </w:abstractNum>
  <w:abstractNum w:abstractNumId="43" w15:restartNumberingAfterBreak="0">
    <w:nsid w:val="2305346C"/>
    <w:multiLevelType w:val="hybridMultilevel"/>
    <w:tmpl w:val="ADC8885E"/>
    <w:lvl w:ilvl="0" w:tplc="A964CB30">
      <w:start w:val="1"/>
      <w:numFmt w:val="lowerRoman"/>
      <w:lvlText w:val="%1)"/>
      <w:lvlJc w:val="left"/>
      <w:pPr>
        <w:ind w:left="720" w:hanging="360"/>
      </w:pPr>
      <w:rPr>
        <w:rFonts w:ascii="Arial" w:eastAsia="Times New Roman" w:hAnsi="Arial" w:cs="Times New Roman"/>
      </w:rPr>
    </w:lvl>
    <w:lvl w:ilvl="1" w:tplc="9028BF8A" w:tentative="1">
      <w:start w:val="1"/>
      <w:numFmt w:val="lowerLetter"/>
      <w:lvlText w:val="%2."/>
      <w:lvlJc w:val="left"/>
      <w:pPr>
        <w:ind w:left="1440" w:hanging="360"/>
      </w:pPr>
    </w:lvl>
    <w:lvl w:ilvl="2" w:tplc="B5169A50" w:tentative="1">
      <w:start w:val="1"/>
      <w:numFmt w:val="lowerRoman"/>
      <w:lvlText w:val="%3."/>
      <w:lvlJc w:val="right"/>
      <w:pPr>
        <w:ind w:left="2160" w:hanging="180"/>
      </w:pPr>
    </w:lvl>
    <w:lvl w:ilvl="3" w:tplc="7626EE82" w:tentative="1">
      <w:start w:val="1"/>
      <w:numFmt w:val="decimal"/>
      <w:lvlText w:val="%4."/>
      <w:lvlJc w:val="left"/>
      <w:pPr>
        <w:ind w:left="2880" w:hanging="360"/>
      </w:pPr>
    </w:lvl>
    <w:lvl w:ilvl="4" w:tplc="93440284" w:tentative="1">
      <w:start w:val="1"/>
      <w:numFmt w:val="lowerLetter"/>
      <w:lvlText w:val="%5."/>
      <w:lvlJc w:val="left"/>
      <w:pPr>
        <w:ind w:left="3600" w:hanging="360"/>
      </w:pPr>
    </w:lvl>
    <w:lvl w:ilvl="5" w:tplc="C780FA64" w:tentative="1">
      <w:start w:val="1"/>
      <w:numFmt w:val="lowerRoman"/>
      <w:lvlText w:val="%6."/>
      <w:lvlJc w:val="right"/>
      <w:pPr>
        <w:ind w:left="4320" w:hanging="180"/>
      </w:pPr>
    </w:lvl>
    <w:lvl w:ilvl="6" w:tplc="654A5FD6" w:tentative="1">
      <w:start w:val="1"/>
      <w:numFmt w:val="decimal"/>
      <w:lvlText w:val="%7."/>
      <w:lvlJc w:val="left"/>
      <w:pPr>
        <w:ind w:left="5040" w:hanging="360"/>
      </w:pPr>
    </w:lvl>
    <w:lvl w:ilvl="7" w:tplc="061011FA" w:tentative="1">
      <w:start w:val="1"/>
      <w:numFmt w:val="lowerLetter"/>
      <w:lvlText w:val="%8."/>
      <w:lvlJc w:val="left"/>
      <w:pPr>
        <w:ind w:left="5760" w:hanging="360"/>
      </w:pPr>
    </w:lvl>
    <w:lvl w:ilvl="8" w:tplc="F2A4FE8C" w:tentative="1">
      <w:start w:val="1"/>
      <w:numFmt w:val="lowerRoman"/>
      <w:lvlText w:val="%9."/>
      <w:lvlJc w:val="right"/>
      <w:pPr>
        <w:ind w:left="6480" w:hanging="180"/>
      </w:pPr>
    </w:lvl>
  </w:abstractNum>
  <w:abstractNum w:abstractNumId="44" w15:restartNumberingAfterBreak="0">
    <w:nsid w:val="23133C2F"/>
    <w:multiLevelType w:val="hybridMultilevel"/>
    <w:tmpl w:val="15C6BD36"/>
    <w:lvl w:ilvl="0" w:tplc="C4C2C65E">
      <w:start w:val="1"/>
      <w:numFmt w:val="decimal"/>
      <w:lvlText w:val="%1."/>
      <w:lvlJc w:val="left"/>
      <w:pPr>
        <w:ind w:left="720" w:hanging="360"/>
      </w:pPr>
      <w:rPr>
        <w:rFonts w:hint="default"/>
      </w:rPr>
    </w:lvl>
    <w:lvl w:ilvl="1" w:tplc="8FD09AA6" w:tentative="1">
      <w:start w:val="1"/>
      <w:numFmt w:val="lowerLetter"/>
      <w:lvlText w:val="%2."/>
      <w:lvlJc w:val="left"/>
      <w:pPr>
        <w:ind w:left="1440" w:hanging="360"/>
      </w:pPr>
    </w:lvl>
    <w:lvl w:ilvl="2" w:tplc="46C2EFA8" w:tentative="1">
      <w:start w:val="1"/>
      <w:numFmt w:val="lowerRoman"/>
      <w:lvlText w:val="%3."/>
      <w:lvlJc w:val="right"/>
      <w:pPr>
        <w:ind w:left="2160" w:hanging="180"/>
      </w:pPr>
    </w:lvl>
    <w:lvl w:ilvl="3" w:tplc="BF14F162" w:tentative="1">
      <w:start w:val="1"/>
      <w:numFmt w:val="decimal"/>
      <w:lvlText w:val="%4."/>
      <w:lvlJc w:val="left"/>
      <w:pPr>
        <w:ind w:left="2880" w:hanging="360"/>
      </w:pPr>
    </w:lvl>
    <w:lvl w:ilvl="4" w:tplc="C07274DE" w:tentative="1">
      <w:start w:val="1"/>
      <w:numFmt w:val="lowerLetter"/>
      <w:lvlText w:val="%5."/>
      <w:lvlJc w:val="left"/>
      <w:pPr>
        <w:ind w:left="3600" w:hanging="360"/>
      </w:pPr>
    </w:lvl>
    <w:lvl w:ilvl="5" w:tplc="EA9E7422" w:tentative="1">
      <w:start w:val="1"/>
      <w:numFmt w:val="lowerRoman"/>
      <w:lvlText w:val="%6."/>
      <w:lvlJc w:val="right"/>
      <w:pPr>
        <w:ind w:left="4320" w:hanging="180"/>
      </w:pPr>
    </w:lvl>
    <w:lvl w:ilvl="6" w:tplc="B6A0B47C" w:tentative="1">
      <w:start w:val="1"/>
      <w:numFmt w:val="decimal"/>
      <w:lvlText w:val="%7."/>
      <w:lvlJc w:val="left"/>
      <w:pPr>
        <w:ind w:left="5040" w:hanging="360"/>
      </w:pPr>
    </w:lvl>
    <w:lvl w:ilvl="7" w:tplc="A4502ADA" w:tentative="1">
      <w:start w:val="1"/>
      <w:numFmt w:val="lowerLetter"/>
      <w:lvlText w:val="%8."/>
      <w:lvlJc w:val="left"/>
      <w:pPr>
        <w:ind w:left="5760" w:hanging="360"/>
      </w:pPr>
    </w:lvl>
    <w:lvl w:ilvl="8" w:tplc="52C0E9E8" w:tentative="1">
      <w:start w:val="1"/>
      <w:numFmt w:val="lowerRoman"/>
      <w:lvlText w:val="%9."/>
      <w:lvlJc w:val="right"/>
      <w:pPr>
        <w:ind w:left="6480" w:hanging="180"/>
      </w:pPr>
    </w:lvl>
  </w:abstractNum>
  <w:abstractNum w:abstractNumId="45" w15:restartNumberingAfterBreak="0">
    <w:nsid w:val="239E1879"/>
    <w:multiLevelType w:val="multilevel"/>
    <w:tmpl w:val="3A2E7E72"/>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decimal"/>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rPr>
    </w:lvl>
    <w:lvl w:ilvl="5">
      <w:start w:val="1"/>
      <w:numFmt w:val="lowerLetter"/>
      <w:lvlText w:val="%6)"/>
      <w:lvlJc w:val="left"/>
      <w:pPr>
        <w:ind w:left="3196" w:hanging="360"/>
      </w:pPr>
      <w:rPr>
        <w:rFonts w:hint="default"/>
        <w:b/>
        <w:bCs/>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3F6551A"/>
    <w:multiLevelType w:val="hybridMultilevel"/>
    <w:tmpl w:val="F4F6058E"/>
    <w:lvl w:ilvl="0" w:tplc="03901E2C">
      <w:start w:val="1"/>
      <w:numFmt w:val="lowerLetter"/>
      <w:lvlText w:val="%1)"/>
      <w:lvlJc w:val="left"/>
      <w:pPr>
        <w:ind w:left="720" w:hanging="360"/>
      </w:pPr>
      <w:rPr>
        <w:rFonts w:hint="default"/>
      </w:rPr>
    </w:lvl>
    <w:lvl w:ilvl="1" w:tplc="C9B255F0" w:tentative="1">
      <w:start w:val="1"/>
      <w:numFmt w:val="lowerLetter"/>
      <w:lvlText w:val="%2."/>
      <w:lvlJc w:val="left"/>
      <w:pPr>
        <w:ind w:left="1440" w:hanging="360"/>
      </w:pPr>
    </w:lvl>
    <w:lvl w:ilvl="2" w:tplc="3DF4071E" w:tentative="1">
      <w:start w:val="1"/>
      <w:numFmt w:val="lowerRoman"/>
      <w:lvlText w:val="%3."/>
      <w:lvlJc w:val="right"/>
      <w:pPr>
        <w:ind w:left="2160" w:hanging="180"/>
      </w:pPr>
    </w:lvl>
    <w:lvl w:ilvl="3" w:tplc="4CA0FE26" w:tentative="1">
      <w:start w:val="1"/>
      <w:numFmt w:val="decimal"/>
      <w:lvlText w:val="%4."/>
      <w:lvlJc w:val="left"/>
      <w:pPr>
        <w:ind w:left="2880" w:hanging="360"/>
      </w:pPr>
    </w:lvl>
    <w:lvl w:ilvl="4" w:tplc="99CA7632" w:tentative="1">
      <w:start w:val="1"/>
      <w:numFmt w:val="lowerLetter"/>
      <w:lvlText w:val="%5."/>
      <w:lvlJc w:val="left"/>
      <w:pPr>
        <w:ind w:left="3600" w:hanging="360"/>
      </w:pPr>
    </w:lvl>
    <w:lvl w:ilvl="5" w:tplc="D9A4006E" w:tentative="1">
      <w:start w:val="1"/>
      <w:numFmt w:val="lowerRoman"/>
      <w:lvlText w:val="%6."/>
      <w:lvlJc w:val="right"/>
      <w:pPr>
        <w:ind w:left="4320" w:hanging="180"/>
      </w:pPr>
    </w:lvl>
    <w:lvl w:ilvl="6" w:tplc="CC94D544" w:tentative="1">
      <w:start w:val="1"/>
      <w:numFmt w:val="decimal"/>
      <w:lvlText w:val="%7."/>
      <w:lvlJc w:val="left"/>
      <w:pPr>
        <w:ind w:left="5040" w:hanging="360"/>
      </w:pPr>
    </w:lvl>
    <w:lvl w:ilvl="7" w:tplc="0DE66F48" w:tentative="1">
      <w:start w:val="1"/>
      <w:numFmt w:val="lowerLetter"/>
      <w:lvlText w:val="%8."/>
      <w:lvlJc w:val="left"/>
      <w:pPr>
        <w:ind w:left="5760" w:hanging="360"/>
      </w:pPr>
    </w:lvl>
    <w:lvl w:ilvl="8" w:tplc="8FC4F200" w:tentative="1">
      <w:start w:val="1"/>
      <w:numFmt w:val="lowerRoman"/>
      <w:lvlText w:val="%9."/>
      <w:lvlJc w:val="right"/>
      <w:pPr>
        <w:ind w:left="6480" w:hanging="180"/>
      </w:pPr>
    </w:lvl>
  </w:abstractNum>
  <w:abstractNum w:abstractNumId="47" w15:restartNumberingAfterBreak="0">
    <w:nsid w:val="250903E1"/>
    <w:multiLevelType w:val="hybridMultilevel"/>
    <w:tmpl w:val="3E78E524"/>
    <w:lvl w:ilvl="0" w:tplc="5DF01BD2">
      <w:start w:val="1"/>
      <w:numFmt w:val="lowerLetter"/>
      <w:lvlText w:val="%1)"/>
      <w:lvlJc w:val="left"/>
      <w:pPr>
        <w:ind w:left="720" w:hanging="360"/>
      </w:pPr>
      <w:rPr>
        <w:rFonts w:hint="default"/>
      </w:rPr>
    </w:lvl>
    <w:lvl w:ilvl="1" w:tplc="C4F2ED0C" w:tentative="1">
      <w:start w:val="1"/>
      <w:numFmt w:val="lowerLetter"/>
      <w:lvlText w:val="%2."/>
      <w:lvlJc w:val="left"/>
      <w:pPr>
        <w:ind w:left="1440" w:hanging="360"/>
      </w:pPr>
    </w:lvl>
    <w:lvl w:ilvl="2" w:tplc="62B65D8C" w:tentative="1">
      <w:start w:val="1"/>
      <w:numFmt w:val="lowerRoman"/>
      <w:lvlText w:val="%3."/>
      <w:lvlJc w:val="right"/>
      <w:pPr>
        <w:ind w:left="2160" w:hanging="180"/>
      </w:pPr>
    </w:lvl>
    <w:lvl w:ilvl="3" w:tplc="37CABA5A" w:tentative="1">
      <w:start w:val="1"/>
      <w:numFmt w:val="decimal"/>
      <w:lvlText w:val="%4."/>
      <w:lvlJc w:val="left"/>
      <w:pPr>
        <w:ind w:left="2880" w:hanging="360"/>
      </w:pPr>
    </w:lvl>
    <w:lvl w:ilvl="4" w:tplc="9FA2BA8C" w:tentative="1">
      <w:start w:val="1"/>
      <w:numFmt w:val="lowerLetter"/>
      <w:lvlText w:val="%5."/>
      <w:lvlJc w:val="left"/>
      <w:pPr>
        <w:ind w:left="3600" w:hanging="360"/>
      </w:pPr>
    </w:lvl>
    <w:lvl w:ilvl="5" w:tplc="16007B2A" w:tentative="1">
      <w:start w:val="1"/>
      <w:numFmt w:val="lowerRoman"/>
      <w:lvlText w:val="%6."/>
      <w:lvlJc w:val="right"/>
      <w:pPr>
        <w:ind w:left="4320" w:hanging="180"/>
      </w:pPr>
    </w:lvl>
    <w:lvl w:ilvl="6" w:tplc="596636D4" w:tentative="1">
      <w:start w:val="1"/>
      <w:numFmt w:val="decimal"/>
      <w:lvlText w:val="%7."/>
      <w:lvlJc w:val="left"/>
      <w:pPr>
        <w:ind w:left="5040" w:hanging="360"/>
      </w:pPr>
    </w:lvl>
    <w:lvl w:ilvl="7" w:tplc="C846B9FA" w:tentative="1">
      <w:start w:val="1"/>
      <w:numFmt w:val="lowerLetter"/>
      <w:lvlText w:val="%8."/>
      <w:lvlJc w:val="left"/>
      <w:pPr>
        <w:ind w:left="5760" w:hanging="360"/>
      </w:pPr>
    </w:lvl>
    <w:lvl w:ilvl="8" w:tplc="2F0EB44A" w:tentative="1">
      <w:start w:val="1"/>
      <w:numFmt w:val="lowerRoman"/>
      <w:lvlText w:val="%9."/>
      <w:lvlJc w:val="right"/>
      <w:pPr>
        <w:ind w:left="6480" w:hanging="180"/>
      </w:pPr>
    </w:lvl>
  </w:abstractNum>
  <w:abstractNum w:abstractNumId="48" w15:restartNumberingAfterBreak="0">
    <w:nsid w:val="26280AC7"/>
    <w:multiLevelType w:val="hybridMultilevel"/>
    <w:tmpl w:val="1C843F9A"/>
    <w:lvl w:ilvl="0" w:tplc="FC40C88A">
      <w:start w:val="1"/>
      <w:numFmt w:val="lowerRoman"/>
      <w:lvlText w:val="%1)"/>
      <w:lvlJc w:val="left"/>
      <w:pPr>
        <w:ind w:left="720" w:hanging="360"/>
      </w:pPr>
      <w:rPr>
        <w:rFonts w:hint="default"/>
      </w:rPr>
    </w:lvl>
    <w:lvl w:ilvl="1" w:tplc="F81E4582" w:tentative="1">
      <w:start w:val="1"/>
      <w:numFmt w:val="lowerLetter"/>
      <w:lvlText w:val="%2."/>
      <w:lvlJc w:val="left"/>
      <w:pPr>
        <w:ind w:left="1440" w:hanging="360"/>
      </w:pPr>
    </w:lvl>
    <w:lvl w:ilvl="2" w:tplc="060A0916" w:tentative="1">
      <w:start w:val="1"/>
      <w:numFmt w:val="lowerRoman"/>
      <w:lvlText w:val="%3."/>
      <w:lvlJc w:val="right"/>
      <w:pPr>
        <w:ind w:left="2160" w:hanging="180"/>
      </w:pPr>
    </w:lvl>
    <w:lvl w:ilvl="3" w:tplc="F2E845B4" w:tentative="1">
      <w:start w:val="1"/>
      <w:numFmt w:val="decimal"/>
      <w:lvlText w:val="%4."/>
      <w:lvlJc w:val="left"/>
      <w:pPr>
        <w:ind w:left="2880" w:hanging="360"/>
      </w:pPr>
    </w:lvl>
    <w:lvl w:ilvl="4" w:tplc="84204318" w:tentative="1">
      <w:start w:val="1"/>
      <w:numFmt w:val="lowerLetter"/>
      <w:lvlText w:val="%5."/>
      <w:lvlJc w:val="left"/>
      <w:pPr>
        <w:ind w:left="3600" w:hanging="360"/>
      </w:pPr>
    </w:lvl>
    <w:lvl w:ilvl="5" w:tplc="6D3C2144" w:tentative="1">
      <w:start w:val="1"/>
      <w:numFmt w:val="lowerRoman"/>
      <w:lvlText w:val="%6."/>
      <w:lvlJc w:val="right"/>
      <w:pPr>
        <w:ind w:left="4320" w:hanging="180"/>
      </w:pPr>
    </w:lvl>
    <w:lvl w:ilvl="6" w:tplc="6EAE7686" w:tentative="1">
      <w:start w:val="1"/>
      <w:numFmt w:val="decimal"/>
      <w:lvlText w:val="%7."/>
      <w:lvlJc w:val="left"/>
      <w:pPr>
        <w:ind w:left="5040" w:hanging="360"/>
      </w:pPr>
    </w:lvl>
    <w:lvl w:ilvl="7" w:tplc="8B62AA92" w:tentative="1">
      <w:start w:val="1"/>
      <w:numFmt w:val="lowerLetter"/>
      <w:lvlText w:val="%8."/>
      <w:lvlJc w:val="left"/>
      <w:pPr>
        <w:ind w:left="5760" w:hanging="360"/>
      </w:pPr>
    </w:lvl>
    <w:lvl w:ilvl="8" w:tplc="4C8A9874" w:tentative="1">
      <w:start w:val="1"/>
      <w:numFmt w:val="lowerRoman"/>
      <w:lvlText w:val="%9."/>
      <w:lvlJc w:val="right"/>
      <w:pPr>
        <w:ind w:left="6480" w:hanging="180"/>
      </w:pPr>
    </w:lvl>
  </w:abstractNum>
  <w:abstractNum w:abstractNumId="49" w15:restartNumberingAfterBreak="0">
    <w:nsid w:val="263B570F"/>
    <w:multiLevelType w:val="hybridMultilevel"/>
    <w:tmpl w:val="3E781462"/>
    <w:lvl w:ilvl="0" w:tplc="347858F4">
      <w:start w:val="1"/>
      <w:numFmt w:val="bullet"/>
      <w:lvlText w:val=""/>
      <w:lvlJc w:val="left"/>
      <w:pPr>
        <w:ind w:left="720" w:hanging="360"/>
      </w:pPr>
      <w:rPr>
        <w:rFonts w:ascii="Symbol" w:hAnsi="Symbol" w:hint="default"/>
      </w:rPr>
    </w:lvl>
    <w:lvl w:ilvl="1" w:tplc="F8ACAB66" w:tentative="1">
      <w:start w:val="1"/>
      <w:numFmt w:val="bullet"/>
      <w:lvlText w:val="o"/>
      <w:lvlJc w:val="left"/>
      <w:pPr>
        <w:ind w:left="1440" w:hanging="360"/>
      </w:pPr>
      <w:rPr>
        <w:rFonts w:ascii="Courier New" w:hAnsi="Courier New" w:cs="Courier New" w:hint="default"/>
      </w:rPr>
    </w:lvl>
    <w:lvl w:ilvl="2" w:tplc="04F44918" w:tentative="1">
      <w:start w:val="1"/>
      <w:numFmt w:val="bullet"/>
      <w:lvlText w:val=""/>
      <w:lvlJc w:val="left"/>
      <w:pPr>
        <w:ind w:left="2160" w:hanging="360"/>
      </w:pPr>
      <w:rPr>
        <w:rFonts w:ascii="Wingdings" w:hAnsi="Wingdings" w:hint="default"/>
      </w:rPr>
    </w:lvl>
    <w:lvl w:ilvl="3" w:tplc="8530299C" w:tentative="1">
      <w:start w:val="1"/>
      <w:numFmt w:val="bullet"/>
      <w:lvlText w:val=""/>
      <w:lvlJc w:val="left"/>
      <w:pPr>
        <w:ind w:left="2880" w:hanging="360"/>
      </w:pPr>
      <w:rPr>
        <w:rFonts w:ascii="Symbol" w:hAnsi="Symbol" w:hint="default"/>
      </w:rPr>
    </w:lvl>
    <w:lvl w:ilvl="4" w:tplc="96384D34" w:tentative="1">
      <w:start w:val="1"/>
      <w:numFmt w:val="bullet"/>
      <w:lvlText w:val="o"/>
      <w:lvlJc w:val="left"/>
      <w:pPr>
        <w:ind w:left="3600" w:hanging="360"/>
      </w:pPr>
      <w:rPr>
        <w:rFonts w:ascii="Courier New" w:hAnsi="Courier New" w:cs="Courier New" w:hint="default"/>
      </w:rPr>
    </w:lvl>
    <w:lvl w:ilvl="5" w:tplc="24B6CA2C" w:tentative="1">
      <w:start w:val="1"/>
      <w:numFmt w:val="bullet"/>
      <w:lvlText w:val=""/>
      <w:lvlJc w:val="left"/>
      <w:pPr>
        <w:ind w:left="4320" w:hanging="360"/>
      </w:pPr>
      <w:rPr>
        <w:rFonts w:ascii="Wingdings" w:hAnsi="Wingdings" w:hint="default"/>
      </w:rPr>
    </w:lvl>
    <w:lvl w:ilvl="6" w:tplc="7854B580" w:tentative="1">
      <w:start w:val="1"/>
      <w:numFmt w:val="bullet"/>
      <w:lvlText w:val=""/>
      <w:lvlJc w:val="left"/>
      <w:pPr>
        <w:ind w:left="5040" w:hanging="360"/>
      </w:pPr>
      <w:rPr>
        <w:rFonts w:ascii="Symbol" w:hAnsi="Symbol" w:hint="default"/>
      </w:rPr>
    </w:lvl>
    <w:lvl w:ilvl="7" w:tplc="A3625A5E" w:tentative="1">
      <w:start w:val="1"/>
      <w:numFmt w:val="bullet"/>
      <w:lvlText w:val="o"/>
      <w:lvlJc w:val="left"/>
      <w:pPr>
        <w:ind w:left="5760" w:hanging="360"/>
      </w:pPr>
      <w:rPr>
        <w:rFonts w:ascii="Courier New" w:hAnsi="Courier New" w:cs="Courier New" w:hint="default"/>
      </w:rPr>
    </w:lvl>
    <w:lvl w:ilvl="8" w:tplc="2A72A76A" w:tentative="1">
      <w:start w:val="1"/>
      <w:numFmt w:val="bullet"/>
      <w:lvlText w:val=""/>
      <w:lvlJc w:val="left"/>
      <w:pPr>
        <w:ind w:left="6480" w:hanging="360"/>
      </w:pPr>
      <w:rPr>
        <w:rFonts w:ascii="Wingdings" w:hAnsi="Wingdings" w:hint="default"/>
      </w:rPr>
    </w:lvl>
  </w:abstractNum>
  <w:abstractNum w:abstractNumId="50" w15:restartNumberingAfterBreak="0">
    <w:nsid w:val="27825D80"/>
    <w:multiLevelType w:val="multilevel"/>
    <w:tmpl w:val="722A336C"/>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bullet"/>
      <w:lvlText w:val="-"/>
      <w:lvlJc w:val="left"/>
      <w:pPr>
        <w:ind w:left="2160" w:hanging="360"/>
      </w:pPr>
      <w:rPr>
        <w:rFonts w:ascii="Times New Roman" w:eastAsia="Times New Roman" w:hAnsi="Times New Roman" w:cs="Times New Roman"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81D27BC"/>
    <w:multiLevelType w:val="multilevel"/>
    <w:tmpl w:val="4B14D76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decimal"/>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rPr>
    </w:lvl>
    <w:lvl w:ilvl="5">
      <w:start w:val="1"/>
      <w:numFmt w:val="lowerLetter"/>
      <w:lvlText w:val="%6)"/>
      <w:lvlJc w:val="left"/>
      <w:pPr>
        <w:ind w:left="4320" w:hanging="360"/>
      </w:pPr>
      <w:rPr>
        <w:rFonts w:hint="default"/>
        <w:b/>
        <w:bCs/>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28E5235A"/>
    <w:multiLevelType w:val="hybridMultilevel"/>
    <w:tmpl w:val="FC60795A"/>
    <w:lvl w:ilvl="0" w:tplc="8DCAEA9C">
      <w:start w:val="1"/>
      <w:numFmt w:val="bullet"/>
      <w:lvlText w:val="-"/>
      <w:lvlJc w:val="left"/>
      <w:pPr>
        <w:ind w:left="1287" w:hanging="360"/>
      </w:pPr>
      <w:rPr>
        <w:rFonts w:ascii="Times New Roman" w:eastAsia="Times New Roman" w:hAnsi="Times New Roman" w:cs="Times New Roman" w:hint="default"/>
      </w:rPr>
    </w:lvl>
    <w:lvl w:ilvl="1" w:tplc="27C4CFB0" w:tentative="1">
      <w:start w:val="1"/>
      <w:numFmt w:val="bullet"/>
      <w:lvlText w:val="o"/>
      <w:lvlJc w:val="left"/>
      <w:pPr>
        <w:ind w:left="2007" w:hanging="360"/>
      </w:pPr>
      <w:rPr>
        <w:rFonts w:ascii="Courier New" w:hAnsi="Courier New" w:cs="Courier New" w:hint="default"/>
      </w:rPr>
    </w:lvl>
    <w:lvl w:ilvl="2" w:tplc="3C1EAA5E" w:tentative="1">
      <w:start w:val="1"/>
      <w:numFmt w:val="bullet"/>
      <w:lvlText w:val=""/>
      <w:lvlJc w:val="left"/>
      <w:pPr>
        <w:ind w:left="2727" w:hanging="360"/>
      </w:pPr>
      <w:rPr>
        <w:rFonts w:ascii="Wingdings" w:hAnsi="Wingdings" w:hint="default"/>
      </w:rPr>
    </w:lvl>
    <w:lvl w:ilvl="3" w:tplc="795C3286" w:tentative="1">
      <w:start w:val="1"/>
      <w:numFmt w:val="bullet"/>
      <w:lvlText w:val=""/>
      <w:lvlJc w:val="left"/>
      <w:pPr>
        <w:ind w:left="3447" w:hanging="360"/>
      </w:pPr>
      <w:rPr>
        <w:rFonts w:ascii="Symbol" w:hAnsi="Symbol" w:hint="default"/>
      </w:rPr>
    </w:lvl>
    <w:lvl w:ilvl="4" w:tplc="83EA3FD0" w:tentative="1">
      <w:start w:val="1"/>
      <w:numFmt w:val="bullet"/>
      <w:lvlText w:val="o"/>
      <w:lvlJc w:val="left"/>
      <w:pPr>
        <w:ind w:left="4167" w:hanging="360"/>
      </w:pPr>
      <w:rPr>
        <w:rFonts w:ascii="Courier New" w:hAnsi="Courier New" w:cs="Courier New" w:hint="default"/>
      </w:rPr>
    </w:lvl>
    <w:lvl w:ilvl="5" w:tplc="5AAE4D68" w:tentative="1">
      <w:start w:val="1"/>
      <w:numFmt w:val="bullet"/>
      <w:lvlText w:val=""/>
      <w:lvlJc w:val="left"/>
      <w:pPr>
        <w:ind w:left="4887" w:hanging="360"/>
      </w:pPr>
      <w:rPr>
        <w:rFonts w:ascii="Wingdings" w:hAnsi="Wingdings" w:hint="default"/>
      </w:rPr>
    </w:lvl>
    <w:lvl w:ilvl="6" w:tplc="01348420" w:tentative="1">
      <w:start w:val="1"/>
      <w:numFmt w:val="bullet"/>
      <w:lvlText w:val=""/>
      <w:lvlJc w:val="left"/>
      <w:pPr>
        <w:ind w:left="5607" w:hanging="360"/>
      </w:pPr>
      <w:rPr>
        <w:rFonts w:ascii="Symbol" w:hAnsi="Symbol" w:hint="default"/>
      </w:rPr>
    </w:lvl>
    <w:lvl w:ilvl="7" w:tplc="40267CB6" w:tentative="1">
      <w:start w:val="1"/>
      <w:numFmt w:val="bullet"/>
      <w:lvlText w:val="o"/>
      <w:lvlJc w:val="left"/>
      <w:pPr>
        <w:ind w:left="6327" w:hanging="360"/>
      </w:pPr>
      <w:rPr>
        <w:rFonts w:ascii="Courier New" w:hAnsi="Courier New" w:cs="Courier New" w:hint="default"/>
      </w:rPr>
    </w:lvl>
    <w:lvl w:ilvl="8" w:tplc="EB72FD18" w:tentative="1">
      <w:start w:val="1"/>
      <w:numFmt w:val="bullet"/>
      <w:lvlText w:val=""/>
      <w:lvlJc w:val="left"/>
      <w:pPr>
        <w:ind w:left="7047" w:hanging="360"/>
      </w:pPr>
      <w:rPr>
        <w:rFonts w:ascii="Wingdings" w:hAnsi="Wingdings" w:hint="default"/>
      </w:rPr>
    </w:lvl>
  </w:abstractNum>
  <w:abstractNum w:abstractNumId="53" w15:restartNumberingAfterBreak="0">
    <w:nsid w:val="28EB7D96"/>
    <w:multiLevelType w:val="hybridMultilevel"/>
    <w:tmpl w:val="CE36A130"/>
    <w:lvl w:ilvl="0" w:tplc="5A2E33F6">
      <w:start w:val="2"/>
      <w:numFmt w:val="bullet"/>
      <w:lvlText w:val="-"/>
      <w:lvlJc w:val="left"/>
      <w:pPr>
        <w:ind w:left="720" w:hanging="360"/>
      </w:pPr>
      <w:rPr>
        <w:rFonts w:ascii="Arial" w:eastAsia="Times New Roman" w:hAnsi="Arial" w:cs="Arial" w:hint="default"/>
      </w:rPr>
    </w:lvl>
    <w:lvl w:ilvl="1" w:tplc="D520ADB0" w:tentative="1">
      <w:start w:val="1"/>
      <w:numFmt w:val="bullet"/>
      <w:lvlText w:val="o"/>
      <w:lvlJc w:val="left"/>
      <w:pPr>
        <w:ind w:left="1440" w:hanging="360"/>
      </w:pPr>
      <w:rPr>
        <w:rFonts w:ascii="Courier New" w:hAnsi="Courier New" w:cs="Courier New" w:hint="default"/>
      </w:rPr>
    </w:lvl>
    <w:lvl w:ilvl="2" w:tplc="AAC6F7F4" w:tentative="1">
      <w:start w:val="1"/>
      <w:numFmt w:val="bullet"/>
      <w:lvlText w:val=""/>
      <w:lvlJc w:val="left"/>
      <w:pPr>
        <w:ind w:left="2160" w:hanging="360"/>
      </w:pPr>
      <w:rPr>
        <w:rFonts w:ascii="Wingdings" w:hAnsi="Wingdings" w:hint="default"/>
      </w:rPr>
    </w:lvl>
    <w:lvl w:ilvl="3" w:tplc="D92C167E" w:tentative="1">
      <w:start w:val="1"/>
      <w:numFmt w:val="bullet"/>
      <w:lvlText w:val=""/>
      <w:lvlJc w:val="left"/>
      <w:pPr>
        <w:ind w:left="2880" w:hanging="360"/>
      </w:pPr>
      <w:rPr>
        <w:rFonts w:ascii="Symbol" w:hAnsi="Symbol" w:hint="default"/>
      </w:rPr>
    </w:lvl>
    <w:lvl w:ilvl="4" w:tplc="3E709BA2" w:tentative="1">
      <w:start w:val="1"/>
      <w:numFmt w:val="bullet"/>
      <w:lvlText w:val="o"/>
      <w:lvlJc w:val="left"/>
      <w:pPr>
        <w:ind w:left="3600" w:hanging="360"/>
      </w:pPr>
      <w:rPr>
        <w:rFonts w:ascii="Courier New" w:hAnsi="Courier New" w:cs="Courier New" w:hint="default"/>
      </w:rPr>
    </w:lvl>
    <w:lvl w:ilvl="5" w:tplc="2A684B76" w:tentative="1">
      <w:start w:val="1"/>
      <w:numFmt w:val="bullet"/>
      <w:lvlText w:val=""/>
      <w:lvlJc w:val="left"/>
      <w:pPr>
        <w:ind w:left="4320" w:hanging="360"/>
      </w:pPr>
      <w:rPr>
        <w:rFonts w:ascii="Wingdings" w:hAnsi="Wingdings" w:hint="default"/>
      </w:rPr>
    </w:lvl>
    <w:lvl w:ilvl="6" w:tplc="7F94DDB2" w:tentative="1">
      <w:start w:val="1"/>
      <w:numFmt w:val="bullet"/>
      <w:lvlText w:val=""/>
      <w:lvlJc w:val="left"/>
      <w:pPr>
        <w:ind w:left="5040" w:hanging="360"/>
      </w:pPr>
      <w:rPr>
        <w:rFonts w:ascii="Symbol" w:hAnsi="Symbol" w:hint="default"/>
      </w:rPr>
    </w:lvl>
    <w:lvl w:ilvl="7" w:tplc="A9767F8A" w:tentative="1">
      <w:start w:val="1"/>
      <w:numFmt w:val="bullet"/>
      <w:lvlText w:val="o"/>
      <w:lvlJc w:val="left"/>
      <w:pPr>
        <w:ind w:left="5760" w:hanging="360"/>
      </w:pPr>
      <w:rPr>
        <w:rFonts w:ascii="Courier New" w:hAnsi="Courier New" w:cs="Courier New" w:hint="default"/>
      </w:rPr>
    </w:lvl>
    <w:lvl w:ilvl="8" w:tplc="36C0CB42" w:tentative="1">
      <w:start w:val="1"/>
      <w:numFmt w:val="bullet"/>
      <w:lvlText w:val=""/>
      <w:lvlJc w:val="left"/>
      <w:pPr>
        <w:ind w:left="6480" w:hanging="360"/>
      </w:pPr>
      <w:rPr>
        <w:rFonts w:ascii="Wingdings" w:hAnsi="Wingdings" w:hint="default"/>
      </w:rPr>
    </w:lvl>
  </w:abstractNum>
  <w:abstractNum w:abstractNumId="54" w15:restartNumberingAfterBreak="0">
    <w:nsid w:val="293D4F09"/>
    <w:multiLevelType w:val="hybridMultilevel"/>
    <w:tmpl w:val="B942AF2E"/>
    <w:lvl w:ilvl="0" w:tplc="E186926A">
      <w:start w:val="1"/>
      <w:numFmt w:val="bullet"/>
      <w:lvlText w:val="-"/>
      <w:lvlJc w:val="left"/>
      <w:pPr>
        <w:ind w:left="1854" w:hanging="360"/>
      </w:pPr>
      <w:rPr>
        <w:rFonts w:ascii="Times New Roman" w:eastAsia="Times New Roman" w:hAnsi="Times New Roman" w:cs="Times New Roman" w:hint="default"/>
      </w:rPr>
    </w:lvl>
    <w:lvl w:ilvl="1" w:tplc="8D14DC26" w:tentative="1">
      <w:start w:val="1"/>
      <w:numFmt w:val="bullet"/>
      <w:lvlText w:val="o"/>
      <w:lvlJc w:val="left"/>
      <w:pPr>
        <w:ind w:left="2574" w:hanging="360"/>
      </w:pPr>
      <w:rPr>
        <w:rFonts w:ascii="Courier New" w:hAnsi="Courier New" w:cs="Courier New" w:hint="default"/>
      </w:rPr>
    </w:lvl>
    <w:lvl w:ilvl="2" w:tplc="5C629D00" w:tentative="1">
      <w:start w:val="1"/>
      <w:numFmt w:val="bullet"/>
      <w:lvlText w:val=""/>
      <w:lvlJc w:val="left"/>
      <w:pPr>
        <w:ind w:left="3294" w:hanging="360"/>
      </w:pPr>
      <w:rPr>
        <w:rFonts w:ascii="Wingdings" w:hAnsi="Wingdings" w:hint="default"/>
      </w:rPr>
    </w:lvl>
    <w:lvl w:ilvl="3" w:tplc="792E55E4" w:tentative="1">
      <w:start w:val="1"/>
      <w:numFmt w:val="bullet"/>
      <w:lvlText w:val=""/>
      <w:lvlJc w:val="left"/>
      <w:pPr>
        <w:ind w:left="4014" w:hanging="360"/>
      </w:pPr>
      <w:rPr>
        <w:rFonts w:ascii="Symbol" w:hAnsi="Symbol" w:hint="default"/>
      </w:rPr>
    </w:lvl>
    <w:lvl w:ilvl="4" w:tplc="5DB6A9B4" w:tentative="1">
      <w:start w:val="1"/>
      <w:numFmt w:val="bullet"/>
      <w:lvlText w:val="o"/>
      <w:lvlJc w:val="left"/>
      <w:pPr>
        <w:ind w:left="4734" w:hanging="360"/>
      </w:pPr>
      <w:rPr>
        <w:rFonts w:ascii="Courier New" w:hAnsi="Courier New" w:cs="Courier New" w:hint="default"/>
      </w:rPr>
    </w:lvl>
    <w:lvl w:ilvl="5" w:tplc="D4C665C2" w:tentative="1">
      <w:start w:val="1"/>
      <w:numFmt w:val="bullet"/>
      <w:lvlText w:val=""/>
      <w:lvlJc w:val="left"/>
      <w:pPr>
        <w:ind w:left="5454" w:hanging="360"/>
      </w:pPr>
      <w:rPr>
        <w:rFonts w:ascii="Wingdings" w:hAnsi="Wingdings" w:hint="default"/>
      </w:rPr>
    </w:lvl>
    <w:lvl w:ilvl="6" w:tplc="4FE4309A" w:tentative="1">
      <w:start w:val="1"/>
      <w:numFmt w:val="bullet"/>
      <w:lvlText w:val=""/>
      <w:lvlJc w:val="left"/>
      <w:pPr>
        <w:ind w:left="6174" w:hanging="360"/>
      </w:pPr>
      <w:rPr>
        <w:rFonts w:ascii="Symbol" w:hAnsi="Symbol" w:hint="default"/>
      </w:rPr>
    </w:lvl>
    <w:lvl w:ilvl="7" w:tplc="F7261C8A" w:tentative="1">
      <w:start w:val="1"/>
      <w:numFmt w:val="bullet"/>
      <w:lvlText w:val="o"/>
      <w:lvlJc w:val="left"/>
      <w:pPr>
        <w:ind w:left="6894" w:hanging="360"/>
      </w:pPr>
      <w:rPr>
        <w:rFonts w:ascii="Courier New" w:hAnsi="Courier New" w:cs="Courier New" w:hint="default"/>
      </w:rPr>
    </w:lvl>
    <w:lvl w:ilvl="8" w:tplc="22D23C18" w:tentative="1">
      <w:start w:val="1"/>
      <w:numFmt w:val="bullet"/>
      <w:lvlText w:val=""/>
      <w:lvlJc w:val="left"/>
      <w:pPr>
        <w:ind w:left="7614" w:hanging="360"/>
      </w:pPr>
      <w:rPr>
        <w:rFonts w:ascii="Wingdings" w:hAnsi="Wingdings" w:hint="default"/>
      </w:rPr>
    </w:lvl>
  </w:abstractNum>
  <w:abstractNum w:abstractNumId="55" w15:restartNumberingAfterBreak="0">
    <w:nsid w:val="2B354F82"/>
    <w:multiLevelType w:val="multilevel"/>
    <w:tmpl w:val="353E1CEE"/>
    <w:lvl w:ilvl="0">
      <w:start w:val="1"/>
      <w:numFmt w:val="bullet"/>
      <w:lvlText w:val=""/>
      <w:lvlJc w:val="left"/>
      <w:pPr>
        <w:tabs>
          <w:tab w:val="num" w:pos="1353"/>
        </w:tabs>
        <w:ind w:left="1353" w:hanging="360"/>
      </w:pPr>
      <w:rPr>
        <w:rFonts w:ascii="Symbol" w:hAnsi="Symbol" w:hint="default"/>
        <w:sz w:val="20"/>
      </w:rPr>
    </w:lvl>
    <w:lvl w:ilvl="1">
      <w:start w:val="1"/>
      <w:numFmt w:val="upperLetter"/>
      <w:lvlText w:val="%2)"/>
      <w:lvlJc w:val="left"/>
      <w:pPr>
        <w:ind w:left="2073" w:hanging="360"/>
      </w:pPr>
      <w:rPr>
        <w:rFonts w:hint="default"/>
      </w:rPr>
    </w:lvl>
    <w:lvl w:ilvl="2">
      <w:start w:val="1"/>
      <w:numFmt w:val="lowerLetter"/>
      <w:lvlText w:val="%3)"/>
      <w:lvlJc w:val="left"/>
      <w:pPr>
        <w:ind w:left="2793" w:hanging="360"/>
      </w:pPr>
      <w:rPr>
        <w:rFonts w:hint="default"/>
        <w:b/>
        <w:bCs w:val="0"/>
        <w:caps/>
        <w:sz w:val="24"/>
        <w:szCs w:val="24"/>
      </w:rPr>
    </w:lvl>
    <w:lvl w:ilvl="3" w:tentative="1">
      <w:start w:val="1"/>
      <w:numFmt w:val="bullet"/>
      <w:lvlText w:val=""/>
      <w:lvlJc w:val="left"/>
      <w:pPr>
        <w:tabs>
          <w:tab w:val="num" w:pos="3513"/>
        </w:tabs>
        <w:ind w:left="3513" w:hanging="360"/>
      </w:pPr>
      <w:rPr>
        <w:rFonts w:ascii="Wingdings" w:hAnsi="Wingdings" w:hint="default"/>
        <w:sz w:val="20"/>
      </w:rPr>
    </w:lvl>
    <w:lvl w:ilvl="4" w:tentative="1">
      <w:start w:val="1"/>
      <w:numFmt w:val="bullet"/>
      <w:lvlText w:val=""/>
      <w:lvlJc w:val="left"/>
      <w:pPr>
        <w:tabs>
          <w:tab w:val="num" w:pos="4233"/>
        </w:tabs>
        <w:ind w:left="4233" w:hanging="360"/>
      </w:pPr>
      <w:rPr>
        <w:rFonts w:ascii="Wingdings" w:hAnsi="Wingdings" w:hint="default"/>
        <w:sz w:val="20"/>
      </w:rPr>
    </w:lvl>
    <w:lvl w:ilvl="5" w:tentative="1">
      <w:start w:val="1"/>
      <w:numFmt w:val="bullet"/>
      <w:lvlText w:val=""/>
      <w:lvlJc w:val="left"/>
      <w:pPr>
        <w:tabs>
          <w:tab w:val="num" w:pos="4953"/>
        </w:tabs>
        <w:ind w:left="4953" w:hanging="360"/>
      </w:pPr>
      <w:rPr>
        <w:rFonts w:ascii="Wingdings" w:hAnsi="Wingdings" w:hint="default"/>
        <w:sz w:val="20"/>
      </w:rPr>
    </w:lvl>
    <w:lvl w:ilvl="6" w:tentative="1">
      <w:start w:val="1"/>
      <w:numFmt w:val="bullet"/>
      <w:lvlText w:val=""/>
      <w:lvlJc w:val="left"/>
      <w:pPr>
        <w:tabs>
          <w:tab w:val="num" w:pos="5673"/>
        </w:tabs>
        <w:ind w:left="5673" w:hanging="360"/>
      </w:pPr>
      <w:rPr>
        <w:rFonts w:ascii="Wingdings" w:hAnsi="Wingdings" w:hint="default"/>
        <w:sz w:val="20"/>
      </w:rPr>
    </w:lvl>
    <w:lvl w:ilvl="7" w:tentative="1">
      <w:start w:val="1"/>
      <w:numFmt w:val="bullet"/>
      <w:lvlText w:val=""/>
      <w:lvlJc w:val="left"/>
      <w:pPr>
        <w:tabs>
          <w:tab w:val="num" w:pos="6393"/>
        </w:tabs>
        <w:ind w:left="6393" w:hanging="360"/>
      </w:pPr>
      <w:rPr>
        <w:rFonts w:ascii="Wingdings" w:hAnsi="Wingdings" w:hint="default"/>
        <w:sz w:val="20"/>
      </w:rPr>
    </w:lvl>
    <w:lvl w:ilvl="8" w:tentative="1">
      <w:start w:val="1"/>
      <w:numFmt w:val="bullet"/>
      <w:lvlText w:val=""/>
      <w:lvlJc w:val="left"/>
      <w:pPr>
        <w:tabs>
          <w:tab w:val="num" w:pos="7113"/>
        </w:tabs>
        <w:ind w:left="7113" w:hanging="360"/>
      </w:pPr>
      <w:rPr>
        <w:rFonts w:ascii="Wingdings" w:hAnsi="Wingdings" w:hint="default"/>
        <w:sz w:val="20"/>
      </w:rPr>
    </w:lvl>
  </w:abstractNum>
  <w:abstractNum w:abstractNumId="56" w15:restartNumberingAfterBreak="0">
    <w:nsid w:val="2B646095"/>
    <w:multiLevelType w:val="hybridMultilevel"/>
    <w:tmpl w:val="F4CCD6D6"/>
    <w:lvl w:ilvl="0" w:tplc="8A9E56BE">
      <w:start w:val="1"/>
      <w:numFmt w:val="bullet"/>
      <w:lvlText w:val="-"/>
      <w:lvlJc w:val="left"/>
      <w:pPr>
        <w:ind w:left="1440" w:hanging="360"/>
      </w:pPr>
      <w:rPr>
        <w:rFonts w:ascii="Times New Roman" w:eastAsia="Times New Roman" w:hAnsi="Times New Roman" w:cs="Times New Roman" w:hint="default"/>
      </w:rPr>
    </w:lvl>
    <w:lvl w:ilvl="1" w:tplc="1BBC5314" w:tentative="1">
      <w:start w:val="1"/>
      <w:numFmt w:val="bullet"/>
      <w:lvlText w:val="o"/>
      <w:lvlJc w:val="left"/>
      <w:pPr>
        <w:ind w:left="2160" w:hanging="360"/>
      </w:pPr>
      <w:rPr>
        <w:rFonts w:ascii="Courier New" w:hAnsi="Courier New" w:cs="Courier New" w:hint="default"/>
      </w:rPr>
    </w:lvl>
    <w:lvl w:ilvl="2" w:tplc="9176D736" w:tentative="1">
      <w:start w:val="1"/>
      <w:numFmt w:val="bullet"/>
      <w:lvlText w:val=""/>
      <w:lvlJc w:val="left"/>
      <w:pPr>
        <w:ind w:left="2880" w:hanging="360"/>
      </w:pPr>
      <w:rPr>
        <w:rFonts w:ascii="Wingdings" w:hAnsi="Wingdings" w:hint="default"/>
      </w:rPr>
    </w:lvl>
    <w:lvl w:ilvl="3" w:tplc="BA7E0BD2" w:tentative="1">
      <w:start w:val="1"/>
      <w:numFmt w:val="bullet"/>
      <w:lvlText w:val=""/>
      <w:lvlJc w:val="left"/>
      <w:pPr>
        <w:ind w:left="3600" w:hanging="360"/>
      </w:pPr>
      <w:rPr>
        <w:rFonts w:ascii="Symbol" w:hAnsi="Symbol" w:hint="default"/>
      </w:rPr>
    </w:lvl>
    <w:lvl w:ilvl="4" w:tplc="FD54298E" w:tentative="1">
      <w:start w:val="1"/>
      <w:numFmt w:val="bullet"/>
      <w:lvlText w:val="o"/>
      <w:lvlJc w:val="left"/>
      <w:pPr>
        <w:ind w:left="4320" w:hanging="360"/>
      </w:pPr>
      <w:rPr>
        <w:rFonts w:ascii="Courier New" w:hAnsi="Courier New" w:cs="Courier New" w:hint="default"/>
      </w:rPr>
    </w:lvl>
    <w:lvl w:ilvl="5" w:tplc="9BE4EDBE" w:tentative="1">
      <w:start w:val="1"/>
      <w:numFmt w:val="bullet"/>
      <w:lvlText w:val=""/>
      <w:lvlJc w:val="left"/>
      <w:pPr>
        <w:ind w:left="5040" w:hanging="360"/>
      </w:pPr>
      <w:rPr>
        <w:rFonts w:ascii="Wingdings" w:hAnsi="Wingdings" w:hint="default"/>
      </w:rPr>
    </w:lvl>
    <w:lvl w:ilvl="6" w:tplc="26D651DC" w:tentative="1">
      <w:start w:val="1"/>
      <w:numFmt w:val="bullet"/>
      <w:lvlText w:val=""/>
      <w:lvlJc w:val="left"/>
      <w:pPr>
        <w:ind w:left="5760" w:hanging="360"/>
      </w:pPr>
      <w:rPr>
        <w:rFonts w:ascii="Symbol" w:hAnsi="Symbol" w:hint="default"/>
      </w:rPr>
    </w:lvl>
    <w:lvl w:ilvl="7" w:tplc="C30C5576" w:tentative="1">
      <w:start w:val="1"/>
      <w:numFmt w:val="bullet"/>
      <w:lvlText w:val="o"/>
      <w:lvlJc w:val="left"/>
      <w:pPr>
        <w:ind w:left="6480" w:hanging="360"/>
      </w:pPr>
      <w:rPr>
        <w:rFonts w:ascii="Courier New" w:hAnsi="Courier New" w:cs="Courier New" w:hint="default"/>
      </w:rPr>
    </w:lvl>
    <w:lvl w:ilvl="8" w:tplc="201055E0" w:tentative="1">
      <w:start w:val="1"/>
      <w:numFmt w:val="bullet"/>
      <w:lvlText w:val=""/>
      <w:lvlJc w:val="left"/>
      <w:pPr>
        <w:ind w:left="7200" w:hanging="360"/>
      </w:pPr>
      <w:rPr>
        <w:rFonts w:ascii="Wingdings" w:hAnsi="Wingdings" w:hint="default"/>
      </w:rPr>
    </w:lvl>
  </w:abstractNum>
  <w:abstractNum w:abstractNumId="57" w15:restartNumberingAfterBreak="0">
    <w:nsid w:val="2C173C9D"/>
    <w:multiLevelType w:val="hybridMultilevel"/>
    <w:tmpl w:val="64AA5FB6"/>
    <w:lvl w:ilvl="0" w:tplc="C862EF52">
      <w:start w:val="1"/>
      <w:numFmt w:val="lowerLetter"/>
      <w:lvlText w:val="%1)"/>
      <w:lvlJc w:val="left"/>
      <w:pPr>
        <w:ind w:left="1224" w:hanging="360"/>
      </w:pPr>
      <w:rPr>
        <w:rFonts w:hint="default"/>
      </w:rPr>
    </w:lvl>
    <w:lvl w:ilvl="1" w:tplc="CCF6B05E" w:tentative="1">
      <w:start w:val="1"/>
      <w:numFmt w:val="lowerLetter"/>
      <w:lvlText w:val="%2."/>
      <w:lvlJc w:val="left"/>
      <w:pPr>
        <w:ind w:left="1944" w:hanging="360"/>
      </w:pPr>
    </w:lvl>
    <w:lvl w:ilvl="2" w:tplc="9EF4754A" w:tentative="1">
      <w:start w:val="1"/>
      <w:numFmt w:val="lowerRoman"/>
      <w:lvlText w:val="%3."/>
      <w:lvlJc w:val="right"/>
      <w:pPr>
        <w:ind w:left="2664" w:hanging="180"/>
      </w:pPr>
    </w:lvl>
    <w:lvl w:ilvl="3" w:tplc="24C03B76" w:tentative="1">
      <w:start w:val="1"/>
      <w:numFmt w:val="decimal"/>
      <w:lvlText w:val="%4."/>
      <w:lvlJc w:val="left"/>
      <w:pPr>
        <w:ind w:left="3384" w:hanging="360"/>
      </w:pPr>
    </w:lvl>
    <w:lvl w:ilvl="4" w:tplc="95649756" w:tentative="1">
      <w:start w:val="1"/>
      <w:numFmt w:val="lowerLetter"/>
      <w:lvlText w:val="%5."/>
      <w:lvlJc w:val="left"/>
      <w:pPr>
        <w:ind w:left="4104" w:hanging="360"/>
      </w:pPr>
    </w:lvl>
    <w:lvl w:ilvl="5" w:tplc="65887F62" w:tentative="1">
      <w:start w:val="1"/>
      <w:numFmt w:val="lowerRoman"/>
      <w:lvlText w:val="%6."/>
      <w:lvlJc w:val="right"/>
      <w:pPr>
        <w:ind w:left="4824" w:hanging="180"/>
      </w:pPr>
    </w:lvl>
    <w:lvl w:ilvl="6" w:tplc="44CA5F0C" w:tentative="1">
      <w:start w:val="1"/>
      <w:numFmt w:val="decimal"/>
      <w:lvlText w:val="%7."/>
      <w:lvlJc w:val="left"/>
      <w:pPr>
        <w:ind w:left="5544" w:hanging="360"/>
      </w:pPr>
    </w:lvl>
    <w:lvl w:ilvl="7" w:tplc="E842B128" w:tentative="1">
      <w:start w:val="1"/>
      <w:numFmt w:val="lowerLetter"/>
      <w:lvlText w:val="%8."/>
      <w:lvlJc w:val="left"/>
      <w:pPr>
        <w:ind w:left="6264" w:hanging="360"/>
      </w:pPr>
    </w:lvl>
    <w:lvl w:ilvl="8" w:tplc="D00ABE88" w:tentative="1">
      <w:start w:val="1"/>
      <w:numFmt w:val="lowerRoman"/>
      <w:lvlText w:val="%9."/>
      <w:lvlJc w:val="right"/>
      <w:pPr>
        <w:ind w:left="6984" w:hanging="180"/>
      </w:pPr>
    </w:lvl>
  </w:abstractNum>
  <w:abstractNum w:abstractNumId="58" w15:restartNumberingAfterBreak="0">
    <w:nsid w:val="2DA555F8"/>
    <w:multiLevelType w:val="hybridMultilevel"/>
    <w:tmpl w:val="7814009E"/>
    <w:lvl w:ilvl="0" w:tplc="C4A8F6CC">
      <w:start w:val="1"/>
      <w:numFmt w:val="lowerLetter"/>
      <w:lvlText w:val="%1)"/>
      <w:lvlJc w:val="left"/>
      <w:pPr>
        <w:ind w:left="720" w:hanging="360"/>
      </w:pPr>
      <w:rPr>
        <w:rFonts w:hint="default"/>
      </w:rPr>
    </w:lvl>
    <w:lvl w:ilvl="1" w:tplc="A1CA6D1A" w:tentative="1">
      <w:start w:val="1"/>
      <w:numFmt w:val="lowerLetter"/>
      <w:lvlText w:val="%2."/>
      <w:lvlJc w:val="left"/>
      <w:pPr>
        <w:ind w:left="1440" w:hanging="360"/>
      </w:pPr>
    </w:lvl>
    <w:lvl w:ilvl="2" w:tplc="19E6E166" w:tentative="1">
      <w:start w:val="1"/>
      <w:numFmt w:val="lowerRoman"/>
      <w:lvlText w:val="%3."/>
      <w:lvlJc w:val="right"/>
      <w:pPr>
        <w:ind w:left="2160" w:hanging="180"/>
      </w:pPr>
    </w:lvl>
    <w:lvl w:ilvl="3" w:tplc="98E65792" w:tentative="1">
      <w:start w:val="1"/>
      <w:numFmt w:val="decimal"/>
      <w:lvlText w:val="%4."/>
      <w:lvlJc w:val="left"/>
      <w:pPr>
        <w:ind w:left="2880" w:hanging="360"/>
      </w:pPr>
    </w:lvl>
    <w:lvl w:ilvl="4" w:tplc="093465F4" w:tentative="1">
      <w:start w:val="1"/>
      <w:numFmt w:val="lowerLetter"/>
      <w:lvlText w:val="%5."/>
      <w:lvlJc w:val="left"/>
      <w:pPr>
        <w:ind w:left="3600" w:hanging="360"/>
      </w:pPr>
    </w:lvl>
    <w:lvl w:ilvl="5" w:tplc="A02C33A0" w:tentative="1">
      <w:start w:val="1"/>
      <w:numFmt w:val="lowerRoman"/>
      <w:lvlText w:val="%6."/>
      <w:lvlJc w:val="right"/>
      <w:pPr>
        <w:ind w:left="4320" w:hanging="180"/>
      </w:pPr>
    </w:lvl>
    <w:lvl w:ilvl="6" w:tplc="FC16A5F2" w:tentative="1">
      <w:start w:val="1"/>
      <w:numFmt w:val="decimal"/>
      <w:lvlText w:val="%7."/>
      <w:lvlJc w:val="left"/>
      <w:pPr>
        <w:ind w:left="5040" w:hanging="360"/>
      </w:pPr>
    </w:lvl>
    <w:lvl w:ilvl="7" w:tplc="AFFC0A82" w:tentative="1">
      <w:start w:val="1"/>
      <w:numFmt w:val="lowerLetter"/>
      <w:lvlText w:val="%8."/>
      <w:lvlJc w:val="left"/>
      <w:pPr>
        <w:ind w:left="5760" w:hanging="360"/>
      </w:pPr>
    </w:lvl>
    <w:lvl w:ilvl="8" w:tplc="9BD002F4" w:tentative="1">
      <w:start w:val="1"/>
      <w:numFmt w:val="lowerRoman"/>
      <w:lvlText w:val="%9."/>
      <w:lvlJc w:val="right"/>
      <w:pPr>
        <w:ind w:left="6480" w:hanging="180"/>
      </w:pPr>
    </w:lvl>
  </w:abstractNum>
  <w:abstractNum w:abstractNumId="59" w15:restartNumberingAfterBreak="0">
    <w:nsid w:val="2DB66D0F"/>
    <w:multiLevelType w:val="multilevel"/>
    <w:tmpl w:val="FBF6C2F0"/>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03A6A51"/>
    <w:multiLevelType w:val="hybridMultilevel"/>
    <w:tmpl w:val="9196B2DA"/>
    <w:lvl w:ilvl="0" w:tplc="15781B3E">
      <w:start w:val="1"/>
      <w:numFmt w:val="lowerLetter"/>
      <w:lvlText w:val="%1)"/>
      <w:lvlJc w:val="left"/>
      <w:pPr>
        <w:ind w:left="1211" w:hanging="360"/>
      </w:pPr>
      <w:rPr>
        <w:rFonts w:hint="default"/>
      </w:rPr>
    </w:lvl>
    <w:lvl w:ilvl="1" w:tplc="8E62B3F8" w:tentative="1">
      <w:start w:val="1"/>
      <w:numFmt w:val="lowerLetter"/>
      <w:lvlText w:val="%2."/>
      <w:lvlJc w:val="left"/>
      <w:pPr>
        <w:ind w:left="1931" w:hanging="360"/>
      </w:pPr>
    </w:lvl>
    <w:lvl w:ilvl="2" w:tplc="E7D2E444" w:tentative="1">
      <w:start w:val="1"/>
      <w:numFmt w:val="lowerRoman"/>
      <w:lvlText w:val="%3."/>
      <w:lvlJc w:val="right"/>
      <w:pPr>
        <w:ind w:left="2651" w:hanging="180"/>
      </w:pPr>
    </w:lvl>
    <w:lvl w:ilvl="3" w:tplc="926008F6" w:tentative="1">
      <w:start w:val="1"/>
      <w:numFmt w:val="decimal"/>
      <w:lvlText w:val="%4."/>
      <w:lvlJc w:val="left"/>
      <w:pPr>
        <w:ind w:left="3371" w:hanging="360"/>
      </w:pPr>
    </w:lvl>
    <w:lvl w:ilvl="4" w:tplc="06040F68" w:tentative="1">
      <w:start w:val="1"/>
      <w:numFmt w:val="lowerLetter"/>
      <w:lvlText w:val="%5."/>
      <w:lvlJc w:val="left"/>
      <w:pPr>
        <w:ind w:left="4091" w:hanging="360"/>
      </w:pPr>
    </w:lvl>
    <w:lvl w:ilvl="5" w:tplc="77D82A42" w:tentative="1">
      <w:start w:val="1"/>
      <w:numFmt w:val="lowerRoman"/>
      <w:lvlText w:val="%6."/>
      <w:lvlJc w:val="right"/>
      <w:pPr>
        <w:ind w:left="4811" w:hanging="180"/>
      </w:pPr>
    </w:lvl>
    <w:lvl w:ilvl="6" w:tplc="99E42696" w:tentative="1">
      <w:start w:val="1"/>
      <w:numFmt w:val="decimal"/>
      <w:lvlText w:val="%7."/>
      <w:lvlJc w:val="left"/>
      <w:pPr>
        <w:ind w:left="5531" w:hanging="360"/>
      </w:pPr>
    </w:lvl>
    <w:lvl w:ilvl="7" w:tplc="8D6CF6F8" w:tentative="1">
      <w:start w:val="1"/>
      <w:numFmt w:val="lowerLetter"/>
      <w:lvlText w:val="%8."/>
      <w:lvlJc w:val="left"/>
      <w:pPr>
        <w:ind w:left="6251" w:hanging="360"/>
      </w:pPr>
    </w:lvl>
    <w:lvl w:ilvl="8" w:tplc="18B64A10" w:tentative="1">
      <w:start w:val="1"/>
      <w:numFmt w:val="lowerRoman"/>
      <w:lvlText w:val="%9."/>
      <w:lvlJc w:val="right"/>
      <w:pPr>
        <w:ind w:left="6971" w:hanging="180"/>
      </w:pPr>
    </w:lvl>
  </w:abstractNum>
  <w:abstractNum w:abstractNumId="61" w15:restartNumberingAfterBreak="0">
    <w:nsid w:val="32605410"/>
    <w:multiLevelType w:val="hybridMultilevel"/>
    <w:tmpl w:val="B9FC6FF0"/>
    <w:lvl w:ilvl="0" w:tplc="ADB0BD26">
      <w:start w:val="1"/>
      <w:numFmt w:val="decimal"/>
      <w:lvlText w:val="%1."/>
      <w:lvlJc w:val="left"/>
      <w:pPr>
        <w:ind w:left="720" w:hanging="360"/>
      </w:pPr>
      <w:rPr>
        <w:rFonts w:hint="default"/>
        <w:sz w:val="24"/>
      </w:rPr>
    </w:lvl>
    <w:lvl w:ilvl="1" w:tplc="04F8FA9C" w:tentative="1">
      <w:start w:val="1"/>
      <w:numFmt w:val="lowerLetter"/>
      <w:lvlText w:val="%2."/>
      <w:lvlJc w:val="left"/>
      <w:pPr>
        <w:ind w:left="1440" w:hanging="360"/>
      </w:pPr>
    </w:lvl>
    <w:lvl w:ilvl="2" w:tplc="B4825D74" w:tentative="1">
      <w:start w:val="1"/>
      <w:numFmt w:val="lowerRoman"/>
      <w:lvlText w:val="%3."/>
      <w:lvlJc w:val="right"/>
      <w:pPr>
        <w:ind w:left="2160" w:hanging="180"/>
      </w:pPr>
    </w:lvl>
    <w:lvl w:ilvl="3" w:tplc="93A2379C" w:tentative="1">
      <w:start w:val="1"/>
      <w:numFmt w:val="decimal"/>
      <w:lvlText w:val="%4."/>
      <w:lvlJc w:val="left"/>
      <w:pPr>
        <w:ind w:left="2880" w:hanging="360"/>
      </w:pPr>
    </w:lvl>
    <w:lvl w:ilvl="4" w:tplc="C668178C" w:tentative="1">
      <w:start w:val="1"/>
      <w:numFmt w:val="lowerLetter"/>
      <w:lvlText w:val="%5."/>
      <w:lvlJc w:val="left"/>
      <w:pPr>
        <w:ind w:left="3600" w:hanging="360"/>
      </w:pPr>
    </w:lvl>
    <w:lvl w:ilvl="5" w:tplc="CD306202" w:tentative="1">
      <w:start w:val="1"/>
      <w:numFmt w:val="lowerRoman"/>
      <w:lvlText w:val="%6."/>
      <w:lvlJc w:val="right"/>
      <w:pPr>
        <w:ind w:left="4320" w:hanging="180"/>
      </w:pPr>
    </w:lvl>
    <w:lvl w:ilvl="6" w:tplc="4274D14C" w:tentative="1">
      <w:start w:val="1"/>
      <w:numFmt w:val="decimal"/>
      <w:lvlText w:val="%7."/>
      <w:lvlJc w:val="left"/>
      <w:pPr>
        <w:ind w:left="5040" w:hanging="360"/>
      </w:pPr>
    </w:lvl>
    <w:lvl w:ilvl="7" w:tplc="07489B8C" w:tentative="1">
      <w:start w:val="1"/>
      <w:numFmt w:val="lowerLetter"/>
      <w:lvlText w:val="%8."/>
      <w:lvlJc w:val="left"/>
      <w:pPr>
        <w:ind w:left="5760" w:hanging="360"/>
      </w:pPr>
    </w:lvl>
    <w:lvl w:ilvl="8" w:tplc="D9705258" w:tentative="1">
      <w:start w:val="1"/>
      <w:numFmt w:val="lowerRoman"/>
      <w:lvlText w:val="%9."/>
      <w:lvlJc w:val="right"/>
      <w:pPr>
        <w:ind w:left="6480" w:hanging="180"/>
      </w:pPr>
    </w:lvl>
  </w:abstractNum>
  <w:abstractNum w:abstractNumId="62" w15:restartNumberingAfterBreak="0">
    <w:nsid w:val="328A1046"/>
    <w:multiLevelType w:val="hybridMultilevel"/>
    <w:tmpl w:val="CF26674E"/>
    <w:lvl w:ilvl="0" w:tplc="B2481CFC">
      <w:start w:val="1"/>
      <w:numFmt w:val="lowerLetter"/>
      <w:lvlText w:val="%1)"/>
      <w:lvlJc w:val="left"/>
      <w:pPr>
        <w:ind w:left="1224" w:hanging="360"/>
      </w:pPr>
      <w:rPr>
        <w:rFonts w:hint="default"/>
      </w:rPr>
    </w:lvl>
    <w:lvl w:ilvl="1" w:tplc="690C72AC" w:tentative="1">
      <w:start w:val="1"/>
      <w:numFmt w:val="lowerLetter"/>
      <w:lvlText w:val="%2."/>
      <w:lvlJc w:val="left"/>
      <w:pPr>
        <w:ind w:left="1944" w:hanging="360"/>
      </w:pPr>
    </w:lvl>
    <w:lvl w:ilvl="2" w:tplc="B40260BE" w:tentative="1">
      <w:start w:val="1"/>
      <w:numFmt w:val="lowerRoman"/>
      <w:lvlText w:val="%3."/>
      <w:lvlJc w:val="right"/>
      <w:pPr>
        <w:ind w:left="2664" w:hanging="180"/>
      </w:pPr>
    </w:lvl>
    <w:lvl w:ilvl="3" w:tplc="EF86B07C" w:tentative="1">
      <w:start w:val="1"/>
      <w:numFmt w:val="decimal"/>
      <w:lvlText w:val="%4."/>
      <w:lvlJc w:val="left"/>
      <w:pPr>
        <w:ind w:left="3384" w:hanging="360"/>
      </w:pPr>
    </w:lvl>
    <w:lvl w:ilvl="4" w:tplc="085C0EB8" w:tentative="1">
      <w:start w:val="1"/>
      <w:numFmt w:val="lowerLetter"/>
      <w:lvlText w:val="%5."/>
      <w:lvlJc w:val="left"/>
      <w:pPr>
        <w:ind w:left="4104" w:hanging="360"/>
      </w:pPr>
    </w:lvl>
    <w:lvl w:ilvl="5" w:tplc="EFC604E0" w:tentative="1">
      <w:start w:val="1"/>
      <w:numFmt w:val="lowerRoman"/>
      <w:lvlText w:val="%6."/>
      <w:lvlJc w:val="right"/>
      <w:pPr>
        <w:ind w:left="4824" w:hanging="180"/>
      </w:pPr>
    </w:lvl>
    <w:lvl w:ilvl="6" w:tplc="5068F656" w:tentative="1">
      <w:start w:val="1"/>
      <w:numFmt w:val="decimal"/>
      <w:lvlText w:val="%7."/>
      <w:lvlJc w:val="left"/>
      <w:pPr>
        <w:ind w:left="5544" w:hanging="360"/>
      </w:pPr>
    </w:lvl>
    <w:lvl w:ilvl="7" w:tplc="C9E85F4C" w:tentative="1">
      <w:start w:val="1"/>
      <w:numFmt w:val="lowerLetter"/>
      <w:lvlText w:val="%8."/>
      <w:lvlJc w:val="left"/>
      <w:pPr>
        <w:ind w:left="6264" w:hanging="360"/>
      </w:pPr>
    </w:lvl>
    <w:lvl w:ilvl="8" w:tplc="43F6C566" w:tentative="1">
      <w:start w:val="1"/>
      <w:numFmt w:val="lowerRoman"/>
      <w:lvlText w:val="%9."/>
      <w:lvlJc w:val="right"/>
      <w:pPr>
        <w:ind w:left="6984" w:hanging="180"/>
      </w:pPr>
    </w:lvl>
  </w:abstractNum>
  <w:abstractNum w:abstractNumId="63" w15:restartNumberingAfterBreak="0">
    <w:nsid w:val="32FF1403"/>
    <w:multiLevelType w:val="multilevel"/>
    <w:tmpl w:val="C63C7474"/>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4" w15:restartNumberingAfterBreak="0">
    <w:nsid w:val="33D3617B"/>
    <w:multiLevelType w:val="hybridMultilevel"/>
    <w:tmpl w:val="1B142E1E"/>
    <w:lvl w:ilvl="0" w:tplc="DDB85584">
      <w:start w:val="1"/>
      <w:numFmt w:val="bullet"/>
      <w:lvlText w:val=""/>
      <w:lvlJc w:val="left"/>
      <w:pPr>
        <w:ind w:left="1440" w:hanging="360"/>
      </w:pPr>
      <w:rPr>
        <w:rFonts w:ascii="Symbol" w:hAnsi="Symbol" w:hint="default"/>
      </w:rPr>
    </w:lvl>
    <w:lvl w:ilvl="1" w:tplc="1C8687D2" w:tentative="1">
      <w:start w:val="1"/>
      <w:numFmt w:val="bullet"/>
      <w:lvlText w:val="o"/>
      <w:lvlJc w:val="left"/>
      <w:pPr>
        <w:ind w:left="2160" w:hanging="360"/>
      </w:pPr>
      <w:rPr>
        <w:rFonts w:ascii="Courier New" w:hAnsi="Courier New" w:cs="Courier New" w:hint="default"/>
      </w:rPr>
    </w:lvl>
    <w:lvl w:ilvl="2" w:tplc="0DA61806" w:tentative="1">
      <w:start w:val="1"/>
      <w:numFmt w:val="bullet"/>
      <w:lvlText w:val=""/>
      <w:lvlJc w:val="left"/>
      <w:pPr>
        <w:ind w:left="2880" w:hanging="360"/>
      </w:pPr>
      <w:rPr>
        <w:rFonts w:ascii="Wingdings" w:hAnsi="Wingdings" w:hint="default"/>
      </w:rPr>
    </w:lvl>
    <w:lvl w:ilvl="3" w:tplc="1702F976" w:tentative="1">
      <w:start w:val="1"/>
      <w:numFmt w:val="bullet"/>
      <w:lvlText w:val=""/>
      <w:lvlJc w:val="left"/>
      <w:pPr>
        <w:ind w:left="3600" w:hanging="360"/>
      </w:pPr>
      <w:rPr>
        <w:rFonts w:ascii="Symbol" w:hAnsi="Symbol" w:hint="default"/>
      </w:rPr>
    </w:lvl>
    <w:lvl w:ilvl="4" w:tplc="E160E39C" w:tentative="1">
      <w:start w:val="1"/>
      <w:numFmt w:val="bullet"/>
      <w:lvlText w:val="o"/>
      <w:lvlJc w:val="left"/>
      <w:pPr>
        <w:ind w:left="4320" w:hanging="360"/>
      </w:pPr>
      <w:rPr>
        <w:rFonts w:ascii="Courier New" w:hAnsi="Courier New" w:cs="Courier New" w:hint="default"/>
      </w:rPr>
    </w:lvl>
    <w:lvl w:ilvl="5" w:tplc="9232FCCA" w:tentative="1">
      <w:start w:val="1"/>
      <w:numFmt w:val="bullet"/>
      <w:lvlText w:val=""/>
      <w:lvlJc w:val="left"/>
      <w:pPr>
        <w:ind w:left="5040" w:hanging="360"/>
      </w:pPr>
      <w:rPr>
        <w:rFonts w:ascii="Wingdings" w:hAnsi="Wingdings" w:hint="default"/>
      </w:rPr>
    </w:lvl>
    <w:lvl w:ilvl="6" w:tplc="9454E178" w:tentative="1">
      <w:start w:val="1"/>
      <w:numFmt w:val="bullet"/>
      <w:lvlText w:val=""/>
      <w:lvlJc w:val="left"/>
      <w:pPr>
        <w:ind w:left="5760" w:hanging="360"/>
      </w:pPr>
      <w:rPr>
        <w:rFonts w:ascii="Symbol" w:hAnsi="Symbol" w:hint="default"/>
      </w:rPr>
    </w:lvl>
    <w:lvl w:ilvl="7" w:tplc="35B0325A" w:tentative="1">
      <w:start w:val="1"/>
      <w:numFmt w:val="bullet"/>
      <w:lvlText w:val="o"/>
      <w:lvlJc w:val="left"/>
      <w:pPr>
        <w:ind w:left="6480" w:hanging="360"/>
      </w:pPr>
      <w:rPr>
        <w:rFonts w:ascii="Courier New" w:hAnsi="Courier New" w:cs="Courier New" w:hint="default"/>
      </w:rPr>
    </w:lvl>
    <w:lvl w:ilvl="8" w:tplc="08224628" w:tentative="1">
      <w:start w:val="1"/>
      <w:numFmt w:val="bullet"/>
      <w:lvlText w:val=""/>
      <w:lvlJc w:val="left"/>
      <w:pPr>
        <w:ind w:left="7200" w:hanging="360"/>
      </w:pPr>
      <w:rPr>
        <w:rFonts w:ascii="Wingdings" w:hAnsi="Wingdings" w:hint="default"/>
      </w:rPr>
    </w:lvl>
  </w:abstractNum>
  <w:abstractNum w:abstractNumId="65" w15:restartNumberingAfterBreak="0">
    <w:nsid w:val="34710FFE"/>
    <w:multiLevelType w:val="multilevel"/>
    <w:tmpl w:val="87E0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34712272"/>
    <w:multiLevelType w:val="hybridMultilevel"/>
    <w:tmpl w:val="4D4CCFEA"/>
    <w:lvl w:ilvl="0" w:tplc="3C029DEC">
      <w:start w:val="1"/>
      <w:numFmt w:val="lowerLetter"/>
      <w:lvlText w:val="%1)"/>
      <w:lvlJc w:val="left"/>
      <w:pPr>
        <w:ind w:left="720" w:hanging="360"/>
      </w:pPr>
      <w:rPr>
        <w:rFonts w:hint="default"/>
        <w:b/>
        <w:bCs w:val="0"/>
        <w:i w:val="0"/>
        <w:iCs/>
      </w:rPr>
    </w:lvl>
    <w:lvl w:ilvl="1" w:tplc="137E05F0" w:tentative="1">
      <w:start w:val="1"/>
      <w:numFmt w:val="lowerLetter"/>
      <w:lvlText w:val="%2."/>
      <w:lvlJc w:val="left"/>
      <w:pPr>
        <w:ind w:left="1440" w:hanging="360"/>
      </w:pPr>
    </w:lvl>
    <w:lvl w:ilvl="2" w:tplc="1450AC4C" w:tentative="1">
      <w:start w:val="1"/>
      <w:numFmt w:val="lowerRoman"/>
      <w:lvlText w:val="%3."/>
      <w:lvlJc w:val="right"/>
      <w:pPr>
        <w:ind w:left="2160" w:hanging="180"/>
      </w:pPr>
    </w:lvl>
    <w:lvl w:ilvl="3" w:tplc="55E8F940" w:tentative="1">
      <w:start w:val="1"/>
      <w:numFmt w:val="decimal"/>
      <w:lvlText w:val="%4."/>
      <w:lvlJc w:val="left"/>
      <w:pPr>
        <w:ind w:left="2880" w:hanging="360"/>
      </w:pPr>
    </w:lvl>
    <w:lvl w:ilvl="4" w:tplc="B1CEDEA2" w:tentative="1">
      <w:start w:val="1"/>
      <w:numFmt w:val="lowerLetter"/>
      <w:lvlText w:val="%5."/>
      <w:lvlJc w:val="left"/>
      <w:pPr>
        <w:ind w:left="3600" w:hanging="360"/>
      </w:pPr>
    </w:lvl>
    <w:lvl w:ilvl="5" w:tplc="8D22DCD4" w:tentative="1">
      <w:start w:val="1"/>
      <w:numFmt w:val="lowerRoman"/>
      <w:lvlText w:val="%6."/>
      <w:lvlJc w:val="right"/>
      <w:pPr>
        <w:ind w:left="4320" w:hanging="180"/>
      </w:pPr>
    </w:lvl>
    <w:lvl w:ilvl="6" w:tplc="7264DA06" w:tentative="1">
      <w:start w:val="1"/>
      <w:numFmt w:val="decimal"/>
      <w:lvlText w:val="%7."/>
      <w:lvlJc w:val="left"/>
      <w:pPr>
        <w:ind w:left="5040" w:hanging="360"/>
      </w:pPr>
    </w:lvl>
    <w:lvl w:ilvl="7" w:tplc="C3FA07BA" w:tentative="1">
      <w:start w:val="1"/>
      <w:numFmt w:val="lowerLetter"/>
      <w:lvlText w:val="%8."/>
      <w:lvlJc w:val="left"/>
      <w:pPr>
        <w:ind w:left="5760" w:hanging="360"/>
      </w:pPr>
    </w:lvl>
    <w:lvl w:ilvl="8" w:tplc="D2D6EF3A" w:tentative="1">
      <w:start w:val="1"/>
      <w:numFmt w:val="lowerRoman"/>
      <w:lvlText w:val="%9."/>
      <w:lvlJc w:val="right"/>
      <w:pPr>
        <w:ind w:left="6480" w:hanging="180"/>
      </w:pPr>
    </w:lvl>
  </w:abstractNum>
  <w:abstractNum w:abstractNumId="67" w15:restartNumberingAfterBreak="0">
    <w:nsid w:val="347E0DD8"/>
    <w:multiLevelType w:val="hybridMultilevel"/>
    <w:tmpl w:val="94340FAE"/>
    <w:lvl w:ilvl="0" w:tplc="CBF6366E">
      <w:start w:val="1"/>
      <w:numFmt w:val="lowerLetter"/>
      <w:lvlText w:val="%1)"/>
      <w:lvlJc w:val="left"/>
      <w:pPr>
        <w:ind w:left="1230" w:hanging="360"/>
      </w:pPr>
      <w:rPr>
        <w:rFonts w:hint="default"/>
      </w:rPr>
    </w:lvl>
    <w:lvl w:ilvl="1" w:tplc="90662020" w:tentative="1">
      <w:start w:val="1"/>
      <w:numFmt w:val="lowerLetter"/>
      <w:lvlText w:val="%2."/>
      <w:lvlJc w:val="left"/>
      <w:pPr>
        <w:ind w:left="1950" w:hanging="360"/>
      </w:pPr>
    </w:lvl>
    <w:lvl w:ilvl="2" w:tplc="E28A7FD4" w:tentative="1">
      <w:start w:val="1"/>
      <w:numFmt w:val="lowerRoman"/>
      <w:lvlText w:val="%3."/>
      <w:lvlJc w:val="right"/>
      <w:pPr>
        <w:ind w:left="2670" w:hanging="180"/>
      </w:pPr>
    </w:lvl>
    <w:lvl w:ilvl="3" w:tplc="7B5ABE44" w:tentative="1">
      <w:start w:val="1"/>
      <w:numFmt w:val="decimal"/>
      <w:lvlText w:val="%4."/>
      <w:lvlJc w:val="left"/>
      <w:pPr>
        <w:ind w:left="3390" w:hanging="360"/>
      </w:pPr>
    </w:lvl>
    <w:lvl w:ilvl="4" w:tplc="E0388188" w:tentative="1">
      <w:start w:val="1"/>
      <w:numFmt w:val="lowerLetter"/>
      <w:lvlText w:val="%5."/>
      <w:lvlJc w:val="left"/>
      <w:pPr>
        <w:ind w:left="4110" w:hanging="360"/>
      </w:pPr>
    </w:lvl>
    <w:lvl w:ilvl="5" w:tplc="D0307D0E" w:tentative="1">
      <w:start w:val="1"/>
      <w:numFmt w:val="lowerRoman"/>
      <w:lvlText w:val="%6."/>
      <w:lvlJc w:val="right"/>
      <w:pPr>
        <w:ind w:left="4830" w:hanging="180"/>
      </w:pPr>
    </w:lvl>
    <w:lvl w:ilvl="6" w:tplc="E2B4BE34" w:tentative="1">
      <w:start w:val="1"/>
      <w:numFmt w:val="decimal"/>
      <w:lvlText w:val="%7."/>
      <w:lvlJc w:val="left"/>
      <w:pPr>
        <w:ind w:left="5550" w:hanging="360"/>
      </w:pPr>
    </w:lvl>
    <w:lvl w:ilvl="7" w:tplc="70280950" w:tentative="1">
      <w:start w:val="1"/>
      <w:numFmt w:val="lowerLetter"/>
      <w:lvlText w:val="%8."/>
      <w:lvlJc w:val="left"/>
      <w:pPr>
        <w:ind w:left="6270" w:hanging="360"/>
      </w:pPr>
    </w:lvl>
    <w:lvl w:ilvl="8" w:tplc="84CC280A" w:tentative="1">
      <w:start w:val="1"/>
      <w:numFmt w:val="lowerRoman"/>
      <w:lvlText w:val="%9."/>
      <w:lvlJc w:val="right"/>
      <w:pPr>
        <w:ind w:left="6990" w:hanging="180"/>
      </w:pPr>
    </w:lvl>
  </w:abstractNum>
  <w:abstractNum w:abstractNumId="68" w15:restartNumberingAfterBreak="0">
    <w:nsid w:val="34D22919"/>
    <w:multiLevelType w:val="hybridMultilevel"/>
    <w:tmpl w:val="92F2F7C4"/>
    <w:lvl w:ilvl="0" w:tplc="0694D36A">
      <w:start w:val="1"/>
      <w:numFmt w:val="lowerRoman"/>
      <w:lvlText w:val="%1)"/>
      <w:lvlJc w:val="left"/>
      <w:pPr>
        <w:ind w:left="720" w:hanging="360"/>
      </w:pPr>
      <w:rPr>
        <w:rFonts w:ascii="Arial" w:eastAsia="Times New Roman" w:hAnsi="Arial" w:cs="Times New Roman"/>
      </w:rPr>
    </w:lvl>
    <w:lvl w:ilvl="1" w:tplc="094E469E" w:tentative="1">
      <w:start w:val="1"/>
      <w:numFmt w:val="lowerLetter"/>
      <w:lvlText w:val="%2."/>
      <w:lvlJc w:val="left"/>
      <w:pPr>
        <w:ind w:left="1440" w:hanging="360"/>
      </w:pPr>
    </w:lvl>
    <w:lvl w:ilvl="2" w:tplc="96BAEF2C" w:tentative="1">
      <w:start w:val="1"/>
      <w:numFmt w:val="lowerRoman"/>
      <w:lvlText w:val="%3."/>
      <w:lvlJc w:val="right"/>
      <w:pPr>
        <w:ind w:left="2160" w:hanging="180"/>
      </w:pPr>
    </w:lvl>
    <w:lvl w:ilvl="3" w:tplc="14EC1348" w:tentative="1">
      <w:start w:val="1"/>
      <w:numFmt w:val="decimal"/>
      <w:lvlText w:val="%4."/>
      <w:lvlJc w:val="left"/>
      <w:pPr>
        <w:ind w:left="2880" w:hanging="360"/>
      </w:pPr>
    </w:lvl>
    <w:lvl w:ilvl="4" w:tplc="1C72A316" w:tentative="1">
      <w:start w:val="1"/>
      <w:numFmt w:val="lowerLetter"/>
      <w:lvlText w:val="%5."/>
      <w:lvlJc w:val="left"/>
      <w:pPr>
        <w:ind w:left="3600" w:hanging="360"/>
      </w:pPr>
    </w:lvl>
    <w:lvl w:ilvl="5" w:tplc="0090D452" w:tentative="1">
      <w:start w:val="1"/>
      <w:numFmt w:val="lowerRoman"/>
      <w:lvlText w:val="%6."/>
      <w:lvlJc w:val="right"/>
      <w:pPr>
        <w:ind w:left="4320" w:hanging="180"/>
      </w:pPr>
    </w:lvl>
    <w:lvl w:ilvl="6" w:tplc="FF62D728" w:tentative="1">
      <w:start w:val="1"/>
      <w:numFmt w:val="decimal"/>
      <w:lvlText w:val="%7."/>
      <w:lvlJc w:val="left"/>
      <w:pPr>
        <w:ind w:left="5040" w:hanging="360"/>
      </w:pPr>
    </w:lvl>
    <w:lvl w:ilvl="7" w:tplc="C07E2E82" w:tentative="1">
      <w:start w:val="1"/>
      <w:numFmt w:val="lowerLetter"/>
      <w:lvlText w:val="%8."/>
      <w:lvlJc w:val="left"/>
      <w:pPr>
        <w:ind w:left="5760" w:hanging="360"/>
      </w:pPr>
    </w:lvl>
    <w:lvl w:ilvl="8" w:tplc="AF20DC80" w:tentative="1">
      <w:start w:val="1"/>
      <w:numFmt w:val="lowerRoman"/>
      <w:lvlText w:val="%9."/>
      <w:lvlJc w:val="right"/>
      <w:pPr>
        <w:ind w:left="6480" w:hanging="180"/>
      </w:pPr>
    </w:lvl>
  </w:abstractNum>
  <w:abstractNum w:abstractNumId="69" w15:restartNumberingAfterBreak="0">
    <w:nsid w:val="34ED2EAE"/>
    <w:multiLevelType w:val="hybridMultilevel"/>
    <w:tmpl w:val="22C2E31A"/>
    <w:lvl w:ilvl="0" w:tplc="497455BA">
      <w:start w:val="1"/>
      <w:numFmt w:val="bullet"/>
      <w:lvlText w:val=""/>
      <w:lvlJc w:val="left"/>
      <w:pPr>
        <w:ind w:left="720" w:hanging="360"/>
      </w:pPr>
      <w:rPr>
        <w:rFonts w:ascii="Symbol" w:hAnsi="Symbol" w:hint="default"/>
      </w:rPr>
    </w:lvl>
    <w:lvl w:ilvl="1" w:tplc="1570C432" w:tentative="1">
      <w:start w:val="1"/>
      <w:numFmt w:val="bullet"/>
      <w:lvlText w:val="o"/>
      <w:lvlJc w:val="left"/>
      <w:pPr>
        <w:ind w:left="1440" w:hanging="360"/>
      </w:pPr>
      <w:rPr>
        <w:rFonts w:ascii="Courier New" w:hAnsi="Courier New" w:cs="Courier New" w:hint="default"/>
      </w:rPr>
    </w:lvl>
    <w:lvl w:ilvl="2" w:tplc="3116A270" w:tentative="1">
      <w:start w:val="1"/>
      <w:numFmt w:val="bullet"/>
      <w:lvlText w:val=""/>
      <w:lvlJc w:val="left"/>
      <w:pPr>
        <w:ind w:left="2160" w:hanging="360"/>
      </w:pPr>
      <w:rPr>
        <w:rFonts w:ascii="Wingdings" w:hAnsi="Wingdings" w:hint="default"/>
      </w:rPr>
    </w:lvl>
    <w:lvl w:ilvl="3" w:tplc="5458304A" w:tentative="1">
      <w:start w:val="1"/>
      <w:numFmt w:val="bullet"/>
      <w:lvlText w:val=""/>
      <w:lvlJc w:val="left"/>
      <w:pPr>
        <w:ind w:left="2880" w:hanging="360"/>
      </w:pPr>
      <w:rPr>
        <w:rFonts w:ascii="Symbol" w:hAnsi="Symbol" w:hint="default"/>
      </w:rPr>
    </w:lvl>
    <w:lvl w:ilvl="4" w:tplc="0CF2EE6A" w:tentative="1">
      <w:start w:val="1"/>
      <w:numFmt w:val="bullet"/>
      <w:lvlText w:val="o"/>
      <w:lvlJc w:val="left"/>
      <w:pPr>
        <w:ind w:left="3600" w:hanging="360"/>
      </w:pPr>
      <w:rPr>
        <w:rFonts w:ascii="Courier New" w:hAnsi="Courier New" w:cs="Courier New" w:hint="default"/>
      </w:rPr>
    </w:lvl>
    <w:lvl w:ilvl="5" w:tplc="1E98109E" w:tentative="1">
      <w:start w:val="1"/>
      <w:numFmt w:val="bullet"/>
      <w:lvlText w:val=""/>
      <w:lvlJc w:val="left"/>
      <w:pPr>
        <w:ind w:left="4320" w:hanging="360"/>
      </w:pPr>
      <w:rPr>
        <w:rFonts w:ascii="Wingdings" w:hAnsi="Wingdings" w:hint="default"/>
      </w:rPr>
    </w:lvl>
    <w:lvl w:ilvl="6" w:tplc="E3803898" w:tentative="1">
      <w:start w:val="1"/>
      <w:numFmt w:val="bullet"/>
      <w:lvlText w:val=""/>
      <w:lvlJc w:val="left"/>
      <w:pPr>
        <w:ind w:left="5040" w:hanging="360"/>
      </w:pPr>
      <w:rPr>
        <w:rFonts w:ascii="Symbol" w:hAnsi="Symbol" w:hint="default"/>
      </w:rPr>
    </w:lvl>
    <w:lvl w:ilvl="7" w:tplc="85B4BA36" w:tentative="1">
      <w:start w:val="1"/>
      <w:numFmt w:val="bullet"/>
      <w:lvlText w:val="o"/>
      <w:lvlJc w:val="left"/>
      <w:pPr>
        <w:ind w:left="5760" w:hanging="360"/>
      </w:pPr>
      <w:rPr>
        <w:rFonts w:ascii="Courier New" w:hAnsi="Courier New" w:cs="Courier New" w:hint="default"/>
      </w:rPr>
    </w:lvl>
    <w:lvl w:ilvl="8" w:tplc="50E6207E" w:tentative="1">
      <w:start w:val="1"/>
      <w:numFmt w:val="bullet"/>
      <w:lvlText w:val=""/>
      <w:lvlJc w:val="left"/>
      <w:pPr>
        <w:ind w:left="6480" w:hanging="360"/>
      </w:pPr>
      <w:rPr>
        <w:rFonts w:ascii="Wingdings" w:hAnsi="Wingdings" w:hint="default"/>
      </w:rPr>
    </w:lvl>
  </w:abstractNum>
  <w:abstractNum w:abstractNumId="70" w15:restartNumberingAfterBreak="0">
    <w:nsid w:val="363B3A2B"/>
    <w:multiLevelType w:val="hybridMultilevel"/>
    <w:tmpl w:val="A7667FD8"/>
    <w:lvl w:ilvl="0" w:tplc="DDE418B8">
      <w:start w:val="1"/>
      <w:numFmt w:val="bullet"/>
      <w:lvlText w:val="-"/>
      <w:lvlJc w:val="left"/>
      <w:pPr>
        <w:ind w:left="1287" w:hanging="360"/>
      </w:pPr>
      <w:rPr>
        <w:rFonts w:ascii="Times New Roman" w:eastAsia="Times New Roman" w:hAnsi="Times New Roman" w:cs="Times New Roman" w:hint="default"/>
      </w:rPr>
    </w:lvl>
    <w:lvl w:ilvl="1" w:tplc="8CDE90B2" w:tentative="1">
      <w:start w:val="1"/>
      <w:numFmt w:val="bullet"/>
      <w:lvlText w:val="o"/>
      <w:lvlJc w:val="left"/>
      <w:pPr>
        <w:ind w:left="2007" w:hanging="360"/>
      </w:pPr>
      <w:rPr>
        <w:rFonts w:ascii="Courier New" w:hAnsi="Courier New" w:cs="Courier New" w:hint="default"/>
      </w:rPr>
    </w:lvl>
    <w:lvl w:ilvl="2" w:tplc="67BCFA94" w:tentative="1">
      <w:start w:val="1"/>
      <w:numFmt w:val="bullet"/>
      <w:lvlText w:val=""/>
      <w:lvlJc w:val="left"/>
      <w:pPr>
        <w:ind w:left="2727" w:hanging="360"/>
      </w:pPr>
      <w:rPr>
        <w:rFonts w:ascii="Wingdings" w:hAnsi="Wingdings" w:hint="default"/>
      </w:rPr>
    </w:lvl>
    <w:lvl w:ilvl="3" w:tplc="9D4AC78C" w:tentative="1">
      <w:start w:val="1"/>
      <w:numFmt w:val="bullet"/>
      <w:lvlText w:val=""/>
      <w:lvlJc w:val="left"/>
      <w:pPr>
        <w:ind w:left="3447" w:hanging="360"/>
      </w:pPr>
      <w:rPr>
        <w:rFonts w:ascii="Symbol" w:hAnsi="Symbol" w:hint="default"/>
      </w:rPr>
    </w:lvl>
    <w:lvl w:ilvl="4" w:tplc="CF00B034" w:tentative="1">
      <w:start w:val="1"/>
      <w:numFmt w:val="bullet"/>
      <w:lvlText w:val="o"/>
      <w:lvlJc w:val="left"/>
      <w:pPr>
        <w:ind w:left="4167" w:hanging="360"/>
      </w:pPr>
      <w:rPr>
        <w:rFonts w:ascii="Courier New" w:hAnsi="Courier New" w:cs="Courier New" w:hint="default"/>
      </w:rPr>
    </w:lvl>
    <w:lvl w:ilvl="5" w:tplc="5380E104" w:tentative="1">
      <w:start w:val="1"/>
      <w:numFmt w:val="bullet"/>
      <w:lvlText w:val=""/>
      <w:lvlJc w:val="left"/>
      <w:pPr>
        <w:ind w:left="4887" w:hanging="360"/>
      </w:pPr>
      <w:rPr>
        <w:rFonts w:ascii="Wingdings" w:hAnsi="Wingdings" w:hint="default"/>
      </w:rPr>
    </w:lvl>
    <w:lvl w:ilvl="6" w:tplc="EBC82094" w:tentative="1">
      <w:start w:val="1"/>
      <w:numFmt w:val="bullet"/>
      <w:lvlText w:val=""/>
      <w:lvlJc w:val="left"/>
      <w:pPr>
        <w:ind w:left="5607" w:hanging="360"/>
      </w:pPr>
      <w:rPr>
        <w:rFonts w:ascii="Symbol" w:hAnsi="Symbol" w:hint="default"/>
      </w:rPr>
    </w:lvl>
    <w:lvl w:ilvl="7" w:tplc="2C620D90" w:tentative="1">
      <w:start w:val="1"/>
      <w:numFmt w:val="bullet"/>
      <w:lvlText w:val="o"/>
      <w:lvlJc w:val="left"/>
      <w:pPr>
        <w:ind w:left="6327" w:hanging="360"/>
      </w:pPr>
      <w:rPr>
        <w:rFonts w:ascii="Courier New" w:hAnsi="Courier New" w:cs="Courier New" w:hint="default"/>
      </w:rPr>
    </w:lvl>
    <w:lvl w:ilvl="8" w:tplc="B28C496A" w:tentative="1">
      <w:start w:val="1"/>
      <w:numFmt w:val="bullet"/>
      <w:lvlText w:val=""/>
      <w:lvlJc w:val="left"/>
      <w:pPr>
        <w:ind w:left="7047" w:hanging="360"/>
      </w:pPr>
      <w:rPr>
        <w:rFonts w:ascii="Wingdings" w:hAnsi="Wingdings" w:hint="default"/>
      </w:rPr>
    </w:lvl>
  </w:abstractNum>
  <w:abstractNum w:abstractNumId="71" w15:restartNumberingAfterBreak="0">
    <w:nsid w:val="37A74AB4"/>
    <w:multiLevelType w:val="hybridMultilevel"/>
    <w:tmpl w:val="52A4D73E"/>
    <w:lvl w:ilvl="0" w:tplc="35C41A9E">
      <w:start w:val="1"/>
      <w:numFmt w:val="bullet"/>
      <w:lvlText w:val=""/>
      <w:lvlJc w:val="left"/>
      <w:pPr>
        <w:ind w:left="1080" w:hanging="360"/>
      </w:pPr>
      <w:rPr>
        <w:rFonts w:ascii="Symbol" w:hAnsi="Symbol" w:hint="default"/>
      </w:rPr>
    </w:lvl>
    <w:lvl w:ilvl="1" w:tplc="5D90BFC8" w:tentative="1">
      <w:start w:val="1"/>
      <w:numFmt w:val="lowerLetter"/>
      <w:lvlText w:val="%2."/>
      <w:lvlJc w:val="left"/>
      <w:pPr>
        <w:ind w:left="1800" w:hanging="360"/>
      </w:pPr>
    </w:lvl>
    <w:lvl w:ilvl="2" w:tplc="F29CF45A" w:tentative="1">
      <w:start w:val="1"/>
      <w:numFmt w:val="lowerRoman"/>
      <w:lvlText w:val="%3."/>
      <w:lvlJc w:val="right"/>
      <w:pPr>
        <w:ind w:left="2520" w:hanging="180"/>
      </w:pPr>
    </w:lvl>
    <w:lvl w:ilvl="3" w:tplc="C7DCE7DE" w:tentative="1">
      <w:start w:val="1"/>
      <w:numFmt w:val="decimal"/>
      <w:lvlText w:val="%4."/>
      <w:lvlJc w:val="left"/>
      <w:pPr>
        <w:ind w:left="3240" w:hanging="360"/>
      </w:pPr>
    </w:lvl>
    <w:lvl w:ilvl="4" w:tplc="ED2C7872" w:tentative="1">
      <w:start w:val="1"/>
      <w:numFmt w:val="lowerLetter"/>
      <w:lvlText w:val="%5."/>
      <w:lvlJc w:val="left"/>
      <w:pPr>
        <w:ind w:left="3960" w:hanging="360"/>
      </w:pPr>
    </w:lvl>
    <w:lvl w:ilvl="5" w:tplc="4866F1F0" w:tentative="1">
      <w:start w:val="1"/>
      <w:numFmt w:val="lowerRoman"/>
      <w:lvlText w:val="%6."/>
      <w:lvlJc w:val="right"/>
      <w:pPr>
        <w:ind w:left="4680" w:hanging="180"/>
      </w:pPr>
    </w:lvl>
    <w:lvl w:ilvl="6" w:tplc="12BE8770" w:tentative="1">
      <w:start w:val="1"/>
      <w:numFmt w:val="decimal"/>
      <w:lvlText w:val="%7."/>
      <w:lvlJc w:val="left"/>
      <w:pPr>
        <w:ind w:left="5400" w:hanging="360"/>
      </w:pPr>
    </w:lvl>
    <w:lvl w:ilvl="7" w:tplc="4D7C0E06" w:tentative="1">
      <w:start w:val="1"/>
      <w:numFmt w:val="lowerLetter"/>
      <w:lvlText w:val="%8."/>
      <w:lvlJc w:val="left"/>
      <w:pPr>
        <w:ind w:left="6120" w:hanging="360"/>
      </w:pPr>
    </w:lvl>
    <w:lvl w:ilvl="8" w:tplc="3828B09A" w:tentative="1">
      <w:start w:val="1"/>
      <w:numFmt w:val="lowerRoman"/>
      <w:lvlText w:val="%9."/>
      <w:lvlJc w:val="right"/>
      <w:pPr>
        <w:ind w:left="6840" w:hanging="180"/>
      </w:pPr>
    </w:lvl>
  </w:abstractNum>
  <w:abstractNum w:abstractNumId="72" w15:restartNumberingAfterBreak="0">
    <w:nsid w:val="37C95AF1"/>
    <w:multiLevelType w:val="multilevel"/>
    <w:tmpl w:val="2598B4C8"/>
    <w:lvl w:ilvl="0">
      <w:start w:val="1"/>
      <w:numFmt w:val="decimal"/>
      <w:lvlText w:val="%1."/>
      <w:lvlJc w:val="left"/>
      <w:pPr>
        <w:tabs>
          <w:tab w:val="num" w:pos="643"/>
        </w:tabs>
        <w:ind w:left="643" w:hanging="360"/>
      </w:pPr>
      <w:rPr>
        <w:b w:val="0"/>
        <w:bCs w:val="0"/>
      </w:rPr>
    </w:lvl>
    <w:lvl w:ilvl="1">
      <w:start w:val="6"/>
      <w:numFmt w:val="decimal"/>
      <w:lvlText w:val="%2"/>
      <w:lvlJc w:val="left"/>
      <w:pPr>
        <w:ind w:left="1440" w:hanging="360"/>
      </w:pPr>
      <w:rPr>
        <w:rFonts w:hint="default"/>
      </w:rPr>
    </w:lvl>
    <w:lvl w:ilvl="2">
      <w:start w:val="1"/>
      <w:numFmt w:val="decimal"/>
      <w:lvlText w:val="%3."/>
      <w:lvlJc w:val="left"/>
      <w:pPr>
        <w:tabs>
          <w:tab w:val="num" w:pos="2160"/>
        </w:tabs>
        <w:ind w:left="2160" w:hanging="360"/>
      </w:pPr>
    </w:lvl>
    <w:lvl w:ilvl="3">
      <w:start w:val="1"/>
      <w:numFmt w:val="lowerLetter"/>
      <w:lvlText w:val="%4)"/>
      <w:lvlJc w:val="left"/>
      <w:pPr>
        <w:ind w:left="2880" w:hanging="360"/>
      </w:pPr>
      <w:rPr>
        <w:rFonts w:hint="default"/>
        <w:b/>
        <w:bCs w:val="0"/>
        <w:u w:val="none"/>
      </w:rPr>
    </w:lvl>
    <w:lvl w:ilvl="4">
      <w:start w:val="1"/>
      <w:numFmt w:val="lowerRoman"/>
      <w:lvlText w:val="%5."/>
      <w:lvlJc w:val="left"/>
      <w:pPr>
        <w:ind w:left="3839" w:hanging="720"/>
      </w:pPr>
      <w:rPr>
        <w:rFonts w:ascii="Arial" w:hAnsi="Arial" w:cs="Arial" w:hint="default"/>
        <w:b w:val="0"/>
        <w:bCs w:val="0"/>
        <w:i/>
        <w:iCs/>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39344AD2"/>
    <w:multiLevelType w:val="hybridMultilevel"/>
    <w:tmpl w:val="8DA469B8"/>
    <w:lvl w:ilvl="0" w:tplc="C84C8B08">
      <w:start w:val="1"/>
      <w:numFmt w:val="lowerRoman"/>
      <w:lvlText w:val="%1."/>
      <w:lvlJc w:val="left"/>
      <w:pPr>
        <w:ind w:left="720" w:hanging="360"/>
      </w:pPr>
      <w:rPr>
        <w:rFonts w:hint="default"/>
      </w:rPr>
    </w:lvl>
    <w:lvl w:ilvl="1" w:tplc="2B7E03E0" w:tentative="1">
      <w:start w:val="1"/>
      <w:numFmt w:val="lowerLetter"/>
      <w:lvlText w:val="%2."/>
      <w:lvlJc w:val="left"/>
      <w:pPr>
        <w:ind w:left="1440" w:hanging="360"/>
      </w:pPr>
    </w:lvl>
    <w:lvl w:ilvl="2" w:tplc="F05A7688" w:tentative="1">
      <w:start w:val="1"/>
      <w:numFmt w:val="lowerRoman"/>
      <w:lvlText w:val="%3."/>
      <w:lvlJc w:val="right"/>
      <w:pPr>
        <w:ind w:left="2160" w:hanging="180"/>
      </w:pPr>
    </w:lvl>
    <w:lvl w:ilvl="3" w:tplc="E5AC9F60" w:tentative="1">
      <w:start w:val="1"/>
      <w:numFmt w:val="decimal"/>
      <w:lvlText w:val="%4."/>
      <w:lvlJc w:val="left"/>
      <w:pPr>
        <w:ind w:left="2880" w:hanging="360"/>
      </w:pPr>
    </w:lvl>
    <w:lvl w:ilvl="4" w:tplc="CA50EC32" w:tentative="1">
      <w:start w:val="1"/>
      <w:numFmt w:val="lowerLetter"/>
      <w:lvlText w:val="%5."/>
      <w:lvlJc w:val="left"/>
      <w:pPr>
        <w:ind w:left="3600" w:hanging="360"/>
      </w:pPr>
    </w:lvl>
    <w:lvl w:ilvl="5" w:tplc="DD70A364" w:tentative="1">
      <w:start w:val="1"/>
      <w:numFmt w:val="lowerRoman"/>
      <w:lvlText w:val="%6."/>
      <w:lvlJc w:val="right"/>
      <w:pPr>
        <w:ind w:left="4320" w:hanging="180"/>
      </w:pPr>
    </w:lvl>
    <w:lvl w:ilvl="6" w:tplc="C8DAF656" w:tentative="1">
      <w:start w:val="1"/>
      <w:numFmt w:val="decimal"/>
      <w:lvlText w:val="%7."/>
      <w:lvlJc w:val="left"/>
      <w:pPr>
        <w:ind w:left="5040" w:hanging="360"/>
      </w:pPr>
    </w:lvl>
    <w:lvl w:ilvl="7" w:tplc="F252DD52" w:tentative="1">
      <w:start w:val="1"/>
      <w:numFmt w:val="lowerLetter"/>
      <w:lvlText w:val="%8."/>
      <w:lvlJc w:val="left"/>
      <w:pPr>
        <w:ind w:left="5760" w:hanging="360"/>
      </w:pPr>
    </w:lvl>
    <w:lvl w:ilvl="8" w:tplc="457C3A78" w:tentative="1">
      <w:start w:val="1"/>
      <w:numFmt w:val="lowerRoman"/>
      <w:lvlText w:val="%9."/>
      <w:lvlJc w:val="right"/>
      <w:pPr>
        <w:ind w:left="6480" w:hanging="180"/>
      </w:pPr>
    </w:lvl>
  </w:abstractNum>
  <w:abstractNum w:abstractNumId="74" w15:restartNumberingAfterBreak="0">
    <w:nsid w:val="3AE64459"/>
    <w:multiLevelType w:val="hybridMultilevel"/>
    <w:tmpl w:val="8A56A46C"/>
    <w:lvl w:ilvl="0" w:tplc="3CB07820">
      <w:start w:val="1"/>
      <w:numFmt w:val="bullet"/>
      <w:lvlText w:val="-"/>
      <w:lvlJc w:val="left"/>
      <w:pPr>
        <w:ind w:left="1287" w:hanging="360"/>
      </w:pPr>
      <w:rPr>
        <w:rFonts w:ascii="Times New Roman" w:eastAsia="Times New Roman" w:hAnsi="Times New Roman" w:cs="Times New Roman" w:hint="default"/>
      </w:rPr>
    </w:lvl>
    <w:lvl w:ilvl="1" w:tplc="0114BC84" w:tentative="1">
      <w:start w:val="1"/>
      <w:numFmt w:val="bullet"/>
      <w:lvlText w:val="o"/>
      <w:lvlJc w:val="left"/>
      <w:pPr>
        <w:ind w:left="2007" w:hanging="360"/>
      </w:pPr>
      <w:rPr>
        <w:rFonts w:ascii="Courier New" w:hAnsi="Courier New" w:cs="Courier New" w:hint="default"/>
      </w:rPr>
    </w:lvl>
    <w:lvl w:ilvl="2" w:tplc="8FDC7AFE" w:tentative="1">
      <w:start w:val="1"/>
      <w:numFmt w:val="bullet"/>
      <w:lvlText w:val=""/>
      <w:lvlJc w:val="left"/>
      <w:pPr>
        <w:ind w:left="2727" w:hanging="360"/>
      </w:pPr>
      <w:rPr>
        <w:rFonts w:ascii="Wingdings" w:hAnsi="Wingdings" w:hint="default"/>
      </w:rPr>
    </w:lvl>
    <w:lvl w:ilvl="3" w:tplc="DAC66520" w:tentative="1">
      <w:start w:val="1"/>
      <w:numFmt w:val="bullet"/>
      <w:lvlText w:val=""/>
      <w:lvlJc w:val="left"/>
      <w:pPr>
        <w:ind w:left="3447" w:hanging="360"/>
      </w:pPr>
      <w:rPr>
        <w:rFonts w:ascii="Symbol" w:hAnsi="Symbol" w:hint="default"/>
      </w:rPr>
    </w:lvl>
    <w:lvl w:ilvl="4" w:tplc="E6D6647E" w:tentative="1">
      <w:start w:val="1"/>
      <w:numFmt w:val="bullet"/>
      <w:lvlText w:val="o"/>
      <w:lvlJc w:val="left"/>
      <w:pPr>
        <w:ind w:left="4167" w:hanging="360"/>
      </w:pPr>
      <w:rPr>
        <w:rFonts w:ascii="Courier New" w:hAnsi="Courier New" w:cs="Courier New" w:hint="default"/>
      </w:rPr>
    </w:lvl>
    <w:lvl w:ilvl="5" w:tplc="A6929C4A" w:tentative="1">
      <w:start w:val="1"/>
      <w:numFmt w:val="bullet"/>
      <w:lvlText w:val=""/>
      <w:lvlJc w:val="left"/>
      <w:pPr>
        <w:ind w:left="4887" w:hanging="360"/>
      </w:pPr>
      <w:rPr>
        <w:rFonts w:ascii="Wingdings" w:hAnsi="Wingdings" w:hint="default"/>
      </w:rPr>
    </w:lvl>
    <w:lvl w:ilvl="6" w:tplc="69B4BFFC" w:tentative="1">
      <w:start w:val="1"/>
      <w:numFmt w:val="bullet"/>
      <w:lvlText w:val=""/>
      <w:lvlJc w:val="left"/>
      <w:pPr>
        <w:ind w:left="5607" w:hanging="360"/>
      </w:pPr>
      <w:rPr>
        <w:rFonts w:ascii="Symbol" w:hAnsi="Symbol" w:hint="default"/>
      </w:rPr>
    </w:lvl>
    <w:lvl w:ilvl="7" w:tplc="98D0F304" w:tentative="1">
      <w:start w:val="1"/>
      <w:numFmt w:val="bullet"/>
      <w:lvlText w:val="o"/>
      <w:lvlJc w:val="left"/>
      <w:pPr>
        <w:ind w:left="6327" w:hanging="360"/>
      </w:pPr>
      <w:rPr>
        <w:rFonts w:ascii="Courier New" w:hAnsi="Courier New" w:cs="Courier New" w:hint="default"/>
      </w:rPr>
    </w:lvl>
    <w:lvl w:ilvl="8" w:tplc="99F4AE18" w:tentative="1">
      <w:start w:val="1"/>
      <w:numFmt w:val="bullet"/>
      <w:lvlText w:val=""/>
      <w:lvlJc w:val="left"/>
      <w:pPr>
        <w:ind w:left="7047" w:hanging="360"/>
      </w:pPr>
      <w:rPr>
        <w:rFonts w:ascii="Wingdings" w:hAnsi="Wingdings" w:hint="default"/>
      </w:rPr>
    </w:lvl>
  </w:abstractNum>
  <w:abstractNum w:abstractNumId="75" w15:restartNumberingAfterBreak="0">
    <w:nsid w:val="3AF57B02"/>
    <w:multiLevelType w:val="hybridMultilevel"/>
    <w:tmpl w:val="41E20382"/>
    <w:lvl w:ilvl="0" w:tplc="6C8CB576">
      <w:start w:val="1"/>
      <w:numFmt w:val="lowerLetter"/>
      <w:lvlText w:val="%1)"/>
      <w:lvlJc w:val="left"/>
      <w:pPr>
        <w:ind w:left="1230" w:hanging="360"/>
      </w:pPr>
      <w:rPr>
        <w:rFonts w:hint="default"/>
      </w:rPr>
    </w:lvl>
    <w:lvl w:ilvl="1" w:tplc="F73E8C04" w:tentative="1">
      <w:start w:val="1"/>
      <w:numFmt w:val="lowerLetter"/>
      <w:lvlText w:val="%2."/>
      <w:lvlJc w:val="left"/>
      <w:pPr>
        <w:ind w:left="1950" w:hanging="360"/>
      </w:pPr>
    </w:lvl>
    <w:lvl w:ilvl="2" w:tplc="16F65ABE" w:tentative="1">
      <w:start w:val="1"/>
      <w:numFmt w:val="lowerRoman"/>
      <w:lvlText w:val="%3."/>
      <w:lvlJc w:val="right"/>
      <w:pPr>
        <w:ind w:left="2670" w:hanging="180"/>
      </w:pPr>
    </w:lvl>
    <w:lvl w:ilvl="3" w:tplc="9932788E" w:tentative="1">
      <w:start w:val="1"/>
      <w:numFmt w:val="decimal"/>
      <w:lvlText w:val="%4."/>
      <w:lvlJc w:val="left"/>
      <w:pPr>
        <w:ind w:left="3390" w:hanging="360"/>
      </w:pPr>
    </w:lvl>
    <w:lvl w:ilvl="4" w:tplc="423C43D8" w:tentative="1">
      <w:start w:val="1"/>
      <w:numFmt w:val="lowerLetter"/>
      <w:lvlText w:val="%5."/>
      <w:lvlJc w:val="left"/>
      <w:pPr>
        <w:ind w:left="4110" w:hanging="360"/>
      </w:pPr>
    </w:lvl>
    <w:lvl w:ilvl="5" w:tplc="24A2D4B6" w:tentative="1">
      <w:start w:val="1"/>
      <w:numFmt w:val="lowerRoman"/>
      <w:lvlText w:val="%6."/>
      <w:lvlJc w:val="right"/>
      <w:pPr>
        <w:ind w:left="4830" w:hanging="180"/>
      </w:pPr>
    </w:lvl>
    <w:lvl w:ilvl="6" w:tplc="ED0EC6B4" w:tentative="1">
      <w:start w:val="1"/>
      <w:numFmt w:val="decimal"/>
      <w:lvlText w:val="%7."/>
      <w:lvlJc w:val="left"/>
      <w:pPr>
        <w:ind w:left="5550" w:hanging="360"/>
      </w:pPr>
    </w:lvl>
    <w:lvl w:ilvl="7" w:tplc="8892F144" w:tentative="1">
      <w:start w:val="1"/>
      <w:numFmt w:val="lowerLetter"/>
      <w:lvlText w:val="%8."/>
      <w:lvlJc w:val="left"/>
      <w:pPr>
        <w:ind w:left="6270" w:hanging="360"/>
      </w:pPr>
    </w:lvl>
    <w:lvl w:ilvl="8" w:tplc="44A4AA28" w:tentative="1">
      <w:start w:val="1"/>
      <w:numFmt w:val="lowerRoman"/>
      <w:lvlText w:val="%9."/>
      <w:lvlJc w:val="right"/>
      <w:pPr>
        <w:ind w:left="6990" w:hanging="180"/>
      </w:pPr>
    </w:lvl>
  </w:abstractNum>
  <w:abstractNum w:abstractNumId="76" w15:restartNumberingAfterBreak="0">
    <w:nsid w:val="3DE073A7"/>
    <w:multiLevelType w:val="multilevel"/>
    <w:tmpl w:val="9DA6576C"/>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decimal"/>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rPr>
    </w:lvl>
    <w:lvl w:ilvl="5">
      <w:start w:val="1"/>
      <w:numFmt w:val="lowerLetter"/>
      <w:lvlText w:val="%6)"/>
      <w:lvlJc w:val="left"/>
      <w:pPr>
        <w:ind w:left="4320" w:hanging="360"/>
      </w:pPr>
      <w:rPr>
        <w:rFonts w:hint="default"/>
        <w:b/>
        <w:bCs/>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3E9A6818"/>
    <w:multiLevelType w:val="hybridMultilevel"/>
    <w:tmpl w:val="250E11DC"/>
    <w:lvl w:ilvl="0" w:tplc="E17CCCE0">
      <w:start w:val="1"/>
      <w:numFmt w:val="decimal"/>
      <w:lvlText w:val="%1."/>
      <w:lvlJc w:val="left"/>
      <w:pPr>
        <w:ind w:left="1080" w:hanging="720"/>
      </w:pPr>
      <w:rPr>
        <w:rFonts w:hint="default"/>
        <w:sz w:val="24"/>
      </w:rPr>
    </w:lvl>
    <w:lvl w:ilvl="1" w:tplc="4FE6BE22" w:tentative="1">
      <w:start w:val="1"/>
      <w:numFmt w:val="lowerLetter"/>
      <w:lvlText w:val="%2."/>
      <w:lvlJc w:val="left"/>
      <w:pPr>
        <w:ind w:left="1440" w:hanging="360"/>
      </w:pPr>
    </w:lvl>
    <w:lvl w:ilvl="2" w:tplc="D2CC7AAC" w:tentative="1">
      <w:start w:val="1"/>
      <w:numFmt w:val="lowerRoman"/>
      <w:lvlText w:val="%3."/>
      <w:lvlJc w:val="right"/>
      <w:pPr>
        <w:ind w:left="2160" w:hanging="180"/>
      </w:pPr>
    </w:lvl>
    <w:lvl w:ilvl="3" w:tplc="859065A6" w:tentative="1">
      <w:start w:val="1"/>
      <w:numFmt w:val="decimal"/>
      <w:lvlText w:val="%4."/>
      <w:lvlJc w:val="left"/>
      <w:pPr>
        <w:ind w:left="2880" w:hanging="360"/>
      </w:pPr>
    </w:lvl>
    <w:lvl w:ilvl="4" w:tplc="1CDA52F8" w:tentative="1">
      <w:start w:val="1"/>
      <w:numFmt w:val="lowerLetter"/>
      <w:lvlText w:val="%5."/>
      <w:lvlJc w:val="left"/>
      <w:pPr>
        <w:ind w:left="3600" w:hanging="360"/>
      </w:pPr>
    </w:lvl>
    <w:lvl w:ilvl="5" w:tplc="570E1492" w:tentative="1">
      <w:start w:val="1"/>
      <w:numFmt w:val="lowerRoman"/>
      <w:lvlText w:val="%6."/>
      <w:lvlJc w:val="right"/>
      <w:pPr>
        <w:ind w:left="4320" w:hanging="180"/>
      </w:pPr>
    </w:lvl>
    <w:lvl w:ilvl="6" w:tplc="810E948A" w:tentative="1">
      <w:start w:val="1"/>
      <w:numFmt w:val="decimal"/>
      <w:lvlText w:val="%7."/>
      <w:lvlJc w:val="left"/>
      <w:pPr>
        <w:ind w:left="5040" w:hanging="360"/>
      </w:pPr>
    </w:lvl>
    <w:lvl w:ilvl="7" w:tplc="08E8F13C" w:tentative="1">
      <w:start w:val="1"/>
      <w:numFmt w:val="lowerLetter"/>
      <w:lvlText w:val="%8."/>
      <w:lvlJc w:val="left"/>
      <w:pPr>
        <w:ind w:left="5760" w:hanging="360"/>
      </w:pPr>
    </w:lvl>
    <w:lvl w:ilvl="8" w:tplc="4BF451E4" w:tentative="1">
      <w:start w:val="1"/>
      <w:numFmt w:val="lowerRoman"/>
      <w:lvlText w:val="%9."/>
      <w:lvlJc w:val="right"/>
      <w:pPr>
        <w:ind w:left="6480" w:hanging="180"/>
      </w:pPr>
    </w:lvl>
  </w:abstractNum>
  <w:abstractNum w:abstractNumId="78" w15:restartNumberingAfterBreak="0">
    <w:nsid w:val="40CF7C66"/>
    <w:multiLevelType w:val="hybridMultilevel"/>
    <w:tmpl w:val="291A4BEA"/>
    <w:lvl w:ilvl="0" w:tplc="C820EB1E">
      <w:start w:val="1"/>
      <w:numFmt w:val="lowerRoman"/>
      <w:lvlText w:val="%1)"/>
      <w:lvlJc w:val="left"/>
      <w:pPr>
        <w:ind w:left="1004" w:hanging="720"/>
      </w:pPr>
      <w:rPr>
        <w:rFonts w:hint="default"/>
      </w:rPr>
    </w:lvl>
    <w:lvl w:ilvl="1" w:tplc="635AE318" w:tentative="1">
      <w:start w:val="1"/>
      <w:numFmt w:val="lowerLetter"/>
      <w:lvlText w:val="%2."/>
      <w:lvlJc w:val="left"/>
      <w:pPr>
        <w:ind w:left="1364" w:hanging="360"/>
      </w:pPr>
    </w:lvl>
    <w:lvl w:ilvl="2" w:tplc="BA0ABE8A" w:tentative="1">
      <w:start w:val="1"/>
      <w:numFmt w:val="lowerRoman"/>
      <w:lvlText w:val="%3."/>
      <w:lvlJc w:val="right"/>
      <w:pPr>
        <w:ind w:left="2084" w:hanging="180"/>
      </w:pPr>
    </w:lvl>
    <w:lvl w:ilvl="3" w:tplc="698A58E2" w:tentative="1">
      <w:start w:val="1"/>
      <w:numFmt w:val="decimal"/>
      <w:lvlText w:val="%4."/>
      <w:lvlJc w:val="left"/>
      <w:pPr>
        <w:ind w:left="2804" w:hanging="360"/>
      </w:pPr>
    </w:lvl>
    <w:lvl w:ilvl="4" w:tplc="4D983908" w:tentative="1">
      <w:start w:val="1"/>
      <w:numFmt w:val="lowerLetter"/>
      <w:lvlText w:val="%5."/>
      <w:lvlJc w:val="left"/>
      <w:pPr>
        <w:ind w:left="3524" w:hanging="360"/>
      </w:pPr>
    </w:lvl>
    <w:lvl w:ilvl="5" w:tplc="3D2E74B8" w:tentative="1">
      <w:start w:val="1"/>
      <w:numFmt w:val="lowerRoman"/>
      <w:lvlText w:val="%6."/>
      <w:lvlJc w:val="right"/>
      <w:pPr>
        <w:ind w:left="4244" w:hanging="180"/>
      </w:pPr>
    </w:lvl>
    <w:lvl w:ilvl="6" w:tplc="5998AD74" w:tentative="1">
      <w:start w:val="1"/>
      <w:numFmt w:val="decimal"/>
      <w:lvlText w:val="%7."/>
      <w:lvlJc w:val="left"/>
      <w:pPr>
        <w:ind w:left="4964" w:hanging="360"/>
      </w:pPr>
    </w:lvl>
    <w:lvl w:ilvl="7" w:tplc="E5E8B1DC" w:tentative="1">
      <w:start w:val="1"/>
      <w:numFmt w:val="lowerLetter"/>
      <w:lvlText w:val="%8."/>
      <w:lvlJc w:val="left"/>
      <w:pPr>
        <w:ind w:left="5684" w:hanging="360"/>
      </w:pPr>
    </w:lvl>
    <w:lvl w:ilvl="8" w:tplc="E84EBC28" w:tentative="1">
      <w:start w:val="1"/>
      <w:numFmt w:val="lowerRoman"/>
      <w:lvlText w:val="%9."/>
      <w:lvlJc w:val="right"/>
      <w:pPr>
        <w:ind w:left="6404" w:hanging="180"/>
      </w:pPr>
    </w:lvl>
  </w:abstractNum>
  <w:abstractNum w:abstractNumId="79" w15:restartNumberingAfterBreak="0">
    <w:nsid w:val="41117263"/>
    <w:multiLevelType w:val="hybridMultilevel"/>
    <w:tmpl w:val="19623766"/>
    <w:lvl w:ilvl="0" w:tplc="6874C678">
      <w:start w:val="1"/>
      <w:numFmt w:val="bullet"/>
      <w:lvlText w:val="-"/>
      <w:lvlJc w:val="left"/>
      <w:pPr>
        <w:ind w:left="2160" w:hanging="360"/>
      </w:pPr>
      <w:rPr>
        <w:rFonts w:ascii="Times New Roman" w:eastAsia="Times New Roman" w:hAnsi="Times New Roman" w:cs="Times New Roman" w:hint="default"/>
      </w:rPr>
    </w:lvl>
    <w:lvl w:ilvl="1" w:tplc="7C30DDAA" w:tentative="1">
      <w:start w:val="1"/>
      <w:numFmt w:val="bullet"/>
      <w:lvlText w:val="o"/>
      <w:lvlJc w:val="left"/>
      <w:pPr>
        <w:ind w:left="2880" w:hanging="360"/>
      </w:pPr>
      <w:rPr>
        <w:rFonts w:ascii="Courier New" w:hAnsi="Courier New" w:cs="Courier New" w:hint="default"/>
      </w:rPr>
    </w:lvl>
    <w:lvl w:ilvl="2" w:tplc="5BF8A5E2" w:tentative="1">
      <w:start w:val="1"/>
      <w:numFmt w:val="bullet"/>
      <w:lvlText w:val=""/>
      <w:lvlJc w:val="left"/>
      <w:pPr>
        <w:ind w:left="3600" w:hanging="360"/>
      </w:pPr>
      <w:rPr>
        <w:rFonts w:ascii="Wingdings" w:hAnsi="Wingdings" w:hint="default"/>
      </w:rPr>
    </w:lvl>
    <w:lvl w:ilvl="3" w:tplc="677A0ACA" w:tentative="1">
      <w:start w:val="1"/>
      <w:numFmt w:val="bullet"/>
      <w:lvlText w:val=""/>
      <w:lvlJc w:val="left"/>
      <w:pPr>
        <w:ind w:left="4320" w:hanging="360"/>
      </w:pPr>
      <w:rPr>
        <w:rFonts w:ascii="Symbol" w:hAnsi="Symbol" w:hint="default"/>
      </w:rPr>
    </w:lvl>
    <w:lvl w:ilvl="4" w:tplc="2C3AFA94" w:tentative="1">
      <w:start w:val="1"/>
      <w:numFmt w:val="bullet"/>
      <w:lvlText w:val="o"/>
      <w:lvlJc w:val="left"/>
      <w:pPr>
        <w:ind w:left="5040" w:hanging="360"/>
      </w:pPr>
      <w:rPr>
        <w:rFonts w:ascii="Courier New" w:hAnsi="Courier New" w:cs="Courier New" w:hint="default"/>
      </w:rPr>
    </w:lvl>
    <w:lvl w:ilvl="5" w:tplc="A98E5044" w:tentative="1">
      <w:start w:val="1"/>
      <w:numFmt w:val="bullet"/>
      <w:lvlText w:val=""/>
      <w:lvlJc w:val="left"/>
      <w:pPr>
        <w:ind w:left="5760" w:hanging="360"/>
      </w:pPr>
      <w:rPr>
        <w:rFonts w:ascii="Wingdings" w:hAnsi="Wingdings" w:hint="default"/>
      </w:rPr>
    </w:lvl>
    <w:lvl w:ilvl="6" w:tplc="AF2A8A16" w:tentative="1">
      <w:start w:val="1"/>
      <w:numFmt w:val="bullet"/>
      <w:lvlText w:val=""/>
      <w:lvlJc w:val="left"/>
      <w:pPr>
        <w:ind w:left="6480" w:hanging="360"/>
      </w:pPr>
      <w:rPr>
        <w:rFonts w:ascii="Symbol" w:hAnsi="Symbol" w:hint="default"/>
      </w:rPr>
    </w:lvl>
    <w:lvl w:ilvl="7" w:tplc="04B4B03C" w:tentative="1">
      <w:start w:val="1"/>
      <w:numFmt w:val="bullet"/>
      <w:lvlText w:val="o"/>
      <w:lvlJc w:val="left"/>
      <w:pPr>
        <w:ind w:left="7200" w:hanging="360"/>
      </w:pPr>
      <w:rPr>
        <w:rFonts w:ascii="Courier New" w:hAnsi="Courier New" w:cs="Courier New" w:hint="default"/>
      </w:rPr>
    </w:lvl>
    <w:lvl w:ilvl="8" w:tplc="73EA6B46" w:tentative="1">
      <w:start w:val="1"/>
      <w:numFmt w:val="bullet"/>
      <w:lvlText w:val=""/>
      <w:lvlJc w:val="left"/>
      <w:pPr>
        <w:ind w:left="7920" w:hanging="360"/>
      </w:pPr>
      <w:rPr>
        <w:rFonts w:ascii="Wingdings" w:hAnsi="Wingdings" w:hint="default"/>
      </w:rPr>
    </w:lvl>
  </w:abstractNum>
  <w:abstractNum w:abstractNumId="80" w15:restartNumberingAfterBreak="0">
    <w:nsid w:val="41127EAC"/>
    <w:multiLevelType w:val="multilevel"/>
    <w:tmpl w:val="CB98371A"/>
    <w:lvl w:ilvl="0">
      <w:start w:val="1"/>
      <w:numFmt w:val="bullet"/>
      <w:lvlText w:val=""/>
      <w:lvlJc w:val="left"/>
      <w:pPr>
        <w:tabs>
          <w:tab w:val="num" w:pos="720"/>
        </w:tabs>
        <w:ind w:left="720" w:hanging="360"/>
      </w:pPr>
      <w:rPr>
        <w:rFonts w:ascii="Symbol" w:hAnsi="Symbol" w:hint="default"/>
        <w:sz w:val="20"/>
      </w:rPr>
    </w:lvl>
    <w:lvl w:ilvl="1">
      <w:start w:val="2"/>
      <w:numFmt w:val="lowerLetter"/>
      <w:lvlText w:val="%2)"/>
      <w:lvlJc w:val="left"/>
      <w:pPr>
        <w:ind w:left="1440" w:hanging="360"/>
      </w:pPr>
      <w:rPr>
        <w:rFonts w:ascii="Arial" w:hAnsi="Arial" w:cs="Arial" w:hint="default"/>
      </w:rPr>
    </w:lvl>
    <w:lvl w:ilvl="2">
      <w:start w:val="6"/>
      <w:numFmt w:val="lowerRoman"/>
      <w:lvlText w:val="%3)"/>
      <w:lvlJc w:val="left"/>
      <w:pPr>
        <w:ind w:left="2520" w:hanging="720"/>
      </w:pPr>
      <w:rPr>
        <w:rFonts w:hint="default"/>
      </w:rPr>
    </w:lvl>
    <w:lvl w:ilvl="3">
      <w:start w:val="6"/>
      <w:numFmt w:val="upperRoman"/>
      <w:lvlText w:val="%4)"/>
      <w:lvlJc w:val="left"/>
      <w:pPr>
        <w:ind w:left="3240" w:hanging="720"/>
      </w:pPr>
      <w:rPr>
        <w:rFonts w:hint="default"/>
        <w:b/>
        <w:i/>
      </w:rPr>
    </w:lvl>
    <w:lvl w:ilvl="4">
      <w:start w:val="13"/>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3972DA8"/>
    <w:multiLevelType w:val="multilevel"/>
    <w:tmpl w:val="B1E8BE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3AB3FFB"/>
    <w:multiLevelType w:val="multilevel"/>
    <w:tmpl w:val="906025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43E20107"/>
    <w:multiLevelType w:val="hybridMultilevel"/>
    <w:tmpl w:val="3B161488"/>
    <w:lvl w:ilvl="0" w:tplc="91D05A2C">
      <w:start w:val="1"/>
      <w:numFmt w:val="bullet"/>
      <w:lvlText w:val="-"/>
      <w:lvlJc w:val="left"/>
      <w:pPr>
        <w:ind w:left="1287" w:hanging="360"/>
      </w:pPr>
      <w:rPr>
        <w:rFonts w:ascii="Times New Roman" w:eastAsia="Times New Roman" w:hAnsi="Times New Roman" w:cs="Times New Roman" w:hint="default"/>
      </w:rPr>
    </w:lvl>
    <w:lvl w:ilvl="1" w:tplc="AF2805B6" w:tentative="1">
      <w:start w:val="1"/>
      <w:numFmt w:val="bullet"/>
      <w:lvlText w:val="o"/>
      <w:lvlJc w:val="left"/>
      <w:pPr>
        <w:ind w:left="2007" w:hanging="360"/>
      </w:pPr>
      <w:rPr>
        <w:rFonts w:ascii="Courier New" w:hAnsi="Courier New" w:cs="Courier New" w:hint="default"/>
      </w:rPr>
    </w:lvl>
    <w:lvl w:ilvl="2" w:tplc="846A7520" w:tentative="1">
      <w:start w:val="1"/>
      <w:numFmt w:val="bullet"/>
      <w:lvlText w:val=""/>
      <w:lvlJc w:val="left"/>
      <w:pPr>
        <w:ind w:left="2727" w:hanging="360"/>
      </w:pPr>
      <w:rPr>
        <w:rFonts w:ascii="Wingdings" w:hAnsi="Wingdings" w:hint="default"/>
      </w:rPr>
    </w:lvl>
    <w:lvl w:ilvl="3" w:tplc="A7888FF0" w:tentative="1">
      <w:start w:val="1"/>
      <w:numFmt w:val="bullet"/>
      <w:lvlText w:val=""/>
      <w:lvlJc w:val="left"/>
      <w:pPr>
        <w:ind w:left="3447" w:hanging="360"/>
      </w:pPr>
      <w:rPr>
        <w:rFonts w:ascii="Symbol" w:hAnsi="Symbol" w:hint="default"/>
      </w:rPr>
    </w:lvl>
    <w:lvl w:ilvl="4" w:tplc="901042E6" w:tentative="1">
      <w:start w:val="1"/>
      <w:numFmt w:val="bullet"/>
      <w:lvlText w:val="o"/>
      <w:lvlJc w:val="left"/>
      <w:pPr>
        <w:ind w:left="4167" w:hanging="360"/>
      </w:pPr>
      <w:rPr>
        <w:rFonts w:ascii="Courier New" w:hAnsi="Courier New" w:cs="Courier New" w:hint="default"/>
      </w:rPr>
    </w:lvl>
    <w:lvl w:ilvl="5" w:tplc="C1D211C4" w:tentative="1">
      <w:start w:val="1"/>
      <w:numFmt w:val="bullet"/>
      <w:lvlText w:val=""/>
      <w:lvlJc w:val="left"/>
      <w:pPr>
        <w:ind w:left="4887" w:hanging="360"/>
      </w:pPr>
      <w:rPr>
        <w:rFonts w:ascii="Wingdings" w:hAnsi="Wingdings" w:hint="default"/>
      </w:rPr>
    </w:lvl>
    <w:lvl w:ilvl="6" w:tplc="08FE387E" w:tentative="1">
      <w:start w:val="1"/>
      <w:numFmt w:val="bullet"/>
      <w:lvlText w:val=""/>
      <w:lvlJc w:val="left"/>
      <w:pPr>
        <w:ind w:left="5607" w:hanging="360"/>
      </w:pPr>
      <w:rPr>
        <w:rFonts w:ascii="Symbol" w:hAnsi="Symbol" w:hint="default"/>
      </w:rPr>
    </w:lvl>
    <w:lvl w:ilvl="7" w:tplc="9C5617B6" w:tentative="1">
      <w:start w:val="1"/>
      <w:numFmt w:val="bullet"/>
      <w:lvlText w:val="o"/>
      <w:lvlJc w:val="left"/>
      <w:pPr>
        <w:ind w:left="6327" w:hanging="360"/>
      </w:pPr>
      <w:rPr>
        <w:rFonts w:ascii="Courier New" w:hAnsi="Courier New" w:cs="Courier New" w:hint="default"/>
      </w:rPr>
    </w:lvl>
    <w:lvl w:ilvl="8" w:tplc="1A020D20" w:tentative="1">
      <w:start w:val="1"/>
      <w:numFmt w:val="bullet"/>
      <w:lvlText w:val=""/>
      <w:lvlJc w:val="left"/>
      <w:pPr>
        <w:ind w:left="7047" w:hanging="360"/>
      </w:pPr>
      <w:rPr>
        <w:rFonts w:ascii="Wingdings" w:hAnsi="Wingdings" w:hint="default"/>
      </w:rPr>
    </w:lvl>
  </w:abstractNum>
  <w:abstractNum w:abstractNumId="84" w15:restartNumberingAfterBreak="0">
    <w:nsid w:val="44CC0B55"/>
    <w:multiLevelType w:val="hybridMultilevel"/>
    <w:tmpl w:val="CEE498B0"/>
    <w:lvl w:ilvl="0" w:tplc="51883C62">
      <w:start w:val="1"/>
      <w:numFmt w:val="bullet"/>
      <w:lvlText w:val="-"/>
      <w:lvlJc w:val="left"/>
      <w:pPr>
        <w:ind w:left="1287" w:hanging="360"/>
      </w:pPr>
      <w:rPr>
        <w:rFonts w:ascii="Times New Roman" w:eastAsia="Times New Roman" w:hAnsi="Times New Roman" w:cs="Times New Roman" w:hint="default"/>
      </w:rPr>
    </w:lvl>
    <w:lvl w:ilvl="1" w:tplc="01C2CB6E" w:tentative="1">
      <w:start w:val="1"/>
      <w:numFmt w:val="bullet"/>
      <w:lvlText w:val="o"/>
      <w:lvlJc w:val="left"/>
      <w:pPr>
        <w:ind w:left="2007" w:hanging="360"/>
      </w:pPr>
      <w:rPr>
        <w:rFonts w:ascii="Courier New" w:hAnsi="Courier New" w:cs="Courier New" w:hint="default"/>
      </w:rPr>
    </w:lvl>
    <w:lvl w:ilvl="2" w:tplc="C6646CD6" w:tentative="1">
      <w:start w:val="1"/>
      <w:numFmt w:val="bullet"/>
      <w:lvlText w:val=""/>
      <w:lvlJc w:val="left"/>
      <w:pPr>
        <w:ind w:left="2727" w:hanging="360"/>
      </w:pPr>
      <w:rPr>
        <w:rFonts w:ascii="Wingdings" w:hAnsi="Wingdings" w:hint="default"/>
      </w:rPr>
    </w:lvl>
    <w:lvl w:ilvl="3" w:tplc="D004AF58" w:tentative="1">
      <w:start w:val="1"/>
      <w:numFmt w:val="bullet"/>
      <w:lvlText w:val=""/>
      <w:lvlJc w:val="left"/>
      <w:pPr>
        <w:ind w:left="3447" w:hanging="360"/>
      </w:pPr>
      <w:rPr>
        <w:rFonts w:ascii="Symbol" w:hAnsi="Symbol" w:hint="default"/>
      </w:rPr>
    </w:lvl>
    <w:lvl w:ilvl="4" w:tplc="3B522152" w:tentative="1">
      <w:start w:val="1"/>
      <w:numFmt w:val="bullet"/>
      <w:lvlText w:val="o"/>
      <w:lvlJc w:val="left"/>
      <w:pPr>
        <w:ind w:left="4167" w:hanging="360"/>
      </w:pPr>
      <w:rPr>
        <w:rFonts w:ascii="Courier New" w:hAnsi="Courier New" w:cs="Courier New" w:hint="default"/>
      </w:rPr>
    </w:lvl>
    <w:lvl w:ilvl="5" w:tplc="92FE8560" w:tentative="1">
      <w:start w:val="1"/>
      <w:numFmt w:val="bullet"/>
      <w:lvlText w:val=""/>
      <w:lvlJc w:val="left"/>
      <w:pPr>
        <w:ind w:left="4887" w:hanging="360"/>
      </w:pPr>
      <w:rPr>
        <w:rFonts w:ascii="Wingdings" w:hAnsi="Wingdings" w:hint="default"/>
      </w:rPr>
    </w:lvl>
    <w:lvl w:ilvl="6" w:tplc="1674E97A" w:tentative="1">
      <w:start w:val="1"/>
      <w:numFmt w:val="bullet"/>
      <w:lvlText w:val=""/>
      <w:lvlJc w:val="left"/>
      <w:pPr>
        <w:ind w:left="5607" w:hanging="360"/>
      </w:pPr>
      <w:rPr>
        <w:rFonts w:ascii="Symbol" w:hAnsi="Symbol" w:hint="default"/>
      </w:rPr>
    </w:lvl>
    <w:lvl w:ilvl="7" w:tplc="8EC0D0B4" w:tentative="1">
      <w:start w:val="1"/>
      <w:numFmt w:val="bullet"/>
      <w:lvlText w:val="o"/>
      <w:lvlJc w:val="left"/>
      <w:pPr>
        <w:ind w:left="6327" w:hanging="360"/>
      </w:pPr>
      <w:rPr>
        <w:rFonts w:ascii="Courier New" w:hAnsi="Courier New" w:cs="Courier New" w:hint="default"/>
      </w:rPr>
    </w:lvl>
    <w:lvl w:ilvl="8" w:tplc="0A56D21C" w:tentative="1">
      <w:start w:val="1"/>
      <w:numFmt w:val="bullet"/>
      <w:lvlText w:val=""/>
      <w:lvlJc w:val="left"/>
      <w:pPr>
        <w:ind w:left="7047" w:hanging="360"/>
      </w:pPr>
      <w:rPr>
        <w:rFonts w:ascii="Wingdings" w:hAnsi="Wingdings" w:hint="default"/>
      </w:rPr>
    </w:lvl>
  </w:abstractNum>
  <w:abstractNum w:abstractNumId="85" w15:restartNumberingAfterBreak="0">
    <w:nsid w:val="4573003F"/>
    <w:multiLevelType w:val="multilevel"/>
    <w:tmpl w:val="7B0E339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ascii="Arial" w:hAnsi="Arial" w:cs="Arial" w:hint="default"/>
        <w:b/>
        <w:bCs/>
      </w:rPr>
    </w:lvl>
    <w:lvl w:ilvl="2">
      <w:start w:val="1"/>
      <w:numFmt w:val="upperRoman"/>
      <w:lvlText w:val="%3)"/>
      <w:lvlJc w:val="left"/>
      <w:pPr>
        <w:ind w:left="2520" w:hanging="720"/>
      </w:pPr>
      <w:rPr>
        <w:rFonts w:hint="default"/>
      </w:rPr>
    </w:lvl>
    <w:lvl w:ilvl="3">
      <w:start w:val="11"/>
      <w:numFmt w:val="upperLetter"/>
      <w:lvlText w:val="%4)"/>
      <w:lvlJc w:val="left"/>
      <w:pPr>
        <w:ind w:left="2880" w:hanging="360"/>
      </w:pPr>
      <w:rPr>
        <w:rFonts w:hint="default"/>
      </w:rPr>
    </w:lvl>
    <w:lvl w:ilvl="4">
      <w:start w:val="11"/>
      <w:numFmt w:val="lowerLetter"/>
      <w:lvlText w:val="%5."/>
      <w:lvlJc w:val="left"/>
      <w:pPr>
        <w:ind w:left="3600" w:hanging="360"/>
      </w:pPr>
      <w:rPr>
        <w:rFonts w:hint="default"/>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48121FE3"/>
    <w:multiLevelType w:val="hybridMultilevel"/>
    <w:tmpl w:val="746CB7F6"/>
    <w:lvl w:ilvl="0" w:tplc="22183D34">
      <w:start w:val="1"/>
      <w:numFmt w:val="upperLetter"/>
      <w:lvlText w:val="%1)"/>
      <w:lvlJc w:val="left"/>
      <w:pPr>
        <w:ind w:left="720" w:hanging="360"/>
      </w:pPr>
      <w:rPr>
        <w:rFonts w:hint="default"/>
      </w:rPr>
    </w:lvl>
    <w:lvl w:ilvl="1" w:tplc="673CD78A" w:tentative="1">
      <w:start w:val="1"/>
      <w:numFmt w:val="lowerLetter"/>
      <w:lvlText w:val="%2."/>
      <w:lvlJc w:val="left"/>
      <w:pPr>
        <w:ind w:left="1440" w:hanging="360"/>
      </w:pPr>
    </w:lvl>
    <w:lvl w:ilvl="2" w:tplc="4CD285F4" w:tentative="1">
      <w:start w:val="1"/>
      <w:numFmt w:val="lowerRoman"/>
      <w:lvlText w:val="%3."/>
      <w:lvlJc w:val="right"/>
      <w:pPr>
        <w:ind w:left="2160" w:hanging="180"/>
      </w:pPr>
    </w:lvl>
    <w:lvl w:ilvl="3" w:tplc="5DD66138" w:tentative="1">
      <w:start w:val="1"/>
      <w:numFmt w:val="decimal"/>
      <w:lvlText w:val="%4."/>
      <w:lvlJc w:val="left"/>
      <w:pPr>
        <w:ind w:left="2880" w:hanging="360"/>
      </w:pPr>
    </w:lvl>
    <w:lvl w:ilvl="4" w:tplc="14CC548A" w:tentative="1">
      <w:start w:val="1"/>
      <w:numFmt w:val="lowerLetter"/>
      <w:lvlText w:val="%5."/>
      <w:lvlJc w:val="left"/>
      <w:pPr>
        <w:ind w:left="3600" w:hanging="360"/>
      </w:pPr>
    </w:lvl>
    <w:lvl w:ilvl="5" w:tplc="BE1E014A" w:tentative="1">
      <w:start w:val="1"/>
      <w:numFmt w:val="lowerRoman"/>
      <w:lvlText w:val="%6."/>
      <w:lvlJc w:val="right"/>
      <w:pPr>
        <w:ind w:left="4320" w:hanging="180"/>
      </w:pPr>
    </w:lvl>
    <w:lvl w:ilvl="6" w:tplc="C03C6D4A" w:tentative="1">
      <w:start w:val="1"/>
      <w:numFmt w:val="decimal"/>
      <w:lvlText w:val="%7."/>
      <w:lvlJc w:val="left"/>
      <w:pPr>
        <w:ind w:left="5040" w:hanging="360"/>
      </w:pPr>
    </w:lvl>
    <w:lvl w:ilvl="7" w:tplc="3C16AA92" w:tentative="1">
      <w:start w:val="1"/>
      <w:numFmt w:val="lowerLetter"/>
      <w:lvlText w:val="%8."/>
      <w:lvlJc w:val="left"/>
      <w:pPr>
        <w:ind w:left="5760" w:hanging="360"/>
      </w:pPr>
    </w:lvl>
    <w:lvl w:ilvl="8" w:tplc="19704854" w:tentative="1">
      <w:start w:val="1"/>
      <w:numFmt w:val="lowerRoman"/>
      <w:lvlText w:val="%9."/>
      <w:lvlJc w:val="right"/>
      <w:pPr>
        <w:ind w:left="6480" w:hanging="180"/>
      </w:pPr>
    </w:lvl>
  </w:abstractNum>
  <w:abstractNum w:abstractNumId="87" w15:restartNumberingAfterBreak="0">
    <w:nsid w:val="4A3054DD"/>
    <w:multiLevelType w:val="hybridMultilevel"/>
    <w:tmpl w:val="9E2EDE40"/>
    <w:lvl w:ilvl="0" w:tplc="C9FEC75E">
      <w:start w:val="1"/>
      <w:numFmt w:val="bullet"/>
      <w:lvlText w:val="-"/>
      <w:lvlJc w:val="left"/>
      <w:pPr>
        <w:ind w:left="1004" w:hanging="360"/>
      </w:pPr>
      <w:rPr>
        <w:rFonts w:ascii="Arial" w:eastAsia="Times New Roman" w:hAnsi="Arial" w:cs="Arial" w:hint="default"/>
      </w:rPr>
    </w:lvl>
    <w:lvl w:ilvl="1" w:tplc="E0604190" w:tentative="1">
      <w:start w:val="1"/>
      <w:numFmt w:val="bullet"/>
      <w:lvlText w:val="o"/>
      <w:lvlJc w:val="left"/>
      <w:pPr>
        <w:ind w:left="1724" w:hanging="360"/>
      </w:pPr>
      <w:rPr>
        <w:rFonts w:ascii="Courier New" w:hAnsi="Courier New" w:cs="Courier New" w:hint="default"/>
      </w:rPr>
    </w:lvl>
    <w:lvl w:ilvl="2" w:tplc="90BE6F32" w:tentative="1">
      <w:start w:val="1"/>
      <w:numFmt w:val="bullet"/>
      <w:lvlText w:val=""/>
      <w:lvlJc w:val="left"/>
      <w:pPr>
        <w:ind w:left="2444" w:hanging="360"/>
      </w:pPr>
      <w:rPr>
        <w:rFonts w:ascii="Wingdings" w:hAnsi="Wingdings" w:hint="default"/>
      </w:rPr>
    </w:lvl>
    <w:lvl w:ilvl="3" w:tplc="59DA5AE8" w:tentative="1">
      <w:start w:val="1"/>
      <w:numFmt w:val="bullet"/>
      <w:lvlText w:val=""/>
      <w:lvlJc w:val="left"/>
      <w:pPr>
        <w:ind w:left="3164" w:hanging="360"/>
      </w:pPr>
      <w:rPr>
        <w:rFonts w:ascii="Symbol" w:hAnsi="Symbol" w:hint="default"/>
      </w:rPr>
    </w:lvl>
    <w:lvl w:ilvl="4" w:tplc="D604037C" w:tentative="1">
      <w:start w:val="1"/>
      <w:numFmt w:val="bullet"/>
      <w:lvlText w:val="o"/>
      <w:lvlJc w:val="left"/>
      <w:pPr>
        <w:ind w:left="3884" w:hanging="360"/>
      </w:pPr>
      <w:rPr>
        <w:rFonts w:ascii="Courier New" w:hAnsi="Courier New" w:cs="Courier New" w:hint="default"/>
      </w:rPr>
    </w:lvl>
    <w:lvl w:ilvl="5" w:tplc="EC3078F0" w:tentative="1">
      <w:start w:val="1"/>
      <w:numFmt w:val="bullet"/>
      <w:lvlText w:val=""/>
      <w:lvlJc w:val="left"/>
      <w:pPr>
        <w:ind w:left="4604" w:hanging="360"/>
      </w:pPr>
      <w:rPr>
        <w:rFonts w:ascii="Wingdings" w:hAnsi="Wingdings" w:hint="default"/>
      </w:rPr>
    </w:lvl>
    <w:lvl w:ilvl="6" w:tplc="2814F6F6" w:tentative="1">
      <w:start w:val="1"/>
      <w:numFmt w:val="bullet"/>
      <w:lvlText w:val=""/>
      <w:lvlJc w:val="left"/>
      <w:pPr>
        <w:ind w:left="5324" w:hanging="360"/>
      </w:pPr>
      <w:rPr>
        <w:rFonts w:ascii="Symbol" w:hAnsi="Symbol" w:hint="default"/>
      </w:rPr>
    </w:lvl>
    <w:lvl w:ilvl="7" w:tplc="FFE0F07A" w:tentative="1">
      <w:start w:val="1"/>
      <w:numFmt w:val="bullet"/>
      <w:lvlText w:val="o"/>
      <w:lvlJc w:val="left"/>
      <w:pPr>
        <w:ind w:left="6044" w:hanging="360"/>
      </w:pPr>
      <w:rPr>
        <w:rFonts w:ascii="Courier New" w:hAnsi="Courier New" w:cs="Courier New" w:hint="default"/>
      </w:rPr>
    </w:lvl>
    <w:lvl w:ilvl="8" w:tplc="2D78AFC8" w:tentative="1">
      <w:start w:val="1"/>
      <w:numFmt w:val="bullet"/>
      <w:lvlText w:val=""/>
      <w:lvlJc w:val="left"/>
      <w:pPr>
        <w:ind w:left="6764" w:hanging="360"/>
      </w:pPr>
      <w:rPr>
        <w:rFonts w:ascii="Wingdings" w:hAnsi="Wingdings" w:hint="default"/>
      </w:rPr>
    </w:lvl>
  </w:abstractNum>
  <w:abstractNum w:abstractNumId="88" w15:restartNumberingAfterBreak="0">
    <w:nsid w:val="4B931647"/>
    <w:multiLevelType w:val="hybridMultilevel"/>
    <w:tmpl w:val="4C8AA1E0"/>
    <w:lvl w:ilvl="0" w:tplc="B7D611D8">
      <w:start w:val="1"/>
      <w:numFmt w:val="lowerLetter"/>
      <w:lvlText w:val="%1)"/>
      <w:lvlJc w:val="left"/>
      <w:pPr>
        <w:ind w:left="720" w:hanging="360"/>
      </w:pPr>
      <w:rPr>
        <w:rFonts w:hint="default"/>
        <w:b/>
        <w:bCs/>
      </w:rPr>
    </w:lvl>
    <w:lvl w:ilvl="1" w:tplc="CAA236BC" w:tentative="1">
      <w:start w:val="1"/>
      <w:numFmt w:val="lowerLetter"/>
      <w:lvlText w:val="%2."/>
      <w:lvlJc w:val="left"/>
      <w:pPr>
        <w:ind w:left="1440" w:hanging="360"/>
      </w:pPr>
    </w:lvl>
    <w:lvl w:ilvl="2" w:tplc="55703946" w:tentative="1">
      <w:start w:val="1"/>
      <w:numFmt w:val="lowerRoman"/>
      <w:lvlText w:val="%3."/>
      <w:lvlJc w:val="right"/>
      <w:pPr>
        <w:ind w:left="2160" w:hanging="180"/>
      </w:pPr>
    </w:lvl>
    <w:lvl w:ilvl="3" w:tplc="901A9F1E" w:tentative="1">
      <w:start w:val="1"/>
      <w:numFmt w:val="decimal"/>
      <w:lvlText w:val="%4."/>
      <w:lvlJc w:val="left"/>
      <w:pPr>
        <w:ind w:left="2880" w:hanging="360"/>
      </w:pPr>
    </w:lvl>
    <w:lvl w:ilvl="4" w:tplc="E446DE60" w:tentative="1">
      <w:start w:val="1"/>
      <w:numFmt w:val="lowerLetter"/>
      <w:lvlText w:val="%5."/>
      <w:lvlJc w:val="left"/>
      <w:pPr>
        <w:ind w:left="3600" w:hanging="360"/>
      </w:pPr>
    </w:lvl>
    <w:lvl w:ilvl="5" w:tplc="8904D0AA" w:tentative="1">
      <w:start w:val="1"/>
      <w:numFmt w:val="lowerRoman"/>
      <w:lvlText w:val="%6."/>
      <w:lvlJc w:val="right"/>
      <w:pPr>
        <w:ind w:left="4320" w:hanging="180"/>
      </w:pPr>
    </w:lvl>
    <w:lvl w:ilvl="6" w:tplc="B32E7EB0" w:tentative="1">
      <w:start w:val="1"/>
      <w:numFmt w:val="decimal"/>
      <w:lvlText w:val="%7."/>
      <w:lvlJc w:val="left"/>
      <w:pPr>
        <w:ind w:left="5040" w:hanging="360"/>
      </w:pPr>
    </w:lvl>
    <w:lvl w:ilvl="7" w:tplc="942AB5F8" w:tentative="1">
      <w:start w:val="1"/>
      <w:numFmt w:val="lowerLetter"/>
      <w:lvlText w:val="%8."/>
      <w:lvlJc w:val="left"/>
      <w:pPr>
        <w:ind w:left="5760" w:hanging="360"/>
      </w:pPr>
    </w:lvl>
    <w:lvl w:ilvl="8" w:tplc="6690296A" w:tentative="1">
      <w:start w:val="1"/>
      <w:numFmt w:val="lowerRoman"/>
      <w:lvlText w:val="%9."/>
      <w:lvlJc w:val="right"/>
      <w:pPr>
        <w:ind w:left="6480" w:hanging="180"/>
      </w:pPr>
    </w:lvl>
  </w:abstractNum>
  <w:abstractNum w:abstractNumId="89" w15:restartNumberingAfterBreak="0">
    <w:nsid w:val="5020176D"/>
    <w:multiLevelType w:val="multilevel"/>
    <w:tmpl w:val="8454F6EC"/>
    <w:lvl w:ilvl="0">
      <w:start w:val="1"/>
      <w:numFmt w:val="bullet"/>
      <w:lvlText w:val=""/>
      <w:lvlJc w:val="left"/>
      <w:pPr>
        <w:tabs>
          <w:tab w:val="num" w:pos="720"/>
        </w:tabs>
        <w:ind w:left="720" w:hanging="360"/>
      </w:pPr>
      <w:rPr>
        <w:rFonts w:ascii="Symbol" w:hAnsi="Symbol" w:hint="default"/>
        <w:sz w:val="20"/>
      </w:rPr>
    </w:lvl>
    <w:lvl w:ilvl="1">
      <w:start w:val="73"/>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50AB675A"/>
    <w:multiLevelType w:val="hybridMultilevel"/>
    <w:tmpl w:val="794A92BE"/>
    <w:lvl w:ilvl="0" w:tplc="50E2635C">
      <w:start w:val="1"/>
      <w:numFmt w:val="bullet"/>
      <w:lvlText w:val="-"/>
      <w:lvlJc w:val="left"/>
      <w:pPr>
        <w:ind w:left="1571" w:hanging="360"/>
      </w:pPr>
      <w:rPr>
        <w:rFonts w:ascii="Times New Roman" w:eastAsia="Times New Roman" w:hAnsi="Times New Roman" w:cs="Times New Roman" w:hint="default"/>
      </w:rPr>
    </w:lvl>
    <w:lvl w:ilvl="1" w:tplc="2DFA2616" w:tentative="1">
      <w:start w:val="1"/>
      <w:numFmt w:val="bullet"/>
      <w:lvlText w:val="o"/>
      <w:lvlJc w:val="left"/>
      <w:pPr>
        <w:ind w:left="2291" w:hanging="360"/>
      </w:pPr>
      <w:rPr>
        <w:rFonts w:ascii="Courier New" w:hAnsi="Courier New" w:cs="Courier New" w:hint="default"/>
      </w:rPr>
    </w:lvl>
    <w:lvl w:ilvl="2" w:tplc="6EBEDEB4" w:tentative="1">
      <w:start w:val="1"/>
      <w:numFmt w:val="bullet"/>
      <w:lvlText w:val=""/>
      <w:lvlJc w:val="left"/>
      <w:pPr>
        <w:ind w:left="3011" w:hanging="360"/>
      </w:pPr>
      <w:rPr>
        <w:rFonts w:ascii="Wingdings" w:hAnsi="Wingdings" w:hint="default"/>
      </w:rPr>
    </w:lvl>
    <w:lvl w:ilvl="3" w:tplc="513A8D3C" w:tentative="1">
      <w:start w:val="1"/>
      <w:numFmt w:val="bullet"/>
      <w:lvlText w:val=""/>
      <w:lvlJc w:val="left"/>
      <w:pPr>
        <w:ind w:left="3731" w:hanging="360"/>
      </w:pPr>
      <w:rPr>
        <w:rFonts w:ascii="Symbol" w:hAnsi="Symbol" w:hint="default"/>
      </w:rPr>
    </w:lvl>
    <w:lvl w:ilvl="4" w:tplc="C46CE410" w:tentative="1">
      <w:start w:val="1"/>
      <w:numFmt w:val="bullet"/>
      <w:lvlText w:val="o"/>
      <w:lvlJc w:val="left"/>
      <w:pPr>
        <w:ind w:left="4451" w:hanging="360"/>
      </w:pPr>
      <w:rPr>
        <w:rFonts w:ascii="Courier New" w:hAnsi="Courier New" w:cs="Courier New" w:hint="default"/>
      </w:rPr>
    </w:lvl>
    <w:lvl w:ilvl="5" w:tplc="CE5E7616" w:tentative="1">
      <w:start w:val="1"/>
      <w:numFmt w:val="bullet"/>
      <w:lvlText w:val=""/>
      <w:lvlJc w:val="left"/>
      <w:pPr>
        <w:ind w:left="5171" w:hanging="360"/>
      </w:pPr>
      <w:rPr>
        <w:rFonts w:ascii="Wingdings" w:hAnsi="Wingdings" w:hint="default"/>
      </w:rPr>
    </w:lvl>
    <w:lvl w:ilvl="6" w:tplc="9EE2CA56" w:tentative="1">
      <w:start w:val="1"/>
      <w:numFmt w:val="bullet"/>
      <w:lvlText w:val=""/>
      <w:lvlJc w:val="left"/>
      <w:pPr>
        <w:ind w:left="5891" w:hanging="360"/>
      </w:pPr>
      <w:rPr>
        <w:rFonts w:ascii="Symbol" w:hAnsi="Symbol" w:hint="default"/>
      </w:rPr>
    </w:lvl>
    <w:lvl w:ilvl="7" w:tplc="D08E7A02" w:tentative="1">
      <w:start w:val="1"/>
      <w:numFmt w:val="bullet"/>
      <w:lvlText w:val="o"/>
      <w:lvlJc w:val="left"/>
      <w:pPr>
        <w:ind w:left="6611" w:hanging="360"/>
      </w:pPr>
      <w:rPr>
        <w:rFonts w:ascii="Courier New" w:hAnsi="Courier New" w:cs="Courier New" w:hint="default"/>
      </w:rPr>
    </w:lvl>
    <w:lvl w:ilvl="8" w:tplc="04686F40" w:tentative="1">
      <w:start w:val="1"/>
      <w:numFmt w:val="bullet"/>
      <w:lvlText w:val=""/>
      <w:lvlJc w:val="left"/>
      <w:pPr>
        <w:ind w:left="7331" w:hanging="360"/>
      </w:pPr>
      <w:rPr>
        <w:rFonts w:ascii="Wingdings" w:hAnsi="Wingdings" w:hint="default"/>
      </w:rPr>
    </w:lvl>
  </w:abstractNum>
  <w:abstractNum w:abstractNumId="91" w15:restartNumberingAfterBreak="0">
    <w:nsid w:val="50BA2DCE"/>
    <w:multiLevelType w:val="hybridMultilevel"/>
    <w:tmpl w:val="3300DDF2"/>
    <w:lvl w:ilvl="0" w:tplc="7ABE3E64">
      <w:start w:val="1"/>
      <w:numFmt w:val="lowerLetter"/>
      <w:lvlText w:val="%1)"/>
      <w:lvlJc w:val="left"/>
      <w:pPr>
        <w:ind w:left="1230" w:hanging="360"/>
      </w:pPr>
      <w:rPr>
        <w:rFonts w:hint="default"/>
      </w:rPr>
    </w:lvl>
    <w:lvl w:ilvl="1" w:tplc="E0BAC586" w:tentative="1">
      <w:start w:val="1"/>
      <w:numFmt w:val="lowerLetter"/>
      <w:lvlText w:val="%2."/>
      <w:lvlJc w:val="left"/>
      <w:pPr>
        <w:ind w:left="1950" w:hanging="360"/>
      </w:pPr>
    </w:lvl>
    <w:lvl w:ilvl="2" w:tplc="1F7EACB0" w:tentative="1">
      <w:start w:val="1"/>
      <w:numFmt w:val="lowerRoman"/>
      <w:lvlText w:val="%3."/>
      <w:lvlJc w:val="right"/>
      <w:pPr>
        <w:ind w:left="2670" w:hanging="180"/>
      </w:pPr>
    </w:lvl>
    <w:lvl w:ilvl="3" w:tplc="64326970" w:tentative="1">
      <w:start w:val="1"/>
      <w:numFmt w:val="decimal"/>
      <w:lvlText w:val="%4."/>
      <w:lvlJc w:val="left"/>
      <w:pPr>
        <w:ind w:left="3390" w:hanging="360"/>
      </w:pPr>
    </w:lvl>
    <w:lvl w:ilvl="4" w:tplc="78F49002" w:tentative="1">
      <w:start w:val="1"/>
      <w:numFmt w:val="lowerLetter"/>
      <w:lvlText w:val="%5."/>
      <w:lvlJc w:val="left"/>
      <w:pPr>
        <w:ind w:left="4110" w:hanging="360"/>
      </w:pPr>
    </w:lvl>
    <w:lvl w:ilvl="5" w:tplc="4080D604" w:tentative="1">
      <w:start w:val="1"/>
      <w:numFmt w:val="lowerRoman"/>
      <w:lvlText w:val="%6."/>
      <w:lvlJc w:val="right"/>
      <w:pPr>
        <w:ind w:left="4830" w:hanging="180"/>
      </w:pPr>
    </w:lvl>
    <w:lvl w:ilvl="6" w:tplc="123244AE" w:tentative="1">
      <w:start w:val="1"/>
      <w:numFmt w:val="decimal"/>
      <w:lvlText w:val="%7."/>
      <w:lvlJc w:val="left"/>
      <w:pPr>
        <w:ind w:left="5550" w:hanging="360"/>
      </w:pPr>
    </w:lvl>
    <w:lvl w:ilvl="7" w:tplc="4B962DB8" w:tentative="1">
      <w:start w:val="1"/>
      <w:numFmt w:val="lowerLetter"/>
      <w:lvlText w:val="%8."/>
      <w:lvlJc w:val="left"/>
      <w:pPr>
        <w:ind w:left="6270" w:hanging="360"/>
      </w:pPr>
    </w:lvl>
    <w:lvl w:ilvl="8" w:tplc="75CEFE62" w:tentative="1">
      <w:start w:val="1"/>
      <w:numFmt w:val="lowerRoman"/>
      <w:lvlText w:val="%9."/>
      <w:lvlJc w:val="right"/>
      <w:pPr>
        <w:ind w:left="6990" w:hanging="180"/>
      </w:pPr>
    </w:lvl>
  </w:abstractNum>
  <w:abstractNum w:abstractNumId="92" w15:restartNumberingAfterBreak="0">
    <w:nsid w:val="52346A78"/>
    <w:multiLevelType w:val="multilevel"/>
    <w:tmpl w:val="7986944A"/>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decimal"/>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rPr>
    </w:lvl>
    <w:lvl w:ilvl="5">
      <w:start w:val="1"/>
      <w:numFmt w:val="lowerLetter"/>
      <w:lvlText w:val="%6)"/>
      <w:lvlJc w:val="left"/>
      <w:pPr>
        <w:ind w:left="4320" w:hanging="360"/>
      </w:pPr>
      <w:rPr>
        <w:rFonts w:hint="default"/>
        <w:b/>
        <w:bCs/>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52E60117"/>
    <w:multiLevelType w:val="hybridMultilevel"/>
    <w:tmpl w:val="DCE2482E"/>
    <w:lvl w:ilvl="0" w:tplc="3D6E1532">
      <w:start w:val="1"/>
      <w:numFmt w:val="lowerRoman"/>
      <w:lvlText w:val="%1)"/>
      <w:lvlJc w:val="left"/>
      <w:pPr>
        <w:ind w:left="1080" w:hanging="720"/>
      </w:pPr>
      <w:rPr>
        <w:rFonts w:hint="default"/>
        <w:i/>
        <w:iCs/>
      </w:rPr>
    </w:lvl>
    <w:lvl w:ilvl="1" w:tplc="70AABF02" w:tentative="1">
      <w:start w:val="1"/>
      <w:numFmt w:val="lowerLetter"/>
      <w:lvlText w:val="%2."/>
      <w:lvlJc w:val="left"/>
      <w:pPr>
        <w:ind w:left="1440" w:hanging="360"/>
      </w:pPr>
    </w:lvl>
    <w:lvl w:ilvl="2" w:tplc="2B663352" w:tentative="1">
      <w:start w:val="1"/>
      <w:numFmt w:val="lowerRoman"/>
      <w:lvlText w:val="%3."/>
      <w:lvlJc w:val="right"/>
      <w:pPr>
        <w:ind w:left="2160" w:hanging="180"/>
      </w:pPr>
    </w:lvl>
    <w:lvl w:ilvl="3" w:tplc="25745C04" w:tentative="1">
      <w:start w:val="1"/>
      <w:numFmt w:val="decimal"/>
      <w:lvlText w:val="%4."/>
      <w:lvlJc w:val="left"/>
      <w:pPr>
        <w:ind w:left="2880" w:hanging="360"/>
      </w:pPr>
    </w:lvl>
    <w:lvl w:ilvl="4" w:tplc="6DF60744" w:tentative="1">
      <w:start w:val="1"/>
      <w:numFmt w:val="lowerLetter"/>
      <w:lvlText w:val="%5."/>
      <w:lvlJc w:val="left"/>
      <w:pPr>
        <w:ind w:left="3600" w:hanging="360"/>
      </w:pPr>
    </w:lvl>
    <w:lvl w:ilvl="5" w:tplc="010A1C86" w:tentative="1">
      <w:start w:val="1"/>
      <w:numFmt w:val="lowerRoman"/>
      <w:lvlText w:val="%6."/>
      <w:lvlJc w:val="right"/>
      <w:pPr>
        <w:ind w:left="4320" w:hanging="180"/>
      </w:pPr>
    </w:lvl>
    <w:lvl w:ilvl="6" w:tplc="8642FF1E" w:tentative="1">
      <w:start w:val="1"/>
      <w:numFmt w:val="decimal"/>
      <w:lvlText w:val="%7."/>
      <w:lvlJc w:val="left"/>
      <w:pPr>
        <w:ind w:left="5040" w:hanging="360"/>
      </w:pPr>
    </w:lvl>
    <w:lvl w:ilvl="7" w:tplc="C8FC1E0A" w:tentative="1">
      <w:start w:val="1"/>
      <w:numFmt w:val="lowerLetter"/>
      <w:lvlText w:val="%8."/>
      <w:lvlJc w:val="left"/>
      <w:pPr>
        <w:ind w:left="5760" w:hanging="360"/>
      </w:pPr>
    </w:lvl>
    <w:lvl w:ilvl="8" w:tplc="EFCC2ED6" w:tentative="1">
      <w:start w:val="1"/>
      <w:numFmt w:val="lowerRoman"/>
      <w:lvlText w:val="%9."/>
      <w:lvlJc w:val="right"/>
      <w:pPr>
        <w:ind w:left="6480" w:hanging="180"/>
      </w:pPr>
    </w:lvl>
  </w:abstractNum>
  <w:abstractNum w:abstractNumId="94" w15:restartNumberingAfterBreak="0">
    <w:nsid w:val="53900058"/>
    <w:multiLevelType w:val="multilevel"/>
    <w:tmpl w:val="0F64EE3E"/>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decimal"/>
      <w:lvlText w:val="%3."/>
      <w:lvlJc w:val="left"/>
      <w:pPr>
        <w:ind w:left="2160" w:hanging="360"/>
      </w:pPr>
      <w:rPr>
        <w:rFonts w:hint="default"/>
        <w:b/>
      </w:rPr>
    </w:lvl>
    <w:lvl w:ilvl="3">
      <w:start w:val="1"/>
      <w:numFmt w:val="lowerRoman"/>
      <w:lvlText w:val="%4."/>
      <w:lvlJc w:val="left"/>
      <w:pPr>
        <w:ind w:left="2880" w:hanging="360"/>
      </w:pPr>
      <w:rPr>
        <w:rFonts w:hint="default"/>
      </w:rPr>
    </w:lvl>
    <w:lvl w:ilvl="4">
      <w:start w:val="1"/>
      <w:numFmt w:val="lowerLetter"/>
      <w:lvlText w:val="%5)"/>
      <w:lvlJc w:val="left"/>
      <w:pPr>
        <w:ind w:left="3600" w:hanging="360"/>
      </w:pPr>
      <w:rPr>
        <w:rFonts w:hint="default"/>
        <w:b/>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54034623"/>
    <w:multiLevelType w:val="hybridMultilevel"/>
    <w:tmpl w:val="D43475B6"/>
    <w:lvl w:ilvl="0" w:tplc="492A44F8">
      <w:start w:val="1"/>
      <w:numFmt w:val="lowerLetter"/>
      <w:lvlText w:val="%1)"/>
      <w:lvlJc w:val="left"/>
      <w:pPr>
        <w:ind w:left="720" w:hanging="360"/>
      </w:pPr>
    </w:lvl>
    <w:lvl w:ilvl="1" w:tplc="60D2E5A8">
      <w:start w:val="1"/>
      <w:numFmt w:val="lowerLetter"/>
      <w:lvlText w:val="%2."/>
      <w:lvlJc w:val="left"/>
      <w:pPr>
        <w:ind w:left="1440" w:hanging="360"/>
      </w:pPr>
    </w:lvl>
    <w:lvl w:ilvl="2" w:tplc="0DEEC9E8" w:tentative="1">
      <w:start w:val="1"/>
      <w:numFmt w:val="lowerRoman"/>
      <w:lvlText w:val="%3."/>
      <w:lvlJc w:val="right"/>
      <w:pPr>
        <w:ind w:left="2160" w:hanging="180"/>
      </w:pPr>
    </w:lvl>
    <w:lvl w:ilvl="3" w:tplc="731C930A" w:tentative="1">
      <w:start w:val="1"/>
      <w:numFmt w:val="decimal"/>
      <w:lvlText w:val="%4."/>
      <w:lvlJc w:val="left"/>
      <w:pPr>
        <w:ind w:left="2880" w:hanging="360"/>
      </w:pPr>
    </w:lvl>
    <w:lvl w:ilvl="4" w:tplc="48D6C8DE" w:tentative="1">
      <w:start w:val="1"/>
      <w:numFmt w:val="lowerLetter"/>
      <w:lvlText w:val="%5."/>
      <w:lvlJc w:val="left"/>
      <w:pPr>
        <w:ind w:left="3600" w:hanging="360"/>
      </w:pPr>
    </w:lvl>
    <w:lvl w:ilvl="5" w:tplc="952C67B2" w:tentative="1">
      <w:start w:val="1"/>
      <w:numFmt w:val="lowerRoman"/>
      <w:lvlText w:val="%6."/>
      <w:lvlJc w:val="right"/>
      <w:pPr>
        <w:ind w:left="4320" w:hanging="180"/>
      </w:pPr>
    </w:lvl>
    <w:lvl w:ilvl="6" w:tplc="8EC23D54" w:tentative="1">
      <w:start w:val="1"/>
      <w:numFmt w:val="decimal"/>
      <w:lvlText w:val="%7."/>
      <w:lvlJc w:val="left"/>
      <w:pPr>
        <w:ind w:left="5040" w:hanging="360"/>
      </w:pPr>
    </w:lvl>
    <w:lvl w:ilvl="7" w:tplc="1FEAB38A" w:tentative="1">
      <w:start w:val="1"/>
      <w:numFmt w:val="lowerLetter"/>
      <w:lvlText w:val="%8."/>
      <w:lvlJc w:val="left"/>
      <w:pPr>
        <w:ind w:left="5760" w:hanging="360"/>
      </w:pPr>
    </w:lvl>
    <w:lvl w:ilvl="8" w:tplc="5FA0DCC2" w:tentative="1">
      <w:start w:val="1"/>
      <w:numFmt w:val="lowerRoman"/>
      <w:lvlText w:val="%9."/>
      <w:lvlJc w:val="right"/>
      <w:pPr>
        <w:ind w:left="6480" w:hanging="180"/>
      </w:pPr>
    </w:lvl>
  </w:abstractNum>
  <w:abstractNum w:abstractNumId="96" w15:restartNumberingAfterBreak="0">
    <w:nsid w:val="55043800"/>
    <w:multiLevelType w:val="hybridMultilevel"/>
    <w:tmpl w:val="5D586664"/>
    <w:lvl w:ilvl="0" w:tplc="1668E7C0">
      <w:start w:val="1"/>
      <w:numFmt w:val="decimal"/>
      <w:lvlText w:val="%1."/>
      <w:lvlJc w:val="left"/>
      <w:pPr>
        <w:ind w:left="644" w:hanging="360"/>
      </w:pPr>
      <w:rPr>
        <w:rFonts w:hint="default"/>
        <w:b/>
      </w:rPr>
    </w:lvl>
    <w:lvl w:ilvl="1" w:tplc="3BA2239C" w:tentative="1">
      <w:start w:val="1"/>
      <w:numFmt w:val="lowerLetter"/>
      <w:lvlText w:val="%2."/>
      <w:lvlJc w:val="left"/>
      <w:pPr>
        <w:ind w:left="1440" w:hanging="360"/>
      </w:pPr>
    </w:lvl>
    <w:lvl w:ilvl="2" w:tplc="995A8E86" w:tentative="1">
      <w:start w:val="1"/>
      <w:numFmt w:val="lowerRoman"/>
      <w:lvlText w:val="%3."/>
      <w:lvlJc w:val="right"/>
      <w:pPr>
        <w:ind w:left="2160" w:hanging="180"/>
      </w:pPr>
    </w:lvl>
    <w:lvl w:ilvl="3" w:tplc="49BC12D6" w:tentative="1">
      <w:start w:val="1"/>
      <w:numFmt w:val="decimal"/>
      <w:lvlText w:val="%4."/>
      <w:lvlJc w:val="left"/>
      <w:pPr>
        <w:ind w:left="2880" w:hanging="360"/>
      </w:pPr>
    </w:lvl>
    <w:lvl w:ilvl="4" w:tplc="1DC21468" w:tentative="1">
      <w:start w:val="1"/>
      <w:numFmt w:val="lowerLetter"/>
      <w:lvlText w:val="%5."/>
      <w:lvlJc w:val="left"/>
      <w:pPr>
        <w:ind w:left="3600" w:hanging="360"/>
      </w:pPr>
    </w:lvl>
    <w:lvl w:ilvl="5" w:tplc="4880AD38" w:tentative="1">
      <w:start w:val="1"/>
      <w:numFmt w:val="lowerRoman"/>
      <w:lvlText w:val="%6."/>
      <w:lvlJc w:val="right"/>
      <w:pPr>
        <w:ind w:left="4320" w:hanging="180"/>
      </w:pPr>
    </w:lvl>
    <w:lvl w:ilvl="6" w:tplc="E3E8C21E" w:tentative="1">
      <w:start w:val="1"/>
      <w:numFmt w:val="decimal"/>
      <w:lvlText w:val="%7."/>
      <w:lvlJc w:val="left"/>
      <w:pPr>
        <w:ind w:left="5040" w:hanging="360"/>
      </w:pPr>
    </w:lvl>
    <w:lvl w:ilvl="7" w:tplc="B2E0BB30" w:tentative="1">
      <w:start w:val="1"/>
      <w:numFmt w:val="lowerLetter"/>
      <w:lvlText w:val="%8."/>
      <w:lvlJc w:val="left"/>
      <w:pPr>
        <w:ind w:left="5760" w:hanging="360"/>
      </w:pPr>
    </w:lvl>
    <w:lvl w:ilvl="8" w:tplc="C2387826" w:tentative="1">
      <w:start w:val="1"/>
      <w:numFmt w:val="lowerRoman"/>
      <w:lvlText w:val="%9."/>
      <w:lvlJc w:val="right"/>
      <w:pPr>
        <w:ind w:left="6480" w:hanging="180"/>
      </w:pPr>
    </w:lvl>
  </w:abstractNum>
  <w:abstractNum w:abstractNumId="97" w15:restartNumberingAfterBreak="0">
    <w:nsid w:val="568C05FF"/>
    <w:multiLevelType w:val="hybridMultilevel"/>
    <w:tmpl w:val="65B06790"/>
    <w:lvl w:ilvl="0" w:tplc="F3D007FC">
      <w:start w:val="1"/>
      <w:numFmt w:val="bullet"/>
      <w:lvlText w:val="-"/>
      <w:lvlJc w:val="left"/>
      <w:pPr>
        <w:ind w:left="1854" w:hanging="360"/>
      </w:pPr>
      <w:rPr>
        <w:rFonts w:ascii="Times New Roman" w:eastAsia="Times New Roman" w:hAnsi="Times New Roman" w:cs="Times New Roman" w:hint="default"/>
      </w:rPr>
    </w:lvl>
    <w:lvl w:ilvl="1" w:tplc="8F3C8742" w:tentative="1">
      <w:start w:val="1"/>
      <w:numFmt w:val="bullet"/>
      <w:lvlText w:val="o"/>
      <w:lvlJc w:val="left"/>
      <w:pPr>
        <w:ind w:left="2574" w:hanging="360"/>
      </w:pPr>
      <w:rPr>
        <w:rFonts w:ascii="Courier New" w:hAnsi="Courier New" w:cs="Courier New" w:hint="default"/>
      </w:rPr>
    </w:lvl>
    <w:lvl w:ilvl="2" w:tplc="6F9A074E" w:tentative="1">
      <w:start w:val="1"/>
      <w:numFmt w:val="bullet"/>
      <w:lvlText w:val=""/>
      <w:lvlJc w:val="left"/>
      <w:pPr>
        <w:ind w:left="3294" w:hanging="360"/>
      </w:pPr>
      <w:rPr>
        <w:rFonts w:ascii="Wingdings" w:hAnsi="Wingdings" w:hint="default"/>
      </w:rPr>
    </w:lvl>
    <w:lvl w:ilvl="3" w:tplc="BA8E75C6" w:tentative="1">
      <w:start w:val="1"/>
      <w:numFmt w:val="bullet"/>
      <w:lvlText w:val=""/>
      <w:lvlJc w:val="left"/>
      <w:pPr>
        <w:ind w:left="4014" w:hanging="360"/>
      </w:pPr>
      <w:rPr>
        <w:rFonts w:ascii="Symbol" w:hAnsi="Symbol" w:hint="default"/>
      </w:rPr>
    </w:lvl>
    <w:lvl w:ilvl="4" w:tplc="87900250" w:tentative="1">
      <w:start w:val="1"/>
      <w:numFmt w:val="bullet"/>
      <w:lvlText w:val="o"/>
      <w:lvlJc w:val="left"/>
      <w:pPr>
        <w:ind w:left="4734" w:hanging="360"/>
      </w:pPr>
      <w:rPr>
        <w:rFonts w:ascii="Courier New" w:hAnsi="Courier New" w:cs="Courier New" w:hint="default"/>
      </w:rPr>
    </w:lvl>
    <w:lvl w:ilvl="5" w:tplc="07EA12A0" w:tentative="1">
      <w:start w:val="1"/>
      <w:numFmt w:val="bullet"/>
      <w:lvlText w:val=""/>
      <w:lvlJc w:val="left"/>
      <w:pPr>
        <w:ind w:left="5454" w:hanging="360"/>
      </w:pPr>
      <w:rPr>
        <w:rFonts w:ascii="Wingdings" w:hAnsi="Wingdings" w:hint="default"/>
      </w:rPr>
    </w:lvl>
    <w:lvl w:ilvl="6" w:tplc="E886F084" w:tentative="1">
      <w:start w:val="1"/>
      <w:numFmt w:val="bullet"/>
      <w:lvlText w:val=""/>
      <w:lvlJc w:val="left"/>
      <w:pPr>
        <w:ind w:left="6174" w:hanging="360"/>
      </w:pPr>
      <w:rPr>
        <w:rFonts w:ascii="Symbol" w:hAnsi="Symbol" w:hint="default"/>
      </w:rPr>
    </w:lvl>
    <w:lvl w:ilvl="7" w:tplc="989878E6" w:tentative="1">
      <w:start w:val="1"/>
      <w:numFmt w:val="bullet"/>
      <w:lvlText w:val="o"/>
      <w:lvlJc w:val="left"/>
      <w:pPr>
        <w:ind w:left="6894" w:hanging="360"/>
      </w:pPr>
      <w:rPr>
        <w:rFonts w:ascii="Courier New" w:hAnsi="Courier New" w:cs="Courier New" w:hint="default"/>
      </w:rPr>
    </w:lvl>
    <w:lvl w:ilvl="8" w:tplc="B47CA300" w:tentative="1">
      <w:start w:val="1"/>
      <w:numFmt w:val="bullet"/>
      <w:lvlText w:val=""/>
      <w:lvlJc w:val="left"/>
      <w:pPr>
        <w:ind w:left="7614" w:hanging="360"/>
      </w:pPr>
      <w:rPr>
        <w:rFonts w:ascii="Wingdings" w:hAnsi="Wingdings" w:hint="default"/>
      </w:rPr>
    </w:lvl>
  </w:abstractNum>
  <w:abstractNum w:abstractNumId="98" w15:restartNumberingAfterBreak="0">
    <w:nsid w:val="56B0661A"/>
    <w:multiLevelType w:val="hybridMultilevel"/>
    <w:tmpl w:val="494A07EC"/>
    <w:lvl w:ilvl="0" w:tplc="3592B1E6">
      <w:start w:val="1"/>
      <w:numFmt w:val="bullet"/>
      <w:lvlText w:val="-"/>
      <w:lvlJc w:val="left"/>
      <w:pPr>
        <w:ind w:left="1287" w:hanging="360"/>
      </w:pPr>
      <w:rPr>
        <w:rFonts w:ascii="Arial" w:eastAsia="Times New Roman" w:hAnsi="Arial" w:cs="Arial" w:hint="default"/>
        <w:sz w:val="24"/>
        <w:szCs w:val="24"/>
      </w:rPr>
    </w:lvl>
    <w:lvl w:ilvl="1" w:tplc="7A8CD1A4" w:tentative="1">
      <w:start w:val="1"/>
      <w:numFmt w:val="bullet"/>
      <w:lvlText w:val="o"/>
      <w:lvlJc w:val="left"/>
      <w:pPr>
        <w:ind w:left="2007" w:hanging="360"/>
      </w:pPr>
      <w:rPr>
        <w:rFonts w:ascii="Courier New" w:hAnsi="Courier New" w:cs="Courier New" w:hint="default"/>
      </w:rPr>
    </w:lvl>
    <w:lvl w:ilvl="2" w:tplc="10CA5228" w:tentative="1">
      <w:start w:val="1"/>
      <w:numFmt w:val="bullet"/>
      <w:lvlText w:val=""/>
      <w:lvlJc w:val="left"/>
      <w:pPr>
        <w:ind w:left="2727" w:hanging="360"/>
      </w:pPr>
      <w:rPr>
        <w:rFonts w:ascii="Wingdings" w:hAnsi="Wingdings" w:hint="default"/>
      </w:rPr>
    </w:lvl>
    <w:lvl w:ilvl="3" w:tplc="21C024CC" w:tentative="1">
      <w:start w:val="1"/>
      <w:numFmt w:val="bullet"/>
      <w:lvlText w:val=""/>
      <w:lvlJc w:val="left"/>
      <w:pPr>
        <w:ind w:left="3447" w:hanging="360"/>
      </w:pPr>
      <w:rPr>
        <w:rFonts w:ascii="Symbol" w:hAnsi="Symbol" w:hint="default"/>
      </w:rPr>
    </w:lvl>
    <w:lvl w:ilvl="4" w:tplc="0E1A4604" w:tentative="1">
      <w:start w:val="1"/>
      <w:numFmt w:val="bullet"/>
      <w:lvlText w:val="o"/>
      <w:lvlJc w:val="left"/>
      <w:pPr>
        <w:ind w:left="4167" w:hanging="360"/>
      </w:pPr>
      <w:rPr>
        <w:rFonts w:ascii="Courier New" w:hAnsi="Courier New" w:cs="Courier New" w:hint="default"/>
      </w:rPr>
    </w:lvl>
    <w:lvl w:ilvl="5" w:tplc="8FBC9AEE">
      <w:start w:val="1"/>
      <w:numFmt w:val="bullet"/>
      <w:lvlText w:val=""/>
      <w:lvlJc w:val="left"/>
      <w:pPr>
        <w:ind w:left="4887" w:hanging="360"/>
      </w:pPr>
      <w:rPr>
        <w:rFonts w:ascii="Wingdings" w:hAnsi="Wingdings" w:hint="default"/>
      </w:rPr>
    </w:lvl>
    <w:lvl w:ilvl="6" w:tplc="2D02ECB2" w:tentative="1">
      <w:start w:val="1"/>
      <w:numFmt w:val="bullet"/>
      <w:lvlText w:val=""/>
      <w:lvlJc w:val="left"/>
      <w:pPr>
        <w:ind w:left="5607" w:hanging="360"/>
      </w:pPr>
      <w:rPr>
        <w:rFonts w:ascii="Symbol" w:hAnsi="Symbol" w:hint="default"/>
      </w:rPr>
    </w:lvl>
    <w:lvl w:ilvl="7" w:tplc="EC4A64A8" w:tentative="1">
      <w:start w:val="1"/>
      <w:numFmt w:val="bullet"/>
      <w:lvlText w:val="o"/>
      <w:lvlJc w:val="left"/>
      <w:pPr>
        <w:ind w:left="6327" w:hanging="360"/>
      </w:pPr>
      <w:rPr>
        <w:rFonts w:ascii="Courier New" w:hAnsi="Courier New" w:cs="Courier New" w:hint="default"/>
      </w:rPr>
    </w:lvl>
    <w:lvl w:ilvl="8" w:tplc="FA2E750A" w:tentative="1">
      <w:start w:val="1"/>
      <w:numFmt w:val="bullet"/>
      <w:lvlText w:val=""/>
      <w:lvlJc w:val="left"/>
      <w:pPr>
        <w:ind w:left="7047" w:hanging="360"/>
      </w:pPr>
      <w:rPr>
        <w:rFonts w:ascii="Wingdings" w:hAnsi="Wingdings" w:hint="default"/>
      </w:rPr>
    </w:lvl>
  </w:abstractNum>
  <w:abstractNum w:abstractNumId="99" w15:restartNumberingAfterBreak="0">
    <w:nsid w:val="5A070512"/>
    <w:multiLevelType w:val="hybridMultilevel"/>
    <w:tmpl w:val="4AE47AAA"/>
    <w:lvl w:ilvl="0" w:tplc="0FE4FFA2">
      <w:start w:val="1"/>
      <w:numFmt w:val="lowerRoman"/>
      <w:lvlText w:val="%1)"/>
      <w:lvlJc w:val="left"/>
      <w:pPr>
        <w:ind w:left="1440" w:hanging="360"/>
      </w:pPr>
      <w:rPr>
        <w:rFonts w:hint="default"/>
      </w:rPr>
    </w:lvl>
    <w:lvl w:ilvl="1" w:tplc="AF1E8554" w:tentative="1">
      <w:start w:val="1"/>
      <w:numFmt w:val="lowerLetter"/>
      <w:lvlText w:val="%2."/>
      <w:lvlJc w:val="left"/>
      <w:pPr>
        <w:ind w:left="2160" w:hanging="360"/>
      </w:pPr>
    </w:lvl>
    <w:lvl w:ilvl="2" w:tplc="737CD4BA" w:tentative="1">
      <w:start w:val="1"/>
      <w:numFmt w:val="lowerRoman"/>
      <w:lvlText w:val="%3."/>
      <w:lvlJc w:val="right"/>
      <w:pPr>
        <w:ind w:left="2880" w:hanging="180"/>
      </w:pPr>
    </w:lvl>
    <w:lvl w:ilvl="3" w:tplc="928A3804" w:tentative="1">
      <w:start w:val="1"/>
      <w:numFmt w:val="decimal"/>
      <w:lvlText w:val="%4."/>
      <w:lvlJc w:val="left"/>
      <w:pPr>
        <w:ind w:left="3600" w:hanging="360"/>
      </w:pPr>
    </w:lvl>
    <w:lvl w:ilvl="4" w:tplc="5D9A540A" w:tentative="1">
      <w:start w:val="1"/>
      <w:numFmt w:val="lowerLetter"/>
      <w:lvlText w:val="%5."/>
      <w:lvlJc w:val="left"/>
      <w:pPr>
        <w:ind w:left="4320" w:hanging="360"/>
      </w:pPr>
    </w:lvl>
    <w:lvl w:ilvl="5" w:tplc="8D5EB924" w:tentative="1">
      <w:start w:val="1"/>
      <w:numFmt w:val="lowerRoman"/>
      <w:lvlText w:val="%6."/>
      <w:lvlJc w:val="right"/>
      <w:pPr>
        <w:ind w:left="5040" w:hanging="180"/>
      </w:pPr>
    </w:lvl>
    <w:lvl w:ilvl="6" w:tplc="0CD6C566" w:tentative="1">
      <w:start w:val="1"/>
      <w:numFmt w:val="decimal"/>
      <w:lvlText w:val="%7."/>
      <w:lvlJc w:val="left"/>
      <w:pPr>
        <w:ind w:left="5760" w:hanging="360"/>
      </w:pPr>
    </w:lvl>
    <w:lvl w:ilvl="7" w:tplc="64F4455A" w:tentative="1">
      <w:start w:val="1"/>
      <w:numFmt w:val="lowerLetter"/>
      <w:lvlText w:val="%8."/>
      <w:lvlJc w:val="left"/>
      <w:pPr>
        <w:ind w:left="6480" w:hanging="360"/>
      </w:pPr>
    </w:lvl>
    <w:lvl w:ilvl="8" w:tplc="DCD0AB60" w:tentative="1">
      <w:start w:val="1"/>
      <w:numFmt w:val="lowerRoman"/>
      <w:lvlText w:val="%9."/>
      <w:lvlJc w:val="right"/>
      <w:pPr>
        <w:ind w:left="7200" w:hanging="180"/>
      </w:pPr>
    </w:lvl>
  </w:abstractNum>
  <w:abstractNum w:abstractNumId="100" w15:restartNumberingAfterBreak="0">
    <w:nsid w:val="5A2D415B"/>
    <w:multiLevelType w:val="hybridMultilevel"/>
    <w:tmpl w:val="CC2069F8"/>
    <w:lvl w:ilvl="0" w:tplc="ED08CF72">
      <w:start w:val="1"/>
      <w:numFmt w:val="lowerRoman"/>
      <w:lvlText w:val="%1)"/>
      <w:lvlJc w:val="left"/>
      <w:pPr>
        <w:ind w:left="1080" w:hanging="720"/>
      </w:pPr>
      <w:rPr>
        <w:rFonts w:ascii="Cambria" w:eastAsia="MS Mincho" w:hAnsi="Cambria" w:cs="Times New Roman"/>
      </w:rPr>
    </w:lvl>
    <w:lvl w:ilvl="1" w:tplc="F9A8607C" w:tentative="1">
      <w:start w:val="1"/>
      <w:numFmt w:val="lowerLetter"/>
      <w:lvlText w:val="%2."/>
      <w:lvlJc w:val="left"/>
      <w:pPr>
        <w:ind w:left="1440" w:hanging="360"/>
      </w:pPr>
    </w:lvl>
    <w:lvl w:ilvl="2" w:tplc="F0C09570" w:tentative="1">
      <w:start w:val="1"/>
      <w:numFmt w:val="lowerRoman"/>
      <w:lvlText w:val="%3."/>
      <w:lvlJc w:val="right"/>
      <w:pPr>
        <w:ind w:left="2160" w:hanging="180"/>
      </w:pPr>
    </w:lvl>
    <w:lvl w:ilvl="3" w:tplc="86FE4800" w:tentative="1">
      <w:start w:val="1"/>
      <w:numFmt w:val="decimal"/>
      <w:lvlText w:val="%4."/>
      <w:lvlJc w:val="left"/>
      <w:pPr>
        <w:ind w:left="2880" w:hanging="360"/>
      </w:pPr>
    </w:lvl>
    <w:lvl w:ilvl="4" w:tplc="9E0A7B4A" w:tentative="1">
      <w:start w:val="1"/>
      <w:numFmt w:val="lowerLetter"/>
      <w:lvlText w:val="%5."/>
      <w:lvlJc w:val="left"/>
      <w:pPr>
        <w:ind w:left="3600" w:hanging="360"/>
      </w:pPr>
    </w:lvl>
    <w:lvl w:ilvl="5" w:tplc="558E9DEA" w:tentative="1">
      <w:start w:val="1"/>
      <w:numFmt w:val="lowerRoman"/>
      <w:lvlText w:val="%6."/>
      <w:lvlJc w:val="right"/>
      <w:pPr>
        <w:ind w:left="4320" w:hanging="180"/>
      </w:pPr>
    </w:lvl>
    <w:lvl w:ilvl="6" w:tplc="824C03F2" w:tentative="1">
      <w:start w:val="1"/>
      <w:numFmt w:val="decimal"/>
      <w:lvlText w:val="%7."/>
      <w:lvlJc w:val="left"/>
      <w:pPr>
        <w:ind w:left="5040" w:hanging="360"/>
      </w:pPr>
    </w:lvl>
    <w:lvl w:ilvl="7" w:tplc="B622AE40" w:tentative="1">
      <w:start w:val="1"/>
      <w:numFmt w:val="lowerLetter"/>
      <w:lvlText w:val="%8."/>
      <w:lvlJc w:val="left"/>
      <w:pPr>
        <w:ind w:left="5760" w:hanging="360"/>
      </w:pPr>
    </w:lvl>
    <w:lvl w:ilvl="8" w:tplc="70F85F26" w:tentative="1">
      <w:start w:val="1"/>
      <w:numFmt w:val="lowerRoman"/>
      <w:lvlText w:val="%9."/>
      <w:lvlJc w:val="right"/>
      <w:pPr>
        <w:ind w:left="6480" w:hanging="180"/>
      </w:pPr>
    </w:lvl>
  </w:abstractNum>
  <w:abstractNum w:abstractNumId="101" w15:restartNumberingAfterBreak="0">
    <w:nsid w:val="5BB747F7"/>
    <w:multiLevelType w:val="hybridMultilevel"/>
    <w:tmpl w:val="223A9748"/>
    <w:lvl w:ilvl="0" w:tplc="965CB04C">
      <w:start w:val="5"/>
      <w:numFmt w:val="lowerLetter"/>
      <w:lvlText w:val="%1)"/>
      <w:lvlJc w:val="left"/>
      <w:pPr>
        <w:ind w:left="720" w:hanging="360"/>
      </w:pPr>
      <w:rPr>
        <w:rFonts w:hint="default"/>
        <w:b/>
        <w:bCs w:val="0"/>
        <w:i w:val="0"/>
        <w:iCs/>
      </w:rPr>
    </w:lvl>
    <w:lvl w:ilvl="1" w:tplc="F6A48158" w:tentative="1">
      <w:start w:val="1"/>
      <w:numFmt w:val="lowerLetter"/>
      <w:lvlText w:val="%2."/>
      <w:lvlJc w:val="left"/>
      <w:pPr>
        <w:ind w:left="1440" w:hanging="360"/>
      </w:pPr>
    </w:lvl>
    <w:lvl w:ilvl="2" w:tplc="8980657A" w:tentative="1">
      <w:start w:val="1"/>
      <w:numFmt w:val="lowerRoman"/>
      <w:lvlText w:val="%3."/>
      <w:lvlJc w:val="right"/>
      <w:pPr>
        <w:ind w:left="2160" w:hanging="180"/>
      </w:pPr>
    </w:lvl>
    <w:lvl w:ilvl="3" w:tplc="75DAB8A0" w:tentative="1">
      <w:start w:val="1"/>
      <w:numFmt w:val="decimal"/>
      <w:lvlText w:val="%4."/>
      <w:lvlJc w:val="left"/>
      <w:pPr>
        <w:ind w:left="2880" w:hanging="360"/>
      </w:pPr>
    </w:lvl>
    <w:lvl w:ilvl="4" w:tplc="5A8C00B6" w:tentative="1">
      <w:start w:val="1"/>
      <w:numFmt w:val="lowerLetter"/>
      <w:lvlText w:val="%5."/>
      <w:lvlJc w:val="left"/>
      <w:pPr>
        <w:ind w:left="3600" w:hanging="360"/>
      </w:pPr>
    </w:lvl>
    <w:lvl w:ilvl="5" w:tplc="86423526" w:tentative="1">
      <w:start w:val="1"/>
      <w:numFmt w:val="lowerRoman"/>
      <w:lvlText w:val="%6."/>
      <w:lvlJc w:val="right"/>
      <w:pPr>
        <w:ind w:left="4320" w:hanging="180"/>
      </w:pPr>
    </w:lvl>
    <w:lvl w:ilvl="6" w:tplc="76062F1C" w:tentative="1">
      <w:start w:val="1"/>
      <w:numFmt w:val="decimal"/>
      <w:lvlText w:val="%7."/>
      <w:lvlJc w:val="left"/>
      <w:pPr>
        <w:ind w:left="5040" w:hanging="360"/>
      </w:pPr>
    </w:lvl>
    <w:lvl w:ilvl="7" w:tplc="AB30F80A" w:tentative="1">
      <w:start w:val="1"/>
      <w:numFmt w:val="lowerLetter"/>
      <w:lvlText w:val="%8."/>
      <w:lvlJc w:val="left"/>
      <w:pPr>
        <w:ind w:left="5760" w:hanging="360"/>
      </w:pPr>
    </w:lvl>
    <w:lvl w:ilvl="8" w:tplc="564E7D18" w:tentative="1">
      <w:start w:val="1"/>
      <w:numFmt w:val="lowerRoman"/>
      <w:lvlText w:val="%9."/>
      <w:lvlJc w:val="right"/>
      <w:pPr>
        <w:ind w:left="6480" w:hanging="180"/>
      </w:pPr>
    </w:lvl>
  </w:abstractNum>
  <w:abstractNum w:abstractNumId="102" w15:restartNumberingAfterBreak="0">
    <w:nsid w:val="5CE91E1B"/>
    <w:multiLevelType w:val="multilevel"/>
    <w:tmpl w:val="0786ECB0"/>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decimal"/>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rPr>
    </w:lvl>
    <w:lvl w:ilvl="5">
      <w:start w:val="1"/>
      <w:numFmt w:val="lowerLetter"/>
      <w:lvlText w:val="%6)"/>
      <w:lvlJc w:val="left"/>
      <w:pPr>
        <w:ind w:left="4320" w:hanging="360"/>
      </w:pPr>
      <w:rPr>
        <w:rFonts w:hint="default"/>
        <w:b/>
        <w:bCs/>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5D751A30"/>
    <w:multiLevelType w:val="hybridMultilevel"/>
    <w:tmpl w:val="B8948DEE"/>
    <w:lvl w:ilvl="0" w:tplc="04B2A346">
      <w:start w:val="1"/>
      <w:numFmt w:val="bullet"/>
      <w:lvlText w:val="-"/>
      <w:lvlJc w:val="left"/>
      <w:pPr>
        <w:ind w:left="1854" w:hanging="360"/>
      </w:pPr>
      <w:rPr>
        <w:rFonts w:ascii="Times New Roman" w:eastAsia="Times New Roman" w:hAnsi="Times New Roman" w:cs="Times New Roman" w:hint="default"/>
      </w:rPr>
    </w:lvl>
    <w:lvl w:ilvl="1" w:tplc="2F02C7B6" w:tentative="1">
      <w:start w:val="1"/>
      <w:numFmt w:val="bullet"/>
      <w:lvlText w:val="o"/>
      <w:lvlJc w:val="left"/>
      <w:pPr>
        <w:ind w:left="2574" w:hanging="360"/>
      </w:pPr>
      <w:rPr>
        <w:rFonts w:ascii="Courier New" w:hAnsi="Courier New" w:cs="Courier New" w:hint="default"/>
      </w:rPr>
    </w:lvl>
    <w:lvl w:ilvl="2" w:tplc="1C1CD554" w:tentative="1">
      <w:start w:val="1"/>
      <w:numFmt w:val="bullet"/>
      <w:lvlText w:val=""/>
      <w:lvlJc w:val="left"/>
      <w:pPr>
        <w:ind w:left="3294" w:hanging="360"/>
      </w:pPr>
      <w:rPr>
        <w:rFonts w:ascii="Wingdings" w:hAnsi="Wingdings" w:hint="default"/>
      </w:rPr>
    </w:lvl>
    <w:lvl w:ilvl="3" w:tplc="8C4CE864" w:tentative="1">
      <w:start w:val="1"/>
      <w:numFmt w:val="bullet"/>
      <w:lvlText w:val=""/>
      <w:lvlJc w:val="left"/>
      <w:pPr>
        <w:ind w:left="4014" w:hanging="360"/>
      </w:pPr>
      <w:rPr>
        <w:rFonts w:ascii="Symbol" w:hAnsi="Symbol" w:hint="default"/>
      </w:rPr>
    </w:lvl>
    <w:lvl w:ilvl="4" w:tplc="D6287BE2" w:tentative="1">
      <w:start w:val="1"/>
      <w:numFmt w:val="bullet"/>
      <w:lvlText w:val="o"/>
      <w:lvlJc w:val="left"/>
      <w:pPr>
        <w:ind w:left="4734" w:hanging="360"/>
      </w:pPr>
      <w:rPr>
        <w:rFonts w:ascii="Courier New" w:hAnsi="Courier New" w:cs="Courier New" w:hint="default"/>
      </w:rPr>
    </w:lvl>
    <w:lvl w:ilvl="5" w:tplc="05889568" w:tentative="1">
      <w:start w:val="1"/>
      <w:numFmt w:val="bullet"/>
      <w:lvlText w:val=""/>
      <w:lvlJc w:val="left"/>
      <w:pPr>
        <w:ind w:left="5454" w:hanging="360"/>
      </w:pPr>
      <w:rPr>
        <w:rFonts w:ascii="Wingdings" w:hAnsi="Wingdings" w:hint="default"/>
      </w:rPr>
    </w:lvl>
    <w:lvl w:ilvl="6" w:tplc="454C0710" w:tentative="1">
      <w:start w:val="1"/>
      <w:numFmt w:val="bullet"/>
      <w:lvlText w:val=""/>
      <w:lvlJc w:val="left"/>
      <w:pPr>
        <w:ind w:left="6174" w:hanging="360"/>
      </w:pPr>
      <w:rPr>
        <w:rFonts w:ascii="Symbol" w:hAnsi="Symbol" w:hint="default"/>
      </w:rPr>
    </w:lvl>
    <w:lvl w:ilvl="7" w:tplc="500C5B1A" w:tentative="1">
      <w:start w:val="1"/>
      <w:numFmt w:val="bullet"/>
      <w:lvlText w:val="o"/>
      <w:lvlJc w:val="left"/>
      <w:pPr>
        <w:ind w:left="6894" w:hanging="360"/>
      </w:pPr>
      <w:rPr>
        <w:rFonts w:ascii="Courier New" w:hAnsi="Courier New" w:cs="Courier New" w:hint="default"/>
      </w:rPr>
    </w:lvl>
    <w:lvl w:ilvl="8" w:tplc="50040344" w:tentative="1">
      <w:start w:val="1"/>
      <w:numFmt w:val="bullet"/>
      <w:lvlText w:val=""/>
      <w:lvlJc w:val="left"/>
      <w:pPr>
        <w:ind w:left="7614" w:hanging="360"/>
      </w:pPr>
      <w:rPr>
        <w:rFonts w:ascii="Wingdings" w:hAnsi="Wingdings" w:hint="default"/>
      </w:rPr>
    </w:lvl>
  </w:abstractNum>
  <w:abstractNum w:abstractNumId="104" w15:restartNumberingAfterBreak="0">
    <w:nsid w:val="5E907A8E"/>
    <w:multiLevelType w:val="hybridMultilevel"/>
    <w:tmpl w:val="E93E74D8"/>
    <w:lvl w:ilvl="0" w:tplc="FD2ACB7C">
      <w:start w:val="1"/>
      <w:numFmt w:val="bullet"/>
      <w:lvlText w:val="-"/>
      <w:lvlJc w:val="left"/>
      <w:pPr>
        <w:ind w:left="1287" w:hanging="360"/>
      </w:pPr>
      <w:rPr>
        <w:rFonts w:ascii="Times New Roman" w:eastAsia="Times New Roman" w:hAnsi="Times New Roman" w:cs="Times New Roman" w:hint="default"/>
      </w:rPr>
    </w:lvl>
    <w:lvl w:ilvl="1" w:tplc="00B8023C" w:tentative="1">
      <w:start w:val="1"/>
      <w:numFmt w:val="bullet"/>
      <w:lvlText w:val="o"/>
      <w:lvlJc w:val="left"/>
      <w:pPr>
        <w:ind w:left="2007" w:hanging="360"/>
      </w:pPr>
      <w:rPr>
        <w:rFonts w:ascii="Courier New" w:hAnsi="Courier New" w:cs="Courier New" w:hint="default"/>
      </w:rPr>
    </w:lvl>
    <w:lvl w:ilvl="2" w:tplc="0C1011AA" w:tentative="1">
      <w:start w:val="1"/>
      <w:numFmt w:val="bullet"/>
      <w:lvlText w:val=""/>
      <w:lvlJc w:val="left"/>
      <w:pPr>
        <w:ind w:left="2727" w:hanging="360"/>
      </w:pPr>
      <w:rPr>
        <w:rFonts w:ascii="Wingdings" w:hAnsi="Wingdings" w:hint="default"/>
      </w:rPr>
    </w:lvl>
    <w:lvl w:ilvl="3" w:tplc="F1B43AA0" w:tentative="1">
      <w:start w:val="1"/>
      <w:numFmt w:val="bullet"/>
      <w:lvlText w:val=""/>
      <w:lvlJc w:val="left"/>
      <w:pPr>
        <w:ind w:left="3447" w:hanging="360"/>
      </w:pPr>
      <w:rPr>
        <w:rFonts w:ascii="Symbol" w:hAnsi="Symbol" w:hint="default"/>
      </w:rPr>
    </w:lvl>
    <w:lvl w:ilvl="4" w:tplc="81200EFC" w:tentative="1">
      <w:start w:val="1"/>
      <w:numFmt w:val="bullet"/>
      <w:lvlText w:val="o"/>
      <w:lvlJc w:val="left"/>
      <w:pPr>
        <w:ind w:left="4167" w:hanging="360"/>
      </w:pPr>
      <w:rPr>
        <w:rFonts w:ascii="Courier New" w:hAnsi="Courier New" w:cs="Courier New" w:hint="default"/>
      </w:rPr>
    </w:lvl>
    <w:lvl w:ilvl="5" w:tplc="5F5A59FE" w:tentative="1">
      <w:start w:val="1"/>
      <w:numFmt w:val="bullet"/>
      <w:lvlText w:val=""/>
      <w:lvlJc w:val="left"/>
      <w:pPr>
        <w:ind w:left="4887" w:hanging="360"/>
      </w:pPr>
      <w:rPr>
        <w:rFonts w:ascii="Wingdings" w:hAnsi="Wingdings" w:hint="default"/>
      </w:rPr>
    </w:lvl>
    <w:lvl w:ilvl="6" w:tplc="BD76E8DA" w:tentative="1">
      <w:start w:val="1"/>
      <w:numFmt w:val="bullet"/>
      <w:lvlText w:val=""/>
      <w:lvlJc w:val="left"/>
      <w:pPr>
        <w:ind w:left="5607" w:hanging="360"/>
      </w:pPr>
      <w:rPr>
        <w:rFonts w:ascii="Symbol" w:hAnsi="Symbol" w:hint="default"/>
      </w:rPr>
    </w:lvl>
    <w:lvl w:ilvl="7" w:tplc="79E83608" w:tentative="1">
      <w:start w:val="1"/>
      <w:numFmt w:val="bullet"/>
      <w:lvlText w:val="o"/>
      <w:lvlJc w:val="left"/>
      <w:pPr>
        <w:ind w:left="6327" w:hanging="360"/>
      </w:pPr>
      <w:rPr>
        <w:rFonts w:ascii="Courier New" w:hAnsi="Courier New" w:cs="Courier New" w:hint="default"/>
      </w:rPr>
    </w:lvl>
    <w:lvl w:ilvl="8" w:tplc="503460D2" w:tentative="1">
      <w:start w:val="1"/>
      <w:numFmt w:val="bullet"/>
      <w:lvlText w:val=""/>
      <w:lvlJc w:val="left"/>
      <w:pPr>
        <w:ind w:left="7047" w:hanging="360"/>
      </w:pPr>
      <w:rPr>
        <w:rFonts w:ascii="Wingdings" w:hAnsi="Wingdings" w:hint="default"/>
      </w:rPr>
    </w:lvl>
  </w:abstractNum>
  <w:abstractNum w:abstractNumId="105" w15:restartNumberingAfterBreak="0">
    <w:nsid w:val="5E984753"/>
    <w:multiLevelType w:val="hybridMultilevel"/>
    <w:tmpl w:val="B5C001AE"/>
    <w:lvl w:ilvl="0" w:tplc="3FEC98D0">
      <w:start w:val="1"/>
      <w:numFmt w:val="decimal"/>
      <w:lvlText w:val="%1."/>
      <w:lvlJc w:val="left"/>
      <w:pPr>
        <w:ind w:left="644" w:hanging="360"/>
      </w:pPr>
      <w:rPr>
        <w:rFonts w:hint="default"/>
      </w:rPr>
    </w:lvl>
    <w:lvl w:ilvl="1" w:tplc="05F250A4" w:tentative="1">
      <w:start w:val="1"/>
      <w:numFmt w:val="lowerLetter"/>
      <w:lvlText w:val="%2."/>
      <w:lvlJc w:val="left"/>
      <w:pPr>
        <w:ind w:left="1364" w:hanging="360"/>
      </w:pPr>
    </w:lvl>
    <w:lvl w:ilvl="2" w:tplc="2B7821BA" w:tentative="1">
      <w:start w:val="1"/>
      <w:numFmt w:val="lowerRoman"/>
      <w:lvlText w:val="%3."/>
      <w:lvlJc w:val="right"/>
      <w:pPr>
        <w:ind w:left="2084" w:hanging="180"/>
      </w:pPr>
    </w:lvl>
    <w:lvl w:ilvl="3" w:tplc="63FAFB04" w:tentative="1">
      <w:start w:val="1"/>
      <w:numFmt w:val="decimal"/>
      <w:lvlText w:val="%4."/>
      <w:lvlJc w:val="left"/>
      <w:pPr>
        <w:ind w:left="2804" w:hanging="360"/>
      </w:pPr>
    </w:lvl>
    <w:lvl w:ilvl="4" w:tplc="8286EE22" w:tentative="1">
      <w:start w:val="1"/>
      <w:numFmt w:val="lowerLetter"/>
      <w:lvlText w:val="%5."/>
      <w:lvlJc w:val="left"/>
      <w:pPr>
        <w:ind w:left="3524" w:hanging="360"/>
      </w:pPr>
    </w:lvl>
    <w:lvl w:ilvl="5" w:tplc="0FA80606" w:tentative="1">
      <w:start w:val="1"/>
      <w:numFmt w:val="lowerRoman"/>
      <w:lvlText w:val="%6."/>
      <w:lvlJc w:val="right"/>
      <w:pPr>
        <w:ind w:left="4244" w:hanging="180"/>
      </w:pPr>
    </w:lvl>
    <w:lvl w:ilvl="6" w:tplc="6F128348" w:tentative="1">
      <w:start w:val="1"/>
      <w:numFmt w:val="decimal"/>
      <w:lvlText w:val="%7."/>
      <w:lvlJc w:val="left"/>
      <w:pPr>
        <w:ind w:left="4964" w:hanging="360"/>
      </w:pPr>
    </w:lvl>
    <w:lvl w:ilvl="7" w:tplc="03C269EC" w:tentative="1">
      <w:start w:val="1"/>
      <w:numFmt w:val="lowerLetter"/>
      <w:lvlText w:val="%8."/>
      <w:lvlJc w:val="left"/>
      <w:pPr>
        <w:ind w:left="5684" w:hanging="360"/>
      </w:pPr>
    </w:lvl>
    <w:lvl w:ilvl="8" w:tplc="19483024" w:tentative="1">
      <w:start w:val="1"/>
      <w:numFmt w:val="lowerRoman"/>
      <w:lvlText w:val="%9."/>
      <w:lvlJc w:val="right"/>
      <w:pPr>
        <w:ind w:left="6404" w:hanging="180"/>
      </w:pPr>
    </w:lvl>
  </w:abstractNum>
  <w:abstractNum w:abstractNumId="106" w15:restartNumberingAfterBreak="0">
    <w:nsid w:val="5FAD35F8"/>
    <w:multiLevelType w:val="hybridMultilevel"/>
    <w:tmpl w:val="A8EA947C"/>
    <w:lvl w:ilvl="0" w:tplc="2ABE2918">
      <w:start w:val="1"/>
      <w:numFmt w:val="upperLetter"/>
      <w:lvlText w:val="%1)"/>
      <w:lvlJc w:val="left"/>
      <w:pPr>
        <w:ind w:left="720" w:hanging="360"/>
      </w:pPr>
      <w:rPr>
        <w:rFonts w:hint="default"/>
      </w:rPr>
    </w:lvl>
    <w:lvl w:ilvl="1" w:tplc="DA6E545C" w:tentative="1">
      <w:start w:val="1"/>
      <w:numFmt w:val="lowerLetter"/>
      <w:lvlText w:val="%2."/>
      <w:lvlJc w:val="left"/>
      <w:pPr>
        <w:ind w:left="1440" w:hanging="360"/>
      </w:pPr>
    </w:lvl>
    <w:lvl w:ilvl="2" w:tplc="B0FEB3B0" w:tentative="1">
      <w:start w:val="1"/>
      <w:numFmt w:val="lowerRoman"/>
      <w:lvlText w:val="%3."/>
      <w:lvlJc w:val="right"/>
      <w:pPr>
        <w:ind w:left="2160" w:hanging="180"/>
      </w:pPr>
    </w:lvl>
    <w:lvl w:ilvl="3" w:tplc="1032B89E" w:tentative="1">
      <w:start w:val="1"/>
      <w:numFmt w:val="decimal"/>
      <w:lvlText w:val="%4."/>
      <w:lvlJc w:val="left"/>
      <w:pPr>
        <w:ind w:left="2880" w:hanging="360"/>
      </w:pPr>
    </w:lvl>
    <w:lvl w:ilvl="4" w:tplc="094E45C0">
      <w:start w:val="1"/>
      <w:numFmt w:val="lowerLetter"/>
      <w:lvlText w:val="%5."/>
      <w:lvlJc w:val="left"/>
      <w:pPr>
        <w:ind w:left="3600" w:hanging="360"/>
      </w:pPr>
    </w:lvl>
    <w:lvl w:ilvl="5" w:tplc="26701A46">
      <w:start w:val="1"/>
      <w:numFmt w:val="lowerRoman"/>
      <w:lvlText w:val="%6."/>
      <w:lvlJc w:val="right"/>
      <w:pPr>
        <w:ind w:left="4320" w:hanging="180"/>
      </w:pPr>
    </w:lvl>
    <w:lvl w:ilvl="6" w:tplc="4ABEEF6A" w:tentative="1">
      <w:start w:val="1"/>
      <w:numFmt w:val="decimal"/>
      <w:lvlText w:val="%7."/>
      <w:lvlJc w:val="left"/>
      <w:pPr>
        <w:ind w:left="5040" w:hanging="360"/>
      </w:pPr>
    </w:lvl>
    <w:lvl w:ilvl="7" w:tplc="648476EA" w:tentative="1">
      <w:start w:val="1"/>
      <w:numFmt w:val="lowerLetter"/>
      <w:lvlText w:val="%8."/>
      <w:lvlJc w:val="left"/>
      <w:pPr>
        <w:ind w:left="5760" w:hanging="360"/>
      </w:pPr>
    </w:lvl>
    <w:lvl w:ilvl="8" w:tplc="742898F8" w:tentative="1">
      <w:start w:val="1"/>
      <w:numFmt w:val="lowerRoman"/>
      <w:lvlText w:val="%9."/>
      <w:lvlJc w:val="right"/>
      <w:pPr>
        <w:ind w:left="6480" w:hanging="180"/>
      </w:pPr>
    </w:lvl>
  </w:abstractNum>
  <w:abstractNum w:abstractNumId="107" w15:restartNumberingAfterBreak="0">
    <w:nsid w:val="5FC305B9"/>
    <w:multiLevelType w:val="hybridMultilevel"/>
    <w:tmpl w:val="7728AB24"/>
    <w:lvl w:ilvl="0" w:tplc="1EF60E14">
      <w:start w:val="1"/>
      <w:numFmt w:val="lowerRoman"/>
      <w:lvlText w:val="%1)"/>
      <w:lvlJc w:val="left"/>
      <w:pPr>
        <w:ind w:left="1440" w:hanging="360"/>
      </w:pPr>
      <w:rPr>
        <w:rFonts w:hint="default"/>
      </w:rPr>
    </w:lvl>
    <w:lvl w:ilvl="1" w:tplc="6E70301C" w:tentative="1">
      <w:start w:val="1"/>
      <w:numFmt w:val="lowerLetter"/>
      <w:lvlText w:val="%2."/>
      <w:lvlJc w:val="left"/>
      <w:pPr>
        <w:ind w:left="2160" w:hanging="360"/>
      </w:pPr>
    </w:lvl>
    <w:lvl w:ilvl="2" w:tplc="015A160A" w:tentative="1">
      <w:start w:val="1"/>
      <w:numFmt w:val="lowerRoman"/>
      <w:lvlText w:val="%3."/>
      <w:lvlJc w:val="right"/>
      <w:pPr>
        <w:ind w:left="2880" w:hanging="180"/>
      </w:pPr>
    </w:lvl>
    <w:lvl w:ilvl="3" w:tplc="C23CEE70" w:tentative="1">
      <w:start w:val="1"/>
      <w:numFmt w:val="decimal"/>
      <w:lvlText w:val="%4."/>
      <w:lvlJc w:val="left"/>
      <w:pPr>
        <w:ind w:left="3600" w:hanging="360"/>
      </w:pPr>
    </w:lvl>
    <w:lvl w:ilvl="4" w:tplc="E884A5E8" w:tentative="1">
      <w:start w:val="1"/>
      <w:numFmt w:val="lowerLetter"/>
      <w:lvlText w:val="%5."/>
      <w:lvlJc w:val="left"/>
      <w:pPr>
        <w:ind w:left="4320" w:hanging="360"/>
      </w:pPr>
    </w:lvl>
    <w:lvl w:ilvl="5" w:tplc="57D2914A" w:tentative="1">
      <w:start w:val="1"/>
      <w:numFmt w:val="lowerRoman"/>
      <w:lvlText w:val="%6."/>
      <w:lvlJc w:val="right"/>
      <w:pPr>
        <w:ind w:left="5040" w:hanging="180"/>
      </w:pPr>
    </w:lvl>
    <w:lvl w:ilvl="6" w:tplc="2E302F14" w:tentative="1">
      <w:start w:val="1"/>
      <w:numFmt w:val="decimal"/>
      <w:lvlText w:val="%7."/>
      <w:lvlJc w:val="left"/>
      <w:pPr>
        <w:ind w:left="5760" w:hanging="360"/>
      </w:pPr>
    </w:lvl>
    <w:lvl w:ilvl="7" w:tplc="64906AAC" w:tentative="1">
      <w:start w:val="1"/>
      <w:numFmt w:val="lowerLetter"/>
      <w:lvlText w:val="%8."/>
      <w:lvlJc w:val="left"/>
      <w:pPr>
        <w:ind w:left="6480" w:hanging="360"/>
      </w:pPr>
    </w:lvl>
    <w:lvl w:ilvl="8" w:tplc="BA70001E" w:tentative="1">
      <w:start w:val="1"/>
      <w:numFmt w:val="lowerRoman"/>
      <w:lvlText w:val="%9."/>
      <w:lvlJc w:val="right"/>
      <w:pPr>
        <w:ind w:left="7200" w:hanging="180"/>
      </w:pPr>
    </w:lvl>
  </w:abstractNum>
  <w:abstractNum w:abstractNumId="108" w15:restartNumberingAfterBreak="0">
    <w:nsid w:val="609C0DCC"/>
    <w:multiLevelType w:val="multilevel"/>
    <w:tmpl w:val="F2809A0C"/>
    <w:lvl w:ilvl="0">
      <w:start w:val="1"/>
      <w:numFmt w:val="decimal"/>
      <w:pStyle w:val="Paragraphe"/>
      <w:lvlText w:val="[%1]"/>
      <w:lvlJc w:val="left"/>
      <w:pPr>
        <w:tabs>
          <w:tab w:val="num" w:pos="786"/>
        </w:tabs>
        <w:ind w:left="426" w:firstLine="0"/>
      </w:pPr>
      <w:rPr>
        <w:rFonts w:ascii="Arial" w:hAnsi="Arial" w:hint="default"/>
        <w:b w:val="0"/>
        <w:i w:val="0"/>
        <w:sz w:val="24"/>
      </w:rPr>
    </w:lvl>
    <w:lvl w:ilvl="1">
      <w:start w:val="1"/>
      <w:numFmt w:val="decimal"/>
      <w:pStyle w:val="Sous-paragraphe"/>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9" w15:restartNumberingAfterBreak="0">
    <w:nsid w:val="63E63658"/>
    <w:multiLevelType w:val="hybridMultilevel"/>
    <w:tmpl w:val="0A10666E"/>
    <w:lvl w:ilvl="0" w:tplc="AB22E1BA">
      <w:start w:val="1"/>
      <w:numFmt w:val="bullet"/>
      <w:lvlText w:val=""/>
      <w:lvlJc w:val="left"/>
      <w:pPr>
        <w:ind w:left="748" w:hanging="360"/>
      </w:pPr>
      <w:rPr>
        <w:rFonts w:ascii="Symbol" w:hAnsi="Symbol" w:hint="default"/>
      </w:rPr>
    </w:lvl>
    <w:lvl w:ilvl="1" w:tplc="361AD74A" w:tentative="1">
      <w:start w:val="1"/>
      <w:numFmt w:val="bullet"/>
      <w:lvlText w:val="o"/>
      <w:lvlJc w:val="left"/>
      <w:pPr>
        <w:ind w:left="1468" w:hanging="360"/>
      </w:pPr>
      <w:rPr>
        <w:rFonts w:ascii="Courier New" w:hAnsi="Courier New" w:cs="Courier New" w:hint="default"/>
      </w:rPr>
    </w:lvl>
    <w:lvl w:ilvl="2" w:tplc="F4224686" w:tentative="1">
      <w:start w:val="1"/>
      <w:numFmt w:val="bullet"/>
      <w:lvlText w:val=""/>
      <w:lvlJc w:val="left"/>
      <w:pPr>
        <w:ind w:left="2188" w:hanging="360"/>
      </w:pPr>
      <w:rPr>
        <w:rFonts w:ascii="Wingdings" w:hAnsi="Wingdings" w:hint="default"/>
      </w:rPr>
    </w:lvl>
    <w:lvl w:ilvl="3" w:tplc="16288540" w:tentative="1">
      <w:start w:val="1"/>
      <w:numFmt w:val="bullet"/>
      <w:lvlText w:val=""/>
      <w:lvlJc w:val="left"/>
      <w:pPr>
        <w:ind w:left="2908" w:hanging="360"/>
      </w:pPr>
      <w:rPr>
        <w:rFonts w:ascii="Symbol" w:hAnsi="Symbol" w:hint="default"/>
      </w:rPr>
    </w:lvl>
    <w:lvl w:ilvl="4" w:tplc="7734A2AE" w:tentative="1">
      <w:start w:val="1"/>
      <w:numFmt w:val="bullet"/>
      <w:lvlText w:val="o"/>
      <w:lvlJc w:val="left"/>
      <w:pPr>
        <w:ind w:left="3628" w:hanging="360"/>
      </w:pPr>
      <w:rPr>
        <w:rFonts w:ascii="Courier New" w:hAnsi="Courier New" w:cs="Courier New" w:hint="default"/>
      </w:rPr>
    </w:lvl>
    <w:lvl w:ilvl="5" w:tplc="614E524C" w:tentative="1">
      <w:start w:val="1"/>
      <w:numFmt w:val="bullet"/>
      <w:lvlText w:val=""/>
      <w:lvlJc w:val="left"/>
      <w:pPr>
        <w:ind w:left="4348" w:hanging="360"/>
      </w:pPr>
      <w:rPr>
        <w:rFonts w:ascii="Wingdings" w:hAnsi="Wingdings" w:hint="default"/>
      </w:rPr>
    </w:lvl>
    <w:lvl w:ilvl="6" w:tplc="9FFE71D8" w:tentative="1">
      <w:start w:val="1"/>
      <w:numFmt w:val="bullet"/>
      <w:lvlText w:val=""/>
      <w:lvlJc w:val="left"/>
      <w:pPr>
        <w:ind w:left="5068" w:hanging="360"/>
      </w:pPr>
      <w:rPr>
        <w:rFonts w:ascii="Symbol" w:hAnsi="Symbol" w:hint="default"/>
      </w:rPr>
    </w:lvl>
    <w:lvl w:ilvl="7" w:tplc="0026292E" w:tentative="1">
      <w:start w:val="1"/>
      <w:numFmt w:val="bullet"/>
      <w:lvlText w:val="o"/>
      <w:lvlJc w:val="left"/>
      <w:pPr>
        <w:ind w:left="5788" w:hanging="360"/>
      </w:pPr>
      <w:rPr>
        <w:rFonts w:ascii="Courier New" w:hAnsi="Courier New" w:cs="Courier New" w:hint="default"/>
      </w:rPr>
    </w:lvl>
    <w:lvl w:ilvl="8" w:tplc="38FA3F4E" w:tentative="1">
      <w:start w:val="1"/>
      <w:numFmt w:val="bullet"/>
      <w:lvlText w:val=""/>
      <w:lvlJc w:val="left"/>
      <w:pPr>
        <w:ind w:left="6508" w:hanging="360"/>
      </w:pPr>
      <w:rPr>
        <w:rFonts w:ascii="Wingdings" w:hAnsi="Wingdings" w:hint="default"/>
      </w:rPr>
    </w:lvl>
  </w:abstractNum>
  <w:abstractNum w:abstractNumId="110" w15:restartNumberingAfterBreak="0">
    <w:nsid w:val="64683EBD"/>
    <w:multiLevelType w:val="multilevel"/>
    <w:tmpl w:val="1D8A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4D80779"/>
    <w:multiLevelType w:val="hybridMultilevel"/>
    <w:tmpl w:val="B3F65A96"/>
    <w:lvl w:ilvl="0" w:tplc="CEE6CF06">
      <w:start w:val="1"/>
      <w:numFmt w:val="lowerLetter"/>
      <w:lvlText w:val="%1)"/>
      <w:lvlJc w:val="left"/>
      <w:pPr>
        <w:ind w:left="1230" w:hanging="360"/>
      </w:pPr>
      <w:rPr>
        <w:rFonts w:hint="default"/>
      </w:rPr>
    </w:lvl>
    <w:lvl w:ilvl="1" w:tplc="D590B4C0" w:tentative="1">
      <w:start w:val="1"/>
      <w:numFmt w:val="lowerLetter"/>
      <w:lvlText w:val="%2."/>
      <w:lvlJc w:val="left"/>
      <w:pPr>
        <w:ind w:left="1950" w:hanging="360"/>
      </w:pPr>
    </w:lvl>
    <w:lvl w:ilvl="2" w:tplc="B574A91A" w:tentative="1">
      <w:start w:val="1"/>
      <w:numFmt w:val="lowerRoman"/>
      <w:lvlText w:val="%3."/>
      <w:lvlJc w:val="right"/>
      <w:pPr>
        <w:ind w:left="2670" w:hanging="180"/>
      </w:pPr>
    </w:lvl>
    <w:lvl w:ilvl="3" w:tplc="FA2E7CD8" w:tentative="1">
      <w:start w:val="1"/>
      <w:numFmt w:val="decimal"/>
      <w:lvlText w:val="%4."/>
      <w:lvlJc w:val="left"/>
      <w:pPr>
        <w:ind w:left="3390" w:hanging="360"/>
      </w:pPr>
    </w:lvl>
    <w:lvl w:ilvl="4" w:tplc="CEBA3860" w:tentative="1">
      <w:start w:val="1"/>
      <w:numFmt w:val="lowerLetter"/>
      <w:lvlText w:val="%5."/>
      <w:lvlJc w:val="left"/>
      <w:pPr>
        <w:ind w:left="4110" w:hanging="360"/>
      </w:pPr>
    </w:lvl>
    <w:lvl w:ilvl="5" w:tplc="2738D472" w:tentative="1">
      <w:start w:val="1"/>
      <w:numFmt w:val="lowerRoman"/>
      <w:lvlText w:val="%6."/>
      <w:lvlJc w:val="right"/>
      <w:pPr>
        <w:ind w:left="4830" w:hanging="180"/>
      </w:pPr>
    </w:lvl>
    <w:lvl w:ilvl="6" w:tplc="BDF88354" w:tentative="1">
      <w:start w:val="1"/>
      <w:numFmt w:val="decimal"/>
      <w:lvlText w:val="%7."/>
      <w:lvlJc w:val="left"/>
      <w:pPr>
        <w:ind w:left="5550" w:hanging="360"/>
      </w:pPr>
    </w:lvl>
    <w:lvl w:ilvl="7" w:tplc="C304FB78" w:tentative="1">
      <w:start w:val="1"/>
      <w:numFmt w:val="lowerLetter"/>
      <w:lvlText w:val="%8."/>
      <w:lvlJc w:val="left"/>
      <w:pPr>
        <w:ind w:left="6270" w:hanging="360"/>
      </w:pPr>
    </w:lvl>
    <w:lvl w:ilvl="8" w:tplc="EC9A78EC" w:tentative="1">
      <w:start w:val="1"/>
      <w:numFmt w:val="lowerRoman"/>
      <w:lvlText w:val="%9."/>
      <w:lvlJc w:val="right"/>
      <w:pPr>
        <w:ind w:left="6990" w:hanging="180"/>
      </w:pPr>
    </w:lvl>
  </w:abstractNum>
  <w:abstractNum w:abstractNumId="112" w15:restartNumberingAfterBreak="0">
    <w:nsid w:val="65152A06"/>
    <w:multiLevelType w:val="hybridMultilevel"/>
    <w:tmpl w:val="FEA256CA"/>
    <w:lvl w:ilvl="0" w:tplc="7C6243B0">
      <w:start w:val="1"/>
      <w:numFmt w:val="lowerRoman"/>
      <w:lvlText w:val="%1)"/>
      <w:lvlJc w:val="left"/>
      <w:pPr>
        <w:ind w:left="1211" w:hanging="360"/>
      </w:pPr>
      <w:rPr>
        <w:rFonts w:hint="default"/>
        <w:i w:val="0"/>
        <w:iCs w:val="0"/>
      </w:rPr>
    </w:lvl>
    <w:lvl w:ilvl="1" w:tplc="115C6BE2">
      <w:start w:val="1"/>
      <w:numFmt w:val="lowerLetter"/>
      <w:lvlText w:val="%2."/>
      <w:lvlJc w:val="left"/>
      <w:pPr>
        <w:ind w:left="1931" w:hanging="360"/>
      </w:pPr>
    </w:lvl>
    <w:lvl w:ilvl="2" w:tplc="2F729CB2" w:tentative="1">
      <w:start w:val="1"/>
      <w:numFmt w:val="lowerRoman"/>
      <w:lvlText w:val="%3."/>
      <w:lvlJc w:val="right"/>
      <w:pPr>
        <w:ind w:left="2651" w:hanging="180"/>
      </w:pPr>
    </w:lvl>
    <w:lvl w:ilvl="3" w:tplc="06C2B728" w:tentative="1">
      <w:start w:val="1"/>
      <w:numFmt w:val="decimal"/>
      <w:lvlText w:val="%4."/>
      <w:lvlJc w:val="left"/>
      <w:pPr>
        <w:ind w:left="3371" w:hanging="360"/>
      </w:pPr>
    </w:lvl>
    <w:lvl w:ilvl="4" w:tplc="F0B00EB2" w:tentative="1">
      <w:start w:val="1"/>
      <w:numFmt w:val="lowerLetter"/>
      <w:lvlText w:val="%5."/>
      <w:lvlJc w:val="left"/>
      <w:pPr>
        <w:ind w:left="4091" w:hanging="360"/>
      </w:pPr>
    </w:lvl>
    <w:lvl w:ilvl="5" w:tplc="27FAF822" w:tentative="1">
      <w:start w:val="1"/>
      <w:numFmt w:val="lowerRoman"/>
      <w:lvlText w:val="%6."/>
      <w:lvlJc w:val="right"/>
      <w:pPr>
        <w:ind w:left="4811" w:hanging="180"/>
      </w:pPr>
    </w:lvl>
    <w:lvl w:ilvl="6" w:tplc="C2641722" w:tentative="1">
      <w:start w:val="1"/>
      <w:numFmt w:val="decimal"/>
      <w:lvlText w:val="%7."/>
      <w:lvlJc w:val="left"/>
      <w:pPr>
        <w:ind w:left="5531" w:hanging="360"/>
      </w:pPr>
    </w:lvl>
    <w:lvl w:ilvl="7" w:tplc="F252BCB6" w:tentative="1">
      <w:start w:val="1"/>
      <w:numFmt w:val="lowerLetter"/>
      <w:lvlText w:val="%8."/>
      <w:lvlJc w:val="left"/>
      <w:pPr>
        <w:ind w:left="6251" w:hanging="360"/>
      </w:pPr>
    </w:lvl>
    <w:lvl w:ilvl="8" w:tplc="03040DFE" w:tentative="1">
      <w:start w:val="1"/>
      <w:numFmt w:val="lowerRoman"/>
      <w:lvlText w:val="%9."/>
      <w:lvlJc w:val="right"/>
      <w:pPr>
        <w:ind w:left="6971" w:hanging="180"/>
      </w:pPr>
    </w:lvl>
  </w:abstractNum>
  <w:abstractNum w:abstractNumId="113" w15:restartNumberingAfterBreak="0">
    <w:nsid w:val="66E52E79"/>
    <w:multiLevelType w:val="multilevel"/>
    <w:tmpl w:val="49E8B49E"/>
    <w:lvl w:ilvl="0">
      <w:start w:val="1"/>
      <w:numFmt w:val="decimal"/>
      <w:lvlText w:val="%1."/>
      <w:lvlJc w:val="left"/>
      <w:pPr>
        <w:ind w:left="720" w:hanging="360"/>
      </w:pPr>
      <w:rPr>
        <w:rFonts w:hint="default"/>
        <w:b/>
        <w:bCs/>
      </w:rPr>
    </w:lvl>
    <w:lvl w:ilvl="1">
      <w:start w:val="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3196" w:hanging="144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114" w15:restartNumberingAfterBreak="0">
    <w:nsid w:val="688D3E30"/>
    <w:multiLevelType w:val="multilevel"/>
    <w:tmpl w:val="E7927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8DA5320"/>
    <w:multiLevelType w:val="hybridMultilevel"/>
    <w:tmpl w:val="921229A0"/>
    <w:lvl w:ilvl="0" w:tplc="FE34BFC4">
      <w:start w:val="1"/>
      <w:numFmt w:val="bullet"/>
      <w:lvlText w:val="-"/>
      <w:lvlJc w:val="left"/>
      <w:pPr>
        <w:ind w:left="1571" w:hanging="360"/>
      </w:pPr>
      <w:rPr>
        <w:rFonts w:ascii="Times New Roman" w:eastAsia="Times New Roman" w:hAnsi="Times New Roman" w:cs="Times New Roman" w:hint="default"/>
      </w:rPr>
    </w:lvl>
    <w:lvl w:ilvl="1" w:tplc="596045A0" w:tentative="1">
      <w:start w:val="1"/>
      <w:numFmt w:val="bullet"/>
      <w:lvlText w:val="o"/>
      <w:lvlJc w:val="left"/>
      <w:pPr>
        <w:ind w:left="2291" w:hanging="360"/>
      </w:pPr>
      <w:rPr>
        <w:rFonts w:ascii="Courier New" w:hAnsi="Courier New" w:cs="Courier New" w:hint="default"/>
      </w:rPr>
    </w:lvl>
    <w:lvl w:ilvl="2" w:tplc="99642C2A" w:tentative="1">
      <w:start w:val="1"/>
      <w:numFmt w:val="bullet"/>
      <w:lvlText w:val=""/>
      <w:lvlJc w:val="left"/>
      <w:pPr>
        <w:ind w:left="3011" w:hanging="360"/>
      </w:pPr>
      <w:rPr>
        <w:rFonts w:ascii="Wingdings" w:hAnsi="Wingdings" w:hint="default"/>
      </w:rPr>
    </w:lvl>
    <w:lvl w:ilvl="3" w:tplc="8FBECF70" w:tentative="1">
      <w:start w:val="1"/>
      <w:numFmt w:val="bullet"/>
      <w:lvlText w:val=""/>
      <w:lvlJc w:val="left"/>
      <w:pPr>
        <w:ind w:left="3731" w:hanging="360"/>
      </w:pPr>
      <w:rPr>
        <w:rFonts w:ascii="Symbol" w:hAnsi="Symbol" w:hint="default"/>
      </w:rPr>
    </w:lvl>
    <w:lvl w:ilvl="4" w:tplc="7132EA94" w:tentative="1">
      <w:start w:val="1"/>
      <w:numFmt w:val="bullet"/>
      <w:lvlText w:val="o"/>
      <w:lvlJc w:val="left"/>
      <w:pPr>
        <w:ind w:left="4451" w:hanging="360"/>
      </w:pPr>
      <w:rPr>
        <w:rFonts w:ascii="Courier New" w:hAnsi="Courier New" w:cs="Courier New" w:hint="default"/>
      </w:rPr>
    </w:lvl>
    <w:lvl w:ilvl="5" w:tplc="EC88BE8A" w:tentative="1">
      <w:start w:val="1"/>
      <w:numFmt w:val="bullet"/>
      <w:lvlText w:val=""/>
      <w:lvlJc w:val="left"/>
      <w:pPr>
        <w:ind w:left="5171" w:hanging="360"/>
      </w:pPr>
      <w:rPr>
        <w:rFonts w:ascii="Wingdings" w:hAnsi="Wingdings" w:hint="default"/>
      </w:rPr>
    </w:lvl>
    <w:lvl w:ilvl="6" w:tplc="48240586" w:tentative="1">
      <w:start w:val="1"/>
      <w:numFmt w:val="bullet"/>
      <w:lvlText w:val=""/>
      <w:lvlJc w:val="left"/>
      <w:pPr>
        <w:ind w:left="5891" w:hanging="360"/>
      </w:pPr>
      <w:rPr>
        <w:rFonts w:ascii="Symbol" w:hAnsi="Symbol" w:hint="default"/>
      </w:rPr>
    </w:lvl>
    <w:lvl w:ilvl="7" w:tplc="4E28D3B0" w:tentative="1">
      <w:start w:val="1"/>
      <w:numFmt w:val="bullet"/>
      <w:lvlText w:val="o"/>
      <w:lvlJc w:val="left"/>
      <w:pPr>
        <w:ind w:left="6611" w:hanging="360"/>
      </w:pPr>
      <w:rPr>
        <w:rFonts w:ascii="Courier New" w:hAnsi="Courier New" w:cs="Courier New" w:hint="default"/>
      </w:rPr>
    </w:lvl>
    <w:lvl w:ilvl="8" w:tplc="B03C59EA" w:tentative="1">
      <w:start w:val="1"/>
      <w:numFmt w:val="bullet"/>
      <w:lvlText w:val=""/>
      <w:lvlJc w:val="left"/>
      <w:pPr>
        <w:ind w:left="7331" w:hanging="360"/>
      </w:pPr>
      <w:rPr>
        <w:rFonts w:ascii="Wingdings" w:hAnsi="Wingdings" w:hint="default"/>
      </w:rPr>
    </w:lvl>
  </w:abstractNum>
  <w:abstractNum w:abstractNumId="116" w15:restartNumberingAfterBreak="0">
    <w:nsid w:val="69664261"/>
    <w:multiLevelType w:val="multilevel"/>
    <w:tmpl w:val="BA2E231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lowerRoman"/>
      <w:lvlText w:val="%3."/>
      <w:lvlJc w:val="left"/>
      <w:pPr>
        <w:ind w:left="2520" w:hanging="720"/>
      </w:pPr>
      <w:rPr>
        <w:rFonts w:hint="default"/>
        <w:b/>
        <w:bCs/>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69844B32"/>
    <w:multiLevelType w:val="hybridMultilevel"/>
    <w:tmpl w:val="AFA6E1EC"/>
    <w:lvl w:ilvl="0" w:tplc="7CBA7724">
      <w:start w:val="26"/>
      <w:numFmt w:val="bullet"/>
      <w:lvlText w:val="-"/>
      <w:lvlJc w:val="left"/>
      <w:pPr>
        <w:ind w:left="1080" w:hanging="360"/>
      </w:pPr>
      <w:rPr>
        <w:rFonts w:ascii="Arial" w:eastAsia="Times New Roman" w:hAnsi="Arial" w:cs="Arial" w:hint="default"/>
      </w:rPr>
    </w:lvl>
    <w:lvl w:ilvl="1" w:tplc="2AAEA41A" w:tentative="1">
      <w:start w:val="1"/>
      <w:numFmt w:val="bullet"/>
      <w:lvlText w:val="o"/>
      <w:lvlJc w:val="left"/>
      <w:pPr>
        <w:ind w:left="1800" w:hanging="360"/>
      </w:pPr>
      <w:rPr>
        <w:rFonts w:ascii="Courier New" w:hAnsi="Courier New" w:cs="Courier New" w:hint="default"/>
      </w:rPr>
    </w:lvl>
    <w:lvl w:ilvl="2" w:tplc="146A83C8" w:tentative="1">
      <w:start w:val="1"/>
      <w:numFmt w:val="bullet"/>
      <w:lvlText w:val=""/>
      <w:lvlJc w:val="left"/>
      <w:pPr>
        <w:ind w:left="2520" w:hanging="360"/>
      </w:pPr>
      <w:rPr>
        <w:rFonts w:ascii="Wingdings" w:hAnsi="Wingdings" w:hint="default"/>
      </w:rPr>
    </w:lvl>
    <w:lvl w:ilvl="3" w:tplc="01AED634" w:tentative="1">
      <w:start w:val="1"/>
      <w:numFmt w:val="bullet"/>
      <w:lvlText w:val=""/>
      <w:lvlJc w:val="left"/>
      <w:pPr>
        <w:ind w:left="3240" w:hanging="360"/>
      </w:pPr>
      <w:rPr>
        <w:rFonts w:ascii="Symbol" w:hAnsi="Symbol" w:hint="default"/>
      </w:rPr>
    </w:lvl>
    <w:lvl w:ilvl="4" w:tplc="20EAFECA" w:tentative="1">
      <w:start w:val="1"/>
      <w:numFmt w:val="bullet"/>
      <w:lvlText w:val="o"/>
      <w:lvlJc w:val="left"/>
      <w:pPr>
        <w:ind w:left="3960" w:hanging="360"/>
      </w:pPr>
      <w:rPr>
        <w:rFonts w:ascii="Courier New" w:hAnsi="Courier New" w:cs="Courier New" w:hint="default"/>
      </w:rPr>
    </w:lvl>
    <w:lvl w:ilvl="5" w:tplc="2AF67BB0" w:tentative="1">
      <w:start w:val="1"/>
      <w:numFmt w:val="bullet"/>
      <w:lvlText w:val=""/>
      <w:lvlJc w:val="left"/>
      <w:pPr>
        <w:ind w:left="4680" w:hanging="360"/>
      </w:pPr>
      <w:rPr>
        <w:rFonts w:ascii="Wingdings" w:hAnsi="Wingdings" w:hint="default"/>
      </w:rPr>
    </w:lvl>
    <w:lvl w:ilvl="6" w:tplc="B5725A64" w:tentative="1">
      <w:start w:val="1"/>
      <w:numFmt w:val="bullet"/>
      <w:lvlText w:val=""/>
      <w:lvlJc w:val="left"/>
      <w:pPr>
        <w:ind w:left="5400" w:hanging="360"/>
      </w:pPr>
      <w:rPr>
        <w:rFonts w:ascii="Symbol" w:hAnsi="Symbol" w:hint="default"/>
      </w:rPr>
    </w:lvl>
    <w:lvl w:ilvl="7" w:tplc="00760C2A" w:tentative="1">
      <w:start w:val="1"/>
      <w:numFmt w:val="bullet"/>
      <w:lvlText w:val="o"/>
      <w:lvlJc w:val="left"/>
      <w:pPr>
        <w:ind w:left="6120" w:hanging="360"/>
      </w:pPr>
      <w:rPr>
        <w:rFonts w:ascii="Courier New" w:hAnsi="Courier New" w:cs="Courier New" w:hint="default"/>
      </w:rPr>
    </w:lvl>
    <w:lvl w:ilvl="8" w:tplc="15BC521E" w:tentative="1">
      <w:start w:val="1"/>
      <w:numFmt w:val="bullet"/>
      <w:lvlText w:val=""/>
      <w:lvlJc w:val="left"/>
      <w:pPr>
        <w:ind w:left="6840" w:hanging="360"/>
      </w:pPr>
      <w:rPr>
        <w:rFonts w:ascii="Wingdings" w:hAnsi="Wingdings" w:hint="default"/>
      </w:rPr>
    </w:lvl>
  </w:abstractNum>
  <w:abstractNum w:abstractNumId="118" w15:restartNumberingAfterBreak="0">
    <w:nsid w:val="6998274D"/>
    <w:multiLevelType w:val="hybridMultilevel"/>
    <w:tmpl w:val="9370D860"/>
    <w:lvl w:ilvl="0" w:tplc="3C3C23C2">
      <w:start w:val="1"/>
      <w:numFmt w:val="decimal"/>
      <w:lvlText w:val="%1."/>
      <w:lvlJc w:val="left"/>
      <w:pPr>
        <w:ind w:left="720" w:hanging="360"/>
      </w:pPr>
      <w:rPr>
        <w:rFonts w:hint="default"/>
      </w:rPr>
    </w:lvl>
    <w:lvl w:ilvl="1" w:tplc="2974D1CC" w:tentative="1">
      <w:start w:val="1"/>
      <w:numFmt w:val="lowerLetter"/>
      <w:lvlText w:val="%2."/>
      <w:lvlJc w:val="left"/>
      <w:pPr>
        <w:ind w:left="1440" w:hanging="360"/>
      </w:pPr>
    </w:lvl>
    <w:lvl w:ilvl="2" w:tplc="3B86EB30" w:tentative="1">
      <w:start w:val="1"/>
      <w:numFmt w:val="lowerRoman"/>
      <w:lvlText w:val="%3."/>
      <w:lvlJc w:val="right"/>
      <w:pPr>
        <w:ind w:left="2160" w:hanging="180"/>
      </w:pPr>
    </w:lvl>
    <w:lvl w:ilvl="3" w:tplc="2B6AD63A" w:tentative="1">
      <w:start w:val="1"/>
      <w:numFmt w:val="decimal"/>
      <w:lvlText w:val="%4."/>
      <w:lvlJc w:val="left"/>
      <w:pPr>
        <w:ind w:left="2880" w:hanging="360"/>
      </w:pPr>
    </w:lvl>
    <w:lvl w:ilvl="4" w:tplc="2B3CF338" w:tentative="1">
      <w:start w:val="1"/>
      <w:numFmt w:val="lowerLetter"/>
      <w:lvlText w:val="%5."/>
      <w:lvlJc w:val="left"/>
      <w:pPr>
        <w:ind w:left="3600" w:hanging="360"/>
      </w:pPr>
    </w:lvl>
    <w:lvl w:ilvl="5" w:tplc="4F46C28C" w:tentative="1">
      <w:start w:val="1"/>
      <w:numFmt w:val="lowerRoman"/>
      <w:lvlText w:val="%6."/>
      <w:lvlJc w:val="right"/>
      <w:pPr>
        <w:ind w:left="4320" w:hanging="180"/>
      </w:pPr>
    </w:lvl>
    <w:lvl w:ilvl="6" w:tplc="27B8433A" w:tentative="1">
      <w:start w:val="1"/>
      <w:numFmt w:val="decimal"/>
      <w:lvlText w:val="%7."/>
      <w:lvlJc w:val="left"/>
      <w:pPr>
        <w:ind w:left="5040" w:hanging="360"/>
      </w:pPr>
    </w:lvl>
    <w:lvl w:ilvl="7" w:tplc="8D94F714" w:tentative="1">
      <w:start w:val="1"/>
      <w:numFmt w:val="lowerLetter"/>
      <w:lvlText w:val="%8."/>
      <w:lvlJc w:val="left"/>
      <w:pPr>
        <w:ind w:left="5760" w:hanging="360"/>
      </w:pPr>
    </w:lvl>
    <w:lvl w:ilvl="8" w:tplc="855A38FE" w:tentative="1">
      <w:start w:val="1"/>
      <w:numFmt w:val="lowerRoman"/>
      <w:lvlText w:val="%9."/>
      <w:lvlJc w:val="right"/>
      <w:pPr>
        <w:ind w:left="6480" w:hanging="180"/>
      </w:pPr>
    </w:lvl>
  </w:abstractNum>
  <w:abstractNum w:abstractNumId="119" w15:restartNumberingAfterBreak="0">
    <w:nsid w:val="69C337A6"/>
    <w:multiLevelType w:val="hybridMultilevel"/>
    <w:tmpl w:val="2F4A9A34"/>
    <w:lvl w:ilvl="0" w:tplc="A87876C0">
      <w:start w:val="1"/>
      <w:numFmt w:val="decimal"/>
      <w:lvlText w:val="%1."/>
      <w:lvlJc w:val="left"/>
      <w:pPr>
        <w:ind w:left="720" w:hanging="360"/>
      </w:pPr>
      <w:rPr>
        <w:rFonts w:hint="default"/>
      </w:rPr>
    </w:lvl>
    <w:lvl w:ilvl="1" w:tplc="418C2DFC" w:tentative="1">
      <w:start w:val="1"/>
      <w:numFmt w:val="lowerLetter"/>
      <w:lvlText w:val="%2."/>
      <w:lvlJc w:val="left"/>
      <w:pPr>
        <w:ind w:left="1440" w:hanging="360"/>
      </w:pPr>
    </w:lvl>
    <w:lvl w:ilvl="2" w:tplc="A47EF3DA" w:tentative="1">
      <w:start w:val="1"/>
      <w:numFmt w:val="lowerRoman"/>
      <w:lvlText w:val="%3."/>
      <w:lvlJc w:val="right"/>
      <w:pPr>
        <w:ind w:left="2160" w:hanging="180"/>
      </w:pPr>
    </w:lvl>
    <w:lvl w:ilvl="3" w:tplc="72767360" w:tentative="1">
      <w:start w:val="1"/>
      <w:numFmt w:val="decimal"/>
      <w:lvlText w:val="%4."/>
      <w:lvlJc w:val="left"/>
      <w:pPr>
        <w:ind w:left="2880" w:hanging="360"/>
      </w:pPr>
    </w:lvl>
    <w:lvl w:ilvl="4" w:tplc="B9C67370" w:tentative="1">
      <w:start w:val="1"/>
      <w:numFmt w:val="lowerLetter"/>
      <w:lvlText w:val="%5."/>
      <w:lvlJc w:val="left"/>
      <w:pPr>
        <w:ind w:left="3600" w:hanging="360"/>
      </w:pPr>
    </w:lvl>
    <w:lvl w:ilvl="5" w:tplc="2AF8DCD0" w:tentative="1">
      <w:start w:val="1"/>
      <w:numFmt w:val="lowerRoman"/>
      <w:lvlText w:val="%6."/>
      <w:lvlJc w:val="right"/>
      <w:pPr>
        <w:ind w:left="4320" w:hanging="180"/>
      </w:pPr>
    </w:lvl>
    <w:lvl w:ilvl="6" w:tplc="9E825C78" w:tentative="1">
      <w:start w:val="1"/>
      <w:numFmt w:val="decimal"/>
      <w:lvlText w:val="%7."/>
      <w:lvlJc w:val="left"/>
      <w:pPr>
        <w:ind w:left="5040" w:hanging="360"/>
      </w:pPr>
    </w:lvl>
    <w:lvl w:ilvl="7" w:tplc="03F4F138" w:tentative="1">
      <w:start w:val="1"/>
      <w:numFmt w:val="lowerLetter"/>
      <w:lvlText w:val="%8."/>
      <w:lvlJc w:val="left"/>
      <w:pPr>
        <w:ind w:left="5760" w:hanging="360"/>
      </w:pPr>
    </w:lvl>
    <w:lvl w:ilvl="8" w:tplc="871A8AA2" w:tentative="1">
      <w:start w:val="1"/>
      <w:numFmt w:val="lowerRoman"/>
      <w:lvlText w:val="%9."/>
      <w:lvlJc w:val="right"/>
      <w:pPr>
        <w:ind w:left="6480" w:hanging="180"/>
      </w:pPr>
    </w:lvl>
  </w:abstractNum>
  <w:abstractNum w:abstractNumId="120" w15:restartNumberingAfterBreak="0">
    <w:nsid w:val="6A0458C4"/>
    <w:multiLevelType w:val="multilevel"/>
    <w:tmpl w:val="57806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6AE653B4"/>
    <w:multiLevelType w:val="hybridMultilevel"/>
    <w:tmpl w:val="B41E8AC8"/>
    <w:lvl w:ilvl="0" w:tplc="1ACA39B2">
      <w:start w:val="1"/>
      <w:numFmt w:val="lowerLetter"/>
      <w:lvlText w:val="%1)"/>
      <w:lvlJc w:val="left"/>
      <w:pPr>
        <w:ind w:left="720" w:hanging="360"/>
      </w:pPr>
    </w:lvl>
    <w:lvl w:ilvl="1" w:tplc="ED64A994">
      <w:start w:val="1"/>
      <w:numFmt w:val="lowerLetter"/>
      <w:lvlText w:val="%2."/>
      <w:lvlJc w:val="left"/>
      <w:pPr>
        <w:ind w:left="1440" w:hanging="360"/>
      </w:pPr>
    </w:lvl>
    <w:lvl w:ilvl="2" w:tplc="2F60E29E" w:tentative="1">
      <w:start w:val="1"/>
      <w:numFmt w:val="lowerRoman"/>
      <w:lvlText w:val="%3."/>
      <w:lvlJc w:val="right"/>
      <w:pPr>
        <w:ind w:left="2160" w:hanging="180"/>
      </w:pPr>
    </w:lvl>
    <w:lvl w:ilvl="3" w:tplc="51D02D04" w:tentative="1">
      <w:start w:val="1"/>
      <w:numFmt w:val="decimal"/>
      <w:lvlText w:val="%4."/>
      <w:lvlJc w:val="left"/>
      <w:pPr>
        <w:ind w:left="2880" w:hanging="360"/>
      </w:pPr>
    </w:lvl>
    <w:lvl w:ilvl="4" w:tplc="65DC3658" w:tentative="1">
      <w:start w:val="1"/>
      <w:numFmt w:val="lowerLetter"/>
      <w:lvlText w:val="%5."/>
      <w:lvlJc w:val="left"/>
      <w:pPr>
        <w:ind w:left="3600" w:hanging="360"/>
      </w:pPr>
    </w:lvl>
    <w:lvl w:ilvl="5" w:tplc="5B64770A" w:tentative="1">
      <w:start w:val="1"/>
      <w:numFmt w:val="lowerRoman"/>
      <w:lvlText w:val="%6."/>
      <w:lvlJc w:val="right"/>
      <w:pPr>
        <w:ind w:left="4320" w:hanging="180"/>
      </w:pPr>
    </w:lvl>
    <w:lvl w:ilvl="6" w:tplc="43C0B018" w:tentative="1">
      <w:start w:val="1"/>
      <w:numFmt w:val="decimal"/>
      <w:lvlText w:val="%7."/>
      <w:lvlJc w:val="left"/>
      <w:pPr>
        <w:ind w:left="5040" w:hanging="360"/>
      </w:pPr>
    </w:lvl>
    <w:lvl w:ilvl="7" w:tplc="08C825B6" w:tentative="1">
      <w:start w:val="1"/>
      <w:numFmt w:val="lowerLetter"/>
      <w:lvlText w:val="%8."/>
      <w:lvlJc w:val="left"/>
      <w:pPr>
        <w:ind w:left="5760" w:hanging="360"/>
      </w:pPr>
    </w:lvl>
    <w:lvl w:ilvl="8" w:tplc="328EBAB6" w:tentative="1">
      <w:start w:val="1"/>
      <w:numFmt w:val="lowerRoman"/>
      <w:lvlText w:val="%9."/>
      <w:lvlJc w:val="right"/>
      <w:pPr>
        <w:ind w:left="6480" w:hanging="180"/>
      </w:pPr>
    </w:lvl>
  </w:abstractNum>
  <w:abstractNum w:abstractNumId="122" w15:restartNumberingAfterBreak="0">
    <w:nsid w:val="6C01214D"/>
    <w:multiLevelType w:val="multilevel"/>
    <w:tmpl w:val="9926DDB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decimal"/>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rPr>
    </w:lvl>
    <w:lvl w:ilvl="5">
      <w:start w:val="1"/>
      <w:numFmt w:val="lowerLetter"/>
      <w:lvlText w:val="%6)"/>
      <w:lvlJc w:val="left"/>
      <w:pPr>
        <w:ind w:left="4320" w:hanging="360"/>
      </w:pPr>
      <w:rPr>
        <w:rFonts w:hint="default"/>
        <w:b/>
        <w:bCs/>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6C1B2107"/>
    <w:multiLevelType w:val="hybridMultilevel"/>
    <w:tmpl w:val="98C648A0"/>
    <w:lvl w:ilvl="0" w:tplc="27FEB0DC">
      <w:start w:val="1"/>
      <w:numFmt w:val="bullet"/>
      <w:lvlText w:val="-"/>
      <w:lvlJc w:val="left"/>
      <w:pPr>
        <w:ind w:left="1146" w:hanging="360"/>
      </w:pPr>
      <w:rPr>
        <w:rFonts w:ascii="Times New Roman" w:eastAsia="Times New Roman" w:hAnsi="Times New Roman" w:cs="Times New Roman" w:hint="default"/>
      </w:rPr>
    </w:lvl>
    <w:lvl w:ilvl="1" w:tplc="96FA60EE" w:tentative="1">
      <w:start w:val="1"/>
      <w:numFmt w:val="bullet"/>
      <w:lvlText w:val="o"/>
      <w:lvlJc w:val="left"/>
      <w:pPr>
        <w:ind w:left="1866" w:hanging="360"/>
      </w:pPr>
      <w:rPr>
        <w:rFonts w:ascii="Courier New" w:hAnsi="Courier New" w:cs="Courier New" w:hint="default"/>
      </w:rPr>
    </w:lvl>
    <w:lvl w:ilvl="2" w:tplc="E0466772" w:tentative="1">
      <w:start w:val="1"/>
      <w:numFmt w:val="bullet"/>
      <w:lvlText w:val=""/>
      <w:lvlJc w:val="left"/>
      <w:pPr>
        <w:ind w:left="2586" w:hanging="360"/>
      </w:pPr>
      <w:rPr>
        <w:rFonts w:ascii="Wingdings" w:hAnsi="Wingdings" w:hint="default"/>
      </w:rPr>
    </w:lvl>
    <w:lvl w:ilvl="3" w:tplc="DF904254" w:tentative="1">
      <w:start w:val="1"/>
      <w:numFmt w:val="bullet"/>
      <w:lvlText w:val=""/>
      <w:lvlJc w:val="left"/>
      <w:pPr>
        <w:ind w:left="3306" w:hanging="360"/>
      </w:pPr>
      <w:rPr>
        <w:rFonts w:ascii="Symbol" w:hAnsi="Symbol" w:hint="default"/>
      </w:rPr>
    </w:lvl>
    <w:lvl w:ilvl="4" w:tplc="08169014" w:tentative="1">
      <w:start w:val="1"/>
      <w:numFmt w:val="bullet"/>
      <w:lvlText w:val="o"/>
      <w:lvlJc w:val="left"/>
      <w:pPr>
        <w:ind w:left="4026" w:hanging="360"/>
      </w:pPr>
      <w:rPr>
        <w:rFonts w:ascii="Courier New" w:hAnsi="Courier New" w:cs="Courier New" w:hint="default"/>
      </w:rPr>
    </w:lvl>
    <w:lvl w:ilvl="5" w:tplc="CBC249F2" w:tentative="1">
      <w:start w:val="1"/>
      <w:numFmt w:val="bullet"/>
      <w:lvlText w:val=""/>
      <w:lvlJc w:val="left"/>
      <w:pPr>
        <w:ind w:left="4746" w:hanging="360"/>
      </w:pPr>
      <w:rPr>
        <w:rFonts w:ascii="Wingdings" w:hAnsi="Wingdings" w:hint="default"/>
      </w:rPr>
    </w:lvl>
    <w:lvl w:ilvl="6" w:tplc="310AAB90" w:tentative="1">
      <w:start w:val="1"/>
      <w:numFmt w:val="bullet"/>
      <w:lvlText w:val=""/>
      <w:lvlJc w:val="left"/>
      <w:pPr>
        <w:ind w:left="5466" w:hanging="360"/>
      </w:pPr>
      <w:rPr>
        <w:rFonts w:ascii="Symbol" w:hAnsi="Symbol" w:hint="default"/>
      </w:rPr>
    </w:lvl>
    <w:lvl w:ilvl="7" w:tplc="67B6280E" w:tentative="1">
      <w:start w:val="1"/>
      <w:numFmt w:val="bullet"/>
      <w:lvlText w:val="o"/>
      <w:lvlJc w:val="left"/>
      <w:pPr>
        <w:ind w:left="6186" w:hanging="360"/>
      </w:pPr>
      <w:rPr>
        <w:rFonts w:ascii="Courier New" w:hAnsi="Courier New" w:cs="Courier New" w:hint="default"/>
      </w:rPr>
    </w:lvl>
    <w:lvl w:ilvl="8" w:tplc="2124D4B6" w:tentative="1">
      <w:start w:val="1"/>
      <w:numFmt w:val="bullet"/>
      <w:lvlText w:val=""/>
      <w:lvlJc w:val="left"/>
      <w:pPr>
        <w:ind w:left="6906" w:hanging="360"/>
      </w:pPr>
      <w:rPr>
        <w:rFonts w:ascii="Wingdings" w:hAnsi="Wingdings" w:hint="default"/>
      </w:rPr>
    </w:lvl>
  </w:abstractNum>
  <w:abstractNum w:abstractNumId="124" w15:restartNumberingAfterBreak="0">
    <w:nsid w:val="6D301885"/>
    <w:multiLevelType w:val="hybridMultilevel"/>
    <w:tmpl w:val="E1D0890C"/>
    <w:lvl w:ilvl="0" w:tplc="216815F8">
      <w:start w:val="1"/>
      <w:numFmt w:val="bullet"/>
      <w:lvlText w:val=""/>
      <w:lvlJc w:val="left"/>
      <w:pPr>
        <w:ind w:left="1080" w:hanging="360"/>
      </w:pPr>
      <w:rPr>
        <w:rFonts w:ascii="Symbol" w:hAnsi="Symbol" w:hint="default"/>
      </w:rPr>
    </w:lvl>
    <w:lvl w:ilvl="1" w:tplc="371C9D20" w:tentative="1">
      <w:start w:val="1"/>
      <w:numFmt w:val="lowerLetter"/>
      <w:lvlText w:val="%2."/>
      <w:lvlJc w:val="left"/>
      <w:pPr>
        <w:ind w:left="1800" w:hanging="360"/>
      </w:pPr>
    </w:lvl>
    <w:lvl w:ilvl="2" w:tplc="84E85768" w:tentative="1">
      <w:start w:val="1"/>
      <w:numFmt w:val="lowerRoman"/>
      <w:lvlText w:val="%3."/>
      <w:lvlJc w:val="right"/>
      <w:pPr>
        <w:ind w:left="2520" w:hanging="180"/>
      </w:pPr>
    </w:lvl>
    <w:lvl w:ilvl="3" w:tplc="8FE2717C" w:tentative="1">
      <w:start w:val="1"/>
      <w:numFmt w:val="decimal"/>
      <w:lvlText w:val="%4."/>
      <w:lvlJc w:val="left"/>
      <w:pPr>
        <w:ind w:left="3240" w:hanging="360"/>
      </w:pPr>
    </w:lvl>
    <w:lvl w:ilvl="4" w:tplc="2A820BDE" w:tentative="1">
      <w:start w:val="1"/>
      <w:numFmt w:val="lowerLetter"/>
      <w:lvlText w:val="%5."/>
      <w:lvlJc w:val="left"/>
      <w:pPr>
        <w:ind w:left="3960" w:hanging="360"/>
      </w:pPr>
    </w:lvl>
    <w:lvl w:ilvl="5" w:tplc="8C68D548" w:tentative="1">
      <w:start w:val="1"/>
      <w:numFmt w:val="lowerRoman"/>
      <w:lvlText w:val="%6."/>
      <w:lvlJc w:val="right"/>
      <w:pPr>
        <w:ind w:left="4680" w:hanging="180"/>
      </w:pPr>
    </w:lvl>
    <w:lvl w:ilvl="6" w:tplc="C4323ED4" w:tentative="1">
      <w:start w:val="1"/>
      <w:numFmt w:val="decimal"/>
      <w:lvlText w:val="%7."/>
      <w:lvlJc w:val="left"/>
      <w:pPr>
        <w:ind w:left="5400" w:hanging="360"/>
      </w:pPr>
    </w:lvl>
    <w:lvl w:ilvl="7" w:tplc="BD669996" w:tentative="1">
      <w:start w:val="1"/>
      <w:numFmt w:val="lowerLetter"/>
      <w:lvlText w:val="%8."/>
      <w:lvlJc w:val="left"/>
      <w:pPr>
        <w:ind w:left="6120" w:hanging="360"/>
      </w:pPr>
    </w:lvl>
    <w:lvl w:ilvl="8" w:tplc="9E4C4418" w:tentative="1">
      <w:start w:val="1"/>
      <w:numFmt w:val="lowerRoman"/>
      <w:lvlText w:val="%9."/>
      <w:lvlJc w:val="right"/>
      <w:pPr>
        <w:ind w:left="6840" w:hanging="180"/>
      </w:pPr>
    </w:lvl>
  </w:abstractNum>
  <w:abstractNum w:abstractNumId="125" w15:restartNumberingAfterBreak="0">
    <w:nsid w:val="6EB4310F"/>
    <w:multiLevelType w:val="multilevel"/>
    <w:tmpl w:val="11C6384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lvl>
    <w:lvl w:ilvl="2">
      <w:start w:val="2"/>
      <w:numFmt w:val="lowerRoman"/>
      <w:lvlText w:val="%3."/>
      <w:lvlJc w:val="left"/>
      <w:pPr>
        <w:ind w:left="2520" w:hanging="720"/>
      </w:pPr>
      <w:rPr>
        <w:rFonts w:cs="Times New Roman" w:hint="default"/>
        <w:b/>
      </w:rPr>
    </w:lvl>
    <w:lvl w:ilvl="3">
      <w:start w:val="1"/>
      <w:numFmt w:val="decimal"/>
      <w:lvlText w:val="%4."/>
      <w:lvlJc w:val="left"/>
      <w:pPr>
        <w:ind w:left="2880" w:hanging="360"/>
      </w:pPr>
      <w:rPr>
        <w:rFonts w:hint="default"/>
        <w:b/>
        <w:bCs/>
      </w:rPr>
    </w:lvl>
    <w:lvl w:ilvl="4">
      <w:start w:val="4"/>
      <w:numFmt w:val="upperLetter"/>
      <w:lvlText w:val="%5)"/>
      <w:lvlJc w:val="left"/>
      <w:pPr>
        <w:ind w:left="3600" w:hanging="360"/>
      </w:pPr>
      <w:rPr>
        <w:rFonts w:hint="default"/>
        <w:b/>
        <w:bCs/>
      </w:rPr>
    </w:lvl>
    <w:lvl w:ilvl="5">
      <w:start w:val="1"/>
      <w:numFmt w:val="decimal"/>
      <w:lvlText w:val="%6)"/>
      <w:lvlJc w:val="left"/>
      <w:pPr>
        <w:ind w:left="4320" w:hanging="360"/>
      </w:pPr>
      <w:rPr>
        <w:rFonts w:hint="default"/>
        <w:b/>
        <w:bCs/>
      </w:rPr>
    </w:lvl>
    <w:lvl w:ilvl="6">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02A59AB"/>
    <w:multiLevelType w:val="multilevel"/>
    <w:tmpl w:val="6F86F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085010F"/>
    <w:multiLevelType w:val="hybridMultilevel"/>
    <w:tmpl w:val="48507C04"/>
    <w:lvl w:ilvl="0" w:tplc="1214CBD8">
      <w:start w:val="1"/>
      <w:numFmt w:val="bullet"/>
      <w:lvlText w:val="-"/>
      <w:lvlJc w:val="left"/>
      <w:pPr>
        <w:ind w:left="720" w:hanging="360"/>
      </w:pPr>
      <w:rPr>
        <w:rFonts w:ascii="Times New Roman" w:eastAsia="Times New Roman" w:hAnsi="Times New Roman" w:cs="Times New Roman" w:hint="default"/>
      </w:rPr>
    </w:lvl>
    <w:lvl w:ilvl="1" w:tplc="C2A23FD2" w:tentative="1">
      <w:start w:val="1"/>
      <w:numFmt w:val="bullet"/>
      <w:lvlText w:val="o"/>
      <w:lvlJc w:val="left"/>
      <w:pPr>
        <w:ind w:left="1440" w:hanging="360"/>
      </w:pPr>
      <w:rPr>
        <w:rFonts w:ascii="Courier New" w:hAnsi="Courier New" w:cs="Courier New" w:hint="default"/>
      </w:rPr>
    </w:lvl>
    <w:lvl w:ilvl="2" w:tplc="E5B61560" w:tentative="1">
      <w:start w:val="1"/>
      <w:numFmt w:val="bullet"/>
      <w:lvlText w:val=""/>
      <w:lvlJc w:val="left"/>
      <w:pPr>
        <w:ind w:left="2160" w:hanging="360"/>
      </w:pPr>
      <w:rPr>
        <w:rFonts w:ascii="Wingdings" w:hAnsi="Wingdings" w:hint="default"/>
      </w:rPr>
    </w:lvl>
    <w:lvl w:ilvl="3" w:tplc="4B6AA46C" w:tentative="1">
      <w:start w:val="1"/>
      <w:numFmt w:val="bullet"/>
      <w:lvlText w:val=""/>
      <w:lvlJc w:val="left"/>
      <w:pPr>
        <w:ind w:left="2880" w:hanging="360"/>
      </w:pPr>
      <w:rPr>
        <w:rFonts w:ascii="Symbol" w:hAnsi="Symbol" w:hint="default"/>
      </w:rPr>
    </w:lvl>
    <w:lvl w:ilvl="4" w:tplc="301020B0" w:tentative="1">
      <w:start w:val="1"/>
      <w:numFmt w:val="bullet"/>
      <w:lvlText w:val="o"/>
      <w:lvlJc w:val="left"/>
      <w:pPr>
        <w:ind w:left="3600" w:hanging="360"/>
      </w:pPr>
      <w:rPr>
        <w:rFonts w:ascii="Courier New" w:hAnsi="Courier New" w:cs="Courier New" w:hint="default"/>
      </w:rPr>
    </w:lvl>
    <w:lvl w:ilvl="5" w:tplc="601A3E4A" w:tentative="1">
      <w:start w:val="1"/>
      <w:numFmt w:val="bullet"/>
      <w:lvlText w:val=""/>
      <w:lvlJc w:val="left"/>
      <w:pPr>
        <w:ind w:left="4320" w:hanging="360"/>
      </w:pPr>
      <w:rPr>
        <w:rFonts w:ascii="Wingdings" w:hAnsi="Wingdings" w:hint="default"/>
      </w:rPr>
    </w:lvl>
    <w:lvl w:ilvl="6" w:tplc="279287B8" w:tentative="1">
      <w:start w:val="1"/>
      <w:numFmt w:val="bullet"/>
      <w:lvlText w:val=""/>
      <w:lvlJc w:val="left"/>
      <w:pPr>
        <w:ind w:left="5040" w:hanging="360"/>
      </w:pPr>
      <w:rPr>
        <w:rFonts w:ascii="Symbol" w:hAnsi="Symbol" w:hint="default"/>
      </w:rPr>
    </w:lvl>
    <w:lvl w:ilvl="7" w:tplc="2FB82584" w:tentative="1">
      <w:start w:val="1"/>
      <w:numFmt w:val="bullet"/>
      <w:lvlText w:val="o"/>
      <w:lvlJc w:val="left"/>
      <w:pPr>
        <w:ind w:left="5760" w:hanging="360"/>
      </w:pPr>
      <w:rPr>
        <w:rFonts w:ascii="Courier New" w:hAnsi="Courier New" w:cs="Courier New" w:hint="default"/>
      </w:rPr>
    </w:lvl>
    <w:lvl w:ilvl="8" w:tplc="B73ABBA6" w:tentative="1">
      <w:start w:val="1"/>
      <w:numFmt w:val="bullet"/>
      <w:lvlText w:val=""/>
      <w:lvlJc w:val="left"/>
      <w:pPr>
        <w:ind w:left="6480" w:hanging="360"/>
      </w:pPr>
      <w:rPr>
        <w:rFonts w:ascii="Wingdings" w:hAnsi="Wingdings" w:hint="default"/>
      </w:rPr>
    </w:lvl>
  </w:abstractNum>
  <w:abstractNum w:abstractNumId="128" w15:restartNumberingAfterBreak="0">
    <w:nsid w:val="70AF2873"/>
    <w:multiLevelType w:val="hybridMultilevel"/>
    <w:tmpl w:val="300CADB2"/>
    <w:lvl w:ilvl="0" w:tplc="9A9CC4E6">
      <w:start w:val="1"/>
      <w:numFmt w:val="decimal"/>
      <w:lvlText w:val="%1."/>
      <w:lvlJc w:val="left"/>
      <w:pPr>
        <w:ind w:left="720" w:hanging="360"/>
      </w:pPr>
      <w:rPr>
        <w:rFonts w:hint="default"/>
      </w:rPr>
    </w:lvl>
    <w:lvl w:ilvl="1" w:tplc="1F6AA586" w:tentative="1">
      <w:start w:val="1"/>
      <w:numFmt w:val="lowerLetter"/>
      <w:lvlText w:val="%2."/>
      <w:lvlJc w:val="left"/>
      <w:pPr>
        <w:ind w:left="1440" w:hanging="360"/>
      </w:pPr>
    </w:lvl>
    <w:lvl w:ilvl="2" w:tplc="B526F4EA" w:tentative="1">
      <w:start w:val="1"/>
      <w:numFmt w:val="lowerRoman"/>
      <w:lvlText w:val="%3."/>
      <w:lvlJc w:val="right"/>
      <w:pPr>
        <w:ind w:left="2160" w:hanging="180"/>
      </w:pPr>
    </w:lvl>
    <w:lvl w:ilvl="3" w:tplc="7FFE93F6" w:tentative="1">
      <w:start w:val="1"/>
      <w:numFmt w:val="decimal"/>
      <w:lvlText w:val="%4."/>
      <w:lvlJc w:val="left"/>
      <w:pPr>
        <w:ind w:left="2880" w:hanging="360"/>
      </w:pPr>
    </w:lvl>
    <w:lvl w:ilvl="4" w:tplc="EC96EACC" w:tentative="1">
      <w:start w:val="1"/>
      <w:numFmt w:val="lowerLetter"/>
      <w:lvlText w:val="%5."/>
      <w:lvlJc w:val="left"/>
      <w:pPr>
        <w:ind w:left="3600" w:hanging="360"/>
      </w:pPr>
    </w:lvl>
    <w:lvl w:ilvl="5" w:tplc="532AD2DA" w:tentative="1">
      <w:start w:val="1"/>
      <w:numFmt w:val="lowerRoman"/>
      <w:lvlText w:val="%6."/>
      <w:lvlJc w:val="right"/>
      <w:pPr>
        <w:ind w:left="4320" w:hanging="180"/>
      </w:pPr>
    </w:lvl>
    <w:lvl w:ilvl="6" w:tplc="88127DB2" w:tentative="1">
      <w:start w:val="1"/>
      <w:numFmt w:val="decimal"/>
      <w:lvlText w:val="%7."/>
      <w:lvlJc w:val="left"/>
      <w:pPr>
        <w:ind w:left="5040" w:hanging="360"/>
      </w:pPr>
    </w:lvl>
    <w:lvl w:ilvl="7" w:tplc="8798515A" w:tentative="1">
      <w:start w:val="1"/>
      <w:numFmt w:val="lowerLetter"/>
      <w:lvlText w:val="%8."/>
      <w:lvlJc w:val="left"/>
      <w:pPr>
        <w:ind w:left="5760" w:hanging="360"/>
      </w:pPr>
    </w:lvl>
    <w:lvl w:ilvl="8" w:tplc="403C9C78" w:tentative="1">
      <w:start w:val="1"/>
      <w:numFmt w:val="lowerRoman"/>
      <w:lvlText w:val="%9."/>
      <w:lvlJc w:val="right"/>
      <w:pPr>
        <w:ind w:left="6480" w:hanging="180"/>
      </w:pPr>
    </w:lvl>
  </w:abstractNum>
  <w:abstractNum w:abstractNumId="129" w15:restartNumberingAfterBreak="0">
    <w:nsid w:val="70C86CEF"/>
    <w:multiLevelType w:val="hybridMultilevel"/>
    <w:tmpl w:val="9B1E754A"/>
    <w:lvl w:ilvl="0" w:tplc="4D426522">
      <w:start w:val="1"/>
      <w:numFmt w:val="upperLetter"/>
      <w:lvlText w:val="%1)"/>
      <w:lvlJc w:val="left"/>
      <w:pPr>
        <w:ind w:left="3338" w:hanging="360"/>
      </w:pPr>
      <w:rPr>
        <w:rFonts w:ascii="Cambria" w:hAnsi="Cambria" w:cs="Times New Roman" w:hint="default"/>
        <w:b w:val="0"/>
        <w:bCs/>
        <w:i w:val="0"/>
      </w:rPr>
    </w:lvl>
    <w:lvl w:ilvl="1" w:tplc="3920CEA2" w:tentative="1">
      <w:start w:val="1"/>
      <w:numFmt w:val="lowerLetter"/>
      <w:lvlText w:val="%2."/>
      <w:lvlJc w:val="left"/>
      <w:pPr>
        <w:ind w:left="4058" w:hanging="360"/>
      </w:pPr>
    </w:lvl>
    <w:lvl w:ilvl="2" w:tplc="A1C8056E" w:tentative="1">
      <w:start w:val="1"/>
      <w:numFmt w:val="lowerRoman"/>
      <w:lvlText w:val="%3."/>
      <w:lvlJc w:val="right"/>
      <w:pPr>
        <w:ind w:left="4778" w:hanging="180"/>
      </w:pPr>
    </w:lvl>
    <w:lvl w:ilvl="3" w:tplc="9A4CC48C" w:tentative="1">
      <w:start w:val="1"/>
      <w:numFmt w:val="decimal"/>
      <w:lvlText w:val="%4."/>
      <w:lvlJc w:val="left"/>
      <w:pPr>
        <w:ind w:left="5498" w:hanging="360"/>
      </w:pPr>
    </w:lvl>
    <w:lvl w:ilvl="4" w:tplc="AFB2B1A4">
      <w:start w:val="1"/>
      <w:numFmt w:val="lowerLetter"/>
      <w:lvlText w:val="%5."/>
      <w:lvlJc w:val="left"/>
      <w:pPr>
        <w:ind w:left="6218" w:hanging="360"/>
      </w:pPr>
    </w:lvl>
    <w:lvl w:ilvl="5" w:tplc="8B42F612">
      <w:start w:val="1"/>
      <w:numFmt w:val="decimal"/>
      <w:lvlText w:val="%6)"/>
      <w:lvlJc w:val="left"/>
      <w:pPr>
        <w:ind w:left="7118" w:hanging="360"/>
      </w:pPr>
    </w:lvl>
    <w:lvl w:ilvl="6" w:tplc="9A8C7F40" w:tentative="1">
      <w:start w:val="1"/>
      <w:numFmt w:val="decimal"/>
      <w:lvlText w:val="%7."/>
      <w:lvlJc w:val="left"/>
      <w:pPr>
        <w:ind w:left="7658" w:hanging="360"/>
      </w:pPr>
    </w:lvl>
    <w:lvl w:ilvl="7" w:tplc="3AF8857E" w:tentative="1">
      <w:start w:val="1"/>
      <w:numFmt w:val="lowerLetter"/>
      <w:lvlText w:val="%8."/>
      <w:lvlJc w:val="left"/>
      <w:pPr>
        <w:ind w:left="8378" w:hanging="360"/>
      </w:pPr>
    </w:lvl>
    <w:lvl w:ilvl="8" w:tplc="CE52BF2A" w:tentative="1">
      <w:start w:val="1"/>
      <w:numFmt w:val="lowerRoman"/>
      <w:lvlText w:val="%9."/>
      <w:lvlJc w:val="right"/>
      <w:pPr>
        <w:ind w:left="9098" w:hanging="180"/>
      </w:pPr>
    </w:lvl>
  </w:abstractNum>
  <w:abstractNum w:abstractNumId="130" w15:restartNumberingAfterBreak="0">
    <w:nsid w:val="727B3413"/>
    <w:multiLevelType w:val="multilevel"/>
    <w:tmpl w:val="D2AA83B4"/>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3A553DF"/>
    <w:multiLevelType w:val="hybridMultilevel"/>
    <w:tmpl w:val="CD9A41D0"/>
    <w:lvl w:ilvl="0" w:tplc="0608E1C2">
      <w:start w:val="1"/>
      <w:numFmt w:val="lowerRoman"/>
      <w:lvlText w:val="%1."/>
      <w:lvlJc w:val="left"/>
      <w:pPr>
        <w:ind w:left="1440" w:hanging="360"/>
      </w:pPr>
      <w:rPr>
        <w:rFonts w:hint="default"/>
      </w:rPr>
    </w:lvl>
    <w:lvl w:ilvl="1" w:tplc="655C1130" w:tentative="1">
      <w:start w:val="1"/>
      <w:numFmt w:val="lowerLetter"/>
      <w:lvlText w:val="%2."/>
      <w:lvlJc w:val="left"/>
      <w:pPr>
        <w:ind w:left="2160" w:hanging="360"/>
      </w:pPr>
    </w:lvl>
    <w:lvl w:ilvl="2" w:tplc="9A566AA6" w:tentative="1">
      <w:start w:val="1"/>
      <w:numFmt w:val="lowerRoman"/>
      <w:lvlText w:val="%3."/>
      <w:lvlJc w:val="right"/>
      <w:pPr>
        <w:ind w:left="2880" w:hanging="180"/>
      </w:pPr>
    </w:lvl>
    <w:lvl w:ilvl="3" w:tplc="DDDCBACE" w:tentative="1">
      <w:start w:val="1"/>
      <w:numFmt w:val="decimal"/>
      <w:lvlText w:val="%4."/>
      <w:lvlJc w:val="left"/>
      <w:pPr>
        <w:ind w:left="3600" w:hanging="360"/>
      </w:pPr>
    </w:lvl>
    <w:lvl w:ilvl="4" w:tplc="E944761A" w:tentative="1">
      <w:start w:val="1"/>
      <w:numFmt w:val="lowerLetter"/>
      <w:lvlText w:val="%5."/>
      <w:lvlJc w:val="left"/>
      <w:pPr>
        <w:ind w:left="4320" w:hanging="360"/>
      </w:pPr>
    </w:lvl>
    <w:lvl w:ilvl="5" w:tplc="47E6CBC6" w:tentative="1">
      <w:start w:val="1"/>
      <w:numFmt w:val="lowerRoman"/>
      <w:lvlText w:val="%6."/>
      <w:lvlJc w:val="right"/>
      <w:pPr>
        <w:ind w:left="5040" w:hanging="180"/>
      </w:pPr>
    </w:lvl>
    <w:lvl w:ilvl="6" w:tplc="263638B2" w:tentative="1">
      <w:start w:val="1"/>
      <w:numFmt w:val="decimal"/>
      <w:lvlText w:val="%7."/>
      <w:lvlJc w:val="left"/>
      <w:pPr>
        <w:ind w:left="5760" w:hanging="360"/>
      </w:pPr>
    </w:lvl>
    <w:lvl w:ilvl="7" w:tplc="6E123456" w:tentative="1">
      <w:start w:val="1"/>
      <w:numFmt w:val="lowerLetter"/>
      <w:lvlText w:val="%8."/>
      <w:lvlJc w:val="left"/>
      <w:pPr>
        <w:ind w:left="6480" w:hanging="360"/>
      </w:pPr>
    </w:lvl>
    <w:lvl w:ilvl="8" w:tplc="295E48A4" w:tentative="1">
      <w:start w:val="1"/>
      <w:numFmt w:val="lowerRoman"/>
      <w:lvlText w:val="%9."/>
      <w:lvlJc w:val="right"/>
      <w:pPr>
        <w:ind w:left="7200" w:hanging="180"/>
      </w:pPr>
    </w:lvl>
  </w:abstractNum>
  <w:abstractNum w:abstractNumId="132" w15:restartNumberingAfterBreak="0">
    <w:nsid w:val="74B87E0B"/>
    <w:multiLevelType w:val="hybridMultilevel"/>
    <w:tmpl w:val="FDAA137A"/>
    <w:lvl w:ilvl="0" w:tplc="1C80B724">
      <w:start w:val="1"/>
      <w:numFmt w:val="lowerLetter"/>
      <w:lvlText w:val="%1)"/>
      <w:lvlJc w:val="left"/>
      <w:pPr>
        <w:ind w:left="1230" w:hanging="360"/>
      </w:pPr>
      <w:rPr>
        <w:rFonts w:hint="default"/>
      </w:rPr>
    </w:lvl>
    <w:lvl w:ilvl="1" w:tplc="4D38D008" w:tentative="1">
      <w:start w:val="1"/>
      <w:numFmt w:val="lowerLetter"/>
      <w:lvlText w:val="%2."/>
      <w:lvlJc w:val="left"/>
      <w:pPr>
        <w:ind w:left="1950" w:hanging="360"/>
      </w:pPr>
    </w:lvl>
    <w:lvl w:ilvl="2" w:tplc="44CC9450" w:tentative="1">
      <w:start w:val="1"/>
      <w:numFmt w:val="lowerRoman"/>
      <w:lvlText w:val="%3."/>
      <w:lvlJc w:val="right"/>
      <w:pPr>
        <w:ind w:left="2670" w:hanging="180"/>
      </w:pPr>
    </w:lvl>
    <w:lvl w:ilvl="3" w:tplc="5C0CB356" w:tentative="1">
      <w:start w:val="1"/>
      <w:numFmt w:val="decimal"/>
      <w:lvlText w:val="%4."/>
      <w:lvlJc w:val="left"/>
      <w:pPr>
        <w:ind w:left="3390" w:hanging="360"/>
      </w:pPr>
    </w:lvl>
    <w:lvl w:ilvl="4" w:tplc="7966D2E0" w:tentative="1">
      <w:start w:val="1"/>
      <w:numFmt w:val="lowerLetter"/>
      <w:lvlText w:val="%5."/>
      <w:lvlJc w:val="left"/>
      <w:pPr>
        <w:ind w:left="4110" w:hanging="360"/>
      </w:pPr>
    </w:lvl>
    <w:lvl w:ilvl="5" w:tplc="83828808" w:tentative="1">
      <w:start w:val="1"/>
      <w:numFmt w:val="lowerRoman"/>
      <w:lvlText w:val="%6."/>
      <w:lvlJc w:val="right"/>
      <w:pPr>
        <w:ind w:left="4830" w:hanging="180"/>
      </w:pPr>
    </w:lvl>
    <w:lvl w:ilvl="6" w:tplc="18223FC2" w:tentative="1">
      <w:start w:val="1"/>
      <w:numFmt w:val="decimal"/>
      <w:lvlText w:val="%7."/>
      <w:lvlJc w:val="left"/>
      <w:pPr>
        <w:ind w:left="5550" w:hanging="360"/>
      </w:pPr>
    </w:lvl>
    <w:lvl w:ilvl="7" w:tplc="77520654" w:tentative="1">
      <w:start w:val="1"/>
      <w:numFmt w:val="lowerLetter"/>
      <w:lvlText w:val="%8."/>
      <w:lvlJc w:val="left"/>
      <w:pPr>
        <w:ind w:left="6270" w:hanging="360"/>
      </w:pPr>
    </w:lvl>
    <w:lvl w:ilvl="8" w:tplc="0F0A710C" w:tentative="1">
      <w:start w:val="1"/>
      <w:numFmt w:val="lowerRoman"/>
      <w:lvlText w:val="%9."/>
      <w:lvlJc w:val="right"/>
      <w:pPr>
        <w:ind w:left="6990" w:hanging="180"/>
      </w:pPr>
    </w:lvl>
  </w:abstractNum>
  <w:abstractNum w:abstractNumId="133" w15:restartNumberingAfterBreak="0">
    <w:nsid w:val="75B31C7B"/>
    <w:multiLevelType w:val="multilevel"/>
    <w:tmpl w:val="AC2ED6C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34" w15:restartNumberingAfterBreak="0">
    <w:nsid w:val="764517AB"/>
    <w:multiLevelType w:val="multilevel"/>
    <w:tmpl w:val="AD4E3F00"/>
    <w:lvl w:ilvl="0">
      <w:start w:val="1"/>
      <w:numFmt w:val="bullet"/>
      <w:lvlText w:val=""/>
      <w:lvlJc w:val="left"/>
      <w:pPr>
        <w:tabs>
          <w:tab w:val="num" w:pos="720"/>
        </w:tabs>
        <w:ind w:left="720" w:hanging="360"/>
      </w:pPr>
      <w:rPr>
        <w:rFonts w:ascii="Symbol" w:hAnsi="Symbol" w:hint="default"/>
        <w:sz w:val="20"/>
      </w:rPr>
    </w:lvl>
    <w:lvl w:ilvl="1">
      <w:start w:val="2"/>
      <w:numFmt w:val="upperLetter"/>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661471B"/>
    <w:multiLevelType w:val="multilevel"/>
    <w:tmpl w:val="1014477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decimal"/>
      <w:lvlText w:val="%3."/>
      <w:lvlJc w:val="left"/>
      <w:pPr>
        <w:ind w:left="2160" w:hanging="360"/>
      </w:pPr>
      <w:rPr>
        <w:rFonts w:hint="default"/>
        <w:b/>
        <w:bCs/>
      </w:rPr>
    </w:lvl>
    <w:lvl w:ilvl="3">
      <w:start w:val="1"/>
      <w:numFmt w:val="bullet"/>
      <w:lvlText w:val=""/>
      <w:lvlJc w:val="left"/>
      <w:pPr>
        <w:tabs>
          <w:tab w:val="num" w:pos="2880"/>
        </w:tabs>
        <w:ind w:left="2880" w:hanging="360"/>
      </w:pPr>
      <w:rPr>
        <w:rFonts w:ascii="Wingdings" w:hAnsi="Wingdings" w:hint="default"/>
        <w:sz w:val="20"/>
      </w:rPr>
    </w:lvl>
    <w:lvl w:ilvl="4">
      <w:start w:val="1"/>
      <w:numFmt w:val="lowerRoman"/>
      <w:lvlText w:val="%5."/>
      <w:lvlJc w:val="left"/>
      <w:pPr>
        <w:ind w:left="3960" w:hanging="720"/>
      </w:pPr>
      <w:rPr>
        <w:rFonts w:hint="default"/>
      </w:rPr>
    </w:lvl>
    <w:lvl w:ilvl="5">
      <w:start w:val="1"/>
      <w:numFmt w:val="lowerLetter"/>
      <w:lvlText w:val="%6)"/>
      <w:lvlJc w:val="left"/>
      <w:pPr>
        <w:ind w:left="4320" w:hanging="360"/>
      </w:pPr>
      <w:rPr>
        <w:rFonts w:hint="default"/>
        <w:b/>
        <w:bCs/>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6AA310B"/>
    <w:multiLevelType w:val="hybridMultilevel"/>
    <w:tmpl w:val="44480C9C"/>
    <w:lvl w:ilvl="0" w:tplc="3CC0EF08">
      <w:start w:val="1"/>
      <w:numFmt w:val="bullet"/>
      <w:lvlText w:val="-"/>
      <w:lvlJc w:val="left"/>
      <w:pPr>
        <w:ind w:left="1854" w:hanging="360"/>
      </w:pPr>
      <w:rPr>
        <w:rFonts w:ascii="Times New Roman" w:eastAsia="Times New Roman" w:hAnsi="Times New Roman" w:cs="Times New Roman" w:hint="default"/>
      </w:rPr>
    </w:lvl>
    <w:lvl w:ilvl="1" w:tplc="91B2CE92" w:tentative="1">
      <w:start w:val="1"/>
      <w:numFmt w:val="bullet"/>
      <w:lvlText w:val="o"/>
      <w:lvlJc w:val="left"/>
      <w:pPr>
        <w:ind w:left="2574" w:hanging="360"/>
      </w:pPr>
      <w:rPr>
        <w:rFonts w:ascii="Courier New" w:hAnsi="Courier New" w:cs="Courier New" w:hint="default"/>
      </w:rPr>
    </w:lvl>
    <w:lvl w:ilvl="2" w:tplc="42368E82" w:tentative="1">
      <w:start w:val="1"/>
      <w:numFmt w:val="bullet"/>
      <w:lvlText w:val=""/>
      <w:lvlJc w:val="left"/>
      <w:pPr>
        <w:ind w:left="3294" w:hanging="360"/>
      </w:pPr>
      <w:rPr>
        <w:rFonts w:ascii="Wingdings" w:hAnsi="Wingdings" w:hint="default"/>
      </w:rPr>
    </w:lvl>
    <w:lvl w:ilvl="3" w:tplc="83585E6E" w:tentative="1">
      <w:start w:val="1"/>
      <w:numFmt w:val="bullet"/>
      <w:lvlText w:val=""/>
      <w:lvlJc w:val="left"/>
      <w:pPr>
        <w:ind w:left="4014" w:hanging="360"/>
      </w:pPr>
      <w:rPr>
        <w:rFonts w:ascii="Symbol" w:hAnsi="Symbol" w:hint="default"/>
      </w:rPr>
    </w:lvl>
    <w:lvl w:ilvl="4" w:tplc="343EBF92" w:tentative="1">
      <w:start w:val="1"/>
      <w:numFmt w:val="bullet"/>
      <w:lvlText w:val="o"/>
      <w:lvlJc w:val="left"/>
      <w:pPr>
        <w:ind w:left="4734" w:hanging="360"/>
      </w:pPr>
      <w:rPr>
        <w:rFonts w:ascii="Courier New" w:hAnsi="Courier New" w:cs="Courier New" w:hint="default"/>
      </w:rPr>
    </w:lvl>
    <w:lvl w:ilvl="5" w:tplc="D424EDF0" w:tentative="1">
      <w:start w:val="1"/>
      <w:numFmt w:val="bullet"/>
      <w:lvlText w:val=""/>
      <w:lvlJc w:val="left"/>
      <w:pPr>
        <w:ind w:left="5454" w:hanging="360"/>
      </w:pPr>
      <w:rPr>
        <w:rFonts w:ascii="Wingdings" w:hAnsi="Wingdings" w:hint="default"/>
      </w:rPr>
    </w:lvl>
    <w:lvl w:ilvl="6" w:tplc="CC8A6692" w:tentative="1">
      <w:start w:val="1"/>
      <w:numFmt w:val="bullet"/>
      <w:lvlText w:val=""/>
      <w:lvlJc w:val="left"/>
      <w:pPr>
        <w:ind w:left="6174" w:hanging="360"/>
      </w:pPr>
      <w:rPr>
        <w:rFonts w:ascii="Symbol" w:hAnsi="Symbol" w:hint="default"/>
      </w:rPr>
    </w:lvl>
    <w:lvl w:ilvl="7" w:tplc="6CB27A18" w:tentative="1">
      <w:start w:val="1"/>
      <w:numFmt w:val="bullet"/>
      <w:lvlText w:val="o"/>
      <w:lvlJc w:val="left"/>
      <w:pPr>
        <w:ind w:left="6894" w:hanging="360"/>
      </w:pPr>
      <w:rPr>
        <w:rFonts w:ascii="Courier New" w:hAnsi="Courier New" w:cs="Courier New" w:hint="default"/>
      </w:rPr>
    </w:lvl>
    <w:lvl w:ilvl="8" w:tplc="5D981B82" w:tentative="1">
      <w:start w:val="1"/>
      <w:numFmt w:val="bullet"/>
      <w:lvlText w:val=""/>
      <w:lvlJc w:val="left"/>
      <w:pPr>
        <w:ind w:left="7614" w:hanging="360"/>
      </w:pPr>
      <w:rPr>
        <w:rFonts w:ascii="Wingdings" w:hAnsi="Wingdings" w:hint="default"/>
      </w:rPr>
    </w:lvl>
  </w:abstractNum>
  <w:abstractNum w:abstractNumId="137" w15:restartNumberingAfterBreak="0">
    <w:nsid w:val="77C17DD9"/>
    <w:multiLevelType w:val="hybridMultilevel"/>
    <w:tmpl w:val="94ACFE52"/>
    <w:lvl w:ilvl="0" w:tplc="68365F8E">
      <w:start w:val="1"/>
      <w:numFmt w:val="decimal"/>
      <w:pStyle w:val="Style3"/>
      <w:lvlText w:val="%1."/>
      <w:lvlJc w:val="left"/>
      <w:pPr>
        <w:ind w:left="1495" w:hanging="360"/>
      </w:pPr>
    </w:lvl>
    <w:lvl w:ilvl="1" w:tplc="489CDAA0" w:tentative="1">
      <w:start w:val="1"/>
      <w:numFmt w:val="lowerLetter"/>
      <w:lvlText w:val="%2."/>
      <w:lvlJc w:val="left"/>
      <w:pPr>
        <w:ind w:left="1440" w:hanging="360"/>
      </w:pPr>
    </w:lvl>
    <w:lvl w:ilvl="2" w:tplc="F00485CC" w:tentative="1">
      <w:start w:val="1"/>
      <w:numFmt w:val="lowerRoman"/>
      <w:lvlText w:val="%3."/>
      <w:lvlJc w:val="right"/>
      <w:pPr>
        <w:ind w:left="2160" w:hanging="180"/>
      </w:pPr>
    </w:lvl>
    <w:lvl w:ilvl="3" w:tplc="49826FCC" w:tentative="1">
      <w:start w:val="1"/>
      <w:numFmt w:val="decimal"/>
      <w:lvlText w:val="%4."/>
      <w:lvlJc w:val="left"/>
      <w:pPr>
        <w:ind w:left="2880" w:hanging="360"/>
      </w:pPr>
    </w:lvl>
    <w:lvl w:ilvl="4" w:tplc="52366A7E" w:tentative="1">
      <w:start w:val="1"/>
      <w:numFmt w:val="lowerLetter"/>
      <w:lvlText w:val="%5."/>
      <w:lvlJc w:val="left"/>
      <w:pPr>
        <w:ind w:left="3600" w:hanging="360"/>
      </w:pPr>
    </w:lvl>
    <w:lvl w:ilvl="5" w:tplc="E61A37AC" w:tentative="1">
      <w:start w:val="1"/>
      <w:numFmt w:val="lowerRoman"/>
      <w:lvlText w:val="%6."/>
      <w:lvlJc w:val="right"/>
      <w:pPr>
        <w:ind w:left="4320" w:hanging="180"/>
      </w:pPr>
    </w:lvl>
    <w:lvl w:ilvl="6" w:tplc="3B0C9138" w:tentative="1">
      <w:start w:val="1"/>
      <w:numFmt w:val="decimal"/>
      <w:lvlText w:val="%7."/>
      <w:lvlJc w:val="left"/>
      <w:pPr>
        <w:ind w:left="5040" w:hanging="360"/>
      </w:pPr>
    </w:lvl>
    <w:lvl w:ilvl="7" w:tplc="B50E64A8" w:tentative="1">
      <w:start w:val="1"/>
      <w:numFmt w:val="lowerLetter"/>
      <w:lvlText w:val="%8."/>
      <w:lvlJc w:val="left"/>
      <w:pPr>
        <w:ind w:left="5760" w:hanging="360"/>
      </w:pPr>
    </w:lvl>
    <w:lvl w:ilvl="8" w:tplc="16E6EE8E" w:tentative="1">
      <w:start w:val="1"/>
      <w:numFmt w:val="lowerRoman"/>
      <w:lvlText w:val="%9."/>
      <w:lvlJc w:val="right"/>
      <w:pPr>
        <w:ind w:left="6480" w:hanging="180"/>
      </w:pPr>
    </w:lvl>
  </w:abstractNum>
  <w:abstractNum w:abstractNumId="138" w15:restartNumberingAfterBreak="0">
    <w:nsid w:val="77CF1CDD"/>
    <w:multiLevelType w:val="hybridMultilevel"/>
    <w:tmpl w:val="CAC8FA40"/>
    <w:lvl w:ilvl="0" w:tplc="82F0B726">
      <w:start w:val="1"/>
      <w:numFmt w:val="lowerRoman"/>
      <w:lvlText w:val="(%1)"/>
      <w:lvlJc w:val="left"/>
      <w:pPr>
        <w:ind w:left="780" w:hanging="720"/>
      </w:pPr>
      <w:rPr>
        <w:rFonts w:hint="default"/>
      </w:rPr>
    </w:lvl>
    <w:lvl w:ilvl="1" w:tplc="AE14E8FC" w:tentative="1">
      <w:start w:val="1"/>
      <w:numFmt w:val="lowerLetter"/>
      <w:lvlText w:val="%2."/>
      <w:lvlJc w:val="left"/>
      <w:pPr>
        <w:ind w:left="1140" w:hanging="360"/>
      </w:pPr>
    </w:lvl>
    <w:lvl w:ilvl="2" w:tplc="A250495A" w:tentative="1">
      <w:start w:val="1"/>
      <w:numFmt w:val="lowerRoman"/>
      <w:lvlText w:val="%3."/>
      <w:lvlJc w:val="right"/>
      <w:pPr>
        <w:ind w:left="1860" w:hanging="180"/>
      </w:pPr>
    </w:lvl>
    <w:lvl w:ilvl="3" w:tplc="9928F806" w:tentative="1">
      <w:start w:val="1"/>
      <w:numFmt w:val="decimal"/>
      <w:lvlText w:val="%4."/>
      <w:lvlJc w:val="left"/>
      <w:pPr>
        <w:ind w:left="2580" w:hanging="360"/>
      </w:pPr>
    </w:lvl>
    <w:lvl w:ilvl="4" w:tplc="87F2C020" w:tentative="1">
      <w:start w:val="1"/>
      <w:numFmt w:val="lowerLetter"/>
      <w:lvlText w:val="%5."/>
      <w:lvlJc w:val="left"/>
      <w:pPr>
        <w:ind w:left="3300" w:hanging="360"/>
      </w:pPr>
    </w:lvl>
    <w:lvl w:ilvl="5" w:tplc="1FB02EDA" w:tentative="1">
      <w:start w:val="1"/>
      <w:numFmt w:val="lowerRoman"/>
      <w:lvlText w:val="%6."/>
      <w:lvlJc w:val="right"/>
      <w:pPr>
        <w:ind w:left="4020" w:hanging="180"/>
      </w:pPr>
    </w:lvl>
    <w:lvl w:ilvl="6" w:tplc="AB600AB8" w:tentative="1">
      <w:start w:val="1"/>
      <w:numFmt w:val="decimal"/>
      <w:lvlText w:val="%7."/>
      <w:lvlJc w:val="left"/>
      <w:pPr>
        <w:ind w:left="4740" w:hanging="360"/>
      </w:pPr>
    </w:lvl>
    <w:lvl w:ilvl="7" w:tplc="A9BC223A" w:tentative="1">
      <w:start w:val="1"/>
      <w:numFmt w:val="lowerLetter"/>
      <w:lvlText w:val="%8."/>
      <w:lvlJc w:val="left"/>
      <w:pPr>
        <w:ind w:left="5460" w:hanging="360"/>
      </w:pPr>
    </w:lvl>
    <w:lvl w:ilvl="8" w:tplc="5D92440E" w:tentative="1">
      <w:start w:val="1"/>
      <w:numFmt w:val="lowerRoman"/>
      <w:lvlText w:val="%9."/>
      <w:lvlJc w:val="right"/>
      <w:pPr>
        <w:ind w:left="6180" w:hanging="180"/>
      </w:pPr>
    </w:lvl>
  </w:abstractNum>
  <w:abstractNum w:abstractNumId="139" w15:restartNumberingAfterBreak="0">
    <w:nsid w:val="78384499"/>
    <w:multiLevelType w:val="hybridMultilevel"/>
    <w:tmpl w:val="BA1AF568"/>
    <w:lvl w:ilvl="0" w:tplc="C0889E20">
      <w:start w:val="1"/>
      <w:numFmt w:val="lowerRoman"/>
      <w:lvlText w:val="%1)"/>
      <w:lvlJc w:val="left"/>
      <w:pPr>
        <w:ind w:left="1440" w:hanging="360"/>
      </w:pPr>
      <w:rPr>
        <w:rFonts w:hint="default"/>
      </w:rPr>
    </w:lvl>
    <w:lvl w:ilvl="1" w:tplc="BA0CF388" w:tentative="1">
      <w:start w:val="1"/>
      <w:numFmt w:val="lowerLetter"/>
      <w:lvlText w:val="%2."/>
      <w:lvlJc w:val="left"/>
      <w:pPr>
        <w:ind w:left="2160" w:hanging="360"/>
      </w:pPr>
    </w:lvl>
    <w:lvl w:ilvl="2" w:tplc="2E0606FE" w:tentative="1">
      <w:start w:val="1"/>
      <w:numFmt w:val="lowerRoman"/>
      <w:lvlText w:val="%3."/>
      <w:lvlJc w:val="right"/>
      <w:pPr>
        <w:ind w:left="2880" w:hanging="180"/>
      </w:pPr>
    </w:lvl>
    <w:lvl w:ilvl="3" w:tplc="90F0B172" w:tentative="1">
      <w:start w:val="1"/>
      <w:numFmt w:val="decimal"/>
      <w:lvlText w:val="%4."/>
      <w:lvlJc w:val="left"/>
      <w:pPr>
        <w:ind w:left="3600" w:hanging="360"/>
      </w:pPr>
    </w:lvl>
    <w:lvl w:ilvl="4" w:tplc="D7DA57D6" w:tentative="1">
      <w:start w:val="1"/>
      <w:numFmt w:val="lowerLetter"/>
      <w:lvlText w:val="%5."/>
      <w:lvlJc w:val="left"/>
      <w:pPr>
        <w:ind w:left="4320" w:hanging="360"/>
      </w:pPr>
    </w:lvl>
    <w:lvl w:ilvl="5" w:tplc="456462D0" w:tentative="1">
      <w:start w:val="1"/>
      <w:numFmt w:val="lowerRoman"/>
      <w:lvlText w:val="%6."/>
      <w:lvlJc w:val="right"/>
      <w:pPr>
        <w:ind w:left="5040" w:hanging="180"/>
      </w:pPr>
    </w:lvl>
    <w:lvl w:ilvl="6" w:tplc="57DE563A" w:tentative="1">
      <w:start w:val="1"/>
      <w:numFmt w:val="decimal"/>
      <w:lvlText w:val="%7."/>
      <w:lvlJc w:val="left"/>
      <w:pPr>
        <w:ind w:left="5760" w:hanging="360"/>
      </w:pPr>
    </w:lvl>
    <w:lvl w:ilvl="7" w:tplc="5C12AA0E" w:tentative="1">
      <w:start w:val="1"/>
      <w:numFmt w:val="lowerLetter"/>
      <w:lvlText w:val="%8."/>
      <w:lvlJc w:val="left"/>
      <w:pPr>
        <w:ind w:left="6480" w:hanging="360"/>
      </w:pPr>
    </w:lvl>
    <w:lvl w:ilvl="8" w:tplc="8DA4331E" w:tentative="1">
      <w:start w:val="1"/>
      <w:numFmt w:val="lowerRoman"/>
      <w:lvlText w:val="%9."/>
      <w:lvlJc w:val="right"/>
      <w:pPr>
        <w:ind w:left="7200" w:hanging="180"/>
      </w:pPr>
    </w:lvl>
  </w:abstractNum>
  <w:abstractNum w:abstractNumId="140" w15:restartNumberingAfterBreak="0">
    <w:nsid w:val="78906C92"/>
    <w:multiLevelType w:val="multilevel"/>
    <w:tmpl w:val="13DA12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Times New Roman" w:eastAsia="Times New Roman" w:hAnsi="Times New Roman" w:cs="Times New Roman" w:hint="default"/>
      </w:rPr>
    </w:lvl>
    <w:lvl w:ilvl="2">
      <w:start w:val="1"/>
      <w:numFmt w:val="lowerLetter"/>
      <w:lvlText w:val="%3)"/>
      <w:lvlJc w:val="left"/>
      <w:pPr>
        <w:ind w:left="2160" w:hanging="360"/>
      </w:pPr>
      <w:rPr>
        <w:rFonts w:hint="default"/>
        <w:b/>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78A22203"/>
    <w:multiLevelType w:val="hybridMultilevel"/>
    <w:tmpl w:val="0BB46886"/>
    <w:lvl w:ilvl="0" w:tplc="D944C4AA">
      <w:start w:val="1"/>
      <w:numFmt w:val="lowerLetter"/>
      <w:lvlText w:val="%1)"/>
      <w:lvlJc w:val="left"/>
      <w:pPr>
        <w:ind w:left="1440" w:hanging="360"/>
      </w:pPr>
      <w:rPr>
        <w:rFonts w:ascii="Arial" w:eastAsia="Times New Roman" w:hAnsi="Arial" w:cs="Arial" w:hint="default"/>
      </w:rPr>
    </w:lvl>
    <w:lvl w:ilvl="1" w:tplc="667614AA" w:tentative="1">
      <w:start w:val="1"/>
      <w:numFmt w:val="lowerLetter"/>
      <w:lvlText w:val="%2."/>
      <w:lvlJc w:val="left"/>
      <w:pPr>
        <w:ind w:left="2160" w:hanging="360"/>
      </w:pPr>
    </w:lvl>
    <w:lvl w:ilvl="2" w:tplc="250C8000" w:tentative="1">
      <w:start w:val="1"/>
      <w:numFmt w:val="lowerRoman"/>
      <w:lvlText w:val="%3."/>
      <w:lvlJc w:val="right"/>
      <w:pPr>
        <w:ind w:left="2880" w:hanging="180"/>
      </w:pPr>
    </w:lvl>
    <w:lvl w:ilvl="3" w:tplc="266EA588" w:tentative="1">
      <w:start w:val="1"/>
      <w:numFmt w:val="decimal"/>
      <w:lvlText w:val="%4."/>
      <w:lvlJc w:val="left"/>
      <w:pPr>
        <w:ind w:left="3600" w:hanging="360"/>
      </w:pPr>
    </w:lvl>
    <w:lvl w:ilvl="4" w:tplc="E170113C" w:tentative="1">
      <w:start w:val="1"/>
      <w:numFmt w:val="lowerLetter"/>
      <w:lvlText w:val="%5."/>
      <w:lvlJc w:val="left"/>
      <w:pPr>
        <w:ind w:left="4320" w:hanging="360"/>
      </w:pPr>
    </w:lvl>
    <w:lvl w:ilvl="5" w:tplc="6F2A30EE" w:tentative="1">
      <w:start w:val="1"/>
      <w:numFmt w:val="lowerRoman"/>
      <w:lvlText w:val="%6."/>
      <w:lvlJc w:val="right"/>
      <w:pPr>
        <w:ind w:left="5040" w:hanging="180"/>
      </w:pPr>
    </w:lvl>
    <w:lvl w:ilvl="6" w:tplc="92C2C04A" w:tentative="1">
      <w:start w:val="1"/>
      <w:numFmt w:val="decimal"/>
      <w:lvlText w:val="%7."/>
      <w:lvlJc w:val="left"/>
      <w:pPr>
        <w:ind w:left="5760" w:hanging="360"/>
      </w:pPr>
    </w:lvl>
    <w:lvl w:ilvl="7" w:tplc="82DA7622" w:tentative="1">
      <w:start w:val="1"/>
      <w:numFmt w:val="lowerLetter"/>
      <w:lvlText w:val="%8."/>
      <w:lvlJc w:val="left"/>
      <w:pPr>
        <w:ind w:left="6480" w:hanging="360"/>
      </w:pPr>
    </w:lvl>
    <w:lvl w:ilvl="8" w:tplc="777C4B60" w:tentative="1">
      <w:start w:val="1"/>
      <w:numFmt w:val="lowerRoman"/>
      <w:lvlText w:val="%9."/>
      <w:lvlJc w:val="right"/>
      <w:pPr>
        <w:ind w:left="7200" w:hanging="180"/>
      </w:pPr>
    </w:lvl>
  </w:abstractNum>
  <w:abstractNum w:abstractNumId="142" w15:restartNumberingAfterBreak="0">
    <w:nsid w:val="7A3643AB"/>
    <w:multiLevelType w:val="multilevel"/>
    <w:tmpl w:val="D69A6F06"/>
    <w:lvl w:ilvl="0">
      <w:start w:val="1"/>
      <w:numFmt w:val="bullet"/>
      <w:lvlText w:val="-"/>
      <w:lvlJc w:val="left"/>
      <w:pPr>
        <w:tabs>
          <w:tab w:val="num" w:pos="720"/>
        </w:tabs>
        <w:ind w:left="720" w:hanging="360"/>
      </w:pPr>
      <w:rPr>
        <w:rFonts w:ascii="Times New Roman" w:eastAsia="Times New Roman" w:hAnsi="Times New Roman" w:cs="Times New Roman" w:hint="default"/>
        <w:sz w:val="20"/>
      </w:rPr>
    </w:lvl>
    <w:lvl w:ilvl="1">
      <w:start w:val="17"/>
      <w:numFmt w:val="bullet"/>
      <w:lvlText w:val="-"/>
      <w:lvlJc w:val="left"/>
      <w:pPr>
        <w:ind w:left="1440" w:hanging="360"/>
      </w:pPr>
      <w:rPr>
        <w:rFonts w:ascii="Arial" w:eastAsia="Times New Roman" w:hAnsi="Arial" w:cs="Arial" w:hint="default"/>
        <w:b w:val="0"/>
        <w:bCs w:val="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3" w15:restartNumberingAfterBreak="0">
    <w:nsid w:val="7A876AB9"/>
    <w:multiLevelType w:val="hybridMultilevel"/>
    <w:tmpl w:val="90E04934"/>
    <w:lvl w:ilvl="0" w:tplc="3CA86022">
      <w:start w:val="1"/>
      <w:numFmt w:val="lowerLetter"/>
      <w:lvlText w:val="%1)"/>
      <w:lvlJc w:val="left"/>
      <w:pPr>
        <w:ind w:left="1230" w:hanging="360"/>
      </w:pPr>
      <w:rPr>
        <w:rFonts w:hint="default"/>
      </w:rPr>
    </w:lvl>
    <w:lvl w:ilvl="1" w:tplc="60F61C70" w:tentative="1">
      <w:start w:val="1"/>
      <w:numFmt w:val="lowerLetter"/>
      <w:lvlText w:val="%2."/>
      <w:lvlJc w:val="left"/>
      <w:pPr>
        <w:ind w:left="1950" w:hanging="360"/>
      </w:pPr>
    </w:lvl>
    <w:lvl w:ilvl="2" w:tplc="3E78CEC2" w:tentative="1">
      <w:start w:val="1"/>
      <w:numFmt w:val="lowerRoman"/>
      <w:lvlText w:val="%3."/>
      <w:lvlJc w:val="right"/>
      <w:pPr>
        <w:ind w:left="2670" w:hanging="180"/>
      </w:pPr>
    </w:lvl>
    <w:lvl w:ilvl="3" w:tplc="799E45F2" w:tentative="1">
      <w:start w:val="1"/>
      <w:numFmt w:val="decimal"/>
      <w:lvlText w:val="%4."/>
      <w:lvlJc w:val="left"/>
      <w:pPr>
        <w:ind w:left="3390" w:hanging="360"/>
      </w:pPr>
    </w:lvl>
    <w:lvl w:ilvl="4" w:tplc="C4BAC41E" w:tentative="1">
      <w:start w:val="1"/>
      <w:numFmt w:val="lowerLetter"/>
      <w:lvlText w:val="%5."/>
      <w:lvlJc w:val="left"/>
      <w:pPr>
        <w:ind w:left="4110" w:hanging="360"/>
      </w:pPr>
    </w:lvl>
    <w:lvl w:ilvl="5" w:tplc="4D307A32" w:tentative="1">
      <w:start w:val="1"/>
      <w:numFmt w:val="lowerRoman"/>
      <w:lvlText w:val="%6."/>
      <w:lvlJc w:val="right"/>
      <w:pPr>
        <w:ind w:left="4830" w:hanging="180"/>
      </w:pPr>
    </w:lvl>
    <w:lvl w:ilvl="6" w:tplc="52BA2A68" w:tentative="1">
      <w:start w:val="1"/>
      <w:numFmt w:val="decimal"/>
      <w:lvlText w:val="%7."/>
      <w:lvlJc w:val="left"/>
      <w:pPr>
        <w:ind w:left="5550" w:hanging="360"/>
      </w:pPr>
    </w:lvl>
    <w:lvl w:ilvl="7" w:tplc="33827D00" w:tentative="1">
      <w:start w:val="1"/>
      <w:numFmt w:val="lowerLetter"/>
      <w:lvlText w:val="%8."/>
      <w:lvlJc w:val="left"/>
      <w:pPr>
        <w:ind w:left="6270" w:hanging="360"/>
      </w:pPr>
    </w:lvl>
    <w:lvl w:ilvl="8" w:tplc="02CCB1DE" w:tentative="1">
      <w:start w:val="1"/>
      <w:numFmt w:val="lowerRoman"/>
      <w:lvlText w:val="%9."/>
      <w:lvlJc w:val="right"/>
      <w:pPr>
        <w:ind w:left="6990" w:hanging="180"/>
      </w:pPr>
    </w:lvl>
  </w:abstractNum>
  <w:abstractNum w:abstractNumId="144" w15:restartNumberingAfterBreak="0">
    <w:nsid w:val="7B4424DC"/>
    <w:multiLevelType w:val="hybridMultilevel"/>
    <w:tmpl w:val="D5E8E102"/>
    <w:lvl w:ilvl="0" w:tplc="F102983E">
      <w:start w:val="1"/>
      <w:numFmt w:val="decimal"/>
      <w:lvlText w:val="%1."/>
      <w:lvlJc w:val="left"/>
      <w:pPr>
        <w:ind w:left="720" w:hanging="360"/>
      </w:pPr>
      <w:rPr>
        <w:rFonts w:hint="default"/>
      </w:rPr>
    </w:lvl>
    <w:lvl w:ilvl="1" w:tplc="E84A0CD0" w:tentative="1">
      <w:start w:val="1"/>
      <w:numFmt w:val="lowerLetter"/>
      <w:lvlText w:val="%2."/>
      <w:lvlJc w:val="left"/>
      <w:pPr>
        <w:ind w:left="1440" w:hanging="360"/>
      </w:pPr>
    </w:lvl>
    <w:lvl w:ilvl="2" w:tplc="C6DA2C8C" w:tentative="1">
      <w:start w:val="1"/>
      <w:numFmt w:val="lowerRoman"/>
      <w:lvlText w:val="%3."/>
      <w:lvlJc w:val="right"/>
      <w:pPr>
        <w:ind w:left="2160" w:hanging="180"/>
      </w:pPr>
    </w:lvl>
    <w:lvl w:ilvl="3" w:tplc="6616B45A" w:tentative="1">
      <w:start w:val="1"/>
      <w:numFmt w:val="decimal"/>
      <w:lvlText w:val="%4."/>
      <w:lvlJc w:val="left"/>
      <w:pPr>
        <w:ind w:left="2880" w:hanging="360"/>
      </w:pPr>
    </w:lvl>
    <w:lvl w:ilvl="4" w:tplc="68D64D10" w:tentative="1">
      <w:start w:val="1"/>
      <w:numFmt w:val="lowerLetter"/>
      <w:lvlText w:val="%5."/>
      <w:lvlJc w:val="left"/>
      <w:pPr>
        <w:ind w:left="3600" w:hanging="360"/>
      </w:pPr>
    </w:lvl>
    <w:lvl w:ilvl="5" w:tplc="E62476C2" w:tentative="1">
      <w:start w:val="1"/>
      <w:numFmt w:val="lowerRoman"/>
      <w:lvlText w:val="%6."/>
      <w:lvlJc w:val="right"/>
      <w:pPr>
        <w:ind w:left="4320" w:hanging="180"/>
      </w:pPr>
    </w:lvl>
    <w:lvl w:ilvl="6" w:tplc="6F06A6DE" w:tentative="1">
      <w:start w:val="1"/>
      <w:numFmt w:val="decimal"/>
      <w:lvlText w:val="%7."/>
      <w:lvlJc w:val="left"/>
      <w:pPr>
        <w:ind w:left="5040" w:hanging="360"/>
      </w:pPr>
    </w:lvl>
    <w:lvl w:ilvl="7" w:tplc="25687256" w:tentative="1">
      <w:start w:val="1"/>
      <w:numFmt w:val="lowerLetter"/>
      <w:lvlText w:val="%8."/>
      <w:lvlJc w:val="left"/>
      <w:pPr>
        <w:ind w:left="5760" w:hanging="360"/>
      </w:pPr>
    </w:lvl>
    <w:lvl w:ilvl="8" w:tplc="C5002710" w:tentative="1">
      <w:start w:val="1"/>
      <w:numFmt w:val="lowerRoman"/>
      <w:lvlText w:val="%9."/>
      <w:lvlJc w:val="right"/>
      <w:pPr>
        <w:ind w:left="6480" w:hanging="180"/>
      </w:pPr>
    </w:lvl>
  </w:abstractNum>
  <w:abstractNum w:abstractNumId="145" w15:restartNumberingAfterBreak="0">
    <w:nsid w:val="7BFF4820"/>
    <w:multiLevelType w:val="hybridMultilevel"/>
    <w:tmpl w:val="AD10B0EC"/>
    <w:lvl w:ilvl="0" w:tplc="9D7C176C">
      <w:start w:val="1"/>
      <w:numFmt w:val="decimal"/>
      <w:lvlText w:val="%1."/>
      <w:lvlJc w:val="left"/>
      <w:pPr>
        <w:ind w:left="644" w:hanging="360"/>
      </w:pPr>
      <w:rPr>
        <w:rFonts w:ascii="Arial" w:hAnsi="Arial" w:cs="Arial" w:hint="default"/>
      </w:rPr>
    </w:lvl>
    <w:lvl w:ilvl="1" w:tplc="043E279C" w:tentative="1">
      <w:start w:val="1"/>
      <w:numFmt w:val="lowerLetter"/>
      <w:lvlText w:val="%2."/>
      <w:lvlJc w:val="left"/>
      <w:pPr>
        <w:ind w:left="1298" w:hanging="360"/>
      </w:pPr>
    </w:lvl>
    <w:lvl w:ilvl="2" w:tplc="DDBE45DA" w:tentative="1">
      <w:start w:val="1"/>
      <w:numFmt w:val="lowerRoman"/>
      <w:lvlText w:val="%3."/>
      <w:lvlJc w:val="right"/>
      <w:pPr>
        <w:ind w:left="2018" w:hanging="180"/>
      </w:pPr>
    </w:lvl>
    <w:lvl w:ilvl="3" w:tplc="36A6D2F2" w:tentative="1">
      <w:start w:val="1"/>
      <w:numFmt w:val="decimal"/>
      <w:lvlText w:val="%4."/>
      <w:lvlJc w:val="left"/>
      <w:pPr>
        <w:ind w:left="2738" w:hanging="360"/>
      </w:pPr>
    </w:lvl>
    <w:lvl w:ilvl="4" w:tplc="0C58E436" w:tentative="1">
      <w:start w:val="1"/>
      <w:numFmt w:val="lowerLetter"/>
      <w:lvlText w:val="%5."/>
      <w:lvlJc w:val="left"/>
      <w:pPr>
        <w:ind w:left="3458" w:hanging="360"/>
      </w:pPr>
    </w:lvl>
    <w:lvl w:ilvl="5" w:tplc="7494E99E" w:tentative="1">
      <w:start w:val="1"/>
      <w:numFmt w:val="lowerRoman"/>
      <w:lvlText w:val="%6."/>
      <w:lvlJc w:val="right"/>
      <w:pPr>
        <w:ind w:left="4178" w:hanging="180"/>
      </w:pPr>
    </w:lvl>
    <w:lvl w:ilvl="6" w:tplc="0F5A59A6" w:tentative="1">
      <w:start w:val="1"/>
      <w:numFmt w:val="decimal"/>
      <w:lvlText w:val="%7."/>
      <w:lvlJc w:val="left"/>
      <w:pPr>
        <w:ind w:left="4898" w:hanging="360"/>
      </w:pPr>
    </w:lvl>
    <w:lvl w:ilvl="7" w:tplc="8B56E244" w:tentative="1">
      <w:start w:val="1"/>
      <w:numFmt w:val="lowerLetter"/>
      <w:lvlText w:val="%8."/>
      <w:lvlJc w:val="left"/>
      <w:pPr>
        <w:ind w:left="5618" w:hanging="360"/>
      </w:pPr>
    </w:lvl>
    <w:lvl w:ilvl="8" w:tplc="C84ED274" w:tentative="1">
      <w:start w:val="1"/>
      <w:numFmt w:val="lowerRoman"/>
      <w:lvlText w:val="%9."/>
      <w:lvlJc w:val="right"/>
      <w:pPr>
        <w:ind w:left="6338" w:hanging="180"/>
      </w:pPr>
    </w:lvl>
  </w:abstractNum>
  <w:abstractNum w:abstractNumId="146" w15:restartNumberingAfterBreak="0">
    <w:nsid w:val="7CBC12B0"/>
    <w:multiLevelType w:val="hybridMultilevel"/>
    <w:tmpl w:val="596C0BCC"/>
    <w:lvl w:ilvl="0" w:tplc="9FDC2E92">
      <w:start w:val="1"/>
      <w:numFmt w:val="decimal"/>
      <w:lvlText w:val="%1."/>
      <w:lvlJc w:val="left"/>
      <w:pPr>
        <w:ind w:left="720" w:hanging="360"/>
      </w:pPr>
      <w:rPr>
        <w:rFonts w:hint="default"/>
      </w:rPr>
    </w:lvl>
    <w:lvl w:ilvl="1" w:tplc="DF7A0C38" w:tentative="1">
      <w:start w:val="1"/>
      <w:numFmt w:val="lowerLetter"/>
      <w:lvlText w:val="%2."/>
      <w:lvlJc w:val="left"/>
      <w:pPr>
        <w:ind w:left="1440" w:hanging="360"/>
      </w:pPr>
    </w:lvl>
    <w:lvl w:ilvl="2" w:tplc="0622C76E" w:tentative="1">
      <w:start w:val="1"/>
      <w:numFmt w:val="lowerRoman"/>
      <w:lvlText w:val="%3."/>
      <w:lvlJc w:val="right"/>
      <w:pPr>
        <w:ind w:left="2160" w:hanging="180"/>
      </w:pPr>
    </w:lvl>
    <w:lvl w:ilvl="3" w:tplc="66BEF562" w:tentative="1">
      <w:start w:val="1"/>
      <w:numFmt w:val="decimal"/>
      <w:lvlText w:val="%4."/>
      <w:lvlJc w:val="left"/>
      <w:pPr>
        <w:ind w:left="2880" w:hanging="360"/>
      </w:pPr>
    </w:lvl>
    <w:lvl w:ilvl="4" w:tplc="78583356" w:tentative="1">
      <w:start w:val="1"/>
      <w:numFmt w:val="lowerLetter"/>
      <w:lvlText w:val="%5."/>
      <w:lvlJc w:val="left"/>
      <w:pPr>
        <w:ind w:left="3600" w:hanging="360"/>
      </w:pPr>
    </w:lvl>
    <w:lvl w:ilvl="5" w:tplc="B63234DC" w:tentative="1">
      <w:start w:val="1"/>
      <w:numFmt w:val="lowerRoman"/>
      <w:lvlText w:val="%6."/>
      <w:lvlJc w:val="right"/>
      <w:pPr>
        <w:ind w:left="4320" w:hanging="180"/>
      </w:pPr>
    </w:lvl>
    <w:lvl w:ilvl="6" w:tplc="318E7826" w:tentative="1">
      <w:start w:val="1"/>
      <w:numFmt w:val="decimal"/>
      <w:lvlText w:val="%7."/>
      <w:lvlJc w:val="left"/>
      <w:pPr>
        <w:ind w:left="5040" w:hanging="360"/>
      </w:pPr>
    </w:lvl>
    <w:lvl w:ilvl="7" w:tplc="C0F62686" w:tentative="1">
      <w:start w:val="1"/>
      <w:numFmt w:val="lowerLetter"/>
      <w:lvlText w:val="%8."/>
      <w:lvlJc w:val="left"/>
      <w:pPr>
        <w:ind w:left="5760" w:hanging="360"/>
      </w:pPr>
    </w:lvl>
    <w:lvl w:ilvl="8" w:tplc="3FA2A77E" w:tentative="1">
      <w:start w:val="1"/>
      <w:numFmt w:val="lowerRoman"/>
      <w:lvlText w:val="%9."/>
      <w:lvlJc w:val="right"/>
      <w:pPr>
        <w:ind w:left="6480" w:hanging="180"/>
      </w:pPr>
    </w:lvl>
  </w:abstractNum>
  <w:abstractNum w:abstractNumId="147" w15:restartNumberingAfterBreak="0">
    <w:nsid w:val="7CFF134B"/>
    <w:multiLevelType w:val="hybridMultilevel"/>
    <w:tmpl w:val="9D740352"/>
    <w:lvl w:ilvl="0" w:tplc="3C26CBB2">
      <w:start w:val="1"/>
      <w:numFmt w:val="lowerLetter"/>
      <w:lvlText w:val="%1)"/>
      <w:lvlJc w:val="left"/>
      <w:pPr>
        <w:ind w:left="1080" w:hanging="360"/>
      </w:pPr>
      <w:rPr>
        <w:rFonts w:ascii="Arial" w:eastAsia="Times New Roman" w:hAnsi="Arial" w:cs="Arial" w:hint="default"/>
      </w:rPr>
    </w:lvl>
    <w:lvl w:ilvl="1" w:tplc="1EF4B78C">
      <w:start w:val="1"/>
      <w:numFmt w:val="lowerLetter"/>
      <w:lvlText w:val="%2."/>
      <w:lvlJc w:val="left"/>
      <w:pPr>
        <w:ind w:left="1800" w:hanging="360"/>
      </w:pPr>
      <w:rPr>
        <w:b/>
        <w:bCs w:val="0"/>
      </w:rPr>
    </w:lvl>
    <w:lvl w:ilvl="2" w:tplc="2A380096" w:tentative="1">
      <w:start w:val="1"/>
      <w:numFmt w:val="lowerRoman"/>
      <w:lvlText w:val="%3."/>
      <w:lvlJc w:val="right"/>
      <w:pPr>
        <w:ind w:left="2520" w:hanging="180"/>
      </w:pPr>
    </w:lvl>
    <w:lvl w:ilvl="3" w:tplc="CC8EE8A8" w:tentative="1">
      <w:start w:val="1"/>
      <w:numFmt w:val="decimal"/>
      <w:lvlText w:val="%4."/>
      <w:lvlJc w:val="left"/>
      <w:pPr>
        <w:ind w:left="3240" w:hanging="360"/>
      </w:pPr>
    </w:lvl>
    <w:lvl w:ilvl="4" w:tplc="27BA7AA2" w:tentative="1">
      <w:start w:val="1"/>
      <w:numFmt w:val="lowerLetter"/>
      <w:lvlText w:val="%5."/>
      <w:lvlJc w:val="left"/>
      <w:pPr>
        <w:ind w:left="3960" w:hanging="360"/>
      </w:pPr>
    </w:lvl>
    <w:lvl w:ilvl="5" w:tplc="1C7C2D94" w:tentative="1">
      <w:start w:val="1"/>
      <w:numFmt w:val="lowerRoman"/>
      <w:lvlText w:val="%6."/>
      <w:lvlJc w:val="right"/>
      <w:pPr>
        <w:ind w:left="4680" w:hanging="180"/>
      </w:pPr>
    </w:lvl>
    <w:lvl w:ilvl="6" w:tplc="CEF63212" w:tentative="1">
      <w:start w:val="1"/>
      <w:numFmt w:val="decimal"/>
      <w:lvlText w:val="%7."/>
      <w:lvlJc w:val="left"/>
      <w:pPr>
        <w:ind w:left="5400" w:hanging="360"/>
      </w:pPr>
    </w:lvl>
    <w:lvl w:ilvl="7" w:tplc="5B7ACAC8" w:tentative="1">
      <w:start w:val="1"/>
      <w:numFmt w:val="lowerLetter"/>
      <w:lvlText w:val="%8."/>
      <w:lvlJc w:val="left"/>
      <w:pPr>
        <w:ind w:left="6120" w:hanging="360"/>
      </w:pPr>
    </w:lvl>
    <w:lvl w:ilvl="8" w:tplc="D60ADA4E" w:tentative="1">
      <w:start w:val="1"/>
      <w:numFmt w:val="lowerRoman"/>
      <w:lvlText w:val="%9."/>
      <w:lvlJc w:val="right"/>
      <w:pPr>
        <w:ind w:left="6840" w:hanging="180"/>
      </w:pPr>
    </w:lvl>
  </w:abstractNum>
  <w:abstractNum w:abstractNumId="148" w15:restartNumberingAfterBreak="0">
    <w:nsid w:val="7F053822"/>
    <w:multiLevelType w:val="hybridMultilevel"/>
    <w:tmpl w:val="05F4CA94"/>
    <w:lvl w:ilvl="0" w:tplc="D64CC6C6">
      <w:start w:val="1"/>
      <w:numFmt w:val="decimal"/>
      <w:lvlText w:val="%1."/>
      <w:lvlJc w:val="left"/>
      <w:pPr>
        <w:ind w:left="720" w:hanging="360"/>
      </w:pPr>
      <w:rPr>
        <w:rFonts w:hint="default"/>
      </w:rPr>
    </w:lvl>
    <w:lvl w:ilvl="1" w:tplc="5134911E" w:tentative="1">
      <w:start w:val="1"/>
      <w:numFmt w:val="lowerLetter"/>
      <w:lvlText w:val="%2."/>
      <w:lvlJc w:val="left"/>
      <w:pPr>
        <w:ind w:left="1440" w:hanging="360"/>
      </w:pPr>
    </w:lvl>
    <w:lvl w:ilvl="2" w:tplc="BF4A01A2" w:tentative="1">
      <w:start w:val="1"/>
      <w:numFmt w:val="lowerRoman"/>
      <w:lvlText w:val="%3."/>
      <w:lvlJc w:val="right"/>
      <w:pPr>
        <w:ind w:left="2160" w:hanging="180"/>
      </w:pPr>
    </w:lvl>
    <w:lvl w:ilvl="3" w:tplc="F9DC343E" w:tentative="1">
      <w:start w:val="1"/>
      <w:numFmt w:val="decimal"/>
      <w:lvlText w:val="%4."/>
      <w:lvlJc w:val="left"/>
      <w:pPr>
        <w:ind w:left="2880" w:hanging="360"/>
      </w:pPr>
    </w:lvl>
    <w:lvl w:ilvl="4" w:tplc="A838128E" w:tentative="1">
      <w:start w:val="1"/>
      <w:numFmt w:val="lowerLetter"/>
      <w:lvlText w:val="%5."/>
      <w:lvlJc w:val="left"/>
      <w:pPr>
        <w:ind w:left="3600" w:hanging="360"/>
      </w:pPr>
    </w:lvl>
    <w:lvl w:ilvl="5" w:tplc="437A1766" w:tentative="1">
      <w:start w:val="1"/>
      <w:numFmt w:val="lowerRoman"/>
      <w:lvlText w:val="%6."/>
      <w:lvlJc w:val="right"/>
      <w:pPr>
        <w:ind w:left="4320" w:hanging="180"/>
      </w:pPr>
    </w:lvl>
    <w:lvl w:ilvl="6" w:tplc="1A546608" w:tentative="1">
      <w:start w:val="1"/>
      <w:numFmt w:val="decimal"/>
      <w:lvlText w:val="%7."/>
      <w:lvlJc w:val="left"/>
      <w:pPr>
        <w:ind w:left="5040" w:hanging="360"/>
      </w:pPr>
    </w:lvl>
    <w:lvl w:ilvl="7" w:tplc="BC1890C0" w:tentative="1">
      <w:start w:val="1"/>
      <w:numFmt w:val="lowerLetter"/>
      <w:lvlText w:val="%8."/>
      <w:lvlJc w:val="left"/>
      <w:pPr>
        <w:ind w:left="5760" w:hanging="360"/>
      </w:pPr>
    </w:lvl>
    <w:lvl w:ilvl="8" w:tplc="AA7616FE" w:tentative="1">
      <w:start w:val="1"/>
      <w:numFmt w:val="lowerRoman"/>
      <w:lvlText w:val="%9."/>
      <w:lvlJc w:val="right"/>
      <w:pPr>
        <w:ind w:left="6480" w:hanging="180"/>
      </w:pPr>
    </w:lvl>
  </w:abstractNum>
  <w:abstractNum w:abstractNumId="149" w15:restartNumberingAfterBreak="0">
    <w:nsid w:val="7F5374AF"/>
    <w:multiLevelType w:val="hybridMultilevel"/>
    <w:tmpl w:val="690660C6"/>
    <w:lvl w:ilvl="0" w:tplc="51E075E4">
      <w:start w:val="1"/>
      <w:numFmt w:val="lowerLetter"/>
      <w:lvlText w:val="%1)"/>
      <w:lvlJc w:val="left"/>
      <w:pPr>
        <w:ind w:left="720" w:hanging="360"/>
      </w:pPr>
      <w:rPr>
        <w:rFonts w:hint="default"/>
      </w:rPr>
    </w:lvl>
    <w:lvl w:ilvl="1" w:tplc="0BFC34B8" w:tentative="1">
      <w:start w:val="1"/>
      <w:numFmt w:val="lowerLetter"/>
      <w:lvlText w:val="%2."/>
      <w:lvlJc w:val="left"/>
      <w:pPr>
        <w:ind w:left="1440" w:hanging="360"/>
      </w:pPr>
    </w:lvl>
    <w:lvl w:ilvl="2" w:tplc="BE7C50E6" w:tentative="1">
      <w:start w:val="1"/>
      <w:numFmt w:val="lowerRoman"/>
      <w:lvlText w:val="%3."/>
      <w:lvlJc w:val="right"/>
      <w:pPr>
        <w:ind w:left="2160" w:hanging="180"/>
      </w:pPr>
    </w:lvl>
    <w:lvl w:ilvl="3" w:tplc="EDF2006C" w:tentative="1">
      <w:start w:val="1"/>
      <w:numFmt w:val="decimal"/>
      <w:lvlText w:val="%4."/>
      <w:lvlJc w:val="left"/>
      <w:pPr>
        <w:ind w:left="2880" w:hanging="360"/>
      </w:pPr>
    </w:lvl>
    <w:lvl w:ilvl="4" w:tplc="7A663E90" w:tentative="1">
      <w:start w:val="1"/>
      <w:numFmt w:val="lowerLetter"/>
      <w:lvlText w:val="%5."/>
      <w:lvlJc w:val="left"/>
      <w:pPr>
        <w:ind w:left="3600" w:hanging="360"/>
      </w:pPr>
    </w:lvl>
    <w:lvl w:ilvl="5" w:tplc="9306CCB6" w:tentative="1">
      <w:start w:val="1"/>
      <w:numFmt w:val="lowerRoman"/>
      <w:lvlText w:val="%6."/>
      <w:lvlJc w:val="right"/>
      <w:pPr>
        <w:ind w:left="4320" w:hanging="180"/>
      </w:pPr>
    </w:lvl>
    <w:lvl w:ilvl="6" w:tplc="DB54E964" w:tentative="1">
      <w:start w:val="1"/>
      <w:numFmt w:val="decimal"/>
      <w:lvlText w:val="%7."/>
      <w:lvlJc w:val="left"/>
      <w:pPr>
        <w:ind w:left="5040" w:hanging="360"/>
      </w:pPr>
    </w:lvl>
    <w:lvl w:ilvl="7" w:tplc="53FED10C" w:tentative="1">
      <w:start w:val="1"/>
      <w:numFmt w:val="lowerLetter"/>
      <w:lvlText w:val="%8."/>
      <w:lvlJc w:val="left"/>
      <w:pPr>
        <w:ind w:left="5760" w:hanging="360"/>
      </w:pPr>
    </w:lvl>
    <w:lvl w:ilvl="8" w:tplc="43F8011C" w:tentative="1">
      <w:start w:val="1"/>
      <w:numFmt w:val="lowerRoman"/>
      <w:lvlText w:val="%9."/>
      <w:lvlJc w:val="right"/>
      <w:pPr>
        <w:ind w:left="6480" w:hanging="180"/>
      </w:pPr>
    </w:lvl>
  </w:abstractNum>
  <w:num w:numId="1" w16cid:durableId="1738895160">
    <w:abstractNumId w:val="108"/>
  </w:num>
  <w:num w:numId="2" w16cid:durableId="1883783011">
    <w:abstractNumId w:val="108"/>
  </w:num>
  <w:num w:numId="3" w16cid:durableId="197285173">
    <w:abstractNumId w:val="32"/>
  </w:num>
  <w:num w:numId="4" w16cid:durableId="79298998">
    <w:abstractNumId w:val="113"/>
  </w:num>
  <w:num w:numId="5" w16cid:durableId="1271470652">
    <w:abstractNumId w:val="55"/>
  </w:num>
  <w:num w:numId="6" w16cid:durableId="1206210975">
    <w:abstractNumId w:val="26"/>
  </w:num>
  <w:num w:numId="7" w16cid:durableId="1961301996">
    <w:abstractNumId w:val="81"/>
  </w:num>
  <w:num w:numId="8" w16cid:durableId="1860656137">
    <w:abstractNumId w:val="137"/>
  </w:num>
  <w:num w:numId="9" w16cid:durableId="1184128528">
    <w:abstractNumId w:val="13"/>
  </w:num>
  <w:num w:numId="10" w16cid:durableId="1779329940">
    <w:abstractNumId w:val="40"/>
  </w:num>
  <w:num w:numId="11" w16cid:durableId="1149443735">
    <w:abstractNumId w:val="145"/>
  </w:num>
  <w:num w:numId="12" w16cid:durableId="1199320294">
    <w:abstractNumId w:val="108"/>
  </w:num>
  <w:num w:numId="13" w16cid:durableId="1174345940">
    <w:abstractNumId w:val="147"/>
  </w:num>
  <w:num w:numId="14" w16cid:durableId="1654916752">
    <w:abstractNumId w:val="28"/>
  </w:num>
  <w:num w:numId="15" w16cid:durableId="348609348">
    <w:abstractNumId w:val="80"/>
  </w:num>
  <w:num w:numId="16" w16cid:durableId="1427534532">
    <w:abstractNumId w:val="71"/>
  </w:num>
  <w:num w:numId="17" w16cid:durableId="1084377382">
    <w:abstractNumId w:val="36"/>
  </w:num>
  <w:num w:numId="18" w16cid:durableId="483745778">
    <w:abstractNumId w:val="22"/>
  </w:num>
  <w:num w:numId="19" w16cid:durableId="35743365">
    <w:abstractNumId w:val="12"/>
  </w:num>
  <w:num w:numId="20" w16cid:durableId="2032997673">
    <w:abstractNumId w:val="64"/>
  </w:num>
  <w:num w:numId="21" w16cid:durableId="2044359860">
    <w:abstractNumId w:val="127"/>
  </w:num>
  <w:num w:numId="22" w16cid:durableId="2032956008">
    <w:abstractNumId w:val="125"/>
  </w:num>
  <w:num w:numId="23" w16cid:durableId="312368913">
    <w:abstractNumId w:val="94"/>
  </w:num>
  <w:num w:numId="24" w16cid:durableId="976837056">
    <w:abstractNumId w:val="56"/>
  </w:num>
  <w:num w:numId="25" w16cid:durableId="1019039565">
    <w:abstractNumId w:val="85"/>
  </w:num>
  <w:num w:numId="26" w16cid:durableId="1030716505">
    <w:abstractNumId w:val="17"/>
  </w:num>
  <w:num w:numId="27" w16cid:durableId="411244642">
    <w:abstractNumId w:val="72"/>
  </w:num>
  <w:num w:numId="28" w16cid:durableId="1972975995">
    <w:abstractNumId w:val="93"/>
  </w:num>
  <w:num w:numId="29" w16cid:durableId="95563101">
    <w:abstractNumId w:val="65"/>
  </w:num>
  <w:num w:numId="30" w16cid:durableId="904991563">
    <w:abstractNumId w:val="120"/>
  </w:num>
  <w:num w:numId="31" w16cid:durableId="800005154">
    <w:abstractNumId w:val="59"/>
  </w:num>
  <w:num w:numId="32" w16cid:durableId="27143431">
    <w:abstractNumId w:val="30"/>
  </w:num>
  <w:num w:numId="33" w16cid:durableId="1814061479">
    <w:abstractNumId w:val="134"/>
  </w:num>
  <w:num w:numId="34" w16cid:durableId="909727583">
    <w:abstractNumId w:val="41"/>
  </w:num>
  <w:num w:numId="35" w16cid:durableId="947852521">
    <w:abstractNumId w:val="7"/>
  </w:num>
  <w:num w:numId="36" w16cid:durableId="1716389890">
    <w:abstractNumId w:val="6"/>
  </w:num>
  <w:num w:numId="37" w16cid:durableId="1234313308">
    <w:abstractNumId w:val="4"/>
  </w:num>
  <w:num w:numId="38" w16cid:durableId="471140184">
    <w:abstractNumId w:val="2"/>
  </w:num>
  <w:num w:numId="39" w16cid:durableId="1646661797">
    <w:abstractNumId w:val="126"/>
  </w:num>
  <w:num w:numId="40" w16cid:durableId="73625717">
    <w:abstractNumId w:val="114"/>
  </w:num>
  <w:num w:numId="41" w16cid:durableId="1697922846">
    <w:abstractNumId w:val="110"/>
  </w:num>
  <w:num w:numId="42" w16cid:durableId="1969388817">
    <w:abstractNumId w:val="69"/>
  </w:num>
  <w:num w:numId="43" w16cid:durableId="947734766">
    <w:abstractNumId w:val="35"/>
  </w:num>
  <w:num w:numId="44" w16cid:durableId="1558778506">
    <w:abstractNumId w:val="10"/>
  </w:num>
  <w:num w:numId="45" w16cid:durableId="122309694">
    <w:abstractNumId w:val="117"/>
  </w:num>
  <w:num w:numId="46" w16cid:durableId="1536767058">
    <w:abstractNumId w:val="58"/>
  </w:num>
  <w:num w:numId="47" w16cid:durableId="1062677263">
    <w:abstractNumId w:val="107"/>
  </w:num>
  <w:num w:numId="48" w16cid:durableId="465585508">
    <w:abstractNumId w:val="25"/>
  </w:num>
  <w:num w:numId="49" w16cid:durableId="1971933824">
    <w:abstractNumId w:val="139"/>
  </w:num>
  <w:num w:numId="50" w16cid:durableId="1754163537">
    <w:abstractNumId w:val="27"/>
  </w:num>
  <w:num w:numId="51" w16cid:durableId="2043282067">
    <w:abstractNumId w:val="141"/>
  </w:num>
  <w:num w:numId="52" w16cid:durableId="1832718303">
    <w:abstractNumId w:val="99"/>
  </w:num>
  <w:num w:numId="53" w16cid:durableId="1241670172">
    <w:abstractNumId w:val="131"/>
  </w:num>
  <w:num w:numId="54" w16cid:durableId="663438172">
    <w:abstractNumId w:val="109"/>
  </w:num>
  <w:num w:numId="55" w16cid:durableId="898248625">
    <w:abstractNumId w:val="73"/>
  </w:num>
  <w:num w:numId="56" w16cid:durableId="1470703094">
    <w:abstractNumId w:val="8"/>
  </w:num>
  <w:num w:numId="57" w16cid:durableId="941299630">
    <w:abstractNumId w:val="68"/>
  </w:num>
  <w:num w:numId="58" w16cid:durableId="561332100">
    <w:abstractNumId w:val="31"/>
  </w:num>
  <w:num w:numId="59" w16cid:durableId="1592469244">
    <w:abstractNumId w:val="16"/>
  </w:num>
  <w:num w:numId="60" w16cid:durableId="489446985">
    <w:abstractNumId w:val="43"/>
  </w:num>
  <w:num w:numId="61" w16cid:durableId="1798448653">
    <w:abstractNumId w:val="3"/>
  </w:num>
  <w:num w:numId="62" w16cid:durableId="697051471">
    <w:abstractNumId w:val="1"/>
  </w:num>
  <w:num w:numId="63" w16cid:durableId="485365580">
    <w:abstractNumId w:val="53"/>
  </w:num>
  <w:num w:numId="64" w16cid:durableId="1119564085">
    <w:abstractNumId w:val="82"/>
  </w:num>
  <w:num w:numId="65" w16cid:durableId="1087077389">
    <w:abstractNumId w:val="79"/>
  </w:num>
  <w:num w:numId="66" w16cid:durableId="866138383">
    <w:abstractNumId w:val="83"/>
  </w:num>
  <w:num w:numId="67" w16cid:durableId="1266578289">
    <w:abstractNumId w:val="123"/>
  </w:num>
  <w:num w:numId="68" w16cid:durableId="68431259">
    <w:abstractNumId w:val="70"/>
  </w:num>
  <w:num w:numId="69" w16cid:durableId="2140030378">
    <w:abstractNumId w:val="104"/>
  </w:num>
  <w:num w:numId="70" w16cid:durableId="1318387854">
    <w:abstractNumId w:val="39"/>
  </w:num>
  <w:num w:numId="71" w16cid:durableId="1532918376">
    <w:abstractNumId w:val="84"/>
  </w:num>
  <w:num w:numId="72" w16cid:durableId="1452044368">
    <w:abstractNumId w:val="74"/>
  </w:num>
  <w:num w:numId="73" w16cid:durableId="380053548">
    <w:abstractNumId w:val="9"/>
  </w:num>
  <w:num w:numId="74" w16cid:durableId="455491024">
    <w:abstractNumId w:val="142"/>
  </w:num>
  <w:num w:numId="75" w16cid:durableId="1508599083">
    <w:abstractNumId w:val="98"/>
  </w:num>
  <w:num w:numId="76" w16cid:durableId="1791629176">
    <w:abstractNumId w:val="116"/>
  </w:num>
  <w:num w:numId="77" w16cid:durableId="2017999720">
    <w:abstractNumId w:val="130"/>
  </w:num>
  <w:num w:numId="78" w16cid:durableId="93482769">
    <w:abstractNumId w:val="51"/>
  </w:num>
  <w:num w:numId="79" w16cid:durableId="621618304">
    <w:abstractNumId w:val="52"/>
  </w:num>
  <w:num w:numId="80" w16cid:durableId="199561616">
    <w:abstractNumId w:val="15"/>
  </w:num>
  <w:num w:numId="81" w16cid:durableId="825125123">
    <w:abstractNumId w:val="87"/>
  </w:num>
  <w:num w:numId="82" w16cid:durableId="882324709">
    <w:abstractNumId w:val="0"/>
  </w:num>
  <w:num w:numId="83" w16cid:durableId="1863012065">
    <w:abstractNumId w:val="23"/>
  </w:num>
  <w:num w:numId="84" w16cid:durableId="2048872025">
    <w:abstractNumId w:val="106"/>
  </w:num>
  <w:num w:numId="85" w16cid:durableId="1208108732">
    <w:abstractNumId w:val="138"/>
  </w:num>
  <w:num w:numId="86" w16cid:durableId="1130322579">
    <w:abstractNumId w:val="89"/>
  </w:num>
  <w:num w:numId="87" w16cid:durableId="1935899530">
    <w:abstractNumId w:val="140"/>
  </w:num>
  <w:num w:numId="88" w16cid:durableId="1755278138">
    <w:abstractNumId w:val="49"/>
  </w:num>
  <w:num w:numId="89" w16cid:durableId="751394561">
    <w:abstractNumId w:val="20"/>
  </w:num>
  <w:num w:numId="90" w16cid:durableId="110363337">
    <w:abstractNumId w:val="61"/>
  </w:num>
  <w:num w:numId="91" w16cid:durableId="384068822">
    <w:abstractNumId w:val="148"/>
  </w:num>
  <w:num w:numId="92" w16cid:durableId="383024623">
    <w:abstractNumId w:val="129"/>
  </w:num>
  <w:num w:numId="93" w16cid:durableId="863520394">
    <w:abstractNumId w:val="48"/>
  </w:num>
  <w:num w:numId="94" w16cid:durableId="2007898192">
    <w:abstractNumId w:val="5"/>
  </w:num>
  <w:num w:numId="95" w16cid:durableId="1466198375">
    <w:abstractNumId w:val="11"/>
  </w:num>
  <w:num w:numId="96" w16cid:durableId="1258707796">
    <w:abstractNumId w:val="66"/>
  </w:num>
  <w:num w:numId="97" w16cid:durableId="572274517">
    <w:abstractNumId w:val="60"/>
  </w:num>
  <w:num w:numId="98" w16cid:durableId="193931634">
    <w:abstractNumId w:val="112"/>
  </w:num>
  <w:num w:numId="99" w16cid:durableId="383675459">
    <w:abstractNumId w:val="34"/>
  </w:num>
  <w:num w:numId="100" w16cid:durableId="1786847298">
    <w:abstractNumId w:val="115"/>
  </w:num>
  <w:num w:numId="101" w16cid:durableId="1283340019">
    <w:abstractNumId w:val="14"/>
  </w:num>
  <w:num w:numId="102" w16cid:durableId="780340340">
    <w:abstractNumId w:val="90"/>
  </w:num>
  <w:num w:numId="103" w16cid:durableId="801964947">
    <w:abstractNumId w:val="38"/>
  </w:num>
  <w:num w:numId="104" w16cid:durableId="1470197972">
    <w:abstractNumId w:val="50"/>
  </w:num>
  <w:num w:numId="105" w16cid:durableId="1592619046">
    <w:abstractNumId w:val="136"/>
  </w:num>
  <w:num w:numId="106" w16cid:durableId="303005092">
    <w:abstractNumId w:val="97"/>
  </w:num>
  <w:num w:numId="107" w16cid:durableId="1451127068">
    <w:abstractNumId w:val="103"/>
  </w:num>
  <w:num w:numId="108" w16cid:durableId="1041587822">
    <w:abstractNumId w:val="33"/>
  </w:num>
  <w:num w:numId="109" w16cid:durableId="1763181554">
    <w:abstractNumId w:val="54"/>
  </w:num>
  <w:num w:numId="110" w16cid:durableId="1631012060">
    <w:abstractNumId w:val="88"/>
  </w:num>
  <w:num w:numId="111" w16cid:durableId="723454488">
    <w:abstractNumId w:val="100"/>
  </w:num>
  <w:num w:numId="112" w16cid:durableId="1723596901">
    <w:abstractNumId w:val="44"/>
  </w:num>
  <w:num w:numId="113" w16cid:durableId="1034579135">
    <w:abstractNumId w:val="42"/>
  </w:num>
  <w:num w:numId="114" w16cid:durableId="1540320483">
    <w:abstractNumId w:val="24"/>
  </w:num>
  <w:num w:numId="115" w16cid:durableId="120728151">
    <w:abstractNumId w:val="146"/>
  </w:num>
  <w:num w:numId="116" w16cid:durableId="36466256">
    <w:abstractNumId w:val="21"/>
  </w:num>
  <w:num w:numId="117" w16cid:durableId="1096442105">
    <w:abstractNumId w:val="119"/>
  </w:num>
  <w:num w:numId="118" w16cid:durableId="1121921684">
    <w:abstractNumId w:val="19"/>
  </w:num>
  <w:num w:numId="119" w16cid:durableId="435634129">
    <w:abstractNumId w:val="144"/>
  </w:num>
  <w:num w:numId="120" w16cid:durableId="2145344461">
    <w:abstractNumId w:val="118"/>
  </w:num>
  <w:num w:numId="121" w16cid:durableId="1558129905">
    <w:abstractNumId w:val="96"/>
  </w:num>
  <w:num w:numId="122" w16cid:durableId="929897397">
    <w:abstractNumId w:val="77"/>
  </w:num>
  <w:num w:numId="123" w16cid:durableId="1050569040">
    <w:abstractNumId w:val="37"/>
  </w:num>
  <w:num w:numId="124" w16cid:durableId="2145611491">
    <w:abstractNumId w:val="149"/>
  </w:num>
  <w:num w:numId="125" w16cid:durableId="210700523">
    <w:abstractNumId w:val="95"/>
  </w:num>
  <w:num w:numId="126" w16cid:durableId="875509732">
    <w:abstractNumId w:val="47"/>
  </w:num>
  <w:num w:numId="127" w16cid:durableId="548151251">
    <w:abstractNumId w:val="18"/>
  </w:num>
  <w:num w:numId="128" w16cid:durableId="68306015">
    <w:abstractNumId w:val="46"/>
  </w:num>
  <w:num w:numId="129" w16cid:durableId="1365444373">
    <w:abstractNumId w:val="111"/>
  </w:num>
  <w:num w:numId="130" w16cid:durableId="1360929738">
    <w:abstractNumId w:val="67"/>
  </w:num>
  <w:num w:numId="131" w16cid:durableId="947468246">
    <w:abstractNumId w:val="29"/>
  </w:num>
  <w:num w:numId="132" w16cid:durableId="935477726">
    <w:abstractNumId w:val="91"/>
  </w:num>
  <w:num w:numId="133" w16cid:durableId="1557232329">
    <w:abstractNumId w:val="132"/>
  </w:num>
  <w:num w:numId="134" w16cid:durableId="1476723260">
    <w:abstractNumId w:val="143"/>
  </w:num>
  <w:num w:numId="135" w16cid:durableId="981274444">
    <w:abstractNumId w:val="75"/>
  </w:num>
  <w:num w:numId="136" w16cid:durableId="1344160249">
    <w:abstractNumId w:val="57"/>
  </w:num>
  <w:num w:numId="137" w16cid:durableId="1346708235">
    <w:abstractNumId w:val="62"/>
  </w:num>
  <w:num w:numId="138" w16cid:durableId="1169373273">
    <w:abstractNumId w:val="121"/>
  </w:num>
  <w:num w:numId="139" w16cid:durableId="1993755933">
    <w:abstractNumId w:val="45"/>
  </w:num>
  <w:num w:numId="140" w16cid:durableId="1897812344">
    <w:abstractNumId w:val="102"/>
  </w:num>
  <w:num w:numId="141" w16cid:durableId="202013403">
    <w:abstractNumId w:val="76"/>
  </w:num>
  <w:num w:numId="142" w16cid:durableId="715857157">
    <w:abstractNumId w:val="122"/>
  </w:num>
  <w:num w:numId="143" w16cid:durableId="883634757">
    <w:abstractNumId w:val="135"/>
  </w:num>
  <w:num w:numId="144" w16cid:durableId="777872108">
    <w:abstractNumId w:val="92"/>
  </w:num>
  <w:num w:numId="145" w16cid:durableId="1105855087">
    <w:abstractNumId w:val="128"/>
  </w:num>
  <w:num w:numId="146" w16cid:durableId="1321807871">
    <w:abstractNumId w:val="133"/>
  </w:num>
  <w:num w:numId="147" w16cid:durableId="1713653230">
    <w:abstractNumId w:val="101"/>
  </w:num>
  <w:num w:numId="148" w16cid:durableId="1870099953">
    <w:abstractNumId w:val="63"/>
  </w:num>
  <w:num w:numId="149" w16cid:durableId="1317610185">
    <w:abstractNumId w:val="108"/>
  </w:num>
  <w:num w:numId="150" w16cid:durableId="399640609">
    <w:abstractNumId w:val="105"/>
  </w:num>
  <w:num w:numId="151" w16cid:durableId="95372024">
    <w:abstractNumId w:val="124"/>
  </w:num>
  <w:num w:numId="152" w16cid:durableId="1005935901">
    <w:abstractNumId w:val="108"/>
  </w:num>
  <w:num w:numId="153" w16cid:durableId="2032028763">
    <w:abstractNumId w:val="108"/>
  </w:num>
  <w:num w:numId="154" w16cid:durableId="2063753215">
    <w:abstractNumId w:val="78"/>
  </w:num>
  <w:num w:numId="155" w16cid:durableId="656690542">
    <w:abstractNumId w:val="86"/>
  </w:num>
  <w:numIdMacAtCleanup w:val="1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1"/>
  <w:hyphenationZone w:val="425"/>
  <w:displayHorizontalDrawingGridEvery w:val="0"/>
  <w:displayVerticalDrawingGridEvery w:val="0"/>
  <w:doNotUseMarginsForDrawingGridOrigin/>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FB6"/>
    <w:rsid w:val="0000074D"/>
    <w:rsid w:val="000011A7"/>
    <w:rsid w:val="0000163B"/>
    <w:rsid w:val="00002DED"/>
    <w:rsid w:val="000048AF"/>
    <w:rsid w:val="0000591B"/>
    <w:rsid w:val="00005F89"/>
    <w:rsid w:val="00006436"/>
    <w:rsid w:val="00006541"/>
    <w:rsid w:val="0000698D"/>
    <w:rsid w:val="0001045F"/>
    <w:rsid w:val="000114C3"/>
    <w:rsid w:val="00012F36"/>
    <w:rsid w:val="00014A7C"/>
    <w:rsid w:val="00014ADA"/>
    <w:rsid w:val="000169B8"/>
    <w:rsid w:val="00022178"/>
    <w:rsid w:val="000232A2"/>
    <w:rsid w:val="00023F68"/>
    <w:rsid w:val="00024C0B"/>
    <w:rsid w:val="0002678B"/>
    <w:rsid w:val="000267F8"/>
    <w:rsid w:val="0002774F"/>
    <w:rsid w:val="00033007"/>
    <w:rsid w:val="000335A5"/>
    <w:rsid w:val="00033BE7"/>
    <w:rsid w:val="000347D0"/>
    <w:rsid w:val="0003635E"/>
    <w:rsid w:val="00036F26"/>
    <w:rsid w:val="00041AF9"/>
    <w:rsid w:val="0004212D"/>
    <w:rsid w:val="000434C8"/>
    <w:rsid w:val="000436DD"/>
    <w:rsid w:val="00044C50"/>
    <w:rsid w:val="00046933"/>
    <w:rsid w:val="0005007F"/>
    <w:rsid w:val="00050CB2"/>
    <w:rsid w:val="000514B9"/>
    <w:rsid w:val="00051BA3"/>
    <w:rsid w:val="000532C2"/>
    <w:rsid w:val="00056189"/>
    <w:rsid w:val="0005621D"/>
    <w:rsid w:val="00057105"/>
    <w:rsid w:val="00063866"/>
    <w:rsid w:val="00065613"/>
    <w:rsid w:val="00067B2E"/>
    <w:rsid w:val="0007201C"/>
    <w:rsid w:val="00072417"/>
    <w:rsid w:val="0007286F"/>
    <w:rsid w:val="00074179"/>
    <w:rsid w:val="000760BC"/>
    <w:rsid w:val="000763AD"/>
    <w:rsid w:val="00077554"/>
    <w:rsid w:val="00077C6B"/>
    <w:rsid w:val="0008009B"/>
    <w:rsid w:val="00081A8E"/>
    <w:rsid w:val="00082666"/>
    <w:rsid w:val="00083CE2"/>
    <w:rsid w:val="00087CE6"/>
    <w:rsid w:val="00091A57"/>
    <w:rsid w:val="0009343F"/>
    <w:rsid w:val="0009445D"/>
    <w:rsid w:val="00094513"/>
    <w:rsid w:val="00094BBE"/>
    <w:rsid w:val="00095E63"/>
    <w:rsid w:val="0009628D"/>
    <w:rsid w:val="00096BF2"/>
    <w:rsid w:val="000A0589"/>
    <w:rsid w:val="000A21C4"/>
    <w:rsid w:val="000A34ED"/>
    <w:rsid w:val="000A4DF0"/>
    <w:rsid w:val="000A7CB6"/>
    <w:rsid w:val="000B04A9"/>
    <w:rsid w:val="000B349A"/>
    <w:rsid w:val="000B3F1B"/>
    <w:rsid w:val="000B4086"/>
    <w:rsid w:val="000B4E09"/>
    <w:rsid w:val="000B6868"/>
    <w:rsid w:val="000B6B69"/>
    <w:rsid w:val="000C19A2"/>
    <w:rsid w:val="000C1E95"/>
    <w:rsid w:val="000C2397"/>
    <w:rsid w:val="000C2D59"/>
    <w:rsid w:val="000C51E7"/>
    <w:rsid w:val="000C53EC"/>
    <w:rsid w:val="000C5C3A"/>
    <w:rsid w:val="000C5E7F"/>
    <w:rsid w:val="000C6570"/>
    <w:rsid w:val="000C7800"/>
    <w:rsid w:val="000C7988"/>
    <w:rsid w:val="000D1323"/>
    <w:rsid w:val="000D32FE"/>
    <w:rsid w:val="000D4000"/>
    <w:rsid w:val="000D5C99"/>
    <w:rsid w:val="000D7290"/>
    <w:rsid w:val="000D7D73"/>
    <w:rsid w:val="000E0951"/>
    <w:rsid w:val="000E1032"/>
    <w:rsid w:val="000E280F"/>
    <w:rsid w:val="000E4273"/>
    <w:rsid w:val="000E5F02"/>
    <w:rsid w:val="000E72C3"/>
    <w:rsid w:val="000E78A4"/>
    <w:rsid w:val="000F22BE"/>
    <w:rsid w:val="000F53BC"/>
    <w:rsid w:val="00100317"/>
    <w:rsid w:val="00100C6C"/>
    <w:rsid w:val="00100DBC"/>
    <w:rsid w:val="001037E3"/>
    <w:rsid w:val="00104B1A"/>
    <w:rsid w:val="00107936"/>
    <w:rsid w:val="00107DF3"/>
    <w:rsid w:val="00110D23"/>
    <w:rsid w:val="001115C3"/>
    <w:rsid w:val="00112406"/>
    <w:rsid w:val="00113395"/>
    <w:rsid w:val="00113A8A"/>
    <w:rsid w:val="001157C1"/>
    <w:rsid w:val="00115985"/>
    <w:rsid w:val="00115996"/>
    <w:rsid w:val="0011672B"/>
    <w:rsid w:val="00120ACC"/>
    <w:rsid w:val="00120BC9"/>
    <w:rsid w:val="001221D9"/>
    <w:rsid w:val="00123354"/>
    <w:rsid w:val="001237A7"/>
    <w:rsid w:val="00124AA4"/>
    <w:rsid w:val="0012738A"/>
    <w:rsid w:val="00127942"/>
    <w:rsid w:val="00130BA5"/>
    <w:rsid w:val="00130CD0"/>
    <w:rsid w:val="0013236E"/>
    <w:rsid w:val="001339B7"/>
    <w:rsid w:val="001348B0"/>
    <w:rsid w:val="001402CD"/>
    <w:rsid w:val="00140E4B"/>
    <w:rsid w:val="00140EA6"/>
    <w:rsid w:val="001417A5"/>
    <w:rsid w:val="00143184"/>
    <w:rsid w:val="00143F86"/>
    <w:rsid w:val="00144FC9"/>
    <w:rsid w:val="00145191"/>
    <w:rsid w:val="00146EF6"/>
    <w:rsid w:val="00152D74"/>
    <w:rsid w:val="00153623"/>
    <w:rsid w:val="00153BA4"/>
    <w:rsid w:val="00153EAA"/>
    <w:rsid w:val="00154029"/>
    <w:rsid w:val="00155EC3"/>
    <w:rsid w:val="001579CE"/>
    <w:rsid w:val="00161DD0"/>
    <w:rsid w:val="00163511"/>
    <w:rsid w:val="001666B1"/>
    <w:rsid w:val="0016675C"/>
    <w:rsid w:val="00166BF5"/>
    <w:rsid w:val="00167380"/>
    <w:rsid w:val="0017084D"/>
    <w:rsid w:val="00174909"/>
    <w:rsid w:val="001835B8"/>
    <w:rsid w:val="0018452B"/>
    <w:rsid w:val="00190918"/>
    <w:rsid w:val="00190E8F"/>
    <w:rsid w:val="0019224F"/>
    <w:rsid w:val="00192E75"/>
    <w:rsid w:val="00194CEA"/>
    <w:rsid w:val="00196A8B"/>
    <w:rsid w:val="00197A0F"/>
    <w:rsid w:val="001A1089"/>
    <w:rsid w:val="001A1A19"/>
    <w:rsid w:val="001A238B"/>
    <w:rsid w:val="001A501A"/>
    <w:rsid w:val="001A5B45"/>
    <w:rsid w:val="001A67EA"/>
    <w:rsid w:val="001A6B71"/>
    <w:rsid w:val="001B0817"/>
    <w:rsid w:val="001B0D2F"/>
    <w:rsid w:val="001B0EBE"/>
    <w:rsid w:val="001B1204"/>
    <w:rsid w:val="001B4A45"/>
    <w:rsid w:val="001B4BFA"/>
    <w:rsid w:val="001B4D36"/>
    <w:rsid w:val="001B56D4"/>
    <w:rsid w:val="001B59B8"/>
    <w:rsid w:val="001B5BA0"/>
    <w:rsid w:val="001B652C"/>
    <w:rsid w:val="001C04AF"/>
    <w:rsid w:val="001C2476"/>
    <w:rsid w:val="001C264E"/>
    <w:rsid w:val="001C27F8"/>
    <w:rsid w:val="001C5A8E"/>
    <w:rsid w:val="001D01A5"/>
    <w:rsid w:val="001D06B1"/>
    <w:rsid w:val="001D07EF"/>
    <w:rsid w:val="001D13E0"/>
    <w:rsid w:val="001D2E92"/>
    <w:rsid w:val="001D3ECB"/>
    <w:rsid w:val="001D52E5"/>
    <w:rsid w:val="001E0027"/>
    <w:rsid w:val="001E1394"/>
    <w:rsid w:val="001E1593"/>
    <w:rsid w:val="001E1A02"/>
    <w:rsid w:val="001E2D87"/>
    <w:rsid w:val="001E47A1"/>
    <w:rsid w:val="001E4BCD"/>
    <w:rsid w:val="001E4BFA"/>
    <w:rsid w:val="001E5088"/>
    <w:rsid w:val="001F06BD"/>
    <w:rsid w:val="001F1B85"/>
    <w:rsid w:val="001F1DA4"/>
    <w:rsid w:val="001F3499"/>
    <w:rsid w:val="001F58FA"/>
    <w:rsid w:val="001F7213"/>
    <w:rsid w:val="002009FE"/>
    <w:rsid w:val="002015A2"/>
    <w:rsid w:val="00202504"/>
    <w:rsid w:val="002025AD"/>
    <w:rsid w:val="002035D0"/>
    <w:rsid w:val="00205DAE"/>
    <w:rsid w:val="00206177"/>
    <w:rsid w:val="00207557"/>
    <w:rsid w:val="002107E6"/>
    <w:rsid w:val="00212373"/>
    <w:rsid w:val="002129C3"/>
    <w:rsid w:val="00212E26"/>
    <w:rsid w:val="00213C5F"/>
    <w:rsid w:val="002146F9"/>
    <w:rsid w:val="00216C0E"/>
    <w:rsid w:val="002179BB"/>
    <w:rsid w:val="002233F3"/>
    <w:rsid w:val="00223987"/>
    <w:rsid w:val="00226380"/>
    <w:rsid w:val="0022767D"/>
    <w:rsid w:val="0023038E"/>
    <w:rsid w:val="002304C4"/>
    <w:rsid w:val="00230FBE"/>
    <w:rsid w:val="002327CC"/>
    <w:rsid w:val="0023341A"/>
    <w:rsid w:val="00233907"/>
    <w:rsid w:val="00236EB1"/>
    <w:rsid w:val="002411DF"/>
    <w:rsid w:val="00241D26"/>
    <w:rsid w:val="0024280F"/>
    <w:rsid w:val="0024458E"/>
    <w:rsid w:val="0024653D"/>
    <w:rsid w:val="00246A33"/>
    <w:rsid w:val="00246B51"/>
    <w:rsid w:val="00247502"/>
    <w:rsid w:val="00252831"/>
    <w:rsid w:val="00252A4B"/>
    <w:rsid w:val="002531BC"/>
    <w:rsid w:val="00254282"/>
    <w:rsid w:val="00254943"/>
    <w:rsid w:val="002555BB"/>
    <w:rsid w:val="00260A7B"/>
    <w:rsid w:val="00261048"/>
    <w:rsid w:val="00263DD6"/>
    <w:rsid w:val="00270F35"/>
    <w:rsid w:val="0027260B"/>
    <w:rsid w:val="00274020"/>
    <w:rsid w:val="0027775A"/>
    <w:rsid w:val="00282013"/>
    <w:rsid w:val="00282989"/>
    <w:rsid w:val="00282BE5"/>
    <w:rsid w:val="0028300B"/>
    <w:rsid w:val="0028343F"/>
    <w:rsid w:val="002839CA"/>
    <w:rsid w:val="002857FB"/>
    <w:rsid w:val="002861C8"/>
    <w:rsid w:val="0029176A"/>
    <w:rsid w:val="00291B1B"/>
    <w:rsid w:val="00292927"/>
    <w:rsid w:val="00293549"/>
    <w:rsid w:val="002936A5"/>
    <w:rsid w:val="00293D84"/>
    <w:rsid w:val="002A2796"/>
    <w:rsid w:val="002A29F0"/>
    <w:rsid w:val="002A2E37"/>
    <w:rsid w:val="002A2FF3"/>
    <w:rsid w:val="002A63FE"/>
    <w:rsid w:val="002A7B34"/>
    <w:rsid w:val="002B0168"/>
    <w:rsid w:val="002B1AED"/>
    <w:rsid w:val="002B7970"/>
    <w:rsid w:val="002C163C"/>
    <w:rsid w:val="002C1B04"/>
    <w:rsid w:val="002C317F"/>
    <w:rsid w:val="002C4BC4"/>
    <w:rsid w:val="002C4F91"/>
    <w:rsid w:val="002D001B"/>
    <w:rsid w:val="002D1718"/>
    <w:rsid w:val="002D2D64"/>
    <w:rsid w:val="002D47FA"/>
    <w:rsid w:val="002D48C0"/>
    <w:rsid w:val="002D5894"/>
    <w:rsid w:val="002D617F"/>
    <w:rsid w:val="002D64AD"/>
    <w:rsid w:val="002D7C18"/>
    <w:rsid w:val="002E0808"/>
    <w:rsid w:val="002E0D17"/>
    <w:rsid w:val="002E3E30"/>
    <w:rsid w:val="002E7477"/>
    <w:rsid w:val="002E766E"/>
    <w:rsid w:val="002F0818"/>
    <w:rsid w:val="002F198F"/>
    <w:rsid w:val="002F3805"/>
    <w:rsid w:val="002F5BFE"/>
    <w:rsid w:val="002F6648"/>
    <w:rsid w:val="002F6FD4"/>
    <w:rsid w:val="00301AE4"/>
    <w:rsid w:val="00302E3E"/>
    <w:rsid w:val="003057F3"/>
    <w:rsid w:val="00307461"/>
    <w:rsid w:val="00307881"/>
    <w:rsid w:val="00310D12"/>
    <w:rsid w:val="00313479"/>
    <w:rsid w:val="00313E2F"/>
    <w:rsid w:val="00314B2F"/>
    <w:rsid w:val="00314F82"/>
    <w:rsid w:val="003200B0"/>
    <w:rsid w:val="00321893"/>
    <w:rsid w:val="00322EDD"/>
    <w:rsid w:val="003244F1"/>
    <w:rsid w:val="00326990"/>
    <w:rsid w:val="00326DB1"/>
    <w:rsid w:val="003303A2"/>
    <w:rsid w:val="00332636"/>
    <w:rsid w:val="00333298"/>
    <w:rsid w:val="003359CD"/>
    <w:rsid w:val="00342A09"/>
    <w:rsid w:val="00344696"/>
    <w:rsid w:val="003447F9"/>
    <w:rsid w:val="00345A1B"/>
    <w:rsid w:val="00350298"/>
    <w:rsid w:val="0035036E"/>
    <w:rsid w:val="00350595"/>
    <w:rsid w:val="00353687"/>
    <w:rsid w:val="00354845"/>
    <w:rsid w:val="00357603"/>
    <w:rsid w:val="003616A0"/>
    <w:rsid w:val="00361DE1"/>
    <w:rsid w:val="00366C40"/>
    <w:rsid w:val="003676EE"/>
    <w:rsid w:val="00367D06"/>
    <w:rsid w:val="00367F4A"/>
    <w:rsid w:val="003709D6"/>
    <w:rsid w:val="00371B90"/>
    <w:rsid w:val="003768FA"/>
    <w:rsid w:val="00377942"/>
    <w:rsid w:val="00380AD7"/>
    <w:rsid w:val="0038323F"/>
    <w:rsid w:val="003852AA"/>
    <w:rsid w:val="00390CD7"/>
    <w:rsid w:val="00391387"/>
    <w:rsid w:val="0039336D"/>
    <w:rsid w:val="00393400"/>
    <w:rsid w:val="00395B2D"/>
    <w:rsid w:val="00396124"/>
    <w:rsid w:val="003A03F9"/>
    <w:rsid w:val="003A287A"/>
    <w:rsid w:val="003A2FB8"/>
    <w:rsid w:val="003A3DD6"/>
    <w:rsid w:val="003A5A12"/>
    <w:rsid w:val="003A5FC4"/>
    <w:rsid w:val="003A736A"/>
    <w:rsid w:val="003B4B38"/>
    <w:rsid w:val="003B51FD"/>
    <w:rsid w:val="003B5E2E"/>
    <w:rsid w:val="003B6474"/>
    <w:rsid w:val="003B6A36"/>
    <w:rsid w:val="003C06E8"/>
    <w:rsid w:val="003C0EDA"/>
    <w:rsid w:val="003C4AAA"/>
    <w:rsid w:val="003C53AD"/>
    <w:rsid w:val="003C7B2F"/>
    <w:rsid w:val="003D0910"/>
    <w:rsid w:val="003D1739"/>
    <w:rsid w:val="003D467C"/>
    <w:rsid w:val="003D5183"/>
    <w:rsid w:val="003D525A"/>
    <w:rsid w:val="003E0131"/>
    <w:rsid w:val="003E0167"/>
    <w:rsid w:val="003E09A1"/>
    <w:rsid w:val="003E485C"/>
    <w:rsid w:val="003E6C3A"/>
    <w:rsid w:val="003F0859"/>
    <w:rsid w:val="003F1341"/>
    <w:rsid w:val="003F1885"/>
    <w:rsid w:val="003F1E2A"/>
    <w:rsid w:val="003F3F3A"/>
    <w:rsid w:val="003F56A7"/>
    <w:rsid w:val="003F617B"/>
    <w:rsid w:val="003F617F"/>
    <w:rsid w:val="003F67E0"/>
    <w:rsid w:val="004010A6"/>
    <w:rsid w:val="004021C3"/>
    <w:rsid w:val="004030A3"/>
    <w:rsid w:val="004035AF"/>
    <w:rsid w:val="00403E05"/>
    <w:rsid w:val="004040F0"/>
    <w:rsid w:val="00404FC7"/>
    <w:rsid w:val="00405D3F"/>
    <w:rsid w:val="004071C3"/>
    <w:rsid w:val="004074B0"/>
    <w:rsid w:val="00410D6A"/>
    <w:rsid w:val="00420739"/>
    <w:rsid w:val="00420D97"/>
    <w:rsid w:val="0042383B"/>
    <w:rsid w:val="0042513D"/>
    <w:rsid w:val="004253FF"/>
    <w:rsid w:val="0042644C"/>
    <w:rsid w:val="0042740E"/>
    <w:rsid w:val="004274FB"/>
    <w:rsid w:val="00427B95"/>
    <w:rsid w:val="0043038E"/>
    <w:rsid w:val="0043174C"/>
    <w:rsid w:val="00431B34"/>
    <w:rsid w:val="00432826"/>
    <w:rsid w:val="00432EA2"/>
    <w:rsid w:val="004339FD"/>
    <w:rsid w:val="004342EE"/>
    <w:rsid w:val="00435086"/>
    <w:rsid w:val="00435B47"/>
    <w:rsid w:val="00435ECF"/>
    <w:rsid w:val="00437237"/>
    <w:rsid w:val="00437269"/>
    <w:rsid w:val="0044005E"/>
    <w:rsid w:val="004409B1"/>
    <w:rsid w:val="00440BEE"/>
    <w:rsid w:val="00442B3F"/>
    <w:rsid w:val="00443B12"/>
    <w:rsid w:val="00443B59"/>
    <w:rsid w:val="004456B2"/>
    <w:rsid w:val="00445ECD"/>
    <w:rsid w:val="004473B0"/>
    <w:rsid w:val="00447612"/>
    <w:rsid w:val="00447886"/>
    <w:rsid w:val="00451EF9"/>
    <w:rsid w:val="004523AD"/>
    <w:rsid w:val="00453D57"/>
    <w:rsid w:val="00454E48"/>
    <w:rsid w:val="004625F4"/>
    <w:rsid w:val="00462987"/>
    <w:rsid w:val="00463F0C"/>
    <w:rsid w:val="00464380"/>
    <w:rsid w:val="004646A6"/>
    <w:rsid w:val="00464841"/>
    <w:rsid w:val="00464963"/>
    <w:rsid w:val="004659C9"/>
    <w:rsid w:val="00467FA7"/>
    <w:rsid w:val="004757C3"/>
    <w:rsid w:val="004770EC"/>
    <w:rsid w:val="004807A7"/>
    <w:rsid w:val="00485898"/>
    <w:rsid w:val="00485C0F"/>
    <w:rsid w:val="00490964"/>
    <w:rsid w:val="004A039A"/>
    <w:rsid w:val="004A1C68"/>
    <w:rsid w:val="004A3F2F"/>
    <w:rsid w:val="004A5EBA"/>
    <w:rsid w:val="004A72E9"/>
    <w:rsid w:val="004B05B7"/>
    <w:rsid w:val="004B0A85"/>
    <w:rsid w:val="004B16DF"/>
    <w:rsid w:val="004B2E61"/>
    <w:rsid w:val="004B5C0B"/>
    <w:rsid w:val="004B5CF0"/>
    <w:rsid w:val="004B5F52"/>
    <w:rsid w:val="004B5F7F"/>
    <w:rsid w:val="004C06FE"/>
    <w:rsid w:val="004C1176"/>
    <w:rsid w:val="004C2FBA"/>
    <w:rsid w:val="004C34E4"/>
    <w:rsid w:val="004C46F6"/>
    <w:rsid w:val="004C5FB0"/>
    <w:rsid w:val="004C7363"/>
    <w:rsid w:val="004D0652"/>
    <w:rsid w:val="004D3C3A"/>
    <w:rsid w:val="004D40FD"/>
    <w:rsid w:val="004E3562"/>
    <w:rsid w:val="004E40D3"/>
    <w:rsid w:val="004E585F"/>
    <w:rsid w:val="004E5CB2"/>
    <w:rsid w:val="004E6605"/>
    <w:rsid w:val="004F1FCF"/>
    <w:rsid w:val="004F2704"/>
    <w:rsid w:val="004F3114"/>
    <w:rsid w:val="004F668B"/>
    <w:rsid w:val="004F6FDC"/>
    <w:rsid w:val="00502521"/>
    <w:rsid w:val="0050360B"/>
    <w:rsid w:val="00503F2A"/>
    <w:rsid w:val="00505B11"/>
    <w:rsid w:val="00505F56"/>
    <w:rsid w:val="00506531"/>
    <w:rsid w:val="00510C58"/>
    <w:rsid w:val="005112A3"/>
    <w:rsid w:val="00512850"/>
    <w:rsid w:val="0051339F"/>
    <w:rsid w:val="005138AF"/>
    <w:rsid w:val="00514919"/>
    <w:rsid w:val="005161AC"/>
    <w:rsid w:val="005169BE"/>
    <w:rsid w:val="005170D4"/>
    <w:rsid w:val="0051775E"/>
    <w:rsid w:val="00520C7D"/>
    <w:rsid w:val="00521927"/>
    <w:rsid w:val="00525038"/>
    <w:rsid w:val="005255CF"/>
    <w:rsid w:val="00525E2D"/>
    <w:rsid w:val="00527261"/>
    <w:rsid w:val="005279FC"/>
    <w:rsid w:val="00531AA3"/>
    <w:rsid w:val="00531D41"/>
    <w:rsid w:val="00532971"/>
    <w:rsid w:val="00533BC9"/>
    <w:rsid w:val="00533C92"/>
    <w:rsid w:val="00535250"/>
    <w:rsid w:val="0053538A"/>
    <w:rsid w:val="00535A82"/>
    <w:rsid w:val="005365A1"/>
    <w:rsid w:val="00537FBA"/>
    <w:rsid w:val="0054032C"/>
    <w:rsid w:val="00540E1F"/>
    <w:rsid w:val="00540E24"/>
    <w:rsid w:val="005425AA"/>
    <w:rsid w:val="0054287F"/>
    <w:rsid w:val="0054413F"/>
    <w:rsid w:val="00544CC3"/>
    <w:rsid w:val="005470AD"/>
    <w:rsid w:val="005528F1"/>
    <w:rsid w:val="00553C6F"/>
    <w:rsid w:val="00557F37"/>
    <w:rsid w:val="005615FE"/>
    <w:rsid w:val="00563C08"/>
    <w:rsid w:val="0056496B"/>
    <w:rsid w:val="00565D19"/>
    <w:rsid w:val="00566EF7"/>
    <w:rsid w:val="005701BB"/>
    <w:rsid w:val="00570510"/>
    <w:rsid w:val="005736F7"/>
    <w:rsid w:val="0057470F"/>
    <w:rsid w:val="005758D4"/>
    <w:rsid w:val="00576928"/>
    <w:rsid w:val="0057726F"/>
    <w:rsid w:val="005803A2"/>
    <w:rsid w:val="005856C5"/>
    <w:rsid w:val="00586072"/>
    <w:rsid w:val="00586245"/>
    <w:rsid w:val="005863C7"/>
    <w:rsid w:val="005865B9"/>
    <w:rsid w:val="00587356"/>
    <w:rsid w:val="00587A62"/>
    <w:rsid w:val="005905E4"/>
    <w:rsid w:val="005911F4"/>
    <w:rsid w:val="00592D22"/>
    <w:rsid w:val="00597B25"/>
    <w:rsid w:val="005A029C"/>
    <w:rsid w:val="005A092A"/>
    <w:rsid w:val="005A0EF5"/>
    <w:rsid w:val="005A2134"/>
    <w:rsid w:val="005A281E"/>
    <w:rsid w:val="005A6243"/>
    <w:rsid w:val="005A724C"/>
    <w:rsid w:val="005B06F3"/>
    <w:rsid w:val="005B1029"/>
    <w:rsid w:val="005B3F75"/>
    <w:rsid w:val="005B5814"/>
    <w:rsid w:val="005C016C"/>
    <w:rsid w:val="005C16F0"/>
    <w:rsid w:val="005C2BC5"/>
    <w:rsid w:val="005C2E28"/>
    <w:rsid w:val="005C4CD9"/>
    <w:rsid w:val="005C503E"/>
    <w:rsid w:val="005C6BA6"/>
    <w:rsid w:val="005C7834"/>
    <w:rsid w:val="005C7D27"/>
    <w:rsid w:val="005C7D76"/>
    <w:rsid w:val="005C7EA2"/>
    <w:rsid w:val="005D13E5"/>
    <w:rsid w:val="005D2372"/>
    <w:rsid w:val="005D2C4A"/>
    <w:rsid w:val="005D5922"/>
    <w:rsid w:val="005D7369"/>
    <w:rsid w:val="005E02C7"/>
    <w:rsid w:val="005E12E0"/>
    <w:rsid w:val="005E196F"/>
    <w:rsid w:val="005E2D1F"/>
    <w:rsid w:val="005E3572"/>
    <w:rsid w:val="005E4AD5"/>
    <w:rsid w:val="005E4EAD"/>
    <w:rsid w:val="005F1B75"/>
    <w:rsid w:val="005F20FA"/>
    <w:rsid w:val="005F2D43"/>
    <w:rsid w:val="005F42DC"/>
    <w:rsid w:val="005F441E"/>
    <w:rsid w:val="005F525B"/>
    <w:rsid w:val="005F5EC9"/>
    <w:rsid w:val="005F709E"/>
    <w:rsid w:val="005F71D0"/>
    <w:rsid w:val="005F7C86"/>
    <w:rsid w:val="00600B87"/>
    <w:rsid w:val="0060196D"/>
    <w:rsid w:val="00601AB9"/>
    <w:rsid w:val="0060251B"/>
    <w:rsid w:val="00611349"/>
    <w:rsid w:val="00615F37"/>
    <w:rsid w:val="00616645"/>
    <w:rsid w:val="00617232"/>
    <w:rsid w:val="006230E9"/>
    <w:rsid w:val="0062423C"/>
    <w:rsid w:val="00624321"/>
    <w:rsid w:val="00624ABF"/>
    <w:rsid w:val="0062523B"/>
    <w:rsid w:val="00627342"/>
    <w:rsid w:val="006303E5"/>
    <w:rsid w:val="00631BAA"/>
    <w:rsid w:val="00631CAA"/>
    <w:rsid w:val="00633613"/>
    <w:rsid w:val="00637AD1"/>
    <w:rsid w:val="00637D9E"/>
    <w:rsid w:val="0064042B"/>
    <w:rsid w:val="00640994"/>
    <w:rsid w:val="00641478"/>
    <w:rsid w:val="006423AE"/>
    <w:rsid w:val="00642500"/>
    <w:rsid w:val="006429E7"/>
    <w:rsid w:val="00644806"/>
    <w:rsid w:val="00644C6B"/>
    <w:rsid w:val="00645098"/>
    <w:rsid w:val="00646861"/>
    <w:rsid w:val="00646B1D"/>
    <w:rsid w:val="0065115E"/>
    <w:rsid w:val="0065168C"/>
    <w:rsid w:val="006517DB"/>
    <w:rsid w:val="00652FE8"/>
    <w:rsid w:val="00655203"/>
    <w:rsid w:val="00655478"/>
    <w:rsid w:val="00661107"/>
    <w:rsid w:val="00661381"/>
    <w:rsid w:val="00665FB6"/>
    <w:rsid w:val="006668F1"/>
    <w:rsid w:val="00673D2C"/>
    <w:rsid w:val="00674D83"/>
    <w:rsid w:val="00675335"/>
    <w:rsid w:val="006753D1"/>
    <w:rsid w:val="00676932"/>
    <w:rsid w:val="00677325"/>
    <w:rsid w:val="00681E05"/>
    <w:rsid w:val="00682241"/>
    <w:rsid w:val="00683583"/>
    <w:rsid w:val="00683E80"/>
    <w:rsid w:val="00684BEA"/>
    <w:rsid w:val="006854FF"/>
    <w:rsid w:val="00685E26"/>
    <w:rsid w:val="00687100"/>
    <w:rsid w:val="006910BB"/>
    <w:rsid w:val="00692B9A"/>
    <w:rsid w:val="00692E5D"/>
    <w:rsid w:val="006931C6"/>
    <w:rsid w:val="00694371"/>
    <w:rsid w:val="00695D1A"/>
    <w:rsid w:val="00696CC1"/>
    <w:rsid w:val="00696DA0"/>
    <w:rsid w:val="00696EF4"/>
    <w:rsid w:val="006A18B6"/>
    <w:rsid w:val="006A1947"/>
    <w:rsid w:val="006A1B5A"/>
    <w:rsid w:val="006A237D"/>
    <w:rsid w:val="006A2FB3"/>
    <w:rsid w:val="006A41E6"/>
    <w:rsid w:val="006A47B5"/>
    <w:rsid w:val="006A4FD8"/>
    <w:rsid w:val="006B0097"/>
    <w:rsid w:val="006B1B5E"/>
    <w:rsid w:val="006B2FDD"/>
    <w:rsid w:val="006C4EBD"/>
    <w:rsid w:val="006C5F05"/>
    <w:rsid w:val="006C609C"/>
    <w:rsid w:val="006C6395"/>
    <w:rsid w:val="006C7B15"/>
    <w:rsid w:val="006D027C"/>
    <w:rsid w:val="006D53E4"/>
    <w:rsid w:val="006D6CC4"/>
    <w:rsid w:val="006E13A8"/>
    <w:rsid w:val="006E3876"/>
    <w:rsid w:val="006E4369"/>
    <w:rsid w:val="006E593A"/>
    <w:rsid w:val="006E75C6"/>
    <w:rsid w:val="006F0F5A"/>
    <w:rsid w:val="006F1194"/>
    <w:rsid w:val="006F2ACA"/>
    <w:rsid w:val="006F36BC"/>
    <w:rsid w:val="006F6A70"/>
    <w:rsid w:val="00700971"/>
    <w:rsid w:val="0070343A"/>
    <w:rsid w:val="00703637"/>
    <w:rsid w:val="00703653"/>
    <w:rsid w:val="0070386E"/>
    <w:rsid w:val="00703D10"/>
    <w:rsid w:val="0070524B"/>
    <w:rsid w:val="007060D2"/>
    <w:rsid w:val="00706B6F"/>
    <w:rsid w:val="0070786C"/>
    <w:rsid w:val="00710595"/>
    <w:rsid w:val="00711187"/>
    <w:rsid w:val="00711838"/>
    <w:rsid w:val="007129ED"/>
    <w:rsid w:val="0071447A"/>
    <w:rsid w:val="00714C8F"/>
    <w:rsid w:val="007153FD"/>
    <w:rsid w:val="00716F98"/>
    <w:rsid w:val="00717E83"/>
    <w:rsid w:val="00721BEC"/>
    <w:rsid w:val="00721C90"/>
    <w:rsid w:val="0072238E"/>
    <w:rsid w:val="00722451"/>
    <w:rsid w:val="007227F5"/>
    <w:rsid w:val="00723464"/>
    <w:rsid w:val="00730A01"/>
    <w:rsid w:val="007313C6"/>
    <w:rsid w:val="00731C6B"/>
    <w:rsid w:val="007379AA"/>
    <w:rsid w:val="00741846"/>
    <w:rsid w:val="0074205E"/>
    <w:rsid w:val="00742343"/>
    <w:rsid w:val="0074274A"/>
    <w:rsid w:val="007500C6"/>
    <w:rsid w:val="00751664"/>
    <w:rsid w:val="00751709"/>
    <w:rsid w:val="00752699"/>
    <w:rsid w:val="007535EA"/>
    <w:rsid w:val="0075386C"/>
    <w:rsid w:val="00754296"/>
    <w:rsid w:val="00755F97"/>
    <w:rsid w:val="00756A6D"/>
    <w:rsid w:val="00756AD6"/>
    <w:rsid w:val="00757493"/>
    <w:rsid w:val="00757EE3"/>
    <w:rsid w:val="00760913"/>
    <w:rsid w:val="00760EF8"/>
    <w:rsid w:val="00762DC6"/>
    <w:rsid w:val="007637E1"/>
    <w:rsid w:val="0076467D"/>
    <w:rsid w:val="007648D4"/>
    <w:rsid w:val="00766445"/>
    <w:rsid w:val="00766590"/>
    <w:rsid w:val="00767348"/>
    <w:rsid w:val="007702BD"/>
    <w:rsid w:val="00774285"/>
    <w:rsid w:val="007744BA"/>
    <w:rsid w:val="00774F4A"/>
    <w:rsid w:val="00775321"/>
    <w:rsid w:val="00776A48"/>
    <w:rsid w:val="007770A2"/>
    <w:rsid w:val="00780049"/>
    <w:rsid w:val="0078211A"/>
    <w:rsid w:val="00782542"/>
    <w:rsid w:val="00782DBA"/>
    <w:rsid w:val="0078381A"/>
    <w:rsid w:val="007841C6"/>
    <w:rsid w:val="007843AD"/>
    <w:rsid w:val="00784548"/>
    <w:rsid w:val="0078454F"/>
    <w:rsid w:val="00784F89"/>
    <w:rsid w:val="00786414"/>
    <w:rsid w:val="00786AA1"/>
    <w:rsid w:val="00786BFF"/>
    <w:rsid w:val="00790076"/>
    <w:rsid w:val="007903CB"/>
    <w:rsid w:val="00790DBF"/>
    <w:rsid w:val="00790EFF"/>
    <w:rsid w:val="007937F6"/>
    <w:rsid w:val="00794B5D"/>
    <w:rsid w:val="00796B0D"/>
    <w:rsid w:val="007A1DCB"/>
    <w:rsid w:val="007A3FA9"/>
    <w:rsid w:val="007A5CB1"/>
    <w:rsid w:val="007A6C58"/>
    <w:rsid w:val="007B0349"/>
    <w:rsid w:val="007B0B90"/>
    <w:rsid w:val="007B2F1A"/>
    <w:rsid w:val="007B409A"/>
    <w:rsid w:val="007B71B8"/>
    <w:rsid w:val="007C18AE"/>
    <w:rsid w:val="007C1B64"/>
    <w:rsid w:val="007C2939"/>
    <w:rsid w:val="007C3BD2"/>
    <w:rsid w:val="007C4EF4"/>
    <w:rsid w:val="007C519A"/>
    <w:rsid w:val="007C5C6F"/>
    <w:rsid w:val="007D0174"/>
    <w:rsid w:val="007D15C7"/>
    <w:rsid w:val="007D272E"/>
    <w:rsid w:val="007D3A98"/>
    <w:rsid w:val="007D43EF"/>
    <w:rsid w:val="007D630C"/>
    <w:rsid w:val="007D72F5"/>
    <w:rsid w:val="007E098C"/>
    <w:rsid w:val="007E2540"/>
    <w:rsid w:val="007E5641"/>
    <w:rsid w:val="007E5F83"/>
    <w:rsid w:val="007E60ED"/>
    <w:rsid w:val="007E6500"/>
    <w:rsid w:val="007E7803"/>
    <w:rsid w:val="007F0F8B"/>
    <w:rsid w:val="007F2CB8"/>
    <w:rsid w:val="007F6B37"/>
    <w:rsid w:val="007F7E9C"/>
    <w:rsid w:val="00801FFE"/>
    <w:rsid w:val="00802EBA"/>
    <w:rsid w:val="00804E26"/>
    <w:rsid w:val="0080681D"/>
    <w:rsid w:val="008068BD"/>
    <w:rsid w:val="0081137B"/>
    <w:rsid w:val="0081147C"/>
    <w:rsid w:val="00811CE7"/>
    <w:rsid w:val="0081332B"/>
    <w:rsid w:val="008159E9"/>
    <w:rsid w:val="00815E19"/>
    <w:rsid w:val="00816780"/>
    <w:rsid w:val="008177D5"/>
    <w:rsid w:val="00820014"/>
    <w:rsid w:val="008209EE"/>
    <w:rsid w:val="00823028"/>
    <w:rsid w:val="0082794C"/>
    <w:rsid w:val="008314FF"/>
    <w:rsid w:val="008327E6"/>
    <w:rsid w:val="00832C0A"/>
    <w:rsid w:val="00833FC7"/>
    <w:rsid w:val="0083432D"/>
    <w:rsid w:val="008377EB"/>
    <w:rsid w:val="00837E1F"/>
    <w:rsid w:val="00840141"/>
    <w:rsid w:val="00841550"/>
    <w:rsid w:val="008450F7"/>
    <w:rsid w:val="00845258"/>
    <w:rsid w:val="00845511"/>
    <w:rsid w:val="00847638"/>
    <w:rsid w:val="0084799F"/>
    <w:rsid w:val="00851C3C"/>
    <w:rsid w:val="00852048"/>
    <w:rsid w:val="008522EF"/>
    <w:rsid w:val="0085388E"/>
    <w:rsid w:val="0085421E"/>
    <w:rsid w:val="008555F8"/>
    <w:rsid w:val="00856438"/>
    <w:rsid w:val="008566D5"/>
    <w:rsid w:val="008568D1"/>
    <w:rsid w:val="00857CC7"/>
    <w:rsid w:val="00860157"/>
    <w:rsid w:val="00860788"/>
    <w:rsid w:val="00861785"/>
    <w:rsid w:val="008628F2"/>
    <w:rsid w:val="00865E6C"/>
    <w:rsid w:val="008701B1"/>
    <w:rsid w:val="00870BD4"/>
    <w:rsid w:val="00873353"/>
    <w:rsid w:val="008743D0"/>
    <w:rsid w:val="0087599E"/>
    <w:rsid w:val="00876C8D"/>
    <w:rsid w:val="008775B1"/>
    <w:rsid w:val="00881314"/>
    <w:rsid w:val="00881340"/>
    <w:rsid w:val="00882A93"/>
    <w:rsid w:val="00882D30"/>
    <w:rsid w:val="00883503"/>
    <w:rsid w:val="00883529"/>
    <w:rsid w:val="00883DBA"/>
    <w:rsid w:val="008841A2"/>
    <w:rsid w:val="00884272"/>
    <w:rsid w:val="00886C45"/>
    <w:rsid w:val="00886E5D"/>
    <w:rsid w:val="008900D7"/>
    <w:rsid w:val="00890850"/>
    <w:rsid w:val="008925CA"/>
    <w:rsid w:val="008925D2"/>
    <w:rsid w:val="00892E73"/>
    <w:rsid w:val="00892FC6"/>
    <w:rsid w:val="00893685"/>
    <w:rsid w:val="008956DC"/>
    <w:rsid w:val="00897FE7"/>
    <w:rsid w:val="008A06F2"/>
    <w:rsid w:val="008A24C0"/>
    <w:rsid w:val="008A33E7"/>
    <w:rsid w:val="008B0162"/>
    <w:rsid w:val="008B21B1"/>
    <w:rsid w:val="008B3CAF"/>
    <w:rsid w:val="008B4E5B"/>
    <w:rsid w:val="008C049F"/>
    <w:rsid w:val="008C0A40"/>
    <w:rsid w:val="008C21D6"/>
    <w:rsid w:val="008C3CD8"/>
    <w:rsid w:val="008C58EB"/>
    <w:rsid w:val="008C6617"/>
    <w:rsid w:val="008D0E7D"/>
    <w:rsid w:val="008D18A4"/>
    <w:rsid w:val="008D1B40"/>
    <w:rsid w:val="008D2374"/>
    <w:rsid w:val="008D39BC"/>
    <w:rsid w:val="008D74F0"/>
    <w:rsid w:val="008D7646"/>
    <w:rsid w:val="008E161C"/>
    <w:rsid w:val="008E1BD8"/>
    <w:rsid w:val="008E2DF2"/>
    <w:rsid w:val="008E3525"/>
    <w:rsid w:val="008E4422"/>
    <w:rsid w:val="008E6C71"/>
    <w:rsid w:val="008E7205"/>
    <w:rsid w:val="008F1B53"/>
    <w:rsid w:val="008F1BD9"/>
    <w:rsid w:val="008F1BE6"/>
    <w:rsid w:val="008F21B2"/>
    <w:rsid w:val="008F4710"/>
    <w:rsid w:val="008F4D92"/>
    <w:rsid w:val="008F527D"/>
    <w:rsid w:val="008F6FA9"/>
    <w:rsid w:val="008F7615"/>
    <w:rsid w:val="008F76BE"/>
    <w:rsid w:val="00900362"/>
    <w:rsid w:val="00900B65"/>
    <w:rsid w:val="009034A3"/>
    <w:rsid w:val="00904986"/>
    <w:rsid w:val="00904A06"/>
    <w:rsid w:val="009057A0"/>
    <w:rsid w:val="00905BB6"/>
    <w:rsid w:val="00910E90"/>
    <w:rsid w:val="00912B9B"/>
    <w:rsid w:val="00913D4D"/>
    <w:rsid w:val="009165EA"/>
    <w:rsid w:val="00921750"/>
    <w:rsid w:val="0092301E"/>
    <w:rsid w:val="009249DA"/>
    <w:rsid w:val="00924E75"/>
    <w:rsid w:val="00930AF6"/>
    <w:rsid w:val="00930E3D"/>
    <w:rsid w:val="00931780"/>
    <w:rsid w:val="009325FD"/>
    <w:rsid w:val="0093280B"/>
    <w:rsid w:val="00932AC8"/>
    <w:rsid w:val="009347A0"/>
    <w:rsid w:val="0093534D"/>
    <w:rsid w:val="00940417"/>
    <w:rsid w:val="00942D37"/>
    <w:rsid w:val="0094415E"/>
    <w:rsid w:val="00945D93"/>
    <w:rsid w:val="00947185"/>
    <w:rsid w:val="00947EA6"/>
    <w:rsid w:val="00950A67"/>
    <w:rsid w:val="0095103D"/>
    <w:rsid w:val="00953C72"/>
    <w:rsid w:val="00954570"/>
    <w:rsid w:val="009545BF"/>
    <w:rsid w:val="00954ABC"/>
    <w:rsid w:val="00957382"/>
    <w:rsid w:val="00960F75"/>
    <w:rsid w:val="009611EC"/>
    <w:rsid w:val="00961869"/>
    <w:rsid w:val="0096210C"/>
    <w:rsid w:val="00963264"/>
    <w:rsid w:val="0096644D"/>
    <w:rsid w:val="00970301"/>
    <w:rsid w:val="00970860"/>
    <w:rsid w:val="0097231B"/>
    <w:rsid w:val="00973002"/>
    <w:rsid w:val="00973818"/>
    <w:rsid w:val="00973C21"/>
    <w:rsid w:val="009769B6"/>
    <w:rsid w:val="00976E58"/>
    <w:rsid w:val="009776F1"/>
    <w:rsid w:val="0098012F"/>
    <w:rsid w:val="0098076A"/>
    <w:rsid w:val="00980E22"/>
    <w:rsid w:val="00982E9F"/>
    <w:rsid w:val="00990153"/>
    <w:rsid w:val="00990512"/>
    <w:rsid w:val="0099104E"/>
    <w:rsid w:val="00991D3B"/>
    <w:rsid w:val="00992C8A"/>
    <w:rsid w:val="0099369D"/>
    <w:rsid w:val="00993AE4"/>
    <w:rsid w:val="0099595A"/>
    <w:rsid w:val="00997207"/>
    <w:rsid w:val="009A1021"/>
    <w:rsid w:val="009A1828"/>
    <w:rsid w:val="009A3E62"/>
    <w:rsid w:val="009A650F"/>
    <w:rsid w:val="009A6FD0"/>
    <w:rsid w:val="009B0380"/>
    <w:rsid w:val="009B14ED"/>
    <w:rsid w:val="009B1FA2"/>
    <w:rsid w:val="009B1FB4"/>
    <w:rsid w:val="009B32E2"/>
    <w:rsid w:val="009B48F0"/>
    <w:rsid w:val="009B5307"/>
    <w:rsid w:val="009B6C47"/>
    <w:rsid w:val="009C00D0"/>
    <w:rsid w:val="009C19E9"/>
    <w:rsid w:val="009C221E"/>
    <w:rsid w:val="009C257D"/>
    <w:rsid w:val="009C3571"/>
    <w:rsid w:val="009C3E2B"/>
    <w:rsid w:val="009C3F8B"/>
    <w:rsid w:val="009C5D0A"/>
    <w:rsid w:val="009C6534"/>
    <w:rsid w:val="009C6B0C"/>
    <w:rsid w:val="009C7A24"/>
    <w:rsid w:val="009D3415"/>
    <w:rsid w:val="009D48AD"/>
    <w:rsid w:val="009D4AD5"/>
    <w:rsid w:val="009E0FCC"/>
    <w:rsid w:val="009E491C"/>
    <w:rsid w:val="009E7F9B"/>
    <w:rsid w:val="009F085E"/>
    <w:rsid w:val="009F4073"/>
    <w:rsid w:val="009F4E55"/>
    <w:rsid w:val="009F6F68"/>
    <w:rsid w:val="009F7B66"/>
    <w:rsid w:val="00A07B0C"/>
    <w:rsid w:val="00A07CDC"/>
    <w:rsid w:val="00A07D46"/>
    <w:rsid w:val="00A13539"/>
    <w:rsid w:val="00A15CF0"/>
    <w:rsid w:val="00A17B0C"/>
    <w:rsid w:val="00A22448"/>
    <w:rsid w:val="00A22E3C"/>
    <w:rsid w:val="00A261A2"/>
    <w:rsid w:val="00A26231"/>
    <w:rsid w:val="00A3065F"/>
    <w:rsid w:val="00A313DD"/>
    <w:rsid w:val="00A32185"/>
    <w:rsid w:val="00A3683C"/>
    <w:rsid w:val="00A375E2"/>
    <w:rsid w:val="00A37D42"/>
    <w:rsid w:val="00A40E51"/>
    <w:rsid w:val="00A42A2F"/>
    <w:rsid w:val="00A437BA"/>
    <w:rsid w:val="00A43F22"/>
    <w:rsid w:val="00A4466E"/>
    <w:rsid w:val="00A45F35"/>
    <w:rsid w:val="00A4672E"/>
    <w:rsid w:val="00A51375"/>
    <w:rsid w:val="00A5313D"/>
    <w:rsid w:val="00A54C47"/>
    <w:rsid w:val="00A56B2E"/>
    <w:rsid w:val="00A60D48"/>
    <w:rsid w:val="00A62366"/>
    <w:rsid w:val="00A632D6"/>
    <w:rsid w:val="00A65675"/>
    <w:rsid w:val="00A65C16"/>
    <w:rsid w:val="00A66947"/>
    <w:rsid w:val="00A66EB4"/>
    <w:rsid w:val="00A678C0"/>
    <w:rsid w:val="00A7290D"/>
    <w:rsid w:val="00A744C6"/>
    <w:rsid w:val="00A74E5C"/>
    <w:rsid w:val="00A772E7"/>
    <w:rsid w:val="00A81B43"/>
    <w:rsid w:val="00A81C70"/>
    <w:rsid w:val="00A82355"/>
    <w:rsid w:val="00A82953"/>
    <w:rsid w:val="00A84CD1"/>
    <w:rsid w:val="00A86847"/>
    <w:rsid w:val="00A90BE2"/>
    <w:rsid w:val="00A92015"/>
    <w:rsid w:val="00A92366"/>
    <w:rsid w:val="00A94507"/>
    <w:rsid w:val="00A975D7"/>
    <w:rsid w:val="00AA03FB"/>
    <w:rsid w:val="00AA1032"/>
    <w:rsid w:val="00AA13C3"/>
    <w:rsid w:val="00AA16A7"/>
    <w:rsid w:val="00AA2817"/>
    <w:rsid w:val="00AA63FC"/>
    <w:rsid w:val="00AB0346"/>
    <w:rsid w:val="00AB3B3E"/>
    <w:rsid w:val="00AB3FAB"/>
    <w:rsid w:val="00AB5A2B"/>
    <w:rsid w:val="00AB5B84"/>
    <w:rsid w:val="00AB731E"/>
    <w:rsid w:val="00AC093A"/>
    <w:rsid w:val="00AC4D5F"/>
    <w:rsid w:val="00AC6043"/>
    <w:rsid w:val="00AC79F3"/>
    <w:rsid w:val="00AD2A12"/>
    <w:rsid w:val="00AD4533"/>
    <w:rsid w:val="00AD4803"/>
    <w:rsid w:val="00AD5CA9"/>
    <w:rsid w:val="00AD5EAD"/>
    <w:rsid w:val="00AD629A"/>
    <w:rsid w:val="00AD6B33"/>
    <w:rsid w:val="00AD7E51"/>
    <w:rsid w:val="00AE0CAC"/>
    <w:rsid w:val="00AE1CC1"/>
    <w:rsid w:val="00AE712A"/>
    <w:rsid w:val="00AF0318"/>
    <w:rsid w:val="00AF0946"/>
    <w:rsid w:val="00AF0C2A"/>
    <w:rsid w:val="00AF253F"/>
    <w:rsid w:val="00AF2995"/>
    <w:rsid w:val="00AF3766"/>
    <w:rsid w:val="00AF43CD"/>
    <w:rsid w:val="00AF7E49"/>
    <w:rsid w:val="00B00A95"/>
    <w:rsid w:val="00B0266D"/>
    <w:rsid w:val="00B02898"/>
    <w:rsid w:val="00B07B6F"/>
    <w:rsid w:val="00B119A9"/>
    <w:rsid w:val="00B14A67"/>
    <w:rsid w:val="00B14E7C"/>
    <w:rsid w:val="00B161FD"/>
    <w:rsid w:val="00B17721"/>
    <w:rsid w:val="00B177BD"/>
    <w:rsid w:val="00B17E9C"/>
    <w:rsid w:val="00B21B5A"/>
    <w:rsid w:val="00B225A6"/>
    <w:rsid w:val="00B23AB2"/>
    <w:rsid w:val="00B24756"/>
    <w:rsid w:val="00B26347"/>
    <w:rsid w:val="00B271E1"/>
    <w:rsid w:val="00B30A7D"/>
    <w:rsid w:val="00B32C36"/>
    <w:rsid w:val="00B32C3F"/>
    <w:rsid w:val="00B32E1D"/>
    <w:rsid w:val="00B3373F"/>
    <w:rsid w:val="00B3403F"/>
    <w:rsid w:val="00B428E8"/>
    <w:rsid w:val="00B47A45"/>
    <w:rsid w:val="00B50CBE"/>
    <w:rsid w:val="00B521C9"/>
    <w:rsid w:val="00B5281A"/>
    <w:rsid w:val="00B53F18"/>
    <w:rsid w:val="00B5572E"/>
    <w:rsid w:val="00B60340"/>
    <w:rsid w:val="00B603DB"/>
    <w:rsid w:val="00B61FAB"/>
    <w:rsid w:val="00B63CCD"/>
    <w:rsid w:val="00B7035F"/>
    <w:rsid w:val="00B70743"/>
    <w:rsid w:val="00B71AF3"/>
    <w:rsid w:val="00B75FA0"/>
    <w:rsid w:val="00B76601"/>
    <w:rsid w:val="00B80DFF"/>
    <w:rsid w:val="00B82F43"/>
    <w:rsid w:val="00B836C6"/>
    <w:rsid w:val="00B84695"/>
    <w:rsid w:val="00B847D7"/>
    <w:rsid w:val="00B84993"/>
    <w:rsid w:val="00B8650A"/>
    <w:rsid w:val="00B86EF6"/>
    <w:rsid w:val="00B92A3B"/>
    <w:rsid w:val="00B93B39"/>
    <w:rsid w:val="00B95CDE"/>
    <w:rsid w:val="00B969D5"/>
    <w:rsid w:val="00BA063C"/>
    <w:rsid w:val="00BA0714"/>
    <w:rsid w:val="00BA1699"/>
    <w:rsid w:val="00BA3A08"/>
    <w:rsid w:val="00BA3F74"/>
    <w:rsid w:val="00BA56F5"/>
    <w:rsid w:val="00BB0465"/>
    <w:rsid w:val="00BB0F8D"/>
    <w:rsid w:val="00BB2431"/>
    <w:rsid w:val="00BB2A34"/>
    <w:rsid w:val="00BB52D0"/>
    <w:rsid w:val="00BC0532"/>
    <w:rsid w:val="00BC4132"/>
    <w:rsid w:val="00BC6C7A"/>
    <w:rsid w:val="00BC744C"/>
    <w:rsid w:val="00BC793C"/>
    <w:rsid w:val="00BD1A64"/>
    <w:rsid w:val="00BD1B60"/>
    <w:rsid w:val="00BD2B8E"/>
    <w:rsid w:val="00BD7188"/>
    <w:rsid w:val="00BD7F17"/>
    <w:rsid w:val="00BE04E8"/>
    <w:rsid w:val="00BE2122"/>
    <w:rsid w:val="00BE37B9"/>
    <w:rsid w:val="00BE4607"/>
    <w:rsid w:val="00BE4961"/>
    <w:rsid w:val="00BE4B6D"/>
    <w:rsid w:val="00BE58DB"/>
    <w:rsid w:val="00BE59FD"/>
    <w:rsid w:val="00BE6958"/>
    <w:rsid w:val="00BF09D0"/>
    <w:rsid w:val="00BF1CCF"/>
    <w:rsid w:val="00BF1D59"/>
    <w:rsid w:val="00BF2B4F"/>
    <w:rsid w:val="00BF449D"/>
    <w:rsid w:val="00BF6556"/>
    <w:rsid w:val="00BF65FD"/>
    <w:rsid w:val="00C01A28"/>
    <w:rsid w:val="00C02122"/>
    <w:rsid w:val="00C06444"/>
    <w:rsid w:val="00C07010"/>
    <w:rsid w:val="00C12315"/>
    <w:rsid w:val="00C1421F"/>
    <w:rsid w:val="00C2054E"/>
    <w:rsid w:val="00C21A63"/>
    <w:rsid w:val="00C21DB9"/>
    <w:rsid w:val="00C238AC"/>
    <w:rsid w:val="00C25630"/>
    <w:rsid w:val="00C2753B"/>
    <w:rsid w:val="00C32C71"/>
    <w:rsid w:val="00C3503D"/>
    <w:rsid w:val="00C35EAA"/>
    <w:rsid w:val="00C365A0"/>
    <w:rsid w:val="00C44CEA"/>
    <w:rsid w:val="00C47409"/>
    <w:rsid w:val="00C47CD0"/>
    <w:rsid w:val="00C523E4"/>
    <w:rsid w:val="00C5266B"/>
    <w:rsid w:val="00C52C65"/>
    <w:rsid w:val="00C54E3F"/>
    <w:rsid w:val="00C55ADC"/>
    <w:rsid w:val="00C568DF"/>
    <w:rsid w:val="00C605F8"/>
    <w:rsid w:val="00C6256A"/>
    <w:rsid w:val="00C67102"/>
    <w:rsid w:val="00C67BE9"/>
    <w:rsid w:val="00C703B9"/>
    <w:rsid w:val="00C737BA"/>
    <w:rsid w:val="00C746E1"/>
    <w:rsid w:val="00C75239"/>
    <w:rsid w:val="00C76039"/>
    <w:rsid w:val="00C761D0"/>
    <w:rsid w:val="00C77854"/>
    <w:rsid w:val="00C81F53"/>
    <w:rsid w:val="00C82AC1"/>
    <w:rsid w:val="00C940A7"/>
    <w:rsid w:val="00C942ED"/>
    <w:rsid w:val="00C94AF4"/>
    <w:rsid w:val="00C94DB2"/>
    <w:rsid w:val="00C95F54"/>
    <w:rsid w:val="00CA27B6"/>
    <w:rsid w:val="00CA4A83"/>
    <w:rsid w:val="00CA6079"/>
    <w:rsid w:val="00CA738C"/>
    <w:rsid w:val="00CA760A"/>
    <w:rsid w:val="00CB1548"/>
    <w:rsid w:val="00CB2B84"/>
    <w:rsid w:val="00CB453B"/>
    <w:rsid w:val="00CB46A7"/>
    <w:rsid w:val="00CC078E"/>
    <w:rsid w:val="00CC0B99"/>
    <w:rsid w:val="00CC272D"/>
    <w:rsid w:val="00CC2A90"/>
    <w:rsid w:val="00CC3226"/>
    <w:rsid w:val="00CC3D3E"/>
    <w:rsid w:val="00CC44A5"/>
    <w:rsid w:val="00CD0C36"/>
    <w:rsid w:val="00CD40C6"/>
    <w:rsid w:val="00CD4EE1"/>
    <w:rsid w:val="00CD661A"/>
    <w:rsid w:val="00CD6DEF"/>
    <w:rsid w:val="00CD6DFB"/>
    <w:rsid w:val="00CD6FEB"/>
    <w:rsid w:val="00CD7FCD"/>
    <w:rsid w:val="00CE28D1"/>
    <w:rsid w:val="00CE5DFE"/>
    <w:rsid w:val="00CF3DD2"/>
    <w:rsid w:val="00CF44CA"/>
    <w:rsid w:val="00CF6050"/>
    <w:rsid w:val="00CF60C4"/>
    <w:rsid w:val="00CF6971"/>
    <w:rsid w:val="00D00046"/>
    <w:rsid w:val="00D018A0"/>
    <w:rsid w:val="00D02E70"/>
    <w:rsid w:val="00D03518"/>
    <w:rsid w:val="00D05662"/>
    <w:rsid w:val="00D05FA3"/>
    <w:rsid w:val="00D06767"/>
    <w:rsid w:val="00D06A15"/>
    <w:rsid w:val="00D07A6E"/>
    <w:rsid w:val="00D10031"/>
    <w:rsid w:val="00D124FC"/>
    <w:rsid w:val="00D13EE6"/>
    <w:rsid w:val="00D14D92"/>
    <w:rsid w:val="00D1596E"/>
    <w:rsid w:val="00D15EEA"/>
    <w:rsid w:val="00D16842"/>
    <w:rsid w:val="00D20DA0"/>
    <w:rsid w:val="00D2162B"/>
    <w:rsid w:val="00D23EB5"/>
    <w:rsid w:val="00D27B9D"/>
    <w:rsid w:val="00D30579"/>
    <w:rsid w:val="00D30C9E"/>
    <w:rsid w:val="00D322F6"/>
    <w:rsid w:val="00D3414D"/>
    <w:rsid w:val="00D34BC8"/>
    <w:rsid w:val="00D37442"/>
    <w:rsid w:val="00D4247C"/>
    <w:rsid w:val="00D43141"/>
    <w:rsid w:val="00D438E2"/>
    <w:rsid w:val="00D44105"/>
    <w:rsid w:val="00D475D2"/>
    <w:rsid w:val="00D50712"/>
    <w:rsid w:val="00D53896"/>
    <w:rsid w:val="00D55BEA"/>
    <w:rsid w:val="00D565DF"/>
    <w:rsid w:val="00D56A53"/>
    <w:rsid w:val="00D57362"/>
    <w:rsid w:val="00D611BB"/>
    <w:rsid w:val="00D62BA0"/>
    <w:rsid w:val="00D638BD"/>
    <w:rsid w:val="00D64BBC"/>
    <w:rsid w:val="00D6532C"/>
    <w:rsid w:val="00D66B0D"/>
    <w:rsid w:val="00D716C5"/>
    <w:rsid w:val="00D761C3"/>
    <w:rsid w:val="00D76579"/>
    <w:rsid w:val="00D767F0"/>
    <w:rsid w:val="00D773B4"/>
    <w:rsid w:val="00D7791D"/>
    <w:rsid w:val="00D77AAA"/>
    <w:rsid w:val="00D801F5"/>
    <w:rsid w:val="00D80936"/>
    <w:rsid w:val="00D80CDF"/>
    <w:rsid w:val="00D80FD0"/>
    <w:rsid w:val="00D81BE7"/>
    <w:rsid w:val="00D8322E"/>
    <w:rsid w:val="00D8370C"/>
    <w:rsid w:val="00D85D62"/>
    <w:rsid w:val="00D85F2A"/>
    <w:rsid w:val="00D86B21"/>
    <w:rsid w:val="00D870ED"/>
    <w:rsid w:val="00D90B95"/>
    <w:rsid w:val="00D90D4F"/>
    <w:rsid w:val="00D947D5"/>
    <w:rsid w:val="00D957C0"/>
    <w:rsid w:val="00D9616A"/>
    <w:rsid w:val="00D96D4B"/>
    <w:rsid w:val="00D96D5A"/>
    <w:rsid w:val="00D97738"/>
    <w:rsid w:val="00DA06B2"/>
    <w:rsid w:val="00DA0F29"/>
    <w:rsid w:val="00DA1654"/>
    <w:rsid w:val="00DA225C"/>
    <w:rsid w:val="00DA3801"/>
    <w:rsid w:val="00DA3BCC"/>
    <w:rsid w:val="00DA4664"/>
    <w:rsid w:val="00DA6995"/>
    <w:rsid w:val="00DB07B5"/>
    <w:rsid w:val="00DB0D3C"/>
    <w:rsid w:val="00DB1947"/>
    <w:rsid w:val="00DB2B7A"/>
    <w:rsid w:val="00DB562A"/>
    <w:rsid w:val="00DB5A4F"/>
    <w:rsid w:val="00DC1C52"/>
    <w:rsid w:val="00DC222B"/>
    <w:rsid w:val="00DC2621"/>
    <w:rsid w:val="00DC2679"/>
    <w:rsid w:val="00DC33DB"/>
    <w:rsid w:val="00DC463D"/>
    <w:rsid w:val="00DC5541"/>
    <w:rsid w:val="00DC6021"/>
    <w:rsid w:val="00DC6F24"/>
    <w:rsid w:val="00DD0524"/>
    <w:rsid w:val="00DD0754"/>
    <w:rsid w:val="00DD225E"/>
    <w:rsid w:val="00DD45A5"/>
    <w:rsid w:val="00DD6DAF"/>
    <w:rsid w:val="00DD6F1D"/>
    <w:rsid w:val="00DD77E0"/>
    <w:rsid w:val="00DE0031"/>
    <w:rsid w:val="00DE15C6"/>
    <w:rsid w:val="00DE3BCB"/>
    <w:rsid w:val="00DE3C43"/>
    <w:rsid w:val="00DE6437"/>
    <w:rsid w:val="00DF38AE"/>
    <w:rsid w:val="00DF51D3"/>
    <w:rsid w:val="00DF53D7"/>
    <w:rsid w:val="00DF570F"/>
    <w:rsid w:val="00DF5968"/>
    <w:rsid w:val="00DF5FD5"/>
    <w:rsid w:val="00E0180B"/>
    <w:rsid w:val="00E03461"/>
    <w:rsid w:val="00E0347F"/>
    <w:rsid w:val="00E045C7"/>
    <w:rsid w:val="00E047B4"/>
    <w:rsid w:val="00E05898"/>
    <w:rsid w:val="00E07359"/>
    <w:rsid w:val="00E07636"/>
    <w:rsid w:val="00E07972"/>
    <w:rsid w:val="00E10600"/>
    <w:rsid w:val="00E10BEF"/>
    <w:rsid w:val="00E13BC1"/>
    <w:rsid w:val="00E142C0"/>
    <w:rsid w:val="00E142E9"/>
    <w:rsid w:val="00E146BF"/>
    <w:rsid w:val="00E1553B"/>
    <w:rsid w:val="00E15D86"/>
    <w:rsid w:val="00E243B7"/>
    <w:rsid w:val="00E24F89"/>
    <w:rsid w:val="00E26B9D"/>
    <w:rsid w:val="00E27F61"/>
    <w:rsid w:val="00E304E8"/>
    <w:rsid w:val="00E3361C"/>
    <w:rsid w:val="00E3389E"/>
    <w:rsid w:val="00E33D96"/>
    <w:rsid w:val="00E340AF"/>
    <w:rsid w:val="00E3527A"/>
    <w:rsid w:val="00E35740"/>
    <w:rsid w:val="00E40ED0"/>
    <w:rsid w:val="00E43B30"/>
    <w:rsid w:val="00E43BA1"/>
    <w:rsid w:val="00E4782A"/>
    <w:rsid w:val="00E47B7F"/>
    <w:rsid w:val="00E50C0E"/>
    <w:rsid w:val="00E53923"/>
    <w:rsid w:val="00E5436A"/>
    <w:rsid w:val="00E54CF8"/>
    <w:rsid w:val="00E56521"/>
    <w:rsid w:val="00E57DDE"/>
    <w:rsid w:val="00E6417F"/>
    <w:rsid w:val="00E65648"/>
    <w:rsid w:val="00E673D9"/>
    <w:rsid w:val="00E67969"/>
    <w:rsid w:val="00E71347"/>
    <w:rsid w:val="00E72899"/>
    <w:rsid w:val="00E72C08"/>
    <w:rsid w:val="00E72CC3"/>
    <w:rsid w:val="00E73602"/>
    <w:rsid w:val="00E7684E"/>
    <w:rsid w:val="00E8358D"/>
    <w:rsid w:val="00E838AC"/>
    <w:rsid w:val="00E84014"/>
    <w:rsid w:val="00E84A9E"/>
    <w:rsid w:val="00E84D8C"/>
    <w:rsid w:val="00E85065"/>
    <w:rsid w:val="00E8523A"/>
    <w:rsid w:val="00E858D9"/>
    <w:rsid w:val="00E86233"/>
    <w:rsid w:val="00E87DE3"/>
    <w:rsid w:val="00E9095D"/>
    <w:rsid w:val="00E915F3"/>
    <w:rsid w:val="00E9357D"/>
    <w:rsid w:val="00E94252"/>
    <w:rsid w:val="00E95C04"/>
    <w:rsid w:val="00E95F2F"/>
    <w:rsid w:val="00E963DD"/>
    <w:rsid w:val="00E964DC"/>
    <w:rsid w:val="00EA04E4"/>
    <w:rsid w:val="00EA2D63"/>
    <w:rsid w:val="00EA3DDC"/>
    <w:rsid w:val="00EA68E3"/>
    <w:rsid w:val="00EA76CB"/>
    <w:rsid w:val="00EB065A"/>
    <w:rsid w:val="00EB0DB7"/>
    <w:rsid w:val="00EB10D9"/>
    <w:rsid w:val="00EB3114"/>
    <w:rsid w:val="00EB3447"/>
    <w:rsid w:val="00EB3AF7"/>
    <w:rsid w:val="00EB5267"/>
    <w:rsid w:val="00EB5AAA"/>
    <w:rsid w:val="00EB69CA"/>
    <w:rsid w:val="00EC09F7"/>
    <w:rsid w:val="00EC1B51"/>
    <w:rsid w:val="00EC460B"/>
    <w:rsid w:val="00EC64CE"/>
    <w:rsid w:val="00EC70D5"/>
    <w:rsid w:val="00ED005B"/>
    <w:rsid w:val="00ED1859"/>
    <w:rsid w:val="00ED2809"/>
    <w:rsid w:val="00ED2A13"/>
    <w:rsid w:val="00ED3969"/>
    <w:rsid w:val="00ED3FD5"/>
    <w:rsid w:val="00ED596E"/>
    <w:rsid w:val="00ED59FA"/>
    <w:rsid w:val="00ED5E93"/>
    <w:rsid w:val="00ED7684"/>
    <w:rsid w:val="00EE1FA3"/>
    <w:rsid w:val="00EE22A2"/>
    <w:rsid w:val="00EE41A0"/>
    <w:rsid w:val="00EE5457"/>
    <w:rsid w:val="00EE5970"/>
    <w:rsid w:val="00EE6269"/>
    <w:rsid w:val="00EE647D"/>
    <w:rsid w:val="00EF06C8"/>
    <w:rsid w:val="00EF0BC6"/>
    <w:rsid w:val="00F01A99"/>
    <w:rsid w:val="00F05F07"/>
    <w:rsid w:val="00F06B11"/>
    <w:rsid w:val="00F0734F"/>
    <w:rsid w:val="00F10000"/>
    <w:rsid w:val="00F11F1E"/>
    <w:rsid w:val="00F12A88"/>
    <w:rsid w:val="00F12D61"/>
    <w:rsid w:val="00F12E1B"/>
    <w:rsid w:val="00F12F42"/>
    <w:rsid w:val="00F1476D"/>
    <w:rsid w:val="00F16D45"/>
    <w:rsid w:val="00F20AF9"/>
    <w:rsid w:val="00F20C98"/>
    <w:rsid w:val="00F20D8E"/>
    <w:rsid w:val="00F20F06"/>
    <w:rsid w:val="00F21FFE"/>
    <w:rsid w:val="00F30208"/>
    <w:rsid w:val="00F32682"/>
    <w:rsid w:val="00F332AF"/>
    <w:rsid w:val="00F33355"/>
    <w:rsid w:val="00F34B55"/>
    <w:rsid w:val="00F34C85"/>
    <w:rsid w:val="00F35700"/>
    <w:rsid w:val="00F35A67"/>
    <w:rsid w:val="00F3667A"/>
    <w:rsid w:val="00F40D55"/>
    <w:rsid w:val="00F42302"/>
    <w:rsid w:val="00F43404"/>
    <w:rsid w:val="00F507F1"/>
    <w:rsid w:val="00F51C39"/>
    <w:rsid w:val="00F55763"/>
    <w:rsid w:val="00F56955"/>
    <w:rsid w:val="00F56C23"/>
    <w:rsid w:val="00F60889"/>
    <w:rsid w:val="00F6116E"/>
    <w:rsid w:val="00F63EA7"/>
    <w:rsid w:val="00F64CCE"/>
    <w:rsid w:val="00F661A9"/>
    <w:rsid w:val="00F66E70"/>
    <w:rsid w:val="00F677EE"/>
    <w:rsid w:val="00F67CEA"/>
    <w:rsid w:val="00F702AB"/>
    <w:rsid w:val="00F739E2"/>
    <w:rsid w:val="00F7576A"/>
    <w:rsid w:val="00F758B9"/>
    <w:rsid w:val="00F75AAD"/>
    <w:rsid w:val="00F76BC3"/>
    <w:rsid w:val="00F76DE9"/>
    <w:rsid w:val="00F802FB"/>
    <w:rsid w:val="00F82580"/>
    <w:rsid w:val="00F82C66"/>
    <w:rsid w:val="00F82CA7"/>
    <w:rsid w:val="00F82F93"/>
    <w:rsid w:val="00F8307B"/>
    <w:rsid w:val="00F844A0"/>
    <w:rsid w:val="00F849DC"/>
    <w:rsid w:val="00F9010F"/>
    <w:rsid w:val="00F923AF"/>
    <w:rsid w:val="00F93E37"/>
    <w:rsid w:val="00F941F8"/>
    <w:rsid w:val="00F964A6"/>
    <w:rsid w:val="00F97DEC"/>
    <w:rsid w:val="00FA0B4F"/>
    <w:rsid w:val="00FA0D37"/>
    <w:rsid w:val="00FA0E34"/>
    <w:rsid w:val="00FA445F"/>
    <w:rsid w:val="00FA64C6"/>
    <w:rsid w:val="00FB03EF"/>
    <w:rsid w:val="00FB2216"/>
    <w:rsid w:val="00FB295A"/>
    <w:rsid w:val="00FB3201"/>
    <w:rsid w:val="00FB3D64"/>
    <w:rsid w:val="00FB59E2"/>
    <w:rsid w:val="00FB615A"/>
    <w:rsid w:val="00FC0CAA"/>
    <w:rsid w:val="00FC46C4"/>
    <w:rsid w:val="00FC6E40"/>
    <w:rsid w:val="00FC77B9"/>
    <w:rsid w:val="00FC7EF8"/>
    <w:rsid w:val="00FC7F69"/>
    <w:rsid w:val="00FD2E80"/>
    <w:rsid w:val="00FD2F69"/>
    <w:rsid w:val="00FD3CED"/>
    <w:rsid w:val="00FD4D4E"/>
    <w:rsid w:val="00FD4E3B"/>
    <w:rsid w:val="00FD5289"/>
    <w:rsid w:val="00FD52BF"/>
    <w:rsid w:val="00FD6FE6"/>
    <w:rsid w:val="00FE09F5"/>
    <w:rsid w:val="00FE0C78"/>
    <w:rsid w:val="00FE10E1"/>
    <w:rsid w:val="00FE3D17"/>
    <w:rsid w:val="00FE7059"/>
    <w:rsid w:val="00FE72B3"/>
    <w:rsid w:val="00FF1BD9"/>
    <w:rsid w:val="00FF22EF"/>
    <w:rsid w:val="00FF290B"/>
    <w:rsid w:val="00FF2C8F"/>
    <w:rsid w:val="00FF476A"/>
    <w:rsid w:val="00FF5A45"/>
    <w:rsid w:val="00FF6A85"/>
    <w:rsid w:val="00FF736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53B1FE"/>
  <w15:chartTrackingRefBased/>
  <w15:docId w15:val="{9C527A9B-7BCB-4F4E-89EA-D781B3B3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List Bullet" w:uiPriority="99"/>
    <w:lsdException w:name="List Number" w:uiPriority="99"/>
    <w:lsdException w:name="List Bullet 2" w:uiPriority="99"/>
    <w:lsdException w:name="Title" w:uiPriority="10" w:qFormat="1"/>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eastAsia="fr-FR"/>
    </w:rPr>
  </w:style>
  <w:style w:type="paragraph" w:styleId="Titre1">
    <w:name w:val="heading 1"/>
    <w:basedOn w:val="Normal"/>
    <w:next w:val="Normal"/>
    <w:link w:val="Titre1Car"/>
    <w:qFormat/>
    <w:pPr>
      <w:keepNext/>
      <w:spacing w:before="240" w:after="60"/>
      <w:outlineLvl w:val="0"/>
    </w:pPr>
    <w:rPr>
      <w:b/>
      <w:kern w:val="28"/>
      <w:sz w:val="28"/>
    </w:rPr>
  </w:style>
  <w:style w:type="paragraph" w:styleId="Titre2">
    <w:name w:val="heading 2"/>
    <w:basedOn w:val="Normal"/>
    <w:next w:val="Normal"/>
    <w:link w:val="Titre2Car"/>
    <w:qFormat/>
    <w:pPr>
      <w:keepNext/>
      <w:spacing w:before="240" w:after="60"/>
      <w:outlineLvl w:val="1"/>
    </w:pPr>
    <w:rPr>
      <w:b/>
      <w:i/>
    </w:rPr>
  </w:style>
  <w:style w:type="paragraph" w:styleId="Titre3">
    <w:name w:val="heading 3"/>
    <w:basedOn w:val="Normal"/>
    <w:next w:val="Normal"/>
    <w:qFormat/>
    <w:pPr>
      <w:keepNext/>
      <w:spacing w:before="240" w:after="60"/>
      <w:outlineLvl w:val="2"/>
    </w:pPr>
  </w:style>
  <w:style w:type="paragraph" w:styleId="Titre4">
    <w:name w:val="heading 4"/>
    <w:basedOn w:val="Normal"/>
    <w:next w:val="Normal"/>
    <w:qFormat/>
    <w:pPr>
      <w:keepNext/>
      <w:spacing w:before="240" w:after="60"/>
      <w:outlineLvl w:val="3"/>
    </w:pPr>
    <w:rPr>
      <w:b/>
    </w:rPr>
  </w:style>
  <w:style w:type="paragraph" w:styleId="Titre5">
    <w:name w:val="heading 5"/>
    <w:basedOn w:val="Normal"/>
    <w:next w:val="Normal"/>
    <w:qFormat/>
    <w:pPr>
      <w:spacing w:before="240" w:after="60"/>
      <w:outlineLvl w:val="4"/>
    </w:pPr>
    <w:rPr>
      <w:sz w:val="22"/>
    </w:rPr>
  </w:style>
  <w:style w:type="paragraph" w:styleId="Titre6">
    <w:name w:val="heading 6"/>
    <w:basedOn w:val="Normal"/>
    <w:next w:val="Normal"/>
    <w:qFormat/>
    <w:pPr>
      <w:spacing w:before="240" w:after="60"/>
      <w:outlineLvl w:val="5"/>
    </w:pPr>
    <w:rPr>
      <w:i/>
      <w:sz w:val="22"/>
    </w:rPr>
  </w:style>
  <w:style w:type="paragraph" w:styleId="Titre7">
    <w:name w:val="heading 7"/>
    <w:basedOn w:val="Normal"/>
    <w:next w:val="Normal"/>
    <w:qFormat/>
    <w:pPr>
      <w:spacing w:before="240" w:after="60"/>
      <w:outlineLvl w:val="6"/>
    </w:pPr>
    <w:rPr>
      <w:sz w:val="20"/>
    </w:rPr>
  </w:style>
  <w:style w:type="paragraph" w:styleId="Titre8">
    <w:name w:val="heading 8"/>
    <w:basedOn w:val="Normal"/>
    <w:next w:val="Normal"/>
    <w:qFormat/>
    <w:pPr>
      <w:spacing w:before="240" w:after="60"/>
      <w:outlineLvl w:val="7"/>
    </w:pPr>
    <w:rPr>
      <w:i/>
      <w:sz w:val="20"/>
    </w:rPr>
  </w:style>
  <w:style w:type="paragraph" w:styleId="Titre9">
    <w:name w:val="heading 9"/>
    <w:basedOn w:val="Normal"/>
    <w:next w:val="Normal"/>
    <w:qFormat/>
    <w:pPr>
      <w:spacing w:before="240" w:after="60"/>
      <w:outlineLvl w:val="8"/>
    </w:pPr>
    <w:rPr>
      <w:b/>
      <w:i/>
      <w:sz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
    <w:name w:val="Paragraphe"/>
    <w:basedOn w:val="Normal"/>
    <w:link w:val="ParagrapheCar"/>
    <w:pPr>
      <w:numPr>
        <w:numId w:val="12"/>
      </w:numPr>
      <w:spacing w:before="120" w:after="120" w:line="500" w:lineRule="exact"/>
      <w:jc w:val="both"/>
    </w:pPr>
    <w:rPr>
      <w:kern w:val="28"/>
    </w:rPr>
  </w:style>
  <w:style w:type="paragraph" w:customStyle="1" w:styleId="Citationenretrait">
    <w:name w:val="Citation en retrait"/>
    <w:basedOn w:val="Normal"/>
    <w:pPr>
      <w:spacing w:before="120" w:after="120"/>
      <w:ind w:left="720" w:right="720"/>
      <w:jc w:val="both"/>
    </w:pPr>
    <w:rPr>
      <w:kern w:val="24"/>
      <w:sz w:val="22"/>
    </w:rPr>
  </w:style>
  <w:style w:type="character" w:customStyle="1" w:styleId="Citationintgre">
    <w:name w:val="Citation intégrée"/>
    <w:rPr>
      <w:rFonts w:ascii="Arial" w:hAnsi="Arial"/>
      <w:i/>
      <w:noProof w:val="0"/>
      <w:sz w:val="22"/>
      <w:lang w:val="fr-CA"/>
    </w:rPr>
  </w:style>
  <w:style w:type="paragraph" w:styleId="Corpsdetexte">
    <w:name w:val="Body Text"/>
    <w:basedOn w:val="Normal"/>
    <w:pPr>
      <w:spacing w:after="120"/>
    </w:pPr>
  </w:style>
  <w:style w:type="paragraph" w:styleId="Notedebasdepage">
    <w:name w:val="footnote text"/>
    <w:basedOn w:val="Normal"/>
    <w:link w:val="NotedebasdepageCar"/>
    <w:semiHidden/>
    <w:pPr>
      <w:ind w:left="360" w:hanging="360"/>
      <w:jc w:val="both"/>
    </w:pPr>
    <w:rPr>
      <w:sz w:val="20"/>
    </w:rPr>
  </w:style>
  <w:style w:type="paragraph" w:styleId="Notedefin">
    <w:name w:val="endnote text"/>
    <w:basedOn w:val="Normal"/>
    <w:semiHidden/>
    <w:pPr>
      <w:ind w:left="-360"/>
      <w:jc w:val="both"/>
    </w:pPr>
    <w:rPr>
      <w:sz w:val="20"/>
    </w:rPr>
  </w:style>
  <w:style w:type="paragraph" w:customStyle="1" w:styleId="zSoquijlblCour">
    <w:name w:val="zSoquij_lblCour"/>
    <w:basedOn w:val="Normal"/>
    <w:pPr>
      <w:jc w:val="center"/>
    </w:pPr>
    <w:rPr>
      <w:b/>
      <w:sz w:val="36"/>
    </w:rPr>
  </w:style>
  <w:style w:type="paragraph" w:customStyle="1" w:styleId="zSoquijlblPays">
    <w:name w:val="zSoquij_lblPays"/>
    <w:basedOn w:val="Normal"/>
  </w:style>
  <w:style w:type="paragraph" w:customStyle="1" w:styleId="zSoquijlblProvince">
    <w:name w:val="zSoquij_lblProvince"/>
    <w:basedOn w:val="Normal"/>
  </w:style>
  <w:style w:type="paragraph" w:customStyle="1" w:styleId="zSoquijlblGreffe">
    <w:name w:val="zSoquij_lblGreffe"/>
    <w:basedOn w:val="Normal"/>
    <w:pPr>
      <w:ind w:left="70"/>
    </w:pPr>
  </w:style>
  <w:style w:type="paragraph" w:customStyle="1" w:styleId="zSoquijdatGreffe">
    <w:name w:val="zSoquij_datGreffe"/>
    <w:basedOn w:val="Normal"/>
    <w:pPr>
      <w:ind w:left="29"/>
    </w:pPr>
  </w:style>
  <w:style w:type="paragraph" w:customStyle="1" w:styleId="zSoquijdatDivision">
    <w:name w:val="zSoquij_datDivision"/>
    <w:basedOn w:val="Normal"/>
    <w:pPr>
      <w:jc w:val="center"/>
    </w:pPr>
    <w:rPr>
      <w:sz w:val="22"/>
    </w:rPr>
  </w:style>
  <w:style w:type="paragraph" w:customStyle="1" w:styleId="zSoquijlblNoDossier">
    <w:name w:val="zSoquij_lblNoDossier"/>
    <w:basedOn w:val="Normal"/>
  </w:style>
  <w:style w:type="paragraph" w:customStyle="1" w:styleId="zSoquijdatNoDossier">
    <w:name w:val="zSoquij_datNoDossier"/>
    <w:basedOn w:val="Normal"/>
  </w:style>
  <w:style w:type="paragraph" w:customStyle="1" w:styleId="zSoquijdatNoDossierAnt">
    <w:name w:val="zSoquij_datNoDossierAnt"/>
    <w:basedOn w:val="Normal"/>
  </w:style>
  <w:style w:type="paragraph" w:customStyle="1" w:styleId="zSoquijdatDateJugement">
    <w:name w:val="zSoquij_datDateJugement"/>
    <w:basedOn w:val="Normal"/>
  </w:style>
  <w:style w:type="paragraph" w:customStyle="1" w:styleId="zSoquijlblDateJugement">
    <w:name w:val="zSoquij_lblDateJugement"/>
    <w:basedOn w:val="Normal"/>
  </w:style>
  <w:style w:type="paragraph" w:customStyle="1" w:styleId="zSoquijlblJuge">
    <w:name w:val="zSoquij_lblJuge"/>
    <w:basedOn w:val="Normal"/>
    <w:pPr>
      <w:ind w:left="70"/>
    </w:pPr>
    <w:rPr>
      <w:b/>
    </w:rPr>
  </w:style>
  <w:style w:type="paragraph" w:customStyle="1" w:styleId="zSoquijdatQteJuge">
    <w:name w:val="zSoquij_datQteJuge"/>
    <w:basedOn w:val="Normal"/>
    <w:pPr>
      <w:ind w:left="29"/>
    </w:pPr>
    <w:rPr>
      <w:b/>
    </w:rPr>
  </w:style>
  <w:style w:type="paragraph" w:customStyle="1" w:styleId="zSoquijdatJuge">
    <w:name w:val="zSoquij_datJuge"/>
    <w:basedOn w:val="Normal"/>
    <w:pPr>
      <w:ind w:left="52"/>
    </w:pPr>
    <w:rPr>
      <w:b/>
    </w:rPr>
  </w:style>
  <w:style w:type="paragraph" w:customStyle="1" w:styleId="zSoquijdatNomPartieDem">
    <w:name w:val="zSoquij_datNomPartieDem"/>
    <w:basedOn w:val="Normal"/>
    <w:rPr>
      <w:b/>
      <w:bCs/>
    </w:rPr>
  </w:style>
  <w:style w:type="paragraph" w:customStyle="1" w:styleId="zSoquijdatQtePartieDem">
    <w:name w:val="zSoquij_datQtePartieDem"/>
    <w:basedOn w:val="Normal"/>
    <w:pPr>
      <w:ind w:left="708"/>
    </w:pPr>
  </w:style>
  <w:style w:type="paragraph" w:customStyle="1" w:styleId="zSoquijlblLienParties">
    <w:name w:val="zSoquij_lblLienParties"/>
    <w:basedOn w:val="Normal"/>
  </w:style>
  <w:style w:type="paragraph" w:customStyle="1" w:styleId="zSoquijdatNomPartieDef">
    <w:name w:val="zSoquij_datNomPartieDef"/>
    <w:basedOn w:val="Normal"/>
    <w:rPr>
      <w:b/>
      <w:bCs/>
    </w:rPr>
  </w:style>
  <w:style w:type="paragraph" w:customStyle="1" w:styleId="zSoquijdatQtePartieDef">
    <w:name w:val="zSoquij_datQtePartieDef"/>
    <w:basedOn w:val="Normal"/>
    <w:pPr>
      <w:ind w:left="708"/>
    </w:pPr>
  </w:style>
  <w:style w:type="paragraph" w:customStyle="1" w:styleId="zSoquijlblTypeDocument">
    <w:name w:val="zSoquij_lblTypeDocument"/>
    <w:basedOn w:val="Normal"/>
    <w:pPr>
      <w:jc w:val="center"/>
    </w:pPr>
  </w:style>
  <w:style w:type="paragraph" w:customStyle="1" w:styleId="zSoquijlblProcureurDem">
    <w:name w:val="zSoquij_lblProcureurDem"/>
    <w:basedOn w:val="Normal"/>
  </w:style>
  <w:style w:type="paragraph" w:customStyle="1" w:styleId="zSoquijlblProcureurDef">
    <w:name w:val="zSoquij_lblProcureurDef"/>
    <w:basedOn w:val="Normal"/>
  </w:style>
  <w:style w:type="paragraph" w:customStyle="1" w:styleId="zSoquijlblDateAudience">
    <w:name w:val="zSoquij_lblDateAudience"/>
    <w:basedOn w:val="Normal"/>
  </w:style>
  <w:style w:type="paragraph" w:customStyle="1" w:styleId="zSoquijdatDateAudience">
    <w:name w:val="zSoquij_datDateAudience"/>
    <w:basedOn w:val="Normal"/>
  </w:style>
  <w:style w:type="paragraph" w:customStyle="1" w:styleId="zSoquijlblNomChambre">
    <w:name w:val="zSoquij_lblNomChambre"/>
    <w:basedOn w:val="Normal"/>
  </w:style>
  <w:style w:type="paragraph" w:customStyle="1" w:styleId="zSoquijlblOpinionJuge">
    <w:name w:val="zSoquij_lblOpinionJuge"/>
    <w:basedOn w:val="Normal"/>
    <w:pPr>
      <w:tabs>
        <w:tab w:val="left" w:pos="720"/>
      </w:tabs>
      <w:jc w:val="center"/>
    </w:pPr>
  </w:style>
  <w:style w:type="character" w:customStyle="1" w:styleId="zSoquijlblEntNoDossier">
    <w:name w:val="zSoquij_lblEntNoDossier"/>
    <w:basedOn w:val="Policepardfaut"/>
    <w:rPr>
      <w:noProof w:val="0"/>
      <w:lang w:val="fr-CA"/>
    </w:rPr>
  </w:style>
  <w:style w:type="paragraph" w:customStyle="1" w:styleId="zSoquijlblTitrePartie">
    <w:name w:val="zSoquij_lblTitrePartie"/>
    <w:basedOn w:val="Normal"/>
  </w:style>
  <w:style w:type="paragraph" w:customStyle="1" w:styleId="zSoquijdatSignature3Juge">
    <w:name w:val="zSoquij_datSignature3Juge"/>
    <w:basedOn w:val="Normal"/>
  </w:style>
  <w:style w:type="paragraph" w:customStyle="1" w:styleId="ParagNonNum">
    <w:name w:val="ParagNonNum"/>
    <w:basedOn w:val="Paragraphe"/>
    <w:pPr>
      <w:numPr>
        <w:numId w:val="0"/>
      </w:numPr>
    </w:pPr>
  </w:style>
  <w:style w:type="paragraph" w:customStyle="1" w:styleId="zSoquijdatIdJuge">
    <w:name w:val="zSoquij_datIdJuge"/>
    <w:basedOn w:val="Normal"/>
    <w:pPr>
      <w:jc w:val="center"/>
    </w:pPr>
    <w:rPr>
      <w:sz w:val="20"/>
    </w:rPr>
  </w:style>
  <w:style w:type="paragraph" w:customStyle="1" w:styleId="Sous-paragraphe">
    <w:name w:val="Sous-paragraphe"/>
    <w:basedOn w:val="Normal"/>
    <w:pPr>
      <w:widowControl w:val="0"/>
      <w:numPr>
        <w:ilvl w:val="1"/>
        <w:numId w:val="12"/>
      </w:numPr>
      <w:spacing w:after="120"/>
      <w:jc w:val="both"/>
    </w:pPr>
    <w:rPr>
      <w:kern w:val="28"/>
    </w:rPr>
  </w:style>
  <w:style w:type="paragraph" w:customStyle="1" w:styleId="zSoquijdatNomProcureurDem">
    <w:name w:val="zSoquij_datNomProcureurDem"/>
    <w:basedOn w:val="zSoquijlblProcureurDem"/>
  </w:style>
  <w:style w:type="paragraph" w:customStyle="1" w:styleId="zSoquijdatNomProcureurDef">
    <w:name w:val="zSoquij_datNomProcureurDef"/>
    <w:basedOn w:val="zSoquijlblProcureurDef"/>
  </w:style>
  <w:style w:type="paragraph" w:customStyle="1" w:styleId="zSoquijdatCabinetProcureurDem">
    <w:name w:val="zSoquij_datCabinetProcureurDem"/>
    <w:basedOn w:val="Normal"/>
  </w:style>
  <w:style w:type="paragraph" w:customStyle="1" w:styleId="zSoquijdatCabinetProcureurDef">
    <w:name w:val="zSoquij_datCabinetProcureurDef"/>
    <w:basedOn w:val="zSoquijlblProcureurDef"/>
  </w:style>
  <w:style w:type="paragraph" w:customStyle="1" w:styleId="zSoquijdatSignatureJuge1">
    <w:name w:val="zSoquij_datSignatureJuge1"/>
    <w:basedOn w:val="Normal"/>
  </w:style>
  <w:style w:type="paragraph" w:customStyle="1" w:styleId="zSoquijdatSignatureJuge2">
    <w:name w:val="zSoquij_datSignatureJuge2"/>
    <w:basedOn w:val="Normal"/>
  </w:style>
  <w:style w:type="paragraph" w:customStyle="1" w:styleId="zSoquijdatSignatureJuge3">
    <w:name w:val="zSoquij_datSignatureJuge3"/>
    <w:basedOn w:val="Normal"/>
  </w:style>
  <w:style w:type="paragraph" w:customStyle="1" w:styleId="zSoquijdatRepertorie">
    <w:name w:val="zSoquij_datRepertorie"/>
    <w:basedOn w:val="zSoquijlblCour"/>
    <w:pPr>
      <w:jc w:val="left"/>
    </w:pPr>
    <w:rPr>
      <w:noProof/>
      <w:sz w:val="22"/>
    </w:rPr>
  </w:style>
  <w:style w:type="paragraph" w:customStyle="1" w:styleId="zSoquijdatRefNeutre">
    <w:name w:val="zSoquij_datRefNeutre"/>
    <w:basedOn w:val="zSoquijlblCour"/>
    <w:pPr>
      <w:jc w:val="left"/>
    </w:pPr>
    <w:rPr>
      <w:noProof/>
      <w:sz w:val="22"/>
    </w:rPr>
  </w:style>
  <w:style w:type="paragraph" w:styleId="En-tte">
    <w:name w:val="header"/>
    <w:basedOn w:val="Normal"/>
    <w:link w:val="En-tteCar"/>
    <w:uiPriority w:val="99"/>
    <w:pPr>
      <w:tabs>
        <w:tab w:val="center" w:pos="4703"/>
        <w:tab w:val="right" w:pos="9406"/>
      </w:tabs>
    </w:pPr>
  </w:style>
  <w:style w:type="paragraph" w:styleId="Pieddepage">
    <w:name w:val="footer"/>
    <w:basedOn w:val="Normal"/>
    <w:pPr>
      <w:tabs>
        <w:tab w:val="center" w:pos="4703"/>
        <w:tab w:val="right" w:pos="9406"/>
      </w:tabs>
    </w:pPr>
  </w:style>
  <w:style w:type="character" w:styleId="Hyperlien">
    <w:name w:val="Hyperlink"/>
    <w:uiPriority w:val="99"/>
    <w:rPr>
      <w:noProof w:val="0"/>
      <w:color w:val="0000FF"/>
      <w:u w:val="single"/>
      <w:lang w:val="fr-CA"/>
    </w:rPr>
  </w:style>
  <w:style w:type="character" w:styleId="Appelnotedebasdep">
    <w:name w:val="footnote reference"/>
    <w:rsid w:val="008450F7"/>
    <w:rPr>
      <w:noProof w:val="0"/>
      <w:vertAlign w:val="superscript"/>
      <w:lang w:val="fr-CA"/>
    </w:rPr>
  </w:style>
  <w:style w:type="character" w:customStyle="1" w:styleId="Titre1Car">
    <w:name w:val="Titre 1 Car"/>
    <w:link w:val="Titre1"/>
    <w:rsid w:val="007A6C58"/>
    <w:rPr>
      <w:rFonts w:ascii="Arial" w:hAnsi="Arial"/>
      <w:b/>
      <w:kern w:val="28"/>
      <w:sz w:val="28"/>
      <w:lang w:eastAsia="fr-FR"/>
    </w:rPr>
  </w:style>
  <w:style w:type="character" w:customStyle="1" w:styleId="NotedebasdepageCar">
    <w:name w:val="Note de bas de page Car"/>
    <w:link w:val="Notedebasdepage"/>
    <w:semiHidden/>
    <w:rsid w:val="007A6C58"/>
    <w:rPr>
      <w:rFonts w:ascii="Arial" w:hAnsi="Arial"/>
      <w:lang w:eastAsia="fr-FR"/>
    </w:rPr>
  </w:style>
  <w:style w:type="paragraph" w:customStyle="1" w:styleId="sc-fedtij">
    <w:name w:val="sc-fedtij"/>
    <w:basedOn w:val="Normal"/>
    <w:rsid w:val="007A6C58"/>
    <w:pPr>
      <w:spacing w:before="100" w:beforeAutospacing="1" w:after="100" w:afterAutospacing="1"/>
    </w:pPr>
    <w:rPr>
      <w:rFonts w:ascii="Times New Roman" w:hAnsi="Times New Roman"/>
      <w:szCs w:val="24"/>
      <w:lang w:eastAsia="fr-CA"/>
    </w:rPr>
  </w:style>
  <w:style w:type="paragraph" w:styleId="NormalWeb">
    <w:name w:val="Normal (Web)"/>
    <w:basedOn w:val="Normal"/>
    <w:uiPriority w:val="99"/>
    <w:rsid w:val="007A6C58"/>
    <w:rPr>
      <w:rFonts w:ascii="Times New Roman" w:hAnsi="Times New Roman"/>
      <w:szCs w:val="24"/>
    </w:rPr>
  </w:style>
  <w:style w:type="paragraph" w:styleId="Paragraphedeliste">
    <w:name w:val="List Paragraph"/>
    <w:basedOn w:val="Normal"/>
    <w:uiPriority w:val="34"/>
    <w:qFormat/>
    <w:rsid w:val="007A6C58"/>
    <w:pPr>
      <w:ind w:left="720"/>
      <w:contextualSpacing/>
    </w:pPr>
  </w:style>
  <w:style w:type="paragraph" w:styleId="Listepuces">
    <w:name w:val="List Bullet"/>
    <w:basedOn w:val="Normal"/>
    <w:uiPriority w:val="99"/>
    <w:unhideWhenUsed/>
    <w:rsid w:val="007A6C58"/>
    <w:pPr>
      <w:tabs>
        <w:tab w:val="num" w:pos="360"/>
      </w:tabs>
      <w:spacing w:after="200" w:line="276" w:lineRule="auto"/>
      <w:ind w:left="360" w:hanging="360"/>
      <w:contextualSpacing/>
    </w:pPr>
    <w:rPr>
      <w:rFonts w:ascii="Aptos" w:hAnsi="Aptos"/>
      <w:sz w:val="22"/>
      <w:szCs w:val="22"/>
      <w:lang w:val="en-US" w:eastAsia="en-US"/>
    </w:rPr>
  </w:style>
  <w:style w:type="character" w:customStyle="1" w:styleId="En-tteCar">
    <w:name w:val="En-tête Car"/>
    <w:link w:val="En-tte"/>
    <w:uiPriority w:val="99"/>
    <w:rsid w:val="007A6C58"/>
    <w:rPr>
      <w:rFonts w:ascii="Arial" w:hAnsi="Arial"/>
      <w:sz w:val="24"/>
      <w:lang w:eastAsia="fr-FR"/>
    </w:rPr>
  </w:style>
  <w:style w:type="paragraph" w:styleId="Listepuces2">
    <w:name w:val="List Bullet 2"/>
    <w:basedOn w:val="Normal"/>
    <w:uiPriority w:val="99"/>
    <w:unhideWhenUsed/>
    <w:rsid w:val="007A6C58"/>
    <w:pPr>
      <w:tabs>
        <w:tab w:val="num" w:pos="720"/>
      </w:tabs>
      <w:spacing w:after="200" w:line="276" w:lineRule="auto"/>
      <w:ind w:left="720" w:hanging="360"/>
      <w:contextualSpacing/>
    </w:pPr>
    <w:rPr>
      <w:rFonts w:ascii="Aptos" w:hAnsi="Aptos"/>
      <w:sz w:val="22"/>
      <w:szCs w:val="22"/>
      <w:lang w:val="en-US" w:eastAsia="en-US"/>
    </w:rPr>
  </w:style>
  <w:style w:type="character" w:styleId="lev">
    <w:name w:val="Strong"/>
    <w:uiPriority w:val="22"/>
    <w:qFormat/>
    <w:rsid w:val="007A6C58"/>
    <w:rPr>
      <w:b/>
      <w:bCs/>
      <w:noProof w:val="0"/>
      <w:lang w:val="fr-CA"/>
    </w:rPr>
  </w:style>
  <w:style w:type="table" w:styleId="Grilledutableau">
    <w:name w:val="Table Grid"/>
    <w:basedOn w:val="TableauNormal"/>
    <w:uiPriority w:val="59"/>
    <w:rsid w:val="007A6C58"/>
    <w:rPr>
      <w:rFonts w:ascii="Cambria" w:eastAsia="MS Mincho" w:hAnsi="Cambria"/>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uiPriority w:val="20"/>
    <w:qFormat/>
    <w:rsid w:val="00C21DB9"/>
    <w:rPr>
      <w:i/>
      <w:iCs/>
      <w:noProof w:val="0"/>
      <w:lang w:val="fr-CA"/>
    </w:rPr>
  </w:style>
  <w:style w:type="character" w:customStyle="1" w:styleId="text-token-text-secondary">
    <w:name w:val="text-token-text-secondary"/>
    <w:rsid w:val="00FD4D4E"/>
  </w:style>
  <w:style w:type="paragraph" w:customStyle="1" w:styleId="Style1">
    <w:name w:val="Style1"/>
    <w:basedOn w:val="Paragraphe"/>
    <w:link w:val="Style1Car"/>
    <w:qFormat/>
    <w:rsid w:val="00EA04E4"/>
    <w:pPr>
      <w:numPr>
        <w:numId w:val="10"/>
      </w:numPr>
      <w:spacing w:line="240" w:lineRule="auto"/>
    </w:pPr>
    <w:rPr>
      <w:b/>
      <w:bCs/>
    </w:rPr>
  </w:style>
  <w:style w:type="character" w:customStyle="1" w:styleId="ParagrapheCar">
    <w:name w:val="Paragraphe Car"/>
    <w:link w:val="Paragraphe"/>
    <w:rsid w:val="00EA04E4"/>
    <w:rPr>
      <w:rFonts w:ascii="Arial" w:hAnsi="Arial"/>
      <w:kern w:val="28"/>
      <w:sz w:val="24"/>
      <w:lang w:eastAsia="fr-FR"/>
    </w:rPr>
  </w:style>
  <w:style w:type="character" w:customStyle="1" w:styleId="Style1Car">
    <w:name w:val="Style1 Car"/>
    <w:link w:val="Style1"/>
    <w:rsid w:val="00EA04E4"/>
    <w:rPr>
      <w:rFonts w:ascii="Arial" w:hAnsi="Arial"/>
      <w:b/>
      <w:bCs/>
      <w:kern w:val="28"/>
      <w:sz w:val="24"/>
      <w:lang w:eastAsia="fr-FR"/>
    </w:rPr>
  </w:style>
  <w:style w:type="paragraph" w:customStyle="1" w:styleId="Style2">
    <w:name w:val="Style2"/>
    <w:basedOn w:val="Titre2"/>
    <w:link w:val="Style2Car"/>
    <w:qFormat/>
    <w:rsid w:val="00AA03FB"/>
    <w:pPr>
      <w:spacing w:before="120" w:after="120"/>
    </w:pPr>
    <w:rPr>
      <w:rFonts w:cs="Arial"/>
      <w:b w:val="0"/>
      <w:bCs/>
      <w:szCs w:val="24"/>
      <w:u w:val="single"/>
    </w:rPr>
  </w:style>
  <w:style w:type="character" w:customStyle="1" w:styleId="Titre2Car">
    <w:name w:val="Titre 2 Car"/>
    <w:link w:val="Titre2"/>
    <w:rsid w:val="00E33D96"/>
    <w:rPr>
      <w:rFonts w:ascii="Arial" w:hAnsi="Arial"/>
      <w:b/>
      <w:i/>
      <w:noProof w:val="0"/>
      <w:sz w:val="24"/>
      <w:lang w:val="fr-CA" w:eastAsia="fr-FR"/>
    </w:rPr>
  </w:style>
  <w:style w:type="character" w:customStyle="1" w:styleId="Style2Car">
    <w:name w:val="Style2 Car"/>
    <w:link w:val="Style2"/>
    <w:rsid w:val="00AA03FB"/>
    <w:rPr>
      <w:rFonts w:ascii="Arial" w:hAnsi="Arial" w:cs="Arial"/>
      <w:bCs/>
      <w:i/>
      <w:sz w:val="24"/>
      <w:szCs w:val="24"/>
      <w:u w:val="single"/>
      <w:lang w:eastAsia="fr-FR"/>
    </w:rPr>
  </w:style>
  <w:style w:type="paragraph" w:customStyle="1" w:styleId="Style3">
    <w:name w:val="Style3"/>
    <w:basedOn w:val="Paragraphe"/>
    <w:link w:val="Style3Car"/>
    <w:qFormat/>
    <w:rsid w:val="00694371"/>
    <w:pPr>
      <w:numPr>
        <w:numId w:val="8"/>
      </w:numPr>
      <w:spacing w:line="240" w:lineRule="auto"/>
    </w:pPr>
    <w:rPr>
      <w:b/>
      <w:bCs/>
    </w:rPr>
  </w:style>
  <w:style w:type="character" w:customStyle="1" w:styleId="Style3Car">
    <w:name w:val="Style3 Car"/>
    <w:link w:val="Style3"/>
    <w:rsid w:val="00694371"/>
    <w:rPr>
      <w:rFonts w:ascii="Arial" w:hAnsi="Arial"/>
      <w:b/>
      <w:bCs/>
      <w:kern w:val="28"/>
      <w:sz w:val="24"/>
      <w:lang w:eastAsia="fr-FR"/>
    </w:rPr>
  </w:style>
  <w:style w:type="paragraph" w:styleId="TM1">
    <w:name w:val="toc 1"/>
    <w:basedOn w:val="Normal"/>
    <w:next w:val="Normal"/>
    <w:autoRedefine/>
    <w:uiPriority w:val="39"/>
    <w:rsid w:val="006E4369"/>
    <w:pPr>
      <w:tabs>
        <w:tab w:val="right" w:leader="dot" w:pos="9352"/>
      </w:tabs>
      <w:ind w:left="213"/>
    </w:pPr>
    <w:rPr>
      <w:noProof/>
    </w:rPr>
  </w:style>
  <w:style w:type="paragraph" w:styleId="TM2">
    <w:name w:val="toc 2"/>
    <w:basedOn w:val="Normal"/>
    <w:next w:val="Normal"/>
    <w:autoRedefine/>
    <w:uiPriority w:val="39"/>
    <w:rsid w:val="003C06E8"/>
    <w:pPr>
      <w:tabs>
        <w:tab w:val="left" w:pos="496"/>
        <w:tab w:val="right" w:leader="dot" w:pos="9352"/>
      </w:tabs>
      <w:ind w:left="355" w:hanging="142"/>
    </w:pPr>
    <w:rPr>
      <w:b/>
      <w:bCs/>
      <w:noProof/>
      <w:lang w:eastAsia="fr-CA"/>
    </w:rPr>
  </w:style>
  <w:style w:type="paragraph" w:styleId="TM3">
    <w:name w:val="toc 3"/>
    <w:basedOn w:val="Normal"/>
    <w:next w:val="Normal"/>
    <w:autoRedefine/>
    <w:uiPriority w:val="39"/>
    <w:rsid w:val="003C06E8"/>
    <w:pPr>
      <w:tabs>
        <w:tab w:val="right" w:leader="dot" w:pos="9352"/>
      </w:tabs>
      <w:ind w:left="213"/>
    </w:pPr>
  </w:style>
  <w:style w:type="character" w:styleId="Marquedecommentaire">
    <w:name w:val="annotation reference"/>
    <w:rsid w:val="002C4F91"/>
    <w:rPr>
      <w:noProof w:val="0"/>
      <w:sz w:val="16"/>
      <w:szCs w:val="16"/>
      <w:lang w:val="fr-CA"/>
    </w:rPr>
  </w:style>
  <w:style w:type="paragraph" w:styleId="Commentaire">
    <w:name w:val="annotation text"/>
    <w:basedOn w:val="Normal"/>
    <w:link w:val="CommentaireCar"/>
    <w:rsid w:val="002C4F91"/>
    <w:rPr>
      <w:sz w:val="20"/>
    </w:rPr>
  </w:style>
  <w:style w:type="character" w:customStyle="1" w:styleId="CommentaireCar">
    <w:name w:val="Commentaire Car"/>
    <w:link w:val="Commentaire"/>
    <w:rsid w:val="002C4F91"/>
    <w:rPr>
      <w:rFonts w:ascii="Arial" w:hAnsi="Arial"/>
      <w:noProof w:val="0"/>
      <w:lang w:val="fr-CA" w:eastAsia="fr-FR"/>
    </w:rPr>
  </w:style>
  <w:style w:type="paragraph" w:styleId="Objetducommentaire">
    <w:name w:val="annotation subject"/>
    <w:basedOn w:val="Commentaire"/>
    <w:next w:val="Commentaire"/>
    <w:link w:val="ObjetducommentaireCar"/>
    <w:rsid w:val="002C4F91"/>
    <w:rPr>
      <w:b/>
      <w:bCs/>
    </w:rPr>
  </w:style>
  <w:style w:type="character" w:customStyle="1" w:styleId="ObjetducommentaireCar">
    <w:name w:val="Objet du commentaire Car"/>
    <w:link w:val="Objetducommentaire"/>
    <w:rsid w:val="002C4F91"/>
    <w:rPr>
      <w:rFonts w:ascii="Arial" w:hAnsi="Arial"/>
      <w:b/>
      <w:bCs/>
      <w:noProof w:val="0"/>
      <w:lang w:val="fr-CA" w:eastAsia="fr-FR"/>
    </w:rPr>
  </w:style>
  <w:style w:type="paragraph" w:customStyle="1" w:styleId="paragraphe0">
    <w:name w:val="paragraphe"/>
    <w:basedOn w:val="Normal"/>
    <w:rsid w:val="00CB453B"/>
    <w:pPr>
      <w:spacing w:before="100" w:beforeAutospacing="1" w:after="100" w:afterAutospacing="1"/>
    </w:pPr>
    <w:rPr>
      <w:rFonts w:ascii="Aptos" w:eastAsia="Aptos" w:hAnsi="Aptos" w:cs="Aptos"/>
      <w:szCs w:val="24"/>
      <w:lang w:eastAsia="fr-CA"/>
    </w:rPr>
  </w:style>
  <w:style w:type="paragraph" w:customStyle="1" w:styleId="Style4">
    <w:name w:val="Style4"/>
    <w:basedOn w:val="Citationenretrait"/>
    <w:qFormat/>
    <w:rsid w:val="00C25630"/>
    <w:pPr>
      <w:numPr>
        <w:numId w:val="3"/>
      </w:numPr>
      <w:spacing w:after="0"/>
    </w:pPr>
  </w:style>
  <w:style w:type="paragraph" w:customStyle="1" w:styleId="Style5">
    <w:name w:val="Style5"/>
    <w:basedOn w:val="Paragraphe"/>
    <w:qFormat/>
    <w:rsid w:val="00790DBF"/>
    <w:pPr>
      <w:numPr>
        <w:numId w:val="0"/>
      </w:numPr>
      <w:spacing w:line="240" w:lineRule="auto"/>
    </w:pPr>
    <w:rPr>
      <w:rFonts w:cs="Arial"/>
      <w:noProof/>
      <w:szCs w:val="24"/>
    </w:rPr>
  </w:style>
  <w:style w:type="character" w:customStyle="1" w:styleId="grow">
    <w:name w:val="grow"/>
    <w:basedOn w:val="Policepardfaut"/>
    <w:rsid w:val="004409B1"/>
  </w:style>
  <w:style w:type="character" w:customStyle="1" w:styleId="emphtypeital">
    <w:name w:val="emphtypeital"/>
    <w:rsid w:val="008A33E7"/>
    <w:rPr>
      <w:i/>
      <w:iCs/>
      <w:noProof w:val="0"/>
      <w:lang w:val="fr-CA"/>
    </w:rPr>
  </w:style>
  <w:style w:type="paragraph" w:styleId="Titre">
    <w:name w:val="Title"/>
    <w:basedOn w:val="Normal"/>
    <w:next w:val="Normal"/>
    <w:link w:val="TitreCar"/>
    <w:uiPriority w:val="10"/>
    <w:qFormat/>
    <w:rsid w:val="00833FC7"/>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33FC7"/>
    <w:rPr>
      <w:rFonts w:asciiTheme="majorHAnsi" w:eastAsiaTheme="majorEastAsia" w:hAnsiTheme="majorHAnsi" w:cstheme="majorBidi"/>
      <w:spacing w:val="-10"/>
      <w:kern w:val="28"/>
      <w:sz w:val="56"/>
      <w:szCs w:val="56"/>
      <w:lang w:eastAsia="fr-FR"/>
    </w:rPr>
  </w:style>
  <w:style w:type="paragraph" w:styleId="Listenumros">
    <w:name w:val="List Number"/>
    <w:basedOn w:val="Normal"/>
    <w:uiPriority w:val="99"/>
    <w:unhideWhenUsed/>
    <w:rsid w:val="009034A3"/>
    <w:pPr>
      <w:numPr>
        <w:numId w:val="82"/>
      </w:numPr>
      <w:spacing w:after="200" w:line="276" w:lineRule="auto"/>
      <w:contextualSpacing/>
    </w:pPr>
    <w:rPr>
      <w:rFonts w:asciiTheme="minorHAnsi" w:eastAsiaTheme="minorEastAsia" w:hAnsiTheme="minorHAnsi" w:cstheme="minorBidi"/>
      <w:sz w:val="22"/>
      <w:szCs w:val="22"/>
      <w:lang w:val="en-US" w:eastAsia="en-US"/>
    </w:rPr>
  </w:style>
  <w:style w:type="paragraph" w:styleId="En-ttedetabledesmatires">
    <w:name w:val="TOC Heading"/>
    <w:basedOn w:val="Titre1"/>
    <w:next w:val="Normal"/>
    <w:uiPriority w:val="39"/>
    <w:unhideWhenUsed/>
    <w:qFormat/>
    <w:rsid w:val="0098012F"/>
    <w:pPr>
      <w:keepLines/>
      <w:spacing w:after="0" w:line="259" w:lineRule="auto"/>
      <w:outlineLvl w:val="9"/>
    </w:pPr>
    <w:rPr>
      <w:rFonts w:asciiTheme="majorHAnsi" w:eastAsiaTheme="majorEastAsia" w:hAnsiTheme="majorHAnsi" w:cstheme="majorBidi"/>
      <w:b w:val="0"/>
      <w:color w:val="0F4761" w:themeColor="accent1" w:themeShade="BF"/>
      <w:kern w:val="0"/>
      <w:sz w:val="32"/>
      <w:szCs w:val="32"/>
      <w:lang w:eastAsia="fr-CA"/>
    </w:rPr>
  </w:style>
  <w:style w:type="paragraph" w:styleId="TM4">
    <w:name w:val="toc 4"/>
    <w:basedOn w:val="Normal"/>
    <w:next w:val="Normal"/>
    <w:autoRedefine/>
    <w:uiPriority w:val="39"/>
    <w:unhideWhenUsed/>
    <w:rsid w:val="0098012F"/>
    <w:pPr>
      <w:spacing w:after="100" w:line="278" w:lineRule="auto"/>
      <w:ind w:left="720"/>
    </w:pPr>
    <w:rPr>
      <w:rFonts w:asciiTheme="minorHAnsi" w:eastAsiaTheme="minorEastAsia" w:hAnsiTheme="minorHAnsi" w:cstheme="minorBidi"/>
      <w:kern w:val="2"/>
      <w:szCs w:val="24"/>
      <w:lang w:eastAsia="fr-CA"/>
      <w14:ligatures w14:val="standardContextual"/>
    </w:rPr>
  </w:style>
  <w:style w:type="paragraph" w:styleId="TM5">
    <w:name w:val="toc 5"/>
    <w:basedOn w:val="Normal"/>
    <w:next w:val="Normal"/>
    <w:autoRedefine/>
    <w:uiPriority w:val="39"/>
    <w:unhideWhenUsed/>
    <w:rsid w:val="0098012F"/>
    <w:pPr>
      <w:spacing w:after="100" w:line="278" w:lineRule="auto"/>
      <w:ind w:left="960"/>
    </w:pPr>
    <w:rPr>
      <w:rFonts w:asciiTheme="minorHAnsi" w:eastAsiaTheme="minorEastAsia" w:hAnsiTheme="minorHAnsi" w:cstheme="minorBidi"/>
      <w:kern w:val="2"/>
      <w:szCs w:val="24"/>
      <w:lang w:eastAsia="fr-CA"/>
      <w14:ligatures w14:val="standardContextual"/>
    </w:rPr>
  </w:style>
  <w:style w:type="paragraph" w:styleId="TM6">
    <w:name w:val="toc 6"/>
    <w:basedOn w:val="Normal"/>
    <w:next w:val="Normal"/>
    <w:autoRedefine/>
    <w:uiPriority w:val="39"/>
    <w:unhideWhenUsed/>
    <w:rsid w:val="0098012F"/>
    <w:pPr>
      <w:spacing w:after="100" w:line="278" w:lineRule="auto"/>
      <w:ind w:left="1200"/>
    </w:pPr>
    <w:rPr>
      <w:rFonts w:asciiTheme="minorHAnsi" w:eastAsiaTheme="minorEastAsia" w:hAnsiTheme="minorHAnsi" w:cstheme="minorBidi"/>
      <w:kern w:val="2"/>
      <w:szCs w:val="24"/>
      <w:lang w:eastAsia="fr-CA"/>
      <w14:ligatures w14:val="standardContextual"/>
    </w:rPr>
  </w:style>
  <w:style w:type="paragraph" w:styleId="TM7">
    <w:name w:val="toc 7"/>
    <w:basedOn w:val="Normal"/>
    <w:next w:val="Normal"/>
    <w:autoRedefine/>
    <w:uiPriority w:val="39"/>
    <w:unhideWhenUsed/>
    <w:rsid w:val="0098012F"/>
    <w:pPr>
      <w:spacing w:after="100" w:line="278" w:lineRule="auto"/>
      <w:ind w:left="1440"/>
    </w:pPr>
    <w:rPr>
      <w:rFonts w:asciiTheme="minorHAnsi" w:eastAsiaTheme="minorEastAsia" w:hAnsiTheme="minorHAnsi" w:cstheme="minorBidi"/>
      <w:kern w:val="2"/>
      <w:szCs w:val="24"/>
      <w:lang w:eastAsia="fr-CA"/>
      <w14:ligatures w14:val="standardContextual"/>
    </w:rPr>
  </w:style>
  <w:style w:type="paragraph" w:styleId="TM8">
    <w:name w:val="toc 8"/>
    <w:basedOn w:val="Normal"/>
    <w:next w:val="Normal"/>
    <w:autoRedefine/>
    <w:uiPriority w:val="39"/>
    <w:unhideWhenUsed/>
    <w:rsid w:val="0098012F"/>
    <w:pPr>
      <w:spacing w:after="100" w:line="278" w:lineRule="auto"/>
      <w:ind w:left="1680"/>
    </w:pPr>
    <w:rPr>
      <w:rFonts w:asciiTheme="minorHAnsi" w:eastAsiaTheme="minorEastAsia" w:hAnsiTheme="minorHAnsi" w:cstheme="minorBidi"/>
      <w:kern w:val="2"/>
      <w:szCs w:val="24"/>
      <w:lang w:eastAsia="fr-CA"/>
      <w14:ligatures w14:val="standardContextual"/>
    </w:rPr>
  </w:style>
  <w:style w:type="paragraph" w:styleId="TM9">
    <w:name w:val="toc 9"/>
    <w:basedOn w:val="Normal"/>
    <w:next w:val="Normal"/>
    <w:autoRedefine/>
    <w:uiPriority w:val="39"/>
    <w:unhideWhenUsed/>
    <w:rsid w:val="0098012F"/>
    <w:pPr>
      <w:spacing w:after="100" w:line="278" w:lineRule="auto"/>
      <w:ind w:left="1920"/>
    </w:pPr>
    <w:rPr>
      <w:rFonts w:asciiTheme="minorHAnsi" w:eastAsiaTheme="minorEastAsia" w:hAnsiTheme="minorHAnsi" w:cstheme="minorBidi"/>
      <w:kern w:val="2"/>
      <w:szCs w:val="24"/>
      <w:lang w:eastAsia="fr-CA"/>
      <w14:ligatures w14:val="standardContextual"/>
    </w:rPr>
  </w:style>
  <w:style w:type="character" w:customStyle="1" w:styleId="Mentionnonrsolue1">
    <w:name w:val="Mention non résolue1"/>
    <w:basedOn w:val="Policepardfaut"/>
    <w:uiPriority w:val="99"/>
    <w:semiHidden/>
    <w:unhideWhenUsed/>
    <w:rsid w:val="0098012F"/>
    <w:rPr>
      <w:color w:val="605E5C"/>
      <w:shd w:val="clear" w:color="auto" w:fill="E1DFDD"/>
    </w:rPr>
  </w:style>
  <w:style w:type="character" w:customStyle="1" w:styleId="m5tqyf">
    <w:name w:val="m5tqyf"/>
    <w:basedOn w:val="Policepardfaut"/>
    <w:rsid w:val="0024458E"/>
  </w:style>
  <w:style w:type="character" w:customStyle="1" w:styleId="uv3um">
    <w:name w:val="uv3um"/>
    <w:basedOn w:val="Policepardfaut"/>
    <w:rsid w:val="0024458E"/>
  </w:style>
  <w:style w:type="paragraph" w:customStyle="1" w:styleId="Default">
    <w:name w:val="Default"/>
    <w:rsid w:val="009D4AD5"/>
    <w:pPr>
      <w:autoSpaceDE w:val="0"/>
      <w:autoSpaceDN w:val="0"/>
      <w:adjustRightInd w:val="0"/>
    </w:pPr>
    <w:rPr>
      <w:rFonts w:ascii="Arial" w:hAnsi="Arial" w:cs="Arial"/>
      <w:color w:val="000000"/>
      <w:sz w:val="24"/>
      <w:szCs w:val="24"/>
    </w:rPr>
  </w:style>
  <w:style w:type="table" w:customStyle="1" w:styleId="Tramemoyenne2-Accent61">
    <w:name w:val="Trame moyenne 2 - Accent 61"/>
    <w:basedOn w:val="TableauNormal"/>
    <w:next w:val="Tramemoyenne2-Accent6"/>
    <w:uiPriority w:val="64"/>
    <w:rsid w:val="00655203"/>
    <w:rPr>
      <w:rFonts w:ascii="Cambria" w:eastAsia="MS Mincho" w:hAnsi="Cambria"/>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semiHidden/>
    <w:unhideWhenUsed/>
    <w:rsid w:val="00655203"/>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Sansinterligne">
    <w:name w:val="No Spacing"/>
    <w:uiPriority w:val="1"/>
    <w:qFormat/>
    <w:rsid w:val="001B0EBE"/>
    <w:rPr>
      <w:rFonts w:ascii="Cambria" w:eastAsia="MS Mincho" w:hAnsi="Cambria"/>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03B07-124C-4601-BA16-6986879F8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49619</Words>
  <Characters>272909</Characters>
  <Application>Microsoft Office Word</Application>
  <DocSecurity>0</DocSecurity>
  <Lines>2274</Lines>
  <Paragraphs>643</Paragraphs>
  <ScaleCrop>false</ScaleCrop>
  <Company/>
  <LinksUpToDate>false</LinksUpToDate>
  <CharactersWithSpaces>321885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Deschênes, Gabrielle</cp:lastModifiedBy>
  <cp:revision>5</cp:revision>
  <dcterms:created xsi:type="dcterms:W3CDTF">2025-11-20T13:37:00Z</dcterms:created>
  <dcterms:modified xsi:type="dcterms:W3CDTF">2025-11-20T14:19:00Z</dcterms:modified>
</cp:coreProperties>
</file>