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5147AC" w:rsidRPr="005147AC" w14:paraId="13F33551" w14:textId="77777777" w:rsidTr="005147AC">
        <w:trPr>
          <w:trHeight w:val="1786"/>
        </w:trPr>
        <w:tc>
          <w:tcPr>
            <w:tcW w:w="5000" w:type="pct"/>
            <w:gridSpan w:val="4"/>
          </w:tcPr>
          <w:p w14:paraId="73F9DA45" w14:textId="77777777" w:rsidR="005147AC" w:rsidRPr="005147AC" w:rsidRDefault="005147AC" w:rsidP="005147AC">
            <w:pPr>
              <w:jc w:val="center"/>
              <w:rPr>
                <w:b/>
                <w:lang w:val="fr-CA"/>
              </w:rPr>
            </w:pPr>
            <w:r w:rsidRPr="005147AC">
              <w:rPr>
                <w:b/>
                <w:noProof/>
                <w:lang w:val="fr-CA" w:eastAsia="fr-CA"/>
              </w:rPr>
              <w:drawing>
                <wp:inline distT="0" distB="0" distL="0" distR="0" wp14:anchorId="25101C73" wp14:editId="76201CD3">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533784EC" w14:textId="77777777" w:rsidR="005147AC" w:rsidRPr="005147AC" w:rsidRDefault="005147AC" w:rsidP="005147AC">
            <w:pPr>
              <w:spacing w:before="120" w:after="100" w:afterAutospacing="1"/>
              <w:jc w:val="center"/>
              <w:rPr>
                <w:lang w:val="fr-CA"/>
              </w:rPr>
            </w:pPr>
            <w:r w:rsidRPr="005147AC">
              <w:rPr>
                <w:b/>
                <w:lang w:val="fr-CA"/>
              </w:rPr>
              <w:t>COUR SUPRÊME DU CANADA</w:t>
            </w:r>
          </w:p>
        </w:tc>
      </w:tr>
      <w:tr w:rsidR="005147AC" w:rsidRPr="005147AC" w14:paraId="416B2893" w14:textId="77777777" w:rsidTr="005147AC">
        <w:tblPrEx>
          <w:tblCellMar>
            <w:top w:w="58" w:type="dxa"/>
            <w:left w:w="58" w:type="dxa"/>
            <w:bottom w:w="58" w:type="dxa"/>
            <w:right w:w="58" w:type="dxa"/>
          </w:tblCellMar>
        </w:tblPrEx>
        <w:tc>
          <w:tcPr>
            <w:tcW w:w="2110" w:type="pct"/>
            <w:gridSpan w:val="2"/>
          </w:tcPr>
          <w:p w14:paraId="74512742" w14:textId="77777777" w:rsidR="005147AC" w:rsidRPr="005147AC" w:rsidRDefault="005147AC" w:rsidP="005147AC">
            <w:pPr>
              <w:rPr>
                <w:b/>
                <w:smallCaps/>
                <w:lang w:val="fr-CA"/>
              </w:rPr>
            </w:pPr>
          </w:p>
          <w:p w14:paraId="685C1013" w14:textId="77777777" w:rsidR="005147AC" w:rsidRPr="005147AC" w:rsidRDefault="005147AC" w:rsidP="005147AC">
            <w:pPr>
              <w:rPr>
                <w:b/>
                <w:smallCaps/>
                <w:lang w:val="fr-CA"/>
              </w:rPr>
            </w:pPr>
            <w:r w:rsidRPr="005147AC">
              <w:rPr>
                <w:b/>
                <w:smallCaps/>
                <w:lang w:val="fr-CA"/>
              </w:rPr>
              <w:t>Référence :</w:t>
            </w:r>
            <w:r w:rsidRPr="005147AC">
              <w:rPr>
                <w:lang w:val="fr-CA"/>
              </w:rPr>
              <w:t xml:space="preserve"> Dorsey </w:t>
            </w:r>
            <w:r w:rsidRPr="005147AC">
              <w:rPr>
                <w:i/>
                <w:lang w:val="fr-CA"/>
              </w:rPr>
              <w:t xml:space="preserve">c. </w:t>
            </w:r>
            <w:r w:rsidRPr="005147AC">
              <w:rPr>
                <w:lang w:val="fr-CA"/>
              </w:rPr>
              <w:t>Canada (Procureur général), 2025 CSC 38</w:t>
            </w:r>
          </w:p>
        </w:tc>
        <w:tc>
          <w:tcPr>
            <w:tcW w:w="780" w:type="pct"/>
          </w:tcPr>
          <w:p w14:paraId="2EE1A7E8" w14:textId="77777777" w:rsidR="005147AC" w:rsidRPr="005147AC" w:rsidRDefault="005147AC" w:rsidP="005147AC">
            <w:pPr>
              <w:rPr>
                <w:lang w:val="fr-CA"/>
              </w:rPr>
            </w:pPr>
          </w:p>
        </w:tc>
        <w:tc>
          <w:tcPr>
            <w:tcW w:w="2110" w:type="pct"/>
          </w:tcPr>
          <w:p w14:paraId="21F3448D" w14:textId="77777777" w:rsidR="005147AC" w:rsidRPr="005147AC" w:rsidRDefault="005147AC" w:rsidP="005147AC">
            <w:pPr>
              <w:jc w:val="both"/>
              <w:rPr>
                <w:b/>
                <w:smallCaps/>
                <w:lang w:val="fr-CA"/>
              </w:rPr>
            </w:pPr>
          </w:p>
          <w:p w14:paraId="0C99A3D3" w14:textId="77777777" w:rsidR="005147AC" w:rsidRPr="005147AC" w:rsidRDefault="005147AC" w:rsidP="005147AC">
            <w:pPr>
              <w:jc w:val="both"/>
              <w:rPr>
                <w:lang w:val="fr-CA"/>
              </w:rPr>
            </w:pPr>
            <w:r w:rsidRPr="005147AC">
              <w:rPr>
                <w:b/>
                <w:smallCaps/>
                <w:lang w:val="fr-CA"/>
              </w:rPr>
              <w:t>Appel entendu :</w:t>
            </w:r>
            <w:r w:rsidRPr="005147AC">
              <w:rPr>
                <w:lang w:val="fr-CA"/>
              </w:rPr>
              <w:t xml:space="preserve"> 13 mai 2025</w:t>
            </w:r>
          </w:p>
          <w:p w14:paraId="7D2E9DE1" w14:textId="77777777" w:rsidR="005147AC" w:rsidRPr="005147AC" w:rsidRDefault="005147AC" w:rsidP="005147AC">
            <w:pPr>
              <w:rPr>
                <w:lang w:val="fr-CA"/>
              </w:rPr>
            </w:pPr>
            <w:r w:rsidRPr="005147AC">
              <w:rPr>
                <w:b/>
                <w:smallCaps/>
                <w:lang w:val="fr-CA"/>
              </w:rPr>
              <w:t>Jugement rendu :</w:t>
            </w:r>
            <w:r w:rsidRPr="005147AC">
              <w:rPr>
                <w:lang w:val="fr-CA"/>
              </w:rPr>
              <w:t xml:space="preserve"> 21 novembre 2025</w:t>
            </w:r>
          </w:p>
          <w:p w14:paraId="006BC4D7" w14:textId="77777777" w:rsidR="005147AC" w:rsidRPr="005147AC" w:rsidRDefault="005147AC" w:rsidP="005147AC">
            <w:pPr>
              <w:rPr>
                <w:lang w:val="fr-CA"/>
              </w:rPr>
            </w:pPr>
            <w:r w:rsidRPr="005147AC">
              <w:rPr>
                <w:b/>
                <w:smallCaps/>
                <w:lang w:val="fr-CA"/>
              </w:rPr>
              <w:t>Dossier :</w:t>
            </w:r>
            <w:r w:rsidRPr="005147AC">
              <w:rPr>
                <w:lang w:val="fr-CA"/>
              </w:rPr>
              <w:t xml:space="preserve"> 41132</w:t>
            </w:r>
          </w:p>
        </w:tc>
      </w:tr>
      <w:tr w:rsidR="005147AC" w:rsidRPr="005147AC" w14:paraId="6C0B944C" w14:textId="77777777" w:rsidTr="005147AC">
        <w:tblPrEx>
          <w:tblCellMar>
            <w:top w:w="58" w:type="dxa"/>
            <w:left w:w="58" w:type="dxa"/>
            <w:bottom w:w="58" w:type="dxa"/>
            <w:right w:w="58" w:type="dxa"/>
          </w:tblCellMar>
        </w:tblPrEx>
        <w:tc>
          <w:tcPr>
            <w:tcW w:w="5000" w:type="pct"/>
            <w:gridSpan w:val="4"/>
          </w:tcPr>
          <w:p w14:paraId="47005948" w14:textId="77777777" w:rsidR="005147AC" w:rsidRPr="005147AC" w:rsidRDefault="005147AC" w:rsidP="005147AC">
            <w:pPr>
              <w:rPr>
                <w:lang w:val="fr-CA"/>
              </w:rPr>
            </w:pPr>
          </w:p>
          <w:p w14:paraId="736E0834" w14:textId="77777777" w:rsidR="005147AC" w:rsidRPr="005147AC" w:rsidRDefault="005147AC" w:rsidP="005147AC">
            <w:pPr>
              <w:rPr>
                <w:b/>
                <w:smallCaps/>
                <w:lang w:val="fr-CA"/>
              </w:rPr>
            </w:pPr>
            <w:r w:rsidRPr="005147AC">
              <w:rPr>
                <w:b/>
                <w:smallCaps/>
                <w:lang w:val="fr-CA"/>
              </w:rPr>
              <w:t>Entre :</w:t>
            </w:r>
          </w:p>
          <w:p w14:paraId="5F3DA60E" w14:textId="77777777" w:rsidR="005147AC" w:rsidRPr="005147AC" w:rsidRDefault="005147AC" w:rsidP="005147AC">
            <w:pPr>
              <w:rPr>
                <w:lang w:val="fr-CA"/>
              </w:rPr>
            </w:pPr>
          </w:p>
          <w:p w14:paraId="5B1847F8" w14:textId="77777777" w:rsidR="005147AC" w:rsidRPr="005147AC" w:rsidRDefault="005147AC" w:rsidP="005147AC">
            <w:pPr>
              <w:jc w:val="center"/>
              <w:rPr>
                <w:b/>
                <w:lang w:val="fr-CA"/>
              </w:rPr>
            </w:pPr>
            <w:r w:rsidRPr="005147AC">
              <w:rPr>
                <w:b/>
                <w:lang w:val="fr-CA"/>
              </w:rPr>
              <w:t>Frank Dorsey et</w:t>
            </w:r>
          </w:p>
          <w:p w14:paraId="4D8DC99D" w14:textId="77777777" w:rsidR="005147AC" w:rsidRPr="005147AC" w:rsidRDefault="005147AC" w:rsidP="005147AC">
            <w:pPr>
              <w:jc w:val="center"/>
              <w:rPr>
                <w:b/>
                <w:lang w:val="fr-CA"/>
              </w:rPr>
            </w:pPr>
            <w:r w:rsidRPr="005147AC">
              <w:rPr>
                <w:b/>
                <w:lang w:val="fr-CA"/>
              </w:rPr>
              <w:t>Ghassan Salah</w:t>
            </w:r>
          </w:p>
          <w:p w14:paraId="537C61AD" w14:textId="77777777" w:rsidR="005147AC" w:rsidRPr="005147AC" w:rsidRDefault="005147AC" w:rsidP="005147AC">
            <w:pPr>
              <w:jc w:val="center"/>
              <w:rPr>
                <w:lang w:val="fr-CA"/>
              </w:rPr>
            </w:pPr>
            <w:r w:rsidRPr="005147AC">
              <w:rPr>
                <w:lang w:val="fr-CA"/>
              </w:rPr>
              <w:t>Appelants</w:t>
            </w:r>
          </w:p>
          <w:p w14:paraId="65BC1B4A" w14:textId="77777777" w:rsidR="005147AC" w:rsidRPr="005147AC" w:rsidRDefault="005147AC" w:rsidP="005147AC">
            <w:pPr>
              <w:rPr>
                <w:lang w:val="fr-CA"/>
              </w:rPr>
            </w:pPr>
          </w:p>
          <w:p w14:paraId="7C6FBFDE" w14:textId="77777777" w:rsidR="005147AC" w:rsidRPr="005147AC" w:rsidRDefault="005147AC" w:rsidP="005147AC">
            <w:pPr>
              <w:jc w:val="center"/>
              <w:rPr>
                <w:lang w:val="fr-CA"/>
              </w:rPr>
            </w:pPr>
            <w:r w:rsidRPr="005147AC">
              <w:rPr>
                <w:lang w:val="fr-CA"/>
              </w:rPr>
              <w:t>et</w:t>
            </w:r>
          </w:p>
          <w:p w14:paraId="6620AD9E" w14:textId="77777777" w:rsidR="005147AC" w:rsidRPr="005147AC" w:rsidRDefault="005147AC" w:rsidP="005147AC">
            <w:pPr>
              <w:rPr>
                <w:lang w:val="fr-CA"/>
              </w:rPr>
            </w:pPr>
          </w:p>
          <w:p w14:paraId="0EB17DEA" w14:textId="77777777" w:rsidR="005147AC" w:rsidRPr="005147AC" w:rsidRDefault="005147AC" w:rsidP="005147AC">
            <w:pPr>
              <w:jc w:val="center"/>
              <w:rPr>
                <w:b/>
                <w:lang w:val="fr-CA"/>
              </w:rPr>
            </w:pPr>
            <w:r w:rsidRPr="005147AC">
              <w:rPr>
                <w:b/>
                <w:lang w:val="fr-CA"/>
              </w:rPr>
              <w:t>Procureur général du Canada</w:t>
            </w:r>
          </w:p>
          <w:p w14:paraId="4A38229E" w14:textId="77777777" w:rsidR="005147AC" w:rsidRPr="005147AC" w:rsidRDefault="005147AC" w:rsidP="005147AC">
            <w:pPr>
              <w:jc w:val="center"/>
              <w:rPr>
                <w:lang w:val="fr-CA"/>
              </w:rPr>
            </w:pPr>
            <w:r w:rsidRPr="005147AC">
              <w:rPr>
                <w:lang w:val="fr-CA"/>
              </w:rPr>
              <w:t>Intimé</w:t>
            </w:r>
          </w:p>
          <w:p w14:paraId="6694F278" w14:textId="77777777" w:rsidR="005147AC" w:rsidRPr="005147AC" w:rsidRDefault="005147AC" w:rsidP="005147AC">
            <w:pPr>
              <w:rPr>
                <w:lang w:val="fr-CA"/>
              </w:rPr>
            </w:pPr>
          </w:p>
          <w:p w14:paraId="7B26D515" w14:textId="77777777" w:rsidR="005147AC" w:rsidRPr="005147AC" w:rsidRDefault="005147AC" w:rsidP="005147AC">
            <w:pPr>
              <w:jc w:val="center"/>
              <w:rPr>
                <w:lang w:val="fr-CA"/>
              </w:rPr>
            </w:pPr>
            <w:r w:rsidRPr="005147AC">
              <w:rPr>
                <w:lang w:val="fr-CA"/>
              </w:rPr>
              <w:t>- et -</w:t>
            </w:r>
          </w:p>
          <w:p w14:paraId="1BC991A0" w14:textId="77777777" w:rsidR="005147AC" w:rsidRPr="005147AC" w:rsidRDefault="005147AC" w:rsidP="005147AC">
            <w:pPr>
              <w:rPr>
                <w:lang w:val="fr-CA"/>
              </w:rPr>
            </w:pPr>
          </w:p>
          <w:p w14:paraId="1EE45881" w14:textId="77777777" w:rsidR="005147AC" w:rsidRPr="005147AC" w:rsidRDefault="005147AC" w:rsidP="005147AC">
            <w:pPr>
              <w:jc w:val="center"/>
              <w:rPr>
                <w:b/>
                <w:lang w:val="fr-CA"/>
              </w:rPr>
            </w:pPr>
            <w:r w:rsidRPr="005147AC">
              <w:rPr>
                <w:b/>
                <w:lang w:val="fr-CA"/>
              </w:rPr>
              <w:t>Procureur général du Québec,</w:t>
            </w:r>
          </w:p>
          <w:p w14:paraId="39241B3D" w14:textId="77777777" w:rsidR="005147AC" w:rsidRPr="005147AC" w:rsidRDefault="005147AC" w:rsidP="005147AC">
            <w:pPr>
              <w:jc w:val="center"/>
              <w:rPr>
                <w:b/>
                <w:lang w:val="fr-CA"/>
              </w:rPr>
            </w:pPr>
            <w:r w:rsidRPr="005147AC">
              <w:rPr>
                <w:b/>
                <w:lang w:val="fr-CA"/>
              </w:rPr>
              <w:t>procureur général de la Colombie-Britannique,</w:t>
            </w:r>
          </w:p>
          <w:p w14:paraId="3935CCDA" w14:textId="77777777" w:rsidR="005147AC" w:rsidRPr="005147AC" w:rsidRDefault="005147AC" w:rsidP="005147AC">
            <w:pPr>
              <w:jc w:val="center"/>
              <w:rPr>
                <w:b/>
                <w:lang w:val="fr-CA"/>
              </w:rPr>
            </w:pPr>
            <w:r w:rsidRPr="005147AC">
              <w:rPr>
                <w:b/>
                <w:lang w:val="fr-CA"/>
              </w:rPr>
              <w:t>Société John Howard du Canada,</w:t>
            </w:r>
          </w:p>
          <w:p w14:paraId="60008AEE" w14:textId="77777777" w:rsidR="005147AC" w:rsidRPr="005147AC" w:rsidRDefault="005147AC" w:rsidP="005147AC">
            <w:pPr>
              <w:jc w:val="center"/>
              <w:rPr>
                <w:b/>
                <w:lang w:val="fr-CA"/>
              </w:rPr>
            </w:pPr>
            <w:r w:rsidRPr="005147AC">
              <w:rPr>
                <w:b/>
                <w:lang w:val="fr-CA"/>
              </w:rPr>
              <w:t>Conseil canadien pour les réfugiés,</w:t>
            </w:r>
          </w:p>
          <w:p w14:paraId="0FDEAE19" w14:textId="77777777" w:rsidR="005147AC" w:rsidRPr="005147AC" w:rsidRDefault="005147AC" w:rsidP="005147AC">
            <w:pPr>
              <w:jc w:val="center"/>
              <w:rPr>
                <w:b/>
              </w:rPr>
            </w:pPr>
            <w:r w:rsidRPr="005147AC">
              <w:rPr>
                <w:b/>
              </w:rPr>
              <w:t>Alberta Prison Justice Society,</w:t>
            </w:r>
          </w:p>
          <w:p w14:paraId="6CC99C31" w14:textId="77777777" w:rsidR="005147AC" w:rsidRPr="005147AC" w:rsidRDefault="005147AC" w:rsidP="005147AC">
            <w:pPr>
              <w:jc w:val="center"/>
              <w:rPr>
                <w:b/>
              </w:rPr>
            </w:pPr>
            <w:r w:rsidRPr="005147AC">
              <w:rPr>
                <w:b/>
              </w:rPr>
              <w:t>Aboriginal Legal Services,</w:t>
            </w:r>
          </w:p>
          <w:p w14:paraId="0D79FCF7" w14:textId="77777777" w:rsidR="005147AC" w:rsidRPr="005147AC" w:rsidRDefault="005147AC" w:rsidP="005147AC">
            <w:pPr>
              <w:jc w:val="center"/>
              <w:rPr>
                <w:b/>
              </w:rPr>
            </w:pPr>
            <w:r w:rsidRPr="005147AC">
              <w:rPr>
                <w:b/>
              </w:rPr>
              <w:t>West Coast Prison Justice Society,</w:t>
            </w:r>
          </w:p>
          <w:p w14:paraId="1BEA3845" w14:textId="77777777" w:rsidR="005147AC" w:rsidRPr="005147AC" w:rsidRDefault="005147AC" w:rsidP="005147AC">
            <w:pPr>
              <w:jc w:val="center"/>
              <w:rPr>
                <w:b/>
              </w:rPr>
            </w:pPr>
            <w:r w:rsidRPr="005147AC">
              <w:rPr>
                <w:b/>
              </w:rPr>
              <w:t>British Columbia Civil Liberties Association,</w:t>
            </w:r>
          </w:p>
          <w:p w14:paraId="037D6CD0" w14:textId="77777777" w:rsidR="005147AC" w:rsidRPr="005147AC" w:rsidRDefault="005147AC" w:rsidP="005147AC">
            <w:pPr>
              <w:jc w:val="center"/>
              <w:rPr>
                <w:b/>
                <w:lang w:val="fr-CA"/>
              </w:rPr>
            </w:pPr>
            <w:r w:rsidRPr="005147AC">
              <w:rPr>
                <w:b/>
                <w:lang w:val="fr-CA"/>
              </w:rPr>
              <w:t>Association canadienne des sociétés Elizabeth Fry,</w:t>
            </w:r>
          </w:p>
          <w:p w14:paraId="7DC40E72" w14:textId="77777777" w:rsidR="005147AC" w:rsidRPr="005147AC" w:rsidRDefault="005147AC" w:rsidP="005147AC">
            <w:pPr>
              <w:jc w:val="center"/>
              <w:rPr>
                <w:b/>
                <w:lang w:val="fr-CA"/>
              </w:rPr>
            </w:pPr>
            <w:r w:rsidRPr="005147AC">
              <w:rPr>
                <w:b/>
                <w:lang w:val="fr-CA"/>
              </w:rPr>
              <w:t>Association canadienne des avocats et avocates en droit des réfugiés,</w:t>
            </w:r>
          </w:p>
          <w:p w14:paraId="656B3608" w14:textId="77777777" w:rsidR="005147AC" w:rsidRPr="005147AC" w:rsidRDefault="005147AC" w:rsidP="005147AC">
            <w:pPr>
              <w:jc w:val="center"/>
              <w:rPr>
                <w:b/>
              </w:rPr>
            </w:pPr>
            <w:r w:rsidRPr="005147AC">
              <w:rPr>
                <w:b/>
              </w:rPr>
              <w:t>Black Legal Action Centre,</w:t>
            </w:r>
          </w:p>
          <w:p w14:paraId="5D04AC3E" w14:textId="77777777" w:rsidR="005147AC" w:rsidRPr="005147AC" w:rsidRDefault="005147AC" w:rsidP="005147AC">
            <w:pPr>
              <w:jc w:val="center"/>
              <w:rPr>
                <w:b/>
              </w:rPr>
            </w:pPr>
            <w:r w:rsidRPr="005147AC">
              <w:rPr>
                <w:b/>
              </w:rPr>
              <w:t>Pivot Legal Society,</w:t>
            </w:r>
          </w:p>
          <w:p w14:paraId="1750B07A" w14:textId="77777777" w:rsidR="005147AC" w:rsidRPr="005147AC" w:rsidRDefault="005147AC" w:rsidP="005147AC">
            <w:pPr>
              <w:jc w:val="center"/>
              <w:rPr>
                <w:b/>
                <w:lang w:val="fr-CA"/>
              </w:rPr>
            </w:pPr>
            <w:r w:rsidRPr="005147AC">
              <w:rPr>
                <w:b/>
                <w:lang w:val="fr-CA"/>
              </w:rPr>
              <w:t>Margaret Lee Cole,</w:t>
            </w:r>
          </w:p>
          <w:p w14:paraId="0D8EE5A8" w14:textId="77777777" w:rsidR="005147AC" w:rsidRPr="005147AC" w:rsidRDefault="005147AC" w:rsidP="005147AC">
            <w:pPr>
              <w:jc w:val="center"/>
              <w:rPr>
                <w:b/>
                <w:lang w:val="fr-CA"/>
              </w:rPr>
            </w:pPr>
            <w:r w:rsidRPr="005147AC">
              <w:rPr>
                <w:b/>
                <w:lang w:val="fr-CA"/>
              </w:rPr>
              <w:t>Association canadienne des libertés civiles et</w:t>
            </w:r>
          </w:p>
          <w:p w14:paraId="3E0D0D63" w14:textId="77777777" w:rsidR="005147AC" w:rsidRPr="005147AC" w:rsidRDefault="005147AC" w:rsidP="005147AC">
            <w:pPr>
              <w:jc w:val="center"/>
              <w:rPr>
                <w:b/>
                <w:lang w:val="fr-CA"/>
              </w:rPr>
            </w:pPr>
            <w:r w:rsidRPr="005147AC">
              <w:rPr>
                <w:b/>
                <w:lang w:val="fr-CA"/>
              </w:rPr>
              <w:t>Association canadienne du droit carcéral</w:t>
            </w:r>
          </w:p>
          <w:p w14:paraId="15C76104" w14:textId="77777777" w:rsidR="005147AC" w:rsidRPr="005147AC" w:rsidRDefault="005147AC" w:rsidP="005147AC">
            <w:pPr>
              <w:jc w:val="center"/>
              <w:rPr>
                <w:lang w:val="fr-CA"/>
              </w:rPr>
            </w:pPr>
            <w:r w:rsidRPr="005147AC">
              <w:rPr>
                <w:lang w:val="fr-CA"/>
              </w:rPr>
              <w:t>Intervenants</w:t>
            </w:r>
          </w:p>
          <w:p w14:paraId="1CE185F6" w14:textId="77777777" w:rsidR="005147AC" w:rsidRPr="005147AC" w:rsidRDefault="005147AC" w:rsidP="005147AC">
            <w:pPr>
              <w:rPr>
                <w:lang w:val="fr-CA"/>
              </w:rPr>
            </w:pPr>
          </w:p>
          <w:p w14:paraId="12DCE7FD" w14:textId="77777777" w:rsidR="005147AC" w:rsidRPr="005147AC" w:rsidRDefault="005147AC" w:rsidP="005147AC">
            <w:pPr>
              <w:jc w:val="center"/>
              <w:rPr>
                <w:b/>
                <w:smallCaps/>
                <w:lang w:val="fr-CA"/>
              </w:rPr>
            </w:pPr>
            <w:r w:rsidRPr="005147AC">
              <w:rPr>
                <w:b/>
                <w:smallCaps/>
                <w:lang w:val="fr-CA"/>
              </w:rPr>
              <w:t>Traduction française officielle</w:t>
            </w:r>
          </w:p>
          <w:p w14:paraId="3FBCA289" w14:textId="77777777" w:rsidR="005147AC" w:rsidRPr="005147AC" w:rsidRDefault="005147AC" w:rsidP="005147AC">
            <w:pPr>
              <w:rPr>
                <w:lang w:val="fr-CA"/>
              </w:rPr>
            </w:pPr>
          </w:p>
          <w:p w14:paraId="42B44281" w14:textId="77777777" w:rsidR="005147AC" w:rsidRPr="005147AC" w:rsidRDefault="005147AC" w:rsidP="005147AC">
            <w:pPr>
              <w:rPr>
                <w:lang w:val="fr-CA"/>
              </w:rPr>
            </w:pPr>
            <w:r w:rsidRPr="005147AC">
              <w:rPr>
                <w:b/>
                <w:smallCaps/>
                <w:lang w:val="fr-CA"/>
              </w:rPr>
              <w:lastRenderedPageBreak/>
              <w:t>Coram :</w:t>
            </w:r>
            <w:r w:rsidRPr="005147AC">
              <w:rPr>
                <w:lang w:val="fr-CA"/>
              </w:rPr>
              <w:t xml:space="preserve"> Le juge en chef Wagner et les juges Karakatsanis, Côté, Rowe, Martin, Kasirer, Jamal, O’Bonsawin et Moreau</w:t>
            </w:r>
          </w:p>
          <w:p w14:paraId="18681573" w14:textId="77777777" w:rsidR="005147AC" w:rsidRPr="005147AC" w:rsidRDefault="005147AC" w:rsidP="005147AC">
            <w:pPr>
              <w:jc w:val="both"/>
              <w:rPr>
                <w:b/>
                <w:smallCaps/>
                <w:lang w:val="fr-CA"/>
              </w:rPr>
            </w:pPr>
          </w:p>
        </w:tc>
      </w:tr>
      <w:tr w:rsidR="005147AC" w:rsidRPr="005147AC" w14:paraId="235CA8B1" w14:textId="77777777" w:rsidTr="005147AC">
        <w:tblPrEx>
          <w:tblCellMar>
            <w:top w:w="58" w:type="dxa"/>
            <w:left w:w="58" w:type="dxa"/>
            <w:bottom w:w="58" w:type="dxa"/>
            <w:right w:w="58" w:type="dxa"/>
          </w:tblCellMar>
        </w:tblPrEx>
        <w:tc>
          <w:tcPr>
            <w:tcW w:w="1251" w:type="pct"/>
          </w:tcPr>
          <w:p w14:paraId="1345184E" w14:textId="77777777" w:rsidR="005147AC" w:rsidRPr="005147AC" w:rsidRDefault="005147AC" w:rsidP="005147AC">
            <w:pPr>
              <w:rPr>
                <w:b/>
                <w:smallCaps/>
                <w:lang w:val="fr-CA"/>
              </w:rPr>
            </w:pPr>
            <w:r w:rsidRPr="005147AC">
              <w:rPr>
                <w:b/>
                <w:smallCaps/>
                <w:lang w:val="fr-CA"/>
              </w:rPr>
              <w:lastRenderedPageBreak/>
              <w:t>Motifs de jugement :</w:t>
            </w:r>
          </w:p>
          <w:p w14:paraId="5CC22301" w14:textId="77777777" w:rsidR="005147AC" w:rsidRPr="005147AC" w:rsidRDefault="005147AC" w:rsidP="005147AC">
            <w:pPr>
              <w:rPr>
                <w:smallCaps/>
                <w:lang w:val="fr-CA"/>
              </w:rPr>
            </w:pPr>
            <w:r w:rsidRPr="005147AC">
              <w:rPr>
                <w:lang w:val="fr-CA"/>
              </w:rPr>
              <w:t>(par. 1 à 90)</w:t>
            </w:r>
          </w:p>
        </w:tc>
        <w:tc>
          <w:tcPr>
            <w:tcW w:w="3749" w:type="pct"/>
            <w:gridSpan w:val="3"/>
          </w:tcPr>
          <w:p w14:paraId="1EC5BFD2" w14:textId="77777777" w:rsidR="005147AC" w:rsidRPr="005147AC" w:rsidRDefault="005147AC" w:rsidP="005147AC">
            <w:pPr>
              <w:rPr>
                <w:lang w:val="fr-CA"/>
              </w:rPr>
            </w:pPr>
            <w:r w:rsidRPr="005147AC">
              <w:rPr>
                <w:lang w:val="fr-CA"/>
              </w:rPr>
              <w:t>La juge Moreau (avec l’accord du juge en chef Wagner et des juges Karakatsanis, Martin, Kasirer et O’Bonsawin)</w:t>
            </w:r>
          </w:p>
        </w:tc>
      </w:tr>
      <w:tr w:rsidR="005147AC" w:rsidRPr="005147AC" w14:paraId="27358B96" w14:textId="77777777" w:rsidTr="005147AC">
        <w:tblPrEx>
          <w:tblCellMar>
            <w:top w:w="58" w:type="dxa"/>
            <w:left w:w="58" w:type="dxa"/>
            <w:bottom w:w="58" w:type="dxa"/>
            <w:right w:w="58" w:type="dxa"/>
          </w:tblCellMar>
        </w:tblPrEx>
        <w:tc>
          <w:tcPr>
            <w:tcW w:w="1251" w:type="pct"/>
          </w:tcPr>
          <w:p w14:paraId="34C05A21" w14:textId="77777777" w:rsidR="005147AC" w:rsidRPr="005147AC" w:rsidRDefault="005147AC" w:rsidP="005147AC">
            <w:pPr>
              <w:rPr>
                <w:lang w:val="fr-CA"/>
              </w:rPr>
            </w:pPr>
          </w:p>
        </w:tc>
        <w:tc>
          <w:tcPr>
            <w:tcW w:w="3749" w:type="pct"/>
            <w:gridSpan w:val="3"/>
          </w:tcPr>
          <w:p w14:paraId="524E76EF" w14:textId="77777777" w:rsidR="005147AC" w:rsidRPr="005147AC" w:rsidRDefault="005147AC" w:rsidP="005147AC">
            <w:pPr>
              <w:rPr>
                <w:lang w:val="fr-CA"/>
              </w:rPr>
            </w:pPr>
          </w:p>
        </w:tc>
      </w:tr>
      <w:tr w:rsidR="005147AC" w:rsidRPr="005147AC" w14:paraId="09C616E2" w14:textId="77777777" w:rsidTr="005147AC">
        <w:tblPrEx>
          <w:tblCellMar>
            <w:top w:w="58" w:type="dxa"/>
            <w:left w:w="58" w:type="dxa"/>
            <w:bottom w:w="58" w:type="dxa"/>
            <w:right w:w="58" w:type="dxa"/>
          </w:tblCellMar>
        </w:tblPrEx>
        <w:tc>
          <w:tcPr>
            <w:tcW w:w="1251" w:type="pct"/>
          </w:tcPr>
          <w:p w14:paraId="4C38CE63" w14:textId="77777777" w:rsidR="005147AC" w:rsidRPr="005147AC" w:rsidRDefault="005147AC" w:rsidP="005147AC">
            <w:pPr>
              <w:rPr>
                <w:b/>
                <w:bCs/>
                <w:smallCaps/>
                <w:color w:val="000000"/>
                <w:lang w:val="fr-CA"/>
              </w:rPr>
            </w:pPr>
            <w:r w:rsidRPr="005147AC">
              <w:rPr>
                <w:b/>
                <w:bCs/>
                <w:smallCaps/>
                <w:color w:val="000000"/>
                <w:lang w:val="fr-CA"/>
              </w:rPr>
              <w:t>Motifs conjoints dissidents :</w:t>
            </w:r>
          </w:p>
          <w:p w14:paraId="3A527E16" w14:textId="77777777" w:rsidR="005147AC" w:rsidRPr="005147AC" w:rsidRDefault="005147AC" w:rsidP="005147AC">
            <w:pPr>
              <w:rPr>
                <w:lang w:val="fr-CA"/>
              </w:rPr>
            </w:pPr>
            <w:r w:rsidRPr="005147AC">
              <w:rPr>
                <w:lang w:val="fr-CA"/>
              </w:rPr>
              <w:t>(par. 91 à 208)</w:t>
            </w:r>
          </w:p>
        </w:tc>
        <w:tc>
          <w:tcPr>
            <w:tcW w:w="3749" w:type="pct"/>
            <w:gridSpan w:val="3"/>
          </w:tcPr>
          <w:p w14:paraId="09BBEED5" w14:textId="77777777" w:rsidR="005147AC" w:rsidRPr="005147AC" w:rsidRDefault="005147AC" w:rsidP="005147AC">
            <w:pPr>
              <w:rPr>
                <w:lang w:val="fr-CA"/>
              </w:rPr>
            </w:pPr>
            <w:r w:rsidRPr="005147AC">
              <w:rPr>
                <w:lang w:val="fr-CA"/>
              </w:rPr>
              <w:t>Les juges Côté et Rowe (avec l’accord du juge Jamal)</w:t>
            </w:r>
          </w:p>
        </w:tc>
      </w:tr>
    </w:tbl>
    <w:p w14:paraId="0F6883BE" w14:textId="77777777" w:rsidR="005147AC" w:rsidRPr="005147AC" w:rsidRDefault="005147AC" w:rsidP="005147AC">
      <w:pPr>
        <w:rPr>
          <w:rFonts w:eastAsiaTheme="minorHAnsi" w:cstheme="minorBidi"/>
          <w:szCs w:val="24"/>
          <w:lang w:val="fr-CA" w:eastAsia="en-US"/>
        </w:rPr>
      </w:pPr>
    </w:p>
    <w:p w14:paraId="3792C6DF" w14:textId="77777777" w:rsidR="005147AC" w:rsidRPr="005147AC" w:rsidRDefault="005147AC" w:rsidP="005147AC">
      <w:pPr>
        <w:rPr>
          <w:rFonts w:eastAsiaTheme="minorHAnsi" w:cstheme="minorBidi"/>
          <w:szCs w:val="24"/>
          <w:lang w:val="fr-CA" w:eastAsia="en-US"/>
        </w:rPr>
      </w:pPr>
    </w:p>
    <w:p w14:paraId="14E4315B" w14:textId="77777777" w:rsidR="005147AC" w:rsidRPr="005147AC" w:rsidRDefault="005147AC" w:rsidP="005147AC">
      <w:pPr>
        <w:rPr>
          <w:rFonts w:eastAsiaTheme="minorHAnsi" w:cstheme="minorBidi"/>
          <w:szCs w:val="24"/>
          <w:lang w:val="fr-CA" w:eastAsia="en-US"/>
        </w:rPr>
      </w:pPr>
      <w:r w:rsidRPr="005147AC">
        <w:rPr>
          <w:rFonts w:eastAsiaTheme="minorHAnsi" w:cstheme="minorBidi"/>
          <w:b/>
          <w:smallCaps/>
          <w:szCs w:val="24"/>
          <w:lang w:val="fr-CA" w:eastAsia="en-US"/>
        </w:rPr>
        <w:t>Note :</w:t>
      </w:r>
      <w:r w:rsidRPr="005147AC">
        <w:rPr>
          <w:rFonts w:eastAsiaTheme="minorHAnsi" w:cstheme="minorBidi"/>
          <w:b/>
          <w:szCs w:val="24"/>
          <w:lang w:val="fr-CA" w:eastAsia="en-US"/>
        </w:rPr>
        <w:t xml:space="preserve"> </w:t>
      </w:r>
      <w:r w:rsidRPr="005147AC">
        <w:rPr>
          <w:rFonts w:eastAsiaTheme="minorHAnsi" w:cstheme="minorBidi"/>
          <w:szCs w:val="24"/>
          <w:lang w:val="fr-CA" w:eastAsia="en-US"/>
        </w:rPr>
        <w:t xml:space="preserve">Ce document fera l’objet de retouches de forme avant la parution de sa version définitive dans le </w:t>
      </w:r>
      <w:r w:rsidRPr="005147AC">
        <w:rPr>
          <w:rFonts w:eastAsiaTheme="minorHAnsi" w:cstheme="minorBidi"/>
          <w:i/>
          <w:szCs w:val="24"/>
          <w:lang w:val="fr-CA" w:eastAsia="en-US"/>
        </w:rPr>
        <w:t>Recueil des arrêts de la Cour suprême du Canada</w:t>
      </w:r>
      <w:r w:rsidRPr="005147AC">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5147AC" w:rsidRPr="005147AC" w14:paraId="32C6B54C" w14:textId="77777777" w:rsidTr="00DB6239">
        <w:tc>
          <w:tcPr>
            <w:tcW w:w="1500" w:type="pct"/>
            <w:tcMar>
              <w:top w:w="284" w:type="dxa"/>
            </w:tcMar>
          </w:tcPr>
          <w:p w14:paraId="11462975" w14:textId="77777777" w:rsidR="005147AC" w:rsidRPr="005147AC" w:rsidRDefault="005147AC" w:rsidP="005147AC">
            <w:pPr>
              <w:rPr>
                <w:lang w:val="fr-CA"/>
              </w:rPr>
            </w:pPr>
          </w:p>
        </w:tc>
        <w:tc>
          <w:tcPr>
            <w:tcW w:w="2000" w:type="pct"/>
            <w:tcBorders>
              <w:bottom w:val="single" w:sz="4" w:space="0" w:color="auto"/>
            </w:tcBorders>
            <w:tcMar>
              <w:top w:w="284" w:type="dxa"/>
            </w:tcMar>
          </w:tcPr>
          <w:p w14:paraId="4BB12639" w14:textId="77777777" w:rsidR="005147AC" w:rsidRPr="005147AC" w:rsidRDefault="005147AC" w:rsidP="005147AC">
            <w:pPr>
              <w:rPr>
                <w:lang w:val="fr-CA"/>
              </w:rPr>
            </w:pPr>
          </w:p>
        </w:tc>
        <w:tc>
          <w:tcPr>
            <w:tcW w:w="1500" w:type="pct"/>
            <w:tcMar>
              <w:top w:w="284" w:type="dxa"/>
            </w:tcMar>
          </w:tcPr>
          <w:p w14:paraId="661445CD" w14:textId="77777777" w:rsidR="005147AC" w:rsidRPr="005147AC" w:rsidRDefault="005147AC" w:rsidP="005147AC">
            <w:pPr>
              <w:rPr>
                <w:lang w:val="fr-CA"/>
              </w:rPr>
            </w:pPr>
          </w:p>
        </w:tc>
      </w:tr>
    </w:tbl>
    <w:p w14:paraId="0C25E6B3" w14:textId="77777777" w:rsidR="005147AC" w:rsidRPr="005147AC" w:rsidRDefault="005147AC" w:rsidP="005147AC">
      <w:pPr>
        <w:rPr>
          <w:rFonts w:eastAsiaTheme="minorHAnsi" w:cstheme="minorBidi"/>
          <w:szCs w:val="24"/>
          <w:lang w:val="fr-CA" w:eastAsia="en-US"/>
        </w:rPr>
      </w:pPr>
    </w:p>
    <w:p w14:paraId="691BDD80" w14:textId="77777777" w:rsidR="005147AC" w:rsidRPr="005147AC" w:rsidRDefault="005147AC">
      <w:pPr>
        <w:rPr>
          <w:b/>
          <w:lang w:val="fr-CA"/>
        </w:rPr>
      </w:pPr>
      <w:r w:rsidRPr="005147AC">
        <w:rPr>
          <w:lang w:val="fr-CA"/>
        </w:rPr>
        <w:br w:type="page"/>
      </w:r>
    </w:p>
    <w:p w14:paraId="27DF224A" w14:textId="4E9945E9" w:rsidR="00D80C50" w:rsidRPr="005147AC" w:rsidRDefault="00834A74" w:rsidP="00D80C50">
      <w:pPr>
        <w:pStyle w:val="SCCLsocLastPartyInRole"/>
        <w:spacing w:after="0"/>
        <w:rPr>
          <w:lang w:val="fr-CA"/>
        </w:rPr>
      </w:pPr>
      <w:r w:rsidRPr="005147AC">
        <w:rPr>
          <w:lang w:val="fr-CA"/>
        </w:rPr>
        <w:lastRenderedPageBreak/>
        <w:t>F</w:t>
      </w:r>
      <w:r w:rsidR="00B838FE" w:rsidRPr="005147AC">
        <w:rPr>
          <w:lang w:val="fr-CA"/>
        </w:rPr>
        <w:t xml:space="preserve">rank Dorsey </w:t>
      </w:r>
      <w:r w:rsidR="00A01C26" w:rsidRPr="005147AC">
        <w:rPr>
          <w:lang w:val="fr-CA"/>
        </w:rPr>
        <w:t>et</w:t>
      </w:r>
    </w:p>
    <w:p w14:paraId="6F99F2CF" w14:textId="36334B79" w:rsidR="00293480" w:rsidRPr="005147AC" w:rsidRDefault="00B838FE" w:rsidP="00B02886">
      <w:pPr>
        <w:pStyle w:val="SCCLsocLastPartyInRole"/>
        <w:rPr>
          <w:lang w:val="fr-CA"/>
        </w:rPr>
      </w:pPr>
      <w:r w:rsidRPr="005147AC">
        <w:rPr>
          <w:lang w:val="fr-CA"/>
        </w:rPr>
        <w:t>Ghassan Salah</w:t>
      </w:r>
      <w:r w:rsidR="00834A74" w:rsidRPr="005147AC">
        <w:rPr>
          <w:lang w:val="fr-CA"/>
        </w:rPr>
        <w:tab/>
      </w:r>
      <w:r w:rsidR="00834A74" w:rsidRPr="005147AC">
        <w:rPr>
          <w:b w:val="0"/>
          <w:i/>
          <w:lang w:val="fr-CA"/>
        </w:rPr>
        <w:t>Appelants</w:t>
      </w:r>
    </w:p>
    <w:p w14:paraId="0004F33A" w14:textId="77777777" w:rsidR="00293480" w:rsidRPr="005147AC" w:rsidRDefault="00B838FE" w:rsidP="00B02886">
      <w:pPr>
        <w:pStyle w:val="SCCLsocVersus"/>
        <w:rPr>
          <w:lang w:val="fr-CA"/>
        </w:rPr>
      </w:pPr>
      <w:r w:rsidRPr="005147AC">
        <w:rPr>
          <w:lang w:val="fr-CA"/>
        </w:rPr>
        <w:t>c.</w:t>
      </w:r>
    </w:p>
    <w:p w14:paraId="58F3ADA5" w14:textId="77777777" w:rsidR="00293480" w:rsidRPr="005147AC" w:rsidRDefault="00B838FE" w:rsidP="00B02886">
      <w:pPr>
        <w:pStyle w:val="SCCLsocLastPartyInRole"/>
        <w:rPr>
          <w:lang w:val="fr-CA"/>
        </w:rPr>
      </w:pPr>
      <w:r w:rsidRPr="005147AC">
        <w:rPr>
          <w:lang w:val="fr-CA"/>
        </w:rPr>
        <w:t>Procureur général du Canada</w:t>
      </w:r>
      <w:r w:rsidR="00834A74" w:rsidRPr="005147AC">
        <w:rPr>
          <w:lang w:val="fr-CA"/>
        </w:rPr>
        <w:tab/>
      </w:r>
      <w:r w:rsidR="00834A74" w:rsidRPr="005147AC">
        <w:rPr>
          <w:b w:val="0"/>
          <w:i/>
          <w:lang w:val="fr-CA"/>
        </w:rPr>
        <w:t>Intimé</w:t>
      </w:r>
    </w:p>
    <w:p w14:paraId="175967EA" w14:textId="77777777" w:rsidR="00293480" w:rsidRPr="005147AC" w:rsidRDefault="00B838FE" w:rsidP="00B02886">
      <w:pPr>
        <w:pStyle w:val="SCCLsocOtherPartySeparator"/>
        <w:rPr>
          <w:lang w:val="fr-CA"/>
        </w:rPr>
      </w:pPr>
      <w:proofErr w:type="gramStart"/>
      <w:r w:rsidRPr="005147AC">
        <w:rPr>
          <w:lang w:val="fr-CA"/>
        </w:rPr>
        <w:t>et</w:t>
      </w:r>
      <w:proofErr w:type="gramEnd"/>
    </w:p>
    <w:p w14:paraId="5BF43C98" w14:textId="77777777" w:rsidR="00293480" w:rsidRPr="005147AC" w:rsidRDefault="00B838FE">
      <w:pPr>
        <w:pStyle w:val="SCCLsocParty"/>
        <w:rPr>
          <w:lang w:val="fr-CA"/>
        </w:rPr>
      </w:pPr>
      <w:r w:rsidRPr="005147AC">
        <w:rPr>
          <w:lang w:val="fr-CA"/>
        </w:rPr>
        <w:t>Procureur général du Québec,</w:t>
      </w:r>
    </w:p>
    <w:p w14:paraId="43C58316" w14:textId="77777777" w:rsidR="00293480" w:rsidRPr="005147AC" w:rsidRDefault="00834A74">
      <w:pPr>
        <w:pStyle w:val="SCCLsocParty"/>
        <w:rPr>
          <w:lang w:val="fr-CA"/>
        </w:rPr>
      </w:pPr>
      <w:proofErr w:type="gramStart"/>
      <w:r w:rsidRPr="005147AC">
        <w:rPr>
          <w:lang w:val="fr-CA"/>
        </w:rPr>
        <w:t>p</w:t>
      </w:r>
      <w:r w:rsidR="00B838FE" w:rsidRPr="005147AC">
        <w:rPr>
          <w:lang w:val="fr-CA"/>
        </w:rPr>
        <w:t>rocureur</w:t>
      </w:r>
      <w:proofErr w:type="gramEnd"/>
      <w:r w:rsidR="00B838FE" w:rsidRPr="005147AC">
        <w:rPr>
          <w:lang w:val="fr-CA"/>
        </w:rPr>
        <w:t xml:space="preserve"> général de la Colombie-Britannique,</w:t>
      </w:r>
    </w:p>
    <w:p w14:paraId="0B42C41A" w14:textId="77777777" w:rsidR="00834A74" w:rsidRPr="005147AC" w:rsidRDefault="00834A74" w:rsidP="00834A74">
      <w:pPr>
        <w:pStyle w:val="SCCLsocParty"/>
        <w:rPr>
          <w:lang w:val="fr-CA"/>
        </w:rPr>
      </w:pPr>
      <w:r w:rsidRPr="005147AC">
        <w:rPr>
          <w:lang w:val="fr-CA"/>
        </w:rPr>
        <w:t>Société John Howard du Canada,</w:t>
      </w:r>
    </w:p>
    <w:p w14:paraId="1B69DC82" w14:textId="77777777" w:rsidR="00293480" w:rsidRPr="005147AC" w:rsidRDefault="00B838FE">
      <w:pPr>
        <w:pStyle w:val="SCCLsocParty"/>
        <w:rPr>
          <w:lang w:val="fr-CA"/>
        </w:rPr>
      </w:pPr>
      <w:r w:rsidRPr="005147AC">
        <w:rPr>
          <w:lang w:val="fr-CA"/>
        </w:rPr>
        <w:t>Conseil canadien pour les réfugiés,</w:t>
      </w:r>
    </w:p>
    <w:p w14:paraId="473D3082" w14:textId="77777777" w:rsidR="00293480" w:rsidRPr="005147AC" w:rsidRDefault="00B838FE">
      <w:pPr>
        <w:pStyle w:val="SCCLsocParty"/>
      </w:pPr>
      <w:r w:rsidRPr="005147AC">
        <w:t>Alberta Prison Justice Society,</w:t>
      </w:r>
    </w:p>
    <w:p w14:paraId="117AB76F" w14:textId="77777777" w:rsidR="00293480" w:rsidRPr="005147AC" w:rsidRDefault="00B838FE">
      <w:pPr>
        <w:pStyle w:val="SCCLsocParty"/>
      </w:pPr>
      <w:r w:rsidRPr="005147AC">
        <w:t>Aboriginal Legal Services,</w:t>
      </w:r>
    </w:p>
    <w:p w14:paraId="2BDBC663" w14:textId="77777777" w:rsidR="00293480" w:rsidRPr="005147AC" w:rsidRDefault="00B838FE">
      <w:pPr>
        <w:pStyle w:val="SCCLsocParty"/>
      </w:pPr>
      <w:r w:rsidRPr="005147AC">
        <w:t>West Coast Prison Justice Society,</w:t>
      </w:r>
    </w:p>
    <w:p w14:paraId="29568C1F" w14:textId="77777777" w:rsidR="00293480" w:rsidRPr="005147AC" w:rsidRDefault="00B838FE">
      <w:pPr>
        <w:pStyle w:val="SCCLsocParty"/>
      </w:pPr>
      <w:r w:rsidRPr="005147AC">
        <w:t>British Columbia Civil Liberties Association,</w:t>
      </w:r>
    </w:p>
    <w:p w14:paraId="784A5807" w14:textId="19F58E8D" w:rsidR="00293480" w:rsidRPr="005147AC" w:rsidRDefault="00B838FE">
      <w:pPr>
        <w:pStyle w:val="SCCLsocParty"/>
        <w:rPr>
          <w:lang w:val="fr-CA"/>
        </w:rPr>
      </w:pPr>
      <w:r w:rsidRPr="005147AC">
        <w:rPr>
          <w:lang w:val="fr-CA"/>
        </w:rPr>
        <w:t xml:space="preserve">Association canadienne des </w:t>
      </w:r>
      <w:r w:rsidR="00DD0916" w:rsidRPr="005147AC">
        <w:rPr>
          <w:lang w:val="fr-CA"/>
        </w:rPr>
        <w:t>s</w:t>
      </w:r>
      <w:r w:rsidRPr="005147AC">
        <w:rPr>
          <w:lang w:val="fr-CA"/>
        </w:rPr>
        <w:t>ociétés Elizabeth Fry,</w:t>
      </w:r>
    </w:p>
    <w:p w14:paraId="571FEB6B" w14:textId="77777777" w:rsidR="00293480" w:rsidRPr="005147AC" w:rsidRDefault="00B838FE">
      <w:pPr>
        <w:pStyle w:val="SCCLsocParty"/>
        <w:rPr>
          <w:lang w:val="fr-CA"/>
        </w:rPr>
      </w:pPr>
      <w:r w:rsidRPr="005147AC">
        <w:rPr>
          <w:lang w:val="fr-CA"/>
        </w:rPr>
        <w:t>Association canadienne des avocats et avocates en droit des réfugiés,</w:t>
      </w:r>
    </w:p>
    <w:p w14:paraId="7E9750D8" w14:textId="77777777" w:rsidR="00293480" w:rsidRPr="005147AC" w:rsidRDefault="00B838FE">
      <w:pPr>
        <w:pStyle w:val="SCCLsocParty"/>
      </w:pPr>
      <w:r w:rsidRPr="005147AC">
        <w:t>Black Legal Action Centre,</w:t>
      </w:r>
    </w:p>
    <w:p w14:paraId="0E055AAB" w14:textId="77777777" w:rsidR="00293480" w:rsidRPr="005147AC" w:rsidRDefault="00B838FE">
      <w:pPr>
        <w:pStyle w:val="SCCLsocParty"/>
      </w:pPr>
      <w:r w:rsidRPr="005147AC">
        <w:t>Pivot Legal Society,</w:t>
      </w:r>
    </w:p>
    <w:p w14:paraId="7E7410AF" w14:textId="77777777" w:rsidR="00293480" w:rsidRPr="005147AC" w:rsidRDefault="00B838FE">
      <w:pPr>
        <w:pStyle w:val="SCCLsocParty"/>
        <w:rPr>
          <w:lang w:val="fr-CA"/>
        </w:rPr>
      </w:pPr>
      <w:r w:rsidRPr="005147AC">
        <w:rPr>
          <w:lang w:val="fr-CA"/>
        </w:rPr>
        <w:t>Margaret Lee Cole,</w:t>
      </w:r>
    </w:p>
    <w:p w14:paraId="45B0FD1D" w14:textId="77777777" w:rsidR="00293480" w:rsidRPr="005147AC" w:rsidRDefault="00B838FE">
      <w:pPr>
        <w:pStyle w:val="SCCLsocParty"/>
        <w:rPr>
          <w:lang w:val="fr-CA"/>
        </w:rPr>
      </w:pPr>
      <w:r w:rsidRPr="005147AC">
        <w:rPr>
          <w:lang w:val="fr-CA"/>
        </w:rPr>
        <w:t>Association canadienne</w:t>
      </w:r>
      <w:r w:rsidR="00834A74" w:rsidRPr="005147AC">
        <w:rPr>
          <w:lang w:val="fr-CA"/>
        </w:rPr>
        <w:t xml:space="preserve"> des libertés civiles et</w:t>
      </w:r>
    </w:p>
    <w:p w14:paraId="31EB1EF9" w14:textId="77777777" w:rsidR="00293480" w:rsidRPr="005147AC" w:rsidRDefault="00B838FE" w:rsidP="00B02886">
      <w:pPr>
        <w:pStyle w:val="SCCLsocLastPartyInRole"/>
        <w:rPr>
          <w:lang w:val="fr-CA"/>
        </w:rPr>
      </w:pPr>
      <w:r w:rsidRPr="005147AC">
        <w:rPr>
          <w:lang w:val="fr-CA"/>
        </w:rPr>
        <w:t>Association canadienne du droit carcéral</w:t>
      </w:r>
      <w:r w:rsidR="00834A74" w:rsidRPr="005147AC">
        <w:rPr>
          <w:lang w:val="fr-CA"/>
        </w:rPr>
        <w:tab/>
      </w:r>
      <w:r w:rsidR="00834A74" w:rsidRPr="005147AC">
        <w:rPr>
          <w:b w:val="0"/>
          <w:i/>
          <w:lang w:val="fr-CA"/>
        </w:rPr>
        <w:t>Intervenants</w:t>
      </w:r>
    </w:p>
    <w:p w14:paraId="5371A9C9" w14:textId="77777777" w:rsidR="004D7D95" w:rsidRPr="005147AC" w:rsidRDefault="004D7D95" w:rsidP="00B02886">
      <w:pPr>
        <w:spacing w:after="720"/>
        <w:jc w:val="both"/>
        <w:rPr>
          <w:b/>
          <w:lang w:val="fr-CA"/>
        </w:rPr>
      </w:pPr>
      <w:r w:rsidRPr="005147AC">
        <w:rPr>
          <w:b/>
          <w:lang w:val="fr-CA"/>
        </w:rPr>
        <w:t>Répertorié :</w:t>
      </w:r>
      <w:r w:rsidR="00834A74" w:rsidRPr="005147AC">
        <w:rPr>
          <w:b/>
          <w:lang w:val="fr-CA"/>
        </w:rPr>
        <w:t xml:space="preserve"> Dorsey </w:t>
      </w:r>
      <w:r w:rsidR="00834A74" w:rsidRPr="005147AC">
        <w:rPr>
          <w:b/>
          <w:i/>
          <w:lang w:val="fr-CA"/>
        </w:rPr>
        <w:t xml:space="preserve">c. </w:t>
      </w:r>
      <w:r w:rsidR="00834A74" w:rsidRPr="005147AC">
        <w:rPr>
          <w:b/>
          <w:lang w:val="fr-CA"/>
        </w:rPr>
        <w:t>Canada (Procureur général)</w:t>
      </w:r>
    </w:p>
    <w:p w14:paraId="67CB1218" w14:textId="56575CCB" w:rsidR="004D7D95" w:rsidRPr="005147AC" w:rsidRDefault="00AE0196" w:rsidP="00B02886">
      <w:pPr>
        <w:pStyle w:val="SCCSystemYear"/>
        <w:spacing w:after="720"/>
        <w:jc w:val="both"/>
        <w:rPr>
          <w:lang w:val="fr-CA"/>
        </w:rPr>
      </w:pPr>
      <w:r w:rsidRPr="005147AC">
        <w:rPr>
          <w:lang w:val="fr-CA"/>
        </w:rPr>
        <w:t>2025</w:t>
      </w:r>
      <w:r w:rsidR="004D7D95" w:rsidRPr="005147AC">
        <w:rPr>
          <w:lang w:val="fr-CA"/>
        </w:rPr>
        <w:t xml:space="preserve"> CSC</w:t>
      </w:r>
      <w:r w:rsidR="00EE3309" w:rsidRPr="005147AC">
        <w:rPr>
          <w:lang w:val="fr-CA"/>
        </w:rPr>
        <w:t xml:space="preserve"> </w:t>
      </w:r>
      <w:r w:rsidR="00C30978" w:rsidRPr="005147AC">
        <w:rPr>
          <w:szCs w:val="24"/>
          <w:lang w:val="fr-CA"/>
        </w:rPr>
        <w:t>38</w:t>
      </w:r>
    </w:p>
    <w:p w14:paraId="3BE054F0" w14:textId="77777777" w:rsidR="004D7D95" w:rsidRPr="005147AC" w:rsidRDefault="004D7D95" w:rsidP="00B02886">
      <w:pPr>
        <w:spacing w:after="720"/>
        <w:jc w:val="both"/>
        <w:rPr>
          <w:lang w:val="fr-CA"/>
        </w:rPr>
      </w:pPr>
      <w:r w:rsidRPr="005147AC">
        <w:rPr>
          <w:lang w:val="fr-CA"/>
        </w:rPr>
        <w:t>N</w:t>
      </w:r>
      <w:r w:rsidRPr="005147AC">
        <w:rPr>
          <w:vertAlign w:val="superscript"/>
          <w:lang w:val="fr-CA"/>
        </w:rPr>
        <w:t>o</w:t>
      </w:r>
      <w:r w:rsidRPr="005147AC">
        <w:rPr>
          <w:lang w:val="fr-CA"/>
        </w:rPr>
        <w:t xml:space="preserve"> du greffe : 41132.</w:t>
      </w:r>
    </w:p>
    <w:p w14:paraId="1FE8CAE5" w14:textId="6EA3F51B" w:rsidR="004D7D95" w:rsidRPr="005147AC" w:rsidRDefault="00834A74" w:rsidP="00B02886">
      <w:pPr>
        <w:spacing w:after="720"/>
        <w:jc w:val="both"/>
        <w:rPr>
          <w:lang w:val="fr-CA"/>
        </w:rPr>
      </w:pPr>
      <w:r w:rsidRPr="005147AC">
        <w:rPr>
          <w:lang w:val="fr-CA"/>
        </w:rPr>
        <w:t>2025 :</w:t>
      </w:r>
      <w:r w:rsidR="00B02886" w:rsidRPr="005147AC">
        <w:rPr>
          <w:lang w:val="fr-CA"/>
        </w:rPr>
        <w:t> 13 </w:t>
      </w:r>
      <w:r w:rsidR="00AE0196" w:rsidRPr="005147AC">
        <w:rPr>
          <w:lang w:val="fr-CA"/>
        </w:rPr>
        <w:t>mai</w:t>
      </w:r>
      <w:r w:rsidR="004D7D95" w:rsidRPr="005147AC">
        <w:rPr>
          <w:lang w:val="fr-CA"/>
        </w:rPr>
        <w:t xml:space="preserve">; </w:t>
      </w:r>
      <w:r w:rsidR="00836992" w:rsidRPr="005147AC">
        <w:rPr>
          <w:lang w:val="fr-CA"/>
        </w:rPr>
        <w:t>2025 : 21 </w:t>
      </w:r>
      <w:r w:rsidR="007C7B60" w:rsidRPr="005147AC">
        <w:rPr>
          <w:lang w:val="fr-CA"/>
        </w:rPr>
        <w:t>novembre</w:t>
      </w:r>
      <w:r w:rsidR="004D7D95" w:rsidRPr="005147AC">
        <w:rPr>
          <w:lang w:val="fr-CA"/>
        </w:rPr>
        <w:t>.</w:t>
      </w:r>
    </w:p>
    <w:p w14:paraId="1D83DEC0" w14:textId="77777777" w:rsidR="004D7D95" w:rsidRPr="005147AC" w:rsidRDefault="004D7D95" w:rsidP="00B02886">
      <w:pPr>
        <w:spacing w:after="720"/>
        <w:jc w:val="both"/>
        <w:rPr>
          <w:lang w:val="fr-CA"/>
        </w:rPr>
      </w:pPr>
      <w:r w:rsidRPr="005147AC">
        <w:rPr>
          <w:lang w:val="fr-CA"/>
        </w:rPr>
        <w:lastRenderedPageBreak/>
        <w:t>Présents : Le juge en chef Wagner et les juges Karakatsanis, Côté, Rowe, Martin, Kasirer, Jamal, O</w:t>
      </w:r>
      <w:r w:rsidR="00834A74" w:rsidRPr="005147AC">
        <w:rPr>
          <w:lang w:val="fr-CA"/>
        </w:rPr>
        <w:t>’</w:t>
      </w:r>
      <w:r w:rsidRPr="005147AC">
        <w:rPr>
          <w:lang w:val="fr-CA"/>
        </w:rPr>
        <w:t>Bonsawin et Moreau.</w:t>
      </w:r>
    </w:p>
    <w:p w14:paraId="269E8209" w14:textId="77777777" w:rsidR="000F4A6C" w:rsidRPr="005147AC" w:rsidRDefault="000F4A6C" w:rsidP="000F4A6C">
      <w:pPr>
        <w:spacing w:after="720"/>
        <w:jc w:val="both"/>
        <w:rPr>
          <w:smallCaps/>
          <w:lang w:val="fr-CA"/>
        </w:rPr>
      </w:pPr>
      <w:r w:rsidRPr="005147AC">
        <w:rPr>
          <w:smallCaps/>
          <w:lang w:val="fr-CA"/>
        </w:rPr>
        <w:t>en appel de la cour d’appel de l’ontario</w:t>
      </w:r>
    </w:p>
    <w:p w14:paraId="29EF6505" w14:textId="68EC11C8" w:rsidR="000F4A6C" w:rsidRPr="005147AC" w:rsidRDefault="000F4A6C" w:rsidP="000F4A6C">
      <w:pPr>
        <w:pStyle w:val="SCCNormalKeyWords"/>
        <w:spacing w:after="480"/>
        <w:rPr>
          <w:szCs w:val="24"/>
        </w:rPr>
      </w:pPr>
      <w:r w:rsidRPr="005147AC">
        <w:tab/>
      </w:r>
      <w:r w:rsidRPr="005147AC">
        <w:rPr>
          <w:szCs w:val="24"/>
        </w:rPr>
        <w:t xml:space="preserve">Brefs de prérogative — </w:t>
      </w:r>
      <w:r w:rsidRPr="005147AC">
        <w:rPr>
          <w:szCs w:val="24"/>
          <w:lang w:bidi="en-US"/>
        </w:rPr>
        <w:t>Habeas corpus</w:t>
      </w:r>
      <w:r w:rsidRPr="005147AC">
        <w:rPr>
          <w:szCs w:val="24"/>
        </w:rPr>
        <w:t xml:space="preserve"> — </w:t>
      </w:r>
      <w:r w:rsidR="003845A1" w:rsidRPr="005147AC">
        <w:rPr>
          <w:szCs w:val="24"/>
        </w:rPr>
        <w:t>Ouverture du recours</w:t>
      </w:r>
      <w:r w:rsidRPr="005147AC">
        <w:rPr>
          <w:szCs w:val="24"/>
        </w:rPr>
        <w:t xml:space="preserve"> — Privation de liberté — Détenu — Modification de la cote de sécurité et transfèrement dans un établissement à sécurité moins élevée — Est</w:t>
      </w:r>
      <w:r w:rsidRPr="005147AC">
        <w:rPr>
          <w:szCs w:val="24"/>
        </w:rPr>
        <w:noBreakHyphen/>
        <w:t>il possible de recourir au bref d’</w:t>
      </w:r>
      <w:r w:rsidRPr="005147AC">
        <w:rPr>
          <w:szCs w:val="24"/>
          <w:lang w:bidi="en-US"/>
        </w:rPr>
        <w:t xml:space="preserve">habeas corpus pour contester le refus des autorités carcérales de modifier la cote de sécurité d’un détenu et de le transférer dans un établissement à sécurité moins élevée? </w:t>
      </w:r>
    </w:p>
    <w:p w14:paraId="60032ACF" w14:textId="34B550F8" w:rsidR="000F4A6C" w:rsidRPr="005147AC" w:rsidRDefault="000F4A6C" w:rsidP="000F4A6C">
      <w:pPr>
        <w:pStyle w:val="SCCNormalDoubleSpacing"/>
        <w:spacing w:after="480"/>
        <w:rPr>
          <w:szCs w:val="24"/>
          <w:lang w:val="fr-CA" w:bidi="en-US"/>
        </w:rPr>
      </w:pPr>
      <w:r w:rsidRPr="005147AC">
        <w:rPr>
          <w:szCs w:val="24"/>
          <w:lang w:val="fr-CA"/>
        </w:rPr>
        <w:tab/>
        <w:t xml:space="preserve">Deux détenus fédéraux </w:t>
      </w:r>
      <w:r w:rsidRPr="005147AC">
        <w:rPr>
          <w:lang w:val="fr-CA"/>
        </w:rPr>
        <w:t>on</w:t>
      </w:r>
      <w:r w:rsidR="009B02E7" w:rsidRPr="005147AC">
        <w:rPr>
          <w:lang w:val="fr-CA"/>
        </w:rPr>
        <w:t>t demandé à être transférés d’</w:t>
      </w:r>
      <w:r w:rsidRPr="005147AC">
        <w:rPr>
          <w:lang w:val="fr-CA"/>
        </w:rPr>
        <w:t>établissement</w:t>
      </w:r>
      <w:r w:rsidR="009B02E7" w:rsidRPr="005147AC">
        <w:rPr>
          <w:lang w:val="fr-CA"/>
        </w:rPr>
        <w:t>s</w:t>
      </w:r>
      <w:r w:rsidRPr="005147AC">
        <w:rPr>
          <w:lang w:val="fr-CA"/>
        </w:rPr>
        <w:t xml:space="preserve"> à sécurité moyenne vers </w:t>
      </w:r>
      <w:r w:rsidR="009B02E7" w:rsidRPr="005147AC">
        <w:rPr>
          <w:lang w:val="fr-CA"/>
        </w:rPr>
        <w:t>des</w:t>
      </w:r>
      <w:r w:rsidRPr="005147AC">
        <w:rPr>
          <w:lang w:val="fr-CA"/>
        </w:rPr>
        <w:t xml:space="preserve"> établissement</w:t>
      </w:r>
      <w:r w:rsidR="009B02E7" w:rsidRPr="005147AC">
        <w:rPr>
          <w:lang w:val="fr-CA"/>
        </w:rPr>
        <w:t>s</w:t>
      </w:r>
      <w:r w:rsidRPr="005147AC">
        <w:rPr>
          <w:lang w:val="fr-CA"/>
        </w:rPr>
        <w:t xml:space="preserve"> à sécurité minimale. Même s’ils </w:t>
      </w:r>
      <w:r w:rsidR="009B02E7" w:rsidRPr="005147AC">
        <w:rPr>
          <w:lang w:val="fr-CA"/>
        </w:rPr>
        <w:t>faisaient l’objet de</w:t>
      </w:r>
      <w:r w:rsidRPr="005147AC">
        <w:rPr>
          <w:lang w:val="fr-CA"/>
        </w:rPr>
        <w:t xml:space="preserve"> recommandation</w:t>
      </w:r>
      <w:r w:rsidR="009B02E7" w:rsidRPr="005147AC">
        <w:rPr>
          <w:lang w:val="fr-CA"/>
        </w:rPr>
        <w:t>s</w:t>
      </w:r>
      <w:r w:rsidRPr="005147AC">
        <w:rPr>
          <w:lang w:val="fr-CA"/>
        </w:rPr>
        <w:t xml:space="preserve"> en vue de l’attribution d’une cote de sécurité inférieure et d’un transfèrement vers </w:t>
      </w:r>
      <w:r w:rsidR="009B02E7" w:rsidRPr="005147AC">
        <w:rPr>
          <w:lang w:val="fr-CA"/>
        </w:rPr>
        <w:t>des</w:t>
      </w:r>
      <w:r w:rsidRPr="005147AC">
        <w:rPr>
          <w:lang w:val="fr-CA"/>
        </w:rPr>
        <w:t xml:space="preserve"> établissement</w:t>
      </w:r>
      <w:r w:rsidR="009B02E7" w:rsidRPr="005147AC">
        <w:rPr>
          <w:lang w:val="fr-CA"/>
        </w:rPr>
        <w:t>s</w:t>
      </w:r>
      <w:r w:rsidRPr="005147AC">
        <w:rPr>
          <w:lang w:val="fr-CA"/>
        </w:rPr>
        <w:t xml:space="preserve"> à sécurité minimale, dans chaque cas, un décideur administratif a refusé de modifier leur cote de sécurité. Les deux </w:t>
      </w:r>
      <w:r w:rsidR="009B02E7" w:rsidRPr="005147AC">
        <w:rPr>
          <w:lang w:val="fr-CA"/>
        </w:rPr>
        <w:t>détenus</w:t>
      </w:r>
      <w:r w:rsidRPr="005147AC">
        <w:rPr>
          <w:lang w:val="fr-CA"/>
        </w:rPr>
        <w:t xml:space="preserve"> ont présenté des requêtes en </w:t>
      </w:r>
      <w:r w:rsidRPr="005147AC">
        <w:rPr>
          <w:i/>
          <w:iCs/>
          <w:lang w:val="fr-CA"/>
        </w:rPr>
        <w:t>habeas corpus ad subjiciendum</w:t>
      </w:r>
      <w:r w:rsidRPr="005147AC">
        <w:rPr>
          <w:lang w:val="fr-CA"/>
        </w:rPr>
        <w:t xml:space="preserve"> avec </w:t>
      </w:r>
      <w:r w:rsidRPr="005147AC">
        <w:rPr>
          <w:i/>
          <w:iCs/>
          <w:lang w:val="fr-CA"/>
        </w:rPr>
        <w:t xml:space="preserve">certiorari </w:t>
      </w:r>
      <w:r w:rsidRPr="005147AC">
        <w:rPr>
          <w:iCs/>
          <w:lang w:val="fr-CA"/>
        </w:rPr>
        <w:t>auxiliaire</w:t>
      </w:r>
      <w:r w:rsidRPr="005147AC">
        <w:rPr>
          <w:lang w:val="fr-CA"/>
        </w:rPr>
        <w:t xml:space="preserve">, </w:t>
      </w:r>
      <w:r w:rsidR="003845A1" w:rsidRPr="005147AC">
        <w:rPr>
          <w:lang w:val="fr-CA"/>
        </w:rPr>
        <w:t>sollicitant</w:t>
      </w:r>
      <w:r w:rsidRPr="005147AC">
        <w:rPr>
          <w:lang w:val="fr-CA"/>
        </w:rPr>
        <w:t xml:space="preserve"> des ordonnances portant qu’ils soient transférés dans des établissements à sécurité minimale ou que leur maintien en détention dans des établissements à sécurité moyenne soit justifié</w:t>
      </w:r>
      <w:r w:rsidRPr="005147AC">
        <w:rPr>
          <w:szCs w:val="24"/>
          <w:lang w:val="fr-CA" w:bidi="en-US"/>
        </w:rPr>
        <w:t xml:space="preserve">. </w:t>
      </w:r>
    </w:p>
    <w:p w14:paraId="748E37AA" w14:textId="3ECD7112" w:rsidR="000F4A6C" w:rsidRPr="005147AC" w:rsidRDefault="000F4A6C" w:rsidP="000F4A6C">
      <w:pPr>
        <w:pStyle w:val="SCCNormalDoubleSpacing"/>
        <w:spacing w:after="480"/>
        <w:rPr>
          <w:szCs w:val="24"/>
          <w:lang w:val="fr-CA"/>
        </w:rPr>
      </w:pPr>
      <w:r w:rsidRPr="005147AC">
        <w:rPr>
          <w:szCs w:val="24"/>
          <w:lang w:val="fr-CA" w:bidi="en-US"/>
        </w:rPr>
        <w:tab/>
        <w:t>L</w:t>
      </w:r>
      <w:r w:rsidRPr="005147AC">
        <w:rPr>
          <w:lang w:val="fr-CA"/>
        </w:rPr>
        <w:t>es requêtes des détenus ont été jointes dans le but limité de trancher une question de dro</w:t>
      </w:r>
      <w:r w:rsidR="009B02E7" w:rsidRPr="005147AC">
        <w:rPr>
          <w:lang w:val="fr-CA"/>
        </w:rPr>
        <w:t>it préliminaire commune : E</w:t>
      </w:r>
      <w:r w:rsidRPr="005147AC">
        <w:rPr>
          <w:lang w:val="fr-CA"/>
        </w:rPr>
        <w:t>st</w:t>
      </w:r>
      <w:r w:rsidRPr="005147AC">
        <w:rPr>
          <w:lang w:val="fr-CA"/>
        </w:rPr>
        <w:noBreakHyphen/>
        <w:t>il possible de recourir à l’</w:t>
      </w:r>
      <w:r w:rsidRPr="005147AC">
        <w:rPr>
          <w:i/>
          <w:lang w:val="fr-CA"/>
        </w:rPr>
        <w:t>habeas corpus</w:t>
      </w:r>
      <w:r w:rsidRPr="005147AC">
        <w:rPr>
          <w:lang w:val="fr-CA"/>
        </w:rPr>
        <w:t xml:space="preserve"> pour contester le refus de transférer un détenu dans un établissement à sécurité moins </w:t>
      </w:r>
      <w:r w:rsidRPr="005147AC">
        <w:rPr>
          <w:lang w:val="fr-CA"/>
        </w:rPr>
        <w:lastRenderedPageBreak/>
        <w:t xml:space="preserve">élevée? La juge de première instance a conclu que la situation des détenus ne relevait pas de la troisième catégorie — la continuation d’une privation de liberté qui est devenue illicite — énoncée dans l’arrêt </w:t>
      </w:r>
      <w:r w:rsidRPr="005147AC">
        <w:rPr>
          <w:i/>
          <w:spacing w:val="-3"/>
          <w:lang w:val="fr-CA"/>
        </w:rPr>
        <w:t xml:space="preserve">Dumas </w:t>
      </w:r>
      <w:r w:rsidRPr="005147AC">
        <w:rPr>
          <w:i/>
          <w:iCs/>
          <w:spacing w:val="-3"/>
          <w:lang w:val="fr-CA"/>
        </w:rPr>
        <w:t>c.</w:t>
      </w:r>
      <w:r w:rsidRPr="005147AC">
        <w:rPr>
          <w:i/>
          <w:spacing w:val="-3"/>
          <w:lang w:val="fr-CA"/>
        </w:rPr>
        <w:t xml:space="preserve"> Centre de détention Leclerc</w:t>
      </w:r>
      <w:r w:rsidRPr="005147AC">
        <w:rPr>
          <w:spacing w:val="-3"/>
          <w:lang w:val="fr-CA"/>
        </w:rPr>
        <w:t xml:space="preserve">, [1986] 2 R.C.S. 459. Elle </w:t>
      </w:r>
      <w:r w:rsidRPr="005147AC">
        <w:rPr>
          <w:lang w:val="fr-CA"/>
        </w:rPr>
        <w:t xml:space="preserve">s’est dite convaincue que la liberté résiduelle des détenus n’avait pas été réduite, étant donné qu’il n’y avait eu aucun changement </w:t>
      </w:r>
      <w:r w:rsidR="009B02E7" w:rsidRPr="005147AC">
        <w:rPr>
          <w:lang w:val="fr-CA"/>
        </w:rPr>
        <w:t>dans le</w:t>
      </w:r>
      <w:r w:rsidRPr="005147AC">
        <w:rPr>
          <w:lang w:val="fr-CA"/>
        </w:rPr>
        <w:t xml:space="preserve"> statu quo; ils ne pouvaient donc pas recourir à l’</w:t>
      </w:r>
      <w:r w:rsidRPr="005147AC">
        <w:rPr>
          <w:i/>
          <w:lang w:val="fr-CA"/>
        </w:rPr>
        <w:t>habeas</w:t>
      </w:r>
      <w:r w:rsidR="00EE3309" w:rsidRPr="005147AC">
        <w:rPr>
          <w:i/>
          <w:lang w:val="fr-CA"/>
        </w:rPr>
        <w:t xml:space="preserve"> </w:t>
      </w:r>
      <w:r w:rsidRPr="005147AC">
        <w:rPr>
          <w:i/>
          <w:lang w:val="fr-CA"/>
        </w:rPr>
        <w:t>corpus</w:t>
      </w:r>
      <w:r w:rsidRPr="005147AC">
        <w:rPr>
          <w:szCs w:val="24"/>
          <w:lang w:val="fr-CA" w:bidi="en-US"/>
        </w:rPr>
        <w:t>. La Cour d’appel a rejeté l’appel des détenus.</w:t>
      </w:r>
      <w:r w:rsidRPr="005147AC">
        <w:rPr>
          <w:szCs w:val="24"/>
          <w:lang w:val="fr-CA"/>
        </w:rPr>
        <w:t xml:space="preserve"> </w:t>
      </w:r>
      <w:r w:rsidR="009B02E7" w:rsidRPr="005147AC">
        <w:rPr>
          <w:lang w:val="fr-CA"/>
        </w:rPr>
        <w:t>Les juges majoritaires ont</w:t>
      </w:r>
      <w:r w:rsidRPr="005147AC">
        <w:rPr>
          <w:lang w:val="fr-CA"/>
        </w:rPr>
        <w:t xml:space="preserve"> statué que la troisième catégorie de l’arrêt </w:t>
      </w:r>
      <w:r w:rsidRPr="005147AC">
        <w:rPr>
          <w:i/>
          <w:iCs/>
          <w:lang w:val="fr-CA"/>
        </w:rPr>
        <w:t>Dumas</w:t>
      </w:r>
      <w:r w:rsidRPr="005147AC">
        <w:rPr>
          <w:lang w:val="fr-CA"/>
        </w:rPr>
        <w:t xml:space="preserve"> ne pouvait être invoquée que si le détenu acquérait le droit à une plus grande liberté que celle que lui conférait son maintien en détention, et que les détenus ne pouvaient se prévaloir de cette catégorie que s’ils s’étaient vu attribuer </w:t>
      </w:r>
      <w:r w:rsidR="009B02E7" w:rsidRPr="005147AC">
        <w:rPr>
          <w:lang w:val="fr-CA"/>
        </w:rPr>
        <w:t>ce statut</w:t>
      </w:r>
      <w:r w:rsidRPr="005147AC">
        <w:rPr>
          <w:lang w:val="fr-CA"/>
        </w:rPr>
        <w:t xml:space="preserve"> et n’avaient pas été transférés</w:t>
      </w:r>
      <w:r w:rsidRPr="005147AC">
        <w:rPr>
          <w:szCs w:val="24"/>
          <w:lang w:val="fr-CA" w:bidi="en-US"/>
        </w:rPr>
        <w:t xml:space="preserve">. </w:t>
      </w:r>
      <w:bookmarkStart w:id="0" w:name="_Hlk214372278"/>
      <w:r w:rsidRPr="005147AC">
        <w:rPr>
          <w:lang w:val="fr-CA"/>
        </w:rPr>
        <w:t xml:space="preserve">Au moment où le pourvoi devant </w:t>
      </w:r>
      <w:r w:rsidR="009B02E7" w:rsidRPr="005147AC">
        <w:rPr>
          <w:lang w:val="fr-CA"/>
        </w:rPr>
        <w:t xml:space="preserve">la </w:t>
      </w:r>
      <w:r w:rsidRPr="005147AC">
        <w:rPr>
          <w:lang w:val="fr-CA"/>
        </w:rPr>
        <w:t xml:space="preserve">Cour a été entendu, les deux détenus avaient fait l’objet d’une modification de leur cote de sécurité et avaient été transférés dans des établissements à sécurité minimale à la suite d’une réévaluation effectuée à la date prévue par la loi. </w:t>
      </w:r>
      <w:bookmarkEnd w:id="0"/>
    </w:p>
    <w:p w14:paraId="0EFA6740" w14:textId="77777777" w:rsidR="000F4A6C" w:rsidRPr="005147AC" w:rsidRDefault="000F4A6C" w:rsidP="000F4A6C">
      <w:pPr>
        <w:pStyle w:val="SCCNormalDoubleSpacing"/>
        <w:spacing w:after="480"/>
        <w:rPr>
          <w:szCs w:val="24"/>
          <w:lang w:val="fr-CA"/>
        </w:rPr>
      </w:pPr>
      <w:r w:rsidRPr="005147AC">
        <w:rPr>
          <w:szCs w:val="24"/>
          <w:lang w:val="fr-CA"/>
        </w:rPr>
        <w:tab/>
      </w:r>
      <w:r w:rsidRPr="005147AC">
        <w:rPr>
          <w:i/>
          <w:szCs w:val="24"/>
          <w:lang w:val="fr-CA"/>
        </w:rPr>
        <w:t>Arrêt</w:t>
      </w:r>
      <w:r w:rsidRPr="005147AC">
        <w:rPr>
          <w:szCs w:val="24"/>
          <w:lang w:val="fr-CA"/>
        </w:rPr>
        <w:t xml:space="preserve"> (les juges Côté, Rowe et Jamal sont dissidents) : Le pourvoi est accueilli.</w:t>
      </w:r>
    </w:p>
    <w:p w14:paraId="3757CAB5" w14:textId="41FACC9E" w:rsidR="000F4A6C" w:rsidRPr="005147AC" w:rsidRDefault="000F4A6C" w:rsidP="000F4A6C">
      <w:pPr>
        <w:pStyle w:val="SCCNormalDoubleSpacing"/>
        <w:spacing w:after="480"/>
        <w:rPr>
          <w:szCs w:val="24"/>
          <w:lang w:val="fr-CA"/>
        </w:rPr>
      </w:pPr>
      <w:r w:rsidRPr="005147AC">
        <w:rPr>
          <w:szCs w:val="24"/>
          <w:lang w:val="fr-CA"/>
        </w:rPr>
        <w:tab/>
      </w:r>
      <w:r w:rsidRPr="005147AC">
        <w:rPr>
          <w:i/>
          <w:szCs w:val="24"/>
          <w:lang w:val="fr-CA"/>
        </w:rPr>
        <w:t>Le</w:t>
      </w:r>
      <w:r w:rsidRPr="005147AC">
        <w:rPr>
          <w:szCs w:val="24"/>
          <w:lang w:val="fr-CA"/>
        </w:rPr>
        <w:t xml:space="preserve"> juge en chef </w:t>
      </w:r>
      <w:r w:rsidRPr="005147AC">
        <w:rPr>
          <w:lang w:val="fr-CA"/>
        </w:rPr>
        <w:t xml:space="preserve">Wagner et les juges Karakatsanis, Martin, Kasirer, O’Bonsawin et </w:t>
      </w:r>
      <w:r w:rsidRPr="005147AC">
        <w:rPr>
          <w:b/>
          <w:szCs w:val="24"/>
          <w:lang w:val="fr-CA"/>
        </w:rPr>
        <w:t>Moreau</w:t>
      </w:r>
      <w:r w:rsidRPr="005147AC">
        <w:rPr>
          <w:szCs w:val="24"/>
          <w:lang w:val="fr-CA"/>
        </w:rPr>
        <w:t xml:space="preserve"> : La </w:t>
      </w:r>
      <w:r w:rsidRPr="005147AC">
        <w:rPr>
          <w:lang w:val="fr-CA"/>
        </w:rPr>
        <w:t>décision de refuser d’attribuer à un détenu une cote de sécurité inférieure peut faire l’objet d’un contrôle par voie d’</w:t>
      </w:r>
      <w:r w:rsidRPr="005147AC">
        <w:rPr>
          <w:i/>
          <w:lang w:val="fr-CA"/>
        </w:rPr>
        <w:t>habeas corpus</w:t>
      </w:r>
      <w:r w:rsidRPr="005147AC">
        <w:rPr>
          <w:lang w:val="fr-CA"/>
        </w:rPr>
        <w:t>, car elle a pour effet qualitatif de restreindre la liberté</w:t>
      </w:r>
      <w:r w:rsidRPr="005147AC">
        <w:rPr>
          <w:szCs w:val="24"/>
          <w:lang w:val="fr-CA" w:bidi="en-US"/>
        </w:rPr>
        <w:t>.</w:t>
      </w:r>
      <w:r w:rsidRPr="005147AC">
        <w:rPr>
          <w:szCs w:val="24"/>
          <w:lang w:val="fr-CA"/>
        </w:rPr>
        <w:t xml:space="preserve"> </w:t>
      </w:r>
      <w:r w:rsidRPr="005147AC">
        <w:rPr>
          <w:lang w:val="fr-CA"/>
        </w:rPr>
        <w:t xml:space="preserve">L’accès large et efficace au recours en </w:t>
      </w:r>
      <w:r w:rsidRPr="005147AC">
        <w:rPr>
          <w:i/>
          <w:lang w:val="fr-CA"/>
        </w:rPr>
        <w:t>habeas corpus</w:t>
      </w:r>
      <w:r w:rsidRPr="005147AC">
        <w:rPr>
          <w:lang w:val="fr-CA"/>
        </w:rPr>
        <w:t xml:space="preserve"> est primordial pour les personnes qui subissent une privation illégale et </w:t>
      </w:r>
      <w:r w:rsidRPr="005147AC">
        <w:rPr>
          <w:lang w:val="fr-CA"/>
        </w:rPr>
        <w:lastRenderedPageBreak/>
        <w:t>continue de leur liberté résiduelle et cherchent à contester la légalité de leur détention</w:t>
      </w:r>
      <w:r w:rsidRPr="005147AC">
        <w:rPr>
          <w:szCs w:val="24"/>
          <w:lang w:val="fr-CA" w:bidi="en-US"/>
        </w:rPr>
        <w:t xml:space="preserve">. </w:t>
      </w:r>
      <w:r w:rsidRPr="005147AC">
        <w:rPr>
          <w:szCs w:val="24"/>
          <w:lang w:val="fr-CA"/>
        </w:rPr>
        <w:t>L</w:t>
      </w:r>
      <w:r w:rsidRPr="005147AC">
        <w:rPr>
          <w:lang w:val="fr-CA"/>
        </w:rPr>
        <w:t xml:space="preserve">a décision de maintenir un détenu dans des conditions de détention particulières et plus restrictives, au lieu de le transférer vers un établissement à sécurité moins élevée, donne lieu à une privation de liberté. La démonstration d’une privation de liberté ne dépend pas d’un changement </w:t>
      </w:r>
      <w:r w:rsidR="009B02E7" w:rsidRPr="005147AC">
        <w:rPr>
          <w:lang w:val="fr-CA"/>
        </w:rPr>
        <w:t>dans le statu quo</w:t>
      </w:r>
      <w:r w:rsidRPr="005147AC">
        <w:rPr>
          <w:szCs w:val="24"/>
          <w:lang w:val="fr-CA" w:bidi="en-US"/>
        </w:rPr>
        <w:t xml:space="preserve"> ou de la preuve d’un droit </w:t>
      </w:r>
      <w:r w:rsidRPr="005147AC">
        <w:rPr>
          <w:lang w:val="fr-CA"/>
        </w:rPr>
        <w:t>à des conditions de détention moins restrictives</w:t>
      </w:r>
      <w:r w:rsidRPr="005147AC">
        <w:rPr>
          <w:szCs w:val="24"/>
          <w:lang w:val="fr-CA" w:bidi="en-US"/>
        </w:rPr>
        <w:t xml:space="preserve">. </w:t>
      </w:r>
    </w:p>
    <w:p w14:paraId="3E084E08" w14:textId="391C2480" w:rsidR="000F4A6C" w:rsidRPr="005147AC" w:rsidRDefault="000F4A6C" w:rsidP="000F4A6C">
      <w:pPr>
        <w:pStyle w:val="SCCNormalDoubleSpacing"/>
        <w:spacing w:after="480"/>
        <w:rPr>
          <w:szCs w:val="24"/>
          <w:lang w:val="fr-CA" w:bidi="en-US"/>
        </w:rPr>
      </w:pPr>
      <w:r w:rsidRPr="005147AC">
        <w:rPr>
          <w:szCs w:val="24"/>
          <w:lang w:val="fr-CA"/>
        </w:rPr>
        <w:tab/>
      </w:r>
      <w:r w:rsidRPr="005147AC">
        <w:rPr>
          <w:lang w:val="fr-CA"/>
        </w:rPr>
        <w:t>Les critères à respecter pour obtenir gain de cause dans une requête en</w:t>
      </w:r>
      <w:r w:rsidRPr="005147AC">
        <w:rPr>
          <w:i/>
          <w:lang w:val="fr-CA"/>
        </w:rPr>
        <w:t xml:space="preserve"> habeas corpus</w:t>
      </w:r>
      <w:r w:rsidRPr="005147AC">
        <w:rPr>
          <w:lang w:val="fr-CA"/>
        </w:rPr>
        <w:t xml:space="preserve"> sont bien établis</w:t>
      </w:r>
      <w:r w:rsidRPr="005147AC">
        <w:rPr>
          <w:szCs w:val="24"/>
          <w:lang w:val="fr-CA" w:bidi="en-US"/>
        </w:rPr>
        <w:t>. Il faut deux éléments : (1) </w:t>
      </w:r>
      <w:r w:rsidRPr="005147AC">
        <w:rPr>
          <w:lang w:val="fr-CA"/>
        </w:rPr>
        <w:t>qu’il y ait eu privation de liberté et (2) que cette privation soit illégale</w:t>
      </w:r>
      <w:r w:rsidRPr="005147AC">
        <w:rPr>
          <w:szCs w:val="24"/>
          <w:lang w:val="fr-CA" w:bidi="en-US"/>
        </w:rPr>
        <w:t xml:space="preserve">. </w:t>
      </w:r>
      <w:r w:rsidRPr="005147AC">
        <w:rPr>
          <w:lang w:val="fr-CA"/>
        </w:rPr>
        <w:t xml:space="preserve">La requête en </w:t>
      </w:r>
      <w:r w:rsidRPr="005147AC">
        <w:rPr>
          <w:i/>
          <w:lang w:val="fr-CA"/>
        </w:rPr>
        <w:t xml:space="preserve">habeas corpus </w:t>
      </w:r>
      <w:r w:rsidRPr="005147AC">
        <w:rPr>
          <w:lang w:val="fr-CA"/>
        </w:rPr>
        <w:t>se décline en trois étapes</w:t>
      </w:r>
      <w:r w:rsidRPr="005147AC">
        <w:rPr>
          <w:szCs w:val="24"/>
          <w:lang w:val="fr-CA" w:bidi="en-US"/>
        </w:rPr>
        <w:t xml:space="preserve">. </w:t>
      </w:r>
      <w:r w:rsidRPr="005147AC">
        <w:rPr>
          <w:lang w:val="fr-CA"/>
        </w:rPr>
        <w:t>À titre préliminaire, pour pouvoir, en droit, recourir au bref, le requérant doit établir qu’il a été privé de liberté</w:t>
      </w:r>
      <w:r w:rsidRPr="005147AC">
        <w:rPr>
          <w:szCs w:val="24"/>
          <w:lang w:val="fr-CA" w:bidi="en-US"/>
        </w:rPr>
        <w:t xml:space="preserve">. Cette </w:t>
      </w:r>
      <w:r w:rsidRPr="005147AC">
        <w:rPr>
          <w:lang w:val="fr-CA"/>
        </w:rPr>
        <w:t xml:space="preserve">première étape </w:t>
      </w:r>
      <w:r w:rsidR="009B02E7" w:rsidRPr="005147AC">
        <w:rPr>
          <w:lang w:val="fr-CA"/>
        </w:rPr>
        <w:t>sert</w:t>
      </w:r>
      <w:r w:rsidRPr="005147AC">
        <w:rPr>
          <w:lang w:val="fr-CA"/>
        </w:rPr>
        <w:t xml:space="preserve"> à écarter les demandes frivoles dans les cas où il n’y a pas de différence qualitative au chapitre de la liberté entre deux modes de détention. Dans l’arrêt </w:t>
      </w:r>
      <w:r w:rsidRPr="005147AC">
        <w:rPr>
          <w:i/>
          <w:lang w:val="fr-CA"/>
        </w:rPr>
        <w:t>Dumas</w:t>
      </w:r>
      <w:r w:rsidRPr="005147AC">
        <w:rPr>
          <w:lang w:val="fr-CA"/>
        </w:rPr>
        <w:t>, la Cour a expliqué qu’il existe trois sortes de privation de liberté dans le contexte correctionnel : (1) la privation initiale de liberté, (2) une modification importante des conditions d’incarcération qui équivaut à une nouvelle privation de liberté</w:t>
      </w:r>
      <w:r w:rsidR="009B02E7" w:rsidRPr="005147AC">
        <w:rPr>
          <w:lang w:val="fr-CA"/>
        </w:rPr>
        <w:t>,</w:t>
      </w:r>
      <w:r w:rsidRPr="005147AC">
        <w:rPr>
          <w:lang w:val="fr-CA"/>
        </w:rPr>
        <w:t xml:space="preserve"> et (3) la continuation de la privation de liberté</w:t>
      </w:r>
      <w:r w:rsidRPr="005147AC">
        <w:rPr>
          <w:szCs w:val="24"/>
          <w:lang w:val="fr-CA" w:bidi="en-US"/>
        </w:rPr>
        <w:t xml:space="preserve">. </w:t>
      </w:r>
      <w:r w:rsidRPr="005147AC">
        <w:rPr>
          <w:lang w:val="fr-CA"/>
        </w:rPr>
        <w:t xml:space="preserve">La troisième catégorie est examinée en fonction de la durée, contrairement aux </w:t>
      </w:r>
      <w:r w:rsidR="009B02E7" w:rsidRPr="005147AC">
        <w:rPr>
          <w:lang w:val="fr-CA"/>
        </w:rPr>
        <w:t>première et deuxième catégories</w:t>
      </w:r>
      <w:r w:rsidRPr="005147AC">
        <w:rPr>
          <w:lang w:val="fr-CA"/>
        </w:rPr>
        <w:t xml:space="preserve"> qui sont fondées sur un changement soudain </w:t>
      </w:r>
      <w:r w:rsidR="009B02E7" w:rsidRPr="005147AC">
        <w:rPr>
          <w:lang w:val="fr-CA"/>
        </w:rPr>
        <w:t>dans le statu quo</w:t>
      </w:r>
      <w:r w:rsidRPr="005147AC">
        <w:rPr>
          <w:lang w:val="fr-CA"/>
        </w:rPr>
        <w:t xml:space="preserve">. </w:t>
      </w:r>
      <w:r w:rsidRPr="005147AC">
        <w:rPr>
          <w:szCs w:val="24"/>
          <w:lang w:val="fr-CA" w:bidi="en-US"/>
        </w:rPr>
        <w:t>L</w:t>
      </w:r>
      <w:r w:rsidRPr="005147AC">
        <w:rPr>
          <w:lang w:val="fr-CA"/>
        </w:rPr>
        <w:t>a continuation d’une privation de liberté légale au départ ne peut être contestée par voie d’</w:t>
      </w:r>
      <w:r w:rsidRPr="005147AC">
        <w:rPr>
          <w:i/>
          <w:lang w:val="fr-CA"/>
        </w:rPr>
        <w:t>habeas corpus</w:t>
      </w:r>
      <w:r w:rsidRPr="005147AC">
        <w:rPr>
          <w:lang w:val="fr-CA"/>
        </w:rPr>
        <w:t xml:space="preserve"> que si elle devient illégale. </w:t>
      </w:r>
      <w:r w:rsidRPr="005147AC">
        <w:rPr>
          <w:szCs w:val="24"/>
          <w:lang w:val="fr-CA" w:bidi="en-US"/>
        </w:rPr>
        <w:t xml:space="preserve">Ces catégories </w:t>
      </w:r>
      <w:r w:rsidRPr="005147AC">
        <w:rPr>
          <w:lang w:val="fr-CA"/>
        </w:rPr>
        <w:t>ne sont pas exhaustives</w:t>
      </w:r>
      <w:r w:rsidRPr="005147AC">
        <w:rPr>
          <w:szCs w:val="24"/>
          <w:lang w:val="fr-CA" w:bidi="en-US"/>
        </w:rPr>
        <w:t xml:space="preserve"> — </w:t>
      </w:r>
      <w:r w:rsidRPr="005147AC">
        <w:rPr>
          <w:lang w:val="fr-CA"/>
        </w:rPr>
        <w:t>la question de savoir s’il y a eu privation de liberté doit toujours être analysée d’un point de vue qualitatif. Pour établir le premier élément d’une requête en</w:t>
      </w:r>
      <w:r w:rsidRPr="005147AC">
        <w:rPr>
          <w:i/>
          <w:lang w:val="fr-CA"/>
        </w:rPr>
        <w:t xml:space="preserve"> habeas corpus</w:t>
      </w:r>
      <w:r w:rsidRPr="005147AC">
        <w:rPr>
          <w:lang w:val="fr-CA"/>
        </w:rPr>
        <w:t xml:space="preserve">, </w:t>
      </w:r>
      <w:r w:rsidRPr="005147AC">
        <w:rPr>
          <w:lang w:val="fr-CA"/>
        </w:rPr>
        <w:lastRenderedPageBreak/>
        <w:t>le détenu doit prouver que ses conditions actuelles de détention restreignent davantage sa liberté que les conditions dans lesquelles il devrait selon lui être incarcéré</w:t>
      </w:r>
      <w:r w:rsidRPr="005147AC">
        <w:rPr>
          <w:szCs w:val="24"/>
          <w:lang w:val="fr-CA" w:bidi="en-US"/>
        </w:rPr>
        <w:t>.</w:t>
      </w:r>
    </w:p>
    <w:p w14:paraId="5FA65F4C" w14:textId="77777777" w:rsidR="000F4A6C" w:rsidRPr="005147AC" w:rsidRDefault="000F4A6C" w:rsidP="000F4A6C">
      <w:pPr>
        <w:pStyle w:val="SCCNormalDoubleSpacing"/>
        <w:spacing w:after="480"/>
        <w:rPr>
          <w:szCs w:val="24"/>
          <w:lang w:val="fr-CA" w:bidi="en-US"/>
        </w:rPr>
      </w:pPr>
      <w:r w:rsidRPr="005147AC">
        <w:rPr>
          <w:szCs w:val="24"/>
          <w:lang w:val="fr-CA" w:bidi="en-US"/>
        </w:rPr>
        <w:tab/>
      </w:r>
      <w:r w:rsidRPr="005147AC">
        <w:rPr>
          <w:lang w:val="fr-CA"/>
        </w:rPr>
        <w:t>À la deuxième étape</w:t>
      </w:r>
      <w:r w:rsidRPr="005147AC">
        <w:rPr>
          <w:szCs w:val="24"/>
          <w:lang w:val="fr-CA" w:bidi="en-US"/>
        </w:rPr>
        <w:t xml:space="preserve"> de la requête, u</w:t>
      </w:r>
      <w:r w:rsidRPr="005147AC">
        <w:rPr>
          <w:lang w:val="fr-CA"/>
        </w:rPr>
        <w:t>ne fois la privation de liberté démontrée, le requérant doit invoquer un motif légitime permettant de remettre en question la légalité</w:t>
      </w:r>
      <w:r w:rsidRPr="005147AC">
        <w:rPr>
          <w:szCs w:val="24"/>
          <w:lang w:val="fr-CA" w:bidi="en-US"/>
        </w:rPr>
        <w:t xml:space="preserve"> de </w:t>
      </w:r>
      <w:r w:rsidRPr="005147AC">
        <w:rPr>
          <w:lang w:val="fr-CA"/>
        </w:rPr>
        <w:t>sa privation de liberté actuelle</w:t>
      </w:r>
      <w:r w:rsidRPr="005147AC">
        <w:rPr>
          <w:szCs w:val="24"/>
          <w:lang w:val="fr-CA" w:bidi="en-US"/>
        </w:rPr>
        <w:t xml:space="preserve">. </w:t>
      </w:r>
      <w:r w:rsidRPr="005147AC">
        <w:rPr>
          <w:lang w:val="fr-CA"/>
        </w:rPr>
        <w:t xml:space="preserve">Cela signifie que les allégations et les motifs invoqués par le requérant doivent révéler l’existence d’un fondement dans les faits ou en droit qui permettrait au tribunal de conclure que la continuation de la privation de liberté est illégale. À la troisième étape, une fois que le requérant s’est acquitté du fardeau de démontrer qu’il a été privé de sa liberté et de soulever un motif légitime de remettre en question la légalité de cette privation, c’est à l’autorité qui le détient que revient le fardeau de prouver la légalité de la privation. </w:t>
      </w:r>
    </w:p>
    <w:p w14:paraId="0CA2D103" w14:textId="07B10CAF" w:rsidR="000F4A6C" w:rsidRPr="005147AC" w:rsidRDefault="000F4A6C" w:rsidP="000F4A6C">
      <w:pPr>
        <w:pStyle w:val="SCCNormalDoubleSpacing"/>
        <w:tabs>
          <w:tab w:val="left" w:pos="5240"/>
        </w:tabs>
        <w:spacing w:after="480"/>
        <w:rPr>
          <w:szCs w:val="24"/>
          <w:lang w:val="fr-CA" w:bidi="en-US"/>
        </w:rPr>
      </w:pPr>
      <w:r w:rsidRPr="005147AC">
        <w:rPr>
          <w:szCs w:val="24"/>
          <w:lang w:val="fr-CA"/>
        </w:rPr>
        <w:tab/>
      </w:r>
      <w:r w:rsidRPr="005147AC">
        <w:rPr>
          <w:lang w:val="fr-CA"/>
        </w:rPr>
        <w:t>L’analyse doit viser à déterminer s’il existe une restriction à la liberté en comparant deux modes de détention</w:t>
      </w:r>
      <w:r w:rsidRPr="005147AC">
        <w:rPr>
          <w:szCs w:val="24"/>
          <w:lang w:val="fr-CA" w:bidi="en-US"/>
        </w:rPr>
        <w:t>. C</w:t>
      </w:r>
      <w:r w:rsidRPr="005147AC">
        <w:rPr>
          <w:lang w:val="fr-CA"/>
        </w:rPr>
        <w:t>e ne sont pas toutes les conditions carcérales qui emportent privation de liberté</w:t>
      </w:r>
      <w:r w:rsidRPr="005147AC">
        <w:rPr>
          <w:szCs w:val="24"/>
          <w:lang w:val="fr-CA" w:bidi="en-US"/>
        </w:rPr>
        <w:t> : l</w:t>
      </w:r>
      <w:r w:rsidRPr="005147AC">
        <w:rPr>
          <w:lang w:val="fr-CA" w:bidi="en-US"/>
        </w:rPr>
        <w:t xml:space="preserve">es conditions carcérales qui ne se traduisent pas par une privation de liberté ne peuvent constituer le fondement d’un </w:t>
      </w:r>
      <w:r w:rsidRPr="005147AC">
        <w:rPr>
          <w:lang w:val="fr-CA"/>
        </w:rPr>
        <w:t>contrôle par voie d’</w:t>
      </w:r>
      <w:r w:rsidRPr="005147AC">
        <w:rPr>
          <w:i/>
          <w:lang w:val="fr-CA"/>
        </w:rPr>
        <w:t>habeas corpus</w:t>
      </w:r>
      <w:r w:rsidRPr="005147AC">
        <w:rPr>
          <w:szCs w:val="24"/>
          <w:lang w:val="fr-CA" w:bidi="en-US"/>
        </w:rPr>
        <w:t xml:space="preserve">. </w:t>
      </w:r>
      <w:r w:rsidRPr="005147AC">
        <w:rPr>
          <w:lang w:val="fr-CA"/>
        </w:rPr>
        <w:t xml:space="preserve">Il importe de ne pas confondre les trois catégories de l’arrêt </w:t>
      </w:r>
      <w:r w:rsidRPr="005147AC">
        <w:rPr>
          <w:i/>
          <w:lang w:val="fr-CA"/>
        </w:rPr>
        <w:t>Dumas</w:t>
      </w:r>
      <w:r w:rsidRPr="005147AC">
        <w:rPr>
          <w:lang w:val="fr-CA"/>
        </w:rPr>
        <w:t>, qui aident uniquement à déterminer la nature de la privation de liberté</w:t>
      </w:r>
      <w:r w:rsidRPr="005147AC">
        <w:rPr>
          <w:szCs w:val="24"/>
          <w:lang w:val="fr-CA" w:bidi="en-US"/>
        </w:rPr>
        <w:t xml:space="preserve">. </w:t>
      </w:r>
      <w:r w:rsidRPr="005147AC">
        <w:rPr>
          <w:lang w:val="fr-CA"/>
        </w:rPr>
        <w:t xml:space="preserve">L’analyse des privations de liberté ne consiste pas simplement à déterminer si un changement est survenu; si c’était le cas, cela reviendrait en effet à éliminer la troisième catégorie de l’arrêt </w:t>
      </w:r>
      <w:r w:rsidRPr="005147AC">
        <w:rPr>
          <w:i/>
          <w:lang w:val="fr-CA"/>
        </w:rPr>
        <w:t>Dumas</w:t>
      </w:r>
      <w:r w:rsidRPr="005147AC">
        <w:rPr>
          <w:lang w:val="fr-CA"/>
        </w:rPr>
        <w:t xml:space="preserve">. L’analyse doit porter sur la question de savoir si les conditions actuelles </w:t>
      </w:r>
      <w:r w:rsidRPr="005147AC">
        <w:rPr>
          <w:lang w:val="fr-CA"/>
        </w:rPr>
        <w:lastRenderedPageBreak/>
        <w:t xml:space="preserve">de détention de la personne incarcérée restreignent </w:t>
      </w:r>
      <w:r w:rsidRPr="005147AC">
        <w:rPr>
          <w:iCs/>
          <w:lang w:val="fr-CA"/>
        </w:rPr>
        <w:t>relativement</w:t>
      </w:r>
      <w:r w:rsidRPr="005147AC">
        <w:rPr>
          <w:lang w:val="fr-CA"/>
        </w:rPr>
        <w:t xml:space="preserve"> plus sa liberté que les conditions dans lesquelles elle devrait</w:t>
      </w:r>
      <w:r w:rsidR="009B02E7" w:rsidRPr="005147AC">
        <w:rPr>
          <w:lang w:val="fr-CA"/>
        </w:rPr>
        <w:t xml:space="preserve"> selon elle</w:t>
      </w:r>
      <w:r w:rsidRPr="005147AC">
        <w:rPr>
          <w:lang w:val="fr-CA"/>
        </w:rPr>
        <w:t xml:space="preserve"> être incarcérée.</w:t>
      </w:r>
      <w:r w:rsidRPr="005147AC">
        <w:rPr>
          <w:szCs w:val="24"/>
          <w:lang w:val="fr-CA" w:bidi="en-US"/>
        </w:rPr>
        <w:t xml:space="preserve"> </w:t>
      </w:r>
    </w:p>
    <w:p w14:paraId="5D3910DE" w14:textId="54A5FED9" w:rsidR="000F4A6C" w:rsidRPr="005147AC" w:rsidRDefault="000F4A6C" w:rsidP="000F4A6C">
      <w:pPr>
        <w:pStyle w:val="SCCNormalDoubleSpacing"/>
        <w:tabs>
          <w:tab w:val="left" w:pos="5240"/>
        </w:tabs>
        <w:spacing w:after="480"/>
        <w:rPr>
          <w:szCs w:val="24"/>
          <w:lang w:val="fr-CA"/>
        </w:rPr>
      </w:pPr>
      <w:r w:rsidRPr="005147AC">
        <w:rPr>
          <w:szCs w:val="24"/>
          <w:lang w:val="fr-CA" w:bidi="en-US"/>
        </w:rPr>
        <w:tab/>
      </w:r>
      <w:r w:rsidRPr="005147AC">
        <w:rPr>
          <w:lang w:val="fr-CA"/>
        </w:rPr>
        <w:t xml:space="preserve">Pour ce qui est de la troisième catégorie de l’arrêt </w:t>
      </w:r>
      <w:r w:rsidRPr="005147AC">
        <w:rPr>
          <w:i/>
          <w:lang w:val="fr-CA"/>
        </w:rPr>
        <w:t>Dumas</w:t>
      </w:r>
      <w:r w:rsidRPr="005147AC">
        <w:rPr>
          <w:lang w:val="fr-CA"/>
        </w:rPr>
        <w:t>, le détenu établit qu’il a été privé de sa liberté s’il démontre que les conditions dans lesquelles il est présentement incarcéré restreignent davantage sa liberté que les conditions dans lesquelles il devrait selon lui être légalement incarcéré. Le droit à des conditions de détention moins restrictives ne fait pas partie de l’analyse de la privation de liberté; au contraire, le détenu acquiert le droit légal à une certaine forme d’incarcération s’il obtient gain de cause dans sa requête en</w:t>
      </w:r>
      <w:r w:rsidRPr="005147AC">
        <w:rPr>
          <w:i/>
          <w:lang w:val="fr-CA"/>
        </w:rPr>
        <w:t xml:space="preserve"> habeas corpus</w:t>
      </w:r>
      <w:r w:rsidRPr="005147AC">
        <w:rPr>
          <w:lang w:val="fr-CA"/>
        </w:rPr>
        <w:t>, à la suite d’un examen sur le fond</w:t>
      </w:r>
      <w:r w:rsidRPr="005147AC">
        <w:rPr>
          <w:szCs w:val="24"/>
          <w:lang w:val="fr-CA" w:bidi="en-US"/>
        </w:rPr>
        <w:t xml:space="preserve">. </w:t>
      </w:r>
      <w:r w:rsidR="003845A1" w:rsidRPr="005147AC">
        <w:rPr>
          <w:lang w:val="fr-CA"/>
        </w:rPr>
        <w:t>Si une personne détenue arbitrairement était tenue, à la première étape de la requête, de démontrer qu’elle possède ce droit, elle ne pourrait jamais faire entendre sa requête</w:t>
      </w:r>
      <w:r w:rsidRPr="005147AC">
        <w:rPr>
          <w:szCs w:val="24"/>
          <w:lang w:val="fr-CA" w:bidi="en-US"/>
        </w:rPr>
        <w:t>.</w:t>
      </w:r>
    </w:p>
    <w:p w14:paraId="7148F800" w14:textId="192E46ED" w:rsidR="000F4A6C" w:rsidRPr="005147AC" w:rsidRDefault="000F4A6C" w:rsidP="000F4A6C">
      <w:pPr>
        <w:pStyle w:val="SCCNormalDoubleSpacing"/>
        <w:spacing w:after="480"/>
        <w:rPr>
          <w:iCs/>
          <w:szCs w:val="24"/>
          <w:lang w:val="fr-CA" w:bidi="en-US"/>
        </w:rPr>
      </w:pPr>
      <w:r w:rsidRPr="005147AC">
        <w:rPr>
          <w:iCs/>
          <w:szCs w:val="24"/>
          <w:lang w:val="fr-CA" w:bidi="en-US"/>
        </w:rPr>
        <w:tab/>
        <w:t xml:space="preserve">Il est clair que les </w:t>
      </w:r>
      <w:r w:rsidRPr="005147AC">
        <w:rPr>
          <w:lang w:val="fr-CA"/>
        </w:rPr>
        <w:t>décisions relatives à la réévaluation des cotes de sécurité au sein du système correctionnel fédéral peuvent avoir pour effet de détenir illégalement un détenu dans un établissement à sécurité plus élevée présentant des conditions de détention plus restrictives que celui où il devrait légalement être incarcéré</w:t>
      </w:r>
      <w:r w:rsidRPr="005147AC">
        <w:rPr>
          <w:iCs/>
          <w:szCs w:val="24"/>
          <w:lang w:val="fr-CA" w:bidi="en-US"/>
        </w:rPr>
        <w:t xml:space="preserve">. </w:t>
      </w:r>
      <w:r w:rsidRPr="005147AC">
        <w:rPr>
          <w:lang w:val="fr-CA"/>
        </w:rPr>
        <w:t>L’attribution d’une cote de sécurité aux détenus fédéraux et leur incarcération ont un impact profond sur leur expérience qualitative de l’incarcération et, dans bien des cas, également sur sa durée</w:t>
      </w:r>
      <w:r w:rsidRPr="005147AC">
        <w:rPr>
          <w:iCs/>
          <w:szCs w:val="24"/>
          <w:lang w:val="fr-CA" w:bidi="en-US"/>
        </w:rPr>
        <w:t>. L</w:t>
      </w:r>
      <w:r w:rsidRPr="005147AC">
        <w:rPr>
          <w:lang w:val="fr-CA"/>
        </w:rPr>
        <w:t xml:space="preserve">a personne qui est incarcérée illégalement pendant une longue période dans un établissement à sécurité plus élevée, après s’être vu refuser à tort une modification de sa cote de sécurité, subit une privation </w:t>
      </w:r>
      <w:r w:rsidRPr="005147AC">
        <w:rPr>
          <w:lang w:val="fr-CA"/>
        </w:rPr>
        <w:lastRenderedPageBreak/>
        <w:t>de liberté similaire à celle d’un détenu transféré illégalement dans un établissement à sécurité plus élevée. La réponse à la question de savoir si la réévaluation d’une cote de sécurité se traduit par une privation de liberté dépend du contexte, et elle est tributaire de la question de savoir si la décision entraîne de réelles contraintes physiques ou une privation de liberté plus restrictive ou plus sévèr</w:t>
      </w:r>
      <w:r w:rsidR="009B02E7" w:rsidRPr="005147AC">
        <w:rPr>
          <w:lang w:val="fr-CA"/>
        </w:rPr>
        <w:t>e qu’une autre cote de sécurité</w:t>
      </w:r>
      <w:r w:rsidRPr="005147AC">
        <w:rPr>
          <w:lang w:val="fr-CA"/>
        </w:rPr>
        <w:t xml:space="preserve"> moins restrictive. </w:t>
      </w:r>
    </w:p>
    <w:p w14:paraId="175F12A9" w14:textId="77777777" w:rsidR="000F4A6C" w:rsidRPr="005147AC" w:rsidRDefault="000F4A6C" w:rsidP="000F4A6C">
      <w:pPr>
        <w:pStyle w:val="SCCNormalDoubleSpacing"/>
        <w:spacing w:after="480"/>
        <w:rPr>
          <w:lang w:val="fr-CA"/>
        </w:rPr>
      </w:pPr>
      <w:r w:rsidRPr="005147AC">
        <w:rPr>
          <w:iCs/>
          <w:szCs w:val="24"/>
          <w:lang w:val="fr-CA" w:bidi="en-US"/>
        </w:rPr>
        <w:tab/>
      </w:r>
      <w:r w:rsidRPr="005147AC">
        <w:rPr>
          <w:lang w:val="fr-CA"/>
        </w:rPr>
        <w:t xml:space="preserve">Dans le contexte d’un refus d’attribuer une cote de sécurité inférieure lors d’une réévaluation, c’est à la deuxième étape que le tribunal peut refuser de tenir une audience sur le fond. La requête qui n’établit pas l’existence de motifs valables fournissant un fondement juridique à l’appui de la prétention d’illégalité ne passera pas à la troisième étape. </w:t>
      </w:r>
      <w:r w:rsidRPr="005147AC">
        <w:rPr>
          <w:iCs/>
          <w:szCs w:val="24"/>
          <w:lang w:val="fr-CA" w:bidi="en-US"/>
        </w:rPr>
        <w:t>P</w:t>
      </w:r>
      <w:r w:rsidRPr="005147AC">
        <w:rPr>
          <w:lang w:val="fr-CA"/>
        </w:rPr>
        <w:t>ermettre le recours à l’</w:t>
      </w:r>
      <w:r w:rsidRPr="005147AC">
        <w:rPr>
          <w:i/>
          <w:lang w:val="fr-CA"/>
        </w:rPr>
        <w:t>habeas corpus</w:t>
      </w:r>
      <w:r w:rsidRPr="005147AC">
        <w:rPr>
          <w:lang w:val="fr-CA"/>
        </w:rPr>
        <w:t xml:space="preserve"> dans ces circonstances n’ouvrira pas les vannes. Les tribunaux peuvent se prémunir contre une avalanche de dossiers en refusant les demandes dénuées d’un fondement juridique, et ils l’ont fait</w:t>
      </w:r>
      <w:r w:rsidRPr="005147AC">
        <w:rPr>
          <w:iCs/>
          <w:szCs w:val="24"/>
          <w:lang w:val="fr-CA" w:bidi="en-US"/>
        </w:rPr>
        <w:t xml:space="preserve">. </w:t>
      </w:r>
      <w:r w:rsidRPr="005147AC">
        <w:rPr>
          <w:lang w:val="fr-CA"/>
        </w:rPr>
        <w:t>Cependant, une fois une base juridique solide établie, les tribunaux ne devraient pas se montrer réticents à laisser ces requêtes suivre leur cours</w:t>
      </w:r>
      <w:r w:rsidRPr="005147AC">
        <w:rPr>
          <w:iCs/>
          <w:szCs w:val="24"/>
          <w:lang w:val="fr-CA" w:bidi="en-US"/>
        </w:rPr>
        <w:t xml:space="preserve">. </w:t>
      </w:r>
      <w:r w:rsidRPr="005147AC">
        <w:rPr>
          <w:lang w:val="fr-CA"/>
        </w:rPr>
        <w:t xml:space="preserve">La deuxième étape ne s’attache pas à la capacité des institutions correctionnelles de justifier la détention apparemment illégale; elle vise plutôt à assurer un accès concret à la justice en vue de protéger le droit des détenus à la liberté. </w:t>
      </w:r>
    </w:p>
    <w:p w14:paraId="421479F8" w14:textId="20559359" w:rsidR="0032674A" w:rsidRPr="005147AC" w:rsidRDefault="0032674A" w:rsidP="0032674A">
      <w:pPr>
        <w:pStyle w:val="SCCNormalDoubleSpacing"/>
        <w:spacing w:after="480"/>
        <w:rPr>
          <w:iCs/>
          <w:szCs w:val="24"/>
          <w:lang w:val="fr-CA"/>
        </w:rPr>
      </w:pPr>
      <w:r w:rsidRPr="005147AC">
        <w:rPr>
          <w:i/>
          <w:szCs w:val="24"/>
          <w:lang w:val="fr-CA"/>
        </w:rPr>
        <w:tab/>
        <w:t xml:space="preserve">Les </w:t>
      </w:r>
      <w:r w:rsidRPr="005147AC">
        <w:rPr>
          <w:szCs w:val="24"/>
          <w:lang w:val="fr-CA"/>
        </w:rPr>
        <w:t xml:space="preserve">juges </w:t>
      </w:r>
      <w:r w:rsidRPr="005147AC">
        <w:rPr>
          <w:b/>
          <w:szCs w:val="24"/>
          <w:lang w:val="fr-CA"/>
        </w:rPr>
        <w:t>Côté</w:t>
      </w:r>
      <w:r w:rsidRPr="005147AC">
        <w:rPr>
          <w:szCs w:val="24"/>
          <w:lang w:val="fr-CA"/>
        </w:rPr>
        <w:t xml:space="preserve">, </w:t>
      </w:r>
      <w:r w:rsidRPr="005147AC">
        <w:rPr>
          <w:b/>
          <w:szCs w:val="24"/>
          <w:lang w:val="fr-CA"/>
        </w:rPr>
        <w:t xml:space="preserve">Rowe </w:t>
      </w:r>
      <w:r w:rsidRPr="005147AC">
        <w:rPr>
          <w:szCs w:val="24"/>
          <w:lang w:val="fr-CA"/>
        </w:rPr>
        <w:t>et Jamal (dissidents)</w:t>
      </w:r>
      <w:r w:rsidRPr="005147AC">
        <w:rPr>
          <w:iCs/>
          <w:szCs w:val="24"/>
          <w:lang w:val="fr-CA"/>
        </w:rPr>
        <w:t>: Le pourvoi devrait être rejeté. Bien que l’</w:t>
      </w:r>
      <w:r w:rsidRPr="005147AC">
        <w:rPr>
          <w:i/>
          <w:iCs/>
          <w:szCs w:val="24"/>
          <w:lang w:val="fr-CA"/>
        </w:rPr>
        <w:t>habeas corpus</w:t>
      </w:r>
      <w:r w:rsidRPr="005147AC">
        <w:rPr>
          <w:iCs/>
          <w:szCs w:val="24"/>
          <w:lang w:val="fr-CA"/>
        </w:rPr>
        <w:t xml:space="preserve"> doive demeurer ouvert à tous et accessible lorsque son utilisation est justifiée, sa portée n’est pas illimitée. L’</w:t>
      </w:r>
      <w:r w:rsidRPr="005147AC">
        <w:rPr>
          <w:i/>
          <w:iCs/>
          <w:szCs w:val="24"/>
          <w:lang w:val="fr-CA"/>
        </w:rPr>
        <w:t>habeas corpus</w:t>
      </w:r>
      <w:r w:rsidRPr="005147AC">
        <w:rPr>
          <w:iCs/>
          <w:szCs w:val="24"/>
          <w:lang w:val="fr-CA"/>
        </w:rPr>
        <w:t xml:space="preserve"> n’est pas et ne </w:t>
      </w:r>
      <w:r w:rsidRPr="005147AC">
        <w:rPr>
          <w:iCs/>
          <w:szCs w:val="24"/>
          <w:lang w:val="fr-CA"/>
        </w:rPr>
        <w:lastRenderedPageBreak/>
        <w:t xml:space="preserve">devrait pas devenir un recours non circonscrit utilisé pour contester chacun des aspects du système correctionnel confié par ailleurs à l’administration publique. </w:t>
      </w:r>
      <w:r w:rsidRPr="005147AC">
        <w:rPr>
          <w:lang w:val="fr-CA"/>
        </w:rPr>
        <w:t xml:space="preserve">L’arrêt </w:t>
      </w:r>
      <w:r w:rsidRPr="005147AC">
        <w:rPr>
          <w:i/>
          <w:iCs/>
          <w:lang w:val="fr-CA"/>
        </w:rPr>
        <w:t xml:space="preserve">Dumas </w:t>
      </w:r>
      <w:r w:rsidRPr="005147AC">
        <w:rPr>
          <w:iCs/>
          <w:lang w:val="fr-CA"/>
        </w:rPr>
        <w:t xml:space="preserve">a établi une exigence selon laquelle le requérant doit </w:t>
      </w:r>
      <w:r w:rsidRPr="005147AC">
        <w:rPr>
          <w:lang w:val="fr-CA"/>
        </w:rPr>
        <w:t>avoir droit à la réévaluation de sa cote de sécurité et à son transfèrement à un établissement à sécurité moins élevée</w:t>
      </w:r>
      <w:r w:rsidR="00106D13" w:rsidRPr="005147AC">
        <w:rPr>
          <w:lang w:val="fr-CA"/>
        </w:rPr>
        <w:t xml:space="preserve"> pour pouvoir présenter une requête en </w:t>
      </w:r>
      <w:r w:rsidR="00106D13" w:rsidRPr="005147AC">
        <w:rPr>
          <w:i/>
          <w:lang w:val="fr-CA"/>
        </w:rPr>
        <w:t>habeas corpus</w:t>
      </w:r>
      <w:r w:rsidR="00106D13" w:rsidRPr="005147AC">
        <w:rPr>
          <w:lang w:val="fr-CA"/>
        </w:rPr>
        <w:t xml:space="preserve"> fondée sur une privation continue de liberté</w:t>
      </w:r>
      <w:r w:rsidRPr="005147AC">
        <w:rPr>
          <w:iCs/>
          <w:szCs w:val="24"/>
          <w:lang w:val="fr-CA"/>
        </w:rPr>
        <w:t xml:space="preserve">. Lorsque </w:t>
      </w:r>
      <w:r w:rsidRPr="005147AC">
        <w:rPr>
          <w:lang w:val="fr-CA"/>
        </w:rPr>
        <w:t xml:space="preserve">le droit actuel, tel qu’il est établi dans l’arrêt </w:t>
      </w:r>
      <w:r w:rsidRPr="005147AC">
        <w:rPr>
          <w:i/>
          <w:lang w:val="fr-CA"/>
        </w:rPr>
        <w:t>Dumas</w:t>
      </w:r>
      <w:r w:rsidRPr="005147AC">
        <w:rPr>
          <w:lang w:val="fr-CA"/>
        </w:rPr>
        <w:t xml:space="preserve">, est bien appliqué, les détenus en l’espèce ne peuvent se prévaloir du recours en </w:t>
      </w:r>
      <w:r w:rsidRPr="005147AC">
        <w:rPr>
          <w:i/>
          <w:lang w:val="fr-CA"/>
        </w:rPr>
        <w:t xml:space="preserve">habeas corpus </w:t>
      </w:r>
      <w:r w:rsidRPr="005147AC">
        <w:rPr>
          <w:lang w:val="fr-CA"/>
        </w:rPr>
        <w:t>pour contester les décisions administratives refusant leurs demandes de réévaluation ou de transfèrement à un établissement à sécurité moins élevée, car ils n’avaient pas droit à la réévaluation de leur cote de sécurité ou à un transfèrement à un établissement à sécurité moins élevée.</w:t>
      </w:r>
    </w:p>
    <w:p w14:paraId="2697E574" w14:textId="21027544" w:rsidR="0032674A" w:rsidRPr="005147AC" w:rsidRDefault="0032674A" w:rsidP="0032674A">
      <w:pPr>
        <w:pStyle w:val="SCCNormalDoubleSpacing"/>
        <w:spacing w:after="480"/>
        <w:rPr>
          <w:iCs/>
          <w:szCs w:val="24"/>
          <w:lang w:val="fr-CA"/>
        </w:rPr>
      </w:pPr>
      <w:r w:rsidRPr="005147AC">
        <w:rPr>
          <w:iCs/>
          <w:szCs w:val="24"/>
          <w:lang w:val="fr-CA"/>
        </w:rPr>
        <w:tab/>
      </w:r>
      <w:r w:rsidRPr="005147AC">
        <w:rPr>
          <w:iCs/>
          <w:szCs w:val="24"/>
          <w:lang w:val="fr-CA" w:bidi="en-US"/>
        </w:rPr>
        <w:t>L’</w:t>
      </w:r>
      <w:r w:rsidRPr="005147AC">
        <w:rPr>
          <w:i/>
          <w:iCs/>
          <w:szCs w:val="24"/>
          <w:lang w:val="fr-CA" w:bidi="en-US"/>
        </w:rPr>
        <w:t>habeas corpus</w:t>
      </w:r>
      <w:r w:rsidRPr="005147AC">
        <w:rPr>
          <w:iCs/>
          <w:szCs w:val="24"/>
          <w:lang w:val="fr-CA" w:bidi="en-US"/>
        </w:rPr>
        <w:t xml:space="preserve"> ne s’applique pas aux décisions administratives correctionnelles refusant la demande présentée par un détenu en vue de son transfèrement ou de la réévaluation de sa cote de sécurité.</w:t>
      </w:r>
      <w:r w:rsidRPr="005147AC">
        <w:rPr>
          <w:lang w:val="fr-CA"/>
        </w:rPr>
        <w:t xml:space="preserve"> </w:t>
      </w:r>
      <w:r w:rsidRPr="005147AC">
        <w:rPr>
          <w:iCs/>
          <w:szCs w:val="24"/>
          <w:lang w:val="fr-CA"/>
        </w:rPr>
        <w:t>L’arrêt</w:t>
      </w:r>
      <w:r w:rsidRPr="005147AC">
        <w:rPr>
          <w:i/>
          <w:szCs w:val="24"/>
          <w:lang w:val="fr-CA"/>
        </w:rPr>
        <w:t xml:space="preserve"> Dumas</w:t>
      </w:r>
      <w:r w:rsidRPr="005147AC">
        <w:rPr>
          <w:szCs w:val="24"/>
          <w:lang w:val="fr-CA"/>
        </w:rPr>
        <w:t xml:space="preserve"> demeure le précédent permettant de déterminer s’il y a une privation de la liberté résiduelle</w:t>
      </w:r>
      <w:r w:rsidRPr="005147AC">
        <w:rPr>
          <w:lang w:val="fr-CA"/>
        </w:rPr>
        <w:t xml:space="preserve">. </w:t>
      </w:r>
      <w:r w:rsidRPr="005147AC">
        <w:rPr>
          <w:iCs/>
          <w:lang w:val="fr-CA"/>
        </w:rPr>
        <w:t xml:space="preserve">L’arrêt </w:t>
      </w:r>
      <w:r w:rsidRPr="005147AC">
        <w:rPr>
          <w:i/>
          <w:iCs/>
          <w:lang w:val="fr-CA"/>
        </w:rPr>
        <w:t>Dumas</w:t>
      </w:r>
      <w:r w:rsidRPr="005147AC">
        <w:rPr>
          <w:lang w:val="fr-CA"/>
        </w:rPr>
        <w:t xml:space="preserve"> a souligné que la privation de liberté se cristallis</w:t>
      </w:r>
      <w:r w:rsidR="009B02E7" w:rsidRPr="005147AC">
        <w:rPr>
          <w:lang w:val="fr-CA"/>
        </w:rPr>
        <w:t>e</w:t>
      </w:r>
      <w:r w:rsidRPr="005147AC">
        <w:rPr>
          <w:lang w:val="fr-CA"/>
        </w:rPr>
        <w:t xml:space="preserve"> au moment où le statut légal de la personne incarcérée change — par exemple lorsqu’une libération conditionnelle est octroyée ou qu’une décision de réévaluation de la cote de sécurité doit prendre effet. En conséquence, l’</w:t>
      </w:r>
      <w:r w:rsidRPr="005147AC">
        <w:rPr>
          <w:i/>
          <w:lang w:val="fr-CA"/>
        </w:rPr>
        <w:t>habeas corpus</w:t>
      </w:r>
      <w:r w:rsidRPr="005147AC">
        <w:rPr>
          <w:lang w:val="fr-CA"/>
        </w:rPr>
        <w:t xml:space="preserve"> est uniquement accessible à un détenu fédéral lorsqu’il a obtenu une réévaluation de sa cote de sécurité ou son transfèrement à un établissement à sécurité moins élevée, mais qu’il n’a pas encore été transféré.</w:t>
      </w:r>
      <w:r w:rsidRPr="005147AC">
        <w:rPr>
          <w:iCs/>
          <w:szCs w:val="24"/>
          <w:lang w:val="fr-CA" w:bidi="en-US"/>
        </w:rPr>
        <w:t xml:space="preserve"> Le droit </w:t>
      </w:r>
      <w:r w:rsidRPr="005147AC">
        <w:rPr>
          <w:iCs/>
          <w:szCs w:val="24"/>
          <w:lang w:val="fr-CA" w:bidi="en-US"/>
        </w:rPr>
        <w:lastRenderedPageBreak/>
        <w:t xml:space="preserve">à une forme de liberté moins restrictive constitue un préalable pour établir une privation illégale de liberté selon la troisième catégorie énoncée dans l’arrêt </w:t>
      </w:r>
      <w:r w:rsidRPr="005147AC">
        <w:rPr>
          <w:i/>
          <w:iCs/>
          <w:szCs w:val="24"/>
          <w:lang w:val="fr-CA" w:bidi="en-US"/>
        </w:rPr>
        <w:t>Dumas</w:t>
      </w:r>
      <w:r w:rsidRPr="005147AC">
        <w:rPr>
          <w:iCs/>
          <w:szCs w:val="24"/>
          <w:lang w:val="fr-CA" w:bidi="en-US"/>
        </w:rPr>
        <w:t>.</w:t>
      </w:r>
    </w:p>
    <w:p w14:paraId="2C4A5C1F" w14:textId="7C3DD87B" w:rsidR="0032674A" w:rsidRPr="005147AC" w:rsidRDefault="0032674A" w:rsidP="0032674A">
      <w:pPr>
        <w:pStyle w:val="SCCNormalDoubleSpacing"/>
        <w:spacing w:after="480"/>
        <w:rPr>
          <w:lang w:val="fr-CA" w:bidi="en-US"/>
        </w:rPr>
      </w:pPr>
      <w:r w:rsidRPr="005147AC">
        <w:rPr>
          <w:lang w:val="fr-CA" w:bidi="en-US"/>
        </w:rPr>
        <w:tab/>
        <w:t>De plus, l’</w:t>
      </w:r>
      <w:r w:rsidRPr="005147AC">
        <w:rPr>
          <w:i/>
          <w:lang w:val="fr-CA" w:bidi="en-US"/>
        </w:rPr>
        <w:t>habeas corpus</w:t>
      </w:r>
      <w:r w:rsidRPr="005147AC">
        <w:rPr>
          <w:lang w:val="fr-CA"/>
        </w:rPr>
        <w:t xml:space="preserve"> </w:t>
      </w:r>
      <w:r w:rsidRPr="005147AC">
        <w:rPr>
          <w:lang w:val="fr-CA" w:bidi="en-US"/>
        </w:rPr>
        <w:t>ne devrait pas être élargi aux décisions administratives correctionnelles qui refusent la demande de transfèrement ou de réévaluation d’une cote de sécurité présentée par un détenu. L’</w:t>
      </w:r>
      <w:r w:rsidRPr="005147AC">
        <w:rPr>
          <w:i/>
          <w:lang w:val="fr-CA" w:bidi="en-US"/>
        </w:rPr>
        <w:t>habeas corpus</w:t>
      </w:r>
      <w:r w:rsidRPr="005147AC">
        <w:rPr>
          <w:lang w:val="fr-CA" w:bidi="en-US"/>
        </w:rPr>
        <w:t xml:space="preserve"> est un recours extraordinaire accessible aux personnes qui sont incarcérées illégalement par des agents de l’État.</w:t>
      </w:r>
      <w:r w:rsidRPr="005147AC">
        <w:rPr>
          <w:lang w:val="fr-CA"/>
        </w:rPr>
        <w:t xml:space="preserve"> S’agissant des détenus, le recours devrait continuer à être limité à la contestation de nouvelles privations de leur liberté dans une prison, notamment le transfèrement illégal d’un détenu à un établissement à sécurité plus élevée ou l’imposition de conditions de détention plus restrictives. Son élargissement à la révision de décisions qui ne modifient pas la liberté résiduelle d’un détenu </w:t>
      </w:r>
      <w:r w:rsidR="00F56386" w:rsidRPr="005147AC">
        <w:rPr>
          <w:lang w:val="fr-CA"/>
        </w:rPr>
        <w:t>ou</w:t>
      </w:r>
      <w:r w:rsidRPr="005147AC">
        <w:rPr>
          <w:lang w:val="fr-CA"/>
        </w:rPr>
        <w:t xml:space="preserve"> n’entraînent pas une plus grande privation de liberté n’est pas justifié; il empiète sur le régime établi par le Parlement en matière de fonctionnement des établissements correctionnels; et il contourne le cadre d’analyse du droit administratif. C’est une procédure bien adaptée pour remédier aux privations illégales de liberté, mais mal adaptée en tant que substitut à la révision interne et au contrôle judiciaire des décisions prises dans le cadre du fonctionnement des établissements correctionnels. Le recours à l’</w:t>
      </w:r>
      <w:r w:rsidRPr="005147AC">
        <w:rPr>
          <w:i/>
          <w:lang w:val="fr-CA"/>
        </w:rPr>
        <w:t>habeas corpus</w:t>
      </w:r>
      <w:r w:rsidRPr="005147AC">
        <w:rPr>
          <w:lang w:val="fr-CA"/>
        </w:rPr>
        <w:t xml:space="preserve"> supplante la déférence à laquelle les décideurs administratifs ont droit en application du droit général du contrôle judiciaire.</w:t>
      </w:r>
    </w:p>
    <w:p w14:paraId="3BBCE7F4" w14:textId="232A5845" w:rsidR="0032674A" w:rsidRPr="005147AC" w:rsidRDefault="0032674A" w:rsidP="0032674A">
      <w:pPr>
        <w:pStyle w:val="SCCNormalDoubleSpacing"/>
        <w:spacing w:after="480"/>
        <w:rPr>
          <w:lang w:val="fr-CA"/>
        </w:rPr>
      </w:pPr>
      <w:r w:rsidRPr="005147AC">
        <w:rPr>
          <w:iCs/>
          <w:szCs w:val="24"/>
          <w:lang w:val="fr-CA"/>
        </w:rPr>
        <w:tab/>
        <w:t>Bien qu’on ait donné une interprétation large à l’</w:t>
      </w:r>
      <w:r w:rsidRPr="005147AC">
        <w:rPr>
          <w:i/>
          <w:iCs/>
          <w:szCs w:val="24"/>
          <w:lang w:val="fr-CA"/>
        </w:rPr>
        <w:t>habeas corpus</w:t>
      </w:r>
      <w:r w:rsidRPr="005147AC">
        <w:rPr>
          <w:iCs/>
          <w:szCs w:val="24"/>
          <w:lang w:val="fr-CA"/>
        </w:rPr>
        <w:t xml:space="preserve">, on ne peut y recourir pour contester une privation d’un droit anticipé à la liberté résiduelle qui </w:t>
      </w:r>
      <w:r w:rsidRPr="005147AC">
        <w:rPr>
          <w:iCs/>
          <w:szCs w:val="24"/>
          <w:lang w:val="fr-CA"/>
        </w:rPr>
        <w:lastRenderedPageBreak/>
        <w:t>n’est pas encore concrétisé.</w:t>
      </w:r>
      <w:r w:rsidRPr="005147AC">
        <w:rPr>
          <w:lang w:val="fr-CA"/>
        </w:rPr>
        <w:t xml:space="preserve"> Élargir les cas d’accessibilité à l’</w:t>
      </w:r>
      <w:r w:rsidRPr="005147AC">
        <w:rPr>
          <w:i/>
          <w:lang w:val="fr-CA"/>
        </w:rPr>
        <w:t xml:space="preserve">habeas corpus </w:t>
      </w:r>
      <w:r w:rsidRPr="005147AC">
        <w:rPr>
          <w:lang w:val="fr-CA"/>
        </w:rPr>
        <w:t xml:space="preserve">aux refus de transfèrement à un établissement à sécurité moins élevée risque de le dénaturer de sorte qu’il deviendrait un mécanisme différent de contestation des décisions </w:t>
      </w:r>
      <w:r w:rsidR="00B925EE" w:rsidRPr="005147AC">
        <w:rPr>
          <w:lang w:val="fr-CA"/>
        </w:rPr>
        <w:t xml:space="preserve">des administrateurs </w:t>
      </w:r>
      <w:r w:rsidRPr="005147AC">
        <w:rPr>
          <w:lang w:val="fr-CA"/>
        </w:rPr>
        <w:t>correctionnel</w:t>
      </w:r>
      <w:r w:rsidR="00B925EE" w:rsidRPr="005147AC">
        <w:rPr>
          <w:lang w:val="fr-CA"/>
        </w:rPr>
        <w:t>s,</w:t>
      </w:r>
      <w:r w:rsidRPr="005147AC">
        <w:rPr>
          <w:lang w:val="fr-CA"/>
        </w:rPr>
        <w:t xml:space="preserve"> ce qui minerait à la fois l’intégrité du bref et le fonctionnement adéquat du système correctionnel. Il en résultera également une ingérence injustifiée des cours supérieures dans le régime législatif voulu par le Parlement. </w:t>
      </w:r>
    </w:p>
    <w:p w14:paraId="591B5B8C" w14:textId="77777777" w:rsidR="0032674A" w:rsidRPr="005147AC" w:rsidRDefault="0032674A" w:rsidP="00EE3309">
      <w:pPr>
        <w:pStyle w:val="SCCNormalDoubleSpacing"/>
        <w:spacing w:after="480"/>
        <w:rPr>
          <w:lang w:val="fr-CA" w:bidi="en-US"/>
        </w:rPr>
      </w:pPr>
      <w:r w:rsidRPr="005147AC">
        <w:rPr>
          <w:lang w:val="fr-CA"/>
        </w:rPr>
        <w:tab/>
        <w:t>L’approche de la majorité élargira indûment l’accès à l’</w:t>
      </w:r>
      <w:r w:rsidRPr="005147AC">
        <w:rPr>
          <w:i/>
          <w:lang w:val="fr-CA"/>
        </w:rPr>
        <w:t>habeas corpus</w:t>
      </w:r>
      <w:r w:rsidRPr="005147AC">
        <w:rPr>
          <w:lang w:val="fr-CA"/>
        </w:rPr>
        <w:t xml:space="preserve"> et invitera un processus décisionnel </w:t>
      </w:r>
      <w:r w:rsidRPr="005147AC">
        <w:rPr>
          <w:i/>
          <w:lang w:val="fr-CA"/>
        </w:rPr>
        <w:t>ad hoc</w:t>
      </w:r>
      <w:r w:rsidRPr="005147AC">
        <w:rPr>
          <w:lang w:val="fr-CA"/>
        </w:rPr>
        <w:t>. La première étape de l’analyse de l’</w:t>
      </w:r>
      <w:r w:rsidRPr="005147AC">
        <w:rPr>
          <w:i/>
          <w:lang w:val="fr-CA"/>
        </w:rPr>
        <w:t>habeas corpus</w:t>
      </w:r>
      <w:r w:rsidRPr="005147AC">
        <w:rPr>
          <w:lang w:val="fr-CA"/>
        </w:rPr>
        <w:t xml:space="preserve"> requiert une véritable privation de liberté. Toutefois, l’approche de la majorité écarte l’exigence selon laquelle un requérant qui allègue une continuation illégale de la détention doive démontrer l’existence d’un droit statutaire à une plus grande liberté résiduelle. Cela risque de saper une des caractéristiques fondamentales de l’</w:t>
      </w:r>
      <w:r w:rsidRPr="005147AC">
        <w:rPr>
          <w:i/>
          <w:lang w:val="fr-CA"/>
        </w:rPr>
        <w:t>habeas corpus</w:t>
      </w:r>
      <w:r w:rsidRPr="005147AC">
        <w:rPr>
          <w:lang w:val="fr-CA"/>
        </w:rPr>
        <w:t xml:space="preserve">, à savoir qu’il s’agit d’un recours expéditif. Le premier risque est d’ordre pratique : les tribunaux disposent de moyens limités, et les requérants privés illégalement de leur liberté peuvent faire face à des retards dans l’obtention d’une réparation pendant que les tribunaux traitent de requêtes en </w:t>
      </w:r>
      <w:r w:rsidRPr="005147AC">
        <w:rPr>
          <w:i/>
          <w:lang w:val="fr-CA"/>
        </w:rPr>
        <w:t>habeas corpus</w:t>
      </w:r>
      <w:r w:rsidRPr="005147AC">
        <w:rPr>
          <w:lang w:val="fr-CA"/>
        </w:rPr>
        <w:t xml:space="preserve"> qui ne visent pas de véritables privations de liberté et qui soulèvent des questions qu’il vaut mieux laisser à l’appréciation des administrateurs correctionnels. Le deuxième risque est d’ordre normatif : abaisser le seuil établi pour qu’il y ait une privation de liberté diminue l’importance du droit en jeu, ce qui affaiblit l’impératif d’un règlement rapide des requêtes en </w:t>
      </w:r>
      <w:r w:rsidRPr="005147AC">
        <w:rPr>
          <w:i/>
          <w:lang w:val="fr-CA"/>
        </w:rPr>
        <w:t>habeas corpus</w:t>
      </w:r>
      <w:r w:rsidRPr="005147AC">
        <w:rPr>
          <w:lang w:val="fr-CA"/>
        </w:rPr>
        <w:t xml:space="preserve">. Qui plus est, </w:t>
      </w:r>
      <w:r w:rsidRPr="005147AC">
        <w:rPr>
          <w:iCs/>
          <w:szCs w:val="24"/>
          <w:lang w:val="fr-CA"/>
        </w:rPr>
        <w:t>l’</w:t>
      </w:r>
      <w:r w:rsidRPr="005147AC">
        <w:rPr>
          <w:i/>
          <w:iCs/>
          <w:szCs w:val="24"/>
          <w:lang w:val="fr-CA"/>
        </w:rPr>
        <w:t>habeas corpus</w:t>
      </w:r>
      <w:r w:rsidRPr="005147AC">
        <w:rPr>
          <w:szCs w:val="24"/>
          <w:lang w:val="fr-CA"/>
        </w:rPr>
        <w:t xml:space="preserve"> </w:t>
      </w:r>
      <w:r w:rsidRPr="005147AC">
        <w:rPr>
          <w:iCs/>
          <w:szCs w:val="24"/>
          <w:lang w:val="fr-CA"/>
        </w:rPr>
        <w:t xml:space="preserve">n’est pas un outil au </w:t>
      </w:r>
      <w:r w:rsidRPr="005147AC">
        <w:rPr>
          <w:iCs/>
          <w:szCs w:val="24"/>
          <w:lang w:val="fr-CA"/>
        </w:rPr>
        <w:lastRenderedPageBreak/>
        <w:t xml:space="preserve">moyen duquel on traite de questions systémiques. Il est axé sur une revendication individuelle de détention illégale, de sorte que l’élargissement de sa portée pour s’attaquer à la question plus générale de l’attribution d’une cote de sécurité excessivement élevée est une tâche périlleuse. </w:t>
      </w:r>
    </w:p>
    <w:p w14:paraId="0993F6E2" w14:textId="7ADB5529" w:rsidR="0032674A" w:rsidRPr="005147AC" w:rsidRDefault="0032674A" w:rsidP="00EE3309">
      <w:pPr>
        <w:pStyle w:val="SCCNormalDoubleSpacing"/>
        <w:spacing w:after="480"/>
        <w:rPr>
          <w:iCs/>
          <w:szCs w:val="24"/>
          <w:lang w:val="fr-CA"/>
        </w:rPr>
      </w:pPr>
      <w:r w:rsidRPr="005147AC">
        <w:rPr>
          <w:iCs/>
          <w:szCs w:val="24"/>
          <w:lang w:val="fr-CA"/>
        </w:rPr>
        <w:tab/>
        <w:t xml:space="preserve">La </w:t>
      </w:r>
      <w:r w:rsidRPr="005147AC">
        <w:rPr>
          <w:lang w:val="fr-CA"/>
        </w:rPr>
        <w:t>deuxième</w:t>
      </w:r>
      <w:r w:rsidRPr="005147AC">
        <w:rPr>
          <w:iCs/>
          <w:szCs w:val="24"/>
          <w:lang w:val="fr-CA"/>
        </w:rPr>
        <w:t xml:space="preserve"> étape dans l’analyse de l’</w:t>
      </w:r>
      <w:r w:rsidRPr="005147AC">
        <w:rPr>
          <w:i/>
          <w:iCs/>
          <w:szCs w:val="24"/>
          <w:lang w:val="fr-CA"/>
        </w:rPr>
        <w:t>habeas corpus</w:t>
      </w:r>
      <w:r w:rsidRPr="005147AC">
        <w:rPr>
          <w:iCs/>
          <w:szCs w:val="24"/>
          <w:lang w:val="fr-CA"/>
        </w:rPr>
        <w:t xml:space="preserve"> doit être renforcée et expliquée pour qu’elle puisse avoir pour effet d’écarter des demandes frivoles. Il y a désaccord avec la majorité quant à son affirmation que la portée élargie de l’</w:t>
      </w:r>
      <w:r w:rsidRPr="005147AC">
        <w:rPr>
          <w:i/>
          <w:iCs/>
          <w:szCs w:val="24"/>
          <w:lang w:val="fr-CA"/>
        </w:rPr>
        <w:t>habeas corpus</w:t>
      </w:r>
      <w:r w:rsidRPr="005147AC">
        <w:rPr>
          <w:iCs/>
          <w:szCs w:val="24"/>
          <w:lang w:val="fr-CA"/>
        </w:rPr>
        <w:t xml:space="preserve"> qu’elle propose n’entraînera pas d’avalanche de demandes parce que les tribunaux sont en mesure de refuser d’entendre une affaire sur le fond si le </w:t>
      </w:r>
      <w:r w:rsidR="009B02E7" w:rsidRPr="005147AC">
        <w:rPr>
          <w:iCs/>
          <w:szCs w:val="24"/>
          <w:lang w:val="fr-CA"/>
        </w:rPr>
        <w:t xml:space="preserve">requérant </w:t>
      </w:r>
      <w:r w:rsidRPr="005147AC">
        <w:rPr>
          <w:iCs/>
          <w:szCs w:val="24"/>
          <w:lang w:val="fr-CA"/>
        </w:rPr>
        <w:t xml:space="preserve">ne soulève pas de motif légitime à la deuxième étape de l’analyse. C’est désormais presque inévitablement le cas que l’audition de la </w:t>
      </w:r>
      <w:r w:rsidR="009B02E7" w:rsidRPr="005147AC">
        <w:rPr>
          <w:iCs/>
          <w:szCs w:val="24"/>
          <w:lang w:val="fr-CA"/>
        </w:rPr>
        <w:t xml:space="preserve">requête </w:t>
      </w:r>
      <w:r w:rsidRPr="005147AC">
        <w:rPr>
          <w:iCs/>
          <w:szCs w:val="24"/>
          <w:lang w:val="fr-CA"/>
        </w:rPr>
        <w:t>sollicitant un bref d’</w:t>
      </w:r>
      <w:r w:rsidRPr="005147AC">
        <w:rPr>
          <w:i/>
          <w:iCs/>
          <w:szCs w:val="24"/>
          <w:lang w:val="fr-CA"/>
        </w:rPr>
        <w:t>habeas corpus</w:t>
      </w:r>
      <w:r w:rsidRPr="005147AC">
        <w:rPr>
          <w:iCs/>
          <w:szCs w:val="24"/>
          <w:lang w:val="fr-CA"/>
        </w:rPr>
        <w:t xml:space="preserve"> devient une audition sur le fond.</w:t>
      </w:r>
      <w:r w:rsidRPr="005147AC">
        <w:rPr>
          <w:lang w:val="fr-CA"/>
        </w:rPr>
        <w:t xml:space="preserve"> </w:t>
      </w:r>
      <w:r w:rsidRPr="005147AC">
        <w:rPr>
          <w:iCs/>
          <w:szCs w:val="24"/>
          <w:lang w:val="fr-CA"/>
        </w:rPr>
        <w:t>En outre, il serait étonnant que les tribunaux consid</w:t>
      </w:r>
      <w:r w:rsidR="00622AA5" w:rsidRPr="005147AC">
        <w:rPr>
          <w:iCs/>
          <w:szCs w:val="24"/>
          <w:lang w:val="fr-CA"/>
        </w:rPr>
        <w:t>éreront</w:t>
      </w:r>
      <w:r w:rsidRPr="005147AC">
        <w:rPr>
          <w:iCs/>
          <w:szCs w:val="24"/>
          <w:lang w:val="fr-CA"/>
        </w:rPr>
        <w:t xml:space="preserve"> frivoles des requêtes en </w:t>
      </w:r>
      <w:r w:rsidRPr="005147AC">
        <w:rPr>
          <w:i/>
          <w:iCs/>
          <w:szCs w:val="24"/>
          <w:lang w:val="fr-CA"/>
        </w:rPr>
        <w:t>habeas corpus</w:t>
      </w:r>
      <w:r w:rsidRPr="005147AC">
        <w:rPr>
          <w:szCs w:val="24"/>
          <w:lang w:val="fr-CA"/>
        </w:rPr>
        <w:t xml:space="preserve"> portant sur des refus </w:t>
      </w:r>
      <w:r w:rsidRPr="005147AC">
        <w:rPr>
          <w:iCs/>
          <w:szCs w:val="24"/>
          <w:lang w:val="fr-CA"/>
        </w:rPr>
        <w:t>de transfèrements à des établissements à sécurité moins élevée,</w:t>
      </w:r>
      <w:r w:rsidRPr="005147AC">
        <w:rPr>
          <w:szCs w:val="24"/>
          <w:lang w:val="fr-CA"/>
        </w:rPr>
        <w:t xml:space="preserve"> </w:t>
      </w:r>
      <w:r w:rsidRPr="005147AC">
        <w:rPr>
          <w:iCs/>
          <w:szCs w:val="24"/>
          <w:lang w:val="fr-CA"/>
        </w:rPr>
        <w:t>étant donné que les détenus démontrer</w:t>
      </w:r>
      <w:r w:rsidR="00085EA2" w:rsidRPr="005147AC">
        <w:rPr>
          <w:iCs/>
          <w:szCs w:val="24"/>
          <w:lang w:val="fr-CA"/>
        </w:rPr>
        <w:t>ont</w:t>
      </w:r>
      <w:r w:rsidRPr="005147AC">
        <w:rPr>
          <w:iCs/>
          <w:szCs w:val="24"/>
          <w:lang w:val="fr-CA"/>
        </w:rPr>
        <w:t xml:space="preserve"> facilement une privation de liberté</w:t>
      </w:r>
      <w:r w:rsidRPr="005147AC">
        <w:rPr>
          <w:lang w:val="fr-CA"/>
        </w:rPr>
        <w:t>. La deuxième étape de l’analyse de l’</w:t>
      </w:r>
      <w:r w:rsidRPr="005147AC">
        <w:rPr>
          <w:i/>
          <w:lang w:val="fr-CA"/>
        </w:rPr>
        <w:t>habeas corpus</w:t>
      </w:r>
      <w:r w:rsidRPr="005147AC">
        <w:rPr>
          <w:lang w:val="fr-CA"/>
        </w:rPr>
        <w:t xml:space="preserve"> n’empêchera pas l’utilisation inadéquate du bref à laquelle les motifs de la majorité invitent étant donné que le </w:t>
      </w:r>
      <w:r w:rsidR="009B02E7" w:rsidRPr="005147AC">
        <w:rPr>
          <w:lang w:val="fr-CA"/>
        </w:rPr>
        <w:t xml:space="preserve">requérant </w:t>
      </w:r>
      <w:r w:rsidRPr="005147AC">
        <w:rPr>
          <w:lang w:val="fr-CA"/>
        </w:rPr>
        <w:t xml:space="preserve">doit seulement soulever une question défendable et présenter un fondement juridique solide à l’appui de sa </w:t>
      </w:r>
      <w:r w:rsidR="009B02E7" w:rsidRPr="005147AC">
        <w:rPr>
          <w:lang w:val="fr-CA"/>
        </w:rPr>
        <w:t>requête</w:t>
      </w:r>
      <w:r w:rsidRPr="005147AC">
        <w:rPr>
          <w:lang w:val="fr-CA"/>
        </w:rPr>
        <w:t>. La majorité n’explique pas ce que cette norme signifie ni comment l’appliquer.</w:t>
      </w:r>
    </w:p>
    <w:p w14:paraId="0C72FA98" w14:textId="348001B1" w:rsidR="0032674A" w:rsidRPr="005147AC" w:rsidRDefault="0032674A" w:rsidP="00EE3309">
      <w:pPr>
        <w:pStyle w:val="SCCNormalDoubleSpacing"/>
        <w:spacing w:after="480"/>
        <w:rPr>
          <w:lang w:val="fr-CA"/>
        </w:rPr>
      </w:pPr>
      <w:r w:rsidRPr="005147AC">
        <w:rPr>
          <w:iCs/>
          <w:szCs w:val="24"/>
          <w:lang w:val="fr-CA"/>
        </w:rPr>
        <w:tab/>
      </w:r>
      <w:r w:rsidRPr="005147AC">
        <w:rPr>
          <w:lang w:val="fr-CA"/>
        </w:rPr>
        <w:t xml:space="preserve">Le contrôle judiciaire des décisions administratives en matière correctionnelle effectué selon la norme de la décision raisonnable devrait demeurer le </w:t>
      </w:r>
      <w:r w:rsidRPr="005147AC">
        <w:rPr>
          <w:lang w:val="fr-CA"/>
        </w:rPr>
        <w:lastRenderedPageBreak/>
        <w:t xml:space="preserve">domaine exclusif de la Cour fédérale, conformément à ce que le Parlement a prévu. </w:t>
      </w:r>
      <w:r w:rsidRPr="005147AC">
        <w:rPr>
          <w:lang w:val="fr-CA" w:bidi="en-US"/>
        </w:rPr>
        <w:t>Les mécanismes de révision existants sont adéquats, et comme la Cour fédérale a l’habitude de procéder à ce type de contrôle dans le fonctionnement des établissements correctionnels, la déférence peut être accordée aux décisions des dirigeants des services correctionnels. La juridiction qu’ont les cours supérieures provinciales de délivrer des brefs d’</w:t>
      </w:r>
      <w:r w:rsidRPr="005147AC">
        <w:rPr>
          <w:i/>
          <w:lang w:val="fr-CA" w:bidi="en-US"/>
        </w:rPr>
        <w:t>habeas corpus</w:t>
      </w:r>
      <w:r w:rsidRPr="005147AC">
        <w:rPr>
          <w:lang w:val="fr-CA" w:bidi="en-US"/>
        </w:rPr>
        <w:t xml:space="preserve"> dans le contexte correctionnel n’a jamais été entièrement concurrente à la juridiction de la Cour fédérale dans le même contexte. De surcroît, en adoptant l’interprétation proposée par la majorité, il n’y aurait aucun moyen de résoudre les </w:t>
      </w:r>
      <w:r w:rsidR="007562B1" w:rsidRPr="005147AC">
        <w:rPr>
          <w:lang w:val="fr-CA" w:bidi="en-US"/>
        </w:rPr>
        <w:t>divergence</w:t>
      </w:r>
      <w:r w:rsidRPr="005147AC">
        <w:rPr>
          <w:lang w:val="fr-CA" w:bidi="en-US"/>
        </w:rPr>
        <w:t>s dans l’application de l’</w:t>
      </w:r>
      <w:r w:rsidRPr="005147AC">
        <w:rPr>
          <w:i/>
          <w:lang w:val="fr-CA" w:bidi="en-US"/>
        </w:rPr>
        <w:t>habeas corpus</w:t>
      </w:r>
      <w:r w:rsidRPr="005147AC">
        <w:rPr>
          <w:lang w:val="fr-CA" w:bidi="en-US"/>
        </w:rPr>
        <w:t xml:space="preserve"> et dans la jurisprudence qui lui est afférente, à moins de former un pourvoi auprès de la Cour, étant donné que les appels des décisions des cours supérieures sont interjetés auprès des cours d’appel des provinces. </w:t>
      </w:r>
    </w:p>
    <w:p w14:paraId="32045F6E" w14:textId="20B0F34E" w:rsidR="0032674A" w:rsidRPr="005147AC" w:rsidRDefault="0032674A" w:rsidP="0032674A">
      <w:pPr>
        <w:pStyle w:val="SCCNormalDoubleSpacing"/>
        <w:spacing w:after="480"/>
        <w:rPr>
          <w:iCs/>
          <w:szCs w:val="24"/>
          <w:lang w:val="fr-CA"/>
        </w:rPr>
      </w:pPr>
      <w:r w:rsidRPr="005147AC">
        <w:rPr>
          <w:lang w:val="fr-CA" w:bidi="en-US"/>
        </w:rPr>
        <w:tab/>
        <w:t xml:space="preserve">Il y a désaccord avec la déclaration de la majorité selon laquelle </w:t>
      </w:r>
      <w:r w:rsidRPr="005147AC">
        <w:rPr>
          <w:lang w:val="fr-CA"/>
        </w:rPr>
        <w:t xml:space="preserve">les juges des cours supérieures conservent le pouvoir discrétionnaire d’accorder d’autres réparations que la réparation par défaut que constitue le transfèrement du requérant vers un établissement où les conditions de détention sont moins restrictives. Le recours en </w:t>
      </w:r>
      <w:r w:rsidRPr="005147AC">
        <w:rPr>
          <w:i/>
          <w:lang w:val="fr-CA"/>
        </w:rPr>
        <w:t>habeas corpus</w:t>
      </w:r>
      <w:r w:rsidRPr="005147AC">
        <w:rPr>
          <w:lang w:val="fr-CA"/>
        </w:rPr>
        <w:t xml:space="preserve"> n’est pas discrétionnaire; une fois que le tribunal a déterminé que la détention est illégale, il doit remédier à l’illégalité. </w:t>
      </w:r>
      <w:r w:rsidR="008C23BA" w:rsidRPr="005147AC">
        <w:rPr>
          <w:lang w:val="fr-CA"/>
        </w:rPr>
        <w:t xml:space="preserve">En cas de succès de la requête en </w:t>
      </w:r>
      <w:r w:rsidR="008C23BA" w:rsidRPr="005147AC">
        <w:rPr>
          <w:i/>
          <w:lang w:val="fr-CA"/>
        </w:rPr>
        <w:t>habeas corpus</w:t>
      </w:r>
      <w:r w:rsidR="008C23BA" w:rsidRPr="005147AC">
        <w:rPr>
          <w:lang w:val="fr-CA"/>
        </w:rPr>
        <w:t xml:space="preserve"> dans le contexte carcéral, la cour supérieure serait tenue de transférer le détenu dans un établissement où les conditions de détention sont moins restrictives.</w:t>
      </w:r>
    </w:p>
    <w:p w14:paraId="65E0FF93" w14:textId="77777777" w:rsidR="004D7D95" w:rsidRPr="005147AC" w:rsidRDefault="004D7D95" w:rsidP="00B02886">
      <w:pPr>
        <w:pStyle w:val="SCCNormalDoubleSpacing"/>
        <w:widowControl w:val="0"/>
        <w:spacing w:after="720" w:line="240" w:lineRule="auto"/>
        <w:rPr>
          <w:b/>
          <w:lang w:val="fr-CA"/>
        </w:rPr>
      </w:pPr>
      <w:r w:rsidRPr="005147AC">
        <w:rPr>
          <w:b/>
          <w:lang w:val="fr-CA"/>
        </w:rPr>
        <w:t>Jurisprudence</w:t>
      </w:r>
    </w:p>
    <w:p w14:paraId="03B9A776" w14:textId="20D06C3A" w:rsidR="00834A74" w:rsidRPr="005147AC" w:rsidRDefault="00EA7649" w:rsidP="00B02886">
      <w:pPr>
        <w:pStyle w:val="SCCNormalDoubleSpacing"/>
        <w:widowControl w:val="0"/>
        <w:spacing w:after="720" w:line="240" w:lineRule="auto"/>
        <w:rPr>
          <w:lang w:val="fr-CA"/>
        </w:rPr>
      </w:pPr>
      <w:r w:rsidRPr="005147AC">
        <w:rPr>
          <w:lang w:val="fr-CA"/>
        </w:rPr>
        <w:lastRenderedPageBreak/>
        <w:t>Citée p</w:t>
      </w:r>
      <w:r w:rsidR="00834A74" w:rsidRPr="005147AC">
        <w:rPr>
          <w:lang w:val="fr-CA"/>
        </w:rPr>
        <w:t>ar la juge Moreau</w:t>
      </w:r>
    </w:p>
    <w:p w14:paraId="70C7631B" w14:textId="26B37069" w:rsidR="001C3E63" w:rsidRPr="005147AC" w:rsidRDefault="00834A74" w:rsidP="00B02886">
      <w:pPr>
        <w:pStyle w:val="SCCNormalDoubleSpacing"/>
        <w:widowControl w:val="0"/>
        <w:spacing w:after="480"/>
        <w:rPr>
          <w:lang w:val="en-US"/>
        </w:rPr>
      </w:pPr>
      <w:r w:rsidRPr="005147AC">
        <w:rPr>
          <w:lang w:val="fr-CA"/>
        </w:rPr>
        <w:tab/>
      </w:r>
      <w:r w:rsidR="009565E0" w:rsidRPr="005147AC">
        <w:rPr>
          <w:b/>
          <w:lang w:val="fr-CA"/>
        </w:rPr>
        <w:t>Arrêts appliqués :</w:t>
      </w:r>
      <w:r w:rsidR="009565E0" w:rsidRPr="005147AC">
        <w:rPr>
          <w:lang w:val="fr-CA"/>
        </w:rPr>
        <w:t xml:space="preserve"> </w:t>
      </w:r>
      <w:r w:rsidR="009565E0" w:rsidRPr="005147AC">
        <w:rPr>
          <w:i/>
          <w:iCs/>
          <w:lang w:val="fr-CA"/>
        </w:rPr>
        <w:t>Établissement de Mission c. Khela</w:t>
      </w:r>
      <w:r w:rsidR="009565E0" w:rsidRPr="005147AC">
        <w:rPr>
          <w:lang w:val="fr-CA"/>
        </w:rPr>
        <w:t xml:space="preserve">, 2014 CSC 24, [2014] 1 R.C.S. 502; </w:t>
      </w:r>
      <w:r w:rsidR="009565E0" w:rsidRPr="005147AC">
        <w:rPr>
          <w:i/>
          <w:iCs/>
          <w:lang w:val="fr-CA"/>
        </w:rPr>
        <w:t>Dumas c. Centre de détention Leclerc</w:t>
      </w:r>
      <w:r w:rsidR="009565E0" w:rsidRPr="005147AC">
        <w:rPr>
          <w:lang w:val="fr-CA"/>
        </w:rPr>
        <w:t xml:space="preserve">, [1986] 2 R.C.S. 459; </w:t>
      </w:r>
      <w:r w:rsidR="009565E0" w:rsidRPr="005147AC">
        <w:rPr>
          <w:b/>
          <w:lang w:val="fr-CA"/>
        </w:rPr>
        <w:t>arrêts examinés :</w:t>
      </w:r>
      <w:r w:rsidR="009565E0" w:rsidRPr="005147AC">
        <w:rPr>
          <w:lang w:val="fr-CA"/>
        </w:rPr>
        <w:t xml:space="preserve"> </w:t>
      </w:r>
      <w:r w:rsidR="009565E0" w:rsidRPr="005147AC">
        <w:rPr>
          <w:i/>
          <w:spacing w:val="-3"/>
          <w:lang w:val="fr-CA"/>
        </w:rPr>
        <w:t xml:space="preserve">R. </w:t>
      </w:r>
      <w:r w:rsidR="009565E0" w:rsidRPr="005147AC">
        <w:rPr>
          <w:i/>
          <w:iCs/>
          <w:spacing w:val="-3"/>
          <w:lang w:val="fr-CA"/>
        </w:rPr>
        <w:t>c.</w:t>
      </w:r>
      <w:r w:rsidR="009565E0" w:rsidRPr="005147AC">
        <w:rPr>
          <w:i/>
          <w:spacing w:val="-3"/>
          <w:lang w:val="fr-CA"/>
        </w:rPr>
        <w:t xml:space="preserve"> Miller</w:t>
      </w:r>
      <w:r w:rsidR="009565E0" w:rsidRPr="005147AC">
        <w:rPr>
          <w:spacing w:val="-3"/>
          <w:lang w:val="fr-CA"/>
        </w:rPr>
        <w:t>, [1985] 2 R.C.S. 613;</w:t>
      </w:r>
      <w:r w:rsidR="009565E0" w:rsidRPr="005147AC">
        <w:rPr>
          <w:i/>
          <w:iCs/>
          <w:lang w:val="fr-CA"/>
        </w:rPr>
        <w:t xml:space="preserve"> Cardinal c. Directeur de l’établissement Kent</w:t>
      </w:r>
      <w:r w:rsidR="009565E0" w:rsidRPr="005147AC">
        <w:rPr>
          <w:lang w:val="fr-CA"/>
        </w:rPr>
        <w:t xml:space="preserve">, [1985] 2 R.C.S. 643; </w:t>
      </w:r>
      <w:r w:rsidR="009565E0" w:rsidRPr="005147AC">
        <w:rPr>
          <w:b/>
          <w:lang w:val="fr-CA"/>
        </w:rPr>
        <w:t>arrêts mentionnés</w:t>
      </w:r>
      <w:r w:rsidRPr="005147AC">
        <w:rPr>
          <w:b/>
          <w:lang w:val="fr-CA"/>
        </w:rPr>
        <w:t> :</w:t>
      </w:r>
      <w:r w:rsidRPr="005147AC">
        <w:rPr>
          <w:lang w:val="fr-CA"/>
        </w:rPr>
        <w:t xml:space="preserve"> </w:t>
      </w:r>
      <w:r w:rsidR="00E32A22" w:rsidRPr="005147AC">
        <w:rPr>
          <w:i/>
          <w:iCs/>
          <w:lang w:val="fr-CA"/>
        </w:rPr>
        <w:t>Canada (Sécurité publique et Protection civile) c. Chhina</w:t>
      </w:r>
      <w:r w:rsidR="00E32A22" w:rsidRPr="005147AC">
        <w:rPr>
          <w:lang w:val="fr-CA"/>
        </w:rPr>
        <w:t xml:space="preserve">, 2019 CSC 29, [2019] 2 R.C.S. 467; </w:t>
      </w:r>
      <w:r w:rsidR="00E32A22" w:rsidRPr="005147AC">
        <w:rPr>
          <w:i/>
          <w:iCs/>
          <w:lang w:val="fr-CA"/>
        </w:rPr>
        <w:t>May c. Établissement Ferndale</w:t>
      </w:r>
      <w:r w:rsidR="00E32A22" w:rsidRPr="005147AC">
        <w:rPr>
          <w:lang w:val="fr-CA"/>
        </w:rPr>
        <w:t xml:space="preserve">, 2005 CSC 82, [2005] 3 R.C.S. 809; </w:t>
      </w:r>
      <w:r w:rsidR="00E32A22" w:rsidRPr="005147AC">
        <w:rPr>
          <w:i/>
          <w:iCs/>
          <w:lang w:val="fr-CA"/>
        </w:rPr>
        <w:t>Jones c. Cunningham</w:t>
      </w:r>
      <w:r w:rsidR="00E32A22" w:rsidRPr="005147AC">
        <w:rPr>
          <w:lang w:val="fr-CA"/>
        </w:rPr>
        <w:t xml:space="preserve">, 371 U.S. 236 (1962); </w:t>
      </w:r>
      <w:r w:rsidR="00B76954" w:rsidRPr="005147AC">
        <w:rPr>
          <w:i/>
          <w:lang w:val="fr-CA"/>
        </w:rPr>
        <w:t xml:space="preserve">John </w:t>
      </w:r>
      <w:r w:rsidR="00517BD8" w:rsidRPr="005147AC">
        <w:rPr>
          <w:i/>
          <w:lang w:val="fr-CA"/>
        </w:rPr>
        <w:t>Howard Society of Saskatchewan c</w:t>
      </w:r>
      <w:r w:rsidR="00B76954" w:rsidRPr="005147AC">
        <w:rPr>
          <w:i/>
          <w:lang w:val="fr-CA"/>
        </w:rPr>
        <w:t>. Saskatchewan (</w:t>
      </w:r>
      <w:r w:rsidR="00517BD8" w:rsidRPr="005147AC">
        <w:rPr>
          <w:i/>
          <w:lang w:val="fr-CA"/>
        </w:rPr>
        <w:t>Procureur général</w:t>
      </w:r>
      <w:r w:rsidR="00B76954" w:rsidRPr="005147AC">
        <w:rPr>
          <w:i/>
          <w:lang w:val="fr-CA"/>
        </w:rPr>
        <w:t>)</w:t>
      </w:r>
      <w:r w:rsidR="00B76954" w:rsidRPr="005147AC">
        <w:rPr>
          <w:lang w:val="fr-CA"/>
        </w:rPr>
        <w:t>,</w:t>
      </w:r>
      <w:r w:rsidR="00B76954" w:rsidRPr="005147AC">
        <w:rPr>
          <w:i/>
          <w:lang w:val="fr-CA"/>
        </w:rPr>
        <w:t xml:space="preserve"> </w:t>
      </w:r>
      <w:r w:rsidR="00517BD8" w:rsidRPr="005147AC">
        <w:rPr>
          <w:lang w:val="fr-CA"/>
        </w:rPr>
        <w:t>2025 CS</w:t>
      </w:r>
      <w:r w:rsidR="00B76954" w:rsidRPr="005147AC">
        <w:rPr>
          <w:lang w:val="fr-CA"/>
        </w:rPr>
        <w:t xml:space="preserve">C 6; </w:t>
      </w:r>
      <w:r w:rsidR="007C0B75" w:rsidRPr="005147AC">
        <w:rPr>
          <w:i/>
          <w:lang w:val="fr-CA"/>
        </w:rPr>
        <w:t>Moldovan c. Canada (Attorney General)</w:t>
      </w:r>
      <w:r w:rsidR="007C0B75" w:rsidRPr="005147AC">
        <w:rPr>
          <w:lang w:val="fr-CA"/>
        </w:rPr>
        <w:t>, 2012 ONSC 2682, 291 C.C.C. (3d) 123;</w:t>
      </w:r>
      <w:r w:rsidR="001C3E63" w:rsidRPr="005147AC">
        <w:rPr>
          <w:i/>
          <w:iCs/>
          <w:lang w:val="fr-CA"/>
        </w:rPr>
        <w:t xml:space="preserve"> </w:t>
      </w:r>
      <w:r w:rsidR="0089730C" w:rsidRPr="005147AC">
        <w:rPr>
          <w:i/>
          <w:iCs/>
          <w:lang w:val="fr-CA"/>
        </w:rPr>
        <w:t>Borowski c. Canada (Procureur général)</w:t>
      </w:r>
      <w:r w:rsidR="00E32A22" w:rsidRPr="005147AC">
        <w:rPr>
          <w:lang w:val="fr-CA"/>
        </w:rPr>
        <w:t>, [1989] 1 R.C.S. 342</w:t>
      </w:r>
      <w:r w:rsidR="00CD57B8" w:rsidRPr="005147AC">
        <w:rPr>
          <w:lang w:val="fr-CA"/>
        </w:rPr>
        <w:t>;</w:t>
      </w:r>
      <w:r w:rsidR="00664CA2" w:rsidRPr="005147AC">
        <w:rPr>
          <w:i/>
          <w:spacing w:val="-3"/>
          <w:lang w:val="fr-CA"/>
        </w:rPr>
        <w:t xml:space="preserve"> </w:t>
      </w:r>
      <w:r w:rsidR="00664CA2" w:rsidRPr="005147AC">
        <w:rPr>
          <w:i/>
          <w:iCs/>
          <w:lang w:val="fr-CA"/>
        </w:rPr>
        <w:t>Morin c. Comité national chargé de l’examen des cas d’unités spéciales de détention</w:t>
      </w:r>
      <w:r w:rsidR="00664CA2" w:rsidRPr="005147AC">
        <w:rPr>
          <w:lang w:val="fr-CA"/>
        </w:rPr>
        <w:t>, [1985] 2 R.C.S. 662;</w:t>
      </w:r>
      <w:r w:rsidR="002775C9" w:rsidRPr="005147AC">
        <w:rPr>
          <w:i/>
          <w:lang w:val="fr-CA"/>
        </w:rPr>
        <w:t xml:space="preserve"> R. c. Gamble</w:t>
      </w:r>
      <w:r w:rsidR="002775C9" w:rsidRPr="005147AC">
        <w:rPr>
          <w:lang w:val="fr-CA"/>
        </w:rPr>
        <w:t>, [1988] 2 R.C.S. 595;</w:t>
      </w:r>
      <w:r w:rsidR="002775C9" w:rsidRPr="005147AC">
        <w:rPr>
          <w:i/>
          <w:iCs/>
          <w:lang w:val="fr-CA"/>
        </w:rPr>
        <w:t xml:space="preserve"> Canada (Ministre de la Citoyenneté et de l’Immigration) c. Vavilov</w:t>
      </w:r>
      <w:r w:rsidR="002775C9" w:rsidRPr="005147AC">
        <w:rPr>
          <w:lang w:val="fr-CA"/>
        </w:rPr>
        <w:t>, 2019 CSC 65, [2019] 4 R.C.S. 653;</w:t>
      </w:r>
      <w:r w:rsidR="00C6246B" w:rsidRPr="005147AC">
        <w:rPr>
          <w:i/>
          <w:lang w:val="fr-CA" w:bidi="en-US"/>
        </w:rPr>
        <w:t xml:space="preserve"> Mapara c. Ferndale Institution (Warden)</w:t>
      </w:r>
      <w:r w:rsidR="00C6246B" w:rsidRPr="005147AC">
        <w:rPr>
          <w:lang w:val="fr-CA" w:bidi="en-US"/>
        </w:rPr>
        <w:t xml:space="preserve">, 2012 BCCA 127, 318 B.C.A.C. </w:t>
      </w:r>
      <w:r w:rsidR="00890E4E" w:rsidRPr="005147AC">
        <w:rPr>
          <w:lang w:val="fr-CA" w:bidi="en-US"/>
        </w:rPr>
        <w:t>139</w:t>
      </w:r>
      <w:r w:rsidR="00C6246B" w:rsidRPr="005147AC">
        <w:rPr>
          <w:lang w:val="fr-CA" w:bidi="en-US"/>
        </w:rPr>
        <w:t>;</w:t>
      </w:r>
      <w:r w:rsidR="00C6246B" w:rsidRPr="005147AC">
        <w:rPr>
          <w:i/>
          <w:lang w:val="fr-CA" w:bidi="en-US"/>
        </w:rPr>
        <w:t xml:space="preserve"> Lord c. Coulter</w:t>
      </w:r>
      <w:r w:rsidR="00C6246B" w:rsidRPr="005147AC">
        <w:rPr>
          <w:lang w:val="fr-CA" w:bidi="en-US"/>
        </w:rPr>
        <w:t>, 2007 BCSC 1758, 72 Admin</w:t>
      </w:r>
      <w:r w:rsidR="00370F2E" w:rsidRPr="005147AC">
        <w:rPr>
          <w:lang w:val="fr-CA" w:bidi="en-US"/>
        </w:rPr>
        <w:t>.</w:t>
      </w:r>
      <w:r w:rsidR="00C6246B" w:rsidRPr="005147AC">
        <w:rPr>
          <w:lang w:val="fr-CA" w:bidi="en-US"/>
        </w:rPr>
        <w:t xml:space="preserve"> </w:t>
      </w:r>
      <w:r w:rsidR="00C6246B" w:rsidRPr="005147AC">
        <w:rPr>
          <w:lang w:bidi="en-US"/>
        </w:rPr>
        <w:t>L.R. (4th) 264, conf. par 2009 BCCA 62, 266 B.C.A.C. 122;</w:t>
      </w:r>
      <w:r w:rsidR="00C6246B" w:rsidRPr="005147AC">
        <w:rPr>
          <w:i/>
          <w:lang w:bidi="en-US"/>
        </w:rPr>
        <w:t xml:space="preserve"> Rain c. Canada (Parole Board)</w:t>
      </w:r>
      <w:r w:rsidR="00C6246B" w:rsidRPr="005147AC">
        <w:rPr>
          <w:lang w:bidi="en-US"/>
        </w:rPr>
        <w:t>, 2015 ABQB 639;</w:t>
      </w:r>
      <w:r w:rsidR="00C6246B" w:rsidRPr="005147AC">
        <w:rPr>
          <w:i/>
          <w:lang w:bidi="en-US"/>
        </w:rPr>
        <w:t xml:space="preserve"> Ewanchuk c. Canada (Attorney General)</w:t>
      </w:r>
      <w:r w:rsidR="00C6246B" w:rsidRPr="005147AC">
        <w:rPr>
          <w:lang w:bidi="en-US"/>
        </w:rPr>
        <w:t>, 2017 ABQB 237, 354 C.C.C. (3d) 119;</w:t>
      </w:r>
      <w:r w:rsidR="00C6246B" w:rsidRPr="005147AC">
        <w:rPr>
          <w:i/>
          <w:lang w:bidi="en-US"/>
        </w:rPr>
        <w:t xml:space="preserve"> Mennes c. Canada (Attorney General)</w:t>
      </w:r>
      <w:r w:rsidR="00C6246B" w:rsidRPr="005147AC">
        <w:rPr>
          <w:lang w:bidi="en-US"/>
        </w:rPr>
        <w:t>, 2008 CanLII 6424;</w:t>
      </w:r>
      <w:r w:rsidR="006F78A4" w:rsidRPr="005147AC">
        <w:rPr>
          <w:i/>
        </w:rPr>
        <w:t xml:space="preserve"> Ewert c</w:t>
      </w:r>
      <w:r w:rsidR="000953C9" w:rsidRPr="005147AC">
        <w:rPr>
          <w:i/>
        </w:rPr>
        <w:t>. Canada</w:t>
      </w:r>
      <w:r w:rsidR="000953C9" w:rsidRPr="005147AC">
        <w:t xml:space="preserve">, 2018 </w:t>
      </w:r>
      <w:r w:rsidR="00432D0F" w:rsidRPr="005147AC">
        <w:t>CSC</w:t>
      </w:r>
      <w:r w:rsidR="000953C9" w:rsidRPr="005147AC">
        <w:t xml:space="preserve"> 30, [2018] 2 </w:t>
      </w:r>
      <w:r w:rsidR="00432D0F" w:rsidRPr="005147AC">
        <w:t>R.C.</w:t>
      </w:r>
      <w:r w:rsidR="000953C9" w:rsidRPr="005147AC">
        <w:t>S. 165;</w:t>
      </w:r>
      <w:r w:rsidR="00432E74" w:rsidRPr="005147AC">
        <w:rPr>
          <w:i/>
        </w:rPr>
        <w:t xml:space="preserve"> Reza c. Canada</w:t>
      </w:r>
      <w:r w:rsidR="00432E74" w:rsidRPr="005147AC">
        <w:t>, [1994] 2 R.C.S. 394;</w:t>
      </w:r>
      <w:r w:rsidR="008D6533" w:rsidRPr="005147AC">
        <w:rPr>
          <w:i/>
        </w:rPr>
        <w:t xml:space="preserve"> Ogiamien c. Ontario (Community Safety and Correctional Services)</w:t>
      </w:r>
      <w:r w:rsidR="008D6533" w:rsidRPr="005147AC">
        <w:t>, 2017 ONCA 839, 55 Imm. L.R. (4th) 220;</w:t>
      </w:r>
      <w:r w:rsidR="008D6533" w:rsidRPr="005147AC">
        <w:rPr>
          <w:i/>
        </w:rPr>
        <w:t xml:space="preserve"> Leinen c. Mission Institution (Warden)</w:t>
      </w:r>
      <w:r w:rsidR="008D6533" w:rsidRPr="005147AC">
        <w:t>, 2025 BCCA 257</w:t>
      </w:r>
      <w:r w:rsidR="00F94D42" w:rsidRPr="005147AC">
        <w:t>.</w:t>
      </w:r>
    </w:p>
    <w:p w14:paraId="4D52801C" w14:textId="0FCCA588" w:rsidR="00834A74" w:rsidRPr="005147AC" w:rsidRDefault="00EA7649" w:rsidP="00B02886">
      <w:pPr>
        <w:pStyle w:val="SCCNormalDoubleSpacing"/>
        <w:widowControl w:val="0"/>
        <w:spacing w:after="720" w:line="240" w:lineRule="auto"/>
        <w:rPr>
          <w:lang w:val="fr-CA"/>
        </w:rPr>
      </w:pPr>
      <w:r w:rsidRPr="005147AC">
        <w:rPr>
          <w:lang w:val="fr-CA"/>
        </w:rPr>
        <w:lastRenderedPageBreak/>
        <w:t>Citée p</w:t>
      </w:r>
      <w:r w:rsidR="00834A74" w:rsidRPr="005147AC">
        <w:rPr>
          <w:lang w:val="fr-CA"/>
        </w:rPr>
        <w:t>ar les juges Côté et Rowe</w:t>
      </w:r>
      <w:r w:rsidRPr="005147AC">
        <w:rPr>
          <w:lang w:val="fr-CA"/>
        </w:rPr>
        <w:t xml:space="preserve"> (dissidents)</w:t>
      </w:r>
    </w:p>
    <w:p w14:paraId="71099EBE" w14:textId="4F3A5C28" w:rsidR="00834A74" w:rsidRPr="005147AC" w:rsidRDefault="00834A74" w:rsidP="00B02886">
      <w:pPr>
        <w:pStyle w:val="SCCNormalDoubleSpacing"/>
        <w:widowControl w:val="0"/>
        <w:spacing w:after="480"/>
        <w:rPr>
          <w:b/>
        </w:rPr>
      </w:pPr>
      <w:r w:rsidRPr="005147AC">
        <w:rPr>
          <w:lang w:val="fr-CA"/>
        </w:rPr>
        <w:tab/>
      </w:r>
      <w:r w:rsidR="00547971" w:rsidRPr="005147AC">
        <w:rPr>
          <w:i/>
          <w:lang w:val="fr-CA"/>
        </w:rPr>
        <w:t>Dumas c. Centre de détention Leclerc</w:t>
      </w:r>
      <w:r w:rsidR="00547971" w:rsidRPr="005147AC">
        <w:rPr>
          <w:lang w:val="fr-CA"/>
        </w:rPr>
        <w:t xml:space="preserve">, [1986] 2 R.C.S. 459; </w:t>
      </w:r>
      <w:r w:rsidR="003D7DB8" w:rsidRPr="005147AC">
        <w:rPr>
          <w:i/>
          <w:lang w:val="fr-CA"/>
        </w:rPr>
        <w:t>Canada (Ministre de la Citoyenneté et de l’Immigration) c. Vavilov</w:t>
      </w:r>
      <w:r w:rsidR="003D7DB8" w:rsidRPr="005147AC">
        <w:rPr>
          <w:lang w:val="fr-CA"/>
        </w:rPr>
        <w:t xml:space="preserve">, 2019 CSC 65, [2019] 4 R.C.S. 653; </w:t>
      </w:r>
      <w:r w:rsidR="00805088" w:rsidRPr="005147AC">
        <w:rPr>
          <w:i/>
          <w:lang w:val="fr-CA"/>
        </w:rPr>
        <w:t>R.</w:t>
      </w:r>
      <w:r w:rsidR="00BE6E3D" w:rsidRPr="005147AC">
        <w:rPr>
          <w:i/>
          <w:lang w:val="fr-CA"/>
        </w:rPr>
        <w:t xml:space="preserve"> </w:t>
      </w:r>
      <w:r w:rsidR="00805088" w:rsidRPr="005147AC">
        <w:rPr>
          <w:i/>
          <w:lang w:val="fr-CA"/>
        </w:rPr>
        <w:t>(L.V.) c. Mountain Institution</w:t>
      </w:r>
      <w:r w:rsidR="00805088" w:rsidRPr="005147AC">
        <w:rPr>
          <w:lang w:val="fr-CA"/>
        </w:rPr>
        <w:t xml:space="preserve">, 2016 BCCA 467, 346 C.C.C. (3d) 254; </w:t>
      </w:r>
      <w:r w:rsidR="00B97C0B" w:rsidRPr="005147AC">
        <w:rPr>
          <w:i/>
          <w:lang w:val="fr-CA"/>
        </w:rPr>
        <w:t>Établissement de Mission c. Khela</w:t>
      </w:r>
      <w:r w:rsidR="00B97C0B" w:rsidRPr="005147AC">
        <w:rPr>
          <w:lang w:val="fr-CA"/>
        </w:rPr>
        <w:t>,</w:t>
      </w:r>
      <w:r w:rsidR="00B97C0B" w:rsidRPr="005147AC">
        <w:rPr>
          <w:i/>
          <w:lang w:val="fr-CA"/>
        </w:rPr>
        <w:t xml:space="preserve"> </w:t>
      </w:r>
      <w:r w:rsidR="00B97C0B" w:rsidRPr="005147AC">
        <w:rPr>
          <w:lang w:val="fr-CA"/>
        </w:rPr>
        <w:t xml:space="preserve">2014 CSC 24, [2014] 1 R.C.S. 502; </w:t>
      </w:r>
      <w:r w:rsidR="00B5167F" w:rsidRPr="005147AC">
        <w:rPr>
          <w:i/>
          <w:lang w:val="fr-CA"/>
        </w:rPr>
        <w:t>May c. Établissement Ferndale</w:t>
      </w:r>
      <w:r w:rsidR="00B5167F" w:rsidRPr="005147AC">
        <w:rPr>
          <w:lang w:val="fr-CA"/>
        </w:rPr>
        <w:t xml:space="preserve">, 2005 CSC 82, [2005] 3 R.C.S. 809; </w:t>
      </w:r>
      <w:r w:rsidR="00EB2E11" w:rsidRPr="005147AC">
        <w:rPr>
          <w:i/>
          <w:lang w:val="fr-CA"/>
        </w:rPr>
        <w:t>Phillip c. D.P.P.</w:t>
      </w:r>
      <w:r w:rsidR="00EB2E11" w:rsidRPr="005147AC">
        <w:rPr>
          <w:lang w:val="fr-CA"/>
        </w:rPr>
        <w:t>, [1992] 1 A.C. 545;</w:t>
      </w:r>
      <w:r w:rsidR="004032B7" w:rsidRPr="005147AC">
        <w:rPr>
          <w:i/>
          <w:iCs/>
          <w:lang w:val="fr-CA"/>
        </w:rPr>
        <w:t xml:space="preserve"> Martineau c. </w:t>
      </w:r>
      <w:r w:rsidR="008B2312" w:rsidRPr="005147AC">
        <w:rPr>
          <w:i/>
          <w:iCs/>
          <w:lang w:val="fr-CA"/>
        </w:rPr>
        <w:t>Comité de discipline de l’Institution de Matsqui</w:t>
      </w:r>
      <w:r w:rsidR="004032B7" w:rsidRPr="005147AC">
        <w:rPr>
          <w:iCs/>
          <w:lang w:val="fr-CA"/>
        </w:rPr>
        <w:t>,</w:t>
      </w:r>
      <w:r w:rsidR="004032B7" w:rsidRPr="005147AC">
        <w:rPr>
          <w:i/>
          <w:iCs/>
          <w:lang w:val="fr-CA"/>
        </w:rPr>
        <w:t xml:space="preserve"> </w:t>
      </w:r>
      <w:r w:rsidR="004032B7" w:rsidRPr="005147AC">
        <w:rPr>
          <w:lang w:val="fr-CA"/>
        </w:rPr>
        <w:t xml:space="preserve">[1980] 1 R.C.S. 602; </w:t>
      </w:r>
      <w:r w:rsidR="00EE3178" w:rsidRPr="005147AC">
        <w:rPr>
          <w:i/>
          <w:lang w:val="fr-CA"/>
        </w:rPr>
        <w:t>R. c. Miller</w:t>
      </w:r>
      <w:r w:rsidR="00EE3178" w:rsidRPr="005147AC">
        <w:rPr>
          <w:lang w:val="fr-CA"/>
        </w:rPr>
        <w:t xml:space="preserve">, [1985] 2 R.C.S. 613; </w:t>
      </w:r>
      <w:r w:rsidR="00272A51" w:rsidRPr="005147AC">
        <w:rPr>
          <w:i/>
          <w:lang w:val="fr-CA"/>
        </w:rPr>
        <w:t>Cardinal c</w:t>
      </w:r>
      <w:r w:rsidR="00EE3178" w:rsidRPr="005147AC">
        <w:rPr>
          <w:i/>
          <w:lang w:val="fr-CA"/>
        </w:rPr>
        <w:t xml:space="preserve">. </w:t>
      </w:r>
      <w:r w:rsidR="00272A51" w:rsidRPr="005147AC">
        <w:rPr>
          <w:i/>
          <w:lang w:val="fr-CA"/>
        </w:rPr>
        <w:t>Directeur de l’établissement Kent</w:t>
      </w:r>
      <w:r w:rsidR="00EE3178" w:rsidRPr="005147AC">
        <w:rPr>
          <w:lang w:val="fr-CA"/>
        </w:rPr>
        <w:t xml:space="preserve">, [1985] 2 </w:t>
      </w:r>
      <w:r w:rsidR="009651BE" w:rsidRPr="005147AC">
        <w:rPr>
          <w:lang w:val="fr-CA"/>
        </w:rPr>
        <w:t>R.C.</w:t>
      </w:r>
      <w:r w:rsidR="00EE3178" w:rsidRPr="005147AC">
        <w:rPr>
          <w:lang w:val="fr-CA"/>
        </w:rPr>
        <w:t xml:space="preserve">S. 643; </w:t>
      </w:r>
      <w:r w:rsidR="00EE3178" w:rsidRPr="005147AC">
        <w:rPr>
          <w:i/>
          <w:lang w:val="fr-CA"/>
        </w:rPr>
        <w:t xml:space="preserve">Morin </w:t>
      </w:r>
      <w:r w:rsidR="00D52A34" w:rsidRPr="005147AC">
        <w:rPr>
          <w:i/>
          <w:lang w:val="fr-CA"/>
        </w:rPr>
        <w:t>c</w:t>
      </w:r>
      <w:r w:rsidR="00EE3178" w:rsidRPr="005147AC">
        <w:rPr>
          <w:i/>
          <w:lang w:val="fr-CA"/>
        </w:rPr>
        <w:t xml:space="preserve">. </w:t>
      </w:r>
      <w:r w:rsidR="00D52A34" w:rsidRPr="005147AC">
        <w:rPr>
          <w:i/>
          <w:lang w:val="fr-CA"/>
        </w:rPr>
        <w:t>Comité national chargé de l’examen des cas d’unités spéciales de détention</w:t>
      </w:r>
      <w:r w:rsidR="00EE3178" w:rsidRPr="005147AC">
        <w:rPr>
          <w:lang w:val="fr-CA"/>
        </w:rPr>
        <w:t xml:space="preserve">, [1985] 2 </w:t>
      </w:r>
      <w:r w:rsidR="00D52A34" w:rsidRPr="005147AC">
        <w:rPr>
          <w:lang w:val="fr-CA"/>
        </w:rPr>
        <w:t>R.C.</w:t>
      </w:r>
      <w:r w:rsidR="00EE3178" w:rsidRPr="005147AC">
        <w:rPr>
          <w:lang w:val="fr-CA"/>
        </w:rPr>
        <w:t>S. 662;</w:t>
      </w:r>
      <w:r w:rsidR="00412EB8" w:rsidRPr="005147AC">
        <w:rPr>
          <w:i/>
          <w:lang w:val="fr-CA"/>
        </w:rPr>
        <w:t xml:space="preserve"> Jones c. Cunningham</w:t>
      </w:r>
      <w:r w:rsidR="00412EB8" w:rsidRPr="005147AC">
        <w:rPr>
          <w:lang w:val="fr-CA"/>
        </w:rPr>
        <w:t xml:space="preserve">, 371 U.S. 236 (1962); </w:t>
      </w:r>
      <w:r w:rsidR="00A248D4" w:rsidRPr="005147AC">
        <w:rPr>
          <w:i/>
          <w:lang w:val="fr-CA"/>
        </w:rPr>
        <w:t xml:space="preserve">Peiroo </w:t>
      </w:r>
      <w:r w:rsidR="00AF1103" w:rsidRPr="005147AC">
        <w:rPr>
          <w:i/>
          <w:lang w:val="fr-CA"/>
        </w:rPr>
        <w:t>c</w:t>
      </w:r>
      <w:r w:rsidR="00A248D4" w:rsidRPr="005147AC">
        <w:rPr>
          <w:i/>
          <w:lang w:val="fr-CA"/>
        </w:rPr>
        <w:t>. Canada (Minister of Employment and Immigration)</w:t>
      </w:r>
      <w:r w:rsidR="00A248D4" w:rsidRPr="005147AC">
        <w:rPr>
          <w:lang w:val="fr-CA"/>
        </w:rPr>
        <w:t xml:space="preserve"> (1989), 69 O.R. (2d) 253; </w:t>
      </w:r>
      <w:r w:rsidR="00A20F74" w:rsidRPr="005147AC">
        <w:rPr>
          <w:i/>
          <w:lang w:val="fr-CA"/>
        </w:rPr>
        <w:t>Canada (Sécurité publique et Protection civile) c. Chhina</w:t>
      </w:r>
      <w:r w:rsidR="00A20F74" w:rsidRPr="005147AC">
        <w:rPr>
          <w:lang w:val="fr-CA"/>
        </w:rPr>
        <w:t xml:space="preserve">, 2019 CSC 29, [2019] 2 R.C.S. 467; </w:t>
      </w:r>
      <w:r w:rsidR="00E332D7" w:rsidRPr="005147AC">
        <w:rPr>
          <w:i/>
          <w:lang w:val="fr-CA"/>
        </w:rPr>
        <w:t>R. c. Gamble</w:t>
      </w:r>
      <w:r w:rsidR="00E332D7" w:rsidRPr="005147AC">
        <w:rPr>
          <w:lang w:val="fr-CA"/>
        </w:rPr>
        <w:t xml:space="preserve">, [1988] 2 R.C.S. 595; </w:t>
      </w:r>
      <w:r w:rsidR="00754E2E" w:rsidRPr="005147AC">
        <w:rPr>
          <w:i/>
          <w:lang w:val="fr-CA" w:bidi="en-US"/>
        </w:rPr>
        <w:t xml:space="preserve">Mapara </w:t>
      </w:r>
      <w:r w:rsidR="00A17F5F" w:rsidRPr="005147AC">
        <w:rPr>
          <w:i/>
          <w:lang w:val="fr-CA" w:bidi="en-US"/>
        </w:rPr>
        <w:t>c</w:t>
      </w:r>
      <w:r w:rsidR="00754E2E" w:rsidRPr="005147AC">
        <w:rPr>
          <w:i/>
          <w:lang w:val="fr-CA" w:bidi="en-US"/>
        </w:rPr>
        <w:t>. Ferndale Institution (Warden)</w:t>
      </w:r>
      <w:r w:rsidR="00754E2E" w:rsidRPr="005147AC">
        <w:rPr>
          <w:lang w:val="fr-CA" w:bidi="en-US"/>
        </w:rPr>
        <w:t xml:space="preserve">, 2012 BCCA 127, 318 B.C.A.C. 139; </w:t>
      </w:r>
      <w:r w:rsidR="00DC5D91" w:rsidRPr="005147AC">
        <w:rPr>
          <w:i/>
          <w:lang w:val="fr-CA" w:bidi="en-US"/>
        </w:rPr>
        <w:t xml:space="preserve">Lord </w:t>
      </w:r>
      <w:r w:rsidR="001B1AF1" w:rsidRPr="005147AC">
        <w:rPr>
          <w:i/>
          <w:lang w:val="fr-CA" w:bidi="en-US"/>
        </w:rPr>
        <w:t>c</w:t>
      </w:r>
      <w:r w:rsidR="00DC5D91" w:rsidRPr="005147AC">
        <w:rPr>
          <w:i/>
          <w:lang w:val="fr-CA" w:bidi="en-US"/>
        </w:rPr>
        <w:t>. Coulter</w:t>
      </w:r>
      <w:r w:rsidR="00DC5D91" w:rsidRPr="005147AC">
        <w:rPr>
          <w:lang w:val="fr-CA" w:bidi="en-US"/>
        </w:rPr>
        <w:t xml:space="preserve">, 2007 BCSC 1758, 72 Admin. </w:t>
      </w:r>
      <w:r w:rsidR="00DC5D91" w:rsidRPr="005147AC">
        <w:rPr>
          <w:lang w:bidi="en-US"/>
        </w:rPr>
        <w:t>L.R. (4th) 264;</w:t>
      </w:r>
      <w:r w:rsidR="001B1AF1" w:rsidRPr="005147AC">
        <w:rPr>
          <w:lang w:bidi="en-US"/>
        </w:rPr>
        <w:t xml:space="preserve"> </w:t>
      </w:r>
      <w:r w:rsidR="006920BA" w:rsidRPr="005147AC">
        <w:rPr>
          <w:i/>
          <w:iCs/>
          <w:shd w:val="clear" w:color="auto" w:fill="FFFFFF"/>
        </w:rPr>
        <w:t>Ewanchuk c. Canada (Attorney General)</w:t>
      </w:r>
      <w:r w:rsidR="006920BA" w:rsidRPr="005147AC">
        <w:rPr>
          <w:shd w:val="clear" w:color="auto" w:fill="FFFFFF"/>
        </w:rPr>
        <w:t>, 2017 ABQB 237, 354 C.C.C. (3d) 119;</w:t>
      </w:r>
      <w:r w:rsidR="006920BA" w:rsidRPr="005147AC">
        <w:rPr>
          <w:i/>
          <w:iCs/>
          <w:shd w:val="clear" w:color="auto" w:fill="FFFFFF"/>
        </w:rPr>
        <w:t xml:space="preserve"> </w:t>
      </w:r>
      <w:r w:rsidR="0019289A" w:rsidRPr="005147AC">
        <w:rPr>
          <w:i/>
          <w:lang w:bidi="en-US"/>
        </w:rPr>
        <w:t>Rain c. Canada (Parole Board)</w:t>
      </w:r>
      <w:r w:rsidR="0019289A" w:rsidRPr="005147AC">
        <w:rPr>
          <w:lang w:bidi="en-US"/>
        </w:rPr>
        <w:t xml:space="preserve">, 2015 ABQB 639; </w:t>
      </w:r>
      <w:r w:rsidR="00F37B2A" w:rsidRPr="005147AC">
        <w:rPr>
          <w:i/>
        </w:rPr>
        <w:t>Latham c. Her Majesty the Queen</w:t>
      </w:r>
      <w:r w:rsidR="00F37B2A" w:rsidRPr="005147AC">
        <w:t xml:space="preserve">, 2018 ABQB 69, </w:t>
      </w:r>
      <w:r w:rsidR="00F37B2A" w:rsidRPr="005147AC">
        <w:rPr>
          <w:lang w:bidi="en-US"/>
        </w:rPr>
        <w:t xml:space="preserve">72 Alta. L.R. (6th) 357; </w:t>
      </w:r>
      <w:r w:rsidR="007043E9" w:rsidRPr="005147AC">
        <w:rPr>
          <w:i/>
        </w:rPr>
        <w:t>R. c. Olson</w:t>
      </w:r>
      <w:r w:rsidR="007043E9" w:rsidRPr="005147AC">
        <w:t xml:space="preserve">, [1989] 1 R.C.S. 296; </w:t>
      </w:r>
      <w:r w:rsidR="00E55A7C" w:rsidRPr="005147AC">
        <w:rPr>
          <w:i/>
        </w:rPr>
        <w:t xml:space="preserve">Mackinnon </w:t>
      </w:r>
      <w:r w:rsidR="00681D0F" w:rsidRPr="005147AC">
        <w:rPr>
          <w:i/>
        </w:rPr>
        <w:t>c</w:t>
      </w:r>
      <w:r w:rsidR="00E55A7C" w:rsidRPr="005147AC">
        <w:rPr>
          <w:i/>
        </w:rPr>
        <w:t xml:space="preserve">. </w:t>
      </w:r>
      <w:r w:rsidR="00681D0F" w:rsidRPr="005147AC">
        <w:rPr>
          <w:i/>
        </w:rPr>
        <w:t>Directeur de l’Établissement Bowden</w:t>
      </w:r>
      <w:r w:rsidR="00E55A7C" w:rsidRPr="005147AC">
        <w:t>,</w:t>
      </w:r>
      <w:r w:rsidR="00E55A7C" w:rsidRPr="005147AC">
        <w:rPr>
          <w:i/>
        </w:rPr>
        <w:t xml:space="preserve"> </w:t>
      </w:r>
      <w:r w:rsidR="00E55A7C" w:rsidRPr="005147AC">
        <w:t>2016 CA</w:t>
      </w:r>
      <w:r w:rsidR="00EF3829" w:rsidRPr="005147AC">
        <w:t>F</w:t>
      </w:r>
      <w:r w:rsidR="00E55A7C" w:rsidRPr="005147AC">
        <w:t xml:space="preserve"> 14; </w:t>
      </w:r>
      <w:r w:rsidR="00E73DF0" w:rsidRPr="005147AC">
        <w:rPr>
          <w:i/>
        </w:rPr>
        <w:t xml:space="preserve">Forner c. </w:t>
      </w:r>
      <w:r w:rsidR="002D313B" w:rsidRPr="005147AC">
        <w:rPr>
          <w:i/>
        </w:rPr>
        <w:t>Institut professionnel de la fonction publique du Canada</w:t>
      </w:r>
      <w:r w:rsidR="00E73DF0" w:rsidRPr="005147AC">
        <w:t xml:space="preserve">, 2016 CAF 35; </w:t>
      </w:r>
      <w:r w:rsidR="00AA20D4" w:rsidRPr="005147AC">
        <w:rPr>
          <w:i/>
          <w:iCs/>
          <w:shd w:val="clear" w:color="auto" w:fill="FFFFFF"/>
        </w:rPr>
        <w:t xml:space="preserve">Nova Scotia (Attorney General) </w:t>
      </w:r>
      <w:r w:rsidR="006C0A02" w:rsidRPr="005147AC">
        <w:rPr>
          <w:i/>
          <w:iCs/>
          <w:shd w:val="clear" w:color="auto" w:fill="FFFFFF"/>
        </w:rPr>
        <w:t>c</w:t>
      </w:r>
      <w:r w:rsidR="00AA20D4" w:rsidRPr="005147AC">
        <w:rPr>
          <w:i/>
          <w:iCs/>
          <w:shd w:val="clear" w:color="auto" w:fill="FFFFFF"/>
        </w:rPr>
        <w:t>. Diggs and Wilband</w:t>
      </w:r>
      <w:r w:rsidR="00AA20D4" w:rsidRPr="005147AC">
        <w:rPr>
          <w:shd w:val="clear" w:color="auto" w:fill="FFFFFF"/>
        </w:rPr>
        <w:t xml:space="preserve">, 2025 NSCA 20; </w:t>
      </w:r>
      <w:r w:rsidR="003C4CF4" w:rsidRPr="005147AC">
        <w:rPr>
          <w:i/>
          <w:iCs/>
          <w:shd w:val="clear" w:color="auto" w:fill="FFFFFF"/>
        </w:rPr>
        <w:t>R. c. Haug</w:t>
      </w:r>
      <w:r w:rsidR="003C4CF4" w:rsidRPr="005147AC">
        <w:rPr>
          <w:shd w:val="clear" w:color="auto" w:fill="FFFFFF"/>
        </w:rPr>
        <w:t xml:space="preserve">, 2011 ABCA 153, 502 A.R. 392; </w:t>
      </w:r>
      <w:r w:rsidR="00E274C0" w:rsidRPr="005147AC">
        <w:rPr>
          <w:i/>
          <w:iCs/>
          <w:shd w:val="clear" w:color="auto" w:fill="FFFFFF"/>
        </w:rPr>
        <w:t>Moldovan c. Canada (Attorney General)</w:t>
      </w:r>
      <w:r w:rsidR="00E274C0" w:rsidRPr="005147AC">
        <w:rPr>
          <w:shd w:val="clear" w:color="auto" w:fill="FFFFFF"/>
        </w:rPr>
        <w:t xml:space="preserve">, 2012 ONSC 2682, 291 C.C.C. (3d) 123; </w:t>
      </w:r>
      <w:r w:rsidR="00923EB5" w:rsidRPr="005147AC">
        <w:rPr>
          <w:i/>
        </w:rPr>
        <w:t xml:space="preserve">Ogiamien c. Ontario (Community Safety and Correctional </w:t>
      </w:r>
      <w:r w:rsidR="00923EB5" w:rsidRPr="005147AC">
        <w:rPr>
          <w:i/>
        </w:rPr>
        <w:lastRenderedPageBreak/>
        <w:t>Services)</w:t>
      </w:r>
      <w:r w:rsidR="00923EB5" w:rsidRPr="005147AC">
        <w:t>,</w:t>
      </w:r>
      <w:r w:rsidR="00923EB5" w:rsidRPr="005147AC">
        <w:rPr>
          <w:i/>
        </w:rPr>
        <w:t xml:space="preserve"> </w:t>
      </w:r>
      <w:r w:rsidR="00923EB5" w:rsidRPr="005147AC">
        <w:t xml:space="preserve">2017 ONCA 839, 55 Imm. L.R. (4th) 220; </w:t>
      </w:r>
      <w:r w:rsidR="001E500F" w:rsidRPr="005147AC">
        <w:rPr>
          <w:i/>
        </w:rPr>
        <w:t xml:space="preserve">Scotland </w:t>
      </w:r>
      <w:r w:rsidR="00F066A4" w:rsidRPr="005147AC">
        <w:rPr>
          <w:i/>
        </w:rPr>
        <w:t>c</w:t>
      </w:r>
      <w:r w:rsidR="001E500F" w:rsidRPr="005147AC">
        <w:rPr>
          <w:i/>
        </w:rPr>
        <w:t>. Canada (Attorney General)</w:t>
      </w:r>
      <w:r w:rsidR="001E500F" w:rsidRPr="005147AC">
        <w:t xml:space="preserve">, 2017 ONSC 4850, 139 O.R. (3d) 191; </w:t>
      </w:r>
      <w:r w:rsidR="0078338A" w:rsidRPr="005147AC">
        <w:rPr>
          <w:i/>
        </w:rPr>
        <w:t>Ali c. Canada (Minister of Public Safety and Emergency Preparedness)</w:t>
      </w:r>
      <w:r w:rsidR="0078338A" w:rsidRPr="005147AC">
        <w:t>, 2017 ONSC 2660, 137 O.R. (3d) 498</w:t>
      </w:r>
      <w:r w:rsidR="00584FD6" w:rsidRPr="005147AC">
        <w:t>.</w:t>
      </w:r>
    </w:p>
    <w:p w14:paraId="58B21AE5" w14:textId="77777777" w:rsidR="004D7D95" w:rsidRPr="005147AC" w:rsidRDefault="004D7D95" w:rsidP="00B02886">
      <w:pPr>
        <w:pStyle w:val="SCCNormalDoubleSpacing"/>
        <w:spacing w:after="720" w:line="240" w:lineRule="auto"/>
        <w:rPr>
          <w:b/>
          <w:lang w:val="fr-CA"/>
        </w:rPr>
      </w:pPr>
      <w:r w:rsidRPr="005147AC">
        <w:rPr>
          <w:b/>
          <w:lang w:val="fr-CA"/>
        </w:rPr>
        <w:t>Lois et règlements cités</w:t>
      </w:r>
    </w:p>
    <w:p w14:paraId="57A0F135" w14:textId="26840C39" w:rsidR="007C0B75" w:rsidRPr="005147AC" w:rsidRDefault="007C0B75" w:rsidP="00B02886">
      <w:pPr>
        <w:pStyle w:val="SCCNormalDoubleSpacing"/>
        <w:spacing w:after="240" w:line="240" w:lineRule="auto"/>
        <w:ind w:left="540" w:hanging="540"/>
        <w:rPr>
          <w:iCs/>
          <w:lang w:val="fr-CA"/>
        </w:rPr>
      </w:pPr>
      <w:r w:rsidRPr="005147AC">
        <w:rPr>
          <w:i/>
          <w:iCs/>
          <w:lang w:val="fr-CA"/>
        </w:rPr>
        <w:t>Charte canadienne des droits et libertés</w:t>
      </w:r>
      <w:r w:rsidRPr="005147AC">
        <w:rPr>
          <w:iCs/>
          <w:lang w:val="fr-CA"/>
        </w:rPr>
        <w:t>, art. 7, 9, 10c), 12</w:t>
      </w:r>
      <w:r w:rsidR="005378AA" w:rsidRPr="005147AC">
        <w:rPr>
          <w:szCs w:val="24"/>
          <w:lang w:val="fr-CA"/>
        </w:rPr>
        <w:t>, 24(1)</w:t>
      </w:r>
      <w:r w:rsidRPr="005147AC">
        <w:rPr>
          <w:iCs/>
          <w:lang w:val="fr-CA"/>
        </w:rPr>
        <w:t>.</w:t>
      </w:r>
    </w:p>
    <w:p w14:paraId="3E26D13D" w14:textId="77A62C7F" w:rsidR="009814C0" w:rsidRPr="005147AC" w:rsidRDefault="009814C0" w:rsidP="00B02886">
      <w:pPr>
        <w:pStyle w:val="SCCNormalDoubleSpacing"/>
        <w:spacing w:after="240" w:line="240" w:lineRule="auto"/>
        <w:ind w:left="540" w:hanging="540"/>
        <w:rPr>
          <w:lang w:val="fr-CA"/>
        </w:rPr>
      </w:pPr>
      <w:r w:rsidRPr="005147AC">
        <w:rPr>
          <w:i/>
          <w:iCs/>
          <w:lang w:val="fr-CA"/>
        </w:rPr>
        <w:t>Code criminel</w:t>
      </w:r>
      <w:r w:rsidR="00B02886" w:rsidRPr="005147AC">
        <w:rPr>
          <w:lang w:val="fr-CA"/>
        </w:rPr>
        <w:t>, L.R.C. 1985, c. </w:t>
      </w:r>
      <w:r w:rsidRPr="005147AC">
        <w:rPr>
          <w:lang w:val="fr-CA"/>
        </w:rPr>
        <w:t>C</w:t>
      </w:r>
      <w:r w:rsidRPr="005147AC">
        <w:rPr>
          <w:lang w:val="fr-CA"/>
        </w:rPr>
        <w:noBreakHyphen/>
        <w:t>46.</w:t>
      </w:r>
    </w:p>
    <w:p w14:paraId="20058AC9" w14:textId="2B024940" w:rsidR="009E7A22" w:rsidRPr="005147AC" w:rsidRDefault="009E7A22" w:rsidP="00B02886">
      <w:pPr>
        <w:pStyle w:val="SCCNormalDoubleSpacing"/>
        <w:spacing w:after="240" w:line="240" w:lineRule="auto"/>
        <w:ind w:left="540" w:hanging="540"/>
        <w:rPr>
          <w:szCs w:val="24"/>
          <w:lang w:val="fr-CA"/>
        </w:rPr>
      </w:pPr>
      <w:r w:rsidRPr="005147AC">
        <w:rPr>
          <w:i/>
          <w:iCs/>
          <w:lang w:val="fr-CA"/>
        </w:rPr>
        <w:t>Code de procédure civile</w:t>
      </w:r>
      <w:r w:rsidRPr="005147AC">
        <w:rPr>
          <w:lang w:val="fr-CA"/>
        </w:rPr>
        <w:t>, RLRQ, c. C</w:t>
      </w:r>
      <w:r w:rsidRPr="005147AC">
        <w:rPr>
          <w:lang w:val="fr-CA"/>
        </w:rPr>
        <w:noBreakHyphen/>
        <w:t xml:space="preserve">25.01, </w:t>
      </w:r>
      <w:r w:rsidR="00420FAC" w:rsidRPr="005147AC">
        <w:rPr>
          <w:lang w:val="fr-CA"/>
        </w:rPr>
        <w:t>art</w:t>
      </w:r>
      <w:r w:rsidRPr="005147AC">
        <w:rPr>
          <w:lang w:val="fr-CA"/>
        </w:rPr>
        <w:t>. 399.</w:t>
      </w:r>
    </w:p>
    <w:p w14:paraId="04F9CC94" w14:textId="05AB0317" w:rsidR="0089730C" w:rsidRPr="005147AC" w:rsidRDefault="0089730C" w:rsidP="00B02886">
      <w:pPr>
        <w:pStyle w:val="SCCNormalDoubleSpacing"/>
        <w:spacing w:after="240" w:line="240" w:lineRule="auto"/>
        <w:ind w:left="540" w:hanging="540"/>
        <w:rPr>
          <w:i/>
          <w:iCs/>
          <w:lang w:val="en-US"/>
        </w:rPr>
      </w:pPr>
      <w:r w:rsidRPr="005147AC">
        <w:rPr>
          <w:i/>
          <w:iCs/>
        </w:rPr>
        <w:t>Habeas Corpus Act, 1679</w:t>
      </w:r>
      <w:r w:rsidR="00B02886" w:rsidRPr="005147AC">
        <w:t xml:space="preserve"> (Angl.), 31 Cha. </w:t>
      </w:r>
      <w:r w:rsidR="008176E9" w:rsidRPr="005147AC">
        <w:t>2, c</w:t>
      </w:r>
      <w:r w:rsidRPr="005147AC">
        <w:t>. 2.</w:t>
      </w:r>
      <w:r w:rsidRPr="005147AC">
        <w:rPr>
          <w:i/>
          <w:iCs/>
          <w:lang w:val="en-US"/>
        </w:rPr>
        <w:t xml:space="preserve"> </w:t>
      </w:r>
    </w:p>
    <w:p w14:paraId="3A1A6AFA" w14:textId="5F1C63D1" w:rsidR="002775C9" w:rsidRPr="005147AC" w:rsidRDefault="002775C9" w:rsidP="00B02886">
      <w:pPr>
        <w:pStyle w:val="SCCNormalDoubleSpacing"/>
        <w:spacing w:after="240" w:line="240" w:lineRule="auto"/>
        <w:rPr>
          <w:i/>
          <w:iCs/>
          <w:lang w:val="fr-CA"/>
        </w:rPr>
      </w:pPr>
      <w:r w:rsidRPr="005147AC">
        <w:rPr>
          <w:i/>
          <w:iCs/>
          <w:lang w:val="fr-CA"/>
        </w:rPr>
        <w:t>Loi sur l’habeas corpus</w:t>
      </w:r>
      <w:r w:rsidRPr="005147AC">
        <w:rPr>
          <w:lang w:val="fr-CA"/>
        </w:rPr>
        <w:t>,</w:t>
      </w:r>
      <w:r w:rsidR="00B02886" w:rsidRPr="005147AC">
        <w:rPr>
          <w:i/>
          <w:iCs/>
          <w:lang w:val="fr-CA"/>
        </w:rPr>
        <w:t xml:space="preserve"> </w:t>
      </w:r>
      <w:r w:rsidRPr="005147AC">
        <w:rPr>
          <w:lang w:val="fr-CA"/>
        </w:rPr>
        <w:t>L.R.O. 1990, c. H.1, art. 1(1)</w:t>
      </w:r>
      <w:r w:rsidR="00315B89" w:rsidRPr="005147AC">
        <w:rPr>
          <w:lang w:val="fr-CA"/>
        </w:rPr>
        <w:t>, (2)</w:t>
      </w:r>
      <w:r w:rsidRPr="005147AC">
        <w:rPr>
          <w:lang w:val="fr-CA"/>
        </w:rPr>
        <w:t>.</w:t>
      </w:r>
      <w:r w:rsidRPr="005147AC">
        <w:rPr>
          <w:i/>
          <w:iCs/>
          <w:lang w:val="fr-CA"/>
        </w:rPr>
        <w:t xml:space="preserve"> </w:t>
      </w:r>
    </w:p>
    <w:p w14:paraId="2286C433" w14:textId="5D815AFA" w:rsidR="002775C9" w:rsidRPr="005147AC" w:rsidRDefault="002775C9" w:rsidP="00B02886">
      <w:pPr>
        <w:pStyle w:val="SCCNormalDoubleSpacing"/>
        <w:spacing w:after="240" w:line="240" w:lineRule="auto"/>
        <w:ind w:left="540" w:hanging="540"/>
        <w:rPr>
          <w:lang w:val="fr-CA"/>
        </w:rPr>
      </w:pPr>
      <w:r w:rsidRPr="005147AC">
        <w:rPr>
          <w:i/>
          <w:iCs/>
          <w:lang w:val="fr-CA"/>
        </w:rPr>
        <w:t>Loi sur le système correctionnel et la mise en liberté sous condition</w:t>
      </w:r>
      <w:r w:rsidRPr="005147AC">
        <w:rPr>
          <w:lang w:val="fr-CA"/>
        </w:rPr>
        <w:t>, L.C. 1992, c. 20, art. </w:t>
      </w:r>
      <w:r w:rsidR="00F73414" w:rsidRPr="005147AC">
        <w:rPr>
          <w:lang w:val="fr-CA"/>
        </w:rPr>
        <w:t xml:space="preserve">4c), </w:t>
      </w:r>
      <w:r w:rsidRPr="005147AC">
        <w:rPr>
          <w:lang w:val="fr-CA"/>
        </w:rPr>
        <w:t>28, 30, 97, 98.</w:t>
      </w:r>
    </w:p>
    <w:p w14:paraId="1C955354" w14:textId="4EEBDAC5" w:rsidR="00F94D42" w:rsidRPr="005147AC" w:rsidRDefault="00F94D42" w:rsidP="00B02886">
      <w:pPr>
        <w:pStyle w:val="SCCNormalDoubleSpacing"/>
        <w:spacing w:after="240" w:line="240" w:lineRule="auto"/>
        <w:ind w:left="540" w:hanging="540"/>
        <w:rPr>
          <w:lang w:val="fr-CA"/>
        </w:rPr>
      </w:pPr>
      <w:r w:rsidRPr="005147AC">
        <w:rPr>
          <w:i/>
          <w:iCs/>
          <w:lang w:val="fr-CA"/>
        </w:rPr>
        <w:t>Loi sur les Cours fédérales</w:t>
      </w:r>
      <w:r w:rsidRPr="005147AC">
        <w:rPr>
          <w:lang w:val="fr-CA"/>
        </w:rPr>
        <w:t>, L.R.C. 1985, c. F</w:t>
      </w:r>
      <w:r w:rsidRPr="005147AC">
        <w:rPr>
          <w:lang w:val="fr-CA"/>
        </w:rPr>
        <w:noBreakHyphen/>
        <w:t>7, art. 18.1(2).</w:t>
      </w:r>
    </w:p>
    <w:p w14:paraId="201CFB1D" w14:textId="7A7578E3" w:rsidR="009814C0" w:rsidRPr="005147AC" w:rsidRDefault="009814C0" w:rsidP="00B02886">
      <w:pPr>
        <w:pStyle w:val="SCCNormalDoubleSpacing"/>
        <w:spacing w:after="240" w:line="240" w:lineRule="auto"/>
        <w:ind w:left="540" w:hanging="540"/>
        <w:rPr>
          <w:lang w:val="fr-CA"/>
        </w:rPr>
      </w:pPr>
      <w:r w:rsidRPr="005147AC">
        <w:rPr>
          <w:i/>
          <w:iCs/>
          <w:lang w:val="fr-CA"/>
        </w:rPr>
        <w:t>Règlement sur le système correctionnel et la mise en liberté sous condition</w:t>
      </w:r>
      <w:r w:rsidRPr="005147AC">
        <w:rPr>
          <w:lang w:val="fr-CA"/>
        </w:rPr>
        <w:t>, DORS/92</w:t>
      </w:r>
      <w:r w:rsidRPr="005147AC">
        <w:rPr>
          <w:lang w:val="fr-CA"/>
        </w:rPr>
        <w:noBreakHyphen/>
        <w:t>620, art. 17, 18b), c).</w:t>
      </w:r>
    </w:p>
    <w:p w14:paraId="536B88EF" w14:textId="120599AA" w:rsidR="009814C0" w:rsidRPr="005147AC" w:rsidRDefault="009814C0" w:rsidP="00B02886">
      <w:pPr>
        <w:pStyle w:val="SCCNormalDoubleSpacing"/>
        <w:spacing w:after="720" w:line="240" w:lineRule="auto"/>
        <w:ind w:left="540" w:hanging="540"/>
        <w:rPr>
          <w:lang w:val="fr-CA"/>
        </w:rPr>
      </w:pPr>
      <w:r w:rsidRPr="005147AC">
        <w:rPr>
          <w:i/>
          <w:iCs/>
          <w:lang w:val="fr-CA"/>
        </w:rPr>
        <w:t>Règles des Cours fédérales</w:t>
      </w:r>
      <w:r w:rsidRPr="005147AC">
        <w:rPr>
          <w:lang w:val="fr-CA"/>
        </w:rPr>
        <w:t>, DORS/98</w:t>
      </w:r>
      <w:r w:rsidRPr="005147AC">
        <w:rPr>
          <w:lang w:val="fr-CA"/>
        </w:rPr>
        <w:noBreakHyphen/>
        <w:t>106, règles 301 à 314.</w:t>
      </w:r>
    </w:p>
    <w:p w14:paraId="4B56CB27" w14:textId="77777777" w:rsidR="004D7D95" w:rsidRPr="005147AC" w:rsidRDefault="004D7D95" w:rsidP="00B02886">
      <w:pPr>
        <w:pStyle w:val="SCCNormalDoubleSpacing"/>
        <w:spacing w:after="720" w:line="240" w:lineRule="auto"/>
        <w:rPr>
          <w:b/>
          <w:lang w:val="fr-CA"/>
        </w:rPr>
      </w:pPr>
      <w:r w:rsidRPr="005147AC">
        <w:rPr>
          <w:b/>
          <w:lang w:val="fr-CA"/>
        </w:rPr>
        <w:t>Doctrine et autres documents cités</w:t>
      </w:r>
    </w:p>
    <w:p w14:paraId="02B7F0B9" w14:textId="160AC451" w:rsidR="008176E9" w:rsidRPr="005147AC" w:rsidRDefault="00B02886" w:rsidP="008176E9">
      <w:pPr>
        <w:pStyle w:val="sccnormaldoublespacing0"/>
        <w:spacing w:before="0" w:beforeAutospacing="0" w:after="240" w:afterAutospacing="0"/>
        <w:ind w:left="547" w:hanging="547"/>
        <w:jc w:val="both"/>
      </w:pPr>
      <w:r w:rsidRPr="005147AC">
        <w:t xml:space="preserve">Blackstone, William. </w:t>
      </w:r>
      <w:r w:rsidR="009562A0" w:rsidRPr="005147AC">
        <w:rPr>
          <w:i/>
          <w:iCs/>
        </w:rPr>
        <w:t>Commentaires sur les lois anglaises</w:t>
      </w:r>
      <w:r w:rsidR="009562A0" w:rsidRPr="005147AC">
        <w:t>, t. IV, traduit par N. M. Chompré, Paris, Bossange, 1823.</w:t>
      </w:r>
    </w:p>
    <w:p w14:paraId="30BA4DCF" w14:textId="0CA5A87A" w:rsidR="009814C0" w:rsidRPr="005147AC" w:rsidRDefault="009814C0" w:rsidP="00B02886">
      <w:pPr>
        <w:pStyle w:val="sccnormaldoublespacing0"/>
        <w:spacing w:before="0" w:beforeAutospacing="0" w:after="240" w:afterAutospacing="0"/>
        <w:ind w:left="547" w:hanging="547"/>
        <w:jc w:val="both"/>
      </w:pPr>
      <w:r w:rsidRPr="005147AC">
        <w:t xml:space="preserve">Canada. Service correctionnel. </w:t>
      </w:r>
      <w:r w:rsidRPr="005147AC">
        <w:rPr>
          <w:i/>
          <w:iCs/>
        </w:rPr>
        <w:t>Directive du commissaire 081 : Plaintes et griefs des délinquants</w:t>
      </w:r>
      <w:r w:rsidRPr="005147AC">
        <w:t xml:space="preserve">, </w:t>
      </w:r>
      <w:r w:rsidR="00B02886" w:rsidRPr="005147AC">
        <w:t>28 </w:t>
      </w:r>
      <w:r w:rsidRPr="005147AC">
        <w:t xml:space="preserve">juin 2019 (en ligne : https://www.canada.ca/fr/service-correctionnel/organisation/lois-reglements-politiques/directives-commissaire/081.html; version archivée : </w:t>
      </w:r>
      <w:hyperlink r:id="rId9" w:history="1">
        <w:r w:rsidRPr="0003087B">
          <w:rPr>
            <w:rStyle w:val="Hyperlien"/>
          </w:rPr>
          <w:t>https://www.scc-csc.ca/cso-dce/2025SCC-CSC</w:t>
        </w:r>
        <w:r w:rsidR="0021166F" w:rsidRPr="0003087B">
          <w:rPr>
            <w:rStyle w:val="Hyperlien"/>
          </w:rPr>
          <w:t>38</w:t>
        </w:r>
        <w:r w:rsidRPr="0003087B">
          <w:rPr>
            <w:rStyle w:val="Hyperlien"/>
          </w:rPr>
          <w:t>_1_fra.pdf</w:t>
        </w:r>
      </w:hyperlink>
      <w:r w:rsidRPr="005147AC">
        <w:t>).</w:t>
      </w:r>
    </w:p>
    <w:p w14:paraId="7647B8F1" w14:textId="481413ED" w:rsidR="009814C0" w:rsidRPr="005147AC" w:rsidRDefault="009814C0" w:rsidP="00B02886">
      <w:pPr>
        <w:pStyle w:val="sccnormaldoublespacing0"/>
        <w:spacing w:before="0" w:beforeAutospacing="0" w:after="240" w:afterAutospacing="0"/>
        <w:ind w:left="547" w:hanging="547"/>
        <w:jc w:val="both"/>
      </w:pPr>
      <w:r w:rsidRPr="005147AC">
        <w:lastRenderedPageBreak/>
        <w:t xml:space="preserve">Canada. Service correctionnel. </w:t>
      </w:r>
      <w:r w:rsidRPr="005147AC">
        <w:rPr>
          <w:i/>
          <w:iCs/>
        </w:rPr>
        <w:t>Directive du commissaire 705-7 : Cote de sécurité et placement pénitentiaire</w:t>
      </w:r>
      <w:r w:rsidRPr="005147AC">
        <w:t xml:space="preserve">, </w:t>
      </w:r>
      <w:r w:rsidR="00B02886" w:rsidRPr="005147AC">
        <w:t>15</w:t>
      </w:r>
      <w:r w:rsidR="00836992" w:rsidRPr="005147AC">
        <w:t> </w:t>
      </w:r>
      <w:r w:rsidRPr="005147AC">
        <w:t xml:space="preserve">janvier 2018 (en ligne : https://www.canada.ca/fr/service-correctionnel/organisation/lois-reglements-politiques/directives-commissaire/705-7.html; version archivée : </w:t>
      </w:r>
      <w:hyperlink r:id="rId10" w:history="1">
        <w:r w:rsidRPr="0003087B">
          <w:rPr>
            <w:rStyle w:val="Hyperlien"/>
          </w:rPr>
          <w:t>https://www.scc-csc.ca/cso-dce/2025SCC-CSC</w:t>
        </w:r>
        <w:r w:rsidR="0021166F" w:rsidRPr="0003087B">
          <w:rPr>
            <w:rStyle w:val="Hyperlien"/>
          </w:rPr>
          <w:t>38</w:t>
        </w:r>
        <w:r w:rsidR="00F349AA" w:rsidRPr="0003087B">
          <w:rPr>
            <w:rStyle w:val="Hyperlien"/>
          </w:rPr>
          <w:t>_2</w:t>
        </w:r>
        <w:r w:rsidRPr="0003087B">
          <w:rPr>
            <w:rStyle w:val="Hyperlien"/>
          </w:rPr>
          <w:t>_fra.pdf</w:t>
        </w:r>
      </w:hyperlink>
      <w:r w:rsidRPr="005147AC">
        <w:t>).</w:t>
      </w:r>
    </w:p>
    <w:p w14:paraId="2994CCE2" w14:textId="307D7319" w:rsidR="009A0C15" w:rsidRPr="005147AC" w:rsidRDefault="009814C0" w:rsidP="00B02886">
      <w:pPr>
        <w:pStyle w:val="sccnormaldoublespacing0"/>
        <w:spacing w:before="0" w:beforeAutospacing="0" w:after="240" w:afterAutospacing="0"/>
        <w:ind w:left="547" w:hanging="547"/>
        <w:jc w:val="both"/>
      </w:pPr>
      <w:r w:rsidRPr="005147AC">
        <w:t xml:space="preserve">Canada. Service correctionnel. </w:t>
      </w:r>
      <w:r w:rsidRPr="005147AC">
        <w:rPr>
          <w:i/>
          <w:iCs/>
        </w:rPr>
        <w:t>Directive du commissaire 710-6 : Réévaluation de la cote de sécurité des détenus</w:t>
      </w:r>
      <w:r w:rsidRPr="005147AC">
        <w:t xml:space="preserve">, </w:t>
      </w:r>
      <w:r w:rsidR="00B02886" w:rsidRPr="005147AC">
        <w:t>30 </w:t>
      </w:r>
      <w:r w:rsidRPr="005147AC">
        <w:t xml:space="preserve">novembre 2019 (en ligne : https://www.canada.ca/fr/service-correctionnel/organisation/lois-reglements-politiques/directives-commissaire/710-6.html; version archivée : </w:t>
      </w:r>
      <w:hyperlink r:id="rId11" w:history="1">
        <w:r w:rsidR="009A0C15" w:rsidRPr="0003087B">
          <w:rPr>
            <w:rStyle w:val="Hyperlien"/>
          </w:rPr>
          <w:t>https://www.scc-csc.ca/cso-dce/2025SCC-CSC</w:t>
        </w:r>
        <w:r w:rsidR="00941445" w:rsidRPr="0003087B">
          <w:rPr>
            <w:rStyle w:val="Hyperlien"/>
          </w:rPr>
          <w:t>38</w:t>
        </w:r>
        <w:r w:rsidR="009A0C15" w:rsidRPr="0003087B">
          <w:rPr>
            <w:rStyle w:val="Hyperlien"/>
          </w:rPr>
          <w:t>_</w:t>
        </w:r>
        <w:r w:rsidR="00F349AA" w:rsidRPr="0003087B">
          <w:rPr>
            <w:rStyle w:val="Hyperlien"/>
          </w:rPr>
          <w:t>3</w:t>
        </w:r>
        <w:r w:rsidR="009A0C15" w:rsidRPr="0003087B">
          <w:rPr>
            <w:rStyle w:val="Hyperlien"/>
          </w:rPr>
          <w:t>_fra.pdf</w:t>
        </w:r>
      </w:hyperlink>
      <w:r w:rsidRPr="005147AC">
        <w:t>).</w:t>
      </w:r>
    </w:p>
    <w:p w14:paraId="10925D03" w14:textId="2AF2CB7F" w:rsidR="00BB2808" w:rsidRPr="005147AC" w:rsidRDefault="00BB2808" w:rsidP="00B02886">
      <w:pPr>
        <w:pStyle w:val="SCCNormalDoubleSpacing"/>
        <w:spacing w:after="240" w:line="240" w:lineRule="auto"/>
        <w:ind w:left="540" w:hanging="540"/>
        <w:rPr>
          <w:szCs w:val="24"/>
          <w:lang w:val="en-US"/>
        </w:rPr>
      </w:pPr>
      <w:r w:rsidRPr="005147AC">
        <w:rPr>
          <w:i/>
        </w:rPr>
        <w:t>De Smith’s Judicial Review</w:t>
      </w:r>
      <w:r w:rsidRPr="005147AC">
        <w:t>, 9</w:t>
      </w:r>
      <w:r w:rsidRPr="005147AC">
        <w:rPr>
          <w:vertAlign w:val="superscript"/>
        </w:rPr>
        <w:t>e</w:t>
      </w:r>
      <w:r w:rsidR="00BE6E3D" w:rsidRPr="005147AC">
        <w:t xml:space="preserve"> </w:t>
      </w:r>
      <w:r w:rsidRPr="005147AC">
        <w:t>éd. par Ivan</w:t>
      </w:r>
      <w:r w:rsidR="008F2D44" w:rsidRPr="005147AC">
        <w:t xml:space="preserve"> </w:t>
      </w:r>
      <w:r w:rsidRPr="005147AC">
        <w:t>Hare, Catherine</w:t>
      </w:r>
      <w:r w:rsidR="00836992" w:rsidRPr="005147AC">
        <w:t xml:space="preserve"> </w:t>
      </w:r>
      <w:r w:rsidRPr="005147AC">
        <w:t>Donnelly et Joanna</w:t>
      </w:r>
      <w:r w:rsidR="00836992" w:rsidRPr="005147AC">
        <w:t xml:space="preserve"> </w:t>
      </w:r>
      <w:r w:rsidRPr="005147AC">
        <w:t>Bell, dir., London, Sweet &amp; Maxwell, 2023.</w:t>
      </w:r>
    </w:p>
    <w:p w14:paraId="0D8EFDCD" w14:textId="2F34A062" w:rsidR="009A0C15" w:rsidRPr="005147AC" w:rsidRDefault="00B02886" w:rsidP="00B02886">
      <w:pPr>
        <w:pStyle w:val="sccnormaldoublespacing0"/>
        <w:spacing w:before="0" w:beforeAutospacing="0" w:after="240" w:afterAutospacing="0"/>
        <w:ind w:left="547" w:hanging="547"/>
        <w:jc w:val="both"/>
        <w:rPr>
          <w:lang w:val="en-US"/>
        </w:rPr>
      </w:pPr>
      <w:r w:rsidRPr="005147AC">
        <w:rPr>
          <w:lang w:val="en-US"/>
        </w:rPr>
        <w:t>Duker, William </w:t>
      </w:r>
      <w:r w:rsidR="00C558D0" w:rsidRPr="005147AC">
        <w:rPr>
          <w:lang w:val="en-US"/>
        </w:rPr>
        <w:t xml:space="preserve">F. </w:t>
      </w:r>
      <w:r w:rsidR="00C558D0" w:rsidRPr="005147AC">
        <w:rPr>
          <w:i/>
          <w:lang w:val="en-US"/>
        </w:rPr>
        <w:t>A Constitutional History of Habeas Corpus</w:t>
      </w:r>
      <w:r w:rsidR="00C558D0" w:rsidRPr="005147AC">
        <w:rPr>
          <w:lang w:val="en-US"/>
        </w:rPr>
        <w:t>, Westport (Ct.), Greenwood Press, 1980.</w:t>
      </w:r>
    </w:p>
    <w:p w14:paraId="40845092" w14:textId="465DDDE5" w:rsidR="009A0C15" w:rsidRPr="005147AC" w:rsidRDefault="00B02886" w:rsidP="00B02886">
      <w:pPr>
        <w:pStyle w:val="sccnormaldoublespacing0"/>
        <w:spacing w:before="0" w:beforeAutospacing="0" w:after="240" w:afterAutospacing="0"/>
        <w:ind w:left="547" w:hanging="547"/>
        <w:jc w:val="both"/>
        <w:rPr>
          <w:lang w:val="en-US"/>
        </w:rPr>
      </w:pPr>
      <w:r w:rsidRPr="005147AC">
        <w:rPr>
          <w:lang w:val="en-US"/>
        </w:rPr>
        <w:t>Farbey, Judith</w:t>
      </w:r>
      <w:r w:rsidR="00210F19" w:rsidRPr="005147AC">
        <w:rPr>
          <w:lang w:val="en-US"/>
        </w:rPr>
        <w:t>,</w:t>
      </w:r>
      <w:r w:rsidRPr="005147AC">
        <w:rPr>
          <w:lang w:val="en-US"/>
        </w:rPr>
        <w:t xml:space="preserve"> et R</w:t>
      </w:r>
      <w:r w:rsidR="00556C9D" w:rsidRPr="005147AC">
        <w:rPr>
          <w:lang w:val="en-US"/>
        </w:rPr>
        <w:t>obert</w:t>
      </w:r>
      <w:r w:rsidRPr="005147AC">
        <w:rPr>
          <w:lang w:val="en-US"/>
        </w:rPr>
        <w:t> </w:t>
      </w:r>
      <w:r w:rsidR="0089730C" w:rsidRPr="005147AC">
        <w:rPr>
          <w:lang w:val="en-US"/>
        </w:rPr>
        <w:t xml:space="preserve">J. Sharpe, avec </w:t>
      </w:r>
      <w:r w:rsidR="009814C0" w:rsidRPr="005147AC">
        <w:rPr>
          <w:lang w:val="en-US"/>
        </w:rPr>
        <w:t xml:space="preserve">Simon Atrill. </w:t>
      </w:r>
      <w:r w:rsidR="009814C0" w:rsidRPr="005147AC">
        <w:rPr>
          <w:i/>
          <w:iCs/>
          <w:lang w:val="en-US"/>
        </w:rPr>
        <w:t>The Law of Habeas Corpus</w:t>
      </w:r>
      <w:r w:rsidR="009814C0" w:rsidRPr="005147AC">
        <w:rPr>
          <w:lang w:val="en-US"/>
        </w:rPr>
        <w:t>, 3</w:t>
      </w:r>
      <w:r w:rsidR="009814C0" w:rsidRPr="005147AC">
        <w:rPr>
          <w:vertAlign w:val="superscript"/>
          <w:lang w:val="en-US"/>
        </w:rPr>
        <w:t>e</w:t>
      </w:r>
      <w:r w:rsidR="00836992" w:rsidRPr="005147AC">
        <w:rPr>
          <w:lang w:val="en-US"/>
        </w:rPr>
        <w:t xml:space="preserve"> </w:t>
      </w:r>
      <w:r w:rsidR="009814C0" w:rsidRPr="005147AC">
        <w:rPr>
          <w:lang w:val="en-US"/>
        </w:rPr>
        <w:t>éd., New York, Oxford University Press, 2011.</w:t>
      </w:r>
    </w:p>
    <w:p w14:paraId="3929A299" w14:textId="2F13D166" w:rsidR="0071104A" w:rsidRPr="005147AC" w:rsidRDefault="0071104A" w:rsidP="00B02886">
      <w:pPr>
        <w:pStyle w:val="sccnormaldoublespacing0"/>
        <w:spacing w:before="0" w:beforeAutospacing="0" w:after="240" w:afterAutospacing="0"/>
        <w:ind w:left="547" w:hanging="547"/>
        <w:jc w:val="both"/>
        <w:rPr>
          <w:lang w:val="en-US"/>
        </w:rPr>
      </w:pPr>
      <w:r w:rsidRPr="005147AC">
        <w:rPr>
          <w:lang w:val="en-CA"/>
        </w:rPr>
        <w:t xml:space="preserve">Parkes, Debra. « The “Great Writ” Reinvigorated? </w:t>
      </w:r>
      <w:r w:rsidRPr="005147AC">
        <w:rPr>
          <w:i/>
          <w:lang w:val="en-CA"/>
        </w:rPr>
        <w:t>Habeas Corpus</w:t>
      </w:r>
      <w:r w:rsidRPr="005147AC">
        <w:rPr>
          <w:lang w:val="en-CA"/>
        </w:rPr>
        <w:t xml:space="preserve"> in Contemporary Canada » (2012), 36:1 </w:t>
      </w:r>
      <w:r w:rsidRPr="005147AC">
        <w:rPr>
          <w:i/>
          <w:lang w:val="en-CA"/>
        </w:rPr>
        <w:t>Man. L.J.</w:t>
      </w:r>
      <w:r w:rsidRPr="005147AC">
        <w:rPr>
          <w:lang w:val="en-CA"/>
        </w:rPr>
        <w:t xml:space="preserve"> 351.</w:t>
      </w:r>
    </w:p>
    <w:p w14:paraId="3CB8B5A4" w14:textId="686B9FBA" w:rsidR="00687FEF" w:rsidRPr="005147AC" w:rsidRDefault="00687FEF" w:rsidP="00B02886">
      <w:pPr>
        <w:pStyle w:val="SCCNormalDoubleSpacing"/>
        <w:spacing w:after="720" w:line="240" w:lineRule="auto"/>
        <w:ind w:left="540" w:hanging="540"/>
        <w:rPr>
          <w:lang w:val="fr-CA"/>
        </w:rPr>
      </w:pPr>
      <w:r w:rsidRPr="005147AC">
        <w:rPr>
          <w:rFonts w:eastAsiaTheme="majorEastAsia"/>
          <w:lang w:val="fr-CA"/>
        </w:rPr>
        <w:t>Salhany</w:t>
      </w:r>
      <w:r w:rsidRPr="005147AC">
        <w:rPr>
          <w:lang w:val="fr-CA"/>
        </w:rPr>
        <w:t>, R. E.</w:t>
      </w:r>
      <w:r w:rsidR="00B02886" w:rsidRPr="005147AC">
        <w:rPr>
          <w:lang w:val="fr-CA"/>
        </w:rPr>
        <w:t xml:space="preserve"> </w:t>
      </w:r>
      <w:r w:rsidRPr="005147AC">
        <w:rPr>
          <w:rFonts w:eastAsiaTheme="majorEastAsia"/>
          <w:i/>
          <w:iCs/>
          <w:lang w:val="fr-CA"/>
        </w:rPr>
        <w:t>Canadian Criminal Procedure</w:t>
      </w:r>
      <w:r w:rsidRPr="005147AC">
        <w:rPr>
          <w:lang w:val="fr-CA"/>
        </w:rPr>
        <w:t>, 6</w:t>
      </w:r>
      <w:r w:rsidRPr="005147AC">
        <w:rPr>
          <w:vertAlign w:val="superscript"/>
          <w:lang w:val="fr-CA"/>
        </w:rPr>
        <w:t>e</w:t>
      </w:r>
      <w:r w:rsidR="00836992" w:rsidRPr="005147AC">
        <w:rPr>
          <w:lang w:val="fr-CA"/>
        </w:rPr>
        <w:t xml:space="preserve"> </w:t>
      </w:r>
      <w:r w:rsidRPr="005147AC">
        <w:rPr>
          <w:lang w:val="fr-CA"/>
        </w:rPr>
        <w:t>éd., Toronto, Thomson Reuters, 2025 (feuilles mobiles mises à jour avril 2025, envoi n</w:t>
      </w:r>
      <w:r w:rsidRPr="005147AC">
        <w:rPr>
          <w:vertAlign w:val="superscript"/>
          <w:lang w:val="fr-CA"/>
        </w:rPr>
        <w:t>o</w:t>
      </w:r>
      <w:r w:rsidRPr="005147AC">
        <w:rPr>
          <w:lang w:val="fr-CA"/>
        </w:rPr>
        <w:t> 1).</w:t>
      </w:r>
    </w:p>
    <w:p w14:paraId="2EF6021A" w14:textId="582A3F9F" w:rsidR="004D7D95" w:rsidRPr="005147AC" w:rsidRDefault="004D7D95" w:rsidP="00B02886">
      <w:pPr>
        <w:pStyle w:val="SCCNormalDoubleSpacing"/>
        <w:spacing w:after="480"/>
        <w:rPr>
          <w:lang w:val="fr-CA"/>
        </w:rPr>
      </w:pPr>
      <w:r w:rsidRPr="005147AC">
        <w:rPr>
          <w:lang w:val="fr-CA"/>
        </w:rPr>
        <w:tab/>
      </w:r>
      <w:r w:rsidR="00D03244" w:rsidRPr="005147AC">
        <w:rPr>
          <w:lang w:val="fr-CA"/>
        </w:rPr>
        <w:t xml:space="preserve">POURVOI contre un arrêt de la Cour d’appel de l’Ontario (les juges Simmons, </w:t>
      </w:r>
      <w:r w:rsidR="009B02E7" w:rsidRPr="005147AC">
        <w:rPr>
          <w:lang w:val="fr-CA"/>
        </w:rPr>
        <w:t xml:space="preserve">Harvison </w:t>
      </w:r>
      <w:r w:rsidR="00D03244" w:rsidRPr="005147AC">
        <w:rPr>
          <w:lang w:val="fr-CA"/>
        </w:rPr>
        <w:t xml:space="preserve">Young et George), </w:t>
      </w:r>
      <w:hyperlink r:id="rId12" w:history="1">
        <w:r w:rsidR="004E2D50" w:rsidRPr="005147AC">
          <w:rPr>
            <w:rStyle w:val="Hyperlien"/>
            <w:lang w:val="fr-CA"/>
          </w:rPr>
          <w:t>2023 ONCA 843</w:t>
        </w:r>
      </w:hyperlink>
      <w:r w:rsidR="00D03244" w:rsidRPr="005147AC">
        <w:rPr>
          <w:lang w:val="fr-CA"/>
        </w:rPr>
        <w:t xml:space="preserve">, 169 O.R. (3d) 417, [2023] O.J. No. 5696 (Lexis), 2023 CarswellOnt 19927 (WL), qui a confirmé une décision de la juge Speyer, 2022 ONSC 2107, 513 C.R.R. (2d) 90, [2022] O.J. No. 3030 (Lexis), 2022 CarswellOnt 9414 (WL). Pourvoi </w:t>
      </w:r>
      <w:r w:rsidR="00841315" w:rsidRPr="005147AC">
        <w:rPr>
          <w:lang w:val="fr-CA"/>
        </w:rPr>
        <w:t>accueilli, les juges Côté, Rowe et Jamal sont dissidents</w:t>
      </w:r>
      <w:r w:rsidR="00D03244" w:rsidRPr="005147AC">
        <w:rPr>
          <w:lang w:val="fr-CA"/>
        </w:rPr>
        <w:t>.</w:t>
      </w:r>
    </w:p>
    <w:p w14:paraId="2EBB7756" w14:textId="77777777" w:rsidR="00293480" w:rsidRPr="005147AC" w:rsidRDefault="00B838FE" w:rsidP="00B02886">
      <w:pPr>
        <w:pStyle w:val="SCCNormalDoubleSpacing"/>
        <w:spacing w:after="480"/>
        <w:rPr>
          <w:lang w:val="fr-CA"/>
        </w:rPr>
      </w:pPr>
      <w:r w:rsidRPr="005147AC">
        <w:rPr>
          <w:lang w:val="fr-CA"/>
        </w:rPr>
        <w:tab/>
      </w:r>
      <w:r w:rsidR="00705958" w:rsidRPr="005147AC">
        <w:rPr>
          <w:i/>
          <w:lang w:val="fr-CA"/>
        </w:rPr>
        <w:t>Adriel Weaver</w:t>
      </w:r>
      <w:r w:rsidR="00705958" w:rsidRPr="005147AC">
        <w:rPr>
          <w:lang w:val="fr-CA"/>
        </w:rPr>
        <w:t xml:space="preserve">, </w:t>
      </w:r>
      <w:r w:rsidR="00705958" w:rsidRPr="005147AC">
        <w:rPr>
          <w:i/>
          <w:lang w:val="fr-CA"/>
        </w:rPr>
        <w:t>Jessica Orkin</w:t>
      </w:r>
      <w:r w:rsidR="00705958" w:rsidRPr="005147AC">
        <w:rPr>
          <w:lang w:val="fr-CA"/>
        </w:rPr>
        <w:t xml:space="preserve">, </w:t>
      </w:r>
      <w:r w:rsidR="00705958" w:rsidRPr="005147AC">
        <w:rPr>
          <w:i/>
          <w:lang w:val="fr-CA"/>
        </w:rPr>
        <w:t>Simon Borys</w:t>
      </w:r>
      <w:r w:rsidR="00705958" w:rsidRPr="005147AC">
        <w:rPr>
          <w:lang w:val="fr-CA"/>
        </w:rPr>
        <w:t xml:space="preserve"> et </w:t>
      </w:r>
      <w:r w:rsidR="00705958" w:rsidRPr="005147AC">
        <w:rPr>
          <w:i/>
          <w:lang w:val="fr-CA"/>
        </w:rPr>
        <w:t>Kate Mitchell</w:t>
      </w:r>
      <w:r w:rsidRPr="005147AC">
        <w:rPr>
          <w:lang w:val="fr-CA"/>
        </w:rPr>
        <w:t>, pour l</w:t>
      </w:r>
      <w:r w:rsidR="00705958" w:rsidRPr="005147AC">
        <w:rPr>
          <w:lang w:val="fr-CA"/>
        </w:rPr>
        <w:t>es appelants</w:t>
      </w:r>
      <w:r w:rsidRPr="005147AC">
        <w:rPr>
          <w:lang w:val="fr-CA"/>
        </w:rPr>
        <w:t>.</w:t>
      </w:r>
    </w:p>
    <w:p w14:paraId="26E1EB09" w14:textId="77777777" w:rsidR="00293480" w:rsidRPr="005147AC" w:rsidRDefault="00B838FE" w:rsidP="00B02886">
      <w:pPr>
        <w:pStyle w:val="SCCNormalDoubleSpacing"/>
        <w:spacing w:after="480"/>
        <w:rPr>
          <w:lang w:val="fr-CA"/>
        </w:rPr>
      </w:pPr>
      <w:r w:rsidRPr="005147AC">
        <w:rPr>
          <w:lang w:val="fr-CA"/>
        </w:rPr>
        <w:lastRenderedPageBreak/>
        <w:tab/>
      </w:r>
      <w:r w:rsidRPr="005147AC">
        <w:rPr>
          <w:i/>
          <w:lang w:val="fr-CA"/>
        </w:rPr>
        <w:t>John Provart</w:t>
      </w:r>
      <w:r w:rsidRPr="005147AC">
        <w:rPr>
          <w:lang w:val="fr-CA"/>
        </w:rPr>
        <w:t xml:space="preserve"> et </w:t>
      </w:r>
      <w:r w:rsidRPr="005147AC">
        <w:rPr>
          <w:i/>
          <w:lang w:val="fr-CA"/>
        </w:rPr>
        <w:t>Anusha Aruliah</w:t>
      </w:r>
      <w:r w:rsidRPr="005147AC">
        <w:rPr>
          <w:lang w:val="fr-CA"/>
        </w:rPr>
        <w:t>, pour l</w:t>
      </w:r>
      <w:r w:rsidR="00834A74" w:rsidRPr="005147AC">
        <w:rPr>
          <w:lang w:val="fr-CA"/>
        </w:rPr>
        <w:t>’</w:t>
      </w:r>
      <w:r w:rsidR="00705958" w:rsidRPr="005147AC">
        <w:rPr>
          <w:lang w:val="fr-CA"/>
        </w:rPr>
        <w:t>intimé</w:t>
      </w:r>
      <w:r w:rsidRPr="005147AC">
        <w:rPr>
          <w:lang w:val="fr-CA"/>
        </w:rPr>
        <w:t>.</w:t>
      </w:r>
    </w:p>
    <w:p w14:paraId="1C07EAAD" w14:textId="77777777" w:rsidR="00A810DC" w:rsidRPr="005147AC" w:rsidRDefault="00A810DC" w:rsidP="00B02886">
      <w:pPr>
        <w:pStyle w:val="SCCNormalDoubleSpacing"/>
        <w:spacing w:after="480"/>
        <w:rPr>
          <w:lang w:val="fr-CA"/>
        </w:rPr>
      </w:pPr>
      <w:r w:rsidRPr="005147AC">
        <w:rPr>
          <w:lang w:val="fr-CA"/>
        </w:rPr>
        <w:tab/>
      </w:r>
      <w:r w:rsidRPr="005147AC">
        <w:rPr>
          <w:i/>
          <w:lang w:val="fr-CA"/>
        </w:rPr>
        <w:t>Abdou Thiaw</w:t>
      </w:r>
      <w:r w:rsidRPr="005147AC">
        <w:rPr>
          <w:lang w:val="fr-CA"/>
        </w:rPr>
        <w:t xml:space="preserve"> et </w:t>
      </w:r>
      <w:r w:rsidRPr="005147AC">
        <w:rPr>
          <w:i/>
          <w:lang w:val="fr-CA"/>
        </w:rPr>
        <w:t>Christophe Achdjian</w:t>
      </w:r>
      <w:r w:rsidRPr="005147AC">
        <w:rPr>
          <w:lang w:val="fr-CA"/>
        </w:rPr>
        <w:t>, pour l’intervenant le procureur général du Québec.</w:t>
      </w:r>
    </w:p>
    <w:p w14:paraId="25FF2320" w14:textId="053DA522" w:rsidR="00A810DC" w:rsidRPr="005147AC" w:rsidRDefault="00A810DC" w:rsidP="00B02886">
      <w:pPr>
        <w:pStyle w:val="SCCNormalDoubleSpacing"/>
        <w:spacing w:after="480"/>
        <w:rPr>
          <w:lang w:val="fr-CA"/>
        </w:rPr>
      </w:pPr>
      <w:r w:rsidRPr="005147AC">
        <w:rPr>
          <w:lang w:val="fr-CA"/>
        </w:rPr>
        <w:tab/>
      </w:r>
      <w:r w:rsidRPr="005147AC">
        <w:rPr>
          <w:i/>
          <w:lang w:val="fr-CA"/>
        </w:rPr>
        <w:t xml:space="preserve">Freya Zaltz </w:t>
      </w:r>
      <w:r w:rsidR="00273E96" w:rsidRPr="005147AC">
        <w:rPr>
          <w:lang w:val="fr-CA"/>
        </w:rPr>
        <w:t>et</w:t>
      </w:r>
      <w:r w:rsidRPr="005147AC">
        <w:rPr>
          <w:i/>
          <w:lang w:val="fr-CA"/>
        </w:rPr>
        <w:t xml:space="preserve"> Davin Wong</w:t>
      </w:r>
      <w:r w:rsidRPr="005147AC">
        <w:rPr>
          <w:lang w:val="fr-CA"/>
        </w:rPr>
        <w:t xml:space="preserve">, pour l’intervenant le procureur général de la Colombie-Britannique. </w:t>
      </w:r>
    </w:p>
    <w:p w14:paraId="2E78D2B4" w14:textId="6DD110A3" w:rsidR="00293480" w:rsidRPr="005147AC" w:rsidRDefault="00B838FE" w:rsidP="00B02886">
      <w:pPr>
        <w:pStyle w:val="SCCNormalDoubleSpacing"/>
        <w:spacing w:after="480"/>
        <w:rPr>
          <w:lang w:val="fr-CA"/>
        </w:rPr>
      </w:pPr>
      <w:r w:rsidRPr="005147AC">
        <w:rPr>
          <w:lang w:val="fr-CA"/>
        </w:rPr>
        <w:tab/>
      </w:r>
      <w:r w:rsidRPr="005147AC">
        <w:rPr>
          <w:i/>
          <w:lang w:val="fr-CA"/>
        </w:rPr>
        <w:t>Paul Quick</w:t>
      </w:r>
      <w:r w:rsidRPr="005147AC">
        <w:rPr>
          <w:lang w:val="fr-CA"/>
        </w:rPr>
        <w:t>, pour l</w:t>
      </w:r>
      <w:r w:rsidR="00834A74" w:rsidRPr="005147AC">
        <w:rPr>
          <w:lang w:val="fr-CA"/>
        </w:rPr>
        <w:t>’</w:t>
      </w:r>
      <w:r w:rsidR="00A810DC" w:rsidRPr="005147AC">
        <w:rPr>
          <w:lang w:val="fr-CA"/>
        </w:rPr>
        <w:t>intervenante la</w:t>
      </w:r>
      <w:r w:rsidRPr="005147AC">
        <w:rPr>
          <w:lang w:val="fr-CA"/>
        </w:rPr>
        <w:t xml:space="preserve"> Société John Howard du Canada.</w:t>
      </w:r>
    </w:p>
    <w:p w14:paraId="3D7EAC5C" w14:textId="1762CD57" w:rsidR="00293480" w:rsidRPr="005147AC" w:rsidRDefault="00B838FE" w:rsidP="00B02886">
      <w:pPr>
        <w:pStyle w:val="SCCNormalDoubleSpacing"/>
        <w:spacing w:after="480"/>
        <w:rPr>
          <w:lang w:val="fr-CA"/>
        </w:rPr>
      </w:pPr>
      <w:r w:rsidRPr="005147AC">
        <w:rPr>
          <w:lang w:val="fr-CA"/>
        </w:rPr>
        <w:tab/>
      </w:r>
      <w:r w:rsidR="00A810DC" w:rsidRPr="005147AC">
        <w:rPr>
          <w:i/>
          <w:lang w:val="fr-CA"/>
        </w:rPr>
        <w:t xml:space="preserve">Jennifer Dagsvik </w:t>
      </w:r>
      <w:r w:rsidR="00A810DC" w:rsidRPr="005147AC">
        <w:rPr>
          <w:lang w:val="fr-CA"/>
        </w:rPr>
        <w:t xml:space="preserve">et </w:t>
      </w:r>
      <w:r w:rsidR="00A810DC" w:rsidRPr="005147AC">
        <w:rPr>
          <w:i/>
          <w:lang w:val="fr-CA"/>
        </w:rPr>
        <w:t>Jamie Liew</w:t>
      </w:r>
      <w:r w:rsidRPr="005147AC">
        <w:rPr>
          <w:lang w:val="fr-CA"/>
        </w:rPr>
        <w:t>, pour l</w:t>
      </w:r>
      <w:r w:rsidR="00834A74" w:rsidRPr="005147AC">
        <w:rPr>
          <w:lang w:val="fr-CA"/>
        </w:rPr>
        <w:t>’</w:t>
      </w:r>
      <w:r w:rsidR="00A810DC" w:rsidRPr="005147AC">
        <w:rPr>
          <w:lang w:val="fr-CA"/>
        </w:rPr>
        <w:t>intervenant le</w:t>
      </w:r>
      <w:r w:rsidRPr="005147AC">
        <w:rPr>
          <w:lang w:val="fr-CA"/>
        </w:rPr>
        <w:t xml:space="preserve"> Conseil canadien pour les réfugiés.</w:t>
      </w:r>
    </w:p>
    <w:p w14:paraId="083C2C77" w14:textId="446C4D75" w:rsidR="00293480" w:rsidRPr="005147AC" w:rsidRDefault="00B838FE" w:rsidP="00B02886">
      <w:pPr>
        <w:pStyle w:val="SCCNormalDoubleSpacing"/>
        <w:spacing w:after="480"/>
        <w:rPr>
          <w:lang w:val="fr-CA"/>
        </w:rPr>
      </w:pPr>
      <w:r w:rsidRPr="005147AC">
        <w:rPr>
          <w:lang w:val="fr-CA"/>
        </w:rPr>
        <w:tab/>
      </w:r>
      <w:r w:rsidRPr="005147AC">
        <w:rPr>
          <w:i/>
          <w:lang w:val="fr-CA"/>
        </w:rPr>
        <w:t>Amy Matychuk</w:t>
      </w:r>
      <w:r w:rsidRPr="005147AC">
        <w:rPr>
          <w:lang w:val="fr-CA"/>
        </w:rPr>
        <w:t>, pour l</w:t>
      </w:r>
      <w:r w:rsidR="00834A74" w:rsidRPr="005147AC">
        <w:rPr>
          <w:lang w:val="fr-CA"/>
        </w:rPr>
        <w:t>’</w:t>
      </w:r>
      <w:r w:rsidR="00A810DC" w:rsidRPr="005147AC">
        <w:rPr>
          <w:lang w:val="fr-CA"/>
        </w:rPr>
        <w:t xml:space="preserve">intervenante </w:t>
      </w:r>
      <w:r w:rsidRPr="005147AC">
        <w:rPr>
          <w:lang w:val="fr-CA"/>
        </w:rPr>
        <w:t>Alberta Prison Justice Society.</w:t>
      </w:r>
    </w:p>
    <w:p w14:paraId="36159AD2" w14:textId="0F65DF47" w:rsidR="00293480" w:rsidRPr="005147AC" w:rsidRDefault="00B838FE" w:rsidP="00B02886">
      <w:pPr>
        <w:pStyle w:val="SCCNormalDoubleSpacing"/>
        <w:spacing w:after="480"/>
        <w:rPr>
          <w:lang w:val="fr-CA"/>
        </w:rPr>
      </w:pPr>
      <w:r w:rsidRPr="005147AC">
        <w:rPr>
          <w:lang w:val="fr-CA"/>
        </w:rPr>
        <w:tab/>
      </w:r>
      <w:r w:rsidR="00A810DC" w:rsidRPr="005147AC">
        <w:rPr>
          <w:i/>
          <w:lang w:val="fr-CA"/>
        </w:rPr>
        <w:t xml:space="preserve">Emily Hill </w:t>
      </w:r>
      <w:r w:rsidR="00A810DC" w:rsidRPr="005147AC">
        <w:rPr>
          <w:lang w:val="fr-CA"/>
        </w:rPr>
        <w:t xml:space="preserve">et </w:t>
      </w:r>
      <w:r w:rsidR="00A810DC" w:rsidRPr="005147AC">
        <w:rPr>
          <w:i/>
          <w:lang w:val="fr-CA"/>
        </w:rPr>
        <w:t>Matthew Malott</w:t>
      </w:r>
      <w:r w:rsidRPr="005147AC">
        <w:rPr>
          <w:lang w:val="fr-CA"/>
        </w:rPr>
        <w:t>, pour l</w:t>
      </w:r>
      <w:r w:rsidR="00834A74" w:rsidRPr="005147AC">
        <w:rPr>
          <w:lang w:val="fr-CA"/>
        </w:rPr>
        <w:t>’</w:t>
      </w:r>
      <w:r w:rsidR="00A810DC" w:rsidRPr="005147AC">
        <w:rPr>
          <w:lang w:val="fr-CA"/>
        </w:rPr>
        <w:t>intervenante</w:t>
      </w:r>
      <w:r w:rsidRPr="005147AC">
        <w:rPr>
          <w:lang w:val="fr-CA"/>
        </w:rPr>
        <w:t xml:space="preserve"> Aboriginal Legal Services.</w:t>
      </w:r>
    </w:p>
    <w:p w14:paraId="27B6EF5B" w14:textId="4FF22D8E" w:rsidR="00293480" w:rsidRPr="005147AC" w:rsidRDefault="00B838FE" w:rsidP="00B02886">
      <w:pPr>
        <w:pStyle w:val="SCCNormalDoubleSpacing"/>
        <w:spacing w:after="480"/>
        <w:rPr>
          <w:lang w:val="fr-CA"/>
        </w:rPr>
      </w:pPr>
      <w:r w:rsidRPr="005147AC">
        <w:rPr>
          <w:lang w:val="fr-CA"/>
        </w:rPr>
        <w:tab/>
      </w:r>
      <w:r w:rsidRPr="005147AC">
        <w:rPr>
          <w:i/>
          <w:lang w:val="fr-CA"/>
        </w:rPr>
        <w:t>John Trueman</w:t>
      </w:r>
      <w:r w:rsidRPr="005147AC">
        <w:rPr>
          <w:lang w:val="fr-CA"/>
        </w:rPr>
        <w:t xml:space="preserve"> et </w:t>
      </w:r>
      <w:r w:rsidRPr="005147AC">
        <w:rPr>
          <w:i/>
          <w:lang w:val="fr-CA"/>
        </w:rPr>
        <w:t>Danielle Wierenga</w:t>
      </w:r>
      <w:r w:rsidRPr="005147AC">
        <w:rPr>
          <w:lang w:val="fr-CA"/>
        </w:rPr>
        <w:t>, pour l</w:t>
      </w:r>
      <w:r w:rsidR="00834A74" w:rsidRPr="005147AC">
        <w:rPr>
          <w:lang w:val="fr-CA"/>
        </w:rPr>
        <w:t>’</w:t>
      </w:r>
      <w:r w:rsidR="00A810DC" w:rsidRPr="005147AC">
        <w:rPr>
          <w:lang w:val="fr-CA"/>
        </w:rPr>
        <w:t>intervenante</w:t>
      </w:r>
      <w:r w:rsidRPr="005147AC">
        <w:rPr>
          <w:lang w:val="fr-CA"/>
        </w:rPr>
        <w:t xml:space="preserve"> West Coast Prison Justice Society.</w:t>
      </w:r>
    </w:p>
    <w:p w14:paraId="6D5F9DD9" w14:textId="674A15D0" w:rsidR="00293480" w:rsidRPr="005147AC" w:rsidRDefault="00B838FE" w:rsidP="00B02886">
      <w:pPr>
        <w:pStyle w:val="SCCNormalDoubleSpacing"/>
        <w:spacing w:after="480"/>
        <w:rPr>
          <w:lang w:val="fr-CA"/>
        </w:rPr>
      </w:pPr>
      <w:r w:rsidRPr="005147AC">
        <w:rPr>
          <w:lang w:val="fr-CA"/>
        </w:rPr>
        <w:tab/>
      </w:r>
      <w:r w:rsidRPr="005147AC">
        <w:rPr>
          <w:i/>
          <w:lang w:val="fr-CA"/>
        </w:rPr>
        <w:t>Frances Mahon</w:t>
      </w:r>
      <w:r w:rsidRPr="005147AC">
        <w:rPr>
          <w:lang w:val="fr-CA"/>
        </w:rPr>
        <w:t xml:space="preserve"> et </w:t>
      </w:r>
      <w:r w:rsidRPr="005147AC">
        <w:rPr>
          <w:i/>
          <w:lang w:val="fr-CA"/>
        </w:rPr>
        <w:t>Ga Grant</w:t>
      </w:r>
      <w:r w:rsidRPr="005147AC">
        <w:rPr>
          <w:lang w:val="fr-CA"/>
        </w:rPr>
        <w:t>, pour l</w:t>
      </w:r>
      <w:r w:rsidR="00834A74" w:rsidRPr="005147AC">
        <w:rPr>
          <w:lang w:val="fr-CA"/>
        </w:rPr>
        <w:t>’</w:t>
      </w:r>
      <w:r w:rsidR="00A810DC" w:rsidRPr="005147AC">
        <w:rPr>
          <w:lang w:val="fr-CA"/>
        </w:rPr>
        <w:t>intervenante</w:t>
      </w:r>
      <w:r w:rsidRPr="005147AC">
        <w:rPr>
          <w:lang w:val="fr-CA"/>
        </w:rPr>
        <w:t xml:space="preserve"> British Columbia Civil Liberties Association.</w:t>
      </w:r>
    </w:p>
    <w:p w14:paraId="55D80672" w14:textId="2CD62023" w:rsidR="00293480" w:rsidRPr="005147AC" w:rsidRDefault="00A810DC" w:rsidP="00B02886">
      <w:pPr>
        <w:pStyle w:val="SCCNormalDoubleSpacing"/>
        <w:spacing w:after="480"/>
        <w:rPr>
          <w:lang w:val="fr-CA"/>
        </w:rPr>
      </w:pPr>
      <w:r w:rsidRPr="005147AC">
        <w:rPr>
          <w:lang w:val="fr-CA"/>
        </w:rPr>
        <w:lastRenderedPageBreak/>
        <w:tab/>
      </w:r>
      <w:r w:rsidRPr="005147AC">
        <w:rPr>
          <w:i/>
          <w:lang w:val="fr-CA"/>
        </w:rPr>
        <w:t xml:space="preserve">Jessica </w:t>
      </w:r>
      <w:r w:rsidR="00B838FE" w:rsidRPr="005147AC">
        <w:rPr>
          <w:i/>
          <w:lang w:val="fr-CA"/>
        </w:rPr>
        <w:t>Rose</w:t>
      </w:r>
      <w:r w:rsidRPr="005147AC">
        <w:rPr>
          <w:i/>
          <w:lang w:val="fr-CA"/>
        </w:rPr>
        <w:t xml:space="preserve"> </w:t>
      </w:r>
      <w:r w:rsidRPr="005147AC">
        <w:rPr>
          <w:lang w:val="fr-CA"/>
        </w:rPr>
        <w:t xml:space="preserve">et </w:t>
      </w:r>
      <w:r w:rsidRPr="005147AC">
        <w:rPr>
          <w:i/>
          <w:lang w:val="fr-CA"/>
        </w:rPr>
        <w:t>Emma Arnold</w:t>
      </w:r>
      <w:r w:rsidR="00B838FE" w:rsidRPr="005147AC">
        <w:rPr>
          <w:lang w:val="fr-CA"/>
        </w:rPr>
        <w:t>, pour l</w:t>
      </w:r>
      <w:r w:rsidR="00834A74" w:rsidRPr="005147AC">
        <w:rPr>
          <w:lang w:val="fr-CA"/>
        </w:rPr>
        <w:t>’</w:t>
      </w:r>
      <w:r w:rsidRPr="005147AC">
        <w:rPr>
          <w:lang w:val="fr-CA"/>
        </w:rPr>
        <w:t>intervenante l’</w:t>
      </w:r>
      <w:r w:rsidR="00B838FE" w:rsidRPr="005147AC">
        <w:rPr>
          <w:lang w:val="fr-CA"/>
        </w:rPr>
        <w:t xml:space="preserve">Association canadienne des </w:t>
      </w:r>
      <w:r w:rsidR="006610B1" w:rsidRPr="005147AC">
        <w:rPr>
          <w:lang w:val="fr-CA"/>
        </w:rPr>
        <w:t>s</w:t>
      </w:r>
      <w:r w:rsidR="00B838FE" w:rsidRPr="005147AC">
        <w:rPr>
          <w:lang w:val="fr-CA"/>
        </w:rPr>
        <w:t>ociétés Elizabeth Fry.</w:t>
      </w:r>
    </w:p>
    <w:p w14:paraId="47664B26" w14:textId="69C8FDFB" w:rsidR="00293480" w:rsidRPr="005147AC" w:rsidRDefault="00A810DC" w:rsidP="00B02886">
      <w:pPr>
        <w:pStyle w:val="SCCNormalDoubleSpacing"/>
        <w:spacing w:after="480"/>
        <w:rPr>
          <w:lang w:val="fr-CA"/>
        </w:rPr>
      </w:pPr>
      <w:r w:rsidRPr="005147AC">
        <w:rPr>
          <w:lang w:val="fr-CA"/>
        </w:rPr>
        <w:tab/>
      </w:r>
      <w:r w:rsidRPr="005147AC">
        <w:rPr>
          <w:i/>
          <w:lang w:val="fr-CA"/>
        </w:rPr>
        <w:t>Molly Joeck</w:t>
      </w:r>
      <w:r w:rsidRPr="005147AC">
        <w:rPr>
          <w:lang w:val="fr-CA"/>
        </w:rPr>
        <w:t xml:space="preserve"> </w:t>
      </w:r>
      <w:r w:rsidR="00B838FE" w:rsidRPr="005147AC">
        <w:rPr>
          <w:lang w:val="fr-CA"/>
        </w:rPr>
        <w:t xml:space="preserve">et </w:t>
      </w:r>
      <w:r w:rsidR="00B838FE" w:rsidRPr="005147AC">
        <w:rPr>
          <w:i/>
          <w:lang w:val="fr-CA"/>
        </w:rPr>
        <w:t>Kes Posgate</w:t>
      </w:r>
      <w:r w:rsidR="00B838FE" w:rsidRPr="005147AC">
        <w:rPr>
          <w:lang w:val="fr-CA"/>
        </w:rPr>
        <w:t>, pour l</w:t>
      </w:r>
      <w:r w:rsidR="00834A74" w:rsidRPr="005147AC">
        <w:rPr>
          <w:lang w:val="fr-CA"/>
        </w:rPr>
        <w:t>’</w:t>
      </w:r>
      <w:r w:rsidRPr="005147AC">
        <w:rPr>
          <w:lang w:val="fr-CA"/>
        </w:rPr>
        <w:t>intervenante l’</w:t>
      </w:r>
      <w:r w:rsidR="00B838FE" w:rsidRPr="005147AC">
        <w:rPr>
          <w:lang w:val="fr-CA"/>
        </w:rPr>
        <w:t>Association canadienne des avocats et avocates en droit des réfugiés.</w:t>
      </w:r>
    </w:p>
    <w:p w14:paraId="3E10ECA3" w14:textId="491259CE" w:rsidR="00293480" w:rsidRPr="005147AC" w:rsidRDefault="00B838FE" w:rsidP="00B02886">
      <w:pPr>
        <w:pStyle w:val="SCCNormalDoubleSpacing"/>
        <w:spacing w:after="480"/>
        <w:rPr>
          <w:lang w:val="fr-CA"/>
        </w:rPr>
      </w:pPr>
      <w:r w:rsidRPr="005147AC">
        <w:rPr>
          <w:lang w:val="fr-CA"/>
        </w:rPr>
        <w:tab/>
      </w:r>
      <w:r w:rsidR="00A810DC" w:rsidRPr="005147AC">
        <w:rPr>
          <w:i/>
          <w:lang w:val="fr-CA"/>
        </w:rPr>
        <w:t>Saneliso Moyo</w:t>
      </w:r>
      <w:r w:rsidR="00A810DC" w:rsidRPr="005147AC">
        <w:rPr>
          <w:lang w:val="fr-CA"/>
        </w:rPr>
        <w:t>,</w:t>
      </w:r>
      <w:r w:rsidR="00A810DC" w:rsidRPr="005147AC">
        <w:rPr>
          <w:i/>
          <w:lang w:val="fr-CA"/>
        </w:rPr>
        <w:t xml:space="preserve"> Geetha Philipupillai </w:t>
      </w:r>
      <w:r w:rsidR="006807B0" w:rsidRPr="005147AC">
        <w:rPr>
          <w:lang w:val="fr-CA"/>
        </w:rPr>
        <w:t>et</w:t>
      </w:r>
      <w:r w:rsidR="00A810DC" w:rsidRPr="005147AC">
        <w:rPr>
          <w:lang w:val="fr-CA"/>
        </w:rPr>
        <w:t xml:space="preserve"> </w:t>
      </w:r>
      <w:r w:rsidR="00A810DC" w:rsidRPr="005147AC">
        <w:rPr>
          <w:i/>
          <w:lang w:val="fr-CA"/>
        </w:rPr>
        <w:t>Demar Kemar Hewitt</w:t>
      </w:r>
      <w:r w:rsidRPr="005147AC">
        <w:rPr>
          <w:lang w:val="fr-CA"/>
        </w:rPr>
        <w:t>, pour l</w:t>
      </w:r>
      <w:r w:rsidR="00834A74" w:rsidRPr="005147AC">
        <w:rPr>
          <w:lang w:val="fr-CA"/>
        </w:rPr>
        <w:t>’</w:t>
      </w:r>
      <w:r w:rsidR="00A810DC" w:rsidRPr="005147AC">
        <w:rPr>
          <w:lang w:val="fr-CA"/>
        </w:rPr>
        <w:t xml:space="preserve">intervenant </w:t>
      </w:r>
      <w:r w:rsidRPr="005147AC">
        <w:rPr>
          <w:lang w:val="fr-CA"/>
        </w:rPr>
        <w:t>Black Legal Action Centre.</w:t>
      </w:r>
    </w:p>
    <w:p w14:paraId="4B55FC87" w14:textId="42CAC061" w:rsidR="00293480" w:rsidRPr="005147AC" w:rsidRDefault="00B838FE" w:rsidP="00B02886">
      <w:pPr>
        <w:pStyle w:val="SCCNormalDoubleSpacing"/>
        <w:spacing w:after="480"/>
        <w:rPr>
          <w:lang w:val="fr-CA"/>
        </w:rPr>
      </w:pPr>
      <w:r w:rsidRPr="005147AC">
        <w:rPr>
          <w:lang w:val="fr-CA"/>
        </w:rPr>
        <w:tab/>
      </w:r>
      <w:r w:rsidRPr="005147AC">
        <w:rPr>
          <w:i/>
          <w:lang w:val="fr-CA"/>
        </w:rPr>
        <w:t>Nana Yanful</w:t>
      </w:r>
      <w:r w:rsidR="00A810DC" w:rsidRPr="005147AC">
        <w:rPr>
          <w:i/>
          <w:lang w:val="fr-CA"/>
        </w:rPr>
        <w:t xml:space="preserve"> </w:t>
      </w:r>
      <w:r w:rsidR="00A810DC" w:rsidRPr="005147AC">
        <w:rPr>
          <w:lang w:val="fr-CA"/>
        </w:rPr>
        <w:t xml:space="preserve">et </w:t>
      </w:r>
      <w:r w:rsidR="00A810DC" w:rsidRPr="005147AC">
        <w:rPr>
          <w:i/>
          <w:lang w:val="fr-CA"/>
        </w:rPr>
        <w:t>Simone</w:t>
      </w:r>
      <w:r w:rsidR="00B02886" w:rsidRPr="005147AC">
        <w:rPr>
          <w:i/>
          <w:lang w:val="fr-CA"/>
        </w:rPr>
        <w:t> </w:t>
      </w:r>
      <w:r w:rsidR="00A810DC" w:rsidRPr="005147AC">
        <w:rPr>
          <w:i/>
          <w:lang w:val="fr-CA"/>
        </w:rPr>
        <w:t>A. Akyianu</w:t>
      </w:r>
      <w:r w:rsidRPr="005147AC">
        <w:rPr>
          <w:lang w:val="fr-CA"/>
        </w:rPr>
        <w:t>, pour l</w:t>
      </w:r>
      <w:r w:rsidR="00834A74" w:rsidRPr="005147AC">
        <w:rPr>
          <w:lang w:val="fr-CA"/>
        </w:rPr>
        <w:t>’</w:t>
      </w:r>
      <w:r w:rsidR="00A810DC" w:rsidRPr="005147AC">
        <w:rPr>
          <w:lang w:val="fr-CA"/>
        </w:rPr>
        <w:t>intervenante</w:t>
      </w:r>
      <w:r w:rsidRPr="005147AC">
        <w:rPr>
          <w:lang w:val="fr-CA"/>
        </w:rPr>
        <w:t xml:space="preserve"> Pivot Legal Society.</w:t>
      </w:r>
    </w:p>
    <w:p w14:paraId="060460E8" w14:textId="5AEC265D" w:rsidR="00293480" w:rsidRPr="005147AC" w:rsidRDefault="00B838FE" w:rsidP="00B02886">
      <w:pPr>
        <w:pStyle w:val="SCCNormalDoubleSpacing"/>
        <w:spacing w:after="480"/>
        <w:rPr>
          <w:lang w:val="fr-CA"/>
        </w:rPr>
      </w:pPr>
      <w:r w:rsidRPr="005147AC">
        <w:rPr>
          <w:lang w:val="fr-CA"/>
        </w:rPr>
        <w:tab/>
      </w:r>
      <w:r w:rsidRPr="005147AC">
        <w:rPr>
          <w:i/>
          <w:lang w:val="fr-CA"/>
        </w:rPr>
        <w:t xml:space="preserve">Jessica Zita </w:t>
      </w:r>
      <w:r w:rsidRPr="005147AC">
        <w:rPr>
          <w:lang w:val="fr-CA"/>
        </w:rPr>
        <w:t xml:space="preserve">et </w:t>
      </w:r>
      <w:r w:rsidRPr="005147AC">
        <w:rPr>
          <w:i/>
          <w:lang w:val="fr-CA"/>
        </w:rPr>
        <w:t>Jeffrey Hartman</w:t>
      </w:r>
      <w:r w:rsidRPr="005147AC">
        <w:rPr>
          <w:lang w:val="fr-CA"/>
        </w:rPr>
        <w:t>, pour l</w:t>
      </w:r>
      <w:r w:rsidR="00834A74" w:rsidRPr="005147AC">
        <w:rPr>
          <w:lang w:val="fr-CA"/>
        </w:rPr>
        <w:t>’</w:t>
      </w:r>
      <w:r w:rsidR="00A810DC" w:rsidRPr="005147AC">
        <w:rPr>
          <w:lang w:val="fr-CA"/>
        </w:rPr>
        <w:t>intervenante</w:t>
      </w:r>
      <w:r w:rsidRPr="005147AC">
        <w:rPr>
          <w:lang w:val="fr-CA"/>
        </w:rPr>
        <w:t xml:space="preserve"> Margaret Lee Cole.</w:t>
      </w:r>
    </w:p>
    <w:p w14:paraId="1947F756" w14:textId="604C47AF" w:rsidR="00293480" w:rsidRPr="005147AC" w:rsidRDefault="00B838FE" w:rsidP="00B02886">
      <w:pPr>
        <w:pStyle w:val="SCCNormalDoubleSpacing"/>
        <w:spacing w:after="480"/>
        <w:rPr>
          <w:lang w:val="fr-CA"/>
        </w:rPr>
      </w:pPr>
      <w:r w:rsidRPr="005147AC">
        <w:rPr>
          <w:lang w:val="fr-CA"/>
        </w:rPr>
        <w:tab/>
      </w:r>
      <w:r w:rsidR="00A810DC" w:rsidRPr="005147AC">
        <w:rPr>
          <w:i/>
          <w:lang w:val="fr-CA"/>
        </w:rPr>
        <w:t xml:space="preserve">Dan </w:t>
      </w:r>
      <w:r w:rsidRPr="005147AC">
        <w:rPr>
          <w:i/>
          <w:lang w:val="fr-CA"/>
        </w:rPr>
        <w:t>Goudge</w:t>
      </w:r>
      <w:r w:rsidRPr="005147AC">
        <w:rPr>
          <w:lang w:val="fr-CA"/>
        </w:rPr>
        <w:t>, pour l</w:t>
      </w:r>
      <w:r w:rsidR="00834A74" w:rsidRPr="005147AC">
        <w:rPr>
          <w:lang w:val="fr-CA"/>
        </w:rPr>
        <w:t>’</w:t>
      </w:r>
      <w:r w:rsidR="00A810DC" w:rsidRPr="005147AC">
        <w:rPr>
          <w:lang w:val="fr-CA"/>
        </w:rPr>
        <w:t>intervenante l’</w:t>
      </w:r>
      <w:r w:rsidRPr="005147AC">
        <w:rPr>
          <w:lang w:val="fr-CA"/>
        </w:rPr>
        <w:t>Association canadienne des libertés civiles.</w:t>
      </w:r>
    </w:p>
    <w:p w14:paraId="4AFBC3D5" w14:textId="03DB84BB" w:rsidR="00841315" w:rsidRPr="005147AC" w:rsidRDefault="00B838FE" w:rsidP="005147AC">
      <w:pPr>
        <w:pStyle w:val="SCCNormalDoubleSpacing"/>
        <w:spacing w:after="480"/>
        <w:rPr>
          <w:lang w:val="fr-CA"/>
        </w:rPr>
      </w:pPr>
      <w:r w:rsidRPr="005147AC">
        <w:rPr>
          <w:lang w:val="fr-CA"/>
        </w:rPr>
        <w:tab/>
      </w:r>
      <w:r w:rsidRPr="005147AC">
        <w:rPr>
          <w:i/>
          <w:lang w:val="fr-CA"/>
        </w:rPr>
        <w:t>Alison Craig</w:t>
      </w:r>
      <w:r w:rsidRPr="005147AC">
        <w:rPr>
          <w:lang w:val="fr-CA"/>
        </w:rPr>
        <w:t>, pour l</w:t>
      </w:r>
      <w:r w:rsidR="00834A74" w:rsidRPr="005147AC">
        <w:rPr>
          <w:lang w:val="fr-CA"/>
        </w:rPr>
        <w:t>’</w:t>
      </w:r>
      <w:r w:rsidR="00A810DC" w:rsidRPr="005147AC">
        <w:rPr>
          <w:lang w:val="fr-CA"/>
        </w:rPr>
        <w:t>intervenante l’</w:t>
      </w:r>
      <w:r w:rsidRPr="005147AC">
        <w:rPr>
          <w:lang w:val="fr-CA"/>
        </w:rPr>
        <w:t>Association canadienne du droit carcéral.</w:t>
      </w:r>
    </w:p>
    <w:p w14:paraId="0E9BF404" w14:textId="77777777" w:rsidR="005147AC" w:rsidRPr="005147AC" w:rsidRDefault="005147AC" w:rsidP="005147AC">
      <w:pPr>
        <w:tabs>
          <w:tab w:val="left" w:pos="1134"/>
        </w:tabs>
        <w:spacing w:after="480" w:line="480" w:lineRule="auto"/>
        <w:ind w:firstLine="12"/>
        <w:jc w:val="both"/>
        <w:rPr>
          <w:lang w:val="fr-CA"/>
        </w:rPr>
      </w:pPr>
      <w:r w:rsidRPr="005147AC">
        <w:tab/>
      </w:r>
      <w:r w:rsidRPr="005147AC">
        <w:rPr>
          <w:lang w:val="fr-CA"/>
        </w:rPr>
        <w:t>Version française du jugement du juge en chef Wagner et des juges Karakatsanis, Martin, Kasirer, O’Bonsawin et Moreau rendu par</w:t>
      </w:r>
    </w:p>
    <w:p w14:paraId="73EE57CE" w14:textId="77777777" w:rsidR="005147AC" w:rsidRPr="005147AC" w:rsidRDefault="005147AC" w:rsidP="00287C90">
      <w:pPr>
        <w:pStyle w:val="JudgeJuge"/>
        <w:tabs>
          <w:tab w:val="clear" w:pos="1260"/>
          <w:tab w:val="left" w:pos="1134"/>
        </w:tabs>
        <w:spacing w:before="480"/>
        <w:rPr>
          <w:lang w:val="fr-CA"/>
        </w:rPr>
      </w:pPr>
      <w:r w:rsidRPr="005147AC">
        <w:rPr>
          <w:lang w:val="fr-CA"/>
        </w:rPr>
        <w:tab/>
        <w:t xml:space="preserve">La juge Moreau — </w:t>
      </w:r>
    </w:p>
    <w:p w14:paraId="19AB77B8" w14:textId="77777777" w:rsidR="005147AC" w:rsidRPr="005147AC" w:rsidRDefault="005147AC" w:rsidP="005147AC">
      <w:pPr>
        <w:pStyle w:val="Title1LevelTitre1Niveau-AltL"/>
        <w:numPr>
          <w:ilvl w:val="0"/>
          <w:numId w:val="8"/>
        </w:numPr>
        <w:ind w:left="578" w:hanging="578"/>
        <w:jc w:val="both"/>
        <w:rPr>
          <w:rFonts w:cs="Times New Roman"/>
        </w:rPr>
      </w:pPr>
      <w:r w:rsidRPr="005147AC">
        <w:rPr>
          <w:rFonts w:cs="Times New Roman"/>
        </w:rPr>
        <w:lastRenderedPageBreak/>
        <w:t>Introduction</w:t>
      </w:r>
    </w:p>
    <w:p w14:paraId="621C8750" w14:textId="77777777" w:rsidR="005147AC" w:rsidRPr="005147AC" w:rsidRDefault="005147AC" w:rsidP="005147AC">
      <w:pPr>
        <w:pStyle w:val="ParaNoNdepar-AltN"/>
        <w:rPr>
          <w:rFonts w:cs="Times New Roman"/>
          <w:lang w:val="fr-CA"/>
        </w:rPr>
      </w:pPr>
      <w:r w:rsidRPr="005147AC">
        <w:rPr>
          <w:rFonts w:cs="Times New Roman"/>
          <w:lang w:val="fr-CA"/>
        </w:rPr>
        <w:t>Au cours des quarante dernières années, notre Cour a résolument appliqué l’</w:t>
      </w:r>
      <w:r w:rsidRPr="005147AC">
        <w:rPr>
          <w:rFonts w:cs="Times New Roman"/>
          <w:i/>
          <w:lang w:val="fr-CA"/>
        </w:rPr>
        <w:t xml:space="preserve">habeas corpus </w:t>
      </w:r>
      <w:r w:rsidRPr="005147AC">
        <w:rPr>
          <w:rFonts w:cs="Times New Roman"/>
          <w:lang w:val="fr-CA"/>
        </w:rPr>
        <w:t>dans le contexte carcéral moderne. Révéré depuis longtemps comme le grand bref de la liberté, le contrôle par voie d’</w:t>
      </w:r>
      <w:r w:rsidRPr="005147AC">
        <w:rPr>
          <w:rFonts w:cs="Times New Roman"/>
          <w:i/>
          <w:lang w:val="fr-CA"/>
        </w:rPr>
        <w:t>habeas corpus</w:t>
      </w:r>
      <w:r w:rsidRPr="005147AC">
        <w:rPr>
          <w:rFonts w:cs="Times New Roman"/>
          <w:lang w:val="fr-CA"/>
        </w:rPr>
        <w:t xml:space="preserve"> demeure une garantie essentielle contre la détention illégale et une pierre angulaire de la protection des droits d’un détenu. </w:t>
      </w:r>
      <w:r w:rsidRPr="005147AC">
        <w:rPr>
          <w:rFonts w:cs="Times New Roman"/>
          <w:iCs/>
          <w:lang w:val="fr-CA"/>
        </w:rPr>
        <w:t>Notre Cour a maintes fois rappelé que « [</w:t>
      </w:r>
      <w:r w:rsidRPr="005147AC">
        <w:rPr>
          <w:rFonts w:cs="Times New Roman"/>
          <w:iCs/>
          <w:lang w:val="fr-CA" w:bidi="en-US"/>
        </w:rPr>
        <w:t>l]’</w:t>
      </w:r>
      <w:r w:rsidRPr="005147AC">
        <w:rPr>
          <w:rFonts w:cs="Times New Roman"/>
          <w:i/>
          <w:iCs/>
          <w:lang w:val="fr-CA" w:bidi="en-US"/>
        </w:rPr>
        <w:t xml:space="preserve">habeas corpus </w:t>
      </w:r>
      <w:r w:rsidRPr="005147AC">
        <w:rPr>
          <w:rFonts w:cs="Times New Roman"/>
          <w:iCs/>
          <w:lang w:val="fr-CA" w:bidi="en-US"/>
        </w:rPr>
        <w:t xml:space="preserve">n’a jamais été </w:t>
      </w:r>
      <w:r w:rsidRPr="005147AC">
        <w:rPr>
          <w:rFonts w:cs="Times New Roman"/>
          <w:iCs/>
          <w:smallCaps/>
          <w:lang w:val="fr-CA" w:bidi="en-US"/>
        </w:rPr>
        <w:t>[traduction</w:t>
      </w:r>
      <w:r w:rsidRPr="005147AC">
        <w:rPr>
          <w:rFonts w:cs="Times New Roman"/>
          <w:iCs/>
          <w:lang w:val="fr-CA" w:bidi="en-US"/>
        </w:rPr>
        <w:t xml:space="preserve">] “un recours statique, étroit et formaliste”; </w:t>
      </w:r>
      <w:r w:rsidRPr="005147AC">
        <w:rPr>
          <w:rFonts w:cs="Times New Roman"/>
          <w:lang w:val="fr-CA"/>
        </w:rPr>
        <w:t xml:space="preserve">au cours des siècles, sa portée </w:t>
      </w:r>
      <w:r w:rsidRPr="005147AC">
        <w:rPr>
          <w:rFonts w:cs="Times New Roman"/>
          <w:iCs/>
          <w:lang w:val="fr-CA" w:bidi="en-US"/>
        </w:rPr>
        <w:t>“</w:t>
      </w:r>
      <w:r w:rsidRPr="005147AC">
        <w:rPr>
          <w:rFonts w:cs="Times New Roman"/>
          <w:lang w:val="fr-CA"/>
        </w:rPr>
        <w:t>s’est [plutôt] élargie afin qu’il puisse remplir son objet premier — la protection des individus contre l’érosion de leur droit de ne pas se voir imposer de restrictions abusives à leur liberté</w:t>
      </w:r>
      <w:r w:rsidRPr="005147AC">
        <w:rPr>
          <w:rFonts w:cs="Times New Roman"/>
          <w:iCs/>
          <w:lang w:val="fr-CA" w:bidi="en-US"/>
        </w:rPr>
        <w:t>” »</w:t>
      </w:r>
      <w:r w:rsidRPr="005147AC">
        <w:rPr>
          <w:rFonts w:cs="Times New Roman"/>
          <w:lang w:val="fr-CA"/>
        </w:rPr>
        <w:t xml:space="preserve"> (</w:t>
      </w:r>
      <w:r w:rsidRPr="005147AC">
        <w:rPr>
          <w:rFonts w:cs="Times New Roman"/>
          <w:i/>
          <w:iCs/>
          <w:lang w:val="fr-CA" w:bidi="en-US"/>
        </w:rPr>
        <w:t>Canada (Sécurité publique et Protection civile) c. Chhina</w:t>
      </w:r>
      <w:r w:rsidRPr="005147AC">
        <w:rPr>
          <w:rFonts w:cs="Times New Roman"/>
          <w:lang w:val="fr-CA" w:bidi="en-US"/>
        </w:rPr>
        <w:t>, 2019 CSC 29, [2019] 2 R.C.S. 467</w:t>
      </w:r>
      <w:r w:rsidRPr="005147AC">
        <w:rPr>
          <w:rFonts w:cs="Times New Roman"/>
          <w:lang w:val="fr-CA"/>
        </w:rPr>
        <w:t xml:space="preserve">, par. 19, citant </w:t>
      </w:r>
      <w:r w:rsidRPr="005147AC">
        <w:rPr>
          <w:rFonts w:cs="Times New Roman"/>
          <w:i/>
          <w:iCs/>
          <w:lang w:val="fr-CA"/>
        </w:rPr>
        <w:t>May c. Établissement Ferndale</w:t>
      </w:r>
      <w:r w:rsidRPr="005147AC">
        <w:rPr>
          <w:rFonts w:cs="Times New Roman"/>
          <w:lang w:val="fr-CA"/>
        </w:rPr>
        <w:t xml:space="preserve">, 2005 CSC 82, [2005] 3 R.C.S. 809, par. 21, et </w:t>
      </w:r>
      <w:r w:rsidRPr="005147AC">
        <w:rPr>
          <w:rFonts w:cs="Times New Roman"/>
          <w:i/>
          <w:iCs/>
          <w:lang w:val="fr-CA"/>
        </w:rPr>
        <w:t>Jones c. Cunningham</w:t>
      </w:r>
      <w:r w:rsidRPr="005147AC">
        <w:rPr>
          <w:rFonts w:cs="Times New Roman"/>
          <w:lang w:val="fr-CA"/>
        </w:rPr>
        <w:t xml:space="preserve">, 371 U.S. 236 (1962), p. 243; </w:t>
      </w:r>
      <w:r w:rsidRPr="005147AC">
        <w:rPr>
          <w:rFonts w:cs="Times New Roman"/>
          <w:i/>
          <w:lang w:val="fr-CA"/>
        </w:rPr>
        <w:t>Établissement de Mission c. Khela</w:t>
      </w:r>
      <w:r w:rsidRPr="005147AC">
        <w:rPr>
          <w:rFonts w:cs="Times New Roman"/>
          <w:lang w:val="fr-CA"/>
        </w:rPr>
        <w:t>, 2014 CSC 24, [2014] 1 R.C.S. 502, par. 54).</w:t>
      </w:r>
    </w:p>
    <w:p w14:paraId="7B7FEE1D" w14:textId="77777777" w:rsidR="005147AC" w:rsidRPr="005147AC" w:rsidRDefault="005147AC" w:rsidP="005147AC">
      <w:pPr>
        <w:pStyle w:val="ParaNoNdepar-AltN"/>
        <w:rPr>
          <w:rFonts w:cs="Times New Roman"/>
          <w:lang w:val="fr-CA"/>
        </w:rPr>
      </w:pPr>
      <w:r w:rsidRPr="005147AC">
        <w:rPr>
          <w:rFonts w:cs="Times New Roman"/>
          <w:lang w:val="fr-CA"/>
        </w:rPr>
        <w:t>Notre Cour a reconnu que ce bref, qui constitue à la fois un droit et un recours, doit rester souple et bénéficier d’une interprétation téléologique pour sanctionner les privations illégales à la liberté. En outre, ce bref doit demeurer disponible et accessible aux individus dont la liberté est la plus restreinte du fait qu’ils sont incarcérés dans des pénitenciers. Ces personnes, qui sont déjà privées considérablement de leur liberté, doivent pouvoir compter sur le recours rapide et efficace que constitue depuis longtemps l’</w:t>
      </w:r>
      <w:r w:rsidRPr="005147AC">
        <w:rPr>
          <w:rFonts w:cs="Times New Roman"/>
          <w:i/>
          <w:lang w:val="fr-CA"/>
        </w:rPr>
        <w:t>habeas corpus</w:t>
      </w:r>
      <w:r w:rsidRPr="005147AC">
        <w:rPr>
          <w:rFonts w:cs="Times New Roman"/>
          <w:lang w:val="fr-CA"/>
        </w:rPr>
        <w:t xml:space="preserve"> lorsqu’une privation de liberté devient illégale. Pour déterminer en quoi consiste une « privation de liberté », il </w:t>
      </w:r>
      <w:r w:rsidRPr="005147AC">
        <w:rPr>
          <w:rFonts w:cs="Times New Roman"/>
          <w:lang w:val="fr-CA"/>
        </w:rPr>
        <w:lastRenderedPageBreak/>
        <w:t xml:space="preserve">convient d’adopter une démarche qualitative axée sur l’effet concret d’une forme particulière de détention. </w:t>
      </w:r>
    </w:p>
    <w:p w14:paraId="75DEB782" w14:textId="77777777" w:rsidR="005147AC" w:rsidRPr="005147AC" w:rsidRDefault="005147AC" w:rsidP="005147AC">
      <w:pPr>
        <w:pStyle w:val="ParaNoNdepar-AltN"/>
        <w:rPr>
          <w:rFonts w:cs="Times New Roman"/>
          <w:lang w:val="fr-CA"/>
        </w:rPr>
      </w:pPr>
      <w:r w:rsidRPr="005147AC">
        <w:rPr>
          <w:rFonts w:cs="Times New Roman"/>
          <w:lang w:val="fr-CA"/>
        </w:rPr>
        <w:t>Dans le présent pourvoi, la Cour doit trancher une question pointue : Les détenus qui se voient refuser une cote de sécurité inférieure peuvent</w:t>
      </w:r>
      <w:r w:rsidRPr="005147AC">
        <w:rPr>
          <w:rFonts w:cs="Times New Roman"/>
          <w:lang w:val="fr-CA"/>
        </w:rPr>
        <w:noBreakHyphen/>
        <w:t xml:space="preserve">ils </w:t>
      </w:r>
      <w:r w:rsidRPr="005147AC">
        <w:rPr>
          <w:rFonts w:cs="Times New Roman"/>
          <w:i/>
          <w:lang w:val="fr-CA"/>
        </w:rPr>
        <w:t>recourir</w:t>
      </w:r>
      <w:r w:rsidRPr="005147AC">
        <w:rPr>
          <w:rFonts w:cs="Times New Roman"/>
          <w:lang w:val="fr-CA"/>
        </w:rPr>
        <w:t xml:space="preserve"> au bref d’</w:t>
      </w:r>
      <w:r w:rsidRPr="005147AC">
        <w:rPr>
          <w:rFonts w:cs="Times New Roman"/>
          <w:i/>
          <w:lang w:val="fr-CA"/>
        </w:rPr>
        <w:t>habeas corpus</w:t>
      </w:r>
      <w:r w:rsidRPr="005147AC">
        <w:rPr>
          <w:rFonts w:cs="Times New Roman"/>
          <w:lang w:val="fr-CA"/>
        </w:rPr>
        <w:t xml:space="preserve">? Bon nombre de ces refus sont, bien entendu, conformes à la loi, tout comme de nombreuses décisions d’attribuer à un détenu une cote de sécurité supérieure. Pourtant, le bref existe précisément pour ces occasions où les autorités carcérales outrepassent les limites des pouvoirs que leur confère la loi. L’accès large et efficace au recours en </w:t>
      </w:r>
      <w:r w:rsidRPr="005147AC">
        <w:rPr>
          <w:rFonts w:cs="Times New Roman"/>
          <w:i/>
          <w:lang w:val="fr-CA"/>
        </w:rPr>
        <w:t>habeas corpus</w:t>
      </w:r>
      <w:r w:rsidRPr="005147AC">
        <w:rPr>
          <w:rFonts w:cs="Times New Roman"/>
          <w:lang w:val="fr-CA"/>
        </w:rPr>
        <w:t xml:space="preserve"> est primordial pour les personnes qui subissent une privation illégale et continue de leur liberté résiduelle et cherchent à contester la légalité de leur détention. </w:t>
      </w:r>
    </w:p>
    <w:p w14:paraId="7C32E27F" w14:textId="77777777" w:rsidR="005147AC" w:rsidRPr="005147AC" w:rsidRDefault="005147AC" w:rsidP="005147AC">
      <w:pPr>
        <w:pStyle w:val="ParaNoNdepar-AltN"/>
        <w:rPr>
          <w:rFonts w:cs="Times New Roman"/>
          <w:lang w:val="fr-CA"/>
        </w:rPr>
      </w:pPr>
      <w:r w:rsidRPr="005147AC">
        <w:rPr>
          <w:rFonts w:cs="Times New Roman"/>
          <w:lang w:val="fr-CA"/>
        </w:rPr>
        <w:t xml:space="preserve">Récemment, dans l’arrêt </w:t>
      </w:r>
      <w:r w:rsidRPr="005147AC">
        <w:rPr>
          <w:rFonts w:cs="Times New Roman"/>
          <w:i/>
          <w:lang w:val="fr-CA"/>
        </w:rPr>
        <w:t>John Howard Society of Saskatchewan c. Saskatchewan (Procureur général)</w:t>
      </w:r>
      <w:r w:rsidRPr="005147AC">
        <w:rPr>
          <w:rFonts w:cs="Times New Roman"/>
          <w:lang w:val="fr-CA"/>
        </w:rPr>
        <w:t>,</w:t>
      </w:r>
      <w:r w:rsidRPr="005147AC">
        <w:rPr>
          <w:rFonts w:cs="Times New Roman"/>
          <w:i/>
          <w:lang w:val="fr-CA"/>
        </w:rPr>
        <w:t xml:space="preserve"> </w:t>
      </w:r>
      <w:r w:rsidRPr="005147AC">
        <w:rPr>
          <w:rFonts w:cs="Times New Roman"/>
          <w:lang w:val="fr-CA"/>
        </w:rPr>
        <w:t>2025 CSC 6, notre Cour a réitéré l’importance d’adopter une approche fonctionnelle plutôt qu’une approche formaliste à l’égard des droits des détenus. Il n’est pas nécessaire de modifier le cadre établi en matière d’</w:t>
      </w:r>
      <w:r w:rsidRPr="005147AC">
        <w:rPr>
          <w:rFonts w:cs="Times New Roman"/>
          <w:i/>
          <w:lang w:val="fr-CA"/>
        </w:rPr>
        <w:t xml:space="preserve">habeas corpus </w:t>
      </w:r>
      <w:r w:rsidRPr="005147AC">
        <w:rPr>
          <w:rFonts w:cs="Times New Roman"/>
          <w:lang w:val="fr-CA"/>
        </w:rPr>
        <w:t xml:space="preserve">pour reconnaître cette réalité. Le test demeure celui énoncé dans </w:t>
      </w:r>
      <w:r w:rsidRPr="005147AC">
        <w:rPr>
          <w:rFonts w:cs="Times New Roman"/>
          <w:i/>
          <w:lang w:val="fr-CA"/>
        </w:rPr>
        <w:t>Khela </w:t>
      </w:r>
      <w:r w:rsidRPr="005147AC">
        <w:rPr>
          <w:rFonts w:cs="Times New Roman"/>
          <w:lang w:val="fr-CA"/>
        </w:rPr>
        <w:t>: pour pouvoir recourir au bref d’</w:t>
      </w:r>
      <w:r w:rsidRPr="005147AC">
        <w:rPr>
          <w:rFonts w:cs="Times New Roman"/>
          <w:i/>
          <w:lang w:val="fr-CA"/>
        </w:rPr>
        <w:t>habeas corpus</w:t>
      </w:r>
      <w:r w:rsidRPr="005147AC">
        <w:rPr>
          <w:rFonts w:cs="Times New Roman"/>
          <w:lang w:val="fr-CA"/>
        </w:rPr>
        <w:t>, il doit y avoir une privation de liberté et des motifs légitimes de remettre en question la légalité de la privation (par. 30). L’application de ce même test à un refus d’attribuer une cote de sécurité inférieure qui entraîne la continuation illégale d’une détention plus restrictive est conforme tant à la jurisprudence qu’aux principes.</w:t>
      </w:r>
    </w:p>
    <w:p w14:paraId="47280E1C"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lastRenderedPageBreak/>
        <w:t>Les appelants, deux détenus fédéraux, ont demandé à être transférés d’un établissement à sécurité moyenne vers un établissement à sécurité minimale. Même si les deux appelants ont fait l’objet d’une recommandation en vue de l’attribution d’une cote de sécurité inférieure et d’un transfèrement vers un établissement à sécurité minimale, dans chaque cas, un décideur administratif a refusé de modifier leur cote de sécurité. En conséquence, les deux appelants sont demeurés incarcérés dans des établissements à sécurité moyenne jusqu’à la date suivante prévue par la loi pour la réévaluation de leur cote de sécurité. Au moment où le présent pourvoi a été entendu, les deux appelants avaient fait l’objet d’une modification de leur cote de sécurité et avaient été transférés dans des établissements à sécurité minimale à la suite d’une réévaluation effectuée à la date prévue par la loi.</w:t>
      </w:r>
    </w:p>
    <w:p w14:paraId="66B21845" w14:textId="77777777" w:rsidR="005147AC" w:rsidRPr="005147AC" w:rsidRDefault="005147AC" w:rsidP="005147AC">
      <w:pPr>
        <w:pStyle w:val="ParaNoNdepar-AltN"/>
        <w:rPr>
          <w:rFonts w:cs="Times New Roman"/>
          <w:lang w:val="fr-CA"/>
        </w:rPr>
      </w:pPr>
      <w:r w:rsidRPr="005147AC">
        <w:rPr>
          <w:rFonts w:cs="Times New Roman"/>
          <w:lang w:val="fr-CA"/>
        </w:rPr>
        <w:t>À mon avis, la décision de maintenir un détenu dans des conditions de détention particulières et plus restrictives, au lieu de le transférer vers un établissement à sécurité moins élevée, donne lieu à une privation de liberté. Le maintien continu d’un individu dans un établissement à sécurité plus élevée a essentiellement le même effet que le transfèrement involontaire vers un établissement à sécurité plus élevée. Dans les deux cas, le détenu est soumis à des restrictions plus importantes dans sa vie quotidienne et subit une plus grande privation de sa liberté que s’il avait été transféré dans l’établissement où il aurait pu être incarcéré. Comme je vais l’expliquer, toute distinction entre ces deux cas de figure repose à tort sur une conception formaliste de la privation de liberté.</w:t>
      </w:r>
    </w:p>
    <w:p w14:paraId="5959EF93" w14:textId="77777777" w:rsidR="005147AC" w:rsidRPr="005147AC" w:rsidRDefault="005147AC" w:rsidP="005147AC">
      <w:pPr>
        <w:pStyle w:val="ParaNoNdepar-AltN"/>
        <w:rPr>
          <w:rFonts w:cs="Times New Roman"/>
          <w:lang w:val="fr-CA"/>
        </w:rPr>
      </w:pPr>
      <w:r w:rsidRPr="005147AC">
        <w:rPr>
          <w:rFonts w:cs="Times New Roman"/>
          <w:lang w:val="fr-CA"/>
        </w:rPr>
        <w:lastRenderedPageBreak/>
        <w:t>Par ailleurs, l’existence d’autres mécanismes de révision n’a pas d’incidence sur le seuil minimal d’accès à l’</w:t>
      </w:r>
      <w:r w:rsidRPr="005147AC">
        <w:rPr>
          <w:rFonts w:cs="Times New Roman"/>
          <w:i/>
          <w:lang w:val="fr-CA"/>
        </w:rPr>
        <w:t>habeas corpus</w:t>
      </w:r>
      <w:r w:rsidRPr="005147AC">
        <w:rPr>
          <w:rFonts w:cs="Times New Roman"/>
          <w:lang w:val="fr-CA"/>
        </w:rPr>
        <w:t xml:space="preserve"> lorsqu’un détenu se voit refuser une cote de sécurité inférieure. Dès lors que le détenu prouve l’existence d’une privation de liberté et invoque un motif légitime de remettre en question la légalité de la privation, une audience sur le fond doit avoir lieu. Le bref n’est pas discrétionnaire, et le transfèrement, en l’occurrence vers un établissement à sécurité moins élevée, demeure la mesure de réparation indiquée. Cependant, les tribunaux disposent d’une certaine marge de manœuvre pour imposer les conditions qui conviennent à la mise en liberté dans l’affaire dont ils sont saisis. </w:t>
      </w:r>
    </w:p>
    <w:p w14:paraId="6A48B271" w14:textId="77777777" w:rsidR="005147AC" w:rsidRPr="005147AC" w:rsidRDefault="005147AC" w:rsidP="005147AC">
      <w:pPr>
        <w:pStyle w:val="ParaNoNdepar-AltN"/>
        <w:rPr>
          <w:rFonts w:cs="Times New Roman"/>
          <w:lang w:val="fr-CA"/>
        </w:rPr>
      </w:pPr>
      <w:r w:rsidRPr="005147AC">
        <w:rPr>
          <w:rFonts w:cs="Times New Roman"/>
          <w:lang w:val="fr-CA"/>
        </w:rPr>
        <w:t xml:space="preserve">Je suis d’avis d’accueillir le pourvoi. </w:t>
      </w:r>
    </w:p>
    <w:p w14:paraId="01F2834E" w14:textId="77777777" w:rsidR="005147AC" w:rsidRPr="005147AC" w:rsidRDefault="005147AC" w:rsidP="005147AC">
      <w:pPr>
        <w:pStyle w:val="Title1LevelTitre1Niveau-AltL"/>
        <w:numPr>
          <w:ilvl w:val="0"/>
          <w:numId w:val="8"/>
        </w:numPr>
        <w:ind w:left="578" w:hanging="578"/>
        <w:jc w:val="both"/>
        <w:rPr>
          <w:rFonts w:cs="Times New Roman"/>
          <w:lang w:val="fr-CA"/>
        </w:rPr>
      </w:pPr>
      <w:r w:rsidRPr="005147AC">
        <w:rPr>
          <w:rFonts w:cs="Times New Roman"/>
          <w:lang w:val="fr-CA"/>
        </w:rPr>
        <w:t>Contexte</w:t>
      </w:r>
    </w:p>
    <w:p w14:paraId="4FA3EA2D" w14:textId="77777777" w:rsidR="005147AC" w:rsidRPr="005147AC" w:rsidRDefault="005147AC" w:rsidP="005147AC">
      <w:pPr>
        <w:pStyle w:val="Title2LevelTitre2Niveau"/>
        <w:numPr>
          <w:ilvl w:val="1"/>
          <w:numId w:val="8"/>
        </w:numPr>
        <w:ind w:left="578" w:hanging="578"/>
        <w:jc w:val="both"/>
        <w:rPr>
          <w:rFonts w:cs="Times New Roman"/>
          <w:lang w:val="fr-CA"/>
        </w:rPr>
      </w:pPr>
      <w:r w:rsidRPr="005147AC">
        <w:rPr>
          <w:rFonts w:cs="Times New Roman"/>
          <w:lang w:val="fr-CA"/>
        </w:rPr>
        <w:t xml:space="preserve">Régime législatif </w:t>
      </w:r>
    </w:p>
    <w:p w14:paraId="5E5BABF2" w14:textId="77777777" w:rsidR="005147AC" w:rsidRPr="005147AC" w:rsidRDefault="005147AC" w:rsidP="005147AC">
      <w:pPr>
        <w:pStyle w:val="ParaNoNdepar-AltN"/>
        <w:rPr>
          <w:rFonts w:cs="Times New Roman"/>
          <w:b/>
          <w:bCs/>
          <w:lang w:val="fr-CA"/>
        </w:rPr>
      </w:pPr>
      <w:r w:rsidRPr="005147AC">
        <w:rPr>
          <w:rFonts w:cs="Times New Roman"/>
          <w:lang w:val="fr-CA"/>
        </w:rPr>
        <w:t xml:space="preserve">Le présent pourvoi concerne le régime législatif applicable au système correctionnel fédéral. L’attribution de cotes de sécurité aux détenus dans le système correctionnel fédéral est régie par la </w:t>
      </w:r>
      <w:r w:rsidRPr="005147AC">
        <w:rPr>
          <w:rFonts w:cs="Times New Roman"/>
          <w:i/>
          <w:iCs/>
          <w:lang w:val="fr-CA"/>
        </w:rPr>
        <w:t>Loi sur le système correctionnel et la mise en liberté sous condition</w:t>
      </w:r>
      <w:r w:rsidRPr="005147AC">
        <w:rPr>
          <w:rFonts w:cs="Times New Roman"/>
          <w:lang w:val="fr-CA"/>
        </w:rPr>
        <w:t>, L.C. 1992, c. 20 (« </w:t>
      </w:r>
      <w:r w:rsidRPr="005147AC">
        <w:rPr>
          <w:rFonts w:cs="Times New Roman"/>
          <w:i/>
          <w:lang w:val="fr-CA"/>
        </w:rPr>
        <w:t>LSCMLC</w:t>
      </w:r>
      <w:r w:rsidRPr="005147AC">
        <w:rPr>
          <w:rFonts w:cs="Times New Roman"/>
          <w:lang w:val="fr-CA"/>
        </w:rPr>
        <w:t xml:space="preserve"> »), et le </w:t>
      </w:r>
      <w:r w:rsidRPr="005147AC">
        <w:rPr>
          <w:rFonts w:cs="Times New Roman"/>
          <w:i/>
          <w:iCs/>
          <w:lang w:val="fr-CA"/>
        </w:rPr>
        <w:t>Règlement sur le système correctionnel et la mise en liberté sous condition</w:t>
      </w:r>
      <w:r w:rsidRPr="005147AC">
        <w:rPr>
          <w:rFonts w:cs="Times New Roman"/>
          <w:lang w:val="fr-CA"/>
        </w:rPr>
        <w:t>, DORS/92</w:t>
      </w:r>
      <w:r w:rsidRPr="005147AC">
        <w:rPr>
          <w:rFonts w:cs="Times New Roman"/>
          <w:lang w:val="fr-CA"/>
        </w:rPr>
        <w:noBreakHyphen/>
        <w:t>620 (« </w:t>
      </w:r>
      <w:r w:rsidRPr="005147AC">
        <w:rPr>
          <w:rFonts w:cs="Times New Roman"/>
          <w:i/>
          <w:lang w:val="fr-CA"/>
        </w:rPr>
        <w:t>RSCMLC</w:t>
      </w:r>
      <w:r w:rsidRPr="005147AC">
        <w:rPr>
          <w:rFonts w:cs="Times New Roman"/>
          <w:lang w:val="fr-CA"/>
        </w:rPr>
        <w:t xml:space="preserve"> »). De plus, des règles détaillées d’application de la </w:t>
      </w:r>
      <w:r w:rsidRPr="005147AC">
        <w:rPr>
          <w:rFonts w:cs="Times New Roman"/>
          <w:i/>
          <w:lang w:val="fr-CA"/>
        </w:rPr>
        <w:t xml:space="preserve">LSCMLC </w:t>
      </w:r>
      <w:r w:rsidRPr="005147AC">
        <w:rPr>
          <w:rFonts w:cs="Times New Roman"/>
          <w:lang w:val="fr-CA"/>
        </w:rPr>
        <w:t xml:space="preserve">sont énoncées dans les directives du commissaire — des politiques internes contraignantes établies par le commissaire aux services correctionnels en vertu des art. 97 et 98 de la </w:t>
      </w:r>
      <w:r w:rsidRPr="005147AC">
        <w:rPr>
          <w:rFonts w:cs="Times New Roman"/>
          <w:i/>
          <w:lang w:val="fr-CA"/>
        </w:rPr>
        <w:t>LSCMLC</w:t>
      </w:r>
      <w:r w:rsidRPr="005147AC">
        <w:rPr>
          <w:rFonts w:cs="Times New Roman"/>
          <w:lang w:val="fr-CA"/>
        </w:rPr>
        <w:t xml:space="preserve">. Dans </w:t>
      </w:r>
      <w:r w:rsidRPr="005147AC">
        <w:rPr>
          <w:rFonts w:cs="Times New Roman"/>
          <w:lang w:val="fr-CA"/>
        </w:rPr>
        <w:lastRenderedPageBreak/>
        <w:t xml:space="preserve">le présent pourvoi, trois de ces directives sont particulièrement pertinentes : la </w:t>
      </w:r>
      <w:r w:rsidRPr="005147AC">
        <w:rPr>
          <w:rFonts w:cs="Times New Roman"/>
          <w:i/>
          <w:lang w:val="fr-CA"/>
        </w:rPr>
        <w:t>Directive du commissaire 705</w:t>
      </w:r>
      <w:r w:rsidRPr="005147AC">
        <w:rPr>
          <w:rFonts w:cs="Times New Roman"/>
          <w:i/>
          <w:lang w:val="fr-CA"/>
        </w:rPr>
        <w:noBreakHyphen/>
        <w:t xml:space="preserve">7 : Cote de sécurité et placement pénitentiaire </w:t>
      </w:r>
      <w:r w:rsidRPr="005147AC">
        <w:rPr>
          <w:rFonts w:cs="Times New Roman"/>
          <w:lang w:val="fr-CA"/>
        </w:rPr>
        <w:t xml:space="preserve">(15 janvier 2018 (en ligne)) (« DC 705-7 »), la </w:t>
      </w:r>
      <w:r w:rsidRPr="005147AC">
        <w:rPr>
          <w:rFonts w:cs="Times New Roman"/>
          <w:i/>
          <w:lang w:val="fr-CA"/>
        </w:rPr>
        <w:t>Directive du commissaire 710</w:t>
      </w:r>
      <w:r w:rsidRPr="005147AC">
        <w:rPr>
          <w:rFonts w:cs="Times New Roman"/>
          <w:i/>
          <w:lang w:val="fr-CA"/>
        </w:rPr>
        <w:noBreakHyphen/>
        <w:t>6 : Réévaluation de la cote de sécurité des détenus</w:t>
      </w:r>
      <w:r w:rsidRPr="005147AC">
        <w:rPr>
          <w:rFonts w:cs="Times New Roman"/>
          <w:lang w:val="fr-CA"/>
        </w:rPr>
        <w:t xml:space="preserve"> (30 novembre 2019 (en ligne)) (« DC 710</w:t>
      </w:r>
      <w:r w:rsidRPr="005147AC">
        <w:rPr>
          <w:rFonts w:cs="Times New Roman"/>
          <w:lang w:val="fr-CA"/>
        </w:rPr>
        <w:noBreakHyphen/>
        <w:t xml:space="preserve">6 »), et la </w:t>
      </w:r>
      <w:r w:rsidRPr="005147AC">
        <w:rPr>
          <w:rFonts w:cs="Times New Roman"/>
          <w:i/>
          <w:lang w:val="fr-CA"/>
        </w:rPr>
        <w:t xml:space="preserve">Directive du commissaire 081 : Plaintes et griefs des délinquants </w:t>
      </w:r>
      <w:r w:rsidRPr="005147AC">
        <w:rPr>
          <w:rFonts w:cs="Times New Roman"/>
          <w:lang w:val="fr-CA"/>
        </w:rPr>
        <w:t>(28 juin 2019 (en ligne)) (« DC 081 »).</w:t>
      </w:r>
    </w:p>
    <w:p w14:paraId="7DE04D75" w14:textId="77777777" w:rsidR="005147AC" w:rsidRPr="005147AC" w:rsidRDefault="005147AC" w:rsidP="005147AC">
      <w:pPr>
        <w:pStyle w:val="ParaNoNdepar-AltN"/>
        <w:rPr>
          <w:rFonts w:cs="Times New Roman"/>
          <w:lang w:val="fr-CA"/>
        </w:rPr>
      </w:pPr>
      <w:r w:rsidRPr="005147AC">
        <w:rPr>
          <w:rFonts w:cs="Times New Roman"/>
          <w:lang w:val="fr-CA"/>
        </w:rPr>
        <w:t xml:space="preserve">Selon l’art. 30 de la </w:t>
      </w:r>
      <w:r w:rsidRPr="005147AC">
        <w:rPr>
          <w:rFonts w:cs="Times New Roman"/>
          <w:i/>
          <w:lang w:val="fr-CA"/>
        </w:rPr>
        <w:t>LSCMLC</w:t>
      </w:r>
      <w:r w:rsidRPr="005147AC">
        <w:rPr>
          <w:rFonts w:cs="Times New Roman"/>
          <w:lang w:val="fr-CA"/>
        </w:rPr>
        <w:t xml:space="preserve">, Service correctionnel Canada (« SCC ») doit attribuer à chaque détenu l’une des trois cotes de sécurité (maximale, moyenne ou minimale) et l’incarcérer dans un pénitencier approprié. Conformément à l’art. 28 de la </w:t>
      </w:r>
      <w:r w:rsidRPr="005147AC">
        <w:rPr>
          <w:rFonts w:cs="Times New Roman"/>
          <w:i/>
          <w:lang w:val="fr-CA"/>
        </w:rPr>
        <w:t>LSCMLC</w:t>
      </w:r>
      <w:r w:rsidRPr="005147AC">
        <w:rPr>
          <w:rFonts w:cs="Times New Roman"/>
          <w:lang w:val="fr-CA"/>
        </w:rPr>
        <w:t xml:space="preserve">, SCC doit s’assurer, dans la mesure du possible, que le détenu est incarcéré dans le milieu le moins restrictif possible eu égard à sa situation. Ces décisions sont fondées sur l’art. 17 du </w:t>
      </w:r>
      <w:r w:rsidRPr="005147AC">
        <w:rPr>
          <w:rFonts w:cs="Times New Roman"/>
          <w:i/>
          <w:lang w:val="fr-CA"/>
        </w:rPr>
        <w:t>RSCMLC</w:t>
      </w:r>
      <w:r w:rsidRPr="005147AC">
        <w:rPr>
          <w:rFonts w:cs="Times New Roman"/>
          <w:lang w:val="fr-CA"/>
        </w:rPr>
        <w:t>, qui énumère les facteurs à prendre en compte, notamment la gravité de l’infraction, le comportement du détenu en établissement et sa propension à la violence.</w:t>
      </w:r>
    </w:p>
    <w:p w14:paraId="21088CF3" w14:textId="77777777" w:rsidR="005147AC" w:rsidRPr="005147AC" w:rsidRDefault="005147AC" w:rsidP="005147AC">
      <w:pPr>
        <w:pStyle w:val="ParaNoNdepar-AltN"/>
        <w:rPr>
          <w:rFonts w:cs="Times New Roman"/>
          <w:lang w:val="fr-CA"/>
        </w:rPr>
      </w:pPr>
      <w:r w:rsidRPr="005147AC">
        <w:rPr>
          <w:rFonts w:cs="Times New Roman"/>
          <w:lang w:val="fr-CA"/>
        </w:rPr>
        <w:t xml:space="preserve">Le </w:t>
      </w:r>
      <w:r w:rsidRPr="005147AC">
        <w:rPr>
          <w:rFonts w:cs="Times New Roman"/>
          <w:i/>
          <w:lang w:val="fr-CA"/>
        </w:rPr>
        <w:t>RSCMLC</w:t>
      </w:r>
      <w:r w:rsidRPr="005147AC">
        <w:rPr>
          <w:rFonts w:cs="Times New Roman"/>
          <w:lang w:val="fr-CA"/>
        </w:rPr>
        <w:t xml:space="preserve"> définit les critères applicables à chaque niveau de sécurité. En ce qui concerne les niveaux de sécurité pertinents pour le présent pourvoi, l’attribution de la cote de sécurité minimale est réservée aux détenus qui présentent « un faible risque d’évasion et [. . .] une faible menace pour la sécurité du public », et qui exigent « un faible degré de surveillance et de contrôle » (al. 18c)); la cote de sécurité moyenne est réservée aux détenus qui présentent « un risque d’évasion de faible à moyen et [. . .] une menace moyenne pour la sécurité du public », et qui exigent un « degré moyen de </w:t>
      </w:r>
      <w:r w:rsidRPr="005147AC">
        <w:rPr>
          <w:rFonts w:cs="Times New Roman"/>
          <w:lang w:val="fr-CA"/>
        </w:rPr>
        <w:lastRenderedPageBreak/>
        <w:t>surveillance et de contrôle » (al. 18b)). Ces définitions guident à la fois l’incarcération initiale et toute réévaluation future de la cote de sécurité.</w:t>
      </w:r>
    </w:p>
    <w:p w14:paraId="6013FB1A" w14:textId="77777777" w:rsidR="005147AC" w:rsidRPr="005147AC" w:rsidRDefault="005147AC" w:rsidP="005147AC">
      <w:pPr>
        <w:pStyle w:val="ParaNoNdepar-AltN"/>
        <w:rPr>
          <w:rFonts w:cs="Times New Roman"/>
          <w:lang w:val="fr-CA"/>
        </w:rPr>
      </w:pPr>
      <w:r w:rsidRPr="005147AC">
        <w:rPr>
          <w:rFonts w:cs="Times New Roman"/>
          <w:lang w:val="fr-CA"/>
        </w:rPr>
        <w:t>En outre, des règles détaillées contenues dans les directives du commissaire régissent l’attribution des cotes de sécurité. Conformément à la DC 705</w:t>
      </w:r>
      <w:r w:rsidRPr="005147AC">
        <w:rPr>
          <w:rFonts w:cs="Times New Roman"/>
          <w:lang w:val="fr-CA"/>
        </w:rPr>
        <w:noBreakHyphen/>
        <w:t>7, SCC est tenu d’utiliser une combinaison d’outils actuariels et d’analyse individualisée pour toutes ses décisions en matière de cotes de sécurité. Lors de l’évaluation initiale, un agent de SCC doit remplir l’Échelle de classement par niveau de sécurité en vue d’une décision concernant le placement pénitentiaire initial. Lors de la réévaluation de la cote de sécurité, on utilise une Échelle de réévaluation de la cote de sécurité (DC 710</w:t>
      </w:r>
      <w:r w:rsidRPr="005147AC">
        <w:rPr>
          <w:rFonts w:cs="Times New Roman"/>
          <w:lang w:val="fr-CA"/>
        </w:rPr>
        <w:noBreakHyphen/>
        <w:t>6). Dans tous les cas, l’agent doit préparer une Évaluation écrite en vue d’une décision qui attribue des cotes précises pour les trois facteurs obligatoires suivants : adaptation à l’établissement, risque d’évasion et menace pour la sécurité du public (DC 705</w:t>
      </w:r>
      <w:r w:rsidRPr="005147AC">
        <w:rPr>
          <w:rFonts w:cs="Times New Roman"/>
          <w:lang w:val="fr-CA"/>
        </w:rPr>
        <w:noBreakHyphen/>
        <w:t xml:space="preserve">7, art. 6). Les cotes recommandées doivent être expliquées et, en cas de divergence par rapport à l’échelle, cette divergence doit être justifiée par écrit. </w:t>
      </w:r>
    </w:p>
    <w:p w14:paraId="7994F074"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Dans la plupart des cas, la personne qui prend la décision finale est le directeur de l’établissement — la personne normalement responsable du pénitencier, habituellement le directeur (DC 705</w:t>
      </w:r>
      <w:r w:rsidRPr="005147AC">
        <w:rPr>
          <w:rFonts w:cs="Times New Roman"/>
          <w:lang w:val="fr-CA"/>
        </w:rPr>
        <w:noBreakHyphen/>
        <w:t>7, art. 5; DC 710</w:t>
      </w:r>
      <w:r w:rsidRPr="005147AC">
        <w:rPr>
          <w:rFonts w:cs="Times New Roman"/>
          <w:lang w:val="fr-CA"/>
        </w:rPr>
        <w:noBreakHyphen/>
        <w:t>6, par. 3(2)). Toutefois, lorsque le détenu est un délinquant dangereux, des niveaux supplémentaires d’examen sont prévus. En pareil cas, la décision du directeur de l’établissement doit être appuyée par le sous</w:t>
      </w:r>
      <w:r w:rsidRPr="005147AC">
        <w:rPr>
          <w:rFonts w:cs="Times New Roman"/>
          <w:lang w:val="fr-CA"/>
        </w:rPr>
        <w:noBreakHyphen/>
        <w:t xml:space="preserve">commissaire régional (« SCR ») et approuvée par le commissaire adjoint, </w:t>
      </w:r>
      <w:r w:rsidRPr="005147AC">
        <w:rPr>
          <w:rFonts w:cs="Times New Roman"/>
          <w:lang w:val="fr-CA"/>
        </w:rPr>
        <w:lastRenderedPageBreak/>
        <w:t>Opérations et programmes correctionnels (« CAOPC »), qui est l’autorité de dernière instance (DC 705</w:t>
      </w:r>
      <w:r w:rsidRPr="005147AC">
        <w:rPr>
          <w:rFonts w:cs="Times New Roman"/>
          <w:lang w:val="fr-CA"/>
        </w:rPr>
        <w:noBreakHyphen/>
        <w:t>7, art. 5; DC 710</w:t>
      </w:r>
      <w:r w:rsidRPr="005147AC">
        <w:rPr>
          <w:rFonts w:cs="Times New Roman"/>
          <w:lang w:val="fr-CA"/>
        </w:rPr>
        <w:noBreakHyphen/>
        <w:t>6, par. 3(2)).</w:t>
      </w:r>
    </w:p>
    <w:p w14:paraId="61D99470" w14:textId="77777777" w:rsidR="005147AC" w:rsidRPr="005147AC" w:rsidRDefault="005147AC" w:rsidP="005147AC">
      <w:pPr>
        <w:pStyle w:val="ParaNoNdepar-AltN"/>
        <w:rPr>
          <w:rFonts w:cs="Times New Roman"/>
          <w:lang w:val="fr-CA"/>
        </w:rPr>
      </w:pPr>
      <w:r w:rsidRPr="005147AC">
        <w:rPr>
          <w:rFonts w:cs="Times New Roman"/>
          <w:lang w:val="fr-CA"/>
        </w:rPr>
        <w:t>Les détenus incarcérés dans un établissement à sécurité maximale ou moyenne ont droit à la réévaluation de leur cote de sécurité au moins une fois tous les deux ans, ou plus tôt si le délinquant a terminé un programme correctionnel destiné aux détenus autochtones (DC 710</w:t>
      </w:r>
      <w:r w:rsidRPr="005147AC">
        <w:rPr>
          <w:rFonts w:cs="Times New Roman"/>
          <w:lang w:val="fr-CA"/>
        </w:rPr>
        <w:noBreakHyphen/>
        <w:t>6, art. 7 et 8). Une fois la décision prise, le détenu doit en être informé par écrit dans les cinq jours ouvrables, avec les motifs et les renseignements sur lesquels elle se fonde (DC 710</w:t>
      </w:r>
      <w:r w:rsidRPr="005147AC">
        <w:rPr>
          <w:rFonts w:cs="Times New Roman"/>
          <w:lang w:val="fr-CA"/>
        </w:rPr>
        <w:noBreakHyphen/>
        <w:t>6, art. 5). Le détenu doit également être informé de son droit de contester la décision par voie de grief (</w:t>
      </w:r>
      <w:r w:rsidRPr="005147AC">
        <w:rPr>
          <w:rFonts w:cs="Times New Roman"/>
          <w:i/>
          <w:lang w:val="fr-CA"/>
        </w:rPr>
        <w:t>ibid.</w:t>
      </w:r>
      <w:r w:rsidRPr="005147AC">
        <w:rPr>
          <w:rFonts w:cs="Times New Roman"/>
          <w:lang w:val="fr-CA"/>
        </w:rPr>
        <w:t xml:space="preserve">). </w:t>
      </w:r>
    </w:p>
    <w:p w14:paraId="73208817" w14:textId="77777777" w:rsidR="005147AC" w:rsidRPr="005147AC" w:rsidRDefault="005147AC" w:rsidP="005147AC">
      <w:pPr>
        <w:pStyle w:val="ParaNoNdepar-AltN"/>
        <w:rPr>
          <w:rFonts w:cs="Times New Roman"/>
          <w:lang w:val="fr-CA"/>
        </w:rPr>
      </w:pPr>
      <w:r w:rsidRPr="005147AC">
        <w:rPr>
          <w:rFonts w:cs="Times New Roman"/>
          <w:lang w:val="fr-CA"/>
        </w:rPr>
        <w:t>Le processus de règlement des griefs est énoncé dans la DC 081. Les décisions relatives à la modification de la cote de sécurité, telles que les décisions du directeur de l’établissement ou d’un supérieur hiérarchique, sont portées directement en appel au dernier palier national du système de règlement des griefs des détenus (DC 081, art. 7; DC 710</w:t>
      </w:r>
      <w:r w:rsidRPr="005147AC">
        <w:rPr>
          <w:rFonts w:cs="Times New Roman"/>
          <w:lang w:val="fr-CA"/>
        </w:rPr>
        <w:noBreakHyphen/>
        <w:t xml:space="preserve">6, art. 3). Ces griefs au niveau national sont tranchés par le commissaire adjoint, Politiques, ou par une personne désignée de rang équivalent ou supérieur (DC 081, art. 8). Les décisions relatives aux griefs peuvent faire l’objet d’un contrôle judiciaire en Cour fédérale. De plus, les détenus peuvent faire part de leurs préoccupations au Bureau de l’enquêteur correctionnel, un organisme de surveillance indépendant qui a le pouvoir d’enquêter et de faire rapport sur les pratiques de SCC (DC 081, art. 15). </w:t>
      </w:r>
    </w:p>
    <w:p w14:paraId="4211E0C7" w14:textId="77777777" w:rsidR="005147AC" w:rsidRPr="005147AC" w:rsidRDefault="005147AC" w:rsidP="005147AC">
      <w:pPr>
        <w:pStyle w:val="Title2LevelTitre2Niveau"/>
        <w:ind w:left="567" w:hanging="567"/>
        <w:jc w:val="both"/>
        <w:rPr>
          <w:rFonts w:cs="Times New Roman"/>
          <w:lang w:val="fr-CA"/>
        </w:rPr>
      </w:pPr>
      <w:r w:rsidRPr="005147AC">
        <w:rPr>
          <w:rFonts w:cs="Times New Roman"/>
          <w:lang w:val="fr-CA"/>
        </w:rPr>
        <w:t xml:space="preserve">Frank Dorsey et </w:t>
      </w:r>
      <w:bookmarkStart w:id="1" w:name="_Toc197591288"/>
      <w:r w:rsidRPr="005147AC">
        <w:rPr>
          <w:rFonts w:cs="Times New Roman"/>
          <w:lang w:val="fr-CA"/>
        </w:rPr>
        <w:t>Ghassan Salah</w:t>
      </w:r>
      <w:bookmarkEnd w:id="1"/>
    </w:p>
    <w:p w14:paraId="42E90709"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Âgé de 64 ans, Frank Dorsey est un Canadien de race noire qui est incarcéré depuis 1999, d’abord en attendant son procès, puis comme prisonnier fédéral après sa condamnation. Il a été déclaré délinquant dangereux et a été condamné à une peine d’emprisonnement d’une durée indéterminée. </w:t>
      </w:r>
    </w:p>
    <w:p w14:paraId="00BFCED2"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t>En 2019, M. Dorsey a demandé une réévaluation de sa cote de sécurité en vue d’être transféré d’un établissement à sécurité moyenne à un établissement à sécurité minimale. Sa demande était appuyée par son équipe de gestion de cas, le gestionnaire de l’évaluation et des interventions (« GÉI ») et le directeur de l’établissement où il était détenu, qui ont tous conclu qu’il respectait les critères lui permettant d’être transféré vers un établissement à sécurité minimale. Toutefois, les décisions relatives à la modification de la cote de sécurité des délinquants dangereux doivent être approuvées par le SCR et le CAOPC. Le 9 septembre 2019, le SCR a conclu que M. Dorsey présentait un risque « modéré » pour la sécurité du public et a donc refusé sa demande de modification de sa cote de sécurité.</w:t>
      </w:r>
    </w:p>
    <w:p w14:paraId="596E0D01"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t xml:space="preserve">Lors de la réévaluation subséquente de la cote de sécurité de M. Dorsey, qui a eu lieu deux ans plus tard, en 2021, son équipe de gestion de cas et le directeur de l’établissement ont de nouveau </w:t>
      </w:r>
      <w:bookmarkStart w:id="2" w:name="_Hlk205916583"/>
      <w:r w:rsidRPr="005147AC">
        <w:rPr>
          <w:rFonts w:cs="Times New Roman"/>
          <w:lang w:val="fr-CA"/>
        </w:rPr>
        <w:t>recommandé sa reclassification au niveau de sécurité minimale</w:t>
      </w:r>
      <w:bookmarkEnd w:id="2"/>
      <w:r w:rsidRPr="005147AC">
        <w:rPr>
          <w:rFonts w:cs="Times New Roman"/>
          <w:lang w:val="fr-CA"/>
        </w:rPr>
        <w:t>. Cette fois</w:t>
      </w:r>
      <w:r w:rsidRPr="005147AC">
        <w:rPr>
          <w:rFonts w:cs="Times New Roman"/>
          <w:lang w:val="fr-CA"/>
        </w:rPr>
        <w:noBreakHyphen/>
        <w:t>ci, le SCR a souscrit à cette recommandation et, le 25 octobre 2021, le CAOPC a donné son approbation finale à l’attribution de la cote de sécurité minimale à M. Dorsey, qui a alors été transféré dans un établissement à sécurité minimale.</w:t>
      </w:r>
    </w:p>
    <w:p w14:paraId="6DF5BA7A" w14:textId="77777777" w:rsidR="005147AC" w:rsidRPr="005147AC" w:rsidRDefault="005147AC" w:rsidP="005147AC">
      <w:pPr>
        <w:pStyle w:val="ParaNoNdepar-AltN"/>
        <w:tabs>
          <w:tab w:val="clear" w:pos="1152"/>
        </w:tabs>
        <w:rPr>
          <w:rFonts w:cs="Times New Roman"/>
          <w:lang w:val="fr-CA"/>
        </w:rPr>
      </w:pPr>
      <w:r w:rsidRPr="005147AC">
        <w:rPr>
          <w:rFonts w:cs="Times New Roman"/>
          <w:lang w:val="fr-CA"/>
        </w:rPr>
        <w:lastRenderedPageBreak/>
        <w:t>Ghassan Salah est un citoyen jordanien qui est incarcéré depuis 2004. Il a commencé à purger des peines concurrentes d’emprisonnement à perpétuité en 2006, et il ne sera admissible à la semi</w:t>
      </w:r>
      <w:r w:rsidRPr="005147AC">
        <w:rPr>
          <w:rFonts w:cs="Times New Roman"/>
          <w:lang w:val="fr-CA"/>
        </w:rPr>
        <w:noBreakHyphen/>
        <w:t>liberté qu’en 2026. Compte tenu de sa citoyenneté, il est frappé d’une mesure d’expulsion.</w:t>
      </w:r>
    </w:p>
    <w:p w14:paraId="06FFBAD5" w14:textId="77777777" w:rsidR="005147AC" w:rsidRPr="005147AC" w:rsidRDefault="005147AC" w:rsidP="005147AC">
      <w:pPr>
        <w:pStyle w:val="ParaNoNdepar-AltN"/>
        <w:tabs>
          <w:tab w:val="clear" w:pos="1152"/>
        </w:tabs>
        <w:rPr>
          <w:rFonts w:cs="Times New Roman"/>
          <w:lang w:val="fr-CA"/>
        </w:rPr>
      </w:pPr>
      <w:r w:rsidRPr="005147AC">
        <w:rPr>
          <w:rFonts w:cs="Times New Roman"/>
          <w:lang w:val="fr-CA"/>
        </w:rPr>
        <w:t>En 2019, M. Salah a demandé une réévaluation de sa cote de sécurité dans le but d’être transféré d’un établissement à sécurité moyenne à un établissement à sécurité minimale. Sa demande était appuyée au départ par son agent de libération conditionnelle et le GÉI. Toutefois, son dossier a été assigné à un nouveau GÉI qui, le 11 novembre 2019, a estimé que M. Salah présentait un risque d’évasion modéré en raison de la mesure d’expulsion dont il faisait l’objet. Le directeur de l’établissement a accepté cette évaluation et a refusé la demande de M. Salah. On a avisé ce dernier qu’il ne pouvait présenter une nouvelle demande que deux ans avant la date à laquelle il deviendrait admissible à la libération conditionnelle. Cette fois</w:t>
      </w:r>
      <w:r w:rsidRPr="005147AC">
        <w:rPr>
          <w:rFonts w:cs="Times New Roman"/>
          <w:lang w:val="fr-CA"/>
        </w:rPr>
        <w:noBreakHyphen/>
        <w:t xml:space="preserve">ci, en mai 2024, M. Salah s’est vu attribuer la cote de sécurité minimale </w:t>
      </w:r>
      <w:bookmarkStart w:id="3" w:name="_Hlk206416151"/>
      <w:r w:rsidRPr="005147AC">
        <w:rPr>
          <w:rFonts w:cs="Times New Roman"/>
          <w:lang w:val="fr-CA"/>
        </w:rPr>
        <w:t>et il a été transféré en conséquence</w:t>
      </w:r>
      <w:bookmarkEnd w:id="3"/>
      <w:r w:rsidRPr="005147AC">
        <w:rPr>
          <w:rFonts w:cs="Times New Roman"/>
          <w:lang w:val="fr-CA"/>
        </w:rPr>
        <w:t>.</w:t>
      </w:r>
    </w:p>
    <w:p w14:paraId="1BAF2F0F" w14:textId="77777777" w:rsidR="005147AC" w:rsidRPr="005147AC" w:rsidRDefault="005147AC" w:rsidP="005147AC">
      <w:pPr>
        <w:pStyle w:val="Title2LevelTitre2Niveau"/>
        <w:numPr>
          <w:ilvl w:val="1"/>
          <w:numId w:val="8"/>
        </w:numPr>
        <w:ind w:left="578" w:hanging="578"/>
        <w:jc w:val="both"/>
        <w:rPr>
          <w:rFonts w:cs="Times New Roman"/>
          <w:lang w:val="fr-CA"/>
        </w:rPr>
      </w:pPr>
      <w:r w:rsidRPr="005147AC">
        <w:rPr>
          <w:rFonts w:cs="Times New Roman"/>
          <w:lang w:val="fr-CA"/>
        </w:rPr>
        <w:t>Décisions des juridictions inférieures</w:t>
      </w:r>
    </w:p>
    <w:p w14:paraId="2AAD1656" w14:textId="77777777" w:rsidR="005147AC" w:rsidRPr="005147AC" w:rsidRDefault="005147AC" w:rsidP="005147AC">
      <w:pPr>
        <w:pStyle w:val="ParaNoNdepar-AltN"/>
        <w:rPr>
          <w:rFonts w:cs="Times New Roman"/>
          <w:lang w:val="fr-CA"/>
        </w:rPr>
      </w:pPr>
      <w:r w:rsidRPr="005147AC">
        <w:rPr>
          <w:rFonts w:cs="Times New Roman"/>
          <w:lang w:val="fr-CA"/>
        </w:rPr>
        <w:t xml:space="preserve">Avant de se voir attribuer la cote de sécurité minimale, les deux appelants avaient présenté en 2019 des requêtes en </w:t>
      </w:r>
      <w:r w:rsidRPr="005147AC">
        <w:rPr>
          <w:rFonts w:cs="Times New Roman"/>
          <w:i/>
          <w:iCs/>
          <w:lang w:val="fr-CA"/>
        </w:rPr>
        <w:t>habeas corpus ad subjiciendum</w:t>
      </w:r>
      <w:r w:rsidRPr="005147AC">
        <w:rPr>
          <w:rFonts w:cs="Times New Roman"/>
          <w:lang w:val="fr-CA"/>
        </w:rPr>
        <w:t xml:space="preserve"> avec </w:t>
      </w:r>
      <w:r w:rsidRPr="005147AC">
        <w:rPr>
          <w:rFonts w:cs="Times New Roman"/>
          <w:i/>
          <w:iCs/>
          <w:lang w:val="fr-CA"/>
        </w:rPr>
        <w:t xml:space="preserve">certiorari </w:t>
      </w:r>
      <w:r w:rsidRPr="005147AC">
        <w:rPr>
          <w:rFonts w:cs="Times New Roman"/>
          <w:iCs/>
          <w:lang w:val="fr-CA"/>
        </w:rPr>
        <w:t>auxiliaire</w:t>
      </w:r>
      <w:r w:rsidRPr="005147AC">
        <w:rPr>
          <w:rFonts w:cs="Times New Roman"/>
          <w:lang w:val="fr-CA"/>
        </w:rPr>
        <w:t xml:space="preserve">, demandant des ordonnances qui enjoignent à SCC soit de les transférer dans des établissements à sécurité minimale, soit de justifier leur maintien en détention dans des établissements à sécurité moyenne. Bien que leurs requêtes n’aient </w:t>
      </w:r>
      <w:r w:rsidRPr="005147AC">
        <w:rPr>
          <w:rFonts w:cs="Times New Roman"/>
          <w:lang w:val="fr-CA"/>
        </w:rPr>
        <w:lastRenderedPageBreak/>
        <w:t xml:space="preserve">pas été officiellement présentées en vertu de la </w:t>
      </w:r>
      <w:r w:rsidRPr="005147AC">
        <w:rPr>
          <w:rFonts w:cs="Times New Roman"/>
          <w:i/>
          <w:iCs/>
          <w:lang w:val="fr-CA"/>
        </w:rPr>
        <w:t>Charte canadienne des droits et libertés</w:t>
      </w:r>
      <w:r w:rsidRPr="005147AC">
        <w:rPr>
          <w:rFonts w:cs="Times New Roman"/>
          <w:lang w:val="fr-CA"/>
        </w:rPr>
        <w:t xml:space="preserve">, les appelants alléguaient que le maintien de leur </w:t>
      </w:r>
      <w:proofErr w:type="gramStart"/>
      <w:r w:rsidRPr="005147AC">
        <w:rPr>
          <w:rFonts w:cs="Times New Roman"/>
          <w:lang w:val="fr-CA"/>
        </w:rPr>
        <w:t>cote</w:t>
      </w:r>
      <w:proofErr w:type="gramEnd"/>
      <w:r w:rsidRPr="005147AC">
        <w:rPr>
          <w:rFonts w:cs="Times New Roman"/>
          <w:lang w:val="fr-CA"/>
        </w:rPr>
        <w:t xml:space="preserve"> de sécurité faisait intervenir les droits qui leur étaient reconnus par les art. 7, 9, 10c) et 12 de la </w:t>
      </w:r>
      <w:r w:rsidRPr="005147AC">
        <w:rPr>
          <w:rFonts w:cs="Times New Roman"/>
          <w:i/>
          <w:lang w:val="fr-CA"/>
        </w:rPr>
        <w:t>Charte</w:t>
      </w:r>
      <w:r w:rsidRPr="005147AC">
        <w:rPr>
          <w:rFonts w:cs="Times New Roman"/>
          <w:lang w:val="fr-CA"/>
        </w:rPr>
        <w:t>.</w:t>
      </w:r>
    </w:p>
    <w:p w14:paraId="4D3EAA72" w14:textId="77777777" w:rsidR="005147AC" w:rsidRPr="005147AC" w:rsidRDefault="005147AC" w:rsidP="005147AC">
      <w:pPr>
        <w:pStyle w:val="Title3LevelTitre3Niveau"/>
        <w:numPr>
          <w:ilvl w:val="2"/>
          <w:numId w:val="8"/>
        </w:numPr>
        <w:ind w:left="1156" w:hanging="578"/>
        <w:jc w:val="both"/>
        <w:rPr>
          <w:rFonts w:cs="Times New Roman"/>
          <w:lang w:val="fr-CA"/>
        </w:rPr>
      </w:pPr>
      <w:bookmarkStart w:id="4" w:name="_Toc197642875"/>
      <w:bookmarkStart w:id="5" w:name="_Toc197591290"/>
      <w:r w:rsidRPr="005147AC">
        <w:rPr>
          <w:rFonts w:cs="Times New Roman"/>
          <w:lang w:val="fr-CA"/>
        </w:rPr>
        <w:t>Cour supérieure de justice de l’Ontario, 2022 ONSC 2107, 513 C.R.R. (2d) 90 (la juge Speyer)</w:t>
      </w:r>
      <w:bookmarkEnd w:id="4"/>
    </w:p>
    <w:bookmarkEnd w:id="5"/>
    <w:p w14:paraId="781DC302" w14:textId="77777777" w:rsidR="005147AC" w:rsidRPr="005147AC" w:rsidRDefault="005147AC" w:rsidP="005147AC">
      <w:pPr>
        <w:pStyle w:val="ParaNoNdepar-AltN"/>
        <w:rPr>
          <w:rFonts w:cs="Times New Roman"/>
          <w:lang w:val="fr-CA"/>
        </w:rPr>
      </w:pPr>
      <w:r w:rsidRPr="005147AC">
        <w:rPr>
          <w:rFonts w:cs="Times New Roman"/>
          <w:lang w:val="fr-CA"/>
        </w:rPr>
        <w:t>Avec le consentement des parties, les requêtes ont été jointes le 25 janvier 2021 dans le but limité de trancher une question de droit préliminaire commune : Est</w:t>
      </w:r>
      <w:r w:rsidRPr="005147AC">
        <w:rPr>
          <w:rFonts w:cs="Times New Roman"/>
          <w:lang w:val="fr-CA"/>
        </w:rPr>
        <w:noBreakHyphen/>
        <w:t>il possible de recourir à l’</w:t>
      </w:r>
      <w:r w:rsidRPr="005147AC">
        <w:rPr>
          <w:rFonts w:cs="Times New Roman"/>
          <w:i/>
          <w:lang w:val="fr-CA"/>
        </w:rPr>
        <w:t>habeas corpus</w:t>
      </w:r>
      <w:r w:rsidRPr="005147AC">
        <w:rPr>
          <w:rFonts w:cs="Times New Roman"/>
          <w:lang w:val="fr-CA"/>
        </w:rPr>
        <w:t xml:space="preserve"> pour contester le refus de SCC d’attribuer à un détenu une cote de sécurité inférieure?</w:t>
      </w:r>
    </w:p>
    <w:p w14:paraId="28CF1DA3" w14:textId="77777777" w:rsidR="005147AC" w:rsidRPr="005147AC" w:rsidRDefault="005147AC" w:rsidP="005147AC">
      <w:pPr>
        <w:pStyle w:val="ParaNoNdepar-AltN"/>
        <w:rPr>
          <w:rFonts w:cs="Times New Roman"/>
          <w:lang w:val="fr-CA"/>
        </w:rPr>
      </w:pPr>
      <w:r w:rsidRPr="005147AC">
        <w:rPr>
          <w:rFonts w:cs="Times New Roman"/>
          <w:lang w:val="fr-CA"/>
        </w:rPr>
        <w:t xml:space="preserve">La juge de première instance a conclu que la situation des appelants ne relevait pas de la troisième catégorie de l’arrêt </w:t>
      </w:r>
      <w:r w:rsidRPr="005147AC">
        <w:rPr>
          <w:rFonts w:cs="Times New Roman"/>
          <w:i/>
          <w:spacing w:val="-3"/>
          <w:lang w:val="fr-CA"/>
        </w:rPr>
        <w:t xml:space="preserve">Dumas </w:t>
      </w:r>
      <w:r w:rsidRPr="005147AC">
        <w:rPr>
          <w:rFonts w:cs="Times New Roman"/>
          <w:i/>
          <w:iCs/>
          <w:spacing w:val="-3"/>
          <w:lang w:val="fr-CA"/>
        </w:rPr>
        <w:t>c.</w:t>
      </w:r>
      <w:r w:rsidRPr="005147AC">
        <w:rPr>
          <w:rFonts w:cs="Times New Roman"/>
          <w:i/>
          <w:spacing w:val="-3"/>
          <w:lang w:val="fr-CA"/>
        </w:rPr>
        <w:t xml:space="preserve"> Centre de détention Leclerc</w:t>
      </w:r>
      <w:r w:rsidRPr="005147AC">
        <w:rPr>
          <w:rFonts w:cs="Times New Roman"/>
          <w:spacing w:val="-3"/>
          <w:lang w:val="fr-CA"/>
        </w:rPr>
        <w:t>, [1986] 2 R.C.S. 459 (</w:t>
      </w:r>
      <w:r w:rsidRPr="005147AC">
        <w:rPr>
          <w:rFonts w:cs="Times New Roman"/>
          <w:lang w:val="fr-CA"/>
        </w:rPr>
        <w:t xml:space="preserve">la continuation d’une privation de liberté qui est devenue illégale). Citant une série de décisions de la Cour supérieure de justice de l’Ontario, à commencer par le jugement </w:t>
      </w:r>
      <w:r w:rsidRPr="005147AC">
        <w:rPr>
          <w:rFonts w:cs="Times New Roman"/>
          <w:i/>
          <w:lang w:val="fr-CA"/>
        </w:rPr>
        <w:t>Moldovan c. Canada (Attorney General)</w:t>
      </w:r>
      <w:r w:rsidRPr="005147AC">
        <w:rPr>
          <w:rFonts w:cs="Times New Roman"/>
          <w:lang w:val="fr-CA"/>
        </w:rPr>
        <w:t xml:space="preserve">, 2012 ONSC 2682, 291 C.C.C. (3d) 123, la juge de première instance est parvenue à la conclusion que le principe du </w:t>
      </w:r>
      <w:r w:rsidRPr="005147AC">
        <w:rPr>
          <w:rFonts w:cs="Times New Roman"/>
          <w:i/>
          <w:lang w:val="fr-CA"/>
        </w:rPr>
        <w:t xml:space="preserve">stare decisis </w:t>
      </w:r>
      <w:r w:rsidRPr="005147AC">
        <w:rPr>
          <w:rFonts w:cs="Times New Roman"/>
          <w:lang w:val="fr-CA"/>
        </w:rPr>
        <w:t xml:space="preserve">horizontal l’obligeait à conclure qu’il n’y avait pas de privation de liberté lorsqu’un détenu se voyait refuser la modification de sa cote de sécurité. À son avis, ces décisions avaient supplanté une jurisprudence de la Cour supérieure antérieure à </w:t>
      </w:r>
      <w:r w:rsidRPr="005147AC">
        <w:rPr>
          <w:rFonts w:cs="Times New Roman"/>
          <w:i/>
          <w:lang w:val="fr-CA"/>
        </w:rPr>
        <w:t xml:space="preserve">Moldovan </w:t>
      </w:r>
      <w:r w:rsidRPr="005147AC">
        <w:rPr>
          <w:rFonts w:cs="Times New Roman"/>
          <w:lang w:val="fr-CA"/>
        </w:rPr>
        <w:t>selon laquelle le recours à l’</w:t>
      </w:r>
      <w:r w:rsidRPr="005147AC">
        <w:rPr>
          <w:rFonts w:cs="Times New Roman"/>
          <w:i/>
          <w:lang w:val="fr-CA"/>
        </w:rPr>
        <w:t xml:space="preserve">habeas corpus </w:t>
      </w:r>
      <w:r w:rsidRPr="005147AC">
        <w:rPr>
          <w:rFonts w:cs="Times New Roman"/>
          <w:lang w:val="fr-CA"/>
        </w:rPr>
        <w:t xml:space="preserve">était possible. </w:t>
      </w:r>
    </w:p>
    <w:p w14:paraId="2CB0BE13"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Après avoir distingué une série de décisions rendues par des cours d’appel de la présente espèce, la juge de première instance a conclu que la troisième catégorie de l’arrêt </w:t>
      </w:r>
      <w:r w:rsidRPr="005147AC">
        <w:rPr>
          <w:rFonts w:cs="Times New Roman"/>
          <w:i/>
          <w:lang w:val="fr-CA"/>
        </w:rPr>
        <w:t>Dumas</w:t>
      </w:r>
      <w:r w:rsidRPr="005147AC">
        <w:rPr>
          <w:rFonts w:cs="Times New Roman"/>
          <w:lang w:val="fr-CA"/>
        </w:rPr>
        <w:t xml:space="preserve"> </w:t>
      </w:r>
      <w:r w:rsidRPr="005147AC">
        <w:rPr>
          <w:rFonts w:cs="Times New Roman"/>
          <w:smallCaps/>
          <w:lang w:val="fr-CA"/>
        </w:rPr>
        <w:t>[traduction]</w:t>
      </w:r>
      <w:r w:rsidRPr="005147AC">
        <w:rPr>
          <w:rFonts w:cs="Times New Roman"/>
          <w:lang w:val="fr-CA"/>
        </w:rPr>
        <w:t xml:space="preserve"> « semble n’avoir été appliquée que dans des cas de détentions prolongées ou de détentions d’une durée incertaine » ou « dans des affaires criminelles où la peine infligée était devenue illégale » (par. 73</w:t>
      </w:r>
      <w:bookmarkStart w:id="6" w:name="_Hlk214359649"/>
      <w:r w:rsidRPr="005147AC">
        <w:rPr>
          <w:rFonts w:cs="Times New Roman"/>
          <w:lang w:val="fr-CA"/>
        </w:rPr>
        <w:t>). La juge de première instance s’est dite convaincue que la liberté résiduelle des appelants n’avait pas été réduite, étant donné qu’il n’y avait eu aucun changement dans le statu quo</w:t>
      </w:r>
      <w:bookmarkEnd w:id="6"/>
      <w:r w:rsidRPr="005147AC">
        <w:rPr>
          <w:rFonts w:cs="Times New Roman"/>
          <w:lang w:val="fr-CA"/>
        </w:rPr>
        <w:t xml:space="preserve">. Les appelants </w:t>
      </w:r>
      <w:bookmarkStart w:id="7" w:name="_Hlk214290143"/>
      <w:r w:rsidRPr="005147AC">
        <w:rPr>
          <w:rFonts w:cs="Times New Roman"/>
          <w:lang w:val="fr-CA"/>
        </w:rPr>
        <w:t>ne pouvaient donc pas recourir à l’</w:t>
      </w:r>
      <w:r w:rsidRPr="005147AC">
        <w:rPr>
          <w:rFonts w:cs="Times New Roman"/>
          <w:i/>
          <w:lang w:val="fr-CA"/>
        </w:rPr>
        <w:t>habeas corpu</w:t>
      </w:r>
      <w:bookmarkEnd w:id="7"/>
      <w:r w:rsidRPr="005147AC">
        <w:rPr>
          <w:rFonts w:cs="Times New Roman"/>
          <w:i/>
          <w:lang w:val="fr-CA"/>
        </w:rPr>
        <w:t>s</w:t>
      </w:r>
      <w:r w:rsidRPr="005147AC">
        <w:rPr>
          <w:rFonts w:cs="Times New Roman"/>
          <w:lang w:val="fr-CA"/>
        </w:rPr>
        <w:t>,</w:t>
      </w:r>
      <w:r w:rsidRPr="005147AC">
        <w:rPr>
          <w:rFonts w:cs="Times New Roman"/>
          <w:i/>
          <w:lang w:val="fr-CA"/>
        </w:rPr>
        <w:t xml:space="preserve"> </w:t>
      </w:r>
      <w:r w:rsidRPr="005147AC">
        <w:rPr>
          <w:rFonts w:cs="Times New Roman"/>
          <w:lang w:val="fr-CA"/>
        </w:rPr>
        <w:t>et leurs requêtes ont été rejetées.</w:t>
      </w:r>
    </w:p>
    <w:p w14:paraId="137899CD" w14:textId="77777777" w:rsidR="005147AC" w:rsidRPr="005147AC" w:rsidRDefault="005147AC" w:rsidP="005147AC">
      <w:pPr>
        <w:pStyle w:val="Title3LevelTitre3Niveau"/>
        <w:numPr>
          <w:ilvl w:val="2"/>
          <w:numId w:val="8"/>
        </w:numPr>
        <w:ind w:left="1156" w:hanging="578"/>
        <w:jc w:val="both"/>
        <w:rPr>
          <w:rFonts w:cs="Times New Roman"/>
          <w:lang w:val="fr-CA"/>
        </w:rPr>
      </w:pPr>
      <w:bookmarkStart w:id="8" w:name="_Toc197591291"/>
      <w:r w:rsidRPr="005147AC">
        <w:rPr>
          <w:rFonts w:cs="Times New Roman"/>
          <w:lang w:val="fr-CA"/>
        </w:rPr>
        <w:t>Cour d’appel de l’Ontario, 2023 ONCA 843, 169 O.R. (3d) 417 (les juges Harvison Young et George, la juge Simmons, dissidente)</w:t>
      </w:r>
      <w:bookmarkEnd w:id="8"/>
    </w:p>
    <w:p w14:paraId="14B0F81C"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t xml:space="preserve">S’exprimant au nom de la majorité, le juge George a rejeté l’appel. Les appelants ont repris devant la Cour d’appel leur argument suivant lequel le refus de SCC de leur attribuer la cote de sécurité minimale équivalait à la continuation d’une privation illégale de liberté et relevait de la troisième catégorie établie dans l’arrêt </w:t>
      </w:r>
      <w:r w:rsidRPr="005147AC">
        <w:rPr>
          <w:rFonts w:cs="Times New Roman"/>
          <w:i/>
          <w:iCs/>
          <w:lang w:val="fr-CA"/>
        </w:rPr>
        <w:t>Dumas</w:t>
      </w:r>
      <w:r w:rsidRPr="005147AC">
        <w:rPr>
          <w:rFonts w:cs="Times New Roman"/>
          <w:lang w:val="fr-CA"/>
        </w:rPr>
        <w:t xml:space="preserve">. </w:t>
      </w:r>
      <w:bookmarkStart w:id="9" w:name="_Hlk214290284"/>
      <w:r w:rsidRPr="005147AC">
        <w:rPr>
          <w:rFonts w:cs="Times New Roman"/>
          <w:lang w:val="fr-CA"/>
        </w:rPr>
        <w:t xml:space="preserve">Le juge George a statué que la troisième catégorie de l’arrêt </w:t>
      </w:r>
      <w:r w:rsidRPr="005147AC">
        <w:rPr>
          <w:rFonts w:cs="Times New Roman"/>
          <w:i/>
          <w:iCs/>
          <w:lang w:val="fr-CA"/>
        </w:rPr>
        <w:t>Dumas</w:t>
      </w:r>
      <w:r w:rsidRPr="005147AC">
        <w:rPr>
          <w:rFonts w:cs="Times New Roman"/>
          <w:lang w:val="fr-CA"/>
        </w:rPr>
        <w:t xml:space="preserve"> ne pouvait être invoquée que si le détenu acquérait le droit à une plus grande liberté que celle que lui conférait son maintien en détention. Pour pouvoir se prévaloir de la troisième catégorie de l’arrêt </w:t>
      </w:r>
      <w:r w:rsidRPr="005147AC">
        <w:rPr>
          <w:rFonts w:cs="Times New Roman"/>
          <w:i/>
          <w:iCs/>
          <w:lang w:val="fr-CA"/>
        </w:rPr>
        <w:t>Dumas</w:t>
      </w:r>
      <w:r w:rsidRPr="005147AC">
        <w:rPr>
          <w:rFonts w:cs="Times New Roman"/>
          <w:iCs/>
          <w:lang w:val="fr-CA"/>
        </w:rPr>
        <w:t>,</w:t>
      </w:r>
      <w:r w:rsidRPr="005147AC">
        <w:rPr>
          <w:rFonts w:cs="Times New Roman"/>
          <w:i/>
          <w:lang w:val="fr-CA"/>
        </w:rPr>
        <w:t xml:space="preserve"> </w:t>
      </w:r>
      <w:r w:rsidRPr="005147AC">
        <w:rPr>
          <w:rFonts w:cs="Times New Roman"/>
          <w:lang w:val="fr-CA"/>
        </w:rPr>
        <w:t>il aurait fallu que les appelants se voient attribuer la cote de sécurité minimale. Ce n’était que si cette cote leur avait été attribuée et qu’ils n’avaient pas été transférés</w:t>
      </w:r>
      <w:bookmarkEnd w:id="9"/>
      <w:r w:rsidRPr="005147AC">
        <w:rPr>
          <w:rFonts w:cs="Times New Roman"/>
          <w:lang w:val="fr-CA"/>
        </w:rPr>
        <w:t xml:space="preserve"> que l’on pouvait dire qu’ils avaient subi la continuation illégale d’une privation de liberté.</w:t>
      </w:r>
    </w:p>
    <w:p w14:paraId="642B0B35"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lastRenderedPageBreak/>
        <w:t xml:space="preserve">Le juge George s’est fondé sur les arrêts </w:t>
      </w:r>
      <w:r w:rsidRPr="005147AC">
        <w:rPr>
          <w:rFonts w:cs="Times New Roman"/>
          <w:i/>
          <w:lang w:val="fr-CA"/>
        </w:rPr>
        <w:t xml:space="preserve">May </w:t>
      </w:r>
      <w:r w:rsidRPr="005147AC">
        <w:rPr>
          <w:rFonts w:cs="Times New Roman"/>
          <w:lang w:val="fr-CA"/>
        </w:rPr>
        <w:t xml:space="preserve">et </w:t>
      </w:r>
      <w:r w:rsidRPr="005147AC">
        <w:rPr>
          <w:rFonts w:cs="Times New Roman"/>
          <w:i/>
          <w:lang w:val="fr-CA"/>
        </w:rPr>
        <w:t>Khela</w:t>
      </w:r>
      <w:r w:rsidRPr="005147AC">
        <w:rPr>
          <w:rFonts w:cs="Times New Roman"/>
          <w:lang w:val="fr-CA"/>
        </w:rPr>
        <w:t xml:space="preserve">, pour signaler que, dans ces deux décisions, notre Cour avait réaffirmé qu’il </w:t>
      </w:r>
      <w:r w:rsidRPr="005147AC">
        <w:rPr>
          <w:rFonts w:cs="Times New Roman"/>
          <w:smallCaps/>
          <w:lang w:val="fr-CA"/>
        </w:rPr>
        <w:t>[traduction]</w:t>
      </w:r>
      <w:r w:rsidRPr="005147AC">
        <w:rPr>
          <w:rFonts w:cs="Times New Roman"/>
          <w:lang w:val="fr-CA"/>
        </w:rPr>
        <w:t xml:space="preserve"> « ne peut y avoir privation de liberté résiduelle au titre de la troisième catégorie de l’arrêt </w:t>
      </w:r>
      <w:r w:rsidRPr="005147AC">
        <w:rPr>
          <w:rFonts w:cs="Times New Roman"/>
          <w:i/>
          <w:lang w:val="fr-CA"/>
        </w:rPr>
        <w:t>Dumas</w:t>
      </w:r>
      <w:r w:rsidRPr="005147AC">
        <w:rPr>
          <w:rFonts w:cs="Times New Roman"/>
          <w:lang w:val="fr-CA"/>
        </w:rPr>
        <w:t xml:space="preserve"> que si les conditions de la détention continue du détenu ont changé d’une manière ou d’une autre » (par. 48). Il est nécessaire que la détention continue soit d’une nature différente pour que sa légalité puisse être remise en question. </w:t>
      </w:r>
    </w:p>
    <w:p w14:paraId="6259E391"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t>La juge Simmons, dissidente, a conclu que les appelants pouvaient se prévaloir de l’</w:t>
      </w:r>
      <w:r w:rsidRPr="005147AC">
        <w:rPr>
          <w:rFonts w:cs="Times New Roman"/>
          <w:i/>
          <w:lang w:val="fr-CA"/>
        </w:rPr>
        <w:t>habeas corpus</w:t>
      </w:r>
      <w:r w:rsidRPr="005147AC">
        <w:rPr>
          <w:rFonts w:cs="Times New Roman"/>
          <w:lang w:val="fr-CA"/>
        </w:rPr>
        <w:t xml:space="preserve">. Selon elle, l’arrêt </w:t>
      </w:r>
      <w:r w:rsidRPr="005147AC">
        <w:rPr>
          <w:rFonts w:cs="Times New Roman"/>
          <w:i/>
          <w:iCs/>
          <w:lang w:val="fr-CA"/>
        </w:rPr>
        <w:t>Dumas</w:t>
      </w:r>
      <w:r w:rsidRPr="005147AC">
        <w:rPr>
          <w:rFonts w:cs="Times New Roman"/>
          <w:lang w:val="fr-CA"/>
        </w:rPr>
        <w:t xml:space="preserve"> n’a pas établi une </w:t>
      </w:r>
      <w:r w:rsidRPr="005147AC">
        <w:rPr>
          <w:rFonts w:cs="Times New Roman"/>
          <w:smallCaps/>
          <w:lang w:val="fr-CA"/>
        </w:rPr>
        <w:t>[traduction]</w:t>
      </w:r>
      <w:r w:rsidRPr="005147AC">
        <w:rPr>
          <w:rFonts w:cs="Times New Roman"/>
          <w:lang w:val="fr-CA"/>
        </w:rPr>
        <w:t xml:space="preserve"> « règle générale sur le moment où une privation de liberté initialement légale devient illégale », et elle a fait observer que l’arrêt </w:t>
      </w:r>
      <w:r w:rsidRPr="005147AC">
        <w:rPr>
          <w:rFonts w:cs="Times New Roman"/>
          <w:i/>
          <w:iCs/>
          <w:lang w:val="fr-CA"/>
        </w:rPr>
        <w:t>Dumas</w:t>
      </w:r>
      <w:r w:rsidRPr="005147AC">
        <w:rPr>
          <w:rFonts w:cs="Times New Roman"/>
          <w:i/>
          <w:lang w:val="fr-CA"/>
        </w:rPr>
        <w:t xml:space="preserve"> </w:t>
      </w:r>
      <w:r w:rsidRPr="005147AC">
        <w:rPr>
          <w:rFonts w:cs="Times New Roman"/>
          <w:lang w:val="fr-CA"/>
        </w:rPr>
        <w:t xml:space="preserve">établissait un lien entre l’illégalité et l’acquisition par le détenu d’un « statut particulier » dans le contexte d’une décision relative à la libération conditionnelle (par. 106). En d’autres termes, l’arrêt </w:t>
      </w:r>
      <w:r w:rsidRPr="005147AC">
        <w:rPr>
          <w:rFonts w:cs="Times New Roman"/>
          <w:i/>
          <w:iCs/>
          <w:lang w:val="fr-CA"/>
        </w:rPr>
        <w:t>Dumas</w:t>
      </w:r>
      <w:r w:rsidRPr="005147AC">
        <w:rPr>
          <w:rFonts w:cs="Times New Roman"/>
          <w:i/>
          <w:lang w:val="fr-CA"/>
        </w:rPr>
        <w:t xml:space="preserve"> </w:t>
      </w:r>
      <w:r w:rsidRPr="005147AC">
        <w:rPr>
          <w:rFonts w:cs="Times New Roman"/>
          <w:lang w:val="fr-CA"/>
        </w:rPr>
        <w:t xml:space="preserve">n’empêche pas le détenu de contester une privation de liberté continue dans d’autres cas que ceux où il acquiert le droit à une liberté accrue ou ceux où il y a changement dans le statu quo. </w:t>
      </w:r>
    </w:p>
    <w:p w14:paraId="2D7C206C" w14:textId="77777777" w:rsidR="005147AC" w:rsidRPr="005147AC" w:rsidRDefault="005147AC" w:rsidP="005147AC">
      <w:pPr>
        <w:pStyle w:val="ParaNoNdepar-AltN"/>
        <w:tabs>
          <w:tab w:val="clear" w:pos="1152"/>
          <w:tab w:val="num" w:pos="1242"/>
        </w:tabs>
        <w:ind w:left="90"/>
        <w:rPr>
          <w:rFonts w:cs="Times New Roman"/>
          <w:lang w:val="fr-CA"/>
        </w:rPr>
      </w:pPr>
      <w:r w:rsidRPr="005147AC">
        <w:rPr>
          <w:rFonts w:cs="Times New Roman"/>
          <w:lang w:val="fr-CA"/>
        </w:rPr>
        <w:t>Elle a décidé qu’il n’y avait aucune raison de refuser le recours à l’</w:t>
      </w:r>
      <w:r w:rsidRPr="005147AC">
        <w:rPr>
          <w:rFonts w:cs="Times New Roman"/>
          <w:i/>
          <w:lang w:val="fr-CA"/>
        </w:rPr>
        <w:t xml:space="preserve">habeas corpus </w:t>
      </w:r>
      <w:r w:rsidRPr="005147AC">
        <w:rPr>
          <w:rFonts w:cs="Times New Roman"/>
          <w:lang w:val="fr-CA"/>
        </w:rPr>
        <w:t>lorsqu’il existe des motifs de conclure que le refus d’attribuer une cote de sécurité inférieure était déraisonnable. Selon l’interprétation de la majorité, les agents carcéraux pourraient outrepasser illégalement leur pouvoir en refusant d’attribuer une cote de sécurité inférieure à des détenus, mais ces derniers ne seraient pas en mesure de contester cette illégalité par voie d’</w:t>
      </w:r>
      <w:r w:rsidRPr="005147AC">
        <w:rPr>
          <w:rFonts w:cs="Times New Roman"/>
          <w:i/>
          <w:lang w:val="fr-CA"/>
        </w:rPr>
        <w:t>habeas corpus</w:t>
      </w:r>
      <w:r w:rsidRPr="005147AC">
        <w:rPr>
          <w:rFonts w:cs="Times New Roman"/>
          <w:lang w:val="fr-CA"/>
        </w:rPr>
        <w:t xml:space="preserve">. À son avis, lorsque des détenus </w:t>
      </w:r>
      <w:r w:rsidRPr="005147AC">
        <w:rPr>
          <w:rFonts w:cs="Times New Roman"/>
          <w:lang w:val="fr-CA"/>
        </w:rPr>
        <w:lastRenderedPageBreak/>
        <w:t>se voient illégalement refuser une modification de leur cote de sécurité, la privation continue de leur liberté est établie, et ils devraient recourir à l’</w:t>
      </w:r>
      <w:r w:rsidRPr="005147AC">
        <w:rPr>
          <w:rFonts w:cs="Times New Roman"/>
          <w:i/>
          <w:lang w:val="fr-CA"/>
        </w:rPr>
        <w:t xml:space="preserve">habeas corpus </w:t>
      </w:r>
      <w:r w:rsidRPr="005147AC">
        <w:rPr>
          <w:rFonts w:cs="Times New Roman"/>
          <w:lang w:val="fr-CA"/>
        </w:rPr>
        <w:t xml:space="preserve">s’ils peuvent démontrer qu’il existe des motifs légitimes de remettre en question la légalité du refus de leur attribuer une cote de sécurité inférieure de sorte que la cote de sécurité aurait été autrement modifiée. Elle a fait observer que </w:t>
      </w:r>
      <w:r w:rsidRPr="005147AC">
        <w:rPr>
          <w:rFonts w:cs="Times New Roman"/>
          <w:smallCaps/>
          <w:lang w:val="fr-CA"/>
        </w:rPr>
        <w:t>[traduction]</w:t>
      </w:r>
      <w:r w:rsidRPr="005147AC">
        <w:rPr>
          <w:rFonts w:cs="Times New Roman"/>
          <w:lang w:val="fr-CA"/>
        </w:rPr>
        <w:t xml:space="preserve"> « [l]e fait de permettre le recours à l’</w:t>
      </w:r>
      <w:r w:rsidRPr="005147AC">
        <w:rPr>
          <w:rFonts w:cs="Times New Roman"/>
          <w:i/>
          <w:lang w:val="fr-CA"/>
        </w:rPr>
        <w:t>habeas corpus</w:t>
      </w:r>
      <w:r w:rsidRPr="005147AC">
        <w:rPr>
          <w:rFonts w:cs="Times New Roman"/>
          <w:lang w:val="fr-CA"/>
        </w:rPr>
        <w:t xml:space="preserve"> dans de telles circonstances ne signifie pas pour autant qu’il existe un droit à une cote de sécurité inférieure », lequel serait déterminé lors de l’évaluation finale de la légalité du refus (par. 114).</w:t>
      </w:r>
    </w:p>
    <w:p w14:paraId="0DF4948C" w14:textId="77777777" w:rsidR="005147AC" w:rsidRPr="005147AC" w:rsidRDefault="005147AC" w:rsidP="005147AC">
      <w:pPr>
        <w:pStyle w:val="Title1LevelTitre1Niveau-AltL"/>
        <w:numPr>
          <w:ilvl w:val="0"/>
          <w:numId w:val="8"/>
        </w:numPr>
        <w:ind w:left="578" w:hanging="578"/>
        <w:jc w:val="both"/>
        <w:rPr>
          <w:rFonts w:cs="Times New Roman"/>
          <w:lang w:val="fr-CA"/>
        </w:rPr>
      </w:pPr>
      <w:r w:rsidRPr="005147AC">
        <w:rPr>
          <w:rFonts w:cs="Times New Roman"/>
          <w:lang w:val="fr-CA"/>
        </w:rPr>
        <w:t>Question en litige dans le présent pourvoi</w:t>
      </w:r>
    </w:p>
    <w:p w14:paraId="7AF37302" w14:textId="77777777" w:rsidR="005147AC" w:rsidRPr="005147AC" w:rsidRDefault="005147AC" w:rsidP="005147AC">
      <w:pPr>
        <w:pStyle w:val="ParaNoNdepar-AltN"/>
        <w:rPr>
          <w:rFonts w:cs="Times New Roman"/>
          <w:lang w:val="fr-CA"/>
        </w:rPr>
      </w:pPr>
      <w:r w:rsidRPr="005147AC">
        <w:rPr>
          <w:rFonts w:cs="Times New Roman"/>
          <w:lang w:val="fr-CA"/>
        </w:rPr>
        <w:t>Le pourvoi soulève une seule question : Est</w:t>
      </w:r>
      <w:r w:rsidRPr="005147AC">
        <w:rPr>
          <w:rFonts w:cs="Times New Roman"/>
          <w:lang w:val="fr-CA"/>
        </w:rPr>
        <w:noBreakHyphen/>
        <w:t>il possible de recourir à l’</w:t>
      </w:r>
      <w:r w:rsidRPr="005147AC">
        <w:rPr>
          <w:rFonts w:cs="Times New Roman"/>
          <w:i/>
          <w:lang w:val="fr-CA"/>
        </w:rPr>
        <w:t>habeas corpus</w:t>
      </w:r>
      <w:r w:rsidRPr="005147AC">
        <w:rPr>
          <w:rFonts w:cs="Times New Roman"/>
          <w:lang w:val="fr-CA"/>
        </w:rPr>
        <w:t xml:space="preserve"> pour contester le refus de SCC d’attribuer à un détenu une cote de sécurité inférieure? </w:t>
      </w:r>
    </w:p>
    <w:p w14:paraId="688FFDBF" w14:textId="77777777" w:rsidR="005147AC" w:rsidRPr="005147AC" w:rsidRDefault="005147AC" w:rsidP="005147AC">
      <w:pPr>
        <w:pStyle w:val="ParaNoNdepar-AltN"/>
        <w:rPr>
          <w:rFonts w:cs="Times New Roman"/>
          <w:lang w:val="fr-CA"/>
        </w:rPr>
      </w:pPr>
      <w:bookmarkStart w:id="10" w:name="_Hlk197542060"/>
      <w:r w:rsidRPr="005147AC">
        <w:rPr>
          <w:rFonts w:cs="Times New Roman"/>
          <w:lang w:val="fr-CA"/>
        </w:rPr>
        <w:t xml:space="preserve">Le présent pourvoi est désormais théorique, vu que la cote de sécurité des deux appelants a été modifiée et qu’ils ont été transférés dans des établissements à sécurité minimale. Néanmoins, toutes les parties demandent à notre Cour d’exercer son pouvoir discrétionnaire pour entendre le pourvoi. Je conviens qu’il est dans l’intérêt de la justice que notre Cour tranche cette question de droit non résolue d’importance pour le public, compte tenu du désaccord entre les parties et de leurs arguments exhaustifs sur la question, et du fait qu’en raison de leur caractère temporaire, les requêtes en </w:t>
      </w:r>
      <w:r w:rsidRPr="005147AC">
        <w:rPr>
          <w:rFonts w:cs="Times New Roman"/>
          <w:i/>
          <w:lang w:val="fr-CA"/>
        </w:rPr>
        <w:t>habeas corpus</w:t>
      </w:r>
      <w:r w:rsidRPr="005147AC">
        <w:rPr>
          <w:rFonts w:cs="Times New Roman"/>
          <w:lang w:val="fr-CA"/>
        </w:rPr>
        <w:t xml:space="preserve"> échappent à tout contrôle (</w:t>
      </w:r>
      <w:r w:rsidRPr="005147AC">
        <w:rPr>
          <w:rFonts w:cs="Times New Roman"/>
          <w:i/>
          <w:lang w:val="fr-CA"/>
        </w:rPr>
        <w:t>Borowski c. Canada (Procureur général)</w:t>
      </w:r>
      <w:r w:rsidRPr="005147AC">
        <w:rPr>
          <w:rFonts w:cs="Times New Roman"/>
          <w:lang w:val="fr-CA"/>
        </w:rPr>
        <w:t xml:space="preserve">, [1989] 1 R.C.S. 342; voir, p. ex., </w:t>
      </w:r>
      <w:r w:rsidRPr="005147AC">
        <w:rPr>
          <w:rFonts w:cs="Times New Roman"/>
          <w:i/>
          <w:lang w:val="fr-CA"/>
        </w:rPr>
        <w:t>Khela</w:t>
      </w:r>
      <w:r w:rsidRPr="005147AC">
        <w:rPr>
          <w:rFonts w:cs="Times New Roman"/>
          <w:lang w:val="fr-CA"/>
        </w:rPr>
        <w:t>, par. 14).</w:t>
      </w:r>
    </w:p>
    <w:bookmarkEnd w:id="10"/>
    <w:p w14:paraId="7706897C" w14:textId="77777777" w:rsidR="005147AC" w:rsidRPr="005147AC" w:rsidRDefault="005147AC" w:rsidP="005147AC">
      <w:pPr>
        <w:pStyle w:val="Title1LevelTitre1Niveau-AltL"/>
        <w:numPr>
          <w:ilvl w:val="0"/>
          <w:numId w:val="8"/>
        </w:numPr>
        <w:rPr>
          <w:rFonts w:cs="Times New Roman"/>
          <w:lang w:val="fr-CA"/>
        </w:rPr>
      </w:pPr>
      <w:r w:rsidRPr="005147AC">
        <w:rPr>
          <w:rFonts w:cs="Times New Roman"/>
          <w:lang w:val="fr-CA"/>
        </w:rPr>
        <w:lastRenderedPageBreak/>
        <w:t>Analyse</w:t>
      </w:r>
    </w:p>
    <w:p w14:paraId="50D558FA" w14:textId="77777777" w:rsidR="005147AC" w:rsidRPr="005147AC" w:rsidRDefault="005147AC" w:rsidP="005147AC">
      <w:pPr>
        <w:pStyle w:val="Title2LevelTitre2Niveau"/>
        <w:numPr>
          <w:ilvl w:val="1"/>
          <w:numId w:val="8"/>
        </w:numPr>
        <w:ind w:left="578" w:hanging="578"/>
        <w:jc w:val="both"/>
        <w:rPr>
          <w:rFonts w:cs="Times New Roman"/>
          <w:lang w:val="fr-CA"/>
        </w:rPr>
      </w:pPr>
      <w:r w:rsidRPr="005147AC">
        <w:rPr>
          <w:rFonts w:cs="Times New Roman"/>
          <w:lang w:val="fr-CA"/>
        </w:rPr>
        <w:t xml:space="preserve">Principes généraux en matière d’habeas corpus </w:t>
      </w:r>
    </w:p>
    <w:p w14:paraId="23C33D46" w14:textId="77777777" w:rsidR="005147AC" w:rsidRPr="005147AC" w:rsidRDefault="005147AC" w:rsidP="005147AC">
      <w:pPr>
        <w:pStyle w:val="ParaNoNdepar-AltN"/>
        <w:rPr>
          <w:rFonts w:cs="Times New Roman"/>
          <w:lang w:val="fr-CA"/>
        </w:rPr>
      </w:pPr>
      <w:r w:rsidRPr="005147AC">
        <w:rPr>
          <w:rFonts w:cs="Times New Roman"/>
          <w:lang w:val="fr-CA"/>
        </w:rPr>
        <w:t>À l’origine, l’</w:t>
      </w:r>
      <w:r w:rsidRPr="005147AC">
        <w:rPr>
          <w:rFonts w:cs="Times New Roman"/>
          <w:i/>
          <w:lang w:val="fr-CA"/>
        </w:rPr>
        <w:t xml:space="preserve">habeas corpus </w:t>
      </w:r>
      <w:r w:rsidRPr="005147AC">
        <w:rPr>
          <w:rFonts w:cs="Times New Roman"/>
          <w:lang w:val="fr-CA"/>
        </w:rPr>
        <w:t xml:space="preserve">était un moyen de s’assurer que le défendeur à une action soit physiquement amené devant le tribunal (J. Farbey et R. J. Sharpe, avec S. Atrill, </w:t>
      </w:r>
      <w:r w:rsidRPr="005147AC">
        <w:rPr>
          <w:rFonts w:cs="Times New Roman"/>
          <w:i/>
          <w:iCs/>
          <w:lang w:val="fr-CA"/>
        </w:rPr>
        <w:t xml:space="preserve">The Law of Habeas Corpus </w:t>
      </w:r>
      <w:r w:rsidRPr="005147AC">
        <w:rPr>
          <w:rFonts w:cs="Times New Roman"/>
          <w:lang w:val="fr-CA"/>
        </w:rPr>
        <w:t>(3</w:t>
      </w:r>
      <w:r w:rsidRPr="005147AC">
        <w:rPr>
          <w:rFonts w:cs="Times New Roman"/>
          <w:vertAlign w:val="superscript"/>
          <w:lang w:val="fr-CA"/>
        </w:rPr>
        <w:t>e</w:t>
      </w:r>
      <w:r w:rsidRPr="005147AC">
        <w:rPr>
          <w:rFonts w:cs="Times New Roman"/>
          <w:lang w:val="fr-CA"/>
        </w:rPr>
        <w:t xml:space="preserve"> éd. 2011), p. 16). Au fil du temps, ce bref s’est transformé en un moyen de contrôler la justification de l’emprisonnement d’une personne. Blackstone a décrit l’</w:t>
      </w:r>
      <w:r w:rsidRPr="005147AC">
        <w:rPr>
          <w:rFonts w:cs="Times New Roman"/>
          <w:i/>
          <w:lang w:val="fr-CA"/>
        </w:rPr>
        <w:t xml:space="preserve">habeas corpus </w:t>
      </w:r>
      <w:r w:rsidRPr="005147AC">
        <w:rPr>
          <w:rFonts w:cs="Times New Roman"/>
          <w:iCs/>
          <w:lang w:val="fr-CA" w:bidi="en-US"/>
        </w:rPr>
        <w:t xml:space="preserve">comme le « grand writ, le writ efficace, dans tous les cas de détention illégale » (W. Blackstone, </w:t>
      </w:r>
      <w:r w:rsidRPr="005147AC">
        <w:rPr>
          <w:rFonts w:cs="Times New Roman"/>
          <w:i/>
          <w:lang w:val="fr-CA" w:bidi="en-US"/>
        </w:rPr>
        <w:t xml:space="preserve">Commentaires sur les lois anglaises </w:t>
      </w:r>
      <w:r w:rsidRPr="005147AC">
        <w:rPr>
          <w:rFonts w:cs="Times New Roman"/>
          <w:lang w:val="fr-CA" w:bidi="en-US"/>
        </w:rPr>
        <w:t>(1823)</w:t>
      </w:r>
      <w:r w:rsidRPr="005147AC">
        <w:rPr>
          <w:rFonts w:cs="Times New Roman"/>
          <w:iCs/>
          <w:lang w:val="fr-CA" w:bidi="en-US"/>
        </w:rPr>
        <w:t xml:space="preserve">, t. IV, p. 219). </w:t>
      </w:r>
      <w:r w:rsidRPr="005147AC">
        <w:rPr>
          <w:rFonts w:cs="Times New Roman"/>
          <w:iCs/>
          <w:lang w:val="fr-CA"/>
        </w:rPr>
        <w:t xml:space="preserve">Le </w:t>
      </w:r>
      <w:r w:rsidRPr="005147AC">
        <w:rPr>
          <w:rFonts w:cs="Times New Roman"/>
          <w:lang w:val="fr-CA"/>
        </w:rPr>
        <w:t xml:space="preserve">recours en </w:t>
      </w:r>
      <w:r w:rsidRPr="005147AC">
        <w:rPr>
          <w:rFonts w:cs="Times New Roman"/>
          <w:i/>
          <w:lang w:val="fr-CA"/>
        </w:rPr>
        <w:t xml:space="preserve">habeas corpus </w:t>
      </w:r>
      <w:r w:rsidRPr="005147AC">
        <w:rPr>
          <w:rFonts w:cs="Times New Roman"/>
          <w:lang w:val="fr-CA"/>
        </w:rPr>
        <w:t>a été codifié pour la première fois en Angleterre en 1641, puis une seconde fois dans une loi de 1679, l’</w:t>
      </w:r>
      <w:r w:rsidRPr="005147AC">
        <w:rPr>
          <w:rFonts w:cs="Times New Roman"/>
          <w:i/>
          <w:lang w:val="fr-CA"/>
        </w:rPr>
        <w:t xml:space="preserve">Habeas Corpus Act </w:t>
      </w:r>
      <w:r w:rsidRPr="005147AC">
        <w:rPr>
          <w:rFonts w:cs="Times New Roman"/>
          <w:lang w:val="fr-CA"/>
        </w:rPr>
        <w:t>(Angl.), 31 Cha. 2, c. 2 (</w:t>
      </w:r>
      <w:r w:rsidRPr="005147AC">
        <w:rPr>
          <w:rFonts w:cs="Times New Roman"/>
          <w:i/>
          <w:lang w:val="fr-CA"/>
        </w:rPr>
        <w:t>Khela</w:t>
      </w:r>
      <w:r w:rsidRPr="005147AC">
        <w:rPr>
          <w:rFonts w:cs="Times New Roman"/>
          <w:lang w:val="fr-CA"/>
        </w:rPr>
        <w:t xml:space="preserve">, par. 28). Cette codification du recours visait à régler le problème des délais dans l’obtention du bref et </w:t>
      </w:r>
      <w:r w:rsidRPr="005147AC">
        <w:rPr>
          <w:rFonts w:cs="Times New Roman"/>
          <w:lang w:val="fr-CA" w:bidi="en-US"/>
        </w:rPr>
        <w:t xml:space="preserve">à s’assurer que les prisonniers obtiennent une copie de leur mandat afin de connaître les motifs de leur détention, et à faire en sorte que les prisonniers </w:t>
      </w:r>
      <w:r w:rsidRPr="005147AC">
        <w:rPr>
          <w:rFonts w:cs="Times New Roman"/>
          <w:smallCaps/>
          <w:lang w:val="fr-CA" w:bidi="en-US"/>
        </w:rPr>
        <w:t>[traduction]</w:t>
      </w:r>
      <w:r w:rsidRPr="005147AC">
        <w:rPr>
          <w:rFonts w:cs="Times New Roman"/>
          <w:lang w:val="fr-CA" w:bidi="en-US"/>
        </w:rPr>
        <w:t xml:space="preserve"> « ne soient pas amenés à un endroit où le bref ne peut être exécuté » (Farbey et Sharpe, p. 16</w:t>
      </w:r>
      <w:r w:rsidRPr="005147AC">
        <w:rPr>
          <w:rFonts w:cs="Times New Roman"/>
          <w:lang w:val="fr-CA"/>
        </w:rPr>
        <w:t>).</w:t>
      </w:r>
    </w:p>
    <w:p w14:paraId="141260BA" w14:textId="77777777" w:rsidR="005147AC" w:rsidRPr="005147AC" w:rsidRDefault="005147AC" w:rsidP="005147AC">
      <w:pPr>
        <w:pStyle w:val="ParaNoNdepar-AltN"/>
        <w:rPr>
          <w:rFonts w:cs="Times New Roman"/>
          <w:lang w:val="fr-CA"/>
        </w:rPr>
      </w:pPr>
      <w:r w:rsidRPr="005147AC">
        <w:rPr>
          <w:rFonts w:cs="Times New Roman"/>
          <w:lang w:val="fr-CA"/>
        </w:rPr>
        <w:t>Par la suite, le droit canadien a tenté de préserver les objectifs de l’</w:t>
      </w:r>
      <w:r w:rsidRPr="005147AC">
        <w:rPr>
          <w:rFonts w:cs="Times New Roman"/>
          <w:i/>
          <w:lang w:val="fr-CA"/>
        </w:rPr>
        <w:t>Habeas Corpus Act</w:t>
      </w:r>
      <w:r w:rsidRPr="005147AC">
        <w:rPr>
          <w:rFonts w:cs="Times New Roman"/>
          <w:lang w:val="fr-CA"/>
        </w:rPr>
        <w:t>, dont les dispositions « retraçaient l’évolution des buts et des principes du bref » (</w:t>
      </w:r>
      <w:r w:rsidRPr="005147AC">
        <w:rPr>
          <w:rFonts w:cs="Times New Roman"/>
          <w:i/>
          <w:lang w:val="fr-CA"/>
        </w:rPr>
        <w:t>Khela</w:t>
      </w:r>
      <w:r w:rsidRPr="005147AC">
        <w:rPr>
          <w:rFonts w:cs="Times New Roman"/>
          <w:lang w:val="fr-CA"/>
        </w:rPr>
        <w:t>, par. 29). Notre Cour a reconnu que le bref est « le meilleur moyen à la disposition du prisonnier qui veut faire contrôler la légalité de sa privation de liberté », et qu’il « doit évoluer pour garantir que les objectifs sous</w:t>
      </w:r>
      <w:r w:rsidRPr="005147AC">
        <w:rPr>
          <w:rFonts w:cs="Times New Roman"/>
          <w:lang w:val="fr-CA"/>
        </w:rPr>
        <w:noBreakHyphen/>
        <w:t xml:space="preserve">jacents du recours continuent à être respectés » (par. 29 et 54). </w:t>
      </w:r>
    </w:p>
    <w:p w14:paraId="20157F30" w14:textId="77777777" w:rsidR="005147AC" w:rsidRPr="005147AC" w:rsidRDefault="005147AC" w:rsidP="005147AC">
      <w:pPr>
        <w:pStyle w:val="ParaNoNdepar-AltN"/>
        <w:rPr>
          <w:rFonts w:cs="Times New Roman"/>
          <w:lang w:val="fr-CA"/>
        </w:rPr>
      </w:pPr>
      <w:r w:rsidRPr="005147AC">
        <w:rPr>
          <w:rFonts w:cs="Times New Roman"/>
          <w:iCs/>
          <w:lang w:val="fr-CA"/>
        </w:rPr>
        <w:lastRenderedPageBreak/>
        <w:t>L’</w:t>
      </w:r>
      <w:r w:rsidRPr="005147AC">
        <w:rPr>
          <w:rFonts w:cs="Times New Roman"/>
          <w:i/>
          <w:lang w:val="fr-CA"/>
        </w:rPr>
        <w:t xml:space="preserve">habeas corpus </w:t>
      </w:r>
      <w:r w:rsidRPr="005147AC">
        <w:rPr>
          <w:rFonts w:cs="Times New Roman"/>
          <w:lang w:val="fr-CA"/>
        </w:rPr>
        <w:t xml:space="preserve">est maintenant consacré à l’al. 10c) de la </w:t>
      </w:r>
      <w:r w:rsidRPr="005147AC">
        <w:rPr>
          <w:rFonts w:cs="Times New Roman"/>
          <w:i/>
          <w:lang w:val="fr-CA"/>
        </w:rPr>
        <w:t>Charte</w:t>
      </w:r>
      <w:r w:rsidRPr="005147AC">
        <w:rPr>
          <w:rFonts w:cs="Times New Roman"/>
          <w:lang w:val="fr-CA"/>
        </w:rPr>
        <w:t>, mais il recoupe et protège également deux de nos droits les plus fondamentaux : le droit à la liberté et à ce qu’il n’y soit porté atteinte qu’en conformité avec les principes de justice fondamentale (art. 7); le droit à la protection contre la détention ou l’emprisonnement arbitraire (art. 9) (</w:t>
      </w:r>
      <w:r w:rsidRPr="005147AC">
        <w:rPr>
          <w:rFonts w:cs="Times New Roman"/>
          <w:i/>
          <w:lang w:val="fr-CA"/>
        </w:rPr>
        <w:t>Khela</w:t>
      </w:r>
      <w:r w:rsidRPr="005147AC">
        <w:rPr>
          <w:rFonts w:cs="Times New Roman"/>
          <w:lang w:val="fr-CA"/>
        </w:rPr>
        <w:t xml:space="preserve">, par. 29; </w:t>
      </w:r>
      <w:r w:rsidRPr="005147AC">
        <w:rPr>
          <w:rFonts w:cs="Times New Roman"/>
          <w:i/>
          <w:lang w:val="fr-CA"/>
        </w:rPr>
        <w:t>May</w:t>
      </w:r>
      <w:r w:rsidRPr="005147AC">
        <w:rPr>
          <w:rFonts w:cs="Times New Roman"/>
          <w:lang w:val="fr-CA"/>
        </w:rPr>
        <w:t>, par. 22). Les tribunaux ne doivent jamais perdre de vue le droit sous</w:t>
      </w:r>
      <w:r w:rsidRPr="005147AC">
        <w:rPr>
          <w:rFonts w:cs="Times New Roman"/>
          <w:lang w:val="fr-CA"/>
        </w:rPr>
        <w:noBreakHyphen/>
        <w:t>jacent du requérant à la liberté, et ils ne sont pas enfermés dans des catégories ou des définitions limitées du contrôle judiciaire (</w:t>
      </w:r>
      <w:r w:rsidRPr="005147AC">
        <w:rPr>
          <w:rFonts w:cs="Times New Roman"/>
          <w:i/>
          <w:lang w:val="fr-CA"/>
        </w:rPr>
        <w:t>Khela</w:t>
      </w:r>
      <w:r w:rsidRPr="005147AC">
        <w:rPr>
          <w:rFonts w:cs="Times New Roman"/>
          <w:lang w:val="fr-CA"/>
        </w:rPr>
        <w:t>, par. 55). La possibilité de se prévaloir du recours devrait être rarement restreinte (</w:t>
      </w:r>
      <w:r w:rsidRPr="005147AC">
        <w:rPr>
          <w:rFonts w:cs="Times New Roman"/>
          <w:i/>
          <w:lang w:val="fr-CA"/>
        </w:rPr>
        <w:t>Khela</w:t>
      </w:r>
      <w:r w:rsidRPr="005147AC">
        <w:rPr>
          <w:rFonts w:cs="Times New Roman"/>
          <w:lang w:val="fr-CA"/>
        </w:rPr>
        <w:t xml:space="preserve">, par. 54). </w:t>
      </w:r>
    </w:p>
    <w:p w14:paraId="73BD1014" w14:textId="77777777" w:rsidR="005147AC" w:rsidRPr="005147AC" w:rsidRDefault="005147AC" w:rsidP="005147AC">
      <w:pPr>
        <w:pStyle w:val="ParaNoNdepar-AltN"/>
        <w:rPr>
          <w:rFonts w:cs="Times New Roman"/>
          <w:lang w:val="fr-CA"/>
        </w:rPr>
      </w:pPr>
      <w:r w:rsidRPr="005147AC">
        <w:rPr>
          <w:rFonts w:cs="Times New Roman"/>
          <w:lang w:val="fr-CA"/>
        </w:rPr>
        <w:t>Étant donné que l’</w:t>
      </w:r>
      <w:r w:rsidRPr="005147AC">
        <w:rPr>
          <w:rFonts w:cs="Times New Roman"/>
          <w:i/>
          <w:lang w:val="fr-CA"/>
        </w:rPr>
        <w:t>habeas corpus</w:t>
      </w:r>
      <w:r w:rsidRPr="005147AC">
        <w:rPr>
          <w:rFonts w:cs="Times New Roman"/>
          <w:lang w:val="fr-CA"/>
        </w:rPr>
        <w:t xml:space="preserve"> protège contre les </w:t>
      </w:r>
      <w:r w:rsidRPr="005147AC">
        <w:rPr>
          <w:rFonts w:cs="Times New Roman"/>
          <w:iCs/>
          <w:lang w:val="fr-CA" w:bidi="en-US"/>
        </w:rPr>
        <w:t>restrictions abusives à la liberté</w:t>
      </w:r>
      <w:r w:rsidRPr="005147AC">
        <w:rPr>
          <w:rFonts w:cs="Times New Roman"/>
          <w:lang w:val="fr-CA"/>
        </w:rPr>
        <w:t xml:space="preserve">, la jurisprudence a toujours confirmé le caractère large et accessible de ce bref. Notre Cour a constamment jugé qu’il fallait procéder à un « examen soigneux de toute évolution jurisprudentielle restreignant la compétence en </w:t>
      </w:r>
      <w:r w:rsidRPr="005147AC">
        <w:rPr>
          <w:rFonts w:eastAsiaTheme="minorHAnsi" w:cs="Times New Roman"/>
          <w:lang w:val="fr-CA" w:bidi="en-US"/>
        </w:rPr>
        <w:t>matière d’</w:t>
      </w:r>
      <w:r w:rsidRPr="005147AC">
        <w:rPr>
          <w:rFonts w:eastAsiaTheme="minorHAnsi" w:cs="Times New Roman"/>
          <w:i/>
          <w:iCs/>
          <w:lang w:val="fr-CA" w:bidi="en-US"/>
        </w:rPr>
        <w:t xml:space="preserve">habeas corpus </w:t>
      </w:r>
      <w:r w:rsidRPr="005147AC">
        <w:rPr>
          <w:rFonts w:eastAsiaTheme="minorHAnsi" w:cs="Times New Roman"/>
          <w:lang w:val="fr-CA" w:bidi="en-US"/>
        </w:rPr>
        <w:t>et ne [. . .] pas [. . .] laisser [l’</w:t>
      </w:r>
      <w:r w:rsidRPr="005147AC">
        <w:rPr>
          <w:rFonts w:eastAsiaTheme="minorHAnsi" w:cs="Times New Roman"/>
          <w:i/>
          <w:lang w:val="fr-CA" w:bidi="en-US"/>
        </w:rPr>
        <w:t>habeas</w:t>
      </w:r>
      <w:r w:rsidRPr="005147AC">
        <w:rPr>
          <w:rFonts w:eastAsiaTheme="minorHAnsi" w:cs="Times New Roman"/>
          <w:lang w:val="fr-CA" w:bidi="en-US"/>
        </w:rPr>
        <w:t xml:space="preserve"> </w:t>
      </w:r>
      <w:r w:rsidRPr="005147AC">
        <w:rPr>
          <w:rFonts w:eastAsiaTheme="minorHAnsi" w:cs="Times New Roman"/>
          <w:i/>
          <w:lang w:val="fr-CA" w:bidi="en-US"/>
        </w:rPr>
        <w:t>corpus</w:t>
      </w:r>
      <w:r w:rsidRPr="005147AC">
        <w:rPr>
          <w:rFonts w:eastAsiaTheme="minorHAnsi" w:cs="Times New Roman"/>
          <w:lang w:val="fr-CA" w:bidi="en-US"/>
        </w:rPr>
        <w:t>] se développer sans contrôle. [. . .] [L]</w:t>
      </w:r>
      <w:r w:rsidRPr="005147AC">
        <w:rPr>
          <w:rFonts w:cs="Times New Roman"/>
          <w:lang w:val="fr-CA" w:bidi="en-US"/>
        </w:rPr>
        <w:t>es exceptions à la compétence en matière d’</w:t>
      </w:r>
      <w:r w:rsidRPr="005147AC">
        <w:rPr>
          <w:rFonts w:cs="Times New Roman"/>
          <w:i/>
          <w:iCs/>
          <w:lang w:val="fr-CA" w:bidi="en-US"/>
        </w:rPr>
        <w:t xml:space="preserve">habeas corpus </w:t>
      </w:r>
      <w:r w:rsidRPr="005147AC">
        <w:rPr>
          <w:rFonts w:eastAsiaTheme="minorHAnsi" w:cs="Times New Roman"/>
          <w:lang w:val="fr-CA" w:bidi="en-US"/>
        </w:rPr>
        <w:t xml:space="preserve">[. . .] [doivent] </w:t>
      </w:r>
      <w:r w:rsidRPr="005147AC">
        <w:rPr>
          <w:rFonts w:cs="Times New Roman"/>
          <w:lang w:val="fr-CA" w:bidi="en-US"/>
        </w:rPr>
        <w:t>demeure[r] bien définies et circonscrites »</w:t>
      </w:r>
      <w:r w:rsidRPr="005147AC">
        <w:rPr>
          <w:rFonts w:eastAsiaTheme="minorHAnsi" w:cs="Times New Roman"/>
          <w:lang w:val="fr-CA" w:bidi="en-US"/>
        </w:rPr>
        <w:t xml:space="preserve"> </w:t>
      </w:r>
      <w:r w:rsidRPr="005147AC">
        <w:rPr>
          <w:rFonts w:cs="Times New Roman"/>
          <w:lang w:val="fr-CA"/>
        </w:rPr>
        <w:t>(</w:t>
      </w:r>
      <w:r w:rsidRPr="005147AC">
        <w:rPr>
          <w:rFonts w:cs="Times New Roman"/>
          <w:i/>
          <w:lang w:val="fr-CA"/>
        </w:rPr>
        <w:t>May</w:t>
      </w:r>
      <w:r w:rsidRPr="005147AC">
        <w:rPr>
          <w:rFonts w:cs="Times New Roman"/>
          <w:lang w:val="fr-CA"/>
        </w:rPr>
        <w:t xml:space="preserve">, par. 50). Au cours des </w:t>
      </w:r>
      <w:r w:rsidRPr="005147AC">
        <w:rPr>
          <w:rFonts w:cs="Times New Roman"/>
          <w:lang w:val="fr-CA" w:bidi="en-US"/>
        </w:rPr>
        <w:t>40 dernières années</w:t>
      </w:r>
      <w:r w:rsidRPr="005147AC">
        <w:rPr>
          <w:rFonts w:cs="Times New Roman"/>
          <w:lang w:val="fr-CA"/>
        </w:rPr>
        <w:t xml:space="preserve">, </w:t>
      </w:r>
      <w:r w:rsidRPr="005147AC">
        <w:rPr>
          <w:rFonts w:cs="Times New Roman"/>
          <w:lang w:val="fr-CA" w:bidi="en-US"/>
        </w:rPr>
        <w:t xml:space="preserve">la jurisprudence en matière </w:t>
      </w:r>
      <w:r w:rsidRPr="005147AC">
        <w:rPr>
          <w:rFonts w:cs="Times New Roman"/>
          <w:lang w:val="fr-CA"/>
        </w:rPr>
        <w:t>d’</w:t>
      </w:r>
      <w:r w:rsidRPr="005147AC">
        <w:rPr>
          <w:rFonts w:cs="Times New Roman"/>
          <w:i/>
          <w:lang w:val="fr-CA"/>
        </w:rPr>
        <w:t>habeas corpus</w:t>
      </w:r>
      <w:r w:rsidRPr="005147AC">
        <w:rPr>
          <w:rFonts w:cs="Times New Roman"/>
          <w:lang w:val="fr-CA" w:bidi="en-US"/>
        </w:rPr>
        <w:t xml:space="preserve"> a été marquée par un recours étendu et sans restriction à ce bref, notre Cour ayant </w:t>
      </w:r>
      <w:r w:rsidRPr="005147AC">
        <w:rPr>
          <w:rFonts w:cs="Times New Roman"/>
          <w:lang w:val="fr-CA"/>
        </w:rPr>
        <w:t>élargi les motifs de contrôle de la légalité des privations de liberté.</w:t>
      </w:r>
    </w:p>
    <w:p w14:paraId="371EBF96" w14:textId="77777777" w:rsidR="005147AC" w:rsidRPr="005147AC" w:rsidRDefault="005147AC" w:rsidP="005147AC">
      <w:pPr>
        <w:pStyle w:val="ParaNoNdepar-AltN"/>
        <w:rPr>
          <w:rFonts w:cs="Times New Roman"/>
          <w:lang w:val="fr-CA"/>
        </w:rPr>
      </w:pPr>
      <w:r w:rsidRPr="005147AC">
        <w:rPr>
          <w:rFonts w:cs="Times New Roman"/>
          <w:lang w:val="fr-CA"/>
        </w:rPr>
        <w:t>Malgré son ancienneté, l’</w:t>
      </w:r>
      <w:r w:rsidRPr="005147AC">
        <w:rPr>
          <w:rFonts w:cs="Times New Roman"/>
          <w:i/>
          <w:lang w:val="fr-CA"/>
        </w:rPr>
        <w:t>habeas corpus</w:t>
      </w:r>
      <w:r w:rsidRPr="005147AC">
        <w:rPr>
          <w:rFonts w:cs="Times New Roman"/>
          <w:lang w:val="fr-CA"/>
        </w:rPr>
        <w:t xml:space="preserve"> demeure le meilleur moyen à la disposition du prisonnier qui veut faire contrôler la légalité de sa privation de liberté résiduelle (</w:t>
      </w:r>
      <w:r w:rsidRPr="005147AC">
        <w:rPr>
          <w:rFonts w:cs="Times New Roman"/>
          <w:i/>
          <w:lang w:val="fr-CA"/>
        </w:rPr>
        <w:t>Khela</w:t>
      </w:r>
      <w:r w:rsidRPr="005147AC">
        <w:rPr>
          <w:rFonts w:cs="Times New Roman"/>
          <w:lang w:val="fr-CA"/>
        </w:rPr>
        <w:t xml:space="preserve">, par. 29). Il y a une quarantaine d’années, notre Cour a clarifié la </w:t>
      </w:r>
      <w:r w:rsidRPr="005147AC">
        <w:rPr>
          <w:rFonts w:cs="Times New Roman"/>
          <w:lang w:val="fr-CA"/>
        </w:rPr>
        <w:lastRenderedPageBreak/>
        <w:t>portée de l’</w:t>
      </w:r>
      <w:r w:rsidRPr="005147AC">
        <w:rPr>
          <w:rFonts w:cs="Times New Roman"/>
          <w:i/>
          <w:lang w:val="fr-CA"/>
        </w:rPr>
        <w:t>habeas corpus</w:t>
      </w:r>
      <w:r w:rsidRPr="005147AC">
        <w:rPr>
          <w:rFonts w:cs="Times New Roman"/>
          <w:lang w:val="fr-CA"/>
        </w:rPr>
        <w:t xml:space="preserve"> dans la trilogie d’arrêts </w:t>
      </w:r>
      <w:r w:rsidRPr="005147AC">
        <w:rPr>
          <w:rFonts w:cs="Times New Roman"/>
          <w:i/>
          <w:spacing w:val="-3"/>
          <w:lang w:val="fr-CA"/>
        </w:rPr>
        <w:t>R. c</w:t>
      </w:r>
      <w:r w:rsidRPr="005147AC">
        <w:rPr>
          <w:rFonts w:cs="Times New Roman"/>
          <w:i/>
          <w:iCs/>
          <w:spacing w:val="-3"/>
          <w:lang w:val="fr-CA"/>
        </w:rPr>
        <w:t>.</w:t>
      </w:r>
      <w:r w:rsidRPr="005147AC">
        <w:rPr>
          <w:rFonts w:cs="Times New Roman"/>
          <w:i/>
          <w:spacing w:val="-3"/>
          <w:lang w:val="fr-CA"/>
        </w:rPr>
        <w:t xml:space="preserve"> Miller</w:t>
      </w:r>
      <w:r w:rsidRPr="005147AC">
        <w:rPr>
          <w:rFonts w:cs="Times New Roman"/>
          <w:spacing w:val="-3"/>
          <w:lang w:val="fr-CA"/>
        </w:rPr>
        <w:t>, [1985] 2 R.C.S. 613,</w:t>
      </w:r>
      <w:r w:rsidRPr="005147AC">
        <w:rPr>
          <w:rFonts w:cs="Times New Roman"/>
          <w:i/>
          <w:lang w:val="fr-CA"/>
        </w:rPr>
        <w:t xml:space="preserve"> </w:t>
      </w:r>
      <w:r w:rsidRPr="005147AC">
        <w:rPr>
          <w:rFonts w:cs="Times New Roman"/>
          <w:i/>
          <w:iCs/>
          <w:lang w:val="fr-CA"/>
        </w:rPr>
        <w:t>Cardinal c. Directeur de l’établissement Kent</w:t>
      </w:r>
      <w:r w:rsidRPr="005147AC">
        <w:rPr>
          <w:rFonts w:cs="Times New Roman"/>
          <w:lang w:val="fr-CA"/>
        </w:rPr>
        <w:t xml:space="preserve">, [1985] 2 R.C.S. 643, et </w:t>
      </w:r>
      <w:r w:rsidRPr="005147AC">
        <w:rPr>
          <w:rFonts w:cs="Times New Roman"/>
          <w:i/>
          <w:iCs/>
          <w:lang w:val="fr-CA"/>
        </w:rPr>
        <w:t>Morin c. Comité national chargé de l’examen des cas d’unités spéciales de détention</w:t>
      </w:r>
      <w:r w:rsidRPr="005147AC">
        <w:rPr>
          <w:rFonts w:cs="Times New Roman"/>
          <w:iCs/>
          <w:lang w:val="fr-CA"/>
        </w:rPr>
        <w:t>,</w:t>
      </w:r>
      <w:r w:rsidRPr="005147AC">
        <w:rPr>
          <w:rFonts w:cs="Times New Roman"/>
          <w:lang w:val="fr-CA"/>
        </w:rPr>
        <w:t xml:space="preserve"> [1985] 2 R.C.S. 662 (désignés collectivement la « trilogie </w:t>
      </w:r>
      <w:r w:rsidRPr="005147AC">
        <w:rPr>
          <w:rFonts w:cs="Times New Roman"/>
          <w:i/>
          <w:lang w:val="fr-CA"/>
        </w:rPr>
        <w:t>Miller </w:t>
      </w:r>
      <w:r w:rsidRPr="005147AC">
        <w:rPr>
          <w:rFonts w:cs="Times New Roman"/>
          <w:lang w:val="fr-CA"/>
        </w:rPr>
        <w:t>»). Notre Cour a confirmé que les détenus contestant leur placement en isolement administratif pouvaient se prévaloir du bref, en faisant observer que cette forme restrictive de détention constituait une « prison au sein d’une prison » (</w:t>
      </w:r>
      <w:r w:rsidRPr="005147AC">
        <w:rPr>
          <w:rFonts w:cs="Times New Roman"/>
          <w:i/>
          <w:lang w:val="fr-CA"/>
        </w:rPr>
        <w:t>Miller</w:t>
      </w:r>
      <w:r w:rsidRPr="005147AC">
        <w:rPr>
          <w:rFonts w:cs="Times New Roman"/>
          <w:lang w:val="fr-CA"/>
        </w:rPr>
        <w:t xml:space="preserve">, p. 668). </w:t>
      </w:r>
      <w:bookmarkStart w:id="11" w:name="_Hlk204703805"/>
      <w:r w:rsidRPr="005147AC">
        <w:rPr>
          <w:rFonts w:cs="Times New Roman"/>
          <w:lang w:val="fr-CA"/>
        </w:rPr>
        <w:t xml:space="preserve">La trilogie </w:t>
      </w:r>
      <w:r w:rsidRPr="005147AC">
        <w:rPr>
          <w:rFonts w:cs="Times New Roman"/>
          <w:i/>
          <w:lang w:val="fr-CA"/>
        </w:rPr>
        <w:t>Miller</w:t>
      </w:r>
      <w:r w:rsidRPr="005147AC">
        <w:rPr>
          <w:rFonts w:cs="Times New Roman"/>
          <w:lang w:val="fr-CA"/>
        </w:rPr>
        <w:t xml:space="preserve"> a reconnu que la privation de liberté dans le contexte carcéral restreignait le peu de liberté résiduelle dont disposaient les détenus, et que l’</w:t>
      </w:r>
      <w:r w:rsidRPr="005147AC">
        <w:rPr>
          <w:rFonts w:cs="Times New Roman"/>
          <w:i/>
          <w:lang w:val="fr-CA"/>
        </w:rPr>
        <w:t>habeas corpus</w:t>
      </w:r>
      <w:r w:rsidRPr="005147AC">
        <w:rPr>
          <w:rFonts w:cs="Times New Roman"/>
          <w:lang w:val="fr-CA"/>
        </w:rPr>
        <w:t xml:space="preserve"> pouvait être utilisé pour contester les privations illégitimes de leur liberté résiduelle, même lorsqu’ils n’étaient pas remis en liberté.</w:t>
      </w:r>
      <w:bookmarkEnd w:id="11"/>
    </w:p>
    <w:p w14:paraId="31A89BC2" w14:textId="77777777" w:rsidR="005147AC" w:rsidRPr="005147AC" w:rsidRDefault="005147AC" w:rsidP="005147AC">
      <w:pPr>
        <w:pStyle w:val="Title2LevelTitre2Niveau"/>
        <w:numPr>
          <w:ilvl w:val="1"/>
          <w:numId w:val="8"/>
        </w:numPr>
        <w:ind w:left="578" w:hanging="578"/>
        <w:jc w:val="both"/>
        <w:rPr>
          <w:rFonts w:cs="Times New Roman"/>
          <w:lang w:val="fr-CA"/>
        </w:rPr>
      </w:pPr>
      <w:r w:rsidRPr="005147AC">
        <w:rPr>
          <w:rFonts w:cs="Times New Roman"/>
          <w:lang w:val="fr-CA"/>
        </w:rPr>
        <w:t xml:space="preserve">Cadre juridique des requêtes en habeas corpus </w:t>
      </w:r>
    </w:p>
    <w:p w14:paraId="2C6C3925" w14:textId="77777777" w:rsidR="005147AC" w:rsidRPr="005147AC" w:rsidRDefault="005147AC" w:rsidP="005147AC">
      <w:pPr>
        <w:pStyle w:val="ParaNoNdepar-AltN"/>
        <w:rPr>
          <w:rFonts w:cs="Times New Roman"/>
          <w:lang w:val="fr-CA"/>
        </w:rPr>
      </w:pPr>
      <w:r w:rsidRPr="005147AC">
        <w:rPr>
          <w:rFonts w:cs="Times New Roman"/>
          <w:lang w:val="fr-CA"/>
        </w:rPr>
        <w:t>Les critères à respecter pour obtenir gain de cause dans une requête en</w:t>
      </w:r>
      <w:r w:rsidRPr="005147AC">
        <w:rPr>
          <w:rFonts w:cs="Times New Roman"/>
          <w:i/>
          <w:lang w:val="fr-CA"/>
        </w:rPr>
        <w:t xml:space="preserve"> habeas corpus</w:t>
      </w:r>
      <w:r w:rsidRPr="005147AC">
        <w:rPr>
          <w:rFonts w:cs="Times New Roman"/>
          <w:lang w:val="fr-CA"/>
        </w:rPr>
        <w:t xml:space="preserve"> sont bien établis. Il faut : (1) qu’il y ait eu privation de liberté et (2) que cette privation soit illégale (</w:t>
      </w:r>
      <w:r w:rsidRPr="005147AC">
        <w:rPr>
          <w:rFonts w:cs="Times New Roman"/>
          <w:i/>
          <w:lang w:val="fr-CA"/>
        </w:rPr>
        <w:t>Khela</w:t>
      </w:r>
      <w:r w:rsidRPr="005147AC">
        <w:rPr>
          <w:rFonts w:cs="Times New Roman"/>
          <w:lang w:val="fr-CA"/>
        </w:rPr>
        <w:t xml:space="preserve">, par. 30). </w:t>
      </w:r>
    </w:p>
    <w:p w14:paraId="4ED907D9" w14:textId="77777777" w:rsidR="005147AC" w:rsidRPr="005147AC" w:rsidRDefault="005147AC" w:rsidP="005147AC">
      <w:pPr>
        <w:pStyle w:val="ParaNoNdepar-AltN"/>
        <w:rPr>
          <w:rFonts w:cs="Times New Roman"/>
          <w:lang w:val="fr-CA"/>
        </w:rPr>
      </w:pPr>
      <w:r w:rsidRPr="005147AC">
        <w:rPr>
          <w:rFonts w:cs="Times New Roman"/>
          <w:lang w:val="fr-CA"/>
        </w:rPr>
        <w:t xml:space="preserve">La requête en </w:t>
      </w:r>
      <w:r w:rsidRPr="005147AC">
        <w:rPr>
          <w:rFonts w:cs="Times New Roman"/>
          <w:i/>
          <w:lang w:val="fr-CA"/>
        </w:rPr>
        <w:t xml:space="preserve">habeas corpus </w:t>
      </w:r>
      <w:r w:rsidRPr="005147AC">
        <w:rPr>
          <w:rFonts w:cs="Times New Roman"/>
          <w:lang w:val="fr-CA"/>
        </w:rPr>
        <w:t>se décline en trois étapes.</w:t>
      </w:r>
    </w:p>
    <w:p w14:paraId="770EEDA4" w14:textId="77777777" w:rsidR="005147AC" w:rsidRPr="005147AC" w:rsidRDefault="005147AC" w:rsidP="005147AC">
      <w:pPr>
        <w:pStyle w:val="ParaNoNdepar-AltN"/>
        <w:rPr>
          <w:rFonts w:cs="Times New Roman"/>
          <w:lang w:val="fr-CA"/>
        </w:rPr>
      </w:pPr>
      <w:r w:rsidRPr="005147AC">
        <w:rPr>
          <w:rFonts w:cs="Times New Roman"/>
          <w:lang w:val="fr-CA"/>
        </w:rPr>
        <w:t>À titre préliminaire, pour pouvoir, en droit, recourir au bref, le requérant doit établir qu’il a été privé de liberté. Une fois la privation de liberté démontrée, le requérant doit invoquer un motif légitime permettant de remettre en question sa légalité. Si le requérant a invoqué pareil motif, il incombe alors aux autorités intimées de démontrer que la privation de liberté était légale (</w:t>
      </w:r>
      <w:r w:rsidRPr="005147AC">
        <w:rPr>
          <w:rFonts w:cs="Times New Roman"/>
          <w:i/>
          <w:lang w:val="fr-CA"/>
        </w:rPr>
        <w:t>Khela</w:t>
      </w:r>
      <w:r w:rsidRPr="005147AC">
        <w:rPr>
          <w:rFonts w:cs="Times New Roman"/>
          <w:lang w:val="fr-CA"/>
        </w:rPr>
        <w:t xml:space="preserve">, par. 30; Farbey et Sharpe, </w:t>
      </w:r>
      <w:r w:rsidRPr="005147AC">
        <w:rPr>
          <w:rFonts w:cs="Times New Roman"/>
          <w:lang w:val="fr-CA"/>
        </w:rPr>
        <w:lastRenderedPageBreak/>
        <w:t xml:space="preserve">p. 85; </w:t>
      </w:r>
      <w:r w:rsidRPr="005147AC">
        <w:rPr>
          <w:rFonts w:cs="Times New Roman"/>
          <w:i/>
          <w:iCs/>
          <w:lang w:val="fr-CA"/>
        </w:rPr>
        <w:t>May</w:t>
      </w:r>
      <w:r w:rsidRPr="005147AC">
        <w:rPr>
          <w:rFonts w:cs="Times New Roman"/>
          <w:lang w:val="fr-CA"/>
        </w:rPr>
        <w:t>, par. 74). Si le requérant s’acquitte de ce fardeau, c’est à l’autorité qui le détient qu’incombe la charge d’établir la légalité de cette privation de liberté (</w:t>
      </w:r>
      <w:r w:rsidRPr="005147AC">
        <w:rPr>
          <w:rFonts w:cs="Times New Roman"/>
          <w:i/>
          <w:lang w:val="fr-CA"/>
        </w:rPr>
        <w:t>May</w:t>
      </w:r>
      <w:r w:rsidRPr="005147AC">
        <w:rPr>
          <w:rFonts w:cs="Times New Roman"/>
          <w:lang w:val="fr-CA"/>
        </w:rPr>
        <w:t xml:space="preserve">, par. 74; </w:t>
      </w:r>
      <w:r w:rsidRPr="005147AC">
        <w:rPr>
          <w:rFonts w:cs="Times New Roman"/>
          <w:i/>
          <w:lang w:val="fr-CA"/>
        </w:rPr>
        <w:t>Khela</w:t>
      </w:r>
      <w:r w:rsidRPr="005147AC">
        <w:rPr>
          <w:rFonts w:cs="Times New Roman"/>
          <w:lang w:val="fr-CA"/>
        </w:rPr>
        <w:t xml:space="preserve">, par. 30). Comme l’a déclaré notre Cour dans l’arrêt </w:t>
      </w:r>
      <w:r w:rsidRPr="005147AC">
        <w:rPr>
          <w:rFonts w:cs="Times New Roman"/>
          <w:i/>
          <w:iCs/>
          <w:lang w:val="fr-CA"/>
        </w:rPr>
        <w:t>Khela</w:t>
      </w:r>
      <w:r w:rsidRPr="005147AC">
        <w:rPr>
          <w:rFonts w:cs="Times New Roman"/>
          <w:lang w:val="fr-CA"/>
        </w:rPr>
        <w:t xml:space="preserve">, ce déplacement du fardeau de la preuve joue un rôle crucial et historiquement important dans les requêtes en </w:t>
      </w:r>
      <w:r w:rsidRPr="005147AC">
        <w:rPr>
          <w:rFonts w:cs="Times New Roman"/>
          <w:i/>
          <w:iCs/>
          <w:lang w:val="fr-CA"/>
        </w:rPr>
        <w:t>habeas corpus</w:t>
      </w:r>
      <w:r w:rsidRPr="005147AC">
        <w:rPr>
          <w:rFonts w:cs="Times New Roman"/>
          <w:lang w:val="fr-CA"/>
        </w:rPr>
        <w:t> :</w:t>
      </w:r>
    </w:p>
    <w:p w14:paraId="12BF964E" w14:textId="77777777" w:rsidR="005147AC" w:rsidRPr="005147AC" w:rsidRDefault="005147AC" w:rsidP="005147AC">
      <w:pPr>
        <w:pStyle w:val="Citation-AltC"/>
        <w:ind w:hanging="1166"/>
        <w:rPr>
          <w:rFonts w:eastAsiaTheme="minorEastAsia"/>
          <w:lang w:val="fr-CA"/>
        </w:rPr>
      </w:pPr>
      <w:r w:rsidRPr="005147AC">
        <w:rPr>
          <w:rFonts w:eastAsiaTheme="minorEastAsia"/>
          <w:lang w:val="fr-CA" w:bidi="en-US"/>
        </w:rPr>
        <w:tab/>
        <w:t>Ce déplacement particulier du fardeau de la preuve est propre au bref d’</w:t>
      </w:r>
      <w:r w:rsidRPr="005147AC">
        <w:rPr>
          <w:rFonts w:eastAsiaTheme="minorEastAsia"/>
          <w:i/>
          <w:iCs/>
          <w:lang w:val="fr-CA" w:bidi="en-US"/>
        </w:rPr>
        <w:t>habeas corpus</w:t>
      </w:r>
      <w:r w:rsidRPr="005147AC">
        <w:rPr>
          <w:rFonts w:eastAsiaTheme="minorEastAsia"/>
          <w:lang w:val="fr-CA" w:bidi="en-US"/>
        </w:rPr>
        <w:t>. L’attribution de ce fardeau aux autorités carcérales exprime le fondement même du droit en matière d’</w:t>
      </w:r>
      <w:r w:rsidRPr="005147AC">
        <w:rPr>
          <w:rFonts w:eastAsiaTheme="minorEastAsia"/>
          <w:i/>
          <w:iCs/>
          <w:lang w:val="fr-CA" w:bidi="en-US"/>
        </w:rPr>
        <w:t>habeas corpus</w:t>
      </w:r>
      <w:r w:rsidRPr="005147AC">
        <w:rPr>
          <w:rFonts w:eastAsiaTheme="minorEastAsia"/>
          <w:lang w:val="fr-CA" w:bidi="en-US"/>
        </w:rPr>
        <w:t>, selon lequel une privation de liberté n’est autorisée que lorsque la personne qui l’a ordonnée peut démontrer qu’elle est justifiée</w:t>
      </w:r>
      <w:r w:rsidRPr="005147AC">
        <w:rPr>
          <w:rFonts w:eastAsiaTheme="minorEastAsia"/>
          <w:lang w:val="fr-CA"/>
        </w:rPr>
        <w:t>. [</w:t>
      </w:r>
      <w:proofErr w:type="gramStart"/>
      <w:r w:rsidRPr="005147AC">
        <w:rPr>
          <w:rFonts w:eastAsiaTheme="minorEastAsia"/>
          <w:lang w:val="fr-CA"/>
        </w:rPr>
        <w:t>par</w:t>
      </w:r>
      <w:proofErr w:type="gramEnd"/>
      <w:r w:rsidRPr="005147AC">
        <w:rPr>
          <w:rFonts w:eastAsiaTheme="minorEastAsia"/>
          <w:lang w:val="fr-CA"/>
        </w:rPr>
        <w:t>. 40]</w:t>
      </w:r>
    </w:p>
    <w:p w14:paraId="5AF5ED33" w14:textId="77777777" w:rsidR="005147AC" w:rsidRPr="005147AC" w:rsidRDefault="005147AC" w:rsidP="005147AC">
      <w:pPr>
        <w:pStyle w:val="ParaNoNdepar-AltN"/>
        <w:rPr>
          <w:rFonts w:cs="Times New Roman"/>
          <w:lang w:val="fr-CA"/>
        </w:rPr>
      </w:pPr>
      <w:r w:rsidRPr="005147AC">
        <w:rPr>
          <w:rFonts w:cs="Times New Roman"/>
          <w:lang w:val="fr-CA"/>
        </w:rPr>
        <w:t xml:space="preserve">Enfin, les détenus peuvent demander un </w:t>
      </w:r>
      <w:r w:rsidRPr="005147AC">
        <w:rPr>
          <w:rFonts w:cs="Times New Roman"/>
          <w:i/>
          <w:iCs/>
          <w:lang w:val="fr-CA"/>
        </w:rPr>
        <w:t xml:space="preserve">certiorari </w:t>
      </w:r>
      <w:r w:rsidRPr="005147AC">
        <w:rPr>
          <w:rFonts w:cs="Times New Roman"/>
          <w:lang w:val="fr-CA"/>
        </w:rPr>
        <w:t>auxiliaire de l’</w:t>
      </w:r>
      <w:r w:rsidRPr="005147AC">
        <w:rPr>
          <w:rFonts w:cs="Times New Roman"/>
          <w:i/>
          <w:iCs/>
          <w:lang w:val="fr-CA"/>
        </w:rPr>
        <w:t>habeas corpus</w:t>
      </w:r>
      <w:r w:rsidRPr="005147AC">
        <w:rPr>
          <w:rFonts w:cs="Times New Roman"/>
          <w:iCs/>
          <w:lang w:val="fr-CA"/>
        </w:rPr>
        <w:t>,</w:t>
      </w:r>
      <w:r w:rsidRPr="005147AC">
        <w:rPr>
          <w:rFonts w:cs="Times New Roman"/>
          <w:i/>
          <w:iCs/>
          <w:lang w:val="fr-CA"/>
        </w:rPr>
        <w:t xml:space="preserve"> </w:t>
      </w:r>
      <w:r w:rsidRPr="005147AC">
        <w:rPr>
          <w:rFonts w:cs="Times New Roman"/>
          <w:iCs/>
          <w:lang w:val="fr-CA"/>
        </w:rPr>
        <w:t>qui permet de soumettre au juge le dossier décisionnel de l’établissement (</w:t>
      </w:r>
      <w:r w:rsidRPr="005147AC">
        <w:rPr>
          <w:rFonts w:cs="Times New Roman"/>
          <w:i/>
          <w:iCs/>
          <w:lang w:val="fr-CA"/>
        </w:rPr>
        <w:t>Khela</w:t>
      </w:r>
      <w:r w:rsidRPr="005147AC">
        <w:rPr>
          <w:rFonts w:cs="Times New Roman"/>
          <w:iCs/>
          <w:lang w:val="fr-CA"/>
        </w:rPr>
        <w:t xml:space="preserve">, par. 35). </w:t>
      </w:r>
    </w:p>
    <w:p w14:paraId="2799A694" w14:textId="77777777" w:rsidR="005147AC" w:rsidRPr="005147AC" w:rsidRDefault="005147AC" w:rsidP="005147AC">
      <w:pPr>
        <w:pStyle w:val="Title3LevelTitre3Niveau"/>
        <w:numPr>
          <w:ilvl w:val="2"/>
          <w:numId w:val="8"/>
        </w:numPr>
        <w:rPr>
          <w:rFonts w:cs="Times New Roman"/>
          <w:lang w:val="fr-CA"/>
        </w:rPr>
      </w:pPr>
      <w:r w:rsidRPr="005147AC">
        <w:rPr>
          <w:rFonts w:cs="Times New Roman"/>
          <w:lang w:val="fr-CA"/>
        </w:rPr>
        <w:t xml:space="preserve">Première étape : privation de liberté </w:t>
      </w:r>
    </w:p>
    <w:p w14:paraId="4C984891" w14:textId="77777777" w:rsidR="005147AC" w:rsidRPr="005147AC" w:rsidRDefault="005147AC" w:rsidP="005147AC">
      <w:pPr>
        <w:pStyle w:val="ParaNoNdepar-AltN"/>
        <w:rPr>
          <w:rFonts w:cs="Times New Roman"/>
          <w:lang w:val="fr-CA"/>
        </w:rPr>
      </w:pPr>
      <w:r w:rsidRPr="005147AC">
        <w:rPr>
          <w:rFonts w:cs="Times New Roman"/>
          <w:lang w:val="fr-CA"/>
        </w:rPr>
        <w:t xml:space="preserve">Dans l’arrêt </w:t>
      </w:r>
      <w:r w:rsidRPr="005147AC">
        <w:rPr>
          <w:rFonts w:cs="Times New Roman"/>
          <w:i/>
          <w:lang w:val="fr-CA"/>
        </w:rPr>
        <w:t>Dumas</w:t>
      </w:r>
      <w:r w:rsidRPr="005147AC">
        <w:rPr>
          <w:rFonts w:cs="Times New Roman"/>
          <w:lang w:val="fr-CA"/>
        </w:rPr>
        <w:t xml:space="preserve">, notre Cour a expliqué qu’il existe trois sortes de privation de liberté dans le contexte correctionnel : « . . . la privation initiale de liberté, une modification importante des conditions d’incarcération qui équivaut à une nouvelle privation de liberté et la </w:t>
      </w:r>
      <w:bookmarkStart w:id="12" w:name="_Hlk206508299"/>
      <w:r w:rsidRPr="005147AC">
        <w:rPr>
          <w:rFonts w:cs="Times New Roman"/>
          <w:lang w:val="fr-CA"/>
        </w:rPr>
        <w:t xml:space="preserve">continuation de la privation de liberté » </w:t>
      </w:r>
      <w:bookmarkEnd w:id="12"/>
      <w:r w:rsidRPr="005147AC">
        <w:rPr>
          <w:rFonts w:cs="Times New Roman"/>
          <w:lang w:val="fr-CA"/>
        </w:rPr>
        <w:t>(p. 464). Le présent pourvoi porte sur la troisième catégorie, une « continuation » de la privation de liberté. On trouve des exemples de continuation de la privation de liberté — tant dans le contexte carcéral qu’en dehors de celui</w:t>
      </w:r>
      <w:r w:rsidRPr="005147AC">
        <w:rPr>
          <w:rFonts w:cs="Times New Roman"/>
          <w:lang w:val="fr-CA"/>
        </w:rPr>
        <w:noBreakHyphen/>
        <w:t xml:space="preserve">ci — dans les affaires </w:t>
      </w:r>
      <w:r w:rsidRPr="005147AC">
        <w:rPr>
          <w:rFonts w:cs="Times New Roman"/>
          <w:i/>
          <w:lang w:val="fr-CA"/>
        </w:rPr>
        <w:t>Chhina</w:t>
      </w:r>
      <w:r w:rsidRPr="005147AC">
        <w:rPr>
          <w:rFonts w:cs="Times New Roman"/>
          <w:lang w:val="fr-CA"/>
        </w:rPr>
        <w:t xml:space="preserve"> et </w:t>
      </w:r>
      <w:r w:rsidRPr="005147AC">
        <w:rPr>
          <w:rFonts w:cs="Times New Roman"/>
          <w:i/>
          <w:lang w:val="fr-CA"/>
        </w:rPr>
        <w:t>Cardinal</w:t>
      </w:r>
      <w:r w:rsidRPr="005147AC">
        <w:rPr>
          <w:rFonts w:cs="Times New Roman"/>
          <w:lang w:val="fr-CA"/>
        </w:rPr>
        <w:t xml:space="preserve">, où la détention initiale était légale, mais était devenue illégale en raison de sa durée </w:t>
      </w:r>
      <w:r w:rsidRPr="005147AC">
        <w:rPr>
          <w:rFonts w:cs="Times New Roman"/>
          <w:lang w:val="fr-CA"/>
        </w:rPr>
        <w:lastRenderedPageBreak/>
        <w:t xml:space="preserve">prolongée ou incertaine. Comme notre Cour l’a confirmé dans </w:t>
      </w:r>
      <w:r w:rsidRPr="005147AC">
        <w:rPr>
          <w:rFonts w:cs="Times New Roman"/>
          <w:i/>
          <w:lang w:val="fr-CA"/>
        </w:rPr>
        <w:t>Dumas</w:t>
      </w:r>
      <w:r w:rsidRPr="005147AC">
        <w:rPr>
          <w:rFonts w:cs="Times New Roman"/>
          <w:lang w:val="fr-CA"/>
        </w:rPr>
        <w:t xml:space="preserve">, </w:t>
      </w:r>
      <w:bookmarkStart w:id="13" w:name="_Hlk197368551"/>
      <w:r w:rsidRPr="005147AC">
        <w:rPr>
          <w:rFonts w:cs="Times New Roman"/>
          <w:lang w:val="fr-CA"/>
        </w:rPr>
        <w:t>la continuation d’une privation de liberté légale au départ ne peut être contestée par voie d’</w:t>
      </w:r>
      <w:r w:rsidRPr="005147AC">
        <w:rPr>
          <w:rFonts w:cs="Times New Roman"/>
          <w:i/>
          <w:lang w:val="fr-CA"/>
        </w:rPr>
        <w:t>habeas corpus</w:t>
      </w:r>
      <w:r w:rsidRPr="005147AC">
        <w:rPr>
          <w:rFonts w:cs="Times New Roman"/>
          <w:lang w:val="fr-CA"/>
        </w:rPr>
        <w:t xml:space="preserve"> que si elle devient illégale </w:t>
      </w:r>
      <w:bookmarkEnd w:id="13"/>
      <w:r w:rsidRPr="005147AC">
        <w:rPr>
          <w:rFonts w:cs="Times New Roman"/>
          <w:lang w:val="fr-CA"/>
        </w:rPr>
        <w:t>(</w:t>
      </w:r>
      <w:r w:rsidRPr="005147AC">
        <w:rPr>
          <w:rFonts w:cs="Times New Roman"/>
          <w:i/>
          <w:lang w:val="fr-CA"/>
        </w:rPr>
        <w:t>ibid.</w:t>
      </w:r>
      <w:r w:rsidRPr="005147AC">
        <w:rPr>
          <w:rFonts w:cs="Times New Roman"/>
          <w:lang w:val="fr-CA"/>
        </w:rPr>
        <w:t xml:space="preserve">). La troisième catégorie de l’arrêt </w:t>
      </w:r>
      <w:r w:rsidRPr="005147AC">
        <w:rPr>
          <w:rFonts w:cs="Times New Roman"/>
          <w:i/>
          <w:lang w:val="fr-CA"/>
        </w:rPr>
        <w:t>Dumas</w:t>
      </w:r>
      <w:r w:rsidRPr="005147AC">
        <w:rPr>
          <w:rFonts w:cs="Times New Roman"/>
          <w:lang w:val="fr-CA"/>
        </w:rPr>
        <w:t xml:space="preserve"> est examinée en fonction de la durée, contrairement aux première et deuxième catégories, qui sont fondées sur un changement soudain dans le statu quo.</w:t>
      </w:r>
    </w:p>
    <w:p w14:paraId="0924C37D" w14:textId="77777777" w:rsidR="005147AC" w:rsidRPr="005147AC" w:rsidRDefault="005147AC" w:rsidP="005147AC">
      <w:pPr>
        <w:pStyle w:val="ParaNoNdepar-AltN"/>
        <w:rPr>
          <w:rFonts w:cs="Times New Roman"/>
          <w:lang w:val="fr-CA"/>
        </w:rPr>
      </w:pPr>
      <w:r w:rsidRPr="005147AC">
        <w:rPr>
          <w:rFonts w:cs="Times New Roman"/>
          <w:lang w:val="fr-CA"/>
        </w:rPr>
        <w:t>Je signale que ces catégories ne sont pas exhaustives</w:t>
      </w:r>
      <w:r w:rsidRPr="005147AC">
        <w:rPr>
          <w:rFonts w:cs="Times New Roman"/>
          <w:lang w:val="fr-CA" w:bidi="en-US"/>
        </w:rPr>
        <w:t>, mais qu’elles sont utiles « pour déterminer la nature d’une remise en cause relativement à une privation de liberté fondée sur des motifs indépendants de ceux qui sous</w:t>
      </w:r>
      <w:r w:rsidRPr="005147AC">
        <w:rPr>
          <w:rFonts w:cs="Times New Roman"/>
          <w:lang w:val="fr-CA" w:bidi="en-US"/>
        </w:rPr>
        <w:noBreakHyphen/>
        <w:t>tendaient l’ordonnance initiale »</w:t>
      </w:r>
      <w:r w:rsidRPr="005147AC">
        <w:rPr>
          <w:rFonts w:cs="Times New Roman"/>
          <w:lang w:val="fr-CA"/>
        </w:rPr>
        <w:t xml:space="preserve"> (</w:t>
      </w:r>
      <w:r w:rsidRPr="005147AC">
        <w:rPr>
          <w:rFonts w:cs="Times New Roman"/>
          <w:i/>
          <w:lang w:val="fr-CA"/>
        </w:rPr>
        <w:t>Chhina</w:t>
      </w:r>
      <w:r w:rsidRPr="005147AC">
        <w:rPr>
          <w:rFonts w:cs="Times New Roman"/>
          <w:lang w:val="fr-CA"/>
        </w:rPr>
        <w:t>, par. 23). Notre Cour a appliqué ces catégories de façon large pour définir un type particulier de privation de liberté, mais la question de savoir s’il y a eu privation de liberté doit toujours être analysée d’un point de vue qualitatif (</w:t>
      </w:r>
      <w:r w:rsidRPr="005147AC">
        <w:rPr>
          <w:rFonts w:cs="Times New Roman"/>
          <w:i/>
          <w:lang w:val="fr-CA"/>
        </w:rPr>
        <w:t>R. c. Gamble</w:t>
      </w:r>
      <w:r w:rsidRPr="005147AC">
        <w:rPr>
          <w:rFonts w:cs="Times New Roman"/>
          <w:lang w:val="fr-CA"/>
        </w:rPr>
        <w:t xml:space="preserve">, [1988] 2 R.C.S. 595, p. 644). Comme il est indiqué dans l’arrêt </w:t>
      </w:r>
      <w:r w:rsidRPr="005147AC">
        <w:rPr>
          <w:rFonts w:cs="Times New Roman"/>
          <w:i/>
          <w:lang w:val="fr-CA"/>
        </w:rPr>
        <w:t>Gamble</w:t>
      </w:r>
      <w:r w:rsidRPr="005147AC">
        <w:rPr>
          <w:rFonts w:cs="Times New Roman"/>
          <w:lang w:val="fr-CA"/>
        </w:rPr>
        <w:t>, les distinctions concernant la possibilité d’un contrôle par voie d’</w:t>
      </w:r>
      <w:r w:rsidRPr="005147AC">
        <w:rPr>
          <w:rFonts w:cs="Times New Roman"/>
          <w:i/>
          <w:lang w:val="fr-CA"/>
        </w:rPr>
        <w:t>habeas corpus</w:t>
      </w:r>
      <w:r w:rsidRPr="005147AC">
        <w:rPr>
          <w:rFonts w:cs="Times New Roman"/>
          <w:lang w:val="fr-CA" w:bidi="en-US"/>
        </w:rPr>
        <w:t xml:space="preserve"> qui sont « obscures, formalistes, artificielles et surtout qui plus est ne tiennent aucun compte de l’objet visé devraient être rejetées » </w:t>
      </w:r>
      <w:r w:rsidRPr="005147AC">
        <w:rPr>
          <w:rFonts w:cs="Times New Roman"/>
          <w:lang w:val="fr-CA"/>
        </w:rPr>
        <w:t>(p. 640).</w:t>
      </w:r>
    </w:p>
    <w:p w14:paraId="626C3999" w14:textId="77777777" w:rsidR="005147AC" w:rsidRPr="005147AC" w:rsidRDefault="005147AC" w:rsidP="005147AC">
      <w:pPr>
        <w:pStyle w:val="ParaNoNdepar-AltN"/>
        <w:rPr>
          <w:rFonts w:cs="Times New Roman"/>
          <w:i/>
          <w:lang w:val="fr-CA"/>
        </w:rPr>
      </w:pPr>
      <w:r w:rsidRPr="005147AC">
        <w:rPr>
          <w:rFonts w:cs="Times New Roman"/>
          <w:lang w:val="fr-CA"/>
        </w:rPr>
        <w:t xml:space="preserve">Dans le contexte carcéral, une privation de liberté est toujours relative, faisant souvent entrer en ligne de compte diverses restrictions à la liberté résiduelle du détenu. Comme il est souligné dans l’arrêt </w:t>
      </w:r>
      <w:r w:rsidRPr="005147AC">
        <w:rPr>
          <w:rFonts w:cs="Times New Roman"/>
          <w:i/>
          <w:lang w:val="fr-CA"/>
        </w:rPr>
        <w:t>Miller</w:t>
      </w:r>
      <w:r w:rsidRPr="005147AC">
        <w:rPr>
          <w:rFonts w:cs="Times New Roman"/>
          <w:lang w:val="fr-CA"/>
        </w:rPr>
        <w:t xml:space="preserve">, « un prisonnier a le droit de ne pas être privé illégalement de la liberté </w:t>
      </w:r>
      <w:r w:rsidRPr="005147AC">
        <w:rPr>
          <w:rFonts w:cs="Times New Roman"/>
          <w:i/>
          <w:iCs/>
          <w:lang w:val="fr-CA"/>
        </w:rPr>
        <w:t>relative ou résiduelle</w:t>
      </w:r>
      <w:r w:rsidRPr="005147AC">
        <w:rPr>
          <w:rFonts w:cs="Times New Roman"/>
          <w:lang w:val="fr-CA"/>
        </w:rPr>
        <w:t xml:space="preserve"> accordée à la population carcérale générale d’un établissement » (p. 637 (je souligne)). </w:t>
      </w:r>
    </w:p>
    <w:p w14:paraId="6CEA7C58" w14:textId="77777777" w:rsidR="005147AC" w:rsidRPr="005147AC" w:rsidRDefault="005147AC" w:rsidP="005147AC">
      <w:pPr>
        <w:pStyle w:val="ParaNoNdepar-AltN"/>
        <w:rPr>
          <w:rFonts w:cs="Times New Roman"/>
          <w:i/>
          <w:lang w:val="fr-CA"/>
        </w:rPr>
      </w:pPr>
      <w:r w:rsidRPr="005147AC">
        <w:rPr>
          <w:rFonts w:cs="Times New Roman"/>
          <w:lang w:val="fr-CA"/>
        </w:rPr>
        <w:lastRenderedPageBreak/>
        <w:t>Pour établir le premier élément d’une requête en</w:t>
      </w:r>
      <w:r w:rsidRPr="005147AC">
        <w:rPr>
          <w:rFonts w:cs="Times New Roman"/>
          <w:i/>
          <w:lang w:val="fr-CA"/>
        </w:rPr>
        <w:t xml:space="preserve"> habeas corpus</w:t>
      </w:r>
      <w:r w:rsidRPr="005147AC">
        <w:rPr>
          <w:rFonts w:cs="Times New Roman"/>
          <w:lang w:val="fr-CA"/>
        </w:rPr>
        <w:t xml:space="preserve">, le détenu doit donc prouver que ses conditions actuelles de détention restreignent davantage sa liberté que les conditions dans lesquelles il devrait selon lui être incarcéré. Par exemple, le détenu placé en isolement se voit privé de sa liberté </w:t>
      </w:r>
      <w:r w:rsidRPr="005147AC">
        <w:rPr>
          <w:rFonts w:cs="Times New Roman"/>
          <w:i/>
          <w:iCs/>
          <w:lang w:val="fr-CA"/>
        </w:rPr>
        <w:t>par rapport</w:t>
      </w:r>
      <w:r w:rsidRPr="005147AC">
        <w:rPr>
          <w:rFonts w:cs="Times New Roman"/>
          <w:lang w:val="fr-CA"/>
        </w:rPr>
        <w:t xml:space="preserve"> aux détenus qui ne sont pas en isolement. La jurisprudence reconnaît maintenant certaines disparités évidentes entre les divers modes de détention, comme le placement en isolement cellulaire par rapport à la population générale et les restrictions à la liberté selon le niveau de sécurité de l’établissement, c’est</w:t>
      </w:r>
      <w:r w:rsidRPr="005147AC">
        <w:rPr>
          <w:rFonts w:cs="Times New Roman"/>
          <w:lang w:val="fr-CA"/>
        </w:rPr>
        <w:noBreakHyphen/>
        <w:t>à</w:t>
      </w:r>
      <w:r w:rsidRPr="005147AC">
        <w:rPr>
          <w:rFonts w:cs="Times New Roman"/>
          <w:lang w:val="fr-CA"/>
        </w:rPr>
        <w:noBreakHyphen/>
        <w:t xml:space="preserve">dire selon que le détenu est incarcéré dans un établissement fédéral à sécurité minimale, moyenne ou maximale (voir, p. ex., </w:t>
      </w:r>
      <w:r w:rsidRPr="005147AC">
        <w:rPr>
          <w:rFonts w:cs="Times New Roman"/>
          <w:i/>
          <w:lang w:val="fr-CA"/>
        </w:rPr>
        <w:t>Cardinal</w:t>
      </w:r>
      <w:r w:rsidRPr="005147AC">
        <w:rPr>
          <w:rFonts w:cs="Times New Roman"/>
          <w:lang w:val="fr-CA"/>
        </w:rPr>
        <w:t>,</w:t>
      </w:r>
      <w:r w:rsidRPr="005147AC">
        <w:rPr>
          <w:rFonts w:cs="Times New Roman"/>
          <w:i/>
          <w:lang w:val="fr-CA"/>
        </w:rPr>
        <w:t xml:space="preserve"> May </w:t>
      </w:r>
      <w:r w:rsidRPr="005147AC">
        <w:rPr>
          <w:rFonts w:cs="Times New Roman"/>
          <w:iCs/>
          <w:lang w:val="fr-CA"/>
        </w:rPr>
        <w:t>et</w:t>
      </w:r>
      <w:r w:rsidRPr="005147AC">
        <w:rPr>
          <w:rFonts w:cs="Times New Roman"/>
          <w:lang w:val="fr-CA"/>
        </w:rPr>
        <w:t xml:space="preserve"> </w:t>
      </w:r>
      <w:r w:rsidRPr="005147AC">
        <w:rPr>
          <w:rFonts w:cs="Times New Roman"/>
          <w:i/>
          <w:lang w:val="fr-CA"/>
        </w:rPr>
        <w:t>Khela</w:t>
      </w:r>
      <w:r w:rsidRPr="005147AC">
        <w:rPr>
          <w:rFonts w:cs="Times New Roman"/>
          <w:lang w:val="fr-CA"/>
        </w:rPr>
        <w:t xml:space="preserve">). </w:t>
      </w:r>
    </w:p>
    <w:p w14:paraId="7AB12D08" w14:textId="77777777" w:rsidR="005147AC" w:rsidRPr="005147AC" w:rsidRDefault="005147AC" w:rsidP="005147AC">
      <w:pPr>
        <w:pStyle w:val="ParaNoNdepar-AltN"/>
        <w:rPr>
          <w:rFonts w:cs="Times New Roman"/>
          <w:i/>
          <w:lang w:val="fr-CA"/>
        </w:rPr>
      </w:pPr>
      <w:r w:rsidRPr="005147AC">
        <w:rPr>
          <w:rFonts w:cs="Times New Roman"/>
          <w:lang w:val="fr-CA"/>
        </w:rPr>
        <w:t>La raison d’être du bref d’</w:t>
      </w:r>
      <w:r w:rsidRPr="005147AC">
        <w:rPr>
          <w:rFonts w:cs="Times New Roman"/>
          <w:i/>
          <w:lang w:val="fr-CA"/>
        </w:rPr>
        <w:t>habeas corpus</w:t>
      </w:r>
      <w:r w:rsidRPr="005147AC">
        <w:rPr>
          <w:rFonts w:cs="Times New Roman"/>
          <w:lang w:val="fr-CA"/>
        </w:rPr>
        <w:t xml:space="preserve"> est de libérer une personne d’une privation illégale de sa liberté. Il faut se garder de perdre de vue cet objectif. La première étape consiste à écarter les demandes frivoles dans les cas où il n’y a pas de différence qualitative au chapitre de la liberté entre deux modes de détention. Toutes les requêtes en </w:t>
      </w:r>
      <w:r w:rsidRPr="005147AC">
        <w:rPr>
          <w:rFonts w:cs="Times New Roman"/>
          <w:i/>
          <w:lang w:val="fr-CA"/>
        </w:rPr>
        <w:t>habeas corpus</w:t>
      </w:r>
      <w:r w:rsidRPr="005147AC">
        <w:rPr>
          <w:rFonts w:cs="Times New Roman"/>
          <w:iCs/>
          <w:lang w:val="fr-CA"/>
        </w:rPr>
        <w:t>,</w:t>
      </w:r>
      <w:r w:rsidRPr="005147AC">
        <w:rPr>
          <w:rFonts w:cs="Times New Roman"/>
          <w:lang w:val="fr-CA"/>
        </w:rPr>
        <w:t xml:space="preserve"> quelle que soit la catégorie de l’arrêt </w:t>
      </w:r>
      <w:r w:rsidRPr="005147AC">
        <w:rPr>
          <w:rFonts w:cs="Times New Roman"/>
          <w:i/>
          <w:lang w:val="fr-CA"/>
        </w:rPr>
        <w:t xml:space="preserve">Dumas </w:t>
      </w:r>
      <w:r w:rsidRPr="005147AC">
        <w:rPr>
          <w:rFonts w:cs="Times New Roman"/>
          <w:lang w:val="fr-CA"/>
        </w:rPr>
        <w:t>à laquelle elles appartiennent, sont soumises à un filtrage supplémentaire à la deuxième étape. Le détenu doit invoquer un motif légitime de remettre en question la légalité de la privation de sa liberté.</w:t>
      </w:r>
    </w:p>
    <w:p w14:paraId="7A198FDA" w14:textId="77777777" w:rsidR="005147AC" w:rsidRPr="005147AC" w:rsidRDefault="005147AC" w:rsidP="005147AC">
      <w:pPr>
        <w:pStyle w:val="Title3LevelTitre3Niveau"/>
        <w:numPr>
          <w:ilvl w:val="2"/>
          <w:numId w:val="8"/>
        </w:numPr>
        <w:ind w:left="1156" w:hanging="578"/>
        <w:jc w:val="both"/>
        <w:rPr>
          <w:rFonts w:cs="Times New Roman"/>
          <w:lang w:val="fr-CA"/>
        </w:rPr>
      </w:pPr>
      <w:r w:rsidRPr="005147AC">
        <w:rPr>
          <w:rFonts w:cs="Times New Roman"/>
          <w:lang w:val="fr-CA"/>
        </w:rPr>
        <w:t>Deuxième étape : motif légitime de remettre en question la légalité de la privation de liberté</w:t>
      </w:r>
    </w:p>
    <w:p w14:paraId="41B09974"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Une fois que le requérant a démontré qu’il a été privé de sa liberté, il doit ensuite invoquer un motif légitime lui permettant de remettre en question la légalité de sa privation de liberté actuelle. Pour que la détention soit légale, le décideur doit être habilité à l’ordonner, le processus décisionnel doit être équitable sur le plan procédural, et la décision de mise en détention doit être à la fois raisonnable et conforme à la </w:t>
      </w:r>
      <w:r w:rsidRPr="005147AC">
        <w:rPr>
          <w:rFonts w:cs="Times New Roman"/>
          <w:i/>
          <w:lang w:val="fr-CA"/>
        </w:rPr>
        <w:t>Charte</w:t>
      </w:r>
      <w:r w:rsidRPr="005147AC">
        <w:rPr>
          <w:rFonts w:cs="Times New Roman"/>
          <w:lang w:val="fr-CA"/>
        </w:rPr>
        <w:t xml:space="preserve"> (</w:t>
      </w:r>
      <w:r w:rsidRPr="005147AC">
        <w:rPr>
          <w:rFonts w:cs="Times New Roman"/>
          <w:i/>
          <w:lang w:val="fr-CA"/>
        </w:rPr>
        <w:t>Chhina</w:t>
      </w:r>
      <w:r w:rsidRPr="005147AC">
        <w:rPr>
          <w:rFonts w:cs="Times New Roman"/>
          <w:lang w:val="fr-CA"/>
        </w:rPr>
        <w:t>,</w:t>
      </w:r>
      <w:r w:rsidRPr="005147AC">
        <w:rPr>
          <w:rFonts w:cs="Times New Roman"/>
          <w:i/>
          <w:lang w:val="fr-CA"/>
        </w:rPr>
        <w:t xml:space="preserve"> </w:t>
      </w:r>
      <w:r w:rsidRPr="005147AC">
        <w:rPr>
          <w:rFonts w:cs="Times New Roman"/>
          <w:lang w:val="fr-CA"/>
        </w:rPr>
        <w:t>par. 17; May, par. 77). Est déraisonnable la détention arbitraire ou celle qui ne s’appuie pas sur une preuve suffisante (</w:t>
      </w:r>
      <w:r w:rsidRPr="005147AC">
        <w:rPr>
          <w:rFonts w:cs="Times New Roman"/>
          <w:i/>
          <w:lang w:val="fr-CA"/>
        </w:rPr>
        <w:t>Khela</w:t>
      </w:r>
      <w:r w:rsidRPr="005147AC">
        <w:rPr>
          <w:rFonts w:cs="Times New Roman"/>
          <w:lang w:val="fr-CA"/>
        </w:rPr>
        <w:t>,</w:t>
      </w:r>
      <w:r w:rsidRPr="005147AC">
        <w:rPr>
          <w:rFonts w:cs="Times New Roman"/>
          <w:i/>
          <w:lang w:val="fr-CA"/>
        </w:rPr>
        <w:t xml:space="preserve"> </w:t>
      </w:r>
      <w:r w:rsidRPr="005147AC">
        <w:rPr>
          <w:rFonts w:cs="Times New Roman"/>
          <w:lang w:val="fr-CA"/>
        </w:rPr>
        <w:t xml:space="preserve">par. 67). </w:t>
      </w:r>
    </w:p>
    <w:p w14:paraId="2EFBC957" w14:textId="77777777" w:rsidR="005147AC" w:rsidRPr="005147AC" w:rsidRDefault="005147AC" w:rsidP="005147AC">
      <w:pPr>
        <w:pStyle w:val="ParaNoNdepar-AltN"/>
        <w:rPr>
          <w:rFonts w:cs="Times New Roman"/>
          <w:lang w:val="fr-CA"/>
        </w:rPr>
      </w:pPr>
      <w:bookmarkStart w:id="14" w:name="_Hlk204350303"/>
      <w:bookmarkStart w:id="15" w:name="_Hlk204763929"/>
      <w:r w:rsidRPr="005147AC">
        <w:rPr>
          <w:rFonts w:cs="Times New Roman"/>
          <w:lang w:val="fr-CA"/>
        </w:rPr>
        <w:t xml:space="preserve">En ce qui concerne la deuxième étape, le </w:t>
      </w:r>
      <w:bookmarkEnd w:id="14"/>
      <w:r w:rsidRPr="005147AC">
        <w:rPr>
          <w:rFonts w:cs="Times New Roman"/>
          <w:lang w:val="fr-CA"/>
        </w:rPr>
        <w:t xml:space="preserve">requérant doit établir le fondement des motifs d’illégalité qu’il invoque. Cela signifie qu’à titre préliminaire, les allégations et les motifs invoqués par le requérant doivent révéler l’existence d’un fondement dans les faits ou en droit qui permettrait au tribunal de conclure que la continuation de la privation de liberté est illégale (voir </w:t>
      </w:r>
      <w:r w:rsidRPr="005147AC">
        <w:rPr>
          <w:rFonts w:cs="Times New Roman"/>
          <w:i/>
          <w:lang w:val="fr-CA"/>
        </w:rPr>
        <w:t>Khela</w:t>
      </w:r>
      <w:r w:rsidRPr="005147AC">
        <w:rPr>
          <w:rFonts w:cs="Times New Roman"/>
          <w:lang w:val="fr-CA"/>
        </w:rPr>
        <w:t xml:space="preserve">, par. 41; </w:t>
      </w:r>
      <w:r w:rsidRPr="005147AC">
        <w:rPr>
          <w:rFonts w:cs="Times New Roman"/>
          <w:i/>
          <w:lang w:val="fr-CA"/>
        </w:rPr>
        <w:t>May</w:t>
      </w:r>
      <w:r w:rsidRPr="005147AC">
        <w:rPr>
          <w:rFonts w:cs="Times New Roman"/>
          <w:lang w:val="fr-CA"/>
        </w:rPr>
        <w:t>, par. 33).</w:t>
      </w:r>
    </w:p>
    <w:p w14:paraId="0C67CC0D" w14:textId="77777777" w:rsidR="005147AC" w:rsidRPr="005147AC" w:rsidRDefault="005147AC" w:rsidP="005147AC">
      <w:pPr>
        <w:pStyle w:val="ParaNoNdepar-AltN"/>
        <w:rPr>
          <w:rFonts w:cs="Times New Roman"/>
          <w:lang w:val="fr-CA"/>
        </w:rPr>
      </w:pPr>
      <w:r w:rsidRPr="005147AC">
        <w:rPr>
          <w:rFonts w:cs="Times New Roman"/>
          <w:lang w:val="fr-CA"/>
        </w:rPr>
        <w:t>Il convient de rappeler que le bref d’</w:t>
      </w:r>
      <w:r w:rsidRPr="005147AC">
        <w:rPr>
          <w:rFonts w:cs="Times New Roman"/>
          <w:i/>
          <w:lang w:val="fr-CA"/>
        </w:rPr>
        <w:t>habeas corpus</w:t>
      </w:r>
      <w:r w:rsidRPr="005147AC">
        <w:rPr>
          <w:rFonts w:cs="Times New Roman"/>
          <w:lang w:val="fr-CA"/>
        </w:rPr>
        <w:t xml:space="preserve"> n’est pas une mesure discrétionnaire, en ce sens que « </w:t>
      </w:r>
      <w:r w:rsidRPr="005147AC">
        <w:rPr>
          <w:rFonts w:cs="Times New Roman"/>
          <w:lang w:val="fr-CA" w:bidi="en-US"/>
        </w:rPr>
        <w:t xml:space="preserve">l’affaire </w:t>
      </w:r>
      <w:r w:rsidRPr="005147AC">
        <w:rPr>
          <w:rFonts w:cs="Times New Roman"/>
          <w:i/>
          <w:iCs/>
          <w:lang w:val="fr-CA" w:bidi="en-US"/>
        </w:rPr>
        <w:t>doit</w:t>
      </w:r>
      <w:r w:rsidRPr="005147AC">
        <w:rPr>
          <w:rFonts w:cs="Times New Roman"/>
          <w:lang w:val="fr-CA" w:bidi="en-US"/>
        </w:rPr>
        <w:t xml:space="preserve"> être entendue dès lors que le détenu avance quelque fondement permettant de conclure à l’illégalité de la détention »</w:t>
      </w:r>
      <w:r w:rsidRPr="005147AC">
        <w:rPr>
          <w:rFonts w:cs="Times New Roman"/>
          <w:lang w:val="fr-CA"/>
        </w:rPr>
        <w:t xml:space="preserve"> (</w:t>
      </w:r>
      <w:r w:rsidRPr="005147AC">
        <w:rPr>
          <w:rFonts w:cs="Times New Roman"/>
          <w:i/>
          <w:lang w:val="fr-CA"/>
        </w:rPr>
        <w:t>Khela</w:t>
      </w:r>
      <w:r w:rsidRPr="005147AC">
        <w:rPr>
          <w:rFonts w:cs="Times New Roman"/>
          <w:lang w:val="fr-CA"/>
        </w:rPr>
        <w:t xml:space="preserve">, par. 41 (en italique dans l’original)). Par conséquent, si le détenu </w:t>
      </w:r>
      <w:r w:rsidRPr="005147AC">
        <w:rPr>
          <w:rFonts w:cs="Times New Roman"/>
          <w:smallCaps/>
          <w:lang w:val="fr-CA"/>
        </w:rPr>
        <w:t>[traduction]</w:t>
      </w:r>
      <w:r w:rsidRPr="005147AC">
        <w:rPr>
          <w:rFonts w:cs="Times New Roman"/>
          <w:lang w:val="fr-CA"/>
        </w:rPr>
        <w:t xml:space="preserve"> « </w:t>
      </w:r>
      <w:r w:rsidRPr="005147AC">
        <w:rPr>
          <w:rFonts w:cs="Times New Roman"/>
          <w:lang w:val="fr-CA" w:bidi="en-US"/>
        </w:rPr>
        <w:t>soulève une question défendable, le pouvoir discrétionnaire est exclu : l’affaire devrait être instruite pour qu’une décision complète et appropriée puisse être rendue »</w:t>
      </w:r>
      <w:r w:rsidRPr="005147AC">
        <w:rPr>
          <w:rFonts w:cs="Times New Roman"/>
          <w:lang w:val="fr-CA"/>
        </w:rPr>
        <w:t xml:space="preserve"> (Farbey et Sharpe, p. 53).</w:t>
      </w:r>
    </w:p>
    <w:p w14:paraId="050BC01B" w14:textId="77777777" w:rsidR="005147AC" w:rsidRPr="005147AC" w:rsidRDefault="005147AC" w:rsidP="005147AC">
      <w:pPr>
        <w:pStyle w:val="ParaNoNdepar-AltN"/>
        <w:rPr>
          <w:rFonts w:cs="Times New Roman"/>
          <w:lang w:val="fr-CA"/>
        </w:rPr>
      </w:pPr>
      <w:r w:rsidRPr="005147AC">
        <w:rPr>
          <w:rFonts w:cs="Times New Roman"/>
          <w:lang w:val="fr-CA"/>
        </w:rPr>
        <w:t xml:space="preserve">Au départ, les deux appelants ont demandé réparation conformément à la </w:t>
      </w:r>
      <w:r w:rsidRPr="005147AC">
        <w:rPr>
          <w:rFonts w:cs="Times New Roman"/>
          <w:i/>
          <w:lang w:val="fr-CA"/>
        </w:rPr>
        <w:t>Loi sur l’habeas corpus</w:t>
      </w:r>
      <w:r w:rsidRPr="005147AC">
        <w:rPr>
          <w:rFonts w:cs="Times New Roman"/>
          <w:lang w:val="fr-CA"/>
        </w:rPr>
        <w:t xml:space="preserve">, L.R.O. 1990, c. H.1, de l’Ontario. Je dois souligner que le </w:t>
      </w:r>
      <w:r w:rsidRPr="005147AC">
        <w:rPr>
          <w:rFonts w:cs="Times New Roman"/>
          <w:lang w:val="fr-CA"/>
        </w:rPr>
        <w:lastRenderedPageBreak/>
        <w:t>par. 1(1) de la Loi exige des « </w:t>
      </w:r>
      <w:r w:rsidRPr="005147AC">
        <w:rPr>
          <w:rFonts w:cs="Times New Roman"/>
          <w:shd w:val="clear" w:color="auto" w:fill="FFFFFF"/>
          <w:lang w:val="fr-CA"/>
        </w:rPr>
        <w:t>motifs raisonnables et probables justifiant la plainte</w:t>
      </w:r>
      <w:r w:rsidRPr="005147AC">
        <w:rPr>
          <w:rFonts w:cs="Times New Roman"/>
          <w:lang w:val="fr-CA"/>
        </w:rPr>
        <w:t xml:space="preserve"> » plutôt que d’exiger un « motif légitime » de remettre en question la légalité de la privation de liberté. Notre Cour n’est pas saisie de la question de savoir si ces exigences diffèrent sur le plan conceptuel, ou imposent un fardeau différent au requérant. Il n’est donc pas nécessaire de se livrer à une analyse technique des répercussions de cette différence linguistique pour trancher le présent pourvoi. Puisque ni l’une ni l’autre des parties n’a présenté d’arguments à ce sujet, je m’abstiendrai de faire d’autres commentaires. </w:t>
      </w:r>
    </w:p>
    <w:bookmarkEnd w:id="15"/>
    <w:p w14:paraId="2ED573D2" w14:textId="77777777" w:rsidR="005147AC" w:rsidRPr="005147AC" w:rsidRDefault="005147AC" w:rsidP="005147AC">
      <w:pPr>
        <w:pStyle w:val="Title3LevelTitre3Niveau"/>
        <w:numPr>
          <w:ilvl w:val="2"/>
          <w:numId w:val="8"/>
        </w:numPr>
        <w:ind w:left="1156" w:hanging="578"/>
        <w:jc w:val="both"/>
        <w:rPr>
          <w:rFonts w:cs="Times New Roman"/>
          <w:lang w:val="fr-CA"/>
        </w:rPr>
      </w:pPr>
      <w:r w:rsidRPr="005147AC">
        <w:rPr>
          <w:rFonts w:cs="Times New Roman"/>
          <w:lang w:val="fr-CA"/>
        </w:rPr>
        <w:t xml:space="preserve">Troisième étape : attribution du fardeau de la preuve aux autorités correctionnelles qui doivent justifier la détention </w:t>
      </w:r>
    </w:p>
    <w:p w14:paraId="4DC918FA" w14:textId="77777777" w:rsidR="005147AC" w:rsidRPr="005147AC" w:rsidRDefault="005147AC" w:rsidP="005147AC">
      <w:pPr>
        <w:pStyle w:val="ParaNoNdepar-AltN"/>
        <w:rPr>
          <w:rFonts w:cs="Times New Roman"/>
          <w:lang w:val="fr-CA"/>
        </w:rPr>
      </w:pPr>
      <w:r w:rsidRPr="005147AC">
        <w:rPr>
          <w:rFonts w:cs="Times New Roman"/>
          <w:lang w:val="fr-CA"/>
        </w:rPr>
        <w:t xml:space="preserve">Une fois que le requérant s’est acquitté du fardeau de (1) démontrer qu’il a été privé de sa liberté et de (2) de soulever un motif légitime de remettre en question la légalité de cette privation, c’est à l’autorité qui le détient que revient le fardeau de prouver la légalité de la privation. </w:t>
      </w:r>
    </w:p>
    <w:p w14:paraId="36D018EB" w14:textId="77777777" w:rsidR="005147AC" w:rsidRPr="005147AC" w:rsidRDefault="005147AC" w:rsidP="005147AC">
      <w:pPr>
        <w:pStyle w:val="ParaNoNdepar-AltN"/>
        <w:rPr>
          <w:rFonts w:cs="Times New Roman"/>
          <w:lang w:val="fr-CA"/>
        </w:rPr>
      </w:pPr>
      <w:r w:rsidRPr="005147AC">
        <w:rPr>
          <w:rFonts w:cs="Times New Roman"/>
          <w:lang w:val="fr-CA"/>
        </w:rPr>
        <w:t>Bien que le présent pourvoi porte uniquement sur la possibilité de recourir à l’</w:t>
      </w:r>
      <w:r w:rsidRPr="005147AC">
        <w:rPr>
          <w:rFonts w:cs="Times New Roman"/>
          <w:i/>
          <w:lang w:val="fr-CA"/>
        </w:rPr>
        <w:t xml:space="preserve">habeas corpus </w:t>
      </w:r>
      <w:r w:rsidRPr="005147AC">
        <w:rPr>
          <w:rFonts w:cs="Times New Roman"/>
          <w:lang w:val="fr-CA"/>
        </w:rPr>
        <w:t>en cas de refus d’une demande de modification d’une cote de sécurité, je constate, en ce qui concerne le bien</w:t>
      </w:r>
      <w:r w:rsidRPr="005147AC">
        <w:rPr>
          <w:rFonts w:cs="Times New Roman"/>
          <w:lang w:val="fr-CA"/>
        </w:rPr>
        <w:noBreakHyphen/>
        <w:t xml:space="preserve">fondé ultime, qu’il appartient au juge de première instance de déterminer si une violation particulière de la </w:t>
      </w:r>
      <w:r w:rsidRPr="005147AC">
        <w:rPr>
          <w:rFonts w:cs="Times New Roman"/>
          <w:i/>
          <w:lang w:val="fr-CA"/>
        </w:rPr>
        <w:t xml:space="preserve">LSCMLC </w:t>
      </w:r>
      <w:r w:rsidRPr="005147AC">
        <w:rPr>
          <w:rFonts w:cs="Times New Roman"/>
          <w:lang w:val="fr-CA"/>
        </w:rPr>
        <w:t xml:space="preserve">est inéquitable ou si une décision est véritablement déraisonnable au vu de l’ensemble de la preuve au dossier. Comme notre Cour l’a déclaré dans l’arrêt </w:t>
      </w:r>
      <w:r w:rsidRPr="005147AC">
        <w:rPr>
          <w:rFonts w:cs="Times New Roman"/>
          <w:i/>
          <w:lang w:val="fr-CA"/>
        </w:rPr>
        <w:t>Khela</w:t>
      </w:r>
      <w:r w:rsidRPr="005147AC">
        <w:rPr>
          <w:rFonts w:cs="Times New Roman"/>
          <w:lang w:val="fr-CA"/>
        </w:rPr>
        <w:t>, « </w:t>
      </w:r>
      <w:r w:rsidRPr="005147AC">
        <w:rPr>
          <w:rFonts w:cs="Times New Roman"/>
          <w:lang w:val="fr-CA" w:bidi="en-US"/>
        </w:rPr>
        <w:t xml:space="preserve">tout manquement à la </w:t>
      </w:r>
      <w:r w:rsidRPr="005147AC">
        <w:rPr>
          <w:rFonts w:cs="Times New Roman"/>
          <w:i/>
          <w:lang w:val="fr-CA"/>
        </w:rPr>
        <w:t>LSCMLC</w:t>
      </w:r>
      <w:r w:rsidRPr="005147AC">
        <w:rPr>
          <w:rFonts w:cs="Times New Roman"/>
          <w:lang w:val="fr-CA" w:bidi="en-US"/>
        </w:rPr>
        <w:t xml:space="preserve"> ou au </w:t>
      </w:r>
      <w:r w:rsidRPr="005147AC">
        <w:rPr>
          <w:rFonts w:cs="Times New Roman"/>
          <w:i/>
          <w:lang w:val="fr-CA" w:bidi="en-US"/>
        </w:rPr>
        <w:t>RSCMLC</w:t>
      </w:r>
      <w:r w:rsidRPr="005147AC">
        <w:rPr>
          <w:rFonts w:cs="Times New Roman"/>
          <w:lang w:val="fr-CA" w:bidi="en-US"/>
        </w:rPr>
        <w:t xml:space="preserve"> n’est pas nécessairement inéquitable. [. . .] </w:t>
      </w:r>
      <w:r w:rsidRPr="005147AC">
        <w:rPr>
          <w:rFonts w:cs="Times New Roman"/>
          <w:lang w:val="fr-CA" w:bidi="en-US"/>
        </w:rPr>
        <w:lastRenderedPageBreak/>
        <w:t>[L]e juge chargé de la révision devra décider si l’erreur ou le manquement à une formalité a rendu la décision inéquitable sur le plan procédural »</w:t>
      </w:r>
      <w:r w:rsidRPr="005147AC">
        <w:rPr>
          <w:rFonts w:cs="Times New Roman"/>
          <w:lang w:val="fr-CA"/>
        </w:rPr>
        <w:t xml:space="preserve"> (par. 90). De même, une décision n’est pas déraisonnable du simple fait que certains indices tendent à indiquer le contraire, et c’est au juge de première instance, qui dispose de tout le dossier, qu’il appartient de rendre une décision globale (</w:t>
      </w:r>
      <w:r w:rsidRPr="005147AC">
        <w:rPr>
          <w:rFonts w:cs="Times New Roman"/>
          <w:i/>
          <w:lang w:val="fr-CA"/>
        </w:rPr>
        <w:t>Canada (Ministre de la Citoyenneté et de l’Immigration) c. Vavilov</w:t>
      </w:r>
      <w:r w:rsidRPr="005147AC">
        <w:rPr>
          <w:rFonts w:cs="Times New Roman"/>
          <w:lang w:val="fr-CA"/>
        </w:rPr>
        <w:t xml:space="preserve">, 2019 CSC 65, [2019] 4 R.C.S. 653, par. 102 et 105). </w:t>
      </w:r>
    </w:p>
    <w:p w14:paraId="6858D100" w14:textId="77777777" w:rsidR="005147AC" w:rsidRPr="005147AC" w:rsidRDefault="005147AC" w:rsidP="005147AC">
      <w:pPr>
        <w:pStyle w:val="Title2LevelTitre2Niveau"/>
        <w:numPr>
          <w:ilvl w:val="1"/>
          <w:numId w:val="8"/>
        </w:numPr>
        <w:ind w:left="578" w:hanging="578"/>
        <w:jc w:val="both"/>
        <w:rPr>
          <w:rFonts w:cs="Times New Roman"/>
          <w:lang w:val="fr-CA"/>
        </w:rPr>
      </w:pPr>
      <w:r w:rsidRPr="005147AC">
        <w:rPr>
          <w:rFonts w:cs="Times New Roman"/>
          <w:lang w:val="fr-CA"/>
        </w:rPr>
        <w:t xml:space="preserve">Possibilité de recourir à l’habeas corpus en cas de réévaluation de la cote de sécurité </w:t>
      </w:r>
    </w:p>
    <w:p w14:paraId="3256E0D7" w14:textId="77777777" w:rsidR="005147AC" w:rsidRPr="005147AC" w:rsidRDefault="005147AC" w:rsidP="005147AC">
      <w:pPr>
        <w:pStyle w:val="ParaNoNdepar-AltN"/>
        <w:rPr>
          <w:rFonts w:cs="Times New Roman"/>
          <w:lang w:val="fr-CA"/>
        </w:rPr>
      </w:pPr>
      <w:r w:rsidRPr="005147AC">
        <w:rPr>
          <w:rFonts w:cs="Times New Roman"/>
          <w:lang w:val="fr-CA"/>
        </w:rPr>
        <w:t>Compte tenu de ce cadre juridique, je passe maintenant à l’examen de la question de savoir si la décision de refuser d’attribuer une cote de sécurité inférieure peut faire l’objet d’un contrôle par voie d’</w:t>
      </w:r>
      <w:r w:rsidRPr="005147AC">
        <w:rPr>
          <w:rFonts w:cs="Times New Roman"/>
          <w:i/>
          <w:lang w:val="fr-CA"/>
        </w:rPr>
        <w:t>habeas corpus</w:t>
      </w:r>
      <w:r w:rsidRPr="005147AC">
        <w:rPr>
          <w:rFonts w:cs="Times New Roman"/>
          <w:lang w:val="fr-CA"/>
        </w:rPr>
        <w:t xml:space="preserve">. Comme je vais l’expliquer, une telle décision a pour effet qualitatif de restreindre la liberté. </w:t>
      </w:r>
    </w:p>
    <w:p w14:paraId="49FC6AE7" w14:textId="77777777" w:rsidR="005147AC" w:rsidRPr="005147AC" w:rsidRDefault="005147AC" w:rsidP="005147AC">
      <w:pPr>
        <w:pStyle w:val="Title3LevelTitre3Niveau"/>
        <w:numPr>
          <w:ilvl w:val="2"/>
          <w:numId w:val="8"/>
        </w:numPr>
        <w:ind w:left="1156" w:hanging="578"/>
        <w:jc w:val="both"/>
        <w:rPr>
          <w:rFonts w:cs="Times New Roman"/>
          <w:lang w:val="fr-CA"/>
        </w:rPr>
      </w:pPr>
      <w:r w:rsidRPr="005147AC">
        <w:rPr>
          <w:rFonts w:cs="Times New Roman"/>
          <w:lang w:val="fr-CA"/>
        </w:rPr>
        <w:t>Le refus d’attribuer une cote de sécurité inférieure entraîne une privation de liberté</w:t>
      </w:r>
    </w:p>
    <w:p w14:paraId="739DEEBD" w14:textId="77777777" w:rsidR="005147AC" w:rsidRPr="005147AC" w:rsidRDefault="005147AC" w:rsidP="005147AC">
      <w:pPr>
        <w:pStyle w:val="ParaNoNdepar-AltN"/>
        <w:rPr>
          <w:rFonts w:cs="Times New Roman"/>
          <w:lang w:val="fr-CA"/>
        </w:rPr>
      </w:pPr>
      <w:r w:rsidRPr="005147AC">
        <w:rPr>
          <w:rFonts w:cs="Times New Roman"/>
          <w:lang w:val="fr-CA"/>
        </w:rPr>
        <w:t xml:space="preserve">Il faut d’abord se demander si le refus d’attribuer une cote de sécurité inférieure entraîne une privation de liberté. </w:t>
      </w:r>
    </w:p>
    <w:p w14:paraId="0CDCCC2A" w14:textId="77777777" w:rsidR="005147AC" w:rsidRPr="005147AC" w:rsidRDefault="005147AC" w:rsidP="005147AC">
      <w:pPr>
        <w:pStyle w:val="Title4LevelTitre4Niveau"/>
        <w:numPr>
          <w:ilvl w:val="1"/>
          <w:numId w:val="6"/>
        </w:numPr>
        <w:tabs>
          <w:tab w:val="num" w:pos="1170"/>
        </w:tabs>
        <w:ind w:left="1152" w:hanging="576"/>
        <w:jc w:val="both"/>
        <w:rPr>
          <w:rFonts w:cs="Times New Roman"/>
          <w:lang w:val="fr-CA"/>
        </w:rPr>
      </w:pPr>
      <w:r w:rsidRPr="005147AC">
        <w:rPr>
          <w:rFonts w:cs="Times New Roman"/>
          <w:lang w:val="fr-CA"/>
        </w:rPr>
        <w:t xml:space="preserve">Restrictions relatives à la liberté </w:t>
      </w:r>
    </w:p>
    <w:p w14:paraId="0D911258"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Une décision portant sur la réévaluation d’une cote de sécurité a trois issues possibles : un transfèrement vers un établissement à sécurité plus élevée, un transfèrement vers un établissement à sécurité moins élevée ou aucun transfèrement. Bien entendu, les détenus qui sont transférés vers un établissement à sécurité moins élevée n’ont pas besoin de recourir au bref. Les affaires </w:t>
      </w:r>
      <w:r w:rsidRPr="005147AC">
        <w:rPr>
          <w:rFonts w:cs="Times New Roman"/>
          <w:i/>
          <w:lang w:val="fr-CA"/>
        </w:rPr>
        <w:t>May</w:t>
      </w:r>
      <w:r w:rsidRPr="005147AC">
        <w:rPr>
          <w:rFonts w:cs="Times New Roman"/>
          <w:lang w:val="fr-CA"/>
        </w:rPr>
        <w:t xml:space="preserve"> et </w:t>
      </w:r>
      <w:r w:rsidRPr="005147AC">
        <w:rPr>
          <w:rFonts w:cs="Times New Roman"/>
          <w:i/>
          <w:lang w:val="fr-CA"/>
        </w:rPr>
        <w:t>Khela</w:t>
      </w:r>
      <w:r w:rsidRPr="005147AC">
        <w:rPr>
          <w:rFonts w:cs="Times New Roman"/>
          <w:lang w:val="fr-CA"/>
        </w:rPr>
        <w:t xml:space="preserve"> portaient toutes deux sur des décisions relatives à la modification d’une cote de sécurité qui s’étaient soldées par un transfèrement vers un établissement à sécurité plus élevée. Dans le cas qui nous occupe, la décision relative à la modification des cotes de sécurité s’est traduite par le maintien des cotes de sécurité déjà attribuées. </w:t>
      </w:r>
    </w:p>
    <w:p w14:paraId="11797E75"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Comme je l’ai déjà mentionné, l’analyse doit viser à déterminer s’il existe une restriction à la liberté en comparant deux modes de détention. Par exemple, dans l’affaire </w:t>
      </w:r>
      <w:r w:rsidRPr="005147AC">
        <w:rPr>
          <w:rFonts w:cs="Times New Roman"/>
          <w:i/>
          <w:lang w:val="fr-CA"/>
        </w:rPr>
        <w:t>Miller</w:t>
      </w:r>
      <w:r w:rsidRPr="005147AC">
        <w:rPr>
          <w:rFonts w:cs="Times New Roman"/>
          <w:lang w:val="fr-CA"/>
        </w:rPr>
        <w:t xml:space="preserve">, l’accent était mis sur l’isolement administratif par rapport à la population générale au sein d’un établissement fédéral. J’estime toutefois que la même comparaison vaut aussi dans le cas de deux établissements distincts (en d’autres termes, le détenu incarcéré dans un établissement à sécurité maximale est davantage privé de sa liberté que s’il était incarcéré dans un établissement à sécurité moyenne). Dans l’arrêt </w:t>
      </w:r>
      <w:r w:rsidRPr="005147AC">
        <w:rPr>
          <w:rFonts w:cs="Times New Roman"/>
          <w:i/>
          <w:lang w:val="fr-CA"/>
        </w:rPr>
        <w:t>Miller</w:t>
      </w:r>
      <w:r w:rsidRPr="005147AC">
        <w:rPr>
          <w:rFonts w:cs="Times New Roman"/>
          <w:lang w:val="fr-CA"/>
        </w:rPr>
        <w:t xml:space="preserve">, notre Cour a expliqué que, pour démontrer une privation de liberté, il fallait prouver l’existence « d’une forme distincte de détention dans laquelle la contrainte physique réelle ou la privation de liberté, par opposition à la simple perte de certains privilèges, est plus restrictive ou sévère que cela est normalement le cas dans un établissement carcéral » (p. 641). Si l’on transpose cette logique à la réévaluation </w:t>
      </w:r>
      <w:r w:rsidRPr="005147AC">
        <w:rPr>
          <w:rFonts w:cs="Times New Roman"/>
          <w:lang w:val="fr-CA"/>
        </w:rPr>
        <w:lastRenderedPageBreak/>
        <w:t xml:space="preserve">de cotes de sécurité, la comparaison des points saillants se fait entre la cote de sécurité restrictive actuelle et une cote de sécurité moins restrictive. </w:t>
      </w:r>
    </w:p>
    <w:p w14:paraId="7CF502BA"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À n’en pas douter, ce ne sont pas toutes les conditions carcérales qui emportent privation de liberté. Mes collègues font remarquer que « l’</w:t>
      </w:r>
      <w:r w:rsidRPr="005147AC">
        <w:rPr>
          <w:rFonts w:cs="Times New Roman"/>
          <w:i/>
          <w:lang w:val="fr-CA"/>
        </w:rPr>
        <w:t>habeas corpus</w:t>
      </w:r>
      <w:r w:rsidRPr="005147AC">
        <w:rPr>
          <w:rFonts w:cs="Times New Roman"/>
          <w:lang w:val="fr-CA"/>
        </w:rPr>
        <w:t xml:space="preserve"> n’est pas un recours non restreint permettant de contester un éventail toujours plus large de conditions d’incarcération » (par. 160). Je ne prétends pas le contraire. Encore une fois, notre Cour a expliqué dans </w:t>
      </w:r>
      <w:r w:rsidRPr="005147AC">
        <w:rPr>
          <w:rFonts w:cs="Times New Roman"/>
          <w:i/>
          <w:lang w:val="fr-CA"/>
        </w:rPr>
        <w:t>Miller</w:t>
      </w:r>
      <w:r w:rsidRPr="005147AC">
        <w:rPr>
          <w:rFonts w:cs="Times New Roman"/>
          <w:lang w:val="fr-CA"/>
        </w:rPr>
        <w:t xml:space="preserve"> que l’</w:t>
      </w:r>
      <w:r w:rsidRPr="005147AC">
        <w:rPr>
          <w:rFonts w:cs="Times New Roman"/>
          <w:i/>
          <w:lang w:val="fr-CA"/>
        </w:rPr>
        <w:t>habeas corpus</w:t>
      </w:r>
      <w:r w:rsidRPr="005147AC">
        <w:rPr>
          <w:rFonts w:cs="Times New Roman"/>
          <w:lang w:val="fr-CA"/>
        </w:rPr>
        <w:t xml:space="preserve"> ne vise pas à « contester toutes et chacune des conditions d’incarcération dans un pénitencier ou une prison, y compris la perte d’un privilège dont jouit la population carcérale générale » (p. 641).</w:t>
      </w:r>
    </w:p>
    <w:p w14:paraId="5E768A90"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bidi="en-US"/>
        </w:rPr>
        <w:t xml:space="preserve">Depuis la trilogie </w:t>
      </w:r>
      <w:r w:rsidRPr="005147AC">
        <w:rPr>
          <w:rFonts w:cs="Times New Roman"/>
          <w:i/>
          <w:lang w:val="fr-CA" w:bidi="en-US"/>
        </w:rPr>
        <w:t>Miller</w:t>
      </w:r>
      <w:r w:rsidRPr="005147AC">
        <w:rPr>
          <w:rFonts w:cs="Times New Roman"/>
          <w:lang w:val="fr-CA" w:bidi="en-US"/>
        </w:rPr>
        <w:t>, les tribunaux ont jugé que la négation de la possibilité ou l’incapacité de participer à des programmes de réadaptation n’emporte pas privation de liberté (</w:t>
      </w:r>
      <w:r w:rsidRPr="005147AC">
        <w:rPr>
          <w:rFonts w:cs="Times New Roman"/>
          <w:i/>
          <w:lang w:val="fr-CA" w:bidi="en-US"/>
        </w:rPr>
        <w:t>Mapara c. Ferndale Institution (Warden)</w:t>
      </w:r>
      <w:r w:rsidRPr="005147AC">
        <w:rPr>
          <w:rFonts w:cs="Times New Roman"/>
          <w:lang w:val="fr-CA" w:bidi="en-US"/>
        </w:rPr>
        <w:t>, 2012 BCCA 127, 318 B.C.A.C. 139, par. 12</w:t>
      </w:r>
      <w:r w:rsidRPr="005147AC">
        <w:rPr>
          <w:rFonts w:cs="Times New Roman"/>
          <w:lang w:val="fr-CA" w:bidi="en-US"/>
        </w:rPr>
        <w:noBreakHyphen/>
        <w:t xml:space="preserve">15; </w:t>
      </w:r>
      <w:r w:rsidRPr="005147AC">
        <w:rPr>
          <w:rFonts w:cs="Times New Roman"/>
          <w:i/>
          <w:lang w:val="fr-CA" w:bidi="en-US"/>
        </w:rPr>
        <w:t>Lord c. Coulter</w:t>
      </w:r>
      <w:r w:rsidRPr="005147AC">
        <w:rPr>
          <w:rFonts w:cs="Times New Roman"/>
          <w:lang w:val="fr-CA" w:bidi="en-US"/>
        </w:rPr>
        <w:t>, 2007 BCSC 1758, 72 Admin. L.R. (4th) 264, par. 60</w:t>
      </w:r>
      <w:r w:rsidRPr="005147AC">
        <w:rPr>
          <w:rFonts w:cs="Times New Roman"/>
          <w:lang w:val="fr-CA" w:bidi="en-US"/>
        </w:rPr>
        <w:noBreakHyphen/>
        <w:t xml:space="preserve">63, conf. par 2009 BCCA 62, 266 B.C.A.C. 122; </w:t>
      </w:r>
      <w:r w:rsidRPr="005147AC">
        <w:rPr>
          <w:rFonts w:cs="Times New Roman"/>
          <w:i/>
          <w:lang w:val="fr-CA" w:bidi="en-US"/>
        </w:rPr>
        <w:t>Rain c. Canada (Parole Board)</w:t>
      </w:r>
      <w:r w:rsidRPr="005147AC">
        <w:rPr>
          <w:rFonts w:cs="Times New Roman"/>
          <w:lang w:val="fr-CA" w:bidi="en-US"/>
        </w:rPr>
        <w:t xml:space="preserve">, 2015 ABQB 639, par. 15). En outre, dans </w:t>
      </w:r>
      <w:r w:rsidRPr="005147AC">
        <w:rPr>
          <w:rFonts w:cs="Times New Roman"/>
          <w:i/>
          <w:lang w:val="fr-CA" w:bidi="en-US"/>
        </w:rPr>
        <w:t>Ewanchuk c. Canada (Attorney General)</w:t>
      </w:r>
      <w:r w:rsidRPr="005147AC">
        <w:rPr>
          <w:rFonts w:cs="Times New Roman"/>
          <w:lang w:val="fr-CA" w:bidi="en-US"/>
        </w:rPr>
        <w:t>, 2017 ABQB 237, 354 C.C.C. (3d) 119, la cour a statué que l’</w:t>
      </w:r>
      <w:r w:rsidRPr="005147AC">
        <w:rPr>
          <w:rFonts w:cs="Times New Roman"/>
          <w:i/>
          <w:lang w:val="fr-CA" w:bidi="en-US"/>
        </w:rPr>
        <w:t>habeas corpus</w:t>
      </w:r>
      <w:r w:rsidRPr="005147AC">
        <w:rPr>
          <w:rFonts w:cs="Times New Roman"/>
          <w:lang w:val="fr-CA" w:bidi="en-US"/>
        </w:rPr>
        <w:t xml:space="preserve"> ne s’applique pas dans les situations de confinement temporaire et d’autres formes intermittentes de détention; de personnel grossier, abusif ou inattentif; d’exposition à des détenus dangereux; de plaintes au sujet de la nourriture, des soins de santé et de l’hygiène; de plaintes selon lesquelles la procédure de règlement des griefs déposés par des détenus est inefficace; des services postaux et fouilles du courrier inadéquats; </w:t>
      </w:r>
      <w:r w:rsidRPr="005147AC">
        <w:rPr>
          <w:rFonts w:cs="Times New Roman"/>
          <w:lang w:val="fr-CA" w:bidi="en-US"/>
        </w:rPr>
        <w:lastRenderedPageBreak/>
        <w:t xml:space="preserve">d’accès inadéquat à un téléphone ou de communications par téléphone excessivement coûteuses; de restrictions qui nuisent à la recherche juridique, à la préparation de documents et aux activités de contentieux (par. 65). De même, dans </w:t>
      </w:r>
      <w:r w:rsidRPr="005147AC">
        <w:rPr>
          <w:rFonts w:cs="Times New Roman"/>
          <w:i/>
          <w:lang w:val="fr-CA" w:bidi="en-US"/>
        </w:rPr>
        <w:t>Mennes c. Canada (Attorney General)</w:t>
      </w:r>
      <w:r w:rsidRPr="005147AC">
        <w:rPr>
          <w:rFonts w:cs="Times New Roman"/>
          <w:lang w:val="fr-CA" w:bidi="en-US"/>
        </w:rPr>
        <w:t>, 2008 CanLII 6424, la Cour supérieure de justice de l’Ontario a jugé que le fait de loger un détenu dans une pièce à occupation double plutôt que dans une pièce à occupation simple ne fait pas intervenir une privation de liberté (par. 27</w:t>
      </w:r>
      <w:r w:rsidRPr="005147AC">
        <w:rPr>
          <w:rFonts w:cs="Times New Roman"/>
          <w:lang w:val="fr-CA" w:bidi="en-US"/>
        </w:rPr>
        <w:noBreakHyphen/>
        <w:t>28).</w:t>
      </w:r>
    </w:p>
    <w:p w14:paraId="04AE8CDC"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Contrairement à ce que suggèrent mes collègues, l’accès au recours en </w:t>
      </w:r>
      <w:r w:rsidRPr="005147AC">
        <w:rPr>
          <w:rFonts w:cs="Times New Roman"/>
          <w:i/>
          <w:lang w:val="fr-CA"/>
        </w:rPr>
        <w:t xml:space="preserve">habeas corpus </w:t>
      </w:r>
      <w:r w:rsidRPr="005147AC">
        <w:rPr>
          <w:rFonts w:cs="Times New Roman"/>
          <w:lang w:val="fr-CA"/>
        </w:rPr>
        <w:t>n’a pas connu une extension débridée, et il ne risque pas d’en connaître une à la suite du présent pourvoi. Les exemples énumérés ci</w:t>
      </w:r>
      <w:r w:rsidRPr="005147AC">
        <w:rPr>
          <w:rFonts w:cs="Times New Roman"/>
          <w:lang w:val="fr-CA"/>
        </w:rPr>
        <w:noBreakHyphen/>
        <w:t>dessus démontrent que l’</w:t>
      </w:r>
      <w:r w:rsidRPr="005147AC">
        <w:rPr>
          <w:rFonts w:cs="Times New Roman"/>
          <w:i/>
          <w:lang w:val="fr-CA" w:bidi="en-US"/>
        </w:rPr>
        <w:t>habeas corpus</w:t>
      </w:r>
      <w:r w:rsidRPr="005147AC">
        <w:rPr>
          <w:rFonts w:cs="Times New Roman"/>
          <w:lang w:val="fr-CA" w:bidi="en-US"/>
        </w:rPr>
        <w:t xml:space="preserve"> est circonscrit aux conditions carcérales qui équivalent à une privation de liberté. Les conditions carcérales qui ne se traduisent pas par une privation de liberté ne peuvent constituer le fondement d’un </w:t>
      </w:r>
      <w:r w:rsidRPr="005147AC">
        <w:rPr>
          <w:rFonts w:cs="Times New Roman"/>
          <w:lang w:val="fr-CA"/>
        </w:rPr>
        <w:t>contrôle par voie d’</w:t>
      </w:r>
      <w:r w:rsidRPr="005147AC">
        <w:rPr>
          <w:rFonts w:cs="Times New Roman"/>
          <w:i/>
          <w:lang w:val="fr-CA"/>
        </w:rPr>
        <w:t>habeas corpus</w:t>
      </w:r>
      <w:r w:rsidRPr="005147AC">
        <w:rPr>
          <w:rFonts w:cs="Times New Roman"/>
          <w:lang w:val="fr-CA" w:bidi="en-US"/>
        </w:rPr>
        <w:t xml:space="preserve">. Notre Cour a déjà reconnu que « [l]es </w:t>
      </w:r>
      <w:r w:rsidRPr="005147AC">
        <w:rPr>
          <w:rFonts w:cs="Times New Roman"/>
          <w:lang w:val="fr-CA"/>
        </w:rPr>
        <w:t xml:space="preserve">conditions d’emprisonnement ont traditionnellement été comprises comme relevant des établissements correctionnels, et non des tribunaux » </w:t>
      </w:r>
      <w:r w:rsidRPr="005147AC">
        <w:rPr>
          <w:rFonts w:cs="Times New Roman"/>
          <w:lang w:val="fr-CA" w:bidi="en-US"/>
        </w:rPr>
        <w:t>(</w:t>
      </w:r>
      <w:r w:rsidRPr="005147AC">
        <w:rPr>
          <w:rFonts w:cs="Times New Roman"/>
          <w:i/>
          <w:lang w:val="fr-CA" w:bidi="en-US"/>
        </w:rPr>
        <w:t>John Howard Society of Saskatchewan</w:t>
      </w:r>
      <w:r w:rsidRPr="005147AC">
        <w:rPr>
          <w:rFonts w:cs="Times New Roman"/>
          <w:lang w:val="fr-CA" w:bidi="en-US"/>
        </w:rPr>
        <w:t>, par. 40). Il ne faudrait pas conclure que les présents motifs s’écartent de cette façon établie d’envisager les choses. La simple perte de certains privilèges se distingue de la décision illégale de conserver une forme d’incarcération plus restrictive (</w:t>
      </w:r>
      <w:r w:rsidRPr="005147AC">
        <w:rPr>
          <w:rFonts w:cs="Times New Roman"/>
          <w:i/>
          <w:lang w:val="fr-CA" w:bidi="en-US"/>
        </w:rPr>
        <w:t>Miller</w:t>
      </w:r>
      <w:r w:rsidRPr="005147AC">
        <w:rPr>
          <w:rFonts w:cs="Times New Roman"/>
          <w:lang w:val="fr-CA" w:bidi="en-US"/>
        </w:rPr>
        <w:t>, p. 641).</w:t>
      </w:r>
    </w:p>
    <w:p w14:paraId="375E7F88"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Il importe de ne pas confondre les trois catégories de l’arrêt </w:t>
      </w:r>
      <w:r w:rsidRPr="005147AC">
        <w:rPr>
          <w:rFonts w:cs="Times New Roman"/>
          <w:i/>
          <w:lang w:val="fr-CA"/>
        </w:rPr>
        <w:t>Dumas</w:t>
      </w:r>
      <w:r w:rsidRPr="005147AC">
        <w:rPr>
          <w:rFonts w:cs="Times New Roman"/>
          <w:lang w:val="fr-CA"/>
        </w:rPr>
        <w:t xml:space="preserve">, qui aident uniquement à déterminer la </w:t>
      </w:r>
      <w:r w:rsidRPr="005147AC">
        <w:rPr>
          <w:rFonts w:cs="Times New Roman"/>
          <w:i/>
          <w:lang w:val="fr-CA"/>
        </w:rPr>
        <w:t>nature</w:t>
      </w:r>
      <w:r w:rsidRPr="005147AC">
        <w:rPr>
          <w:rFonts w:cs="Times New Roman"/>
          <w:lang w:val="fr-CA"/>
        </w:rPr>
        <w:t xml:space="preserve"> de la privation de liberté, et une analyse de </w:t>
      </w:r>
      <w:r w:rsidRPr="005147AC">
        <w:rPr>
          <w:rFonts w:cs="Times New Roman"/>
          <w:lang w:val="fr-CA"/>
        </w:rPr>
        <w:lastRenderedPageBreak/>
        <w:t xml:space="preserve">la question de savoir s’il existe une privation de liberté en comparant deux formes distinctes de détention. L’analyse des privations de liberté ne consiste pas simplement à déterminer si un changement est survenu; si c’était le cas, cela reviendrait en effet à éliminer la troisième catégorie de l’arrêt </w:t>
      </w:r>
      <w:r w:rsidRPr="005147AC">
        <w:rPr>
          <w:rFonts w:cs="Times New Roman"/>
          <w:i/>
          <w:lang w:val="fr-CA"/>
        </w:rPr>
        <w:t>Dumas</w:t>
      </w:r>
      <w:r w:rsidRPr="005147AC">
        <w:rPr>
          <w:rFonts w:cs="Times New Roman"/>
          <w:lang w:val="fr-CA"/>
        </w:rPr>
        <w:t xml:space="preserve">. L’analyse doit porter sur la question de savoir si </w:t>
      </w:r>
      <w:bookmarkStart w:id="16" w:name="_Hlk203404092"/>
      <w:r w:rsidRPr="005147AC">
        <w:rPr>
          <w:rFonts w:cs="Times New Roman"/>
          <w:lang w:val="fr-CA"/>
        </w:rPr>
        <w:t xml:space="preserve">les conditions actuelles de détention de la personne incarcérée restreignent </w:t>
      </w:r>
      <w:r w:rsidRPr="005147AC">
        <w:rPr>
          <w:rFonts w:cs="Times New Roman"/>
          <w:i/>
          <w:iCs/>
          <w:lang w:val="fr-CA"/>
        </w:rPr>
        <w:t>relativement</w:t>
      </w:r>
      <w:r w:rsidRPr="005147AC">
        <w:rPr>
          <w:rFonts w:cs="Times New Roman"/>
          <w:lang w:val="fr-CA"/>
        </w:rPr>
        <w:t xml:space="preserve"> plus sa liberté que les conditions dans lesquelles elle devrait être incarcérée.</w:t>
      </w:r>
      <w:bookmarkEnd w:id="16"/>
      <w:r w:rsidRPr="005147AC">
        <w:rPr>
          <w:rFonts w:cs="Times New Roman"/>
          <w:lang w:val="fr-CA"/>
        </w:rPr>
        <w:t xml:space="preserve"> </w:t>
      </w:r>
    </w:p>
    <w:p w14:paraId="3F4F534E"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Il est plus aisé de déterminer dans quels cas un détenu a été privé de sa liberté pour les deux premières catégories, en l’occurrence lorsqu’un changement survenu dans la situation du détenu a entraîné une privation de liberté par rapport à sa situation antérieure. Ces deux catégories nécessitent un changement manifeste sur le plan de la liberté, pour que les tribunaux puissent aisément conclure à une privation de liberté tant que le changement concerne des situations relatives de privation de liberté et non de simples privilèges. L’analyse de la « privation de liberté » pour ces deux premières catégories a généralement été simple. Par exemple, dans l’affaire </w:t>
      </w:r>
      <w:r w:rsidRPr="005147AC">
        <w:rPr>
          <w:rFonts w:cs="Times New Roman"/>
          <w:i/>
          <w:lang w:val="fr-CA"/>
        </w:rPr>
        <w:t>May</w:t>
      </w:r>
      <w:r w:rsidRPr="005147AC">
        <w:rPr>
          <w:rFonts w:cs="Times New Roman"/>
          <w:lang w:val="fr-CA"/>
        </w:rPr>
        <w:t>, notre Cour a conclu, dans un paragraphe concis, que la privation de liberté avait été démontrée par le transfèrement des détenus vers un établissement à sécurité plus élevée (par. 76).</w:t>
      </w:r>
    </w:p>
    <w:p w14:paraId="613BBB70"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Pour ce qui est de la troisième catégorie, une détention continue entraînant une privation de liberté, l’analyse consiste là encore à comparer deux états relatifs. L’analyse ici est la même que pour les deux premières catégories. Le détenu établit </w:t>
      </w:r>
      <w:r w:rsidRPr="005147AC">
        <w:rPr>
          <w:rFonts w:cs="Times New Roman"/>
          <w:lang w:val="fr-CA"/>
        </w:rPr>
        <w:lastRenderedPageBreak/>
        <w:t xml:space="preserve">qu’il a été privé de sa liberté s’il démontre que les conditions dans lesquelles il est présentement incarcéré restreignent davantage sa liberté que les conditions dans lesquelles il devrait selon lui être légalement incarcéré. Par exemple, dans l’affaire </w:t>
      </w:r>
      <w:r w:rsidRPr="005147AC">
        <w:rPr>
          <w:rFonts w:cs="Times New Roman"/>
          <w:i/>
          <w:lang w:val="fr-CA"/>
        </w:rPr>
        <w:t>Cardinal</w:t>
      </w:r>
      <w:r w:rsidRPr="005147AC">
        <w:rPr>
          <w:rFonts w:cs="Times New Roman"/>
          <w:lang w:val="fr-CA"/>
        </w:rPr>
        <w:t xml:space="preserve">, où les requérants avaient été placés légalement en isolement administratif, mais où c’était leur </w:t>
      </w:r>
      <w:r w:rsidRPr="005147AC">
        <w:rPr>
          <w:rFonts w:cs="Times New Roman"/>
          <w:i/>
          <w:lang w:val="fr-CA"/>
        </w:rPr>
        <w:t>maintien</w:t>
      </w:r>
      <w:r w:rsidRPr="005147AC">
        <w:rPr>
          <w:rFonts w:cs="Times New Roman"/>
          <w:lang w:val="fr-CA"/>
        </w:rPr>
        <w:t xml:space="preserve"> en isolement cellulaire, par opposition à leur détention au sein de la population générale, qui avait été jugé illégal. </w:t>
      </w:r>
    </w:p>
    <w:p w14:paraId="4B92AB4D"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La démonstration d’une privation de liberté ne dépend pas d’un changement dans le statu quo. Un « changement dans le statu quo » n’est pertinent que pour les deux premières catégories de l’arrêt </w:t>
      </w:r>
      <w:r w:rsidRPr="005147AC">
        <w:rPr>
          <w:rFonts w:cs="Times New Roman"/>
          <w:i/>
          <w:lang w:val="fr-CA"/>
        </w:rPr>
        <w:t xml:space="preserve">Dumas </w:t>
      </w:r>
      <w:r w:rsidRPr="005147AC">
        <w:rPr>
          <w:rFonts w:cs="Times New Roman"/>
          <w:lang w:val="fr-CA"/>
        </w:rPr>
        <w:t xml:space="preserve">et ne vaut qu’à titre d’indicateur permettant de comparer deux types distincts de restriction de la liberté. À la différence des première et deuxième catégories de l’arrêt </w:t>
      </w:r>
      <w:r w:rsidRPr="005147AC">
        <w:rPr>
          <w:rFonts w:cs="Times New Roman"/>
          <w:i/>
          <w:lang w:val="fr-CA"/>
        </w:rPr>
        <w:t>Dumas</w:t>
      </w:r>
      <w:r w:rsidRPr="005147AC">
        <w:rPr>
          <w:rFonts w:cs="Times New Roman"/>
          <w:lang w:val="fr-CA"/>
        </w:rPr>
        <w:t xml:space="preserve">, qui se sont définies par un changement des conditions de détention, la troisième catégorie se caractérise par l’absence de tout changement. S’il était nécessaire de démontrer que le détenu avait précédemment bénéficié d’une plus grande liberté, puis avait été privé de cette liberté, il n’y aurait théoriquement pas de place pour la troisième catégorie. </w:t>
      </w:r>
    </w:p>
    <w:p w14:paraId="54C28D3A"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Il n’existe selon moi aucune raison de principe de limiter l’accès au bref d’</w:t>
      </w:r>
      <w:r w:rsidRPr="005147AC">
        <w:rPr>
          <w:rFonts w:cs="Times New Roman"/>
          <w:i/>
          <w:iCs/>
          <w:lang w:val="fr-CA"/>
        </w:rPr>
        <w:t>habeas corpus</w:t>
      </w:r>
      <w:r w:rsidRPr="005147AC">
        <w:rPr>
          <w:rFonts w:cs="Times New Roman"/>
          <w:lang w:val="fr-CA"/>
        </w:rPr>
        <w:t xml:space="preserve"> au seul détenu ayant déjà bénéficié d’une plus grande liberté (par exemple avant d’être placé en isolement cellulaire), tout en empêchant le détenu qui réclame pour la première fois une plus grande liberté de se prévaloir de ce bref. Je rejette l’affirmation des juridictions inférieures et de l’intimé selon laquelle, parce que le détenu n’a jamais bénéficié de conditions de détention moins restrictives, il n’a pas </w:t>
      </w:r>
      <w:r w:rsidRPr="005147AC">
        <w:rPr>
          <w:rFonts w:cs="Times New Roman"/>
          <w:lang w:val="fr-CA"/>
        </w:rPr>
        <w:lastRenderedPageBreak/>
        <w:t>été privé de liberté. Cette interprétation formaliste et indûment étroite de la privation de liberté entre en contradiction avec les grandes lignes de la jurisprudence de notre Cour en matière d’</w:t>
      </w:r>
      <w:r w:rsidRPr="005147AC">
        <w:rPr>
          <w:rFonts w:cs="Times New Roman"/>
          <w:i/>
          <w:lang w:val="fr-CA"/>
        </w:rPr>
        <w:t xml:space="preserve">habeas corpus </w:t>
      </w:r>
      <w:r w:rsidRPr="005147AC">
        <w:rPr>
          <w:rFonts w:cs="Times New Roman"/>
          <w:lang w:val="fr-CA"/>
        </w:rPr>
        <w:t xml:space="preserve">et l’interprétation téléologique des droits garantis par la </w:t>
      </w:r>
      <w:r w:rsidRPr="005147AC">
        <w:rPr>
          <w:rFonts w:cs="Times New Roman"/>
          <w:i/>
          <w:lang w:val="fr-CA"/>
        </w:rPr>
        <w:t>Charte</w:t>
      </w:r>
      <w:r w:rsidRPr="005147AC">
        <w:rPr>
          <w:rFonts w:cs="Times New Roman"/>
          <w:lang w:val="fr-CA"/>
        </w:rPr>
        <w:t xml:space="preserve">. Ainsi que la juge Wilson l’a déclaré dans l’arrêt </w:t>
      </w:r>
      <w:r w:rsidRPr="005147AC">
        <w:rPr>
          <w:rFonts w:cs="Times New Roman"/>
          <w:i/>
          <w:lang w:val="fr-CA"/>
        </w:rPr>
        <w:t>Gamble</w:t>
      </w:r>
      <w:r w:rsidRPr="005147AC">
        <w:rPr>
          <w:rFonts w:cs="Times New Roman"/>
          <w:lang w:val="fr-CA"/>
        </w:rPr>
        <w:t>, « </w:t>
      </w:r>
      <w:r w:rsidRPr="005147AC">
        <w:rPr>
          <w:rFonts w:cs="Times New Roman"/>
          <w:lang w:val="fr-CA" w:bidi="en-US"/>
        </w:rPr>
        <w:t>les effets d’une privation de liberté ou de la continuation d’une forme particulière de privation de liberté doivent être analysés d’un point de vue qualitatif</w:t>
      </w:r>
      <w:r w:rsidRPr="005147AC">
        <w:rPr>
          <w:rFonts w:cs="Times New Roman"/>
          <w:lang w:val="fr-CA"/>
        </w:rPr>
        <w:t xml:space="preserve"> » (p. 644). Le concept de statu quo n’est d’aucune utilité lorsqu’il s’agit de déterminer si une détention prolongée constitue une privation de liberté. </w:t>
      </w:r>
    </w:p>
    <w:p w14:paraId="46B0C542" w14:textId="77777777" w:rsidR="005147AC" w:rsidRPr="005147AC" w:rsidRDefault="005147AC" w:rsidP="005147AC">
      <w:pPr>
        <w:pStyle w:val="Title4LevelTitre4Niveau"/>
        <w:numPr>
          <w:ilvl w:val="1"/>
          <w:numId w:val="30"/>
        </w:numPr>
        <w:ind w:left="1134" w:hanging="567"/>
        <w:jc w:val="both"/>
        <w:rPr>
          <w:rFonts w:cs="Times New Roman"/>
          <w:lang w:val="fr-CA"/>
        </w:rPr>
      </w:pPr>
      <w:r w:rsidRPr="005147AC">
        <w:rPr>
          <w:rFonts w:cs="Times New Roman"/>
          <w:lang w:val="fr-CA"/>
        </w:rPr>
        <w:t>Aucun droit nécessaire</w:t>
      </w:r>
    </w:p>
    <w:p w14:paraId="068C50FE" w14:textId="77777777" w:rsidR="005147AC" w:rsidRPr="005147AC" w:rsidRDefault="005147AC" w:rsidP="005147AC">
      <w:pPr>
        <w:pStyle w:val="ParaNoNdepar-AltN"/>
        <w:tabs>
          <w:tab w:val="clear" w:pos="1152"/>
          <w:tab w:val="left" w:pos="1166"/>
        </w:tabs>
        <w:rPr>
          <w:rFonts w:cs="Times New Roman"/>
          <w:i/>
          <w:lang w:val="fr-CA"/>
        </w:rPr>
      </w:pPr>
      <w:r w:rsidRPr="005147AC">
        <w:rPr>
          <w:rFonts w:cs="Times New Roman"/>
          <w:lang w:val="fr-CA"/>
        </w:rPr>
        <w:t xml:space="preserve">À mon avis, les juridictions inférieures ont commis une erreur en estimant que le requérant doit d’abord prouver son « droit » à des conditions de détention moins restrictives pour établir l’existence d’une privation de liberté. L’intimé a repris ce raisonnement, soutenant que, pour que le maintien en détention puisse être considéré comme une privation de liberté, il doit s’agir d’une situation dans laquelle une détention initialement légale devient </w:t>
      </w:r>
      <w:r w:rsidRPr="005147AC">
        <w:rPr>
          <w:rFonts w:cs="Times New Roman"/>
          <w:smallCaps/>
          <w:lang w:val="fr-CA"/>
        </w:rPr>
        <w:t>[traduction]</w:t>
      </w:r>
      <w:r w:rsidRPr="005147AC">
        <w:rPr>
          <w:rFonts w:cs="Times New Roman"/>
          <w:lang w:val="fr-CA"/>
        </w:rPr>
        <w:t xml:space="preserve"> « illégale en raison d’un changement du droit reconnu par la loi au détenu » (m.i., par. 60). Le droit à certaines conditions de détention n’a jamais fait partie de l’analyse de la privation de liberté; au contraire, le détenu acquiert le droit légal à une certaine forme d’incarcération s’il obtient gain de cause dans sa requête en</w:t>
      </w:r>
      <w:r w:rsidRPr="005147AC">
        <w:rPr>
          <w:rFonts w:cs="Times New Roman"/>
          <w:i/>
          <w:lang w:val="fr-CA"/>
        </w:rPr>
        <w:t xml:space="preserve"> habeas corpus</w:t>
      </w:r>
      <w:r w:rsidRPr="005147AC">
        <w:rPr>
          <w:rFonts w:cs="Times New Roman"/>
          <w:lang w:val="fr-CA"/>
        </w:rPr>
        <w:t>, à la suite d’un examen sur le fond. Si une personne détenue arbitrairement était tenue, à la première étape de la requête, de démontrer qu’elle possède ce droit, elle ne pourrait jamais faire entendre sa requête.</w:t>
      </w:r>
    </w:p>
    <w:p w14:paraId="500BD5D9"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L’exigence de la démonstration d’un tel droit semble découler d’une mauvaise interprétation de l’arrêt </w:t>
      </w:r>
      <w:r w:rsidRPr="005147AC">
        <w:rPr>
          <w:rFonts w:cs="Times New Roman"/>
          <w:i/>
          <w:lang w:val="fr-CA"/>
        </w:rPr>
        <w:t>Dumas</w:t>
      </w:r>
      <w:r w:rsidRPr="005147AC">
        <w:rPr>
          <w:rFonts w:cs="Times New Roman"/>
          <w:lang w:val="fr-CA"/>
        </w:rPr>
        <w:t>, lequel concernait un détenu qui contestait la continuation de sa privation de liberté. Dans cette affaire, M. Dumas s’était vu accorder au départ une semi</w:t>
      </w:r>
      <w:r w:rsidRPr="005147AC">
        <w:rPr>
          <w:rFonts w:cs="Times New Roman"/>
          <w:lang w:val="fr-CA"/>
        </w:rPr>
        <w:noBreakHyphen/>
        <w:t>liberté par la Commission nationale des libérations conditionnelles (« CNLC »), à la condition qu’il soit accepté par un centre résidentiel communautaire. Entre</w:t>
      </w:r>
      <w:r w:rsidRPr="005147AC">
        <w:rPr>
          <w:rFonts w:cs="Times New Roman"/>
          <w:lang w:val="fr-CA"/>
        </w:rPr>
        <w:noBreakHyphen/>
        <w:t>temps, M. Dumas avait commis diverses infractions disciplinaires et, à la suite d’un réexamen, la CNLC avait annulé sa décision antérieure de lui accorder une semi</w:t>
      </w:r>
      <w:r w:rsidRPr="005147AC">
        <w:rPr>
          <w:rFonts w:cs="Times New Roman"/>
          <w:lang w:val="fr-CA"/>
        </w:rPr>
        <w:noBreakHyphen/>
        <w:t>liberté avant qu’elle ne prenne effet. Monsieur Dumas avait introduit une requête en</w:t>
      </w:r>
      <w:r w:rsidRPr="005147AC">
        <w:rPr>
          <w:rFonts w:cs="Times New Roman"/>
          <w:i/>
          <w:lang w:val="fr-CA"/>
        </w:rPr>
        <w:t xml:space="preserve"> habeas corpus</w:t>
      </w:r>
      <w:r w:rsidRPr="005147AC">
        <w:rPr>
          <w:rFonts w:cs="Times New Roman"/>
          <w:lang w:val="fr-CA"/>
        </w:rPr>
        <w:t xml:space="preserve"> pour contester le refus de lui accorder une semi</w:t>
      </w:r>
      <w:r w:rsidRPr="005147AC">
        <w:rPr>
          <w:rFonts w:cs="Times New Roman"/>
          <w:lang w:val="fr-CA"/>
        </w:rPr>
        <w:noBreakHyphen/>
        <w:t>liberté. Notre Cour a conclu qu’il n’avait pas le droit de recourir à l’</w:t>
      </w:r>
      <w:r w:rsidRPr="005147AC">
        <w:rPr>
          <w:rFonts w:cs="Times New Roman"/>
          <w:i/>
          <w:lang w:val="fr-CA"/>
        </w:rPr>
        <w:t>habeas corpus</w:t>
      </w:r>
      <w:r w:rsidRPr="005147AC">
        <w:rPr>
          <w:rFonts w:cs="Times New Roman"/>
          <w:lang w:val="fr-CA"/>
        </w:rPr>
        <w:t>, jugeant que la « </w:t>
      </w:r>
      <w:r w:rsidRPr="005147AC">
        <w:rPr>
          <w:rFonts w:cs="Times New Roman"/>
          <w:lang w:val="fr-CA" w:bidi="en-US"/>
        </w:rPr>
        <w:t>continuation d’une privation de liberté valide initialement ne peut être contestée par voie d’</w:t>
      </w:r>
      <w:r w:rsidRPr="005147AC">
        <w:rPr>
          <w:rFonts w:cs="Times New Roman"/>
          <w:i/>
          <w:iCs/>
          <w:lang w:val="fr-CA" w:bidi="en-US"/>
        </w:rPr>
        <w:t>habeas corpus</w:t>
      </w:r>
      <w:r w:rsidRPr="005147AC">
        <w:rPr>
          <w:rFonts w:cs="Times New Roman"/>
          <w:lang w:val="fr-CA" w:bidi="en-US"/>
        </w:rPr>
        <w:t xml:space="preserve"> que si elle devient illégale »</w:t>
      </w:r>
      <w:r w:rsidRPr="005147AC">
        <w:rPr>
          <w:rFonts w:cs="Times New Roman"/>
          <w:lang w:val="fr-CA"/>
        </w:rPr>
        <w:t xml:space="preserve"> (p. 464). La Cour a fait observer que « </w:t>
      </w:r>
      <w:r w:rsidRPr="005147AC">
        <w:rPr>
          <w:rFonts w:cs="Times New Roman"/>
          <w:lang w:val="fr-CA" w:bidi="en-US"/>
        </w:rPr>
        <w:t>[d]ans le contexte de la libération conditionnelle, la détention continue d’un détenu ne deviendra illégale que s’il a acquis le statut de libéré conditionnel »</w:t>
      </w:r>
      <w:r w:rsidRPr="005147AC">
        <w:rPr>
          <w:rFonts w:cs="Times New Roman"/>
          <w:lang w:val="fr-CA"/>
        </w:rPr>
        <w:t xml:space="preserve"> (</w:t>
      </w:r>
      <w:r w:rsidRPr="005147AC">
        <w:rPr>
          <w:rFonts w:cs="Times New Roman"/>
          <w:i/>
          <w:lang w:val="fr-CA"/>
        </w:rPr>
        <w:t>ibid.</w:t>
      </w:r>
      <w:r w:rsidRPr="005147AC">
        <w:rPr>
          <w:rFonts w:cs="Times New Roman"/>
          <w:lang w:val="fr-CA"/>
        </w:rPr>
        <w:t xml:space="preserve">). Lorsque </w:t>
      </w:r>
      <w:r w:rsidRPr="005147AC">
        <w:rPr>
          <w:rFonts w:cs="Times New Roman"/>
          <w:lang w:val="fr-CA" w:bidi="en-US"/>
        </w:rPr>
        <w:t>la décision d’accorder la libération conditionnelle est sujette à la réalisation d’une condition, le « détenu ne devient un libéré conditionnel qu’au moment où la condition se réalise »</w:t>
      </w:r>
      <w:r w:rsidRPr="005147AC">
        <w:rPr>
          <w:rFonts w:cs="Times New Roman"/>
          <w:lang w:val="fr-CA"/>
        </w:rPr>
        <w:t xml:space="preserve"> (</w:t>
      </w:r>
      <w:r w:rsidRPr="005147AC">
        <w:rPr>
          <w:rFonts w:cs="Times New Roman"/>
          <w:i/>
          <w:lang w:val="fr-CA"/>
        </w:rPr>
        <w:t>ibid.</w:t>
      </w:r>
      <w:r w:rsidRPr="005147AC">
        <w:rPr>
          <w:rFonts w:cs="Times New Roman"/>
          <w:lang w:val="fr-CA"/>
        </w:rPr>
        <w:t xml:space="preserve">). Dans le cas de M. Dumas, comme la condition </w:t>
      </w:r>
      <w:r w:rsidRPr="005147AC">
        <w:rPr>
          <w:rFonts w:cs="Times New Roman"/>
          <w:lang w:val="fr-CA" w:bidi="en-US"/>
        </w:rPr>
        <w:t>ne s’était jamais réalisée, il n’a jamais obtenu le statut de libéré conditionnel, et il n’avait donc pas le droit de recourir à l’</w:t>
      </w:r>
      <w:r w:rsidRPr="005147AC">
        <w:rPr>
          <w:rFonts w:cs="Times New Roman"/>
          <w:i/>
          <w:iCs/>
          <w:lang w:val="fr-CA" w:bidi="en-US"/>
        </w:rPr>
        <w:t>habeas corpus</w:t>
      </w:r>
      <w:r w:rsidRPr="005147AC">
        <w:rPr>
          <w:rFonts w:cs="Times New Roman"/>
          <w:lang w:val="fr-CA"/>
        </w:rPr>
        <w:t xml:space="preserve"> (p. 465). </w:t>
      </w:r>
    </w:p>
    <w:p w14:paraId="7117BACC" w14:textId="77777777" w:rsidR="005147AC" w:rsidRPr="005147AC" w:rsidRDefault="005147AC" w:rsidP="005147AC">
      <w:pPr>
        <w:pStyle w:val="ParaNoNdepar-AltN"/>
        <w:rPr>
          <w:rFonts w:cs="Times New Roman"/>
          <w:lang w:val="fr-CA"/>
        </w:rPr>
      </w:pPr>
      <w:r w:rsidRPr="005147AC">
        <w:rPr>
          <w:rFonts w:cs="Times New Roman"/>
          <w:lang w:val="fr-CA"/>
        </w:rPr>
        <w:t>Au vu de ces faits, le recours à l’</w:t>
      </w:r>
      <w:r w:rsidRPr="005147AC">
        <w:rPr>
          <w:rFonts w:cs="Times New Roman"/>
          <w:i/>
          <w:lang w:val="fr-CA"/>
        </w:rPr>
        <w:t>habeas corpus</w:t>
      </w:r>
      <w:r w:rsidRPr="005147AC">
        <w:rPr>
          <w:rFonts w:cs="Times New Roman"/>
          <w:lang w:val="fr-CA"/>
        </w:rPr>
        <w:t xml:space="preserve"> a été refusé parce que M. Dumas n’avait pas soulevé de motifs légitimes lui permettant de contester la légalité de sa privation de liberté — la deuxième condition préalable à respecter pour avoir </w:t>
      </w:r>
      <w:r w:rsidRPr="005147AC">
        <w:rPr>
          <w:rFonts w:cs="Times New Roman"/>
          <w:lang w:val="fr-CA"/>
        </w:rPr>
        <w:lastRenderedPageBreak/>
        <w:t xml:space="preserve">droit à un examen sur le fond. Notre Cour a clairement indiqué que M. Dumas n’alléguait pas que la CNLC avait agi sans compétence, avait manqué à l’équité procédurale à son égard ou avait contrevenu à la </w:t>
      </w:r>
      <w:r w:rsidRPr="005147AC">
        <w:rPr>
          <w:rFonts w:cs="Times New Roman"/>
          <w:i/>
          <w:lang w:val="fr-CA"/>
        </w:rPr>
        <w:t xml:space="preserve">Charte </w:t>
      </w:r>
      <w:r w:rsidRPr="005147AC">
        <w:rPr>
          <w:rFonts w:cs="Times New Roman"/>
          <w:lang w:val="fr-CA"/>
        </w:rPr>
        <w:t>(</w:t>
      </w:r>
      <w:r w:rsidRPr="005147AC">
        <w:rPr>
          <w:rFonts w:cs="Times New Roman"/>
          <w:i/>
          <w:lang w:val="fr-CA"/>
        </w:rPr>
        <w:t>Dumas</w:t>
      </w:r>
      <w:r w:rsidRPr="005147AC">
        <w:rPr>
          <w:rFonts w:cs="Times New Roman"/>
          <w:lang w:val="fr-CA"/>
        </w:rPr>
        <w:t xml:space="preserve">, p. 465). En d’autres termes, M. Dumas n’avait pas invoqué de motif légitime de remettre en question sa privation de liberté. Je signale que l’arrêt </w:t>
      </w:r>
      <w:r w:rsidRPr="005147AC">
        <w:rPr>
          <w:rFonts w:cs="Times New Roman"/>
          <w:i/>
          <w:lang w:val="fr-CA"/>
        </w:rPr>
        <w:t>Dumas</w:t>
      </w:r>
      <w:r w:rsidRPr="005147AC">
        <w:rPr>
          <w:rFonts w:cs="Times New Roman"/>
          <w:lang w:val="fr-CA"/>
        </w:rPr>
        <w:t xml:space="preserve"> a été rendu bien avant que notre Cour ne déclare, dans l’arrêt </w:t>
      </w:r>
      <w:r w:rsidRPr="005147AC">
        <w:rPr>
          <w:rFonts w:cs="Times New Roman"/>
          <w:i/>
          <w:lang w:val="fr-CA"/>
        </w:rPr>
        <w:t>Khela</w:t>
      </w:r>
      <w:r w:rsidRPr="005147AC">
        <w:rPr>
          <w:rFonts w:cs="Times New Roman"/>
          <w:iCs/>
          <w:lang w:val="fr-CA"/>
        </w:rPr>
        <w:t>,</w:t>
      </w:r>
      <w:r w:rsidRPr="005147AC">
        <w:rPr>
          <w:rFonts w:cs="Times New Roman"/>
          <w:i/>
          <w:lang w:val="fr-CA"/>
        </w:rPr>
        <w:t xml:space="preserve"> </w:t>
      </w:r>
      <w:r w:rsidRPr="005147AC">
        <w:rPr>
          <w:rFonts w:cs="Times New Roman"/>
          <w:lang w:val="fr-CA"/>
        </w:rPr>
        <w:t>qu’il était possible de recourir à l’</w:t>
      </w:r>
      <w:r w:rsidRPr="005147AC">
        <w:rPr>
          <w:rFonts w:cs="Times New Roman"/>
          <w:i/>
          <w:lang w:val="fr-CA"/>
        </w:rPr>
        <w:t xml:space="preserve">habeas corpus </w:t>
      </w:r>
      <w:r w:rsidRPr="005147AC">
        <w:rPr>
          <w:rFonts w:cs="Times New Roman"/>
          <w:lang w:val="fr-CA"/>
        </w:rPr>
        <w:t xml:space="preserve">pour contester le caractère déraisonnable sur le fond d’une décision administrative. </w:t>
      </w:r>
    </w:p>
    <w:p w14:paraId="36662390" w14:textId="77777777" w:rsidR="005147AC" w:rsidRPr="005147AC" w:rsidRDefault="005147AC" w:rsidP="005147AC">
      <w:pPr>
        <w:pStyle w:val="ParaNoNdepar-AltN"/>
        <w:rPr>
          <w:rFonts w:cs="Times New Roman"/>
          <w:i/>
          <w:lang w:val="fr-CA"/>
        </w:rPr>
      </w:pPr>
      <w:r w:rsidRPr="005147AC">
        <w:rPr>
          <w:rFonts w:cs="Times New Roman"/>
          <w:lang w:val="fr-CA"/>
        </w:rPr>
        <w:t xml:space="preserve">De plus, il n’existait pas de droit à des conditions de détention moins restrictives dans </w:t>
      </w:r>
      <w:r w:rsidRPr="005147AC">
        <w:rPr>
          <w:rFonts w:cs="Times New Roman"/>
          <w:i/>
          <w:lang w:val="fr-CA"/>
        </w:rPr>
        <w:t>Cardinal</w:t>
      </w:r>
      <w:r w:rsidRPr="005147AC">
        <w:rPr>
          <w:rFonts w:cs="Times New Roman"/>
          <w:lang w:val="fr-CA"/>
        </w:rPr>
        <w:t xml:space="preserve">, une affaire portant sur la continuation d’une privation de liberté. Dans </w:t>
      </w:r>
      <w:r w:rsidRPr="005147AC">
        <w:rPr>
          <w:rFonts w:cs="Times New Roman"/>
          <w:i/>
          <w:lang w:val="fr-CA"/>
        </w:rPr>
        <w:t>Cardinal</w:t>
      </w:r>
      <w:r w:rsidRPr="005147AC">
        <w:rPr>
          <w:rFonts w:cs="Times New Roman"/>
          <w:lang w:val="fr-CA"/>
        </w:rPr>
        <w:t xml:space="preserve">, les requérants avaient été transférés d’un établissement à sécurité moyenne à un établissement à sécurité maximale à la suite d’une prise d’otages. Ils avaient été placés immédiatement en isolement. Le comité de réexamen des cas d’isolement a ultérieurement recommandé leur réintégration dans la population carcérale générale, mais le directeur a exercé son droit de refuser de suivre cette recommandation. Notre Cour a jugé que la décision du directeur de </w:t>
      </w:r>
      <w:r w:rsidRPr="005147AC">
        <w:rPr>
          <w:rFonts w:cs="Times New Roman"/>
          <w:i/>
          <w:lang w:val="fr-CA"/>
        </w:rPr>
        <w:t>maintenir</w:t>
      </w:r>
      <w:r w:rsidRPr="005147AC">
        <w:rPr>
          <w:rFonts w:cs="Times New Roman"/>
          <w:lang w:val="fr-CA"/>
        </w:rPr>
        <w:t xml:space="preserve"> les requérants en isolement cellulaire était illégale parce qu’elle était inéquitable sur le plan procédural (p. 661). Toutefois, si le directeur avait avisé les requérants qu’il avait l’intention de rejeter la recommandation du comité de réexamen et leur avait donné l’occasion de se faire entendre, l’équité procédurale aurait été respectée, et sa décision de poursuivre leur isolement cellulaire aurait pu être jugée légale (p. 659</w:t>
      </w:r>
      <w:r w:rsidRPr="005147AC">
        <w:rPr>
          <w:rFonts w:cs="Times New Roman"/>
          <w:lang w:val="fr-CA"/>
        </w:rPr>
        <w:noBreakHyphen/>
        <w:t xml:space="preserve">660). Il est donc important de noter qu’à aucun moment les requérants n’ont obtenu le droit cristallisé de réintégrer la population carcérale générale. Une recommandation a plutôt </w:t>
      </w:r>
      <w:r w:rsidRPr="005147AC">
        <w:rPr>
          <w:rFonts w:cs="Times New Roman"/>
          <w:lang w:val="fr-CA"/>
        </w:rPr>
        <w:lastRenderedPageBreak/>
        <w:t>été formulée, et un décideur a refusé de suivre cette recommandation. Il convient de souligner que la réparation accordée pour l’iniquité procédurale consistait à réintégrer les requérants dans la population générale d’un nouvel établissement, malgré le fait qu’ils n’aient jamais interagi auparavant avec cette population.</w:t>
      </w:r>
    </w:p>
    <w:p w14:paraId="076F241B" w14:textId="77777777" w:rsidR="005147AC" w:rsidRPr="005147AC" w:rsidRDefault="005147AC" w:rsidP="005147AC">
      <w:pPr>
        <w:pStyle w:val="ParaNoNdepar-AltN"/>
        <w:rPr>
          <w:rFonts w:cs="Times New Roman"/>
          <w:lang w:val="fr-CA"/>
        </w:rPr>
      </w:pPr>
      <w:r w:rsidRPr="005147AC">
        <w:rPr>
          <w:rFonts w:cs="Times New Roman"/>
          <w:lang w:val="fr-CA"/>
        </w:rPr>
        <w:t>Comme le montre cette jurisprudence, la première étape oblige le requérant à prouver que ses conditions actuelles de détention restreignent davantage sa liberté que les conditions dans lesquelles il devrait selon lui être légalement incarcéré. Le détenu n’est pas obligé d’établir qu’il possède un droit formel. L’accent est mis sur l’effet d’un type ou d’un niveau particulier de détention, et l’examen se fait d’un point de vue qualitatif. Cette étape ne doit pas être utilisée comme un moyen d’empêcher le recours au bref d’</w:t>
      </w:r>
      <w:r w:rsidRPr="005147AC">
        <w:rPr>
          <w:rFonts w:cs="Times New Roman"/>
          <w:i/>
          <w:lang w:val="fr-CA"/>
        </w:rPr>
        <w:t>habeas corpus</w:t>
      </w:r>
      <w:r w:rsidRPr="005147AC">
        <w:rPr>
          <w:rFonts w:cs="Times New Roman"/>
          <w:lang w:val="fr-CA"/>
        </w:rPr>
        <w:t xml:space="preserve"> compte tenu de distinctions formalistes.</w:t>
      </w:r>
    </w:p>
    <w:p w14:paraId="4DC8DCA6" w14:textId="77777777" w:rsidR="005147AC" w:rsidRPr="005147AC" w:rsidRDefault="005147AC" w:rsidP="005147AC">
      <w:pPr>
        <w:pStyle w:val="Title4LevelTitre4Niveau"/>
        <w:numPr>
          <w:ilvl w:val="1"/>
          <w:numId w:val="29"/>
        </w:numPr>
        <w:ind w:left="1134" w:hanging="567"/>
        <w:jc w:val="both"/>
        <w:rPr>
          <w:rFonts w:cs="Times New Roman"/>
          <w:lang w:val="fr-CA"/>
        </w:rPr>
      </w:pPr>
      <w:r w:rsidRPr="005147AC">
        <w:rPr>
          <w:rFonts w:cs="Times New Roman"/>
          <w:lang w:val="fr-CA"/>
        </w:rPr>
        <w:t xml:space="preserve">Incidence de la réévaluation de la cote de sécurité </w:t>
      </w:r>
    </w:p>
    <w:p w14:paraId="2DC5B907" w14:textId="77777777" w:rsidR="005147AC" w:rsidRPr="005147AC" w:rsidRDefault="005147AC" w:rsidP="005147AC">
      <w:pPr>
        <w:pStyle w:val="ParaNoNdepar-AltN"/>
        <w:rPr>
          <w:rFonts w:cs="Times New Roman"/>
          <w:lang w:val="fr-CA"/>
        </w:rPr>
      </w:pPr>
      <w:r w:rsidRPr="005147AC">
        <w:rPr>
          <w:rFonts w:cs="Times New Roman"/>
          <w:lang w:val="fr-CA"/>
        </w:rPr>
        <w:t xml:space="preserve">En ce qui concerne l’incidence des décisions relatives à la réévaluation des cotes de sécurité au sein du système correctionnel fédéral, il est clair, à mon avis, qu’elles peuvent avoir pour effet de détenir illégalement un détenu dans un établissement à sécurité plus élevée présentant des conditions de détention plus restrictives que celui où il devrait légalement être incarcéré. L’attribution d’une cote de sécurité aux détenus fédéraux et leur incarcération ont un impact profond sur leur expérience qualitative de l’incarcération et, dans bien des cas, également sur sa durée. </w:t>
      </w:r>
    </w:p>
    <w:p w14:paraId="15580A87"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L’attribution de cotes de sécurité et l’incarcération influent sur la mesure dans laquelle un détenu a accès aux programmes correctionnels, aux possibilités de réadaptation, aux visites privées de sa famille, aux possibilités de travail et aux absences temporaires, de même que sur la date éventuelle de sa libération, tous ces éléments pouvant avoir une incidence sur sa réinsertion sociale. Pour les détenus purgeant une peine d’emprisonnement à perpétuité ou une peine de durée indéterminée, comme les appelants, le transfèrement vers un établissement à sécurité minimale est souvent une condition préalable à leur mise en liberté sous condition. </w:t>
      </w:r>
    </w:p>
    <w:p w14:paraId="6D988D5F" w14:textId="77777777" w:rsidR="005147AC" w:rsidRPr="005147AC" w:rsidRDefault="005147AC" w:rsidP="005147AC">
      <w:pPr>
        <w:pStyle w:val="ParaNoNdepar-AltN"/>
        <w:rPr>
          <w:rFonts w:cs="Times New Roman"/>
          <w:lang w:val="fr-CA"/>
        </w:rPr>
      </w:pPr>
      <w:r w:rsidRPr="005147AC">
        <w:rPr>
          <w:rFonts w:cs="Times New Roman"/>
          <w:lang w:val="fr-CA"/>
        </w:rPr>
        <w:t xml:space="preserve">Notre Cour a reconnu les restrictions significatives et substantielles à la liberté auxquelles une personne est soumise selon qu’elle est incarcérée dans un établissement de détention fédéral à sécurité minimale, moyenne ou maximale. Ces décisions ont également établi que le transfèrement vers un établissement à sécurité plus élevée constitue une privation de liberté (voir, p. ex., </w:t>
      </w:r>
      <w:r w:rsidRPr="005147AC">
        <w:rPr>
          <w:rFonts w:cs="Times New Roman"/>
          <w:i/>
          <w:lang w:val="fr-CA"/>
        </w:rPr>
        <w:t>May</w:t>
      </w:r>
      <w:r w:rsidRPr="005147AC">
        <w:rPr>
          <w:rFonts w:cs="Times New Roman"/>
          <w:lang w:val="fr-CA"/>
        </w:rPr>
        <w:t>;</w:t>
      </w:r>
      <w:r w:rsidRPr="005147AC">
        <w:rPr>
          <w:rFonts w:cs="Times New Roman"/>
          <w:i/>
          <w:lang w:val="fr-CA"/>
        </w:rPr>
        <w:t xml:space="preserve"> Khela</w:t>
      </w:r>
      <w:r w:rsidRPr="005147AC">
        <w:rPr>
          <w:rFonts w:cs="Times New Roman"/>
          <w:lang w:val="fr-CA"/>
        </w:rPr>
        <w:t xml:space="preserve">). À mon avis, la personne qui est incarcérée illégalement pendant une longue période dans un établissement à sécurité plus élevée, après s’être vu refuser à tort une modification de sa cote de sécurité, subit une privation de liberté similaire à celle d’un détenu transféré illégalement dans un établissement à sécurité plus élevée. </w:t>
      </w:r>
    </w:p>
    <w:p w14:paraId="1074556C" w14:textId="77777777" w:rsidR="005147AC" w:rsidRPr="005147AC" w:rsidRDefault="005147AC" w:rsidP="005147AC">
      <w:pPr>
        <w:pStyle w:val="ParaNoNdepar-AltN"/>
        <w:rPr>
          <w:rFonts w:cs="Times New Roman"/>
          <w:lang w:val="fr-CA"/>
        </w:rPr>
      </w:pPr>
      <w:r w:rsidRPr="005147AC">
        <w:rPr>
          <w:rFonts w:cs="Times New Roman"/>
          <w:lang w:val="fr-CA"/>
        </w:rPr>
        <w:t xml:space="preserve">La réponse à la question de savoir si la réévaluation d’une cote de sécurité se traduit par une privation de liberté dépend en définitive du contexte. Elle est tributaire de la question de savoir si la décision entraîne de réelles contraintes physiques ou une privation de liberté plus restrictive ou plus sévère qu’une autre cote de sécurité, </w:t>
      </w:r>
      <w:r w:rsidRPr="005147AC">
        <w:rPr>
          <w:rFonts w:cs="Times New Roman"/>
          <w:lang w:val="fr-CA"/>
        </w:rPr>
        <w:lastRenderedPageBreak/>
        <w:t>moins restrictive. Les décisions relatives à l’attribution de cotes de sécurité qui, en pratique, entraînent une limitation insignifiante ou négligeable des droits d’un détenu ne constitueraient pas une privation de liberté pour les besoins de l’</w:t>
      </w:r>
      <w:r w:rsidRPr="005147AC">
        <w:rPr>
          <w:rFonts w:cs="Times New Roman"/>
          <w:i/>
          <w:lang w:val="fr-CA"/>
        </w:rPr>
        <w:t>habeas corpus</w:t>
      </w:r>
      <w:r w:rsidRPr="005147AC">
        <w:rPr>
          <w:rFonts w:cs="Times New Roman"/>
          <w:lang w:val="fr-CA"/>
        </w:rPr>
        <w:t>.</w:t>
      </w:r>
    </w:p>
    <w:p w14:paraId="59FDD6E4" w14:textId="77777777" w:rsidR="005147AC" w:rsidRPr="005147AC" w:rsidRDefault="005147AC" w:rsidP="005147AC">
      <w:pPr>
        <w:pStyle w:val="ParaNoNdepar-AltN"/>
        <w:rPr>
          <w:rFonts w:cs="Times New Roman"/>
          <w:lang w:val="fr-CA"/>
        </w:rPr>
      </w:pPr>
      <w:r w:rsidRPr="005147AC">
        <w:rPr>
          <w:rFonts w:cs="Times New Roman"/>
          <w:lang w:val="fr-CA"/>
        </w:rPr>
        <w:t>En outre, comme le soulignent plusieurs intervenants, les détenus noirs et autochtones marginalisés sont plus susceptibles de se voir attribuer une cote de sécurité excessivement élevée, ce qui signifie qu’ils sont plus susceptibles de recevoir une cote de sécurité plus élevée que leurs pairs non marginalisés (voir, p. ex., m. interv., Aboriginal Legal Services, par. 9</w:t>
      </w:r>
      <w:r w:rsidRPr="005147AC">
        <w:rPr>
          <w:rFonts w:cs="Times New Roman"/>
          <w:lang w:val="fr-CA"/>
        </w:rPr>
        <w:noBreakHyphen/>
        <w:t>15; m. interv., Black Legal Action Centre, par. 10</w:t>
      </w:r>
      <w:r w:rsidRPr="005147AC">
        <w:rPr>
          <w:rFonts w:cs="Times New Roman"/>
          <w:lang w:val="fr-CA"/>
        </w:rPr>
        <w:noBreakHyphen/>
        <w:t>12; m. interv., Association canadienne des sociétés Elizabeth Fry, par. 10). L’attribution d’une cote de sécurité excessivement élevée se traduit par l’incarcération disproportionnée de détenus noirs ou autochtones dans des établissements à sécurité plus élevée qui présentent des conditions de détention plus restrictives et un accès moindre aux possibilités de réadaptation qui favorisent la réinsertion sociale lors de la mise en liberté. L’incapacité d’obtenir une cote de sécurité moins élevée peut notamment empêcher les détenus d’être admissibles à des milieux adaptés à leur culture et à des programmes comme le pavillon de ressourcement (</w:t>
      </w:r>
      <w:r w:rsidRPr="005147AC">
        <w:rPr>
          <w:rFonts w:cs="Times New Roman"/>
          <w:i/>
          <w:lang w:val="fr-CA"/>
        </w:rPr>
        <w:t>Ewert c. Canada</w:t>
      </w:r>
      <w:r w:rsidRPr="005147AC">
        <w:rPr>
          <w:rFonts w:cs="Times New Roman"/>
          <w:lang w:val="fr-CA"/>
        </w:rPr>
        <w:t>, 2018 CSC 30, [2018] 2 R.C.S. 165, par. 65; m.a., par. 40). Par ailleurs, le fait d’empêcher le recours au bref d’</w:t>
      </w:r>
      <w:r w:rsidRPr="005147AC">
        <w:rPr>
          <w:rFonts w:cs="Times New Roman"/>
          <w:i/>
          <w:iCs/>
          <w:lang w:val="fr-CA"/>
        </w:rPr>
        <w:t>habeas corpus</w:t>
      </w:r>
      <w:r w:rsidRPr="005147AC">
        <w:rPr>
          <w:rFonts w:cs="Times New Roman"/>
          <w:lang w:val="fr-CA"/>
        </w:rPr>
        <w:t xml:space="preserve"> aura un impact disproportionné sur la capacité de ces groupes marginalisés à atteindre des niveaux de sécurité moins élevés et, finalement, à se réadapter et à se réinsérer. </w:t>
      </w:r>
    </w:p>
    <w:p w14:paraId="7A29CDAE" w14:textId="77777777" w:rsidR="005147AC" w:rsidRPr="005147AC" w:rsidRDefault="005147AC" w:rsidP="005147AC">
      <w:pPr>
        <w:pStyle w:val="ParaNoNdepar-AltN"/>
        <w:rPr>
          <w:rFonts w:cs="Times New Roman"/>
          <w:lang w:val="fr-CA"/>
        </w:rPr>
      </w:pPr>
      <w:r w:rsidRPr="005147AC">
        <w:rPr>
          <w:rFonts w:cs="Times New Roman"/>
          <w:lang w:val="fr-CA"/>
        </w:rPr>
        <w:lastRenderedPageBreak/>
        <w:t>En résumé, la décision d’attribuer une cote de sécurité plus élevée constitue une privation de liberté au même titre que la décision de refuser une cote de sécurité inférieure. Cependant, dans un cas comme dans l’autre, le requérant qui souhaite se prévaloir de l’</w:t>
      </w:r>
      <w:r w:rsidRPr="005147AC">
        <w:rPr>
          <w:rFonts w:cs="Times New Roman"/>
          <w:i/>
          <w:lang w:val="fr-CA"/>
        </w:rPr>
        <w:t>habeas</w:t>
      </w:r>
      <w:r w:rsidRPr="005147AC">
        <w:rPr>
          <w:rFonts w:cs="Times New Roman"/>
          <w:lang w:val="fr-CA"/>
        </w:rPr>
        <w:t xml:space="preserve"> </w:t>
      </w:r>
      <w:r w:rsidRPr="005147AC">
        <w:rPr>
          <w:rFonts w:cs="Times New Roman"/>
          <w:i/>
          <w:lang w:val="fr-CA"/>
        </w:rPr>
        <w:t>corpus</w:t>
      </w:r>
      <w:r w:rsidRPr="005147AC">
        <w:rPr>
          <w:rFonts w:cs="Times New Roman"/>
          <w:lang w:val="fr-CA"/>
        </w:rPr>
        <w:t xml:space="preserve"> doit toujours invoquer un motif légitime pour démontrer l’illégalité de cette décision en particulier. Ce qui constitue un motif légitime doit être évalué au cas par cas. Comme je l’ai évoqué précédemment, à la deuxième étape, le requérant doit invoquer un motif légitime de remettre en question la légalité du refus d’attribuer une cote de sécurité inférieure parce qu’il était inéquitable sur le plan procédural, qu’il était déraisonnable, qu’il excédait la compétence du décideur, qu’il n’était pas conforme à la </w:t>
      </w:r>
      <w:r w:rsidRPr="005147AC">
        <w:rPr>
          <w:rFonts w:cs="Times New Roman"/>
          <w:i/>
          <w:lang w:val="fr-CA"/>
        </w:rPr>
        <w:t>Charte</w:t>
      </w:r>
      <w:r w:rsidRPr="005147AC">
        <w:rPr>
          <w:rFonts w:cs="Times New Roman"/>
          <w:lang w:val="fr-CA"/>
        </w:rPr>
        <w:t>,</w:t>
      </w:r>
      <w:r w:rsidRPr="005147AC">
        <w:rPr>
          <w:rFonts w:cs="Times New Roman"/>
          <w:i/>
          <w:lang w:val="fr-CA"/>
        </w:rPr>
        <w:t xml:space="preserve"> </w:t>
      </w:r>
      <w:r w:rsidRPr="005147AC">
        <w:rPr>
          <w:rFonts w:cs="Times New Roman"/>
          <w:lang w:val="fr-CA"/>
        </w:rPr>
        <w:t xml:space="preserve">ou une combinaison de ces raisons. L’omission d’invoquer un motif légitime à la deuxième étape entraînera le rejet de la requête en </w:t>
      </w:r>
      <w:r w:rsidRPr="005147AC">
        <w:rPr>
          <w:rFonts w:cs="Times New Roman"/>
          <w:i/>
          <w:lang w:val="fr-CA"/>
        </w:rPr>
        <w:t>habeas corpus</w:t>
      </w:r>
      <w:r w:rsidRPr="005147AC">
        <w:rPr>
          <w:rFonts w:cs="Times New Roman"/>
          <w:lang w:val="fr-CA"/>
        </w:rPr>
        <w:t xml:space="preserve">. Cette exigence garantit que seules les demandes dotées d’un fondement juridique solide sont entendues sur le fond, ce qui empêche le recours abusif au bref. </w:t>
      </w:r>
    </w:p>
    <w:p w14:paraId="30C478C9" w14:textId="77777777" w:rsidR="005147AC" w:rsidRPr="005147AC" w:rsidRDefault="005147AC" w:rsidP="005147AC">
      <w:pPr>
        <w:pStyle w:val="ParaNoNdepar-AltN"/>
        <w:rPr>
          <w:rFonts w:cs="Times New Roman"/>
          <w:lang w:val="fr-CA"/>
        </w:rPr>
      </w:pPr>
      <w:r w:rsidRPr="005147AC">
        <w:rPr>
          <w:rFonts w:cs="Times New Roman"/>
          <w:lang w:val="fr-CA"/>
        </w:rPr>
        <w:t>Dans le contexte d’un refus d’attribuer une cote de sécurité inférieure lors d’une réévaluation, c’est à cette deuxième étape préliminaire que le tribunal peut refuser de tenir une audience sur le fond. La requête qui n’établit pas l’existence de motifs valables fournissant un fondement juridique à l’appui de la prétention d’illégalité ne passera pas à la troisième étape du processus d’</w:t>
      </w:r>
      <w:r w:rsidRPr="005147AC">
        <w:rPr>
          <w:rFonts w:cs="Times New Roman"/>
          <w:i/>
          <w:lang w:val="fr-CA"/>
        </w:rPr>
        <w:t>habeas corpus</w:t>
      </w:r>
      <w:r w:rsidRPr="005147AC">
        <w:rPr>
          <w:rFonts w:cs="Times New Roman"/>
          <w:lang w:val="fr-CA"/>
        </w:rPr>
        <w:t>. Je ne suis pas d’accord pour dire que permettre le recours à l’</w:t>
      </w:r>
      <w:r w:rsidRPr="005147AC">
        <w:rPr>
          <w:rFonts w:cs="Times New Roman"/>
          <w:i/>
          <w:lang w:val="fr-CA"/>
        </w:rPr>
        <w:t>habeas corpus</w:t>
      </w:r>
      <w:r w:rsidRPr="005147AC">
        <w:rPr>
          <w:rFonts w:cs="Times New Roman"/>
          <w:lang w:val="fr-CA"/>
        </w:rPr>
        <w:t xml:space="preserve"> dans ces circonstances ouvrira les vannes comme le laisse entendre l’intimé (m.i., par. 107, citant les motifs de la juge de première instance, par. 49). À cette deuxième étape, le requérant est tenu d’invoquer un motif légitime de remettre en question la privation de </w:t>
      </w:r>
      <w:r w:rsidRPr="005147AC">
        <w:rPr>
          <w:rFonts w:cs="Times New Roman"/>
          <w:lang w:val="fr-CA"/>
        </w:rPr>
        <w:lastRenderedPageBreak/>
        <w:t>sa liberté. Pour ce faire, il doit cerner une question défendable et présenter un fondement juridique solide à l’appui de sa demande (voir Farbey et Sharpe, p. 53). Il est important de noter que cette deuxième étape fait intervenir le rôle de gardien des tribunaux. Ces derniers doivent prendre soin de refuser d’entendre une demande sur le fond lorsque le requérant ne répond pas à ce critère (voir</w:t>
      </w:r>
      <w:r w:rsidRPr="005147AC">
        <w:rPr>
          <w:rFonts w:cs="Times New Roman"/>
          <w:i/>
          <w:lang w:val="fr-CA"/>
        </w:rPr>
        <w:t xml:space="preserve"> Khela</w:t>
      </w:r>
      <w:r w:rsidRPr="005147AC">
        <w:rPr>
          <w:rFonts w:cs="Times New Roman"/>
          <w:lang w:val="fr-CA"/>
        </w:rPr>
        <w:t xml:space="preserve">, par. 41). </w:t>
      </w:r>
    </w:p>
    <w:p w14:paraId="7C5A7222" w14:textId="77777777" w:rsidR="005147AC" w:rsidRPr="005147AC" w:rsidRDefault="005147AC" w:rsidP="005147AC">
      <w:pPr>
        <w:pStyle w:val="ParaNoNdepar-AltN"/>
        <w:rPr>
          <w:rFonts w:cs="Times New Roman"/>
          <w:lang w:val="fr-CA"/>
        </w:rPr>
      </w:pPr>
      <w:r w:rsidRPr="005147AC">
        <w:rPr>
          <w:rFonts w:cs="Times New Roman"/>
          <w:lang w:val="fr-CA"/>
        </w:rPr>
        <w:t xml:space="preserve">Le test applicable, formulé dans </w:t>
      </w:r>
      <w:r w:rsidRPr="005147AC">
        <w:rPr>
          <w:rFonts w:cs="Times New Roman"/>
          <w:i/>
          <w:lang w:val="fr-CA"/>
        </w:rPr>
        <w:t>Dumas</w:t>
      </w:r>
      <w:r w:rsidRPr="005147AC">
        <w:rPr>
          <w:rFonts w:cs="Times New Roman"/>
          <w:lang w:val="fr-CA"/>
        </w:rPr>
        <w:t xml:space="preserve"> et confirmé dans </w:t>
      </w:r>
      <w:r w:rsidRPr="005147AC">
        <w:rPr>
          <w:rFonts w:cs="Times New Roman"/>
          <w:i/>
          <w:lang w:val="fr-CA"/>
        </w:rPr>
        <w:t>May</w:t>
      </w:r>
      <w:r w:rsidRPr="005147AC">
        <w:rPr>
          <w:rFonts w:cs="Times New Roman"/>
          <w:lang w:val="fr-CA"/>
        </w:rPr>
        <w:t xml:space="preserve">, </w:t>
      </w:r>
      <w:r w:rsidRPr="005147AC">
        <w:rPr>
          <w:rFonts w:cs="Times New Roman"/>
          <w:i/>
          <w:lang w:val="fr-CA"/>
        </w:rPr>
        <w:t>Khela</w:t>
      </w:r>
      <w:r w:rsidRPr="005147AC">
        <w:rPr>
          <w:rFonts w:cs="Times New Roman"/>
          <w:lang w:val="fr-CA"/>
        </w:rPr>
        <w:t xml:space="preserve"> et la jurisprudence subséquente, demeure inchangé. Notre Cour a appliqué systématiquement le test en harmonie avec la conception élargie et téléologique de l’</w:t>
      </w:r>
      <w:r w:rsidRPr="005147AC">
        <w:rPr>
          <w:rFonts w:cs="Times New Roman"/>
          <w:i/>
          <w:lang w:val="fr-CA"/>
        </w:rPr>
        <w:t>habeas corpus</w:t>
      </w:r>
      <w:r w:rsidRPr="005147AC">
        <w:rPr>
          <w:rFonts w:cs="Times New Roman"/>
          <w:lang w:val="fr-CA"/>
        </w:rPr>
        <w:t xml:space="preserve"> reconnue dans </w:t>
      </w:r>
      <w:r w:rsidRPr="005147AC">
        <w:rPr>
          <w:rFonts w:cs="Times New Roman"/>
          <w:i/>
          <w:lang w:val="fr-CA"/>
        </w:rPr>
        <w:t>Dumas</w:t>
      </w:r>
      <w:r w:rsidRPr="005147AC">
        <w:rPr>
          <w:rFonts w:cs="Times New Roman"/>
          <w:lang w:val="fr-CA"/>
        </w:rPr>
        <w:t>. Dans le présent contexte — où les restrictions illégales à la liberté découlent du refus d’attribuer une cote de sécurité inférieure — la réparation relève clairement de cette conception établie. Les fardeaux traditionnels associés au bref devraient rester les mêmes; une fois que le détenu démontre l’existence d’une privation de liberté, il n’a qu’à jeter un doute sur la légalité de la privation (</w:t>
      </w:r>
      <w:r w:rsidRPr="005147AC">
        <w:rPr>
          <w:rFonts w:cs="Times New Roman"/>
          <w:i/>
          <w:lang w:val="fr-CA"/>
        </w:rPr>
        <w:t>Khela</w:t>
      </w:r>
      <w:r w:rsidRPr="005147AC">
        <w:rPr>
          <w:rFonts w:cs="Times New Roman"/>
          <w:lang w:val="fr-CA"/>
        </w:rPr>
        <w:t>, par. 77). Restreindre indûment cette conception reviendrait à s’écarter de la jurisprudence établie de notre Cour. Si le Parlement estime que cette application du recours est trop large, il conserve le pouvoir de réagir en adoptant une procédure complète, exhaustive et spécialisée pour le refus par les autorités fédérales de modifier une cote de sécurité (</w:t>
      </w:r>
      <w:r w:rsidRPr="005147AC">
        <w:rPr>
          <w:rFonts w:cs="Times New Roman"/>
          <w:i/>
          <w:lang w:val="fr-CA"/>
        </w:rPr>
        <w:t>May</w:t>
      </w:r>
      <w:r w:rsidRPr="005147AC">
        <w:rPr>
          <w:rFonts w:cs="Times New Roman"/>
          <w:lang w:val="fr-CA"/>
        </w:rPr>
        <w:t>, par. 40 et 44).</w:t>
      </w:r>
    </w:p>
    <w:p w14:paraId="34D98E9E" w14:textId="77777777" w:rsidR="005147AC" w:rsidRPr="005147AC" w:rsidRDefault="005147AC" w:rsidP="005147AC">
      <w:pPr>
        <w:pStyle w:val="ParaNoNdepar-AltN"/>
        <w:rPr>
          <w:rFonts w:cs="Times New Roman"/>
          <w:lang w:val="fr-CA"/>
        </w:rPr>
      </w:pPr>
      <w:r w:rsidRPr="005147AC">
        <w:rPr>
          <w:rFonts w:cs="Times New Roman"/>
          <w:lang w:val="fr-CA"/>
        </w:rPr>
        <w:t>Empêcher que les requêtes dotées d’une base juridique adéquate passent à la troisième étape par crainte d’ouvrir les vannes irait à l’encontre du fondement même du droit de l’</w:t>
      </w:r>
      <w:r w:rsidRPr="005147AC">
        <w:rPr>
          <w:rFonts w:cs="Times New Roman"/>
          <w:i/>
          <w:lang w:val="fr-CA"/>
        </w:rPr>
        <w:t>habeas corpus</w:t>
      </w:r>
      <w:r w:rsidRPr="005147AC">
        <w:rPr>
          <w:rFonts w:cs="Times New Roman"/>
          <w:lang w:val="fr-CA"/>
        </w:rPr>
        <w:t xml:space="preserve">. Les tribunaux peuvent se prémunir contre une avalanche </w:t>
      </w:r>
      <w:r w:rsidRPr="005147AC">
        <w:rPr>
          <w:rFonts w:cs="Times New Roman"/>
          <w:lang w:val="fr-CA"/>
        </w:rPr>
        <w:lastRenderedPageBreak/>
        <w:t xml:space="preserve">de dossiers en refusant les demandes dénuées d’un fondement juridique, et ils l’ont fait. Cependant, une fois une base juridique solide établie, les tribunaux ne devraient pas se montrer réticents à laisser ces requêtes suivre leur cours. La deuxième étape de la requête ne s’attache pas à la capacité des institutions correctionnelles de justifier la détention apparemment illégale; elle vise plutôt à assurer un accès concret à la justice en vue de protéger le droit des détenus à la liberté. </w:t>
      </w:r>
    </w:p>
    <w:p w14:paraId="19411E70" w14:textId="77777777" w:rsidR="005147AC" w:rsidRPr="005147AC" w:rsidRDefault="005147AC" w:rsidP="005147AC">
      <w:pPr>
        <w:pStyle w:val="ParaNoNdepar-AltN"/>
        <w:rPr>
          <w:rFonts w:cs="Times New Roman"/>
          <w:lang w:val="fr-CA"/>
        </w:rPr>
      </w:pPr>
      <w:r w:rsidRPr="005147AC">
        <w:rPr>
          <w:rFonts w:cs="Times New Roman"/>
          <w:lang w:val="fr-CA"/>
        </w:rPr>
        <w:t xml:space="preserve">La </w:t>
      </w:r>
      <w:r w:rsidRPr="005147AC">
        <w:rPr>
          <w:rFonts w:cs="Times New Roman"/>
          <w:lang w:val="fr-CA" w:bidi="en-US"/>
        </w:rPr>
        <w:t xml:space="preserve">démarche qualitative et fondée sur l’objet recherché qu’il convient d’adopter à l’égard de </w:t>
      </w:r>
      <w:r w:rsidRPr="005147AC">
        <w:rPr>
          <w:rFonts w:cs="Times New Roman"/>
          <w:lang w:val="fr-CA"/>
        </w:rPr>
        <w:t>l’</w:t>
      </w:r>
      <w:r w:rsidRPr="005147AC">
        <w:rPr>
          <w:rFonts w:cs="Times New Roman"/>
          <w:i/>
          <w:lang w:val="fr-CA"/>
        </w:rPr>
        <w:t>habeas corpus</w:t>
      </w:r>
      <w:r w:rsidRPr="005147AC">
        <w:rPr>
          <w:rFonts w:cs="Times New Roman"/>
          <w:lang w:val="fr-CA"/>
        </w:rPr>
        <w:t xml:space="preserve"> m’amène à conclure qu’il y a privation de liberté quand un détenu se voit refuser l’attribution d’une cote de sécurité inférieure. Le fait d’écarter prématurément une décision en matière de cote de sécurité qui maintient une forme particulière de détention au lieu de la modifier de façon définitive ne tient pas compte de la réalité de la vie des personnes incarcérées. La question de savoir si cette décision est légale ou non est une question distincte et séparée dans le cadre de cette analyse, et le requérant doit invoquer un motif légitime à ce sujet. Le refus déraisonnable ou arbitraire de lui attribuer une cote de sécurité inférieure constitue une privation illégale de liberté, et la réparation appropriée consiste à transférer le détenu dans un établissement à sécurité moins élevée. </w:t>
      </w:r>
    </w:p>
    <w:p w14:paraId="72397CC3" w14:textId="77777777" w:rsidR="005147AC" w:rsidRPr="005147AC" w:rsidRDefault="005147AC" w:rsidP="005147AC">
      <w:pPr>
        <w:pStyle w:val="ParaNoNdepar-AltN"/>
        <w:rPr>
          <w:rFonts w:cs="Times New Roman"/>
          <w:lang w:val="fr-CA"/>
        </w:rPr>
      </w:pPr>
      <w:r w:rsidRPr="005147AC">
        <w:rPr>
          <w:rFonts w:cs="Times New Roman"/>
          <w:iCs/>
          <w:lang w:val="fr-CA"/>
        </w:rPr>
        <w:t>L’</w:t>
      </w:r>
      <w:r w:rsidRPr="005147AC">
        <w:rPr>
          <w:rFonts w:cs="Times New Roman"/>
          <w:i/>
          <w:lang w:val="fr-CA"/>
        </w:rPr>
        <w:t>habeas corpus</w:t>
      </w:r>
      <w:r w:rsidRPr="005147AC">
        <w:rPr>
          <w:rFonts w:cs="Times New Roman"/>
          <w:lang w:val="fr-CA"/>
        </w:rPr>
        <w:t xml:space="preserve"> demeure l’un des rares moyens dont disposent les détenus pour contester efficacement les </w:t>
      </w:r>
      <w:r w:rsidRPr="005147AC">
        <w:rPr>
          <w:rFonts w:cs="Times New Roman"/>
          <w:iCs/>
          <w:lang w:val="fr-CA" w:bidi="en-US"/>
        </w:rPr>
        <w:t xml:space="preserve">restrictions abusives à leur liberté </w:t>
      </w:r>
      <w:r w:rsidRPr="005147AC">
        <w:rPr>
          <w:rFonts w:cs="Times New Roman"/>
          <w:lang w:val="fr-CA"/>
        </w:rPr>
        <w:t xml:space="preserve">résiduelle et remédier à ces restrictions. Il serait contraire à l’objectif de ce </w:t>
      </w:r>
      <w:r w:rsidRPr="005147AC">
        <w:rPr>
          <w:rFonts w:cs="Times New Roman"/>
          <w:iCs/>
          <w:lang w:val="fr-CA" w:bidi="en-US"/>
        </w:rPr>
        <w:t>« grand bref efficace »</w:t>
      </w:r>
      <w:r w:rsidRPr="005147AC">
        <w:rPr>
          <w:rFonts w:cs="Times New Roman"/>
          <w:lang w:val="fr-CA"/>
        </w:rPr>
        <w:t xml:space="preserve"> d’empêcher les tribunaux d’évaluer la légalité d’une forme particulière, plus restrictive, de maintien </w:t>
      </w:r>
      <w:r w:rsidRPr="005147AC">
        <w:rPr>
          <w:rFonts w:cs="Times New Roman"/>
          <w:lang w:val="fr-CA"/>
        </w:rPr>
        <w:lastRenderedPageBreak/>
        <w:t xml:space="preserve">en détention. Compte tenu du rôle traditionnel du tribunal en tant que gardien de la liberté des détenus, notre Cour a statué dans l’arrêt </w:t>
      </w:r>
      <w:r w:rsidRPr="005147AC">
        <w:rPr>
          <w:rFonts w:cs="Times New Roman"/>
          <w:i/>
          <w:lang w:val="fr-CA"/>
        </w:rPr>
        <w:t>Gamble</w:t>
      </w:r>
      <w:r w:rsidRPr="005147AC">
        <w:rPr>
          <w:rFonts w:cs="Times New Roman"/>
          <w:lang w:val="fr-CA"/>
        </w:rPr>
        <w:t xml:space="preserve"> que « [l]</w:t>
      </w:r>
      <w:r w:rsidRPr="005147AC">
        <w:rPr>
          <w:rFonts w:cs="Times New Roman"/>
          <w:spacing w:val="-3"/>
          <w:lang w:val="fr-CA"/>
        </w:rPr>
        <w:t xml:space="preserve">e redressement sous la forme d’un </w:t>
      </w:r>
      <w:r w:rsidRPr="005147AC">
        <w:rPr>
          <w:rFonts w:cs="Times New Roman"/>
          <w:i/>
          <w:iCs/>
          <w:spacing w:val="-3"/>
          <w:lang w:val="fr-CA"/>
        </w:rPr>
        <w:t>habeas corpus</w:t>
      </w:r>
      <w:r w:rsidRPr="005147AC">
        <w:rPr>
          <w:rFonts w:cs="Times New Roman"/>
          <w:spacing w:val="-3"/>
          <w:lang w:val="fr-CA"/>
        </w:rPr>
        <w:t xml:space="preserve"> ne devrait pas être refusé pour de simples raisons de commodité »</w:t>
      </w:r>
      <w:r w:rsidRPr="005147AC">
        <w:rPr>
          <w:rFonts w:cs="Times New Roman"/>
          <w:lang w:val="fr-CA"/>
        </w:rPr>
        <w:t xml:space="preserve">, réitérant ainsi que le recours au bref ne doit pas être jonché d’obstacles procéduraux (p. 635). </w:t>
      </w:r>
    </w:p>
    <w:p w14:paraId="22742905" w14:textId="77777777" w:rsidR="005147AC" w:rsidRPr="005147AC" w:rsidRDefault="005147AC" w:rsidP="005147AC">
      <w:pPr>
        <w:pStyle w:val="ParaNoNdepar-AltN"/>
        <w:rPr>
          <w:rFonts w:cs="Times New Roman"/>
          <w:lang w:val="fr-CA"/>
        </w:rPr>
      </w:pPr>
      <w:r w:rsidRPr="005147AC">
        <w:rPr>
          <w:rFonts w:cs="Times New Roman"/>
          <w:lang w:val="fr-CA"/>
        </w:rPr>
        <w:t>L’analyse qui précède répond à la question en litige dans le présent pourvoi : la décision de refuser d’attribuer à un détenu une cote de sécurité inférieure et de le transférer dans un établissement à sécurité moins élevée constitue une privation de liberté résiduelle susceptible de contrôle par voie d’</w:t>
      </w:r>
      <w:r w:rsidRPr="005147AC">
        <w:rPr>
          <w:rFonts w:cs="Times New Roman"/>
          <w:i/>
          <w:lang w:val="fr-CA"/>
        </w:rPr>
        <w:t>habeas corpus</w:t>
      </w:r>
      <w:r w:rsidRPr="005147AC">
        <w:rPr>
          <w:rFonts w:cs="Times New Roman"/>
          <w:lang w:val="fr-CA"/>
        </w:rPr>
        <w:t>. Il s’ensuit que les juridictions inférieures ont conclu à tort que les appelants ne pouvaient chercher à contester le refus des autorités carcérales de modifier leur cote de sécurité. Les deux appelants ont depuis fait l’objet d’une modification de leur cote de sécurité et ont été transférés dans des établissements à sécurité minimale. Par conséquent, l’application de l’</w:t>
      </w:r>
      <w:r w:rsidRPr="005147AC">
        <w:rPr>
          <w:rFonts w:cs="Times New Roman"/>
          <w:i/>
          <w:lang w:val="fr-CA"/>
        </w:rPr>
        <w:t>habeas corpus</w:t>
      </w:r>
      <w:r w:rsidRPr="005147AC">
        <w:rPr>
          <w:rFonts w:cs="Times New Roman"/>
          <w:lang w:val="fr-CA"/>
        </w:rPr>
        <w:t xml:space="preserve"> à la légalité de leurs conditions particulières de détention est désormais sans objet. Cependant, les parties ont soulevé d’autres préoccupations que j’aborderai brièvement. </w:t>
      </w:r>
    </w:p>
    <w:p w14:paraId="5D56791C" w14:textId="77777777" w:rsidR="005147AC" w:rsidRPr="005147AC" w:rsidRDefault="005147AC" w:rsidP="005147AC">
      <w:pPr>
        <w:pStyle w:val="Title3LevelTitre3Niveau"/>
        <w:numPr>
          <w:ilvl w:val="2"/>
          <w:numId w:val="8"/>
        </w:numPr>
        <w:ind w:left="1156" w:hanging="578"/>
        <w:jc w:val="both"/>
        <w:rPr>
          <w:rFonts w:cs="Times New Roman"/>
          <w:lang w:val="fr-CA"/>
        </w:rPr>
      </w:pPr>
      <w:r w:rsidRPr="005147AC">
        <w:rPr>
          <w:rFonts w:cs="Times New Roman"/>
          <w:lang w:val="fr-CA"/>
        </w:rPr>
        <w:t>L’existence d’autres mécanismes de révision et la compétence du tribunal en matière de réparation ne font pas obstacle à l’</w:t>
      </w:r>
      <w:r w:rsidRPr="005147AC">
        <w:rPr>
          <w:rFonts w:cs="Times New Roman"/>
          <w:i/>
          <w:lang w:val="fr-CA"/>
        </w:rPr>
        <w:t>habeas corpus</w:t>
      </w:r>
      <w:r w:rsidRPr="005147AC">
        <w:rPr>
          <w:rFonts w:cs="Times New Roman"/>
          <w:lang w:val="fr-CA"/>
        </w:rPr>
        <w:t xml:space="preserve"> </w:t>
      </w:r>
    </w:p>
    <w:p w14:paraId="59710E46" w14:textId="77777777" w:rsidR="005147AC" w:rsidRPr="005147AC" w:rsidRDefault="005147AC" w:rsidP="005147AC">
      <w:pPr>
        <w:pStyle w:val="ParaNoNdepar-AltN"/>
        <w:rPr>
          <w:rFonts w:cs="Times New Roman"/>
          <w:lang w:val="fr-CA"/>
        </w:rPr>
      </w:pPr>
      <w:r w:rsidRPr="005147AC">
        <w:rPr>
          <w:rFonts w:cs="Times New Roman"/>
          <w:lang w:val="fr-CA"/>
        </w:rPr>
        <w:t>Il n’existe que deux situations où une cour supérieure provinciale peut refuser d’entendre une requête en</w:t>
      </w:r>
      <w:r w:rsidRPr="005147AC">
        <w:rPr>
          <w:rFonts w:cs="Times New Roman"/>
          <w:i/>
          <w:lang w:val="fr-CA"/>
        </w:rPr>
        <w:t xml:space="preserve"> habeas corpus</w:t>
      </w:r>
      <w:r w:rsidRPr="005147AC">
        <w:rPr>
          <w:rFonts w:cs="Times New Roman"/>
          <w:lang w:val="fr-CA"/>
        </w:rPr>
        <w:t xml:space="preserve"> sur le fond. Dans la première situation, le détenu attaque la légalité de sa déclaration de culpabilité ou de sa peine, laquelle doit </w:t>
      </w:r>
      <w:r w:rsidRPr="005147AC">
        <w:rPr>
          <w:rFonts w:cs="Times New Roman"/>
          <w:lang w:val="fr-CA"/>
        </w:rPr>
        <w:lastRenderedPageBreak/>
        <w:t xml:space="preserve">être contestée au moyen des mécanismes d’appel prévus au </w:t>
      </w:r>
      <w:r w:rsidRPr="005147AC">
        <w:rPr>
          <w:rFonts w:cs="Times New Roman"/>
          <w:i/>
          <w:iCs/>
          <w:lang w:val="fr-CA"/>
        </w:rPr>
        <w:t>Code criminel</w:t>
      </w:r>
      <w:r w:rsidRPr="005147AC">
        <w:rPr>
          <w:rFonts w:cs="Times New Roman"/>
          <w:iCs/>
          <w:lang w:val="fr-CA"/>
        </w:rPr>
        <w:t>, L.R.C. 1985, c. C</w:t>
      </w:r>
      <w:r w:rsidRPr="005147AC">
        <w:rPr>
          <w:rFonts w:cs="Times New Roman"/>
          <w:iCs/>
          <w:lang w:val="fr-CA"/>
        </w:rPr>
        <w:noBreakHyphen/>
        <w:t>46</w:t>
      </w:r>
      <w:r w:rsidRPr="005147AC">
        <w:rPr>
          <w:rFonts w:cs="Times New Roman"/>
          <w:lang w:val="fr-CA"/>
        </w:rPr>
        <w:t xml:space="preserve"> (</w:t>
      </w:r>
      <w:r w:rsidRPr="005147AC">
        <w:rPr>
          <w:rFonts w:cs="Times New Roman"/>
          <w:i/>
          <w:lang w:val="fr-CA"/>
        </w:rPr>
        <w:t>Gamble</w:t>
      </w:r>
      <w:r w:rsidRPr="005147AC">
        <w:rPr>
          <w:rFonts w:cs="Times New Roman"/>
          <w:lang w:val="fr-CA"/>
        </w:rPr>
        <w:t>,</w:t>
      </w:r>
      <w:r w:rsidRPr="005147AC">
        <w:rPr>
          <w:rFonts w:cs="Times New Roman"/>
          <w:i/>
          <w:lang w:val="fr-CA"/>
        </w:rPr>
        <w:t xml:space="preserve"> </w:t>
      </w:r>
      <w:r w:rsidRPr="005147AC">
        <w:rPr>
          <w:rFonts w:cs="Times New Roman"/>
          <w:lang w:val="fr-CA"/>
        </w:rPr>
        <w:t xml:space="preserve">p. 636). Dans la deuxième, </w:t>
      </w:r>
      <w:r w:rsidRPr="005147AC">
        <w:rPr>
          <w:rFonts w:cs="Times New Roman"/>
          <w:lang w:val="fr-CA" w:bidi="en-US"/>
        </w:rPr>
        <w:t>il existe un « régime complet, exhaustif et spécialisé prévoyant une procédure d’examen au moins aussi large et aussi avantageuse que celle de l’</w:t>
      </w:r>
      <w:r w:rsidRPr="005147AC">
        <w:rPr>
          <w:rFonts w:cs="Times New Roman"/>
          <w:i/>
          <w:iCs/>
          <w:lang w:val="fr-CA" w:bidi="en-US"/>
        </w:rPr>
        <w:t>habeas corpus</w:t>
      </w:r>
      <w:r w:rsidRPr="005147AC">
        <w:rPr>
          <w:rFonts w:cs="Times New Roman"/>
          <w:lang w:val="fr-CA" w:bidi="en-US"/>
        </w:rPr>
        <w:t>, à la lumière des remises en cause de la détention énoncées dans la demande d’</w:t>
      </w:r>
      <w:r w:rsidRPr="005147AC">
        <w:rPr>
          <w:rFonts w:cs="Times New Roman"/>
          <w:i/>
          <w:iCs/>
          <w:lang w:val="fr-CA" w:bidi="en-US"/>
        </w:rPr>
        <w:t>habeas corpus</w:t>
      </w:r>
      <w:r w:rsidRPr="005147AC">
        <w:rPr>
          <w:rFonts w:cs="Times New Roman"/>
          <w:lang w:val="fr-CA" w:bidi="en-US"/>
        </w:rPr>
        <w:t> »</w:t>
      </w:r>
      <w:r w:rsidRPr="005147AC">
        <w:rPr>
          <w:rFonts w:cs="Times New Roman"/>
          <w:lang w:val="fr-CA"/>
        </w:rPr>
        <w:t xml:space="preserve"> (</w:t>
      </w:r>
      <w:r w:rsidRPr="005147AC">
        <w:rPr>
          <w:rFonts w:cs="Times New Roman"/>
          <w:i/>
          <w:lang w:val="fr-CA"/>
        </w:rPr>
        <w:t>Chhina</w:t>
      </w:r>
      <w:r w:rsidRPr="005147AC">
        <w:rPr>
          <w:rFonts w:cs="Times New Roman"/>
          <w:lang w:val="fr-CA"/>
        </w:rPr>
        <w:t xml:space="preserve">, par. 40). Dans l’arrêt </w:t>
      </w:r>
      <w:r w:rsidRPr="005147AC">
        <w:rPr>
          <w:rFonts w:cs="Times New Roman"/>
          <w:i/>
          <w:lang w:val="fr-CA"/>
        </w:rPr>
        <w:t>May</w:t>
      </w:r>
      <w:r w:rsidRPr="005147AC">
        <w:rPr>
          <w:rFonts w:cs="Times New Roman"/>
          <w:lang w:val="fr-CA"/>
        </w:rPr>
        <w:t xml:space="preserve">, notre Cour a clairement indiqué que la procédure interne de règlement des griefs prévue par la </w:t>
      </w:r>
      <w:r w:rsidRPr="005147AC">
        <w:rPr>
          <w:rFonts w:cs="Times New Roman"/>
          <w:i/>
          <w:lang w:val="fr-CA"/>
        </w:rPr>
        <w:t xml:space="preserve">LSCMLC </w:t>
      </w:r>
      <w:r w:rsidRPr="005147AC">
        <w:rPr>
          <w:rFonts w:cs="Times New Roman"/>
          <w:lang w:val="fr-CA"/>
        </w:rPr>
        <w:t>pour les décisions relatives à l’attribution de cotes de sécurité n’était pas un « </w:t>
      </w:r>
      <w:r w:rsidRPr="005147AC">
        <w:rPr>
          <w:rFonts w:cs="Times New Roman"/>
          <w:lang w:val="fr-CA" w:bidi="en-US"/>
        </w:rPr>
        <w:t xml:space="preserve">régime [. . .] complet, exhaustif et spécialisé [mis en place par le législateur] » </w:t>
      </w:r>
      <w:r w:rsidRPr="005147AC">
        <w:rPr>
          <w:rFonts w:cs="Times New Roman"/>
          <w:lang w:val="fr-CA"/>
        </w:rPr>
        <w:t xml:space="preserve">(par. 63; voir aussi les par. 62 et 64; </w:t>
      </w:r>
      <w:r w:rsidRPr="005147AC">
        <w:rPr>
          <w:rFonts w:cs="Times New Roman"/>
          <w:i/>
          <w:lang w:val="fr-CA"/>
        </w:rPr>
        <w:t>Reza c. Canada</w:t>
      </w:r>
      <w:r w:rsidRPr="005147AC">
        <w:rPr>
          <w:rFonts w:cs="Times New Roman"/>
          <w:lang w:val="fr-CA"/>
        </w:rPr>
        <w:t>, [1994] 2 R.C.S. 394, p. 405). Les cours supérieures provinciales ne peuvent pas non plus refuser d’exercer leur compétence au profit de celle de la Cour fédérale (</w:t>
      </w:r>
      <w:r w:rsidRPr="005147AC">
        <w:rPr>
          <w:rFonts w:cs="Times New Roman"/>
          <w:i/>
          <w:lang w:val="fr-CA"/>
        </w:rPr>
        <w:t>May</w:t>
      </w:r>
      <w:r w:rsidRPr="005147AC">
        <w:rPr>
          <w:rFonts w:cs="Times New Roman"/>
          <w:lang w:val="fr-CA"/>
        </w:rPr>
        <w:t>, par. 65</w:t>
      </w:r>
      <w:r w:rsidRPr="005147AC">
        <w:rPr>
          <w:rFonts w:cs="Times New Roman"/>
          <w:lang w:val="fr-CA"/>
        </w:rPr>
        <w:noBreakHyphen/>
        <w:t>72).</w:t>
      </w:r>
    </w:p>
    <w:p w14:paraId="613D6ADF" w14:textId="77777777" w:rsidR="005147AC" w:rsidRPr="005147AC" w:rsidRDefault="005147AC" w:rsidP="005147AC">
      <w:pPr>
        <w:pStyle w:val="ParaNoNdepar-AltN"/>
        <w:rPr>
          <w:rFonts w:cs="Times New Roman"/>
          <w:lang w:val="fr-CA"/>
        </w:rPr>
      </w:pPr>
      <w:r w:rsidRPr="005147AC">
        <w:rPr>
          <w:rFonts w:cs="Times New Roman"/>
          <w:lang w:val="fr-CA"/>
        </w:rPr>
        <w:t xml:space="preserve">Aucune des parties n’a soutenu que les décisions refusant de modifier une cote de sécurité relevaient de l’une des deux </w:t>
      </w:r>
      <w:r w:rsidRPr="005147AC">
        <w:rPr>
          <w:rFonts w:cs="Times New Roman"/>
          <w:lang w:val="fr-CA" w:bidi="en-US"/>
        </w:rPr>
        <w:t>exceptions à la compétence</w:t>
      </w:r>
      <w:r w:rsidRPr="005147AC">
        <w:rPr>
          <w:rFonts w:cs="Times New Roman"/>
          <w:lang w:val="fr-CA"/>
        </w:rPr>
        <w:t xml:space="preserve">. La présente affaire ne porte pas sur une compétence concurrente ni sur la portée du contrôle visant à évaluer la légalité de la privation de liberté. Elle porte plutôt sur la question précise de savoir si la décision prise à l’issue de la réévaluation d’une cote de sécurité est susceptible de donner ouverture au bref (m.i., par. 88). Néanmoins, l’intimé affirme que les détenus qui se voient refuser une cote de sécurité moins élevée disposent tout de même de plusieurs autres recours pour obtenir réparation en cas de maintien de leur détention. Ainsi, ils peuvent se prévaloir de la procédure interne de règlement des griefs de SCC ou saisir la Cour fédérale d’une demande de contrôle judiciaire. </w:t>
      </w:r>
    </w:p>
    <w:p w14:paraId="0C39C5E1" w14:textId="77777777" w:rsidR="005147AC" w:rsidRPr="005147AC" w:rsidRDefault="005147AC" w:rsidP="005147AC">
      <w:pPr>
        <w:pStyle w:val="ParaNoNdepar-AltN"/>
        <w:rPr>
          <w:rFonts w:cs="Times New Roman"/>
          <w:lang w:val="fr-CA"/>
        </w:rPr>
      </w:pPr>
      <w:r w:rsidRPr="005147AC">
        <w:rPr>
          <w:rFonts w:cs="Times New Roman"/>
          <w:lang w:val="fr-CA"/>
        </w:rPr>
        <w:lastRenderedPageBreak/>
        <w:t>Cet argument n’a aucune incidence sur la question de savoir s’il est possible de recourir à l’</w:t>
      </w:r>
      <w:r w:rsidRPr="005147AC">
        <w:rPr>
          <w:rFonts w:cs="Times New Roman"/>
          <w:i/>
          <w:iCs/>
          <w:lang w:val="fr-CA"/>
        </w:rPr>
        <w:t>habeas corpus</w:t>
      </w:r>
      <w:r w:rsidRPr="005147AC">
        <w:rPr>
          <w:rFonts w:cs="Times New Roman"/>
          <w:lang w:val="fr-CA"/>
        </w:rPr>
        <w:t xml:space="preserve"> pour faire réviser les décisions refusant d’attribuer une cote de sécurité moins élevée. Ainsi que la Cour l’a déclaré dans l’arrêt </w:t>
      </w:r>
      <w:r w:rsidRPr="005147AC">
        <w:rPr>
          <w:rFonts w:cs="Times New Roman"/>
          <w:i/>
          <w:lang w:val="fr-CA"/>
        </w:rPr>
        <w:t>May :</w:t>
      </w:r>
      <w:r w:rsidRPr="005147AC">
        <w:rPr>
          <w:rFonts w:cs="Times New Roman"/>
          <w:lang w:val="fr-CA"/>
        </w:rPr>
        <w:t xml:space="preserve"> </w:t>
      </w:r>
    </w:p>
    <w:p w14:paraId="1F690C8D" w14:textId="77777777" w:rsidR="005147AC" w:rsidRPr="005147AC" w:rsidRDefault="005147AC" w:rsidP="005147AC">
      <w:pPr>
        <w:pStyle w:val="Citation-AltC"/>
        <w:spacing w:after="240"/>
        <w:ind w:left="1168" w:hanging="1168"/>
        <w:contextualSpacing w:val="0"/>
        <w:rPr>
          <w:lang w:val="fr-CA"/>
        </w:rPr>
      </w:pPr>
      <w:r w:rsidRPr="005147AC">
        <w:rPr>
          <w:lang w:val="fr-CA" w:bidi="en-US"/>
        </w:rPr>
        <w:tab/>
        <w:t>La portée du recours à l’</w:t>
      </w:r>
      <w:r w:rsidRPr="005147AC">
        <w:rPr>
          <w:i/>
          <w:iCs/>
          <w:lang w:val="fr-CA" w:bidi="en-US"/>
        </w:rPr>
        <w:t>habeas corpus</w:t>
      </w:r>
      <w:r w:rsidRPr="005147AC">
        <w:rPr>
          <w:lang w:val="fr-CA" w:bidi="en-US"/>
        </w:rPr>
        <w:t xml:space="preserve"> doit d’abord être examinée en fonction de son propre fondement, indépendamment des problèmes que peuvent poser le partage ou le chevauchement des compétences. L’importance générale de ce recours comme moyen traditionnel de contester les privations de liberté est telle que son développement et son adaptation aux réalités modernes de la détention en milieu carcéral ne doivent pas être compromis par des craintes de conflits de compétence</w:t>
      </w:r>
      <w:r w:rsidRPr="005147AC">
        <w:rPr>
          <w:lang w:val="fr-CA"/>
        </w:rPr>
        <w:t>. [Soulignement omis.]</w:t>
      </w:r>
    </w:p>
    <w:p w14:paraId="1C133F76" w14:textId="77777777" w:rsidR="005147AC" w:rsidRPr="005147AC" w:rsidRDefault="005147AC" w:rsidP="005147AC">
      <w:pPr>
        <w:pStyle w:val="Citation-AltC"/>
        <w:ind w:hanging="1166"/>
        <w:rPr>
          <w:lang w:val="fr-CA"/>
        </w:rPr>
      </w:pPr>
      <w:r w:rsidRPr="005147AC">
        <w:rPr>
          <w:lang w:val="fr-CA"/>
        </w:rPr>
        <w:tab/>
        <w:t xml:space="preserve">(par. 31, citant </w:t>
      </w:r>
      <w:r w:rsidRPr="005147AC">
        <w:rPr>
          <w:i/>
          <w:lang w:val="fr-CA"/>
        </w:rPr>
        <w:t>Miller</w:t>
      </w:r>
      <w:r w:rsidRPr="005147AC">
        <w:rPr>
          <w:lang w:val="fr-CA"/>
        </w:rPr>
        <w:t>, p. 641.)</w:t>
      </w:r>
    </w:p>
    <w:p w14:paraId="29765B39" w14:textId="77777777" w:rsidR="005147AC" w:rsidRPr="005147AC" w:rsidRDefault="005147AC" w:rsidP="005147AC">
      <w:pPr>
        <w:pStyle w:val="ContinueParaSuitedupar-AltP"/>
        <w:rPr>
          <w:rFonts w:cs="Times New Roman"/>
          <w:lang w:val="fr-CA"/>
        </w:rPr>
      </w:pPr>
      <w:r w:rsidRPr="005147AC">
        <w:rPr>
          <w:rFonts w:cs="Times New Roman"/>
          <w:lang w:val="fr-CA"/>
        </w:rPr>
        <w:t>Le refus d’attribuer une cote de sécurité inférieure constitue une privation de liberté et relève donc du champ d’application du contrôle par voie d’</w:t>
      </w:r>
      <w:r w:rsidRPr="005147AC">
        <w:rPr>
          <w:rFonts w:cs="Times New Roman"/>
          <w:i/>
          <w:lang w:val="fr-CA"/>
        </w:rPr>
        <w:t xml:space="preserve">habeas corpus </w:t>
      </w:r>
      <w:r w:rsidRPr="005147AC">
        <w:rPr>
          <w:rFonts w:cs="Times New Roman"/>
          <w:lang w:val="fr-CA"/>
        </w:rPr>
        <w:t>sur le fond. Je souligne que la décision sur la question de savoir si un régime législatif constitue un « r</w:t>
      </w:r>
      <w:r w:rsidRPr="005147AC">
        <w:rPr>
          <w:rFonts w:cs="Times New Roman"/>
          <w:szCs w:val="27"/>
          <w:lang w:val="fr-CA"/>
        </w:rPr>
        <w:t>égime complet, exhaustif et spécialisé prévoyant une procédure d’examen au moins aussi large et aussi avantageuse que celle de l’</w:t>
      </w:r>
      <w:r w:rsidRPr="005147AC">
        <w:rPr>
          <w:rFonts w:cs="Times New Roman"/>
          <w:i/>
          <w:iCs/>
          <w:szCs w:val="27"/>
          <w:lang w:val="fr-CA"/>
        </w:rPr>
        <w:t>habeas corpus </w:t>
      </w:r>
      <w:r w:rsidRPr="005147AC">
        <w:rPr>
          <w:rFonts w:cs="Times New Roman"/>
          <w:iCs/>
          <w:szCs w:val="27"/>
          <w:lang w:val="fr-CA"/>
        </w:rPr>
        <w:t>»</w:t>
      </w:r>
      <w:r w:rsidRPr="005147AC">
        <w:rPr>
          <w:rFonts w:cs="Times New Roman"/>
          <w:i/>
          <w:iCs/>
          <w:szCs w:val="27"/>
          <w:lang w:val="fr-CA"/>
        </w:rPr>
        <w:t xml:space="preserve"> </w:t>
      </w:r>
      <w:r w:rsidRPr="005147AC">
        <w:rPr>
          <w:rFonts w:cs="Times New Roman"/>
          <w:iCs/>
          <w:szCs w:val="27"/>
          <w:lang w:val="fr-CA"/>
        </w:rPr>
        <w:t>dépend elle aussi du contexte (</w:t>
      </w:r>
      <w:r w:rsidRPr="005147AC">
        <w:rPr>
          <w:rFonts w:cs="Times New Roman"/>
          <w:i/>
          <w:iCs/>
          <w:szCs w:val="27"/>
          <w:lang w:val="fr-CA"/>
        </w:rPr>
        <w:t>Chhina</w:t>
      </w:r>
      <w:r w:rsidRPr="005147AC">
        <w:rPr>
          <w:rFonts w:cs="Times New Roman"/>
          <w:iCs/>
          <w:szCs w:val="27"/>
          <w:lang w:val="fr-CA"/>
        </w:rPr>
        <w:t xml:space="preserve">, par. 40). </w:t>
      </w:r>
      <w:r w:rsidRPr="005147AC">
        <w:rPr>
          <w:rFonts w:cs="Times New Roman"/>
          <w:lang w:val="fr-CA"/>
        </w:rPr>
        <w:t>L’existence d’autres voies de recours ne fait pas obstacle à la possibilité de se prévaloir de l’</w:t>
      </w:r>
      <w:r w:rsidRPr="005147AC">
        <w:rPr>
          <w:rFonts w:cs="Times New Roman"/>
          <w:i/>
          <w:lang w:val="fr-CA"/>
        </w:rPr>
        <w:t>habeas corpus</w:t>
      </w:r>
      <w:r w:rsidRPr="005147AC">
        <w:rPr>
          <w:rFonts w:cs="Times New Roman"/>
          <w:lang w:val="fr-CA"/>
        </w:rPr>
        <w:t xml:space="preserve"> (voir </w:t>
      </w:r>
      <w:r w:rsidRPr="005147AC">
        <w:rPr>
          <w:rFonts w:cs="Times New Roman"/>
          <w:i/>
          <w:iCs/>
          <w:lang w:val="fr-CA"/>
        </w:rPr>
        <w:t>May</w:t>
      </w:r>
      <w:r w:rsidRPr="005147AC">
        <w:rPr>
          <w:rFonts w:cs="Times New Roman"/>
          <w:lang w:val="fr-CA"/>
        </w:rPr>
        <w:t>, par. 65</w:t>
      </w:r>
      <w:r w:rsidRPr="005147AC">
        <w:rPr>
          <w:rFonts w:cs="Times New Roman"/>
          <w:lang w:val="fr-CA"/>
        </w:rPr>
        <w:noBreakHyphen/>
        <w:t xml:space="preserve">72; </w:t>
      </w:r>
      <w:r w:rsidRPr="005147AC">
        <w:rPr>
          <w:rFonts w:cs="Times New Roman"/>
          <w:i/>
          <w:iCs/>
          <w:lang w:val="fr-CA"/>
        </w:rPr>
        <w:t>Khela</w:t>
      </w:r>
      <w:r w:rsidRPr="005147AC">
        <w:rPr>
          <w:rFonts w:cs="Times New Roman"/>
          <w:lang w:val="fr-CA"/>
        </w:rPr>
        <w:t>, par. 43</w:t>
      </w:r>
      <w:r w:rsidRPr="005147AC">
        <w:rPr>
          <w:rFonts w:cs="Times New Roman"/>
          <w:lang w:val="fr-CA"/>
        </w:rPr>
        <w:noBreakHyphen/>
        <w:t xml:space="preserve">49; </w:t>
      </w:r>
      <w:r w:rsidRPr="005147AC">
        <w:rPr>
          <w:rFonts w:cs="Times New Roman"/>
          <w:i/>
          <w:iCs/>
          <w:lang w:val="fr-CA"/>
        </w:rPr>
        <w:t>Chhina</w:t>
      </w:r>
      <w:r w:rsidRPr="005147AC">
        <w:rPr>
          <w:rFonts w:cs="Times New Roman"/>
          <w:lang w:val="fr-CA"/>
        </w:rPr>
        <w:t>, par. 64</w:t>
      </w:r>
      <w:r w:rsidRPr="005147AC">
        <w:rPr>
          <w:rFonts w:cs="Times New Roman"/>
          <w:lang w:val="fr-CA"/>
        </w:rPr>
        <w:noBreakHyphen/>
        <w:t>67).</w:t>
      </w:r>
    </w:p>
    <w:p w14:paraId="3C966CE1" w14:textId="77777777" w:rsidR="005147AC" w:rsidRPr="005147AC" w:rsidRDefault="005147AC" w:rsidP="005147AC">
      <w:pPr>
        <w:pStyle w:val="ParaNoNdepar-AltN"/>
        <w:rPr>
          <w:rFonts w:cs="Times New Roman"/>
          <w:lang w:val="fr-CA"/>
        </w:rPr>
      </w:pPr>
      <w:r w:rsidRPr="005147AC">
        <w:rPr>
          <w:rFonts w:cs="Times New Roman"/>
          <w:lang w:val="fr-CA"/>
        </w:rPr>
        <w:t xml:space="preserve">De plus, il se peut que les autres formes de réparation ne conviennent pas aux détenus qui se sont vu refuser l’attribution d’une cote de sécurité inférieure, parce qu’elles ne prévoient pas de contrôle rapide et indépendant et ne permettent pas </w:t>
      </w:r>
      <w:r w:rsidRPr="005147AC">
        <w:rPr>
          <w:rFonts w:cs="Times New Roman"/>
          <w:lang w:val="fr-CA"/>
        </w:rPr>
        <w:lastRenderedPageBreak/>
        <w:t>d’accorder la réparation efficace que constitue le transfèrement dans un établissement à sécurité moins élevée. Notre Cour a constamment jugé qu’il est plus avantageux pour un détenu de solliciter un bref d’</w:t>
      </w:r>
      <w:r w:rsidRPr="005147AC">
        <w:rPr>
          <w:rFonts w:cs="Times New Roman"/>
          <w:i/>
          <w:lang w:val="fr-CA"/>
        </w:rPr>
        <w:t>habeas corpus</w:t>
      </w:r>
      <w:r w:rsidRPr="005147AC">
        <w:rPr>
          <w:rFonts w:cs="Times New Roman"/>
          <w:lang w:val="fr-CA"/>
        </w:rPr>
        <w:t xml:space="preserve"> en cour supérieure provinciale que de saisir la Cour fédérale d’une demande de contrôle judiciaire (voir </w:t>
      </w:r>
      <w:r w:rsidRPr="005147AC">
        <w:rPr>
          <w:rFonts w:cs="Times New Roman"/>
          <w:i/>
          <w:lang w:val="fr-CA"/>
        </w:rPr>
        <w:t>May</w:t>
      </w:r>
      <w:r w:rsidRPr="005147AC">
        <w:rPr>
          <w:rFonts w:cs="Times New Roman"/>
          <w:lang w:val="fr-CA"/>
        </w:rPr>
        <w:t>, par. 65</w:t>
      </w:r>
      <w:r w:rsidRPr="005147AC">
        <w:rPr>
          <w:rFonts w:cs="Times New Roman"/>
          <w:lang w:val="fr-CA"/>
        </w:rPr>
        <w:noBreakHyphen/>
        <w:t xml:space="preserve">72; </w:t>
      </w:r>
      <w:r w:rsidRPr="005147AC">
        <w:rPr>
          <w:rFonts w:cs="Times New Roman"/>
          <w:i/>
          <w:lang w:val="fr-CA"/>
        </w:rPr>
        <w:t>Khela</w:t>
      </w:r>
      <w:r w:rsidRPr="005147AC">
        <w:rPr>
          <w:rFonts w:cs="Times New Roman"/>
          <w:lang w:val="fr-CA"/>
        </w:rPr>
        <w:t>, par. 43</w:t>
      </w:r>
      <w:r w:rsidRPr="005147AC">
        <w:rPr>
          <w:rFonts w:cs="Times New Roman"/>
          <w:lang w:val="fr-CA"/>
        </w:rPr>
        <w:noBreakHyphen/>
        <w:t xml:space="preserve">49; </w:t>
      </w:r>
      <w:r w:rsidRPr="005147AC">
        <w:rPr>
          <w:rFonts w:cs="Times New Roman"/>
          <w:i/>
          <w:lang w:val="fr-CA"/>
        </w:rPr>
        <w:t>Chhina</w:t>
      </w:r>
      <w:r w:rsidRPr="005147AC">
        <w:rPr>
          <w:rFonts w:cs="Times New Roman"/>
          <w:lang w:val="fr-CA"/>
        </w:rPr>
        <w:t>, par. 64</w:t>
      </w:r>
      <w:r w:rsidRPr="005147AC">
        <w:rPr>
          <w:rFonts w:cs="Times New Roman"/>
          <w:lang w:val="fr-CA"/>
        </w:rPr>
        <w:noBreakHyphen/>
        <w:t>67). On souligne souvent les différences suivantes : (1) une requête en</w:t>
      </w:r>
      <w:r w:rsidRPr="005147AC">
        <w:rPr>
          <w:rFonts w:cs="Times New Roman"/>
          <w:i/>
          <w:lang w:val="fr-CA"/>
        </w:rPr>
        <w:t xml:space="preserve"> habeas corpus</w:t>
      </w:r>
      <w:r w:rsidRPr="005147AC">
        <w:rPr>
          <w:rFonts w:cs="Times New Roman"/>
          <w:lang w:val="fr-CA"/>
        </w:rPr>
        <w:t xml:space="preserve"> peut être examinée plus rapidement (souvent dans un délai d’une semaine), tandis qu’une demande de contrôle judiciaire ne peut être introduite devant la Cour fédérale que 160 jours après la décision contestée (</w:t>
      </w:r>
      <w:r w:rsidRPr="005147AC">
        <w:rPr>
          <w:rFonts w:cs="Times New Roman"/>
          <w:i/>
          <w:lang w:val="fr-CA"/>
        </w:rPr>
        <w:t>Loi sur les Cours fédérales</w:t>
      </w:r>
      <w:r w:rsidRPr="005147AC">
        <w:rPr>
          <w:rFonts w:cs="Times New Roman"/>
          <w:iCs/>
          <w:lang w:val="fr-CA"/>
        </w:rPr>
        <w:t xml:space="preserve">, L.R.C. 1985, c. F-7, </w:t>
      </w:r>
      <w:r w:rsidRPr="005147AC">
        <w:rPr>
          <w:rFonts w:cs="Times New Roman"/>
          <w:lang w:val="fr-CA"/>
        </w:rPr>
        <w:t xml:space="preserve">par. 18.1(2); </w:t>
      </w:r>
      <w:r w:rsidRPr="005147AC">
        <w:rPr>
          <w:rFonts w:cs="Times New Roman"/>
          <w:i/>
          <w:iCs/>
          <w:lang w:val="fr-CA"/>
        </w:rPr>
        <w:t>Règles des Cours fédérales</w:t>
      </w:r>
      <w:r w:rsidRPr="005147AC">
        <w:rPr>
          <w:rFonts w:cs="Times New Roman"/>
          <w:lang w:val="fr-CA"/>
        </w:rPr>
        <w:t>,</w:t>
      </w:r>
      <w:r w:rsidRPr="005147AC">
        <w:rPr>
          <w:rFonts w:cs="Times New Roman"/>
          <w:i/>
          <w:iCs/>
          <w:lang w:val="fr-CA"/>
        </w:rPr>
        <w:t xml:space="preserve"> </w:t>
      </w:r>
      <w:r w:rsidRPr="005147AC">
        <w:rPr>
          <w:rFonts w:cs="Times New Roman"/>
          <w:lang w:val="fr-CA"/>
        </w:rPr>
        <w:t>DORS/98</w:t>
      </w:r>
      <w:r w:rsidRPr="005147AC">
        <w:rPr>
          <w:rFonts w:cs="Times New Roman"/>
          <w:lang w:val="fr-CA"/>
        </w:rPr>
        <w:noBreakHyphen/>
        <w:t xml:space="preserve">106, règles 301 à 314); (2) généralement, la décision par laquelle la Cour fédérale accueille la demande de contrôle judiciaire d’un détenu donne lieu à une ordonnance de réexamen, et non à une libération; or, la Cour fédérale n’a pas, à ce jour, rendu d’ordonnance de </w:t>
      </w:r>
      <w:r w:rsidRPr="005147AC">
        <w:rPr>
          <w:rFonts w:cs="Times New Roman"/>
          <w:i/>
          <w:lang w:val="fr-CA"/>
        </w:rPr>
        <w:t xml:space="preserve">mandamus </w:t>
      </w:r>
      <w:r w:rsidRPr="005147AC">
        <w:rPr>
          <w:rFonts w:cs="Times New Roman"/>
          <w:lang w:val="fr-CA"/>
        </w:rPr>
        <w:t xml:space="preserve">pour libérer un détenu (voir </w:t>
      </w:r>
      <w:r w:rsidRPr="005147AC">
        <w:rPr>
          <w:rFonts w:cs="Times New Roman"/>
          <w:i/>
          <w:lang w:val="fr-CA"/>
        </w:rPr>
        <w:t>Chhina</w:t>
      </w:r>
      <w:r w:rsidRPr="005147AC">
        <w:rPr>
          <w:rFonts w:cs="Times New Roman"/>
          <w:lang w:val="fr-CA"/>
        </w:rPr>
        <w:t>, par. 65); (3) la portée du contrôle par voie d’</w:t>
      </w:r>
      <w:r w:rsidRPr="005147AC">
        <w:rPr>
          <w:rFonts w:cs="Times New Roman"/>
          <w:i/>
          <w:lang w:val="fr-CA"/>
        </w:rPr>
        <w:t xml:space="preserve">habeas corpus </w:t>
      </w:r>
      <w:r w:rsidRPr="005147AC">
        <w:rPr>
          <w:rFonts w:cs="Times New Roman"/>
          <w:lang w:val="fr-CA"/>
        </w:rPr>
        <w:t>est plus large, car il vise la légalité de la détention dans son ensemble, et non une décision administrative en particulier (voir le par. 64);</w:t>
      </w:r>
      <w:r w:rsidRPr="005147AC">
        <w:rPr>
          <w:rFonts w:cs="Times New Roman"/>
          <w:i/>
          <w:lang w:val="fr-CA"/>
        </w:rPr>
        <w:t xml:space="preserve"> </w:t>
      </w:r>
      <w:r w:rsidRPr="005147AC">
        <w:rPr>
          <w:rFonts w:cs="Times New Roman"/>
          <w:lang w:val="fr-CA"/>
        </w:rPr>
        <w:t xml:space="preserve">(4) le contrôle judiciaire est discrétionnaire et c’est au requérant qu’il incombe de démontrer l’illégalité, alors que, dans le cas d’une requête en </w:t>
      </w:r>
      <w:r w:rsidRPr="005147AC">
        <w:rPr>
          <w:rFonts w:cs="Times New Roman"/>
          <w:i/>
          <w:lang w:val="fr-CA"/>
        </w:rPr>
        <w:t>habeas corpus</w:t>
      </w:r>
      <w:r w:rsidRPr="005147AC">
        <w:rPr>
          <w:rFonts w:cs="Times New Roman"/>
          <w:iCs/>
          <w:lang w:val="fr-CA"/>
        </w:rPr>
        <w:t>,</w:t>
      </w:r>
      <w:r w:rsidRPr="005147AC">
        <w:rPr>
          <w:rFonts w:cs="Times New Roman"/>
          <w:i/>
          <w:lang w:val="fr-CA"/>
        </w:rPr>
        <w:t xml:space="preserve"> </w:t>
      </w:r>
      <w:r w:rsidRPr="005147AC">
        <w:rPr>
          <w:rFonts w:cs="Times New Roman"/>
          <w:lang w:val="fr-CA"/>
        </w:rPr>
        <w:t>il y a inversion du fardeau de la preuve à la troisième étape de l’analyse; (5) les cours supérieures provinciales de leur région sont plus aisément accessibles aux détenus (</w:t>
      </w:r>
      <w:r w:rsidRPr="005147AC">
        <w:rPr>
          <w:rFonts w:cs="Times New Roman"/>
          <w:i/>
          <w:lang w:val="fr-CA"/>
        </w:rPr>
        <w:t>Khela</w:t>
      </w:r>
      <w:r w:rsidRPr="005147AC">
        <w:rPr>
          <w:rFonts w:cs="Times New Roman"/>
          <w:lang w:val="fr-CA"/>
        </w:rPr>
        <w:t>, par. 47).</w:t>
      </w:r>
    </w:p>
    <w:p w14:paraId="71DBBF0A" w14:textId="77777777" w:rsidR="005147AC" w:rsidRPr="005147AC" w:rsidRDefault="005147AC" w:rsidP="005147AC">
      <w:pPr>
        <w:pStyle w:val="ParaNoNdepar-AltN"/>
        <w:rPr>
          <w:rFonts w:cs="Times New Roman"/>
          <w:lang w:val="fr-CA"/>
        </w:rPr>
      </w:pPr>
      <w:r w:rsidRPr="005147AC">
        <w:rPr>
          <w:rFonts w:cs="Times New Roman"/>
          <w:lang w:val="fr-CA"/>
        </w:rPr>
        <w:t xml:space="preserve">L’intimé soutient également que les cours supérieures provinciales ne disposent pas du pouvoir de réparation qui leur permettrait d’ordonner le transfèrement </w:t>
      </w:r>
      <w:r w:rsidRPr="005147AC">
        <w:rPr>
          <w:rFonts w:cs="Times New Roman"/>
          <w:lang w:val="fr-CA"/>
        </w:rPr>
        <w:lastRenderedPageBreak/>
        <w:t xml:space="preserve">de détenus dans des établissements à sécurité moins élevée où ils n’ont jamais séjourné. En effet, les cours supérieures provinciales n’ont pas compétence en matière de </w:t>
      </w:r>
      <w:r w:rsidRPr="005147AC">
        <w:rPr>
          <w:rFonts w:cs="Times New Roman"/>
          <w:i/>
          <w:iCs/>
          <w:lang w:val="fr-CA"/>
        </w:rPr>
        <w:t>certiorari</w:t>
      </w:r>
      <w:r w:rsidRPr="005147AC">
        <w:rPr>
          <w:rFonts w:cs="Times New Roman"/>
          <w:lang w:val="fr-CA"/>
        </w:rPr>
        <w:t xml:space="preserve">, de </w:t>
      </w:r>
      <w:r w:rsidRPr="005147AC">
        <w:rPr>
          <w:rFonts w:cs="Times New Roman"/>
          <w:i/>
          <w:iCs/>
          <w:lang w:val="fr-CA"/>
        </w:rPr>
        <w:t>mandamus</w:t>
      </w:r>
      <w:r w:rsidRPr="005147AC">
        <w:rPr>
          <w:rFonts w:cs="Times New Roman"/>
          <w:lang w:val="fr-CA"/>
        </w:rPr>
        <w:t xml:space="preserve"> et de jugement déclaratoire relativement aux organismes administratifs fédéraux (m.i., par. 80</w:t>
      </w:r>
      <w:r w:rsidRPr="005147AC">
        <w:rPr>
          <w:rFonts w:cs="Times New Roman"/>
          <w:lang w:val="fr-CA"/>
        </w:rPr>
        <w:noBreakHyphen/>
        <w:t xml:space="preserve">83). </w:t>
      </w:r>
    </w:p>
    <w:p w14:paraId="163CD188" w14:textId="77777777" w:rsidR="005147AC" w:rsidRPr="005147AC" w:rsidRDefault="005147AC" w:rsidP="005147AC">
      <w:pPr>
        <w:pStyle w:val="ParaNoNdepar-AltN"/>
        <w:rPr>
          <w:rFonts w:cs="Times New Roman"/>
          <w:lang w:val="fr-CA"/>
        </w:rPr>
      </w:pPr>
      <w:r w:rsidRPr="005147AC">
        <w:rPr>
          <w:rFonts w:cs="Times New Roman"/>
          <w:lang w:val="fr-CA"/>
        </w:rPr>
        <w:t>Cet argument repose sur une interprétation très étroite des réparations accordées en vertu de l’</w:t>
      </w:r>
      <w:r w:rsidRPr="005147AC">
        <w:rPr>
          <w:rFonts w:cs="Times New Roman"/>
          <w:i/>
          <w:iCs/>
          <w:lang w:val="fr-CA"/>
        </w:rPr>
        <w:t>habeas corpus</w:t>
      </w:r>
      <w:r w:rsidRPr="005147AC">
        <w:rPr>
          <w:rFonts w:cs="Times New Roman"/>
          <w:lang w:val="fr-CA"/>
        </w:rPr>
        <w:t xml:space="preserve"> qui est contraire à la jurisprudence de notre Cour. </w:t>
      </w:r>
    </w:p>
    <w:p w14:paraId="363EFB4A" w14:textId="77777777" w:rsidR="005147AC" w:rsidRPr="005147AC" w:rsidRDefault="005147AC" w:rsidP="005147AC">
      <w:pPr>
        <w:pStyle w:val="ParaNoNdepar-AltN"/>
        <w:rPr>
          <w:rFonts w:cs="Times New Roman"/>
          <w:lang w:val="fr-CA"/>
        </w:rPr>
      </w:pPr>
      <w:r w:rsidRPr="005147AC">
        <w:rPr>
          <w:rFonts w:cs="Times New Roman"/>
          <w:lang w:val="fr-CA"/>
        </w:rPr>
        <w:t>Tout d’abord, bien qu’une cour supérieure provinciale ne dispose pas du pouvoir discrétionnaire inhérent de refuser d’examiner une requête en</w:t>
      </w:r>
      <w:r w:rsidRPr="005147AC">
        <w:rPr>
          <w:rFonts w:cs="Times New Roman"/>
          <w:i/>
          <w:lang w:val="fr-CA"/>
        </w:rPr>
        <w:t xml:space="preserve"> habeas corpus</w:t>
      </w:r>
      <w:r w:rsidRPr="005147AC">
        <w:rPr>
          <w:rFonts w:cs="Times New Roman"/>
          <w:lang w:val="fr-CA"/>
        </w:rPr>
        <w:t>, elle dispose d’un pouvoir discrétionnaire à la troisième étape de la procédure, après que le juge ait examiné le dossier (</w:t>
      </w:r>
      <w:r w:rsidRPr="005147AC">
        <w:rPr>
          <w:rFonts w:cs="Times New Roman"/>
          <w:i/>
          <w:lang w:val="fr-CA"/>
        </w:rPr>
        <w:t>Khela</w:t>
      </w:r>
      <w:r w:rsidRPr="005147AC">
        <w:rPr>
          <w:rFonts w:cs="Times New Roman"/>
          <w:lang w:val="fr-CA"/>
        </w:rPr>
        <w:t>, par. 78). L’</w:t>
      </w:r>
      <w:r w:rsidRPr="005147AC">
        <w:rPr>
          <w:rFonts w:cs="Times New Roman"/>
          <w:i/>
          <w:lang w:val="fr-CA"/>
        </w:rPr>
        <w:t>habeas corpus</w:t>
      </w:r>
      <w:r w:rsidRPr="005147AC">
        <w:rPr>
          <w:rFonts w:cs="Times New Roman"/>
          <w:lang w:val="fr-CA"/>
        </w:rPr>
        <w:t xml:space="preserve"> consiste à contrôler la légalité de la détention, et bien que la légalité d’une décision en particulier puisse être le point central de l’examen, l’État peut présenter des éléments de preuve pour expliquer pourquoi le requérant ne devrait néanmoins pas être libéré. Je conviens avec l’intervenante la Société John Howard du Canada que SCC peut présenter des éléments de preuve concernant la légalité globale de la détention sur le fond, et que le juge peut en tenir compte pour déterminer s’il y a lieu d’accorder ou non la réparation que constitue la mise en liberté (transcription, p. 99</w:t>
      </w:r>
      <w:r w:rsidRPr="005147AC">
        <w:rPr>
          <w:rFonts w:cs="Times New Roman"/>
          <w:lang w:val="fr-CA"/>
        </w:rPr>
        <w:noBreakHyphen/>
        <w:t xml:space="preserve">100). </w:t>
      </w:r>
    </w:p>
    <w:p w14:paraId="293B1828" w14:textId="77777777" w:rsidR="005147AC" w:rsidRPr="005147AC" w:rsidRDefault="005147AC" w:rsidP="005147AC">
      <w:pPr>
        <w:pStyle w:val="ParaNoNdepar-AltN"/>
        <w:rPr>
          <w:rFonts w:cs="Times New Roman"/>
          <w:lang w:val="fr-CA"/>
        </w:rPr>
      </w:pPr>
      <w:r w:rsidRPr="005147AC">
        <w:rPr>
          <w:rFonts w:cs="Times New Roman"/>
          <w:lang w:val="fr-CA"/>
        </w:rPr>
        <w:t xml:space="preserve">Ensuite, bien que la mise en liberté demeure la réparation habituellement accordée en cas de requête en </w:t>
      </w:r>
      <w:r w:rsidRPr="005147AC">
        <w:rPr>
          <w:rFonts w:cs="Times New Roman"/>
          <w:i/>
          <w:lang w:val="fr-CA"/>
        </w:rPr>
        <w:t>habeas corpus</w:t>
      </w:r>
      <w:r w:rsidRPr="005147AC">
        <w:rPr>
          <w:rFonts w:cs="Times New Roman"/>
          <w:lang w:val="fr-CA"/>
        </w:rPr>
        <w:t xml:space="preserve">, les tribunaux sont habilités, en vertu de leur compétence inhérente, à assortir cette mise en liberté de conditions strictes. </w:t>
      </w:r>
      <w:r w:rsidRPr="005147AC">
        <w:rPr>
          <w:rFonts w:cs="Times New Roman"/>
          <w:lang w:val="fr-CA"/>
        </w:rPr>
        <w:lastRenderedPageBreak/>
        <w:t xml:space="preserve">Comme l’a expliqué le juge Sharpe dans l’arrêt </w:t>
      </w:r>
      <w:r w:rsidRPr="005147AC">
        <w:rPr>
          <w:rFonts w:cs="Times New Roman"/>
          <w:i/>
          <w:iCs/>
          <w:lang w:val="fr-CA"/>
        </w:rPr>
        <w:t>Ogiamien c. Ontario (Community Safety and Correctional Services)</w:t>
      </w:r>
      <w:r w:rsidRPr="005147AC">
        <w:rPr>
          <w:rFonts w:cs="Times New Roman"/>
          <w:lang w:val="fr-CA"/>
        </w:rPr>
        <w:t xml:space="preserve">, 2017 ONCA 839, 55 Imm. L.R. (4th) 220 : </w:t>
      </w:r>
    </w:p>
    <w:p w14:paraId="5B1A7AF1" w14:textId="77777777" w:rsidR="005147AC" w:rsidRPr="005147AC" w:rsidRDefault="005147AC" w:rsidP="005147AC">
      <w:pPr>
        <w:pStyle w:val="Citation-AltC"/>
        <w:ind w:hanging="1166"/>
        <w:rPr>
          <w:rFonts w:eastAsiaTheme="minorEastAsia"/>
        </w:rPr>
      </w:pPr>
      <w:r w:rsidRPr="005147AC">
        <w:rPr>
          <w:rFonts w:eastAsiaTheme="minorEastAsia"/>
          <w:smallCaps/>
          <w:lang w:val="fr-CA"/>
        </w:rPr>
        <w:tab/>
      </w:r>
      <w:r w:rsidRPr="005147AC">
        <w:rPr>
          <w:rFonts w:eastAsiaTheme="minorEastAsia"/>
          <w:smallCaps/>
          <w:lang w:val="fr-CA"/>
        </w:rPr>
        <w:tab/>
        <w:t xml:space="preserve">[traduction] </w:t>
      </w:r>
      <w:r w:rsidRPr="005147AC">
        <w:rPr>
          <w:rFonts w:eastAsiaTheme="minorEastAsia"/>
          <w:lang w:val="fr-CA"/>
        </w:rPr>
        <w:t>Je n’accepte pas la proposition générale [. . .] selon laquelle le juge qui délivre un bref d’</w:t>
      </w:r>
      <w:r w:rsidRPr="005147AC">
        <w:rPr>
          <w:i/>
          <w:lang w:val="fr-CA"/>
        </w:rPr>
        <w:t>habeas corpus</w:t>
      </w:r>
      <w:r w:rsidRPr="005147AC">
        <w:rPr>
          <w:rFonts w:eastAsiaTheme="minorEastAsia"/>
          <w:lang w:val="fr-CA"/>
        </w:rPr>
        <w:t xml:space="preserve"> n’a jamais le pouvoir de l’assortir de conditions. Je souscris à l’argument [. . .] selon lequel une interprétation aussi rigide porterait indûment atteinte aux pouvoirs inhérents de la Cour supérieure de garantir l’efficacité de ses ordonnances. Elle serait également incompatible avec la nécessité de veiller à ce que le droit fondamental de recourir à l’</w:t>
      </w:r>
      <w:r w:rsidRPr="005147AC">
        <w:rPr>
          <w:rFonts w:eastAsiaTheme="minorEastAsia"/>
          <w:i/>
          <w:iCs/>
          <w:lang w:val="fr-CA"/>
        </w:rPr>
        <w:t>habeas corpus</w:t>
      </w:r>
      <w:r w:rsidRPr="005147AC">
        <w:rPr>
          <w:rFonts w:eastAsiaTheme="minorEastAsia"/>
          <w:lang w:val="fr-CA"/>
        </w:rPr>
        <w:t xml:space="preserve">, garanti par la common law et la Constitution, demeure un recours souple et efficace. </w:t>
      </w:r>
      <w:r w:rsidRPr="005147AC">
        <w:rPr>
          <w:rFonts w:eastAsiaTheme="minorEastAsia"/>
        </w:rPr>
        <w:t>[par. 47]</w:t>
      </w:r>
    </w:p>
    <w:p w14:paraId="21EB432C" w14:textId="77777777" w:rsidR="005147AC" w:rsidRPr="005147AC" w:rsidRDefault="005147AC" w:rsidP="005147AC">
      <w:pPr>
        <w:pStyle w:val="ParaNoNdepar-AltN"/>
        <w:rPr>
          <w:rFonts w:cs="Times New Roman"/>
          <w:lang w:val="fr-CA"/>
        </w:rPr>
      </w:pPr>
      <w:r w:rsidRPr="005147AC">
        <w:rPr>
          <w:rFonts w:cs="Times New Roman"/>
          <w:lang w:val="fr-CA"/>
        </w:rPr>
        <w:t>Compte tenu de la souplesse de l’</w:t>
      </w:r>
      <w:r w:rsidRPr="005147AC">
        <w:rPr>
          <w:rFonts w:cs="Times New Roman"/>
          <w:i/>
          <w:lang w:val="fr-CA"/>
        </w:rPr>
        <w:t>habeas corpus</w:t>
      </w:r>
      <w:r w:rsidRPr="005147AC">
        <w:rPr>
          <w:rFonts w:cs="Times New Roman"/>
          <w:lang w:val="fr-CA"/>
        </w:rPr>
        <w:t xml:space="preserve">, les tribunaux ont conçu des conditions de mise en liberté sur mesure pour tenir compte des circonstances particulières dont ils étaient saisis. Après avoir décidé que le refus d’accorder une cote de sécurité inférieure à un détenu est illégal, le tribunal conserve le pouvoir discrétionnaire d’ordonner le transfèrement à un établissement où les conditions de détention sont moins restrictives (avec ou sans condition) ou, selon les circonstances, maintenir la cote de sécurité actuelle du détenu. Par exemple, dans l’affaire </w:t>
      </w:r>
      <w:r w:rsidRPr="005147AC">
        <w:rPr>
          <w:rFonts w:cs="Times New Roman"/>
          <w:i/>
          <w:iCs/>
          <w:lang w:val="fr-CA"/>
        </w:rPr>
        <w:t>Ogiamien</w:t>
      </w:r>
      <w:r w:rsidRPr="005147AC">
        <w:rPr>
          <w:rFonts w:cs="Times New Roman"/>
          <w:lang w:val="fr-CA"/>
        </w:rPr>
        <w:t xml:space="preserve">, le tribunal a assorti la libération du requérant de conditions parce que sa </w:t>
      </w:r>
      <w:r w:rsidRPr="005147AC">
        <w:rPr>
          <w:rFonts w:cs="Times New Roman"/>
          <w:smallCaps/>
          <w:lang w:val="fr-CA"/>
        </w:rPr>
        <w:t>[traduction]</w:t>
      </w:r>
      <w:r w:rsidRPr="005147AC">
        <w:rPr>
          <w:rFonts w:cs="Times New Roman"/>
          <w:lang w:val="fr-CA"/>
        </w:rPr>
        <w:t xml:space="preserve"> « mise en liberté pure et simple ou inconditionnelle ne serait pas convenable » (par. 48; voir aussi le par. 49). De même, bien que le tribunal dans </w:t>
      </w:r>
      <w:r w:rsidRPr="005147AC">
        <w:rPr>
          <w:rFonts w:cs="Times New Roman"/>
          <w:i/>
          <w:lang w:val="fr-CA"/>
        </w:rPr>
        <w:t>Leinen c. Mission Institution (Warden)</w:t>
      </w:r>
      <w:r w:rsidRPr="005147AC">
        <w:rPr>
          <w:rFonts w:cs="Times New Roman"/>
          <w:lang w:val="fr-CA"/>
        </w:rPr>
        <w:t>, 2025 BCCA 257, ait rejeté l’imposition de conditions conçues uniquement pour éviter un inconvénient administratif, il a convenu que les juges pouvaient imposer des conditions de mise en liberté pour répondre aux préoccupations en matière de sécurité publique et favoriser le respect de la loi (par. 64).</w:t>
      </w:r>
    </w:p>
    <w:p w14:paraId="597CBDBC" w14:textId="77777777" w:rsidR="005147AC" w:rsidRPr="005147AC" w:rsidRDefault="005147AC" w:rsidP="005147AC">
      <w:pPr>
        <w:pStyle w:val="ParaNoNdepar-AltN"/>
        <w:rPr>
          <w:rFonts w:cs="Times New Roman"/>
          <w:lang w:val="fr-CA"/>
        </w:rPr>
      </w:pPr>
      <w:bookmarkStart w:id="17" w:name="_Hlk206597524"/>
      <w:bookmarkStart w:id="18" w:name="_Hlk206597709"/>
      <w:r w:rsidRPr="005147AC">
        <w:rPr>
          <w:rFonts w:cs="Times New Roman"/>
          <w:lang w:val="fr-CA"/>
        </w:rPr>
        <w:lastRenderedPageBreak/>
        <w:t>En somme, la possibilité de recourir au bref n’est pas limitée par l’existence d’autres voies de recours, et notre Cour a déjà jugé que d’autres modes de réparation n’étaient ni aussi opportuns ni aussi efficaces que l’</w:t>
      </w:r>
      <w:r w:rsidRPr="005147AC">
        <w:rPr>
          <w:rFonts w:cs="Times New Roman"/>
          <w:i/>
          <w:lang w:val="fr-CA"/>
        </w:rPr>
        <w:t>habeas corpus</w:t>
      </w:r>
      <w:bookmarkEnd w:id="17"/>
      <w:r w:rsidRPr="005147AC">
        <w:rPr>
          <w:rFonts w:cs="Times New Roman"/>
          <w:lang w:val="fr-CA"/>
        </w:rPr>
        <w:t xml:space="preserve">. </w:t>
      </w:r>
      <w:bookmarkEnd w:id="18"/>
      <w:r w:rsidRPr="005147AC">
        <w:rPr>
          <w:rFonts w:cs="Times New Roman"/>
          <w:lang w:val="fr-CA"/>
        </w:rPr>
        <w:t xml:space="preserve">La réparation qui fait suite à une requête accueillie consiste à transférer la personne incarcérée vers un établissement où les conditions de détention sont moins restrictives, mais SCC peut présenter des éléments de preuve au cours de la troisième étape d’une requête en </w:t>
      </w:r>
      <w:r w:rsidRPr="005147AC">
        <w:rPr>
          <w:rFonts w:cs="Times New Roman"/>
          <w:i/>
          <w:lang w:val="fr-CA"/>
        </w:rPr>
        <w:t>habeas</w:t>
      </w:r>
      <w:r w:rsidRPr="005147AC">
        <w:rPr>
          <w:rFonts w:cs="Times New Roman"/>
          <w:lang w:val="fr-CA"/>
        </w:rPr>
        <w:t xml:space="preserve"> </w:t>
      </w:r>
      <w:r w:rsidRPr="005147AC">
        <w:rPr>
          <w:rFonts w:cs="Times New Roman"/>
          <w:i/>
          <w:lang w:val="fr-CA"/>
        </w:rPr>
        <w:t>corpus</w:t>
      </w:r>
      <w:r w:rsidRPr="005147AC">
        <w:rPr>
          <w:rFonts w:cs="Times New Roman"/>
          <w:lang w:val="fr-CA"/>
        </w:rPr>
        <w:t xml:space="preserve"> afin d’expliquer pourquoi une cote de sécurité spécifique est néanmoins justifiée, et les juges conservent le pouvoir discrétionnaire de ne pas remettre en liberté un demandeur. Enfin, l’</w:t>
      </w:r>
      <w:r w:rsidRPr="005147AC">
        <w:rPr>
          <w:rFonts w:cs="Times New Roman"/>
          <w:i/>
          <w:lang w:val="fr-CA"/>
        </w:rPr>
        <w:t>habeas corpus</w:t>
      </w:r>
      <w:r w:rsidRPr="005147AC">
        <w:rPr>
          <w:rFonts w:cs="Times New Roman"/>
          <w:lang w:val="fr-CA"/>
        </w:rPr>
        <w:t xml:space="preserve">, qui constitue à la fois un droit et un recours, s’est toujours avéré un outil souple et adaptable aux privations contemporaines de liberté. Il est toujours loisible aux juridictions inférieures de concevoir des conditions appropriées lorsqu’elles accordent une réparation. </w:t>
      </w:r>
    </w:p>
    <w:p w14:paraId="2187AB77" w14:textId="77777777" w:rsidR="005147AC" w:rsidRPr="005147AC" w:rsidRDefault="005147AC" w:rsidP="005147AC">
      <w:pPr>
        <w:pStyle w:val="Title1LevelTitre1Niveau-AltL"/>
        <w:numPr>
          <w:ilvl w:val="0"/>
          <w:numId w:val="8"/>
        </w:numPr>
        <w:ind w:left="578" w:hanging="578"/>
        <w:jc w:val="both"/>
        <w:rPr>
          <w:rFonts w:cs="Times New Roman"/>
          <w:lang w:val="fr-CA"/>
        </w:rPr>
      </w:pPr>
      <w:r w:rsidRPr="005147AC">
        <w:rPr>
          <w:rFonts w:cs="Times New Roman"/>
          <w:lang w:val="fr-CA"/>
        </w:rPr>
        <w:t>Conclusion</w:t>
      </w:r>
    </w:p>
    <w:p w14:paraId="6CC9C9B9" w14:textId="197C9586" w:rsidR="0025207B" w:rsidRDefault="005147AC" w:rsidP="005147AC">
      <w:pPr>
        <w:pStyle w:val="ParaNoNdepar-AltN"/>
        <w:rPr>
          <w:rFonts w:cs="Times New Roman"/>
          <w:lang w:val="fr-CA"/>
        </w:rPr>
      </w:pPr>
      <w:r w:rsidRPr="005147AC">
        <w:rPr>
          <w:rFonts w:cs="Times New Roman"/>
          <w:lang w:val="fr-CA"/>
        </w:rPr>
        <w:t xml:space="preserve">Pour les motifs qui précèdent, je suis d’avis d’accueillir le pourvoi. Comme le pourvoi est théorique, je suis d’avis de ne pas rendre d’autres ordonnances. Puisque les appelants ne réclament pas de dépens, je suis d’avis de ne pas en adjuger. </w:t>
      </w:r>
      <w:r w:rsidR="0025207B">
        <w:rPr>
          <w:rFonts w:cs="Times New Roman"/>
          <w:lang w:val="fr-CA"/>
        </w:rPr>
        <w:br w:type="page"/>
      </w:r>
    </w:p>
    <w:p w14:paraId="5B80F598" w14:textId="77777777" w:rsidR="005147AC" w:rsidRPr="005147AC" w:rsidRDefault="005147AC" w:rsidP="0025207B">
      <w:pPr>
        <w:pStyle w:val="ParaNoNdepar-AltN"/>
        <w:numPr>
          <w:ilvl w:val="0"/>
          <w:numId w:val="0"/>
        </w:numPr>
        <w:rPr>
          <w:rFonts w:cs="Times New Roman"/>
          <w:lang w:val="fr-CA"/>
        </w:rPr>
      </w:pPr>
    </w:p>
    <w:p w14:paraId="2B5FD414" w14:textId="77777777" w:rsidR="005147AC" w:rsidRPr="005147AC" w:rsidRDefault="005147AC" w:rsidP="005147AC">
      <w:pPr>
        <w:tabs>
          <w:tab w:val="left" w:pos="1134"/>
        </w:tabs>
        <w:spacing w:after="480" w:line="480" w:lineRule="auto"/>
        <w:ind w:firstLine="12"/>
        <w:jc w:val="both"/>
        <w:rPr>
          <w:lang w:val="fr-CA"/>
        </w:rPr>
      </w:pPr>
      <w:r w:rsidRPr="005147AC">
        <w:tab/>
      </w:r>
      <w:r w:rsidRPr="005147AC">
        <w:rPr>
          <w:lang w:val="fr-CA"/>
        </w:rPr>
        <w:t>Version française des motifs des juges Côté, Rowe et Jamal rendus par</w:t>
      </w:r>
    </w:p>
    <w:p w14:paraId="7E8C72BD" w14:textId="77777777" w:rsidR="005147AC" w:rsidRPr="005147AC" w:rsidRDefault="005147AC" w:rsidP="00287C90">
      <w:pPr>
        <w:pStyle w:val="JudgeJuge"/>
        <w:tabs>
          <w:tab w:val="clear" w:pos="1260"/>
          <w:tab w:val="left" w:pos="1134"/>
        </w:tabs>
        <w:spacing w:before="480"/>
        <w:rPr>
          <w:lang w:val="fr-CA"/>
        </w:rPr>
      </w:pPr>
      <w:r w:rsidRPr="005147AC">
        <w:rPr>
          <w:lang w:val="fr-CA"/>
        </w:rPr>
        <w:tab/>
        <w:t xml:space="preserve">Les juges Côté et Rowe — </w:t>
      </w:r>
    </w:p>
    <w:p w14:paraId="6D1ACB8C" w14:textId="77777777" w:rsidR="005147AC" w:rsidRPr="00287C90" w:rsidRDefault="005147AC" w:rsidP="00287C90">
      <w:pPr>
        <w:pStyle w:val="Title1LevelTitre1Niveau-AltL"/>
        <w:numPr>
          <w:ilvl w:val="0"/>
          <w:numId w:val="41"/>
        </w:numPr>
        <w:spacing w:before="320"/>
        <w:jc w:val="both"/>
        <w:rPr>
          <w:rFonts w:cs="Times New Roman"/>
          <w:lang w:val="fr-CA"/>
        </w:rPr>
      </w:pPr>
      <w:r w:rsidRPr="00287C90">
        <w:rPr>
          <w:rFonts w:cs="Times New Roman"/>
          <w:lang w:val="fr-CA"/>
        </w:rPr>
        <w:t>Aperçu</w:t>
      </w:r>
    </w:p>
    <w:p w14:paraId="37FFA2AF" w14:textId="77777777" w:rsidR="005147AC" w:rsidRPr="005147AC" w:rsidRDefault="005147AC" w:rsidP="005147AC">
      <w:pPr>
        <w:pStyle w:val="ParaNoNdepar-AltN"/>
        <w:rPr>
          <w:rFonts w:cs="Times New Roman"/>
          <w:lang w:val="fr-CA"/>
        </w:rPr>
      </w:pPr>
      <w:r w:rsidRPr="005147AC">
        <w:rPr>
          <w:rFonts w:cs="Times New Roman"/>
          <w:iCs/>
          <w:lang w:val="fr-CA"/>
        </w:rPr>
        <w:t>La présente cause n’est pas une contestation constitutionnelle. Elle traite plutôt l’</w:t>
      </w:r>
      <w:r w:rsidRPr="005147AC">
        <w:rPr>
          <w:rFonts w:cs="Times New Roman"/>
          <w:i/>
          <w:iCs/>
          <w:lang w:val="fr-CA"/>
        </w:rPr>
        <w:t>habeas corpus</w:t>
      </w:r>
      <w:r w:rsidRPr="005147AC">
        <w:rPr>
          <w:rFonts w:cs="Times New Roman"/>
          <w:iCs/>
          <w:lang w:val="fr-CA"/>
        </w:rPr>
        <w:t>,</w:t>
      </w:r>
      <w:r w:rsidRPr="005147AC">
        <w:rPr>
          <w:rFonts w:cs="Times New Roman"/>
          <w:lang w:val="fr-CA"/>
        </w:rPr>
        <w:t xml:space="preserve"> un recours extraordinaire de common law. Bien que l’</w:t>
      </w:r>
      <w:r w:rsidRPr="005147AC">
        <w:rPr>
          <w:rFonts w:cs="Times New Roman"/>
          <w:i/>
          <w:lang w:val="fr-CA"/>
        </w:rPr>
        <w:t>habeas corpus</w:t>
      </w:r>
      <w:r w:rsidRPr="005147AC">
        <w:rPr>
          <w:rFonts w:cs="Times New Roman"/>
          <w:lang w:val="fr-CA"/>
        </w:rPr>
        <w:t xml:space="preserve"> doive demeurer ouvert à tous et accessible lorsque son utilisation est justifiée, sa portée n’est pas illimitée. L’</w:t>
      </w:r>
      <w:r w:rsidRPr="005147AC">
        <w:rPr>
          <w:rFonts w:cs="Times New Roman"/>
          <w:i/>
          <w:lang w:val="fr-CA"/>
        </w:rPr>
        <w:t>habeas corpus</w:t>
      </w:r>
      <w:r w:rsidRPr="005147AC">
        <w:rPr>
          <w:rFonts w:cs="Times New Roman"/>
          <w:lang w:val="fr-CA"/>
        </w:rPr>
        <w:t xml:space="preserve"> n’est pas et ne devrait pas devenir un recours non circonscrit utilisé pour contester chacun des aspects du système correctionnel confié par ailleurs à l’administration publique.</w:t>
      </w:r>
    </w:p>
    <w:p w14:paraId="6510F1E8" w14:textId="77777777" w:rsidR="005147AC" w:rsidRPr="005147AC" w:rsidRDefault="005147AC" w:rsidP="005147AC">
      <w:pPr>
        <w:pStyle w:val="ParaNoNdepar-AltN"/>
        <w:rPr>
          <w:rFonts w:cs="Times New Roman"/>
          <w:lang w:val="fr-CA"/>
        </w:rPr>
      </w:pPr>
      <w:r w:rsidRPr="005147AC">
        <w:rPr>
          <w:rFonts w:cs="Times New Roman"/>
          <w:lang w:val="fr-CA"/>
        </w:rPr>
        <w:t xml:space="preserve">Toute requête en </w:t>
      </w:r>
      <w:r w:rsidRPr="005147AC">
        <w:rPr>
          <w:rFonts w:cs="Times New Roman"/>
          <w:i/>
          <w:lang w:val="fr-CA"/>
        </w:rPr>
        <w:t xml:space="preserve">habeas corpus </w:t>
      </w:r>
      <w:r w:rsidRPr="005147AC">
        <w:rPr>
          <w:rFonts w:cs="Times New Roman"/>
          <w:lang w:val="fr-CA"/>
        </w:rPr>
        <w:t xml:space="preserve">vise essentiellement à déterminer si une </w:t>
      </w:r>
      <w:r w:rsidRPr="005147AC">
        <w:rPr>
          <w:rFonts w:cs="Times New Roman"/>
          <w:i/>
          <w:lang w:val="fr-CA"/>
        </w:rPr>
        <w:t xml:space="preserve">restriction abusive </w:t>
      </w:r>
      <w:r w:rsidRPr="005147AC">
        <w:rPr>
          <w:rFonts w:cs="Times New Roman"/>
          <w:lang w:val="fr-CA"/>
        </w:rPr>
        <w:t>— ou une privation illégale de liberté — a été imposée. En l’espèce, les appelants demandent à notre Cour d’élargir la portée du bref d’</w:t>
      </w:r>
      <w:r w:rsidRPr="005147AC">
        <w:rPr>
          <w:rFonts w:cs="Times New Roman"/>
          <w:i/>
          <w:lang w:val="fr-CA"/>
        </w:rPr>
        <w:t xml:space="preserve">habeas corpus </w:t>
      </w:r>
      <w:r w:rsidRPr="005147AC">
        <w:rPr>
          <w:rFonts w:cs="Times New Roman"/>
          <w:lang w:val="fr-CA"/>
        </w:rPr>
        <w:t>pour permettre aux détenus fédéraux d’y recourir afin de contester les décisions des administrateurs correctionnels refusant les demandes que ces détenus présentent en vue de faire réévaluer leurs cotes de sécurité et d’être transférés à un établissement à sécurité moins élevée.</w:t>
      </w:r>
    </w:p>
    <w:p w14:paraId="561D456B" w14:textId="77777777" w:rsidR="005147AC" w:rsidRPr="005147AC" w:rsidRDefault="005147AC" w:rsidP="005147AC">
      <w:pPr>
        <w:pStyle w:val="ParaNoNdepar-AltN"/>
        <w:rPr>
          <w:rFonts w:cs="Times New Roman"/>
          <w:lang w:val="fr-CA"/>
        </w:rPr>
      </w:pPr>
      <w:r w:rsidRPr="005147AC">
        <w:rPr>
          <w:rFonts w:cs="Times New Roman"/>
          <w:lang w:val="fr-CA"/>
        </w:rPr>
        <w:lastRenderedPageBreak/>
        <w:t>Nous devons déterminer si un tel élargissement de la portée de l’</w:t>
      </w:r>
      <w:r w:rsidRPr="005147AC">
        <w:rPr>
          <w:rFonts w:cs="Times New Roman"/>
          <w:i/>
          <w:lang w:val="fr-CA"/>
        </w:rPr>
        <w:t>habeas corpus</w:t>
      </w:r>
      <w:r w:rsidRPr="005147AC">
        <w:rPr>
          <w:rFonts w:cs="Times New Roman"/>
          <w:lang w:val="fr-CA"/>
        </w:rPr>
        <w:t xml:space="preserve"> est justifié. La majorité est d’avis qu’il l’est (par. 6). Nous ne partageons pas cet avis et estimons, avec égards, que notre opinion est appuyée par le contexte et l’évolution historiques de ce bref.</w:t>
      </w:r>
    </w:p>
    <w:p w14:paraId="3BFD088A" w14:textId="77777777" w:rsidR="005147AC" w:rsidRPr="005147AC" w:rsidRDefault="005147AC" w:rsidP="005147AC">
      <w:pPr>
        <w:pStyle w:val="ParaNoNdepar-AltN"/>
        <w:rPr>
          <w:rFonts w:cs="Times New Roman"/>
          <w:lang w:val="fr-CA"/>
        </w:rPr>
      </w:pPr>
      <w:r w:rsidRPr="005147AC">
        <w:rPr>
          <w:rFonts w:cs="Times New Roman"/>
          <w:lang w:val="fr-CA"/>
        </w:rPr>
        <w:t>Certes, on devrait recourir volontiers à l’</w:t>
      </w:r>
      <w:r w:rsidRPr="005147AC">
        <w:rPr>
          <w:rFonts w:cs="Times New Roman"/>
          <w:i/>
          <w:iCs/>
          <w:lang w:val="fr-CA"/>
        </w:rPr>
        <w:t>habeas corpus</w:t>
      </w:r>
      <w:r w:rsidRPr="005147AC">
        <w:rPr>
          <w:rFonts w:cs="Times New Roman"/>
          <w:lang w:val="fr-CA"/>
        </w:rPr>
        <w:t xml:space="preserve"> afin de protéger la liberté des individus contre la détention illégale, mais ce n’est que dans des circonstances limitées que l’on devrait l’utiliser comme substitut au contrôle judiciaire dans le système correctionnel. Dans sa forme contemporaine, l’</w:t>
      </w:r>
      <w:r w:rsidRPr="005147AC">
        <w:rPr>
          <w:rFonts w:cs="Times New Roman"/>
          <w:i/>
          <w:iCs/>
          <w:lang w:val="fr-CA"/>
        </w:rPr>
        <w:t>habeas corpus</w:t>
      </w:r>
      <w:r w:rsidRPr="005147AC">
        <w:rPr>
          <w:rFonts w:cs="Times New Roman"/>
          <w:lang w:val="fr-CA"/>
        </w:rPr>
        <w:t xml:space="preserve"> est une procédure sommaire qui permet à un juge de substituer sa décision à celle d’un fonctionnaire. Bien que cette acception de l’</w:t>
      </w:r>
      <w:r w:rsidRPr="005147AC">
        <w:rPr>
          <w:rFonts w:cs="Times New Roman"/>
          <w:i/>
          <w:iCs/>
          <w:lang w:val="fr-CA"/>
        </w:rPr>
        <w:t>habeas corpus</w:t>
      </w:r>
      <w:r w:rsidRPr="005147AC">
        <w:rPr>
          <w:rFonts w:cs="Times New Roman"/>
          <w:lang w:val="fr-CA"/>
        </w:rPr>
        <w:t xml:space="preserve"> soit nettement différente de l’acception originelle de ce bref, qui visait à protéger la liberté individuelle contre les abus de l’État, l’évolution de l’</w:t>
      </w:r>
      <w:r w:rsidRPr="005147AC">
        <w:rPr>
          <w:rFonts w:cs="Times New Roman"/>
          <w:i/>
          <w:lang w:val="fr-CA"/>
        </w:rPr>
        <w:t>habeas</w:t>
      </w:r>
      <w:r w:rsidRPr="005147AC">
        <w:rPr>
          <w:rFonts w:cs="Times New Roman"/>
          <w:lang w:val="fr-CA"/>
        </w:rPr>
        <w:t xml:space="preserve"> </w:t>
      </w:r>
      <w:r w:rsidRPr="005147AC">
        <w:rPr>
          <w:rFonts w:cs="Times New Roman"/>
          <w:i/>
          <w:lang w:val="fr-CA"/>
        </w:rPr>
        <w:t>corpus</w:t>
      </w:r>
      <w:r w:rsidRPr="005147AC">
        <w:rPr>
          <w:rFonts w:cs="Times New Roman"/>
          <w:lang w:val="fr-CA"/>
        </w:rPr>
        <w:t xml:space="preserve"> a été progressive et s’est toujours faite en accord avec sa raison d’être sous</w:t>
      </w:r>
      <w:r w:rsidRPr="005147AC">
        <w:rPr>
          <w:rFonts w:cs="Times New Roman"/>
          <w:lang w:val="fr-CA"/>
        </w:rPr>
        <w:noBreakHyphen/>
        <w:t>jacente, c’est-à-dire, protéger les personnes contre des restrictions illégales.</w:t>
      </w:r>
    </w:p>
    <w:p w14:paraId="753D7AD5" w14:textId="77777777" w:rsidR="005147AC" w:rsidRPr="005147AC" w:rsidRDefault="005147AC" w:rsidP="005147AC">
      <w:pPr>
        <w:pStyle w:val="ParaNoNdepar-AltN"/>
        <w:rPr>
          <w:rFonts w:cs="Times New Roman"/>
          <w:lang w:val="fr-CA"/>
        </w:rPr>
      </w:pPr>
      <w:r w:rsidRPr="005147AC">
        <w:rPr>
          <w:rFonts w:cs="Times New Roman"/>
          <w:lang w:val="fr-CA"/>
        </w:rPr>
        <w:t xml:space="preserve">En 1986, dans l’arrêt </w:t>
      </w:r>
      <w:r w:rsidRPr="005147AC">
        <w:rPr>
          <w:rFonts w:cs="Times New Roman"/>
          <w:i/>
          <w:lang w:val="fr-CA"/>
        </w:rPr>
        <w:t>Dumas c. Centre de détention Leclerc</w:t>
      </w:r>
      <w:r w:rsidRPr="005147AC">
        <w:rPr>
          <w:rFonts w:cs="Times New Roman"/>
          <w:iCs/>
          <w:lang w:val="fr-CA"/>
        </w:rPr>
        <w:t>, [1986] 2 R.C.S. 459,</w:t>
      </w:r>
      <w:r w:rsidRPr="005147AC">
        <w:rPr>
          <w:rFonts w:cs="Times New Roman"/>
          <w:i/>
          <w:lang w:val="fr-CA"/>
        </w:rPr>
        <w:t xml:space="preserve"> </w:t>
      </w:r>
      <w:r w:rsidRPr="005147AC">
        <w:rPr>
          <w:rFonts w:cs="Times New Roman"/>
          <w:lang w:val="fr-CA"/>
        </w:rPr>
        <w:t>p. 464, notre Cour a établi les contours de l’application de l’</w:t>
      </w:r>
      <w:r w:rsidRPr="005147AC">
        <w:rPr>
          <w:rFonts w:cs="Times New Roman"/>
          <w:i/>
          <w:lang w:val="fr-CA"/>
        </w:rPr>
        <w:t xml:space="preserve">habeas corpus </w:t>
      </w:r>
      <w:r w:rsidRPr="005147AC">
        <w:rPr>
          <w:rFonts w:cs="Times New Roman"/>
          <w:iCs/>
          <w:lang w:val="fr-CA"/>
        </w:rPr>
        <w:t>dans le contexte correctionnel en reconnaissant l</w:t>
      </w:r>
      <w:r w:rsidRPr="005147AC">
        <w:rPr>
          <w:rFonts w:cs="Times New Roman"/>
          <w:lang w:val="fr-CA"/>
        </w:rPr>
        <w:t xml:space="preserve">’existence de trois catégories de privations de liberté : (1) la privation initiale de liberté; (2) une modification importante des conditions d’incarcération équivalant à une nouvelle privation de liberté; et (3) la continuation de la privation de liberté. La troisième catégorie entre en </w:t>
      </w:r>
      <w:r w:rsidRPr="005147AC">
        <w:rPr>
          <w:rFonts w:cs="Times New Roman"/>
          <w:lang w:val="fr-CA"/>
        </w:rPr>
        <w:lastRenderedPageBreak/>
        <w:t xml:space="preserve">jeu dans le présent pourvoi. Cependant, en l’espèce, il n’a pas été satisfait à ses critères juridiques. </w:t>
      </w:r>
    </w:p>
    <w:p w14:paraId="529E4260" w14:textId="77777777" w:rsidR="005147AC" w:rsidRPr="005147AC" w:rsidRDefault="005147AC" w:rsidP="005147AC">
      <w:pPr>
        <w:pStyle w:val="ParaNoNdepar-AltN"/>
        <w:rPr>
          <w:rFonts w:cs="Times New Roman"/>
          <w:lang w:val="fr-CA"/>
        </w:rPr>
      </w:pPr>
      <w:r w:rsidRPr="005147AC">
        <w:rPr>
          <w:rFonts w:cs="Times New Roman"/>
          <w:lang w:val="fr-CA"/>
        </w:rPr>
        <w:t xml:space="preserve">Pour satisfaire aux critères de la troisième catégorie, le détenu fédéral doit avoir droit à une liberté résiduelle accrue. Cela ressort clairement de l’arrêt </w:t>
      </w:r>
      <w:r w:rsidRPr="005147AC">
        <w:rPr>
          <w:rFonts w:cs="Times New Roman"/>
          <w:i/>
          <w:lang w:val="fr-CA"/>
        </w:rPr>
        <w:t>Dumas</w:t>
      </w:r>
      <w:r w:rsidRPr="005147AC">
        <w:rPr>
          <w:rFonts w:cs="Times New Roman"/>
          <w:lang w:val="fr-CA"/>
        </w:rPr>
        <w:t>, qui demeure valable en droit et fait toujours autorité. Dans cette affaire, un détenu qui a fait une demande d’</w:t>
      </w:r>
      <w:r w:rsidRPr="005147AC">
        <w:rPr>
          <w:rFonts w:cs="Times New Roman"/>
          <w:i/>
          <w:lang w:val="fr-CA"/>
        </w:rPr>
        <w:t>habeas corpus</w:t>
      </w:r>
      <w:r w:rsidRPr="005147AC">
        <w:rPr>
          <w:rFonts w:cs="Times New Roman"/>
          <w:lang w:val="fr-CA"/>
        </w:rPr>
        <w:t xml:space="preserve"> en raison de la continuation de sa détention, même s’il s’était vu accorder la libération conditionnelle, a vu cette demande rejetée par notre Cour parce que l’une des conditions de la mise en vigueur de sa libération conditionnelle n’avait pas été remplie. En d’autres termes, il n’avait jamais acquis le statut de libéré conditionnel, et, pour cette raison, sa liberté résiduelle restait inchangée. Ces faits contrastent nettement avec la présente affaire. Aucun des deux appelants n’est parvenu à un stade comparable à celui atteint par M. Dumas — ni l’un ni l’autre n’a obtenu une cote de sécurité inférieure lui permettant d’être transféré à un établissement à sécurité moins élevée, alors que M. Dumas s’était vu octroyer le droit à une libération conditionnelle. Comme la Cour d’appel l’a conclu à juste titre, puisque MM. Dorsey et Salah n’avaient pas légalement droit à une modification de leurs cotes de sécurité, leur liberté résiduelle demeurait inchangée, de sorte qu’ils ne pouvaient recourir à l’</w:t>
      </w:r>
      <w:r w:rsidRPr="005147AC">
        <w:rPr>
          <w:rFonts w:cs="Times New Roman"/>
          <w:i/>
          <w:lang w:val="fr-CA"/>
        </w:rPr>
        <w:t>habeas corpus</w:t>
      </w:r>
      <w:r w:rsidRPr="005147AC">
        <w:rPr>
          <w:rFonts w:cs="Times New Roman"/>
          <w:lang w:val="fr-CA"/>
        </w:rPr>
        <w:t>.</w:t>
      </w:r>
    </w:p>
    <w:p w14:paraId="1C65469A" w14:textId="77777777" w:rsidR="005147AC" w:rsidRPr="005147AC" w:rsidRDefault="005147AC" w:rsidP="005147AC">
      <w:pPr>
        <w:pStyle w:val="ParaNoNdepar-AltN"/>
        <w:rPr>
          <w:rFonts w:cs="Times New Roman"/>
          <w:lang w:val="fr-CA"/>
        </w:rPr>
      </w:pPr>
      <w:r w:rsidRPr="005147AC">
        <w:rPr>
          <w:rFonts w:cs="Times New Roman"/>
          <w:lang w:val="fr-CA"/>
        </w:rPr>
        <w:t xml:space="preserve">L’on peut, bien entendu, recourir à </w:t>
      </w:r>
      <w:r w:rsidRPr="005147AC">
        <w:rPr>
          <w:rFonts w:cs="Times New Roman"/>
          <w:i/>
          <w:iCs/>
          <w:lang w:val="fr-CA"/>
        </w:rPr>
        <w:t>habeas corpus</w:t>
      </w:r>
      <w:r w:rsidRPr="005147AC">
        <w:rPr>
          <w:rFonts w:cs="Times New Roman"/>
          <w:lang w:val="fr-CA"/>
        </w:rPr>
        <w:t xml:space="preserve"> pour contester une privation illégale de liberté. Cela est bien établi en droit. Toutefois, bien que la majorité prétende qu’elle ne modifie pas le cadre d’analyse de l’</w:t>
      </w:r>
      <w:r w:rsidRPr="005147AC">
        <w:rPr>
          <w:rFonts w:cs="Times New Roman"/>
          <w:i/>
          <w:lang w:val="fr-CA"/>
        </w:rPr>
        <w:t>habeas corpus</w:t>
      </w:r>
      <w:r w:rsidRPr="005147AC">
        <w:rPr>
          <w:rFonts w:cs="Times New Roman"/>
          <w:lang w:val="fr-CA"/>
        </w:rPr>
        <w:t xml:space="preserve">, l’interprétation </w:t>
      </w:r>
      <w:r w:rsidRPr="005147AC">
        <w:rPr>
          <w:rFonts w:cs="Times New Roman"/>
          <w:lang w:val="fr-CA"/>
        </w:rPr>
        <w:lastRenderedPageBreak/>
        <w:t xml:space="preserve">qu’elle en donne va dans ce sens en dispensant de l’exigence d’un droit à une liberté résiduelle accrue pour satisfaire aux critères de la troisième catégorie de l’arrêt </w:t>
      </w:r>
      <w:r w:rsidRPr="005147AC">
        <w:rPr>
          <w:rFonts w:cs="Times New Roman"/>
          <w:i/>
          <w:lang w:val="fr-CA"/>
        </w:rPr>
        <w:t xml:space="preserve">Dumas </w:t>
      </w:r>
      <w:r w:rsidRPr="005147AC">
        <w:rPr>
          <w:rFonts w:cs="Times New Roman"/>
          <w:lang w:val="fr-CA"/>
        </w:rPr>
        <w:t>(par. 4). Il en résulte un élargissement de la portée de l’</w:t>
      </w:r>
      <w:r w:rsidRPr="005147AC">
        <w:rPr>
          <w:rFonts w:cs="Times New Roman"/>
          <w:i/>
          <w:lang w:val="fr-CA"/>
        </w:rPr>
        <w:t xml:space="preserve">habeas corpus </w:t>
      </w:r>
      <w:r w:rsidRPr="005147AC">
        <w:rPr>
          <w:rFonts w:cs="Times New Roman"/>
          <w:lang w:val="fr-CA"/>
        </w:rPr>
        <w:t>qui va au</w:t>
      </w:r>
      <w:r w:rsidRPr="005147AC">
        <w:rPr>
          <w:rFonts w:cs="Times New Roman"/>
          <w:lang w:val="fr-CA"/>
        </w:rPr>
        <w:noBreakHyphen/>
        <w:t>delà des restrictions abusives à la liberté d’une personne. Le droit du contrôle judiciaire se trouve dénaturé en permettant aux cours supérieures de contourner les réparations habituellement disponibles dans le cadre d’un contrôle judiciaire, comme le fait de renvoyer l’affaire au décideur pour qu’il la réexamine, en accordant la libération du détenu au moyen de l’émission d’un bref d’</w:t>
      </w:r>
      <w:r w:rsidRPr="005147AC">
        <w:rPr>
          <w:rFonts w:cs="Times New Roman"/>
          <w:i/>
          <w:lang w:val="fr-CA"/>
        </w:rPr>
        <w:t>habeas corpus</w:t>
      </w:r>
      <w:r w:rsidRPr="005147AC">
        <w:rPr>
          <w:rFonts w:cs="Times New Roman"/>
          <w:lang w:val="fr-CA"/>
        </w:rPr>
        <w:t xml:space="preserve">. Lorsque la portée des requêtes en </w:t>
      </w:r>
      <w:r w:rsidRPr="005147AC">
        <w:rPr>
          <w:rFonts w:cs="Times New Roman"/>
          <w:i/>
          <w:iCs/>
          <w:lang w:val="fr-CA"/>
        </w:rPr>
        <w:t>habeas corpus</w:t>
      </w:r>
      <w:r w:rsidRPr="005147AC">
        <w:rPr>
          <w:rFonts w:cs="Times New Roman"/>
          <w:lang w:val="fr-CA"/>
        </w:rPr>
        <w:t xml:space="preserve"> devient nébuleuse ou trop large, la cohérence du droit en matière de contrôle de l’action administrative est minée. </w:t>
      </w:r>
    </w:p>
    <w:p w14:paraId="745240BB" w14:textId="77777777" w:rsidR="005147AC" w:rsidRPr="005147AC" w:rsidRDefault="005147AC" w:rsidP="005147AC">
      <w:pPr>
        <w:pStyle w:val="ParaNoNdepar-AltN"/>
        <w:rPr>
          <w:rFonts w:cs="Times New Roman"/>
          <w:lang w:val="fr-CA"/>
        </w:rPr>
      </w:pPr>
      <w:r w:rsidRPr="005147AC">
        <w:rPr>
          <w:rFonts w:cs="Times New Roman"/>
          <w:lang w:val="fr-CA"/>
        </w:rPr>
        <w:t>Notre collègue commence ses motifs en déclarant que, « [r]évéré depuis longtemps comme le grand bref de la liberté, le contrôle par voie d’</w:t>
      </w:r>
      <w:r w:rsidRPr="005147AC">
        <w:rPr>
          <w:rFonts w:cs="Times New Roman"/>
          <w:i/>
          <w:lang w:val="fr-CA"/>
        </w:rPr>
        <w:t>habeas corpus</w:t>
      </w:r>
      <w:r w:rsidRPr="005147AC">
        <w:rPr>
          <w:rFonts w:cs="Times New Roman"/>
          <w:lang w:val="fr-CA"/>
        </w:rPr>
        <w:t xml:space="preserve"> demeure une garantie essentielle contre la détention illégale » (par. 1). Nous sommes du même avis. Cependant, une privation illégale de la liberté résiduelle d’un détenu n’est pas en jeu dans le présent pourvoi. Il s’agit plutôt de déterminer si le « grand bref de la liberté » peut être utilisé, premièrement, en tant que moyen de contourner les procédures établies par le Parlement pour l’administration des prisons et, deuxièmement, en tant que moyen de contourner les procédures en droit administratif fondées sur les brefs de prérogative que sont : le </w:t>
      </w:r>
      <w:r w:rsidRPr="005147AC">
        <w:rPr>
          <w:rFonts w:cs="Times New Roman"/>
          <w:i/>
          <w:lang w:val="fr-CA"/>
        </w:rPr>
        <w:t>mandamus</w:t>
      </w:r>
      <w:r w:rsidRPr="005147AC">
        <w:rPr>
          <w:rFonts w:cs="Times New Roman"/>
          <w:lang w:val="fr-CA"/>
        </w:rPr>
        <w:t xml:space="preserve">, le </w:t>
      </w:r>
      <w:r w:rsidRPr="005147AC">
        <w:rPr>
          <w:rFonts w:cs="Times New Roman"/>
          <w:i/>
          <w:lang w:val="fr-CA"/>
        </w:rPr>
        <w:t>certiorari</w:t>
      </w:r>
      <w:r w:rsidRPr="005147AC">
        <w:rPr>
          <w:rFonts w:cs="Times New Roman"/>
          <w:lang w:val="fr-CA"/>
        </w:rPr>
        <w:t xml:space="preserve"> et la prohibition. Dans l’arrêt </w:t>
      </w:r>
      <w:r w:rsidRPr="005147AC">
        <w:rPr>
          <w:rFonts w:cs="Times New Roman"/>
          <w:i/>
          <w:lang w:val="fr-CA"/>
        </w:rPr>
        <w:t>Dumas</w:t>
      </w:r>
      <w:r w:rsidRPr="005147AC">
        <w:rPr>
          <w:rFonts w:cs="Times New Roman"/>
          <w:lang w:val="fr-CA"/>
        </w:rPr>
        <w:t>, la Cour a enseigné que le recours à l’</w:t>
      </w:r>
      <w:r w:rsidRPr="005147AC">
        <w:rPr>
          <w:rFonts w:cs="Times New Roman"/>
          <w:i/>
          <w:lang w:val="fr-CA"/>
        </w:rPr>
        <w:t>habeas corpus</w:t>
      </w:r>
      <w:r w:rsidRPr="005147AC">
        <w:rPr>
          <w:rFonts w:cs="Times New Roman"/>
          <w:lang w:val="fr-CA"/>
        </w:rPr>
        <w:t xml:space="preserve"> servait à donner effet de manière expéditive au droit acquis d’un requérant à une plus grande liberté. La majorité transformera plutôt l’</w:t>
      </w:r>
      <w:r w:rsidRPr="005147AC">
        <w:rPr>
          <w:rFonts w:cs="Times New Roman"/>
          <w:i/>
          <w:lang w:val="fr-CA"/>
        </w:rPr>
        <w:t>habeas corpus</w:t>
      </w:r>
      <w:r w:rsidRPr="005147AC">
        <w:rPr>
          <w:rFonts w:cs="Times New Roman"/>
          <w:lang w:val="fr-CA"/>
        </w:rPr>
        <w:t xml:space="preserve">, un recours </w:t>
      </w:r>
      <w:r w:rsidRPr="005147AC">
        <w:rPr>
          <w:rFonts w:cs="Times New Roman"/>
          <w:lang w:val="fr-CA"/>
        </w:rPr>
        <w:lastRenderedPageBreak/>
        <w:t xml:space="preserve">extraordinaire de common law, en un moyen pour les juges de substituer sommairement leurs propres points de vue à ceux des administrateurs correctionnels. Les juges pourront créer et octroyer un droit à un détenu d’être transféré dans une prison à sécurité moins élevée, alors que celui-ci n’en avait aucun auparavant. </w:t>
      </w:r>
    </w:p>
    <w:p w14:paraId="128A4E62" w14:textId="77777777" w:rsidR="005147AC" w:rsidRPr="005147AC" w:rsidRDefault="005147AC" w:rsidP="005147AC">
      <w:pPr>
        <w:pStyle w:val="ParaNoNdepar-AltN"/>
        <w:rPr>
          <w:rFonts w:cs="Times New Roman"/>
          <w:lang w:val="fr-CA"/>
        </w:rPr>
      </w:pPr>
      <w:r w:rsidRPr="005147AC">
        <w:rPr>
          <w:rFonts w:cs="Times New Roman"/>
          <w:lang w:val="fr-CA"/>
        </w:rPr>
        <w:t xml:space="preserve">Il est important d’être clair à propos des effets concrets du présent pourvoi sur le système correctionnel. Si les appelants obtiennent gain de cause, les cours supérieures joueront un rôle primordial dans l’administration du système correctionnel. Cela va directement à l’encontre de la volonté du Parlement qui, par la </w:t>
      </w:r>
      <w:r w:rsidRPr="005147AC">
        <w:rPr>
          <w:rFonts w:cs="Times New Roman"/>
          <w:i/>
          <w:iCs/>
          <w:lang w:val="fr-CA"/>
        </w:rPr>
        <w:t>Loi sur le système correctionnel et la mise en liberté sous condition</w:t>
      </w:r>
      <w:r w:rsidRPr="005147AC">
        <w:rPr>
          <w:rFonts w:cs="Times New Roman"/>
          <w:lang w:val="fr-CA"/>
        </w:rPr>
        <w:t>, L.C. 1992, c. 20 (« </w:t>
      </w:r>
      <w:r w:rsidRPr="005147AC">
        <w:rPr>
          <w:rFonts w:cs="Times New Roman"/>
          <w:i/>
          <w:lang w:val="fr-CA"/>
        </w:rPr>
        <w:t>LSCMLC</w:t>
      </w:r>
      <w:r w:rsidRPr="005147AC">
        <w:rPr>
          <w:rFonts w:cs="Times New Roman"/>
          <w:lang w:val="fr-CA"/>
        </w:rPr>
        <w:t> »), et les règlements d’application, a établi un mécanisme de révision différent pour les décisions administratives prises par des administrateurs correctionnels.</w:t>
      </w:r>
    </w:p>
    <w:p w14:paraId="5EEDB03C" w14:textId="77777777" w:rsidR="005147AC" w:rsidRPr="005147AC" w:rsidRDefault="005147AC" w:rsidP="005147AC">
      <w:pPr>
        <w:pStyle w:val="ParaNoNdepar-AltN"/>
        <w:rPr>
          <w:rFonts w:cs="Times New Roman"/>
          <w:lang w:val="fr-CA"/>
        </w:rPr>
      </w:pPr>
      <w:r w:rsidRPr="005147AC">
        <w:rPr>
          <w:rFonts w:cs="Times New Roman"/>
          <w:lang w:val="fr-CA"/>
        </w:rPr>
        <w:t>Par conséquent, en qualifiant de « pointue » la question en litige dans le présent pourvoi, la majorité minimise la portée large des conséquences de ses motifs (par. 3). Les motifs de la majorité élargissent indûment la portée de l’</w:t>
      </w:r>
      <w:r w:rsidRPr="005147AC">
        <w:rPr>
          <w:rFonts w:cs="Times New Roman"/>
          <w:i/>
          <w:lang w:val="fr-CA"/>
        </w:rPr>
        <w:t>habeas corpus</w:t>
      </w:r>
      <w:r w:rsidRPr="005147AC">
        <w:rPr>
          <w:rFonts w:cs="Times New Roman"/>
          <w:lang w:val="fr-CA"/>
        </w:rPr>
        <w:t xml:space="preserve"> de deux manières : d’abord, en supprimant l’exigence d’un droit à une plus grande liberté afin d’établir une privation de liberté; ensuite, en exigeant que le requérant ait seulement à soulever une « question défendable » pour établir un motif légitime de contester la légalité de la détention </w:t>
      </w:r>
      <w:r w:rsidRPr="005147AC">
        <w:rPr>
          <w:rFonts w:cs="Times New Roman"/>
          <w:iCs/>
          <w:lang w:val="fr-CA"/>
        </w:rPr>
        <w:t>(par. 74).</w:t>
      </w:r>
    </w:p>
    <w:p w14:paraId="5F8ED532" w14:textId="77777777" w:rsidR="005147AC" w:rsidRPr="005147AC" w:rsidRDefault="005147AC" w:rsidP="005147AC">
      <w:pPr>
        <w:pStyle w:val="ParaNoNdepar-AltN"/>
        <w:rPr>
          <w:rFonts w:cs="Times New Roman"/>
          <w:lang w:val="fr-CA"/>
        </w:rPr>
      </w:pPr>
      <w:r w:rsidRPr="005147AC">
        <w:rPr>
          <w:rFonts w:cs="Times New Roman"/>
          <w:lang w:val="fr-CA"/>
        </w:rPr>
        <w:t>Dans ce contexte, non seulement les détenus seront</w:t>
      </w:r>
      <w:r w:rsidRPr="005147AC">
        <w:rPr>
          <w:rFonts w:cs="Times New Roman"/>
          <w:lang w:val="fr-CA"/>
        </w:rPr>
        <w:noBreakHyphen/>
        <w:t xml:space="preserve">ils en mesure d’invoquer le bref pour contester les refus de réévaluer leurs cotes de sécurité et </w:t>
      </w:r>
      <w:r w:rsidRPr="005147AC">
        <w:rPr>
          <w:rFonts w:cs="Times New Roman"/>
          <w:lang w:val="fr-CA"/>
        </w:rPr>
        <w:lastRenderedPageBreak/>
        <w:t xml:space="preserve">d’accueillir leurs demandes de transfèrement, mais la décision ouvre la porte à l’utilisation du bref dans la contestation d’un vaste éventail de décisions concernant les conditions de leur détention. En conséquence, il risque de s’ensuivre une forte augmentation des requêtes en </w:t>
      </w:r>
      <w:r w:rsidRPr="005147AC">
        <w:rPr>
          <w:rFonts w:cs="Times New Roman"/>
          <w:i/>
          <w:lang w:val="fr-CA"/>
        </w:rPr>
        <w:t>habeas corpus</w:t>
      </w:r>
      <w:r w:rsidRPr="005147AC">
        <w:rPr>
          <w:rFonts w:cs="Times New Roman"/>
          <w:lang w:val="fr-CA"/>
        </w:rPr>
        <w:t xml:space="preserve"> devant les tribunaux, augmentation limitant la capacité de ces derniers de remédier à de véritables privations de liberté. En outre, l’importance du droit à la liberté en jeu diminuera en plus d’affaiblir l’impératif de résolution rapide des requêtes en </w:t>
      </w:r>
      <w:r w:rsidRPr="005147AC">
        <w:rPr>
          <w:rFonts w:cs="Times New Roman"/>
          <w:i/>
          <w:lang w:val="fr-CA"/>
        </w:rPr>
        <w:t>habeas corpus</w:t>
      </w:r>
      <w:r w:rsidRPr="005147AC">
        <w:rPr>
          <w:rFonts w:cs="Times New Roman"/>
          <w:lang w:val="fr-CA"/>
        </w:rPr>
        <w:t>.</w:t>
      </w:r>
    </w:p>
    <w:p w14:paraId="0595D27C" w14:textId="77777777" w:rsidR="005147AC" w:rsidRPr="005147AC" w:rsidRDefault="005147AC" w:rsidP="005147AC">
      <w:pPr>
        <w:pStyle w:val="ParaNoNdepar-AltN"/>
        <w:rPr>
          <w:rFonts w:cs="Times New Roman"/>
          <w:lang w:val="fr-CA"/>
        </w:rPr>
      </w:pPr>
      <w:r w:rsidRPr="005147AC">
        <w:rPr>
          <w:rFonts w:cs="Times New Roman"/>
          <w:lang w:val="fr-CA"/>
        </w:rPr>
        <w:t>Il faudrait éviter d’élargir l’</w:t>
      </w:r>
      <w:r w:rsidRPr="005147AC">
        <w:rPr>
          <w:rFonts w:cs="Times New Roman"/>
          <w:i/>
          <w:lang w:val="fr-CA"/>
        </w:rPr>
        <w:t>habeas corpus</w:t>
      </w:r>
      <w:r w:rsidRPr="005147AC">
        <w:rPr>
          <w:rFonts w:cs="Times New Roman"/>
          <w:lang w:val="fr-CA"/>
        </w:rPr>
        <w:t xml:space="preserve"> de sorte qu’il devienne un outil courant pour la supervision judiciaire du système correctionnel.</w:t>
      </w:r>
    </w:p>
    <w:p w14:paraId="5FB88110" w14:textId="77777777" w:rsidR="005147AC" w:rsidRPr="005147AC" w:rsidRDefault="005147AC" w:rsidP="005147AC">
      <w:pPr>
        <w:pStyle w:val="ParaNoNdepar-AltN"/>
        <w:rPr>
          <w:rFonts w:cs="Times New Roman"/>
          <w:lang w:val="fr-CA"/>
        </w:rPr>
      </w:pPr>
      <w:r w:rsidRPr="005147AC">
        <w:rPr>
          <w:rFonts w:cs="Times New Roman"/>
          <w:lang w:val="fr-CA"/>
        </w:rPr>
        <w:t>Nous sommes d’avis de rejeter le pourvoi, et de confirmer le jugement de la Cour d’appel selon lequel on ne devrait pas recourir à l’</w:t>
      </w:r>
      <w:r w:rsidRPr="005147AC">
        <w:rPr>
          <w:rFonts w:cs="Times New Roman"/>
          <w:i/>
          <w:iCs/>
          <w:lang w:val="fr-CA"/>
        </w:rPr>
        <w:t>habeas corpus</w:t>
      </w:r>
      <w:r w:rsidRPr="005147AC">
        <w:rPr>
          <w:rFonts w:cs="Times New Roman"/>
          <w:lang w:val="fr-CA"/>
        </w:rPr>
        <w:t xml:space="preserve"> dans le cas du détenu fédéral qui se voit refuser la réévaluation de sa cote de sécurité et son transfèrement à un établissement à sécurité moins élevée. De telles décisions devraient plutôt être soumises à une révision selon les procédures établies par le Parlement, ainsi qu’à un contrôle judiciaire, en application du cadre d’analyse de l’arrêt </w:t>
      </w:r>
      <w:r w:rsidRPr="005147AC">
        <w:rPr>
          <w:rFonts w:cs="Times New Roman"/>
          <w:i/>
          <w:lang w:val="fr-CA"/>
        </w:rPr>
        <w:t>Vavilov</w:t>
      </w:r>
      <w:r w:rsidRPr="005147AC">
        <w:rPr>
          <w:rFonts w:cs="Times New Roman"/>
          <w:lang w:val="fr-CA"/>
        </w:rPr>
        <w:t xml:space="preserve"> (</w:t>
      </w:r>
      <w:r w:rsidRPr="005147AC">
        <w:rPr>
          <w:rFonts w:cs="Times New Roman"/>
          <w:i/>
          <w:lang w:val="fr-CA"/>
        </w:rPr>
        <w:t>Canada (Ministre de la Citoyenneté et de l’Immigration) c. Vavilov</w:t>
      </w:r>
      <w:r w:rsidRPr="005147AC">
        <w:rPr>
          <w:rFonts w:cs="Times New Roman"/>
          <w:lang w:val="fr-CA"/>
        </w:rPr>
        <w:t>, 2019 CSC 65, [2019] 4 R.C.S. 653).</w:t>
      </w:r>
    </w:p>
    <w:p w14:paraId="443C2E7C" w14:textId="77777777" w:rsidR="005147AC" w:rsidRPr="005147AC" w:rsidRDefault="005147AC" w:rsidP="005147AC">
      <w:pPr>
        <w:pStyle w:val="Title1LevelTitre1Niveau-AltL"/>
        <w:jc w:val="both"/>
        <w:rPr>
          <w:rFonts w:cs="Times New Roman"/>
          <w:lang w:val="fr-CA"/>
        </w:rPr>
      </w:pPr>
      <w:r w:rsidRPr="005147AC">
        <w:rPr>
          <w:rFonts w:cs="Times New Roman"/>
          <w:lang w:val="fr-CA"/>
        </w:rPr>
        <w:t>Faits</w:t>
      </w:r>
    </w:p>
    <w:p w14:paraId="53D0258F" w14:textId="77777777" w:rsidR="005147AC" w:rsidRPr="005147AC" w:rsidRDefault="005147AC" w:rsidP="005147AC">
      <w:pPr>
        <w:pStyle w:val="ParaNoNdepar-AltN"/>
        <w:rPr>
          <w:rFonts w:cs="Times New Roman"/>
          <w:lang w:val="fr-CA"/>
        </w:rPr>
      </w:pPr>
      <w:r w:rsidRPr="005147AC">
        <w:rPr>
          <w:rFonts w:cs="Times New Roman"/>
          <w:lang w:val="fr-CA"/>
        </w:rPr>
        <w:lastRenderedPageBreak/>
        <w:t>En 2019, MM. Dorsey et Salah ont tous les deux demandé leur transfèrement à un établissement à sécurité minimale. Les deux demandes ont été refusées.</w:t>
      </w:r>
    </w:p>
    <w:p w14:paraId="733DC8F8" w14:textId="77777777" w:rsidR="005147AC" w:rsidRPr="005147AC" w:rsidRDefault="005147AC" w:rsidP="005147AC">
      <w:pPr>
        <w:pStyle w:val="Title2LevelTitre2Niveau"/>
        <w:jc w:val="both"/>
        <w:rPr>
          <w:rFonts w:cs="Times New Roman"/>
          <w:lang w:val="fr-CA"/>
        </w:rPr>
      </w:pPr>
      <w:r w:rsidRPr="005147AC">
        <w:rPr>
          <w:rFonts w:cs="Times New Roman"/>
          <w:lang w:val="fr-CA"/>
        </w:rPr>
        <w:t>Contexte concernant M. Dorsey</w:t>
      </w:r>
    </w:p>
    <w:p w14:paraId="2453D31F" w14:textId="77777777" w:rsidR="005147AC" w:rsidRPr="005147AC" w:rsidRDefault="005147AC" w:rsidP="005147AC">
      <w:pPr>
        <w:pStyle w:val="ParaNoNdepar-AltN"/>
        <w:rPr>
          <w:rFonts w:cs="Times New Roman"/>
          <w:lang w:val="fr-CA"/>
        </w:rPr>
      </w:pPr>
      <w:r w:rsidRPr="005147AC">
        <w:rPr>
          <w:rFonts w:cs="Times New Roman"/>
          <w:lang w:val="fr-CA"/>
        </w:rPr>
        <w:t>Monsieur Dorsey a incité une victime âgée de 17 ans à la prostitution</w:t>
      </w:r>
      <w:r w:rsidRPr="005147AC">
        <w:rPr>
          <w:rFonts w:eastAsia="Times New Roman" w:cs="Times New Roman"/>
          <w:lang w:val="fr-CA"/>
        </w:rPr>
        <w:t xml:space="preserve">. Avant d’être déclaré délinquant dangereux, il avait fait l’objet de 26 déclarations de culpabilité à des infractions criminelles. Un psychiatre a diagnostiqué chez lui des troubles graves de personnalité antisociale sur le spectre psychopathique et a déclaré qu’il présentait un risque important de récidive. Une évaluation psychologique de 2018 a par ailleurs conclu que M. Dorsey présentait un risque élevé de récidive de violence. </w:t>
      </w:r>
    </w:p>
    <w:p w14:paraId="3ED71E02" w14:textId="77777777" w:rsidR="005147AC" w:rsidRPr="005147AC" w:rsidRDefault="005147AC" w:rsidP="005147AC">
      <w:pPr>
        <w:pStyle w:val="ParaNoNdepar-AltN"/>
        <w:rPr>
          <w:rFonts w:cs="Times New Roman"/>
          <w:lang w:val="fr-CA"/>
        </w:rPr>
      </w:pPr>
      <w:r w:rsidRPr="005147AC">
        <w:rPr>
          <w:rFonts w:cs="Times New Roman"/>
          <w:lang w:val="fr-CA"/>
        </w:rPr>
        <w:t>En 2019, alors qu’il était incarcéré dans un établissement à sécurité moyenne, M. Dorsey a demandé à être transféré vers un établissement à sécurité minimale. L’équipe de gestion de cas de M. Dorsey, son gestionnaire de l’évaluation et des interventions (« GEI ») et le directeur de l’établissement étaient tous d’avis qu’il satisfaisait aux critères en vue d’une attribution de la cote de sécurité minimale, mais en raison de sa déclaration de délinquant dangereux, sa demande de transfèrement devait être approuvée par le sous</w:t>
      </w:r>
      <w:r w:rsidRPr="005147AC">
        <w:rPr>
          <w:rFonts w:cs="Times New Roman"/>
          <w:lang w:val="fr-CA"/>
        </w:rPr>
        <w:noBreakHyphen/>
        <w:t>commissaire régional (« SCR ») et le commissaire adjoint, Opérations et programmes correctionnels (« CAOPC »).</w:t>
      </w:r>
    </w:p>
    <w:p w14:paraId="5DA71315" w14:textId="77777777" w:rsidR="005147AC" w:rsidRPr="005147AC" w:rsidRDefault="005147AC" w:rsidP="005147AC">
      <w:pPr>
        <w:pStyle w:val="ParaNoNdepar-AltN"/>
        <w:rPr>
          <w:rFonts w:cs="Times New Roman"/>
          <w:lang w:val="fr-CA"/>
        </w:rPr>
      </w:pPr>
      <w:r w:rsidRPr="005147AC">
        <w:rPr>
          <w:rFonts w:cs="Times New Roman"/>
          <w:lang w:val="fr-CA"/>
        </w:rPr>
        <w:t xml:space="preserve">Le SCR a rejeté la recommandation du directeur de l’établissement en faveur de la réévaluation et a maintenu la cote de sécurité moyenne de M. Dorsey, </w:t>
      </w:r>
      <w:r w:rsidRPr="005147AC">
        <w:rPr>
          <w:rFonts w:cs="Times New Roman"/>
          <w:lang w:val="fr-CA"/>
        </w:rPr>
        <w:lastRenderedPageBreak/>
        <w:t>déclarant qu’il présentait un risque élevé de récidive de violence et un risque modéré de récidive générale.</w:t>
      </w:r>
    </w:p>
    <w:p w14:paraId="6D93FD18" w14:textId="77777777" w:rsidR="005147AC" w:rsidRPr="005147AC" w:rsidRDefault="005147AC" w:rsidP="005147AC">
      <w:pPr>
        <w:pStyle w:val="ParaNoNdepar-AltN"/>
        <w:rPr>
          <w:rFonts w:cs="Times New Roman"/>
          <w:lang w:val="fr-CA"/>
        </w:rPr>
      </w:pPr>
      <w:r w:rsidRPr="005147AC">
        <w:rPr>
          <w:rFonts w:cs="Times New Roman"/>
          <w:lang w:val="fr-CA"/>
        </w:rPr>
        <w:t>Lors de la réévaluation subséquente de sa cote de sécurité, son équipe de gestion de cas et le directeur de l’établissement ont de nouveau recommandé qu’une cote de sécurité minimale lui soit attribuée. Cette fois</w:t>
      </w:r>
      <w:r w:rsidRPr="005147AC">
        <w:rPr>
          <w:rFonts w:cs="Times New Roman"/>
          <w:lang w:val="fr-CA"/>
        </w:rPr>
        <w:noBreakHyphen/>
        <w:t xml:space="preserve">là, le SCR a souscrit à cette recommandation qui a par conséquent été transmise au CAOPC. Le 25 octobre 2021 — alors que la requête en </w:t>
      </w:r>
      <w:r w:rsidRPr="005147AC">
        <w:rPr>
          <w:rFonts w:cs="Times New Roman"/>
          <w:i/>
          <w:lang w:val="fr-CA"/>
        </w:rPr>
        <w:t>habeas corpus</w:t>
      </w:r>
      <w:r w:rsidRPr="005147AC">
        <w:rPr>
          <w:rFonts w:cs="Times New Roman"/>
          <w:lang w:val="fr-CA"/>
        </w:rPr>
        <w:t xml:space="preserve"> de M. Dorsey était en cours — le CAOPC a approuvé l’attribution de la cote de sécurité minimale à M. Dorsey, et il a alors été transféré. </w:t>
      </w:r>
    </w:p>
    <w:p w14:paraId="61617435" w14:textId="77777777" w:rsidR="005147AC" w:rsidRPr="005147AC" w:rsidRDefault="005147AC" w:rsidP="005147AC">
      <w:pPr>
        <w:pStyle w:val="Title2LevelTitre2Niveau"/>
        <w:jc w:val="both"/>
        <w:rPr>
          <w:rFonts w:cs="Times New Roman"/>
          <w:lang w:val="fr-CA"/>
        </w:rPr>
      </w:pPr>
      <w:r w:rsidRPr="005147AC">
        <w:rPr>
          <w:rFonts w:cs="Times New Roman"/>
          <w:lang w:val="fr-CA"/>
        </w:rPr>
        <w:t>Contexte concernant M. Salah</w:t>
      </w:r>
    </w:p>
    <w:p w14:paraId="72B40412" w14:textId="77777777" w:rsidR="005147AC" w:rsidRPr="005147AC" w:rsidRDefault="005147AC" w:rsidP="005147AC">
      <w:pPr>
        <w:pStyle w:val="ParaNoNdepar-AltN"/>
        <w:rPr>
          <w:rFonts w:cs="Times New Roman"/>
          <w:lang w:val="fr-CA"/>
        </w:rPr>
      </w:pPr>
      <w:r w:rsidRPr="005147AC">
        <w:rPr>
          <w:rFonts w:cs="Times New Roman"/>
          <w:lang w:val="fr-CA"/>
        </w:rPr>
        <w:t>Monsieur Salah a incendié une maison familiale au milieu de la nuit pendant que deux enfants âgés de 7 et 10 ans dormaient à l’intérieur. Il l’a fait, car il tentait de tuer leur mère afin de la réduire au silence. La mère s’est enfuie, mais les enfants ont été tués. Monsieur Salah a été déclaré coupable de deux chefs de meurtre au premier degré et a été condamné à des peines concurrentes d’emprisonnement à perpétuité.</w:t>
      </w:r>
    </w:p>
    <w:p w14:paraId="7F0D192D" w14:textId="77777777" w:rsidR="005147AC" w:rsidRPr="005147AC" w:rsidRDefault="005147AC" w:rsidP="005147AC">
      <w:pPr>
        <w:pStyle w:val="ParaNoNdepar-AltN"/>
        <w:rPr>
          <w:rFonts w:cs="Times New Roman"/>
          <w:lang w:val="fr-CA"/>
        </w:rPr>
      </w:pPr>
      <w:r w:rsidRPr="005147AC">
        <w:rPr>
          <w:rFonts w:cs="Times New Roman"/>
          <w:lang w:val="fr-CA"/>
        </w:rPr>
        <w:t xml:space="preserve">En août 2019, alors qu’il était incarcéré dans un établissement à sécurité moyenne, M. Salah a demandé à être transféré vers un établissement à sécurité minimale. L’équipe de gestion de cas de M. Salah, son agent de libération conditionnelle et son GEI originel ont recommandé une modification de sa cote de </w:t>
      </w:r>
      <w:r w:rsidRPr="005147AC">
        <w:rPr>
          <w:rFonts w:cs="Times New Roman"/>
          <w:lang w:val="fr-CA"/>
        </w:rPr>
        <w:lastRenderedPageBreak/>
        <w:t xml:space="preserve">sécurité et son transfèrement à un établissement à sécurité minimale. On a estimé qu’il présentait un faible risque d’évasion malgré la mesure d’expulsion dont il faisait l’objet. Son équipe de gestion de cas a noté qu’il avait l’intention de retourner en Jordanie, son pays d’origine, une fois qu’il aurait obtenu sa libération conditionnelle totale, et qu’il avait un plan de réinstallation détaillé. </w:t>
      </w:r>
    </w:p>
    <w:p w14:paraId="348BD041" w14:textId="77777777" w:rsidR="005147AC" w:rsidRPr="005147AC" w:rsidRDefault="005147AC" w:rsidP="005147AC">
      <w:pPr>
        <w:pStyle w:val="ParaNoNdepar-AltN"/>
        <w:rPr>
          <w:rFonts w:cs="Times New Roman"/>
          <w:lang w:val="fr-CA"/>
        </w:rPr>
      </w:pPr>
      <w:r w:rsidRPr="005147AC">
        <w:rPr>
          <w:rFonts w:cs="Times New Roman"/>
          <w:lang w:val="fr-CA"/>
        </w:rPr>
        <w:t>En octobre 2019, son dossier a été assigné à un nouveau GEI qui a estimé que M. Salah présentait un risque modéré d’évasion en raison de la mesure d’expulsion. Le directeur de l’établissement a accepté l’évaluation du nouveau GEI et a décidé de refuser la demande de transfèrement. Le directeur de l’établissement lui aurait dit qu’il devrait attendre d’être plus près de la date à laquelle il deviendrait admissible à la semi</w:t>
      </w:r>
      <w:r w:rsidRPr="005147AC">
        <w:rPr>
          <w:rFonts w:cs="Times New Roman"/>
          <w:lang w:val="fr-CA"/>
        </w:rPr>
        <w:noBreakHyphen/>
        <w:t xml:space="preserve">liberté avant de présenter une nouvelle demande. </w:t>
      </w:r>
    </w:p>
    <w:p w14:paraId="72C11FA8" w14:textId="77777777" w:rsidR="005147AC" w:rsidRPr="005147AC" w:rsidRDefault="005147AC" w:rsidP="005147AC">
      <w:pPr>
        <w:pStyle w:val="ParaNoNdepar-AltN"/>
        <w:rPr>
          <w:rFonts w:cs="Times New Roman"/>
          <w:lang w:val="fr-CA"/>
        </w:rPr>
      </w:pPr>
      <w:r w:rsidRPr="005147AC">
        <w:rPr>
          <w:rFonts w:cs="Times New Roman"/>
          <w:lang w:val="fr-CA"/>
        </w:rPr>
        <w:t>Monsieur Salah a fait l’objet d’une modification de sa cote de sécurité et a été transféré à un établissement à sécurité minimale en mai 2024.</w:t>
      </w:r>
    </w:p>
    <w:p w14:paraId="75E86C42" w14:textId="77777777" w:rsidR="005147AC" w:rsidRPr="005147AC" w:rsidRDefault="005147AC" w:rsidP="005147AC">
      <w:pPr>
        <w:pStyle w:val="Title2LevelTitre2Niveau"/>
        <w:ind w:left="578" w:hanging="578"/>
        <w:jc w:val="both"/>
        <w:rPr>
          <w:rFonts w:cs="Times New Roman"/>
          <w:lang w:val="fr-CA"/>
        </w:rPr>
      </w:pPr>
      <w:bookmarkStart w:id="19" w:name="_Toc197642870"/>
      <w:r w:rsidRPr="005147AC">
        <w:rPr>
          <w:rFonts w:cs="Times New Roman"/>
          <w:lang w:val="fr-CA"/>
        </w:rPr>
        <w:t>Requêtes en bref d’habeas corpus</w:t>
      </w:r>
      <w:bookmarkEnd w:id="19"/>
    </w:p>
    <w:p w14:paraId="708E2678" w14:textId="77777777" w:rsidR="005147AC" w:rsidRPr="005147AC" w:rsidRDefault="005147AC" w:rsidP="005147AC">
      <w:pPr>
        <w:pStyle w:val="ParaNoNdepar-AltN"/>
        <w:rPr>
          <w:rFonts w:cs="Times New Roman"/>
          <w:lang w:val="fr-CA"/>
        </w:rPr>
      </w:pPr>
      <w:r w:rsidRPr="005147AC">
        <w:rPr>
          <w:rFonts w:cs="Times New Roman"/>
          <w:lang w:val="fr-CA"/>
        </w:rPr>
        <w:t xml:space="preserve">Messieurs Dorsey et Salah ont chacun demandé, en vertu de la </w:t>
      </w:r>
      <w:r w:rsidRPr="005147AC">
        <w:rPr>
          <w:rFonts w:cs="Times New Roman"/>
          <w:i/>
          <w:lang w:val="fr-CA"/>
        </w:rPr>
        <w:t>Loi sur l’habeas corpus</w:t>
      </w:r>
      <w:r w:rsidRPr="005147AC">
        <w:rPr>
          <w:rFonts w:cs="Times New Roman"/>
          <w:lang w:val="fr-CA"/>
        </w:rPr>
        <w:t>, L.R.O. 1990, c. H.1, un bref d’</w:t>
      </w:r>
      <w:r w:rsidRPr="005147AC">
        <w:rPr>
          <w:rFonts w:cs="Times New Roman"/>
          <w:i/>
          <w:lang w:val="fr-CA"/>
        </w:rPr>
        <w:t>habeas corpus ad subjiciendum</w:t>
      </w:r>
      <w:r w:rsidRPr="005147AC">
        <w:rPr>
          <w:rFonts w:cs="Times New Roman"/>
          <w:lang w:val="fr-CA"/>
        </w:rPr>
        <w:t xml:space="preserve"> assorti d’un </w:t>
      </w:r>
      <w:r w:rsidRPr="005147AC">
        <w:rPr>
          <w:rFonts w:cs="Times New Roman"/>
          <w:i/>
          <w:lang w:val="fr-CA"/>
        </w:rPr>
        <w:t>certiorari</w:t>
      </w:r>
      <w:r w:rsidRPr="005147AC">
        <w:rPr>
          <w:rFonts w:cs="Times New Roman"/>
          <w:lang w:val="fr-CA"/>
        </w:rPr>
        <w:t xml:space="preserve"> auxiliaire, au motif que les décisions les concernant étaient pour l’essentiel déraisonnables et illégales. Ils alléguaient également que le refus de leurs demandes de transfèrement faisait entrer en jeu les art. 7, 9, 10c) et 12 de la </w:t>
      </w:r>
      <w:r w:rsidRPr="005147AC">
        <w:rPr>
          <w:rFonts w:cs="Times New Roman"/>
          <w:i/>
          <w:lang w:val="fr-CA"/>
        </w:rPr>
        <w:t>Charte canadienne des droits et libertés</w:t>
      </w:r>
      <w:r w:rsidRPr="005147AC">
        <w:rPr>
          <w:rFonts w:cs="Times New Roman"/>
          <w:lang w:val="fr-CA"/>
        </w:rPr>
        <w:t>.</w:t>
      </w:r>
    </w:p>
    <w:p w14:paraId="1866CB99" w14:textId="77777777" w:rsidR="005147AC" w:rsidRPr="005147AC" w:rsidRDefault="005147AC" w:rsidP="005147AC">
      <w:pPr>
        <w:pStyle w:val="ParaNoNdepar-AltN"/>
        <w:rPr>
          <w:rFonts w:cs="Times New Roman"/>
          <w:lang w:val="fr-CA"/>
        </w:rPr>
      </w:pPr>
      <w:r w:rsidRPr="005147AC">
        <w:rPr>
          <w:rFonts w:cs="Times New Roman"/>
          <w:lang w:val="fr-CA"/>
        </w:rPr>
        <w:lastRenderedPageBreak/>
        <w:t>Avec le consentement des parties, les demandes ont été jointes afin de faire trancher une question juridique préliminaire commune : la question de savoir si MM. Dorsey et Salah pouvaient recourir à l’</w:t>
      </w:r>
      <w:r w:rsidRPr="005147AC">
        <w:rPr>
          <w:rFonts w:cs="Times New Roman"/>
          <w:i/>
          <w:lang w:val="fr-CA"/>
        </w:rPr>
        <w:t>habeas corpus</w:t>
      </w:r>
      <w:r w:rsidRPr="005147AC">
        <w:rPr>
          <w:rFonts w:cs="Times New Roman"/>
          <w:lang w:val="fr-CA"/>
        </w:rPr>
        <w:t xml:space="preserve"> pour contester les refus de leurs demandes de transfèrement à des prisons à sécurité moins élevée.</w:t>
      </w:r>
    </w:p>
    <w:p w14:paraId="3A9D65C1" w14:textId="77777777" w:rsidR="005147AC" w:rsidRPr="005147AC" w:rsidRDefault="005147AC" w:rsidP="005147AC">
      <w:pPr>
        <w:pStyle w:val="Title1LevelTitre1Niveau-AltL"/>
        <w:jc w:val="both"/>
        <w:rPr>
          <w:rFonts w:cs="Times New Roman"/>
          <w:lang w:val="fr-CA"/>
        </w:rPr>
      </w:pPr>
      <w:r w:rsidRPr="005147AC">
        <w:rPr>
          <w:rFonts w:cs="Times New Roman"/>
          <w:lang w:val="fr-CA"/>
        </w:rPr>
        <w:t xml:space="preserve">Historique judiciaire </w:t>
      </w:r>
    </w:p>
    <w:p w14:paraId="4355674B" w14:textId="77777777" w:rsidR="005147AC" w:rsidRPr="005147AC" w:rsidRDefault="005147AC" w:rsidP="00FA614E">
      <w:pPr>
        <w:pStyle w:val="Title2LevelTitre2Niveau"/>
        <w:numPr>
          <w:ilvl w:val="1"/>
          <w:numId w:val="8"/>
        </w:numPr>
        <w:jc w:val="both"/>
        <w:rPr>
          <w:rFonts w:cs="Times New Roman"/>
          <w:lang w:val="fr-CA"/>
        </w:rPr>
      </w:pPr>
      <w:bookmarkStart w:id="20" w:name="_Toc320021606"/>
      <w:bookmarkStart w:id="21" w:name="_Toc97334493"/>
      <w:r w:rsidRPr="005147AC">
        <w:rPr>
          <w:rFonts w:cs="Times New Roman"/>
          <w:lang w:val="fr-CA"/>
        </w:rPr>
        <w:t>Cour supérieure de justice de l’Ontario, 2022 ONSC 2107, 513 C.R.R. (2d) 90 (la juge Speyer)</w:t>
      </w:r>
    </w:p>
    <w:p w14:paraId="3E687B58" w14:textId="77777777" w:rsidR="005147AC" w:rsidRPr="005147AC" w:rsidRDefault="005147AC" w:rsidP="005147AC">
      <w:pPr>
        <w:pStyle w:val="ParaNoNdepar-AltN"/>
        <w:rPr>
          <w:rFonts w:cs="Times New Roman"/>
          <w:lang w:val="fr-CA"/>
        </w:rPr>
      </w:pPr>
      <w:r w:rsidRPr="005147AC">
        <w:rPr>
          <w:rFonts w:cs="Times New Roman"/>
          <w:lang w:val="fr-CA"/>
        </w:rPr>
        <w:t xml:space="preserve">La juge de première instance a conclu que </w:t>
      </w:r>
      <w:bookmarkStart w:id="22" w:name="_Hlk205906975"/>
      <w:r w:rsidRPr="005147AC">
        <w:rPr>
          <w:rFonts w:cs="Times New Roman"/>
          <w:lang w:val="fr-CA"/>
        </w:rPr>
        <w:t>les requérants ne pouvaient pas recourir à l’</w:t>
      </w:r>
      <w:r w:rsidRPr="005147AC">
        <w:rPr>
          <w:rFonts w:cs="Times New Roman"/>
          <w:i/>
          <w:lang w:val="fr-CA"/>
        </w:rPr>
        <w:t>habeas corpus</w:t>
      </w:r>
      <w:r w:rsidRPr="005147AC">
        <w:rPr>
          <w:rFonts w:cs="Times New Roman"/>
          <w:lang w:val="fr-CA"/>
        </w:rPr>
        <w:t xml:space="preserve"> </w:t>
      </w:r>
      <w:bookmarkEnd w:id="22"/>
      <w:r w:rsidRPr="005147AC">
        <w:rPr>
          <w:rFonts w:cs="Times New Roman"/>
          <w:lang w:val="fr-CA"/>
        </w:rPr>
        <w:t>pour contester les refus de leurs demandes d’attribution de la cote de sécurité minimale et de leurs demandes de transfèrement dans des prisons à sécurité minimale. Bien qu’une décision puisse être défavorable à un détenu, cela n’équivaut à une privation de la liberté résiduelle que si la décision se traduit par une réduction de la liberté du prisonnier. Ici, une telle réduction de liberté n’avait pas eu lieu.</w:t>
      </w:r>
    </w:p>
    <w:p w14:paraId="4950A34E" w14:textId="77777777" w:rsidR="005147AC" w:rsidRPr="005147AC" w:rsidRDefault="005147AC" w:rsidP="005147AC">
      <w:pPr>
        <w:pStyle w:val="ParaNoNdepar-AltN"/>
        <w:rPr>
          <w:rFonts w:cs="Times New Roman"/>
          <w:lang w:val="fr-CA"/>
        </w:rPr>
      </w:pPr>
      <w:r w:rsidRPr="005147AC">
        <w:rPr>
          <w:rFonts w:cs="Times New Roman"/>
          <w:lang w:val="fr-CA"/>
        </w:rPr>
        <w:t>La juge de première instance a fait remarquer que la question soulevée par les appelants n’est pas inédite, car elle a été examinée à maintes reprises par la Cour supérieure de justice de l’Ontario durant la dernière décennie. Elle a conclu que selon la jurisprudence dominante de la décennie précédente, [</w:t>
      </w:r>
      <w:r w:rsidRPr="005147AC">
        <w:rPr>
          <w:rFonts w:cs="Times New Roman"/>
          <w:smallCaps/>
          <w:lang w:val="fr-CA"/>
        </w:rPr>
        <w:t>traduction</w:t>
      </w:r>
      <w:r w:rsidRPr="005147AC">
        <w:rPr>
          <w:rFonts w:cs="Times New Roman"/>
          <w:lang w:val="fr-CA"/>
        </w:rPr>
        <w:t xml:space="preserve">] « le refus d’attribuer à un délinquant une cote de sécurité inférieure n’équivaut pas à une privation </w:t>
      </w:r>
      <w:r w:rsidRPr="005147AC">
        <w:rPr>
          <w:rFonts w:cs="Times New Roman"/>
          <w:lang w:val="fr-CA"/>
        </w:rPr>
        <w:lastRenderedPageBreak/>
        <w:t>de liberté » — il ne s’agit pas d’une privation de la liberté résiduelle d’un délinquant (par. 35).</w:t>
      </w:r>
    </w:p>
    <w:p w14:paraId="3595B3FD" w14:textId="77777777" w:rsidR="005147AC" w:rsidRPr="005147AC" w:rsidRDefault="005147AC" w:rsidP="005147AC">
      <w:pPr>
        <w:pStyle w:val="Title2LevelTitre2Niveau"/>
        <w:numPr>
          <w:ilvl w:val="1"/>
          <w:numId w:val="8"/>
        </w:numPr>
        <w:spacing w:after="240" w:line="360" w:lineRule="auto"/>
        <w:jc w:val="both"/>
        <w:rPr>
          <w:rFonts w:cs="Times New Roman"/>
          <w:lang w:val="fr-CA"/>
        </w:rPr>
      </w:pPr>
      <w:bookmarkStart w:id="23" w:name="_Toc197642876"/>
      <w:r w:rsidRPr="005147AC">
        <w:rPr>
          <w:rFonts w:cs="Times New Roman"/>
          <w:lang w:val="fr-CA"/>
        </w:rPr>
        <w:t xml:space="preserve">Cour d’appel de l’Ontario, 2023 ONCA 843, 169 O.R. (3d) 417 </w:t>
      </w:r>
      <w:bookmarkEnd w:id="20"/>
      <w:bookmarkEnd w:id="21"/>
      <w:bookmarkEnd w:id="23"/>
    </w:p>
    <w:p w14:paraId="4B26C3C8" w14:textId="77777777" w:rsidR="005147AC" w:rsidRPr="005147AC" w:rsidRDefault="005147AC" w:rsidP="005147AC">
      <w:pPr>
        <w:pStyle w:val="ParaNoNdepar-AltN"/>
        <w:rPr>
          <w:rFonts w:cs="Times New Roman"/>
          <w:lang w:val="fr-CA"/>
        </w:rPr>
      </w:pPr>
      <w:r w:rsidRPr="005147AC">
        <w:rPr>
          <w:rFonts w:cs="Times New Roman"/>
          <w:lang w:val="fr-CA"/>
        </w:rPr>
        <w:t>La décision de la Cour d’appel était partagée. Avec l’accord de la juge Harvison Young, le juge George a rejeté l’appel. La juge Simmons était dissidente; elle aurait accueilli l’appel.</w:t>
      </w:r>
    </w:p>
    <w:p w14:paraId="2931A573" w14:textId="77777777" w:rsidR="005147AC" w:rsidRPr="005147AC" w:rsidRDefault="005147AC" w:rsidP="005147AC">
      <w:pPr>
        <w:pStyle w:val="Title3LevelTitre3Niveau"/>
        <w:numPr>
          <w:ilvl w:val="2"/>
          <w:numId w:val="8"/>
        </w:numPr>
        <w:jc w:val="both"/>
        <w:rPr>
          <w:rFonts w:cs="Times New Roman"/>
          <w:lang w:val="fr-CA"/>
        </w:rPr>
      </w:pPr>
      <w:bookmarkStart w:id="24" w:name="_Toc197642877"/>
      <w:r w:rsidRPr="005147AC">
        <w:rPr>
          <w:rFonts w:cs="Times New Roman"/>
          <w:lang w:val="fr-CA"/>
        </w:rPr>
        <w:t>Motifs de la majorité (le juge George, avec l’accord de la juge Harvison Young)</w:t>
      </w:r>
      <w:bookmarkEnd w:id="24"/>
    </w:p>
    <w:p w14:paraId="70A505CA" w14:textId="77777777" w:rsidR="005147AC" w:rsidRPr="005147AC" w:rsidRDefault="005147AC" w:rsidP="005147AC">
      <w:pPr>
        <w:pStyle w:val="ParaNoNdepar-AltN"/>
        <w:rPr>
          <w:rFonts w:cs="Times New Roman"/>
          <w:lang w:val="fr-CA"/>
        </w:rPr>
      </w:pPr>
      <w:r w:rsidRPr="005147AC">
        <w:rPr>
          <w:rFonts w:cs="Times New Roman"/>
          <w:lang w:val="fr-CA"/>
        </w:rPr>
        <w:t>Le juge George a noté que, bien qu’un détenu privé de sa liberté résiduelle puisse recourir à l’</w:t>
      </w:r>
      <w:r w:rsidRPr="005147AC">
        <w:rPr>
          <w:rFonts w:cs="Times New Roman"/>
          <w:i/>
          <w:lang w:val="fr-CA"/>
        </w:rPr>
        <w:t>habeas corpus</w:t>
      </w:r>
      <w:r w:rsidRPr="005147AC">
        <w:rPr>
          <w:rFonts w:cs="Times New Roman"/>
          <w:lang w:val="fr-CA"/>
        </w:rPr>
        <w:t xml:space="preserve">, les appelants, de par leurs arguments, présumaient qu’ils avaient droit à un transfèrement à un établissement à sécurité minimale. Cependant, il n’existe pas de </w:t>
      </w:r>
      <w:r w:rsidRPr="005147AC">
        <w:rPr>
          <w:rFonts w:cs="Times New Roman"/>
          <w:smallCaps/>
          <w:lang w:val="fr-CA"/>
        </w:rPr>
        <w:t>[traduction]</w:t>
      </w:r>
      <w:r w:rsidRPr="005147AC">
        <w:rPr>
          <w:rFonts w:cs="Times New Roman"/>
          <w:lang w:val="fr-CA"/>
        </w:rPr>
        <w:t xml:space="preserve"> « droit distinct à l’attribution d’une cote de sécurité minimale » tout simplement parce que la </w:t>
      </w:r>
      <w:r w:rsidRPr="005147AC">
        <w:rPr>
          <w:rFonts w:cs="Times New Roman"/>
          <w:i/>
          <w:lang w:val="fr-CA"/>
        </w:rPr>
        <w:t>LSCMLC</w:t>
      </w:r>
      <w:r w:rsidRPr="005147AC">
        <w:rPr>
          <w:rFonts w:cs="Times New Roman"/>
          <w:lang w:val="fr-CA"/>
        </w:rPr>
        <w:t xml:space="preserve"> oblige Service correctionnel Canada (« SCC ») à prendre toutes les mesures raisonnables pour faire en sorte que les détenus soient incarcérés dans un milieu où seules existent les restrictions les moins privatives de liberté (par. 40, citant </w:t>
      </w:r>
      <w:r w:rsidRPr="005147AC">
        <w:rPr>
          <w:rFonts w:cs="Times New Roman"/>
          <w:i/>
          <w:lang w:val="fr-CA"/>
        </w:rPr>
        <w:t>R. (L.V.) c. Mountain Institution</w:t>
      </w:r>
      <w:r w:rsidRPr="005147AC">
        <w:rPr>
          <w:rFonts w:cs="Times New Roman"/>
          <w:lang w:val="fr-CA"/>
        </w:rPr>
        <w:t>, 2016 BCCA 467, 346 C.C.C. (3d) 254, par. 39).</w:t>
      </w:r>
    </w:p>
    <w:p w14:paraId="05DC0E7F" w14:textId="77777777" w:rsidR="005147AC" w:rsidRPr="005147AC" w:rsidRDefault="005147AC" w:rsidP="005147AC">
      <w:pPr>
        <w:pStyle w:val="ParaNoNdepar-AltN"/>
        <w:rPr>
          <w:rFonts w:cs="Times New Roman"/>
          <w:lang w:val="fr-CA"/>
        </w:rPr>
      </w:pPr>
      <w:r w:rsidRPr="005147AC">
        <w:rPr>
          <w:rFonts w:cs="Times New Roman"/>
          <w:lang w:val="fr-CA"/>
        </w:rPr>
        <w:t xml:space="preserve">Le juge George a conclu que la situation des appelants ne relevait pas de la troisième catégorie de l’arrêt </w:t>
      </w:r>
      <w:r w:rsidRPr="005147AC">
        <w:rPr>
          <w:rFonts w:cs="Times New Roman"/>
          <w:i/>
          <w:lang w:val="fr-CA"/>
        </w:rPr>
        <w:t>Dumas</w:t>
      </w:r>
      <w:r w:rsidRPr="005147AC">
        <w:rPr>
          <w:rFonts w:cs="Times New Roman"/>
          <w:lang w:val="fr-CA"/>
        </w:rPr>
        <w:t xml:space="preserve">, parce qu’ils n’avaient pas acquis le statut de détenu possédant une cote de sécurité minimale. Si SCC avait refusé le transfèrement </w:t>
      </w:r>
      <w:r w:rsidRPr="005147AC">
        <w:rPr>
          <w:rFonts w:cs="Times New Roman"/>
          <w:lang w:val="fr-CA"/>
        </w:rPr>
        <w:lastRenderedPageBreak/>
        <w:t>de M. Dorsey après avoir réévalué sa cote de sécurité, ce dernier aurait pu recourir à l’</w:t>
      </w:r>
      <w:r w:rsidRPr="005147AC">
        <w:rPr>
          <w:rFonts w:cs="Times New Roman"/>
          <w:i/>
          <w:lang w:val="fr-CA"/>
        </w:rPr>
        <w:t>habeas corpus</w:t>
      </w:r>
      <w:r w:rsidRPr="005147AC">
        <w:rPr>
          <w:rFonts w:cs="Times New Roman"/>
          <w:lang w:val="fr-CA"/>
        </w:rPr>
        <w:t xml:space="preserve"> (par. 46). Il a fait remarquer que le recours à l’</w:t>
      </w:r>
      <w:r w:rsidRPr="005147AC">
        <w:rPr>
          <w:rFonts w:cs="Times New Roman"/>
          <w:i/>
          <w:iCs/>
          <w:lang w:val="fr-CA"/>
        </w:rPr>
        <w:t>habeas corpus</w:t>
      </w:r>
      <w:r w:rsidRPr="005147AC">
        <w:rPr>
          <w:rFonts w:cs="Times New Roman"/>
          <w:lang w:val="fr-CA"/>
        </w:rPr>
        <w:t xml:space="preserve"> à l’égard de ces décisions </w:t>
      </w:r>
      <w:r w:rsidRPr="005147AC">
        <w:rPr>
          <w:rFonts w:cs="Times New Roman"/>
          <w:smallCaps/>
          <w:lang w:val="fr-CA"/>
        </w:rPr>
        <w:t>[traduction] « </w:t>
      </w:r>
      <w:r w:rsidRPr="005147AC">
        <w:rPr>
          <w:rFonts w:cs="Times New Roman"/>
          <w:lang w:val="fr-CA"/>
        </w:rPr>
        <w:t>permettrait en effet à chaque détenu fédéral d’y recourir relativement à toute décision afférente à une réévaluation »</w:t>
      </w:r>
      <w:r w:rsidRPr="005147AC">
        <w:rPr>
          <w:rFonts w:cs="Times New Roman"/>
          <w:szCs w:val="24"/>
          <w:lang w:val="fr-CA"/>
        </w:rPr>
        <w:t xml:space="preserve"> (par. 43).</w:t>
      </w:r>
      <w:r w:rsidRPr="005147AC">
        <w:rPr>
          <w:rFonts w:cs="Times New Roman"/>
          <w:lang w:val="fr-CA"/>
        </w:rPr>
        <w:t xml:space="preserve"> Pour lui, « </w:t>
      </w:r>
      <w:r w:rsidRPr="005147AC">
        <w:rPr>
          <w:rFonts w:cs="Times New Roman"/>
          <w:szCs w:val="24"/>
          <w:lang w:val="fr-CA"/>
        </w:rPr>
        <w:t>rien ne commande ou ne justifie de déclencher cette avalanche de demandes » (</w:t>
      </w:r>
      <w:r w:rsidRPr="005147AC">
        <w:rPr>
          <w:rFonts w:cs="Times New Roman"/>
          <w:i/>
          <w:lang w:val="fr-CA"/>
        </w:rPr>
        <w:t>ibid</w:t>
      </w:r>
      <w:r w:rsidRPr="005147AC">
        <w:rPr>
          <w:rFonts w:cs="Times New Roman"/>
          <w:lang w:val="fr-CA"/>
        </w:rPr>
        <w:t>.).</w:t>
      </w:r>
    </w:p>
    <w:p w14:paraId="6624D834" w14:textId="77777777" w:rsidR="005147AC" w:rsidRPr="005147AC" w:rsidRDefault="005147AC" w:rsidP="005147AC">
      <w:pPr>
        <w:pStyle w:val="ParaNoNdepar-AltN"/>
        <w:rPr>
          <w:rFonts w:cs="Times New Roman"/>
          <w:lang w:val="fr-CA"/>
        </w:rPr>
      </w:pPr>
      <w:r w:rsidRPr="005147AC">
        <w:rPr>
          <w:rFonts w:cs="Times New Roman"/>
          <w:lang w:val="fr-CA"/>
        </w:rPr>
        <w:t xml:space="preserve">Le juge George a noté que l’arrêt </w:t>
      </w:r>
      <w:r w:rsidRPr="005147AC">
        <w:rPr>
          <w:rFonts w:cs="Times New Roman"/>
          <w:i/>
          <w:lang w:val="fr-CA"/>
        </w:rPr>
        <w:t>Établissement de Mission c. Khela</w:t>
      </w:r>
      <w:r w:rsidRPr="005147AC">
        <w:rPr>
          <w:rFonts w:cs="Times New Roman"/>
          <w:lang w:val="fr-CA"/>
        </w:rPr>
        <w:t xml:space="preserve">, 2014 CSC 24, [2014] 1 R.C.S. 502, de la Cour suprême </w:t>
      </w:r>
      <w:r w:rsidRPr="005147AC">
        <w:rPr>
          <w:rFonts w:cs="Times New Roman"/>
          <w:smallCaps/>
          <w:lang w:val="fr-CA"/>
        </w:rPr>
        <w:t>[traduction]</w:t>
      </w:r>
      <w:r w:rsidRPr="005147AC">
        <w:rPr>
          <w:rFonts w:cs="Times New Roman"/>
          <w:lang w:val="fr-CA"/>
        </w:rPr>
        <w:t xml:space="preserve"> « est sans équivoque : un détenu peut recourir au bref d’</w:t>
      </w:r>
      <w:r w:rsidRPr="005147AC">
        <w:rPr>
          <w:rFonts w:cs="Times New Roman"/>
          <w:i/>
          <w:lang w:val="fr-CA"/>
        </w:rPr>
        <w:t>habeas corpus</w:t>
      </w:r>
      <w:r w:rsidRPr="005147AC">
        <w:rPr>
          <w:rFonts w:cs="Times New Roman"/>
          <w:lang w:val="fr-CA"/>
        </w:rPr>
        <w:t xml:space="preserve"> </w:t>
      </w:r>
      <w:r w:rsidRPr="005147AC">
        <w:rPr>
          <w:rFonts w:cs="Times New Roman"/>
          <w:i/>
          <w:iCs/>
          <w:lang w:val="fr-CA"/>
        </w:rPr>
        <w:t>uniquement</w:t>
      </w:r>
      <w:r w:rsidRPr="005147AC">
        <w:rPr>
          <w:rFonts w:cs="Times New Roman"/>
          <w:lang w:val="fr-CA"/>
        </w:rPr>
        <w:t xml:space="preserve"> lorsque sa liberté résiduelle a été restreinte ou, en d’autres termes, lorsqu’il en a été privé » (par. 57 (en italique dans l’original)).</w:t>
      </w:r>
    </w:p>
    <w:p w14:paraId="2E873A54" w14:textId="77777777" w:rsidR="005147AC" w:rsidRPr="005147AC" w:rsidRDefault="005147AC" w:rsidP="005147AC">
      <w:pPr>
        <w:pStyle w:val="Title3LevelTitre3Niveau"/>
        <w:numPr>
          <w:ilvl w:val="2"/>
          <w:numId w:val="8"/>
        </w:numPr>
        <w:jc w:val="both"/>
        <w:rPr>
          <w:rFonts w:cs="Times New Roman"/>
          <w:lang w:val="fr-CA"/>
        </w:rPr>
      </w:pPr>
      <w:bookmarkStart w:id="25" w:name="_Toc197642878"/>
      <w:r w:rsidRPr="005147AC">
        <w:rPr>
          <w:rFonts w:cs="Times New Roman"/>
          <w:lang w:val="fr-CA"/>
        </w:rPr>
        <w:t>Motifs dissidents (la juge Simmons)</w:t>
      </w:r>
      <w:bookmarkEnd w:id="25"/>
    </w:p>
    <w:p w14:paraId="14D57086" w14:textId="77777777" w:rsidR="005147AC" w:rsidRPr="005147AC" w:rsidRDefault="005147AC" w:rsidP="005147AC">
      <w:pPr>
        <w:pStyle w:val="ParaNoNdepar-AltN"/>
        <w:rPr>
          <w:rFonts w:cs="Times New Roman"/>
          <w:lang w:val="fr-CA"/>
        </w:rPr>
      </w:pPr>
      <w:r w:rsidRPr="005147AC">
        <w:rPr>
          <w:rFonts w:cs="Times New Roman"/>
          <w:lang w:val="fr-CA"/>
        </w:rPr>
        <w:t>La juge Simmons a conclu que la question de savoir si un détenu peut se prévaloir de l’</w:t>
      </w:r>
      <w:r w:rsidRPr="005147AC">
        <w:rPr>
          <w:rFonts w:cs="Times New Roman"/>
          <w:i/>
          <w:iCs/>
          <w:lang w:val="fr-CA"/>
        </w:rPr>
        <w:t>habeas corpus</w:t>
      </w:r>
      <w:r w:rsidRPr="005147AC">
        <w:rPr>
          <w:rFonts w:cs="Times New Roman"/>
          <w:lang w:val="fr-CA"/>
        </w:rPr>
        <w:t xml:space="preserve"> en application de la troisième catégorie de l’arrêt </w:t>
      </w:r>
      <w:r w:rsidRPr="005147AC">
        <w:rPr>
          <w:rFonts w:cs="Times New Roman"/>
          <w:i/>
          <w:lang w:val="fr-CA"/>
        </w:rPr>
        <w:t>Dumas</w:t>
      </w:r>
      <w:r w:rsidRPr="005147AC">
        <w:rPr>
          <w:rFonts w:cs="Times New Roman"/>
          <w:lang w:val="fr-CA"/>
        </w:rPr>
        <w:t xml:space="preserve"> doit être tributaire de sa capacité à démontrer qu’il existe un motif légitime de conclure que la seule raison pour laquelle on avait refusé de lui attribuer la cote de sécurité minimale était illégale, de sorte qu’une cote de sécurité minimale lui aurait autrement été accordée. Elle a expliqué que [</w:t>
      </w:r>
      <w:r w:rsidRPr="005147AC">
        <w:rPr>
          <w:rFonts w:cs="Times New Roman"/>
          <w:smallCaps/>
          <w:lang w:val="fr-CA"/>
        </w:rPr>
        <w:t>traduction</w:t>
      </w:r>
      <w:r w:rsidRPr="005147AC">
        <w:rPr>
          <w:rFonts w:cs="Times New Roman"/>
          <w:lang w:val="fr-CA"/>
        </w:rPr>
        <w:t xml:space="preserve">] « [d]ans ces circonstances, si la décision de réévaluer la cote de sécurité était en définitive jugée illégale, une continuation de la privation de liberté, en application de la troisième catégorie de l’arrêt </w:t>
      </w:r>
      <w:r w:rsidRPr="005147AC">
        <w:rPr>
          <w:rFonts w:cs="Times New Roman"/>
          <w:i/>
          <w:lang w:val="fr-CA"/>
        </w:rPr>
        <w:t>Dumas</w:t>
      </w:r>
      <w:r w:rsidRPr="005147AC">
        <w:rPr>
          <w:rFonts w:cs="Times New Roman"/>
          <w:lang w:val="fr-CA"/>
        </w:rPr>
        <w:t xml:space="preserve">, se serait cristallisée à la date de la décision de réévaluation de la cote de sécurité </w:t>
      </w:r>
      <w:r w:rsidRPr="005147AC">
        <w:rPr>
          <w:rFonts w:cs="Times New Roman"/>
          <w:lang w:val="fr-CA"/>
        </w:rPr>
        <w:lastRenderedPageBreak/>
        <w:t>et la conclusion d’illégalité aurait également entraîné le droit à la cote de sécurité moins élevée » (par. 115).</w:t>
      </w:r>
    </w:p>
    <w:p w14:paraId="5B4A8D82" w14:textId="77777777" w:rsidR="005147AC" w:rsidRPr="005147AC" w:rsidRDefault="005147AC" w:rsidP="005147AC">
      <w:pPr>
        <w:pStyle w:val="ParaNoNdepar-AltN"/>
        <w:rPr>
          <w:rFonts w:cs="Times New Roman"/>
          <w:lang w:val="fr-CA"/>
        </w:rPr>
      </w:pPr>
      <w:r w:rsidRPr="005147AC">
        <w:rPr>
          <w:rFonts w:cs="Times New Roman"/>
          <w:lang w:val="fr-CA"/>
        </w:rPr>
        <w:t xml:space="preserve">La juge Simmons n’interprète pas l’arrêt </w:t>
      </w:r>
      <w:r w:rsidRPr="005147AC">
        <w:rPr>
          <w:rFonts w:cs="Times New Roman"/>
          <w:i/>
          <w:lang w:val="fr-CA"/>
        </w:rPr>
        <w:t>Dumas</w:t>
      </w:r>
      <w:r w:rsidRPr="005147AC">
        <w:rPr>
          <w:rFonts w:cs="Times New Roman"/>
          <w:lang w:val="fr-CA"/>
        </w:rPr>
        <w:t xml:space="preserve"> comme reliant l’illégalité à l’acquisition d’un statut particulier. C’est plutôt le refus d’accorder des conditions de détention moins restrictives en l’absence d’un fondement juridique qui cristallise la privation de liberté.</w:t>
      </w:r>
    </w:p>
    <w:p w14:paraId="5623A358" w14:textId="77777777" w:rsidR="005147AC" w:rsidRPr="005147AC" w:rsidRDefault="005147AC" w:rsidP="005147AC">
      <w:pPr>
        <w:pStyle w:val="Title1LevelTitre1Niveau-AltL"/>
        <w:jc w:val="both"/>
        <w:rPr>
          <w:rFonts w:cs="Times New Roman"/>
          <w:lang w:val="fr-CA"/>
        </w:rPr>
      </w:pPr>
      <w:r w:rsidRPr="005147AC">
        <w:rPr>
          <w:rFonts w:cs="Times New Roman"/>
          <w:lang w:val="fr-CA"/>
        </w:rPr>
        <w:t>Analyse</w:t>
      </w:r>
    </w:p>
    <w:p w14:paraId="303E4F1F" w14:textId="77777777" w:rsidR="005147AC" w:rsidRPr="005147AC" w:rsidRDefault="005147AC" w:rsidP="005147AC">
      <w:pPr>
        <w:pStyle w:val="ParaNoNdepar-AltN"/>
        <w:rPr>
          <w:rFonts w:cs="Times New Roman"/>
          <w:lang w:val="fr-CA"/>
        </w:rPr>
      </w:pPr>
      <w:r w:rsidRPr="005147AC">
        <w:rPr>
          <w:rFonts w:cs="Times New Roman"/>
          <w:lang w:val="fr-CA"/>
        </w:rPr>
        <w:t xml:space="preserve">Les appelants font valoir que le refus de réévaluer leurs cotes de sécurité ou de les transférer à un établissement à sécurité moins élevée constitue une privation de liberté susceptible de justifier une requête en </w:t>
      </w:r>
      <w:r w:rsidRPr="005147AC">
        <w:rPr>
          <w:rFonts w:cs="Times New Roman"/>
          <w:i/>
          <w:lang w:val="fr-CA"/>
        </w:rPr>
        <w:t>habeas corpus</w:t>
      </w:r>
      <w:r w:rsidRPr="005147AC">
        <w:rPr>
          <w:rFonts w:cs="Times New Roman"/>
          <w:lang w:val="fr-CA"/>
        </w:rPr>
        <w:t xml:space="preserve">. Ils soutiennent que cela relève de la troisième catégorie de l’arrêt </w:t>
      </w:r>
      <w:r w:rsidRPr="005147AC">
        <w:rPr>
          <w:rFonts w:cs="Times New Roman"/>
          <w:i/>
          <w:lang w:val="fr-CA"/>
        </w:rPr>
        <w:t>Dumas</w:t>
      </w:r>
      <w:r w:rsidRPr="005147AC">
        <w:rPr>
          <w:rFonts w:cs="Times New Roman"/>
          <w:lang w:val="fr-CA"/>
        </w:rPr>
        <w:t> : la continuation d’une privation de liberté. Nous ne sommes pas de cet avis. Comme nous l’expliquons ci</w:t>
      </w:r>
      <w:r w:rsidRPr="005147AC">
        <w:rPr>
          <w:rFonts w:cs="Times New Roman"/>
          <w:lang w:val="fr-CA"/>
        </w:rPr>
        <w:noBreakHyphen/>
        <w:t xml:space="preserve">après, l’arrêt </w:t>
      </w:r>
      <w:r w:rsidRPr="005147AC">
        <w:rPr>
          <w:rFonts w:cs="Times New Roman"/>
          <w:i/>
          <w:iCs/>
          <w:lang w:val="fr-CA"/>
        </w:rPr>
        <w:t xml:space="preserve">Dumas </w:t>
      </w:r>
      <w:r w:rsidRPr="005147AC">
        <w:rPr>
          <w:rFonts w:cs="Times New Roman"/>
          <w:iCs/>
          <w:lang w:val="fr-CA"/>
        </w:rPr>
        <w:t xml:space="preserve">a établi une exigence selon laquelle le requérant doit </w:t>
      </w:r>
      <w:r w:rsidRPr="005147AC">
        <w:rPr>
          <w:rFonts w:cs="Times New Roman"/>
          <w:lang w:val="fr-CA"/>
        </w:rPr>
        <w:t xml:space="preserve">avoir droit à la réévaluation de sa cote de sécurité et à son transfèrement à un établissement à sécurité moins élevée pour pouvoir présenter une requête en </w:t>
      </w:r>
      <w:r w:rsidRPr="005147AC">
        <w:rPr>
          <w:rFonts w:cs="Times New Roman"/>
          <w:i/>
          <w:lang w:val="fr-CA"/>
        </w:rPr>
        <w:t>habeas corpus</w:t>
      </w:r>
      <w:r w:rsidRPr="005147AC">
        <w:rPr>
          <w:rFonts w:cs="Times New Roman"/>
          <w:lang w:val="fr-CA"/>
        </w:rPr>
        <w:t xml:space="preserve"> fondée sur la troisième catégorie de l’arrêt </w:t>
      </w:r>
      <w:r w:rsidRPr="005147AC">
        <w:rPr>
          <w:rFonts w:cs="Times New Roman"/>
          <w:i/>
          <w:iCs/>
          <w:lang w:val="fr-CA"/>
        </w:rPr>
        <w:t>Dumas</w:t>
      </w:r>
      <w:r w:rsidRPr="005147AC">
        <w:rPr>
          <w:rFonts w:cs="Times New Roman"/>
          <w:lang w:val="fr-CA"/>
        </w:rPr>
        <w:t xml:space="preserve">. L’état actuel du droit ne soutient pas l’interprétation avancée par la majorité, surtout en ce qui concerne la troisième catégorie de l’arrêt </w:t>
      </w:r>
      <w:r w:rsidRPr="005147AC">
        <w:rPr>
          <w:rFonts w:cs="Times New Roman"/>
          <w:i/>
          <w:iCs/>
          <w:lang w:val="fr-CA"/>
        </w:rPr>
        <w:t>Dumas</w:t>
      </w:r>
      <w:r w:rsidRPr="005147AC">
        <w:rPr>
          <w:rFonts w:cs="Times New Roman"/>
          <w:lang w:val="fr-CA"/>
        </w:rPr>
        <w:t>.</w:t>
      </w:r>
    </w:p>
    <w:p w14:paraId="616E1E2B" w14:textId="77777777" w:rsidR="005147AC" w:rsidRPr="005147AC" w:rsidRDefault="005147AC" w:rsidP="005147AC">
      <w:pPr>
        <w:pStyle w:val="ParaNoNdepar-AltN"/>
        <w:rPr>
          <w:rFonts w:cs="Times New Roman"/>
          <w:lang w:val="fr-CA"/>
        </w:rPr>
      </w:pPr>
      <w:r w:rsidRPr="005147AC">
        <w:rPr>
          <w:rFonts w:cs="Times New Roman"/>
          <w:lang w:val="fr-CA"/>
        </w:rPr>
        <w:t xml:space="preserve">Nous ne pouvons souscrire à l’élargissement du recours en </w:t>
      </w:r>
      <w:r w:rsidRPr="005147AC">
        <w:rPr>
          <w:rFonts w:cs="Times New Roman"/>
          <w:i/>
          <w:lang w:val="fr-CA"/>
        </w:rPr>
        <w:t>habeas corpus</w:t>
      </w:r>
      <w:r w:rsidRPr="005147AC">
        <w:rPr>
          <w:rFonts w:cs="Times New Roman"/>
          <w:lang w:val="fr-CA"/>
        </w:rPr>
        <w:t xml:space="preserve"> proposé par la majorité dans le contexte correctionnel. Comme nous l’expliquons ci</w:t>
      </w:r>
      <w:r w:rsidRPr="005147AC">
        <w:rPr>
          <w:rFonts w:cs="Times New Roman"/>
          <w:lang w:val="fr-CA"/>
        </w:rPr>
        <w:noBreakHyphen/>
        <w:t xml:space="preserve">après, l’élargissement de la portée du recours en </w:t>
      </w:r>
      <w:r w:rsidRPr="005147AC">
        <w:rPr>
          <w:rFonts w:cs="Times New Roman"/>
          <w:i/>
          <w:iCs/>
          <w:lang w:val="fr-CA"/>
        </w:rPr>
        <w:t>habeas corpus</w:t>
      </w:r>
      <w:r w:rsidRPr="005147AC">
        <w:rPr>
          <w:rFonts w:cs="Times New Roman"/>
          <w:lang w:val="fr-CA"/>
        </w:rPr>
        <w:t xml:space="preserve"> dans le système </w:t>
      </w:r>
      <w:r w:rsidRPr="005147AC">
        <w:rPr>
          <w:rFonts w:cs="Times New Roman"/>
          <w:lang w:val="fr-CA"/>
        </w:rPr>
        <w:lastRenderedPageBreak/>
        <w:t>correctionnel grève le droit administratif moderne. L’</w:t>
      </w:r>
      <w:r w:rsidRPr="005147AC">
        <w:rPr>
          <w:rFonts w:cs="Times New Roman"/>
          <w:i/>
          <w:lang w:val="fr-CA"/>
        </w:rPr>
        <w:t>habeas corpus</w:t>
      </w:r>
      <w:r w:rsidRPr="005147AC">
        <w:rPr>
          <w:rFonts w:cs="Times New Roman"/>
          <w:lang w:val="fr-CA"/>
        </w:rPr>
        <w:t xml:space="preserve"> est un recours extraordinaire qui ne saurait être utilisé pour contester les décisions de refuser le transfèrement d’un établissement à sécurité moyenne vers un établissement à sécurité minimale, à moins que le requérant n’ait un droit à ce transfèrement et non pas simplement qu’il soulève une « question défendable ». Un tel élargissement amènera les cours supérieures à s’ingérer davantage dans l’administration des établissements correctionnels. Cela n’est pas de leur ressort. L’</w:t>
      </w:r>
      <w:r w:rsidRPr="005147AC">
        <w:rPr>
          <w:rFonts w:cs="Times New Roman"/>
          <w:i/>
          <w:lang w:val="fr-CA"/>
        </w:rPr>
        <w:t>habeas corpus</w:t>
      </w:r>
      <w:r w:rsidRPr="005147AC">
        <w:rPr>
          <w:rFonts w:cs="Times New Roman"/>
          <w:lang w:val="fr-CA"/>
        </w:rPr>
        <w:t xml:space="preserve"> n’est pas un recours non circonscrit, et son accessibilité doit être conforme à son objet souhaité et à son évolution historique, comme nous l’expliquons ci</w:t>
      </w:r>
      <w:r w:rsidRPr="005147AC">
        <w:rPr>
          <w:rFonts w:cs="Times New Roman"/>
          <w:lang w:val="fr-CA"/>
        </w:rPr>
        <w:noBreakHyphen/>
        <w:t>après.</w:t>
      </w:r>
    </w:p>
    <w:p w14:paraId="58884384" w14:textId="77777777" w:rsidR="005147AC" w:rsidRPr="005147AC" w:rsidRDefault="005147AC" w:rsidP="005147AC">
      <w:pPr>
        <w:pStyle w:val="Title2LevelTitre2Niveau"/>
        <w:jc w:val="both"/>
        <w:rPr>
          <w:rFonts w:cs="Times New Roman"/>
          <w:lang w:val="fr-CA"/>
        </w:rPr>
      </w:pPr>
      <w:r w:rsidRPr="005147AC">
        <w:rPr>
          <w:rFonts w:cs="Times New Roman"/>
          <w:lang w:val="fr-CA"/>
        </w:rPr>
        <w:t>Évolution de l’habeas corpus du 14</w:t>
      </w:r>
      <w:r w:rsidRPr="005147AC">
        <w:rPr>
          <w:rFonts w:cs="Times New Roman"/>
          <w:vertAlign w:val="superscript"/>
          <w:lang w:val="fr-CA"/>
        </w:rPr>
        <w:t>e</w:t>
      </w:r>
      <w:r w:rsidRPr="005147AC">
        <w:rPr>
          <w:rFonts w:cs="Times New Roman"/>
          <w:lang w:val="fr-CA"/>
        </w:rPr>
        <w:t xml:space="preserve"> siècle aux années 1980</w:t>
      </w:r>
    </w:p>
    <w:p w14:paraId="7E930E5E" w14:textId="77777777" w:rsidR="005147AC" w:rsidRPr="005147AC" w:rsidRDefault="005147AC" w:rsidP="005147AC">
      <w:pPr>
        <w:pStyle w:val="Title3LevelTitre3Niveau"/>
        <w:jc w:val="both"/>
        <w:rPr>
          <w:rFonts w:cs="Times New Roman"/>
          <w:lang w:val="fr-CA"/>
        </w:rPr>
      </w:pPr>
      <w:r w:rsidRPr="005147AC">
        <w:rPr>
          <w:rFonts w:cs="Times New Roman"/>
          <w:lang w:val="fr-CA"/>
        </w:rPr>
        <w:t>Origines historiques</w:t>
      </w:r>
    </w:p>
    <w:p w14:paraId="6A9B302B"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iCs/>
          <w:lang w:val="fr-CA"/>
        </w:rPr>
        <w:t>L’</w:t>
      </w:r>
      <w:r w:rsidRPr="005147AC">
        <w:rPr>
          <w:rFonts w:cs="Times New Roman"/>
          <w:i/>
          <w:lang w:val="fr-CA"/>
        </w:rPr>
        <w:t>habeas corpus</w:t>
      </w:r>
      <w:r w:rsidRPr="005147AC">
        <w:rPr>
          <w:rFonts w:cs="Times New Roman"/>
          <w:lang w:val="fr-CA"/>
        </w:rPr>
        <w:t xml:space="preserve">, aussi qualifié de </w:t>
      </w:r>
      <w:r w:rsidRPr="005147AC">
        <w:rPr>
          <w:rFonts w:cs="Times New Roman"/>
          <w:smallCaps/>
          <w:lang w:val="fr-CA"/>
        </w:rPr>
        <w:t>[traduction]</w:t>
      </w:r>
      <w:r w:rsidRPr="005147AC">
        <w:rPr>
          <w:rFonts w:cs="Times New Roman"/>
          <w:lang w:val="fr-CA"/>
        </w:rPr>
        <w:t xml:space="preserve"> « grand bref de la liberté », a été utilisé pour la première fois au 14</w:t>
      </w:r>
      <w:r w:rsidRPr="005147AC">
        <w:rPr>
          <w:rFonts w:cs="Times New Roman"/>
          <w:vertAlign w:val="superscript"/>
          <w:lang w:val="fr-CA"/>
        </w:rPr>
        <w:t>e</w:t>
      </w:r>
      <w:r w:rsidRPr="005147AC">
        <w:rPr>
          <w:rFonts w:cs="Times New Roman"/>
          <w:lang w:val="fr-CA"/>
        </w:rPr>
        <w:t xml:space="preserve"> siècle en tant que « moyen de contraindre la comparution [des défendeurs] devant les juridictions du Roi » (W. F. Duker, </w:t>
      </w:r>
      <w:r w:rsidRPr="005147AC">
        <w:rPr>
          <w:rFonts w:cs="Times New Roman"/>
          <w:i/>
          <w:lang w:val="fr-CA"/>
        </w:rPr>
        <w:t>A Constitutional History of Habeas corpus</w:t>
      </w:r>
      <w:r w:rsidRPr="005147AC">
        <w:rPr>
          <w:rFonts w:cs="Times New Roman"/>
          <w:lang w:val="fr-CA"/>
        </w:rPr>
        <w:t xml:space="preserve"> (1980), p. 3 et 62). Selon cette première version du bref</w:t>
      </w:r>
      <w:bookmarkStart w:id="26" w:name="_Hlk205987615"/>
      <w:r w:rsidRPr="005147AC">
        <w:rPr>
          <w:rFonts w:cs="Times New Roman"/>
          <w:iCs/>
          <w:lang w:val="fr-CA"/>
        </w:rPr>
        <w:t>, il</w:t>
      </w:r>
      <w:r w:rsidRPr="005147AC">
        <w:rPr>
          <w:rFonts w:cs="Times New Roman"/>
          <w:lang w:val="fr-CA"/>
        </w:rPr>
        <w:t xml:space="preserve"> </w:t>
      </w:r>
      <w:bookmarkEnd w:id="26"/>
      <w:r w:rsidRPr="005147AC">
        <w:rPr>
          <w:rFonts w:cs="Times New Roman"/>
          <w:lang w:val="fr-CA"/>
        </w:rPr>
        <w:t xml:space="preserve">était utilisé par les tribunaux pour garantir la comparution du défendeur devant eux. Le bref servait à commander au shérif de repérer, d’arrêter le défendeur et </w:t>
      </w:r>
      <w:r w:rsidRPr="005147AC">
        <w:rPr>
          <w:rFonts w:cs="Times New Roman"/>
          <w:smallCaps/>
          <w:lang w:val="fr-CA"/>
        </w:rPr>
        <w:t>[traduction]</w:t>
      </w:r>
      <w:r w:rsidRPr="005147AC">
        <w:rPr>
          <w:rFonts w:cs="Times New Roman"/>
          <w:lang w:val="fr-CA"/>
        </w:rPr>
        <w:t xml:space="preserve"> « de [le] faire [comparaître] physiquement » devant le tribunal (p. 24).</w:t>
      </w:r>
    </w:p>
    <w:p w14:paraId="5E93E3EB" w14:textId="77777777" w:rsidR="005147AC" w:rsidRPr="005147AC" w:rsidRDefault="005147AC" w:rsidP="005147AC">
      <w:pPr>
        <w:pStyle w:val="ParaNoNdepar-AltN"/>
        <w:rPr>
          <w:rFonts w:cs="Times New Roman"/>
          <w:lang w:val="fr-CA"/>
        </w:rPr>
      </w:pPr>
      <w:r w:rsidRPr="005147AC">
        <w:rPr>
          <w:rFonts w:cs="Times New Roman"/>
          <w:lang w:val="fr-CA"/>
        </w:rPr>
        <w:lastRenderedPageBreak/>
        <w:t>À partir du 14</w:t>
      </w:r>
      <w:r w:rsidRPr="005147AC">
        <w:rPr>
          <w:rFonts w:cs="Times New Roman"/>
          <w:vertAlign w:val="superscript"/>
          <w:lang w:val="fr-CA"/>
        </w:rPr>
        <w:t>e</w:t>
      </w:r>
      <w:r w:rsidRPr="005147AC">
        <w:rPr>
          <w:rFonts w:cs="Times New Roman"/>
          <w:lang w:val="fr-CA"/>
        </w:rPr>
        <w:t xml:space="preserve"> siècle, en partie en raison des conflits de juridiction entre différents tribunaux en Angleterre et des tensions croissantes entre le Parlement et les serviteurs du monarque (c.-à-d., l’exécutif), </w:t>
      </w:r>
      <w:bookmarkStart w:id="27" w:name="_Hlk205989681"/>
      <w:r w:rsidRPr="005147AC">
        <w:rPr>
          <w:rFonts w:cs="Times New Roman"/>
          <w:lang w:val="fr-CA"/>
        </w:rPr>
        <w:t>l’</w:t>
      </w:r>
      <w:r w:rsidRPr="005147AC">
        <w:rPr>
          <w:rFonts w:cs="Times New Roman"/>
          <w:i/>
          <w:lang w:val="fr-CA"/>
        </w:rPr>
        <w:t>habeas corpus</w:t>
      </w:r>
      <w:r w:rsidRPr="005147AC">
        <w:rPr>
          <w:rFonts w:cs="Times New Roman"/>
          <w:lang w:val="fr-CA"/>
        </w:rPr>
        <w:t xml:space="preserve"> </w:t>
      </w:r>
      <w:bookmarkEnd w:id="27"/>
      <w:r w:rsidRPr="005147AC">
        <w:rPr>
          <w:rFonts w:cs="Times New Roman"/>
          <w:smallCaps/>
          <w:lang w:val="fr-CA"/>
        </w:rPr>
        <w:t>[traduction]</w:t>
      </w:r>
      <w:r w:rsidRPr="005147AC">
        <w:rPr>
          <w:rFonts w:cs="Times New Roman"/>
          <w:lang w:val="fr-CA"/>
        </w:rPr>
        <w:t xml:space="preserve"> « a été transformé en un instrument qui protège la liberté individuelle » (Duker, p. 62; voir aussi </w:t>
      </w:r>
      <w:r w:rsidRPr="005147AC">
        <w:rPr>
          <w:rFonts w:cs="Times New Roman"/>
          <w:i/>
          <w:lang w:val="fr-CA"/>
        </w:rPr>
        <w:t>May c. Établissement Ferndale</w:t>
      </w:r>
      <w:r w:rsidRPr="005147AC">
        <w:rPr>
          <w:rFonts w:cs="Times New Roman"/>
          <w:lang w:val="fr-CA"/>
        </w:rPr>
        <w:t xml:space="preserve">, 2005 CSC 82, [2005] 3 R.C.S. 809, par. 19). Cette nouvelle forme du bref présentait deux </w:t>
      </w:r>
      <w:r w:rsidRPr="005147AC">
        <w:rPr>
          <w:rFonts w:cs="Times New Roman"/>
          <w:smallCaps/>
          <w:lang w:val="fr-CA"/>
        </w:rPr>
        <w:t>[traduction]</w:t>
      </w:r>
      <w:r w:rsidRPr="005147AC">
        <w:rPr>
          <w:rFonts w:cs="Times New Roman"/>
          <w:lang w:val="fr-CA"/>
        </w:rPr>
        <w:t xml:space="preserve"> « différences essentielles » sur le plan procédural par rapport à sa version antérieure : la procédure était engagée « à la demande du prisonnier » et « il ressortait implicitement de l’action du tribunal qu’elle visait à examiner la cause de l’emprisonnement » (Duker, p. 24). En conséquence, le tribunal </w:t>
      </w:r>
      <w:r w:rsidRPr="005147AC">
        <w:rPr>
          <w:rFonts w:cs="Times New Roman"/>
          <w:smallCaps/>
          <w:lang w:val="fr-CA"/>
        </w:rPr>
        <w:t>[traduction]</w:t>
      </w:r>
      <w:r w:rsidRPr="005147AC">
        <w:rPr>
          <w:rFonts w:cs="Times New Roman"/>
          <w:lang w:val="fr-CA"/>
        </w:rPr>
        <w:t xml:space="preserve"> « s’est arrogé le droit de s’enquérir de la nature de l’incarcération » (</w:t>
      </w:r>
      <w:r w:rsidRPr="005147AC">
        <w:rPr>
          <w:rFonts w:cs="Times New Roman"/>
          <w:i/>
          <w:lang w:val="fr-CA"/>
        </w:rPr>
        <w:t>ibid.</w:t>
      </w:r>
      <w:r w:rsidRPr="005147AC">
        <w:rPr>
          <w:rFonts w:cs="Times New Roman"/>
          <w:lang w:val="fr-CA"/>
        </w:rPr>
        <w:t>). Comme le note Duker :</w:t>
      </w:r>
    </w:p>
    <w:p w14:paraId="6A9BA9B3" w14:textId="77777777" w:rsidR="005147AC" w:rsidRPr="005147AC" w:rsidRDefault="005147AC" w:rsidP="005147AC">
      <w:pPr>
        <w:pStyle w:val="Citation-AltC"/>
        <w:ind w:hanging="1166"/>
        <w:rPr>
          <w:lang w:val="fr-CA"/>
        </w:rPr>
      </w:pPr>
      <w:r w:rsidRPr="005147AC">
        <w:rPr>
          <w:lang w:val="fr-CA"/>
        </w:rPr>
        <w:tab/>
      </w:r>
      <w:r w:rsidRPr="005147AC">
        <w:rPr>
          <w:smallCaps/>
          <w:lang w:val="fr-CA"/>
        </w:rPr>
        <w:t>[traduction]</w:t>
      </w:r>
      <w:r w:rsidRPr="005147AC">
        <w:rPr>
          <w:lang w:val="fr-CA"/>
        </w:rPr>
        <w:t xml:space="preserve"> Au milieu du quatorzième siècle, le recours à l’habeas corpus en réponse à des demandes formulées au nom de prisonniers pour qu’ils soient amenés devant les tribunaux était suffisamment répandu pour qu’il soit devenu une forme distincte d’</w:t>
      </w:r>
      <w:r w:rsidRPr="005147AC">
        <w:rPr>
          <w:iCs/>
          <w:lang w:val="fr-CA"/>
        </w:rPr>
        <w:t>habeas corpus :</w:t>
      </w:r>
      <w:r w:rsidRPr="005147AC">
        <w:rPr>
          <w:lang w:val="fr-CA"/>
        </w:rPr>
        <w:t xml:space="preserve"> l’</w:t>
      </w:r>
      <w:r w:rsidRPr="005147AC">
        <w:rPr>
          <w:i/>
          <w:iCs/>
          <w:lang w:val="fr-CA"/>
        </w:rPr>
        <w:t>habeas corpus cum causa</w:t>
      </w:r>
      <w:r w:rsidRPr="005147AC">
        <w:rPr>
          <w:iCs/>
          <w:lang w:val="fr-CA"/>
        </w:rPr>
        <w:t xml:space="preserve"> [</w:t>
      </w:r>
      <w:r w:rsidRPr="005147AC">
        <w:rPr>
          <w:i/>
          <w:iCs/>
          <w:lang w:val="fr-CA"/>
        </w:rPr>
        <w:t>. . .</w:t>
      </w:r>
      <w:r w:rsidRPr="005147AC">
        <w:rPr>
          <w:iCs/>
          <w:lang w:val="fr-CA"/>
        </w:rPr>
        <w:t>] Le bref ordonnait au shérif d’amener physiquement le prisonnier devant le tribunal et d’indiquer la cause de son arrestation et de sa détention</w:t>
      </w:r>
      <w:r w:rsidRPr="005147AC">
        <w:rPr>
          <w:lang w:val="fr-CA"/>
        </w:rPr>
        <w:t xml:space="preserve"> [p. 24</w:t>
      </w:r>
      <w:r w:rsidRPr="005147AC">
        <w:rPr>
          <w:lang w:val="fr-CA"/>
        </w:rPr>
        <w:noBreakHyphen/>
        <w:t>25].</w:t>
      </w:r>
    </w:p>
    <w:p w14:paraId="70CA377A" w14:textId="77777777" w:rsidR="005147AC" w:rsidRPr="005147AC" w:rsidRDefault="005147AC" w:rsidP="005147AC">
      <w:pPr>
        <w:pStyle w:val="ParaNoNdepar-AltN"/>
        <w:rPr>
          <w:rFonts w:cs="Times New Roman"/>
          <w:lang w:val="fr-CA"/>
        </w:rPr>
      </w:pPr>
      <w:r w:rsidRPr="005147AC">
        <w:rPr>
          <w:rFonts w:cs="Times New Roman"/>
          <w:lang w:val="fr-CA"/>
        </w:rPr>
        <w:t>Dès le 17</w:t>
      </w:r>
      <w:r w:rsidRPr="005147AC">
        <w:rPr>
          <w:rFonts w:cs="Times New Roman"/>
          <w:vertAlign w:val="superscript"/>
          <w:lang w:val="fr-CA"/>
        </w:rPr>
        <w:t>e</w:t>
      </w:r>
      <w:r w:rsidRPr="005147AC">
        <w:rPr>
          <w:rFonts w:cs="Times New Roman"/>
          <w:lang w:val="fr-CA"/>
        </w:rPr>
        <w:t xml:space="preserve"> siècle, la jurisprudence [</w:t>
      </w:r>
      <w:r w:rsidRPr="005147AC">
        <w:rPr>
          <w:rFonts w:cs="Times New Roman"/>
          <w:smallCaps/>
          <w:lang w:val="fr-CA"/>
        </w:rPr>
        <w:t>traduction</w:t>
      </w:r>
      <w:r w:rsidRPr="005147AC">
        <w:rPr>
          <w:rFonts w:cs="Times New Roman"/>
          <w:lang w:val="fr-CA"/>
        </w:rPr>
        <w:t>] « a confirmé que le bref d’habeas corpus avait désormais une nouvelle fonction. [. . .] L’examen de la légalité des détentions, qui était auparavant un effet accessoire du bref, en est maintenant devenu l’objet principal » (Duker, p. 46).</w:t>
      </w:r>
    </w:p>
    <w:p w14:paraId="18BF4267" w14:textId="77777777" w:rsidR="005147AC" w:rsidRPr="005147AC" w:rsidRDefault="005147AC" w:rsidP="005147AC">
      <w:pPr>
        <w:pStyle w:val="ParaNoNdepar-AltN"/>
        <w:rPr>
          <w:rFonts w:cs="Times New Roman"/>
          <w:lang w:val="fr-CA"/>
        </w:rPr>
      </w:pPr>
      <w:r w:rsidRPr="005147AC">
        <w:rPr>
          <w:rFonts w:cs="Times New Roman"/>
          <w:lang w:val="fr-CA"/>
        </w:rPr>
        <w:t>La forme d’</w:t>
      </w:r>
      <w:r w:rsidRPr="005147AC">
        <w:rPr>
          <w:rFonts w:cs="Times New Roman"/>
          <w:i/>
          <w:iCs/>
          <w:lang w:val="fr-CA"/>
        </w:rPr>
        <w:t>habeas corpus</w:t>
      </w:r>
      <w:r w:rsidRPr="005147AC">
        <w:rPr>
          <w:rFonts w:cs="Times New Roman"/>
          <w:lang w:val="fr-CA"/>
        </w:rPr>
        <w:t xml:space="preserve"> qui a émergée au 17</w:t>
      </w:r>
      <w:r w:rsidRPr="005147AC">
        <w:rPr>
          <w:rFonts w:cs="Times New Roman"/>
          <w:vertAlign w:val="superscript"/>
          <w:lang w:val="fr-CA"/>
        </w:rPr>
        <w:t>e</w:t>
      </w:r>
      <w:r w:rsidRPr="005147AC">
        <w:rPr>
          <w:rFonts w:cs="Times New Roman"/>
          <w:lang w:val="fr-CA"/>
        </w:rPr>
        <w:t xml:space="preserve"> siècle est encore utilisée de nos jours :</w:t>
      </w:r>
    </w:p>
    <w:p w14:paraId="7C631F4A" w14:textId="77777777" w:rsidR="005147AC" w:rsidRPr="005147AC" w:rsidRDefault="005147AC" w:rsidP="005147AC">
      <w:pPr>
        <w:pStyle w:val="Citation-AltC"/>
        <w:spacing w:after="240"/>
        <w:ind w:left="1168" w:hanging="1168"/>
        <w:contextualSpacing w:val="0"/>
        <w:rPr>
          <w:lang w:val="en-US"/>
        </w:rPr>
      </w:pPr>
      <w:r w:rsidRPr="005147AC">
        <w:rPr>
          <w:lang w:val="fr-CA"/>
        </w:rPr>
        <w:lastRenderedPageBreak/>
        <w:tab/>
      </w:r>
      <w:r w:rsidRPr="005147AC">
        <w:rPr>
          <w:smallCaps/>
          <w:lang w:val="fr-CA"/>
        </w:rPr>
        <w:t xml:space="preserve">[traduction] </w:t>
      </w:r>
      <w:r w:rsidRPr="005147AC">
        <w:rPr>
          <w:lang w:val="fr-CA"/>
        </w:rPr>
        <w:t xml:space="preserve">Le bref est adressé à la [. . .] personne ayant le requérant sous sa garde ou son contrôle. </w:t>
      </w:r>
      <w:r w:rsidRPr="005147AC">
        <w:rPr>
          <w:bCs/>
          <w:u w:val="single"/>
          <w:lang w:val="fr-CA"/>
        </w:rPr>
        <w:t>Il enjoint à cette personne d’amener physiquement le requérant à la date fixée devant le tribunal et d’expliquer la cause de sa détention</w:t>
      </w:r>
      <w:r w:rsidRPr="005147AC">
        <w:rPr>
          <w:u w:val="single"/>
          <w:lang w:val="fr-CA"/>
        </w:rPr>
        <w:t>.</w:t>
      </w:r>
      <w:r w:rsidRPr="005147AC">
        <w:rPr>
          <w:lang w:val="fr-CA"/>
        </w:rPr>
        <w:t xml:space="preserve"> Le processus est axé sur la cause de la détention. Si la cause de la détention est légale, le prisonnier est renvoyé en détention; si l’explication est insuffisante ou la cause illégale, le prisonnier est remis en liberté. La question directement en cause est seulement celle qui porte sur la raison avancée par la partie qui exerce une contrainte sur le requérant. </w:t>
      </w:r>
      <w:r w:rsidRPr="005147AC">
        <w:rPr>
          <w:lang w:val="en-US"/>
        </w:rPr>
        <w:t>[Nous soulignons.]</w:t>
      </w:r>
    </w:p>
    <w:p w14:paraId="01B44ABB" w14:textId="77777777" w:rsidR="005147AC" w:rsidRPr="005147AC" w:rsidRDefault="005147AC" w:rsidP="005147AC">
      <w:pPr>
        <w:pStyle w:val="Citation-AltC"/>
        <w:ind w:hanging="1166"/>
      </w:pPr>
      <w:r w:rsidRPr="005147AC">
        <w:rPr>
          <w:lang w:val="en-US"/>
        </w:rPr>
        <w:tab/>
        <w:t xml:space="preserve">(J. Farbey, et R. J. Sharpe, avec S. Atrill, </w:t>
      </w:r>
      <w:r w:rsidRPr="005147AC">
        <w:rPr>
          <w:i/>
          <w:lang w:val="en-US"/>
        </w:rPr>
        <w:t>The Law of Habeas Corpus</w:t>
      </w:r>
      <w:r w:rsidRPr="005147AC">
        <w:rPr>
          <w:lang w:val="en-US"/>
        </w:rPr>
        <w:t xml:space="preserve"> (3</w:t>
      </w:r>
      <w:r w:rsidRPr="005147AC">
        <w:rPr>
          <w:vertAlign w:val="superscript"/>
          <w:lang w:val="en-US"/>
        </w:rPr>
        <w:t>e</w:t>
      </w:r>
      <w:r w:rsidRPr="005147AC">
        <w:rPr>
          <w:lang w:val="en-US"/>
        </w:rPr>
        <w:t xml:space="preserve"> éd. </w:t>
      </w:r>
      <w:r w:rsidRPr="005147AC">
        <w:t xml:space="preserve">2011), p. 21, citant </w:t>
      </w:r>
      <w:r w:rsidRPr="005147AC">
        <w:rPr>
          <w:i/>
        </w:rPr>
        <w:t>Phillip c. D.P.P.</w:t>
      </w:r>
      <w:r w:rsidRPr="005147AC">
        <w:t>,</w:t>
      </w:r>
      <w:r w:rsidRPr="005147AC">
        <w:rPr>
          <w:i/>
        </w:rPr>
        <w:t xml:space="preserve"> </w:t>
      </w:r>
      <w:r w:rsidRPr="005147AC">
        <w:t>[1992] 1 A.C. 545 (C.P.), p. 558.)</w:t>
      </w:r>
    </w:p>
    <w:p w14:paraId="7CA38A53" w14:textId="77777777" w:rsidR="005147AC" w:rsidRPr="005147AC" w:rsidRDefault="005147AC" w:rsidP="005147AC">
      <w:pPr>
        <w:pStyle w:val="ParaNoNdepar-AltN"/>
        <w:rPr>
          <w:rFonts w:cs="Times New Roman"/>
          <w:lang w:val="fr-CA"/>
        </w:rPr>
      </w:pPr>
      <w:r w:rsidRPr="005147AC">
        <w:rPr>
          <w:rFonts w:cs="Times New Roman"/>
          <w:lang w:val="fr-CA"/>
        </w:rPr>
        <w:t>En d’autres termes, le bref d’</w:t>
      </w:r>
      <w:r w:rsidRPr="005147AC">
        <w:rPr>
          <w:rFonts w:cs="Times New Roman"/>
          <w:i/>
          <w:lang w:val="fr-CA"/>
        </w:rPr>
        <w:t>habeas corpus</w:t>
      </w:r>
      <w:r w:rsidRPr="005147AC">
        <w:rPr>
          <w:rFonts w:cs="Times New Roman"/>
          <w:lang w:val="fr-CA"/>
        </w:rPr>
        <w:t xml:space="preserve"> en est venu à mettre l’accent sur l’examen de la légalité de la détention initiale des individus par l’État. Jusqu’en 1985, les tribunaux n’utilisaient pas l’</w:t>
      </w:r>
      <w:r w:rsidRPr="005147AC">
        <w:rPr>
          <w:rFonts w:cs="Times New Roman"/>
          <w:i/>
          <w:lang w:val="fr-CA"/>
        </w:rPr>
        <w:t>habeas corpus</w:t>
      </w:r>
      <w:r w:rsidRPr="005147AC">
        <w:rPr>
          <w:rFonts w:cs="Times New Roman"/>
          <w:lang w:val="fr-CA"/>
        </w:rPr>
        <w:t xml:space="preserve"> pour contrôler la légalité des décisions des administrateurs correctionnels.</w:t>
      </w:r>
    </w:p>
    <w:p w14:paraId="28FE7A4F" w14:textId="77777777" w:rsidR="005147AC" w:rsidRPr="005147AC" w:rsidRDefault="005147AC" w:rsidP="005147AC">
      <w:pPr>
        <w:pStyle w:val="Title3LevelTitre3Niveau"/>
        <w:jc w:val="both"/>
        <w:rPr>
          <w:rFonts w:cs="Times New Roman"/>
          <w:lang w:val="fr-CA"/>
        </w:rPr>
      </w:pPr>
      <w:r w:rsidRPr="005147AC">
        <w:rPr>
          <w:rFonts w:cs="Times New Roman"/>
          <w:lang w:val="fr-CA"/>
        </w:rPr>
        <w:t>Émergence de l’</w:t>
      </w:r>
      <w:r w:rsidRPr="005147AC">
        <w:rPr>
          <w:rFonts w:cs="Times New Roman"/>
          <w:i/>
          <w:lang w:val="fr-CA"/>
        </w:rPr>
        <w:t>habeas corpus</w:t>
      </w:r>
      <w:r w:rsidRPr="005147AC">
        <w:rPr>
          <w:rFonts w:cs="Times New Roman"/>
          <w:lang w:val="fr-CA"/>
        </w:rPr>
        <w:t xml:space="preserve"> comme recours à la disposition des détenus et test actuel applicable aux privations de liberté dans le contexte correctionnel</w:t>
      </w:r>
    </w:p>
    <w:p w14:paraId="45A6DF52" w14:textId="77777777" w:rsidR="005147AC" w:rsidRPr="005147AC" w:rsidRDefault="005147AC" w:rsidP="005147AC">
      <w:pPr>
        <w:pStyle w:val="ParaNoNdepar-AltN"/>
        <w:rPr>
          <w:rFonts w:cs="Times New Roman"/>
          <w:lang w:val="fr-CA"/>
        </w:rPr>
      </w:pPr>
      <w:r w:rsidRPr="005147AC">
        <w:rPr>
          <w:rFonts w:cs="Times New Roman"/>
          <w:lang w:val="fr-CA"/>
        </w:rPr>
        <w:t xml:space="preserve">En 1980, dans l’arrêt </w:t>
      </w:r>
      <w:r w:rsidRPr="005147AC">
        <w:rPr>
          <w:rFonts w:cs="Times New Roman"/>
          <w:i/>
          <w:iCs/>
          <w:lang w:val="fr-CA"/>
        </w:rPr>
        <w:t>Martineau c. Comité de discipline de l’Institution de Matsqui</w:t>
      </w:r>
      <w:r w:rsidRPr="005147AC">
        <w:rPr>
          <w:rFonts w:cs="Times New Roman"/>
          <w:lang w:val="fr-CA"/>
        </w:rPr>
        <w:t xml:space="preserve">, [1980] 1 R.C.S. 602, notre Cour a statué que </w:t>
      </w:r>
      <w:r w:rsidRPr="005147AC">
        <w:rPr>
          <w:rFonts w:cs="Times New Roman"/>
          <w:smallCaps/>
          <w:lang w:val="fr-CA"/>
        </w:rPr>
        <w:t>[traduction]</w:t>
      </w:r>
      <w:r w:rsidRPr="005147AC">
        <w:rPr>
          <w:rFonts w:cs="Times New Roman"/>
          <w:lang w:val="fr-CA"/>
        </w:rPr>
        <w:t xml:space="preserve"> « les prisonniers ont droit à l’équité procédurale et peuvent demander le contrôle judiciaire des décisions des responsables des prisons qui les privent de leur “</w:t>
      </w:r>
      <w:r w:rsidRPr="005147AC">
        <w:rPr>
          <w:rFonts w:cs="Times New Roman"/>
          <w:bCs/>
          <w:u w:val="single"/>
          <w:lang w:val="fr-CA"/>
        </w:rPr>
        <w:t>liberté résiduelle</w:t>
      </w:r>
      <w:r w:rsidRPr="005147AC">
        <w:rPr>
          <w:rFonts w:cs="Times New Roman"/>
          <w:lang w:val="fr-CA"/>
        </w:rPr>
        <w:t>” (</w:t>
      </w:r>
      <w:r w:rsidRPr="005147AC">
        <w:rPr>
          <w:rFonts w:cs="Times New Roman"/>
          <w:i/>
          <w:lang w:val="fr-CA"/>
        </w:rPr>
        <w:t>c.-à-d.</w:t>
      </w:r>
      <w:r w:rsidRPr="005147AC">
        <w:rPr>
          <w:rFonts w:cs="Times New Roman"/>
          <w:lang w:val="fr-CA"/>
        </w:rPr>
        <w:t xml:space="preserve">, par leur mise en isolement) » (D. Parkes, “The Great Writ” Reinvigorated? </w:t>
      </w:r>
      <w:r w:rsidRPr="005147AC">
        <w:rPr>
          <w:rFonts w:cs="Times New Roman"/>
          <w:i/>
          <w:lang w:val="fr-CA"/>
        </w:rPr>
        <w:t>Habeas Corpus</w:t>
      </w:r>
      <w:r w:rsidRPr="005147AC">
        <w:rPr>
          <w:rFonts w:cs="Times New Roman"/>
          <w:lang w:val="fr-CA"/>
        </w:rPr>
        <w:t xml:space="preserve"> in Contemporary Canada » (2012), 36:1 </w:t>
      </w:r>
      <w:r w:rsidRPr="005147AC">
        <w:rPr>
          <w:rFonts w:cs="Times New Roman"/>
          <w:i/>
          <w:lang w:val="fr-CA"/>
        </w:rPr>
        <w:t>Man. L.J</w:t>
      </w:r>
      <w:r w:rsidRPr="005147AC">
        <w:rPr>
          <w:rFonts w:cs="Times New Roman"/>
          <w:lang w:val="fr-CA"/>
        </w:rPr>
        <w:t>., 351, p. 353). Dans cette affaire</w:t>
      </w:r>
      <w:r w:rsidRPr="005147AC">
        <w:rPr>
          <w:rFonts w:cs="Times New Roman"/>
          <w:lang w:val="fr-CA"/>
        </w:rPr>
        <w:noBreakHyphen/>
        <w:t xml:space="preserve">là, notre Cour a reconnu que « [l]e principe de la légalité doit régner à l’intérieur des murs d’un pénitencier » et que les décisions des administrateurs correctionnels pouvaient </w:t>
      </w:r>
      <w:r w:rsidRPr="005147AC">
        <w:rPr>
          <w:rFonts w:cs="Times New Roman"/>
          <w:lang w:val="fr-CA"/>
        </w:rPr>
        <w:lastRenderedPageBreak/>
        <w:t>avoir « pour effet de priver une personne de sa liberté en l’incarcérant dans une “prison au sein d’une prison” » (</w:t>
      </w:r>
      <w:r w:rsidRPr="005147AC">
        <w:rPr>
          <w:rFonts w:cs="Times New Roman"/>
          <w:i/>
          <w:lang w:val="fr-CA"/>
        </w:rPr>
        <w:t>Martineau</w:t>
      </w:r>
      <w:r w:rsidRPr="005147AC">
        <w:rPr>
          <w:rFonts w:cs="Times New Roman"/>
          <w:lang w:val="fr-CA"/>
        </w:rPr>
        <w:t>, p. 622; voir aussi Parkes, p. 353).</w:t>
      </w:r>
    </w:p>
    <w:p w14:paraId="2DD23697" w14:textId="77777777" w:rsidR="005147AC" w:rsidRPr="005147AC" w:rsidRDefault="005147AC" w:rsidP="005147AC">
      <w:pPr>
        <w:pStyle w:val="ParaNoNdepar-AltN"/>
        <w:rPr>
          <w:rFonts w:cs="Times New Roman"/>
          <w:lang w:val="fr-CA"/>
        </w:rPr>
      </w:pPr>
      <w:r w:rsidRPr="005147AC">
        <w:rPr>
          <w:rFonts w:cs="Times New Roman"/>
          <w:lang w:val="fr-CA"/>
        </w:rPr>
        <w:t>L’introduction de la notion de « liberté résiduelle » a créé des conditions propices à la reconnaissance de l’</w:t>
      </w:r>
      <w:r w:rsidRPr="005147AC">
        <w:rPr>
          <w:rFonts w:cs="Times New Roman"/>
          <w:i/>
          <w:lang w:val="fr-CA"/>
        </w:rPr>
        <w:t>habeas corpus</w:t>
      </w:r>
      <w:r w:rsidRPr="005147AC">
        <w:rPr>
          <w:rFonts w:cs="Times New Roman"/>
          <w:lang w:val="fr-CA"/>
        </w:rPr>
        <w:t xml:space="preserve"> dans le système correctionnel, servant ainsi de fondement à la trilogie des arrêts rendus en 1985 dans lesquels notre Cour a élargi la portée de l’</w:t>
      </w:r>
      <w:r w:rsidRPr="005147AC">
        <w:rPr>
          <w:rFonts w:cs="Times New Roman"/>
          <w:i/>
          <w:lang w:val="fr-CA"/>
        </w:rPr>
        <w:t>habeas corpus</w:t>
      </w:r>
      <w:r w:rsidRPr="005147AC">
        <w:rPr>
          <w:rFonts w:cs="Times New Roman"/>
          <w:lang w:val="fr-CA"/>
        </w:rPr>
        <w:t xml:space="preserve"> dans le contexte correctionnel en permettant qu’il serve à contester non seulement l’incarcération, mais aussi les décisions des responsables des établissements correctionnels, c’est-à-dire, des décideurs administratifs, lorsque ces décisions privent de manière significative un détenu de la liberté dont jouit la population carcérale générale : </w:t>
      </w:r>
      <w:r w:rsidRPr="005147AC">
        <w:rPr>
          <w:rFonts w:cs="Times New Roman"/>
          <w:i/>
          <w:lang w:val="fr-CA"/>
        </w:rPr>
        <w:t>R. c. Miller</w:t>
      </w:r>
      <w:r w:rsidRPr="005147AC">
        <w:rPr>
          <w:rFonts w:cs="Times New Roman"/>
          <w:lang w:val="fr-CA"/>
        </w:rPr>
        <w:t xml:space="preserve">, [1985] 2 R.C.S. 613; </w:t>
      </w:r>
      <w:r w:rsidRPr="005147AC">
        <w:rPr>
          <w:rFonts w:cs="Times New Roman"/>
          <w:i/>
          <w:iCs/>
          <w:lang w:val="fr-CA"/>
        </w:rPr>
        <w:t>Cardinal c. Directeur de l’établissement Kent</w:t>
      </w:r>
      <w:r w:rsidRPr="005147AC">
        <w:rPr>
          <w:rFonts w:cs="Times New Roman"/>
          <w:lang w:val="fr-CA"/>
        </w:rPr>
        <w:t xml:space="preserve">, [1985] 2 R.C.S. 643; et </w:t>
      </w:r>
      <w:r w:rsidRPr="005147AC">
        <w:rPr>
          <w:rFonts w:cs="Times New Roman"/>
          <w:i/>
          <w:iCs/>
          <w:lang w:val="fr-CA"/>
        </w:rPr>
        <w:t>Morin c. Comité national chargé de l’examen des cas d’unités spéciales de détention</w:t>
      </w:r>
      <w:r w:rsidRPr="005147AC">
        <w:rPr>
          <w:rFonts w:cs="Times New Roman"/>
          <w:lang w:val="fr-CA"/>
        </w:rPr>
        <w:t>, [1985] 2 R.C.S. 662.</w:t>
      </w:r>
    </w:p>
    <w:p w14:paraId="7485049C" w14:textId="77777777" w:rsidR="005147AC" w:rsidRPr="005147AC" w:rsidRDefault="005147AC" w:rsidP="005147AC">
      <w:pPr>
        <w:pStyle w:val="ParaNoNdepar-AltN"/>
        <w:rPr>
          <w:rFonts w:cs="Times New Roman"/>
          <w:lang w:val="fr-CA"/>
        </w:rPr>
      </w:pPr>
      <w:r w:rsidRPr="005147AC">
        <w:rPr>
          <w:rFonts w:cs="Times New Roman"/>
          <w:lang w:val="fr-CA"/>
        </w:rPr>
        <w:t xml:space="preserve">Dans l’affaire </w:t>
      </w:r>
      <w:r w:rsidRPr="005147AC">
        <w:rPr>
          <w:rFonts w:cs="Times New Roman"/>
          <w:i/>
          <w:lang w:val="fr-CA"/>
        </w:rPr>
        <w:t>Miller</w:t>
      </w:r>
      <w:r w:rsidRPr="005147AC">
        <w:rPr>
          <w:rFonts w:cs="Times New Roman"/>
          <w:iCs/>
          <w:lang w:val="fr-CA"/>
        </w:rPr>
        <w:t>, à la suite d’un incident survenu dans un pénitencier, un détenu avait été transféré à un autre établissement où il avait été mis dans une unité spéciale de détention (c.</w:t>
      </w:r>
      <w:r w:rsidRPr="005147AC">
        <w:rPr>
          <w:rFonts w:cs="Times New Roman"/>
          <w:iCs/>
          <w:lang w:val="fr-CA"/>
        </w:rPr>
        <w:noBreakHyphen/>
        <w:t>à</w:t>
      </w:r>
      <w:r w:rsidRPr="005147AC">
        <w:rPr>
          <w:rFonts w:cs="Times New Roman"/>
          <w:iCs/>
          <w:lang w:val="fr-CA"/>
        </w:rPr>
        <w:noBreakHyphen/>
        <w:t>d., en</w:t>
      </w:r>
      <w:r w:rsidRPr="005147AC">
        <w:rPr>
          <w:rFonts w:cs="Times New Roman"/>
          <w:lang w:val="fr-CA"/>
        </w:rPr>
        <w:t xml:space="preserve"> ségrégation administrative). On a expliqué à ce détenu qu’il y avait été placé en raison de sa participation à l’incident en question, mais on ne lui a jamais accordé la possibilité de réfuter la preuve relative à sa participation à l’incident. Il s’agissait d’une situation où un détenu légalement incarcéré avait été soumis à des conditions de détention plus restrictives.</w:t>
      </w:r>
    </w:p>
    <w:p w14:paraId="2E0ED8FF"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Dans l’affaire </w:t>
      </w:r>
      <w:r w:rsidRPr="005147AC">
        <w:rPr>
          <w:rFonts w:cs="Times New Roman"/>
          <w:i/>
          <w:lang w:val="fr-CA"/>
        </w:rPr>
        <w:t>Cardinal</w:t>
      </w:r>
      <w:r w:rsidRPr="005147AC">
        <w:rPr>
          <w:rFonts w:cs="Times New Roman"/>
          <w:iCs/>
          <w:lang w:val="fr-CA"/>
        </w:rPr>
        <w:t>,</w:t>
      </w:r>
      <w:r w:rsidRPr="005147AC">
        <w:rPr>
          <w:rFonts w:cs="Times New Roman"/>
          <w:i/>
          <w:lang w:val="fr-CA"/>
        </w:rPr>
        <w:t xml:space="preserve"> </w:t>
      </w:r>
      <w:r w:rsidRPr="005147AC">
        <w:rPr>
          <w:rFonts w:cs="Times New Roman"/>
          <w:lang w:val="fr-CA"/>
        </w:rPr>
        <w:t xml:space="preserve">des détenus étaient accusés d’avoir participé à une prise d’otages dans leur établissement, ce qui a entraîné des accusations criminelles et leur transfèrement à un autre établissement correctionnel où ils ont été mis en isolement. Le directeur de l’établissement n’a pas mené d’enquête indépendante, se fondant plutôt sur l’avis d’un collègue directeur d’établissement. Les détenus ont obtenu une ordonnance du Conseil d’examen des cas de ségrégation recommandant leur réintégration dans la population carcérale générale, mais le directeur a refusé de s’y conformer. Il n’a pas indiqué aux détenus les raisons de son refus et ne leur a pas non plus accordé la possibilité de se faire entendre. Les détenus ont contesté le maintien de leur incarcération en isolement au moyen de requêtes en </w:t>
      </w:r>
      <w:r w:rsidRPr="005147AC">
        <w:rPr>
          <w:rFonts w:cs="Times New Roman"/>
          <w:i/>
          <w:iCs/>
          <w:lang w:val="fr-CA"/>
        </w:rPr>
        <w:t>habeas corpus</w:t>
      </w:r>
      <w:r w:rsidRPr="005147AC">
        <w:rPr>
          <w:rFonts w:cs="Times New Roman"/>
          <w:lang w:val="fr-CA"/>
        </w:rPr>
        <w:t>. Dans les trois causes, les [</w:t>
      </w:r>
      <w:r w:rsidRPr="005147AC">
        <w:rPr>
          <w:rFonts w:cs="Times New Roman"/>
          <w:smallCaps/>
          <w:lang w:val="fr-CA"/>
        </w:rPr>
        <w:t>traduction</w:t>
      </w:r>
      <w:r w:rsidRPr="005147AC">
        <w:rPr>
          <w:rFonts w:cs="Times New Roman"/>
          <w:lang w:val="fr-CA"/>
        </w:rPr>
        <w:t>] « mesures visées entraînaient des privations des droits à la liberté résiduelle des détenus » en raison de la gravité de l’incarcération légale initiale qui était aggravée ou continue (Parkes, p. 354).</w:t>
      </w:r>
    </w:p>
    <w:p w14:paraId="0AA78016" w14:textId="77777777" w:rsidR="005147AC" w:rsidRPr="005147AC" w:rsidRDefault="005147AC" w:rsidP="005147AC">
      <w:pPr>
        <w:pStyle w:val="ParaNoNdepar-AltN"/>
        <w:rPr>
          <w:rFonts w:cs="Times New Roman"/>
          <w:lang w:val="fr-CA"/>
        </w:rPr>
      </w:pPr>
      <w:r w:rsidRPr="005147AC">
        <w:rPr>
          <w:rFonts w:cs="Times New Roman"/>
          <w:lang w:val="fr-CA"/>
        </w:rPr>
        <w:t xml:space="preserve">Dans l’affaire </w:t>
      </w:r>
      <w:r w:rsidRPr="005147AC">
        <w:rPr>
          <w:rFonts w:cs="Times New Roman"/>
          <w:i/>
          <w:lang w:val="fr-CA"/>
        </w:rPr>
        <w:t>Morin</w:t>
      </w:r>
      <w:r w:rsidRPr="005147AC">
        <w:rPr>
          <w:rFonts w:cs="Times New Roman"/>
          <w:iCs/>
          <w:lang w:val="fr-CA"/>
        </w:rPr>
        <w:t>,</w:t>
      </w:r>
      <w:r w:rsidRPr="005147AC">
        <w:rPr>
          <w:rFonts w:cs="Times New Roman"/>
          <w:lang w:val="fr-CA"/>
        </w:rPr>
        <w:t xml:space="preserve"> le détenu avait été transféré à une unité spéciale de détention dans un établissement différent de celui où il était normalement détenu après avoir été accusé du meurtre d’un codétenu. Il a par la suite été acquitté du meurtre, mais il a été maintenu en isolement et sa demande de transfèrement à un établissement à sécurité moyenne a été refusée. Il a contesté son maintien en isolement par voie d’</w:t>
      </w:r>
      <w:r w:rsidRPr="005147AC">
        <w:rPr>
          <w:rFonts w:cs="Times New Roman"/>
          <w:i/>
          <w:lang w:val="fr-CA"/>
        </w:rPr>
        <w:t>habeas corpus</w:t>
      </w:r>
      <w:r w:rsidRPr="005147AC">
        <w:rPr>
          <w:rFonts w:cs="Times New Roman"/>
          <w:lang w:val="fr-CA"/>
        </w:rPr>
        <w:t>.</w:t>
      </w:r>
    </w:p>
    <w:p w14:paraId="56E9907A" w14:textId="77777777" w:rsidR="005147AC" w:rsidRPr="005147AC" w:rsidRDefault="005147AC" w:rsidP="005147AC">
      <w:pPr>
        <w:pStyle w:val="ParaNoNdepar-AltN"/>
        <w:rPr>
          <w:rFonts w:cs="Times New Roman"/>
          <w:lang w:val="fr-CA"/>
        </w:rPr>
      </w:pPr>
      <w:r w:rsidRPr="005147AC">
        <w:rPr>
          <w:rFonts w:cs="Times New Roman"/>
          <w:lang w:val="fr-CA"/>
        </w:rPr>
        <w:t xml:space="preserve">Un an plus tard, le juge Lamer (plus tard juge en chef) a, dans l’arrêt </w:t>
      </w:r>
      <w:r w:rsidRPr="005147AC">
        <w:rPr>
          <w:rFonts w:cs="Times New Roman"/>
          <w:i/>
          <w:iCs/>
          <w:lang w:val="fr-CA"/>
        </w:rPr>
        <w:t>Dumas</w:t>
      </w:r>
      <w:r w:rsidRPr="005147AC">
        <w:rPr>
          <w:rFonts w:cs="Times New Roman"/>
          <w:iCs/>
          <w:lang w:val="fr-CA"/>
        </w:rPr>
        <w:t>,</w:t>
      </w:r>
      <w:r w:rsidRPr="005147AC">
        <w:rPr>
          <w:rFonts w:cs="Times New Roman"/>
          <w:lang w:val="fr-CA"/>
        </w:rPr>
        <w:t xml:space="preserve"> regroupé ces courants jurisprudentiels émergents pour élaborer un cadre </w:t>
      </w:r>
      <w:r w:rsidRPr="005147AC">
        <w:rPr>
          <w:rFonts w:cs="Times New Roman"/>
          <w:lang w:val="fr-CA"/>
        </w:rPr>
        <w:lastRenderedPageBreak/>
        <w:t>d’analyse qui régit l’application de l’</w:t>
      </w:r>
      <w:r w:rsidRPr="005147AC">
        <w:rPr>
          <w:rFonts w:cs="Times New Roman"/>
          <w:i/>
          <w:lang w:val="fr-CA"/>
        </w:rPr>
        <w:t xml:space="preserve">habeas corpus </w:t>
      </w:r>
      <w:r w:rsidRPr="005147AC">
        <w:rPr>
          <w:rFonts w:cs="Times New Roman"/>
          <w:lang w:val="fr-CA"/>
        </w:rPr>
        <w:t>dans le contexte correctionnel. Il a décrit trois types de privations de liberté susceptibles de survenir dans le contexte correctionnel, à la p. 464 :</w:t>
      </w:r>
    </w:p>
    <w:p w14:paraId="595872E8" w14:textId="77777777" w:rsidR="005147AC" w:rsidRPr="005147AC" w:rsidRDefault="005147AC" w:rsidP="005147AC">
      <w:pPr>
        <w:pStyle w:val="Citation-AltC"/>
        <w:ind w:hanging="1166"/>
        <w:rPr>
          <w:lang w:val="fr-CA"/>
        </w:rPr>
      </w:pPr>
      <w:r w:rsidRPr="005147AC">
        <w:rPr>
          <w:lang w:val="fr-CA"/>
        </w:rPr>
        <w:tab/>
        <w:t>. . . les tribunaux d’instance inférieure ont commis une erreur en statuant que l’on pouvait recourir à l’</w:t>
      </w:r>
      <w:r w:rsidRPr="005147AC">
        <w:rPr>
          <w:i/>
          <w:iCs/>
          <w:lang w:val="fr-CA"/>
        </w:rPr>
        <w:t>habeas corpus</w:t>
      </w:r>
      <w:r w:rsidRPr="005147AC">
        <w:rPr>
          <w:lang w:val="fr-CA"/>
        </w:rPr>
        <w:t xml:space="preserve"> pour contester seulement le mandat d’incarcération initial. On peut recourir à l’</w:t>
      </w:r>
      <w:r w:rsidRPr="005147AC">
        <w:rPr>
          <w:i/>
          <w:iCs/>
          <w:lang w:val="fr-CA"/>
        </w:rPr>
        <w:t>habeas corpus</w:t>
      </w:r>
      <w:r w:rsidRPr="005147AC">
        <w:rPr>
          <w:lang w:val="fr-CA"/>
        </w:rPr>
        <w:t xml:space="preserve"> pour contester la privation illégale de liberté. </w:t>
      </w:r>
      <w:r w:rsidRPr="005147AC">
        <w:rPr>
          <w:u w:val="single"/>
          <w:lang w:val="fr-CA"/>
        </w:rPr>
        <w:t>Dans le contexte du droit correctionnel, il existe trois sortes de privation de liberté : la privation initiale de liberté, une modification importante des conditions d’incarcération qui équivaut à une nouvelle privation de liberté et la continuation de la privation de liberté.</w:t>
      </w:r>
      <w:r w:rsidRPr="005147AC">
        <w:rPr>
          <w:lang w:val="fr-CA"/>
        </w:rPr>
        <w:t xml:space="preserve"> [Nous soulignons.]</w:t>
      </w:r>
    </w:p>
    <w:p w14:paraId="313D1F46" w14:textId="77777777" w:rsidR="005147AC" w:rsidRPr="005147AC" w:rsidRDefault="005147AC" w:rsidP="005147AC">
      <w:pPr>
        <w:pStyle w:val="ParaNoNdepar-AltN"/>
        <w:rPr>
          <w:rFonts w:cs="Times New Roman"/>
          <w:lang w:val="fr-CA"/>
        </w:rPr>
      </w:pPr>
      <w:r w:rsidRPr="005147AC">
        <w:rPr>
          <w:rFonts w:cs="Times New Roman"/>
          <w:lang w:val="fr-CA"/>
        </w:rPr>
        <w:t>C’est dans cette optique que nous devons aborder le présent pourvoi.</w:t>
      </w:r>
    </w:p>
    <w:p w14:paraId="10E596FA" w14:textId="77777777" w:rsidR="005147AC" w:rsidRPr="005147AC" w:rsidRDefault="005147AC" w:rsidP="005147AC">
      <w:pPr>
        <w:pStyle w:val="Title3LevelTitre3Niveau"/>
        <w:jc w:val="both"/>
        <w:rPr>
          <w:rFonts w:cs="Times New Roman"/>
          <w:lang w:val="fr-CA"/>
        </w:rPr>
      </w:pPr>
      <w:r w:rsidRPr="005147AC">
        <w:rPr>
          <w:rFonts w:cs="Times New Roman"/>
          <w:lang w:val="fr-CA"/>
        </w:rPr>
        <w:t xml:space="preserve">Évolution de la jurisprudence depuis l’arrêt </w:t>
      </w:r>
      <w:r w:rsidRPr="005147AC">
        <w:rPr>
          <w:rFonts w:cs="Times New Roman"/>
          <w:i/>
          <w:iCs/>
          <w:lang w:val="fr-CA"/>
        </w:rPr>
        <w:t>Dumas</w:t>
      </w:r>
      <w:r w:rsidRPr="005147AC">
        <w:rPr>
          <w:rFonts w:cs="Times New Roman"/>
          <w:lang w:val="fr-CA"/>
        </w:rPr>
        <w:t xml:space="preserve"> </w:t>
      </w:r>
    </w:p>
    <w:p w14:paraId="52DDA06E" w14:textId="77777777" w:rsidR="005147AC" w:rsidRPr="005147AC" w:rsidRDefault="005147AC" w:rsidP="005147AC">
      <w:pPr>
        <w:pStyle w:val="ParaNoNdepar-AltN"/>
        <w:rPr>
          <w:rFonts w:cs="Times New Roman"/>
          <w:lang w:val="fr-CA"/>
        </w:rPr>
      </w:pPr>
      <w:r w:rsidRPr="005147AC">
        <w:rPr>
          <w:rFonts w:cs="Times New Roman"/>
          <w:lang w:val="fr-CA"/>
        </w:rPr>
        <w:t>Subséquemment, la question de l’</w:t>
      </w:r>
      <w:r w:rsidRPr="005147AC">
        <w:rPr>
          <w:rFonts w:cs="Times New Roman"/>
          <w:i/>
          <w:lang w:val="fr-CA"/>
        </w:rPr>
        <w:t>habeas corpus</w:t>
      </w:r>
      <w:r w:rsidRPr="005147AC">
        <w:rPr>
          <w:rFonts w:cs="Times New Roman"/>
          <w:lang w:val="fr-CA"/>
        </w:rPr>
        <w:t xml:space="preserve"> a été examinée dans le contexte correctionnel, soit 20 ans plus tard, dans les affaires </w:t>
      </w:r>
      <w:r w:rsidRPr="005147AC">
        <w:rPr>
          <w:rFonts w:cs="Times New Roman"/>
          <w:i/>
          <w:lang w:val="fr-CA"/>
        </w:rPr>
        <w:t xml:space="preserve">May </w:t>
      </w:r>
      <w:r w:rsidRPr="005147AC">
        <w:rPr>
          <w:rFonts w:cs="Times New Roman"/>
          <w:lang w:val="fr-CA"/>
        </w:rPr>
        <w:t xml:space="preserve">et </w:t>
      </w:r>
      <w:r w:rsidRPr="005147AC">
        <w:rPr>
          <w:rFonts w:cs="Times New Roman"/>
          <w:i/>
          <w:lang w:val="fr-CA"/>
        </w:rPr>
        <w:t>Khela</w:t>
      </w:r>
      <w:r w:rsidRPr="005147AC">
        <w:rPr>
          <w:rFonts w:cs="Times New Roman"/>
          <w:lang w:val="fr-CA"/>
        </w:rPr>
        <w:t>.</w:t>
      </w:r>
    </w:p>
    <w:p w14:paraId="1B606ADD" w14:textId="77777777" w:rsidR="005147AC" w:rsidRPr="005147AC" w:rsidRDefault="005147AC" w:rsidP="005147AC">
      <w:pPr>
        <w:pStyle w:val="ParaNoNdepar-AltN"/>
        <w:rPr>
          <w:rFonts w:cs="Times New Roman"/>
          <w:lang w:val="fr-CA"/>
        </w:rPr>
      </w:pPr>
      <w:r w:rsidRPr="005147AC">
        <w:rPr>
          <w:rFonts w:cs="Times New Roman"/>
          <w:lang w:val="fr-CA"/>
        </w:rPr>
        <w:t xml:space="preserve">Dans l’affaire </w:t>
      </w:r>
      <w:r w:rsidRPr="005147AC">
        <w:rPr>
          <w:rFonts w:cs="Times New Roman"/>
          <w:i/>
          <w:lang w:val="fr-CA"/>
        </w:rPr>
        <w:t>May</w:t>
      </w:r>
      <w:r w:rsidRPr="005147AC">
        <w:rPr>
          <w:rFonts w:cs="Times New Roman"/>
          <w:lang w:val="fr-CA"/>
        </w:rPr>
        <w:t xml:space="preserve">, notre Cour a confirmé que les cours supérieures des provinces et la Cour fédérale avaient juridiction concurrente pour statuer sur les décisions des administrateurs correctionnels fédéraux. Rédigeant pour le compte de la majorité, les juges LeBel et Fish ont conclu que les cours supérieures des provinces pouvaient entendre les requêtes en </w:t>
      </w:r>
      <w:r w:rsidRPr="005147AC">
        <w:rPr>
          <w:rFonts w:cs="Times New Roman"/>
          <w:i/>
          <w:lang w:val="fr-CA"/>
        </w:rPr>
        <w:t xml:space="preserve">habeas corpus </w:t>
      </w:r>
      <w:r w:rsidRPr="005147AC">
        <w:rPr>
          <w:rFonts w:cs="Times New Roman"/>
          <w:lang w:val="fr-CA"/>
        </w:rPr>
        <w:t xml:space="preserve">dans le contexte correctionnel, en concurrence avec le contrôle judiciaire à la Cour fédérale, étant donné que les procédures de révision internes prévues par le régime législatif n’avaient pas une portée </w:t>
      </w:r>
      <w:r w:rsidRPr="005147AC">
        <w:rPr>
          <w:rFonts w:cs="Times New Roman"/>
          <w:lang w:val="fr-CA"/>
        </w:rPr>
        <w:lastRenderedPageBreak/>
        <w:t>aussi large que la procédure d’</w:t>
      </w:r>
      <w:r w:rsidRPr="005147AC">
        <w:rPr>
          <w:rFonts w:cs="Times New Roman"/>
          <w:i/>
          <w:lang w:val="fr-CA"/>
        </w:rPr>
        <w:t>habeas corpus</w:t>
      </w:r>
      <w:r w:rsidRPr="005147AC">
        <w:rPr>
          <w:rFonts w:cs="Times New Roman"/>
          <w:lang w:val="fr-CA"/>
        </w:rPr>
        <w:t xml:space="preserve"> et étaient moins avantageuses (par. 63-65 et 72).</w:t>
      </w:r>
    </w:p>
    <w:p w14:paraId="5CF05E06" w14:textId="77777777" w:rsidR="005147AC" w:rsidRPr="005147AC" w:rsidRDefault="005147AC" w:rsidP="005147AC">
      <w:pPr>
        <w:pStyle w:val="ParaNoNdepar-AltN"/>
        <w:rPr>
          <w:rFonts w:cs="Times New Roman"/>
          <w:lang w:val="fr-CA"/>
        </w:rPr>
      </w:pPr>
      <w:r w:rsidRPr="005147AC">
        <w:rPr>
          <w:rFonts w:cs="Times New Roman"/>
          <w:lang w:val="fr-CA"/>
        </w:rPr>
        <w:t xml:space="preserve">Dans l’affaire </w:t>
      </w:r>
      <w:r w:rsidRPr="005147AC">
        <w:rPr>
          <w:rFonts w:cs="Times New Roman"/>
          <w:i/>
          <w:lang w:val="fr-CA"/>
        </w:rPr>
        <w:t>Khela</w:t>
      </w:r>
      <w:r w:rsidRPr="005147AC">
        <w:rPr>
          <w:rFonts w:cs="Times New Roman"/>
          <w:lang w:val="fr-CA"/>
        </w:rPr>
        <w:t>, notre Cour a examiné le transfèrement d’un détenu d’un établissement à sécurité moyenne à un établissement à sécurité maximale et a conclu que le transfèrement était illégal en raison d’un manquement à l’équité procédurale. En arrivant à cette conclusion, le juge LeBel, qui s’exprimait au nom de la Cour, a affirmé que pour qu’une telle décision soit légale, elle devait être équitable sur le plan procédural; le fait que les autorités correctionnelles n’ont pas satisfait aux exigences statutaires de divulgation rendait donc illégal le transfèrement du détenu et celui</w:t>
      </w:r>
      <w:r w:rsidRPr="005147AC">
        <w:rPr>
          <w:rFonts w:cs="Times New Roman"/>
          <w:lang w:val="fr-CA"/>
        </w:rPr>
        <w:noBreakHyphen/>
        <w:t>ci s’était vu accorder à juste titre un bref d’</w:t>
      </w:r>
      <w:r w:rsidRPr="005147AC">
        <w:rPr>
          <w:rFonts w:cs="Times New Roman"/>
          <w:i/>
          <w:iCs/>
          <w:lang w:val="fr-CA"/>
        </w:rPr>
        <w:t>habeas corpus</w:t>
      </w:r>
      <w:r w:rsidRPr="005147AC">
        <w:rPr>
          <w:rFonts w:cs="Times New Roman"/>
          <w:iCs/>
          <w:lang w:val="fr-CA"/>
        </w:rPr>
        <w:t>.</w:t>
      </w:r>
      <w:r w:rsidRPr="005147AC">
        <w:rPr>
          <w:rFonts w:cs="Times New Roman"/>
          <w:lang w:val="fr-CA"/>
        </w:rPr>
        <w:t xml:space="preserve"> </w:t>
      </w:r>
    </w:p>
    <w:p w14:paraId="0C53FFCC" w14:textId="77777777" w:rsidR="005147AC" w:rsidRPr="005147AC" w:rsidRDefault="005147AC" w:rsidP="005147AC">
      <w:pPr>
        <w:pStyle w:val="Title2LevelTitre2Niveau"/>
        <w:jc w:val="both"/>
        <w:rPr>
          <w:rFonts w:cs="Times New Roman"/>
          <w:lang w:val="fr-CA"/>
        </w:rPr>
      </w:pPr>
      <w:r w:rsidRPr="005147AC">
        <w:rPr>
          <w:rFonts w:cs="Times New Roman"/>
          <w:lang w:val="fr-CA"/>
        </w:rPr>
        <w:t xml:space="preserve">L’habeas corpus </w:t>
      </w:r>
      <w:r w:rsidRPr="005147AC">
        <w:rPr>
          <w:rFonts w:cs="Times New Roman"/>
          <w:bCs/>
          <w:lang w:val="fr-CA"/>
        </w:rPr>
        <w:t>ne s’applique pas</w:t>
      </w:r>
      <w:r w:rsidRPr="005147AC">
        <w:rPr>
          <w:rFonts w:cs="Times New Roman"/>
          <w:lang w:val="fr-CA"/>
        </w:rPr>
        <w:t xml:space="preserve"> aux décisions administratives correctionnelles refusant la demande présentée par un détenu en vue de son transfèrement ou de la réévaluation de sa cote de sécurité</w:t>
      </w:r>
    </w:p>
    <w:p w14:paraId="0D88F301" w14:textId="77777777" w:rsidR="005147AC" w:rsidRPr="005147AC" w:rsidRDefault="005147AC" w:rsidP="005147AC">
      <w:pPr>
        <w:pStyle w:val="Title3LevelTitre3Niveau"/>
        <w:jc w:val="both"/>
        <w:rPr>
          <w:rFonts w:cs="Times New Roman"/>
          <w:i/>
          <w:lang w:val="fr-CA"/>
        </w:rPr>
      </w:pPr>
      <w:r w:rsidRPr="005147AC">
        <w:rPr>
          <w:rFonts w:cs="Times New Roman"/>
          <w:iCs/>
          <w:lang w:val="fr-CA"/>
        </w:rPr>
        <w:t>L’arrêt</w:t>
      </w:r>
      <w:r w:rsidRPr="005147AC">
        <w:rPr>
          <w:rFonts w:cs="Times New Roman"/>
          <w:i/>
          <w:lang w:val="fr-CA"/>
        </w:rPr>
        <w:t xml:space="preserve"> Dumas</w:t>
      </w:r>
      <w:r w:rsidRPr="005147AC">
        <w:rPr>
          <w:rFonts w:cs="Times New Roman"/>
          <w:lang w:val="fr-CA"/>
        </w:rPr>
        <w:t xml:space="preserve"> demeure le précédent permettant de déterminer s’il y a une privation de liberté résiduelle</w:t>
      </w:r>
    </w:p>
    <w:p w14:paraId="59DF2230" w14:textId="77777777" w:rsidR="005147AC" w:rsidRPr="005147AC" w:rsidRDefault="005147AC" w:rsidP="005147AC">
      <w:pPr>
        <w:pStyle w:val="ParaNoNdepar-AltN"/>
        <w:rPr>
          <w:rFonts w:cs="Times New Roman"/>
          <w:lang w:val="fr-CA"/>
        </w:rPr>
      </w:pPr>
      <w:r w:rsidRPr="005147AC">
        <w:rPr>
          <w:rFonts w:cs="Times New Roman"/>
          <w:lang w:val="fr-CA"/>
        </w:rPr>
        <w:t>Comme nous l’avons indiqué, le présent pourvoi concerne l’application du test de l’</w:t>
      </w:r>
      <w:r w:rsidRPr="005147AC">
        <w:rPr>
          <w:rFonts w:cs="Times New Roman"/>
          <w:i/>
          <w:iCs/>
          <w:lang w:val="fr-CA"/>
        </w:rPr>
        <w:t>habeas corpus</w:t>
      </w:r>
      <w:r w:rsidRPr="005147AC">
        <w:rPr>
          <w:rFonts w:cs="Times New Roman"/>
          <w:lang w:val="fr-CA"/>
        </w:rPr>
        <w:t xml:space="preserve"> en common law dans le contexte correctionnel, en particulier, il s’agit de savoir si le refus d’attribuer à un détenu une cote de sécurité inférieure ou de permettre son transfèrement à un établissement à sécurité moins élevée constitue une privation de sa liberté résiduelle. Ces mesures constituent</w:t>
      </w:r>
      <w:r w:rsidRPr="005147AC">
        <w:rPr>
          <w:rFonts w:cs="Times New Roman"/>
          <w:lang w:val="fr-CA"/>
        </w:rPr>
        <w:noBreakHyphen/>
        <w:t>elles une privation de la liberté résiduelle?</w:t>
      </w:r>
    </w:p>
    <w:p w14:paraId="602F6773" w14:textId="77777777" w:rsidR="005147AC" w:rsidRPr="005147AC" w:rsidRDefault="005147AC" w:rsidP="005147AC">
      <w:pPr>
        <w:pStyle w:val="ParaNoNdepar-AltN"/>
        <w:rPr>
          <w:rFonts w:cs="Times New Roman"/>
          <w:lang w:val="fr-CA"/>
        </w:rPr>
      </w:pPr>
      <w:r w:rsidRPr="005147AC">
        <w:rPr>
          <w:rFonts w:cs="Times New Roman"/>
          <w:iCs/>
          <w:lang w:val="fr-CA"/>
        </w:rPr>
        <w:lastRenderedPageBreak/>
        <w:t>L’arrêt</w:t>
      </w:r>
      <w:r w:rsidRPr="005147AC">
        <w:rPr>
          <w:rFonts w:cs="Times New Roman"/>
          <w:i/>
          <w:lang w:val="fr-CA"/>
        </w:rPr>
        <w:t xml:space="preserve"> Dumas</w:t>
      </w:r>
      <w:r w:rsidRPr="005147AC">
        <w:rPr>
          <w:rFonts w:cs="Times New Roman"/>
          <w:lang w:val="fr-CA"/>
        </w:rPr>
        <w:t xml:space="preserve"> demeure l’arrêt de principe en la matière. Comme nous l’avons indiqué, le juge Lamer a reconnu qu’il existait trois catégories de privation de liberté : (1) la décision initiale ordonnant la détention, (2) une modification des conditions de détention, et (3) la continuation de la détention, une fois que celle</w:t>
      </w:r>
      <w:r w:rsidRPr="005147AC">
        <w:rPr>
          <w:rFonts w:cs="Times New Roman"/>
          <w:lang w:val="fr-CA"/>
        </w:rPr>
        <w:noBreakHyphen/>
        <w:t xml:space="preserve">ci est devenue illégale. La troisième catégorie est en cause en l’espèce, comme c’était le cas dans l’affaire </w:t>
      </w:r>
      <w:r w:rsidRPr="005147AC">
        <w:rPr>
          <w:rFonts w:cs="Times New Roman"/>
          <w:i/>
          <w:lang w:val="fr-CA"/>
        </w:rPr>
        <w:t>Dumas</w:t>
      </w:r>
      <w:r w:rsidRPr="005147AC">
        <w:rPr>
          <w:rFonts w:cs="Times New Roman"/>
          <w:lang w:val="fr-CA"/>
        </w:rPr>
        <w:t>.</w:t>
      </w:r>
    </w:p>
    <w:p w14:paraId="15A082B8" w14:textId="77777777" w:rsidR="005147AC" w:rsidRPr="005147AC" w:rsidRDefault="005147AC" w:rsidP="005147AC">
      <w:pPr>
        <w:pStyle w:val="ParaNoNdepar-AltN"/>
        <w:rPr>
          <w:rFonts w:cs="Times New Roman"/>
          <w:lang w:val="fr-CA"/>
        </w:rPr>
      </w:pPr>
      <w:r w:rsidRPr="005147AC">
        <w:rPr>
          <w:rFonts w:cs="Times New Roman"/>
          <w:lang w:val="fr-CA"/>
        </w:rPr>
        <w:t xml:space="preserve">Selon le test de l’arrêt </w:t>
      </w:r>
      <w:r w:rsidRPr="005147AC">
        <w:rPr>
          <w:rFonts w:cs="Times New Roman"/>
          <w:i/>
          <w:iCs/>
          <w:lang w:val="fr-CA"/>
        </w:rPr>
        <w:t>Dumas</w:t>
      </w:r>
      <w:r w:rsidRPr="005147AC">
        <w:rPr>
          <w:rFonts w:cs="Times New Roman"/>
          <w:lang w:val="fr-CA"/>
        </w:rPr>
        <w:t>, un détenu qui est légalement incarcéré doit d’abord démontrer qu’il a subi une privation de sa liberté résiduelle — qui va au</w:t>
      </w:r>
      <w:r w:rsidRPr="005147AC">
        <w:rPr>
          <w:rFonts w:cs="Times New Roman"/>
          <w:lang w:val="fr-CA"/>
        </w:rPr>
        <w:noBreakHyphen/>
        <w:t xml:space="preserve">delà de son incarcération légale initiale — et doit s’appuyer sur l’une des trois catégories de l’arrêt </w:t>
      </w:r>
      <w:r w:rsidRPr="005147AC">
        <w:rPr>
          <w:rFonts w:cs="Times New Roman"/>
          <w:i/>
          <w:lang w:val="fr-CA"/>
        </w:rPr>
        <w:t>Dumas</w:t>
      </w:r>
      <w:r w:rsidRPr="005147AC">
        <w:rPr>
          <w:rFonts w:cs="Times New Roman"/>
          <w:lang w:val="fr-CA"/>
        </w:rPr>
        <w:t xml:space="preserve"> comme fondement reconnu pour pouvoir contester la légalité de cette privation de liberté. Si le détenu s’acquitte de ce fardeau initial, le fardeau est alors déplacé sur l’autorité qui détient le détenu et elle doit justifier la légalité de la privation de liberté. Si l’autorité qui détient le détenu ne s’acquitte pas de son fardeau, le tribunal </w:t>
      </w:r>
      <w:r w:rsidRPr="005147AC">
        <w:rPr>
          <w:rFonts w:cs="Times New Roman"/>
          <w:i/>
          <w:lang w:val="fr-CA"/>
        </w:rPr>
        <w:t>doit</w:t>
      </w:r>
      <w:r w:rsidRPr="005147AC">
        <w:rPr>
          <w:rFonts w:cs="Times New Roman"/>
          <w:lang w:val="fr-CA"/>
        </w:rPr>
        <w:t xml:space="preserve"> libérer le détenu des conditions qui constituent la privation de liberté; le tribunal n’a d’autre choix que de donner effet au transfèrement; à cet égard, l’</w:t>
      </w:r>
      <w:r w:rsidRPr="005147AC">
        <w:rPr>
          <w:rFonts w:cs="Times New Roman"/>
          <w:i/>
          <w:lang w:val="fr-CA"/>
        </w:rPr>
        <w:t>habeas corpus</w:t>
      </w:r>
      <w:r w:rsidRPr="005147AC">
        <w:rPr>
          <w:rFonts w:cs="Times New Roman"/>
          <w:lang w:val="fr-CA"/>
        </w:rPr>
        <w:t xml:space="preserve"> est un recours non discrétionnaire. Prétendre le contraire reviendrait à élargir de manière excessive la portée de l’</w:t>
      </w:r>
      <w:r w:rsidRPr="005147AC">
        <w:rPr>
          <w:rFonts w:cs="Times New Roman"/>
          <w:i/>
          <w:lang w:val="fr-CA"/>
        </w:rPr>
        <w:t>habeas corpus</w:t>
      </w:r>
      <w:r w:rsidRPr="005147AC">
        <w:rPr>
          <w:rFonts w:cs="Times New Roman"/>
          <w:lang w:val="fr-CA"/>
        </w:rPr>
        <w:t xml:space="preserve"> et à le dénaturer.</w:t>
      </w:r>
    </w:p>
    <w:p w14:paraId="49C37B73" w14:textId="77777777" w:rsidR="005147AC" w:rsidRPr="005147AC" w:rsidRDefault="005147AC" w:rsidP="005147AC">
      <w:pPr>
        <w:pStyle w:val="ParaNoNdepar-AltN"/>
        <w:rPr>
          <w:rFonts w:cs="Times New Roman"/>
          <w:lang w:val="fr-CA"/>
        </w:rPr>
      </w:pPr>
      <w:r w:rsidRPr="005147AC">
        <w:rPr>
          <w:rFonts w:cs="Times New Roman"/>
          <w:lang w:val="fr-CA"/>
        </w:rPr>
        <w:t xml:space="preserve">En bref, l’analyse effectuée dans le cadre d’une requête en </w:t>
      </w:r>
      <w:r w:rsidRPr="005147AC">
        <w:rPr>
          <w:rFonts w:cs="Times New Roman"/>
          <w:i/>
          <w:lang w:val="fr-CA"/>
        </w:rPr>
        <w:t>habeas corpus</w:t>
      </w:r>
      <w:r w:rsidRPr="005147AC">
        <w:rPr>
          <w:rFonts w:cs="Times New Roman"/>
          <w:lang w:val="fr-CA"/>
        </w:rPr>
        <w:t xml:space="preserve"> se déroule en trois étapes. À la première étape, le requérant doit établir une privation de liberté. À la deuxième étape, la requête doit soulever un motif légitime remettant en cause la légalité de la privation de liberté. Si le requérant s’acquitte de son fardeau aux </w:t>
      </w:r>
      <w:r w:rsidRPr="005147AC">
        <w:rPr>
          <w:rFonts w:cs="Times New Roman"/>
          <w:lang w:val="fr-CA"/>
        </w:rPr>
        <w:lastRenderedPageBreak/>
        <w:t>première et deuxième étapes, alors, à la troisième étape, l’autorité qui le détient doit établir que la privation de liberté était légale.</w:t>
      </w:r>
    </w:p>
    <w:p w14:paraId="6B63C3DD"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Non seulement l’arrêt </w:t>
      </w:r>
      <w:r w:rsidRPr="005147AC">
        <w:rPr>
          <w:rFonts w:cs="Times New Roman"/>
          <w:i/>
          <w:lang w:val="fr-CA"/>
        </w:rPr>
        <w:t>Dumas</w:t>
      </w:r>
      <w:r w:rsidRPr="005147AC">
        <w:rPr>
          <w:rFonts w:cs="Times New Roman"/>
          <w:lang w:val="fr-CA"/>
        </w:rPr>
        <w:t xml:space="preserve"> demeure l’arrêt de principe pour déterminer s’il y a eu une privation de la liberté résiduelle dans un contexte correctionnel, mais tant son raisonnement que sa matrice factuelle sont directement applicables en l’espèce.</w:t>
      </w:r>
    </w:p>
    <w:p w14:paraId="6D5DF45C"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Dans l’affaire </w:t>
      </w:r>
      <w:r w:rsidRPr="005147AC">
        <w:rPr>
          <w:rFonts w:cs="Times New Roman"/>
          <w:i/>
          <w:lang w:val="fr-CA"/>
        </w:rPr>
        <w:t>Dumas</w:t>
      </w:r>
      <w:r w:rsidRPr="005147AC">
        <w:rPr>
          <w:rFonts w:cs="Times New Roman"/>
          <w:lang w:val="fr-CA"/>
        </w:rPr>
        <w:t>, le juge Lamer a précisé que même si les faits concernaient la libération conditionnelle, son raisonnement ne s’y limitait pas. Il a souligné que la privation de liberté se cristallisait au moment où le statut légal de la personne incarcérée changeait — par exemple, lorsqu’une libération conditionnelle est octroyée ou qu’une décision de réévaluation de la cote de sécurité doit prendre effet. Le juge Lamer a écrit ce qui suit, aux p. 464</w:t>
      </w:r>
      <w:r w:rsidRPr="005147AC">
        <w:rPr>
          <w:rFonts w:cs="Times New Roman"/>
          <w:lang w:val="fr-CA"/>
        </w:rPr>
        <w:noBreakHyphen/>
        <w:t>465 :</w:t>
      </w:r>
    </w:p>
    <w:p w14:paraId="48747006" w14:textId="77777777" w:rsidR="005147AC" w:rsidRPr="005147AC" w:rsidRDefault="005147AC" w:rsidP="005147AC">
      <w:pPr>
        <w:pStyle w:val="Citation-AltC"/>
        <w:ind w:left="1168" w:firstLine="272"/>
        <w:rPr>
          <w:lang w:val="fr-CA"/>
        </w:rPr>
      </w:pPr>
      <w:r w:rsidRPr="005147AC">
        <w:rPr>
          <w:lang w:val="fr-CA"/>
        </w:rPr>
        <w:t>La continuation d’une privation de liberté valide initialement ne peut être contestée par voie d’</w:t>
      </w:r>
      <w:r w:rsidRPr="005147AC">
        <w:rPr>
          <w:i/>
          <w:iCs/>
          <w:lang w:val="fr-CA"/>
        </w:rPr>
        <w:t>habeas corpus</w:t>
      </w:r>
      <w:r w:rsidRPr="005147AC">
        <w:rPr>
          <w:lang w:val="fr-CA"/>
        </w:rPr>
        <w:t xml:space="preserve"> que si elle devient illégale. </w:t>
      </w:r>
      <w:r w:rsidRPr="005147AC">
        <w:rPr>
          <w:u w:val="single"/>
          <w:lang w:val="fr-CA"/>
        </w:rPr>
        <w:t>Dans le contexte de la libération conditionnelle, la détention continue d’un détenu ne deviendra illégale que s’il a acquis le statut de libéré conditionnel.</w:t>
      </w:r>
      <w:r w:rsidRPr="005147AC">
        <w:rPr>
          <w:b/>
          <w:lang w:val="fr-CA"/>
        </w:rPr>
        <w:t xml:space="preserve"> </w:t>
      </w:r>
      <w:r w:rsidRPr="005147AC">
        <w:rPr>
          <w:lang w:val="fr-CA"/>
        </w:rPr>
        <w:t>Un détenu acquiert ce statut au moment où la décision de lui accorder la libération conditionnelle entre en vigueur. Par conséquent, si la libération conditionnelle entre en vigueur immédiatement, il devient un libéré conditionnel au moment où la décision est rendue. Si, pour une raison quelconque, la restriction à sa liberté se poursuit, il peut alors recourir à l’</w:t>
      </w:r>
      <w:r w:rsidRPr="005147AC">
        <w:rPr>
          <w:i/>
          <w:iCs/>
          <w:lang w:val="fr-CA"/>
        </w:rPr>
        <w:t>habeas corpus</w:t>
      </w:r>
      <w:r w:rsidRPr="005147AC">
        <w:rPr>
          <w:lang w:val="fr-CA"/>
        </w:rPr>
        <w:t>. Si la libération conditionnelle entre en vigueur à une date ultérieure, alors le détenu acquiert le statut de libéré conditionnel à cette date et non à la date de la décision. De même, lorsque la décision d’accorder la libération conditionnelle est sujette à la réalisation d’une condition, le détenu ne devient un libéré conditionnel qu’au moment où la condition se réalise. Si le détenu n’est pas mis en liberté conditionnelle dans le délai prévu ou lorsque la condition se réalise, il peut alors recourir à l’</w:t>
      </w:r>
      <w:r w:rsidRPr="005147AC">
        <w:rPr>
          <w:i/>
          <w:iCs/>
          <w:lang w:val="fr-CA"/>
        </w:rPr>
        <w:t>habeas corpus</w:t>
      </w:r>
      <w:r w:rsidRPr="005147AC">
        <w:rPr>
          <w:lang w:val="fr-CA"/>
        </w:rPr>
        <w:t xml:space="preserve">. </w:t>
      </w:r>
      <w:r w:rsidRPr="005147AC">
        <w:rPr>
          <w:u w:val="single"/>
          <w:lang w:val="fr-CA"/>
        </w:rPr>
        <w:t xml:space="preserve">Enfin, si la libération conditionnelle est refusée, il est évident que le détenu n’est pas devenu un libéré conditionnel et ne peut </w:t>
      </w:r>
      <w:r w:rsidRPr="005147AC">
        <w:rPr>
          <w:u w:val="single"/>
          <w:lang w:val="fr-CA"/>
        </w:rPr>
        <w:lastRenderedPageBreak/>
        <w:t>avoir recours à l’</w:t>
      </w:r>
      <w:r w:rsidRPr="005147AC">
        <w:rPr>
          <w:i/>
          <w:iCs/>
          <w:u w:val="single"/>
          <w:lang w:val="fr-CA"/>
        </w:rPr>
        <w:t xml:space="preserve">habeas corpus </w:t>
      </w:r>
      <w:r w:rsidRPr="005147AC">
        <w:rPr>
          <w:u w:val="single"/>
          <w:lang w:val="fr-CA"/>
        </w:rPr>
        <w:t>pour contester la décision.</w:t>
      </w:r>
      <w:r w:rsidRPr="005147AC">
        <w:rPr>
          <w:lang w:val="fr-CA"/>
        </w:rPr>
        <w:t xml:space="preserve"> [Nous soulignons.]</w:t>
      </w:r>
    </w:p>
    <w:p w14:paraId="35FA60BC"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La majorité affirme que la conclusion dans </w:t>
      </w:r>
      <w:r w:rsidRPr="005147AC">
        <w:rPr>
          <w:rFonts w:cs="Times New Roman"/>
          <w:i/>
          <w:lang w:val="fr-CA"/>
        </w:rPr>
        <w:t>Dumas</w:t>
      </w:r>
      <w:r w:rsidRPr="005147AC">
        <w:rPr>
          <w:rFonts w:cs="Times New Roman"/>
          <w:lang w:val="fr-CA"/>
        </w:rPr>
        <w:t xml:space="preserve"> interdisant l’accès au recours en </w:t>
      </w:r>
      <w:r w:rsidRPr="005147AC">
        <w:rPr>
          <w:rFonts w:cs="Times New Roman"/>
          <w:i/>
          <w:lang w:val="fr-CA"/>
        </w:rPr>
        <w:t>habeas corpus</w:t>
      </w:r>
      <w:r w:rsidRPr="005147AC">
        <w:rPr>
          <w:rFonts w:cs="Times New Roman"/>
          <w:lang w:val="fr-CA"/>
        </w:rPr>
        <w:t xml:space="preserve"> reposait sur le fait que M. Dumas n’avait pas invoqué un motif légitime pour contester la légalité de sa privation de liberté, et non sur son droit à la libération conditionnelle (voir le par. 65). Cette interprétation de l’arrêt </w:t>
      </w:r>
      <w:r w:rsidRPr="005147AC">
        <w:rPr>
          <w:rFonts w:cs="Times New Roman"/>
          <w:i/>
          <w:lang w:val="fr-CA"/>
        </w:rPr>
        <w:t xml:space="preserve">Dumas </w:t>
      </w:r>
      <w:r w:rsidRPr="005147AC">
        <w:rPr>
          <w:rFonts w:cs="Times New Roman"/>
          <w:lang w:val="fr-CA"/>
        </w:rPr>
        <w:t xml:space="preserve">est à l’opposé des termes non ambigus utilisés par la Cour. En effet, l’interprétation de la majorité s’appuie sur les propos de notre Cour dans l’affaire </w:t>
      </w:r>
      <w:r w:rsidRPr="005147AC">
        <w:rPr>
          <w:rFonts w:cs="Times New Roman"/>
          <w:i/>
          <w:lang w:val="fr-CA"/>
        </w:rPr>
        <w:t>Dumas</w:t>
      </w:r>
      <w:r w:rsidRPr="005147AC">
        <w:rPr>
          <w:rFonts w:cs="Times New Roman"/>
          <w:lang w:val="fr-CA"/>
        </w:rPr>
        <w:t xml:space="preserve"> (p. 465) selon lesquels « un détenu [n</w:t>
      </w:r>
      <w:proofErr w:type="gramStart"/>
      <w:r w:rsidRPr="005147AC">
        <w:rPr>
          <w:rFonts w:cs="Times New Roman"/>
          <w:lang w:val="fr-CA"/>
        </w:rPr>
        <w:t>’]est</w:t>
      </w:r>
      <w:proofErr w:type="gramEnd"/>
      <w:r w:rsidRPr="005147AC">
        <w:rPr>
          <w:rFonts w:cs="Times New Roman"/>
          <w:lang w:val="fr-CA"/>
        </w:rPr>
        <w:t xml:space="preserve"> [pas] sans recours dans un cas approprié ». La majorité estime que cet argument porte sur la question de savoir si M. Dumas avait soulevé un motif légitime permettant de contester la légalité d’une privation de liberté au moyen d’une requête en </w:t>
      </w:r>
      <w:r w:rsidRPr="005147AC">
        <w:rPr>
          <w:rFonts w:cs="Times New Roman"/>
          <w:i/>
          <w:lang w:val="fr-CA"/>
        </w:rPr>
        <w:t>habeas corpus</w:t>
      </w:r>
      <w:r w:rsidRPr="005147AC">
        <w:rPr>
          <w:rFonts w:cs="Times New Roman"/>
          <w:lang w:val="fr-CA"/>
        </w:rPr>
        <w:t xml:space="preserve">. Or, il n’en est rien. En écrivant ces propos, la Cour référait aux autres voies de recours possibles, lesquelles ne présentaient aucun lien avec la requête en </w:t>
      </w:r>
      <w:r w:rsidRPr="005147AC">
        <w:rPr>
          <w:rFonts w:cs="Times New Roman"/>
          <w:i/>
          <w:lang w:val="fr-CA"/>
        </w:rPr>
        <w:t xml:space="preserve">habeas corpus </w:t>
      </w:r>
      <w:r w:rsidRPr="005147AC">
        <w:rPr>
          <w:rFonts w:cs="Times New Roman"/>
          <w:lang w:val="fr-CA"/>
        </w:rPr>
        <w:t xml:space="preserve">de M. Dumas. La Cour a affirmé que, mis à part sa requête en </w:t>
      </w:r>
      <w:r w:rsidRPr="005147AC">
        <w:rPr>
          <w:rFonts w:cs="Times New Roman"/>
          <w:i/>
          <w:lang w:val="fr-CA"/>
        </w:rPr>
        <w:t>habeas corpus</w:t>
      </w:r>
      <w:r w:rsidRPr="005147AC">
        <w:rPr>
          <w:rFonts w:cs="Times New Roman"/>
          <w:lang w:val="fr-CA"/>
        </w:rPr>
        <w:t xml:space="preserve">, M. Dumas aurait pu contester le pouvoir de la Commission nationale des libérations conditionnelles de « réviser ses décisions antérieures », ou la manière dont elle a effectué cette révision, au motif qu’elle a « enfreint les règles de justice naturelle » ou les droits qui lui sont garantis par la </w:t>
      </w:r>
      <w:r w:rsidRPr="005147AC">
        <w:rPr>
          <w:rFonts w:cs="Times New Roman"/>
          <w:i/>
          <w:lang w:val="fr-CA"/>
        </w:rPr>
        <w:t xml:space="preserve">Charte </w:t>
      </w:r>
      <w:r w:rsidRPr="005147AC">
        <w:rPr>
          <w:rFonts w:cs="Times New Roman"/>
          <w:lang w:val="fr-CA"/>
        </w:rPr>
        <w:t xml:space="preserve">(p. 465). Comme l’a expliqué la Cour dans l’arrêt </w:t>
      </w:r>
      <w:r w:rsidRPr="005147AC">
        <w:rPr>
          <w:rFonts w:cs="Times New Roman"/>
          <w:i/>
          <w:lang w:val="fr-CA"/>
        </w:rPr>
        <w:t>Dumas</w:t>
      </w:r>
      <w:r w:rsidRPr="005147AC">
        <w:rPr>
          <w:rFonts w:cs="Times New Roman"/>
          <w:lang w:val="fr-CA"/>
        </w:rPr>
        <w:t>, « [c]es questions ne sont pas soulevées devant la Cour dans une demande d’</w:t>
      </w:r>
      <w:r w:rsidRPr="005147AC">
        <w:rPr>
          <w:rFonts w:cs="Times New Roman"/>
          <w:i/>
          <w:lang w:val="fr-CA"/>
        </w:rPr>
        <w:t>habeas corpus</w:t>
      </w:r>
      <w:r w:rsidRPr="005147AC">
        <w:rPr>
          <w:rFonts w:cs="Times New Roman"/>
          <w:lang w:val="fr-CA"/>
        </w:rPr>
        <w:t xml:space="preserve">, mais pourraient être soulevées dans une demande fondée sur l’art. 18 de la </w:t>
      </w:r>
      <w:r w:rsidRPr="005147AC">
        <w:rPr>
          <w:rFonts w:cs="Times New Roman"/>
          <w:i/>
          <w:lang w:val="fr-CA"/>
        </w:rPr>
        <w:t>Loi sur la Cour fédérale</w:t>
      </w:r>
      <w:r w:rsidRPr="005147AC">
        <w:rPr>
          <w:rFonts w:cs="Times New Roman"/>
          <w:lang w:val="fr-CA"/>
        </w:rPr>
        <w:t>, S.R.C. 1970 (2</w:t>
      </w:r>
      <w:r w:rsidRPr="005147AC">
        <w:rPr>
          <w:rFonts w:cs="Times New Roman"/>
          <w:vertAlign w:val="superscript"/>
          <w:lang w:val="fr-CA"/>
        </w:rPr>
        <w:t>e</w:t>
      </w:r>
      <w:r w:rsidRPr="005147AC">
        <w:rPr>
          <w:rFonts w:cs="Times New Roman"/>
          <w:lang w:val="fr-CA"/>
        </w:rPr>
        <w:t xml:space="preserve"> Supp.), chap. 10, ou sur le par. 24(1) de la </w:t>
      </w:r>
      <w:r w:rsidRPr="005147AC">
        <w:rPr>
          <w:rFonts w:cs="Times New Roman"/>
          <w:i/>
          <w:lang w:val="fr-CA"/>
        </w:rPr>
        <w:t>Charte</w:t>
      </w:r>
      <w:r w:rsidRPr="005147AC">
        <w:rPr>
          <w:rFonts w:cs="Times New Roman"/>
          <w:lang w:val="fr-CA"/>
        </w:rPr>
        <w:t xml:space="preserve"> » (p. 465). </w:t>
      </w:r>
    </w:p>
    <w:p w14:paraId="615DDBDE"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lastRenderedPageBreak/>
        <w:t xml:space="preserve">L’unique motif pour lequel la Cour a refusé à M. Dumas le recours en </w:t>
      </w:r>
      <w:r w:rsidRPr="005147AC">
        <w:rPr>
          <w:rFonts w:cs="Times New Roman"/>
          <w:i/>
          <w:lang w:val="fr-CA"/>
        </w:rPr>
        <w:t>habeas corpus</w:t>
      </w:r>
      <w:r w:rsidRPr="005147AC">
        <w:rPr>
          <w:rFonts w:cs="Times New Roman"/>
          <w:lang w:val="fr-CA"/>
        </w:rPr>
        <w:t xml:space="preserve"> était qu’il n’avait pas droit au statut de libéré conditionnel. La Cour </w:t>
      </w:r>
      <w:r w:rsidRPr="005147AC">
        <w:rPr>
          <w:rFonts w:cs="Times New Roman"/>
          <w:i/>
          <w:lang w:val="fr-CA"/>
        </w:rPr>
        <w:t>ne</w:t>
      </w:r>
      <w:r w:rsidRPr="005147AC">
        <w:rPr>
          <w:rFonts w:cs="Times New Roman"/>
          <w:lang w:val="fr-CA"/>
        </w:rPr>
        <w:t xml:space="preserve"> lui a </w:t>
      </w:r>
      <w:r w:rsidRPr="005147AC">
        <w:rPr>
          <w:rFonts w:cs="Times New Roman"/>
          <w:i/>
          <w:lang w:val="fr-CA"/>
        </w:rPr>
        <w:t>pas</w:t>
      </w:r>
      <w:r w:rsidRPr="005147AC">
        <w:rPr>
          <w:rFonts w:cs="Times New Roman"/>
          <w:lang w:val="fr-CA"/>
        </w:rPr>
        <w:t xml:space="preserve"> refusé l’accès au recours en </w:t>
      </w:r>
      <w:r w:rsidRPr="005147AC">
        <w:rPr>
          <w:rFonts w:cs="Times New Roman"/>
          <w:i/>
          <w:lang w:val="fr-CA"/>
        </w:rPr>
        <w:t xml:space="preserve">habeas corpus </w:t>
      </w:r>
      <w:r w:rsidRPr="005147AC">
        <w:rPr>
          <w:rFonts w:cs="Times New Roman"/>
          <w:lang w:val="fr-CA"/>
        </w:rPr>
        <w:t xml:space="preserve">parce qu’il n’avait pas invoqué un motif légitime pour contester sa privation de liberté. La Cour a répété plusieurs fois que le statut de libéré conditionnel — autrement dit, le droit à une forme de liberté moins restrictive — constitue un préalable pour établir une privation illégale de liberté selon la troisième catégorie énoncée dans l’arrêt </w:t>
      </w:r>
      <w:r w:rsidRPr="005147AC">
        <w:rPr>
          <w:rFonts w:cs="Times New Roman"/>
          <w:i/>
          <w:lang w:val="fr-CA"/>
        </w:rPr>
        <w:t xml:space="preserve">Dumas </w:t>
      </w:r>
      <w:r w:rsidRPr="005147AC">
        <w:rPr>
          <w:rFonts w:cs="Times New Roman"/>
          <w:lang w:val="fr-CA"/>
        </w:rPr>
        <w:t>(voir les p. 464</w:t>
      </w:r>
      <w:r w:rsidRPr="005147AC">
        <w:rPr>
          <w:rFonts w:cs="Times New Roman"/>
          <w:lang w:val="fr-CA"/>
        </w:rPr>
        <w:noBreakHyphen/>
        <w:t xml:space="preserve">465). </w:t>
      </w:r>
    </w:p>
    <w:p w14:paraId="68C8D01A"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Le fait que la majorité invoque l’arrêt </w:t>
      </w:r>
      <w:r w:rsidRPr="005147AC">
        <w:rPr>
          <w:rFonts w:cs="Times New Roman"/>
          <w:i/>
          <w:lang w:val="fr-CA"/>
        </w:rPr>
        <w:t>Cardinal</w:t>
      </w:r>
      <w:r w:rsidRPr="005147AC">
        <w:rPr>
          <w:rFonts w:cs="Times New Roman"/>
          <w:lang w:val="fr-CA"/>
        </w:rPr>
        <w:t xml:space="preserve"> à l’appui de la thèse voulant qu’un demandeur n’a pas à démontrer l’existence d’un droit à une liberté résiduelle accrue est aussi mal à propos. Dans l’affaire </w:t>
      </w:r>
      <w:r w:rsidRPr="005147AC">
        <w:rPr>
          <w:rFonts w:cs="Times New Roman"/>
          <w:i/>
          <w:lang w:val="fr-CA"/>
        </w:rPr>
        <w:t>Cardinal</w:t>
      </w:r>
      <w:r w:rsidRPr="005147AC">
        <w:rPr>
          <w:rFonts w:cs="Times New Roman"/>
          <w:lang w:val="fr-CA"/>
        </w:rPr>
        <w:t xml:space="preserve">, le directeur avait exercé son pouvoir en vertu de l’art. 40 du </w:t>
      </w:r>
      <w:r w:rsidRPr="005147AC">
        <w:rPr>
          <w:rFonts w:cs="Times New Roman"/>
          <w:i/>
          <w:lang w:val="fr-CA"/>
        </w:rPr>
        <w:t>Règlement sur le service des pénitenciers</w:t>
      </w:r>
      <w:r w:rsidRPr="005147AC">
        <w:rPr>
          <w:rFonts w:cs="Times New Roman"/>
          <w:lang w:val="fr-CA"/>
        </w:rPr>
        <w:t xml:space="preserve">, C.R.C. 1978, c. 1251, pour maintenir en isolement certains détenus, contrairement à la recommandation du conseil d’examen. Ce faisant, il avait omis d’aviser les détenus ou de leur accorder la possibilité de se faire entendre. En statuant sur l’appel visant les requêtes en </w:t>
      </w:r>
      <w:r w:rsidRPr="005147AC">
        <w:rPr>
          <w:rFonts w:cs="Times New Roman"/>
          <w:i/>
          <w:lang w:val="fr-CA"/>
        </w:rPr>
        <w:t xml:space="preserve">habeas corpus </w:t>
      </w:r>
      <w:r w:rsidRPr="005147AC">
        <w:rPr>
          <w:rFonts w:cs="Times New Roman"/>
          <w:lang w:val="fr-CA"/>
        </w:rPr>
        <w:t>des détenus, notre Cour a conclu que la décision du directeur de l’établissement était illégale parce qu’elle n’était pas équitable sur le plan procédural.</w:t>
      </w:r>
    </w:p>
    <w:p w14:paraId="7AE46A55"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La majorité estime que les détenus n’avaient pas un droit « cristallisé » de réintégrer la population carcérale générale, car si le directeur s’était conformé à son obligation d’équité, sa décision « aurait pu être jugée légale » (par. 66). </w:t>
      </w:r>
    </w:p>
    <w:p w14:paraId="27D02682"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lastRenderedPageBreak/>
        <w:t xml:space="preserve">Cependant, comme l’a expliqué le juge Le Dain dans </w:t>
      </w:r>
      <w:r w:rsidRPr="005147AC">
        <w:rPr>
          <w:rFonts w:cs="Times New Roman"/>
          <w:i/>
          <w:lang w:val="fr-CA"/>
        </w:rPr>
        <w:t>Cardinal</w:t>
      </w:r>
      <w:r w:rsidRPr="005147AC">
        <w:rPr>
          <w:rFonts w:cs="Times New Roman"/>
          <w:lang w:val="fr-CA"/>
        </w:rPr>
        <w:t xml:space="preserve">, « la négation du droit à une audition équitable doit toujours rendre une décision invalide » (p. 661). Puisque le directeur avait nié aux détenus une audition équitable, sa décision de les maintenir en ségrégation en vertu du </w:t>
      </w:r>
      <w:r w:rsidRPr="005147AC">
        <w:rPr>
          <w:rFonts w:cs="Times New Roman"/>
          <w:i/>
          <w:lang w:val="fr-CA"/>
        </w:rPr>
        <w:t xml:space="preserve">Règlement sur le service des pénitenciers </w:t>
      </w:r>
      <w:r w:rsidRPr="005147AC">
        <w:rPr>
          <w:rFonts w:cs="Times New Roman"/>
          <w:lang w:val="fr-CA"/>
        </w:rPr>
        <w:t xml:space="preserve">était invalide. Par conséquent, au moment de leurs requêtes en </w:t>
      </w:r>
      <w:r w:rsidRPr="005147AC">
        <w:rPr>
          <w:rFonts w:cs="Times New Roman"/>
          <w:i/>
          <w:lang w:val="fr-CA"/>
        </w:rPr>
        <w:t>habeas corpus</w:t>
      </w:r>
      <w:r w:rsidRPr="005147AC">
        <w:rPr>
          <w:rFonts w:cs="Times New Roman"/>
          <w:lang w:val="fr-CA"/>
        </w:rPr>
        <w:t xml:space="preserve">, la continuation de la ségrégation des demandeurs reposait sur une décision invalide. En d’autres mots, vu l’absence de fondement légal justifiant leur ségrégation, les demandeurs avaient un droit « cristallisé » à des conditions d’incarcération les moins privatives de liberté. </w:t>
      </w:r>
    </w:p>
    <w:p w14:paraId="776204CB" w14:textId="77777777" w:rsidR="005147AC" w:rsidRPr="005147AC" w:rsidRDefault="005147AC" w:rsidP="005147AC">
      <w:pPr>
        <w:pStyle w:val="ParaNoNdepar-AltN"/>
        <w:tabs>
          <w:tab w:val="clear" w:pos="1152"/>
          <w:tab w:val="left" w:pos="1166"/>
        </w:tabs>
        <w:rPr>
          <w:rFonts w:cs="Times New Roman"/>
          <w:lang w:val="fr-CA"/>
        </w:rPr>
      </w:pPr>
      <w:r w:rsidRPr="005147AC">
        <w:rPr>
          <w:rFonts w:cs="Times New Roman"/>
          <w:lang w:val="fr-CA"/>
        </w:rPr>
        <w:t xml:space="preserve">Le procureur général du Québec fait valoir </w:t>
      </w:r>
      <w:bookmarkStart w:id="28" w:name="_Hlk206071593"/>
      <w:r w:rsidRPr="005147AC">
        <w:rPr>
          <w:rFonts w:cs="Times New Roman"/>
          <w:lang w:val="fr-CA"/>
        </w:rPr>
        <w:t>que l’</w:t>
      </w:r>
      <w:r w:rsidRPr="005147AC">
        <w:rPr>
          <w:rFonts w:cs="Times New Roman"/>
          <w:i/>
          <w:iCs/>
          <w:lang w:val="fr-CA"/>
        </w:rPr>
        <w:t>habeas corpus</w:t>
      </w:r>
      <w:r w:rsidRPr="005147AC">
        <w:rPr>
          <w:rFonts w:cs="Times New Roman"/>
          <w:lang w:val="fr-CA"/>
        </w:rPr>
        <w:t xml:space="preserve"> </w:t>
      </w:r>
      <w:bookmarkEnd w:id="28"/>
      <w:r w:rsidRPr="005147AC">
        <w:rPr>
          <w:rFonts w:cs="Times New Roman"/>
          <w:lang w:val="fr-CA"/>
        </w:rPr>
        <w:t>n’est pas un mécanisme permettant de garantir une liberté que la personne incarcérée n’a pas encore acquise; l’</w:t>
      </w:r>
      <w:r w:rsidRPr="005147AC">
        <w:rPr>
          <w:rFonts w:cs="Times New Roman"/>
          <w:i/>
          <w:iCs/>
          <w:lang w:val="fr-CA"/>
        </w:rPr>
        <w:t>habeas corpus</w:t>
      </w:r>
      <w:r w:rsidRPr="005147AC">
        <w:rPr>
          <w:rFonts w:cs="Times New Roman"/>
          <w:lang w:val="fr-CA"/>
        </w:rPr>
        <w:t xml:space="preserve"> constitue plutôt un recours contre une restriction illégale à un droit acquis à la liberté résiduelle (m. interv., par. 22). Nous souscrivons à ce point de vue.</w:t>
      </w:r>
    </w:p>
    <w:p w14:paraId="065EC919" w14:textId="77777777" w:rsidR="005147AC" w:rsidRPr="005147AC" w:rsidRDefault="005147AC" w:rsidP="005147AC">
      <w:pPr>
        <w:pStyle w:val="ParaNoNdepar-AltN"/>
        <w:rPr>
          <w:rFonts w:cs="Times New Roman"/>
          <w:lang w:val="fr-CA"/>
        </w:rPr>
      </w:pPr>
      <w:r w:rsidRPr="005147AC">
        <w:rPr>
          <w:rFonts w:cs="Times New Roman"/>
          <w:lang w:val="fr-CA"/>
        </w:rPr>
        <w:t>Dès lors qu’un détenu acquiert le droit à une liberté résiduelle modifiée et moins restrictive, il acquiert également le droit de recourir à l’</w:t>
      </w:r>
      <w:r w:rsidRPr="005147AC">
        <w:rPr>
          <w:rFonts w:cs="Times New Roman"/>
          <w:i/>
          <w:lang w:val="fr-CA"/>
        </w:rPr>
        <w:t>habeas corpus</w:t>
      </w:r>
      <w:r w:rsidRPr="005147AC">
        <w:rPr>
          <w:rFonts w:cs="Times New Roman"/>
          <w:lang w:val="fr-CA"/>
        </w:rPr>
        <w:t xml:space="preserve">, lorsque les dirigeants des services correctionnels ne donnent pas effet à ce droit. Ce principe s’applique en l’espèce : lorsqu’on suit le raisonnement formulé dans l’arrêt </w:t>
      </w:r>
      <w:r w:rsidRPr="005147AC">
        <w:rPr>
          <w:rFonts w:cs="Times New Roman"/>
          <w:i/>
          <w:lang w:val="fr-CA"/>
        </w:rPr>
        <w:t>Dumas</w:t>
      </w:r>
      <w:r w:rsidRPr="005147AC">
        <w:rPr>
          <w:rFonts w:cs="Times New Roman"/>
          <w:lang w:val="fr-CA"/>
        </w:rPr>
        <w:t>, force est de conclure que l’</w:t>
      </w:r>
      <w:r w:rsidRPr="005147AC">
        <w:rPr>
          <w:rFonts w:cs="Times New Roman"/>
          <w:i/>
          <w:lang w:val="fr-CA"/>
        </w:rPr>
        <w:t>habeas corpus</w:t>
      </w:r>
      <w:r w:rsidRPr="005147AC">
        <w:rPr>
          <w:rFonts w:cs="Times New Roman"/>
          <w:lang w:val="fr-CA"/>
        </w:rPr>
        <w:t xml:space="preserve"> est uniquement accessible à un détenu fédéral lorsqu’il a obtenu une réévaluation de sa cote de sécurité ou son transfèrement à un </w:t>
      </w:r>
      <w:r w:rsidRPr="005147AC">
        <w:rPr>
          <w:rFonts w:cs="Times New Roman"/>
          <w:lang w:val="fr-CA"/>
        </w:rPr>
        <w:lastRenderedPageBreak/>
        <w:t>établissement à sécurité moins élevée, mais qu’il n’a pas encore été transféré (voir les motifs de la C.A., par. 44).</w:t>
      </w:r>
    </w:p>
    <w:p w14:paraId="7D55868A" w14:textId="77777777" w:rsidR="005147AC" w:rsidRPr="005147AC" w:rsidRDefault="005147AC" w:rsidP="005147AC">
      <w:pPr>
        <w:pStyle w:val="Title3LevelTitre3Niveau"/>
        <w:jc w:val="both"/>
        <w:rPr>
          <w:rFonts w:cs="Times New Roman"/>
          <w:lang w:val="fr-CA"/>
        </w:rPr>
      </w:pPr>
      <w:r w:rsidRPr="005147AC">
        <w:rPr>
          <w:rFonts w:cs="Times New Roman"/>
          <w:lang w:val="fr-CA"/>
        </w:rPr>
        <w:t xml:space="preserve">Les faits et la conclusion dans l’arrêt </w:t>
      </w:r>
      <w:r w:rsidRPr="005147AC">
        <w:rPr>
          <w:rFonts w:cs="Times New Roman"/>
          <w:i/>
          <w:lang w:val="fr-CA"/>
        </w:rPr>
        <w:t xml:space="preserve">Dumas </w:t>
      </w:r>
      <w:r w:rsidRPr="005147AC">
        <w:rPr>
          <w:rFonts w:cs="Times New Roman"/>
          <w:iCs/>
          <w:lang w:val="fr-CA"/>
        </w:rPr>
        <w:t>sont analogues à ceux de la présente affaire</w:t>
      </w:r>
      <w:r w:rsidRPr="005147AC">
        <w:rPr>
          <w:rFonts w:cs="Times New Roman"/>
          <w:i/>
          <w:lang w:val="fr-CA"/>
        </w:rPr>
        <w:t xml:space="preserve"> </w:t>
      </w:r>
    </w:p>
    <w:p w14:paraId="551760C1" w14:textId="77777777" w:rsidR="005147AC" w:rsidRPr="005147AC" w:rsidRDefault="005147AC" w:rsidP="005147AC">
      <w:pPr>
        <w:pStyle w:val="ParaNoNdepar-AltN"/>
        <w:rPr>
          <w:rFonts w:cs="Times New Roman"/>
          <w:lang w:val="fr-CA"/>
        </w:rPr>
      </w:pPr>
      <w:r w:rsidRPr="005147AC">
        <w:rPr>
          <w:rFonts w:cs="Times New Roman"/>
          <w:lang w:val="fr-CA"/>
        </w:rPr>
        <w:t xml:space="preserve">Dans l’affaire </w:t>
      </w:r>
      <w:r w:rsidRPr="005147AC">
        <w:rPr>
          <w:rFonts w:cs="Times New Roman"/>
          <w:i/>
          <w:lang w:val="fr-CA"/>
        </w:rPr>
        <w:t>Dumas</w:t>
      </w:r>
      <w:r w:rsidRPr="005147AC">
        <w:rPr>
          <w:rFonts w:cs="Times New Roman"/>
          <w:lang w:val="fr-CA"/>
        </w:rPr>
        <w:t>, la décision d’accorder la libération conditionnelle au détenu était subordonnée à son acceptation au sein d’un programme d’un centre communautaire; comme cette condition ne s’était pas encore réalisée, bien que le requérant n’ait pas commis de faute, ce dernier n’avait jamais acquis le statut de libéré conditionnel. Il n’avait donc pas droit à la libération conditionnelle et sa liberté résiduelle était demeurée inchangée. Il en résultait qu’il ne pouvait pas recourir à l’</w:t>
      </w:r>
      <w:r w:rsidRPr="005147AC">
        <w:rPr>
          <w:rFonts w:cs="Times New Roman"/>
          <w:i/>
          <w:lang w:val="fr-CA"/>
        </w:rPr>
        <w:t>habeas corpus</w:t>
      </w:r>
      <w:r w:rsidRPr="005147AC">
        <w:rPr>
          <w:rFonts w:cs="Times New Roman"/>
          <w:lang w:val="fr-CA"/>
        </w:rPr>
        <w:t> :</w:t>
      </w:r>
    </w:p>
    <w:p w14:paraId="7CE7B96E" w14:textId="77777777" w:rsidR="005147AC" w:rsidRPr="005147AC" w:rsidRDefault="005147AC" w:rsidP="005147AC">
      <w:pPr>
        <w:pStyle w:val="Citation-AltC"/>
        <w:spacing w:after="240"/>
        <w:ind w:left="1168" w:hanging="1168"/>
        <w:contextualSpacing w:val="0"/>
        <w:rPr>
          <w:lang w:val="fr-CA"/>
        </w:rPr>
      </w:pPr>
      <w:r w:rsidRPr="005147AC">
        <w:rPr>
          <w:lang w:val="fr-CA"/>
        </w:rPr>
        <w:tab/>
        <w:t xml:space="preserve">La [Commission nationale des libérations conditionnelles] a décidé de lui accorder une libération conditionnelle de jour, mais les termes utilisés ne sont pas précis et il y a une incertitude quant à savoir si sa libération conditionnelle de jour a simplement été retardée jusqu’à ce que des arrangements appropriés puissent être pris ou quant à savoir si elle était conditionnelle à son acceptation par le Centre. Toutefois, la [Commission nationale des libérations conditionnelles] a subséquemment reporté et par la suite renversée cette décision avant que n’expire le délai prévu ou que </w:t>
      </w:r>
      <w:r w:rsidRPr="005147AC">
        <w:rPr>
          <w:u w:val="single"/>
          <w:lang w:val="fr-CA"/>
        </w:rPr>
        <w:t>la condition préalable n’ait été remplie. Il est évident que l’appelant n’est jamais devenu un libéré conditionnel et qu’il n’a donc pas le droit de recourir à l’</w:t>
      </w:r>
      <w:r w:rsidRPr="005147AC">
        <w:rPr>
          <w:i/>
          <w:iCs/>
          <w:u w:val="single"/>
          <w:lang w:val="fr-CA"/>
        </w:rPr>
        <w:t>habeas corpus</w:t>
      </w:r>
      <w:r w:rsidRPr="005147AC">
        <w:rPr>
          <w:u w:val="single"/>
          <w:lang w:val="fr-CA"/>
        </w:rPr>
        <w:t>.</w:t>
      </w:r>
      <w:r w:rsidRPr="005147AC">
        <w:rPr>
          <w:lang w:val="fr-CA"/>
        </w:rPr>
        <w:t xml:space="preserve"> [Nous soulignons; p. 465.]</w:t>
      </w:r>
    </w:p>
    <w:p w14:paraId="60C1B1B0" w14:textId="77777777" w:rsidR="005147AC" w:rsidRPr="005147AC" w:rsidRDefault="005147AC" w:rsidP="005147AC">
      <w:pPr>
        <w:pStyle w:val="ParaNoNdepar-AltN"/>
        <w:rPr>
          <w:rFonts w:cs="Times New Roman"/>
          <w:lang w:val="fr-CA"/>
        </w:rPr>
      </w:pPr>
      <w:r w:rsidRPr="005147AC">
        <w:rPr>
          <w:rFonts w:cs="Times New Roman"/>
          <w:lang w:val="fr-CA"/>
        </w:rPr>
        <w:t xml:space="preserve">En appliquant le cadre d’analyse de l’arrêt </w:t>
      </w:r>
      <w:r w:rsidRPr="005147AC">
        <w:rPr>
          <w:rFonts w:cs="Times New Roman"/>
          <w:i/>
          <w:lang w:val="fr-CA"/>
        </w:rPr>
        <w:t>Dumas</w:t>
      </w:r>
      <w:r w:rsidRPr="005147AC">
        <w:rPr>
          <w:rFonts w:cs="Times New Roman"/>
          <w:lang w:val="fr-CA"/>
        </w:rPr>
        <w:t xml:space="preserve"> au cas qui nous occupe, nous devons d’abord nous demander si les appelants avaient légalement droit à la réévaluation de leur cote de sécurité et/ou à un transfèrement à un établissement à sécurité moins élevée. Nous devons répondre par la négative : ils n’y avaient pas droit.</w:t>
      </w:r>
    </w:p>
    <w:p w14:paraId="01CA892E"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Cela va à l’encontre des prétentions des appelants qui plaident que le libellé de la </w:t>
      </w:r>
      <w:r w:rsidRPr="005147AC">
        <w:rPr>
          <w:rFonts w:cs="Times New Roman"/>
          <w:i/>
          <w:iCs/>
          <w:lang w:val="fr-CA"/>
        </w:rPr>
        <w:t>LSCMLC</w:t>
      </w:r>
      <w:r w:rsidRPr="005147AC">
        <w:rPr>
          <w:rFonts w:cs="Times New Roman"/>
          <w:lang w:val="fr-CA"/>
        </w:rPr>
        <w:t xml:space="preserve"> exige que SCC prenne « les mesures qui, compte tenu de la protection de la société, des agents et des délinquants, sont les moins privatives de liberté » (</w:t>
      </w:r>
      <w:r w:rsidRPr="005147AC">
        <w:rPr>
          <w:rFonts w:cs="Times New Roman"/>
          <w:i/>
          <w:lang w:val="fr-CA"/>
        </w:rPr>
        <w:t>LSCMLC</w:t>
      </w:r>
      <w:r w:rsidRPr="005147AC">
        <w:rPr>
          <w:rFonts w:cs="Times New Roman"/>
          <w:lang w:val="fr-CA"/>
        </w:rPr>
        <w:t>, al. 4c); voir aussi le m.a., par. 31). Nous sommes d’accord avec le procureur général du Canada pour dire que ce libellé doit être interprété dans son entièreté et dans le contexte plus large du régime législatif (m.i., par. 77).</w:t>
      </w:r>
    </w:p>
    <w:p w14:paraId="51FD4DD3" w14:textId="77777777" w:rsidR="005147AC" w:rsidRPr="005147AC" w:rsidRDefault="005147AC" w:rsidP="005147AC">
      <w:pPr>
        <w:pStyle w:val="ParaNoNdepar-AltN"/>
        <w:rPr>
          <w:rFonts w:cs="Times New Roman"/>
          <w:lang w:val="fr-CA"/>
        </w:rPr>
      </w:pPr>
      <w:r w:rsidRPr="005147AC">
        <w:rPr>
          <w:rFonts w:cs="Times New Roman"/>
          <w:lang w:val="fr-CA"/>
        </w:rPr>
        <w:t xml:space="preserve">L’article 28 de la </w:t>
      </w:r>
      <w:r w:rsidRPr="005147AC">
        <w:rPr>
          <w:rFonts w:cs="Times New Roman"/>
          <w:i/>
          <w:lang w:val="fr-CA"/>
        </w:rPr>
        <w:t>LSCMLC</w:t>
      </w:r>
      <w:r w:rsidRPr="005147AC">
        <w:rPr>
          <w:rFonts w:cs="Times New Roman"/>
          <w:lang w:val="fr-CA"/>
        </w:rPr>
        <w:t xml:space="preserve"> prévoit que, pour incarcérer les détenus dans un milieu avec les restrictions les moins privatives de liberté, il faut tenir compte, entre autres, du degré de garde et de surveillance nécessaire à la sécurité des personnes qui s’y trouvent et du détenu (m.i., par. 76, citant </w:t>
      </w:r>
      <w:r w:rsidRPr="005147AC">
        <w:rPr>
          <w:rFonts w:cs="Times New Roman"/>
          <w:i/>
          <w:lang w:val="fr-CA"/>
        </w:rPr>
        <w:t>LSCMLC</w:t>
      </w:r>
      <w:r w:rsidRPr="005147AC">
        <w:rPr>
          <w:rFonts w:cs="Times New Roman"/>
          <w:lang w:val="fr-CA"/>
        </w:rPr>
        <w:t xml:space="preserve">, art. 28). La </w:t>
      </w:r>
      <w:r w:rsidRPr="005147AC">
        <w:rPr>
          <w:rFonts w:cs="Times New Roman"/>
          <w:i/>
          <w:lang w:val="fr-CA"/>
        </w:rPr>
        <w:t>LSCMLC</w:t>
      </w:r>
      <w:r w:rsidRPr="005147AC">
        <w:rPr>
          <w:rFonts w:cs="Times New Roman"/>
          <w:lang w:val="fr-CA"/>
        </w:rPr>
        <w:t xml:space="preserve"> ne crée pas un droit statutaire à des conditions d’incarcération les moins privatives de liberté, indépendamment de ces considérations. Elle exige plutôt que SCC mette chaque détenu dans le milieu le moins privatif de liberté, eu égard aux divers facteurs énoncés dans la loi. Les détenus fédéraux peuvent bénéficier d’une cote de sécurité inférieure</w:t>
      </w:r>
      <w:r w:rsidRPr="005147AC">
        <w:rPr>
          <w:rFonts w:cs="Times New Roman"/>
          <w:i/>
          <w:iCs/>
          <w:lang w:val="fr-CA"/>
        </w:rPr>
        <w:t xml:space="preserve"> en raison de</w:t>
      </w:r>
      <w:r w:rsidRPr="005147AC">
        <w:rPr>
          <w:rFonts w:cs="Times New Roman"/>
          <w:lang w:val="fr-CA"/>
        </w:rPr>
        <w:t xml:space="preserve"> l’évaluation de SCC; ils n’y ont pas droit en l’absence de celle</w:t>
      </w:r>
      <w:r w:rsidRPr="005147AC">
        <w:rPr>
          <w:rFonts w:cs="Times New Roman"/>
          <w:lang w:val="fr-CA"/>
        </w:rPr>
        <w:noBreakHyphen/>
        <w:t>ci.</w:t>
      </w:r>
    </w:p>
    <w:p w14:paraId="7D9F869F" w14:textId="77777777" w:rsidR="005147AC" w:rsidRPr="005147AC" w:rsidRDefault="005147AC" w:rsidP="005147AC">
      <w:pPr>
        <w:pStyle w:val="Title2LevelTitre2Niveau"/>
        <w:jc w:val="both"/>
        <w:rPr>
          <w:rFonts w:cs="Times New Roman"/>
          <w:lang w:val="fr-CA"/>
        </w:rPr>
      </w:pPr>
      <w:r w:rsidRPr="005147AC">
        <w:rPr>
          <w:rFonts w:cs="Times New Roman"/>
          <w:lang w:val="fr-CA"/>
        </w:rPr>
        <w:t xml:space="preserve">L’habeas corpus </w:t>
      </w:r>
      <w:r w:rsidRPr="005147AC">
        <w:rPr>
          <w:rFonts w:cs="Times New Roman"/>
          <w:bCs/>
          <w:lang w:val="fr-CA"/>
        </w:rPr>
        <w:t xml:space="preserve">ne devrait pas être élargi </w:t>
      </w:r>
      <w:r w:rsidRPr="005147AC">
        <w:rPr>
          <w:rFonts w:cs="Times New Roman"/>
          <w:lang w:val="fr-CA"/>
        </w:rPr>
        <w:t xml:space="preserve">aux décisions administratives correctionnelles qui refusent la demande de transfèrement ou de réévaluation d’une cote de sécurité présentée par un détenu </w:t>
      </w:r>
    </w:p>
    <w:p w14:paraId="6BFC72FA" w14:textId="77777777" w:rsidR="005147AC" w:rsidRPr="005147AC" w:rsidRDefault="005147AC" w:rsidP="005147AC">
      <w:pPr>
        <w:pStyle w:val="ParaNoNdepar-AltN"/>
        <w:rPr>
          <w:rFonts w:cs="Times New Roman"/>
          <w:lang w:val="fr-CA"/>
        </w:rPr>
      </w:pPr>
      <w:r w:rsidRPr="005147AC">
        <w:rPr>
          <w:rFonts w:cs="Times New Roman"/>
          <w:lang w:val="fr-CA"/>
        </w:rPr>
        <w:t>L’</w:t>
      </w:r>
      <w:r w:rsidRPr="005147AC">
        <w:rPr>
          <w:rFonts w:cs="Times New Roman"/>
          <w:i/>
          <w:lang w:val="fr-CA"/>
        </w:rPr>
        <w:t>habeas corpus</w:t>
      </w:r>
      <w:r w:rsidRPr="005147AC">
        <w:rPr>
          <w:rFonts w:cs="Times New Roman"/>
          <w:lang w:val="fr-CA"/>
        </w:rPr>
        <w:t xml:space="preserve"> est un recours extraordinaire accessible aux personnes qui sont incarcérées illégalement par des agents de l’État. L’évolution considérable du bref depuis sa création jusqu’à l’époque moderne a amené les tribunaux, y compris le nôtre, à conclure que l’</w:t>
      </w:r>
      <w:r w:rsidRPr="005147AC">
        <w:rPr>
          <w:rFonts w:cs="Times New Roman"/>
          <w:i/>
          <w:iCs/>
          <w:lang w:val="fr-CA"/>
        </w:rPr>
        <w:t xml:space="preserve">habeas corpus </w:t>
      </w:r>
      <w:r w:rsidRPr="005147AC">
        <w:rPr>
          <w:rFonts w:cs="Times New Roman"/>
          <w:lang w:val="fr-CA"/>
        </w:rPr>
        <w:t>n’a jamais été [</w:t>
      </w:r>
      <w:r w:rsidRPr="005147AC">
        <w:rPr>
          <w:rFonts w:cs="Times New Roman"/>
          <w:smallCaps/>
          <w:lang w:val="fr-CA"/>
        </w:rPr>
        <w:t>traduction</w:t>
      </w:r>
      <w:r w:rsidRPr="005147AC">
        <w:rPr>
          <w:rFonts w:cs="Times New Roman"/>
          <w:lang w:val="fr-CA"/>
        </w:rPr>
        <w:t xml:space="preserve">] « un recours statique, </w:t>
      </w:r>
      <w:r w:rsidRPr="005147AC">
        <w:rPr>
          <w:rFonts w:cs="Times New Roman"/>
          <w:lang w:val="fr-CA"/>
        </w:rPr>
        <w:lastRenderedPageBreak/>
        <w:t>étroit et formaliste » (</w:t>
      </w:r>
      <w:r w:rsidRPr="005147AC">
        <w:rPr>
          <w:rFonts w:cs="Times New Roman"/>
          <w:i/>
          <w:lang w:val="fr-CA"/>
        </w:rPr>
        <w:t>Khela</w:t>
      </w:r>
      <w:r w:rsidRPr="005147AC">
        <w:rPr>
          <w:rFonts w:cs="Times New Roman"/>
          <w:lang w:val="fr-CA"/>
        </w:rPr>
        <w:t xml:space="preserve">, par. 54, citant </w:t>
      </w:r>
      <w:r w:rsidRPr="005147AC">
        <w:rPr>
          <w:rFonts w:cs="Times New Roman"/>
          <w:i/>
          <w:lang w:val="fr-CA"/>
        </w:rPr>
        <w:t>May</w:t>
      </w:r>
      <w:r w:rsidRPr="005147AC">
        <w:rPr>
          <w:rFonts w:cs="Times New Roman"/>
          <w:lang w:val="fr-CA"/>
        </w:rPr>
        <w:t>, par. 21). Nous sommes d’accord avec la majorité (au par. 1) pour dire que, depuis sa création, la portée de l’</w:t>
      </w:r>
      <w:r w:rsidRPr="005147AC">
        <w:rPr>
          <w:rFonts w:cs="Times New Roman"/>
          <w:i/>
          <w:lang w:val="fr-CA"/>
        </w:rPr>
        <w:t>habeas corpus</w:t>
      </w:r>
      <w:r w:rsidRPr="005147AC">
        <w:rPr>
          <w:rFonts w:cs="Times New Roman"/>
          <w:lang w:val="fr-CA"/>
        </w:rPr>
        <w:t xml:space="preserve"> [</w:t>
      </w:r>
      <w:r w:rsidRPr="005147AC">
        <w:rPr>
          <w:rFonts w:cs="Times New Roman"/>
          <w:smallCaps/>
          <w:lang w:val="fr-CA"/>
        </w:rPr>
        <w:t>traduction</w:t>
      </w:r>
      <w:r w:rsidRPr="005147AC">
        <w:rPr>
          <w:rFonts w:cs="Times New Roman"/>
          <w:lang w:val="fr-CA"/>
        </w:rPr>
        <w:t>] « s’est élargie afin qu’il puisse remplir son objet premier — la protection des individus contre l’érosion de leur droit de ne pas voir imposer de restrictions abusives à leur liberté » (</w:t>
      </w:r>
      <w:r w:rsidRPr="005147AC">
        <w:rPr>
          <w:rFonts w:cs="Times New Roman"/>
          <w:i/>
          <w:lang w:val="fr-CA"/>
        </w:rPr>
        <w:t>May</w:t>
      </w:r>
      <w:r w:rsidRPr="005147AC">
        <w:rPr>
          <w:rFonts w:cs="Times New Roman"/>
          <w:lang w:val="fr-CA"/>
        </w:rPr>
        <w:t xml:space="preserve">, par. 21, citant </w:t>
      </w:r>
      <w:r w:rsidRPr="005147AC">
        <w:rPr>
          <w:rFonts w:cs="Times New Roman"/>
          <w:i/>
          <w:lang w:val="fr-CA"/>
        </w:rPr>
        <w:t>Jones c. Cunningham</w:t>
      </w:r>
      <w:r w:rsidRPr="005147AC">
        <w:rPr>
          <w:rFonts w:cs="Times New Roman"/>
          <w:lang w:val="fr-CA"/>
        </w:rPr>
        <w:t>, 371 U.S. 236 (1962), p. 243).</w:t>
      </w:r>
    </w:p>
    <w:p w14:paraId="4ED3CC58" w14:textId="77777777" w:rsidR="005147AC" w:rsidRPr="005147AC" w:rsidRDefault="005147AC" w:rsidP="005147AC">
      <w:pPr>
        <w:pStyle w:val="ParaNoNdepar-AltN"/>
        <w:rPr>
          <w:rFonts w:cs="Times New Roman"/>
          <w:lang w:val="fr-CA"/>
        </w:rPr>
      </w:pPr>
      <w:r w:rsidRPr="005147AC">
        <w:rPr>
          <w:rFonts w:cs="Times New Roman"/>
          <w:lang w:val="fr-CA"/>
        </w:rPr>
        <w:t>S’agissant des détenus, le recours devrait continuer à être limité à la contestation de nouvelles privations de leur liberté dans une prison, notamment le transfèrement illégal d’un détenu à un établissement à sécurité plus élevée ou l’imposition de conditions de détention plus restrictives, par exemple, l’isolement administratif. Les appelants cherchent à dénaturer l’</w:t>
      </w:r>
      <w:r w:rsidRPr="005147AC">
        <w:rPr>
          <w:rFonts w:cs="Times New Roman"/>
          <w:i/>
          <w:iCs/>
          <w:lang w:val="fr-CA"/>
        </w:rPr>
        <w:t>habeas corpus</w:t>
      </w:r>
      <w:r w:rsidRPr="005147AC">
        <w:rPr>
          <w:rFonts w:cs="Times New Roman"/>
          <w:lang w:val="fr-CA"/>
        </w:rPr>
        <w:t xml:space="preserve"> pour qu’il devienne un mécanisme généralisé alternatif au régime existant de révision interne et de contrôle judiciaire des décisions prises par les décideurs administratifs dans les établissements correctionnels. Un tel élargissement irait bien au</w:t>
      </w:r>
      <w:r w:rsidRPr="005147AC">
        <w:rPr>
          <w:rFonts w:cs="Times New Roman"/>
          <w:lang w:val="fr-CA"/>
        </w:rPr>
        <w:noBreakHyphen/>
        <w:t>delà de l’utilisation légitime de l’</w:t>
      </w:r>
      <w:r w:rsidRPr="005147AC">
        <w:rPr>
          <w:rFonts w:cs="Times New Roman"/>
          <w:i/>
          <w:iCs/>
          <w:lang w:val="fr-CA"/>
        </w:rPr>
        <w:t>habeas corpus</w:t>
      </w:r>
      <w:r w:rsidRPr="005147AC">
        <w:rPr>
          <w:rFonts w:cs="Times New Roman"/>
          <w:lang w:val="fr-CA"/>
        </w:rPr>
        <w:t>.</w:t>
      </w:r>
    </w:p>
    <w:p w14:paraId="2E53189F" w14:textId="77777777" w:rsidR="005147AC" w:rsidRPr="005147AC" w:rsidRDefault="005147AC" w:rsidP="005147AC">
      <w:pPr>
        <w:pStyle w:val="ParaNoNdepar-AltN"/>
        <w:rPr>
          <w:rFonts w:cs="Times New Roman"/>
          <w:lang w:val="fr-CA"/>
        </w:rPr>
      </w:pPr>
      <w:r w:rsidRPr="005147AC">
        <w:rPr>
          <w:rFonts w:cs="Times New Roman"/>
          <w:lang w:val="fr-CA"/>
        </w:rPr>
        <w:t xml:space="preserve">Comme nous l’expliquerons, son élargissement à la révision de décisions qui ne modifient pas la liberté résiduelle d’un détenu ou n’entraînent pas une plus grande privation de liberté n’est pas justifié; il empiète sur le régime établi par le Parlement en matière de fonctionnement des établissements correctionnels; et il contourne le cadre d’analyse du droit administratif établi dans l’arrêt </w:t>
      </w:r>
      <w:r w:rsidRPr="005147AC">
        <w:rPr>
          <w:rFonts w:cs="Times New Roman"/>
          <w:i/>
          <w:lang w:val="fr-CA"/>
        </w:rPr>
        <w:t>Vavilov</w:t>
      </w:r>
      <w:r w:rsidRPr="005147AC">
        <w:rPr>
          <w:rFonts w:cs="Times New Roman"/>
          <w:lang w:val="fr-CA"/>
        </w:rPr>
        <w:t>.</w:t>
      </w:r>
    </w:p>
    <w:p w14:paraId="44E45EA2" w14:textId="77777777" w:rsidR="005147AC" w:rsidRPr="005147AC" w:rsidRDefault="005147AC" w:rsidP="005147AC">
      <w:pPr>
        <w:pStyle w:val="ParaNoNdepar-AltN"/>
        <w:rPr>
          <w:rFonts w:cs="Times New Roman"/>
          <w:lang w:val="fr-CA"/>
        </w:rPr>
      </w:pPr>
      <w:r w:rsidRPr="005147AC">
        <w:rPr>
          <w:rFonts w:cs="Times New Roman"/>
          <w:lang w:val="fr-CA"/>
        </w:rPr>
        <w:lastRenderedPageBreak/>
        <w:t>À notre avis, l’</w:t>
      </w:r>
      <w:r w:rsidRPr="005147AC">
        <w:rPr>
          <w:rFonts w:cs="Times New Roman"/>
          <w:i/>
          <w:lang w:val="fr-CA"/>
        </w:rPr>
        <w:t xml:space="preserve">habeas corpus </w:t>
      </w:r>
      <w:r w:rsidRPr="005147AC">
        <w:rPr>
          <w:rFonts w:cs="Times New Roman"/>
          <w:lang w:val="fr-CA"/>
        </w:rPr>
        <w:t xml:space="preserve">n’est pas un recours non circonscrit permettant de contester un éventail toujours plus large de conditions d’incarcération; la jurisprudence postérieure à l’arrêt </w:t>
      </w:r>
      <w:r w:rsidRPr="005147AC">
        <w:rPr>
          <w:rFonts w:cs="Times New Roman"/>
          <w:i/>
          <w:lang w:val="fr-CA"/>
        </w:rPr>
        <w:t xml:space="preserve">Dumas </w:t>
      </w:r>
      <w:r w:rsidRPr="005147AC">
        <w:rPr>
          <w:rFonts w:cs="Times New Roman"/>
          <w:lang w:val="fr-CA"/>
        </w:rPr>
        <w:t>ne change pas cela. Bien que l’</w:t>
      </w:r>
      <w:r w:rsidRPr="005147AC">
        <w:rPr>
          <w:rFonts w:cs="Times New Roman"/>
          <w:i/>
          <w:lang w:val="fr-CA"/>
        </w:rPr>
        <w:t>habeas corpus</w:t>
      </w:r>
      <w:r w:rsidRPr="005147AC">
        <w:rPr>
          <w:rFonts w:cs="Times New Roman"/>
          <w:lang w:val="fr-CA"/>
        </w:rPr>
        <w:t xml:space="preserve"> continue d’être un recours souple, son utilisation dans les prisons doit être soigneusement encadrée. En tant que recours extraordinaire, son champ d’application doit être adapté à son objet (voir </w:t>
      </w:r>
      <w:r w:rsidRPr="005147AC">
        <w:rPr>
          <w:rFonts w:cs="Times New Roman"/>
          <w:i/>
          <w:lang w:val="fr-CA"/>
        </w:rPr>
        <w:t>Peiroo c. Canada (Minister of Employment and Immigration)</w:t>
      </w:r>
      <w:r w:rsidRPr="005147AC">
        <w:rPr>
          <w:rFonts w:cs="Times New Roman"/>
          <w:lang w:val="fr-CA"/>
        </w:rPr>
        <w:t xml:space="preserve"> (1989), 69 O.R. (2d) 253 (C.A.), p. 257 et 261</w:t>
      </w:r>
      <w:r w:rsidRPr="005147AC">
        <w:rPr>
          <w:rFonts w:cs="Times New Roman"/>
          <w:lang w:val="fr-CA"/>
        </w:rPr>
        <w:noBreakHyphen/>
        <w:t>262). C’est une procédure bien adaptée pour remédier aux privations illégales de liberté, mais mal adaptée en tant que substitut à la révision interne et au contrôle judiciaire des décisions prises dans le cadre du fonctionnement des établissements correctionnels. Le recours à l’</w:t>
      </w:r>
      <w:r w:rsidRPr="005147AC">
        <w:rPr>
          <w:rFonts w:cs="Times New Roman"/>
          <w:i/>
          <w:lang w:val="fr-CA"/>
        </w:rPr>
        <w:t>habeas corpus</w:t>
      </w:r>
      <w:r w:rsidRPr="005147AC">
        <w:rPr>
          <w:rFonts w:cs="Times New Roman"/>
          <w:lang w:val="fr-CA"/>
        </w:rPr>
        <w:t xml:space="preserve"> supplante la déférence à laquelle les décideurs administratifs ont droit en application du droit général du contrôle judiciaire. Notre Cour doit être consciente des préoccupations exprimées par le procureur général du Canada et par les provinces au sujet de l’élargissement de la portée de l’</w:t>
      </w:r>
      <w:r w:rsidRPr="005147AC">
        <w:rPr>
          <w:rFonts w:cs="Times New Roman"/>
          <w:i/>
          <w:lang w:val="fr-CA"/>
        </w:rPr>
        <w:t>habeas corpus</w:t>
      </w:r>
      <w:r w:rsidRPr="005147AC">
        <w:rPr>
          <w:rFonts w:cs="Times New Roman"/>
          <w:lang w:val="fr-CA"/>
        </w:rPr>
        <w:t>, comme nous l’expliquons maintenant.</w:t>
      </w:r>
    </w:p>
    <w:p w14:paraId="080F42A6" w14:textId="77777777" w:rsidR="005147AC" w:rsidRPr="005147AC" w:rsidRDefault="005147AC" w:rsidP="005147AC">
      <w:pPr>
        <w:pStyle w:val="Title3LevelTitre3Niveau"/>
        <w:jc w:val="both"/>
        <w:rPr>
          <w:rFonts w:cs="Times New Roman"/>
          <w:lang w:val="fr-CA"/>
        </w:rPr>
      </w:pPr>
      <w:r w:rsidRPr="005147AC">
        <w:rPr>
          <w:rFonts w:cs="Times New Roman"/>
          <w:iCs/>
          <w:lang w:val="fr-CA"/>
        </w:rPr>
        <w:t>L’</w:t>
      </w:r>
      <w:r w:rsidRPr="005147AC">
        <w:rPr>
          <w:rFonts w:cs="Times New Roman"/>
          <w:i/>
          <w:lang w:val="fr-CA"/>
        </w:rPr>
        <w:t>habeas corpus</w:t>
      </w:r>
      <w:r w:rsidRPr="005147AC">
        <w:rPr>
          <w:rFonts w:cs="Times New Roman"/>
          <w:lang w:val="fr-CA"/>
        </w:rPr>
        <w:t xml:space="preserve"> n’est pas un recours non circonscrit permettant de contester un éventail toujours plus large de conditions d’incarcération; l’utilisation de ce recours par les cours supérieures est limitée par son objet</w:t>
      </w:r>
    </w:p>
    <w:p w14:paraId="4C7C8CF5" w14:textId="77777777" w:rsidR="005147AC" w:rsidRPr="005147AC" w:rsidRDefault="005147AC" w:rsidP="005147AC">
      <w:pPr>
        <w:pStyle w:val="ParaNoNdepar-AltN"/>
        <w:rPr>
          <w:rFonts w:cs="Times New Roman"/>
          <w:lang w:val="fr-CA"/>
        </w:rPr>
      </w:pPr>
      <w:r w:rsidRPr="005147AC">
        <w:rPr>
          <w:rFonts w:cs="Times New Roman"/>
          <w:lang w:val="fr-CA"/>
        </w:rPr>
        <w:t xml:space="preserve">En cas de succès de la requête en </w:t>
      </w:r>
      <w:r w:rsidRPr="005147AC">
        <w:rPr>
          <w:rFonts w:cs="Times New Roman"/>
          <w:i/>
          <w:lang w:val="fr-CA"/>
        </w:rPr>
        <w:t>habeas corpus</w:t>
      </w:r>
      <w:r w:rsidRPr="005147AC">
        <w:rPr>
          <w:rFonts w:cs="Times New Roman"/>
          <w:lang w:val="fr-CA"/>
        </w:rPr>
        <w:t>, la cour chargée de contrôler la décision administrative délivrera le bref d’</w:t>
      </w:r>
      <w:r w:rsidRPr="005147AC">
        <w:rPr>
          <w:rFonts w:cs="Times New Roman"/>
          <w:i/>
          <w:lang w:val="fr-CA"/>
        </w:rPr>
        <w:t>habeas corpus</w:t>
      </w:r>
      <w:r w:rsidRPr="005147AC">
        <w:rPr>
          <w:rFonts w:cs="Times New Roman"/>
          <w:lang w:val="fr-CA"/>
        </w:rPr>
        <w:t xml:space="preserve"> (</w:t>
      </w:r>
      <w:r w:rsidRPr="005147AC">
        <w:rPr>
          <w:rFonts w:cs="Times New Roman"/>
          <w:i/>
          <w:lang w:val="fr-CA"/>
        </w:rPr>
        <w:t>Canada (Sécurité publique et Protection civile) c.</w:t>
      </w:r>
      <w:r w:rsidRPr="005147AC">
        <w:rPr>
          <w:rFonts w:cs="Times New Roman"/>
          <w:lang w:val="fr-CA"/>
        </w:rPr>
        <w:t xml:space="preserve"> </w:t>
      </w:r>
      <w:r w:rsidRPr="005147AC">
        <w:rPr>
          <w:rFonts w:cs="Times New Roman"/>
          <w:i/>
          <w:lang w:val="fr-CA"/>
        </w:rPr>
        <w:t>Chhina</w:t>
      </w:r>
      <w:r w:rsidRPr="005147AC">
        <w:rPr>
          <w:rFonts w:cs="Times New Roman"/>
          <w:lang w:val="fr-CA"/>
        </w:rPr>
        <w:t xml:space="preserve">, 2019 CSC 29, [2019] 2 R.C.S. 467, par. 18; </w:t>
      </w:r>
      <w:r w:rsidRPr="005147AC">
        <w:rPr>
          <w:rFonts w:cs="Times New Roman"/>
          <w:i/>
          <w:lang w:val="fr-CA"/>
        </w:rPr>
        <w:t>May</w:t>
      </w:r>
      <w:r w:rsidRPr="005147AC">
        <w:rPr>
          <w:rFonts w:cs="Times New Roman"/>
          <w:lang w:val="fr-CA"/>
        </w:rPr>
        <w:t>,</w:t>
      </w:r>
      <w:r w:rsidRPr="005147AC">
        <w:rPr>
          <w:rFonts w:cs="Times New Roman"/>
          <w:i/>
          <w:lang w:val="fr-CA"/>
        </w:rPr>
        <w:t xml:space="preserve"> </w:t>
      </w:r>
      <w:r w:rsidRPr="005147AC">
        <w:rPr>
          <w:rFonts w:cs="Times New Roman"/>
          <w:lang w:val="fr-CA"/>
        </w:rPr>
        <w:t xml:space="preserve">par. 33). Notre Cour a expliqué que ce recours avait « une large portée » </w:t>
      </w:r>
      <w:r w:rsidRPr="005147AC">
        <w:rPr>
          <w:rFonts w:cs="Times New Roman"/>
          <w:lang w:val="fr-CA"/>
        </w:rPr>
        <w:lastRenderedPageBreak/>
        <w:t>et elle en a donné une interprétation large, expliquant qu’il ne s’agit pas d’un « recours statique, étroit et formaliste » (</w:t>
      </w:r>
      <w:r w:rsidRPr="005147AC">
        <w:rPr>
          <w:rFonts w:cs="Times New Roman"/>
          <w:i/>
          <w:lang w:val="fr-CA"/>
        </w:rPr>
        <w:t>Chhina</w:t>
      </w:r>
      <w:r w:rsidRPr="005147AC">
        <w:rPr>
          <w:rFonts w:cs="Times New Roman"/>
          <w:lang w:val="fr-CA"/>
        </w:rPr>
        <w:t>,</w:t>
      </w:r>
      <w:r w:rsidRPr="005147AC">
        <w:rPr>
          <w:rFonts w:cs="Times New Roman"/>
          <w:i/>
          <w:lang w:val="fr-CA"/>
        </w:rPr>
        <w:t xml:space="preserve"> </w:t>
      </w:r>
      <w:r w:rsidRPr="005147AC">
        <w:rPr>
          <w:rFonts w:cs="Times New Roman"/>
          <w:lang w:val="fr-CA"/>
        </w:rPr>
        <w:t>par. 21;</w:t>
      </w:r>
      <w:r w:rsidRPr="005147AC">
        <w:rPr>
          <w:rFonts w:cs="Times New Roman"/>
          <w:i/>
          <w:iCs/>
          <w:lang w:val="fr-CA"/>
        </w:rPr>
        <w:t xml:space="preserve"> May</w:t>
      </w:r>
      <w:r w:rsidRPr="005147AC">
        <w:rPr>
          <w:rFonts w:cs="Times New Roman"/>
          <w:lang w:val="fr-CA"/>
        </w:rPr>
        <w:t xml:space="preserve">, par. 21, citant </w:t>
      </w:r>
      <w:r w:rsidRPr="005147AC">
        <w:rPr>
          <w:rFonts w:cs="Times New Roman"/>
          <w:i/>
          <w:iCs/>
          <w:lang w:val="fr-CA"/>
        </w:rPr>
        <w:t>Jones c. Cunningham</w:t>
      </w:r>
      <w:r w:rsidRPr="005147AC">
        <w:rPr>
          <w:rFonts w:cs="Times New Roman"/>
          <w:lang w:val="fr-CA"/>
        </w:rPr>
        <w:t xml:space="preserve">, 371 U.S. 236 (1962), p. 243; voir aussi </w:t>
      </w:r>
      <w:r w:rsidRPr="005147AC">
        <w:rPr>
          <w:rFonts w:cs="Times New Roman"/>
          <w:i/>
          <w:iCs/>
          <w:lang w:val="fr-CA"/>
        </w:rPr>
        <w:t>Chhina</w:t>
      </w:r>
      <w:r w:rsidRPr="005147AC">
        <w:rPr>
          <w:rFonts w:cs="Times New Roman"/>
          <w:lang w:val="fr-CA"/>
        </w:rPr>
        <w:t>, par. 19).</w:t>
      </w:r>
    </w:p>
    <w:p w14:paraId="613864C0" w14:textId="77777777" w:rsidR="005147AC" w:rsidRPr="005147AC" w:rsidRDefault="005147AC" w:rsidP="005147AC">
      <w:pPr>
        <w:pStyle w:val="ParaNoNdepar-AltN"/>
        <w:rPr>
          <w:rFonts w:cs="Times New Roman"/>
          <w:lang w:val="fr-CA"/>
        </w:rPr>
      </w:pPr>
      <w:r w:rsidRPr="005147AC">
        <w:rPr>
          <w:rFonts w:cs="Times New Roman"/>
          <w:lang w:val="fr-CA"/>
        </w:rPr>
        <w:t>Nous acceptons cela. Cependant, le fait que l’</w:t>
      </w:r>
      <w:r w:rsidRPr="005147AC">
        <w:rPr>
          <w:rFonts w:cs="Times New Roman"/>
          <w:i/>
          <w:lang w:val="fr-CA"/>
        </w:rPr>
        <w:t xml:space="preserve">habeas corpus </w:t>
      </w:r>
      <w:r w:rsidRPr="005147AC">
        <w:rPr>
          <w:rFonts w:cs="Times New Roman"/>
          <w:lang w:val="fr-CA"/>
        </w:rPr>
        <w:t>ait été interprété de façon « large » ne saurait justifier d’en « élargir » l’application au</w:t>
      </w:r>
      <w:r w:rsidRPr="005147AC">
        <w:rPr>
          <w:rFonts w:cs="Times New Roman"/>
          <w:lang w:val="fr-CA"/>
        </w:rPr>
        <w:noBreakHyphen/>
        <w:t>delà de son objet. On ne peut recourir à l’</w:t>
      </w:r>
      <w:r w:rsidRPr="005147AC">
        <w:rPr>
          <w:rFonts w:cs="Times New Roman"/>
          <w:i/>
          <w:lang w:val="fr-CA"/>
        </w:rPr>
        <w:t xml:space="preserve">habeas corpus </w:t>
      </w:r>
      <w:r w:rsidRPr="005147AC">
        <w:rPr>
          <w:rFonts w:cs="Times New Roman"/>
          <w:lang w:val="fr-CA"/>
        </w:rPr>
        <w:t xml:space="preserve">pour contester une privation d’un droit </w:t>
      </w:r>
      <w:r w:rsidRPr="005147AC">
        <w:rPr>
          <w:rFonts w:cs="Times New Roman"/>
          <w:i/>
          <w:lang w:val="fr-CA"/>
        </w:rPr>
        <w:t>anticipé</w:t>
      </w:r>
      <w:r w:rsidRPr="005147AC">
        <w:rPr>
          <w:rFonts w:cs="Times New Roman"/>
          <w:lang w:val="fr-CA"/>
        </w:rPr>
        <w:t xml:space="preserve"> à la liberté résiduelle qui n’est pas encore concrétisé. Dans l’arrêt </w:t>
      </w:r>
      <w:r w:rsidRPr="005147AC">
        <w:rPr>
          <w:rFonts w:cs="Times New Roman"/>
          <w:i/>
          <w:lang w:val="fr-CA"/>
        </w:rPr>
        <w:t>May</w:t>
      </w:r>
      <w:r w:rsidRPr="005147AC">
        <w:rPr>
          <w:rFonts w:cs="Times New Roman"/>
          <w:lang w:val="fr-CA"/>
        </w:rPr>
        <w:t>, les juges</w:t>
      </w:r>
      <w:r w:rsidRPr="005147AC">
        <w:rPr>
          <w:rFonts w:cs="Times New Roman"/>
          <w:i/>
          <w:lang w:val="fr-CA"/>
        </w:rPr>
        <w:t xml:space="preserve"> </w:t>
      </w:r>
      <w:r w:rsidRPr="005147AC">
        <w:rPr>
          <w:rFonts w:cs="Times New Roman"/>
          <w:lang w:val="fr-CA"/>
        </w:rPr>
        <w:t>LeBel et Fish ont averti qu’un « examen soigneux de toute évolution jurisprudentielle restreignant la compétence en matière d’</w:t>
      </w:r>
      <w:r w:rsidRPr="005147AC">
        <w:rPr>
          <w:rFonts w:cs="Times New Roman"/>
          <w:i/>
          <w:lang w:val="fr-CA"/>
        </w:rPr>
        <w:t xml:space="preserve">habeas corpus </w:t>
      </w:r>
      <w:r w:rsidRPr="005147AC">
        <w:rPr>
          <w:rFonts w:cs="Times New Roman"/>
          <w:lang w:val="fr-CA"/>
        </w:rPr>
        <w:t>et [qui] ne permet pas de le laisser se développer sans contrôle »</w:t>
      </w:r>
      <w:r w:rsidRPr="005147AC">
        <w:rPr>
          <w:rFonts w:eastAsia="Times New Roman" w:cs="Times New Roman"/>
          <w:szCs w:val="24"/>
          <w:lang w:val="fr-CA" w:eastAsia="en-CA"/>
        </w:rPr>
        <w:t xml:space="preserve"> est justifié </w:t>
      </w:r>
      <w:r w:rsidRPr="005147AC">
        <w:rPr>
          <w:rFonts w:cs="Times New Roman"/>
          <w:szCs w:val="24"/>
          <w:lang w:val="fr-CA"/>
        </w:rPr>
        <w:t>(par. 50)</w:t>
      </w:r>
      <w:r w:rsidRPr="005147AC">
        <w:rPr>
          <w:rFonts w:cs="Times New Roman"/>
          <w:lang w:val="fr-CA"/>
        </w:rPr>
        <w:t>. Il en serait ainsi si les cours supérieures se mettaient à statuer sur des contestations de décisions administratives, alors que ces matières ressortissent légitimement de la juridiction de la Cour fédérale.</w:t>
      </w:r>
    </w:p>
    <w:p w14:paraId="4B7DFA1B" w14:textId="77777777" w:rsidR="005147AC" w:rsidRPr="005147AC" w:rsidRDefault="005147AC" w:rsidP="005147AC">
      <w:pPr>
        <w:pStyle w:val="ParaNoNdepar-AltN"/>
        <w:rPr>
          <w:rFonts w:cs="Times New Roman"/>
          <w:lang w:val="fr-CA"/>
        </w:rPr>
      </w:pPr>
      <w:r w:rsidRPr="005147AC">
        <w:rPr>
          <w:rFonts w:cs="Times New Roman"/>
          <w:lang w:val="fr-CA"/>
        </w:rPr>
        <w:t xml:space="preserve">Si nous devions conclure le contraire — à l’instar de la majorité — nous permettrions une redéfinition des priorités en matière d’accès aux tribunaux. En raison de la gravité d’une privation illégale de liberté, les requêtes en </w:t>
      </w:r>
      <w:r w:rsidRPr="005147AC">
        <w:rPr>
          <w:rFonts w:cs="Times New Roman"/>
          <w:i/>
          <w:lang w:val="fr-CA"/>
        </w:rPr>
        <w:t>habeas corpus</w:t>
      </w:r>
      <w:r w:rsidRPr="005147AC">
        <w:rPr>
          <w:rFonts w:cs="Times New Roman"/>
          <w:lang w:val="fr-CA"/>
        </w:rPr>
        <w:t xml:space="preserve"> sont examinées rapidement; elles font peser sur l’État le fardeau de prouver que la privation de liberté est légale. Ainsi, élargir les cas d’accessibilité à l’</w:t>
      </w:r>
      <w:r w:rsidRPr="005147AC">
        <w:rPr>
          <w:rFonts w:cs="Times New Roman"/>
          <w:i/>
          <w:iCs/>
          <w:lang w:val="fr-CA"/>
        </w:rPr>
        <w:t>habeas corpus</w:t>
      </w:r>
      <w:r w:rsidRPr="005147AC">
        <w:rPr>
          <w:rFonts w:cs="Times New Roman"/>
          <w:lang w:val="fr-CA"/>
        </w:rPr>
        <w:t xml:space="preserve"> aux refus de transfèrement à un établissement à sécurité moins élevée dénaturera l’</w:t>
      </w:r>
      <w:r w:rsidRPr="005147AC">
        <w:rPr>
          <w:rFonts w:cs="Times New Roman"/>
          <w:i/>
          <w:lang w:val="fr-CA"/>
        </w:rPr>
        <w:t xml:space="preserve">habeas corpus </w:t>
      </w:r>
      <w:r w:rsidRPr="005147AC">
        <w:rPr>
          <w:rFonts w:cs="Times New Roman"/>
          <w:lang w:val="fr-CA"/>
        </w:rPr>
        <w:t xml:space="preserve">en une forme sommaire de contrôle judiciaire portant renversement du fardeau dans le processus de réévaluation de la cote de sécurité. Une telle approche risque de dénaturer </w:t>
      </w:r>
      <w:r w:rsidRPr="005147AC">
        <w:rPr>
          <w:rFonts w:cs="Times New Roman"/>
          <w:lang w:val="fr-CA"/>
        </w:rPr>
        <w:lastRenderedPageBreak/>
        <w:t>l’</w:t>
      </w:r>
      <w:r w:rsidRPr="005147AC">
        <w:rPr>
          <w:rFonts w:cs="Times New Roman"/>
          <w:i/>
          <w:lang w:val="fr-CA"/>
        </w:rPr>
        <w:t>habeas corpus</w:t>
      </w:r>
      <w:r w:rsidRPr="005147AC">
        <w:rPr>
          <w:rFonts w:cs="Times New Roman"/>
          <w:lang w:val="fr-CA"/>
        </w:rPr>
        <w:t xml:space="preserve"> de sorte qu’il deviendrait un mécanisme différent de contestation des décisions des administrateurs correctionnels, ce qui minerait à la fois l’intégrité du bref et le fonctionnement adéquat du système correctionnel.</w:t>
      </w:r>
    </w:p>
    <w:p w14:paraId="3AF0CE47" w14:textId="77777777" w:rsidR="005147AC" w:rsidRPr="005147AC" w:rsidRDefault="005147AC" w:rsidP="005147AC">
      <w:pPr>
        <w:pStyle w:val="ParaNoNdepar-AltN"/>
        <w:rPr>
          <w:rFonts w:cs="Times New Roman"/>
          <w:lang w:val="fr-CA"/>
        </w:rPr>
      </w:pPr>
      <w:r w:rsidRPr="005147AC">
        <w:rPr>
          <w:rFonts w:cs="Times New Roman"/>
          <w:lang w:val="fr-CA"/>
        </w:rPr>
        <w:t xml:space="preserve">La conséquence pratique de cet élargissement et, </w:t>
      </w:r>
      <w:r w:rsidRPr="005147AC">
        <w:rPr>
          <w:rFonts w:cs="Times New Roman"/>
          <w:i/>
          <w:lang w:val="fr-CA"/>
        </w:rPr>
        <w:t>a fortiori</w:t>
      </w:r>
      <w:r w:rsidRPr="005147AC">
        <w:rPr>
          <w:rFonts w:cs="Times New Roman"/>
          <w:lang w:val="fr-CA"/>
        </w:rPr>
        <w:t xml:space="preserve">, l’élargissement subséquent de sa portée à un éventail de plus en plus grand de décisions qui seraient liées à la « liberté résiduelle » se traduira par une ingérence injustifiée des cours supérieures dans le régime législatif voulu par le Parlement qui concilie </w:t>
      </w:r>
      <w:r w:rsidRPr="005147AC">
        <w:rPr>
          <w:rFonts w:cs="Times New Roman"/>
          <w:i/>
          <w:lang w:val="fr-CA"/>
        </w:rPr>
        <w:t>à la fois</w:t>
      </w:r>
      <w:r w:rsidRPr="005147AC">
        <w:rPr>
          <w:rFonts w:cs="Times New Roman"/>
          <w:lang w:val="fr-CA"/>
        </w:rPr>
        <w:t xml:space="preserve"> les droits des détenus </w:t>
      </w:r>
      <w:r w:rsidRPr="005147AC">
        <w:rPr>
          <w:rFonts w:cs="Times New Roman"/>
          <w:i/>
          <w:lang w:val="fr-CA"/>
        </w:rPr>
        <w:t>et</w:t>
      </w:r>
      <w:r w:rsidRPr="005147AC">
        <w:rPr>
          <w:rFonts w:cs="Times New Roman"/>
          <w:lang w:val="fr-CA"/>
        </w:rPr>
        <w:t xml:space="preserve"> ceux d’autres personnes. Ces droits comprennent la sécurité des fonctionnaires correctionnels (p. ex., les mesures visant à assurer la sécurité des fonctionnaires correctionnels sont plus rigoureuses dans les établissements à sécurité maximale que dans les établissements à sécurité moyenne), et la sécurité du public (p. ex., il est relativement facile pour un détenu de s’évader d’un établissement à sécurité minimale). La </w:t>
      </w:r>
      <w:r w:rsidRPr="005147AC">
        <w:rPr>
          <w:rFonts w:cs="Times New Roman"/>
          <w:i/>
          <w:lang w:val="fr-CA"/>
        </w:rPr>
        <w:t>LSCMLC</w:t>
      </w:r>
      <w:r w:rsidRPr="005147AC">
        <w:rPr>
          <w:rFonts w:cs="Times New Roman"/>
          <w:lang w:val="fr-CA"/>
        </w:rPr>
        <w:t xml:space="preserve"> prévoit diverses voies de recours qui, de l’avis du Parlement, constituent un régime approprié de réparation. Accepter l’interprétation préconisée par la majorité risquerait de perturber la conciliation visée par la </w:t>
      </w:r>
      <w:r w:rsidRPr="005147AC">
        <w:rPr>
          <w:rFonts w:cs="Times New Roman"/>
          <w:i/>
          <w:lang w:val="fr-CA"/>
        </w:rPr>
        <w:t>LSCMLC</w:t>
      </w:r>
      <w:r w:rsidRPr="005147AC">
        <w:rPr>
          <w:rFonts w:cs="Times New Roman"/>
          <w:lang w:val="fr-CA"/>
        </w:rPr>
        <w:t xml:space="preserve"> dans les mécanismes qu’elle met en place, en permettant un contrôle judiciaire accéléré sous la forme de recours en </w:t>
      </w:r>
      <w:r w:rsidRPr="005147AC">
        <w:rPr>
          <w:rFonts w:cs="Times New Roman"/>
          <w:i/>
          <w:lang w:val="fr-CA"/>
        </w:rPr>
        <w:t>habeas corpus</w:t>
      </w:r>
      <w:r w:rsidRPr="005147AC">
        <w:rPr>
          <w:rFonts w:cs="Times New Roman"/>
          <w:lang w:val="fr-CA"/>
        </w:rPr>
        <w:t xml:space="preserve"> en guise d’alternative.</w:t>
      </w:r>
    </w:p>
    <w:p w14:paraId="432645EC" w14:textId="4DCC3A29" w:rsidR="005147AC" w:rsidRPr="005147AC" w:rsidRDefault="005147AC" w:rsidP="00A4249B">
      <w:pPr>
        <w:pStyle w:val="Title4LevelTitre4Niveau"/>
        <w:numPr>
          <w:ilvl w:val="1"/>
          <w:numId w:val="6"/>
        </w:numPr>
        <w:ind w:left="1134" w:hanging="567"/>
        <w:jc w:val="both"/>
        <w:rPr>
          <w:rFonts w:cs="Times New Roman"/>
          <w:lang w:val="fr-CA"/>
        </w:rPr>
      </w:pPr>
      <w:r w:rsidRPr="005147AC">
        <w:rPr>
          <w:rFonts w:cs="Times New Roman"/>
          <w:lang w:val="fr-CA"/>
        </w:rPr>
        <w:t xml:space="preserve">La première étape de l’analyse de l’habeas corpus requiert une véritable privation de liberté </w:t>
      </w:r>
    </w:p>
    <w:p w14:paraId="2E553731" w14:textId="77777777" w:rsidR="005147AC" w:rsidRPr="005147AC" w:rsidRDefault="005147AC" w:rsidP="005147AC">
      <w:pPr>
        <w:pStyle w:val="ParaNoNdepar-AltN"/>
        <w:rPr>
          <w:rFonts w:cs="Times New Roman"/>
          <w:lang w:val="fr-CA"/>
        </w:rPr>
      </w:pPr>
      <w:r w:rsidRPr="005147AC">
        <w:rPr>
          <w:rFonts w:cs="Times New Roman"/>
          <w:lang w:val="fr-CA"/>
        </w:rPr>
        <w:t>L’approche de la majorité élargira indûment l’accès à l’</w:t>
      </w:r>
      <w:r w:rsidRPr="005147AC">
        <w:rPr>
          <w:rFonts w:cs="Times New Roman"/>
          <w:i/>
          <w:lang w:val="fr-CA"/>
        </w:rPr>
        <w:t>habeas corpus</w:t>
      </w:r>
      <w:r w:rsidRPr="005147AC">
        <w:rPr>
          <w:rFonts w:cs="Times New Roman"/>
          <w:lang w:val="fr-CA"/>
        </w:rPr>
        <w:t xml:space="preserve"> et invitera un processus décisionnel </w:t>
      </w:r>
      <w:r w:rsidRPr="005147AC">
        <w:rPr>
          <w:rFonts w:cs="Times New Roman"/>
          <w:i/>
          <w:lang w:val="fr-CA"/>
        </w:rPr>
        <w:t>ad hoc</w:t>
      </w:r>
      <w:r w:rsidRPr="005147AC">
        <w:rPr>
          <w:rFonts w:cs="Times New Roman"/>
          <w:lang w:val="fr-CA"/>
        </w:rPr>
        <w:t xml:space="preserve">. Il en est ainsi d’une première manière puisque </w:t>
      </w:r>
      <w:r w:rsidRPr="005147AC">
        <w:rPr>
          <w:rFonts w:cs="Times New Roman"/>
          <w:lang w:val="fr-CA"/>
        </w:rPr>
        <w:lastRenderedPageBreak/>
        <w:t>cette approche écarte l’exigence selon laquelle un requérant qui allègue une continuation illégale de la détention doive démontrer l’existence d’un droit à une plus grande liberté résiduelle. Selon cette approche, un détenu dont les conditions d’incarcération n’ont pas changé, qui n’a aucun droit à un changement de ces conditions, et dont la détention continue au titre du même pouvoir que sa privation de liberté initiale, serait considéré comme ayant subi une privation de liberté. Il lui suffirait simplement de démontrer que certaines autres conditions carcérales seraient qualitativement moins restrictives que celles de son incarcération actuelle (motifs de la majorité, par. 41 et 43</w:t>
      </w:r>
      <w:r w:rsidRPr="005147AC">
        <w:rPr>
          <w:rFonts w:cs="Times New Roman"/>
          <w:lang w:val="fr-CA"/>
        </w:rPr>
        <w:noBreakHyphen/>
        <w:t xml:space="preserve">44). </w:t>
      </w:r>
    </w:p>
    <w:p w14:paraId="16331F15" w14:textId="77777777" w:rsidR="005147AC" w:rsidRPr="005147AC" w:rsidRDefault="005147AC" w:rsidP="005147AC">
      <w:pPr>
        <w:pStyle w:val="ParaNoNdepar-AltN"/>
        <w:rPr>
          <w:rFonts w:cs="Times New Roman"/>
          <w:lang w:val="fr-CA"/>
        </w:rPr>
      </w:pPr>
      <w:r w:rsidRPr="005147AC">
        <w:rPr>
          <w:rFonts w:cs="Times New Roman"/>
          <w:lang w:val="fr-CA"/>
        </w:rPr>
        <w:t>La seconde manière par laquelle la majorité élargira l’accès à l’</w:t>
      </w:r>
      <w:r w:rsidRPr="005147AC">
        <w:rPr>
          <w:rFonts w:cs="Times New Roman"/>
          <w:i/>
          <w:lang w:val="fr-CA"/>
        </w:rPr>
        <w:t>habeas corpus</w:t>
      </w:r>
      <w:r w:rsidRPr="005147AC">
        <w:rPr>
          <w:rFonts w:cs="Times New Roman"/>
          <w:lang w:val="fr-CA"/>
        </w:rPr>
        <w:t xml:space="preserve"> et invitera un processus décisionnel </w:t>
      </w:r>
      <w:r w:rsidRPr="005147AC">
        <w:rPr>
          <w:rFonts w:cs="Times New Roman"/>
          <w:i/>
          <w:lang w:val="fr-CA"/>
        </w:rPr>
        <w:t>ad hoc</w:t>
      </w:r>
      <w:r w:rsidRPr="005147AC">
        <w:rPr>
          <w:rFonts w:cs="Times New Roman"/>
          <w:lang w:val="fr-CA"/>
        </w:rPr>
        <w:t xml:space="preserve"> réside dans le fait que son approche à l’égard de la deuxième étape de l’analyse de l’</w:t>
      </w:r>
      <w:r w:rsidRPr="005147AC">
        <w:rPr>
          <w:rFonts w:cs="Times New Roman"/>
          <w:i/>
          <w:lang w:val="fr-CA"/>
        </w:rPr>
        <w:t>habeas corpus</w:t>
      </w:r>
      <w:r w:rsidRPr="005147AC">
        <w:rPr>
          <w:rFonts w:cs="Times New Roman"/>
          <w:lang w:val="fr-CA"/>
        </w:rPr>
        <w:t xml:space="preserve"> ne permettra pas de manière réaliste d’écarter des demandes frivoles. L’approche adoptée par la majorité ne fournit aucune directive sur la manière dont cette deuxième étape serait appliquée, autrement que par l’affirmation selon laquelle son seuil est bas. Nous revenons sur ce point plus tard dans nos motifs. </w:t>
      </w:r>
    </w:p>
    <w:p w14:paraId="423C18A8" w14:textId="77777777" w:rsidR="005147AC" w:rsidRPr="005147AC" w:rsidRDefault="005147AC" w:rsidP="005147AC">
      <w:pPr>
        <w:pStyle w:val="ParaNoNdepar-AltN"/>
        <w:rPr>
          <w:rFonts w:cs="Times New Roman"/>
          <w:lang w:val="fr-CA"/>
        </w:rPr>
      </w:pPr>
      <w:r w:rsidRPr="005147AC">
        <w:rPr>
          <w:rFonts w:cs="Times New Roman"/>
          <w:lang w:val="fr-CA"/>
        </w:rPr>
        <w:t>La dénaturation de l’</w:t>
      </w:r>
      <w:r w:rsidRPr="005147AC">
        <w:rPr>
          <w:rFonts w:cs="Times New Roman"/>
          <w:i/>
          <w:lang w:val="fr-CA"/>
        </w:rPr>
        <w:t>habeas corpus</w:t>
      </w:r>
      <w:r w:rsidRPr="005147AC">
        <w:rPr>
          <w:rFonts w:cs="Times New Roman"/>
          <w:b/>
          <w:lang w:val="fr-CA"/>
        </w:rPr>
        <w:t xml:space="preserve"> </w:t>
      </w:r>
      <w:r w:rsidRPr="005147AC">
        <w:rPr>
          <w:rFonts w:cs="Times New Roman"/>
          <w:lang w:val="fr-CA"/>
        </w:rPr>
        <w:t>est exacerbée par les directives limitées de la majorité relativement à quels autres types de conditions carcérales équivaudront à une privation de liberté suffisante pour faire entrer en jeu le bref d’</w:t>
      </w:r>
      <w:r w:rsidRPr="005147AC">
        <w:rPr>
          <w:rFonts w:cs="Times New Roman"/>
          <w:i/>
          <w:lang w:val="fr-CA"/>
        </w:rPr>
        <w:t>habeas</w:t>
      </w:r>
      <w:r w:rsidRPr="005147AC">
        <w:rPr>
          <w:rFonts w:cs="Times New Roman"/>
          <w:lang w:val="fr-CA"/>
        </w:rPr>
        <w:t xml:space="preserve"> </w:t>
      </w:r>
      <w:r w:rsidRPr="005147AC">
        <w:rPr>
          <w:rFonts w:cs="Times New Roman"/>
          <w:i/>
          <w:lang w:val="fr-CA"/>
        </w:rPr>
        <w:t>corpus</w:t>
      </w:r>
      <w:r w:rsidRPr="005147AC">
        <w:rPr>
          <w:rFonts w:cs="Times New Roman"/>
          <w:lang w:val="fr-CA"/>
        </w:rPr>
        <w:t xml:space="preserve">. En énonçant un cadre juridique applicable à la troisième catégorie de l’arrêt </w:t>
      </w:r>
      <w:r w:rsidRPr="005147AC">
        <w:rPr>
          <w:rFonts w:cs="Times New Roman"/>
          <w:i/>
          <w:lang w:val="fr-CA"/>
        </w:rPr>
        <w:t>Dumas</w:t>
      </w:r>
      <w:r w:rsidRPr="005147AC">
        <w:rPr>
          <w:rFonts w:cs="Times New Roman"/>
          <w:lang w:val="fr-CA"/>
        </w:rPr>
        <w:t xml:space="preserve">, la majorité explique seulement qu’une privation de liberté nécessite une « différence </w:t>
      </w:r>
      <w:r w:rsidRPr="005147AC">
        <w:rPr>
          <w:rFonts w:cs="Times New Roman"/>
          <w:lang w:val="fr-CA"/>
        </w:rPr>
        <w:lastRenderedPageBreak/>
        <w:t xml:space="preserve">qualitative au chapitre de la liberté » (par. 44; voir aussi les par. 41, 51 et 62). Le mot « qualitative » veut simplement dire que le tribunal se demandera si la différence a </w:t>
      </w:r>
      <w:r w:rsidRPr="005147AC">
        <w:rPr>
          <w:rFonts w:cs="Times New Roman"/>
          <w:i/>
          <w:lang w:val="fr-CA"/>
        </w:rPr>
        <w:t xml:space="preserve">un </w:t>
      </w:r>
      <w:r w:rsidRPr="005147AC">
        <w:rPr>
          <w:rFonts w:cs="Times New Roman"/>
          <w:lang w:val="fr-CA"/>
        </w:rPr>
        <w:t xml:space="preserve">effet sur le droit du détenu à la liberté (voir </w:t>
      </w:r>
      <w:r w:rsidRPr="005147AC">
        <w:rPr>
          <w:rFonts w:cs="Times New Roman"/>
          <w:i/>
          <w:lang w:val="fr-CA"/>
        </w:rPr>
        <w:t>R. c. Gamble</w:t>
      </w:r>
      <w:r w:rsidRPr="005147AC">
        <w:rPr>
          <w:rFonts w:cs="Times New Roman"/>
          <w:lang w:val="fr-CA"/>
        </w:rPr>
        <w:t>, [1988] 2 R.C.S. 595, p. 644). Cette approche n’établit pas de seuil que cet effet doit atteindre. Autrement dit, ce cadre juridique est dépourvu de norme permettant de déterminer qu’un effet sur un détenu n’établit pas une privation de liberté (motifs de la majorité, par. 40</w:t>
      </w:r>
      <w:r w:rsidRPr="005147AC">
        <w:rPr>
          <w:rFonts w:cs="Times New Roman"/>
          <w:lang w:val="fr-CA"/>
        </w:rPr>
        <w:noBreakHyphen/>
        <w:t>44).</w:t>
      </w:r>
    </w:p>
    <w:p w14:paraId="168ACF6F" w14:textId="77777777" w:rsidR="005147AC" w:rsidRPr="005147AC" w:rsidRDefault="005147AC" w:rsidP="005147AC">
      <w:pPr>
        <w:pStyle w:val="ParaNoNdepar-AltN"/>
        <w:rPr>
          <w:rFonts w:cs="Times New Roman"/>
          <w:lang w:val="fr-CA"/>
        </w:rPr>
      </w:pPr>
      <w:r w:rsidRPr="005147AC">
        <w:rPr>
          <w:rFonts w:cs="Times New Roman"/>
          <w:lang w:val="fr-CA"/>
        </w:rPr>
        <w:t>Ensuite, en appliquant son cadre d’analyse, la majorité indique que si une pareille norme existe, elle est peu rigoureuse et indéterminée. Ses motifs suggèrent qu’une privation de liberté est établie par des conditions qui sont tout simplement « plus restrictive[s] » ou qui se traduisent par des limites qui sont plus qu</w:t>
      </w:r>
      <w:proofErr w:type="gramStart"/>
      <w:r w:rsidRPr="005147AC">
        <w:rPr>
          <w:rFonts w:cs="Times New Roman"/>
          <w:lang w:val="fr-CA"/>
        </w:rPr>
        <w:t>’«</w:t>
      </w:r>
      <w:proofErr w:type="gramEnd"/>
      <w:r w:rsidRPr="005147AC">
        <w:rPr>
          <w:rFonts w:cs="Times New Roman"/>
          <w:lang w:val="fr-CA"/>
        </w:rPr>
        <w:t xml:space="preserve"> insignifiante[s] ou négligeable[s] », mais qui, de toute manière, « dépend[ent] en définitive du contexte » (par. 71). Qui plus est, dans la mesure où il est suggéré que la jurisprudence appliquant la deuxième catégorie de privations de liberté énoncée dans l’arrêt </w:t>
      </w:r>
      <w:r w:rsidRPr="005147AC">
        <w:rPr>
          <w:rFonts w:cs="Times New Roman"/>
          <w:i/>
          <w:lang w:val="fr-CA"/>
        </w:rPr>
        <w:t>Dumas</w:t>
      </w:r>
      <w:r w:rsidRPr="005147AC">
        <w:rPr>
          <w:rFonts w:cs="Times New Roman"/>
          <w:lang w:val="fr-CA"/>
        </w:rPr>
        <w:t xml:space="preserve"> peut aisément s’appliquer à la troisième catégorie de cet arrêt, qui est en cause dans la présente affaire, cette suggestion passe sous silence le fait que ces arrêts interprètent la limitation inhérente à la deuxième catégorie. Plus précisément, la deuxième catégorie concerne des décisions qui donnent lieu à « une modification </w:t>
      </w:r>
      <w:r w:rsidRPr="005147AC">
        <w:rPr>
          <w:rFonts w:cs="Times New Roman"/>
          <w:u w:val="single"/>
          <w:lang w:val="fr-CA"/>
        </w:rPr>
        <w:t>importante</w:t>
      </w:r>
      <w:r w:rsidRPr="005147AC">
        <w:rPr>
          <w:rFonts w:cs="Times New Roman"/>
          <w:lang w:val="fr-CA"/>
        </w:rPr>
        <w:t> » des conditions d’incarcération du détenu (</w:t>
      </w:r>
      <w:r w:rsidRPr="005147AC">
        <w:rPr>
          <w:rFonts w:cs="Times New Roman"/>
          <w:i/>
          <w:lang w:val="fr-CA"/>
        </w:rPr>
        <w:t>Dumas</w:t>
      </w:r>
      <w:r w:rsidRPr="005147AC">
        <w:rPr>
          <w:rFonts w:cs="Times New Roman"/>
          <w:lang w:val="fr-CA"/>
        </w:rPr>
        <w:t xml:space="preserve">, p. 464 (nous soulignons)). La troisième catégorie n’est pas assortie d’une telle condition, et la majorité n’a pas reconnu ni introduit cette limitation nécessaire. La majorité a plutôt rejeté l’exigence voulant que le requérant démontre l’existence du droit à une plus grande liberté. </w:t>
      </w:r>
    </w:p>
    <w:p w14:paraId="6644861A" w14:textId="77777777" w:rsidR="005147AC" w:rsidRPr="005147AC" w:rsidRDefault="005147AC" w:rsidP="005147AC">
      <w:pPr>
        <w:pStyle w:val="ParaNoNdepar-AltN"/>
        <w:rPr>
          <w:rFonts w:cs="Times New Roman"/>
          <w:lang w:val="fr-CA"/>
        </w:rPr>
      </w:pPr>
      <w:r w:rsidRPr="005147AC">
        <w:rPr>
          <w:rFonts w:cs="Times New Roman"/>
          <w:lang w:val="fr-CA"/>
        </w:rPr>
        <w:lastRenderedPageBreak/>
        <w:t>Cette norme imprécise ouvre la porte à un processus décisionnel guidé par le résultat désiré et sans méthodologie. Une norme plus précise est nécessaire pour veiller à ce que le fait de refuser la demande d’un détenu visant l’allégement plus que négligeable des restrictions sur ses conditions de détention ne soit pas traité comme une privation de liberté.</w:t>
      </w:r>
    </w:p>
    <w:p w14:paraId="6DD976CC" w14:textId="77777777" w:rsidR="005147AC" w:rsidRPr="005147AC" w:rsidRDefault="005147AC" w:rsidP="005147AC">
      <w:pPr>
        <w:pStyle w:val="ParaNoNdepar-AltN"/>
        <w:rPr>
          <w:rFonts w:cs="Times New Roman"/>
          <w:lang w:val="fr-CA"/>
        </w:rPr>
      </w:pPr>
      <w:r w:rsidRPr="005147AC">
        <w:rPr>
          <w:rFonts w:cs="Times New Roman"/>
          <w:lang w:val="fr-CA"/>
        </w:rPr>
        <w:t xml:space="preserve">La majorité nous oriente vers des décisions postérieures à l’arrêt </w:t>
      </w:r>
      <w:r w:rsidRPr="005147AC">
        <w:rPr>
          <w:rFonts w:cs="Times New Roman"/>
          <w:i/>
          <w:lang w:val="fr-CA"/>
        </w:rPr>
        <w:t>Miller</w:t>
      </w:r>
      <w:r w:rsidRPr="005147AC">
        <w:rPr>
          <w:rFonts w:cs="Times New Roman"/>
          <w:lang w:val="fr-CA"/>
        </w:rPr>
        <w:t xml:space="preserve"> dans lesquelles il a été conclu que certaines conditions carcérales n’équivalent pas à une privation de liberté, en guise de preuve qu’il n’y a pas de risque à un élargissement non restreint de l’</w:t>
      </w:r>
      <w:r w:rsidRPr="005147AC">
        <w:rPr>
          <w:rFonts w:cs="Times New Roman"/>
          <w:i/>
          <w:lang w:val="fr-CA"/>
        </w:rPr>
        <w:t>habeas corpus</w:t>
      </w:r>
      <w:r w:rsidRPr="005147AC">
        <w:rPr>
          <w:rFonts w:cs="Times New Roman"/>
          <w:lang w:val="fr-CA"/>
        </w:rPr>
        <w:t xml:space="preserve"> (par. 54). Avec égards, cela passe à côté de l’essentiel : notre préoccupation ne repose pas sur l’état actuel du droit, basé comme cela fut le cas sur le raisonnement de l’arrêt </w:t>
      </w:r>
      <w:r w:rsidRPr="005147AC">
        <w:rPr>
          <w:rFonts w:cs="Times New Roman"/>
          <w:i/>
          <w:lang w:val="fr-CA"/>
        </w:rPr>
        <w:t>Dumas</w:t>
      </w:r>
      <w:r w:rsidRPr="005147AC">
        <w:rPr>
          <w:rFonts w:cs="Times New Roman"/>
          <w:lang w:val="fr-CA"/>
        </w:rPr>
        <w:t xml:space="preserve">, mais plutôt sur les effets de l’approche nouvelle et sans ancrage adoptée par la majorité. En effet, la jurisprudence citée par la majorité fait ressortir notre préoccupation même. Dans l’affaire </w:t>
      </w:r>
      <w:r w:rsidRPr="005147AC">
        <w:rPr>
          <w:rFonts w:cs="Times New Roman"/>
          <w:i/>
          <w:lang w:val="fr-CA" w:bidi="en-US"/>
        </w:rPr>
        <w:t>Mapara c. Ferndale Institution (Warden)</w:t>
      </w:r>
      <w:r w:rsidRPr="005147AC">
        <w:rPr>
          <w:rFonts w:cs="Times New Roman"/>
          <w:lang w:val="fr-CA" w:bidi="en-US"/>
        </w:rPr>
        <w:t>, 2012 BCCA 127</w:t>
      </w:r>
      <w:r w:rsidRPr="005147AC">
        <w:rPr>
          <w:rFonts w:cs="Times New Roman"/>
          <w:lang w:val="fr-CA"/>
        </w:rPr>
        <w:t>, 318 B.C.A.C. 139, les appelants avaient déposé sans succès un bref d’</w:t>
      </w:r>
      <w:r w:rsidRPr="005147AC">
        <w:rPr>
          <w:rFonts w:cs="Times New Roman"/>
          <w:i/>
          <w:lang w:val="fr-CA"/>
        </w:rPr>
        <w:t>habeas corpus</w:t>
      </w:r>
      <w:r w:rsidRPr="005147AC">
        <w:rPr>
          <w:rFonts w:cs="Times New Roman"/>
          <w:lang w:val="fr-CA"/>
        </w:rPr>
        <w:t xml:space="preserve"> alléguant que le refus de leurs demandes d’absences temporaires sous escorte équivalait à une privation de liberté. La Cour d’appel a rejeté cet argument, car [</w:t>
      </w:r>
      <w:r w:rsidRPr="005147AC">
        <w:rPr>
          <w:rFonts w:cs="Times New Roman"/>
          <w:smallCaps/>
          <w:lang w:val="fr-CA"/>
        </w:rPr>
        <w:t>traduction</w:t>
      </w:r>
      <w:r w:rsidRPr="005147AC">
        <w:rPr>
          <w:rFonts w:cs="Times New Roman"/>
          <w:lang w:val="fr-CA"/>
        </w:rPr>
        <w:t xml:space="preserve">] « une décision qui refuse à un détenu des conditions moins restrictives ne constitue pas une telle privation » (par. 16). Pourtant, la majorité a dorénavant décidé exactement le contraire. De même, dans </w:t>
      </w:r>
      <w:r w:rsidRPr="005147AC">
        <w:rPr>
          <w:rFonts w:cs="Times New Roman"/>
          <w:i/>
          <w:lang w:val="fr-CA" w:bidi="en-US"/>
        </w:rPr>
        <w:t>Lord c. Coulter</w:t>
      </w:r>
      <w:r w:rsidRPr="005147AC">
        <w:rPr>
          <w:rFonts w:cs="Times New Roman"/>
          <w:lang w:val="fr-CA" w:bidi="en-US"/>
        </w:rPr>
        <w:t>, 2007 BCSC 1758, 72 Admin. L.R. (4th) 264, la cour a affirmé que le refus d’une demande de libération conditionnelle ne constituait pas une privation de liberté, parce que le détenu [</w:t>
      </w:r>
      <w:r w:rsidRPr="005147AC">
        <w:rPr>
          <w:rFonts w:cs="Times New Roman"/>
          <w:smallCaps/>
          <w:lang w:val="fr-CA" w:bidi="en-US"/>
        </w:rPr>
        <w:t>traduction</w:t>
      </w:r>
      <w:r w:rsidRPr="005147AC">
        <w:rPr>
          <w:rFonts w:cs="Times New Roman"/>
          <w:lang w:val="fr-CA" w:bidi="en-US"/>
        </w:rPr>
        <w:t xml:space="preserve">] « ne cherche pas à récupérer ce qui lui a été enlevé; il cherche </w:t>
      </w:r>
      <w:r w:rsidRPr="005147AC">
        <w:rPr>
          <w:rFonts w:cs="Times New Roman"/>
          <w:lang w:val="fr-CA" w:bidi="en-US"/>
        </w:rPr>
        <w:lastRenderedPageBreak/>
        <w:t xml:space="preserve">plutôt à se voir accorder un nouveau droit ou un privilège » (par. 42). Dans </w:t>
      </w:r>
      <w:r w:rsidRPr="005147AC">
        <w:rPr>
          <w:rFonts w:cs="Times New Roman"/>
          <w:i/>
          <w:lang w:val="fr-CA" w:bidi="en-US"/>
        </w:rPr>
        <w:t>Ewanchuk c. Canada (Attorney General)</w:t>
      </w:r>
      <w:r w:rsidRPr="005147AC">
        <w:rPr>
          <w:rFonts w:cs="Times New Roman"/>
          <w:lang w:val="fr-CA" w:bidi="en-US"/>
        </w:rPr>
        <w:t>, 2017 ABQB 237, 354 C.C.C. (3d) 119, la cour a déclaré que [</w:t>
      </w:r>
      <w:r w:rsidRPr="005147AC">
        <w:rPr>
          <w:rFonts w:cs="Times New Roman"/>
          <w:smallCaps/>
          <w:lang w:val="fr-CA" w:bidi="en-US"/>
        </w:rPr>
        <w:t>traduction</w:t>
      </w:r>
      <w:r w:rsidRPr="005147AC">
        <w:rPr>
          <w:rFonts w:cs="Times New Roman"/>
          <w:lang w:val="fr-CA" w:bidi="en-US"/>
        </w:rPr>
        <w:t>] « [l]’</w:t>
      </w:r>
      <w:r w:rsidRPr="005147AC">
        <w:rPr>
          <w:rFonts w:cs="Times New Roman"/>
          <w:i/>
          <w:iCs/>
          <w:lang w:val="fr-CA" w:bidi="en-US"/>
        </w:rPr>
        <w:t xml:space="preserve">habeas corpus </w:t>
      </w:r>
      <w:r w:rsidRPr="005147AC">
        <w:rPr>
          <w:rFonts w:cs="Times New Roman"/>
          <w:iCs/>
          <w:lang w:val="fr-CA" w:bidi="en-US"/>
        </w:rPr>
        <w:t xml:space="preserve">est inapplicable lorsqu’une personne se plaint de ne pas avoir été remise en liberté ou de ne pas avoir fait l’objet d’une forme de détention moins restrictive » </w:t>
      </w:r>
      <w:r w:rsidRPr="005147AC">
        <w:rPr>
          <w:rFonts w:cs="Times New Roman"/>
          <w:lang w:val="fr-CA" w:bidi="en-US"/>
        </w:rPr>
        <w:t>(par. 24). Là encore, l’approche de la majorité va dans le sens contraire.</w:t>
      </w:r>
    </w:p>
    <w:p w14:paraId="4AAF6AC4" w14:textId="77777777" w:rsidR="005147AC" w:rsidRPr="005147AC" w:rsidRDefault="005147AC" w:rsidP="005147AC">
      <w:pPr>
        <w:pStyle w:val="ParaNoNdepar-AltN"/>
        <w:rPr>
          <w:rFonts w:cs="Times New Roman"/>
          <w:lang w:val="fr-CA"/>
        </w:rPr>
      </w:pPr>
      <w:r w:rsidRPr="005147AC">
        <w:rPr>
          <w:rFonts w:cs="Times New Roman"/>
          <w:lang w:val="fr-CA"/>
        </w:rPr>
        <w:t xml:space="preserve">En outre, lorsqu’elle affirme que son approche n’élargira pas de manière illégitime la portée des conditions carcérales qui constituent des privations de liberté, la majorité cite les décisions </w:t>
      </w:r>
      <w:r w:rsidRPr="005147AC">
        <w:rPr>
          <w:rFonts w:cs="Times New Roman"/>
          <w:i/>
          <w:lang w:val="fr-CA" w:bidi="en-US"/>
        </w:rPr>
        <w:t>Mapara</w:t>
      </w:r>
      <w:r w:rsidRPr="005147AC">
        <w:rPr>
          <w:rFonts w:cs="Times New Roman"/>
          <w:lang w:val="fr-CA" w:bidi="en-US"/>
        </w:rPr>
        <w:t xml:space="preserve">, </w:t>
      </w:r>
      <w:r w:rsidRPr="005147AC">
        <w:rPr>
          <w:rFonts w:cs="Times New Roman"/>
          <w:i/>
          <w:lang w:val="fr-CA" w:bidi="en-US"/>
        </w:rPr>
        <w:t>Lord</w:t>
      </w:r>
      <w:r w:rsidRPr="005147AC">
        <w:rPr>
          <w:rFonts w:cs="Times New Roman"/>
          <w:lang w:val="fr-CA" w:bidi="en-US"/>
        </w:rPr>
        <w:t xml:space="preserve">, et </w:t>
      </w:r>
      <w:r w:rsidRPr="005147AC">
        <w:rPr>
          <w:rFonts w:cs="Times New Roman"/>
          <w:i/>
          <w:lang w:val="fr-CA" w:bidi="en-US"/>
        </w:rPr>
        <w:t>Rain c. Canada (Parole Board)</w:t>
      </w:r>
      <w:r w:rsidRPr="005147AC">
        <w:rPr>
          <w:rFonts w:cs="Times New Roman"/>
          <w:lang w:val="fr-CA" w:bidi="en-US"/>
        </w:rPr>
        <w:t>, 2015 ABQB 639, comme exemples de causes dans lesquelles les tribunaux ont jugé que l’incapacité de participer à des programmes de réadaptation n’emporte pas une privation de liberté.</w:t>
      </w:r>
      <w:r w:rsidRPr="005147AC">
        <w:rPr>
          <w:rFonts w:cs="Times New Roman"/>
          <w:lang w:val="fr-CA"/>
        </w:rPr>
        <w:t xml:space="preserve"> Toutefois, la majorité suggère également qu’un « </w:t>
      </w:r>
      <w:r w:rsidRPr="005147AC">
        <w:rPr>
          <w:rFonts w:cs="Times New Roman"/>
          <w:lang w:val="fr-CA" w:bidi="en-US"/>
        </w:rPr>
        <w:t>accès moindre aux possibilités de réadaptation » fait maintenant partie du contexte permettant de déterminer qu’un refus de réévaluation de la cote de sécurité constitue une privation de liberté (par. 72).</w:t>
      </w:r>
      <w:r w:rsidRPr="005147AC">
        <w:rPr>
          <w:rFonts w:cs="Times New Roman"/>
          <w:lang w:val="fr-CA"/>
        </w:rPr>
        <w:t xml:space="preserve"> </w:t>
      </w:r>
      <w:r w:rsidRPr="005147AC">
        <w:rPr>
          <w:rFonts w:cs="Times New Roman"/>
          <w:lang w:val="fr-CA" w:bidi="en-US"/>
        </w:rPr>
        <w:t>Ces affaires auraient très bien pu être tranchées différemment si elles avaient été examinées à la lumière des motifs de la majorité.</w:t>
      </w:r>
      <w:r w:rsidRPr="005147AC">
        <w:rPr>
          <w:rFonts w:cs="Times New Roman"/>
          <w:lang w:val="fr-CA"/>
        </w:rPr>
        <w:t xml:space="preserve"> </w:t>
      </w:r>
    </w:p>
    <w:p w14:paraId="469FC861" w14:textId="77777777" w:rsidR="005147AC" w:rsidRPr="005147AC" w:rsidRDefault="005147AC" w:rsidP="005147AC">
      <w:pPr>
        <w:pStyle w:val="ParaNoNdepar-AltN"/>
        <w:rPr>
          <w:rFonts w:cs="Times New Roman"/>
          <w:lang w:val="fr-CA"/>
        </w:rPr>
      </w:pPr>
      <w:r w:rsidRPr="005147AC">
        <w:rPr>
          <w:rFonts w:cs="Times New Roman"/>
          <w:lang w:val="fr-CA"/>
        </w:rPr>
        <w:t xml:space="preserve">Puisque les détenus qui n’ont pas droit à une liberté résiduelle accrue seront maintenant en mesure de se prévaloir du recours, cela entraînera une augmentation du nombre de requêtes en </w:t>
      </w:r>
      <w:r w:rsidRPr="005147AC">
        <w:rPr>
          <w:rFonts w:cs="Times New Roman"/>
          <w:i/>
          <w:lang w:val="fr-CA"/>
        </w:rPr>
        <w:t>habeas corpus</w:t>
      </w:r>
      <w:r w:rsidRPr="005147AC">
        <w:rPr>
          <w:rFonts w:cs="Times New Roman"/>
          <w:lang w:val="fr-CA"/>
        </w:rPr>
        <w:t xml:space="preserve">. En effet, la majorité a modifié cette première étape d’une manière qui rend éminemment facile la démonstration d’une privation de </w:t>
      </w:r>
      <w:r w:rsidRPr="005147AC">
        <w:rPr>
          <w:rFonts w:cs="Times New Roman"/>
          <w:lang w:val="fr-CA"/>
        </w:rPr>
        <w:lastRenderedPageBreak/>
        <w:t>liberté, même si elle reconnaît son rôle dans le fait « [d</w:t>
      </w:r>
      <w:proofErr w:type="gramStart"/>
      <w:r w:rsidRPr="005147AC">
        <w:rPr>
          <w:rFonts w:cs="Times New Roman"/>
          <w:lang w:val="fr-CA"/>
        </w:rPr>
        <w:t>’]écarter</w:t>
      </w:r>
      <w:proofErr w:type="gramEnd"/>
      <w:r w:rsidRPr="005147AC">
        <w:rPr>
          <w:rFonts w:cs="Times New Roman"/>
          <w:lang w:val="fr-CA"/>
        </w:rPr>
        <w:t xml:space="preserve"> les demandes frivoles » (par. 44). </w:t>
      </w:r>
    </w:p>
    <w:p w14:paraId="7AD70FA5" w14:textId="77777777" w:rsidR="005147AC" w:rsidRPr="005147AC" w:rsidRDefault="005147AC" w:rsidP="005147AC">
      <w:pPr>
        <w:pStyle w:val="ParaNoNdepar-AltN"/>
        <w:rPr>
          <w:rFonts w:cs="Times New Roman"/>
          <w:lang w:val="fr-CA"/>
        </w:rPr>
      </w:pPr>
      <w:r w:rsidRPr="005147AC">
        <w:rPr>
          <w:rFonts w:cs="Times New Roman"/>
          <w:lang w:val="fr-CA"/>
        </w:rPr>
        <w:t xml:space="preserve">Un exemple qui appuie notre affirmation réside dans l’effet que notre arrêt </w:t>
      </w:r>
      <w:r w:rsidRPr="005147AC">
        <w:rPr>
          <w:rFonts w:cs="Times New Roman"/>
          <w:i/>
          <w:lang w:val="fr-CA"/>
        </w:rPr>
        <w:t>Khela</w:t>
      </w:r>
      <w:r w:rsidRPr="005147AC">
        <w:rPr>
          <w:rFonts w:cs="Times New Roman"/>
          <w:lang w:val="fr-CA"/>
        </w:rPr>
        <w:t xml:space="preserve"> a eu sur les tribunaux de l’Alberta. L’arrêt </w:t>
      </w:r>
      <w:r w:rsidRPr="005147AC">
        <w:rPr>
          <w:rFonts w:cs="Times New Roman"/>
          <w:i/>
          <w:lang w:val="fr-CA"/>
        </w:rPr>
        <w:t>Khela</w:t>
      </w:r>
      <w:r w:rsidRPr="005147AC">
        <w:rPr>
          <w:rFonts w:cs="Times New Roman"/>
          <w:lang w:val="fr-CA"/>
        </w:rPr>
        <w:t xml:space="preserve"> a entraîné [</w:t>
      </w:r>
      <w:r w:rsidRPr="005147AC">
        <w:rPr>
          <w:rFonts w:cs="Times New Roman"/>
          <w:smallCaps/>
          <w:lang w:val="fr-CA"/>
        </w:rPr>
        <w:t>traduction</w:t>
      </w:r>
      <w:r w:rsidRPr="005147AC">
        <w:rPr>
          <w:rFonts w:cs="Times New Roman"/>
          <w:lang w:val="fr-CA"/>
        </w:rPr>
        <w:t xml:space="preserve">] « une augmentation inhabituelle, si ce n’est sans précédent, des requêtes en </w:t>
      </w:r>
      <w:r w:rsidRPr="005147AC">
        <w:rPr>
          <w:rFonts w:cs="Times New Roman"/>
          <w:i/>
          <w:lang w:val="fr-CA"/>
        </w:rPr>
        <w:t>habeas corpus</w:t>
      </w:r>
      <w:r w:rsidRPr="005147AC">
        <w:rPr>
          <w:rFonts w:cs="Times New Roman"/>
          <w:lang w:val="fr-CA"/>
        </w:rPr>
        <w:t xml:space="preserve"> » présentées par les détenus </w:t>
      </w:r>
      <w:r w:rsidRPr="005147AC">
        <w:rPr>
          <w:rFonts w:cs="Times New Roman"/>
          <w:lang w:val="fr-CA" w:bidi="en-US"/>
        </w:rPr>
        <w:t>(</w:t>
      </w:r>
      <w:r w:rsidRPr="005147AC">
        <w:rPr>
          <w:rFonts w:cs="Times New Roman"/>
          <w:i/>
          <w:lang w:val="fr-CA" w:bidi="en-US"/>
        </w:rPr>
        <w:t>Latham c. Her Majesty the Queen</w:t>
      </w:r>
      <w:r w:rsidRPr="005147AC">
        <w:rPr>
          <w:rFonts w:cs="Times New Roman"/>
          <w:lang w:val="fr-CA" w:bidi="en-US"/>
        </w:rPr>
        <w:t xml:space="preserve">, 2018 ABQB 69, 72 Alta. L.R. (6th) 357, par. 1). Bon nombre de ces requêtes étaient dénuées de fondement ou étaient présentées à des fins non légitimes, comme solution de rechange, plutôt que pour obtenir une libération. Afin de traiter cette augmentation des requêtes déposées, la Cour du Banc de la Reine de l’Alberta a dû adopter une procédure accélérée de révision des requêtes en </w:t>
      </w:r>
      <w:r w:rsidRPr="005147AC">
        <w:rPr>
          <w:rFonts w:cs="Times New Roman"/>
          <w:i/>
          <w:lang w:val="fr-CA" w:bidi="en-US"/>
        </w:rPr>
        <w:t>habeas corpus</w:t>
      </w:r>
      <w:r w:rsidRPr="005147AC">
        <w:rPr>
          <w:rFonts w:cs="Times New Roman"/>
          <w:lang w:val="fr-CA" w:bidi="en-US"/>
        </w:rPr>
        <w:t xml:space="preserve"> (par. 2</w:t>
      </w:r>
      <w:r w:rsidRPr="005147AC">
        <w:rPr>
          <w:rFonts w:cs="Times New Roman"/>
          <w:lang w:val="fr-CA" w:bidi="en-US"/>
        </w:rPr>
        <w:noBreakHyphen/>
        <w:t>13). Par conséquent et conscients de la portée plus limitée de l’arrêt</w:t>
      </w:r>
      <w:r w:rsidRPr="005147AC">
        <w:rPr>
          <w:rFonts w:cs="Times New Roman"/>
          <w:lang w:val="fr-CA"/>
        </w:rPr>
        <w:t xml:space="preserve"> </w:t>
      </w:r>
      <w:r w:rsidRPr="005147AC">
        <w:rPr>
          <w:rFonts w:cs="Times New Roman"/>
          <w:i/>
          <w:lang w:val="fr-CA"/>
        </w:rPr>
        <w:t>Khela</w:t>
      </w:r>
      <w:r w:rsidRPr="005147AC">
        <w:rPr>
          <w:rFonts w:cs="Times New Roman"/>
          <w:lang w:val="fr-CA"/>
        </w:rPr>
        <w:t xml:space="preserve"> comparativement au présent jugement de la majorité, ce dernier mènera à une augmentation semblable de requêtes en </w:t>
      </w:r>
      <w:r w:rsidRPr="005147AC">
        <w:rPr>
          <w:rFonts w:cs="Times New Roman"/>
          <w:i/>
          <w:lang w:val="fr-CA"/>
        </w:rPr>
        <w:t>habeas corpus</w:t>
      </w:r>
      <w:r w:rsidRPr="005147AC">
        <w:rPr>
          <w:rFonts w:cs="Times New Roman"/>
          <w:lang w:val="fr-CA"/>
        </w:rPr>
        <w:t xml:space="preserve"> déposées devant les tribunaux partout au Canada.</w:t>
      </w:r>
    </w:p>
    <w:p w14:paraId="2780280D" w14:textId="77777777" w:rsidR="005147AC" w:rsidRPr="005147AC" w:rsidRDefault="005147AC" w:rsidP="005147AC">
      <w:pPr>
        <w:pStyle w:val="ParaNoNdepar-AltN"/>
        <w:rPr>
          <w:rFonts w:cs="Times New Roman"/>
          <w:lang w:val="fr-CA"/>
        </w:rPr>
      </w:pPr>
      <w:r w:rsidRPr="005147AC">
        <w:rPr>
          <w:rFonts w:cs="Times New Roman"/>
          <w:lang w:val="fr-CA"/>
        </w:rPr>
        <w:t>L’approche de la majorité risque donc de saper une des caractéristiques fondamentales de l’</w:t>
      </w:r>
      <w:r w:rsidRPr="005147AC">
        <w:rPr>
          <w:rFonts w:cs="Times New Roman"/>
          <w:i/>
          <w:lang w:val="fr-CA"/>
        </w:rPr>
        <w:t>habeas corpus</w:t>
      </w:r>
      <w:r w:rsidRPr="005147AC">
        <w:rPr>
          <w:rFonts w:cs="Times New Roman"/>
          <w:lang w:val="fr-CA"/>
        </w:rPr>
        <w:t xml:space="preserve">, à savoir qu’il s’agit d’un recours </w:t>
      </w:r>
      <w:r w:rsidRPr="005147AC">
        <w:rPr>
          <w:rFonts w:cs="Times New Roman"/>
          <w:i/>
          <w:lang w:val="fr-CA"/>
        </w:rPr>
        <w:t>expéditif</w:t>
      </w:r>
      <w:r w:rsidRPr="005147AC">
        <w:rPr>
          <w:rFonts w:cs="Times New Roman"/>
          <w:lang w:val="fr-CA"/>
        </w:rPr>
        <w:t xml:space="preserve"> parce que « [l]</w:t>
      </w:r>
      <w:r w:rsidRPr="005147AC">
        <w:rPr>
          <w:rFonts w:cs="Times New Roman"/>
          <w:szCs w:val="27"/>
          <w:lang w:val="fr-CA"/>
        </w:rPr>
        <w:t>’importance des intérêts en jeu milite alors en faveur d’un règlement rapide des questions litigieuses</w:t>
      </w:r>
      <w:r w:rsidRPr="005147AC">
        <w:rPr>
          <w:rFonts w:cs="Times New Roman"/>
          <w:lang w:val="fr-CA"/>
        </w:rPr>
        <w:t> » (</w:t>
      </w:r>
      <w:r w:rsidRPr="005147AC">
        <w:rPr>
          <w:rFonts w:cs="Times New Roman"/>
          <w:i/>
          <w:lang w:val="fr-CA"/>
        </w:rPr>
        <w:t>May</w:t>
      </w:r>
      <w:r w:rsidRPr="005147AC">
        <w:rPr>
          <w:rFonts w:cs="Times New Roman"/>
          <w:lang w:val="fr-CA"/>
        </w:rPr>
        <w:t xml:space="preserve">, par. 69; voir aussi </w:t>
      </w:r>
      <w:r w:rsidRPr="005147AC">
        <w:rPr>
          <w:rFonts w:cs="Times New Roman"/>
          <w:i/>
          <w:lang w:val="fr-CA"/>
        </w:rPr>
        <w:t>Khela</w:t>
      </w:r>
      <w:r w:rsidRPr="005147AC">
        <w:rPr>
          <w:rFonts w:cs="Times New Roman"/>
          <w:lang w:val="fr-CA"/>
        </w:rPr>
        <w:t xml:space="preserve">, par. 61). Le premier risque est d’ordre pratique : les tribunaux disposent de moyens limités, et les requérants privés illégalement de leur liberté pourraient faire face à des retards dans l’obtention d’une réparation si les tribunaux doivent traiter des requêtes en </w:t>
      </w:r>
      <w:r w:rsidRPr="005147AC">
        <w:rPr>
          <w:rFonts w:cs="Times New Roman"/>
          <w:i/>
          <w:lang w:val="fr-CA"/>
        </w:rPr>
        <w:t>habeas corpus</w:t>
      </w:r>
      <w:r w:rsidRPr="005147AC">
        <w:rPr>
          <w:rFonts w:cs="Times New Roman"/>
          <w:lang w:val="fr-CA"/>
        </w:rPr>
        <w:t xml:space="preserve"> qui ne visent </w:t>
      </w:r>
      <w:r w:rsidRPr="005147AC">
        <w:rPr>
          <w:rFonts w:cs="Times New Roman"/>
          <w:lang w:val="fr-CA"/>
        </w:rPr>
        <w:lastRenderedPageBreak/>
        <w:t xml:space="preserve">pas de véritables privations de liberté et qui soulèvent des questions qu’il vaut mieux laisser à l’appréciation des administrateurs correctionnels. Le deuxième risque est d’ordre normatif : abaisser le seuil établi pour qu’il y ait une privation de liberté diminue l’importance du droit en jeu, ce qui affaiblit l’impératif d’un règlement rapide des requêtes en </w:t>
      </w:r>
      <w:r w:rsidRPr="005147AC">
        <w:rPr>
          <w:rFonts w:cs="Times New Roman"/>
          <w:i/>
          <w:lang w:val="fr-CA"/>
        </w:rPr>
        <w:t>habeas corpus</w:t>
      </w:r>
      <w:r w:rsidRPr="005147AC">
        <w:rPr>
          <w:rFonts w:cs="Times New Roman"/>
          <w:lang w:val="fr-CA"/>
        </w:rPr>
        <w:t>.</w:t>
      </w:r>
    </w:p>
    <w:p w14:paraId="7A8D3EFB" w14:textId="77777777" w:rsidR="005147AC" w:rsidRPr="005147AC" w:rsidRDefault="005147AC" w:rsidP="005147AC">
      <w:pPr>
        <w:pStyle w:val="ParaNoNdepar-AltN"/>
        <w:rPr>
          <w:rFonts w:cs="Times New Roman"/>
          <w:lang w:val="fr-CA"/>
        </w:rPr>
      </w:pPr>
      <w:r w:rsidRPr="005147AC">
        <w:rPr>
          <w:rFonts w:cs="Times New Roman"/>
          <w:lang w:val="fr-CA"/>
        </w:rPr>
        <w:t>Les motifs de la majorité justifient un commentaire additionnel. L’</w:t>
      </w:r>
      <w:r w:rsidRPr="005147AC">
        <w:rPr>
          <w:rFonts w:cs="Times New Roman"/>
          <w:i/>
          <w:lang w:val="fr-CA"/>
        </w:rPr>
        <w:t>habeas corpus</w:t>
      </w:r>
      <w:r w:rsidRPr="005147AC">
        <w:rPr>
          <w:rFonts w:cs="Times New Roman"/>
          <w:lang w:val="fr-CA"/>
        </w:rPr>
        <w:t xml:space="preserve"> n’est pas un moyen permettant de s’attaquer à des enjeux systémiques. La majorité fonde en partie sa justification de l’élargissement de l’</w:t>
      </w:r>
      <w:r w:rsidRPr="005147AC">
        <w:rPr>
          <w:rFonts w:cs="Times New Roman"/>
          <w:i/>
          <w:lang w:val="fr-CA"/>
        </w:rPr>
        <w:t>habeas corpus</w:t>
      </w:r>
      <w:r w:rsidRPr="005147AC">
        <w:rPr>
          <w:rFonts w:cs="Times New Roman"/>
          <w:lang w:val="fr-CA"/>
        </w:rPr>
        <w:t xml:space="preserve"> dans la nécessité de traiter la question de l’attribution d’une cote de sécurité « excessivement élevée » aux détenus issus de certains groupes marginalisés dans l’actuel système administratif carcéral. Toutefois, l’objet de l’</w:t>
      </w:r>
      <w:r w:rsidRPr="005147AC">
        <w:rPr>
          <w:rFonts w:cs="Times New Roman"/>
          <w:i/>
          <w:lang w:val="fr-CA"/>
        </w:rPr>
        <w:t>habeas corpus</w:t>
      </w:r>
      <w:r w:rsidRPr="005147AC">
        <w:rPr>
          <w:rFonts w:cs="Times New Roman"/>
          <w:lang w:val="fr-CA"/>
        </w:rPr>
        <w:t xml:space="preserve"> est de protéger [</w:t>
      </w:r>
      <w:r w:rsidRPr="005147AC">
        <w:rPr>
          <w:rFonts w:cs="Times New Roman"/>
          <w:smallCaps/>
          <w:lang w:val="fr-CA"/>
        </w:rPr>
        <w:t>traduction</w:t>
      </w:r>
      <w:r w:rsidRPr="005147AC">
        <w:rPr>
          <w:rFonts w:cs="Times New Roman"/>
          <w:lang w:val="fr-CA"/>
        </w:rPr>
        <w:t>] « </w:t>
      </w:r>
      <w:r w:rsidRPr="005147AC">
        <w:rPr>
          <w:rFonts w:cs="Times New Roman"/>
          <w:iCs/>
          <w:lang w:val="fr-CA" w:bidi="en-US"/>
        </w:rPr>
        <w:t>des individus contre l’érosion de leur droit de ne pas voir imposer de restrictions abusives à leur liberté »</w:t>
      </w:r>
      <w:r w:rsidRPr="005147AC">
        <w:rPr>
          <w:rFonts w:cs="Times New Roman"/>
          <w:lang w:val="fr-CA"/>
        </w:rPr>
        <w:t xml:space="preserve"> (</w:t>
      </w:r>
      <w:r w:rsidRPr="005147AC">
        <w:rPr>
          <w:rFonts w:cs="Times New Roman"/>
          <w:i/>
          <w:iCs/>
          <w:lang w:val="fr-CA"/>
        </w:rPr>
        <w:t>May</w:t>
      </w:r>
      <w:r w:rsidRPr="005147AC">
        <w:rPr>
          <w:rFonts w:cs="Times New Roman"/>
          <w:lang w:val="fr-CA"/>
        </w:rPr>
        <w:t xml:space="preserve">, par. 21, citant </w:t>
      </w:r>
      <w:r w:rsidRPr="005147AC">
        <w:rPr>
          <w:rFonts w:cs="Times New Roman"/>
          <w:i/>
          <w:iCs/>
          <w:lang w:val="fr-CA"/>
        </w:rPr>
        <w:t>Jones</w:t>
      </w:r>
      <w:r w:rsidRPr="005147AC">
        <w:rPr>
          <w:rFonts w:cs="Times New Roman"/>
          <w:lang w:val="fr-CA"/>
        </w:rPr>
        <w:t>, p. 243). Le bref d’</w:t>
      </w:r>
      <w:r w:rsidRPr="005147AC">
        <w:rPr>
          <w:rFonts w:cs="Times New Roman"/>
          <w:i/>
          <w:lang w:val="fr-CA"/>
        </w:rPr>
        <w:t>habeas corpus</w:t>
      </w:r>
      <w:r w:rsidRPr="005147AC">
        <w:rPr>
          <w:rFonts w:cs="Times New Roman"/>
          <w:lang w:val="fr-CA"/>
        </w:rPr>
        <w:t xml:space="preserve"> est donc axé sur une revendication individuelle de détention illégale. La majorité entreprend une tâche périlleuse d’élargissement de sa portée pour aborder la question plus générale de l’attribution d’une cote de sécurité excessivement élevée, en particulier sans analyser plus à fond les racines complexes de cette question.</w:t>
      </w:r>
    </w:p>
    <w:p w14:paraId="17B60F3C" w14:textId="64B79917" w:rsidR="005147AC" w:rsidRPr="005147AC" w:rsidRDefault="005147AC" w:rsidP="00EA0616">
      <w:pPr>
        <w:pStyle w:val="Title4LevelTitre4Niveau"/>
        <w:numPr>
          <w:ilvl w:val="1"/>
          <w:numId w:val="42"/>
        </w:numPr>
        <w:ind w:left="1134" w:hanging="774"/>
        <w:jc w:val="both"/>
        <w:rPr>
          <w:rFonts w:cs="Times New Roman"/>
          <w:lang w:val="fr-CA"/>
        </w:rPr>
      </w:pPr>
      <w:r w:rsidRPr="005147AC">
        <w:rPr>
          <w:rFonts w:cs="Times New Roman"/>
          <w:lang w:val="fr-CA"/>
        </w:rPr>
        <w:t xml:space="preserve">La deuxième étape dans l’analyse de l’habeas corpus doit être renforcée et expliquée pour qu’elle puisse avoir comme effet d’écarter des demandes frivoles </w:t>
      </w:r>
    </w:p>
    <w:p w14:paraId="3E732193" w14:textId="77777777" w:rsidR="005147AC" w:rsidRPr="005147AC" w:rsidRDefault="005147AC" w:rsidP="005147AC">
      <w:pPr>
        <w:pStyle w:val="ParaNoNdepar-AltN"/>
        <w:rPr>
          <w:rFonts w:cs="Times New Roman"/>
          <w:lang w:val="fr-CA"/>
        </w:rPr>
      </w:pPr>
      <w:r w:rsidRPr="005147AC">
        <w:rPr>
          <w:rFonts w:cs="Times New Roman"/>
          <w:lang w:val="fr-CA"/>
        </w:rPr>
        <w:t>La majorité soutient que la portée élargie de l’</w:t>
      </w:r>
      <w:r w:rsidRPr="005147AC">
        <w:rPr>
          <w:rFonts w:cs="Times New Roman"/>
          <w:i/>
          <w:lang w:val="fr-CA"/>
        </w:rPr>
        <w:t>habeas corpus</w:t>
      </w:r>
      <w:r w:rsidRPr="005147AC">
        <w:rPr>
          <w:rFonts w:cs="Times New Roman"/>
          <w:lang w:val="fr-CA"/>
        </w:rPr>
        <w:t xml:space="preserve"> qu’elle propose n’entraînera pas d’avalanche de demandes parce que les tribunaux sont en </w:t>
      </w:r>
      <w:r w:rsidRPr="005147AC">
        <w:rPr>
          <w:rFonts w:cs="Times New Roman"/>
          <w:lang w:val="fr-CA"/>
        </w:rPr>
        <w:lastRenderedPageBreak/>
        <w:t xml:space="preserve">mesure de refuser d’entendre une affaire sur le fond si le demandeur ne soulève pas de motif légitime à la deuxième étape de l’analyse. Avec égards, nous ne sommes pas de cet avis. </w:t>
      </w:r>
    </w:p>
    <w:p w14:paraId="61DBE7C1" w14:textId="77777777" w:rsidR="005147AC" w:rsidRPr="005147AC" w:rsidRDefault="005147AC" w:rsidP="005147AC">
      <w:pPr>
        <w:pStyle w:val="ParaNoNdepar-AltN"/>
        <w:rPr>
          <w:rFonts w:cs="Times New Roman"/>
          <w:lang w:val="fr-CA"/>
        </w:rPr>
      </w:pPr>
      <w:r w:rsidRPr="005147AC">
        <w:rPr>
          <w:rFonts w:cs="Times New Roman"/>
          <w:lang w:val="fr-CA"/>
        </w:rPr>
        <w:t xml:space="preserve">La majorité omet de prendre en considération le contexte procédural dans lequel les requêtes en </w:t>
      </w:r>
      <w:r w:rsidRPr="005147AC">
        <w:rPr>
          <w:rFonts w:cs="Times New Roman"/>
          <w:i/>
          <w:lang w:val="fr-CA"/>
        </w:rPr>
        <w:t>habeas corpus</w:t>
      </w:r>
      <w:r w:rsidRPr="005147AC">
        <w:rPr>
          <w:rFonts w:cs="Times New Roman"/>
          <w:lang w:val="fr-CA"/>
        </w:rPr>
        <w:t xml:space="preserve"> sont présentées. Comme nous l’avons indiqué ci</w:t>
      </w:r>
      <w:r w:rsidRPr="005147AC">
        <w:rPr>
          <w:rFonts w:cs="Times New Roman"/>
          <w:lang w:val="fr-CA"/>
        </w:rPr>
        <w:noBreakHyphen/>
        <w:t xml:space="preserve">dessus, étant donné que la liberté d’une personne est potentiellement en jeu, les tribunaux traitent rapidement des requêtes en </w:t>
      </w:r>
      <w:r w:rsidRPr="005147AC">
        <w:rPr>
          <w:rFonts w:cs="Times New Roman"/>
          <w:i/>
          <w:lang w:val="fr-CA"/>
        </w:rPr>
        <w:t>habeas corpus</w:t>
      </w:r>
      <w:r w:rsidRPr="005147AC">
        <w:rPr>
          <w:rFonts w:cs="Times New Roman"/>
          <w:lang w:val="fr-CA"/>
        </w:rPr>
        <w:t xml:space="preserve"> (voir, p. ex., </w:t>
      </w:r>
      <w:r w:rsidRPr="005147AC">
        <w:rPr>
          <w:rFonts w:cs="Times New Roman"/>
          <w:i/>
          <w:lang w:val="fr-CA"/>
        </w:rPr>
        <w:t>Loi sur l’habeas corpus</w:t>
      </w:r>
      <w:r w:rsidRPr="005147AC">
        <w:rPr>
          <w:rFonts w:cs="Times New Roman"/>
          <w:lang w:val="fr-CA"/>
        </w:rPr>
        <w:t>, par. 1(2);</w:t>
      </w:r>
      <w:r w:rsidRPr="005147AC">
        <w:rPr>
          <w:rFonts w:cs="Times New Roman"/>
          <w:i/>
          <w:lang w:val="fr-CA"/>
        </w:rPr>
        <w:t xml:space="preserve"> Code de procédure civile</w:t>
      </w:r>
      <w:r w:rsidRPr="005147AC">
        <w:rPr>
          <w:rFonts w:cs="Times New Roman"/>
          <w:lang w:val="fr-CA"/>
        </w:rPr>
        <w:t>, RLRQ, c. C</w:t>
      </w:r>
      <w:r w:rsidRPr="005147AC">
        <w:rPr>
          <w:rFonts w:cs="Times New Roman"/>
          <w:lang w:val="fr-CA"/>
        </w:rPr>
        <w:noBreakHyphen/>
        <w:t>25.01, art. 399). Dans le passé, la requête visant obtention d’un bref d’</w:t>
      </w:r>
      <w:r w:rsidRPr="005147AC">
        <w:rPr>
          <w:rFonts w:cs="Times New Roman"/>
          <w:i/>
          <w:lang w:val="fr-CA"/>
        </w:rPr>
        <w:t>habeas corpus</w:t>
      </w:r>
      <w:r w:rsidRPr="005147AC">
        <w:rPr>
          <w:rFonts w:cs="Times New Roman"/>
          <w:lang w:val="fr-CA"/>
        </w:rPr>
        <w:t xml:space="preserve"> entraînait un processus à deux étapes dans lequel le juge qui entendait la requête devait déterminer s’il existait un motif légitime justifiant la plainte et, par la suite, dans l’affirmative, le bref était délivré et il était statué sur le fond après le rapport du bref (</w:t>
      </w:r>
      <w:r w:rsidRPr="005147AC">
        <w:rPr>
          <w:rFonts w:cs="Times New Roman"/>
          <w:i/>
          <w:lang w:val="fr-CA"/>
        </w:rPr>
        <w:t>R. c. Olson</w:t>
      </w:r>
      <w:r w:rsidRPr="005147AC">
        <w:rPr>
          <w:rFonts w:cs="Times New Roman"/>
          <w:lang w:val="fr-CA"/>
        </w:rPr>
        <w:t>, [1989] 1 R.C.S. 296). Toutefois, c’est [</w:t>
      </w:r>
      <w:r w:rsidRPr="005147AC">
        <w:rPr>
          <w:rFonts w:cs="Times New Roman"/>
          <w:smallCaps/>
          <w:lang w:val="fr-CA"/>
        </w:rPr>
        <w:t>traduction</w:t>
      </w:r>
      <w:r w:rsidRPr="005147AC">
        <w:rPr>
          <w:rFonts w:cs="Times New Roman"/>
          <w:lang w:val="fr-CA"/>
        </w:rPr>
        <w:t>] « désormais presque inévitablement le cas que l’audition de la requête en vue du bref devient une audition sur le fond » (</w:t>
      </w:r>
      <w:r w:rsidRPr="005147AC">
        <w:rPr>
          <w:rFonts w:cs="Times New Roman"/>
          <w:lang w:val="fr-CA" w:bidi="en-US"/>
        </w:rPr>
        <w:t xml:space="preserve">Farbey et Sharpe, p. 235; R. E. Salhany, </w:t>
      </w:r>
      <w:r w:rsidRPr="005147AC">
        <w:rPr>
          <w:rFonts w:cs="Times New Roman"/>
          <w:i/>
          <w:lang w:val="fr-CA" w:bidi="en-US"/>
        </w:rPr>
        <w:t>Canadian Criminal Procedure</w:t>
      </w:r>
      <w:r w:rsidRPr="005147AC">
        <w:rPr>
          <w:rFonts w:cs="Times New Roman"/>
          <w:lang w:val="fr-CA" w:bidi="en-US"/>
        </w:rPr>
        <w:t xml:space="preserve"> (6</w:t>
      </w:r>
      <w:r w:rsidRPr="005147AC">
        <w:rPr>
          <w:rFonts w:cs="Times New Roman"/>
          <w:vertAlign w:val="superscript"/>
          <w:lang w:val="fr-CA" w:bidi="en-US"/>
        </w:rPr>
        <w:t>e</w:t>
      </w:r>
      <w:r w:rsidRPr="005147AC">
        <w:rPr>
          <w:rFonts w:cs="Times New Roman"/>
          <w:lang w:val="fr-CA" w:bidi="en-US"/>
        </w:rPr>
        <w:t xml:space="preserve"> éd. (feuilles mobiles)), </w:t>
      </w:r>
      <w:r w:rsidRPr="005147AC">
        <w:rPr>
          <w:rFonts w:cs="Times New Roman"/>
          <w:bCs/>
          <w:lang w:val="fr-CA" w:bidi="en-US"/>
        </w:rPr>
        <w:t>§ 10:5)</w:t>
      </w:r>
      <w:r w:rsidRPr="005147AC">
        <w:rPr>
          <w:rFonts w:cs="Times New Roman"/>
          <w:lang w:val="fr-CA" w:bidi="en-US"/>
        </w:rPr>
        <w:t>.</w:t>
      </w:r>
    </w:p>
    <w:p w14:paraId="4C56D1C5" w14:textId="77777777" w:rsidR="005147AC" w:rsidRPr="005147AC" w:rsidRDefault="005147AC" w:rsidP="005147AC">
      <w:pPr>
        <w:pStyle w:val="ParaNoNdepar-AltN"/>
        <w:rPr>
          <w:rFonts w:cs="Times New Roman"/>
          <w:lang w:val="fr-CA"/>
        </w:rPr>
      </w:pPr>
      <w:r w:rsidRPr="005147AC">
        <w:rPr>
          <w:rFonts w:cs="Times New Roman"/>
          <w:lang w:val="fr-CA"/>
        </w:rPr>
        <w:t xml:space="preserve">Dans ces circonstances, il serait étonnant que les tribunaux considèrent frivole une requête en </w:t>
      </w:r>
      <w:r w:rsidRPr="005147AC">
        <w:rPr>
          <w:rFonts w:cs="Times New Roman"/>
          <w:i/>
          <w:lang w:val="fr-CA"/>
        </w:rPr>
        <w:t>habeas corpus</w:t>
      </w:r>
      <w:r w:rsidRPr="005147AC">
        <w:rPr>
          <w:rFonts w:cs="Times New Roman"/>
          <w:lang w:val="fr-CA"/>
        </w:rPr>
        <w:t xml:space="preserve"> comme la présente, étant donné qu’à la lumière du jugement de la majorité, les détenus démontreront facilement une privation de liberté. </w:t>
      </w:r>
    </w:p>
    <w:p w14:paraId="39BA59AB" w14:textId="77777777" w:rsidR="005147AC" w:rsidRPr="005147AC" w:rsidRDefault="005147AC" w:rsidP="005147AC">
      <w:pPr>
        <w:pStyle w:val="ParaNoNdepar-AltN"/>
        <w:rPr>
          <w:rFonts w:cs="Times New Roman"/>
          <w:lang w:val="fr-CA"/>
        </w:rPr>
      </w:pPr>
      <w:r w:rsidRPr="005147AC">
        <w:rPr>
          <w:rFonts w:cs="Times New Roman"/>
          <w:lang w:val="fr-CA"/>
        </w:rPr>
        <w:lastRenderedPageBreak/>
        <w:t>La deuxième étape de l’analyse de l’</w:t>
      </w:r>
      <w:r w:rsidRPr="005147AC">
        <w:rPr>
          <w:rFonts w:cs="Times New Roman"/>
          <w:i/>
          <w:lang w:val="fr-CA"/>
        </w:rPr>
        <w:t>habeas corpus</w:t>
      </w:r>
      <w:r w:rsidRPr="005147AC">
        <w:rPr>
          <w:rFonts w:cs="Times New Roman"/>
          <w:lang w:val="fr-CA"/>
        </w:rPr>
        <w:t xml:space="preserve"> n’empêchera pas non plus l’utilisation inadéquate du bref à laquelle les motifs de la majorité invitent, étant donné que, selon la majorité, le requérant doit seulement soulever « une question défendable et présenter un fondement juridique solide à l’appui de sa demande » (par. 74). La majorité n’explique pas ce que cette norme signifie ni comment l’appliquer. De fait, la jurisprudence — qui traite abondamment de la deuxième ou de la troisième catégorie de l’arrêt </w:t>
      </w:r>
      <w:r w:rsidRPr="005147AC">
        <w:rPr>
          <w:rFonts w:cs="Times New Roman"/>
          <w:i/>
          <w:lang w:val="fr-CA"/>
        </w:rPr>
        <w:t>Dumas</w:t>
      </w:r>
      <w:r w:rsidRPr="005147AC">
        <w:rPr>
          <w:rFonts w:cs="Times New Roman"/>
          <w:lang w:val="fr-CA"/>
        </w:rPr>
        <w:t>, comme nous l’interprétons (c.</w:t>
      </w:r>
      <w:r w:rsidRPr="005147AC">
        <w:rPr>
          <w:rFonts w:cs="Times New Roman"/>
          <w:lang w:val="fr-CA"/>
        </w:rPr>
        <w:noBreakHyphen/>
        <w:t>à</w:t>
      </w:r>
      <w:r w:rsidRPr="005147AC">
        <w:rPr>
          <w:rFonts w:cs="Times New Roman"/>
          <w:lang w:val="fr-CA"/>
        </w:rPr>
        <w:noBreakHyphen/>
        <w:t>d., comme exigeant un droit à une plus grande liberté) — suggère qu’il s’agit d’un seuil peu élevé. Elle n’exige rien de plus que « de[s] raisons de mettre en doute » la légalité de la détention (</w:t>
      </w:r>
      <w:r w:rsidRPr="005147AC">
        <w:rPr>
          <w:rFonts w:cs="Times New Roman"/>
          <w:i/>
          <w:iCs/>
          <w:lang w:val="fr-CA"/>
        </w:rPr>
        <w:t>May</w:t>
      </w:r>
      <w:r w:rsidRPr="005147AC">
        <w:rPr>
          <w:rFonts w:cs="Times New Roman"/>
          <w:lang w:val="fr-CA"/>
        </w:rPr>
        <w:t>, par. 71) ou « </w:t>
      </w:r>
      <w:r w:rsidRPr="005147AC">
        <w:rPr>
          <w:rFonts w:cs="Times New Roman"/>
          <w:u w:val="single"/>
          <w:lang w:val="fr-CA"/>
        </w:rPr>
        <w:t>quelque</w:t>
      </w:r>
      <w:r w:rsidRPr="005147AC">
        <w:rPr>
          <w:rFonts w:cs="Times New Roman"/>
          <w:lang w:val="fr-CA"/>
        </w:rPr>
        <w:t xml:space="preserve"> fondement permettant de conclure à l’illégalité de la détention » (</w:t>
      </w:r>
      <w:r w:rsidRPr="005147AC">
        <w:rPr>
          <w:rFonts w:cs="Times New Roman"/>
          <w:i/>
          <w:iCs/>
          <w:lang w:val="fr-CA"/>
        </w:rPr>
        <w:t>Khela</w:t>
      </w:r>
      <w:r w:rsidRPr="005147AC">
        <w:rPr>
          <w:rFonts w:cs="Times New Roman"/>
          <w:lang w:val="fr-CA"/>
        </w:rPr>
        <w:t xml:space="preserve">, par. 41, nous soulignons). </w:t>
      </w:r>
    </w:p>
    <w:p w14:paraId="3D0ECC90" w14:textId="77777777" w:rsidR="005147AC" w:rsidRPr="005147AC" w:rsidRDefault="005147AC" w:rsidP="005147AC">
      <w:pPr>
        <w:pStyle w:val="ParaNoNdepar-AltN"/>
        <w:rPr>
          <w:rFonts w:cs="Times New Roman"/>
          <w:lang w:val="fr-CA"/>
        </w:rPr>
      </w:pPr>
      <w:r w:rsidRPr="005147AC">
        <w:rPr>
          <w:rFonts w:cs="Times New Roman"/>
          <w:lang w:val="fr-CA"/>
        </w:rPr>
        <w:t>Une privation de liberté peut être illégale si le processus décisionnel n’est pas équitable sur le plan procédural, comme c’était le cas dans les arrêts</w:t>
      </w:r>
      <w:r w:rsidRPr="005147AC">
        <w:rPr>
          <w:rFonts w:cs="Times New Roman"/>
          <w:i/>
          <w:lang w:val="fr-CA"/>
        </w:rPr>
        <w:t xml:space="preserve"> Cardinal</w:t>
      </w:r>
      <w:r w:rsidRPr="005147AC">
        <w:rPr>
          <w:rFonts w:cs="Times New Roman"/>
          <w:lang w:val="fr-CA"/>
        </w:rPr>
        <w:t xml:space="preserve"> et </w:t>
      </w:r>
      <w:r w:rsidRPr="005147AC">
        <w:rPr>
          <w:rFonts w:cs="Times New Roman"/>
          <w:i/>
          <w:lang w:val="fr-CA"/>
        </w:rPr>
        <w:t>Khela</w:t>
      </w:r>
      <w:r w:rsidRPr="005147AC">
        <w:rPr>
          <w:rFonts w:cs="Times New Roman"/>
          <w:lang w:val="fr-CA"/>
        </w:rPr>
        <w:t xml:space="preserve">, ou lorsque le décideur n’est pas habilité à ordonner la détention, comme c’était le cas dans l’arrêt </w:t>
      </w:r>
      <w:r w:rsidRPr="005147AC">
        <w:rPr>
          <w:rFonts w:cs="Times New Roman"/>
          <w:i/>
          <w:lang w:val="fr-CA"/>
        </w:rPr>
        <w:t>Dumas</w:t>
      </w:r>
      <w:r w:rsidRPr="005147AC">
        <w:rPr>
          <w:rFonts w:cs="Times New Roman"/>
          <w:lang w:val="fr-CA"/>
        </w:rPr>
        <w:t xml:space="preserve">. La majorité suggère même qu’un requérant peut établir que la décision était illégale si elle ne s’appuie pas sur une preuve suffisante ou si elle est arbitraire ou déraisonnable (motifs de la majorité, par. 45, citant </w:t>
      </w:r>
      <w:r w:rsidRPr="005147AC">
        <w:rPr>
          <w:rFonts w:cs="Times New Roman"/>
          <w:i/>
          <w:lang w:val="fr-CA"/>
        </w:rPr>
        <w:t>Khela</w:t>
      </w:r>
      <w:r w:rsidRPr="005147AC">
        <w:rPr>
          <w:rFonts w:cs="Times New Roman"/>
          <w:lang w:val="fr-CA"/>
        </w:rPr>
        <w:t xml:space="preserve">, par. 67). Si tout ce qui est requis d’un détenu à la deuxième étape est qu’il invoque l’un de ces « fondement[s] juridique[s] solide[s] » et qu’il soulève « une question </w:t>
      </w:r>
      <w:r w:rsidRPr="005147AC">
        <w:rPr>
          <w:rFonts w:cs="Times New Roman"/>
          <w:u w:val="single"/>
          <w:lang w:val="fr-CA"/>
        </w:rPr>
        <w:t>défendable</w:t>
      </w:r>
      <w:r w:rsidRPr="005147AC">
        <w:rPr>
          <w:rFonts w:cs="Times New Roman"/>
          <w:lang w:val="fr-CA"/>
        </w:rPr>
        <w:t> » ou « </w:t>
      </w:r>
      <w:r w:rsidRPr="005147AC">
        <w:rPr>
          <w:rFonts w:cs="Times New Roman"/>
          <w:lang w:val="fr-CA" w:bidi="en-US"/>
        </w:rPr>
        <w:t>quelque fondement » permettant de conclure à l’illégalité de la détention,</w:t>
      </w:r>
      <w:r w:rsidRPr="005147AC">
        <w:rPr>
          <w:rFonts w:cs="Times New Roman"/>
          <w:lang w:val="fr-CA"/>
        </w:rPr>
        <w:t xml:space="preserve"> le tribunal ne rejettera probablement pas aisément la requête et procédera plutôt à l’instruire sur le fond (motifs de la majorité, par. 46</w:t>
      </w:r>
      <w:r w:rsidRPr="005147AC">
        <w:rPr>
          <w:rFonts w:cs="Times New Roman"/>
          <w:lang w:val="fr-CA"/>
        </w:rPr>
        <w:noBreakHyphen/>
        <w:t>47, 74 et 76</w:t>
      </w:r>
      <w:r w:rsidRPr="005147AC">
        <w:rPr>
          <w:rFonts w:cs="Times New Roman"/>
          <w:lang w:val="fr-CA"/>
        </w:rPr>
        <w:noBreakHyphen/>
        <w:t xml:space="preserve">77 (nous soulignons)). En pratique, </w:t>
      </w:r>
      <w:r w:rsidRPr="005147AC">
        <w:rPr>
          <w:rFonts w:cs="Times New Roman"/>
          <w:lang w:val="fr-CA"/>
        </w:rPr>
        <w:lastRenderedPageBreak/>
        <w:t xml:space="preserve">les autorités correctionnelles devront justifier auprès du tribunal tout refus d’attribution d’une cote de sécurité moins élevée. </w:t>
      </w:r>
    </w:p>
    <w:p w14:paraId="7BCA892D" w14:textId="77777777" w:rsidR="005147AC" w:rsidRPr="005147AC" w:rsidRDefault="005147AC" w:rsidP="005147AC">
      <w:pPr>
        <w:pStyle w:val="ParaNoNdepar-AltN"/>
        <w:rPr>
          <w:rFonts w:cs="Times New Roman"/>
          <w:lang w:val="fr-CA"/>
        </w:rPr>
      </w:pPr>
      <w:r w:rsidRPr="005147AC">
        <w:rPr>
          <w:rFonts w:cs="Times New Roman"/>
          <w:lang w:val="fr-CA"/>
        </w:rPr>
        <w:t xml:space="preserve">En outre, comme la majorité n’entreprend pas d’analyse de la deuxième étape dans la présente affaire, ses motifs ne donnent aucune directive ni ne démontrent la manière d’écarter les demandes frivoles à cette étape. Au contraire, compte tenu des directives de la majorité, y compris celles relatives au danger que constitue l’attribution d’une cote de sécurité excessivement élevée, les tribunaux pourraient fort probablement avoir à trancher l’affaire sur le fond. </w:t>
      </w:r>
    </w:p>
    <w:p w14:paraId="23FD6D86" w14:textId="77777777" w:rsidR="005147AC" w:rsidRPr="005147AC" w:rsidRDefault="005147AC" w:rsidP="005147AC">
      <w:pPr>
        <w:pStyle w:val="ParaNoNdepar-AltN"/>
        <w:rPr>
          <w:rFonts w:cs="Times New Roman"/>
          <w:lang w:val="fr-CA"/>
        </w:rPr>
      </w:pPr>
      <w:r w:rsidRPr="005147AC">
        <w:rPr>
          <w:rFonts w:cs="Times New Roman"/>
          <w:lang w:val="fr-CA"/>
        </w:rPr>
        <w:t>Par conséquent, la deuxième étape du test n’empêchera pas en définitive qu’une avalanche de demandes soient entendues par les tribunaux.</w:t>
      </w:r>
    </w:p>
    <w:p w14:paraId="4C5F6FFE" w14:textId="77777777" w:rsidR="005147AC" w:rsidRPr="005147AC" w:rsidRDefault="005147AC" w:rsidP="005147AC">
      <w:pPr>
        <w:pStyle w:val="Title3LevelTitre3Niveau"/>
        <w:numPr>
          <w:ilvl w:val="0"/>
          <w:numId w:val="38"/>
        </w:numPr>
        <w:ind w:left="1134" w:hanging="567"/>
        <w:jc w:val="both"/>
        <w:rPr>
          <w:rFonts w:cs="Times New Roman"/>
          <w:lang w:val="fr-CA"/>
        </w:rPr>
      </w:pPr>
      <w:r w:rsidRPr="005147AC">
        <w:rPr>
          <w:rFonts w:cs="Times New Roman"/>
          <w:lang w:val="fr-CA"/>
        </w:rPr>
        <w:t>Le contrôle selon la norme de la décision raisonnable devrait demeurer le domaine exclusif de la Cour fédérale</w:t>
      </w:r>
    </w:p>
    <w:p w14:paraId="0458339A" w14:textId="77777777" w:rsidR="005147AC" w:rsidRPr="005147AC" w:rsidRDefault="005147AC" w:rsidP="005147AC">
      <w:pPr>
        <w:pStyle w:val="ParaNoNdepar-AltN"/>
        <w:rPr>
          <w:rFonts w:cs="Times New Roman"/>
          <w:lang w:val="fr-CA"/>
        </w:rPr>
      </w:pPr>
      <w:r w:rsidRPr="005147AC">
        <w:rPr>
          <w:rFonts w:cs="Times New Roman"/>
          <w:lang w:val="fr-CA"/>
        </w:rPr>
        <w:t>Le contrôle judiciaire des décisions administratives en matière correctionnelle effectué selon la norme de la décision raisonnable devrait demeurer le domaine exclusif de la Cour fédérale, conformément à ce que le Parlement a prévu. Il en est ainsi pour plusieurs raisons.</w:t>
      </w:r>
    </w:p>
    <w:p w14:paraId="46C043A2" w14:textId="77777777" w:rsidR="005147AC" w:rsidRPr="005147AC" w:rsidRDefault="005147AC" w:rsidP="005147AC">
      <w:pPr>
        <w:pStyle w:val="ParaNoNdepar-AltN"/>
        <w:rPr>
          <w:rFonts w:cs="Times New Roman"/>
          <w:lang w:val="fr-CA"/>
        </w:rPr>
      </w:pPr>
      <w:r w:rsidRPr="005147AC">
        <w:rPr>
          <w:rFonts w:cs="Times New Roman"/>
          <w:lang w:val="fr-CA"/>
        </w:rPr>
        <w:t xml:space="preserve">Premièrement, comme la Cour fédérale a l’habitude de procéder à ce type de contrôle dans le fonctionnement des établissements correctionnels, la déférence voulue peut être accordée aux décisions des administrateurs correctionnels. Il faut </w:t>
      </w:r>
      <w:r w:rsidRPr="005147AC">
        <w:rPr>
          <w:rFonts w:cs="Times New Roman"/>
          <w:lang w:val="fr-CA"/>
        </w:rPr>
        <w:lastRenderedPageBreak/>
        <w:t>garder à l’esprit que l’</w:t>
      </w:r>
      <w:r w:rsidRPr="005147AC">
        <w:rPr>
          <w:rFonts w:cs="Times New Roman"/>
          <w:i/>
          <w:lang w:val="fr-CA"/>
        </w:rPr>
        <w:t xml:space="preserve">habeas corpus </w:t>
      </w:r>
      <w:r w:rsidRPr="005147AC">
        <w:rPr>
          <w:rFonts w:cs="Times New Roman"/>
          <w:lang w:val="fr-CA"/>
        </w:rPr>
        <w:t>est un recours circonscrit. Il n’est pas large au point de permettre de soupeser à nouveau les nombreux facteurs quantitatifs et qualitatifs qui entrent en jeu dans l’attribution des cotes de sécurité. L’</w:t>
      </w:r>
      <w:r w:rsidRPr="005147AC">
        <w:rPr>
          <w:rFonts w:cs="Times New Roman"/>
          <w:i/>
          <w:lang w:val="fr-CA"/>
        </w:rPr>
        <w:t>habeas corpus</w:t>
      </w:r>
      <w:r w:rsidRPr="005147AC">
        <w:rPr>
          <w:rFonts w:cs="Times New Roman"/>
          <w:lang w:val="fr-CA"/>
        </w:rPr>
        <w:t xml:space="preserve"> est un instrument très radical et son objectif est singulier : déterminer si la privation de liberté est légale. Il y a lieu de faire preuve de déférence à l’égard des décisions des administrateurs correctionnels parce que, entre autres, ils ont une meilleure compréhension de la culture des pénitenciers et du comportement des détenus qui sous</w:t>
      </w:r>
      <w:r w:rsidRPr="005147AC">
        <w:rPr>
          <w:rFonts w:cs="Times New Roman"/>
          <w:lang w:val="fr-CA"/>
        </w:rPr>
        <w:noBreakHyphen/>
        <w:t xml:space="preserve">tendent les décisions sur l’attribution des cotes de sécurité. Cette compréhension découle de leur expérience, comme l’a reconnu le juge LeBel dans l’arrêt </w:t>
      </w:r>
      <w:r w:rsidRPr="005147AC">
        <w:rPr>
          <w:rFonts w:cs="Times New Roman"/>
          <w:i/>
          <w:lang w:val="fr-CA"/>
        </w:rPr>
        <w:t>Khela</w:t>
      </w:r>
      <w:r w:rsidRPr="005147AC">
        <w:rPr>
          <w:rFonts w:cs="Times New Roman"/>
          <w:iCs/>
          <w:lang w:val="fr-CA"/>
        </w:rPr>
        <w:t xml:space="preserve">, </w:t>
      </w:r>
      <w:r w:rsidRPr="005147AC">
        <w:rPr>
          <w:rFonts w:cs="Times New Roman"/>
          <w:lang w:val="fr-CA"/>
        </w:rPr>
        <w:t>par. 76 :</w:t>
      </w:r>
    </w:p>
    <w:p w14:paraId="58EF6987" w14:textId="77777777" w:rsidR="005147AC" w:rsidRPr="005147AC" w:rsidRDefault="005147AC" w:rsidP="005147AC">
      <w:pPr>
        <w:pStyle w:val="Citation-AltC"/>
        <w:ind w:left="1168" w:hanging="1168"/>
        <w:rPr>
          <w:lang w:val="fr-CA"/>
        </w:rPr>
      </w:pPr>
      <w:r w:rsidRPr="005147AC">
        <w:rPr>
          <w:lang w:val="fr-CA"/>
        </w:rPr>
        <w:tab/>
      </w:r>
      <w:r w:rsidRPr="005147AC">
        <w:rPr>
          <w:lang w:val="fr-CA"/>
        </w:rPr>
        <w:tab/>
        <w:t xml:space="preserve">La décision ordonnant un transfèrement, tout comme la décision faisant l’objet de l’arrêt </w:t>
      </w:r>
      <w:r w:rsidRPr="005147AC">
        <w:rPr>
          <w:i/>
          <w:iCs/>
          <w:lang w:val="fr-CA"/>
        </w:rPr>
        <w:t>Lake</w:t>
      </w:r>
      <w:r w:rsidRPr="005147AC">
        <w:rPr>
          <w:lang w:val="fr-CA"/>
        </w:rPr>
        <w:t>, « tient en grande partie aux faits, et le [décideur] doit soupeser divers facteurs dont l’“aspect juridique est négligeable” » (</w:t>
      </w:r>
      <w:r w:rsidRPr="005147AC">
        <w:rPr>
          <w:i/>
          <w:iCs/>
          <w:lang w:val="fr-CA"/>
        </w:rPr>
        <w:t>Lake c. Canada (Ministre de la Justice)</w:t>
      </w:r>
      <w:r w:rsidRPr="005147AC">
        <w:rPr>
          <w:lang w:val="fr-CA"/>
        </w:rPr>
        <w:t>, 2008 CSC 23, [2008] 1 R.C.S. 761, par. 38 et 41). La loi énonce un certain nombre de facteurs dont doivent tenir compte les directeurs lorsqu’ils procèdent à un transfèrement : les détenus doivent être placés dans un établissement dont le niveau de sécurité est le moins restrictif nécessaire pour assurer la sécurité du public, du personnel et des autres détenus; ils devraient avoir accès à la collectivité à laquelle ils appartiennent et à leur famille, et ils devraient être transférés dans un milieu culturel et linguistique compatible (</w:t>
      </w:r>
      <w:r w:rsidRPr="005147AC">
        <w:rPr>
          <w:i/>
          <w:iCs/>
          <w:lang w:val="fr-CA"/>
        </w:rPr>
        <w:t>LSCMLC</w:t>
      </w:r>
      <w:r w:rsidRPr="005147AC">
        <w:rPr>
          <w:lang w:val="fr-CA"/>
        </w:rPr>
        <w:t xml:space="preserve">, art. 28). </w:t>
      </w:r>
      <w:r w:rsidRPr="005147AC">
        <w:rPr>
          <w:u w:val="single"/>
          <w:lang w:val="fr-CA"/>
        </w:rPr>
        <w:t>Pour déterminer si un détenu constitue une menace pour la sécurité du pénitencier ou pour les personnes qui y vivent et y travaillent, il faut une connaissance approfondie de la culture du pénitencier et du comportement des personnes qui s’y trouvent. Les directeurs et le commissaire possèdent, plus que les juges des cours supérieures provinciales, cette connaissance approfondie et l’expérience pratique connexe.</w:t>
      </w:r>
      <w:r w:rsidRPr="005147AC">
        <w:rPr>
          <w:lang w:val="fr-CA"/>
        </w:rPr>
        <w:t xml:space="preserve"> [Nous soulignons.]</w:t>
      </w:r>
    </w:p>
    <w:p w14:paraId="73B04B6A" w14:textId="77777777" w:rsidR="005147AC" w:rsidRPr="005147AC" w:rsidRDefault="005147AC" w:rsidP="005147AC">
      <w:pPr>
        <w:pStyle w:val="ParaNoNdepar-AltN"/>
        <w:rPr>
          <w:rFonts w:cs="Times New Roman"/>
          <w:lang w:val="fr-CA"/>
        </w:rPr>
      </w:pPr>
      <w:r w:rsidRPr="005147AC">
        <w:rPr>
          <w:rFonts w:cs="Times New Roman"/>
          <w:lang w:val="fr-CA"/>
        </w:rPr>
        <w:t xml:space="preserve">Bien que nous souscrivions aux commentaires du juge LeBel selon lesquels les administrateurs correctionnels possèdent un « degré plus élevé » de connaissances </w:t>
      </w:r>
      <w:r w:rsidRPr="005147AC">
        <w:rPr>
          <w:rFonts w:cs="Times New Roman"/>
          <w:lang w:val="fr-CA"/>
        </w:rPr>
        <w:lastRenderedPageBreak/>
        <w:t>particulières en la matière que les juges des cours supérieures provinciales, nous estimons qu’on peut affirmer la même chose concernant les juges de la Cour fédérale, compte tenu de leur vaste expérience en matière de contrôle judiciaire des décisions prises dans les prisons fédérales. Pour des raisons pratiques, il est préférable de laisser à la Cour fédérale plutôt qu’aux cours supérieures le soin de procéder au contrôle judiciaire des décisions administratives des administrateurs correctionnels selon la norme de la décision raisonnable, lorsque celles</w:t>
      </w:r>
      <w:r w:rsidRPr="005147AC">
        <w:rPr>
          <w:rFonts w:cs="Times New Roman"/>
          <w:lang w:val="fr-CA"/>
        </w:rPr>
        <w:noBreakHyphen/>
        <w:t>ci sont contestées par les détenus.</w:t>
      </w:r>
    </w:p>
    <w:p w14:paraId="4D4A0683" w14:textId="77777777" w:rsidR="005147AC" w:rsidRPr="005147AC" w:rsidRDefault="005147AC" w:rsidP="005147AC">
      <w:pPr>
        <w:pStyle w:val="ParaNoNdepar-AltN"/>
        <w:rPr>
          <w:rFonts w:cs="Times New Roman"/>
          <w:lang w:val="fr-CA"/>
        </w:rPr>
      </w:pPr>
      <w:r w:rsidRPr="005147AC">
        <w:rPr>
          <w:rFonts w:cs="Times New Roman"/>
          <w:lang w:val="fr-CA"/>
        </w:rPr>
        <w:t>Deuxièmement, une autre préoccupation pratique liée à la cohérence de la jurisprudence ressort de l’interprétation proposée par la majorité, car il n’y aura aucun moyen de résoudre des contradictions dans l’application de l’</w:t>
      </w:r>
      <w:r w:rsidRPr="005147AC">
        <w:rPr>
          <w:rFonts w:cs="Times New Roman"/>
          <w:i/>
          <w:lang w:val="fr-CA"/>
        </w:rPr>
        <w:t>habeas corpus</w:t>
      </w:r>
      <w:r w:rsidRPr="005147AC">
        <w:rPr>
          <w:rFonts w:cs="Times New Roman"/>
          <w:lang w:val="fr-CA"/>
        </w:rPr>
        <w:t xml:space="preserve"> et dans la jurisprudence qui lui est afférente, étant donné que les appels des décisions des cours supérieures sont interjetés auprès des cours d’appel des provinces, tandis que les appels des décisions de la Cour fédérale sont interjetés à la Cour d’appel fédérale. En l’absence d’un pourvoi devant notre Cour, il n’y aura aucun moyen de résoudre de possibles divergences dans la jurisprudence des cours d’appel des provinces. Cela pourrait non seulement entraîner des incohérences administratives dans le système correctionnel, mais aussi miner l’évolution uniforme du droit qui régit la liberté et la détention partout au pays, du moins en ce qui concerne les prisons fédérales.</w:t>
      </w:r>
    </w:p>
    <w:p w14:paraId="2BE8A3BC" w14:textId="77777777" w:rsidR="005147AC" w:rsidRPr="005147AC" w:rsidRDefault="005147AC" w:rsidP="005147AC">
      <w:pPr>
        <w:pStyle w:val="ParaNoNdepar-AltN"/>
        <w:rPr>
          <w:rFonts w:cs="Times New Roman"/>
          <w:lang w:val="fr-CA"/>
        </w:rPr>
      </w:pPr>
      <w:r w:rsidRPr="005147AC">
        <w:rPr>
          <w:rFonts w:cs="Times New Roman"/>
          <w:lang w:val="fr-CA"/>
        </w:rPr>
        <w:t>Troisièmement, l’argument selon lequel il est nécessaire de recourir à l’</w:t>
      </w:r>
      <w:r w:rsidRPr="005147AC">
        <w:rPr>
          <w:rFonts w:cs="Times New Roman"/>
          <w:i/>
          <w:lang w:val="fr-CA"/>
        </w:rPr>
        <w:t xml:space="preserve">habeas corpus </w:t>
      </w:r>
      <w:r w:rsidRPr="005147AC">
        <w:rPr>
          <w:rFonts w:cs="Times New Roman"/>
          <w:lang w:val="fr-CA"/>
        </w:rPr>
        <w:t xml:space="preserve">pour contester les décisions des autorités correctionnelles en matière d’attribution des cotes de sécurité parce que les mécanismes de révision existants sont </w:t>
      </w:r>
      <w:r w:rsidRPr="005147AC">
        <w:rPr>
          <w:rFonts w:cs="Times New Roman"/>
          <w:lang w:val="fr-CA"/>
        </w:rPr>
        <w:lastRenderedPageBreak/>
        <w:t>insuffisants n’est pas convaincant; au contraire, les mécanismes de révision existants sont adéquats (en plus d’avoir été choisis par le Parlement). Cela inclut le cours normal des choses — dans lequel la cote de sécurité maximale ou moyenne attribuée au détenu est révisée tous les six mois, dans lequel le détenu peut demander la rectification des renseignements erronés figurant dans son dossier pour qu’on se fie aux bons renseignements, et dans lequel il peut porter plainte auprès de l’Enquêteur correctionnel — ainsi que la procédure interne de règlement des griefs et, finalement, le contrôle judiciaire.</w:t>
      </w:r>
    </w:p>
    <w:p w14:paraId="16DE3C77" w14:textId="77777777" w:rsidR="005147AC" w:rsidRPr="005147AC" w:rsidRDefault="005147AC" w:rsidP="005147AC">
      <w:pPr>
        <w:pStyle w:val="ParaNoNdepar-AltN"/>
        <w:rPr>
          <w:rFonts w:cs="Times New Roman"/>
          <w:lang w:val="fr-CA"/>
        </w:rPr>
      </w:pPr>
      <w:r w:rsidRPr="005147AC">
        <w:rPr>
          <w:rFonts w:cs="Times New Roman"/>
          <w:lang w:val="fr-CA"/>
        </w:rPr>
        <w:t xml:space="preserve">En l’espèce, les appelants affirment que l’exercice du contrôle judiciaire à la Cour fédérale est insuffisant, car ce recours ne peut être exercé qu’une fois que la procédure de règlement des griefs prévue par le Parlement est épuisée (m.a., par. 45, citant </w:t>
      </w:r>
      <w:r w:rsidRPr="005147AC">
        <w:rPr>
          <w:rFonts w:cs="Times New Roman"/>
          <w:i/>
          <w:iCs/>
          <w:lang w:val="fr-CA"/>
        </w:rPr>
        <w:t>Mackinnon c. Directeur de l’Établissement Bowden</w:t>
      </w:r>
      <w:r w:rsidRPr="005147AC">
        <w:rPr>
          <w:rFonts w:cs="Times New Roman"/>
          <w:lang w:val="fr-CA"/>
        </w:rPr>
        <w:t xml:space="preserve">, 2016 CAF 14, par. 6). Durant les plaidoiries, l’avocat des appelants a affirmé que la Cour fédérale a invoqué le principe de l’épuisement des recours pour obliger les détenus qui sollicitent le contrôle judiciaire d’une décision administrative à avoir préalablement épuisé la voie de recours qu’est la procédure interne de règlement des griefs (transcription, p. 7). Il ne s’agit pas d’une raison valable permettant d’écarter la Cour fédérale en tant que for approprié pour le contrôle des décisions rendues par les décideurs administratifs correctionnels en matière d’attribution de cotes de sécurité. La Cour fédérale a le pouvoir discrétionnaire de statuer sur une demande de contrôle judiciaire même lorsque la procédure interne de règlement des griefs n’a pas été épuisée; nous sommes convaincus qu’elle exercera ce pouvoir lorsque les circonstances le justifieront (voir, </w:t>
      </w:r>
      <w:r w:rsidRPr="005147AC">
        <w:rPr>
          <w:rFonts w:cs="Times New Roman"/>
          <w:lang w:val="fr-CA"/>
        </w:rPr>
        <w:lastRenderedPageBreak/>
        <w:t xml:space="preserve">p. ex., </w:t>
      </w:r>
      <w:r w:rsidRPr="005147AC">
        <w:rPr>
          <w:rFonts w:cs="Times New Roman"/>
          <w:i/>
          <w:iCs/>
          <w:lang w:val="fr-CA"/>
        </w:rPr>
        <w:t>Forner c. Institut professionnel de la fonction publique du Canada</w:t>
      </w:r>
      <w:r w:rsidRPr="005147AC">
        <w:rPr>
          <w:rFonts w:cs="Times New Roman"/>
          <w:lang w:val="fr-CA"/>
        </w:rPr>
        <w:t>, 2016 CAF 35, par. 13</w:t>
      </w:r>
      <w:r w:rsidRPr="005147AC">
        <w:rPr>
          <w:rFonts w:cs="Times New Roman"/>
          <w:lang w:val="fr-CA"/>
        </w:rPr>
        <w:noBreakHyphen/>
        <w:t>14).</w:t>
      </w:r>
    </w:p>
    <w:p w14:paraId="66C25A8C" w14:textId="77777777" w:rsidR="005147AC" w:rsidRPr="005147AC" w:rsidRDefault="005147AC" w:rsidP="005147AC">
      <w:pPr>
        <w:pStyle w:val="ParaNoNdepar-AltN"/>
        <w:rPr>
          <w:rFonts w:cs="Times New Roman"/>
          <w:lang w:val="fr-CA"/>
        </w:rPr>
      </w:pPr>
      <w:r w:rsidRPr="005147AC">
        <w:rPr>
          <w:rFonts w:cs="Times New Roman"/>
          <w:lang w:val="fr-CA"/>
        </w:rPr>
        <w:t xml:space="preserve">Quatrièmement, en ce qui concerne le contrôle selon la norme de la décision raisonnable, nous n’acceptons pas l’interprétation proposée par la majorité sur cette question concernant l’arrêt </w:t>
      </w:r>
      <w:r w:rsidRPr="005147AC">
        <w:rPr>
          <w:rFonts w:cs="Times New Roman"/>
          <w:i/>
          <w:lang w:val="fr-CA"/>
        </w:rPr>
        <w:t>Khela</w:t>
      </w:r>
      <w:r w:rsidRPr="005147AC">
        <w:rPr>
          <w:rFonts w:cs="Times New Roman"/>
          <w:lang w:val="fr-CA"/>
        </w:rPr>
        <w:t>. Cet arrêt</w:t>
      </w:r>
      <w:r w:rsidRPr="005147AC">
        <w:rPr>
          <w:rFonts w:cs="Times New Roman"/>
          <w:lang w:val="fr-CA"/>
        </w:rPr>
        <w:noBreakHyphen/>
        <w:t xml:space="preserve">là ne permet pas d’affirmer que les cours supérieures peuvent procéder au contrôle judiciaire des décisions relatives aux requêtes en </w:t>
      </w:r>
      <w:r w:rsidRPr="005147AC">
        <w:rPr>
          <w:rFonts w:cs="Times New Roman"/>
          <w:i/>
          <w:lang w:val="fr-CA"/>
        </w:rPr>
        <w:t xml:space="preserve">habeas corpus </w:t>
      </w:r>
      <w:r w:rsidRPr="005147AC">
        <w:rPr>
          <w:rFonts w:cs="Times New Roman"/>
          <w:lang w:val="fr-CA"/>
        </w:rPr>
        <w:t xml:space="preserve">selon la norme de la décision raisonnable de la même manière que le fait la Cour fédérale lorsqu’elle est saisie d’une demande de contrôle judiciaire. Les commentaires formulés par le juge LeBel concernant le caractère raisonnable dans l’arrêt </w:t>
      </w:r>
      <w:r w:rsidRPr="005147AC">
        <w:rPr>
          <w:rFonts w:cs="Times New Roman"/>
          <w:i/>
          <w:lang w:val="fr-CA"/>
        </w:rPr>
        <w:t xml:space="preserve">Khela </w:t>
      </w:r>
      <w:r w:rsidRPr="005147AC">
        <w:rPr>
          <w:rFonts w:cs="Times New Roman"/>
          <w:lang w:val="fr-CA"/>
        </w:rPr>
        <w:t>— une cause tranchée sur le fondement de l’équité procédurale — étaient des remarques incidentes; ils ne faisaient pas partie de son analyse menant au dispositif dans cette cause</w:t>
      </w:r>
      <w:r w:rsidRPr="005147AC">
        <w:rPr>
          <w:rFonts w:cs="Times New Roman"/>
          <w:lang w:val="fr-CA"/>
        </w:rPr>
        <w:noBreakHyphen/>
        <w:t xml:space="preserve">là (par. 5, 80 et 98). Ces commentaires ne constituent pas un fondement approprié pour porter atteinte à l’équilibre établi par notre Cour dans l’arrêt </w:t>
      </w:r>
      <w:r w:rsidRPr="005147AC">
        <w:rPr>
          <w:rFonts w:cs="Times New Roman"/>
          <w:i/>
          <w:lang w:val="fr-CA"/>
        </w:rPr>
        <w:t>Vavilov</w:t>
      </w:r>
      <w:r w:rsidRPr="005147AC">
        <w:rPr>
          <w:rFonts w:cs="Times New Roman"/>
          <w:lang w:val="fr-CA"/>
        </w:rPr>
        <w:t xml:space="preserve"> en ce qui concerne le contrôle judiciaire des décisions administratives.</w:t>
      </w:r>
    </w:p>
    <w:p w14:paraId="4918AB57" w14:textId="77777777" w:rsidR="005147AC" w:rsidRPr="005147AC" w:rsidRDefault="005147AC" w:rsidP="005147AC">
      <w:pPr>
        <w:pStyle w:val="ParaNoNdepar-AltN"/>
        <w:rPr>
          <w:rFonts w:cs="Times New Roman"/>
          <w:lang w:val="fr-CA"/>
        </w:rPr>
      </w:pPr>
      <w:r w:rsidRPr="005147AC">
        <w:rPr>
          <w:rFonts w:cs="Times New Roman"/>
          <w:lang w:val="fr-CA"/>
        </w:rPr>
        <w:t>Cinquièmement, la juridiction qu’ont les cours supérieures provinciales de délivrer des brefs d’</w:t>
      </w:r>
      <w:r w:rsidRPr="005147AC">
        <w:rPr>
          <w:rFonts w:cs="Times New Roman"/>
          <w:i/>
          <w:lang w:val="fr-CA"/>
        </w:rPr>
        <w:t>habeas corpus</w:t>
      </w:r>
      <w:r w:rsidRPr="005147AC">
        <w:rPr>
          <w:rFonts w:cs="Times New Roman"/>
          <w:lang w:val="fr-CA"/>
        </w:rPr>
        <w:t xml:space="preserve"> dans le contexte correctionnel n’a jamais été entièrement concurrente à la juridiction de la Cour fédérale dans le même contexte. Par exemple, les cours supérieures ne peuvent pas utiliser l’</w:t>
      </w:r>
      <w:r w:rsidRPr="005147AC">
        <w:rPr>
          <w:rFonts w:cs="Times New Roman"/>
          <w:i/>
          <w:lang w:val="fr-CA"/>
        </w:rPr>
        <w:t>habeas corpus</w:t>
      </w:r>
      <w:r w:rsidRPr="005147AC">
        <w:rPr>
          <w:rFonts w:cs="Times New Roman"/>
          <w:lang w:val="fr-CA"/>
        </w:rPr>
        <w:t xml:space="preserve"> pour traiter des changements aux conditions de détention d’un détenu à moins qu’il ne subisse « une modification importante des conditions d’incarcération qui équivaut à une nouvelle </w:t>
      </w:r>
      <w:r w:rsidRPr="005147AC">
        <w:rPr>
          <w:rFonts w:cs="Times New Roman"/>
          <w:lang w:val="fr-CA"/>
        </w:rPr>
        <w:lastRenderedPageBreak/>
        <w:t>privation de liberté » (</w:t>
      </w:r>
      <w:r w:rsidRPr="005147AC">
        <w:rPr>
          <w:rFonts w:cs="Times New Roman"/>
          <w:i/>
          <w:lang w:val="fr-CA"/>
        </w:rPr>
        <w:t>Dumas</w:t>
      </w:r>
      <w:r w:rsidRPr="005147AC">
        <w:rPr>
          <w:rFonts w:cs="Times New Roman"/>
          <w:lang w:val="fr-CA"/>
        </w:rPr>
        <w:t>, p. 464). Toutefois, le contrôle judiciaire à la Cour fédérale demeure accessible à l’égard des décisions administratives qui autrement ont une incidence sur les conditions et l’expérience du détenu (voir, p. ex.,</w:t>
      </w:r>
      <w:r w:rsidRPr="005147AC">
        <w:rPr>
          <w:rFonts w:cs="Times New Roman"/>
          <w:i/>
          <w:iCs/>
          <w:shd w:val="clear" w:color="auto" w:fill="FFFFFF"/>
          <w:lang w:val="fr-CA"/>
        </w:rPr>
        <w:t xml:space="preserve"> Nova Scotia (Attorney General) c. Diggs and Wilband</w:t>
      </w:r>
      <w:r w:rsidRPr="005147AC">
        <w:rPr>
          <w:rFonts w:cs="Times New Roman"/>
          <w:shd w:val="clear" w:color="auto" w:fill="FFFFFF"/>
          <w:lang w:val="fr-CA"/>
        </w:rPr>
        <w:t>, 2025 NSCA 20, par. 51</w:t>
      </w:r>
      <w:r w:rsidRPr="005147AC">
        <w:rPr>
          <w:rFonts w:cs="Times New Roman"/>
          <w:shd w:val="clear" w:color="auto" w:fill="FFFFFF"/>
          <w:lang w:val="fr-CA"/>
        </w:rPr>
        <w:noBreakHyphen/>
        <w:t xml:space="preserve">53; </w:t>
      </w:r>
      <w:r w:rsidRPr="005147AC">
        <w:rPr>
          <w:rFonts w:cs="Times New Roman"/>
          <w:i/>
          <w:iCs/>
          <w:shd w:val="clear" w:color="auto" w:fill="FFFFFF"/>
          <w:lang w:val="fr-CA"/>
        </w:rPr>
        <w:t>R. c. Haug</w:t>
      </w:r>
      <w:r w:rsidRPr="005147AC">
        <w:rPr>
          <w:rFonts w:cs="Times New Roman"/>
          <w:shd w:val="clear" w:color="auto" w:fill="FFFFFF"/>
          <w:lang w:val="fr-CA"/>
        </w:rPr>
        <w:t xml:space="preserve">, 2011 ABCA 153, 502 A.R. 392, par. 3 et 6; </w:t>
      </w:r>
      <w:r w:rsidRPr="005147AC">
        <w:rPr>
          <w:rFonts w:cs="Times New Roman"/>
          <w:i/>
          <w:iCs/>
          <w:shd w:val="clear" w:color="auto" w:fill="FFFFFF"/>
          <w:lang w:val="fr-CA"/>
        </w:rPr>
        <w:t>Ewanchuk</w:t>
      </w:r>
      <w:r w:rsidRPr="005147AC">
        <w:rPr>
          <w:rFonts w:cs="Times New Roman"/>
          <w:shd w:val="clear" w:color="auto" w:fill="FFFFFF"/>
          <w:lang w:val="fr-CA"/>
        </w:rPr>
        <w:t xml:space="preserve">, par. 10 et 71; </w:t>
      </w:r>
      <w:r w:rsidRPr="005147AC">
        <w:rPr>
          <w:rFonts w:cs="Times New Roman"/>
          <w:i/>
          <w:iCs/>
          <w:shd w:val="clear" w:color="auto" w:fill="FFFFFF"/>
          <w:lang w:val="fr-CA"/>
        </w:rPr>
        <w:t>Moldovan c. Canada (Attorney General)</w:t>
      </w:r>
      <w:r w:rsidRPr="005147AC">
        <w:rPr>
          <w:rFonts w:cs="Times New Roman"/>
          <w:shd w:val="clear" w:color="auto" w:fill="FFFFFF"/>
          <w:lang w:val="fr-CA"/>
        </w:rPr>
        <w:t>, 2012 ONSC 2682, 291 C.C.C. (3d) 123, par. 15(ii)).</w:t>
      </w:r>
    </w:p>
    <w:p w14:paraId="5271F375" w14:textId="58CDF9BA" w:rsidR="005147AC" w:rsidRPr="005147AC" w:rsidRDefault="005147AC" w:rsidP="00C83196">
      <w:pPr>
        <w:pStyle w:val="Title3LevelTitre3Niveau"/>
        <w:numPr>
          <w:ilvl w:val="0"/>
          <w:numId w:val="38"/>
        </w:numPr>
        <w:ind w:left="1134" w:hanging="567"/>
        <w:jc w:val="both"/>
        <w:rPr>
          <w:rFonts w:cs="Times New Roman"/>
          <w:lang w:val="fr-CA"/>
        </w:rPr>
      </w:pPr>
      <w:r w:rsidRPr="005147AC">
        <w:rPr>
          <w:rFonts w:cs="Times New Roman"/>
          <w:lang w:val="fr-CA"/>
        </w:rPr>
        <w:t xml:space="preserve">Le transfèrement sans condition à un établissement à sécurité moins élevée est la seule réparation pouvant être accordée à la suite d’une requête en </w:t>
      </w:r>
      <w:r w:rsidRPr="005147AC">
        <w:rPr>
          <w:rFonts w:cs="Times New Roman"/>
          <w:i/>
          <w:lang w:val="fr-CA"/>
        </w:rPr>
        <w:t>habeas corpus</w:t>
      </w:r>
      <w:r w:rsidRPr="005147AC">
        <w:rPr>
          <w:rFonts w:cs="Times New Roman"/>
          <w:lang w:val="fr-CA"/>
        </w:rPr>
        <w:t xml:space="preserve"> </w:t>
      </w:r>
    </w:p>
    <w:p w14:paraId="7895BAF3" w14:textId="77777777" w:rsidR="005147AC" w:rsidRPr="005147AC" w:rsidRDefault="005147AC" w:rsidP="005147AC">
      <w:pPr>
        <w:pStyle w:val="ParaNoNdepar-AltN"/>
        <w:rPr>
          <w:rFonts w:cs="Times New Roman"/>
          <w:lang w:val="fr-CA"/>
        </w:rPr>
      </w:pPr>
      <w:r w:rsidRPr="005147AC">
        <w:rPr>
          <w:rFonts w:cs="Times New Roman"/>
          <w:lang w:val="fr-CA"/>
        </w:rPr>
        <w:t xml:space="preserve">Dans ses motifs, la majorité estime que les juges des cours supérieures « conservent le pouvoir discrétionnaire » d’accorder d’autres réparations que la réparation par défaut que constitue le transfèrement du requérant vers un établissement où les conditions de détention sont moins restrictives (par. 89). Il ressort des motifs de la majorité que ce pouvoir discrétionnaire de réparation découlerait de la juridiction inhérente des cours supérieures. Nous ne sommes pas de cet avis. En cas de succès de la requête en </w:t>
      </w:r>
      <w:r w:rsidRPr="005147AC">
        <w:rPr>
          <w:rFonts w:cs="Times New Roman"/>
          <w:i/>
          <w:lang w:val="fr-CA"/>
        </w:rPr>
        <w:t>habeas corpus</w:t>
      </w:r>
      <w:r w:rsidRPr="005147AC">
        <w:rPr>
          <w:rFonts w:cs="Times New Roman"/>
          <w:lang w:val="fr-CA"/>
        </w:rPr>
        <w:t>, les cours supérieures ne peuvent accorder qu’une seule réparation : le transfèrement du détenu à un établissement où les conditions de détention sont moins restrictives (</w:t>
      </w:r>
      <w:r w:rsidRPr="005147AC">
        <w:rPr>
          <w:rFonts w:cs="Times New Roman"/>
          <w:i/>
          <w:lang w:val="fr-CA"/>
        </w:rPr>
        <w:t>Chhina</w:t>
      </w:r>
      <w:r w:rsidRPr="005147AC">
        <w:rPr>
          <w:rFonts w:cs="Times New Roman"/>
          <w:lang w:val="fr-CA"/>
        </w:rPr>
        <w:t xml:space="preserve">, par. 1 et 65; </w:t>
      </w:r>
      <w:r w:rsidRPr="005147AC">
        <w:rPr>
          <w:rFonts w:cs="Times New Roman"/>
          <w:i/>
          <w:lang w:val="fr-CA"/>
        </w:rPr>
        <w:t>Miller</w:t>
      </w:r>
      <w:r w:rsidRPr="005147AC">
        <w:rPr>
          <w:rFonts w:cs="Times New Roman"/>
          <w:lang w:val="fr-CA"/>
        </w:rPr>
        <w:t>, p. 635</w:t>
      </w:r>
      <w:r w:rsidRPr="005147AC">
        <w:rPr>
          <w:rFonts w:cs="Times New Roman"/>
          <w:lang w:val="fr-CA"/>
        </w:rPr>
        <w:noBreakHyphen/>
        <w:t>636; Farbey et Sharpe, p. 21).</w:t>
      </w:r>
    </w:p>
    <w:p w14:paraId="2331E840" w14:textId="77777777" w:rsidR="005147AC" w:rsidRPr="005147AC" w:rsidRDefault="005147AC" w:rsidP="005147AC">
      <w:pPr>
        <w:pStyle w:val="ParaNoNdepar-AltN"/>
        <w:rPr>
          <w:rFonts w:cs="Times New Roman"/>
          <w:lang w:val="fr-CA"/>
        </w:rPr>
      </w:pPr>
      <w:r w:rsidRPr="005147AC">
        <w:rPr>
          <w:rFonts w:cs="Times New Roman"/>
          <w:lang w:val="fr-CA"/>
        </w:rPr>
        <w:t xml:space="preserve">Dans le cadre des requêtes en </w:t>
      </w:r>
      <w:r w:rsidRPr="005147AC">
        <w:rPr>
          <w:rFonts w:cs="Times New Roman"/>
          <w:i/>
          <w:lang w:val="fr-CA"/>
        </w:rPr>
        <w:t>habeas corpus</w:t>
      </w:r>
      <w:r w:rsidRPr="005147AC">
        <w:rPr>
          <w:rFonts w:cs="Times New Roman"/>
          <w:lang w:val="fr-CA"/>
        </w:rPr>
        <w:t xml:space="preserve">, les vastes pouvoirs de réparation prévus au par. 24(1) de la </w:t>
      </w:r>
      <w:r w:rsidRPr="005147AC">
        <w:rPr>
          <w:rFonts w:cs="Times New Roman"/>
          <w:i/>
          <w:lang w:val="fr-CA"/>
        </w:rPr>
        <w:t>Charte</w:t>
      </w:r>
      <w:r w:rsidRPr="005147AC">
        <w:rPr>
          <w:rFonts w:cs="Times New Roman"/>
          <w:lang w:val="fr-CA"/>
        </w:rPr>
        <w:t xml:space="preserve"> ne sont pas accessibles. Il est important de noter que le présent pourvoi concerne le bref d’</w:t>
      </w:r>
      <w:r w:rsidRPr="005147AC">
        <w:rPr>
          <w:rFonts w:cs="Times New Roman"/>
          <w:i/>
          <w:lang w:val="fr-CA"/>
        </w:rPr>
        <w:t>habeas corpus</w:t>
      </w:r>
      <w:r w:rsidRPr="005147AC">
        <w:rPr>
          <w:rFonts w:cs="Times New Roman"/>
          <w:lang w:val="fr-CA"/>
        </w:rPr>
        <w:t xml:space="preserve"> de </w:t>
      </w:r>
      <w:r w:rsidRPr="005147AC">
        <w:rPr>
          <w:rFonts w:cs="Times New Roman"/>
          <w:i/>
          <w:lang w:val="fr-CA"/>
        </w:rPr>
        <w:t>common law</w:t>
      </w:r>
      <w:r w:rsidRPr="005147AC">
        <w:rPr>
          <w:rFonts w:cs="Times New Roman"/>
          <w:lang w:val="fr-CA"/>
        </w:rPr>
        <w:t xml:space="preserve">. Il </w:t>
      </w:r>
      <w:r w:rsidRPr="005147AC">
        <w:rPr>
          <w:rFonts w:cs="Times New Roman"/>
          <w:i/>
          <w:lang w:val="fr-CA"/>
        </w:rPr>
        <w:t>ne</w:t>
      </w:r>
      <w:r w:rsidRPr="005147AC">
        <w:rPr>
          <w:rFonts w:cs="Times New Roman"/>
          <w:lang w:val="fr-CA"/>
        </w:rPr>
        <w:t xml:space="preserve"> </w:t>
      </w:r>
      <w:r w:rsidRPr="005147AC">
        <w:rPr>
          <w:rFonts w:cs="Times New Roman"/>
          <w:lang w:val="fr-CA"/>
        </w:rPr>
        <w:lastRenderedPageBreak/>
        <w:t xml:space="preserve">porte </w:t>
      </w:r>
      <w:r w:rsidRPr="005147AC">
        <w:rPr>
          <w:rFonts w:cs="Times New Roman"/>
          <w:i/>
          <w:lang w:val="fr-CA"/>
        </w:rPr>
        <w:t>pas</w:t>
      </w:r>
      <w:r w:rsidRPr="005147AC">
        <w:rPr>
          <w:rFonts w:cs="Times New Roman"/>
          <w:lang w:val="fr-CA"/>
        </w:rPr>
        <w:t xml:space="preserve"> sur une contestation fondée sur la </w:t>
      </w:r>
      <w:r w:rsidRPr="005147AC">
        <w:rPr>
          <w:rFonts w:cs="Times New Roman"/>
          <w:i/>
          <w:lang w:val="fr-CA"/>
        </w:rPr>
        <w:t>Charte</w:t>
      </w:r>
      <w:r w:rsidRPr="005147AC">
        <w:rPr>
          <w:rFonts w:cs="Times New Roman"/>
          <w:lang w:val="fr-CA"/>
        </w:rPr>
        <w:t xml:space="preserve">. Les appelants allèguent que le refus de leurs demandes de transfèrement fait intervenir les art. 7, 9, 10c) et 12 de la </w:t>
      </w:r>
      <w:r w:rsidRPr="005147AC">
        <w:rPr>
          <w:rFonts w:cs="Times New Roman"/>
          <w:i/>
          <w:lang w:val="fr-CA"/>
        </w:rPr>
        <w:t>Charte</w:t>
      </w:r>
      <w:r w:rsidRPr="005147AC">
        <w:rPr>
          <w:rFonts w:cs="Times New Roman"/>
          <w:lang w:val="fr-CA"/>
        </w:rPr>
        <w:t xml:space="preserve">, mais ils n’ont pas présenté de demandes fondées sur la </w:t>
      </w:r>
      <w:r w:rsidRPr="005147AC">
        <w:rPr>
          <w:rFonts w:cs="Times New Roman"/>
          <w:i/>
          <w:lang w:val="fr-CA"/>
        </w:rPr>
        <w:t>Charte</w:t>
      </w:r>
      <w:r w:rsidRPr="005147AC">
        <w:rPr>
          <w:rFonts w:cs="Times New Roman"/>
          <w:lang w:val="fr-CA"/>
        </w:rPr>
        <w:t xml:space="preserve"> (voir les motifs de la C.A., par. 4 et 45). En d’autres termes, les appelants ne plaident pas qu’il y a eu violation des droits qui leur sont garantis par la </w:t>
      </w:r>
      <w:r w:rsidRPr="005147AC">
        <w:rPr>
          <w:rFonts w:cs="Times New Roman"/>
          <w:i/>
          <w:lang w:val="fr-CA"/>
        </w:rPr>
        <w:t>Charte</w:t>
      </w:r>
      <w:r w:rsidRPr="005147AC">
        <w:rPr>
          <w:rFonts w:cs="Times New Roman"/>
          <w:lang w:val="fr-CA"/>
        </w:rPr>
        <w:t>. L’</w:t>
      </w:r>
      <w:r w:rsidRPr="005147AC">
        <w:rPr>
          <w:rFonts w:cs="Times New Roman"/>
          <w:i/>
          <w:lang w:val="fr-CA"/>
        </w:rPr>
        <w:t>habeas corpus</w:t>
      </w:r>
      <w:r w:rsidRPr="005147AC">
        <w:rPr>
          <w:rFonts w:cs="Times New Roman"/>
          <w:lang w:val="fr-CA"/>
        </w:rPr>
        <w:t xml:space="preserve"> en tant que recours fondé sur la </w:t>
      </w:r>
      <w:r w:rsidRPr="005147AC">
        <w:rPr>
          <w:rFonts w:cs="Times New Roman"/>
          <w:i/>
          <w:lang w:val="fr-CA"/>
        </w:rPr>
        <w:t>Charte</w:t>
      </w:r>
      <w:r w:rsidRPr="005147AC">
        <w:rPr>
          <w:rFonts w:cs="Times New Roman"/>
          <w:lang w:val="fr-CA"/>
        </w:rPr>
        <w:t xml:space="preserve"> est accessible en réponse à une violation de la </w:t>
      </w:r>
      <w:r w:rsidRPr="005147AC">
        <w:rPr>
          <w:rFonts w:cs="Times New Roman"/>
          <w:i/>
          <w:lang w:val="fr-CA"/>
        </w:rPr>
        <w:t>Charte</w:t>
      </w:r>
      <w:r w:rsidRPr="005147AC">
        <w:rPr>
          <w:rFonts w:cs="Times New Roman"/>
          <w:lang w:val="fr-CA"/>
        </w:rPr>
        <w:t xml:space="preserve"> (voir </w:t>
      </w:r>
      <w:r w:rsidRPr="005147AC">
        <w:rPr>
          <w:rFonts w:cs="Times New Roman"/>
          <w:i/>
          <w:lang w:val="fr-CA"/>
        </w:rPr>
        <w:t>Gamble</w:t>
      </w:r>
      <w:r w:rsidRPr="005147AC">
        <w:rPr>
          <w:rFonts w:cs="Times New Roman"/>
          <w:lang w:val="fr-CA"/>
        </w:rPr>
        <w:t>, p. 639</w:t>
      </w:r>
      <w:r w:rsidRPr="005147AC">
        <w:rPr>
          <w:rFonts w:cs="Times New Roman"/>
          <w:lang w:val="fr-CA"/>
        </w:rPr>
        <w:noBreakHyphen/>
        <w:t xml:space="preserve">640; voir aussi </w:t>
      </w:r>
      <w:r w:rsidRPr="005147AC">
        <w:rPr>
          <w:rFonts w:cs="Times New Roman"/>
          <w:i/>
          <w:lang w:val="fr-CA"/>
        </w:rPr>
        <w:t>Khela</w:t>
      </w:r>
      <w:r w:rsidRPr="005147AC">
        <w:rPr>
          <w:rFonts w:cs="Times New Roman"/>
          <w:lang w:val="fr-CA"/>
        </w:rPr>
        <w:t>, par. 29). En conséquence, en l’espèce, l’</w:t>
      </w:r>
      <w:r w:rsidRPr="005147AC">
        <w:rPr>
          <w:rFonts w:cs="Times New Roman"/>
          <w:i/>
          <w:lang w:val="fr-CA"/>
        </w:rPr>
        <w:t>habeas corpus</w:t>
      </w:r>
      <w:r w:rsidRPr="005147AC">
        <w:rPr>
          <w:rFonts w:cs="Times New Roman"/>
          <w:lang w:val="fr-CA"/>
        </w:rPr>
        <w:t xml:space="preserve"> n’est pas accessible en tant que recours fondé sur la </w:t>
      </w:r>
      <w:r w:rsidRPr="005147AC">
        <w:rPr>
          <w:rFonts w:cs="Times New Roman"/>
          <w:i/>
          <w:lang w:val="fr-CA"/>
        </w:rPr>
        <w:t>Charte</w:t>
      </w:r>
      <w:r w:rsidRPr="005147AC">
        <w:rPr>
          <w:rFonts w:cs="Times New Roman"/>
          <w:lang w:val="fr-CA"/>
        </w:rPr>
        <w:t xml:space="preserve"> en vertu du par. 24(1), mais bien en tant que recours de common law. Il n’appartient pas aux tribunaux saisis des requêtes en </w:t>
      </w:r>
      <w:r w:rsidRPr="005147AC">
        <w:rPr>
          <w:rFonts w:cs="Times New Roman"/>
          <w:i/>
          <w:iCs/>
          <w:lang w:val="fr-CA"/>
        </w:rPr>
        <w:t>habeas corpus</w:t>
      </w:r>
      <w:r w:rsidRPr="005147AC">
        <w:rPr>
          <w:rFonts w:cs="Times New Roman"/>
          <w:lang w:val="fr-CA"/>
        </w:rPr>
        <w:t xml:space="preserve"> selon la common law de se fonder sur le par. 24(1) de la </w:t>
      </w:r>
      <w:r w:rsidRPr="005147AC">
        <w:rPr>
          <w:rFonts w:cs="Times New Roman"/>
          <w:i/>
          <w:lang w:val="fr-CA"/>
        </w:rPr>
        <w:t>Charte</w:t>
      </w:r>
      <w:r w:rsidRPr="005147AC">
        <w:rPr>
          <w:rFonts w:cs="Times New Roman"/>
          <w:lang w:val="fr-CA"/>
        </w:rPr>
        <w:t xml:space="preserve"> pour accorder des réparations autres que la remise en liberté et le transfèrement. </w:t>
      </w:r>
    </w:p>
    <w:p w14:paraId="4CA7AF59" w14:textId="77777777" w:rsidR="005147AC" w:rsidRPr="005147AC" w:rsidRDefault="005147AC" w:rsidP="005147AC">
      <w:pPr>
        <w:pStyle w:val="ParaNoNdepar-AltN"/>
        <w:rPr>
          <w:rFonts w:cs="Times New Roman"/>
          <w:lang w:val="fr-CA"/>
        </w:rPr>
      </w:pPr>
      <w:r w:rsidRPr="005147AC">
        <w:rPr>
          <w:rFonts w:cs="Times New Roman"/>
          <w:lang w:val="fr-CA"/>
        </w:rPr>
        <w:t xml:space="preserve">Nous convenons que, lorsqu’elles sont saisies de requêtes en </w:t>
      </w:r>
      <w:r w:rsidRPr="005147AC">
        <w:rPr>
          <w:rFonts w:cs="Times New Roman"/>
          <w:i/>
          <w:lang w:val="fr-CA"/>
        </w:rPr>
        <w:t>habeas corpus</w:t>
      </w:r>
      <w:r w:rsidRPr="005147AC">
        <w:rPr>
          <w:rFonts w:cs="Times New Roman"/>
          <w:lang w:val="fr-CA"/>
        </w:rPr>
        <w:t>, les cours supérieures ont la juridiction inhérente qui leur permet d’imposer des conditions additionnelles lorsqu’elles accordent la remise en liberté à titre de réparation (</w:t>
      </w:r>
      <w:r w:rsidRPr="005147AC">
        <w:rPr>
          <w:rFonts w:cs="Times New Roman"/>
          <w:i/>
          <w:lang w:val="fr-CA"/>
        </w:rPr>
        <w:t>Ogiamien c. Ontario (Community Safety and Correctional Services)</w:t>
      </w:r>
      <w:r w:rsidRPr="005147AC">
        <w:rPr>
          <w:rFonts w:cs="Times New Roman"/>
          <w:iCs/>
          <w:lang w:val="fr-CA"/>
        </w:rPr>
        <w:t>,</w:t>
      </w:r>
      <w:r w:rsidRPr="005147AC">
        <w:rPr>
          <w:rFonts w:cs="Times New Roman"/>
          <w:i/>
          <w:lang w:val="fr-CA"/>
        </w:rPr>
        <w:t xml:space="preserve"> </w:t>
      </w:r>
      <w:r w:rsidRPr="005147AC">
        <w:rPr>
          <w:rFonts w:cs="Times New Roman"/>
          <w:lang w:val="fr-CA"/>
        </w:rPr>
        <w:t>2017 ONCA 839, 55 Imm. L.R. (4th) 220, par. 48). Cette approche garantit aux requérants l’accès au recours qu’est l’</w:t>
      </w:r>
      <w:r w:rsidRPr="005147AC">
        <w:rPr>
          <w:rFonts w:cs="Times New Roman"/>
          <w:i/>
          <w:lang w:val="fr-CA"/>
        </w:rPr>
        <w:t>habeas corpus</w:t>
      </w:r>
      <w:r w:rsidRPr="005147AC">
        <w:rPr>
          <w:rFonts w:cs="Times New Roman"/>
          <w:lang w:val="fr-CA"/>
        </w:rPr>
        <w:t xml:space="preserve">, tout en protégeant </w:t>
      </w:r>
      <w:r w:rsidRPr="005147AC">
        <w:rPr>
          <w:rFonts w:cs="Times New Roman"/>
          <w:smallCaps/>
          <w:lang w:val="fr-CA"/>
        </w:rPr>
        <w:t>[traduction]</w:t>
      </w:r>
      <w:r w:rsidRPr="005147AC">
        <w:rPr>
          <w:rFonts w:cs="Times New Roman"/>
          <w:lang w:val="fr-CA"/>
        </w:rPr>
        <w:t xml:space="preserve"> « la sécurité publique et le respect de la loi » au moyen de l’imposition de conditions appropriées (par. 48). Le contexte dans lequel l’arrêt </w:t>
      </w:r>
      <w:r w:rsidRPr="005147AC">
        <w:rPr>
          <w:rFonts w:cs="Times New Roman"/>
          <w:i/>
          <w:lang w:val="fr-CA"/>
        </w:rPr>
        <w:t>Ogiamien</w:t>
      </w:r>
      <w:r w:rsidRPr="005147AC">
        <w:rPr>
          <w:rFonts w:cs="Times New Roman"/>
          <w:lang w:val="fr-CA"/>
        </w:rPr>
        <w:t xml:space="preserve"> a été rendu est important pour comprendre les commentaires du juge d’appel Sharpe sur l’imposition de conditions additionnelles. Le juge Sharpe s’exprimait dans le contexte de la remise en liberté des </w:t>
      </w:r>
      <w:r w:rsidRPr="005147AC">
        <w:rPr>
          <w:rFonts w:cs="Times New Roman"/>
          <w:lang w:val="fr-CA"/>
        </w:rPr>
        <w:lastRenderedPageBreak/>
        <w:t>détenus dans un centre de détention en matière d’immigration. Dans ce contexte</w:t>
      </w:r>
      <w:r w:rsidRPr="005147AC">
        <w:rPr>
          <w:rFonts w:cs="Times New Roman"/>
          <w:lang w:val="fr-CA"/>
        </w:rPr>
        <w:noBreakHyphen/>
        <w:t>là, la remise en liberté entraîne une libération totale et des conditions additionnelles qui peuvent inclure l’obligation de [</w:t>
      </w:r>
      <w:r w:rsidRPr="005147AC">
        <w:rPr>
          <w:rFonts w:cs="Times New Roman"/>
          <w:smallCaps/>
          <w:lang w:val="fr-CA"/>
        </w:rPr>
        <w:t>traduction</w:t>
      </w:r>
      <w:r w:rsidRPr="005147AC">
        <w:rPr>
          <w:rFonts w:cs="Times New Roman"/>
          <w:lang w:val="fr-CA"/>
        </w:rPr>
        <w:t xml:space="preserve">] « ne pas troubler l’ordre public et d’avoir une bonne conduite » et de « se présenter à toutes les procédures en matière d’immigration, au besoin » ou de « s’abstenir de posséder ou de consommer des drogues ou d’autres substances interdites par la loi », entre autres (voir, p. ex., </w:t>
      </w:r>
      <w:r w:rsidRPr="005147AC">
        <w:rPr>
          <w:rFonts w:cs="Times New Roman"/>
          <w:i/>
          <w:lang w:val="fr-CA"/>
        </w:rPr>
        <w:t>Scotland c. Canada (Attorney General)</w:t>
      </w:r>
      <w:r w:rsidRPr="005147AC">
        <w:rPr>
          <w:rFonts w:cs="Times New Roman"/>
          <w:lang w:val="fr-CA"/>
        </w:rPr>
        <w:t>, 2017 ONSC 4850, 139 O.R. (3d) 191, par. 78</w:t>
      </w:r>
      <w:r w:rsidRPr="005147AC">
        <w:rPr>
          <w:rFonts w:cs="Times New Roman"/>
          <w:lang w:val="fr-CA"/>
        </w:rPr>
        <w:noBreakHyphen/>
        <w:t xml:space="preserve">79; voir aussi </w:t>
      </w:r>
      <w:r w:rsidRPr="005147AC">
        <w:rPr>
          <w:rFonts w:cs="Times New Roman"/>
          <w:i/>
          <w:lang w:val="fr-CA"/>
        </w:rPr>
        <w:t>Ali c. Canada (Minister of Public Safety and Emergency Preparedness)</w:t>
      </w:r>
      <w:r w:rsidRPr="005147AC">
        <w:rPr>
          <w:rFonts w:cs="Times New Roman"/>
          <w:lang w:val="fr-CA"/>
        </w:rPr>
        <w:t>, 2017 ONSC 2660, 137 O.R. (3d) 498, par. 41).</w:t>
      </w:r>
    </w:p>
    <w:p w14:paraId="57FEC9D7" w14:textId="77777777" w:rsidR="005147AC" w:rsidRPr="005147AC" w:rsidRDefault="005147AC" w:rsidP="005147AC">
      <w:pPr>
        <w:pStyle w:val="ParaNoNdepar-AltN"/>
        <w:rPr>
          <w:rFonts w:cs="Times New Roman"/>
          <w:lang w:val="fr-CA"/>
        </w:rPr>
      </w:pPr>
      <w:r w:rsidRPr="005147AC">
        <w:rPr>
          <w:rFonts w:cs="Times New Roman"/>
          <w:lang w:val="fr-CA"/>
        </w:rPr>
        <w:t>Tel n’est pas le contexte du présent pourvoi et des modalités de libération semblables ne seraient pas logiques dans le cas du transfèrement d’un détenu à un établissement ayant des conditions de détention moins restrictives. La décision contestée au moyen de l’</w:t>
      </w:r>
      <w:r w:rsidRPr="005147AC">
        <w:rPr>
          <w:rFonts w:cs="Times New Roman"/>
          <w:i/>
          <w:lang w:val="fr-CA"/>
        </w:rPr>
        <w:t>habeas corpus</w:t>
      </w:r>
      <w:r w:rsidRPr="005147AC">
        <w:rPr>
          <w:rFonts w:cs="Times New Roman"/>
          <w:lang w:val="fr-CA"/>
        </w:rPr>
        <w:t xml:space="preserve"> est le refus de réévaluer la cote de sécurité et de permettre le transfèrement à un établissement où les conditions de détention sont moins restrictives. Même si le tribunal impose des conditions additionnelles, le recours en </w:t>
      </w:r>
      <w:r w:rsidRPr="005147AC">
        <w:rPr>
          <w:rFonts w:cs="Times New Roman"/>
          <w:i/>
          <w:lang w:val="fr-CA"/>
        </w:rPr>
        <w:t>habeas corpus</w:t>
      </w:r>
      <w:r w:rsidRPr="005147AC">
        <w:rPr>
          <w:rFonts w:cs="Times New Roman"/>
          <w:lang w:val="fr-CA"/>
        </w:rPr>
        <w:t xml:space="preserve"> n’est pas discrétionnaire; une fois que le tribunal a déterminé que la détention est illégale, il doit remédier à l’illégalité. En cas de succès de la requête en </w:t>
      </w:r>
      <w:r w:rsidRPr="005147AC">
        <w:rPr>
          <w:rFonts w:cs="Times New Roman"/>
          <w:i/>
          <w:lang w:val="fr-CA"/>
        </w:rPr>
        <w:t>habeas corpus</w:t>
      </w:r>
      <w:r w:rsidRPr="005147AC">
        <w:rPr>
          <w:rFonts w:cs="Times New Roman"/>
          <w:lang w:val="fr-CA"/>
        </w:rPr>
        <w:t xml:space="preserve"> dans le contexte carcéral, la cour supérieure serait tenue de transférer le détenu dans un établissement où les conditions de détention sont moins restrictives. La majorité ne précise pas quels types de conditions pourraient être imposées à ce transfèrement et, à notre avis, il n’y en a aucune. L’incidence qu’aurait le transfèrement du détenu à un établissement ayant des conditions de sécurité moins restrictives sur le </w:t>
      </w:r>
      <w:r w:rsidRPr="005147AC">
        <w:rPr>
          <w:rFonts w:cs="Times New Roman"/>
          <w:lang w:val="fr-CA"/>
        </w:rPr>
        <w:lastRenderedPageBreak/>
        <w:t>personnel carcéral et sur les autres détenus ne serait pas très différente si le tribunal imposait des conditions concernant, par exemple, les activités auxquelles le détenu peut participer ou les privilèges dont il peut bénéficier dans un tel établissement.</w:t>
      </w:r>
    </w:p>
    <w:p w14:paraId="64921525" w14:textId="77777777" w:rsidR="005147AC" w:rsidRPr="005147AC" w:rsidRDefault="005147AC" w:rsidP="005147AC">
      <w:pPr>
        <w:pStyle w:val="ParaNoNdepar-AltN"/>
        <w:rPr>
          <w:rFonts w:cs="Times New Roman"/>
          <w:lang w:val="fr-CA"/>
        </w:rPr>
      </w:pPr>
      <w:r w:rsidRPr="005147AC">
        <w:rPr>
          <w:rFonts w:cs="Times New Roman"/>
          <w:lang w:val="fr-CA"/>
        </w:rPr>
        <w:t xml:space="preserve">En plus d’imposer des conditions à la remise en liberté, la majorité déclare que « SCC peut présenter des éléments de preuve [. . .] afin d’expliquer pourquoi une cote de sécurité spécifique est [. . .] justifiée » et ajoute que les tribunaux peuvent se prononcer à ce sujet dans le cadre d’une requête en </w:t>
      </w:r>
      <w:r w:rsidRPr="005147AC">
        <w:rPr>
          <w:rFonts w:cs="Times New Roman"/>
          <w:i/>
          <w:lang w:val="fr-CA"/>
        </w:rPr>
        <w:t>habeas corpus</w:t>
      </w:r>
      <w:r w:rsidRPr="005147AC">
        <w:rPr>
          <w:rFonts w:cs="Times New Roman"/>
          <w:lang w:val="fr-CA"/>
        </w:rPr>
        <w:t xml:space="preserve"> (par. 89). Étant donné qu’il n’existe généralement que trois niveaux de sécurité (maximale, moyenne et minimale), la manière dont ce raisonnement pourrait conduire à une réparation autre qu’un transfèrement dans un établissement à un niveau de sécurité immédiatement inférieur n’est pas </w:t>
      </w:r>
      <w:proofErr w:type="gramStart"/>
      <w:r w:rsidRPr="005147AC">
        <w:rPr>
          <w:rFonts w:cs="Times New Roman"/>
          <w:lang w:val="fr-CA"/>
        </w:rPr>
        <w:t>claire</w:t>
      </w:r>
      <w:proofErr w:type="gramEnd"/>
      <w:r w:rsidRPr="005147AC">
        <w:rPr>
          <w:rFonts w:cs="Times New Roman"/>
          <w:lang w:val="fr-CA"/>
        </w:rPr>
        <w:t>. Cela illustre bien que l’élargissement de la portée de l’</w:t>
      </w:r>
      <w:r w:rsidRPr="005147AC">
        <w:rPr>
          <w:rFonts w:cs="Times New Roman"/>
          <w:i/>
          <w:lang w:val="fr-CA"/>
        </w:rPr>
        <w:t>habeas corpus</w:t>
      </w:r>
      <w:r w:rsidRPr="005147AC">
        <w:rPr>
          <w:rFonts w:cs="Times New Roman"/>
          <w:lang w:val="fr-CA"/>
        </w:rPr>
        <w:t xml:space="preserve"> de façon à permettre ce type de prise de décision mènera à une microgestion par les cours supérieures des établissements correctionnels fédéraux.</w:t>
      </w:r>
    </w:p>
    <w:p w14:paraId="534216B0" w14:textId="77777777" w:rsidR="005147AC" w:rsidRPr="005147AC" w:rsidRDefault="005147AC" w:rsidP="005147AC">
      <w:pPr>
        <w:pStyle w:val="ParaNoNdepar-AltN"/>
        <w:rPr>
          <w:rFonts w:cs="Times New Roman"/>
          <w:lang w:val="fr-CA"/>
        </w:rPr>
      </w:pPr>
      <w:r w:rsidRPr="005147AC">
        <w:rPr>
          <w:rFonts w:cs="Times New Roman"/>
          <w:lang w:val="fr-CA"/>
        </w:rPr>
        <w:t>Les brefs de prérogative, y compris celui d’</w:t>
      </w:r>
      <w:r w:rsidRPr="005147AC">
        <w:rPr>
          <w:rFonts w:cs="Times New Roman"/>
          <w:i/>
          <w:lang w:val="fr-CA"/>
        </w:rPr>
        <w:t>habeas corpus</w:t>
      </w:r>
      <w:r w:rsidRPr="005147AC">
        <w:rPr>
          <w:rFonts w:cs="Times New Roman"/>
          <w:lang w:val="fr-CA"/>
        </w:rPr>
        <w:t xml:space="preserve"> ont un but commun : veiller à ce que le pouvoir soit utilisé en conformité avec les objectifs et les contraintes qui le régissent (</w:t>
      </w:r>
      <w:r w:rsidRPr="005147AC">
        <w:rPr>
          <w:rFonts w:cs="Times New Roman"/>
          <w:i/>
          <w:lang w:val="fr-CA"/>
        </w:rPr>
        <w:t>De Smith’s Judicial Review</w:t>
      </w:r>
      <w:r w:rsidRPr="005147AC">
        <w:rPr>
          <w:rFonts w:cs="Times New Roman"/>
          <w:lang w:val="fr-CA"/>
        </w:rPr>
        <w:t xml:space="preserve"> (9</w:t>
      </w:r>
      <w:r w:rsidRPr="005147AC">
        <w:rPr>
          <w:rFonts w:cs="Times New Roman"/>
          <w:vertAlign w:val="superscript"/>
          <w:lang w:val="fr-CA"/>
        </w:rPr>
        <w:t>e</w:t>
      </w:r>
      <w:r w:rsidRPr="005147AC">
        <w:rPr>
          <w:rFonts w:cs="Times New Roman"/>
          <w:lang w:val="fr-CA"/>
        </w:rPr>
        <w:t xml:space="preserve"> éd. 2023), par I. Hare, C. Donnelly et J. Bell, dir., p. 787). Le tribunal chargé du contrôle détermine si le pouvoir a été exercé légitimement, mais il </w:t>
      </w:r>
      <w:r w:rsidRPr="005147AC">
        <w:rPr>
          <w:rFonts w:cs="Times New Roman"/>
          <w:i/>
          <w:lang w:val="fr-CA"/>
        </w:rPr>
        <w:t>ne</w:t>
      </w:r>
      <w:r w:rsidRPr="005147AC">
        <w:rPr>
          <w:rFonts w:cs="Times New Roman"/>
          <w:lang w:val="fr-CA"/>
        </w:rPr>
        <w:t xml:space="preserve"> substitue </w:t>
      </w:r>
      <w:r w:rsidRPr="005147AC">
        <w:rPr>
          <w:rFonts w:cs="Times New Roman"/>
          <w:i/>
          <w:lang w:val="fr-CA"/>
        </w:rPr>
        <w:t>pas</w:t>
      </w:r>
      <w:r w:rsidRPr="005147AC">
        <w:rPr>
          <w:rFonts w:cs="Times New Roman"/>
          <w:lang w:val="fr-CA"/>
        </w:rPr>
        <w:t xml:space="preserve"> ses propres préférences pour ensuite donner effet à ces préférences, en exerçant un pouvoir qui ne lui a pas été conféré. Par conséquent, en cas de succès d’une requête en </w:t>
      </w:r>
      <w:r w:rsidRPr="005147AC">
        <w:rPr>
          <w:rFonts w:cs="Times New Roman"/>
          <w:i/>
          <w:lang w:val="fr-CA"/>
        </w:rPr>
        <w:t>habeas corpus</w:t>
      </w:r>
      <w:r w:rsidRPr="005147AC">
        <w:rPr>
          <w:rFonts w:cs="Times New Roman"/>
          <w:lang w:val="fr-CA"/>
        </w:rPr>
        <w:t>, le tribunal donne effet aux droits légitimes du requérant qui sous</w:t>
      </w:r>
      <w:r w:rsidRPr="005147AC">
        <w:rPr>
          <w:rFonts w:cs="Times New Roman"/>
          <w:lang w:val="fr-CA"/>
        </w:rPr>
        <w:noBreakHyphen/>
        <w:t xml:space="preserve">tendent cette requête; il ne peut </w:t>
      </w:r>
      <w:r w:rsidRPr="005147AC">
        <w:rPr>
          <w:rFonts w:cs="Times New Roman"/>
          <w:lang w:val="fr-CA"/>
        </w:rPr>
        <w:lastRenderedPageBreak/>
        <w:t>pas [</w:t>
      </w:r>
      <w:r w:rsidRPr="005147AC">
        <w:rPr>
          <w:rFonts w:cs="Times New Roman"/>
          <w:smallCaps/>
          <w:lang w:val="fr-CA"/>
        </w:rPr>
        <w:t>traduction</w:t>
      </w:r>
      <w:r w:rsidRPr="005147AC">
        <w:rPr>
          <w:rFonts w:cs="Times New Roman"/>
          <w:lang w:val="fr-CA"/>
        </w:rPr>
        <w:t xml:space="preserve">] « ignorer l’illégalité simplement parce qu’il semble que le requérant devait réellement être détenu » (Farbey et Sharpe, p. 52). Affirmer que l’absence de pouvoir d’un tribunal peut être contournée par son pouvoir inhérent revient à affirmer que les tribunaux possèdent l’autorité de gouverner, en plus de leur fonction juridictionnelle. Ce n’est pas le cas. Pourtant c’est ce à quoi la majorité nous invite lorsqu’elle affirme que « les juges conservent le pouvoir discrétionnaire de ne pas remettre en liberté un demandeur » même lorsque la détention du requérant est illégale, et que les juges peuvent décider de toute condition qu’ils jugent appropriée en guise de réparation à une requête en </w:t>
      </w:r>
      <w:r w:rsidRPr="005147AC">
        <w:rPr>
          <w:rFonts w:cs="Times New Roman"/>
          <w:i/>
          <w:lang w:val="fr-CA"/>
        </w:rPr>
        <w:t>habeas corpus</w:t>
      </w:r>
      <w:r w:rsidRPr="005147AC">
        <w:rPr>
          <w:rFonts w:cs="Times New Roman"/>
          <w:lang w:val="fr-CA"/>
        </w:rPr>
        <w:t xml:space="preserve"> accueillie (par. 85-86). </w:t>
      </w:r>
    </w:p>
    <w:p w14:paraId="296D4D82" w14:textId="77777777" w:rsidR="005147AC" w:rsidRPr="005147AC" w:rsidRDefault="005147AC" w:rsidP="005147AC">
      <w:pPr>
        <w:pStyle w:val="ParaNoNdepar-AltN"/>
        <w:rPr>
          <w:rFonts w:cs="Times New Roman"/>
          <w:lang w:val="fr-CA"/>
        </w:rPr>
      </w:pPr>
      <w:r w:rsidRPr="005147AC">
        <w:rPr>
          <w:rFonts w:cs="Times New Roman"/>
          <w:lang w:val="fr-CA"/>
        </w:rPr>
        <w:t xml:space="preserve">La majorité semble motivée à faire ces déclarations étendues de pouvoir judiciaire relativement à une requête en </w:t>
      </w:r>
      <w:r w:rsidRPr="005147AC">
        <w:rPr>
          <w:rFonts w:cs="Times New Roman"/>
          <w:i/>
          <w:lang w:val="fr-CA"/>
        </w:rPr>
        <w:t>habeas corpus</w:t>
      </w:r>
      <w:r w:rsidRPr="005147AC">
        <w:rPr>
          <w:rFonts w:cs="Times New Roman"/>
          <w:lang w:val="fr-CA"/>
        </w:rPr>
        <w:t xml:space="preserve"> afin d’atténuer les conséquences facilement envisageables de son élargissement de ce qui constitue une privation de liberté : une avalanche de demandes présentées par des détenus qui n’ont aucun droit aux nouvelles conditions carcérales qu’ils sollicitent. Ces mêmes conséquences devraient plutôt mener la majorité à reconnaître que son raisonnement dénaturera le bref d’</w:t>
      </w:r>
      <w:r w:rsidRPr="005147AC">
        <w:rPr>
          <w:rFonts w:cs="Times New Roman"/>
          <w:i/>
          <w:lang w:val="fr-CA"/>
        </w:rPr>
        <w:t>habeas corpus</w:t>
      </w:r>
      <w:r w:rsidRPr="005147AC">
        <w:rPr>
          <w:rFonts w:cs="Times New Roman"/>
          <w:lang w:val="fr-CA"/>
        </w:rPr>
        <w:t xml:space="preserve"> pour en faire un substitut mal adapté à une révision interne et au contrôle judiciaire du fonctionnement des institutions correctionnelles.</w:t>
      </w:r>
    </w:p>
    <w:p w14:paraId="61433975" w14:textId="77777777" w:rsidR="005147AC" w:rsidRPr="005147AC" w:rsidRDefault="005147AC" w:rsidP="005147AC">
      <w:pPr>
        <w:pStyle w:val="Title3LevelTitre3Niveau"/>
        <w:numPr>
          <w:ilvl w:val="2"/>
          <w:numId w:val="35"/>
        </w:numPr>
        <w:jc w:val="both"/>
        <w:rPr>
          <w:rFonts w:cs="Times New Roman"/>
          <w:lang w:val="fr-CA"/>
        </w:rPr>
      </w:pPr>
      <w:r w:rsidRPr="005147AC">
        <w:rPr>
          <w:rFonts w:cs="Times New Roman"/>
          <w:lang w:val="fr-CA"/>
        </w:rPr>
        <w:t>La prudence est de mise pour répondre aux préoccupations des provinces</w:t>
      </w:r>
    </w:p>
    <w:p w14:paraId="6B003769" w14:textId="77777777" w:rsidR="005147AC" w:rsidRPr="005147AC" w:rsidRDefault="005147AC" w:rsidP="005147AC">
      <w:pPr>
        <w:pStyle w:val="ParaNoNdepar-AltN"/>
        <w:rPr>
          <w:rFonts w:cs="Times New Roman"/>
          <w:lang w:val="fr-CA"/>
        </w:rPr>
      </w:pPr>
      <w:r w:rsidRPr="005147AC">
        <w:rPr>
          <w:rFonts w:cs="Times New Roman"/>
          <w:lang w:val="fr-CA"/>
        </w:rPr>
        <w:t xml:space="preserve">Le procureur général du Canada, en tant qu’intimé, souscrit à la mise en garde formulée par la juge de première instance selon laquelle le fait d’accepter la thèse </w:t>
      </w:r>
      <w:r w:rsidRPr="005147AC">
        <w:rPr>
          <w:rFonts w:cs="Times New Roman"/>
          <w:lang w:val="fr-CA"/>
        </w:rPr>
        <w:lastRenderedPageBreak/>
        <w:t>des appelants rendrait chaque décision relative à la réévaluation d’une cote de sécurité susceptible de contrôle par voie d’</w:t>
      </w:r>
      <w:r w:rsidRPr="005147AC">
        <w:rPr>
          <w:rFonts w:cs="Times New Roman"/>
          <w:i/>
          <w:lang w:val="fr-CA"/>
        </w:rPr>
        <w:t xml:space="preserve">habeas corpus </w:t>
      </w:r>
      <w:r w:rsidRPr="005147AC">
        <w:rPr>
          <w:rFonts w:cs="Times New Roman"/>
          <w:lang w:val="fr-CA"/>
        </w:rPr>
        <w:t>(m.i., par. 107).</w:t>
      </w:r>
    </w:p>
    <w:p w14:paraId="025AA54B" w14:textId="77777777" w:rsidR="005147AC" w:rsidRPr="005147AC" w:rsidRDefault="005147AC" w:rsidP="005147AC">
      <w:pPr>
        <w:pStyle w:val="ParaNoNdepar-AltN"/>
        <w:rPr>
          <w:rFonts w:cs="Times New Roman"/>
          <w:lang w:val="fr-CA"/>
        </w:rPr>
      </w:pPr>
      <w:r w:rsidRPr="005147AC">
        <w:rPr>
          <w:rFonts w:cs="Times New Roman"/>
          <w:lang w:val="fr-CA"/>
        </w:rPr>
        <w:t>Le procureur général de la Colombie</w:t>
      </w:r>
      <w:r w:rsidRPr="005147AC">
        <w:rPr>
          <w:rFonts w:cs="Times New Roman"/>
          <w:lang w:val="fr-CA"/>
        </w:rPr>
        <w:noBreakHyphen/>
        <w:t>Britannique, en tant qu’intervenant, demande à notre Cour de limiter toute conclusion découlant de la présente affaire aux seuls établissements fédéraux, étant donné que les établissements correctionnels provinciaux sont régis par des lois différentes (m. interv., par. 10). Il fait également valoir un argument relatif à « une avalanche de demandes » semblable à celui du procureur général du Canada (m. interv., par. 11). Le procureur général du Québec avance un point de vue similaire (m. interv., par. 42</w:t>
      </w:r>
      <w:r w:rsidRPr="005147AC">
        <w:rPr>
          <w:rFonts w:cs="Times New Roman"/>
          <w:lang w:val="fr-CA"/>
        </w:rPr>
        <w:noBreakHyphen/>
        <w:t>43).</w:t>
      </w:r>
    </w:p>
    <w:p w14:paraId="6A83E252" w14:textId="77777777" w:rsidR="005147AC" w:rsidRPr="005147AC" w:rsidRDefault="005147AC" w:rsidP="005147AC">
      <w:pPr>
        <w:pStyle w:val="ParaNoNdepar-AltN"/>
        <w:rPr>
          <w:rFonts w:cs="Times New Roman"/>
          <w:lang w:val="fr-CA"/>
        </w:rPr>
      </w:pPr>
      <w:r w:rsidRPr="005147AC">
        <w:rPr>
          <w:rFonts w:cs="Times New Roman"/>
          <w:lang w:val="fr-CA"/>
        </w:rPr>
        <w:t>Il importe d’être conscient des répercussions du présent jugement sur les systèmes correctionnels provinciaux. Nous sommes d’accord avec le procureur général de la Colombie</w:t>
      </w:r>
      <w:r w:rsidRPr="005147AC">
        <w:rPr>
          <w:rFonts w:cs="Times New Roman"/>
          <w:lang w:val="fr-CA"/>
        </w:rPr>
        <w:noBreakHyphen/>
        <w:t>Britannique pour dire qu’une décision concernant les établissements correctionnels fédéraux ne saurait être facilement transposée au régime provincial qui est conçu pour traiter des circonstances particulières des établissements correctionnels provinciaux.</w:t>
      </w:r>
    </w:p>
    <w:p w14:paraId="608E46D8" w14:textId="77777777" w:rsidR="005147AC" w:rsidRPr="005147AC" w:rsidRDefault="005147AC" w:rsidP="005147AC">
      <w:pPr>
        <w:pStyle w:val="ParaNoNdepar-AltN"/>
        <w:rPr>
          <w:rFonts w:cs="Times New Roman"/>
          <w:lang w:val="fr-CA"/>
        </w:rPr>
      </w:pPr>
      <w:r w:rsidRPr="005147AC">
        <w:rPr>
          <w:rFonts w:cs="Times New Roman"/>
          <w:lang w:val="fr-CA"/>
        </w:rPr>
        <w:t>Les conséquences pratiques du présent jugement sur les ressources judiciaires et l’accès à la justice sont importantes. Compte tenu des avantages procéduraux (y compris la haute priorité) que l’</w:t>
      </w:r>
      <w:r w:rsidRPr="005147AC">
        <w:rPr>
          <w:rFonts w:cs="Times New Roman"/>
          <w:i/>
          <w:lang w:val="fr-CA"/>
        </w:rPr>
        <w:t xml:space="preserve">habeas corpus </w:t>
      </w:r>
      <w:r w:rsidRPr="005147AC">
        <w:rPr>
          <w:rFonts w:cs="Times New Roman"/>
          <w:lang w:val="fr-CA"/>
        </w:rPr>
        <w:t xml:space="preserve">offre au requérant, il y a tout lieu de s’attendre à ce qu’il supplante rapidement les autres mécanismes de révision actuels, entraînant une augmentation du nombre de requêtes en </w:t>
      </w:r>
      <w:r w:rsidRPr="005147AC">
        <w:rPr>
          <w:rFonts w:cs="Times New Roman"/>
          <w:i/>
          <w:lang w:val="fr-CA"/>
        </w:rPr>
        <w:t>habeas corpus</w:t>
      </w:r>
      <w:r w:rsidRPr="005147AC">
        <w:rPr>
          <w:rFonts w:cs="Times New Roman"/>
          <w:lang w:val="fr-CA"/>
        </w:rPr>
        <w:t xml:space="preserve"> devant </w:t>
      </w:r>
      <w:r w:rsidRPr="005147AC">
        <w:rPr>
          <w:rFonts w:cs="Times New Roman"/>
          <w:lang w:val="fr-CA"/>
        </w:rPr>
        <w:lastRenderedPageBreak/>
        <w:t xml:space="preserve">les cours supérieures et causant des retards dans les autres instances introduites devant ces cours. </w:t>
      </w:r>
    </w:p>
    <w:p w14:paraId="4D40C241" w14:textId="77777777" w:rsidR="005147AC" w:rsidRPr="005147AC" w:rsidRDefault="005147AC" w:rsidP="005147AC">
      <w:pPr>
        <w:pStyle w:val="ParaNoNdepar-AltN"/>
        <w:rPr>
          <w:rFonts w:cs="Times New Roman"/>
          <w:lang w:val="fr-CA"/>
        </w:rPr>
      </w:pPr>
      <w:r w:rsidRPr="005147AC">
        <w:rPr>
          <w:rFonts w:cs="Times New Roman"/>
          <w:lang w:val="fr-CA"/>
        </w:rPr>
        <w:t>La prudence est de mise. Bien que l’</w:t>
      </w:r>
      <w:r w:rsidRPr="005147AC">
        <w:rPr>
          <w:rFonts w:cs="Times New Roman"/>
          <w:i/>
          <w:lang w:val="fr-CA"/>
        </w:rPr>
        <w:t>habeas corpus</w:t>
      </w:r>
      <w:r w:rsidRPr="005147AC">
        <w:rPr>
          <w:rFonts w:cs="Times New Roman"/>
          <w:lang w:val="fr-CA"/>
        </w:rPr>
        <w:t xml:space="preserve"> soit un recours large et souple, il doit demeurer axé sur la liberté de l’individu. Élargir sa portée au</w:t>
      </w:r>
      <w:r w:rsidRPr="005147AC">
        <w:rPr>
          <w:rFonts w:cs="Times New Roman"/>
          <w:lang w:val="fr-CA"/>
        </w:rPr>
        <w:noBreakHyphen/>
        <w:t>delà de ses limites actuelles risque d’imposer un fardeau important aux cours supérieures des provinces qui sont déjà surchargées, et de perturber les structures correctionnelles conçues par le Parlement. Cela finirait par amener les cours supérieures à s’ingérer davantage dans le fonctionnement quotidien des systèmes correctionnels. Ces préoccupations soulignent la nécessité de préserver l’</w:t>
      </w:r>
      <w:r w:rsidRPr="005147AC">
        <w:rPr>
          <w:rFonts w:cs="Times New Roman"/>
          <w:i/>
          <w:lang w:val="fr-CA"/>
        </w:rPr>
        <w:t>habeas corpus</w:t>
      </w:r>
      <w:r w:rsidRPr="005147AC">
        <w:rPr>
          <w:rFonts w:cs="Times New Roman"/>
          <w:lang w:val="fr-CA"/>
        </w:rPr>
        <w:t xml:space="preserve"> pour qu’il serve son objet initial : protéger les individus contre les privations illégales de liberté, plutôt que de l’utiliser comme moyen généralisé de contrôle des décisions administratives prises au sein des établissements correctionnels.</w:t>
      </w:r>
    </w:p>
    <w:p w14:paraId="48692622" w14:textId="77777777" w:rsidR="005147AC" w:rsidRPr="005147AC" w:rsidRDefault="005147AC" w:rsidP="005147AC">
      <w:pPr>
        <w:pStyle w:val="Title1LevelTitre1Niveau-AltL"/>
        <w:jc w:val="both"/>
        <w:rPr>
          <w:rFonts w:cs="Times New Roman"/>
          <w:lang w:val="fr-CA"/>
        </w:rPr>
      </w:pPr>
      <w:r w:rsidRPr="005147AC">
        <w:rPr>
          <w:rFonts w:cs="Times New Roman"/>
          <w:lang w:val="fr-CA"/>
        </w:rPr>
        <w:t>Application et dispositif</w:t>
      </w:r>
    </w:p>
    <w:p w14:paraId="04E8BD1F" w14:textId="77777777" w:rsidR="005147AC" w:rsidRPr="005147AC" w:rsidRDefault="005147AC" w:rsidP="005147AC">
      <w:pPr>
        <w:pStyle w:val="ParaNoNdepar-AltN"/>
        <w:rPr>
          <w:rFonts w:cs="Times New Roman"/>
          <w:lang w:val="fr-CA"/>
        </w:rPr>
      </w:pPr>
      <w:r w:rsidRPr="005147AC">
        <w:rPr>
          <w:rFonts w:cs="Times New Roman"/>
          <w:lang w:val="fr-CA"/>
        </w:rPr>
        <w:t>Notre Cour a entrepris un élargissement de la portée de l’</w:t>
      </w:r>
      <w:r w:rsidRPr="005147AC">
        <w:rPr>
          <w:rFonts w:cs="Times New Roman"/>
          <w:i/>
          <w:lang w:val="fr-CA"/>
        </w:rPr>
        <w:t>habeas corpus</w:t>
      </w:r>
      <w:r w:rsidRPr="005147AC">
        <w:rPr>
          <w:rFonts w:cs="Times New Roman"/>
          <w:lang w:val="fr-CA"/>
        </w:rPr>
        <w:t xml:space="preserve"> qui est incompatible avec les procédures et les recours du droit administratif moderne. Les décisions administratives, y compris celles qui sont prises dans les prisons fédérales, sont susceptibles de révision interne conformément au régime prévu par la loi habilitante, la </w:t>
      </w:r>
      <w:r w:rsidRPr="005147AC">
        <w:rPr>
          <w:rFonts w:cs="Times New Roman"/>
          <w:i/>
          <w:iCs/>
          <w:lang w:val="fr-CA"/>
        </w:rPr>
        <w:t>LSCMLC</w:t>
      </w:r>
      <w:r w:rsidRPr="005147AC">
        <w:rPr>
          <w:rFonts w:cs="Times New Roman"/>
          <w:lang w:val="fr-CA"/>
        </w:rPr>
        <w:t>, appuyée par le contrôle judiciaire à la Cour fédérale. Un grand éventail de décisions prises dans un établissement correctionnel relativement à un détenu peut être considéré comme ayant une incidence sur la liberté du détenu. En définitive, nous concluons que l’</w:t>
      </w:r>
      <w:r w:rsidRPr="005147AC">
        <w:rPr>
          <w:rFonts w:cs="Times New Roman"/>
          <w:i/>
          <w:iCs/>
          <w:lang w:val="fr-CA"/>
        </w:rPr>
        <w:t>habeas corpus</w:t>
      </w:r>
      <w:r w:rsidRPr="005147AC">
        <w:rPr>
          <w:rFonts w:cs="Times New Roman"/>
          <w:lang w:val="fr-CA"/>
        </w:rPr>
        <w:t xml:space="preserve"> n’est pas accessible pour contester les </w:t>
      </w:r>
      <w:r w:rsidRPr="005147AC">
        <w:rPr>
          <w:rFonts w:cs="Times New Roman"/>
          <w:lang w:val="fr-CA"/>
        </w:rPr>
        <w:lastRenderedPageBreak/>
        <w:t>décisions refusant à un détenu d’être transféré à un établissement à sécurité moins élevée.</w:t>
      </w:r>
    </w:p>
    <w:p w14:paraId="6FAC0EC6" w14:textId="77777777" w:rsidR="005147AC" w:rsidRPr="005147AC" w:rsidRDefault="005147AC" w:rsidP="005147AC">
      <w:pPr>
        <w:pStyle w:val="ParaNoNdepar-AltN"/>
        <w:rPr>
          <w:rFonts w:cs="Times New Roman"/>
          <w:lang w:val="fr-CA"/>
        </w:rPr>
      </w:pPr>
      <w:r w:rsidRPr="005147AC">
        <w:rPr>
          <w:rFonts w:cs="Times New Roman"/>
          <w:lang w:val="fr-CA"/>
        </w:rPr>
        <w:t xml:space="preserve">Ni M. Dorsey ni M. Salah ne devraient avoir accès au recours en </w:t>
      </w:r>
      <w:r w:rsidRPr="005147AC">
        <w:rPr>
          <w:rFonts w:cs="Times New Roman"/>
          <w:i/>
          <w:lang w:val="fr-CA"/>
        </w:rPr>
        <w:t xml:space="preserve">habeas corpus </w:t>
      </w:r>
      <w:r w:rsidRPr="005147AC">
        <w:rPr>
          <w:rFonts w:cs="Times New Roman"/>
          <w:lang w:val="fr-CA"/>
        </w:rPr>
        <w:t>pour contester les décisions administratives refusant la réévaluation de leurs cotes de sécurité ou leurs transfèrements à un établissement à sécurité moins élevée.</w:t>
      </w:r>
    </w:p>
    <w:p w14:paraId="36BFAAD5" w14:textId="77777777" w:rsidR="005147AC" w:rsidRPr="005147AC" w:rsidRDefault="005147AC" w:rsidP="005147AC">
      <w:pPr>
        <w:pStyle w:val="ParaNoNdepar-AltN"/>
        <w:rPr>
          <w:rFonts w:cs="Times New Roman"/>
          <w:lang w:val="fr-CA"/>
        </w:rPr>
      </w:pPr>
      <w:r w:rsidRPr="005147AC">
        <w:rPr>
          <w:rFonts w:cs="Times New Roman"/>
          <w:lang w:val="fr-CA"/>
        </w:rPr>
        <w:t>Dans le cas de M. Dorsey, son équipe de gestion de cas, le GEI et le directeur de l’établissement ont tous recommandé son transfèrement à un établissement à sécurité minimale. Toutefois, le transfèrement était subordonné à l’approbation du SCR et du CAOPC. Comme cette approbation n’avait pas été accordée, la condition n’a pas été remplie et M. Dorsey n’a jamais acquis le statut légal de détenu ayant une cote de sécurité minimale.</w:t>
      </w:r>
    </w:p>
    <w:p w14:paraId="72096C3E" w14:textId="77777777" w:rsidR="005147AC" w:rsidRPr="005147AC" w:rsidRDefault="005147AC" w:rsidP="005147AC">
      <w:pPr>
        <w:pStyle w:val="ParaNoNdepar-AltN"/>
        <w:rPr>
          <w:rFonts w:cs="Times New Roman"/>
          <w:lang w:val="fr-CA"/>
        </w:rPr>
      </w:pPr>
      <w:r w:rsidRPr="005147AC">
        <w:rPr>
          <w:rFonts w:cs="Times New Roman"/>
          <w:lang w:val="fr-CA"/>
        </w:rPr>
        <w:t xml:space="preserve">De manière semblable, l’équipe de gestion de cas de M. Salah et un agent de libération conditionnelle ont recommandé la réévaluation de sa cote de sécurité et son transfèrement à un établissement à sécurité moins élevée, mais un GEI nouvellement nommé a estimé qu’il présentait un risque modéré d’évasion, ce qui a conduit le directeur de l’établissement à recommander le refus de transfèrement. Comme dans l’affaire </w:t>
      </w:r>
      <w:r w:rsidRPr="005147AC">
        <w:rPr>
          <w:rFonts w:cs="Times New Roman"/>
          <w:i/>
          <w:lang w:val="fr-CA"/>
        </w:rPr>
        <w:t>Dumas</w:t>
      </w:r>
      <w:r w:rsidRPr="005147AC">
        <w:rPr>
          <w:rFonts w:cs="Times New Roman"/>
          <w:lang w:val="fr-CA"/>
        </w:rPr>
        <w:t xml:space="preserve">, il s’en est fallu de peu pour que M. Salah acquière un nouveau statut, mais il n’y est pas arrivé. Par conséquent la requête en </w:t>
      </w:r>
      <w:r w:rsidRPr="005147AC">
        <w:rPr>
          <w:rFonts w:cs="Times New Roman"/>
          <w:i/>
          <w:lang w:val="fr-CA"/>
        </w:rPr>
        <w:t>habeas corpus</w:t>
      </w:r>
      <w:r w:rsidRPr="005147AC">
        <w:rPr>
          <w:rFonts w:cs="Times New Roman"/>
          <w:lang w:val="fr-CA"/>
        </w:rPr>
        <w:t xml:space="preserve"> ne lui était pas accessible. Les similitudes factuelles entre l’affaire </w:t>
      </w:r>
      <w:r w:rsidRPr="005147AC">
        <w:rPr>
          <w:rFonts w:cs="Times New Roman"/>
          <w:i/>
          <w:lang w:val="fr-CA"/>
        </w:rPr>
        <w:t>Dumas</w:t>
      </w:r>
      <w:r w:rsidRPr="005147AC">
        <w:rPr>
          <w:rFonts w:cs="Times New Roman"/>
          <w:lang w:val="fr-CA"/>
        </w:rPr>
        <w:t xml:space="preserve"> et les présentes affaires appuient la conclusion selon laquelle aucune privation illégale de liberté (à l’égard de laquelle le recours en </w:t>
      </w:r>
      <w:r w:rsidRPr="005147AC">
        <w:rPr>
          <w:rFonts w:cs="Times New Roman"/>
          <w:i/>
          <w:iCs/>
          <w:lang w:val="fr-CA"/>
        </w:rPr>
        <w:t>habeas corpus</w:t>
      </w:r>
      <w:r w:rsidRPr="005147AC">
        <w:rPr>
          <w:rFonts w:cs="Times New Roman"/>
          <w:iCs/>
          <w:lang w:val="fr-CA"/>
        </w:rPr>
        <w:t xml:space="preserve"> est accessible</w:t>
      </w:r>
      <w:r w:rsidRPr="005147AC">
        <w:rPr>
          <w:rFonts w:cs="Times New Roman"/>
          <w:lang w:val="fr-CA"/>
        </w:rPr>
        <w:t>) n’a eu lieu.</w:t>
      </w:r>
    </w:p>
    <w:p w14:paraId="6E8A6F92" w14:textId="77777777" w:rsidR="005147AC" w:rsidRPr="005147AC" w:rsidRDefault="005147AC" w:rsidP="005147AC">
      <w:pPr>
        <w:pStyle w:val="ParaNoNdepar-AltN"/>
        <w:rPr>
          <w:rFonts w:cs="Times New Roman"/>
          <w:lang w:val="fr-CA"/>
        </w:rPr>
      </w:pPr>
      <w:r w:rsidRPr="005147AC">
        <w:rPr>
          <w:rFonts w:cs="Times New Roman"/>
          <w:lang w:val="fr-CA"/>
        </w:rPr>
        <w:lastRenderedPageBreak/>
        <w:t xml:space="preserve">En conséquence, nous sommes d’avis que lorsque le droit actuel, tel qu’il est établi dans l’arrêt </w:t>
      </w:r>
      <w:r w:rsidRPr="005147AC">
        <w:rPr>
          <w:rFonts w:cs="Times New Roman"/>
          <w:i/>
          <w:lang w:val="fr-CA"/>
        </w:rPr>
        <w:t>Dumas</w:t>
      </w:r>
      <w:r w:rsidRPr="005147AC">
        <w:rPr>
          <w:rFonts w:cs="Times New Roman"/>
          <w:lang w:val="fr-CA"/>
        </w:rPr>
        <w:t xml:space="preserve">, est bien appliqué, ni M. Dorsey ni M. Salah ne peuvent se prévaloir du recours en </w:t>
      </w:r>
      <w:r w:rsidRPr="005147AC">
        <w:rPr>
          <w:rFonts w:cs="Times New Roman"/>
          <w:i/>
          <w:lang w:val="fr-CA"/>
        </w:rPr>
        <w:t xml:space="preserve">habeas corpus </w:t>
      </w:r>
      <w:r w:rsidRPr="005147AC">
        <w:rPr>
          <w:rFonts w:cs="Times New Roman"/>
          <w:lang w:val="fr-CA"/>
        </w:rPr>
        <w:t>pour contester les décisions administratives refusant leurs demandes de réévaluation ou de transfèrement à un établissement à sécurité moins élevée.</w:t>
      </w:r>
    </w:p>
    <w:p w14:paraId="4FE7275A" w14:textId="77777777" w:rsidR="005147AC" w:rsidRPr="005147AC" w:rsidRDefault="005147AC" w:rsidP="005147AC">
      <w:pPr>
        <w:pStyle w:val="ParaNoNdepar-AltN"/>
        <w:rPr>
          <w:rFonts w:cs="Times New Roman"/>
          <w:lang w:val="fr-CA"/>
        </w:rPr>
      </w:pPr>
      <w:r w:rsidRPr="005147AC">
        <w:rPr>
          <w:rFonts w:cs="Times New Roman"/>
          <w:lang w:val="fr-CA"/>
        </w:rPr>
        <w:t>Nous sommes donc d’avis de rejeter le pourvoi.</w:t>
      </w:r>
    </w:p>
    <w:p w14:paraId="078E8876" w14:textId="323A6EA3" w:rsidR="004D7D95" w:rsidRPr="005147AC" w:rsidRDefault="004D7D95" w:rsidP="00B02886">
      <w:pPr>
        <w:pStyle w:val="SCCNormalDoubleSpacing"/>
        <w:spacing w:after="480"/>
        <w:rPr>
          <w:i/>
          <w:lang w:val="fr-CA"/>
        </w:rPr>
      </w:pPr>
      <w:r w:rsidRPr="005147AC">
        <w:rPr>
          <w:lang w:val="fr-CA"/>
        </w:rPr>
        <w:tab/>
      </w:r>
      <w:r w:rsidR="00834A74" w:rsidRPr="005147AC">
        <w:rPr>
          <w:i/>
          <w:lang w:val="fr-CA"/>
        </w:rPr>
        <w:t xml:space="preserve">Pourvoi </w:t>
      </w:r>
      <w:r w:rsidR="00841315" w:rsidRPr="005147AC">
        <w:rPr>
          <w:i/>
          <w:lang w:val="fr-CA"/>
        </w:rPr>
        <w:t>accueilli,</w:t>
      </w:r>
      <w:r w:rsidR="00841315" w:rsidRPr="005147AC">
        <w:rPr>
          <w:i/>
          <w:iCs/>
          <w:lang w:val="fr-CA"/>
        </w:rPr>
        <w:t xml:space="preserve"> les juges</w:t>
      </w:r>
      <w:r w:rsidR="00841315" w:rsidRPr="005147AC">
        <w:rPr>
          <w:lang w:val="fr-CA"/>
        </w:rPr>
        <w:t xml:space="preserve"> </w:t>
      </w:r>
      <w:r w:rsidR="00841315" w:rsidRPr="005147AC">
        <w:rPr>
          <w:smallCaps/>
          <w:lang w:val="fr-CA"/>
        </w:rPr>
        <w:t>Côté</w:t>
      </w:r>
      <w:r w:rsidR="00841315" w:rsidRPr="005147AC">
        <w:rPr>
          <w:i/>
          <w:iCs/>
          <w:lang w:val="fr-CA"/>
        </w:rPr>
        <w:t>,</w:t>
      </w:r>
      <w:r w:rsidR="00841315" w:rsidRPr="005147AC">
        <w:rPr>
          <w:lang w:val="fr-CA"/>
        </w:rPr>
        <w:t xml:space="preserve"> </w:t>
      </w:r>
      <w:r w:rsidR="00841315" w:rsidRPr="005147AC">
        <w:rPr>
          <w:smallCaps/>
          <w:lang w:val="fr-CA"/>
        </w:rPr>
        <w:t>Rowe</w:t>
      </w:r>
      <w:r w:rsidR="00841315" w:rsidRPr="005147AC">
        <w:rPr>
          <w:lang w:val="fr-CA"/>
        </w:rPr>
        <w:t xml:space="preserve"> </w:t>
      </w:r>
      <w:r w:rsidR="00841315" w:rsidRPr="005147AC">
        <w:rPr>
          <w:i/>
          <w:iCs/>
          <w:lang w:val="fr-CA"/>
        </w:rPr>
        <w:t xml:space="preserve">et </w:t>
      </w:r>
      <w:r w:rsidR="00841315" w:rsidRPr="005147AC">
        <w:rPr>
          <w:smallCaps/>
          <w:lang w:val="fr-CA"/>
        </w:rPr>
        <w:t xml:space="preserve">Jamal </w:t>
      </w:r>
      <w:r w:rsidR="00841315" w:rsidRPr="005147AC">
        <w:rPr>
          <w:i/>
          <w:iCs/>
          <w:lang w:val="fr-CA"/>
        </w:rPr>
        <w:t>sont dissidents.</w:t>
      </w:r>
    </w:p>
    <w:p w14:paraId="1A003822" w14:textId="1D153ADC" w:rsidR="00293480" w:rsidRPr="005147AC" w:rsidRDefault="00705958" w:rsidP="00B02886">
      <w:pPr>
        <w:pStyle w:val="SCCLawFirm"/>
        <w:spacing w:after="480"/>
        <w:rPr>
          <w:lang w:val="en-US"/>
        </w:rPr>
      </w:pPr>
      <w:r w:rsidRPr="005147AC">
        <w:rPr>
          <w:lang w:val="fr-CA"/>
        </w:rPr>
        <w:tab/>
      </w:r>
      <w:r w:rsidRPr="005147AC">
        <w:rPr>
          <w:lang w:val="en-US"/>
        </w:rPr>
        <w:t xml:space="preserve">Procureurs des </w:t>
      </w:r>
      <w:proofErr w:type="gramStart"/>
      <w:r w:rsidRPr="005147AC">
        <w:rPr>
          <w:lang w:val="en-US"/>
        </w:rPr>
        <w:t>appelants</w:t>
      </w:r>
      <w:r w:rsidR="00BE6E3D" w:rsidRPr="005147AC">
        <w:rPr>
          <w:lang w:val="en-US"/>
        </w:rPr>
        <w:t> :</w:t>
      </w:r>
      <w:proofErr w:type="gramEnd"/>
      <w:r w:rsidR="00BE6E3D" w:rsidRPr="005147AC">
        <w:rPr>
          <w:lang w:val="en-US"/>
        </w:rPr>
        <w:t> </w:t>
      </w:r>
      <w:r w:rsidRPr="005147AC">
        <w:t xml:space="preserve">Goldblatt Partners, Toronto; Borys Law, </w:t>
      </w:r>
      <w:r w:rsidR="00706171" w:rsidRPr="005147AC">
        <w:t>Kingston</w:t>
      </w:r>
      <w:r w:rsidRPr="005147AC">
        <w:t xml:space="preserve">; </w:t>
      </w:r>
      <w:r w:rsidR="00706171" w:rsidRPr="005147AC">
        <w:t>Kate Mitchell</w:t>
      </w:r>
      <w:r w:rsidRPr="005147AC">
        <w:t xml:space="preserve">, </w:t>
      </w:r>
      <w:r w:rsidR="00706171" w:rsidRPr="005147AC">
        <w:t>Toronto</w:t>
      </w:r>
      <w:r w:rsidR="00B838FE" w:rsidRPr="005147AC">
        <w:rPr>
          <w:lang w:val="en-US"/>
        </w:rPr>
        <w:t>.</w:t>
      </w:r>
    </w:p>
    <w:p w14:paraId="6982E259" w14:textId="0AF633B2" w:rsidR="00A810DC" w:rsidRPr="005147AC" w:rsidRDefault="00B838FE" w:rsidP="00B02886">
      <w:pPr>
        <w:pStyle w:val="SCCLawFirm"/>
        <w:spacing w:after="480"/>
        <w:rPr>
          <w:lang w:val="fr-CA"/>
        </w:rPr>
      </w:pPr>
      <w:r w:rsidRPr="005147AC">
        <w:rPr>
          <w:lang w:val="en-US"/>
        </w:rPr>
        <w:tab/>
      </w:r>
      <w:r w:rsidR="00705958" w:rsidRPr="005147AC">
        <w:rPr>
          <w:lang w:val="fr-CA"/>
        </w:rPr>
        <w:t>Procureur</w:t>
      </w:r>
      <w:r w:rsidRPr="005147AC">
        <w:rPr>
          <w:lang w:val="fr-CA"/>
        </w:rPr>
        <w:t xml:space="preserve"> de l</w:t>
      </w:r>
      <w:r w:rsidR="00834A74" w:rsidRPr="005147AC">
        <w:rPr>
          <w:lang w:val="fr-CA"/>
        </w:rPr>
        <w:t>’</w:t>
      </w:r>
      <w:r w:rsidR="00705958" w:rsidRPr="005147AC">
        <w:rPr>
          <w:lang w:val="fr-CA"/>
        </w:rPr>
        <w:t>intimée</w:t>
      </w:r>
      <w:r w:rsidR="00BE6E3D" w:rsidRPr="005147AC">
        <w:rPr>
          <w:lang w:val="fr-CA"/>
        </w:rPr>
        <w:t> : </w:t>
      </w:r>
      <w:r w:rsidR="00705958" w:rsidRPr="005147AC">
        <w:rPr>
          <w:lang w:val="fr-CA"/>
        </w:rPr>
        <w:t>Ministère de la Justice Canada</w:t>
      </w:r>
      <w:r w:rsidR="00875F5E" w:rsidRPr="005147AC">
        <w:rPr>
          <w:lang w:val="fr-CA"/>
        </w:rPr>
        <w:t xml:space="preserve"> </w:t>
      </w:r>
      <w:r w:rsidR="00875F5E" w:rsidRPr="005147AC">
        <w:rPr>
          <w:szCs w:val="24"/>
          <w:lang w:val="fr-CA"/>
        </w:rPr>
        <w:t>— Secteur national du contentieux</w:t>
      </w:r>
      <w:r w:rsidRPr="005147AC">
        <w:rPr>
          <w:lang w:val="fr-CA"/>
        </w:rPr>
        <w:t>, Toronto.</w:t>
      </w:r>
    </w:p>
    <w:p w14:paraId="736485D1" w14:textId="3AAC77BC" w:rsidR="00A810DC" w:rsidRPr="005147AC" w:rsidRDefault="00A810DC" w:rsidP="00B02886">
      <w:pPr>
        <w:pStyle w:val="SCCLawFirm"/>
        <w:spacing w:after="480"/>
        <w:rPr>
          <w:lang w:val="fr-CA"/>
        </w:rPr>
      </w:pPr>
      <w:r w:rsidRPr="005147AC">
        <w:rPr>
          <w:lang w:val="fr-CA"/>
        </w:rPr>
        <w:tab/>
        <w:t>Procureur de l’intervenant le procureur général du Québec</w:t>
      </w:r>
      <w:r w:rsidR="00BE6E3D" w:rsidRPr="005147AC">
        <w:rPr>
          <w:lang w:val="fr-CA"/>
        </w:rPr>
        <w:t> : </w:t>
      </w:r>
      <w:r w:rsidRPr="005147AC">
        <w:rPr>
          <w:lang w:val="fr-CA"/>
        </w:rPr>
        <w:t>Ministère de la Justice du Québec</w:t>
      </w:r>
      <w:r w:rsidR="005732DD" w:rsidRPr="005147AC">
        <w:rPr>
          <w:lang w:val="fr-CA"/>
        </w:rPr>
        <w:t xml:space="preserve"> </w:t>
      </w:r>
      <w:r w:rsidR="005732DD" w:rsidRPr="005147AC">
        <w:rPr>
          <w:szCs w:val="24"/>
          <w:lang w:val="fr-CA"/>
        </w:rPr>
        <w:t>— Direction du droit constitutionnel et autochtone</w:t>
      </w:r>
      <w:r w:rsidRPr="005147AC">
        <w:rPr>
          <w:lang w:val="fr-CA"/>
        </w:rPr>
        <w:t>, Québec.</w:t>
      </w:r>
    </w:p>
    <w:p w14:paraId="5D3272A2" w14:textId="3F919CD5" w:rsidR="00A810DC" w:rsidRPr="005147AC" w:rsidRDefault="00A810DC" w:rsidP="00B02886">
      <w:pPr>
        <w:pStyle w:val="SCCLawFirm"/>
        <w:spacing w:after="480"/>
        <w:rPr>
          <w:lang w:val="fr-CA"/>
        </w:rPr>
      </w:pPr>
      <w:r w:rsidRPr="005147AC">
        <w:rPr>
          <w:lang w:val="fr-CA"/>
        </w:rPr>
        <w:tab/>
        <w:t>Procureur de l’intervenant le procureur général de la Colombie-Britannique</w:t>
      </w:r>
      <w:r w:rsidR="00BE6E3D" w:rsidRPr="005147AC">
        <w:rPr>
          <w:lang w:val="fr-CA"/>
        </w:rPr>
        <w:t> : </w:t>
      </w:r>
      <w:r w:rsidRPr="005147AC">
        <w:rPr>
          <w:lang w:val="fr-CA"/>
        </w:rPr>
        <w:t>Ministry of the Attorney General of British Columbia</w:t>
      </w:r>
      <w:r w:rsidR="00711E59" w:rsidRPr="005147AC">
        <w:rPr>
          <w:szCs w:val="24"/>
          <w:lang w:val="fr-CA"/>
        </w:rPr>
        <w:t xml:space="preserve"> — Legal Services Branch</w:t>
      </w:r>
      <w:r w:rsidRPr="005147AC">
        <w:rPr>
          <w:lang w:val="fr-CA"/>
        </w:rPr>
        <w:t>, Vancouver.</w:t>
      </w:r>
    </w:p>
    <w:p w14:paraId="15EF27A8" w14:textId="6E74F33C" w:rsidR="00293480" w:rsidRPr="005147AC" w:rsidRDefault="00B838FE" w:rsidP="00B02886">
      <w:pPr>
        <w:pStyle w:val="SCCLawFirm"/>
        <w:spacing w:after="480"/>
        <w:rPr>
          <w:lang w:val="fr-CA"/>
        </w:rPr>
      </w:pPr>
      <w:r w:rsidRPr="005147AC">
        <w:rPr>
          <w:lang w:val="fr-CA"/>
        </w:rPr>
        <w:lastRenderedPageBreak/>
        <w:tab/>
      </w:r>
      <w:r w:rsidR="00A810DC" w:rsidRPr="005147AC">
        <w:rPr>
          <w:lang w:val="fr-CA"/>
        </w:rPr>
        <w:t>Procureur</w:t>
      </w:r>
      <w:r w:rsidRPr="005147AC">
        <w:rPr>
          <w:lang w:val="fr-CA"/>
        </w:rPr>
        <w:t xml:space="preserve"> de l</w:t>
      </w:r>
      <w:r w:rsidR="00834A74" w:rsidRPr="005147AC">
        <w:rPr>
          <w:lang w:val="fr-CA"/>
        </w:rPr>
        <w:t>’</w:t>
      </w:r>
      <w:r w:rsidR="00A810DC" w:rsidRPr="005147AC">
        <w:rPr>
          <w:lang w:val="fr-CA"/>
        </w:rPr>
        <w:t>intervenante</w:t>
      </w:r>
      <w:r w:rsidRPr="005147AC">
        <w:rPr>
          <w:lang w:val="fr-CA"/>
        </w:rPr>
        <w:t xml:space="preserve"> </w:t>
      </w:r>
      <w:r w:rsidR="00A810DC" w:rsidRPr="005147AC">
        <w:rPr>
          <w:lang w:val="fr-CA"/>
        </w:rPr>
        <w:t xml:space="preserve">la </w:t>
      </w:r>
      <w:r w:rsidRPr="005147AC">
        <w:rPr>
          <w:lang w:val="fr-CA"/>
        </w:rPr>
        <w:t>Société John Howard du Canada</w:t>
      </w:r>
      <w:r w:rsidR="00BE6E3D" w:rsidRPr="005147AC">
        <w:rPr>
          <w:lang w:val="fr-CA"/>
        </w:rPr>
        <w:t> : </w:t>
      </w:r>
      <w:r w:rsidR="006A1528" w:rsidRPr="005147AC">
        <w:rPr>
          <w:lang w:val="fr-CA"/>
        </w:rPr>
        <w:t>Queen’s Prison Law Clinic</w:t>
      </w:r>
      <w:r w:rsidRPr="005147AC">
        <w:rPr>
          <w:lang w:val="fr-CA"/>
        </w:rPr>
        <w:t>, Kingston.</w:t>
      </w:r>
    </w:p>
    <w:p w14:paraId="7CC6BCF3" w14:textId="134B6A82" w:rsidR="00293480" w:rsidRPr="005147AC" w:rsidRDefault="006A1528" w:rsidP="00B02886">
      <w:pPr>
        <w:pStyle w:val="SCCLawFirm"/>
        <w:spacing w:after="480"/>
        <w:rPr>
          <w:lang w:val="fr-CA"/>
        </w:rPr>
      </w:pPr>
      <w:r w:rsidRPr="005147AC">
        <w:rPr>
          <w:lang w:val="fr-CA"/>
        </w:rPr>
        <w:tab/>
        <w:t>Procureurs</w:t>
      </w:r>
      <w:r w:rsidR="00B838FE" w:rsidRPr="005147AC">
        <w:rPr>
          <w:lang w:val="fr-CA"/>
        </w:rPr>
        <w:t xml:space="preserve"> de l</w:t>
      </w:r>
      <w:r w:rsidR="00834A74" w:rsidRPr="005147AC">
        <w:rPr>
          <w:lang w:val="fr-CA"/>
        </w:rPr>
        <w:t>’</w:t>
      </w:r>
      <w:r w:rsidR="00B838FE" w:rsidRPr="005147AC">
        <w:rPr>
          <w:lang w:val="fr-CA"/>
        </w:rPr>
        <w:t>int</w:t>
      </w:r>
      <w:r w:rsidR="00A810DC" w:rsidRPr="005147AC">
        <w:rPr>
          <w:lang w:val="fr-CA"/>
        </w:rPr>
        <w:t>ervenant le</w:t>
      </w:r>
      <w:r w:rsidR="00B838FE" w:rsidRPr="005147AC">
        <w:rPr>
          <w:lang w:val="fr-CA"/>
        </w:rPr>
        <w:t xml:space="preserve"> Con</w:t>
      </w:r>
      <w:r w:rsidR="00A810DC" w:rsidRPr="005147AC">
        <w:rPr>
          <w:lang w:val="fr-CA"/>
        </w:rPr>
        <w:t>seil canadien pour les réfugiés</w:t>
      </w:r>
      <w:r w:rsidR="00BE6E3D" w:rsidRPr="005147AC">
        <w:rPr>
          <w:lang w:val="fr-CA"/>
        </w:rPr>
        <w:t> : </w:t>
      </w:r>
      <w:r w:rsidRPr="005147AC">
        <w:rPr>
          <w:lang w:val="fr-CA"/>
        </w:rPr>
        <w:t xml:space="preserve">Newcomer Legal Clinic, Thunder Bay; </w:t>
      </w:r>
      <w:r w:rsidR="00706171" w:rsidRPr="005147AC">
        <w:rPr>
          <w:lang w:val="fr-CA"/>
        </w:rPr>
        <w:t>Jamie Liew</w:t>
      </w:r>
      <w:r w:rsidRPr="005147AC">
        <w:rPr>
          <w:lang w:val="fr-CA"/>
        </w:rPr>
        <w:t>, Ottawa</w:t>
      </w:r>
      <w:r w:rsidR="00B838FE" w:rsidRPr="005147AC">
        <w:rPr>
          <w:lang w:val="fr-CA"/>
        </w:rPr>
        <w:t>.</w:t>
      </w:r>
    </w:p>
    <w:p w14:paraId="469BBEBE" w14:textId="29AE3254" w:rsidR="00293480" w:rsidRPr="005147AC" w:rsidRDefault="00706171" w:rsidP="00B02886">
      <w:pPr>
        <w:pStyle w:val="SCCLawFirm"/>
        <w:spacing w:after="480"/>
        <w:rPr>
          <w:lang w:val="fr-CA"/>
        </w:rPr>
      </w:pPr>
      <w:r w:rsidRPr="005147AC">
        <w:rPr>
          <w:lang w:val="fr-CA"/>
        </w:rPr>
        <w:tab/>
        <w:t>Procureur</w:t>
      </w:r>
      <w:r w:rsidR="00B838FE" w:rsidRPr="005147AC">
        <w:rPr>
          <w:lang w:val="fr-CA"/>
        </w:rPr>
        <w:t xml:space="preserve"> de l</w:t>
      </w:r>
      <w:r w:rsidR="00834A74" w:rsidRPr="005147AC">
        <w:rPr>
          <w:lang w:val="fr-CA"/>
        </w:rPr>
        <w:t>’</w:t>
      </w:r>
      <w:r w:rsidR="00A810DC" w:rsidRPr="005147AC">
        <w:rPr>
          <w:lang w:val="fr-CA"/>
        </w:rPr>
        <w:t>intervenante Alberta Prison Justice Society</w:t>
      </w:r>
      <w:r w:rsidR="00BE6E3D" w:rsidRPr="005147AC">
        <w:rPr>
          <w:lang w:val="fr-CA"/>
        </w:rPr>
        <w:t> : </w:t>
      </w:r>
      <w:r w:rsidR="00B838FE" w:rsidRPr="005147AC">
        <w:rPr>
          <w:lang w:val="fr-CA"/>
        </w:rPr>
        <w:t>Prison &amp; Police Law, Calgary.</w:t>
      </w:r>
    </w:p>
    <w:p w14:paraId="4AB6D344" w14:textId="57C4FEFC" w:rsidR="00293480" w:rsidRPr="005147AC" w:rsidRDefault="006A1528" w:rsidP="00B02886">
      <w:pPr>
        <w:pStyle w:val="SCCLawFirm"/>
        <w:spacing w:after="480"/>
        <w:rPr>
          <w:lang w:val="fr-CA"/>
        </w:rPr>
      </w:pPr>
      <w:r w:rsidRPr="005147AC">
        <w:rPr>
          <w:lang w:val="fr-CA"/>
        </w:rPr>
        <w:tab/>
        <w:t>Procureur</w:t>
      </w:r>
      <w:r w:rsidR="00B838FE" w:rsidRPr="005147AC">
        <w:rPr>
          <w:lang w:val="fr-CA"/>
        </w:rPr>
        <w:t xml:space="preserve"> de l</w:t>
      </w:r>
      <w:r w:rsidR="00834A74" w:rsidRPr="005147AC">
        <w:rPr>
          <w:lang w:val="fr-CA"/>
        </w:rPr>
        <w:t>’</w:t>
      </w:r>
      <w:r w:rsidRPr="005147AC">
        <w:rPr>
          <w:lang w:val="fr-CA"/>
        </w:rPr>
        <w:t>intervenante</w:t>
      </w:r>
      <w:r w:rsidR="00A810DC" w:rsidRPr="005147AC">
        <w:rPr>
          <w:lang w:val="fr-CA"/>
        </w:rPr>
        <w:t xml:space="preserve"> Aboriginal Legal Services</w:t>
      </w:r>
      <w:r w:rsidR="00BE6E3D" w:rsidRPr="005147AC">
        <w:rPr>
          <w:lang w:val="fr-CA"/>
        </w:rPr>
        <w:t> : </w:t>
      </w:r>
      <w:r w:rsidR="00B838FE" w:rsidRPr="005147AC">
        <w:rPr>
          <w:lang w:val="fr-CA"/>
        </w:rPr>
        <w:t>Aboriginal Legal Services, Toronto.</w:t>
      </w:r>
    </w:p>
    <w:p w14:paraId="5EBE07FE" w14:textId="5F1D0F2C" w:rsidR="00293480" w:rsidRPr="005147AC" w:rsidRDefault="00A810DC" w:rsidP="00B02886">
      <w:pPr>
        <w:pStyle w:val="SCCLawFirm"/>
        <w:spacing w:after="480"/>
        <w:rPr>
          <w:lang w:val="fr-CA"/>
        </w:rPr>
      </w:pPr>
      <w:r w:rsidRPr="005147AC">
        <w:rPr>
          <w:lang w:val="fr-CA"/>
        </w:rPr>
        <w:tab/>
        <w:t>Procureurs</w:t>
      </w:r>
      <w:r w:rsidR="00B838FE" w:rsidRPr="005147AC">
        <w:rPr>
          <w:lang w:val="fr-CA"/>
        </w:rPr>
        <w:t xml:space="preserve"> de l</w:t>
      </w:r>
      <w:r w:rsidR="00834A74" w:rsidRPr="005147AC">
        <w:rPr>
          <w:lang w:val="fr-CA"/>
        </w:rPr>
        <w:t>’</w:t>
      </w:r>
      <w:r w:rsidRPr="005147AC">
        <w:rPr>
          <w:lang w:val="fr-CA"/>
        </w:rPr>
        <w:t>intervenante</w:t>
      </w:r>
      <w:r w:rsidR="00B838FE" w:rsidRPr="005147AC">
        <w:rPr>
          <w:lang w:val="fr-CA"/>
        </w:rPr>
        <w:t xml:space="preserve"> We</w:t>
      </w:r>
      <w:r w:rsidRPr="005147AC">
        <w:rPr>
          <w:lang w:val="fr-CA"/>
        </w:rPr>
        <w:t>st Coast Prison Justice Society</w:t>
      </w:r>
      <w:r w:rsidR="00BE6E3D" w:rsidRPr="005147AC">
        <w:rPr>
          <w:lang w:val="fr-CA"/>
        </w:rPr>
        <w:t> : </w:t>
      </w:r>
      <w:r w:rsidR="00B838FE" w:rsidRPr="005147AC">
        <w:rPr>
          <w:lang w:val="fr-CA"/>
        </w:rPr>
        <w:t>Allen/McMillan Litigation Counsel, Vancouver.</w:t>
      </w:r>
    </w:p>
    <w:p w14:paraId="7345E438" w14:textId="2A24FEF3" w:rsidR="00293480" w:rsidRPr="005147AC" w:rsidRDefault="00A810DC" w:rsidP="00B02886">
      <w:pPr>
        <w:pStyle w:val="SCCLawFirm"/>
        <w:spacing w:after="480"/>
        <w:rPr>
          <w:lang w:val="fr-CA"/>
        </w:rPr>
      </w:pPr>
      <w:r w:rsidRPr="005147AC">
        <w:rPr>
          <w:lang w:val="fr-CA"/>
        </w:rPr>
        <w:tab/>
        <w:t>Procureurs</w:t>
      </w:r>
      <w:r w:rsidR="00B838FE" w:rsidRPr="005147AC">
        <w:rPr>
          <w:lang w:val="fr-CA"/>
        </w:rPr>
        <w:t xml:space="preserve"> de l</w:t>
      </w:r>
      <w:r w:rsidR="00834A74" w:rsidRPr="005147AC">
        <w:rPr>
          <w:lang w:val="fr-CA"/>
        </w:rPr>
        <w:t>’</w:t>
      </w:r>
      <w:r w:rsidRPr="005147AC">
        <w:rPr>
          <w:lang w:val="fr-CA"/>
        </w:rPr>
        <w:t>intervenante</w:t>
      </w:r>
      <w:r w:rsidR="00B838FE" w:rsidRPr="005147AC">
        <w:rPr>
          <w:lang w:val="fr-CA"/>
        </w:rPr>
        <w:t xml:space="preserve"> British Colum</w:t>
      </w:r>
      <w:r w:rsidRPr="005147AC">
        <w:rPr>
          <w:lang w:val="fr-CA"/>
        </w:rPr>
        <w:t>bia Civil Liberties Association</w:t>
      </w:r>
      <w:r w:rsidR="00BE6E3D" w:rsidRPr="005147AC">
        <w:rPr>
          <w:lang w:val="fr-CA"/>
        </w:rPr>
        <w:t> : </w:t>
      </w:r>
      <w:r w:rsidR="006A1528" w:rsidRPr="005147AC">
        <w:rPr>
          <w:lang w:val="fr-CA"/>
        </w:rPr>
        <w:t>Pender Litigation, Vancouver; British Columbia Civil Liberties Association, Vancouver</w:t>
      </w:r>
      <w:r w:rsidR="00B838FE" w:rsidRPr="005147AC">
        <w:rPr>
          <w:lang w:val="fr-CA"/>
        </w:rPr>
        <w:t>.</w:t>
      </w:r>
    </w:p>
    <w:p w14:paraId="57071831" w14:textId="344FF631" w:rsidR="00293480" w:rsidRPr="005147AC" w:rsidRDefault="00A810DC" w:rsidP="00B02886">
      <w:pPr>
        <w:pStyle w:val="SCCLawFirm"/>
        <w:spacing w:after="480"/>
        <w:rPr>
          <w:lang w:val="fr-CA"/>
        </w:rPr>
      </w:pPr>
      <w:r w:rsidRPr="005147AC">
        <w:rPr>
          <w:lang w:val="fr-CA"/>
        </w:rPr>
        <w:tab/>
        <w:t>Procureurs</w:t>
      </w:r>
      <w:r w:rsidR="00B838FE" w:rsidRPr="005147AC">
        <w:rPr>
          <w:lang w:val="fr-CA"/>
        </w:rPr>
        <w:t xml:space="preserve"> de l</w:t>
      </w:r>
      <w:r w:rsidR="00834A74" w:rsidRPr="005147AC">
        <w:rPr>
          <w:lang w:val="fr-CA"/>
        </w:rPr>
        <w:t>’</w:t>
      </w:r>
      <w:r w:rsidRPr="005147AC">
        <w:rPr>
          <w:lang w:val="fr-CA"/>
        </w:rPr>
        <w:t>intervenante l’</w:t>
      </w:r>
      <w:r w:rsidR="00B838FE" w:rsidRPr="005147AC">
        <w:rPr>
          <w:lang w:val="fr-CA"/>
        </w:rPr>
        <w:t>Association canadi</w:t>
      </w:r>
      <w:r w:rsidRPr="005147AC">
        <w:rPr>
          <w:lang w:val="fr-CA"/>
        </w:rPr>
        <w:t xml:space="preserve">enne des </w:t>
      </w:r>
      <w:r w:rsidR="006610B1" w:rsidRPr="005147AC">
        <w:rPr>
          <w:lang w:val="fr-CA"/>
        </w:rPr>
        <w:t>s</w:t>
      </w:r>
      <w:r w:rsidRPr="005147AC">
        <w:rPr>
          <w:lang w:val="fr-CA"/>
        </w:rPr>
        <w:t>ociétés Elizabeth Fry</w:t>
      </w:r>
      <w:r w:rsidR="00BE6E3D" w:rsidRPr="005147AC">
        <w:rPr>
          <w:lang w:val="fr-CA"/>
        </w:rPr>
        <w:t> : </w:t>
      </w:r>
      <w:r w:rsidR="00B838FE" w:rsidRPr="005147AC">
        <w:rPr>
          <w:lang w:val="fr-CA"/>
        </w:rPr>
        <w:t>PATH Legal, Dartmouth</w:t>
      </w:r>
      <w:r w:rsidR="006A1528" w:rsidRPr="005147AC">
        <w:rPr>
          <w:lang w:val="fr-CA"/>
        </w:rPr>
        <w:t xml:space="preserve"> </w:t>
      </w:r>
      <w:r w:rsidR="00243315" w:rsidRPr="005147AC">
        <w:rPr>
          <w:lang w:val="fr-CA"/>
        </w:rPr>
        <w:t>(N.</w:t>
      </w:r>
      <w:r w:rsidR="00243315" w:rsidRPr="005147AC">
        <w:rPr>
          <w:lang w:val="fr-CA"/>
        </w:rPr>
        <w:noBreakHyphen/>
      </w:r>
      <w:r w:rsidR="006A1528" w:rsidRPr="005147AC">
        <w:rPr>
          <w:lang w:val="fr-CA"/>
        </w:rPr>
        <w:t>É.)</w:t>
      </w:r>
      <w:r w:rsidR="00B838FE" w:rsidRPr="005147AC">
        <w:rPr>
          <w:lang w:val="fr-CA"/>
        </w:rPr>
        <w:t>.</w:t>
      </w:r>
    </w:p>
    <w:p w14:paraId="693933B0" w14:textId="16219883" w:rsidR="00293480" w:rsidRPr="005147AC" w:rsidRDefault="006A1528" w:rsidP="00B02886">
      <w:pPr>
        <w:pStyle w:val="SCCLawFirm"/>
        <w:spacing w:after="480"/>
        <w:rPr>
          <w:lang w:val="fr-CA"/>
        </w:rPr>
      </w:pPr>
      <w:r w:rsidRPr="005147AC">
        <w:rPr>
          <w:lang w:val="fr-CA"/>
        </w:rPr>
        <w:lastRenderedPageBreak/>
        <w:tab/>
        <w:t>Procureurs</w:t>
      </w:r>
      <w:r w:rsidR="00B838FE" w:rsidRPr="005147AC">
        <w:rPr>
          <w:lang w:val="fr-CA"/>
        </w:rPr>
        <w:t xml:space="preserve"> de l</w:t>
      </w:r>
      <w:r w:rsidR="00834A74" w:rsidRPr="005147AC">
        <w:rPr>
          <w:lang w:val="fr-CA"/>
        </w:rPr>
        <w:t>’</w:t>
      </w:r>
      <w:r w:rsidRPr="005147AC">
        <w:rPr>
          <w:lang w:val="fr-CA"/>
        </w:rPr>
        <w:t>intervenante l’</w:t>
      </w:r>
      <w:r w:rsidR="00B838FE" w:rsidRPr="005147AC">
        <w:rPr>
          <w:lang w:val="fr-CA"/>
        </w:rPr>
        <w:t>Association canadienne des avocats et</w:t>
      </w:r>
      <w:r w:rsidR="00A810DC" w:rsidRPr="005147AC">
        <w:rPr>
          <w:lang w:val="fr-CA"/>
        </w:rPr>
        <w:t xml:space="preserve"> avocates en droit des réfugiés</w:t>
      </w:r>
      <w:r w:rsidR="00BE6E3D" w:rsidRPr="005147AC">
        <w:rPr>
          <w:lang w:val="fr-CA"/>
        </w:rPr>
        <w:t> : </w:t>
      </w:r>
      <w:r w:rsidR="00FC4EE0" w:rsidRPr="005147AC">
        <w:rPr>
          <w:lang w:val="fr-CA"/>
        </w:rPr>
        <w:t>Edelmann &amp; C</w:t>
      </w:r>
      <w:r w:rsidRPr="005147AC">
        <w:rPr>
          <w:lang w:val="fr-CA"/>
        </w:rPr>
        <w:t>o., Vancouver; Kes Posgate Law, Toronto</w:t>
      </w:r>
      <w:r w:rsidR="00B838FE" w:rsidRPr="005147AC">
        <w:rPr>
          <w:lang w:val="fr-CA"/>
        </w:rPr>
        <w:t>.</w:t>
      </w:r>
    </w:p>
    <w:p w14:paraId="35360D01" w14:textId="592F8966" w:rsidR="00293480" w:rsidRPr="005147AC" w:rsidRDefault="00B838FE" w:rsidP="00B02886">
      <w:pPr>
        <w:pStyle w:val="SCCLawFirm"/>
        <w:spacing w:after="480"/>
        <w:rPr>
          <w:lang w:val="en-US"/>
        </w:rPr>
      </w:pPr>
      <w:r w:rsidRPr="005147AC">
        <w:rPr>
          <w:lang w:val="fr-CA"/>
        </w:rPr>
        <w:tab/>
      </w:r>
      <w:r w:rsidR="006A1528" w:rsidRPr="005147AC">
        <w:rPr>
          <w:lang w:val="en-US"/>
        </w:rPr>
        <w:t>Procureurs</w:t>
      </w:r>
      <w:r w:rsidRPr="005147AC">
        <w:rPr>
          <w:lang w:val="en-US"/>
        </w:rPr>
        <w:t xml:space="preserve"> de l</w:t>
      </w:r>
      <w:r w:rsidR="00834A74" w:rsidRPr="005147AC">
        <w:rPr>
          <w:lang w:val="en-US"/>
        </w:rPr>
        <w:t>’</w:t>
      </w:r>
      <w:r w:rsidR="006A1528" w:rsidRPr="005147AC">
        <w:rPr>
          <w:lang w:val="en-US"/>
        </w:rPr>
        <w:t xml:space="preserve">intervenant Black Legal Action </w:t>
      </w:r>
      <w:proofErr w:type="gramStart"/>
      <w:r w:rsidR="006A1528" w:rsidRPr="005147AC">
        <w:rPr>
          <w:lang w:val="en-US"/>
        </w:rPr>
        <w:t>Centre</w:t>
      </w:r>
      <w:r w:rsidR="00BE6E3D" w:rsidRPr="005147AC">
        <w:rPr>
          <w:lang w:val="en-US"/>
        </w:rPr>
        <w:t> :</w:t>
      </w:r>
      <w:proofErr w:type="gramEnd"/>
      <w:r w:rsidR="00BE6E3D" w:rsidRPr="005147AC">
        <w:rPr>
          <w:lang w:val="en-US"/>
        </w:rPr>
        <w:t> </w:t>
      </w:r>
      <w:r w:rsidR="006A1528" w:rsidRPr="005147AC">
        <w:rPr>
          <w:lang w:val="en-US"/>
        </w:rPr>
        <w:t>Goldblatt Partners</w:t>
      </w:r>
      <w:r w:rsidRPr="005147AC">
        <w:rPr>
          <w:lang w:val="en-US"/>
        </w:rPr>
        <w:t>, Toronto</w:t>
      </w:r>
      <w:r w:rsidR="006A1528" w:rsidRPr="005147AC">
        <w:rPr>
          <w:lang w:val="en-US"/>
        </w:rPr>
        <w:t>; Black Legal Action Centre, Toronto</w:t>
      </w:r>
      <w:r w:rsidRPr="005147AC">
        <w:rPr>
          <w:lang w:val="en-US"/>
        </w:rPr>
        <w:t>.</w:t>
      </w:r>
    </w:p>
    <w:p w14:paraId="3B029DAA" w14:textId="75DCDA04" w:rsidR="00293480" w:rsidRPr="005147AC" w:rsidRDefault="006A1528" w:rsidP="00B02886">
      <w:pPr>
        <w:pStyle w:val="SCCLawFirm"/>
        <w:spacing w:after="480"/>
        <w:rPr>
          <w:lang w:val="en-US"/>
        </w:rPr>
      </w:pPr>
      <w:r w:rsidRPr="005147AC">
        <w:rPr>
          <w:lang w:val="en-US"/>
        </w:rPr>
        <w:tab/>
        <w:t>Procureurs</w:t>
      </w:r>
      <w:r w:rsidR="00B838FE" w:rsidRPr="005147AC">
        <w:rPr>
          <w:lang w:val="en-US"/>
        </w:rPr>
        <w:t xml:space="preserve"> de l</w:t>
      </w:r>
      <w:r w:rsidR="00834A74" w:rsidRPr="005147AC">
        <w:rPr>
          <w:lang w:val="en-US"/>
        </w:rPr>
        <w:t>’</w:t>
      </w:r>
      <w:r w:rsidR="00B838FE" w:rsidRPr="005147AC">
        <w:rPr>
          <w:lang w:val="en-US"/>
        </w:rPr>
        <w:t>int</w:t>
      </w:r>
      <w:r w:rsidRPr="005147AC">
        <w:rPr>
          <w:lang w:val="en-US"/>
        </w:rPr>
        <w:t xml:space="preserve">ervenante </w:t>
      </w:r>
      <w:r w:rsidR="00A810DC" w:rsidRPr="005147AC">
        <w:rPr>
          <w:lang w:val="en-US"/>
        </w:rPr>
        <w:t xml:space="preserve">Pivot Legal </w:t>
      </w:r>
      <w:proofErr w:type="gramStart"/>
      <w:r w:rsidR="00A810DC" w:rsidRPr="005147AC">
        <w:rPr>
          <w:lang w:val="en-US"/>
        </w:rPr>
        <w:t>Society</w:t>
      </w:r>
      <w:r w:rsidR="00BE6E3D" w:rsidRPr="005147AC">
        <w:rPr>
          <w:lang w:val="en-US"/>
        </w:rPr>
        <w:t> :</w:t>
      </w:r>
      <w:proofErr w:type="gramEnd"/>
      <w:r w:rsidR="00BE6E3D" w:rsidRPr="005147AC">
        <w:rPr>
          <w:lang w:val="en-US"/>
        </w:rPr>
        <w:t> </w:t>
      </w:r>
      <w:r w:rsidRPr="005147AC">
        <w:t>Yanful Law, Toronto; Pivot Legal Society, Vancouver</w:t>
      </w:r>
      <w:r w:rsidR="00B838FE" w:rsidRPr="005147AC">
        <w:rPr>
          <w:lang w:val="en-US"/>
        </w:rPr>
        <w:t>.</w:t>
      </w:r>
    </w:p>
    <w:p w14:paraId="0C2A8459" w14:textId="31A43817" w:rsidR="00293480" w:rsidRPr="005147AC" w:rsidRDefault="00B838FE" w:rsidP="00B02886">
      <w:pPr>
        <w:pStyle w:val="SCCLawFirm"/>
        <w:spacing w:after="480"/>
        <w:rPr>
          <w:lang w:val="fr-CA"/>
        </w:rPr>
      </w:pPr>
      <w:r w:rsidRPr="005147AC">
        <w:rPr>
          <w:lang w:val="en-US"/>
        </w:rPr>
        <w:tab/>
      </w:r>
      <w:r w:rsidR="006A1528" w:rsidRPr="005147AC">
        <w:rPr>
          <w:lang w:val="fr-CA"/>
        </w:rPr>
        <w:t>Procureurs</w:t>
      </w:r>
      <w:r w:rsidRPr="005147AC">
        <w:rPr>
          <w:lang w:val="fr-CA"/>
        </w:rPr>
        <w:t xml:space="preserve"> de l</w:t>
      </w:r>
      <w:r w:rsidR="00834A74" w:rsidRPr="005147AC">
        <w:rPr>
          <w:lang w:val="fr-CA"/>
        </w:rPr>
        <w:t>’</w:t>
      </w:r>
      <w:r w:rsidRPr="005147AC">
        <w:rPr>
          <w:lang w:val="fr-CA"/>
        </w:rPr>
        <w:t>in</w:t>
      </w:r>
      <w:r w:rsidR="006A1528" w:rsidRPr="005147AC">
        <w:rPr>
          <w:lang w:val="fr-CA"/>
        </w:rPr>
        <w:t>tervenante Margaret Lee Cole</w:t>
      </w:r>
      <w:r w:rsidR="00BE6E3D" w:rsidRPr="005147AC">
        <w:rPr>
          <w:lang w:val="fr-CA"/>
        </w:rPr>
        <w:t> : </w:t>
      </w:r>
      <w:r w:rsidRPr="005147AC">
        <w:rPr>
          <w:lang w:val="fr-CA"/>
        </w:rPr>
        <w:t>Lockyer Zaduk Zeeh, Toronto.</w:t>
      </w:r>
    </w:p>
    <w:p w14:paraId="3CCFCB41" w14:textId="575CA8B1" w:rsidR="00293480" w:rsidRPr="005147AC" w:rsidRDefault="006A1528" w:rsidP="00B02886">
      <w:pPr>
        <w:pStyle w:val="SCCLawFirm"/>
        <w:spacing w:after="480"/>
        <w:rPr>
          <w:lang w:val="fr-CA"/>
        </w:rPr>
      </w:pPr>
      <w:r w:rsidRPr="005147AC">
        <w:rPr>
          <w:lang w:val="fr-CA"/>
        </w:rPr>
        <w:tab/>
        <w:t>Procureurs</w:t>
      </w:r>
      <w:r w:rsidR="00B838FE" w:rsidRPr="005147AC">
        <w:rPr>
          <w:lang w:val="fr-CA"/>
        </w:rPr>
        <w:t xml:space="preserve"> de l</w:t>
      </w:r>
      <w:r w:rsidR="00834A74" w:rsidRPr="005147AC">
        <w:rPr>
          <w:lang w:val="fr-CA"/>
        </w:rPr>
        <w:t>’</w:t>
      </w:r>
      <w:r w:rsidRPr="005147AC">
        <w:rPr>
          <w:lang w:val="fr-CA"/>
        </w:rPr>
        <w:t>intervenante l’</w:t>
      </w:r>
      <w:r w:rsidR="00B838FE" w:rsidRPr="005147AC">
        <w:rPr>
          <w:lang w:val="fr-CA"/>
        </w:rPr>
        <w:t xml:space="preserve">Association </w:t>
      </w:r>
      <w:r w:rsidR="001B7FBA" w:rsidRPr="005147AC">
        <w:rPr>
          <w:lang w:val="fr-CA"/>
        </w:rPr>
        <w:t>canadienne des libertés civiles</w:t>
      </w:r>
      <w:r w:rsidR="00BE6E3D" w:rsidRPr="005147AC">
        <w:rPr>
          <w:lang w:val="fr-CA"/>
        </w:rPr>
        <w:t> : </w:t>
      </w:r>
      <w:r w:rsidR="00B838FE" w:rsidRPr="005147AC">
        <w:rPr>
          <w:lang w:val="fr-CA"/>
        </w:rPr>
        <w:t>Stockwoods, Toronto.</w:t>
      </w:r>
    </w:p>
    <w:p w14:paraId="54F7F3DE" w14:textId="2BE036CA" w:rsidR="004D7D95" w:rsidRPr="00EE3309" w:rsidRDefault="006A1528" w:rsidP="001B7FBA">
      <w:pPr>
        <w:pStyle w:val="SCCLawFirm"/>
        <w:rPr>
          <w:lang w:val="fr-CA"/>
        </w:rPr>
      </w:pPr>
      <w:r w:rsidRPr="005147AC">
        <w:rPr>
          <w:lang w:val="fr-CA"/>
        </w:rPr>
        <w:tab/>
        <w:t>Procureurs</w:t>
      </w:r>
      <w:r w:rsidR="00B838FE" w:rsidRPr="005147AC">
        <w:rPr>
          <w:lang w:val="fr-CA"/>
        </w:rPr>
        <w:t xml:space="preserve"> de l</w:t>
      </w:r>
      <w:r w:rsidR="00834A74" w:rsidRPr="005147AC">
        <w:rPr>
          <w:lang w:val="fr-CA"/>
        </w:rPr>
        <w:t>’</w:t>
      </w:r>
      <w:r w:rsidRPr="005147AC">
        <w:rPr>
          <w:lang w:val="fr-CA"/>
        </w:rPr>
        <w:t>intervenante l’</w:t>
      </w:r>
      <w:r w:rsidR="00B838FE" w:rsidRPr="005147AC">
        <w:rPr>
          <w:lang w:val="fr-CA"/>
        </w:rPr>
        <w:t>Association</w:t>
      </w:r>
      <w:r w:rsidR="001B7FBA" w:rsidRPr="005147AC">
        <w:rPr>
          <w:lang w:val="fr-CA"/>
        </w:rPr>
        <w:t xml:space="preserve"> canadienne du droit carcéral</w:t>
      </w:r>
      <w:r w:rsidR="00BE6E3D" w:rsidRPr="005147AC">
        <w:rPr>
          <w:lang w:val="fr-CA"/>
        </w:rPr>
        <w:t> : </w:t>
      </w:r>
      <w:r w:rsidR="00B838FE" w:rsidRPr="005147AC">
        <w:rPr>
          <w:lang w:val="fr-CA"/>
        </w:rPr>
        <w:t>Posner Craig Stein, Toronto.</w:t>
      </w:r>
    </w:p>
    <w:sectPr w:rsidR="004D7D95" w:rsidRPr="00EE3309" w:rsidSect="0025207B">
      <w:headerReference w:type="default" r:id="rId13"/>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6DD5" w14:textId="77777777" w:rsidR="00861D5E" w:rsidRDefault="00861D5E">
      <w:r>
        <w:separator/>
      </w:r>
    </w:p>
  </w:endnote>
  <w:endnote w:type="continuationSeparator" w:id="0">
    <w:p w14:paraId="03E67A14" w14:textId="77777777" w:rsidR="00861D5E" w:rsidRDefault="0086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0339" w14:textId="77777777" w:rsidR="00861D5E" w:rsidRDefault="00861D5E">
      <w:r>
        <w:separator/>
      </w:r>
    </w:p>
  </w:footnote>
  <w:footnote w:type="continuationSeparator" w:id="0">
    <w:p w14:paraId="66932050" w14:textId="77777777" w:rsidR="00861D5E" w:rsidRDefault="0086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069335"/>
      <w:docPartObj>
        <w:docPartGallery w:val="Page Numbers (Top of Page)"/>
        <w:docPartUnique/>
      </w:docPartObj>
    </w:sdtPr>
    <w:sdtContent>
      <w:p w14:paraId="5A4400AA" w14:textId="6EFF7ED4" w:rsidR="0025207B" w:rsidRDefault="0025207B">
        <w:pPr>
          <w:pStyle w:val="En-tte"/>
          <w:jc w:val="center"/>
        </w:pPr>
        <w:r>
          <w:fldChar w:fldCharType="begin"/>
        </w:r>
        <w:r>
          <w:instrText>PAGE   \* MERGEFORMAT</w:instrText>
        </w:r>
        <w:r>
          <w:fldChar w:fldCharType="separate"/>
        </w:r>
        <w:r>
          <w:rPr>
            <w:lang w:val="fr-CA"/>
          </w:rPr>
          <w:t>2</w:t>
        </w:r>
        <w:r>
          <w:fldChar w:fldCharType="end"/>
        </w:r>
      </w:p>
    </w:sdtContent>
  </w:sdt>
  <w:p w14:paraId="794A232A"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6B6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BA7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C4DB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A69C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2484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B033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2A59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667D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326A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42DA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835FC"/>
    <w:multiLevelType w:val="hybridMultilevel"/>
    <w:tmpl w:val="BDA273BC"/>
    <w:lvl w:ilvl="0" w:tplc="9D60D3A8">
      <w:start w:val="1"/>
      <w:numFmt w:val="decimal"/>
      <w:lvlText w:val="(%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AC30139"/>
    <w:multiLevelType w:val="hybridMultilevel"/>
    <w:tmpl w:val="35D0FBF2"/>
    <w:lvl w:ilvl="0" w:tplc="A51A889A">
      <w:start w:val="2"/>
      <w:numFmt w:val="decimal"/>
      <w:lvlText w:val="(%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0043BE"/>
    <w:multiLevelType w:val="hybridMultilevel"/>
    <w:tmpl w:val="DD98A84E"/>
    <w:lvl w:ilvl="0" w:tplc="07B28F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269BE"/>
    <w:multiLevelType w:val="hybridMultilevel"/>
    <w:tmpl w:val="424E113C"/>
    <w:lvl w:ilvl="0" w:tplc="846E002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7" w15:restartNumberingAfterBreak="0">
    <w:nsid w:val="4A927775"/>
    <w:multiLevelType w:val="hybridMultilevel"/>
    <w:tmpl w:val="20BE69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C64FE2"/>
    <w:multiLevelType w:val="hybridMultilevel"/>
    <w:tmpl w:val="0B76EEBC"/>
    <w:lvl w:ilvl="0" w:tplc="434646E8">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20"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B634B2"/>
    <w:multiLevelType w:val="hybridMultilevel"/>
    <w:tmpl w:val="A7201BEA"/>
    <w:lvl w:ilvl="0" w:tplc="0C0C0011">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54283EE8"/>
    <w:multiLevelType w:val="multilevel"/>
    <w:tmpl w:val="8182E19C"/>
    <w:lvl w:ilvl="0">
      <w:start w:val="1"/>
      <w:numFmt w:val="decimal"/>
      <w:pStyle w:val="ParaNoNdepar-AltN"/>
      <w:lvlText w:val="[%1]"/>
      <w:lvlJc w:val="left"/>
      <w:pPr>
        <w:tabs>
          <w:tab w:val="num" w:pos="1152"/>
        </w:tabs>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EF74FA"/>
    <w:multiLevelType w:val="hybridMultilevel"/>
    <w:tmpl w:val="8D2A2F3A"/>
    <w:lvl w:ilvl="0" w:tplc="66820C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E7273B9"/>
    <w:multiLevelType w:val="multilevel"/>
    <w:tmpl w:val="3C527CEC"/>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b w:val="0"/>
        <w:i w:val="0"/>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25"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56E0AC7"/>
    <w:multiLevelType w:val="hybridMultilevel"/>
    <w:tmpl w:val="B2D88ED6"/>
    <w:lvl w:ilvl="0" w:tplc="251636EE">
      <w:start w:val="1"/>
      <w:numFmt w:val="bullet"/>
      <w:pStyle w:val="BulletedList"/>
      <w:lvlText w:val=""/>
      <w:lvlJc w:val="left"/>
      <w:pPr>
        <w:ind w:left="1886" w:hanging="360"/>
      </w:pPr>
      <w:rPr>
        <w:rFonts w:ascii="Symbol" w:hAnsi="Symbol" w:hint="default"/>
      </w:rPr>
    </w:lvl>
    <w:lvl w:ilvl="1" w:tplc="10090003" w:tentative="1">
      <w:start w:val="1"/>
      <w:numFmt w:val="bullet"/>
      <w:lvlText w:val="o"/>
      <w:lvlJc w:val="left"/>
      <w:pPr>
        <w:ind w:left="2606" w:hanging="360"/>
      </w:pPr>
      <w:rPr>
        <w:rFonts w:ascii="Courier New" w:hAnsi="Courier New" w:cs="Courier New" w:hint="default"/>
      </w:rPr>
    </w:lvl>
    <w:lvl w:ilvl="2" w:tplc="10090005" w:tentative="1">
      <w:start w:val="1"/>
      <w:numFmt w:val="bullet"/>
      <w:lvlText w:val=""/>
      <w:lvlJc w:val="left"/>
      <w:pPr>
        <w:ind w:left="3326" w:hanging="360"/>
      </w:pPr>
      <w:rPr>
        <w:rFonts w:ascii="Wingdings" w:hAnsi="Wingdings" w:hint="default"/>
      </w:rPr>
    </w:lvl>
    <w:lvl w:ilvl="3" w:tplc="10090001" w:tentative="1">
      <w:start w:val="1"/>
      <w:numFmt w:val="bullet"/>
      <w:lvlText w:val=""/>
      <w:lvlJc w:val="left"/>
      <w:pPr>
        <w:ind w:left="4046" w:hanging="360"/>
      </w:pPr>
      <w:rPr>
        <w:rFonts w:ascii="Symbol" w:hAnsi="Symbol" w:hint="default"/>
      </w:rPr>
    </w:lvl>
    <w:lvl w:ilvl="4" w:tplc="10090003" w:tentative="1">
      <w:start w:val="1"/>
      <w:numFmt w:val="bullet"/>
      <w:lvlText w:val="o"/>
      <w:lvlJc w:val="left"/>
      <w:pPr>
        <w:ind w:left="4766" w:hanging="360"/>
      </w:pPr>
      <w:rPr>
        <w:rFonts w:ascii="Courier New" w:hAnsi="Courier New" w:cs="Courier New" w:hint="default"/>
      </w:rPr>
    </w:lvl>
    <w:lvl w:ilvl="5" w:tplc="10090005" w:tentative="1">
      <w:start w:val="1"/>
      <w:numFmt w:val="bullet"/>
      <w:lvlText w:val=""/>
      <w:lvlJc w:val="left"/>
      <w:pPr>
        <w:ind w:left="5486" w:hanging="360"/>
      </w:pPr>
      <w:rPr>
        <w:rFonts w:ascii="Wingdings" w:hAnsi="Wingdings" w:hint="default"/>
      </w:rPr>
    </w:lvl>
    <w:lvl w:ilvl="6" w:tplc="10090001" w:tentative="1">
      <w:start w:val="1"/>
      <w:numFmt w:val="bullet"/>
      <w:lvlText w:val=""/>
      <w:lvlJc w:val="left"/>
      <w:pPr>
        <w:ind w:left="6206" w:hanging="360"/>
      </w:pPr>
      <w:rPr>
        <w:rFonts w:ascii="Symbol" w:hAnsi="Symbol" w:hint="default"/>
      </w:rPr>
    </w:lvl>
    <w:lvl w:ilvl="7" w:tplc="10090003" w:tentative="1">
      <w:start w:val="1"/>
      <w:numFmt w:val="bullet"/>
      <w:lvlText w:val="o"/>
      <w:lvlJc w:val="left"/>
      <w:pPr>
        <w:ind w:left="6926" w:hanging="360"/>
      </w:pPr>
      <w:rPr>
        <w:rFonts w:ascii="Courier New" w:hAnsi="Courier New" w:cs="Courier New" w:hint="default"/>
      </w:rPr>
    </w:lvl>
    <w:lvl w:ilvl="8" w:tplc="10090005" w:tentative="1">
      <w:start w:val="1"/>
      <w:numFmt w:val="bullet"/>
      <w:lvlText w:val=""/>
      <w:lvlJc w:val="left"/>
      <w:pPr>
        <w:ind w:left="7646" w:hanging="360"/>
      </w:pPr>
      <w:rPr>
        <w:rFonts w:ascii="Wingdings" w:hAnsi="Wingdings" w:hint="default"/>
      </w:rPr>
    </w:lvl>
  </w:abstractNum>
  <w:num w:numId="1" w16cid:durableId="380055531">
    <w:abstractNumId w:val="25"/>
  </w:num>
  <w:num w:numId="2" w16cid:durableId="2127044108">
    <w:abstractNumId w:val="13"/>
  </w:num>
  <w:num w:numId="3" w16cid:durableId="1291132755">
    <w:abstractNumId w:val="12"/>
  </w:num>
  <w:num w:numId="4" w16cid:durableId="296960148">
    <w:abstractNumId w:val="19"/>
  </w:num>
  <w:num w:numId="5" w16cid:durableId="105514309">
    <w:abstractNumId w:val="20"/>
  </w:num>
  <w:num w:numId="6" w16cid:durableId="1448889857">
    <w:abstractNumId w:val="22"/>
  </w:num>
  <w:num w:numId="7" w16cid:durableId="821194409">
    <w:abstractNumId w:val="16"/>
  </w:num>
  <w:num w:numId="8" w16cid:durableId="1329822681">
    <w:abstractNumId w:val="16"/>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908806657">
    <w:abstractNumId w:val="26"/>
  </w:num>
  <w:num w:numId="10" w16cid:durableId="83384655">
    <w:abstractNumId w:val="24"/>
  </w:num>
  <w:num w:numId="11" w16cid:durableId="686709415">
    <w:abstractNumId w:val="16"/>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2" w16cid:durableId="1423723157">
    <w:abstractNumId w:val="17"/>
  </w:num>
  <w:num w:numId="13" w16cid:durableId="1408259789">
    <w:abstractNumId w:val="18"/>
  </w:num>
  <w:num w:numId="14" w16cid:durableId="1694186933">
    <w:abstractNumId w:val="9"/>
  </w:num>
  <w:num w:numId="15" w16cid:durableId="1261185208">
    <w:abstractNumId w:val="7"/>
  </w:num>
  <w:num w:numId="16" w16cid:durableId="1372530270">
    <w:abstractNumId w:val="6"/>
  </w:num>
  <w:num w:numId="17" w16cid:durableId="1844465294">
    <w:abstractNumId w:val="5"/>
  </w:num>
  <w:num w:numId="18" w16cid:durableId="300428126">
    <w:abstractNumId w:val="4"/>
  </w:num>
  <w:num w:numId="19" w16cid:durableId="1754431412">
    <w:abstractNumId w:val="8"/>
  </w:num>
  <w:num w:numId="20" w16cid:durableId="1739742734">
    <w:abstractNumId w:val="3"/>
  </w:num>
  <w:num w:numId="21" w16cid:durableId="2017069921">
    <w:abstractNumId w:val="2"/>
  </w:num>
  <w:num w:numId="22" w16cid:durableId="551575718">
    <w:abstractNumId w:val="1"/>
  </w:num>
  <w:num w:numId="23" w16cid:durableId="352541222">
    <w:abstractNumId w:val="0"/>
  </w:num>
  <w:num w:numId="24" w16cid:durableId="873731101">
    <w:abstractNumId w:val="15"/>
  </w:num>
  <w:num w:numId="25" w16cid:durableId="744299524">
    <w:abstractNumId w:val="22"/>
    <w:lvlOverride w:ilvl="0">
      <w:startOverride w:val="1"/>
    </w:lvlOverride>
    <w:lvlOverride w:ilvl="1">
      <w:startOverride w:val="2"/>
    </w:lvlOverride>
  </w:num>
  <w:num w:numId="26" w16cid:durableId="1041172883">
    <w:abstractNumId w:val="22"/>
    <w:lvlOverride w:ilvl="0">
      <w:startOverride w:val="1"/>
    </w:lvlOverride>
    <w:lvlOverride w:ilvl="1">
      <w:startOverride w:val="3"/>
    </w:lvlOverride>
  </w:num>
  <w:num w:numId="27" w16cid:durableId="439372227">
    <w:abstractNumId w:val="16"/>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8" w16cid:durableId="418017079">
    <w:abstractNumId w:val="16"/>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9" w16cid:durableId="1804931463">
    <w:abstractNumId w:val="22"/>
    <w:lvlOverride w:ilvl="0">
      <w:startOverride w:val="6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290446">
    <w:abstractNumId w:val="22"/>
    <w:lvlOverride w:ilvl="0">
      <w:startOverride w:val="6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6413486">
    <w:abstractNumId w:val="14"/>
  </w:num>
  <w:num w:numId="32" w16cid:durableId="1806239978">
    <w:abstractNumId w:val="21"/>
  </w:num>
  <w:num w:numId="33" w16cid:durableId="1053693534">
    <w:abstractNumId w:val="10"/>
  </w:num>
  <w:num w:numId="34" w16cid:durableId="331957688">
    <w:abstractNumId w:val="22"/>
    <w:lvlOverride w:ilvl="0">
      <w:startOverride w:val="8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2869624">
    <w:abstractNumId w:val="16"/>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2234541">
    <w:abstractNumId w:val="22"/>
    <w:lvlOverride w:ilvl="0">
      <w:startOverride w:val="8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059536">
    <w:abstractNumId w:val="23"/>
  </w:num>
  <w:num w:numId="38" w16cid:durableId="332102193">
    <w:abstractNumId w:val="11"/>
  </w:num>
  <w:num w:numId="39" w16cid:durableId="1056588074">
    <w:abstractNumId w:val="22"/>
    <w:lvlOverride w:ilvl="0">
      <w:startOverride w:val="10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0940652">
    <w:abstractNumId w:val="22"/>
    <w:lvlOverride w:ilvl="0">
      <w:startOverride w:val="10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602169">
    <w:abstractNumId w:val="16"/>
    <w:lvlOverride w:ilvl="0">
      <w:startOverride w:val="1"/>
      <w:lvl w:ilvl="0">
        <w:start w:val="1"/>
        <w:numFmt w:val="upperRoman"/>
        <w:pStyle w:val="Title1LevelTitre1Niveau-AltL"/>
        <w:lvlText w:val="%1."/>
        <w:lvlJc w:val="left"/>
        <w:pPr>
          <w:tabs>
            <w:tab w:val="num" w:pos="576"/>
          </w:tabs>
          <w:ind w:left="576" w:hanging="576"/>
        </w:pPr>
        <w:rPr>
          <w:rFonts w:hint="default"/>
          <w:sz w:val="24"/>
        </w:rPr>
      </w:lvl>
    </w:lvlOverride>
    <w:lvlOverride w:ilvl="1">
      <w:startOverride w:va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pStyle w:val="Title4LevelTitre4Niveau"/>
        <w:lvlText w:val="(%4)"/>
        <w:lvlJc w:val="left"/>
        <w:pPr>
          <w:tabs>
            <w:tab w:val="num" w:pos="1152"/>
          </w:tabs>
          <w:ind w:left="1152" w:hanging="576"/>
        </w:pPr>
        <w:rPr>
          <w:rFonts w:hint="default"/>
          <w:b w:val="0"/>
          <w:i w:val="0"/>
        </w:rPr>
      </w:lvl>
    </w:lvlOverride>
    <w:lvlOverride w:ilvl="4">
      <w:startOverride w:val="1"/>
      <w:lvl w:ilvl="4">
        <w:start w:val="1"/>
        <w:numFmt w:val="lowerRoman"/>
        <w:pStyle w:val="Title5LevelTitre5Niveau"/>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 w:numId="42" w16cid:durableId="118570032">
    <w:abstractNumId w:val="22"/>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168DC7-B5EB-4985-A68A-3DE8AC32540A}"/>
    <w:docVar w:name="dgnword-eventsink" w:val="620057992"/>
  </w:docVars>
  <w:rsids>
    <w:rsidRoot w:val="0031414C"/>
    <w:rsid w:val="00000ED4"/>
    <w:rsid w:val="00023FC7"/>
    <w:rsid w:val="00025198"/>
    <w:rsid w:val="0003087B"/>
    <w:rsid w:val="00040698"/>
    <w:rsid w:val="000578A3"/>
    <w:rsid w:val="000648CC"/>
    <w:rsid w:val="00085EA2"/>
    <w:rsid w:val="000953C9"/>
    <w:rsid w:val="000C59B8"/>
    <w:rsid w:val="000C6AF0"/>
    <w:rsid w:val="000D0A77"/>
    <w:rsid w:val="000E3999"/>
    <w:rsid w:val="000E558E"/>
    <w:rsid w:val="000F4A6C"/>
    <w:rsid w:val="000F7993"/>
    <w:rsid w:val="00104F33"/>
    <w:rsid w:val="00106D13"/>
    <w:rsid w:val="00111DE2"/>
    <w:rsid w:val="00116B38"/>
    <w:rsid w:val="00126B25"/>
    <w:rsid w:val="00135406"/>
    <w:rsid w:val="00135972"/>
    <w:rsid w:val="00135D0A"/>
    <w:rsid w:val="001426A9"/>
    <w:rsid w:val="00154D7C"/>
    <w:rsid w:val="001570B0"/>
    <w:rsid w:val="0015752C"/>
    <w:rsid w:val="00157737"/>
    <w:rsid w:val="00165277"/>
    <w:rsid w:val="00170592"/>
    <w:rsid w:val="001720F7"/>
    <w:rsid w:val="001778EE"/>
    <w:rsid w:val="0019289A"/>
    <w:rsid w:val="00195D83"/>
    <w:rsid w:val="001A00C1"/>
    <w:rsid w:val="001B1AF1"/>
    <w:rsid w:val="001B33E0"/>
    <w:rsid w:val="001B4573"/>
    <w:rsid w:val="001B7FBA"/>
    <w:rsid w:val="001C3E63"/>
    <w:rsid w:val="001C779F"/>
    <w:rsid w:val="001D2AC1"/>
    <w:rsid w:val="001D41F2"/>
    <w:rsid w:val="001D4E88"/>
    <w:rsid w:val="001E0C62"/>
    <w:rsid w:val="001E500F"/>
    <w:rsid w:val="001F6A23"/>
    <w:rsid w:val="00210F19"/>
    <w:rsid w:val="0021166F"/>
    <w:rsid w:val="00220FC2"/>
    <w:rsid w:val="002222F4"/>
    <w:rsid w:val="00224FC0"/>
    <w:rsid w:val="00225EA4"/>
    <w:rsid w:val="00226EAF"/>
    <w:rsid w:val="00231F3A"/>
    <w:rsid w:val="002406EE"/>
    <w:rsid w:val="00243315"/>
    <w:rsid w:val="00243EC8"/>
    <w:rsid w:val="0024722C"/>
    <w:rsid w:val="0025207B"/>
    <w:rsid w:val="00267A63"/>
    <w:rsid w:val="00270D93"/>
    <w:rsid w:val="00272A51"/>
    <w:rsid w:val="00273E96"/>
    <w:rsid w:val="002745CC"/>
    <w:rsid w:val="002775C9"/>
    <w:rsid w:val="00287C90"/>
    <w:rsid w:val="00293480"/>
    <w:rsid w:val="002B6FBE"/>
    <w:rsid w:val="002B7924"/>
    <w:rsid w:val="002C10A6"/>
    <w:rsid w:val="002D28C3"/>
    <w:rsid w:val="002D2E65"/>
    <w:rsid w:val="002D313B"/>
    <w:rsid w:val="002D39A4"/>
    <w:rsid w:val="002E2C52"/>
    <w:rsid w:val="002E6705"/>
    <w:rsid w:val="002F2760"/>
    <w:rsid w:val="0030329A"/>
    <w:rsid w:val="00303FDD"/>
    <w:rsid w:val="00304450"/>
    <w:rsid w:val="0031086F"/>
    <w:rsid w:val="0031414C"/>
    <w:rsid w:val="00314E01"/>
    <w:rsid w:val="00315B89"/>
    <w:rsid w:val="0032089D"/>
    <w:rsid w:val="0032674A"/>
    <w:rsid w:val="003310DE"/>
    <w:rsid w:val="003323B0"/>
    <w:rsid w:val="00340A49"/>
    <w:rsid w:val="00345CA2"/>
    <w:rsid w:val="0035169A"/>
    <w:rsid w:val="0035259D"/>
    <w:rsid w:val="00363393"/>
    <w:rsid w:val="00364B18"/>
    <w:rsid w:val="00370F2E"/>
    <w:rsid w:val="003845A1"/>
    <w:rsid w:val="00391FDA"/>
    <w:rsid w:val="003A125D"/>
    <w:rsid w:val="003A4C70"/>
    <w:rsid w:val="003B215F"/>
    <w:rsid w:val="003C4CF4"/>
    <w:rsid w:val="003C799C"/>
    <w:rsid w:val="003D0399"/>
    <w:rsid w:val="003D7DB8"/>
    <w:rsid w:val="003E1C71"/>
    <w:rsid w:val="003F327B"/>
    <w:rsid w:val="004032B7"/>
    <w:rsid w:val="00406166"/>
    <w:rsid w:val="0040704B"/>
    <w:rsid w:val="00410A55"/>
    <w:rsid w:val="00411300"/>
    <w:rsid w:val="00412EB8"/>
    <w:rsid w:val="00413F17"/>
    <w:rsid w:val="00415417"/>
    <w:rsid w:val="00420FAC"/>
    <w:rsid w:val="00425D44"/>
    <w:rsid w:val="00426659"/>
    <w:rsid w:val="00432D0F"/>
    <w:rsid w:val="00432E74"/>
    <w:rsid w:val="00450352"/>
    <w:rsid w:val="00454BDB"/>
    <w:rsid w:val="00465132"/>
    <w:rsid w:val="00480C90"/>
    <w:rsid w:val="0048396F"/>
    <w:rsid w:val="00493C18"/>
    <w:rsid w:val="004A600C"/>
    <w:rsid w:val="004A6118"/>
    <w:rsid w:val="004C478D"/>
    <w:rsid w:val="004D7D95"/>
    <w:rsid w:val="004E2C26"/>
    <w:rsid w:val="004E2D50"/>
    <w:rsid w:val="004E6791"/>
    <w:rsid w:val="00501C85"/>
    <w:rsid w:val="005125A8"/>
    <w:rsid w:val="005147AC"/>
    <w:rsid w:val="00516CF4"/>
    <w:rsid w:val="00517549"/>
    <w:rsid w:val="00517BD8"/>
    <w:rsid w:val="00520ABC"/>
    <w:rsid w:val="00521AE8"/>
    <w:rsid w:val="00525C00"/>
    <w:rsid w:val="00527180"/>
    <w:rsid w:val="005378AA"/>
    <w:rsid w:val="00547971"/>
    <w:rsid w:val="00555291"/>
    <w:rsid w:val="00556C9D"/>
    <w:rsid w:val="00566AD1"/>
    <w:rsid w:val="005732DD"/>
    <w:rsid w:val="0058377E"/>
    <w:rsid w:val="00583EDE"/>
    <w:rsid w:val="00584FD6"/>
    <w:rsid w:val="005903E7"/>
    <w:rsid w:val="005A6079"/>
    <w:rsid w:val="005A608A"/>
    <w:rsid w:val="005D2A99"/>
    <w:rsid w:val="005E4698"/>
    <w:rsid w:val="005F2710"/>
    <w:rsid w:val="00603924"/>
    <w:rsid w:val="00603DA3"/>
    <w:rsid w:val="00610539"/>
    <w:rsid w:val="00613969"/>
    <w:rsid w:val="00622AA5"/>
    <w:rsid w:val="00625C35"/>
    <w:rsid w:val="00647E49"/>
    <w:rsid w:val="00656313"/>
    <w:rsid w:val="006565F4"/>
    <w:rsid w:val="00660394"/>
    <w:rsid w:val="006610B1"/>
    <w:rsid w:val="00664CA2"/>
    <w:rsid w:val="006807B0"/>
    <w:rsid w:val="00681D0F"/>
    <w:rsid w:val="00684EEA"/>
    <w:rsid w:val="00687FEF"/>
    <w:rsid w:val="006920BA"/>
    <w:rsid w:val="00695152"/>
    <w:rsid w:val="0069689B"/>
    <w:rsid w:val="006A1528"/>
    <w:rsid w:val="006A54B5"/>
    <w:rsid w:val="006B5FF5"/>
    <w:rsid w:val="006C0A02"/>
    <w:rsid w:val="006F30AF"/>
    <w:rsid w:val="006F78A4"/>
    <w:rsid w:val="00701759"/>
    <w:rsid w:val="007043E9"/>
    <w:rsid w:val="00705958"/>
    <w:rsid w:val="00705C15"/>
    <w:rsid w:val="00706171"/>
    <w:rsid w:val="0071104A"/>
    <w:rsid w:val="007110F6"/>
    <w:rsid w:val="00711E59"/>
    <w:rsid w:val="007146CB"/>
    <w:rsid w:val="007208D1"/>
    <w:rsid w:val="00724E29"/>
    <w:rsid w:val="00744518"/>
    <w:rsid w:val="00747288"/>
    <w:rsid w:val="00747DD3"/>
    <w:rsid w:val="007549C8"/>
    <w:rsid w:val="00754E2E"/>
    <w:rsid w:val="007562B1"/>
    <w:rsid w:val="00766D14"/>
    <w:rsid w:val="00767A0F"/>
    <w:rsid w:val="0078338A"/>
    <w:rsid w:val="00791272"/>
    <w:rsid w:val="007A05F6"/>
    <w:rsid w:val="007B6F4A"/>
    <w:rsid w:val="007C0B75"/>
    <w:rsid w:val="007C7B60"/>
    <w:rsid w:val="007E1C47"/>
    <w:rsid w:val="007E337A"/>
    <w:rsid w:val="007E5C70"/>
    <w:rsid w:val="007F2FF5"/>
    <w:rsid w:val="007F3F08"/>
    <w:rsid w:val="00804CC6"/>
    <w:rsid w:val="00805088"/>
    <w:rsid w:val="00817190"/>
    <w:rsid w:val="008176E9"/>
    <w:rsid w:val="008260E2"/>
    <w:rsid w:val="008322BD"/>
    <w:rsid w:val="00834A74"/>
    <w:rsid w:val="00834F73"/>
    <w:rsid w:val="00836992"/>
    <w:rsid w:val="00841315"/>
    <w:rsid w:val="008519F5"/>
    <w:rsid w:val="00861D5E"/>
    <w:rsid w:val="00864C8A"/>
    <w:rsid w:val="00864CF8"/>
    <w:rsid w:val="00874914"/>
    <w:rsid w:val="00875F5E"/>
    <w:rsid w:val="00886A2B"/>
    <w:rsid w:val="00890E4E"/>
    <w:rsid w:val="00891422"/>
    <w:rsid w:val="00892E1A"/>
    <w:rsid w:val="0089730C"/>
    <w:rsid w:val="008B2312"/>
    <w:rsid w:val="008B660A"/>
    <w:rsid w:val="008C01DA"/>
    <w:rsid w:val="008C23BA"/>
    <w:rsid w:val="008C6731"/>
    <w:rsid w:val="008D6533"/>
    <w:rsid w:val="008E1463"/>
    <w:rsid w:val="008F2674"/>
    <w:rsid w:val="008F2D44"/>
    <w:rsid w:val="008F78E9"/>
    <w:rsid w:val="0090246E"/>
    <w:rsid w:val="009179F9"/>
    <w:rsid w:val="00917C7A"/>
    <w:rsid w:val="00923EB5"/>
    <w:rsid w:val="00933E5E"/>
    <w:rsid w:val="00935218"/>
    <w:rsid w:val="00937C52"/>
    <w:rsid w:val="009403F3"/>
    <w:rsid w:val="00941445"/>
    <w:rsid w:val="009555B7"/>
    <w:rsid w:val="009562A0"/>
    <w:rsid w:val="009565E0"/>
    <w:rsid w:val="009567AA"/>
    <w:rsid w:val="009602C9"/>
    <w:rsid w:val="00962948"/>
    <w:rsid w:val="009651BE"/>
    <w:rsid w:val="00967374"/>
    <w:rsid w:val="009814C0"/>
    <w:rsid w:val="009A0C15"/>
    <w:rsid w:val="009A343A"/>
    <w:rsid w:val="009A5E8E"/>
    <w:rsid w:val="009B02E7"/>
    <w:rsid w:val="009B2F23"/>
    <w:rsid w:val="009B57B3"/>
    <w:rsid w:val="009D2920"/>
    <w:rsid w:val="009D5AEB"/>
    <w:rsid w:val="009E7A22"/>
    <w:rsid w:val="009F0E33"/>
    <w:rsid w:val="009F1F52"/>
    <w:rsid w:val="00A01C26"/>
    <w:rsid w:val="00A13101"/>
    <w:rsid w:val="00A149DF"/>
    <w:rsid w:val="00A1755C"/>
    <w:rsid w:val="00A17F5F"/>
    <w:rsid w:val="00A20F74"/>
    <w:rsid w:val="00A21B90"/>
    <w:rsid w:val="00A22AAC"/>
    <w:rsid w:val="00A248D4"/>
    <w:rsid w:val="00A41805"/>
    <w:rsid w:val="00A4249B"/>
    <w:rsid w:val="00A51882"/>
    <w:rsid w:val="00A52AFB"/>
    <w:rsid w:val="00A548CB"/>
    <w:rsid w:val="00A5521C"/>
    <w:rsid w:val="00A62E12"/>
    <w:rsid w:val="00A643E7"/>
    <w:rsid w:val="00A73C38"/>
    <w:rsid w:val="00A810DC"/>
    <w:rsid w:val="00A863B9"/>
    <w:rsid w:val="00A921A7"/>
    <w:rsid w:val="00AA20D4"/>
    <w:rsid w:val="00AB670D"/>
    <w:rsid w:val="00AE0196"/>
    <w:rsid w:val="00AE0AEC"/>
    <w:rsid w:val="00AF03C5"/>
    <w:rsid w:val="00AF1103"/>
    <w:rsid w:val="00B000D8"/>
    <w:rsid w:val="00B00F75"/>
    <w:rsid w:val="00B02886"/>
    <w:rsid w:val="00B05041"/>
    <w:rsid w:val="00B145B6"/>
    <w:rsid w:val="00B279EB"/>
    <w:rsid w:val="00B44653"/>
    <w:rsid w:val="00B50C81"/>
    <w:rsid w:val="00B5167F"/>
    <w:rsid w:val="00B557F8"/>
    <w:rsid w:val="00B76954"/>
    <w:rsid w:val="00B815FC"/>
    <w:rsid w:val="00B838FE"/>
    <w:rsid w:val="00B92444"/>
    <w:rsid w:val="00B925EE"/>
    <w:rsid w:val="00B93FBC"/>
    <w:rsid w:val="00B97552"/>
    <w:rsid w:val="00B97C0B"/>
    <w:rsid w:val="00BA7DA0"/>
    <w:rsid w:val="00BB2808"/>
    <w:rsid w:val="00BB2EE4"/>
    <w:rsid w:val="00BB4C92"/>
    <w:rsid w:val="00BB55D3"/>
    <w:rsid w:val="00BB79C9"/>
    <w:rsid w:val="00BC2108"/>
    <w:rsid w:val="00BD0E9E"/>
    <w:rsid w:val="00BD1BEC"/>
    <w:rsid w:val="00BD32FF"/>
    <w:rsid w:val="00BE6E3D"/>
    <w:rsid w:val="00BF6FE9"/>
    <w:rsid w:val="00C02092"/>
    <w:rsid w:val="00C22935"/>
    <w:rsid w:val="00C24D91"/>
    <w:rsid w:val="00C26DB2"/>
    <w:rsid w:val="00C30978"/>
    <w:rsid w:val="00C42D5B"/>
    <w:rsid w:val="00C43D20"/>
    <w:rsid w:val="00C53F14"/>
    <w:rsid w:val="00C558D0"/>
    <w:rsid w:val="00C600CF"/>
    <w:rsid w:val="00C6084F"/>
    <w:rsid w:val="00C6246B"/>
    <w:rsid w:val="00C62A66"/>
    <w:rsid w:val="00C66359"/>
    <w:rsid w:val="00C71458"/>
    <w:rsid w:val="00C7418F"/>
    <w:rsid w:val="00C76846"/>
    <w:rsid w:val="00C77613"/>
    <w:rsid w:val="00C828E7"/>
    <w:rsid w:val="00C83004"/>
    <w:rsid w:val="00C83196"/>
    <w:rsid w:val="00C86719"/>
    <w:rsid w:val="00C921DD"/>
    <w:rsid w:val="00CA28D3"/>
    <w:rsid w:val="00CA6391"/>
    <w:rsid w:val="00CC79C9"/>
    <w:rsid w:val="00CD57B8"/>
    <w:rsid w:val="00CE036E"/>
    <w:rsid w:val="00CE3171"/>
    <w:rsid w:val="00CF1601"/>
    <w:rsid w:val="00D0172F"/>
    <w:rsid w:val="00D01E33"/>
    <w:rsid w:val="00D03244"/>
    <w:rsid w:val="00D06624"/>
    <w:rsid w:val="00D068A7"/>
    <w:rsid w:val="00D17476"/>
    <w:rsid w:val="00D17B0E"/>
    <w:rsid w:val="00D27F8B"/>
    <w:rsid w:val="00D32086"/>
    <w:rsid w:val="00D37A3F"/>
    <w:rsid w:val="00D4431D"/>
    <w:rsid w:val="00D4667A"/>
    <w:rsid w:val="00D52A34"/>
    <w:rsid w:val="00D63A1C"/>
    <w:rsid w:val="00D7516F"/>
    <w:rsid w:val="00D80C50"/>
    <w:rsid w:val="00D95F8E"/>
    <w:rsid w:val="00DA0590"/>
    <w:rsid w:val="00DC1739"/>
    <w:rsid w:val="00DC1788"/>
    <w:rsid w:val="00DC5D91"/>
    <w:rsid w:val="00DD0916"/>
    <w:rsid w:val="00DE319C"/>
    <w:rsid w:val="00DF0CA8"/>
    <w:rsid w:val="00DF24FC"/>
    <w:rsid w:val="00DF2B48"/>
    <w:rsid w:val="00DF49A7"/>
    <w:rsid w:val="00E07EE2"/>
    <w:rsid w:val="00E07FD1"/>
    <w:rsid w:val="00E24573"/>
    <w:rsid w:val="00E25E1E"/>
    <w:rsid w:val="00E274C0"/>
    <w:rsid w:val="00E27EE7"/>
    <w:rsid w:val="00E32A22"/>
    <w:rsid w:val="00E332D7"/>
    <w:rsid w:val="00E35404"/>
    <w:rsid w:val="00E45109"/>
    <w:rsid w:val="00E47B7A"/>
    <w:rsid w:val="00E55A7C"/>
    <w:rsid w:val="00E56A44"/>
    <w:rsid w:val="00E60269"/>
    <w:rsid w:val="00E73DF0"/>
    <w:rsid w:val="00E97830"/>
    <w:rsid w:val="00EA0616"/>
    <w:rsid w:val="00EA7649"/>
    <w:rsid w:val="00EB2E11"/>
    <w:rsid w:val="00EE0830"/>
    <w:rsid w:val="00EE3178"/>
    <w:rsid w:val="00EE3309"/>
    <w:rsid w:val="00EE6CB8"/>
    <w:rsid w:val="00EF0683"/>
    <w:rsid w:val="00EF3829"/>
    <w:rsid w:val="00F0070C"/>
    <w:rsid w:val="00F00EB7"/>
    <w:rsid w:val="00F066A4"/>
    <w:rsid w:val="00F1656A"/>
    <w:rsid w:val="00F349AA"/>
    <w:rsid w:val="00F36AB6"/>
    <w:rsid w:val="00F37A09"/>
    <w:rsid w:val="00F37B2A"/>
    <w:rsid w:val="00F409CE"/>
    <w:rsid w:val="00F4379D"/>
    <w:rsid w:val="00F50D2D"/>
    <w:rsid w:val="00F56386"/>
    <w:rsid w:val="00F56C8B"/>
    <w:rsid w:val="00F61138"/>
    <w:rsid w:val="00F62639"/>
    <w:rsid w:val="00F639D8"/>
    <w:rsid w:val="00F66810"/>
    <w:rsid w:val="00F73414"/>
    <w:rsid w:val="00F8468F"/>
    <w:rsid w:val="00F84DF4"/>
    <w:rsid w:val="00F85C97"/>
    <w:rsid w:val="00F94D42"/>
    <w:rsid w:val="00FA0922"/>
    <w:rsid w:val="00FA28C8"/>
    <w:rsid w:val="00FA614E"/>
    <w:rsid w:val="00FB37D2"/>
    <w:rsid w:val="00FC4232"/>
    <w:rsid w:val="00FC4EE0"/>
    <w:rsid w:val="00FC4EFB"/>
    <w:rsid w:val="00FD068D"/>
    <w:rsid w:val="00FD4F28"/>
    <w:rsid w:val="00FE6784"/>
    <w:rsid w:val="00FE7A29"/>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4D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81D0F"/>
    <w:pPr>
      <w:keepNext/>
      <w:keepLines/>
      <w:spacing w:before="4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5147AC"/>
    <w:pPr>
      <w:keepNext/>
      <w:keepLines/>
      <w:spacing w:before="200"/>
      <w:outlineLvl w:val="3"/>
    </w:pPr>
    <w:rPr>
      <w:rFonts w:asciiTheme="majorHAnsi" w:eastAsiaTheme="majorEastAsia" w:hAnsiTheme="majorHAnsi" w:cstheme="majorBidi"/>
      <w:b/>
      <w:bCs/>
      <w:i/>
      <w:iCs/>
      <w:color w:val="4F81BD" w:themeColor="accent1"/>
      <w:szCs w:val="22"/>
      <w:lang w:val="en-US" w:eastAsia="en-US" w:bidi="en-US"/>
    </w:rPr>
  </w:style>
  <w:style w:type="paragraph" w:styleId="Titre5">
    <w:name w:val="heading 5"/>
    <w:basedOn w:val="Normal"/>
    <w:next w:val="Normal"/>
    <w:link w:val="Titre5Car"/>
    <w:uiPriority w:val="9"/>
    <w:semiHidden/>
    <w:unhideWhenUsed/>
    <w:qFormat/>
    <w:rsid w:val="005147AC"/>
    <w:pPr>
      <w:keepNext/>
      <w:keepLines/>
      <w:spacing w:before="200"/>
      <w:outlineLvl w:val="4"/>
    </w:pPr>
    <w:rPr>
      <w:rFonts w:asciiTheme="majorHAnsi" w:eastAsiaTheme="majorEastAsia" w:hAnsiTheme="majorHAnsi" w:cstheme="majorBidi"/>
      <w:color w:val="243F60" w:themeColor="accent1" w:themeShade="7F"/>
      <w:szCs w:val="22"/>
      <w:lang w:val="en-US" w:eastAsia="en-US" w:bidi="en-US"/>
    </w:rPr>
  </w:style>
  <w:style w:type="paragraph" w:styleId="Titre6">
    <w:name w:val="heading 6"/>
    <w:basedOn w:val="Normal"/>
    <w:next w:val="Normal"/>
    <w:link w:val="Titre6Car"/>
    <w:uiPriority w:val="9"/>
    <w:semiHidden/>
    <w:unhideWhenUsed/>
    <w:qFormat/>
    <w:rsid w:val="005147AC"/>
    <w:pPr>
      <w:keepNext/>
      <w:keepLines/>
      <w:spacing w:before="200"/>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Titre7">
    <w:name w:val="heading 7"/>
    <w:basedOn w:val="Normal"/>
    <w:next w:val="Normal"/>
    <w:link w:val="Titre7Car"/>
    <w:uiPriority w:val="9"/>
    <w:semiHidden/>
    <w:unhideWhenUsed/>
    <w:qFormat/>
    <w:rsid w:val="005147AC"/>
    <w:pPr>
      <w:keepNext/>
      <w:keepLines/>
      <w:spacing w:before="200"/>
      <w:outlineLvl w:val="6"/>
    </w:pPr>
    <w:rPr>
      <w:rFonts w:asciiTheme="majorHAnsi" w:eastAsiaTheme="majorEastAsia" w:hAnsiTheme="majorHAnsi" w:cstheme="majorBidi"/>
      <w:i/>
      <w:iCs/>
      <w:color w:val="404040" w:themeColor="text1" w:themeTint="BF"/>
      <w:szCs w:val="22"/>
      <w:lang w:val="en-US" w:eastAsia="en-US" w:bidi="en-US"/>
    </w:rPr>
  </w:style>
  <w:style w:type="paragraph" w:styleId="Titre8">
    <w:name w:val="heading 8"/>
    <w:basedOn w:val="Normal"/>
    <w:next w:val="Normal"/>
    <w:link w:val="Titre8Car"/>
    <w:uiPriority w:val="9"/>
    <w:semiHidden/>
    <w:unhideWhenUsed/>
    <w:qFormat/>
    <w:rsid w:val="005147AC"/>
    <w:pPr>
      <w:keepNext/>
      <w:keepLines/>
      <w:spacing w:before="200"/>
      <w:outlineLvl w:val="7"/>
    </w:pPr>
    <w:rPr>
      <w:rFonts w:asciiTheme="majorHAnsi" w:eastAsiaTheme="majorEastAsia" w:hAnsiTheme="majorHAnsi" w:cstheme="majorBidi"/>
      <w:color w:val="4F81BD" w:themeColor="accent1"/>
      <w:sz w:val="20"/>
      <w:lang w:val="en-US" w:eastAsia="en-US" w:bidi="en-US"/>
    </w:rPr>
  </w:style>
  <w:style w:type="paragraph" w:styleId="Titre9">
    <w:name w:val="heading 9"/>
    <w:basedOn w:val="Normal"/>
    <w:next w:val="Normal"/>
    <w:link w:val="Titre9Car"/>
    <w:uiPriority w:val="9"/>
    <w:semiHidden/>
    <w:unhideWhenUsed/>
    <w:qFormat/>
    <w:rsid w:val="005147AC"/>
    <w:pPr>
      <w:keepNext/>
      <w:keepLines/>
      <w:spacing w:before="200"/>
      <w:outlineLvl w:val="8"/>
    </w:pPr>
    <w:rPr>
      <w:rFonts w:asciiTheme="majorHAnsi" w:eastAsiaTheme="majorEastAsia" w:hAnsiTheme="majorHAnsi" w:cstheme="majorBidi"/>
      <w:i/>
      <w:iCs/>
      <w:color w:val="404040" w:themeColor="text1" w:themeTint="BF"/>
      <w:sz w:val="20"/>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paragraph" w:styleId="Commentaire">
    <w:name w:val="annotation text"/>
    <w:basedOn w:val="Normal"/>
    <w:link w:val="CommentaireCar"/>
    <w:uiPriority w:val="99"/>
    <w:unhideWhenUsed/>
    <w:rsid w:val="00705958"/>
    <w:rPr>
      <w:sz w:val="20"/>
    </w:rPr>
  </w:style>
  <w:style w:type="character" w:customStyle="1" w:styleId="CommentaireCar">
    <w:name w:val="Commentaire Car"/>
    <w:basedOn w:val="Policepardfaut"/>
    <w:link w:val="Commentaire"/>
    <w:uiPriority w:val="99"/>
    <w:rsid w:val="00705958"/>
  </w:style>
  <w:style w:type="paragraph" w:styleId="Objetducommentaire">
    <w:name w:val="annotation subject"/>
    <w:basedOn w:val="Commentaire"/>
    <w:next w:val="Commentaire"/>
    <w:link w:val="ObjetducommentaireCar"/>
    <w:uiPriority w:val="99"/>
    <w:semiHidden/>
    <w:unhideWhenUsed/>
    <w:rsid w:val="00705958"/>
    <w:rPr>
      <w:b/>
      <w:bCs/>
    </w:rPr>
  </w:style>
  <w:style w:type="character" w:customStyle="1" w:styleId="ObjetducommentaireCar">
    <w:name w:val="Objet du commentaire Car"/>
    <w:basedOn w:val="CommentaireCar"/>
    <w:link w:val="Objetducommentaire"/>
    <w:uiPriority w:val="99"/>
    <w:semiHidden/>
    <w:rsid w:val="00705958"/>
    <w:rPr>
      <w:b/>
      <w:bCs/>
    </w:rPr>
  </w:style>
  <w:style w:type="paragraph" w:customStyle="1" w:styleId="sccnormaldoublespacing0">
    <w:name w:val="sccnormaldoublespacing"/>
    <w:basedOn w:val="Normal"/>
    <w:rsid w:val="009814C0"/>
    <w:pPr>
      <w:spacing w:before="100" w:beforeAutospacing="1" w:after="100" w:afterAutospacing="1"/>
    </w:pPr>
    <w:rPr>
      <w:szCs w:val="24"/>
      <w:lang w:val="fr-CA" w:eastAsia="fr-CA"/>
    </w:rPr>
  </w:style>
  <w:style w:type="character" w:customStyle="1" w:styleId="Titre3Car">
    <w:name w:val="Titre 3 Car"/>
    <w:basedOn w:val="Policepardfaut"/>
    <w:link w:val="Titre3"/>
    <w:uiPriority w:val="9"/>
    <w:semiHidden/>
    <w:rsid w:val="00681D0F"/>
    <w:rPr>
      <w:rFonts w:asciiTheme="majorHAnsi" w:eastAsiaTheme="majorEastAsia" w:hAnsiTheme="majorHAnsi" w:cstheme="majorBidi"/>
      <w:color w:val="243F60" w:themeColor="accent1" w:themeShade="7F"/>
      <w:sz w:val="24"/>
      <w:szCs w:val="24"/>
    </w:rPr>
  </w:style>
  <w:style w:type="character" w:styleId="Hyperlien">
    <w:name w:val="Hyperlink"/>
    <w:basedOn w:val="Policepardfaut"/>
    <w:uiPriority w:val="99"/>
    <w:unhideWhenUsed/>
    <w:rsid w:val="004E2D50"/>
    <w:rPr>
      <w:color w:val="660000"/>
      <w:u w:val="none"/>
    </w:rPr>
  </w:style>
  <w:style w:type="character" w:customStyle="1" w:styleId="Titre4Car">
    <w:name w:val="Titre 4 Car"/>
    <w:basedOn w:val="Policepardfaut"/>
    <w:link w:val="Titre4"/>
    <w:uiPriority w:val="9"/>
    <w:semiHidden/>
    <w:rsid w:val="005147AC"/>
    <w:rPr>
      <w:rFonts w:asciiTheme="majorHAnsi" w:eastAsiaTheme="majorEastAsia" w:hAnsiTheme="majorHAnsi" w:cstheme="majorBidi"/>
      <w:b/>
      <w:bCs/>
      <w:i/>
      <w:iCs/>
      <w:color w:val="4F81BD" w:themeColor="accent1"/>
      <w:sz w:val="24"/>
      <w:szCs w:val="22"/>
      <w:lang w:val="en-US" w:eastAsia="en-US" w:bidi="en-US"/>
    </w:rPr>
  </w:style>
  <w:style w:type="character" w:customStyle="1" w:styleId="Titre5Car">
    <w:name w:val="Titre 5 Car"/>
    <w:basedOn w:val="Policepardfaut"/>
    <w:link w:val="Titre5"/>
    <w:uiPriority w:val="9"/>
    <w:semiHidden/>
    <w:rsid w:val="005147AC"/>
    <w:rPr>
      <w:rFonts w:asciiTheme="majorHAnsi" w:eastAsiaTheme="majorEastAsia" w:hAnsiTheme="majorHAnsi" w:cstheme="majorBidi"/>
      <w:color w:val="243F60" w:themeColor="accent1" w:themeShade="7F"/>
      <w:sz w:val="24"/>
      <w:szCs w:val="22"/>
      <w:lang w:val="en-US" w:eastAsia="en-US" w:bidi="en-US"/>
    </w:rPr>
  </w:style>
  <w:style w:type="character" w:customStyle="1" w:styleId="Titre6Car">
    <w:name w:val="Titre 6 Car"/>
    <w:basedOn w:val="Policepardfaut"/>
    <w:link w:val="Titre6"/>
    <w:uiPriority w:val="9"/>
    <w:semiHidden/>
    <w:rsid w:val="005147AC"/>
    <w:rPr>
      <w:rFonts w:asciiTheme="majorHAnsi" w:eastAsiaTheme="majorEastAsia" w:hAnsiTheme="majorHAnsi" w:cstheme="majorBidi"/>
      <w:i/>
      <w:iCs/>
      <w:color w:val="243F60" w:themeColor="accent1" w:themeShade="7F"/>
      <w:sz w:val="24"/>
      <w:szCs w:val="22"/>
      <w:lang w:val="en-US" w:eastAsia="en-US" w:bidi="en-US"/>
    </w:rPr>
  </w:style>
  <w:style w:type="character" w:customStyle="1" w:styleId="Titre7Car">
    <w:name w:val="Titre 7 Car"/>
    <w:basedOn w:val="Policepardfaut"/>
    <w:link w:val="Titre7"/>
    <w:uiPriority w:val="9"/>
    <w:semiHidden/>
    <w:rsid w:val="005147AC"/>
    <w:rPr>
      <w:rFonts w:asciiTheme="majorHAnsi" w:eastAsiaTheme="majorEastAsia" w:hAnsiTheme="majorHAnsi" w:cstheme="majorBidi"/>
      <w:i/>
      <w:iCs/>
      <w:color w:val="404040" w:themeColor="text1" w:themeTint="BF"/>
      <w:sz w:val="24"/>
      <w:szCs w:val="22"/>
      <w:lang w:val="en-US" w:eastAsia="en-US" w:bidi="en-US"/>
    </w:rPr>
  </w:style>
  <w:style w:type="character" w:customStyle="1" w:styleId="Titre8Car">
    <w:name w:val="Titre 8 Car"/>
    <w:basedOn w:val="Policepardfaut"/>
    <w:link w:val="Titre8"/>
    <w:uiPriority w:val="9"/>
    <w:semiHidden/>
    <w:rsid w:val="005147AC"/>
    <w:rPr>
      <w:rFonts w:asciiTheme="majorHAnsi" w:eastAsiaTheme="majorEastAsia" w:hAnsiTheme="majorHAnsi" w:cstheme="majorBidi"/>
      <w:color w:val="4F81BD" w:themeColor="accent1"/>
      <w:lang w:val="en-US" w:eastAsia="en-US" w:bidi="en-US"/>
    </w:rPr>
  </w:style>
  <w:style w:type="character" w:customStyle="1" w:styleId="Titre9Car">
    <w:name w:val="Titre 9 Car"/>
    <w:basedOn w:val="Policepardfaut"/>
    <w:link w:val="Titre9"/>
    <w:uiPriority w:val="9"/>
    <w:semiHidden/>
    <w:rsid w:val="005147AC"/>
    <w:rPr>
      <w:rFonts w:asciiTheme="majorHAnsi" w:eastAsiaTheme="majorEastAsia" w:hAnsiTheme="majorHAnsi" w:cstheme="majorBidi"/>
      <w:i/>
      <w:iCs/>
      <w:color w:val="404040" w:themeColor="text1" w:themeTint="BF"/>
      <w:lang w:val="en-US" w:eastAsia="en-US" w:bidi="en-US"/>
    </w:rPr>
  </w:style>
  <w:style w:type="paragraph" w:customStyle="1" w:styleId="SCCLsocOtherPartyRoleSeparator">
    <w:name w:val="SCC.Lsoc.OtherPartyRoleSeparator"/>
    <w:basedOn w:val="Normal"/>
    <w:next w:val="Normal"/>
    <w:link w:val="SCCLsocOtherPartyRoleSeparatorChar"/>
    <w:rsid w:val="005147AC"/>
    <w:pPr>
      <w:spacing w:after="480"/>
    </w:pPr>
    <w:rPr>
      <w:rFonts w:eastAsiaTheme="minorHAnsi" w:cstheme="minorBidi"/>
      <w:szCs w:val="22"/>
      <w:lang w:val="en-US" w:eastAsia="en-US" w:bidi="en-US"/>
    </w:rPr>
  </w:style>
  <w:style w:type="paragraph" w:customStyle="1" w:styleId="SCCCoram">
    <w:name w:val="SCC.Coram"/>
    <w:basedOn w:val="Normal"/>
    <w:next w:val="Normal"/>
    <w:link w:val="SCCCoramChar"/>
    <w:rsid w:val="005147AC"/>
    <w:pPr>
      <w:pBdr>
        <w:bottom w:val="single" w:sz="4" w:space="1" w:color="auto"/>
      </w:pBdr>
    </w:pPr>
    <w:rPr>
      <w:rFonts w:eastAsiaTheme="minorHAnsi" w:cstheme="minorBidi"/>
      <w:szCs w:val="22"/>
      <w:lang w:val="en-US" w:eastAsia="en-US" w:bidi="en-US"/>
    </w:rPr>
  </w:style>
  <w:style w:type="character" w:customStyle="1" w:styleId="SCCCoramChar">
    <w:name w:val="SCC.Coram Char"/>
    <w:basedOn w:val="Policepardfaut"/>
    <w:link w:val="SCCCoram"/>
    <w:rsid w:val="005147AC"/>
    <w:rPr>
      <w:rFonts w:eastAsiaTheme="minorHAnsi" w:cstheme="minorBidi"/>
      <w:sz w:val="24"/>
      <w:szCs w:val="22"/>
      <w:lang w:val="en-US" w:eastAsia="en-US" w:bidi="en-US"/>
    </w:rPr>
  </w:style>
  <w:style w:type="character" w:customStyle="1" w:styleId="SCCLsocOtherPartyRoleSeparatorChar">
    <w:name w:val="SCC.Lsoc.OtherPartyRoleSeparator Char"/>
    <w:basedOn w:val="Policepardfaut"/>
    <w:link w:val="SCCLsocOtherPartyRoleSeparator"/>
    <w:rsid w:val="005147AC"/>
    <w:rPr>
      <w:rFonts w:eastAsiaTheme="minorHAnsi" w:cstheme="minorBidi"/>
      <w:sz w:val="24"/>
      <w:szCs w:val="22"/>
      <w:lang w:val="en-US" w:eastAsia="en-US" w:bidi="en-US"/>
    </w:rPr>
  </w:style>
  <w:style w:type="character" w:customStyle="1" w:styleId="SCCBanSummaryChar">
    <w:name w:val="SCC.BanSummary Char"/>
    <w:basedOn w:val="Policepardfaut"/>
    <w:link w:val="SCCBanSummary"/>
    <w:rsid w:val="005147AC"/>
    <w:rPr>
      <w:b/>
      <w:sz w:val="24"/>
    </w:rPr>
  </w:style>
  <w:style w:type="character" w:styleId="Textedelespacerserv">
    <w:name w:val="Placeholder Text"/>
    <w:basedOn w:val="Policepardfaut"/>
    <w:uiPriority w:val="99"/>
    <w:semiHidden/>
    <w:rsid w:val="005147AC"/>
    <w:rPr>
      <w:color w:val="808080"/>
    </w:rPr>
  </w:style>
  <w:style w:type="table" w:styleId="Grilledutableau">
    <w:name w:val="Table Grid"/>
    <w:basedOn w:val="TableauNormal"/>
    <w:uiPriority w:val="59"/>
    <w:rsid w:val="005147AC"/>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5147AC"/>
    <w:pPr>
      <w:spacing w:after="720"/>
      <w:ind w:left="1166"/>
      <w:contextualSpacing/>
      <w:jc w:val="both"/>
    </w:pPr>
    <w:rPr>
      <w:sz w:val="24"/>
    </w:rPr>
  </w:style>
  <w:style w:type="paragraph" w:customStyle="1" w:styleId="ContinueParaSuitedupar-AltP">
    <w:name w:val="Continue Para. / Suite du par. - Alt P"/>
    <w:next w:val="ParaNoNdepar-AltN"/>
    <w:uiPriority w:val="1"/>
    <w:qFormat/>
    <w:rsid w:val="005147AC"/>
    <w:pPr>
      <w:spacing w:before="480" w:after="480" w:line="480" w:lineRule="auto"/>
      <w:jc w:val="both"/>
    </w:pPr>
    <w:rPr>
      <w:rFonts w:eastAsiaTheme="minorHAnsi" w:cstheme="minorBidi"/>
      <w:sz w:val="24"/>
      <w:szCs w:val="22"/>
      <w:lang w:eastAsia="en-US"/>
    </w:rPr>
  </w:style>
  <w:style w:type="paragraph" w:customStyle="1" w:styleId="JudgeJuge">
    <w:name w:val="Judge / Juge"/>
    <w:link w:val="JudgeJugeChar"/>
    <w:uiPriority w:val="3"/>
    <w:rsid w:val="005147AC"/>
    <w:pPr>
      <w:tabs>
        <w:tab w:val="left" w:pos="1260"/>
      </w:tabs>
      <w:spacing w:after="480" w:line="480" w:lineRule="auto"/>
    </w:pPr>
    <w:rPr>
      <w:smallCaps/>
      <w:sz w:val="24"/>
    </w:rPr>
  </w:style>
  <w:style w:type="paragraph" w:customStyle="1" w:styleId="ParaNoNdepar-AltN">
    <w:name w:val="Para. No. / Nº de par. - Alt N"/>
    <w:link w:val="ParaNoNdepar-AltNChar"/>
    <w:qFormat/>
    <w:rsid w:val="005147AC"/>
    <w:pPr>
      <w:numPr>
        <w:numId w:val="6"/>
      </w:numPr>
      <w:spacing w:before="480" w:after="480" w:line="480" w:lineRule="auto"/>
      <w:jc w:val="both"/>
    </w:pPr>
    <w:rPr>
      <w:rFonts w:eastAsiaTheme="minorEastAsia" w:cstheme="minorBidi"/>
      <w:sz w:val="24"/>
      <w:szCs w:val="22"/>
      <w:lang w:eastAsia="en-US"/>
    </w:rPr>
  </w:style>
  <w:style w:type="paragraph" w:customStyle="1" w:styleId="Title1LevelTitre1Niveau-AltL">
    <w:name w:val="Title 1 Level / Titre 1 Niveau - Alt L"/>
    <w:next w:val="ParaNoNdepar-AltN"/>
    <w:uiPriority w:val="4"/>
    <w:qFormat/>
    <w:rsid w:val="005147AC"/>
    <w:pPr>
      <w:numPr>
        <w:numId w:val="7"/>
      </w:numPr>
      <w:spacing w:before="480" w:after="720"/>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5147AC"/>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5147AC"/>
    <w:pPr>
      <w:numPr>
        <w:ilvl w:val="2"/>
      </w:numPr>
      <w:outlineLvl w:val="2"/>
    </w:pPr>
  </w:style>
  <w:style w:type="paragraph" w:customStyle="1" w:styleId="Title4LevelTitre4Niveau">
    <w:name w:val="Title 4 Level / Titre 4 Niveau"/>
    <w:basedOn w:val="Title3LevelTitre3Niveau"/>
    <w:next w:val="ParaNoNdepar-AltN"/>
    <w:uiPriority w:val="4"/>
    <w:qFormat/>
    <w:rsid w:val="005147AC"/>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5147AC"/>
    <w:pPr>
      <w:numPr>
        <w:ilvl w:val="4"/>
      </w:numPr>
      <w:tabs>
        <w:tab w:val="clear" w:pos="1728"/>
        <w:tab w:val="num" w:pos="1440"/>
      </w:tabs>
      <w:outlineLvl w:val="4"/>
    </w:pPr>
  </w:style>
  <w:style w:type="paragraph" w:styleId="TM1">
    <w:name w:val="toc 1"/>
    <w:basedOn w:val="Normal"/>
    <w:next w:val="Normal"/>
    <w:autoRedefine/>
    <w:uiPriority w:val="39"/>
    <w:unhideWhenUsed/>
    <w:rsid w:val="005147AC"/>
    <w:pPr>
      <w:tabs>
        <w:tab w:val="left" w:pos="360"/>
        <w:tab w:val="right" w:leader="dot" w:pos="8270"/>
      </w:tabs>
      <w:spacing w:before="120" w:after="120"/>
    </w:pPr>
    <w:rPr>
      <w:rFonts w:eastAsiaTheme="minorHAnsi" w:cstheme="minorBidi"/>
      <w:noProof/>
      <w:u w:val="single"/>
      <w:lang w:val="en-US" w:eastAsia="en-US" w:bidi="en-US"/>
    </w:rPr>
  </w:style>
  <w:style w:type="paragraph" w:styleId="TM2">
    <w:name w:val="toc 2"/>
    <w:basedOn w:val="Normal"/>
    <w:next w:val="Normal"/>
    <w:autoRedefine/>
    <w:uiPriority w:val="39"/>
    <w:unhideWhenUsed/>
    <w:rsid w:val="005147AC"/>
    <w:pPr>
      <w:tabs>
        <w:tab w:val="left" w:pos="720"/>
        <w:tab w:val="right" w:leader="dot" w:pos="8270"/>
      </w:tabs>
      <w:spacing w:before="120" w:after="120"/>
      <w:ind w:left="432" w:hanging="432"/>
    </w:pPr>
    <w:rPr>
      <w:rFonts w:eastAsiaTheme="minorHAnsi" w:cstheme="minorBidi"/>
      <w:i/>
      <w:szCs w:val="22"/>
      <w:lang w:val="en-US" w:eastAsia="en-US" w:bidi="en-US"/>
    </w:rPr>
  </w:style>
  <w:style w:type="paragraph" w:styleId="TM3">
    <w:name w:val="toc 3"/>
    <w:basedOn w:val="Normal"/>
    <w:next w:val="Normal"/>
    <w:autoRedefine/>
    <w:uiPriority w:val="39"/>
    <w:unhideWhenUsed/>
    <w:rsid w:val="005147AC"/>
    <w:pPr>
      <w:tabs>
        <w:tab w:val="left" w:pos="1080"/>
        <w:tab w:val="right" w:leader="dot" w:pos="8270"/>
      </w:tabs>
      <w:spacing w:before="120" w:after="120"/>
      <w:ind w:left="864" w:hanging="432"/>
    </w:pPr>
    <w:rPr>
      <w:rFonts w:eastAsiaTheme="minorHAnsi" w:cstheme="minorBidi"/>
      <w:noProof/>
      <w:u w:val="single"/>
      <w:lang w:val="en-US" w:eastAsia="en-US" w:bidi="en-US"/>
    </w:rPr>
  </w:style>
  <w:style w:type="paragraph" w:styleId="TM4">
    <w:name w:val="toc 4"/>
    <w:basedOn w:val="Normal"/>
    <w:next w:val="Normal"/>
    <w:autoRedefine/>
    <w:uiPriority w:val="39"/>
    <w:unhideWhenUsed/>
    <w:rsid w:val="005147AC"/>
    <w:pPr>
      <w:tabs>
        <w:tab w:val="left" w:pos="900"/>
        <w:tab w:val="right" w:leader="dot" w:pos="8270"/>
      </w:tabs>
      <w:spacing w:before="120" w:after="120"/>
      <w:ind w:left="900" w:hanging="450"/>
    </w:pPr>
    <w:rPr>
      <w:rFonts w:eastAsiaTheme="minorEastAsia" w:cstheme="minorBidi"/>
      <w:i/>
      <w:noProof/>
      <w:szCs w:val="22"/>
      <w:lang w:val="en-US" w:eastAsia="en-US" w:bidi="en-US"/>
    </w:rPr>
  </w:style>
  <w:style w:type="paragraph" w:styleId="TM5">
    <w:name w:val="toc 5"/>
    <w:basedOn w:val="Normal"/>
    <w:next w:val="Normal"/>
    <w:autoRedefine/>
    <w:uiPriority w:val="39"/>
    <w:unhideWhenUsed/>
    <w:rsid w:val="005147AC"/>
    <w:pPr>
      <w:tabs>
        <w:tab w:val="left" w:pos="1440"/>
        <w:tab w:val="right" w:leader="dot" w:pos="8270"/>
      </w:tabs>
      <w:spacing w:before="120" w:after="120"/>
      <w:ind w:left="1454" w:hanging="547"/>
    </w:pPr>
    <w:rPr>
      <w:rFonts w:eastAsiaTheme="minorHAnsi" w:cstheme="minorBidi"/>
      <w:noProof/>
      <w:u w:val="single"/>
      <w:lang w:val="en-US" w:eastAsia="en-US" w:bidi="en-US"/>
    </w:rPr>
  </w:style>
  <w:style w:type="paragraph" w:styleId="TM6">
    <w:name w:val="toc 6"/>
    <w:basedOn w:val="Normal"/>
    <w:next w:val="Normal"/>
    <w:autoRedefine/>
    <w:uiPriority w:val="39"/>
    <w:unhideWhenUsed/>
    <w:rsid w:val="005147AC"/>
    <w:pPr>
      <w:tabs>
        <w:tab w:val="left" w:pos="2160"/>
        <w:tab w:val="right" w:leader="dot" w:pos="8270"/>
      </w:tabs>
      <w:spacing w:after="100"/>
      <w:ind w:left="1800"/>
    </w:pPr>
    <w:rPr>
      <w:rFonts w:eastAsiaTheme="minorHAnsi" w:cstheme="minorBidi"/>
      <w:noProof/>
      <w:lang w:val="en-US" w:eastAsia="en-US" w:bidi="en-US"/>
    </w:rPr>
  </w:style>
  <w:style w:type="table" w:customStyle="1" w:styleId="TableGrid1">
    <w:name w:val="Table Grid1"/>
    <w:basedOn w:val="TableauNormal"/>
    <w:uiPriority w:val="59"/>
    <w:rsid w:val="005147AC"/>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5147AC"/>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5147AC"/>
    <w:pPr>
      <w:numPr>
        <w:ilvl w:val="5"/>
      </w:numPr>
      <w:jc w:val="both"/>
      <w:outlineLvl w:val="5"/>
    </w:pPr>
    <w:rPr>
      <w:i/>
      <w:u w:val="none"/>
    </w:rPr>
  </w:style>
  <w:style w:type="paragraph" w:styleId="Notedebasdepage">
    <w:name w:val="footnote text"/>
    <w:basedOn w:val="Normal"/>
    <w:link w:val="NotedebasdepageCar"/>
    <w:uiPriority w:val="99"/>
    <w:unhideWhenUsed/>
    <w:rsid w:val="005147AC"/>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5147AC"/>
  </w:style>
  <w:style w:type="character" w:styleId="Marquedecommentaire">
    <w:name w:val="annotation reference"/>
    <w:basedOn w:val="Policepardfaut"/>
    <w:uiPriority w:val="99"/>
    <w:semiHidden/>
    <w:unhideWhenUsed/>
    <w:rsid w:val="005147AC"/>
    <w:rPr>
      <w:sz w:val="16"/>
      <w:szCs w:val="16"/>
    </w:rPr>
  </w:style>
  <w:style w:type="character" w:styleId="lev">
    <w:name w:val="Strong"/>
    <w:basedOn w:val="Policepardfaut"/>
    <w:uiPriority w:val="22"/>
    <w:rsid w:val="005147AC"/>
    <w:rPr>
      <w:b/>
      <w:bCs/>
    </w:rPr>
  </w:style>
  <w:style w:type="character" w:customStyle="1" w:styleId="ParaNoNdepar-AltNChar">
    <w:name w:val="Para. No. / Nº de par. - Alt N Char"/>
    <w:basedOn w:val="Policepardfaut"/>
    <w:link w:val="ParaNoNdepar-AltN"/>
    <w:rsid w:val="005147AC"/>
    <w:rPr>
      <w:rFonts w:eastAsiaTheme="minorEastAsia" w:cstheme="minorBidi"/>
      <w:sz w:val="24"/>
      <w:szCs w:val="22"/>
      <w:lang w:eastAsia="en-US"/>
    </w:rPr>
  </w:style>
  <w:style w:type="character" w:styleId="Accentuation">
    <w:name w:val="Emphasis"/>
    <w:basedOn w:val="Policepardfaut"/>
    <w:uiPriority w:val="20"/>
    <w:rsid w:val="005147AC"/>
    <w:rPr>
      <w:i/>
      <w:iCs/>
    </w:rPr>
  </w:style>
  <w:style w:type="paragraph" w:customStyle="1" w:styleId="BulletedList">
    <w:name w:val="Bulleted List"/>
    <w:basedOn w:val="Citation-AltC"/>
    <w:uiPriority w:val="8"/>
    <w:qFormat/>
    <w:rsid w:val="005147AC"/>
    <w:pPr>
      <w:numPr>
        <w:numId w:val="9"/>
      </w:numPr>
      <w:ind w:left="1170"/>
    </w:pPr>
  </w:style>
  <w:style w:type="character" w:styleId="Accentuationlgre">
    <w:name w:val="Subtle Emphasis"/>
    <w:basedOn w:val="Policepardfaut"/>
    <w:uiPriority w:val="19"/>
    <w:rsid w:val="005147AC"/>
    <w:rPr>
      <w:i/>
      <w:iCs/>
      <w:color w:val="808080" w:themeColor="text1" w:themeTint="7F"/>
    </w:rPr>
  </w:style>
  <w:style w:type="character" w:styleId="Accentuationintense">
    <w:name w:val="Intense Emphasis"/>
    <w:basedOn w:val="Policepardfaut"/>
    <w:uiPriority w:val="21"/>
    <w:rsid w:val="005147AC"/>
    <w:rPr>
      <w:b/>
      <w:bCs/>
      <w:i/>
      <w:iCs/>
      <w:color w:val="4F81BD" w:themeColor="accent1"/>
    </w:rPr>
  </w:style>
  <w:style w:type="paragraph" w:styleId="NormalWeb">
    <w:name w:val="Normal (Web)"/>
    <w:basedOn w:val="Normal"/>
    <w:uiPriority w:val="99"/>
    <w:semiHidden/>
    <w:unhideWhenUsed/>
    <w:rsid w:val="005147AC"/>
    <w:rPr>
      <w:rFonts w:eastAsiaTheme="minorHAnsi" w:cstheme="minorBidi"/>
      <w:szCs w:val="22"/>
      <w:lang w:val="en-US" w:eastAsia="en-US" w:bidi="en-US"/>
    </w:rPr>
  </w:style>
  <w:style w:type="character" w:styleId="Rfrencelgre">
    <w:name w:val="Subtle Reference"/>
    <w:basedOn w:val="Policepardfaut"/>
    <w:uiPriority w:val="31"/>
    <w:rsid w:val="005147AC"/>
    <w:rPr>
      <w:smallCaps/>
      <w:color w:val="C0504D" w:themeColor="accent2"/>
      <w:u w:val="single"/>
    </w:rPr>
  </w:style>
  <w:style w:type="paragraph" w:styleId="Rvision">
    <w:name w:val="Revision"/>
    <w:hidden/>
    <w:uiPriority w:val="99"/>
    <w:semiHidden/>
    <w:rsid w:val="005147AC"/>
    <w:rPr>
      <w:rFonts w:eastAsiaTheme="minorHAnsi" w:cstheme="minorBidi"/>
      <w:sz w:val="24"/>
      <w:szCs w:val="22"/>
      <w:lang w:val="en-US" w:eastAsia="en-US" w:bidi="en-US"/>
    </w:rPr>
  </w:style>
  <w:style w:type="paragraph" w:customStyle="1" w:styleId="Default">
    <w:name w:val="Default"/>
    <w:rsid w:val="005147AC"/>
    <w:pPr>
      <w:autoSpaceDE w:val="0"/>
      <w:autoSpaceDN w:val="0"/>
      <w:adjustRightInd w:val="0"/>
    </w:pPr>
    <w:rPr>
      <w:rFonts w:eastAsiaTheme="minorHAnsi"/>
      <w:color w:val="000000"/>
      <w:sz w:val="24"/>
      <w:szCs w:val="24"/>
      <w:lang w:eastAsia="en-US"/>
    </w:rPr>
  </w:style>
  <w:style w:type="paragraph" w:styleId="Paragraphedeliste">
    <w:name w:val="List Paragraph"/>
    <w:basedOn w:val="Normal"/>
    <w:uiPriority w:val="34"/>
    <w:qFormat/>
    <w:rsid w:val="005147AC"/>
    <w:pPr>
      <w:ind w:left="720"/>
      <w:contextualSpacing/>
    </w:pPr>
    <w:rPr>
      <w:rFonts w:eastAsiaTheme="minorHAnsi" w:cstheme="minorBidi"/>
      <w:szCs w:val="22"/>
      <w:lang w:val="en-US" w:eastAsia="en-US" w:bidi="en-US"/>
    </w:rPr>
  </w:style>
  <w:style w:type="paragraph" w:styleId="Corpsdetexte">
    <w:name w:val="Body Text"/>
    <w:basedOn w:val="Normal"/>
    <w:link w:val="CorpsdetexteCar"/>
    <w:uiPriority w:val="1"/>
    <w:qFormat/>
    <w:rsid w:val="005147AC"/>
    <w:pPr>
      <w:widowControl w:val="0"/>
      <w:autoSpaceDE w:val="0"/>
      <w:autoSpaceDN w:val="0"/>
    </w:pPr>
    <w:rPr>
      <w:rFonts w:eastAsiaTheme="minorHAnsi" w:cstheme="minorBidi"/>
      <w:szCs w:val="22"/>
      <w:lang w:val="en-US" w:eastAsia="en-US" w:bidi="en-US"/>
    </w:rPr>
  </w:style>
  <w:style w:type="character" w:customStyle="1" w:styleId="CorpsdetexteCar">
    <w:name w:val="Corps de texte Car"/>
    <w:basedOn w:val="Policepardfaut"/>
    <w:link w:val="Corpsdetexte"/>
    <w:uiPriority w:val="1"/>
    <w:rsid w:val="005147AC"/>
    <w:rPr>
      <w:rFonts w:eastAsiaTheme="minorHAnsi" w:cstheme="minorBidi"/>
      <w:sz w:val="24"/>
      <w:szCs w:val="22"/>
      <w:lang w:val="en-US" w:eastAsia="en-US" w:bidi="en-US"/>
    </w:rPr>
  </w:style>
  <w:style w:type="character" w:customStyle="1" w:styleId="JudgeJugeChar">
    <w:name w:val="Judge / Juge Char"/>
    <w:basedOn w:val="Policepardfaut"/>
    <w:link w:val="JudgeJuge"/>
    <w:uiPriority w:val="3"/>
    <w:rsid w:val="005147AC"/>
    <w:rPr>
      <w:smallCaps/>
      <w:sz w:val="24"/>
    </w:rPr>
  </w:style>
  <w:style w:type="paragraph" w:styleId="Sansinterligne">
    <w:name w:val="No Spacing"/>
    <w:uiPriority w:val="1"/>
    <w:rsid w:val="005147AC"/>
    <w:rPr>
      <w:rFonts w:eastAsiaTheme="minorHAnsi" w:cstheme="minorBidi"/>
      <w:sz w:val="24"/>
      <w:szCs w:val="22"/>
      <w:lang w:val="en-US" w:eastAsia="en-US" w:bidi="en-US"/>
    </w:rPr>
  </w:style>
  <w:style w:type="paragraph" w:styleId="En-ttedetabledesmatires">
    <w:name w:val="TOC Heading"/>
    <w:basedOn w:val="Titre1"/>
    <w:next w:val="Normal"/>
    <w:uiPriority w:val="39"/>
    <w:semiHidden/>
    <w:unhideWhenUsed/>
    <w:qFormat/>
    <w:rsid w:val="005147AC"/>
    <w:pPr>
      <w:spacing w:before="480" w:after="0"/>
      <w:ind w:left="0" w:firstLine="0"/>
      <w:outlineLvl w:val="9"/>
    </w:pPr>
    <w:rPr>
      <w:lang w:val="en-US" w:eastAsia="en-US" w:bidi="en-US"/>
    </w:rPr>
  </w:style>
  <w:style w:type="paragraph" w:styleId="Lgende">
    <w:name w:val="caption"/>
    <w:basedOn w:val="Normal"/>
    <w:next w:val="Normal"/>
    <w:uiPriority w:val="35"/>
    <w:semiHidden/>
    <w:unhideWhenUsed/>
    <w:qFormat/>
    <w:rsid w:val="005147AC"/>
    <w:rPr>
      <w:rFonts w:eastAsiaTheme="minorHAnsi" w:cstheme="minorBidi"/>
      <w:b/>
      <w:bCs/>
      <w:color w:val="4F81BD" w:themeColor="accent1"/>
      <w:sz w:val="18"/>
      <w:szCs w:val="18"/>
      <w:lang w:val="en-US" w:eastAsia="en-US" w:bidi="en-US"/>
    </w:rPr>
  </w:style>
  <w:style w:type="paragraph" w:styleId="Titre">
    <w:name w:val="Title"/>
    <w:basedOn w:val="Normal"/>
    <w:next w:val="Normal"/>
    <w:link w:val="TitreCar"/>
    <w:uiPriority w:val="10"/>
    <w:rsid w:val="00514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5147AC"/>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Sous-titre">
    <w:name w:val="Subtitle"/>
    <w:basedOn w:val="Normal"/>
    <w:next w:val="Normal"/>
    <w:link w:val="Sous-titreCar"/>
    <w:uiPriority w:val="11"/>
    <w:rsid w:val="005147AC"/>
    <w:pPr>
      <w:numPr>
        <w:ilvl w:val="1"/>
      </w:numPr>
    </w:pPr>
    <w:rPr>
      <w:rFonts w:asciiTheme="majorHAnsi" w:eastAsiaTheme="majorEastAsia" w:hAnsiTheme="majorHAnsi" w:cstheme="majorBidi"/>
      <w:i/>
      <w:iCs/>
      <w:color w:val="4F81BD" w:themeColor="accent1"/>
      <w:spacing w:val="15"/>
      <w:szCs w:val="24"/>
      <w:lang w:val="en-US" w:eastAsia="en-US" w:bidi="en-US"/>
    </w:rPr>
  </w:style>
  <w:style w:type="character" w:customStyle="1" w:styleId="Sous-titreCar">
    <w:name w:val="Sous-titre Car"/>
    <w:basedOn w:val="Policepardfaut"/>
    <w:link w:val="Sous-titre"/>
    <w:uiPriority w:val="11"/>
    <w:rsid w:val="005147AC"/>
    <w:rPr>
      <w:rFonts w:asciiTheme="majorHAnsi" w:eastAsiaTheme="majorEastAsia" w:hAnsiTheme="majorHAnsi" w:cstheme="majorBidi"/>
      <w:i/>
      <w:iCs/>
      <w:color w:val="4F81BD" w:themeColor="accent1"/>
      <w:spacing w:val="15"/>
      <w:sz w:val="24"/>
      <w:szCs w:val="24"/>
      <w:lang w:val="en-US" w:eastAsia="en-US" w:bidi="en-US"/>
    </w:rPr>
  </w:style>
  <w:style w:type="character" w:styleId="Rfrenceintense">
    <w:name w:val="Intense Reference"/>
    <w:basedOn w:val="Policepardfaut"/>
    <w:uiPriority w:val="32"/>
    <w:rsid w:val="005147AC"/>
    <w:rPr>
      <w:b/>
      <w:bCs/>
      <w:smallCaps/>
      <w:color w:val="C0504D" w:themeColor="accent2"/>
      <w:spacing w:val="5"/>
      <w:u w:val="single"/>
    </w:rPr>
  </w:style>
  <w:style w:type="character" w:styleId="Titredulivre">
    <w:name w:val="Book Title"/>
    <w:basedOn w:val="Policepardfaut"/>
    <w:uiPriority w:val="33"/>
    <w:rsid w:val="005147AC"/>
    <w:rPr>
      <w:b/>
      <w:bCs/>
      <w:smallCaps/>
      <w:spacing w:val="5"/>
    </w:rPr>
  </w:style>
  <w:style w:type="paragraph" w:styleId="Citationintense">
    <w:name w:val="Intense Quote"/>
    <w:basedOn w:val="Normal"/>
    <w:next w:val="Normal"/>
    <w:link w:val="CitationintenseCar"/>
    <w:uiPriority w:val="30"/>
    <w:rsid w:val="005147AC"/>
    <w:pPr>
      <w:pBdr>
        <w:bottom w:val="single" w:sz="4" w:space="4" w:color="4F81BD" w:themeColor="accent1"/>
      </w:pBdr>
      <w:spacing w:before="200" w:after="280"/>
      <w:ind w:left="936" w:right="936"/>
    </w:pPr>
    <w:rPr>
      <w:rFonts w:eastAsiaTheme="minorHAnsi" w:cstheme="minorBidi"/>
      <w:b/>
      <w:bCs/>
      <w:i/>
      <w:iCs/>
      <w:color w:val="4F81BD" w:themeColor="accent1"/>
      <w:szCs w:val="22"/>
      <w:lang w:val="en-US" w:eastAsia="en-US" w:bidi="en-US"/>
    </w:rPr>
  </w:style>
  <w:style w:type="character" w:customStyle="1" w:styleId="CitationintenseCar">
    <w:name w:val="Citation intense Car"/>
    <w:basedOn w:val="Policepardfaut"/>
    <w:link w:val="Citationintense"/>
    <w:uiPriority w:val="30"/>
    <w:rsid w:val="005147AC"/>
    <w:rPr>
      <w:rFonts w:eastAsiaTheme="minorHAnsi" w:cstheme="minorBidi"/>
      <w:b/>
      <w:bCs/>
      <w:i/>
      <w:iCs/>
      <w:color w:val="4F81BD" w:themeColor="accent1"/>
      <w:sz w:val="24"/>
      <w:szCs w:val="22"/>
      <w:lang w:val="en-US" w:eastAsia="en-US" w:bidi="en-US"/>
    </w:rPr>
  </w:style>
  <w:style w:type="paragraph" w:customStyle="1" w:styleId="paranondepar-altn0">
    <w:name w:val="paranondepar-altn"/>
    <w:basedOn w:val="Normal"/>
    <w:rsid w:val="005147AC"/>
    <w:pPr>
      <w:spacing w:before="100" w:beforeAutospacing="1" w:after="100" w:afterAutospacing="1"/>
    </w:pPr>
    <w:rPr>
      <w:szCs w:val="24"/>
      <w:lang w:val="en-US" w:eastAsia="en-US"/>
    </w:rPr>
  </w:style>
  <w:style w:type="table" w:customStyle="1" w:styleId="TableGrid2">
    <w:name w:val="Table Grid2"/>
    <w:basedOn w:val="TableauNormal"/>
    <w:next w:val="Grilledutableau"/>
    <w:uiPriority w:val="59"/>
    <w:rsid w:val="005147AC"/>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1700">
      <w:bodyDiv w:val="1"/>
      <w:marLeft w:val="0"/>
      <w:marRight w:val="0"/>
      <w:marTop w:val="0"/>
      <w:marBottom w:val="0"/>
      <w:divBdr>
        <w:top w:val="none" w:sz="0" w:space="0" w:color="auto"/>
        <w:left w:val="none" w:sz="0" w:space="0" w:color="auto"/>
        <w:bottom w:val="none" w:sz="0" w:space="0" w:color="auto"/>
        <w:right w:val="none" w:sz="0" w:space="0" w:color="auto"/>
      </w:divBdr>
    </w:div>
    <w:div w:id="585265775">
      <w:bodyDiv w:val="1"/>
      <w:marLeft w:val="0"/>
      <w:marRight w:val="0"/>
      <w:marTop w:val="0"/>
      <w:marBottom w:val="0"/>
      <w:divBdr>
        <w:top w:val="none" w:sz="0" w:space="0" w:color="auto"/>
        <w:left w:val="none" w:sz="0" w:space="0" w:color="auto"/>
        <w:bottom w:val="none" w:sz="0" w:space="0" w:color="auto"/>
        <w:right w:val="none" w:sz="0" w:space="0" w:color="auto"/>
      </w:divBdr>
    </w:div>
    <w:div w:id="758410029">
      <w:bodyDiv w:val="1"/>
      <w:marLeft w:val="0"/>
      <w:marRight w:val="0"/>
      <w:marTop w:val="0"/>
      <w:marBottom w:val="0"/>
      <w:divBdr>
        <w:top w:val="none" w:sz="0" w:space="0" w:color="auto"/>
        <w:left w:val="none" w:sz="0" w:space="0" w:color="auto"/>
        <w:bottom w:val="none" w:sz="0" w:space="0" w:color="auto"/>
        <w:right w:val="none" w:sz="0" w:space="0" w:color="auto"/>
      </w:divBdr>
    </w:div>
    <w:div w:id="1655992161">
      <w:bodyDiv w:val="1"/>
      <w:marLeft w:val="0"/>
      <w:marRight w:val="0"/>
      <w:marTop w:val="0"/>
      <w:marBottom w:val="0"/>
      <w:divBdr>
        <w:top w:val="none" w:sz="0" w:space="0" w:color="auto"/>
        <w:left w:val="none" w:sz="0" w:space="0" w:color="auto"/>
        <w:bottom w:val="none" w:sz="0" w:space="0" w:color="auto"/>
        <w:right w:val="none" w:sz="0" w:space="0" w:color="auto"/>
      </w:divBdr>
    </w:div>
    <w:div w:id="17605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adecisions.ontariocourts.ca/coa/coa/en/21974/1/document.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c-csc.ca/cso-dce/2025SCC-CSC38_3_fr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c-csc.ca/cso-dce/2025SCC-CSC38_2_fra.pdf" TargetMode="External"/><Relationship Id="rId4" Type="http://schemas.openxmlformats.org/officeDocument/2006/relationships/webSettings" Target="webSettings.xml"/><Relationship Id="rId9" Type="http://schemas.openxmlformats.org/officeDocument/2006/relationships/hyperlink" Target="https://www.scc-csc.ca/cso-dce/2025SCC-CSC38_1_fr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29826</Words>
  <Characters>158402</Characters>
  <Application>Microsoft Office Word</Application>
  <DocSecurity>0</DocSecurity>
  <Lines>1320</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2025-11-21T12:06:00Z</dcterms:created>
  <dcterms:modified xsi:type="dcterms:W3CDTF">2025-11-21T14:46:00Z</dcterms:modified>
</cp:coreProperties>
</file>