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000" w:firstRow="0" w:lastRow="0" w:firstColumn="0" w:lastColumn="0" w:noHBand="0" w:noVBand="0"/>
      </w:tblPr>
      <w:tblGrid>
        <w:gridCol w:w="1030"/>
        <w:gridCol w:w="246"/>
        <w:gridCol w:w="344"/>
        <w:gridCol w:w="2350"/>
        <w:gridCol w:w="3402"/>
        <w:gridCol w:w="1988"/>
      </w:tblGrid>
      <w:tr w:rsidR="008F364A" w14:paraId="0E97ACCF" w14:textId="77777777" w:rsidTr="008D18FC">
        <w:trPr>
          <w:trHeight w:val="248"/>
        </w:trPr>
        <w:tc>
          <w:tcPr>
            <w:tcW w:w="7372" w:type="dxa"/>
            <w:gridSpan w:val="5"/>
          </w:tcPr>
          <w:p w14:paraId="1D29CC39" w14:textId="40B9E1E3" w:rsidR="008F364A" w:rsidRPr="001E64D0" w:rsidRDefault="001E64D0" w:rsidP="001E64D0">
            <w:pPr>
              <w:pStyle w:val="zSoquijdatRepertorie"/>
              <w:rPr>
                <w:rFonts w:cs="Arial"/>
              </w:rPr>
            </w:pPr>
            <w:r>
              <w:rPr>
                <w:rFonts w:cs="Arial"/>
              </w:rPr>
              <w:t>Société de l'assurance automobile du Québec c. Castle</w:t>
            </w:r>
          </w:p>
        </w:tc>
        <w:tc>
          <w:tcPr>
            <w:tcW w:w="1988" w:type="dxa"/>
          </w:tcPr>
          <w:p w14:paraId="678C5B4E" w14:textId="0C6C20FF" w:rsidR="008F364A" w:rsidRPr="005D01D0" w:rsidRDefault="005D01D0" w:rsidP="005D01D0">
            <w:pPr>
              <w:pStyle w:val="zSoquijdatRefNeutre"/>
              <w:jc w:val="right"/>
              <w:rPr>
                <w:rFonts w:cs="Arial"/>
              </w:rPr>
            </w:pPr>
            <w:r w:rsidRPr="005D01D0">
              <w:rPr>
                <w:rFonts w:cs="Arial"/>
              </w:rPr>
              <w:t>2025 QCCA 1512</w:t>
            </w:r>
          </w:p>
        </w:tc>
      </w:tr>
      <w:tr w:rsidR="008F364A" w14:paraId="3C95698F" w14:textId="77777777" w:rsidTr="008D18FC">
        <w:trPr>
          <w:trHeight w:val="247"/>
        </w:trPr>
        <w:tc>
          <w:tcPr>
            <w:tcW w:w="9360" w:type="dxa"/>
            <w:gridSpan w:val="6"/>
          </w:tcPr>
          <w:p w14:paraId="6BCD4322" w14:textId="77777777" w:rsidR="008F364A" w:rsidRDefault="00740A17">
            <w:pPr>
              <w:pStyle w:val="zSoquijlblCour"/>
            </w:pPr>
            <w:r>
              <w:t>COUR D’APPEL</w:t>
            </w:r>
          </w:p>
        </w:tc>
      </w:tr>
      <w:tr w:rsidR="008F364A" w14:paraId="4578C1FC" w14:textId="77777777" w:rsidTr="008D18FC">
        <w:trPr>
          <w:trHeight w:val="540"/>
        </w:trPr>
        <w:tc>
          <w:tcPr>
            <w:tcW w:w="9360" w:type="dxa"/>
            <w:gridSpan w:val="6"/>
          </w:tcPr>
          <w:p w14:paraId="4AFF76AE" w14:textId="77777777" w:rsidR="008F364A" w:rsidRDefault="008F364A">
            <w:pPr>
              <w:pStyle w:val="zSoquijdatDivision"/>
            </w:pPr>
          </w:p>
        </w:tc>
      </w:tr>
      <w:tr w:rsidR="008F364A" w14:paraId="2FFF8650" w14:textId="77777777" w:rsidTr="008D18FC">
        <w:tc>
          <w:tcPr>
            <w:tcW w:w="9360" w:type="dxa"/>
            <w:gridSpan w:val="6"/>
          </w:tcPr>
          <w:p w14:paraId="44B6B30B" w14:textId="77777777" w:rsidR="008F364A" w:rsidRDefault="00740A17">
            <w:pPr>
              <w:pStyle w:val="zSoquijlblPays"/>
            </w:pPr>
            <w:r>
              <w:t>CANADA</w:t>
            </w:r>
          </w:p>
        </w:tc>
      </w:tr>
      <w:tr w:rsidR="008F364A" w14:paraId="6FBE83A9" w14:textId="77777777" w:rsidTr="008D18FC">
        <w:tc>
          <w:tcPr>
            <w:tcW w:w="9360" w:type="dxa"/>
            <w:gridSpan w:val="6"/>
          </w:tcPr>
          <w:p w14:paraId="78D07251" w14:textId="77777777" w:rsidR="008F364A" w:rsidRDefault="00740A17">
            <w:pPr>
              <w:pStyle w:val="zSoquijlblProvince"/>
            </w:pPr>
            <w:r>
              <w:t>PROVINCE DE QUÉBEC</w:t>
            </w:r>
          </w:p>
        </w:tc>
      </w:tr>
      <w:tr w:rsidR="008F364A" w14:paraId="25D3BC3B" w14:textId="77777777" w:rsidTr="00AE1B6D">
        <w:tc>
          <w:tcPr>
            <w:tcW w:w="1276" w:type="dxa"/>
            <w:gridSpan w:val="2"/>
          </w:tcPr>
          <w:p w14:paraId="7ACDDC82" w14:textId="77777777" w:rsidR="008F364A" w:rsidRDefault="008E5E9D">
            <w:pPr>
              <w:pStyle w:val="zSoquijlblGreffe"/>
            </w:pPr>
            <w:r w:rsidRPr="008E5E9D">
              <w:t>SIÈGE</w:t>
            </w:r>
            <w:r w:rsidR="00740A17">
              <w:t xml:space="preserve"> DE</w:t>
            </w:r>
          </w:p>
          <w:p w14:paraId="469159A4" w14:textId="77777777" w:rsidR="008F364A" w:rsidRDefault="008F364A">
            <w:pPr>
              <w:pStyle w:val="zSoquijlblGreffe"/>
            </w:pPr>
          </w:p>
        </w:tc>
        <w:tc>
          <w:tcPr>
            <w:tcW w:w="8084" w:type="dxa"/>
            <w:gridSpan w:val="4"/>
          </w:tcPr>
          <w:p w14:paraId="5128D081" w14:textId="27E50376" w:rsidR="008F364A" w:rsidRDefault="00650F13" w:rsidP="00AE1B6D">
            <w:pPr>
              <w:pStyle w:val="zSoquijdatGreffe"/>
              <w:ind w:left="-22"/>
            </w:pPr>
            <w:bookmarkStart w:id="0" w:name="NomGreffe"/>
            <w:r>
              <w:t>MONTRÉAL</w:t>
            </w:r>
            <w:bookmarkEnd w:id="0"/>
          </w:p>
        </w:tc>
      </w:tr>
      <w:tr w:rsidR="008F364A" w14:paraId="31D23E6D" w14:textId="77777777" w:rsidTr="008D18FC">
        <w:tc>
          <w:tcPr>
            <w:tcW w:w="1030" w:type="dxa"/>
          </w:tcPr>
          <w:p w14:paraId="46E8F555" w14:textId="77777777" w:rsidR="008F364A" w:rsidRDefault="00740A17">
            <w:pPr>
              <w:pStyle w:val="zSoquijlblNoDossier"/>
            </w:pPr>
            <w:r>
              <w:t>N° :</w:t>
            </w:r>
          </w:p>
        </w:tc>
        <w:tc>
          <w:tcPr>
            <w:tcW w:w="8330" w:type="dxa"/>
            <w:gridSpan w:val="5"/>
          </w:tcPr>
          <w:p w14:paraId="721885CF" w14:textId="1D6217DD" w:rsidR="008F364A" w:rsidRDefault="00650F13">
            <w:pPr>
              <w:pStyle w:val="zSoquijdatNoDossier"/>
            </w:pPr>
            <w:bookmarkStart w:id="1" w:name="NoDossier"/>
            <w:r>
              <w:t>500-09-700376-254</w:t>
            </w:r>
            <w:bookmarkEnd w:id="1"/>
          </w:p>
        </w:tc>
      </w:tr>
      <w:tr w:rsidR="00650F13" w14:paraId="168EB5E2" w14:textId="77777777" w:rsidTr="008D18FC">
        <w:tc>
          <w:tcPr>
            <w:tcW w:w="9360" w:type="dxa"/>
            <w:gridSpan w:val="6"/>
          </w:tcPr>
          <w:p w14:paraId="504C34B4" w14:textId="7BE4666E" w:rsidR="00650F13" w:rsidRDefault="00650F13" w:rsidP="00650F13">
            <w:pPr>
              <w:pStyle w:val="zSoquijdatNoDossierAnt"/>
            </w:pPr>
            <w:r>
              <w:t>(550-80-005854-258)</w:t>
            </w:r>
          </w:p>
        </w:tc>
      </w:tr>
      <w:tr w:rsidR="008F364A" w14:paraId="5F9BF19A" w14:textId="77777777" w:rsidTr="008D18FC">
        <w:tc>
          <w:tcPr>
            <w:tcW w:w="9360" w:type="dxa"/>
            <w:gridSpan w:val="6"/>
          </w:tcPr>
          <w:p w14:paraId="69B1A88C" w14:textId="77777777" w:rsidR="008F364A" w:rsidRDefault="008F364A"/>
        </w:tc>
      </w:tr>
      <w:tr w:rsidR="008F364A" w14:paraId="5C58CBAB" w14:textId="77777777" w:rsidTr="008D18FC">
        <w:tc>
          <w:tcPr>
            <w:tcW w:w="1030" w:type="dxa"/>
          </w:tcPr>
          <w:p w14:paraId="7C908C9D" w14:textId="77777777" w:rsidR="008F364A" w:rsidRDefault="00740A17">
            <w:pPr>
              <w:pStyle w:val="zSoquijlblDateJugement"/>
            </w:pPr>
            <w:r>
              <w:t>DATE :</w:t>
            </w:r>
          </w:p>
        </w:tc>
        <w:tc>
          <w:tcPr>
            <w:tcW w:w="8330" w:type="dxa"/>
            <w:gridSpan w:val="5"/>
          </w:tcPr>
          <w:p w14:paraId="506F63E9" w14:textId="7861BBB6" w:rsidR="008F364A" w:rsidRDefault="007B76A8">
            <w:pPr>
              <w:pStyle w:val="zSoquijdatDateJugement"/>
            </w:pPr>
            <w:r>
              <w:t>21</w:t>
            </w:r>
            <w:r w:rsidR="00650F13">
              <w:t xml:space="preserve"> novembre 2025</w:t>
            </w:r>
          </w:p>
        </w:tc>
      </w:tr>
      <w:tr w:rsidR="008F364A" w14:paraId="32D7A59E" w14:textId="77777777" w:rsidTr="008D18FC">
        <w:tc>
          <w:tcPr>
            <w:tcW w:w="9360" w:type="dxa"/>
            <w:gridSpan w:val="6"/>
            <w:tcBorders>
              <w:bottom w:val="single" w:sz="8" w:space="0" w:color="auto"/>
            </w:tcBorders>
          </w:tcPr>
          <w:p w14:paraId="558A39C9" w14:textId="77777777" w:rsidR="008F364A" w:rsidRDefault="008F364A"/>
        </w:tc>
      </w:tr>
      <w:tr w:rsidR="008F364A" w14:paraId="1D69FAA3" w14:textId="77777777" w:rsidTr="008D18FC">
        <w:tc>
          <w:tcPr>
            <w:tcW w:w="9360" w:type="dxa"/>
            <w:gridSpan w:val="6"/>
            <w:tcBorders>
              <w:top w:val="single" w:sz="8" w:space="0" w:color="auto"/>
            </w:tcBorders>
          </w:tcPr>
          <w:p w14:paraId="15F970D3" w14:textId="77777777" w:rsidR="008F364A" w:rsidRDefault="008F364A"/>
        </w:tc>
      </w:tr>
      <w:tr w:rsidR="008F364A" w:rsidRPr="007B76A8" w14:paraId="093F89DC" w14:textId="77777777" w:rsidTr="008D18FC">
        <w:tc>
          <w:tcPr>
            <w:tcW w:w="1620" w:type="dxa"/>
            <w:gridSpan w:val="3"/>
          </w:tcPr>
          <w:p w14:paraId="05C10A99" w14:textId="77777777" w:rsidR="008F364A" w:rsidRDefault="00B70485" w:rsidP="00423DF1">
            <w:pPr>
              <w:pStyle w:val="zSoquijlblJuge"/>
              <w:ind w:right="-142"/>
            </w:pPr>
            <w:bookmarkStart w:id="2" w:name="FORMATION"/>
            <w:r>
              <w:t>FORMATION</w:t>
            </w:r>
            <w:r w:rsidR="00B513C9">
              <w:t> </w:t>
            </w:r>
            <w:r w:rsidR="00740A17">
              <w:t>:</w:t>
            </w:r>
            <w:bookmarkEnd w:id="2"/>
          </w:p>
        </w:tc>
        <w:tc>
          <w:tcPr>
            <w:tcW w:w="2350" w:type="dxa"/>
          </w:tcPr>
          <w:p w14:paraId="59C038B7" w14:textId="77777777" w:rsidR="008F364A" w:rsidRDefault="00740A17">
            <w:pPr>
              <w:pStyle w:val="zSoquijdatQteJuge"/>
            </w:pPr>
            <w:bookmarkStart w:id="3" w:name="Honorables"/>
            <w:r>
              <w:t>LES HONORABLES</w:t>
            </w:r>
            <w:bookmarkEnd w:id="3"/>
          </w:p>
        </w:tc>
        <w:tc>
          <w:tcPr>
            <w:tcW w:w="5390" w:type="dxa"/>
            <w:gridSpan w:val="2"/>
          </w:tcPr>
          <w:p w14:paraId="3E4CB9F8" w14:textId="181DACB3" w:rsidR="008F364A" w:rsidRDefault="00650F13">
            <w:pPr>
              <w:pStyle w:val="zSoquijdatJuge"/>
            </w:pPr>
            <w:bookmarkStart w:id="4" w:name="NomJuge1"/>
            <w:r>
              <w:t>MICHEL BEAUPRÉ, J.C.A.</w:t>
            </w:r>
            <w:bookmarkEnd w:id="4"/>
          </w:p>
          <w:p w14:paraId="208731BE" w14:textId="05ACF23E" w:rsidR="008F364A" w:rsidRDefault="00650F13">
            <w:pPr>
              <w:pStyle w:val="zSoquijdatJuge"/>
            </w:pPr>
            <w:bookmarkStart w:id="5" w:name="NomJuge2"/>
            <w:r>
              <w:t>SOPHIE LAVALLÉE, J.C.A.</w:t>
            </w:r>
            <w:bookmarkEnd w:id="5"/>
          </w:p>
          <w:p w14:paraId="71BD6102" w14:textId="648038B5" w:rsidR="005A78BF" w:rsidRDefault="00650F13" w:rsidP="00650F13">
            <w:pPr>
              <w:pStyle w:val="zSoquijdatJuge"/>
              <w:rPr>
                <w:lang w:val="de-DE"/>
              </w:rPr>
            </w:pPr>
            <w:bookmarkStart w:id="6" w:name="_Hlt520513784"/>
            <w:bookmarkStart w:id="7" w:name="NomJuge3"/>
            <w:bookmarkEnd w:id="6"/>
            <w:r w:rsidRPr="00650F13">
              <w:rPr>
                <w:lang w:val="en-CA"/>
              </w:rPr>
              <w:t>PETER KALICHMAN, J.C.A.</w:t>
            </w:r>
            <w:bookmarkEnd w:id="7"/>
          </w:p>
        </w:tc>
      </w:tr>
      <w:tr w:rsidR="008F364A" w:rsidRPr="007B76A8" w14:paraId="21DDE498" w14:textId="77777777" w:rsidTr="008D18FC">
        <w:tc>
          <w:tcPr>
            <w:tcW w:w="9360" w:type="dxa"/>
            <w:gridSpan w:val="6"/>
            <w:tcBorders>
              <w:bottom w:val="single" w:sz="8" w:space="0" w:color="auto"/>
            </w:tcBorders>
          </w:tcPr>
          <w:p w14:paraId="65986169" w14:textId="77777777" w:rsidR="008F364A" w:rsidRDefault="008F364A">
            <w:pPr>
              <w:rPr>
                <w:lang w:val="de-DE"/>
              </w:rPr>
            </w:pPr>
          </w:p>
        </w:tc>
      </w:tr>
      <w:tr w:rsidR="008F364A" w:rsidRPr="007B76A8" w14:paraId="426A750A" w14:textId="77777777" w:rsidTr="008D18FC">
        <w:tc>
          <w:tcPr>
            <w:tcW w:w="9360" w:type="dxa"/>
            <w:gridSpan w:val="6"/>
          </w:tcPr>
          <w:p w14:paraId="589760D3" w14:textId="77777777" w:rsidR="008F364A" w:rsidRDefault="008F364A">
            <w:pPr>
              <w:pStyle w:val="zSoquijlblTitrePartie"/>
              <w:rPr>
                <w:lang w:val="de-DE"/>
              </w:rPr>
            </w:pPr>
          </w:p>
        </w:tc>
      </w:tr>
      <w:tr w:rsidR="008F364A" w14:paraId="1976A626" w14:textId="77777777" w:rsidTr="008D18FC">
        <w:tc>
          <w:tcPr>
            <w:tcW w:w="9360" w:type="dxa"/>
            <w:gridSpan w:val="6"/>
          </w:tcPr>
          <w:p w14:paraId="0918DA2D" w14:textId="341039B2" w:rsidR="008F364A" w:rsidRDefault="00650F13">
            <w:pPr>
              <w:pStyle w:val="zSoquijdatNomPartieDem"/>
              <w:rPr>
                <w:lang w:val="de-DE"/>
              </w:rPr>
            </w:pPr>
            <w:r w:rsidRPr="008D6021">
              <w:t>SOCIÉTÉ DE L’ASSURANCE AUTOMOBILE DU QUÉBEC</w:t>
            </w:r>
          </w:p>
        </w:tc>
      </w:tr>
      <w:tr w:rsidR="008F364A" w14:paraId="1EE1C728" w14:textId="77777777" w:rsidTr="008D18FC">
        <w:tc>
          <w:tcPr>
            <w:tcW w:w="9360" w:type="dxa"/>
            <w:gridSpan w:val="6"/>
          </w:tcPr>
          <w:p w14:paraId="77D0C350" w14:textId="3253387C" w:rsidR="008F364A" w:rsidRDefault="00D3169F">
            <w:pPr>
              <w:pStyle w:val="zSoquijdatQtePartieDem"/>
              <w:rPr>
                <w:lang w:val="de-DE"/>
              </w:rPr>
            </w:pPr>
            <w:r>
              <w:t>APPELANTE – défenderesse</w:t>
            </w:r>
          </w:p>
        </w:tc>
      </w:tr>
      <w:tr w:rsidR="008F364A" w14:paraId="1F740767" w14:textId="77777777" w:rsidTr="008D18FC">
        <w:tc>
          <w:tcPr>
            <w:tcW w:w="9360" w:type="dxa"/>
            <w:gridSpan w:val="6"/>
          </w:tcPr>
          <w:p w14:paraId="56A1FD02" w14:textId="77777777" w:rsidR="008F364A" w:rsidRDefault="00740A17">
            <w:pPr>
              <w:pStyle w:val="zSoquijlblLienParties"/>
              <w:rPr>
                <w:lang w:val="en-CA"/>
              </w:rPr>
            </w:pPr>
            <w:r>
              <w:rPr>
                <w:lang w:val="en-CA"/>
              </w:rPr>
              <w:t>c.</w:t>
            </w:r>
          </w:p>
        </w:tc>
      </w:tr>
      <w:tr w:rsidR="008F364A" w14:paraId="35A6BCA4" w14:textId="77777777" w:rsidTr="008D18FC">
        <w:tc>
          <w:tcPr>
            <w:tcW w:w="9360" w:type="dxa"/>
            <w:gridSpan w:val="6"/>
          </w:tcPr>
          <w:p w14:paraId="414CAD72" w14:textId="77777777" w:rsidR="008F364A" w:rsidRDefault="008F364A">
            <w:pPr>
              <w:rPr>
                <w:lang w:val="en-CA"/>
              </w:rPr>
            </w:pPr>
          </w:p>
        </w:tc>
      </w:tr>
      <w:tr w:rsidR="008F364A" w14:paraId="007CA7DC" w14:textId="77777777" w:rsidTr="008D18FC">
        <w:tc>
          <w:tcPr>
            <w:tcW w:w="9360" w:type="dxa"/>
            <w:gridSpan w:val="6"/>
          </w:tcPr>
          <w:p w14:paraId="589FAB54" w14:textId="03AE4839" w:rsidR="008F364A" w:rsidRDefault="00650F13">
            <w:pPr>
              <w:pStyle w:val="zSoquijdatNomPartieDef"/>
              <w:rPr>
                <w:lang w:val="en-CA"/>
              </w:rPr>
            </w:pPr>
            <w:r w:rsidRPr="008D6021">
              <w:t>GESENIA ISABEL CASTLE</w:t>
            </w:r>
          </w:p>
        </w:tc>
      </w:tr>
      <w:tr w:rsidR="008F364A" w14:paraId="454D8C92" w14:textId="77777777" w:rsidTr="008D18FC">
        <w:tc>
          <w:tcPr>
            <w:tcW w:w="9360" w:type="dxa"/>
            <w:gridSpan w:val="6"/>
          </w:tcPr>
          <w:p w14:paraId="49405D71" w14:textId="3A6EF95B" w:rsidR="008F364A" w:rsidRDefault="00D3169F">
            <w:pPr>
              <w:pStyle w:val="zSoquijdatQtePartieDef"/>
              <w:rPr>
                <w:lang w:val="en-CA"/>
              </w:rPr>
            </w:pPr>
            <w:r>
              <w:t>INTIMÉE – demanderesse</w:t>
            </w:r>
          </w:p>
        </w:tc>
      </w:tr>
      <w:tr w:rsidR="00B661CD" w14:paraId="5ABCD07C" w14:textId="77777777" w:rsidTr="008D18FC">
        <w:tc>
          <w:tcPr>
            <w:tcW w:w="9360" w:type="dxa"/>
            <w:gridSpan w:val="6"/>
          </w:tcPr>
          <w:p w14:paraId="05244020" w14:textId="77777777" w:rsidR="00B661CD" w:rsidRDefault="00B661CD">
            <w:pPr>
              <w:pStyle w:val="zSoquijdatQtePartieDef"/>
            </w:pPr>
          </w:p>
        </w:tc>
      </w:tr>
      <w:tr w:rsidR="008F364A" w14:paraId="3DBDDADE" w14:textId="77777777" w:rsidTr="008D18FC">
        <w:tc>
          <w:tcPr>
            <w:tcW w:w="9360" w:type="dxa"/>
            <w:gridSpan w:val="6"/>
          </w:tcPr>
          <w:p w14:paraId="4B169E25" w14:textId="77777777" w:rsidR="008F364A" w:rsidRDefault="008F364A">
            <w:pPr>
              <w:rPr>
                <w:lang w:val="en-CA"/>
              </w:rPr>
            </w:pPr>
          </w:p>
        </w:tc>
      </w:tr>
      <w:tr w:rsidR="008F364A" w14:paraId="1ADB59AA" w14:textId="77777777" w:rsidTr="008D18FC">
        <w:tc>
          <w:tcPr>
            <w:tcW w:w="9360" w:type="dxa"/>
            <w:gridSpan w:val="6"/>
            <w:tcBorders>
              <w:top w:val="single" w:sz="8" w:space="0" w:color="auto"/>
            </w:tcBorders>
          </w:tcPr>
          <w:p w14:paraId="37823FEE" w14:textId="77777777" w:rsidR="008F364A" w:rsidRDefault="008F364A">
            <w:pPr>
              <w:rPr>
                <w:lang w:val="en-CA"/>
              </w:rPr>
            </w:pPr>
            <w:bookmarkStart w:id="8" w:name="Arret"/>
          </w:p>
        </w:tc>
      </w:tr>
      <w:tr w:rsidR="008F364A" w14:paraId="14C0393C" w14:textId="77777777" w:rsidTr="008D18FC">
        <w:tc>
          <w:tcPr>
            <w:tcW w:w="9360" w:type="dxa"/>
            <w:gridSpan w:val="6"/>
          </w:tcPr>
          <w:p w14:paraId="6C0B9E2E" w14:textId="460F92F0" w:rsidR="008F364A" w:rsidRDefault="00650F13">
            <w:pPr>
              <w:pStyle w:val="zSoquijlblTypeDocument"/>
            </w:pPr>
            <w:bookmarkStart w:id="9" w:name="TitreDocument"/>
            <w:r>
              <w:t>ARRÊT</w:t>
            </w:r>
            <w:bookmarkEnd w:id="9"/>
          </w:p>
        </w:tc>
      </w:tr>
      <w:tr w:rsidR="008F364A" w14:paraId="65CD6246" w14:textId="77777777" w:rsidTr="008D18FC">
        <w:tc>
          <w:tcPr>
            <w:tcW w:w="9360" w:type="dxa"/>
            <w:gridSpan w:val="6"/>
            <w:tcBorders>
              <w:bottom w:val="single" w:sz="8" w:space="0" w:color="auto"/>
            </w:tcBorders>
          </w:tcPr>
          <w:p w14:paraId="2D606347" w14:textId="77777777" w:rsidR="008F364A" w:rsidRDefault="008F364A"/>
        </w:tc>
      </w:tr>
      <w:tr w:rsidR="008F364A" w14:paraId="18BB62DC" w14:textId="77777777" w:rsidTr="008D18FC">
        <w:tc>
          <w:tcPr>
            <w:tcW w:w="9360" w:type="dxa"/>
            <w:gridSpan w:val="6"/>
            <w:tcBorders>
              <w:top w:val="single" w:sz="8" w:space="0" w:color="auto"/>
            </w:tcBorders>
          </w:tcPr>
          <w:p w14:paraId="133FFC36" w14:textId="77777777" w:rsidR="008F364A" w:rsidRDefault="008F364A"/>
        </w:tc>
      </w:tr>
    </w:tbl>
    <w:p w14:paraId="5D995837" w14:textId="77777777" w:rsidR="008C14A0" w:rsidRDefault="008C14A0" w:rsidP="008C14A0">
      <w:pPr>
        <w:pStyle w:val="Paragraphe"/>
        <w:spacing w:before="240" w:line="240" w:lineRule="auto"/>
      </w:pPr>
      <w:r>
        <w:t xml:space="preserve">La Société de l’assurance automobile du Québec (la </w:t>
      </w:r>
      <w:r w:rsidRPr="00117271">
        <w:rPr>
          <w:b/>
          <w:bCs/>
        </w:rPr>
        <w:t>SAAQ</w:t>
      </w:r>
      <w:r>
        <w:t>) interjette appel d’un jugement de la Cour du Québec (l’honorable Serge Laurin)</w:t>
      </w:r>
      <w:r w:rsidRPr="00EF78E4">
        <w:rPr>
          <w:rStyle w:val="Appelnotedebasdep"/>
        </w:rPr>
        <w:footnoteReference w:id="1"/>
      </w:r>
      <w:r>
        <w:t xml:space="preserve"> accueillant la demande de mainlevée de l’intimée.</w:t>
      </w:r>
    </w:p>
    <w:p w14:paraId="5EDA0C5F" w14:textId="77777777" w:rsidR="008C14A0" w:rsidRDefault="008C14A0" w:rsidP="00FE3582">
      <w:pPr>
        <w:pStyle w:val="Paragraphe"/>
        <w:numPr>
          <w:ilvl w:val="0"/>
          <w:numId w:val="0"/>
        </w:numPr>
        <w:spacing w:after="0" w:line="240" w:lineRule="auto"/>
        <w:jc w:val="center"/>
      </w:pPr>
      <w:r>
        <w:t>***</w:t>
      </w:r>
    </w:p>
    <w:p w14:paraId="6E1982E8" w14:textId="77777777" w:rsidR="008C14A0" w:rsidRPr="00807A34" w:rsidRDefault="008C14A0" w:rsidP="008C14A0">
      <w:pPr>
        <w:pStyle w:val="Paragraphe"/>
        <w:spacing w:line="240" w:lineRule="auto"/>
      </w:pPr>
      <w:r>
        <w:t>Le 15 mars 2025, l’intimée est impliquée dans un accident d’automobile. Les policiers sont appelés sur les lieux et, après avoir procédé à des vérifications</w:t>
      </w:r>
      <w:r w:rsidRPr="00807A34">
        <w:t xml:space="preserve">, </w:t>
      </w:r>
      <w:r>
        <w:t xml:space="preserve">ils </w:t>
      </w:r>
      <w:r w:rsidRPr="00807A34">
        <w:t xml:space="preserve">saisissent son véhicule pour une période de 30 jours, car </w:t>
      </w:r>
      <w:r>
        <w:t xml:space="preserve">l’intimée est sous le coup d’une sanction et il lui est interdit de conduire un véhicule </w:t>
      </w:r>
      <w:r w:rsidRPr="00807A34">
        <w:t>au Québec.</w:t>
      </w:r>
    </w:p>
    <w:p w14:paraId="63BFFBC9" w14:textId="77777777" w:rsidR="008C14A0" w:rsidRPr="00807A34" w:rsidRDefault="008C14A0" w:rsidP="008C14A0">
      <w:pPr>
        <w:pStyle w:val="Paragraphe"/>
        <w:spacing w:line="240" w:lineRule="auto"/>
      </w:pPr>
      <w:r w:rsidRPr="00807A34">
        <w:lastRenderedPageBreak/>
        <w:t xml:space="preserve">Le 20 mars 2025, l’intimée dépose une demande afin d’obtenir une mainlevée de la saisie en vertu de l’art. 209.11 du </w:t>
      </w:r>
      <w:r w:rsidRPr="00807A34">
        <w:rPr>
          <w:i/>
          <w:iCs/>
        </w:rPr>
        <w:t>Code de la sécurité routière</w:t>
      </w:r>
      <w:r w:rsidRPr="00807A34">
        <w:t xml:space="preserve"> (le </w:t>
      </w:r>
      <w:r w:rsidRPr="00807A34">
        <w:rPr>
          <w:b/>
          <w:bCs/>
          <w:i/>
          <w:iCs/>
        </w:rPr>
        <w:t>C.s.r</w:t>
      </w:r>
      <w:r w:rsidRPr="00807A34">
        <w:rPr>
          <w:b/>
          <w:bCs/>
        </w:rPr>
        <w:t>.</w:t>
      </w:r>
      <w:r w:rsidRPr="00807A34">
        <w:t>)</w:t>
      </w:r>
      <w:r w:rsidRPr="00EF78E4">
        <w:rPr>
          <w:rStyle w:val="Appelnotedebasdep"/>
        </w:rPr>
        <w:footnoteReference w:id="2"/>
      </w:r>
      <w:r w:rsidRPr="00807A34">
        <w:t xml:space="preserve">, alléguant qu’elle ignorait </w:t>
      </w:r>
      <w:r>
        <w:t xml:space="preserve">être sous le coup de </w:t>
      </w:r>
      <w:r w:rsidRPr="00807A34">
        <w:t xml:space="preserve">cette sanction.  </w:t>
      </w:r>
    </w:p>
    <w:p w14:paraId="572B3173" w14:textId="77777777" w:rsidR="008C14A0" w:rsidRDefault="008C14A0" w:rsidP="008C14A0">
      <w:pPr>
        <w:pStyle w:val="Paragraphe"/>
        <w:spacing w:line="240" w:lineRule="auto"/>
      </w:pPr>
      <w:r w:rsidRPr="00B26231">
        <w:t>Lors de l</w:t>
      </w:r>
      <w:r>
        <w:t>’</w:t>
      </w:r>
      <w:r w:rsidRPr="00B26231">
        <w:t>audi</w:t>
      </w:r>
      <w:r>
        <w:t>tion</w:t>
      </w:r>
      <w:r w:rsidRPr="00B26231">
        <w:t xml:space="preserve"> de sa demande, elle reconnaît avoir déménagé en septembre 2023 sans aviser la SAAQ de sa nouvelle adresse.</w:t>
      </w:r>
      <w:r>
        <w:t xml:space="preserve"> Après le déménagement et avant la saisie de sa voiture, une sanction avait été inscrite à son dossier pour non-paiement d’une amende. Un avis de sanction lui avait alors été envoyé par </w:t>
      </w:r>
      <w:r w:rsidRPr="00B26231">
        <w:rPr>
          <w:i/>
          <w:iCs/>
        </w:rPr>
        <w:t>Xpresspost</w:t>
      </w:r>
      <w:r>
        <w:t>. Comme elle ne résidait plus à l’adresse qu’elle avait jadis enregistrée auprès de la SAAQ, l’avis a été retourné à cette dernière avec la mention « Article non réclamé – article renvoyé à l’expéditeur ».</w:t>
      </w:r>
    </w:p>
    <w:p w14:paraId="2F14E40B" w14:textId="77777777" w:rsidR="008C14A0" w:rsidRDefault="008C14A0" w:rsidP="008C14A0">
      <w:pPr>
        <w:pStyle w:val="Paragraphe"/>
        <w:spacing w:line="240" w:lineRule="auto"/>
      </w:pPr>
      <w:r>
        <w:t xml:space="preserve">Le juge accueille la demande de l’intimée. Bien qu’elle ait omis d’aviser la SAAQ de son changement d’adresse conformément à l’art. 95 </w:t>
      </w:r>
      <w:r w:rsidRPr="000F44CA">
        <w:rPr>
          <w:i/>
          <w:iCs/>
        </w:rPr>
        <w:t>C</w:t>
      </w:r>
      <w:r w:rsidRPr="00807A34">
        <w:rPr>
          <w:i/>
          <w:iCs/>
        </w:rPr>
        <w:t>.s.r</w:t>
      </w:r>
      <w:r w:rsidRPr="00807A34">
        <w:t xml:space="preserve">., il conclut que sa négligence n’est pas déterminante. Dans son analyse, il estime que l’obligation qui incombe à la SAAQ, </w:t>
      </w:r>
      <w:r>
        <w:t>suivant</w:t>
      </w:r>
      <w:r w:rsidRPr="00807A34">
        <w:t xml:space="preserve"> l’article 550.1 </w:t>
      </w:r>
      <w:r w:rsidRPr="00807A34">
        <w:rPr>
          <w:i/>
          <w:iCs/>
        </w:rPr>
        <w:t>C.s.r</w:t>
      </w:r>
      <w:r w:rsidRPr="00807A34">
        <w:t>., de s’assurer que les avis de sanctions envoyés aux administrés sont effectivement reçus, revêt une plus grande importance. Selon lui, le fait pour la SAAQ de ne pas s’être assurée que l’avis de sanction avait bel et bien été reçu par l’intimée constituait une violation</w:t>
      </w:r>
      <w:r>
        <w:t xml:space="preserve"> des règles de justice naturelle et, plus particulièrement, du principe </w:t>
      </w:r>
      <w:r w:rsidRPr="00AA345F">
        <w:rPr>
          <w:i/>
          <w:iCs/>
        </w:rPr>
        <w:t>audi alteram partem</w:t>
      </w:r>
      <w:r>
        <w:t>. Sur cette base, le juge accueille la demande de l’intimée et accorde mainlevée de la saisie.</w:t>
      </w:r>
    </w:p>
    <w:p w14:paraId="4F7D369D" w14:textId="77777777" w:rsidR="008C14A0" w:rsidRDefault="008C14A0" w:rsidP="008C14A0">
      <w:pPr>
        <w:pStyle w:val="Paragraphe"/>
        <w:numPr>
          <w:ilvl w:val="0"/>
          <w:numId w:val="0"/>
        </w:numPr>
        <w:tabs>
          <w:tab w:val="num" w:pos="720"/>
        </w:tabs>
        <w:spacing w:line="240" w:lineRule="auto"/>
        <w:jc w:val="center"/>
      </w:pPr>
      <w:r>
        <w:t xml:space="preserve"> ***</w:t>
      </w:r>
    </w:p>
    <w:p w14:paraId="11A4FCDB" w14:textId="77777777" w:rsidR="008C14A0" w:rsidRDefault="008C14A0" w:rsidP="008C14A0">
      <w:pPr>
        <w:pStyle w:val="Paragraphe"/>
        <w:spacing w:line="240" w:lineRule="auto"/>
      </w:pPr>
      <w:r>
        <w:t xml:space="preserve">La SAAQ se pourvoit en appel, soutenant que le juge a erré dans son interprétation de l’article 550.1 </w:t>
      </w:r>
      <w:r w:rsidRPr="000F44CA">
        <w:rPr>
          <w:i/>
          <w:iCs/>
        </w:rPr>
        <w:t>C.s.r</w:t>
      </w:r>
      <w:r>
        <w:t xml:space="preserve">. et que, ce faisant, il a renversé le fardeau de la preuve applicable pour l’obtention d’une mainlevée. Selon elle, l’intimée ne s’était pas acquittée du fardeau que lui impose l’article 209.11 </w:t>
      </w:r>
      <w:r w:rsidRPr="000F44CA">
        <w:rPr>
          <w:i/>
          <w:iCs/>
        </w:rPr>
        <w:t>C.s.r</w:t>
      </w:r>
      <w:r>
        <w:t>. et sa demande aurait dû être rejetée.</w:t>
      </w:r>
      <w:r w:rsidRPr="0045361A">
        <w:t xml:space="preserve"> </w:t>
      </w:r>
    </w:p>
    <w:p w14:paraId="01850C8B" w14:textId="77777777" w:rsidR="008C14A0" w:rsidRPr="0045361A" w:rsidRDefault="008C14A0" w:rsidP="008C14A0">
      <w:pPr>
        <w:pStyle w:val="Paragraphe"/>
        <w:spacing w:line="240" w:lineRule="auto"/>
      </w:pPr>
      <w:r>
        <w:t>Pour sa part, l’</w:t>
      </w:r>
      <w:r w:rsidRPr="0045361A">
        <w:t xml:space="preserve">intimée </w:t>
      </w:r>
      <w:r>
        <w:t>n’a pas respecté les délais pour le dépôt de son exposé et le greffe a rendu un constat de forclusion</w:t>
      </w:r>
      <w:r w:rsidRPr="00EF78E4">
        <w:rPr>
          <w:rStyle w:val="Appelnotedebasdep"/>
        </w:rPr>
        <w:footnoteReference w:id="3"/>
      </w:r>
      <w:r>
        <w:t>.</w:t>
      </w:r>
    </w:p>
    <w:p w14:paraId="683EDFB3" w14:textId="77777777" w:rsidR="008C14A0" w:rsidRDefault="008C14A0" w:rsidP="008C14A0">
      <w:pPr>
        <w:pStyle w:val="Paragraphe"/>
        <w:spacing w:line="240" w:lineRule="auto"/>
      </w:pPr>
      <w:r>
        <w:t xml:space="preserve">La SAAQ reconnaît que la saisie est expirée. </w:t>
      </w:r>
      <w:r w:rsidRPr="0045361A">
        <w:t xml:space="preserve">Elle soutient </w:t>
      </w:r>
      <w:r>
        <w:t xml:space="preserve">toutefois </w:t>
      </w:r>
      <w:r w:rsidRPr="0045361A">
        <w:t xml:space="preserve">que </w:t>
      </w:r>
      <w:r>
        <w:t>la question en litige</w:t>
      </w:r>
      <w:r w:rsidRPr="0045361A">
        <w:t xml:space="preserve"> n</w:t>
      </w:r>
      <w:r>
        <w:t>’</w:t>
      </w:r>
      <w:r w:rsidRPr="0045361A">
        <w:t>est pas théorique</w:t>
      </w:r>
      <w:r>
        <w:t xml:space="preserve"> et que, </w:t>
      </w:r>
      <w:r w:rsidRPr="0045361A">
        <w:t>même s</w:t>
      </w:r>
      <w:r>
        <w:t xml:space="preserve">i elle </w:t>
      </w:r>
      <w:r w:rsidRPr="0045361A">
        <w:t>l</w:t>
      </w:r>
      <w:r>
        <w:t>’</w:t>
      </w:r>
      <w:r w:rsidRPr="0045361A">
        <w:t xml:space="preserve">était, la Cour devrait exercer son pouvoir discrétionnaire </w:t>
      </w:r>
      <w:r>
        <w:t xml:space="preserve">pour </w:t>
      </w:r>
      <w:r w:rsidRPr="0045361A">
        <w:t xml:space="preserve">entendre </w:t>
      </w:r>
      <w:r>
        <w:t>l’appel</w:t>
      </w:r>
      <w:r w:rsidRPr="0045361A">
        <w:t>.</w:t>
      </w:r>
      <w:r>
        <w:t xml:space="preserve"> </w:t>
      </w:r>
    </w:p>
    <w:p w14:paraId="4F18C080" w14:textId="77777777" w:rsidR="008C14A0" w:rsidRDefault="008C14A0" w:rsidP="008C14A0">
      <w:pPr>
        <w:pStyle w:val="Paragraphe"/>
        <w:spacing w:line="240" w:lineRule="auto"/>
      </w:pPr>
      <w:r>
        <w:t>Ainsi, la Cour doit d’abord déterminer si l’appel est théorique et, le cas échéant, si elle doit néanmoins exercer son pouvoir discrétionnaire et l’entendre.</w:t>
      </w:r>
    </w:p>
    <w:p w14:paraId="039DD814" w14:textId="77777777" w:rsidR="008C14A0" w:rsidRDefault="008C14A0" w:rsidP="008C14A0">
      <w:pPr>
        <w:pStyle w:val="Paragraphe"/>
        <w:spacing w:line="240" w:lineRule="auto"/>
      </w:pPr>
      <w:r>
        <w:lastRenderedPageBreak/>
        <w:t>Contrairement à ce que soutient la SAAQ, l’appel est théorique. Comme la saisie est expirée depuis longtemps, le substrat du litige est disparu et l’issue de l’appel n’aura aucune incidence sur les droits des parties</w:t>
      </w:r>
      <w:bookmarkStart w:id="10" w:name="_Ref213418350"/>
      <w:r w:rsidRPr="00EF78E4">
        <w:rPr>
          <w:rStyle w:val="Appelnotedebasdep"/>
        </w:rPr>
        <w:footnoteReference w:id="4"/>
      </w:r>
      <w:bookmarkEnd w:id="10"/>
      <w:r>
        <w:t xml:space="preserve">. </w:t>
      </w:r>
    </w:p>
    <w:p w14:paraId="5977281E" w14:textId="77777777" w:rsidR="008C14A0" w:rsidRPr="00315155" w:rsidRDefault="008C14A0" w:rsidP="008C14A0">
      <w:pPr>
        <w:pStyle w:val="Paragraphe"/>
        <w:spacing w:line="240" w:lineRule="auto"/>
      </w:pPr>
      <w:r>
        <w:t>L’</w:t>
      </w:r>
      <w:r w:rsidRPr="00AA345F">
        <w:t>absence d</w:t>
      </w:r>
      <w:r>
        <w:t>’</w:t>
      </w:r>
      <w:r w:rsidRPr="00AA345F">
        <w:t>une partie adverse ne favorise pas l</w:t>
      </w:r>
      <w:r>
        <w:t>’</w:t>
      </w:r>
      <w:r w:rsidRPr="00AA345F">
        <w:t>audition d</w:t>
      </w:r>
      <w:r>
        <w:t>’</w:t>
      </w:r>
      <w:r w:rsidRPr="00AA345F">
        <w:t>un appel devenu théorique</w:t>
      </w:r>
      <w:r w:rsidRPr="00EF78E4">
        <w:rPr>
          <w:rStyle w:val="Appelnotedebasdep"/>
        </w:rPr>
        <w:footnoteReference w:id="5"/>
      </w:r>
      <w:r w:rsidRPr="00AA345F">
        <w:t xml:space="preserve">. </w:t>
      </w:r>
      <w:r w:rsidRPr="00CD42BD">
        <w:t xml:space="preserve">Cependant, la Cour estime que les circonstances </w:t>
      </w:r>
      <w:r>
        <w:t xml:space="preserve">en l’espèce </w:t>
      </w:r>
      <w:r w:rsidRPr="00CD42BD">
        <w:t>justifient que l</w:t>
      </w:r>
      <w:r>
        <w:t>’</w:t>
      </w:r>
      <w:r w:rsidRPr="00CD42BD">
        <w:t>appel soit entendu malgré son caractère théorique</w:t>
      </w:r>
      <w:r>
        <w:t xml:space="preserve"> et malgré l’absence de contestation</w:t>
      </w:r>
      <w:r w:rsidRPr="00EF78E4">
        <w:rPr>
          <w:rStyle w:val="Appelnotedebasdep"/>
        </w:rPr>
        <w:footnoteReference w:id="6"/>
      </w:r>
      <w:r w:rsidRPr="00CD42BD">
        <w:t>.</w:t>
      </w:r>
      <w:r>
        <w:t xml:space="preserve"> I</w:t>
      </w:r>
      <w:r w:rsidRPr="00CD42BD">
        <w:t xml:space="preserve">l est peu probable que la question en litige </w:t>
      </w:r>
      <w:r>
        <w:t xml:space="preserve">puisse être soumise à la Cour dans un contexte autre que celui dont il est question ici, </w:t>
      </w:r>
      <w:r w:rsidRPr="00CD42BD">
        <w:t xml:space="preserve">car la saisie </w:t>
      </w:r>
      <w:r>
        <w:t>sera</w:t>
      </w:r>
      <w:r w:rsidRPr="00CD42BD">
        <w:t xml:space="preserve"> presque toujours expirée </w:t>
      </w:r>
      <w:r>
        <w:t>avant que l’appel puisse être entendu</w:t>
      </w:r>
      <w:r w:rsidRPr="00CD42BD">
        <w:t xml:space="preserve">. </w:t>
      </w:r>
      <w:r>
        <w:t>La Cour estime qu’</w:t>
      </w:r>
      <w:r w:rsidRPr="00CD42BD">
        <w:t xml:space="preserve">une saine utilisation des ressources </w:t>
      </w:r>
      <w:r w:rsidRPr="00315155">
        <w:t>judiciaires justifie de trancher l’appel afin de clarifier ce qu</w:t>
      </w:r>
      <w:r>
        <w:t>i, de l’avis d</w:t>
      </w:r>
      <w:r w:rsidRPr="00315155">
        <w:t>e la SAAQ</w:t>
      </w:r>
      <w:r>
        <w:t>, constituerait</w:t>
      </w:r>
      <w:r w:rsidRPr="00315155">
        <w:t xml:space="preserve"> un problème dans l’interprétation du </w:t>
      </w:r>
      <w:r w:rsidRPr="00315155">
        <w:rPr>
          <w:i/>
          <w:iCs/>
        </w:rPr>
        <w:t>C.s.r.</w:t>
      </w:r>
      <w:r w:rsidRPr="00315155">
        <w:t xml:space="preserve"> par la Cour du Québec. </w:t>
      </w:r>
    </w:p>
    <w:p w14:paraId="4B4AF139" w14:textId="77777777" w:rsidR="008C14A0" w:rsidRPr="00315155" w:rsidRDefault="008C14A0" w:rsidP="008C14A0">
      <w:pPr>
        <w:pStyle w:val="Paragraphe"/>
        <w:spacing w:line="240" w:lineRule="auto"/>
      </w:pPr>
      <w:r w:rsidRPr="00315155">
        <w:t xml:space="preserve">Cela dit, en ce qui concerne maintenant le fond de l’appel, il est utile de reproduire la disposition sur laquelle l’intimée s’est appuyée pour demander la mainlevée, à savoir l’article 209.11 </w:t>
      </w:r>
      <w:r w:rsidRPr="00315155">
        <w:rPr>
          <w:i/>
          <w:iCs/>
        </w:rPr>
        <w:t>C.s.r.</w:t>
      </w:r>
      <w:r w:rsidRPr="00315155">
        <w:t> :</w:t>
      </w:r>
    </w:p>
    <w:p w14:paraId="1514E7E2" w14:textId="77777777" w:rsidR="008C14A0" w:rsidRDefault="008C14A0" w:rsidP="008C14A0">
      <w:pPr>
        <w:spacing w:line="240" w:lineRule="auto"/>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827"/>
      </w:tblGrid>
      <w:tr w:rsidR="008C14A0" w:rsidRPr="004F6732" w14:paraId="6A4C0ECF" w14:textId="77777777" w:rsidTr="00265DBC">
        <w:tc>
          <w:tcPr>
            <w:tcW w:w="3686" w:type="dxa"/>
          </w:tcPr>
          <w:p w14:paraId="5E108A36" w14:textId="77777777" w:rsidR="008C14A0" w:rsidRPr="008D64DF" w:rsidRDefault="008C14A0" w:rsidP="008C14A0">
            <w:pPr>
              <w:spacing w:after="160" w:line="240" w:lineRule="auto"/>
              <w:jc w:val="both"/>
              <w:rPr>
                <w:sz w:val="22"/>
                <w:szCs w:val="22"/>
              </w:rPr>
            </w:pPr>
            <w:r w:rsidRPr="008D64DF">
              <w:rPr>
                <w:b/>
                <w:bCs/>
                <w:sz w:val="22"/>
                <w:szCs w:val="22"/>
              </w:rPr>
              <w:t>209.11.</w:t>
            </w:r>
            <w:r w:rsidRPr="008D64DF">
              <w:rPr>
                <w:sz w:val="22"/>
                <w:szCs w:val="22"/>
              </w:rPr>
              <w:t> Le propriétaire du véhicule routier saisi peut être remis en possession du véhicule aux conditions prévues à l’article</w:t>
            </w:r>
            <w:r>
              <w:rPr>
                <w:sz w:val="22"/>
                <w:szCs w:val="22"/>
              </w:rPr>
              <w:t xml:space="preserve"> </w:t>
            </w:r>
            <w:r w:rsidRPr="008D64DF">
              <w:rPr>
                <w:sz w:val="22"/>
                <w:szCs w:val="22"/>
              </w:rPr>
              <w:t>209.15, sur autorisation d’un juge de la Cour du Québec exerçant en son bureau en matière civile</w:t>
            </w:r>
            <w:r>
              <w:rPr>
                <w:sz w:val="22"/>
                <w:szCs w:val="22"/>
              </w:rPr>
              <w:t> </w:t>
            </w:r>
            <w:r w:rsidRPr="008D64DF">
              <w:rPr>
                <w:sz w:val="22"/>
                <w:szCs w:val="22"/>
              </w:rPr>
              <w:t>:</w:t>
            </w:r>
          </w:p>
          <w:p w14:paraId="3B9333E7" w14:textId="77777777" w:rsidR="008C14A0" w:rsidRPr="008D64DF" w:rsidRDefault="008C14A0" w:rsidP="008C14A0">
            <w:pPr>
              <w:spacing w:after="160" w:line="240" w:lineRule="auto"/>
              <w:jc w:val="both"/>
              <w:rPr>
                <w:sz w:val="22"/>
                <w:szCs w:val="22"/>
              </w:rPr>
            </w:pPr>
            <w:r w:rsidRPr="008D64DF">
              <w:rPr>
                <w:sz w:val="22"/>
                <w:szCs w:val="22"/>
              </w:rPr>
              <w:t>1°</w:t>
            </w:r>
            <w:r>
              <w:rPr>
                <w:sz w:val="22"/>
                <w:szCs w:val="22"/>
              </w:rPr>
              <w:t xml:space="preserve"> </w:t>
            </w:r>
            <w:r w:rsidRPr="008D64DF">
              <w:rPr>
                <w:sz w:val="22"/>
                <w:szCs w:val="22"/>
              </w:rPr>
              <w:t>si, étant le conducteur du véhicule, il ignorait qu’il était sous le coup d’une sanction;</w:t>
            </w:r>
          </w:p>
          <w:p w14:paraId="193AE92E" w14:textId="77777777" w:rsidR="008C14A0" w:rsidRPr="000F44CA" w:rsidRDefault="008C14A0" w:rsidP="003350B1">
            <w:pPr>
              <w:spacing w:line="240" w:lineRule="auto"/>
              <w:jc w:val="both"/>
              <w:rPr>
                <w:sz w:val="22"/>
                <w:szCs w:val="22"/>
              </w:rPr>
            </w:pPr>
            <w:r>
              <w:rPr>
                <w:sz w:val="22"/>
                <w:szCs w:val="22"/>
              </w:rPr>
              <w:t>[…]</w:t>
            </w:r>
          </w:p>
        </w:tc>
        <w:tc>
          <w:tcPr>
            <w:tcW w:w="3827" w:type="dxa"/>
          </w:tcPr>
          <w:p w14:paraId="04104F66" w14:textId="77777777" w:rsidR="008C14A0" w:rsidRPr="008D64DF" w:rsidRDefault="008C14A0" w:rsidP="008C14A0">
            <w:pPr>
              <w:spacing w:after="160" w:line="240" w:lineRule="auto"/>
              <w:jc w:val="both"/>
              <w:rPr>
                <w:sz w:val="22"/>
                <w:szCs w:val="22"/>
                <w:lang w:val="en-CA"/>
              </w:rPr>
            </w:pPr>
            <w:r w:rsidRPr="008D64DF">
              <w:rPr>
                <w:b/>
                <w:bCs/>
                <w:sz w:val="22"/>
                <w:szCs w:val="22"/>
                <w:lang w:val="en-CA"/>
              </w:rPr>
              <w:t>209.11.</w:t>
            </w:r>
            <w:r w:rsidRPr="008D64DF">
              <w:rPr>
                <w:sz w:val="22"/>
                <w:szCs w:val="22"/>
                <w:lang w:val="en-CA"/>
              </w:rPr>
              <w:t> The owner of a road vehicle seized may, on the authorization of a judge of the Court of Québec acting in chambers in civil matters, recover his vehicle on the conditions set out in section 209.15,</w:t>
            </w:r>
          </w:p>
          <w:p w14:paraId="00C2ACB0" w14:textId="77777777" w:rsidR="008C14A0" w:rsidRPr="008D64DF" w:rsidRDefault="008C14A0" w:rsidP="008C14A0">
            <w:pPr>
              <w:spacing w:before="240" w:after="160" w:line="240" w:lineRule="auto"/>
              <w:jc w:val="both"/>
              <w:rPr>
                <w:sz w:val="22"/>
                <w:szCs w:val="22"/>
                <w:lang w:val="en-CA"/>
              </w:rPr>
            </w:pPr>
            <w:r w:rsidRPr="008D64DF">
              <w:rPr>
                <w:sz w:val="22"/>
                <w:szCs w:val="22"/>
                <w:lang w:val="en-CA"/>
              </w:rPr>
              <w:t>(1)  if, being the driver of the vehicle, the owner was unaware that he was disqualified; or</w:t>
            </w:r>
          </w:p>
          <w:p w14:paraId="47678AFE" w14:textId="77777777" w:rsidR="008C14A0" w:rsidRPr="008D64DF" w:rsidRDefault="008C14A0" w:rsidP="003350B1">
            <w:pPr>
              <w:spacing w:line="240" w:lineRule="auto"/>
              <w:jc w:val="both"/>
              <w:rPr>
                <w:b/>
                <w:bCs/>
                <w:sz w:val="22"/>
                <w:szCs w:val="22"/>
                <w:lang w:val="en-CA"/>
              </w:rPr>
            </w:pPr>
            <w:r>
              <w:rPr>
                <w:sz w:val="22"/>
                <w:szCs w:val="22"/>
                <w:lang w:val="en-CA"/>
              </w:rPr>
              <w:t>[…]</w:t>
            </w:r>
          </w:p>
        </w:tc>
      </w:tr>
    </w:tbl>
    <w:p w14:paraId="02E10D05" w14:textId="77777777" w:rsidR="008C14A0" w:rsidRPr="000F44CA" w:rsidRDefault="008C14A0" w:rsidP="008C14A0">
      <w:pPr>
        <w:spacing w:line="240" w:lineRule="auto"/>
        <w:rPr>
          <w:lang w:val="en-CA"/>
        </w:rPr>
      </w:pPr>
    </w:p>
    <w:p w14:paraId="0EBD28EC" w14:textId="77777777" w:rsidR="008C14A0" w:rsidRDefault="008C14A0" w:rsidP="003350B1">
      <w:pPr>
        <w:pStyle w:val="Paragraphe"/>
        <w:spacing w:line="240" w:lineRule="auto"/>
      </w:pPr>
      <w:r w:rsidRPr="00315155">
        <w:t xml:space="preserve">Il n’est pas contesté que l’intimée a omis d’informer la SAAQ de son changement d’adresse, </w:t>
      </w:r>
      <w:r>
        <w:t xml:space="preserve">alors qu’il s’agit d’une </w:t>
      </w:r>
      <w:r w:rsidRPr="00315155">
        <w:t>obligation que lui impose l’art</w:t>
      </w:r>
      <w:r>
        <w:t>. </w:t>
      </w:r>
      <w:r w:rsidRPr="00315155">
        <w:t xml:space="preserve">95 </w:t>
      </w:r>
      <w:r w:rsidRPr="00315155">
        <w:rPr>
          <w:i/>
          <w:iCs/>
        </w:rPr>
        <w:t>C.s.r.,</w:t>
      </w:r>
      <w:r w:rsidRPr="00315155">
        <w:t xml:space="preserve"> et qu’elle n’a pas reçu l’avis de sanction que la SAAQ lui a envoyé. Pour déterminer si cela suffit afin d’établir l’ignorance selon l’art. 209.11</w:t>
      </w:r>
      <w:r w:rsidRPr="00315155">
        <w:rPr>
          <w:i/>
          <w:iCs/>
        </w:rPr>
        <w:t xml:space="preserve"> C.s.r</w:t>
      </w:r>
      <w:r w:rsidRPr="00315155">
        <w:t xml:space="preserve">., le juge analyse l’art. 550.1 </w:t>
      </w:r>
      <w:r w:rsidRPr="00315155">
        <w:rPr>
          <w:i/>
          <w:iCs/>
        </w:rPr>
        <w:t>C.s.r</w:t>
      </w:r>
      <w:r w:rsidRPr="00315155">
        <w:t>. qui prévoit l’obligation de la SAAQ de transmettre un avis de sanction</w:t>
      </w:r>
      <w:r>
        <w:t xml:space="preserve"> de façon à s’assurer de sa bonne réception</w:t>
      </w:r>
      <w:r w:rsidRPr="00315155">
        <w:t>. Citant une analyse qu’il a effectuée dans un jugement rendu en 2012</w:t>
      </w:r>
      <w:r w:rsidRPr="00EF78E4">
        <w:rPr>
          <w:rStyle w:val="Appelnotedebasdep"/>
        </w:rPr>
        <w:footnoteReference w:id="7"/>
      </w:r>
      <w:r w:rsidRPr="00315155">
        <w:t xml:space="preserve">, lequel renvoie à une analyse qu’il avait effectuée dans un jugement rendu l’année </w:t>
      </w:r>
      <w:r w:rsidRPr="00315155">
        <w:lastRenderedPageBreak/>
        <w:t>précédente</w:t>
      </w:r>
      <w:r w:rsidRPr="00EF78E4">
        <w:rPr>
          <w:rStyle w:val="Appelnotedebasdep"/>
        </w:rPr>
        <w:footnoteReference w:id="8"/>
      </w:r>
      <w:r w:rsidRPr="00315155">
        <w:t>, le juge conclut que l’art. 550.1</w:t>
      </w:r>
      <w:r>
        <w:t> </w:t>
      </w:r>
      <w:r w:rsidRPr="00623574">
        <w:rPr>
          <w:i/>
          <w:iCs/>
        </w:rPr>
        <w:t>C.s.r</w:t>
      </w:r>
      <w:r>
        <w:t>.</w:t>
      </w:r>
      <w:r w:rsidRPr="00315155">
        <w:t xml:space="preserve"> exige de la SAAQ </w:t>
      </w:r>
      <w:r>
        <w:t xml:space="preserve">non seulement </w:t>
      </w:r>
      <w:r w:rsidRPr="00315155">
        <w:t>qu’elle transmette l’avis de sanction par l’un des modes</w:t>
      </w:r>
      <w:r>
        <w:t xml:space="preserve"> expressément nommés, mais aussi qu’elle s’assure de sa réception par la personne concernée. Il parvient à cette conclusion en comparant la version actuelle de la disposition, modifiée en 2002, à sa version antérieure. Son jugement contient le tableau suivant qui illustre ce changement :</w:t>
      </w:r>
    </w:p>
    <w:tbl>
      <w:tblPr>
        <w:tblW w:w="0" w:type="auto"/>
        <w:tblInd w:w="880" w:type="dxa"/>
        <w:tblCellMar>
          <w:left w:w="0" w:type="dxa"/>
          <w:right w:w="0" w:type="dxa"/>
        </w:tblCellMar>
        <w:tblLook w:val="04A0" w:firstRow="1" w:lastRow="0" w:firstColumn="1" w:lastColumn="0" w:noHBand="0" w:noVBand="1"/>
      </w:tblPr>
      <w:tblGrid>
        <w:gridCol w:w="3736"/>
        <w:gridCol w:w="3738"/>
      </w:tblGrid>
      <w:tr w:rsidR="008C14A0" w:rsidRPr="00207BDD" w14:paraId="5F53103C" w14:textId="77777777" w:rsidTr="00265DBC">
        <w:tc>
          <w:tcPr>
            <w:tcW w:w="37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09D7B0BE" w14:textId="77777777" w:rsidR="008C14A0" w:rsidRPr="000F44CA" w:rsidRDefault="008C14A0" w:rsidP="008C14A0">
            <w:pPr>
              <w:spacing w:after="160" w:line="240" w:lineRule="auto"/>
              <w:jc w:val="center"/>
              <w:rPr>
                <w:sz w:val="22"/>
                <w:szCs w:val="22"/>
              </w:rPr>
            </w:pPr>
            <w:r w:rsidRPr="000F44CA">
              <w:rPr>
                <w:sz w:val="22"/>
                <w:szCs w:val="22"/>
              </w:rPr>
              <w:t>1er septembre 1993</w:t>
            </w:r>
          </w:p>
        </w:tc>
        <w:tc>
          <w:tcPr>
            <w:tcW w:w="373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2A42CAF" w14:textId="77777777" w:rsidR="008C14A0" w:rsidRPr="000F44CA" w:rsidRDefault="008C14A0" w:rsidP="008C14A0">
            <w:pPr>
              <w:spacing w:after="160" w:line="240" w:lineRule="auto"/>
              <w:ind w:right="-144"/>
              <w:jc w:val="center"/>
              <w:rPr>
                <w:sz w:val="22"/>
                <w:szCs w:val="22"/>
              </w:rPr>
            </w:pPr>
            <w:r w:rsidRPr="000F44CA">
              <w:rPr>
                <w:sz w:val="22"/>
                <w:szCs w:val="22"/>
              </w:rPr>
              <w:t>27 octobre 2002</w:t>
            </w:r>
          </w:p>
        </w:tc>
      </w:tr>
      <w:tr w:rsidR="008C14A0" w:rsidRPr="00207BDD" w14:paraId="3420C5DE" w14:textId="77777777" w:rsidTr="00265DBC">
        <w:tc>
          <w:tcPr>
            <w:tcW w:w="373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A2C5C3" w14:textId="77777777" w:rsidR="008C14A0" w:rsidRPr="000F44CA" w:rsidRDefault="008C14A0" w:rsidP="008C14A0">
            <w:pPr>
              <w:spacing w:line="240" w:lineRule="auto"/>
              <w:rPr>
                <w:sz w:val="22"/>
                <w:szCs w:val="22"/>
              </w:rPr>
            </w:pPr>
            <w:r w:rsidRPr="000F44CA">
              <w:rPr>
                <w:sz w:val="22"/>
                <w:szCs w:val="22"/>
              </w:rPr>
              <w:t>«</w:t>
            </w:r>
            <w:r>
              <w:rPr>
                <w:sz w:val="22"/>
                <w:szCs w:val="22"/>
              </w:rPr>
              <w:t> </w:t>
            </w:r>
            <w:r w:rsidRPr="000F44CA">
              <w:rPr>
                <w:sz w:val="22"/>
                <w:szCs w:val="22"/>
              </w:rPr>
              <w:t>Art.</w:t>
            </w:r>
            <w:r>
              <w:rPr>
                <w:sz w:val="22"/>
                <w:szCs w:val="22"/>
              </w:rPr>
              <w:t> </w:t>
            </w:r>
            <w:r w:rsidRPr="000F44CA">
              <w:rPr>
                <w:sz w:val="22"/>
                <w:szCs w:val="22"/>
              </w:rPr>
              <w:t>550.1.</w:t>
            </w:r>
            <w:r>
              <w:rPr>
                <w:sz w:val="22"/>
                <w:szCs w:val="22"/>
              </w:rPr>
              <w:t> </w:t>
            </w:r>
            <w:r w:rsidRPr="000F44CA">
              <w:rPr>
                <w:sz w:val="22"/>
                <w:szCs w:val="22"/>
              </w:rPr>
              <w:t>»  La Société transmet à la personne concernée la décision portant sur une sanction visée à l</w:t>
            </w:r>
            <w:r>
              <w:rPr>
                <w:sz w:val="22"/>
                <w:szCs w:val="22"/>
              </w:rPr>
              <w:t>’</w:t>
            </w:r>
            <w:r w:rsidRPr="000F44CA">
              <w:rPr>
                <w:sz w:val="22"/>
                <w:szCs w:val="22"/>
              </w:rPr>
              <w:t>article</w:t>
            </w:r>
            <w:r>
              <w:rPr>
                <w:sz w:val="22"/>
                <w:szCs w:val="22"/>
              </w:rPr>
              <w:t> </w:t>
            </w:r>
            <w:r w:rsidRPr="000F44CA">
              <w:rPr>
                <w:sz w:val="22"/>
                <w:szCs w:val="22"/>
              </w:rPr>
              <w:t>106.1 en la lui remettant ou en la lui envoyant, </w:t>
            </w:r>
            <w:r w:rsidRPr="000F44CA">
              <w:rPr>
                <w:sz w:val="22"/>
                <w:szCs w:val="22"/>
                <w:u w:val="single"/>
              </w:rPr>
              <w:t>notamment par courrier recommandé ou certifié,</w:t>
            </w:r>
            <w:r w:rsidRPr="000F44CA">
              <w:rPr>
                <w:sz w:val="22"/>
                <w:szCs w:val="22"/>
              </w:rPr>
              <w:t> à sa dernière adresse figurant dans les dossiers de la Société.</w:t>
            </w:r>
          </w:p>
          <w:p w14:paraId="4F8975E6" w14:textId="77777777" w:rsidR="008C14A0" w:rsidRPr="000F44CA" w:rsidRDefault="008C14A0" w:rsidP="008C14A0">
            <w:pPr>
              <w:spacing w:before="120" w:after="160" w:line="240" w:lineRule="auto"/>
              <w:rPr>
                <w:sz w:val="22"/>
                <w:szCs w:val="22"/>
              </w:rPr>
            </w:pPr>
          </w:p>
          <w:p w14:paraId="677CCAE6" w14:textId="77777777" w:rsidR="008C14A0" w:rsidRPr="000F44CA" w:rsidRDefault="008C14A0" w:rsidP="003350B1">
            <w:pPr>
              <w:spacing w:after="120" w:line="240" w:lineRule="auto"/>
              <w:rPr>
                <w:sz w:val="20"/>
              </w:rPr>
            </w:pPr>
            <w:r w:rsidRPr="000F44CA">
              <w:rPr>
                <w:sz w:val="20"/>
              </w:rPr>
              <w:t>1993, c.</w:t>
            </w:r>
            <w:r>
              <w:rPr>
                <w:sz w:val="20"/>
              </w:rPr>
              <w:t> </w:t>
            </w:r>
            <w:r w:rsidRPr="000F44CA">
              <w:rPr>
                <w:sz w:val="20"/>
              </w:rPr>
              <w:t>42, a. 28.</w:t>
            </w:r>
          </w:p>
          <w:p w14:paraId="3980CB4C" w14:textId="77777777" w:rsidR="008C14A0" w:rsidRPr="000F44CA" w:rsidRDefault="008C14A0" w:rsidP="008C14A0">
            <w:pPr>
              <w:spacing w:after="160" w:line="240" w:lineRule="auto"/>
              <w:rPr>
                <w:sz w:val="22"/>
                <w:szCs w:val="22"/>
              </w:rPr>
            </w:pPr>
            <w:r w:rsidRPr="000F44CA">
              <w:rPr>
                <w:sz w:val="20"/>
              </w:rPr>
              <w:t>(les soulignés sont ajoutés.)</w:t>
            </w:r>
          </w:p>
        </w:tc>
        <w:tc>
          <w:tcPr>
            <w:tcW w:w="3738" w:type="dxa"/>
            <w:tcBorders>
              <w:top w:val="nil"/>
              <w:left w:val="nil"/>
              <w:bottom w:val="single" w:sz="8" w:space="0" w:color="auto"/>
              <w:right w:val="single" w:sz="8" w:space="0" w:color="auto"/>
            </w:tcBorders>
            <w:tcMar>
              <w:top w:w="0" w:type="dxa"/>
              <w:left w:w="70" w:type="dxa"/>
              <w:bottom w:w="0" w:type="dxa"/>
              <w:right w:w="70" w:type="dxa"/>
            </w:tcMar>
            <w:hideMark/>
          </w:tcPr>
          <w:p w14:paraId="1D03F21C" w14:textId="77777777" w:rsidR="008C14A0" w:rsidRPr="000F44CA" w:rsidRDefault="008C14A0" w:rsidP="008C14A0">
            <w:pPr>
              <w:spacing w:after="160" w:line="240" w:lineRule="auto"/>
              <w:ind w:right="-144"/>
              <w:rPr>
                <w:sz w:val="22"/>
                <w:szCs w:val="22"/>
              </w:rPr>
            </w:pPr>
            <w:r w:rsidRPr="000F44CA">
              <w:rPr>
                <w:sz w:val="22"/>
                <w:szCs w:val="22"/>
              </w:rPr>
              <w:t>«</w:t>
            </w:r>
            <w:r>
              <w:rPr>
                <w:sz w:val="22"/>
                <w:szCs w:val="22"/>
              </w:rPr>
              <w:t> </w:t>
            </w:r>
            <w:r w:rsidRPr="000F44CA">
              <w:rPr>
                <w:sz w:val="22"/>
                <w:szCs w:val="22"/>
              </w:rPr>
              <w:t>Art.</w:t>
            </w:r>
            <w:r>
              <w:rPr>
                <w:sz w:val="22"/>
                <w:szCs w:val="22"/>
              </w:rPr>
              <w:t> </w:t>
            </w:r>
            <w:r w:rsidRPr="000F44CA">
              <w:rPr>
                <w:sz w:val="22"/>
                <w:szCs w:val="22"/>
              </w:rPr>
              <w:t>550.1.</w:t>
            </w:r>
            <w:r>
              <w:rPr>
                <w:sz w:val="22"/>
                <w:szCs w:val="22"/>
              </w:rPr>
              <w:t> </w:t>
            </w:r>
            <w:r w:rsidRPr="000F44CA">
              <w:rPr>
                <w:sz w:val="22"/>
                <w:szCs w:val="22"/>
              </w:rPr>
              <w:t>»  La Société transmet à la personne concernée la décision portant sur une sanction visée à l</w:t>
            </w:r>
            <w:r>
              <w:rPr>
                <w:sz w:val="22"/>
                <w:szCs w:val="22"/>
              </w:rPr>
              <w:t>’</w:t>
            </w:r>
            <w:r w:rsidRPr="000F44CA">
              <w:rPr>
                <w:sz w:val="22"/>
                <w:szCs w:val="22"/>
              </w:rPr>
              <w:t>article</w:t>
            </w:r>
            <w:r>
              <w:rPr>
                <w:sz w:val="22"/>
                <w:szCs w:val="22"/>
              </w:rPr>
              <w:t> </w:t>
            </w:r>
            <w:r w:rsidRPr="000F44CA">
              <w:rPr>
                <w:sz w:val="22"/>
                <w:szCs w:val="22"/>
              </w:rPr>
              <w:t>106.1 en la lui remettant ou en la lui envoyant </w:t>
            </w:r>
            <w:r w:rsidRPr="000F44CA">
              <w:rPr>
                <w:sz w:val="22"/>
                <w:szCs w:val="22"/>
                <w:u w:val="single"/>
              </w:rPr>
              <w:t>par tout mode de transmission permettant de s</w:t>
            </w:r>
            <w:r>
              <w:rPr>
                <w:sz w:val="22"/>
                <w:szCs w:val="22"/>
                <w:u w:val="single"/>
              </w:rPr>
              <w:t>’</w:t>
            </w:r>
            <w:r w:rsidRPr="000F44CA">
              <w:rPr>
                <w:sz w:val="22"/>
                <w:szCs w:val="22"/>
                <w:u w:val="single"/>
              </w:rPr>
              <w:t>assurer de sa réception </w:t>
            </w:r>
            <w:r w:rsidRPr="000F44CA">
              <w:rPr>
                <w:sz w:val="22"/>
                <w:szCs w:val="22"/>
              </w:rPr>
              <w:t>à sa dernière adresse figurant dans les dossiers de la Société.</w:t>
            </w:r>
          </w:p>
          <w:p w14:paraId="3B6BEB4C" w14:textId="77777777" w:rsidR="008C14A0" w:rsidRPr="000F44CA" w:rsidRDefault="008C14A0" w:rsidP="003350B1">
            <w:pPr>
              <w:spacing w:before="120" w:after="120" w:line="240" w:lineRule="auto"/>
              <w:ind w:right="-142"/>
              <w:rPr>
                <w:sz w:val="20"/>
              </w:rPr>
            </w:pPr>
            <w:r w:rsidRPr="000F44CA">
              <w:rPr>
                <w:sz w:val="20"/>
              </w:rPr>
              <w:t>1993, c.</w:t>
            </w:r>
            <w:r>
              <w:rPr>
                <w:sz w:val="20"/>
              </w:rPr>
              <w:t> </w:t>
            </w:r>
            <w:r w:rsidRPr="000F44CA">
              <w:rPr>
                <w:sz w:val="20"/>
              </w:rPr>
              <w:t>42, a. 28; </w:t>
            </w:r>
            <w:r w:rsidRPr="005E51B8">
              <w:rPr>
                <w:sz w:val="20"/>
              </w:rPr>
              <w:t>2002, c. 29, a. 65</w:t>
            </w:r>
            <w:r w:rsidRPr="000F44CA">
              <w:rPr>
                <w:sz w:val="20"/>
              </w:rPr>
              <w:t>.</w:t>
            </w:r>
          </w:p>
          <w:p w14:paraId="362E9542" w14:textId="77777777" w:rsidR="008C14A0" w:rsidRPr="000F44CA" w:rsidRDefault="008C14A0" w:rsidP="008C14A0">
            <w:pPr>
              <w:spacing w:after="160" w:line="240" w:lineRule="auto"/>
              <w:ind w:right="-144"/>
              <w:rPr>
                <w:sz w:val="22"/>
                <w:szCs w:val="22"/>
              </w:rPr>
            </w:pPr>
            <w:r w:rsidRPr="000F44CA">
              <w:rPr>
                <w:sz w:val="20"/>
              </w:rPr>
              <w:t>(les soulignés sont ajoutés.)</w:t>
            </w:r>
          </w:p>
        </w:tc>
      </w:tr>
    </w:tbl>
    <w:p w14:paraId="685394A9" w14:textId="77777777" w:rsidR="008C14A0" w:rsidRDefault="008C14A0" w:rsidP="003350B1">
      <w:pPr>
        <w:pStyle w:val="Paragraphe"/>
        <w:spacing w:before="240" w:line="240" w:lineRule="auto"/>
      </w:pPr>
      <w:r>
        <w:t xml:space="preserve">Se fondant sur cette analyse, le juge conclut que la modification visait à rendre l’art. 550.1 </w:t>
      </w:r>
      <w:r w:rsidRPr="000F44CA">
        <w:rPr>
          <w:i/>
          <w:iCs/>
        </w:rPr>
        <w:t>C.s.r.</w:t>
      </w:r>
      <w:r>
        <w:t xml:space="preserve"> conforme à l’art. 5 de la </w:t>
      </w:r>
      <w:r w:rsidRPr="007A1E3B">
        <w:rPr>
          <w:i/>
          <w:iCs/>
        </w:rPr>
        <w:t>Loi sur la justice administrative</w:t>
      </w:r>
      <w:r>
        <w:t>, qui se lit comme suit :</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969"/>
      </w:tblGrid>
      <w:tr w:rsidR="008C14A0" w:rsidRPr="007B76A8" w14:paraId="6F793570" w14:textId="77777777" w:rsidTr="00265DBC">
        <w:tc>
          <w:tcPr>
            <w:tcW w:w="3827" w:type="dxa"/>
          </w:tcPr>
          <w:p w14:paraId="30E38A2A" w14:textId="77777777" w:rsidR="008C14A0" w:rsidRPr="00EA244B" w:rsidRDefault="008C14A0" w:rsidP="008C14A0">
            <w:pPr>
              <w:spacing w:after="120" w:line="240" w:lineRule="auto"/>
              <w:jc w:val="both"/>
              <w:rPr>
                <w:sz w:val="22"/>
                <w:szCs w:val="22"/>
              </w:rPr>
            </w:pPr>
            <w:r w:rsidRPr="00EA244B">
              <w:rPr>
                <w:b/>
                <w:bCs/>
                <w:sz w:val="22"/>
                <w:szCs w:val="22"/>
              </w:rPr>
              <w:t>5.</w:t>
            </w:r>
            <w:r w:rsidRPr="00EA244B">
              <w:rPr>
                <w:sz w:val="22"/>
                <w:szCs w:val="22"/>
              </w:rPr>
              <w:t> L’autorité administrative ne peut prendre une ordonnance de faire ou de ne pas faire ou une décision défavorable portant sur un permis ou une autre autorisation de même nature, sans au préalable</w:t>
            </w:r>
            <w:r>
              <w:rPr>
                <w:sz w:val="22"/>
                <w:szCs w:val="22"/>
              </w:rPr>
              <w:t> </w:t>
            </w:r>
            <w:r w:rsidRPr="00EA244B">
              <w:rPr>
                <w:sz w:val="22"/>
                <w:szCs w:val="22"/>
              </w:rPr>
              <w:t>:</w:t>
            </w:r>
          </w:p>
          <w:p w14:paraId="24382874" w14:textId="77777777" w:rsidR="008C14A0" w:rsidRPr="00EA244B" w:rsidRDefault="008C14A0" w:rsidP="008C14A0">
            <w:pPr>
              <w:spacing w:after="120" w:line="240" w:lineRule="auto"/>
              <w:jc w:val="both"/>
              <w:rPr>
                <w:sz w:val="22"/>
                <w:szCs w:val="22"/>
              </w:rPr>
            </w:pPr>
            <w:r w:rsidRPr="00EA244B">
              <w:rPr>
                <w:sz w:val="22"/>
                <w:szCs w:val="22"/>
              </w:rPr>
              <w:t>1°</w:t>
            </w:r>
            <w:r>
              <w:rPr>
                <w:sz w:val="22"/>
                <w:szCs w:val="22"/>
              </w:rPr>
              <w:t xml:space="preserve"> </w:t>
            </w:r>
            <w:r w:rsidRPr="00EA244B">
              <w:rPr>
                <w:sz w:val="22"/>
                <w:szCs w:val="22"/>
              </w:rPr>
              <w:t>avoir informé l’administré de son intention ainsi que des motifs sur lesquels celle-ci est fondée;</w:t>
            </w:r>
          </w:p>
          <w:p w14:paraId="1974B0A7" w14:textId="77777777" w:rsidR="008C14A0" w:rsidRPr="00EA244B" w:rsidRDefault="008C14A0" w:rsidP="008C14A0">
            <w:pPr>
              <w:spacing w:after="120" w:line="240" w:lineRule="auto"/>
              <w:jc w:val="both"/>
              <w:rPr>
                <w:sz w:val="22"/>
                <w:szCs w:val="22"/>
              </w:rPr>
            </w:pPr>
            <w:r w:rsidRPr="00EA244B">
              <w:rPr>
                <w:sz w:val="22"/>
                <w:szCs w:val="22"/>
              </w:rPr>
              <w:t>2°</w:t>
            </w:r>
            <w:r>
              <w:rPr>
                <w:sz w:val="22"/>
                <w:szCs w:val="22"/>
              </w:rPr>
              <w:t xml:space="preserve"> </w:t>
            </w:r>
            <w:r w:rsidRPr="00EA244B">
              <w:rPr>
                <w:sz w:val="22"/>
                <w:szCs w:val="22"/>
              </w:rPr>
              <w:t>avoir informé celui-ci, le cas échéant, de la teneur des plaintes et oppositions qui le concernent;</w:t>
            </w:r>
          </w:p>
          <w:p w14:paraId="2CA9A739" w14:textId="77777777" w:rsidR="008C14A0" w:rsidRDefault="008C14A0" w:rsidP="008C14A0">
            <w:pPr>
              <w:spacing w:after="120" w:line="240" w:lineRule="auto"/>
              <w:jc w:val="both"/>
              <w:rPr>
                <w:sz w:val="22"/>
                <w:szCs w:val="22"/>
              </w:rPr>
            </w:pPr>
            <w:r w:rsidRPr="00EA244B">
              <w:rPr>
                <w:sz w:val="22"/>
                <w:szCs w:val="22"/>
              </w:rPr>
              <w:t>3°</w:t>
            </w:r>
            <w:r>
              <w:rPr>
                <w:sz w:val="22"/>
                <w:szCs w:val="22"/>
              </w:rPr>
              <w:t xml:space="preserve"> </w:t>
            </w:r>
            <w:r w:rsidRPr="00EA244B">
              <w:rPr>
                <w:sz w:val="22"/>
                <w:szCs w:val="22"/>
              </w:rPr>
              <w:t>lui avoir donné l’occasion de présenter ses observations et, s’il y a lieu, de produire des documents pour compléter son dossier.</w:t>
            </w:r>
          </w:p>
          <w:p w14:paraId="24DA099F" w14:textId="77777777" w:rsidR="003350B1" w:rsidRPr="00EA244B" w:rsidRDefault="003350B1" w:rsidP="008C14A0">
            <w:pPr>
              <w:spacing w:after="120" w:line="240" w:lineRule="auto"/>
              <w:jc w:val="both"/>
              <w:rPr>
                <w:sz w:val="22"/>
                <w:szCs w:val="22"/>
              </w:rPr>
            </w:pPr>
          </w:p>
          <w:p w14:paraId="03810429" w14:textId="77777777" w:rsidR="008C14A0" w:rsidRPr="007A6B2A" w:rsidRDefault="008C14A0" w:rsidP="008C14A0">
            <w:pPr>
              <w:spacing w:after="120" w:line="240" w:lineRule="auto"/>
              <w:jc w:val="both"/>
              <w:rPr>
                <w:sz w:val="22"/>
                <w:szCs w:val="22"/>
              </w:rPr>
            </w:pPr>
            <w:r w:rsidRPr="00EA244B">
              <w:rPr>
                <w:sz w:val="22"/>
                <w:szCs w:val="22"/>
              </w:rPr>
              <w:lastRenderedPageBreak/>
              <w:t>Il est fait exception à ces obligations préalables lorsque l’ordonnance ou la décision est prise dans un contexte d’urgence ou en vue d’éviter qu’un préjudice irréparable ne soit causé aux personnes, à leurs biens ou à l’environnement et que, de plus, la loi autorise l’autorité à réexaminer la situation ou à réviser la décision.</w:t>
            </w:r>
          </w:p>
        </w:tc>
        <w:tc>
          <w:tcPr>
            <w:tcW w:w="3969" w:type="dxa"/>
          </w:tcPr>
          <w:p w14:paraId="07895331" w14:textId="77777777" w:rsidR="008C14A0" w:rsidRDefault="008C14A0" w:rsidP="008C14A0">
            <w:pPr>
              <w:spacing w:after="120" w:line="240" w:lineRule="auto"/>
              <w:jc w:val="both"/>
              <w:rPr>
                <w:sz w:val="22"/>
                <w:szCs w:val="22"/>
                <w:lang w:val="en-CA"/>
              </w:rPr>
            </w:pPr>
            <w:r w:rsidRPr="00EA244B">
              <w:rPr>
                <w:b/>
                <w:bCs/>
                <w:sz w:val="22"/>
                <w:szCs w:val="22"/>
                <w:lang w:val="en-CA"/>
              </w:rPr>
              <w:lastRenderedPageBreak/>
              <w:t>5.</w:t>
            </w:r>
            <w:r w:rsidRPr="00EA244B">
              <w:rPr>
                <w:sz w:val="22"/>
                <w:szCs w:val="22"/>
                <w:lang w:val="en-CA"/>
              </w:rPr>
              <w:t> An administrative authority may not issue an order to do or not do something or make an unfavourable decision concerning a permit or licence or other authorization of like nature without first having</w:t>
            </w:r>
          </w:p>
          <w:p w14:paraId="3A493E6A" w14:textId="77777777" w:rsidR="008C14A0" w:rsidRPr="00EA244B" w:rsidRDefault="008C14A0" w:rsidP="008C14A0">
            <w:pPr>
              <w:spacing w:after="120" w:line="240" w:lineRule="auto"/>
              <w:jc w:val="both"/>
              <w:rPr>
                <w:sz w:val="22"/>
                <w:szCs w:val="22"/>
                <w:lang w:val="en-CA"/>
              </w:rPr>
            </w:pPr>
            <w:r w:rsidRPr="00EA244B">
              <w:rPr>
                <w:sz w:val="22"/>
                <w:szCs w:val="22"/>
                <w:lang w:val="en-CA"/>
              </w:rPr>
              <w:t>(1)  informed the citizen of its intention and the reasons therefor;</w:t>
            </w:r>
          </w:p>
          <w:p w14:paraId="26EC4A84" w14:textId="77777777" w:rsidR="008C14A0" w:rsidRPr="00EA244B" w:rsidRDefault="008C14A0" w:rsidP="008C14A0">
            <w:pPr>
              <w:spacing w:before="240" w:after="120" w:line="240" w:lineRule="auto"/>
              <w:jc w:val="both"/>
              <w:rPr>
                <w:sz w:val="22"/>
                <w:szCs w:val="22"/>
                <w:lang w:val="en-CA"/>
              </w:rPr>
            </w:pPr>
            <w:r w:rsidRPr="00EA244B">
              <w:rPr>
                <w:sz w:val="22"/>
                <w:szCs w:val="22"/>
                <w:lang w:val="en-CA"/>
              </w:rPr>
              <w:t>(2)  informed the citizen of the substance of any complaints or objections that concern him;</w:t>
            </w:r>
          </w:p>
          <w:p w14:paraId="51F373E8" w14:textId="77777777" w:rsidR="008C14A0" w:rsidRDefault="008C14A0" w:rsidP="008C14A0">
            <w:pPr>
              <w:spacing w:after="120" w:line="240" w:lineRule="auto"/>
              <w:jc w:val="both"/>
              <w:rPr>
                <w:sz w:val="22"/>
                <w:szCs w:val="22"/>
                <w:lang w:val="en-CA"/>
              </w:rPr>
            </w:pPr>
            <w:r w:rsidRPr="00EA244B">
              <w:rPr>
                <w:sz w:val="22"/>
                <w:szCs w:val="22"/>
                <w:lang w:val="en-CA"/>
              </w:rPr>
              <w:t>(3)  given the citizen the opportunity to present observations and, where necessary, to produce documents to complete his file.</w:t>
            </w:r>
          </w:p>
          <w:p w14:paraId="04491A2B" w14:textId="77777777" w:rsidR="003350B1" w:rsidRPr="00EA244B" w:rsidRDefault="003350B1" w:rsidP="008C14A0">
            <w:pPr>
              <w:spacing w:after="120" w:line="240" w:lineRule="auto"/>
              <w:jc w:val="both"/>
              <w:rPr>
                <w:sz w:val="22"/>
                <w:szCs w:val="22"/>
                <w:lang w:val="en-CA"/>
              </w:rPr>
            </w:pPr>
          </w:p>
          <w:p w14:paraId="03B26FD7" w14:textId="77777777" w:rsidR="008C14A0" w:rsidRDefault="008C14A0" w:rsidP="008C14A0">
            <w:pPr>
              <w:spacing w:after="120" w:line="240" w:lineRule="auto"/>
              <w:jc w:val="both"/>
              <w:rPr>
                <w:sz w:val="22"/>
                <w:szCs w:val="22"/>
                <w:lang w:val="en-CA"/>
              </w:rPr>
            </w:pPr>
            <w:r w:rsidRPr="00EA244B">
              <w:rPr>
                <w:sz w:val="22"/>
                <w:szCs w:val="22"/>
                <w:lang w:val="en-CA"/>
              </w:rPr>
              <w:lastRenderedPageBreak/>
              <w:t>An exception shall be made to such prior obligations if the order or the decision is issued or made in urgent circumstances or to prevent irreparable harm to persons, their property or the environment and the authority is authorized by law to reexamine the situation or review the decision.</w:t>
            </w:r>
          </w:p>
        </w:tc>
      </w:tr>
    </w:tbl>
    <w:p w14:paraId="1803FB95" w14:textId="77777777" w:rsidR="008C14A0" w:rsidRDefault="008C14A0" w:rsidP="008C14A0">
      <w:pPr>
        <w:pStyle w:val="Paragraphe"/>
        <w:spacing w:line="240" w:lineRule="auto"/>
      </w:pPr>
      <w:r>
        <w:lastRenderedPageBreak/>
        <w:t xml:space="preserve">Le juge estime que si le législateur avait simplement voulu ajouter </w:t>
      </w:r>
      <w:r w:rsidRPr="00315155">
        <w:t xml:space="preserve">d’autres modes de transmission, il l’aurait fait de façon </w:t>
      </w:r>
      <w:r>
        <w:t>expresse</w:t>
      </w:r>
      <w:r w:rsidRPr="00315155">
        <w:t>. Il conclut que l</w:t>
      </w:r>
      <w:r>
        <w:t>’actuel</w:t>
      </w:r>
      <w:r w:rsidRPr="00315155">
        <w:t xml:space="preserve"> libellé de l’art. 550.1 </w:t>
      </w:r>
      <w:r w:rsidRPr="00315155">
        <w:rPr>
          <w:i/>
          <w:iCs/>
        </w:rPr>
        <w:t>C.s.r.</w:t>
      </w:r>
      <w:r w:rsidRPr="00315155">
        <w:t xml:space="preserve"> reflète plutôt l’intention d’exiger que l’avis soit reçu peu importe le mode de transmission utilisé. Selon le juge, le fait que l’intimée ait fait preuve de négligence</w:t>
      </w:r>
      <w:r>
        <w:t xml:space="preserve"> en omettant d’aviser la SAAQ de son changement d’adresse ne devrait pas la priver du bénéfice des règles de justice naturelle. Comme la SAAQ n’avait pas respecté les obligations qui lui incombaient en vertu de l’art. 550.1 </w:t>
      </w:r>
      <w:r w:rsidRPr="000F44CA">
        <w:rPr>
          <w:i/>
          <w:iCs/>
        </w:rPr>
        <w:t>C.s.r</w:t>
      </w:r>
      <w:r>
        <w:t>., telles que les conçoit le juge, l’intimée n’a jamais été informée de l’avis de sanction et a donc droit à la mainlevée de la saisie.</w:t>
      </w:r>
    </w:p>
    <w:p w14:paraId="6BD73A33" w14:textId="7FD42964" w:rsidR="008C14A0" w:rsidRPr="00315155" w:rsidRDefault="008C14A0" w:rsidP="008C14A0">
      <w:pPr>
        <w:pStyle w:val="Paragraphe"/>
        <w:spacing w:line="240" w:lineRule="auto"/>
      </w:pPr>
      <w:r w:rsidRPr="00CD42BD">
        <w:t xml:space="preserve">Le juge reconnaît </w:t>
      </w:r>
      <w:r>
        <w:t xml:space="preserve">que dans l’affaire </w:t>
      </w:r>
      <w:r w:rsidRPr="000F44CA">
        <w:rPr>
          <w:i/>
          <w:iCs/>
        </w:rPr>
        <w:t>April c. Montréal-Nord (Ville)</w:t>
      </w:r>
      <w:r w:rsidR="003350B1" w:rsidRPr="00EF78E4">
        <w:rPr>
          <w:rStyle w:val="Appelnotedebasdep"/>
        </w:rPr>
        <w:footnoteReference w:id="9"/>
      </w:r>
      <w:r>
        <w:t xml:space="preserve">, la Cour </w:t>
      </w:r>
      <w:r w:rsidRPr="00CD42BD">
        <w:t xml:space="preserve">a analysé </w:t>
      </w:r>
      <w:r>
        <w:t xml:space="preserve">une version antérieure </w:t>
      </w:r>
      <w:r w:rsidRPr="00CD42BD">
        <w:t>de l</w:t>
      </w:r>
      <w:r>
        <w:t>’</w:t>
      </w:r>
      <w:r w:rsidRPr="00CD42BD">
        <w:t>article</w:t>
      </w:r>
      <w:r>
        <w:t> </w:t>
      </w:r>
      <w:r w:rsidRPr="00CD42BD">
        <w:t xml:space="preserve">550.1 </w:t>
      </w:r>
      <w:r w:rsidRPr="000F44CA">
        <w:rPr>
          <w:i/>
          <w:iCs/>
        </w:rPr>
        <w:t>C.s.r</w:t>
      </w:r>
      <w:r>
        <w:t>.</w:t>
      </w:r>
      <w:r w:rsidRPr="00CD42BD">
        <w:t xml:space="preserve"> et a rejeté une interprétation </w:t>
      </w:r>
      <w:r>
        <w:t xml:space="preserve">voulant que la </w:t>
      </w:r>
      <w:r w:rsidRPr="00315155">
        <w:t xml:space="preserve">SAAQ soit tenue de s’assurer qu’un avis de sanction </w:t>
      </w:r>
      <w:r>
        <w:t>a bien</w:t>
      </w:r>
      <w:r w:rsidRPr="00315155">
        <w:t xml:space="preserve"> été reçu par la personne concernée. La Cour a adopté le même raisonnement dans deux arrêts subséquents fondés sur la même version de cet article</w:t>
      </w:r>
      <w:r w:rsidRPr="00EF78E4">
        <w:rPr>
          <w:rStyle w:val="Appelnotedebasdep"/>
        </w:rPr>
        <w:footnoteReference w:id="10"/>
      </w:r>
      <w:r w:rsidRPr="00315155">
        <w:t xml:space="preserve">. </w:t>
      </w:r>
    </w:p>
    <w:p w14:paraId="3AE0A3C6" w14:textId="0543B808" w:rsidR="008C14A0" w:rsidRDefault="008C14A0" w:rsidP="008C14A0">
      <w:pPr>
        <w:pStyle w:val="Paragraphe"/>
        <w:spacing w:line="240" w:lineRule="auto"/>
      </w:pPr>
      <w:r w:rsidRPr="00315155">
        <w:t xml:space="preserve">Dans </w:t>
      </w:r>
      <w:r w:rsidR="00FE3582">
        <w:t>l’arrêt</w:t>
      </w:r>
      <w:r w:rsidR="003350B1">
        <w:t xml:space="preserve"> </w:t>
      </w:r>
      <w:r w:rsidRPr="00315155">
        <w:rPr>
          <w:i/>
          <w:iCs/>
        </w:rPr>
        <w:t>April</w:t>
      </w:r>
      <w:r w:rsidRPr="00315155">
        <w:t>, la Cour, sous la plume de la juge Tourigny, explique que la SAAQ ne peut être tenue d’enquêter sur les raisons pour lesquelles</w:t>
      </w:r>
      <w:r w:rsidRPr="00CD42BD">
        <w:t xml:space="preserve"> un avis correctement adressé est retourné sans avoir été réclamé.</w:t>
      </w:r>
    </w:p>
    <w:p w14:paraId="56F7B679" w14:textId="42FCE9F5" w:rsidR="008C14A0" w:rsidRDefault="008C14A0" w:rsidP="008C14A0">
      <w:pPr>
        <w:pStyle w:val="Citationenretrait"/>
        <w:spacing w:line="240" w:lineRule="auto"/>
      </w:pPr>
      <w:r w:rsidRPr="002E6128">
        <w:t>On ne peut exiger de la S.A.A.Q. qu</w:t>
      </w:r>
      <w:r>
        <w:t>’</w:t>
      </w:r>
      <w:r w:rsidRPr="002E6128">
        <w:t>elle fasse enquête pour savoir comment il se fait qu</w:t>
      </w:r>
      <w:r>
        <w:t>’</w:t>
      </w:r>
      <w:r w:rsidRPr="002E6128">
        <w:t>un avis, pourtant correctement adressé, lui est revenu non réclamé ou pire encore, qu</w:t>
      </w:r>
      <w:r>
        <w:t>’</w:t>
      </w:r>
      <w:r w:rsidRPr="002E6128">
        <w:t>elle s</w:t>
      </w:r>
      <w:r>
        <w:t>’</w:t>
      </w:r>
      <w:r w:rsidRPr="002E6128">
        <w:t>assure que l</w:t>
      </w:r>
      <w:r>
        <w:t>’</w:t>
      </w:r>
      <w:r w:rsidRPr="002E6128">
        <w:t>avis reçu à la bonne adresse a bel et bien été remis à son véritable destinataire</w:t>
      </w:r>
      <w:r w:rsidR="00FE3582">
        <w:rPr>
          <w:rStyle w:val="Appelnotedebasdep"/>
        </w:rPr>
        <w:footnoteReference w:id="11"/>
      </w:r>
      <w:r w:rsidRPr="002E6128">
        <w:t>.</w:t>
      </w:r>
    </w:p>
    <w:p w14:paraId="78202E19" w14:textId="77777777" w:rsidR="008C14A0" w:rsidRDefault="008C14A0" w:rsidP="00FE3582">
      <w:pPr>
        <w:pStyle w:val="Paragraphe"/>
        <w:spacing w:before="240" w:line="240" w:lineRule="auto"/>
      </w:pPr>
      <w:r>
        <w:t>La SAAQ soutient que</w:t>
      </w:r>
      <w:r w:rsidRPr="007A1E3B">
        <w:t xml:space="preserve"> le juge a erré en concluant que le raisonnement </w:t>
      </w:r>
      <w:r>
        <w:t>adopté dans ces arrêts</w:t>
      </w:r>
      <w:r w:rsidRPr="007A1E3B">
        <w:t xml:space="preserve"> ne s</w:t>
      </w:r>
      <w:r>
        <w:t>’</w:t>
      </w:r>
      <w:r w:rsidRPr="007A1E3B">
        <w:t>appliqu</w:t>
      </w:r>
      <w:r>
        <w:t>e</w:t>
      </w:r>
      <w:r w:rsidRPr="007A1E3B">
        <w:t xml:space="preserve"> plus à la lumière des modifications adoptées en 2002.</w:t>
      </w:r>
      <w:r>
        <w:t xml:space="preserve"> La Cour est du même avis.</w:t>
      </w:r>
    </w:p>
    <w:p w14:paraId="3140B5BD" w14:textId="77777777" w:rsidR="00FE3582" w:rsidRDefault="00FE3582" w:rsidP="00FE3582"/>
    <w:p w14:paraId="059575BD" w14:textId="77777777" w:rsidR="008C14A0" w:rsidRDefault="008C14A0" w:rsidP="008C14A0">
      <w:pPr>
        <w:pStyle w:val="Paragraphe"/>
        <w:spacing w:line="240" w:lineRule="auto"/>
      </w:pPr>
      <w:r>
        <w:lastRenderedPageBreak/>
        <w:t xml:space="preserve">Avec égards pour son analyse détaillée, la Cour estime que la modification de l’art. 550.1 </w:t>
      </w:r>
      <w:r w:rsidRPr="000F44CA">
        <w:rPr>
          <w:i/>
          <w:iCs/>
        </w:rPr>
        <w:t>C.s.r.</w:t>
      </w:r>
      <w:r>
        <w:t xml:space="preserve"> ne porte que sur le mode de transmission. Comme le montre le tableau reproduit au paragraphe 13, le texte ajouté en 2002 ne fait qu’élargir les moyens de transmission mis à la disposition de la SAAQ. L’essence de la disposition – à savoir le devoir de la SAAQ de transmettre un avis de sanction à la personne concernée à sa dernière adresse connue – est demeurée intacte.</w:t>
      </w:r>
    </w:p>
    <w:p w14:paraId="51D2827D" w14:textId="10826099" w:rsidR="008C14A0" w:rsidRDefault="008C14A0" w:rsidP="00216F29">
      <w:pPr>
        <w:pStyle w:val="Paragraphe"/>
        <w:spacing w:after="240" w:line="240" w:lineRule="auto"/>
      </w:pPr>
      <w:r>
        <w:t xml:space="preserve">À ce sujet, la préoccupation exprimée par la juge Tourigny dans l’arrêt </w:t>
      </w:r>
      <w:r w:rsidRPr="00104CA2">
        <w:rPr>
          <w:i/>
          <w:iCs/>
        </w:rPr>
        <w:t xml:space="preserve">April </w:t>
      </w:r>
      <w:r>
        <w:t xml:space="preserve">demeure d’actualité. L’interprétation du premier juge imposerait un fardeau administratif considérable à la SAAQ en l’obligeant à enquêter sur le lieu où se trouve toute personne à qui un avis de sanction a été envoyé, mais qui ne l’a pas reçu. La Cour estime que ce n’était pas l’intention du législateur lorsqu’il a modifié l’article 550.1 </w:t>
      </w:r>
      <w:r w:rsidRPr="000F44CA">
        <w:rPr>
          <w:i/>
          <w:iCs/>
        </w:rPr>
        <w:t>C.s.r</w:t>
      </w:r>
      <w:r>
        <w:t>. en 2002. Dans le même ordre d’idées, l’interprétation du premier juge est incompatible avec l’art. 553</w:t>
      </w:r>
      <w:r w:rsidR="00FE3582">
        <w:t> </w:t>
      </w:r>
      <w:r w:rsidRPr="000F44CA">
        <w:rPr>
          <w:i/>
          <w:iCs/>
        </w:rPr>
        <w:t>C.s.r</w:t>
      </w:r>
      <w:r>
        <w:t>., reproduit ci-</w:t>
      </w:r>
      <w:r w:rsidRPr="00315155">
        <w:t>dessous :</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969"/>
      </w:tblGrid>
      <w:tr w:rsidR="008C14A0" w:rsidRPr="007B76A8" w14:paraId="542067AA" w14:textId="77777777" w:rsidTr="00265DBC">
        <w:tc>
          <w:tcPr>
            <w:tcW w:w="3827" w:type="dxa"/>
          </w:tcPr>
          <w:p w14:paraId="4EF4D922" w14:textId="091E779E" w:rsidR="008C14A0" w:rsidRPr="000F44CA" w:rsidRDefault="00F9095C" w:rsidP="008C14A0">
            <w:pPr>
              <w:spacing w:after="120" w:line="240" w:lineRule="auto"/>
              <w:jc w:val="both"/>
              <w:rPr>
                <w:sz w:val="22"/>
                <w:szCs w:val="22"/>
              </w:rPr>
            </w:pPr>
            <w:hyperlink r:id="rId8" w:anchor="se:553" w:history="1">
              <w:r>
                <w:rPr>
                  <w:b/>
                  <w:bCs/>
                </w:rPr>
                <w:t>553.</w:t>
              </w:r>
            </w:hyperlink>
            <w:r w:rsidR="008C14A0" w:rsidRPr="000F44CA">
              <w:rPr>
                <w:sz w:val="22"/>
                <w:szCs w:val="22"/>
              </w:rPr>
              <w:t xml:space="preserve"> Avant de prendre une décision écrite pour laquelle elle est tenue de respecter les obligations prescrites </w:t>
            </w:r>
            <w:r w:rsidR="008C14A0" w:rsidRPr="00C51985">
              <w:rPr>
                <w:sz w:val="22"/>
                <w:szCs w:val="22"/>
              </w:rPr>
              <w:t>par l’</w:t>
            </w:r>
            <w:hyperlink r:id="rId9" w:anchor="art5_smooth" w:history="1">
              <w:r>
                <w:rPr>
                  <w:sz w:val="22"/>
                  <w:szCs w:val="22"/>
                </w:rPr>
                <w:t>article 5</w:t>
              </w:r>
            </w:hyperlink>
            <w:r w:rsidR="008C14A0" w:rsidRPr="00C51985">
              <w:rPr>
                <w:sz w:val="22"/>
                <w:szCs w:val="22"/>
              </w:rPr>
              <w:t> de la </w:t>
            </w:r>
            <w:hyperlink r:id="rId10" w:history="1">
              <w:r>
                <w:rPr>
                  <w:sz w:val="22"/>
                  <w:szCs w:val="22"/>
                </w:rPr>
                <w:t>Loi sur la justice administrative (</w:t>
              </w:r>
            </w:hyperlink>
            <w:r w:rsidR="008C14A0" w:rsidRPr="00C51985">
              <w:rPr>
                <w:sz w:val="22"/>
                <w:szCs w:val="22"/>
              </w:rPr>
              <w:t>chapitre J</w:t>
            </w:r>
            <w:r w:rsidR="008C14A0" w:rsidRPr="00C51985">
              <w:rPr>
                <w:rFonts w:ascii="Cambria Math" w:hAnsi="Cambria Math" w:cs="Cambria Math"/>
                <w:sz w:val="22"/>
                <w:szCs w:val="22"/>
              </w:rPr>
              <w:t>‐</w:t>
            </w:r>
            <w:r w:rsidR="008C14A0" w:rsidRPr="00C51985">
              <w:rPr>
                <w:sz w:val="22"/>
                <w:szCs w:val="22"/>
              </w:rPr>
              <w:t>3), la Société</w:t>
            </w:r>
            <w:r w:rsidR="008C14A0" w:rsidRPr="000F44CA">
              <w:rPr>
                <w:sz w:val="22"/>
                <w:szCs w:val="22"/>
              </w:rPr>
              <w:t xml:space="preserve"> envoie à la personne concernée un avis énonçant son projet de décision et lui indiquant notamment qu’elle dispose d’un délai de 12</w:t>
            </w:r>
            <w:r w:rsidR="008C14A0">
              <w:rPr>
                <w:sz w:val="22"/>
                <w:szCs w:val="22"/>
              </w:rPr>
              <w:t> </w:t>
            </w:r>
            <w:r w:rsidR="008C14A0" w:rsidRPr="000F44CA">
              <w:rPr>
                <w:sz w:val="22"/>
                <w:szCs w:val="22"/>
              </w:rPr>
              <w:t>jours, à compter de sa mise à la poste ou de son dépôt à l’emplacement désigné par la Société, pour présenter ses observations.</w:t>
            </w:r>
          </w:p>
          <w:p w14:paraId="223ACAB7" w14:textId="77777777" w:rsidR="008C14A0" w:rsidRPr="000F44CA" w:rsidRDefault="008C14A0" w:rsidP="008C14A0">
            <w:pPr>
              <w:spacing w:after="120" w:line="240" w:lineRule="auto"/>
              <w:jc w:val="both"/>
              <w:rPr>
                <w:sz w:val="22"/>
                <w:szCs w:val="22"/>
              </w:rPr>
            </w:pPr>
            <w:r w:rsidRPr="000F44CA">
              <w:rPr>
                <w:sz w:val="22"/>
                <w:szCs w:val="22"/>
              </w:rPr>
              <w:t>Le troisième jour après l’expiration de ce délai, le projet de décision constitue la décision, laquelle prend</w:t>
            </w:r>
            <w:r w:rsidRPr="00B5061A">
              <w:rPr>
                <w:b/>
                <w:bCs/>
                <w:sz w:val="22"/>
                <w:szCs w:val="22"/>
              </w:rPr>
              <w:t xml:space="preserve"> </w:t>
            </w:r>
            <w:r w:rsidRPr="000F44CA">
              <w:rPr>
                <w:sz w:val="22"/>
                <w:szCs w:val="22"/>
              </w:rPr>
              <w:t>effet à moins que la Société n’ait changé d’intention.</w:t>
            </w:r>
          </w:p>
          <w:p w14:paraId="447F8E65" w14:textId="77777777" w:rsidR="008C14A0" w:rsidRPr="000F44CA" w:rsidRDefault="008C14A0" w:rsidP="008C14A0">
            <w:pPr>
              <w:spacing w:after="120" w:line="240" w:lineRule="auto"/>
              <w:jc w:val="both"/>
              <w:rPr>
                <w:sz w:val="22"/>
                <w:szCs w:val="22"/>
              </w:rPr>
            </w:pPr>
            <w:r w:rsidRPr="000F44CA">
              <w:rPr>
                <w:sz w:val="22"/>
                <w:szCs w:val="22"/>
              </w:rPr>
              <w:t>Le délai prévu au premier alinéa peut être abrégé lorsque la décision porte sur la suspension d’un permis ou d’une classe d’un permis à la suite d’un échec à un examen de compétence.</w:t>
            </w:r>
          </w:p>
          <w:p w14:paraId="6C869035" w14:textId="77777777" w:rsidR="008C14A0" w:rsidRPr="007A6B2A" w:rsidRDefault="008C14A0" w:rsidP="008C14A0">
            <w:pPr>
              <w:spacing w:after="120" w:line="240" w:lineRule="auto"/>
              <w:jc w:val="both"/>
              <w:rPr>
                <w:sz w:val="22"/>
                <w:szCs w:val="22"/>
              </w:rPr>
            </w:pPr>
            <w:r w:rsidRPr="000F44CA">
              <w:rPr>
                <w:sz w:val="22"/>
                <w:szCs w:val="22"/>
              </w:rPr>
              <w:t>Advenant l’arrêt du service postal, une décision expédiée par un autre mode de transmission prend effet à la date fixée par la Société.</w:t>
            </w:r>
          </w:p>
        </w:tc>
        <w:tc>
          <w:tcPr>
            <w:tcW w:w="3969" w:type="dxa"/>
          </w:tcPr>
          <w:p w14:paraId="01572117" w14:textId="44B2C495" w:rsidR="008C14A0" w:rsidRPr="000F44CA" w:rsidRDefault="00F9095C" w:rsidP="008C14A0">
            <w:pPr>
              <w:spacing w:after="120" w:line="240" w:lineRule="auto"/>
              <w:jc w:val="both"/>
              <w:rPr>
                <w:sz w:val="22"/>
                <w:szCs w:val="22"/>
                <w:lang w:val="en-CA"/>
              </w:rPr>
            </w:pPr>
            <w:hyperlink r:id="rId11" w:anchor="se:553" w:history="1">
              <w:r>
                <w:rPr>
                  <w:b/>
                  <w:bCs/>
                  <w:lang w:val="en-CA"/>
                </w:rPr>
                <w:t>553.</w:t>
              </w:r>
            </w:hyperlink>
            <w:r w:rsidR="008C14A0" w:rsidRPr="000F44CA">
              <w:rPr>
                <w:sz w:val="22"/>
                <w:szCs w:val="22"/>
                <w:lang w:val="en-CA"/>
              </w:rPr>
              <w:t> The Société shall, before making a written decision in respect of which it is required to comply with the obligations prescribed by </w:t>
            </w:r>
            <w:hyperlink r:id="rId12" w:anchor="sec5_smooth" w:history="1">
              <w:r>
                <w:rPr>
                  <w:sz w:val="22"/>
                  <w:szCs w:val="22"/>
                  <w:lang w:val="en-CA"/>
                </w:rPr>
                <w:t>section 5</w:t>
              </w:r>
            </w:hyperlink>
            <w:r w:rsidR="008C14A0" w:rsidRPr="00C51985">
              <w:rPr>
                <w:sz w:val="22"/>
                <w:szCs w:val="22"/>
                <w:lang w:val="en-CA"/>
              </w:rPr>
              <w:t> of the </w:t>
            </w:r>
            <w:hyperlink r:id="rId13" w:history="1">
              <w:r>
                <w:rPr>
                  <w:sz w:val="22"/>
                  <w:szCs w:val="22"/>
                  <w:lang w:val="en-CA"/>
                </w:rPr>
                <w:t>Act respecting administrative justice (</w:t>
              </w:r>
            </w:hyperlink>
            <w:r w:rsidR="008C14A0" w:rsidRPr="000F44CA">
              <w:rPr>
                <w:sz w:val="22"/>
                <w:szCs w:val="22"/>
                <w:lang w:val="en-CA"/>
              </w:rPr>
              <w:t>chapter J</w:t>
            </w:r>
            <w:r w:rsidR="008C14A0" w:rsidRPr="000F44CA">
              <w:rPr>
                <w:rFonts w:ascii="Cambria Math" w:hAnsi="Cambria Math" w:cs="Cambria Math"/>
                <w:sz w:val="22"/>
                <w:szCs w:val="22"/>
                <w:lang w:val="en-CA"/>
              </w:rPr>
              <w:t>‐</w:t>
            </w:r>
            <w:r w:rsidR="008C14A0" w:rsidRPr="000F44CA">
              <w:rPr>
                <w:sz w:val="22"/>
                <w:szCs w:val="22"/>
                <w:lang w:val="en-CA"/>
              </w:rPr>
              <w:t>3), send to the person concerned a notice of its proposed decision which shall mention, among other things, that the person has 12 days from the time of mailing of the notice or of its filing at the location designated by the Société within which to present observations.</w:t>
            </w:r>
          </w:p>
          <w:p w14:paraId="069D2F20" w14:textId="77777777" w:rsidR="008C14A0" w:rsidRPr="000F44CA" w:rsidRDefault="008C14A0" w:rsidP="008C14A0">
            <w:pPr>
              <w:spacing w:before="240" w:after="120" w:line="240" w:lineRule="auto"/>
              <w:jc w:val="both"/>
              <w:rPr>
                <w:sz w:val="22"/>
                <w:szCs w:val="22"/>
                <w:lang w:val="en-CA"/>
              </w:rPr>
            </w:pPr>
            <w:r w:rsidRPr="000F44CA">
              <w:rPr>
                <w:sz w:val="22"/>
                <w:szCs w:val="22"/>
                <w:lang w:val="en-CA"/>
              </w:rPr>
              <w:t>The proposed decision shall become the decision of the Société on the third day following the expiry of such time limit, and shall take effect unless the Société decides otherwise.</w:t>
            </w:r>
          </w:p>
          <w:p w14:paraId="572581D7" w14:textId="77777777" w:rsidR="008C14A0" w:rsidRDefault="008C14A0" w:rsidP="008C14A0">
            <w:pPr>
              <w:spacing w:after="120" w:line="240" w:lineRule="auto"/>
              <w:jc w:val="both"/>
              <w:rPr>
                <w:sz w:val="22"/>
                <w:szCs w:val="22"/>
                <w:lang w:val="en-CA"/>
              </w:rPr>
            </w:pPr>
            <w:r w:rsidRPr="000F44CA">
              <w:rPr>
                <w:sz w:val="22"/>
                <w:szCs w:val="22"/>
                <w:lang w:val="en-CA"/>
              </w:rPr>
              <w:t>The time limit prescribed in the first paragraph may be shortened where the decision relates to the suspension of a licence or class of a licence following a proficiency examination.</w:t>
            </w:r>
          </w:p>
          <w:p w14:paraId="0AA0C133" w14:textId="77777777" w:rsidR="008C14A0" w:rsidRPr="00ED1EF0" w:rsidRDefault="008C14A0" w:rsidP="008C14A0">
            <w:pPr>
              <w:spacing w:before="240" w:after="120" w:line="240" w:lineRule="auto"/>
              <w:jc w:val="both"/>
              <w:rPr>
                <w:sz w:val="22"/>
                <w:szCs w:val="22"/>
                <w:lang w:val="en-CA"/>
              </w:rPr>
            </w:pPr>
            <w:r w:rsidRPr="000F44CA">
              <w:rPr>
                <w:sz w:val="22"/>
                <w:szCs w:val="22"/>
                <w:lang w:val="en-CA"/>
              </w:rPr>
              <w:t>In the event of an interruption of postal service, a decision delivered by another means takes effect on the date fixed by the Société</w:t>
            </w:r>
            <w:r>
              <w:rPr>
                <w:sz w:val="22"/>
                <w:szCs w:val="22"/>
                <w:lang w:val="en-CA"/>
              </w:rPr>
              <w:t>.</w:t>
            </w:r>
          </w:p>
        </w:tc>
      </w:tr>
    </w:tbl>
    <w:p w14:paraId="7D7B871E" w14:textId="7CFEA6FD" w:rsidR="008C14A0" w:rsidRDefault="008C14A0" w:rsidP="008C14A0">
      <w:pPr>
        <w:pStyle w:val="Paragraphe"/>
        <w:spacing w:line="240" w:lineRule="auto"/>
      </w:pPr>
      <w:r>
        <w:lastRenderedPageBreak/>
        <w:t>Les délais prévus à cette disposition commencent à courir à compter de la transmission de l’avis, et non de sa réception. Si la SAAQ devait s’assurer que la personne concernée a effectivement reçu l’avis, sa décision relative à une sanction pourrait être retardée considérablement, voire indéfiniment.</w:t>
      </w:r>
      <w:r w:rsidRPr="00751F3B">
        <w:t xml:space="preserve"> Un tel résultat est insoutenable et ne fait que confirmer </w:t>
      </w:r>
      <w:r>
        <w:t xml:space="preserve">le bien-fondé de </w:t>
      </w:r>
      <w:r w:rsidRPr="00751F3B">
        <w:t>l</w:t>
      </w:r>
      <w:r>
        <w:t>’</w:t>
      </w:r>
      <w:r w:rsidRPr="00751F3B">
        <w:t xml:space="preserve">interprétation </w:t>
      </w:r>
      <w:r>
        <w:t>de l’article 550.1</w:t>
      </w:r>
      <w:r w:rsidR="00FE3582">
        <w:t xml:space="preserve"> </w:t>
      </w:r>
      <w:r w:rsidRPr="004003D1">
        <w:rPr>
          <w:i/>
          <w:iCs/>
        </w:rPr>
        <w:t>C.s.r</w:t>
      </w:r>
      <w:r w:rsidRPr="00751F3B">
        <w:t>.</w:t>
      </w:r>
      <w:r>
        <w:t xml:space="preserve"> </w:t>
      </w:r>
      <w:r w:rsidRPr="00751F3B">
        <w:t>proposée par la SAAQ</w:t>
      </w:r>
      <w:r>
        <w:t xml:space="preserve">. </w:t>
      </w:r>
    </w:p>
    <w:p w14:paraId="06FB889B" w14:textId="77777777" w:rsidR="008C14A0" w:rsidRDefault="008C14A0" w:rsidP="008C14A0">
      <w:pPr>
        <w:pStyle w:val="Paragraphe"/>
        <w:spacing w:line="240" w:lineRule="auto"/>
      </w:pPr>
      <w:r w:rsidRPr="00751F3B">
        <w:t>Le fait que l</w:t>
      </w:r>
      <w:r>
        <w:t>’</w:t>
      </w:r>
      <w:r w:rsidRPr="00751F3B">
        <w:t>intimée ignorait l</w:t>
      </w:r>
      <w:r>
        <w:t>’</w:t>
      </w:r>
      <w:r w:rsidRPr="00751F3B">
        <w:t>existence de l</w:t>
      </w:r>
      <w:r>
        <w:t>’</w:t>
      </w:r>
      <w:r w:rsidRPr="00751F3B">
        <w:t>avis de sanction résultait de sa propre négligence</w:t>
      </w:r>
      <w:r>
        <w:t>,</w:t>
      </w:r>
      <w:r w:rsidRPr="00751F3B">
        <w:t xml:space="preserve"> et non d</w:t>
      </w:r>
      <w:r>
        <w:t>’</w:t>
      </w:r>
      <w:r w:rsidRPr="00751F3B">
        <w:t>une omission de la SAAQ. Sa demande de mainlevée aurait dû être rejetée.</w:t>
      </w:r>
    </w:p>
    <w:p w14:paraId="7AB45BC6" w14:textId="77777777" w:rsidR="008C14A0" w:rsidRDefault="008C14A0" w:rsidP="008C14A0">
      <w:pPr>
        <w:pStyle w:val="Paragraphe"/>
        <w:spacing w:line="240" w:lineRule="auto"/>
      </w:pPr>
      <w:r w:rsidRPr="00D50099">
        <w:t>L</w:t>
      </w:r>
      <w:r>
        <w:t>’</w:t>
      </w:r>
      <w:r w:rsidRPr="00D50099">
        <w:t>appel sera donc accueilli. Toutefois, compte tenu de l</w:t>
      </w:r>
      <w:r>
        <w:t>’</w:t>
      </w:r>
      <w:r w:rsidRPr="00D50099">
        <w:t>absence de contestation et du caractère théorique de l</w:t>
      </w:r>
      <w:r>
        <w:t>’</w:t>
      </w:r>
      <w:r w:rsidRPr="00D50099">
        <w:t>appel, aucun</w:t>
      </w:r>
      <w:r>
        <w:t>s</w:t>
      </w:r>
      <w:r w:rsidRPr="00D50099">
        <w:t xml:space="preserve"> frais de justice ne ser</w:t>
      </w:r>
      <w:r>
        <w:t>ont</w:t>
      </w:r>
      <w:r w:rsidRPr="00D50099">
        <w:t xml:space="preserve"> accordé</w:t>
      </w:r>
      <w:r>
        <w:t>s</w:t>
      </w:r>
      <w:r w:rsidRPr="00D50099">
        <w:t>.</w:t>
      </w:r>
    </w:p>
    <w:p w14:paraId="7431C758" w14:textId="77777777" w:rsidR="008C14A0" w:rsidRPr="0090430F" w:rsidRDefault="008C14A0" w:rsidP="00216F29">
      <w:pPr>
        <w:pStyle w:val="Paragraphe"/>
        <w:numPr>
          <w:ilvl w:val="0"/>
          <w:numId w:val="0"/>
        </w:numPr>
        <w:spacing w:before="240" w:line="240" w:lineRule="auto"/>
        <w:rPr>
          <w:b/>
          <w:bCs/>
        </w:rPr>
      </w:pPr>
      <w:r w:rsidRPr="0090430F">
        <w:rPr>
          <w:b/>
          <w:bCs/>
        </w:rPr>
        <w:t xml:space="preserve">POUR CES MOTIFS, </w:t>
      </w:r>
      <w:r>
        <w:rPr>
          <w:b/>
          <w:bCs/>
        </w:rPr>
        <w:t>LA COUR :</w:t>
      </w:r>
    </w:p>
    <w:p w14:paraId="34B96418" w14:textId="77777777" w:rsidR="008C14A0" w:rsidRDefault="008C14A0" w:rsidP="008C14A0">
      <w:pPr>
        <w:pStyle w:val="Paragraphe"/>
        <w:spacing w:line="240" w:lineRule="auto"/>
      </w:pPr>
      <w:r w:rsidRPr="008549C0">
        <w:rPr>
          <w:b/>
          <w:bCs/>
        </w:rPr>
        <w:t>ACCUEILLE</w:t>
      </w:r>
      <w:r>
        <w:t xml:space="preserve"> l’appel;</w:t>
      </w:r>
    </w:p>
    <w:p w14:paraId="4741C090" w14:textId="77777777" w:rsidR="008C14A0" w:rsidRPr="00D44E02" w:rsidRDefault="008C14A0" w:rsidP="008C14A0">
      <w:pPr>
        <w:pStyle w:val="Paragraphe"/>
        <w:spacing w:line="240" w:lineRule="auto"/>
      </w:pPr>
      <w:r>
        <w:rPr>
          <w:b/>
          <w:bCs/>
        </w:rPr>
        <w:t xml:space="preserve">INFIRME </w:t>
      </w:r>
      <w:r w:rsidRPr="00D44E02">
        <w:t>le jugement de première instance;</w:t>
      </w:r>
    </w:p>
    <w:p w14:paraId="408537F8" w14:textId="77777777" w:rsidR="008C14A0" w:rsidRPr="00D44E02" w:rsidRDefault="008C14A0" w:rsidP="008C14A0">
      <w:pPr>
        <w:pStyle w:val="Paragraphe"/>
        <w:spacing w:line="240" w:lineRule="auto"/>
      </w:pPr>
      <w:r w:rsidRPr="00D44E02">
        <w:rPr>
          <w:b/>
          <w:bCs/>
        </w:rPr>
        <w:t>REJETTE</w:t>
      </w:r>
      <w:r>
        <w:t xml:space="preserve"> la demande de mainlevée de l’intimée;</w:t>
      </w:r>
    </w:p>
    <w:p w14:paraId="51C0EEE6" w14:textId="77777777" w:rsidR="008C14A0" w:rsidRDefault="008C14A0" w:rsidP="008C14A0">
      <w:pPr>
        <w:pStyle w:val="Paragraphe"/>
        <w:spacing w:line="240" w:lineRule="auto"/>
      </w:pPr>
      <w:r w:rsidRPr="00D44E02">
        <w:rPr>
          <w:b/>
          <w:bCs/>
        </w:rPr>
        <w:t>LE TOUT</w:t>
      </w:r>
      <w:r>
        <w:t xml:space="preserve"> sans frais de justice.</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8F364A" w14:paraId="1C75DEE8" w14:textId="77777777" w:rsidTr="00216F29">
        <w:trPr>
          <w:trHeight w:val="215"/>
        </w:trPr>
        <w:tc>
          <w:tcPr>
            <w:tcW w:w="9362" w:type="dxa"/>
            <w:gridSpan w:val="3"/>
            <w:tcBorders>
              <w:top w:val="nil"/>
              <w:bottom w:val="nil"/>
            </w:tcBorders>
          </w:tcPr>
          <w:p w14:paraId="244F978E" w14:textId="77777777" w:rsidR="008F364A" w:rsidRDefault="008F364A">
            <w:pPr>
              <w:keepNext/>
            </w:pPr>
          </w:p>
        </w:tc>
      </w:tr>
      <w:tr w:rsidR="008F364A" w14:paraId="2813E1EA" w14:textId="77777777" w:rsidTr="00117914">
        <w:trPr>
          <w:trHeight w:val="283"/>
        </w:trPr>
        <w:tc>
          <w:tcPr>
            <w:tcW w:w="4682" w:type="dxa"/>
            <w:gridSpan w:val="2"/>
            <w:tcBorders>
              <w:top w:val="nil"/>
              <w:bottom w:val="nil"/>
            </w:tcBorders>
          </w:tcPr>
          <w:p w14:paraId="70F52639" w14:textId="77777777" w:rsidR="008F364A" w:rsidRDefault="008F364A">
            <w:pPr>
              <w:keepNext/>
            </w:pPr>
          </w:p>
        </w:tc>
        <w:tc>
          <w:tcPr>
            <w:tcW w:w="4680" w:type="dxa"/>
            <w:tcBorders>
              <w:top w:val="nil"/>
              <w:bottom w:val="single" w:sz="8" w:space="0" w:color="auto"/>
            </w:tcBorders>
          </w:tcPr>
          <w:p w14:paraId="07C83E8A" w14:textId="77777777" w:rsidR="008F364A" w:rsidRDefault="008F364A">
            <w:pPr>
              <w:keepNext/>
            </w:pPr>
          </w:p>
        </w:tc>
      </w:tr>
      <w:tr w:rsidR="008F364A" w14:paraId="666ED23C" w14:textId="77777777" w:rsidTr="00117914">
        <w:trPr>
          <w:trHeight w:val="283"/>
        </w:trPr>
        <w:tc>
          <w:tcPr>
            <w:tcW w:w="4682" w:type="dxa"/>
            <w:gridSpan w:val="2"/>
            <w:tcBorders>
              <w:top w:val="nil"/>
            </w:tcBorders>
          </w:tcPr>
          <w:p w14:paraId="1DCEA72D" w14:textId="77777777" w:rsidR="008F364A" w:rsidRDefault="008F364A">
            <w:pPr>
              <w:keepNext/>
            </w:pPr>
          </w:p>
        </w:tc>
        <w:tc>
          <w:tcPr>
            <w:tcW w:w="4680" w:type="dxa"/>
            <w:tcBorders>
              <w:top w:val="single" w:sz="8" w:space="0" w:color="auto"/>
            </w:tcBorders>
          </w:tcPr>
          <w:p w14:paraId="1BF022AC" w14:textId="5940DB89" w:rsidR="008F364A" w:rsidRDefault="00F9095C">
            <w:r>
              <w:t>MICHEL BEAUPRÉ, J.C.A.</w:t>
            </w:r>
          </w:p>
        </w:tc>
      </w:tr>
      <w:tr w:rsidR="008F364A" w14:paraId="5BD65ABD" w14:textId="77777777" w:rsidTr="00117914">
        <w:trPr>
          <w:trHeight w:val="283"/>
        </w:trPr>
        <w:tc>
          <w:tcPr>
            <w:tcW w:w="4682" w:type="dxa"/>
            <w:gridSpan w:val="2"/>
            <w:tcBorders>
              <w:top w:val="nil"/>
            </w:tcBorders>
          </w:tcPr>
          <w:p w14:paraId="44843903" w14:textId="77777777" w:rsidR="008F364A" w:rsidRDefault="008F364A">
            <w:pPr>
              <w:keepNext/>
            </w:pPr>
            <w:bookmarkStart w:id="11" w:name="Signature2"/>
          </w:p>
        </w:tc>
        <w:tc>
          <w:tcPr>
            <w:tcW w:w="4680" w:type="dxa"/>
            <w:tcBorders>
              <w:top w:val="nil"/>
            </w:tcBorders>
          </w:tcPr>
          <w:p w14:paraId="1F8C138A" w14:textId="77777777" w:rsidR="008F364A" w:rsidRDefault="008F364A">
            <w:pPr>
              <w:keepNext/>
            </w:pPr>
          </w:p>
        </w:tc>
      </w:tr>
      <w:tr w:rsidR="008F364A" w14:paraId="50CE57B7" w14:textId="77777777" w:rsidTr="00117914">
        <w:trPr>
          <w:trHeight w:val="283"/>
        </w:trPr>
        <w:tc>
          <w:tcPr>
            <w:tcW w:w="4682" w:type="dxa"/>
            <w:gridSpan w:val="2"/>
            <w:tcBorders>
              <w:top w:val="nil"/>
              <w:bottom w:val="nil"/>
            </w:tcBorders>
          </w:tcPr>
          <w:p w14:paraId="4963FB0C" w14:textId="77777777" w:rsidR="008F364A" w:rsidRDefault="008F364A">
            <w:pPr>
              <w:keepNext/>
            </w:pPr>
          </w:p>
        </w:tc>
        <w:tc>
          <w:tcPr>
            <w:tcW w:w="4680" w:type="dxa"/>
            <w:tcBorders>
              <w:top w:val="nil"/>
              <w:bottom w:val="single" w:sz="8" w:space="0" w:color="auto"/>
            </w:tcBorders>
          </w:tcPr>
          <w:p w14:paraId="1BA2D4E7" w14:textId="77777777" w:rsidR="008F364A" w:rsidRDefault="008F364A">
            <w:pPr>
              <w:keepNext/>
            </w:pPr>
          </w:p>
        </w:tc>
      </w:tr>
      <w:tr w:rsidR="008F364A" w14:paraId="216884DC" w14:textId="77777777" w:rsidTr="00117914">
        <w:trPr>
          <w:trHeight w:val="283"/>
        </w:trPr>
        <w:tc>
          <w:tcPr>
            <w:tcW w:w="4682" w:type="dxa"/>
            <w:gridSpan w:val="2"/>
            <w:tcBorders>
              <w:top w:val="nil"/>
            </w:tcBorders>
          </w:tcPr>
          <w:p w14:paraId="1707F15B" w14:textId="77777777" w:rsidR="008F364A" w:rsidRDefault="008F364A">
            <w:pPr>
              <w:keepNext/>
            </w:pPr>
          </w:p>
        </w:tc>
        <w:tc>
          <w:tcPr>
            <w:tcW w:w="4680" w:type="dxa"/>
            <w:tcBorders>
              <w:top w:val="single" w:sz="8" w:space="0" w:color="auto"/>
            </w:tcBorders>
          </w:tcPr>
          <w:p w14:paraId="26C2FCC9" w14:textId="495BB345" w:rsidR="008F364A" w:rsidRDefault="00F9095C">
            <w:pPr>
              <w:keepNext/>
            </w:pPr>
            <w:r>
              <w:t>SOPHIE LAVALLÉE, J.C.A.</w:t>
            </w:r>
          </w:p>
        </w:tc>
      </w:tr>
      <w:tr w:rsidR="008F364A" w14:paraId="7657B3E5" w14:textId="77777777" w:rsidTr="00117914">
        <w:trPr>
          <w:trHeight w:val="283"/>
        </w:trPr>
        <w:tc>
          <w:tcPr>
            <w:tcW w:w="4682" w:type="dxa"/>
            <w:gridSpan w:val="2"/>
            <w:tcBorders>
              <w:top w:val="nil"/>
            </w:tcBorders>
          </w:tcPr>
          <w:p w14:paraId="41BDBD98" w14:textId="77777777" w:rsidR="008F364A" w:rsidRDefault="008F364A">
            <w:pPr>
              <w:keepNext/>
            </w:pPr>
            <w:bookmarkStart w:id="12" w:name="Signature3"/>
            <w:bookmarkEnd w:id="11"/>
          </w:p>
        </w:tc>
        <w:tc>
          <w:tcPr>
            <w:tcW w:w="4680" w:type="dxa"/>
            <w:tcBorders>
              <w:top w:val="nil"/>
            </w:tcBorders>
          </w:tcPr>
          <w:p w14:paraId="271F499C" w14:textId="77777777" w:rsidR="008F364A" w:rsidRDefault="008F364A">
            <w:pPr>
              <w:keepNext/>
            </w:pPr>
          </w:p>
        </w:tc>
      </w:tr>
      <w:tr w:rsidR="008F364A" w14:paraId="3149A19A" w14:textId="77777777" w:rsidTr="00117914">
        <w:trPr>
          <w:trHeight w:val="283"/>
        </w:trPr>
        <w:tc>
          <w:tcPr>
            <w:tcW w:w="4682" w:type="dxa"/>
            <w:gridSpan w:val="2"/>
            <w:tcBorders>
              <w:top w:val="nil"/>
              <w:bottom w:val="nil"/>
            </w:tcBorders>
          </w:tcPr>
          <w:p w14:paraId="1D9D4A4F" w14:textId="77777777" w:rsidR="008F364A" w:rsidRDefault="008F364A">
            <w:pPr>
              <w:keepNext/>
            </w:pPr>
          </w:p>
        </w:tc>
        <w:tc>
          <w:tcPr>
            <w:tcW w:w="4680" w:type="dxa"/>
            <w:tcBorders>
              <w:top w:val="nil"/>
              <w:bottom w:val="single" w:sz="8" w:space="0" w:color="auto"/>
            </w:tcBorders>
          </w:tcPr>
          <w:p w14:paraId="363884C1" w14:textId="77777777" w:rsidR="008F364A" w:rsidRDefault="008F364A">
            <w:pPr>
              <w:keepNext/>
            </w:pPr>
          </w:p>
        </w:tc>
      </w:tr>
      <w:tr w:rsidR="008F364A" w:rsidRPr="007B76A8" w14:paraId="6A1EAB77" w14:textId="77777777" w:rsidTr="00117914">
        <w:trPr>
          <w:trHeight w:val="283"/>
        </w:trPr>
        <w:tc>
          <w:tcPr>
            <w:tcW w:w="4682" w:type="dxa"/>
            <w:gridSpan w:val="2"/>
            <w:tcBorders>
              <w:top w:val="nil"/>
            </w:tcBorders>
          </w:tcPr>
          <w:p w14:paraId="70C96157" w14:textId="77777777" w:rsidR="008F364A" w:rsidRDefault="008F364A">
            <w:pPr>
              <w:keepNext/>
            </w:pPr>
          </w:p>
        </w:tc>
        <w:tc>
          <w:tcPr>
            <w:tcW w:w="4680" w:type="dxa"/>
            <w:tcBorders>
              <w:top w:val="single" w:sz="8" w:space="0" w:color="auto"/>
            </w:tcBorders>
          </w:tcPr>
          <w:p w14:paraId="78A842FC" w14:textId="3C3BD874" w:rsidR="008F364A" w:rsidRPr="00650F13" w:rsidRDefault="00F9095C">
            <w:pPr>
              <w:keepNext/>
              <w:rPr>
                <w:lang w:val="en-CA"/>
              </w:rPr>
            </w:pPr>
            <w:r>
              <w:t>PETER KALICHMAN, J.C.A.</w:t>
            </w:r>
          </w:p>
        </w:tc>
      </w:tr>
      <w:bookmarkEnd w:id="12"/>
      <w:tr w:rsidR="005A78BF" w:rsidRPr="007B76A8" w14:paraId="7B9568D2" w14:textId="77777777" w:rsidTr="00423DF1">
        <w:tc>
          <w:tcPr>
            <w:tcW w:w="9362" w:type="dxa"/>
            <w:gridSpan w:val="3"/>
          </w:tcPr>
          <w:p w14:paraId="2F76CCA3" w14:textId="77777777" w:rsidR="005A78BF" w:rsidRDefault="005A78BF" w:rsidP="005A78BF">
            <w:pPr>
              <w:rPr>
                <w:lang w:val="en-CA"/>
              </w:rPr>
            </w:pPr>
          </w:p>
        </w:tc>
      </w:tr>
      <w:tr w:rsidR="005A78BF" w:rsidRPr="007B76A8" w14:paraId="00E08287" w14:textId="77777777" w:rsidTr="00423DF1">
        <w:tc>
          <w:tcPr>
            <w:tcW w:w="9362" w:type="dxa"/>
            <w:gridSpan w:val="3"/>
          </w:tcPr>
          <w:p w14:paraId="29353801" w14:textId="77777777" w:rsidR="00650F13" w:rsidRDefault="00650F13" w:rsidP="00650F13">
            <w:pPr>
              <w:pStyle w:val="zSoquijdatNomProcureurDem"/>
              <w:rPr>
                <w:lang w:val="en-CA"/>
              </w:rPr>
            </w:pPr>
            <w:r w:rsidRPr="0064186B">
              <w:rPr>
                <w:lang w:val="en-CA"/>
              </w:rPr>
              <w:t xml:space="preserve">Me Patrick Guay </w:t>
            </w:r>
          </w:p>
          <w:p w14:paraId="2DE337CD" w14:textId="79B24458" w:rsidR="005A78BF" w:rsidRDefault="00650F13" w:rsidP="00650F13">
            <w:pPr>
              <w:pStyle w:val="zSoquijdatNomProcureurDem"/>
              <w:rPr>
                <w:lang w:val="en-CA"/>
              </w:rPr>
            </w:pPr>
            <w:r w:rsidRPr="0064186B">
              <w:rPr>
                <w:lang w:val="en-CA"/>
              </w:rPr>
              <w:t xml:space="preserve">Me </w:t>
            </w:r>
            <w:bookmarkStart w:id="13" w:name="Avocat_app"/>
            <w:bookmarkEnd w:id="13"/>
            <w:r w:rsidRPr="0064186B">
              <w:rPr>
                <w:lang w:val="en-CA"/>
              </w:rPr>
              <w:t>Marek Morawski</w:t>
            </w:r>
          </w:p>
        </w:tc>
      </w:tr>
      <w:tr w:rsidR="005A78BF" w14:paraId="458C006F" w14:textId="77777777" w:rsidTr="00423DF1">
        <w:tc>
          <w:tcPr>
            <w:tcW w:w="9362" w:type="dxa"/>
            <w:gridSpan w:val="3"/>
          </w:tcPr>
          <w:p w14:paraId="3FFC1A5C" w14:textId="64460DFF" w:rsidR="005A78BF" w:rsidRDefault="00650F13" w:rsidP="005A78BF">
            <w:pPr>
              <w:pStyle w:val="zSoquijdatCabinetProcureurDem"/>
              <w:rPr>
                <w:lang w:val="en-CA"/>
              </w:rPr>
            </w:pPr>
            <w:r w:rsidRPr="00D67A95">
              <w:rPr>
                <w:caps/>
                <w:shd w:val="clear" w:color="auto" w:fill="FFFFFF"/>
              </w:rPr>
              <w:t>Jacques, Boisvert &amp; Gauthier (SAAQ)</w:t>
            </w:r>
          </w:p>
        </w:tc>
      </w:tr>
      <w:tr w:rsidR="005A78BF" w14:paraId="49C18416" w14:textId="77777777" w:rsidTr="00423DF1">
        <w:tc>
          <w:tcPr>
            <w:tcW w:w="9362" w:type="dxa"/>
            <w:gridSpan w:val="3"/>
          </w:tcPr>
          <w:p w14:paraId="26F96C6E" w14:textId="1A7CDEC7" w:rsidR="005A78BF" w:rsidRDefault="00650F13" w:rsidP="005A78BF">
            <w:pPr>
              <w:pStyle w:val="zSoquijlblProcureurDem"/>
              <w:rPr>
                <w:lang w:val="en-CA"/>
              </w:rPr>
            </w:pPr>
            <w:r>
              <w:t>Pour l’appelante</w:t>
            </w:r>
          </w:p>
        </w:tc>
      </w:tr>
      <w:tr w:rsidR="005A78BF" w14:paraId="1C11ADD8" w14:textId="77777777" w:rsidTr="00423DF1">
        <w:tc>
          <w:tcPr>
            <w:tcW w:w="9362" w:type="dxa"/>
            <w:gridSpan w:val="3"/>
          </w:tcPr>
          <w:p w14:paraId="1FF52ED0" w14:textId="77777777" w:rsidR="005A78BF" w:rsidRDefault="005A78BF" w:rsidP="005A78BF">
            <w:pPr>
              <w:rPr>
                <w:lang w:val="en-CA"/>
              </w:rPr>
            </w:pPr>
          </w:p>
        </w:tc>
      </w:tr>
      <w:tr w:rsidR="005A78BF" w14:paraId="542BDD89" w14:textId="77777777" w:rsidTr="00423DF1">
        <w:tc>
          <w:tcPr>
            <w:tcW w:w="9362" w:type="dxa"/>
            <w:gridSpan w:val="3"/>
          </w:tcPr>
          <w:p w14:paraId="6D46E77F" w14:textId="479996B3" w:rsidR="005A78BF" w:rsidRDefault="00B661CD" w:rsidP="005A78BF">
            <w:pPr>
              <w:pStyle w:val="zSoquijdatNomProcureurDef"/>
              <w:rPr>
                <w:lang w:val="en-CA"/>
              </w:rPr>
            </w:pPr>
            <w:r>
              <w:t xml:space="preserve">Madame </w:t>
            </w:r>
            <w:r w:rsidR="00650F13">
              <w:t>Gesenia Isabel Castle</w:t>
            </w:r>
          </w:p>
        </w:tc>
      </w:tr>
      <w:tr w:rsidR="005A78BF" w14:paraId="45DC7900" w14:textId="77777777" w:rsidTr="00423DF1">
        <w:tc>
          <w:tcPr>
            <w:tcW w:w="9362" w:type="dxa"/>
            <w:gridSpan w:val="3"/>
          </w:tcPr>
          <w:p w14:paraId="31DEA7EA" w14:textId="2D002C79" w:rsidR="005A78BF" w:rsidRDefault="009F60FD" w:rsidP="005A78BF">
            <w:pPr>
              <w:pStyle w:val="zSoquijdatCabinetProcureurDef"/>
              <w:rPr>
                <w:lang w:val="en-CA"/>
              </w:rPr>
            </w:pPr>
            <w:r>
              <w:t>Non représentée</w:t>
            </w:r>
          </w:p>
        </w:tc>
      </w:tr>
      <w:tr w:rsidR="005A78BF" w14:paraId="71710ECB" w14:textId="77777777" w:rsidTr="00423DF1">
        <w:tc>
          <w:tcPr>
            <w:tcW w:w="9362" w:type="dxa"/>
            <w:gridSpan w:val="3"/>
          </w:tcPr>
          <w:p w14:paraId="40A412C6" w14:textId="77777777" w:rsidR="005A78BF" w:rsidRDefault="005A78BF" w:rsidP="005A78BF">
            <w:pPr>
              <w:rPr>
                <w:lang w:val="en-CA"/>
              </w:rPr>
            </w:pPr>
          </w:p>
        </w:tc>
      </w:tr>
      <w:tr w:rsidR="005A78BF" w14:paraId="72363FAE" w14:textId="77777777" w:rsidTr="00423DF1">
        <w:tc>
          <w:tcPr>
            <w:tcW w:w="1997" w:type="dxa"/>
          </w:tcPr>
          <w:p w14:paraId="19516BEC" w14:textId="77777777" w:rsidR="005A78BF" w:rsidRDefault="005A78BF" w:rsidP="005A78BF">
            <w:pPr>
              <w:pStyle w:val="zSoquijlblDateAudience"/>
            </w:pPr>
            <w:r>
              <w:t>Date d’audience :</w:t>
            </w:r>
          </w:p>
        </w:tc>
        <w:tc>
          <w:tcPr>
            <w:tcW w:w="7365" w:type="dxa"/>
            <w:gridSpan w:val="2"/>
          </w:tcPr>
          <w:p w14:paraId="63A5FF0B" w14:textId="4F470D31" w:rsidR="005A78BF" w:rsidRDefault="00650F13" w:rsidP="005A78BF">
            <w:pPr>
              <w:pStyle w:val="zSoquijdatDateAudience"/>
            </w:pPr>
            <w:r>
              <w:t>31 octobre 2025</w:t>
            </w:r>
          </w:p>
        </w:tc>
      </w:tr>
      <w:bookmarkEnd w:id="8"/>
    </w:tbl>
    <w:p w14:paraId="32ECB72C" w14:textId="77777777" w:rsidR="00740A17" w:rsidRDefault="00740A17" w:rsidP="00216F29"/>
    <w:sectPr w:rsidR="00740A17" w:rsidSect="00650F13">
      <w:headerReference w:type="even" r:id="rId14"/>
      <w:headerReference w:type="default" r:id="rId15"/>
      <w:footerReference w:type="even" r:id="rId16"/>
      <w:footerReference w:type="default" r:id="rId17"/>
      <w:headerReference w:type="first" r:id="rId18"/>
      <w:footerReference w:type="first" r:id="rId19"/>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6BB9" w14:textId="77777777" w:rsidR="00650F13" w:rsidRDefault="00650F13">
      <w:r>
        <w:separator/>
      </w:r>
    </w:p>
  </w:endnote>
  <w:endnote w:type="continuationSeparator" w:id="0">
    <w:p w14:paraId="57B8822C" w14:textId="77777777" w:rsidR="00650F13" w:rsidRDefault="006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434C" w14:textId="77777777" w:rsidR="0094287A" w:rsidRDefault="009428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3616" w14:textId="77777777" w:rsidR="0094287A" w:rsidRDefault="0094287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CD87" w14:textId="77777777" w:rsidR="0094287A" w:rsidRDefault="009428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22F5" w14:textId="77777777" w:rsidR="00650F13" w:rsidRDefault="00650F13">
      <w:r>
        <w:separator/>
      </w:r>
    </w:p>
  </w:footnote>
  <w:footnote w:type="continuationSeparator" w:id="0">
    <w:p w14:paraId="331BE03D" w14:textId="77777777" w:rsidR="00650F13" w:rsidRDefault="00650F13">
      <w:r>
        <w:continuationSeparator/>
      </w:r>
    </w:p>
  </w:footnote>
  <w:footnote w:id="1">
    <w:p w14:paraId="7199C42B" w14:textId="77777777" w:rsidR="008C14A0" w:rsidRDefault="008C14A0" w:rsidP="008C14A0">
      <w:pPr>
        <w:pStyle w:val="Notedebasdepage"/>
      </w:pPr>
      <w:r w:rsidRPr="00EF78E4">
        <w:rPr>
          <w:rStyle w:val="Appelnotedebasdep"/>
        </w:rPr>
        <w:footnoteRef/>
      </w:r>
      <w:r>
        <w:t xml:space="preserve"> </w:t>
      </w:r>
      <w:r>
        <w:tab/>
      </w:r>
      <w:r w:rsidRPr="000F44CA">
        <w:rPr>
          <w:i/>
          <w:iCs/>
        </w:rPr>
        <w:t>Castle c. Société assurance automobile du Québec</w:t>
      </w:r>
      <w:r>
        <w:t>, C.Q. (ch. civ.), Gatineau, n</w:t>
      </w:r>
      <w:r w:rsidRPr="000F44CA">
        <w:rPr>
          <w:vertAlign w:val="superscript"/>
        </w:rPr>
        <w:t>o</w:t>
      </w:r>
      <w:r>
        <w:t> 550-80-005854-258, Laurin, j.c.q.</w:t>
      </w:r>
    </w:p>
  </w:footnote>
  <w:footnote w:id="2">
    <w:p w14:paraId="3307A4ED" w14:textId="77777777" w:rsidR="008C14A0" w:rsidRDefault="008C14A0" w:rsidP="008C14A0">
      <w:pPr>
        <w:pStyle w:val="Notedebasdepage"/>
      </w:pPr>
      <w:r w:rsidRPr="00EF78E4">
        <w:rPr>
          <w:rStyle w:val="Appelnotedebasdep"/>
        </w:rPr>
        <w:footnoteRef/>
      </w:r>
      <w:r>
        <w:t xml:space="preserve"> </w:t>
      </w:r>
      <w:r>
        <w:tab/>
        <w:t>RLRQ, c. C-24.2.</w:t>
      </w:r>
    </w:p>
  </w:footnote>
  <w:footnote w:id="3">
    <w:p w14:paraId="474EE2F3" w14:textId="77777777" w:rsidR="008C14A0" w:rsidRPr="00495E3B" w:rsidRDefault="008C14A0" w:rsidP="008C14A0">
      <w:pPr>
        <w:pStyle w:val="Notedebasdepage"/>
      </w:pPr>
      <w:r w:rsidRPr="00EF78E4">
        <w:rPr>
          <w:rStyle w:val="Appelnotedebasdep"/>
        </w:rPr>
        <w:footnoteRef/>
      </w:r>
      <w:r w:rsidRPr="00495E3B">
        <w:t xml:space="preserve"> </w:t>
      </w:r>
      <w:r w:rsidRPr="00495E3B">
        <w:tab/>
        <w:t xml:space="preserve">Art. 376 </w:t>
      </w:r>
      <w:r w:rsidRPr="00315155">
        <w:rPr>
          <w:i/>
          <w:iCs/>
        </w:rPr>
        <w:t>C.p.c.</w:t>
      </w:r>
      <w:r w:rsidRPr="00495E3B">
        <w:t xml:space="preserve"> et art</w:t>
      </w:r>
      <w:r w:rsidRPr="00406C76">
        <w:t>. 63 d</w:t>
      </w:r>
      <w:r>
        <w:t xml:space="preserve">u </w:t>
      </w:r>
      <w:r w:rsidRPr="00315155">
        <w:rPr>
          <w:i/>
          <w:iCs/>
        </w:rPr>
        <w:t xml:space="preserve">Règlement de la </w:t>
      </w:r>
      <w:r>
        <w:rPr>
          <w:i/>
          <w:iCs/>
        </w:rPr>
        <w:t>C</w:t>
      </w:r>
      <w:r w:rsidRPr="00315155">
        <w:rPr>
          <w:i/>
          <w:iCs/>
        </w:rPr>
        <w:t>our d’appel du Québec en matière civile</w:t>
      </w:r>
      <w:r w:rsidRPr="00315155">
        <w:t>, RLRQ, c. 25.01</w:t>
      </w:r>
      <w:r w:rsidRPr="00495E3B">
        <w:t xml:space="preserve">. </w:t>
      </w:r>
    </w:p>
  </w:footnote>
  <w:footnote w:id="4">
    <w:p w14:paraId="38656FBA" w14:textId="77777777" w:rsidR="008C14A0" w:rsidRPr="005B2F88" w:rsidRDefault="008C14A0" w:rsidP="008C14A0">
      <w:pPr>
        <w:pStyle w:val="Notedebasdepage"/>
      </w:pPr>
      <w:r w:rsidRPr="005B2F88">
        <w:rPr>
          <w:rStyle w:val="Appelnotedebasdep"/>
        </w:rPr>
        <w:footnoteRef/>
      </w:r>
      <w:r w:rsidRPr="005B2F88">
        <w:t xml:space="preserve"> </w:t>
      </w:r>
      <w:r w:rsidRPr="005B2F88">
        <w:tab/>
      </w:r>
      <w:r w:rsidRPr="005B2F88">
        <w:rPr>
          <w:i/>
          <w:iCs/>
        </w:rPr>
        <w:t>Borowski c. Canada (Procureur général)</w:t>
      </w:r>
      <w:r w:rsidRPr="005B2F88">
        <w:t xml:space="preserve">, [1989] 1 R.C.S. 342, p. 354, citant </w:t>
      </w:r>
      <w:r w:rsidRPr="005B2F88">
        <w:rPr>
          <w:i/>
          <w:iCs/>
        </w:rPr>
        <w:t xml:space="preserve">The King </w:t>
      </w:r>
      <w:r>
        <w:rPr>
          <w:i/>
          <w:iCs/>
        </w:rPr>
        <w:t>e</w:t>
      </w:r>
      <w:r w:rsidRPr="005B2F88">
        <w:rPr>
          <w:i/>
          <w:iCs/>
        </w:rPr>
        <w:t xml:space="preserve">x </w:t>
      </w:r>
      <w:r>
        <w:rPr>
          <w:i/>
          <w:iCs/>
        </w:rPr>
        <w:t>r</w:t>
      </w:r>
      <w:r w:rsidRPr="005B2F88">
        <w:rPr>
          <w:i/>
          <w:iCs/>
        </w:rPr>
        <w:t>el. Tolfree v. Clark et al</w:t>
      </w:r>
      <w:r w:rsidRPr="005B2F88">
        <w:t>., [1944] R.C.S. 69, 1943 CanLII 3 (CSC)</w:t>
      </w:r>
      <w:r>
        <w:t xml:space="preserve">, </w:t>
      </w:r>
      <w:r w:rsidRPr="005B2F88">
        <w:t xml:space="preserve">p. 72; </w:t>
      </w:r>
      <w:r w:rsidRPr="005B2F88">
        <w:rPr>
          <w:rFonts w:cs="Arial"/>
          <w:i/>
          <w:iCs/>
          <w:lang w:eastAsia="fr-CA"/>
        </w:rPr>
        <w:t>Bissou c. Société de l</w:t>
      </w:r>
      <w:r>
        <w:rPr>
          <w:rFonts w:cs="Arial"/>
          <w:i/>
          <w:iCs/>
          <w:lang w:eastAsia="fr-CA"/>
        </w:rPr>
        <w:t>’</w:t>
      </w:r>
      <w:r w:rsidRPr="005B2F88">
        <w:rPr>
          <w:rFonts w:cs="Arial"/>
          <w:i/>
          <w:iCs/>
          <w:lang w:eastAsia="fr-CA"/>
        </w:rPr>
        <w:t>assurance automobile du Québec</w:t>
      </w:r>
      <w:r w:rsidRPr="005B2F88">
        <w:rPr>
          <w:rFonts w:cs="Arial"/>
          <w:lang w:eastAsia="fr-CA"/>
        </w:rPr>
        <w:t>, 2009 QCCA 933, par. 1.</w:t>
      </w:r>
    </w:p>
  </w:footnote>
  <w:footnote w:id="5">
    <w:p w14:paraId="267BF82E" w14:textId="77777777" w:rsidR="008C14A0" w:rsidRPr="005B2F88" w:rsidRDefault="008C14A0" w:rsidP="008C14A0">
      <w:pPr>
        <w:pStyle w:val="Notedebasdepage"/>
      </w:pPr>
      <w:r w:rsidRPr="005B2F88">
        <w:rPr>
          <w:rStyle w:val="Appelnotedebasdep"/>
        </w:rPr>
        <w:footnoteRef/>
      </w:r>
      <w:r w:rsidRPr="005B2F88">
        <w:t xml:space="preserve"> </w:t>
      </w:r>
      <w:r w:rsidRPr="005B2F88">
        <w:tab/>
      </w:r>
      <w:r w:rsidRPr="005B2F88">
        <w:rPr>
          <w:i/>
          <w:iCs/>
        </w:rPr>
        <w:t>Droit de la famille — 231839</w:t>
      </w:r>
      <w:r w:rsidRPr="005B2F88">
        <w:t>, 2023 QCCA 1341, par. 3.</w:t>
      </w:r>
    </w:p>
  </w:footnote>
  <w:footnote w:id="6">
    <w:p w14:paraId="7CECCCBB" w14:textId="3CA672FF" w:rsidR="008C14A0" w:rsidRDefault="008C14A0" w:rsidP="008C14A0">
      <w:pPr>
        <w:pStyle w:val="Notedebasdepage"/>
      </w:pPr>
      <w:r w:rsidRPr="005B2F88">
        <w:rPr>
          <w:rStyle w:val="Appelnotedebasdep"/>
        </w:rPr>
        <w:footnoteRef/>
      </w:r>
      <w:r w:rsidRPr="005B2F88">
        <w:t xml:space="preserve"> </w:t>
      </w:r>
      <w:r w:rsidRPr="005B2F88">
        <w:tab/>
      </w:r>
      <w:r w:rsidRPr="005B2F88">
        <w:rPr>
          <w:i/>
          <w:iCs/>
        </w:rPr>
        <w:t>Borowski c. Canada (Procureur général)</w:t>
      </w:r>
      <w:r w:rsidRPr="005B2F88">
        <w:t xml:space="preserve">, </w:t>
      </w:r>
      <w:r w:rsidRPr="005B2F88">
        <w:rPr>
          <w:i/>
          <w:iCs/>
        </w:rPr>
        <w:t>supra</w:t>
      </w:r>
      <w:r w:rsidRPr="005B2F88">
        <w:t xml:space="preserve">, note </w:t>
      </w:r>
      <w:r w:rsidR="00216F29">
        <w:t>4</w:t>
      </w:r>
      <w:r w:rsidRPr="005B2F88">
        <w:t>, p. 358 et s.</w:t>
      </w:r>
    </w:p>
  </w:footnote>
  <w:footnote w:id="7">
    <w:p w14:paraId="237721D7" w14:textId="77777777" w:rsidR="008C14A0" w:rsidRDefault="008C14A0" w:rsidP="008C14A0">
      <w:pPr>
        <w:pStyle w:val="Notedebasdepage"/>
      </w:pPr>
      <w:r w:rsidRPr="00EF78E4">
        <w:rPr>
          <w:rStyle w:val="Appelnotedebasdep"/>
        </w:rPr>
        <w:footnoteRef/>
      </w:r>
      <w:r>
        <w:t xml:space="preserve"> </w:t>
      </w:r>
      <w:r>
        <w:tab/>
      </w:r>
      <w:r w:rsidRPr="000F44CA">
        <w:rPr>
          <w:i/>
          <w:iCs/>
        </w:rPr>
        <w:t>Bond c. Société de l</w:t>
      </w:r>
      <w:r>
        <w:rPr>
          <w:i/>
          <w:iCs/>
        </w:rPr>
        <w:t>’</w:t>
      </w:r>
      <w:r w:rsidRPr="000F44CA">
        <w:rPr>
          <w:i/>
          <w:iCs/>
        </w:rPr>
        <w:t>assurance automobile du Québec</w:t>
      </w:r>
      <w:r w:rsidRPr="00175776">
        <w:t>, 2012</w:t>
      </w:r>
      <w:r>
        <w:t> </w:t>
      </w:r>
      <w:r w:rsidRPr="00175776">
        <w:t>QCCQ</w:t>
      </w:r>
      <w:r>
        <w:t> </w:t>
      </w:r>
      <w:r w:rsidRPr="00175776">
        <w:t>1757</w:t>
      </w:r>
      <w:r>
        <w:t>.</w:t>
      </w:r>
    </w:p>
  </w:footnote>
  <w:footnote w:id="8">
    <w:p w14:paraId="2C59EAFB" w14:textId="77777777" w:rsidR="008C14A0" w:rsidRDefault="008C14A0" w:rsidP="008C14A0">
      <w:pPr>
        <w:pStyle w:val="Notedebasdepage"/>
      </w:pPr>
      <w:r w:rsidRPr="00EF78E4">
        <w:rPr>
          <w:rStyle w:val="Appelnotedebasdep"/>
        </w:rPr>
        <w:footnoteRef/>
      </w:r>
      <w:r>
        <w:t xml:space="preserve"> </w:t>
      </w:r>
      <w:r>
        <w:tab/>
      </w:r>
      <w:r w:rsidRPr="000F44CA">
        <w:rPr>
          <w:i/>
          <w:iCs/>
        </w:rPr>
        <w:t>De Carufel c. Société de l</w:t>
      </w:r>
      <w:r>
        <w:rPr>
          <w:i/>
          <w:iCs/>
        </w:rPr>
        <w:t>’</w:t>
      </w:r>
      <w:r w:rsidRPr="000F44CA">
        <w:rPr>
          <w:i/>
          <w:iCs/>
        </w:rPr>
        <w:t>assurance automobile du Québec</w:t>
      </w:r>
      <w:r w:rsidRPr="00175776">
        <w:t>, 2011</w:t>
      </w:r>
      <w:r>
        <w:t> </w:t>
      </w:r>
      <w:r w:rsidRPr="00175776">
        <w:t>QCCQ</w:t>
      </w:r>
      <w:r>
        <w:t> </w:t>
      </w:r>
      <w:r w:rsidRPr="00175776">
        <w:t>7157</w:t>
      </w:r>
      <w:r>
        <w:t>.</w:t>
      </w:r>
    </w:p>
  </w:footnote>
  <w:footnote w:id="9">
    <w:p w14:paraId="459DF6AB" w14:textId="22E0C667" w:rsidR="003350B1" w:rsidRDefault="003350B1" w:rsidP="003350B1">
      <w:pPr>
        <w:pStyle w:val="Notedebasdepage"/>
      </w:pPr>
      <w:r w:rsidRPr="00EF78E4">
        <w:rPr>
          <w:rStyle w:val="Appelnotedebasdep"/>
        </w:rPr>
        <w:footnoteRef/>
      </w:r>
      <w:r>
        <w:t xml:space="preserve"> </w:t>
      </w:r>
      <w:r>
        <w:tab/>
      </w:r>
      <w:r w:rsidRPr="000F44CA">
        <w:rPr>
          <w:i/>
          <w:iCs/>
        </w:rPr>
        <w:t>April c. Montréal-Nord (Ville)</w:t>
      </w:r>
      <w:r w:rsidRPr="00CD42BD">
        <w:t>, 1995 CanLII</w:t>
      </w:r>
      <w:r>
        <w:t> </w:t>
      </w:r>
      <w:r w:rsidRPr="00CD42BD">
        <w:t>5302 (QC CA)</w:t>
      </w:r>
      <w:r w:rsidR="00FE3582">
        <w:t xml:space="preserve"> [ci-après « </w:t>
      </w:r>
      <w:r w:rsidR="00FE3582" w:rsidRPr="00FE3582">
        <w:rPr>
          <w:i/>
          <w:iCs/>
        </w:rPr>
        <w:t>April</w:t>
      </w:r>
      <w:r w:rsidR="00FE3582">
        <w:t> »]</w:t>
      </w:r>
      <w:r>
        <w:t>.</w:t>
      </w:r>
    </w:p>
  </w:footnote>
  <w:footnote w:id="10">
    <w:p w14:paraId="421A675D" w14:textId="77777777" w:rsidR="008C14A0" w:rsidRDefault="008C14A0" w:rsidP="008C14A0">
      <w:pPr>
        <w:pStyle w:val="Notedebasdepage"/>
      </w:pPr>
      <w:r w:rsidRPr="00EF78E4">
        <w:rPr>
          <w:rStyle w:val="Appelnotedebasdep"/>
        </w:rPr>
        <w:footnoteRef/>
      </w:r>
      <w:r>
        <w:t xml:space="preserve"> </w:t>
      </w:r>
      <w:r>
        <w:tab/>
      </w:r>
      <w:r w:rsidRPr="000F44CA">
        <w:rPr>
          <w:i/>
          <w:iCs/>
        </w:rPr>
        <w:t>Québec (Procureur général) c. Arsenault</w:t>
      </w:r>
      <w:r w:rsidRPr="00CD42BD">
        <w:t xml:space="preserve">, </w:t>
      </w:r>
      <w:r w:rsidRPr="00623574">
        <w:t>EYB 1998-05556</w:t>
      </w:r>
      <w:r>
        <w:t xml:space="preserve">, </w:t>
      </w:r>
      <w:r w:rsidRPr="00CD42BD">
        <w:t>1998 CanLII</w:t>
      </w:r>
      <w:r>
        <w:t> </w:t>
      </w:r>
      <w:r w:rsidRPr="00CD42BD">
        <w:t xml:space="preserve">12729 (QC CA); </w:t>
      </w:r>
      <w:r>
        <w:rPr>
          <w:i/>
          <w:iCs/>
        </w:rPr>
        <w:t xml:space="preserve">Montréal Ville) c. </w:t>
      </w:r>
      <w:r w:rsidRPr="000F44CA">
        <w:rPr>
          <w:i/>
          <w:iCs/>
        </w:rPr>
        <w:t>Dubuc</w:t>
      </w:r>
      <w:r w:rsidRPr="00CD42BD">
        <w:t xml:space="preserve">, </w:t>
      </w:r>
      <w:r w:rsidRPr="00623574">
        <w:t>[1998] RJQ 984</w:t>
      </w:r>
      <w:r>
        <w:t xml:space="preserve">, </w:t>
      </w:r>
      <w:r w:rsidRPr="00F75F4A">
        <w:t>1998 CanLII 12750 (QC CA)</w:t>
      </w:r>
      <w:r>
        <w:t>.</w:t>
      </w:r>
    </w:p>
  </w:footnote>
  <w:footnote w:id="11">
    <w:p w14:paraId="7BA8474C" w14:textId="3339DC2B" w:rsidR="00FE3582" w:rsidRDefault="00FE3582">
      <w:pPr>
        <w:pStyle w:val="Notedebasdepage"/>
      </w:pPr>
      <w:r>
        <w:rPr>
          <w:rStyle w:val="Appelnotedebasdep"/>
        </w:rPr>
        <w:footnoteRef/>
      </w:r>
      <w:r>
        <w:t xml:space="preserve"> </w:t>
      </w:r>
      <w:r>
        <w:tab/>
      </w:r>
      <w:r w:rsidRPr="00FE3582">
        <w:rPr>
          <w:i/>
          <w:iCs/>
        </w:rPr>
        <w:t>April</w:t>
      </w:r>
      <w:r>
        <w:t xml:space="preserve">, </w:t>
      </w:r>
      <w:r w:rsidRPr="00FE3582">
        <w:rPr>
          <w:i/>
          <w:iCs/>
        </w:rPr>
        <w:t>supra</w:t>
      </w:r>
      <w:r>
        <w:t>, note 9,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12A1" w14:textId="77777777" w:rsidR="0094287A" w:rsidRDefault="009428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5860" w14:textId="7040EA93" w:rsidR="007E33E4" w:rsidRDefault="00650F13" w:rsidP="00DB2119">
    <w:pPr>
      <w:tabs>
        <w:tab w:val="center" w:pos="4709"/>
        <w:tab w:val="right" w:pos="9360"/>
      </w:tabs>
      <w:spacing w:line="360" w:lineRule="auto"/>
      <w:ind w:right="524"/>
    </w:pPr>
    <w:bookmarkStart w:id="14" w:name="EntDossier"/>
    <w:r>
      <w:t>500-09-700376-254</w:t>
    </w:r>
    <w:bookmarkEnd w:id="14"/>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59784832" w14:textId="77777777" w:rsidR="007E33E4" w:rsidRDefault="007E33E4" w:rsidP="00DB2119">
    <w:pPr>
      <w:tabs>
        <w:tab w:val="center" w:pos="4709"/>
        <w:tab w:val="right" w:pos="9360"/>
      </w:tabs>
      <w:spacing w:line="360" w:lineRule="auto"/>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C6EB" w14:textId="77777777" w:rsidR="0094287A" w:rsidRDefault="009428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005744867">
    <w:abstractNumId w:val="12"/>
  </w:num>
  <w:num w:numId="2" w16cid:durableId="2126729408">
    <w:abstractNumId w:val="12"/>
  </w:num>
  <w:num w:numId="3" w16cid:durableId="1932200708">
    <w:abstractNumId w:val="12"/>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2"/>
  </w:num>
  <w:num w:numId="15" w16cid:durableId="1382091185">
    <w:abstractNumId w:val="12"/>
  </w:num>
  <w:num w:numId="16" w16cid:durableId="1993637402">
    <w:abstractNumId w:val="12"/>
  </w:num>
  <w:num w:numId="17" w16cid:durableId="1263806435">
    <w:abstractNumId w:val="11"/>
  </w:num>
  <w:num w:numId="18" w16cid:durableId="4360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E LA JUGE"/>
    <w:docVar w:name="MotifJuge3" w:val="MOTIFS DU JUGE"/>
    <w:docVar w:name="NomFamJuge1" w:val="BEAUPRÉ"/>
    <w:docVar w:name="NomFamJuge2" w:val="LAVALLÉE"/>
    <w:docVar w:name="NomFamJuge3" w:val="KALICHMAN"/>
    <w:docVar w:name="NomFamJuge4" w:val="MAILHOT"/>
    <w:docVar w:name="NomFamJuge5" w:val="BAUDOUIN"/>
    <w:docVar w:name="QteJuge1" w:val=", J.C.A."/>
    <w:docVar w:name="QteJuge2" w:val=", J.C.A."/>
    <w:docVar w:name="QteJuge3" w:val=", J.C.A."/>
    <w:docVar w:name="stPremiereFois" w:val="Non"/>
  </w:docVars>
  <w:rsids>
    <w:rsidRoot w:val="00650F13"/>
    <w:rsid w:val="000131E1"/>
    <w:rsid w:val="0004394C"/>
    <w:rsid w:val="00053691"/>
    <w:rsid w:val="000A7516"/>
    <w:rsid w:val="000B42AF"/>
    <w:rsid w:val="00110B53"/>
    <w:rsid w:val="00112321"/>
    <w:rsid w:val="00117914"/>
    <w:rsid w:val="0013028C"/>
    <w:rsid w:val="0015610F"/>
    <w:rsid w:val="00160B31"/>
    <w:rsid w:val="00164F38"/>
    <w:rsid w:val="00181F56"/>
    <w:rsid w:val="00190FA7"/>
    <w:rsid w:val="001972F2"/>
    <w:rsid w:val="001E1949"/>
    <w:rsid w:val="001E64D0"/>
    <w:rsid w:val="001F1AA6"/>
    <w:rsid w:val="00205DC4"/>
    <w:rsid w:val="0021548E"/>
    <w:rsid w:val="00216F29"/>
    <w:rsid w:val="002273F5"/>
    <w:rsid w:val="002B4A07"/>
    <w:rsid w:val="002C4107"/>
    <w:rsid w:val="002E1F0E"/>
    <w:rsid w:val="002E229C"/>
    <w:rsid w:val="002E51F1"/>
    <w:rsid w:val="002F1350"/>
    <w:rsid w:val="002F6136"/>
    <w:rsid w:val="00322DE0"/>
    <w:rsid w:val="0032363D"/>
    <w:rsid w:val="0033190E"/>
    <w:rsid w:val="003350B1"/>
    <w:rsid w:val="00361325"/>
    <w:rsid w:val="00374888"/>
    <w:rsid w:val="00374E40"/>
    <w:rsid w:val="00392E75"/>
    <w:rsid w:val="003D487D"/>
    <w:rsid w:val="003E3239"/>
    <w:rsid w:val="003E3E3C"/>
    <w:rsid w:val="00423DF1"/>
    <w:rsid w:val="00430C58"/>
    <w:rsid w:val="004331C4"/>
    <w:rsid w:val="0043564D"/>
    <w:rsid w:val="00441C25"/>
    <w:rsid w:val="00446452"/>
    <w:rsid w:val="00472DC8"/>
    <w:rsid w:val="004802EC"/>
    <w:rsid w:val="00491764"/>
    <w:rsid w:val="004A29F1"/>
    <w:rsid w:val="004A6641"/>
    <w:rsid w:val="004B1E94"/>
    <w:rsid w:val="004B33FF"/>
    <w:rsid w:val="004D2F69"/>
    <w:rsid w:val="004E42F3"/>
    <w:rsid w:val="004E4FBA"/>
    <w:rsid w:val="005131F1"/>
    <w:rsid w:val="0051484F"/>
    <w:rsid w:val="00516B3E"/>
    <w:rsid w:val="005262C9"/>
    <w:rsid w:val="00531D70"/>
    <w:rsid w:val="00544B32"/>
    <w:rsid w:val="00553747"/>
    <w:rsid w:val="00566BF6"/>
    <w:rsid w:val="00583434"/>
    <w:rsid w:val="0058349F"/>
    <w:rsid w:val="005A78BF"/>
    <w:rsid w:val="005B5CF3"/>
    <w:rsid w:val="005B6B4C"/>
    <w:rsid w:val="005C7516"/>
    <w:rsid w:val="005D01D0"/>
    <w:rsid w:val="005D1522"/>
    <w:rsid w:val="005F5A88"/>
    <w:rsid w:val="005F5F5F"/>
    <w:rsid w:val="00607CEC"/>
    <w:rsid w:val="00624770"/>
    <w:rsid w:val="0064250B"/>
    <w:rsid w:val="00650F13"/>
    <w:rsid w:val="006826AA"/>
    <w:rsid w:val="0068356A"/>
    <w:rsid w:val="006A0DB0"/>
    <w:rsid w:val="006A6629"/>
    <w:rsid w:val="00740A17"/>
    <w:rsid w:val="007462D6"/>
    <w:rsid w:val="0074738B"/>
    <w:rsid w:val="0076062E"/>
    <w:rsid w:val="007901CC"/>
    <w:rsid w:val="007953F3"/>
    <w:rsid w:val="007A7803"/>
    <w:rsid w:val="007B061E"/>
    <w:rsid w:val="007B48D5"/>
    <w:rsid w:val="007B76A8"/>
    <w:rsid w:val="007D087C"/>
    <w:rsid w:val="007E33E4"/>
    <w:rsid w:val="007E4CC9"/>
    <w:rsid w:val="007F40FD"/>
    <w:rsid w:val="00800D23"/>
    <w:rsid w:val="00816273"/>
    <w:rsid w:val="0082717B"/>
    <w:rsid w:val="00827B04"/>
    <w:rsid w:val="0083032E"/>
    <w:rsid w:val="00841907"/>
    <w:rsid w:val="0086036A"/>
    <w:rsid w:val="008630CF"/>
    <w:rsid w:val="008653A3"/>
    <w:rsid w:val="008657A2"/>
    <w:rsid w:val="00866645"/>
    <w:rsid w:val="00882210"/>
    <w:rsid w:val="008A6185"/>
    <w:rsid w:val="008C023C"/>
    <w:rsid w:val="008C14A0"/>
    <w:rsid w:val="008C1FE9"/>
    <w:rsid w:val="008C7DCE"/>
    <w:rsid w:val="008D18FC"/>
    <w:rsid w:val="008D398B"/>
    <w:rsid w:val="008D7E49"/>
    <w:rsid w:val="008E5E9D"/>
    <w:rsid w:val="008F364A"/>
    <w:rsid w:val="008F3F53"/>
    <w:rsid w:val="00910C7D"/>
    <w:rsid w:val="00913E03"/>
    <w:rsid w:val="009229E9"/>
    <w:rsid w:val="00926953"/>
    <w:rsid w:val="00932703"/>
    <w:rsid w:val="00936469"/>
    <w:rsid w:val="009400B7"/>
    <w:rsid w:val="0094287A"/>
    <w:rsid w:val="00954DC2"/>
    <w:rsid w:val="00957B92"/>
    <w:rsid w:val="00970966"/>
    <w:rsid w:val="00974442"/>
    <w:rsid w:val="009F1F69"/>
    <w:rsid w:val="009F60FD"/>
    <w:rsid w:val="00A23BF4"/>
    <w:rsid w:val="00A2593B"/>
    <w:rsid w:val="00A34E05"/>
    <w:rsid w:val="00A43D8B"/>
    <w:rsid w:val="00A454F1"/>
    <w:rsid w:val="00A543CC"/>
    <w:rsid w:val="00A93CFF"/>
    <w:rsid w:val="00AB6E55"/>
    <w:rsid w:val="00AB7DD2"/>
    <w:rsid w:val="00AE1B6D"/>
    <w:rsid w:val="00AF0C7C"/>
    <w:rsid w:val="00B01D86"/>
    <w:rsid w:val="00B07E4E"/>
    <w:rsid w:val="00B11FD1"/>
    <w:rsid w:val="00B137E9"/>
    <w:rsid w:val="00B30EA2"/>
    <w:rsid w:val="00B36ED3"/>
    <w:rsid w:val="00B513C9"/>
    <w:rsid w:val="00B56EF4"/>
    <w:rsid w:val="00B661CD"/>
    <w:rsid w:val="00B70485"/>
    <w:rsid w:val="00B82A13"/>
    <w:rsid w:val="00C02AF8"/>
    <w:rsid w:val="00C17E01"/>
    <w:rsid w:val="00C31AC4"/>
    <w:rsid w:val="00C409BE"/>
    <w:rsid w:val="00C423CA"/>
    <w:rsid w:val="00C652ED"/>
    <w:rsid w:val="00C7793C"/>
    <w:rsid w:val="00C939A8"/>
    <w:rsid w:val="00C97145"/>
    <w:rsid w:val="00D010FD"/>
    <w:rsid w:val="00D02812"/>
    <w:rsid w:val="00D11D48"/>
    <w:rsid w:val="00D20056"/>
    <w:rsid w:val="00D3169F"/>
    <w:rsid w:val="00DB2119"/>
    <w:rsid w:val="00DC05BC"/>
    <w:rsid w:val="00DD3A24"/>
    <w:rsid w:val="00DF3516"/>
    <w:rsid w:val="00E03C07"/>
    <w:rsid w:val="00E20E3C"/>
    <w:rsid w:val="00E36290"/>
    <w:rsid w:val="00E81E61"/>
    <w:rsid w:val="00E848B4"/>
    <w:rsid w:val="00E91417"/>
    <w:rsid w:val="00E94329"/>
    <w:rsid w:val="00EB1377"/>
    <w:rsid w:val="00EC1E33"/>
    <w:rsid w:val="00F07022"/>
    <w:rsid w:val="00F1119E"/>
    <w:rsid w:val="00F26635"/>
    <w:rsid w:val="00F33E30"/>
    <w:rsid w:val="00F35A34"/>
    <w:rsid w:val="00F40882"/>
    <w:rsid w:val="00F43559"/>
    <w:rsid w:val="00F5789B"/>
    <w:rsid w:val="00F75AAB"/>
    <w:rsid w:val="00F75C76"/>
    <w:rsid w:val="00F9095C"/>
    <w:rsid w:val="00FC720B"/>
    <w:rsid w:val="00FE3582"/>
    <w:rsid w:val="00FE3FE9"/>
    <w:rsid w:val="00FE6A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A94E8"/>
  <w15:chartTrackingRefBased/>
  <w15:docId w15:val="{211D62CB-7B2C-4E88-AA5F-9ED49697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link w:val="CitationenretraitCar"/>
    <w:qFormat/>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NotedebasdepageCar">
    <w:name w:val="Note de bas de page Car"/>
    <w:basedOn w:val="Policepardfaut"/>
    <w:link w:val="Notedebasdepage"/>
    <w:rsid w:val="008C14A0"/>
    <w:rPr>
      <w:rFonts w:ascii="Arial" w:hAnsi="Arial"/>
      <w:lang w:eastAsia="fr-FR"/>
    </w:rPr>
  </w:style>
  <w:style w:type="character" w:customStyle="1" w:styleId="ParagrapheCar">
    <w:name w:val="Paragraphe Car"/>
    <w:link w:val="Paragraphe"/>
    <w:qFormat/>
    <w:rsid w:val="008C14A0"/>
    <w:rPr>
      <w:rFonts w:ascii="Arial" w:hAnsi="Arial"/>
      <w:kern w:val="28"/>
      <w:sz w:val="24"/>
      <w:lang w:eastAsia="fr-FR"/>
    </w:rPr>
  </w:style>
  <w:style w:type="character" w:customStyle="1" w:styleId="CitationenretraitCar">
    <w:name w:val="Citation en retrait Car"/>
    <w:link w:val="Citationenretrait"/>
    <w:rsid w:val="008C14A0"/>
    <w:rPr>
      <w:rFonts w:ascii="Arial" w:hAnsi="Arial"/>
      <w:kern w:val="24"/>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fr/qc/legis/lois/rlrq-c-c-24.2/derniere/rlrq-c-c-24.2.html" TargetMode="External"/><Relationship Id="rId13" Type="http://schemas.openxmlformats.org/officeDocument/2006/relationships/hyperlink" Target="https://www.canlii.org/en/qc/laws/stat/cqlr-c-j-3/latest/cqlr-c-j-3.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nlii.org/en/qc/laws/stat/cqlr-c-j-3/latest/cqlr-c-j-3.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lii.org/en/qc/laws/stat/cqlr-c-c-24.2/latest/cqlr-c-c-24.2.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nlii.org/fr/qc/legis/lois/rlrq-c-j-3/derniere/rlrq-c-j-3.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anlii.org/fr/qc/legis/lois/rlrq-c-j-3/derniere/rlrq-c-j-3.htm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abarits_SOQUIJ\Gabarits_SOQUIJ%20CA\CAFra-VERSION%20oct.%202024.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CAFra-VERSION oct. 2024.dotm</Template>
  <TotalTime>1</TotalTime>
  <Pages>7</Pages>
  <Words>2349</Words>
  <Characters>12920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Marie Dumont</dc:creator>
  <cp:keywords/>
  <dc:description/>
  <cp:lastModifiedBy>Paillé, Pryscilla</cp:lastModifiedBy>
  <cp:revision>7</cp:revision>
  <cp:lastPrinted>2018-08-07T15:35:00Z</cp:lastPrinted>
  <dcterms:created xsi:type="dcterms:W3CDTF">2025-11-18T18:29:00Z</dcterms:created>
  <dcterms:modified xsi:type="dcterms:W3CDTF">2025-11-25T12:42:00Z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